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EC" w:rsidRPr="0093199F" w:rsidRDefault="001111F5" w:rsidP="005E2EEC">
      <w:pPr>
        <w:spacing w:line="360" w:lineRule="auto"/>
        <w:jc w:val="right"/>
        <w:rPr>
          <w:rFonts w:ascii="Arial" w:hAnsi="Arial" w:cs="Arial"/>
        </w:rPr>
      </w:pPr>
      <w:bookmarkStart w:id="0" w:name="_GoBack"/>
      <w:bookmarkEnd w:id="0"/>
      <w:r w:rsidRPr="00AF0B28">
        <w:rPr>
          <w:rFonts w:ascii="Arial" w:hAnsi="Arial" w:cs="Arial"/>
          <w:b/>
        </w:rPr>
        <w:t>REPUBLIC OF NAMIBIA</w:t>
      </w:r>
      <w:r w:rsidR="005E2EEC" w:rsidRPr="005E2EEC">
        <w:rPr>
          <w:rFonts w:ascii="Arial" w:hAnsi="Arial" w:cs="Arial"/>
        </w:rPr>
        <w:t xml:space="preserve"> </w:t>
      </w:r>
      <w:r w:rsidR="005E2EEC">
        <w:rPr>
          <w:rFonts w:ascii="Arial" w:hAnsi="Arial" w:cs="Arial"/>
        </w:rPr>
        <w:t xml:space="preserve">         NOT </w:t>
      </w:r>
      <w:r w:rsidR="005E2EEC" w:rsidRPr="0093199F">
        <w:rPr>
          <w:rFonts w:ascii="Arial" w:hAnsi="Arial" w:cs="Arial"/>
        </w:rPr>
        <w:t>REPORTABLE</w:t>
      </w:r>
    </w:p>
    <w:p w:rsidR="00D81B6E" w:rsidRPr="00340732" w:rsidRDefault="00001DD9"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033F3F"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210744">
        <w:rPr>
          <w:rFonts w:ascii="Arial" w:hAnsi="Arial" w:cs="Arial"/>
          <w:b/>
          <w:lang w:val="en-ZA"/>
        </w:rPr>
        <w:t>MAIN</w:t>
      </w:r>
      <w:r>
        <w:rPr>
          <w:rFonts w:ascii="Arial" w:hAnsi="Arial" w:cs="Arial"/>
          <w:b/>
          <w:lang w:val="en-ZA"/>
        </w:rPr>
        <w:t xml:space="preserve"> DIVISION, </w:t>
      </w:r>
      <w:r w:rsidR="00210744">
        <w:rPr>
          <w:rFonts w:ascii="Arial" w:hAnsi="Arial" w:cs="Arial"/>
          <w:b/>
          <w:lang w:val="en-ZA"/>
        </w:rPr>
        <w:t>WINDHOEK</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463708">
        <w:rPr>
          <w:rFonts w:ascii="Arial" w:hAnsi="Arial" w:cs="Arial"/>
          <w:lang w:val="en-ZA"/>
        </w:rPr>
        <w:t xml:space="preserve">:  CA </w:t>
      </w:r>
      <w:r w:rsidR="0027593E">
        <w:rPr>
          <w:rFonts w:ascii="Arial" w:hAnsi="Arial" w:cs="Arial"/>
          <w:lang w:val="en-ZA"/>
        </w:rPr>
        <w:t>07/2017</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984781" w:rsidRDefault="0027593E" w:rsidP="00176493">
      <w:pPr>
        <w:spacing w:line="360" w:lineRule="auto"/>
        <w:jc w:val="both"/>
        <w:rPr>
          <w:rFonts w:ascii="Arial" w:hAnsi="Arial" w:cs="Arial"/>
          <w:b/>
          <w:lang w:val="en-ZA"/>
        </w:rPr>
      </w:pPr>
      <w:r>
        <w:rPr>
          <w:rFonts w:ascii="Arial" w:hAnsi="Arial" w:cs="Arial"/>
          <w:b/>
          <w:lang w:val="en-ZA"/>
        </w:rPr>
        <w:t>MAPHOSA SIHLE</w:t>
      </w:r>
      <w:r w:rsidR="00984781">
        <w:rPr>
          <w:rFonts w:ascii="Arial" w:hAnsi="Arial" w:cs="Arial"/>
          <w:b/>
          <w:lang w:val="en-ZA"/>
        </w:rPr>
        <w:tab/>
        <w:t xml:space="preserve">                         </w:t>
      </w:r>
      <w:r w:rsidR="00463708">
        <w:rPr>
          <w:rFonts w:ascii="Arial" w:hAnsi="Arial" w:cs="Arial"/>
          <w:b/>
          <w:lang w:val="en-ZA"/>
        </w:rPr>
        <w:t xml:space="preserve"> </w:t>
      </w:r>
      <w:r w:rsidR="00984781">
        <w:rPr>
          <w:rFonts w:ascii="Arial" w:hAnsi="Arial" w:cs="Arial"/>
          <w:b/>
          <w:lang w:val="en-ZA"/>
        </w:rPr>
        <w:t xml:space="preserve"> </w:t>
      </w:r>
      <w:r>
        <w:rPr>
          <w:rFonts w:ascii="Arial" w:hAnsi="Arial" w:cs="Arial"/>
          <w:b/>
          <w:lang w:val="en-ZA"/>
        </w:rPr>
        <w:tab/>
      </w:r>
      <w:r>
        <w:rPr>
          <w:rFonts w:ascii="Arial" w:hAnsi="Arial" w:cs="Arial"/>
          <w:b/>
          <w:lang w:val="en-ZA"/>
        </w:rPr>
        <w:tab/>
      </w:r>
      <w:r>
        <w:rPr>
          <w:rFonts w:ascii="Arial" w:hAnsi="Arial" w:cs="Arial"/>
          <w:b/>
          <w:lang w:val="en-ZA"/>
        </w:rPr>
        <w:tab/>
        <w:t xml:space="preserve">     FIRST </w:t>
      </w:r>
      <w:r w:rsidR="00033F3F" w:rsidRPr="00340732">
        <w:rPr>
          <w:rFonts w:ascii="Arial" w:hAnsi="Arial" w:cs="Arial"/>
          <w:b/>
          <w:lang w:val="en-ZA"/>
        </w:rPr>
        <w:t>APPELLANT</w:t>
      </w:r>
    </w:p>
    <w:p w:rsidR="0027593E" w:rsidRDefault="0027593E" w:rsidP="00176493">
      <w:pPr>
        <w:spacing w:line="360" w:lineRule="auto"/>
        <w:jc w:val="both"/>
        <w:rPr>
          <w:rFonts w:ascii="Arial" w:hAnsi="Arial" w:cs="Arial"/>
          <w:b/>
          <w:lang w:val="en-ZA"/>
        </w:rPr>
      </w:pPr>
      <w:r>
        <w:rPr>
          <w:rFonts w:ascii="Arial" w:hAnsi="Arial" w:cs="Arial"/>
          <w:b/>
          <w:lang w:val="en-ZA"/>
        </w:rPr>
        <w:t>IRENE NKALA</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SECOND APPELLANT</w:t>
      </w:r>
    </w:p>
    <w:p w:rsidR="00033F3F" w:rsidRPr="00340732" w:rsidRDefault="00984781" w:rsidP="00176493">
      <w:pPr>
        <w:spacing w:line="360" w:lineRule="auto"/>
        <w:jc w:val="both"/>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00612F96">
        <w:rPr>
          <w:rFonts w:ascii="Arial" w:hAnsi="Arial" w:cs="Arial"/>
          <w:b/>
          <w:lang w:val="en-ZA"/>
        </w:rPr>
        <w:t xml:space="preserve">  </w:t>
      </w:r>
      <w:r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27593E">
        <w:rPr>
          <w:rFonts w:ascii="Arial" w:hAnsi="Arial" w:cs="Arial"/>
          <w:i/>
          <w:lang w:val="en-ZA"/>
        </w:rPr>
        <w:t>Sihle</w:t>
      </w:r>
      <w:r w:rsidR="00C97786">
        <w:rPr>
          <w:rFonts w:ascii="Arial" w:hAnsi="Arial" w:cs="Arial"/>
          <w:i/>
          <w:lang w:val="en-ZA"/>
        </w:rPr>
        <w:t xml:space="preserve"> v </w:t>
      </w:r>
      <w:r w:rsidR="005E2EEC">
        <w:rPr>
          <w:rFonts w:ascii="Arial" w:hAnsi="Arial" w:cs="Arial"/>
          <w:i/>
          <w:lang w:val="en-ZA"/>
        </w:rPr>
        <w:t>S</w:t>
      </w:r>
      <w:r>
        <w:rPr>
          <w:rFonts w:ascii="Arial" w:hAnsi="Arial" w:cs="Arial"/>
          <w:i/>
          <w:lang w:val="en-ZA"/>
        </w:rPr>
        <w:t xml:space="preserve"> </w:t>
      </w:r>
      <w:r w:rsidR="0027593E">
        <w:rPr>
          <w:rFonts w:ascii="Arial" w:hAnsi="Arial" w:cs="Arial"/>
          <w:lang w:val="en-ZA"/>
        </w:rPr>
        <w:t>(CA 07/2017</w:t>
      </w:r>
      <w:r w:rsidR="00210744">
        <w:rPr>
          <w:rFonts w:ascii="Arial" w:hAnsi="Arial" w:cs="Arial"/>
          <w:lang w:val="en-ZA"/>
        </w:rPr>
        <w:t>) [20</w:t>
      </w:r>
      <w:r w:rsidR="00167CE5">
        <w:rPr>
          <w:rFonts w:ascii="Arial" w:hAnsi="Arial" w:cs="Arial"/>
          <w:lang w:val="en-ZA"/>
        </w:rPr>
        <w:t>17</w:t>
      </w:r>
      <w:r w:rsidR="004C27B0">
        <w:rPr>
          <w:rFonts w:ascii="Arial" w:hAnsi="Arial" w:cs="Arial"/>
          <w:lang w:val="en-ZA"/>
        </w:rPr>
        <w:t xml:space="preserve">] </w:t>
      </w:r>
      <w:r w:rsidR="00210744">
        <w:rPr>
          <w:rFonts w:ascii="Arial" w:hAnsi="Arial" w:cs="Arial"/>
          <w:lang w:val="en-ZA"/>
        </w:rPr>
        <w:t>NAHCM</w:t>
      </w:r>
      <w:r>
        <w:rPr>
          <w:rFonts w:ascii="Arial" w:hAnsi="Arial" w:cs="Arial"/>
          <w:lang w:val="en-ZA"/>
        </w:rPr>
        <w:t>D</w:t>
      </w:r>
      <w:r w:rsidR="008D10CE">
        <w:rPr>
          <w:rFonts w:ascii="Arial" w:hAnsi="Arial" w:cs="Arial"/>
          <w:lang w:val="en-ZA"/>
        </w:rPr>
        <w:t xml:space="preserve"> 214</w:t>
      </w:r>
      <w:r w:rsidR="005E2EEC">
        <w:rPr>
          <w:rFonts w:ascii="Arial" w:hAnsi="Arial" w:cs="Arial"/>
          <w:lang w:val="en-ZA"/>
        </w:rPr>
        <w:t xml:space="preserve"> </w:t>
      </w:r>
      <w:r w:rsidR="0027593E">
        <w:rPr>
          <w:rFonts w:ascii="Arial" w:hAnsi="Arial" w:cs="Arial"/>
          <w:lang w:val="en-ZA"/>
        </w:rPr>
        <w:t>(07 August</w:t>
      </w:r>
      <w:r w:rsidR="00167CE5">
        <w:rPr>
          <w:rFonts w:ascii="Arial" w:hAnsi="Arial" w:cs="Arial"/>
          <w:lang w:val="en-ZA"/>
        </w:rPr>
        <w:t xml:space="preserve">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27593E"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27593E">
        <w:rPr>
          <w:rFonts w:ascii="Arial" w:hAnsi="Arial" w:cs="Arial"/>
          <w:lang w:val="en-ZA"/>
        </w:rPr>
        <w:t xml:space="preserve">NDAUENDAPO J and </w:t>
      </w:r>
      <w:r w:rsidR="00D70426">
        <w:rPr>
          <w:rFonts w:ascii="Arial" w:hAnsi="Arial" w:cs="Arial"/>
          <w:lang w:val="en-ZA"/>
        </w:rPr>
        <w:t>LIEBENBERG</w:t>
      </w:r>
      <w:r w:rsidR="00635D4F" w:rsidRPr="00340732">
        <w:rPr>
          <w:rFonts w:ascii="Arial" w:hAnsi="Arial" w:cs="Arial"/>
          <w:lang w:val="en-ZA"/>
        </w:rPr>
        <w:t xml:space="preserve"> J</w:t>
      </w:r>
    </w:p>
    <w:p w:rsidR="0093199F" w:rsidRDefault="00033F3F" w:rsidP="00176493">
      <w:pPr>
        <w:spacing w:line="360" w:lineRule="auto"/>
        <w:jc w:val="both"/>
        <w:rPr>
          <w:rFonts w:ascii="Arial" w:hAnsi="Arial" w:cs="Arial"/>
          <w:b/>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27593E">
        <w:rPr>
          <w:rFonts w:ascii="Arial" w:hAnsi="Arial" w:cs="Arial"/>
          <w:b/>
          <w:lang w:val="en-ZA"/>
        </w:rPr>
        <w:t>07</w:t>
      </w:r>
      <w:r w:rsidR="0074006B">
        <w:rPr>
          <w:rFonts w:ascii="Arial" w:hAnsi="Arial" w:cs="Arial"/>
          <w:b/>
          <w:lang w:val="en-ZA"/>
        </w:rPr>
        <w:t xml:space="preserve"> </w:t>
      </w:r>
      <w:r w:rsidR="0027593E">
        <w:rPr>
          <w:rFonts w:ascii="Arial" w:hAnsi="Arial" w:cs="Arial"/>
          <w:b/>
          <w:lang w:val="en-ZA"/>
        </w:rPr>
        <w:t>July</w:t>
      </w:r>
      <w:r w:rsidR="0074006B">
        <w:rPr>
          <w:rFonts w:ascii="Arial" w:hAnsi="Arial" w:cs="Arial"/>
          <w:b/>
          <w:lang w:val="en-ZA"/>
        </w:rPr>
        <w:t xml:space="preserve"> 2017</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27593E">
        <w:rPr>
          <w:rFonts w:ascii="Arial" w:hAnsi="Arial" w:cs="Arial"/>
          <w:b/>
          <w:lang w:val="en-ZA"/>
        </w:rPr>
        <w:t>07</w:t>
      </w:r>
      <w:r w:rsidR="00210744">
        <w:rPr>
          <w:rFonts w:ascii="Arial" w:hAnsi="Arial" w:cs="Arial"/>
          <w:b/>
          <w:lang w:val="en-ZA"/>
        </w:rPr>
        <w:t xml:space="preserve"> </w:t>
      </w:r>
      <w:r w:rsidR="0027593E">
        <w:rPr>
          <w:rFonts w:ascii="Arial" w:hAnsi="Arial" w:cs="Arial"/>
          <w:b/>
          <w:lang w:val="en-ZA"/>
        </w:rPr>
        <w:t>August</w:t>
      </w:r>
      <w:r w:rsidR="0013137F">
        <w:rPr>
          <w:rFonts w:ascii="Arial" w:hAnsi="Arial" w:cs="Arial"/>
          <w:b/>
          <w:lang w:val="en-ZA"/>
        </w:rPr>
        <w:t xml:space="preserve"> 201</w:t>
      </w:r>
      <w:r w:rsidR="00167CE5">
        <w:rPr>
          <w:rFonts w:ascii="Arial" w:hAnsi="Arial" w:cs="Arial"/>
          <w:b/>
          <w:lang w:val="en-ZA"/>
        </w:rPr>
        <w:t>7</w:t>
      </w:r>
    </w:p>
    <w:p w:rsidR="00635D4F" w:rsidRDefault="00635D4F" w:rsidP="00CA4466">
      <w:pPr>
        <w:spacing w:line="360" w:lineRule="auto"/>
        <w:jc w:val="both"/>
        <w:rPr>
          <w:rFonts w:ascii="Arial" w:hAnsi="Arial" w:cs="Arial"/>
          <w:lang w:val="en-ZA"/>
        </w:rPr>
      </w:pPr>
    </w:p>
    <w:p w:rsidR="002C086D" w:rsidRDefault="002C086D" w:rsidP="002C086D">
      <w:pPr>
        <w:spacing w:line="360" w:lineRule="auto"/>
        <w:jc w:val="both"/>
        <w:rPr>
          <w:rFonts w:ascii="Arial" w:hAnsi="Arial" w:cs="Arial"/>
          <w:lang w:val="en-US"/>
        </w:rPr>
      </w:pPr>
      <w:r>
        <w:rPr>
          <w:rFonts w:ascii="Arial" w:hAnsi="Arial" w:cs="Arial"/>
          <w:b/>
          <w:lang w:val="en-US"/>
        </w:rPr>
        <w:t>Flynote:</w:t>
      </w:r>
      <w:r>
        <w:rPr>
          <w:rFonts w:ascii="Arial" w:hAnsi="Arial" w:cs="Arial"/>
          <w:b/>
          <w:lang w:val="en-US"/>
        </w:rPr>
        <w:tab/>
      </w:r>
      <w:r>
        <w:rPr>
          <w:rFonts w:ascii="Arial" w:hAnsi="Arial" w:cs="Arial"/>
          <w:lang w:val="en-US"/>
        </w:rPr>
        <w:t xml:space="preserve">Criminal Procedure – Appeal – Sentence – Appellants convicted on pleas of guilty – Eight counts of possession of suspected </w:t>
      </w:r>
      <w:r w:rsidR="00EB3562">
        <w:rPr>
          <w:rFonts w:ascii="Arial" w:hAnsi="Arial" w:cs="Arial"/>
          <w:lang w:val="en-US"/>
        </w:rPr>
        <w:t xml:space="preserve">stolen </w:t>
      </w:r>
      <w:r>
        <w:rPr>
          <w:rFonts w:ascii="Arial" w:hAnsi="Arial" w:cs="Arial"/>
          <w:lang w:val="en-US"/>
        </w:rPr>
        <w:t xml:space="preserve">property – Essentially duplication of convictions – Appellants not appealing convictions – Appellants in pleas of guilty admitted to theft of goods found in their possession – Trial court placed too much emphasis on the appellants’ admission that they had stolen the goods  – Court in sentencing only </w:t>
      </w:r>
      <w:r>
        <w:rPr>
          <w:rFonts w:ascii="Arial" w:hAnsi="Arial" w:cs="Arial"/>
          <w:lang w:val="en-US"/>
        </w:rPr>
        <w:lastRenderedPageBreak/>
        <w:t>mentioned the appellants’ mitigating factors – No indication as to the weight accorded to the mitigating factors placed before court –Court did not apply its mind to those factors on record favorable to the appellants – Constituted misdirection – Sentence is excessive and induces a sense of shock – Sentence set aside and substituted with a balanced and suitable sentence.</w:t>
      </w:r>
    </w:p>
    <w:p w:rsidR="002C086D" w:rsidRDefault="002C086D" w:rsidP="002C086D">
      <w:pPr>
        <w:spacing w:line="360" w:lineRule="auto"/>
        <w:jc w:val="both"/>
        <w:rPr>
          <w:rFonts w:ascii="Arial" w:hAnsi="Arial" w:cs="Arial"/>
          <w:lang w:val="en-US"/>
        </w:rPr>
      </w:pPr>
    </w:p>
    <w:p w:rsidR="002C086D" w:rsidRDefault="002C086D" w:rsidP="002C086D">
      <w:pPr>
        <w:spacing w:line="360" w:lineRule="auto"/>
        <w:jc w:val="both"/>
      </w:pPr>
      <w:r>
        <w:rPr>
          <w:rFonts w:ascii="Arial" w:hAnsi="Arial" w:cs="Arial"/>
          <w:b/>
          <w:lang w:val="en-US"/>
        </w:rPr>
        <w:t>Summary:</w:t>
      </w:r>
      <w:r>
        <w:rPr>
          <w:rFonts w:ascii="Arial" w:hAnsi="Arial" w:cs="Arial"/>
          <w:lang w:val="en-US"/>
        </w:rPr>
        <w:tab/>
        <w:t>Accused persons were charged with eight counts of possession of suspected stolen property arising from the same incident. During their pleas of guilty they admitted to theft of the goods found with them. The appellants are first offenders and vendors from which they made a living as breadwinners of their families living in Zimbabwe. The court in sentencing considered the prevalence and seriousness of the offence; their admission that they stole the goods and the value of the goods. With general deterrence as the main objective of punishment, each was sentenced to four years imprisonment. Court of appeal held that: (1) it was wrong for the State to formulate and the court to convict on eight different charges on the same set of facts which constituted a duplication of convictions. The court however, cannot pronounce itself on conviction seeing the appellants only appealed against sentence. (2) In consideration of the aggravating factors advanced by the State, the trial court was entitled or justified to impose a custodial sentence. However, in sentencing, there is no indication as to the weight the trial court accorded to the mitigating factors placed before the court. In absence of such weight, it appears that the trial court did not apply its mind to those factors on record, found favorable to the appellants. (3) The trial court misdirected itself when it placed too much emphasis on the appellants’ admissions that they stole the goods and imposed a severe sentence whereas they were charged and convicted on a lesser offence. As a result thereof, the trial court did not exercise its discretion properly which culminated in a sentence that is excessive and induces a sense of shock. Sentence imposed set aside and substituted with a suitable sentence.</w:t>
      </w: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635D4F" w:rsidRDefault="00635D4F" w:rsidP="00210744">
      <w:pPr>
        <w:spacing w:line="360" w:lineRule="auto"/>
        <w:ind w:left="360"/>
        <w:jc w:val="both"/>
        <w:rPr>
          <w:rFonts w:ascii="Arial" w:hAnsi="Arial" w:cs="Arial"/>
          <w:b/>
          <w:u w:val="single"/>
          <w:lang w:val="en-ZA"/>
        </w:rPr>
      </w:pPr>
    </w:p>
    <w:p w:rsidR="006A2F04" w:rsidRDefault="006A2F04" w:rsidP="006A2F04">
      <w:pPr>
        <w:numPr>
          <w:ilvl w:val="0"/>
          <w:numId w:val="2"/>
        </w:numPr>
        <w:spacing w:line="360" w:lineRule="auto"/>
        <w:jc w:val="both"/>
        <w:rPr>
          <w:rFonts w:ascii="Arial" w:hAnsi="Arial" w:cs="Arial"/>
          <w:lang w:val="en-ZA"/>
        </w:rPr>
      </w:pPr>
      <w:r>
        <w:rPr>
          <w:rFonts w:ascii="Arial" w:hAnsi="Arial" w:cs="Arial"/>
          <w:lang w:val="en-ZA"/>
        </w:rPr>
        <w:lastRenderedPageBreak/>
        <w:t>The appeal against sentence is upheld.</w:t>
      </w:r>
    </w:p>
    <w:p w:rsidR="006A2F04" w:rsidRDefault="006A2F04" w:rsidP="006A2F04">
      <w:pPr>
        <w:numPr>
          <w:ilvl w:val="0"/>
          <w:numId w:val="2"/>
        </w:numPr>
        <w:spacing w:line="360" w:lineRule="auto"/>
        <w:jc w:val="both"/>
        <w:rPr>
          <w:rFonts w:ascii="Arial" w:hAnsi="Arial" w:cs="Arial"/>
          <w:lang w:val="en-ZA"/>
        </w:rPr>
      </w:pPr>
      <w:r>
        <w:rPr>
          <w:rFonts w:ascii="Arial" w:hAnsi="Arial" w:cs="Arial"/>
          <w:lang w:val="en-ZA"/>
        </w:rPr>
        <w:t xml:space="preserve">The sentences imposed are set aside and substituted with: </w:t>
      </w:r>
    </w:p>
    <w:p w:rsidR="006A2F04" w:rsidRDefault="006A2F04" w:rsidP="006A2F04">
      <w:pPr>
        <w:spacing w:line="360" w:lineRule="auto"/>
        <w:ind w:left="720"/>
        <w:jc w:val="both"/>
        <w:rPr>
          <w:rFonts w:ascii="Arial" w:hAnsi="Arial" w:cs="Arial"/>
          <w:lang w:val="en-ZA"/>
        </w:rPr>
      </w:pPr>
      <w:r>
        <w:rPr>
          <w:rFonts w:ascii="Arial" w:hAnsi="Arial" w:cs="Arial"/>
          <w:lang w:val="en-ZA"/>
        </w:rPr>
        <w:t>Each accused</w:t>
      </w:r>
      <w:r w:rsidR="00DD2014">
        <w:rPr>
          <w:rFonts w:ascii="Arial" w:hAnsi="Arial" w:cs="Arial"/>
          <w:lang w:val="en-ZA"/>
        </w:rPr>
        <w:t xml:space="preserve"> is sentenced to</w:t>
      </w:r>
      <w:r>
        <w:rPr>
          <w:rFonts w:ascii="Arial" w:hAnsi="Arial" w:cs="Arial"/>
          <w:lang w:val="en-ZA"/>
        </w:rPr>
        <w:t>: 2 years’ imprisonment of which 6 months suspended for a period of 5 years on condition that the accused is not convicted of theft</w:t>
      </w:r>
      <w:r w:rsidR="00DD2014">
        <w:rPr>
          <w:rFonts w:ascii="Arial" w:hAnsi="Arial" w:cs="Arial"/>
          <w:lang w:val="en-ZA"/>
        </w:rPr>
        <w:t>,</w:t>
      </w:r>
      <w:r>
        <w:rPr>
          <w:rFonts w:ascii="Arial" w:hAnsi="Arial" w:cs="Arial"/>
          <w:lang w:val="en-ZA"/>
        </w:rPr>
        <w:t xml:space="preserve"> or in contravention of section 6 of Ordinance 12 of 1956 (Possession of suspected stolen property), committed during the period of suspension.</w:t>
      </w:r>
    </w:p>
    <w:p w:rsidR="006A2F04" w:rsidRDefault="006A2F04" w:rsidP="006A2F04">
      <w:pPr>
        <w:numPr>
          <w:ilvl w:val="0"/>
          <w:numId w:val="2"/>
        </w:numPr>
        <w:spacing w:line="360" w:lineRule="auto"/>
        <w:jc w:val="both"/>
        <w:rPr>
          <w:rFonts w:ascii="Arial" w:hAnsi="Arial" w:cs="Arial"/>
          <w:lang w:val="en-ZA"/>
        </w:rPr>
      </w:pPr>
      <w:r>
        <w:rPr>
          <w:rFonts w:ascii="Arial" w:hAnsi="Arial" w:cs="Arial"/>
          <w:lang w:val="en-ZA"/>
        </w:rPr>
        <w:t>The sentences are antedated to 13 September 2016.</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27593E" w:rsidP="00176493">
      <w:pPr>
        <w:spacing w:line="360" w:lineRule="auto"/>
        <w:jc w:val="both"/>
        <w:rPr>
          <w:rFonts w:ascii="Arial" w:hAnsi="Arial" w:cs="Arial"/>
          <w:lang w:val="en-ZA"/>
        </w:rPr>
      </w:pPr>
      <w:r>
        <w:rPr>
          <w:rFonts w:ascii="Arial" w:hAnsi="Arial" w:cs="Arial"/>
          <w:lang w:val="en-ZA"/>
        </w:rPr>
        <w:t>LIEBENBERG J (NDAUENDAPO</w:t>
      </w:r>
      <w:r w:rsidR="00E13B0E" w:rsidRPr="004251BB">
        <w:rPr>
          <w:rFonts w:ascii="Arial" w:hAnsi="Arial" w:cs="Arial"/>
          <w:lang w:val="en-ZA"/>
        </w:rPr>
        <w:t xml:space="preserve"> J concurring):</w:t>
      </w:r>
      <w:r w:rsidR="00033F3F" w:rsidRPr="004251BB">
        <w:rPr>
          <w:rFonts w:ascii="Arial" w:hAnsi="Arial" w:cs="Arial"/>
          <w:lang w:val="en-ZA"/>
        </w:rPr>
        <w:t xml:space="preserve">    </w:t>
      </w:r>
    </w:p>
    <w:p w:rsidR="00E13B0E" w:rsidRDefault="00E13B0E" w:rsidP="00176493">
      <w:pPr>
        <w:spacing w:line="360" w:lineRule="auto"/>
        <w:jc w:val="both"/>
        <w:rPr>
          <w:rFonts w:ascii="Arial" w:hAnsi="Arial" w:cs="Arial"/>
          <w:lang w:val="en-ZA"/>
        </w:rPr>
      </w:pPr>
    </w:p>
    <w:p w:rsidR="008365DA"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A87EF8">
        <w:rPr>
          <w:rFonts w:ascii="Arial" w:hAnsi="Arial" w:cs="Arial"/>
          <w:lang w:val="en-ZA"/>
        </w:rPr>
        <w:t xml:space="preserve">  </w:t>
      </w:r>
      <w:r w:rsidR="0027593E">
        <w:rPr>
          <w:rFonts w:ascii="Arial" w:hAnsi="Arial" w:cs="Arial"/>
          <w:lang w:val="en-ZA"/>
        </w:rPr>
        <w:t xml:space="preserve">In this appeal the appellants were convicted on eight counts of contravening s 6 of Ordinance 12 of 1956 (possession of suspected stolen property) and each sentenced to 48 months’ imprisonment of which 12 months suspended on condition of good behaviour. </w:t>
      </w:r>
      <w:r w:rsidR="00DD2014">
        <w:rPr>
          <w:rFonts w:ascii="Arial" w:hAnsi="Arial" w:cs="Arial"/>
          <w:lang w:val="en-ZA"/>
        </w:rPr>
        <w:t>Dissatisfied with the sentences received, appellants lodged their</w:t>
      </w:r>
      <w:r w:rsidR="0027593E">
        <w:rPr>
          <w:rFonts w:ascii="Arial" w:hAnsi="Arial" w:cs="Arial"/>
          <w:lang w:val="en-ZA"/>
        </w:rPr>
        <w:t xml:space="preserve"> appeal</w:t>
      </w:r>
      <w:r w:rsidR="00686A1A">
        <w:rPr>
          <w:rFonts w:ascii="Arial" w:hAnsi="Arial" w:cs="Arial"/>
          <w:lang w:val="en-ZA"/>
        </w:rPr>
        <w:t xml:space="preserve"> against sentence only.</w:t>
      </w:r>
    </w:p>
    <w:p w:rsidR="00686A1A" w:rsidRDefault="00686A1A" w:rsidP="00176493">
      <w:pPr>
        <w:spacing w:line="360" w:lineRule="auto"/>
        <w:jc w:val="both"/>
        <w:rPr>
          <w:rFonts w:ascii="Arial" w:hAnsi="Arial" w:cs="Arial"/>
          <w:lang w:val="en-ZA"/>
        </w:rPr>
      </w:pPr>
    </w:p>
    <w:p w:rsidR="00686A1A" w:rsidRDefault="00686A1A" w:rsidP="00176493">
      <w:pPr>
        <w:spacing w:line="360" w:lineRule="auto"/>
        <w:jc w:val="both"/>
        <w:rPr>
          <w:rFonts w:ascii="Arial" w:hAnsi="Arial" w:cs="Arial"/>
          <w:lang w:val="en-ZA"/>
        </w:rPr>
      </w:pPr>
      <w:r>
        <w:rPr>
          <w:rFonts w:ascii="Arial" w:hAnsi="Arial" w:cs="Arial"/>
          <w:lang w:val="en-ZA"/>
        </w:rPr>
        <w:t>[2]   Though the appellants filed separate Notices of Appeal, the grounds of appeal articulated in their respective notices are identical and</w:t>
      </w:r>
      <w:r w:rsidR="00341AB3">
        <w:rPr>
          <w:rFonts w:ascii="Arial" w:hAnsi="Arial" w:cs="Arial"/>
          <w:lang w:val="en-ZA"/>
        </w:rPr>
        <w:t xml:space="preserve"> will</w:t>
      </w:r>
      <w:r>
        <w:rPr>
          <w:rFonts w:ascii="Arial" w:hAnsi="Arial" w:cs="Arial"/>
          <w:lang w:val="en-ZA"/>
        </w:rPr>
        <w:t xml:space="preserve"> for purposes of the appeal</w:t>
      </w:r>
      <w:r w:rsidR="001829BC">
        <w:rPr>
          <w:rFonts w:ascii="Arial" w:hAnsi="Arial" w:cs="Arial"/>
          <w:lang w:val="en-ZA"/>
        </w:rPr>
        <w:t xml:space="preserve"> be considered as one</w:t>
      </w:r>
      <w:r>
        <w:rPr>
          <w:rFonts w:ascii="Arial" w:hAnsi="Arial" w:cs="Arial"/>
          <w:lang w:val="en-ZA"/>
        </w:rPr>
        <w:t xml:space="preserve">. </w:t>
      </w:r>
    </w:p>
    <w:p w:rsidR="001829BC" w:rsidRDefault="001829BC" w:rsidP="00176493">
      <w:pPr>
        <w:spacing w:line="360" w:lineRule="auto"/>
        <w:jc w:val="both"/>
        <w:rPr>
          <w:rFonts w:ascii="Arial" w:hAnsi="Arial" w:cs="Arial"/>
          <w:lang w:val="en-ZA"/>
        </w:rPr>
      </w:pPr>
    </w:p>
    <w:p w:rsidR="001829BC" w:rsidRDefault="001829BC" w:rsidP="00176493">
      <w:pPr>
        <w:spacing w:line="360" w:lineRule="auto"/>
        <w:jc w:val="both"/>
        <w:rPr>
          <w:rFonts w:ascii="Arial" w:hAnsi="Arial" w:cs="Arial"/>
          <w:lang w:val="en-ZA"/>
        </w:rPr>
      </w:pPr>
      <w:r>
        <w:rPr>
          <w:rFonts w:ascii="Arial" w:hAnsi="Arial" w:cs="Arial"/>
          <w:lang w:val="en-ZA"/>
        </w:rPr>
        <w:t>[</w:t>
      </w:r>
      <w:r w:rsidR="00DD2014">
        <w:rPr>
          <w:rFonts w:ascii="Arial" w:hAnsi="Arial" w:cs="Arial"/>
          <w:lang w:val="en-ZA"/>
        </w:rPr>
        <w:t>3</w:t>
      </w:r>
      <w:r>
        <w:rPr>
          <w:rFonts w:ascii="Arial" w:hAnsi="Arial" w:cs="Arial"/>
          <w:lang w:val="en-ZA"/>
        </w:rPr>
        <w:t xml:space="preserve">]   In essence the grounds of appeal are the following: The learned magistrate erred by overemphasising the seriousness of the crime whilst giving insufficient weight to the accused persons’ personal circumstances. Both are first offenders and </w:t>
      </w:r>
      <w:r w:rsidR="004C18A4">
        <w:rPr>
          <w:rFonts w:ascii="Arial" w:hAnsi="Arial" w:cs="Arial"/>
          <w:lang w:val="en-ZA"/>
        </w:rPr>
        <w:t>sole breadwinners of</w:t>
      </w:r>
      <w:r>
        <w:rPr>
          <w:rFonts w:ascii="Arial" w:hAnsi="Arial" w:cs="Arial"/>
          <w:lang w:val="en-ZA"/>
        </w:rPr>
        <w:t xml:space="preserve"> </w:t>
      </w:r>
      <w:r w:rsidR="004C18A4">
        <w:rPr>
          <w:rFonts w:ascii="Arial" w:hAnsi="Arial" w:cs="Arial"/>
          <w:lang w:val="en-ZA"/>
        </w:rPr>
        <w:t>five and eight minor children</w:t>
      </w:r>
      <w:r>
        <w:rPr>
          <w:rFonts w:ascii="Arial" w:hAnsi="Arial" w:cs="Arial"/>
          <w:lang w:val="en-ZA"/>
        </w:rPr>
        <w:t xml:space="preserve"> </w:t>
      </w:r>
      <w:r w:rsidR="001C5ED7">
        <w:rPr>
          <w:rFonts w:ascii="Arial" w:hAnsi="Arial" w:cs="Arial"/>
          <w:lang w:val="en-ZA"/>
        </w:rPr>
        <w:t>respective</w:t>
      </w:r>
      <w:r w:rsidR="004C18A4">
        <w:rPr>
          <w:rFonts w:ascii="Arial" w:hAnsi="Arial" w:cs="Arial"/>
          <w:lang w:val="en-ZA"/>
        </w:rPr>
        <w:t>ly</w:t>
      </w:r>
      <w:r w:rsidR="001C5ED7">
        <w:rPr>
          <w:rFonts w:ascii="Arial" w:hAnsi="Arial" w:cs="Arial"/>
          <w:lang w:val="en-ZA"/>
        </w:rPr>
        <w:t xml:space="preserve">. </w:t>
      </w:r>
      <w:r w:rsidR="00AF470C">
        <w:rPr>
          <w:rFonts w:ascii="Arial" w:hAnsi="Arial" w:cs="Arial"/>
          <w:lang w:val="en-ZA"/>
        </w:rPr>
        <w:t>T</w:t>
      </w:r>
      <w:r>
        <w:rPr>
          <w:rFonts w:ascii="Arial" w:hAnsi="Arial" w:cs="Arial"/>
          <w:lang w:val="en-ZA"/>
        </w:rPr>
        <w:t>he property found in their possession were recovered</w:t>
      </w:r>
      <w:r w:rsidR="00AF470C">
        <w:rPr>
          <w:rFonts w:ascii="Arial" w:hAnsi="Arial" w:cs="Arial"/>
          <w:lang w:val="en-ZA"/>
        </w:rPr>
        <w:t xml:space="preserve"> and appellants have</w:t>
      </w:r>
      <w:r>
        <w:rPr>
          <w:rFonts w:ascii="Arial" w:hAnsi="Arial" w:cs="Arial"/>
          <w:lang w:val="en-ZA"/>
        </w:rPr>
        <w:t xml:space="preserve"> pleaded guilty to </w:t>
      </w:r>
      <w:r w:rsidR="001C5ED7">
        <w:rPr>
          <w:rFonts w:ascii="Arial" w:hAnsi="Arial" w:cs="Arial"/>
          <w:lang w:val="en-ZA"/>
        </w:rPr>
        <w:t>all</w:t>
      </w:r>
      <w:r>
        <w:rPr>
          <w:rFonts w:ascii="Arial" w:hAnsi="Arial" w:cs="Arial"/>
          <w:lang w:val="en-ZA"/>
        </w:rPr>
        <w:t xml:space="preserve"> charges.</w:t>
      </w:r>
    </w:p>
    <w:p w:rsidR="001C5ED7" w:rsidRDefault="001C5ED7" w:rsidP="00176493">
      <w:pPr>
        <w:spacing w:line="360" w:lineRule="auto"/>
        <w:jc w:val="both"/>
        <w:rPr>
          <w:rFonts w:ascii="Arial" w:hAnsi="Arial" w:cs="Arial"/>
          <w:lang w:val="en-ZA"/>
        </w:rPr>
      </w:pPr>
    </w:p>
    <w:p w:rsidR="001C5ED7" w:rsidRDefault="001C5ED7" w:rsidP="00176493">
      <w:pPr>
        <w:spacing w:line="360" w:lineRule="auto"/>
        <w:jc w:val="both"/>
        <w:rPr>
          <w:rFonts w:ascii="Arial" w:hAnsi="Arial" w:cs="Arial"/>
          <w:lang w:val="en-ZA"/>
        </w:rPr>
      </w:pPr>
      <w:r>
        <w:rPr>
          <w:rFonts w:ascii="Arial" w:hAnsi="Arial" w:cs="Arial"/>
          <w:lang w:val="en-ZA"/>
        </w:rPr>
        <w:t>[</w:t>
      </w:r>
      <w:r w:rsidR="00341AB3">
        <w:rPr>
          <w:rFonts w:ascii="Arial" w:hAnsi="Arial" w:cs="Arial"/>
          <w:lang w:val="en-ZA"/>
        </w:rPr>
        <w:t>4</w:t>
      </w:r>
      <w:r>
        <w:rPr>
          <w:rFonts w:ascii="Arial" w:hAnsi="Arial" w:cs="Arial"/>
          <w:lang w:val="en-ZA"/>
        </w:rPr>
        <w:t xml:space="preserve">]   </w:t>
      </w:r>
      <w:r w:rsidR="00AF470C">
        <w:rPr>
          <w:rFonts w:ascii="Arial" w:hAnsi="Arial" w:cs="Arial"/>
          <w:lang w:val="en-ZA"/>
        </w:rPr>
        <w:t>In</w:t>
      </w:r>
      <w:r w:rsidR="00C030D8">
        <w:rPr>
          <w:rFonts w:ascii="Arial" w:hAnsi="Arial" w:cs="Arial"/>
          <w:lang w:val="en-ZA"/>
        </w:rPr>
        <w:t xml:space="preserve"> sentencing </w:t>
      </w:r>
      <w:r w:rsidR="00AF470C">
        <w:rPr>
          <w:rFonts w:ascii="Arial" w:hAnsi="Arial" w:cs="Arial"/>
          <w:lang w:val="en-ZA"/>
        </w:rPr>
        <w:t>the court was cognizant</w:t>
      </w:r>
      <w:r w:rsidR="00C030D8">
        <w:rPr>
          <w:rFonts w:ascii="Arial" w:hAnsi="Arial" w:cs="Arial"/>
          <w:lang w:val="en-ZA"/>
        </w:rPr>
        <w:t xml:space="preserve"> of </w:t>
      </w:r>
      <w:r w:rsidR="002C45BA">
        <w:rPr>
          <w:rFonts w:ascii="Arial" w:hAnsi="Arial" w:cs="Arial"/>
          <w:lang w:val="en-ZA"/>
        </w:rPr>
        <w:t>the accused being first offenders; that they</w:t>
      </w:r>
      <w:r w:rsidR="00AF470C">
        <w:rPr>
          <w:rFonts w:ascii="Arial" w:hAnsi="Arial" w:cs="Arial"/>
          <w:lang w:val="en-ZA"/>
        </w:rPr>
        <w:t xml:space="preserve"> are vendors from which they mad</w:t>
      </w:r>
      <w:r w:rsidR="002C45BA">
        <w:rPr>
          <w:rFonts w:ascii="Arial" w:hAnsi="Arial" w:cs="Arial"/>
          <w:lang w:val="en-ZA"/>
        </w:rPr>
        <w:t>e a living a</w:t>
      </w:r>
      <w:r w:rsidR="00AF470C">
        <w:rPr>
          <w:rFonts w:ascii="Arial" w:hAnsi="Arial" w:cs="Arial"/>
          <w:lang w:val="en-ZA"/>
        </w:rPr>
        <w:t>s</w:t>
      </w:r>
      <w:r w:rsidR="002C45BA">
        <w:rPr>
          <w:rFonts w:ascii="Arial" w:hAnsi="Arial" w:cs="Arial"/>
          <w:lang w:val="en-ZA"/>
        </w:rPr>
        <w:t xml:space="preserve"> </w:t>
      </w:r>
      <w:r w:rsidR="002C45BA">
        <w:rPr>
          <w:rFonts w:ascii="Arial" w:hAnsi="Arial" w:cs="Arial"/>
          <w:lang w:val="en-ZA"/>
        </w:rPr>
        <w:lastRenderedPageBreak/>
        <w:t xml:space="preserve">breadwinners of their dependants </w:t>
      </w:r>
      <w:r w:rsidR="00AF470C">
        <w:rPr>
          <w:rFonts w:ascii="Arial" w:hAnsi="Arial" w:cs="Arial"/>
          <w:lang w:val="en-ZA"/>
        </w:rPr>
        <w:t xml:space="preserve">living </w:t>
      </w:r>
      <w:r w:rsidR="002C45BA">
        <w:rPr>
          <w:rFonts w:ascii="Arial" w:hAnsi="Arial" w:cs="Arial"/>
          <w:lang w:val="en-ZA"/>
        </w:rPr>
        <w:t>in Zimbabwe;</w:t>
      </w:r>
      <w:r w:rsidR="004C18A4">
        <w:rPr>
          <w:rFonts w:ascii="Arial" w:hAnsi="Arial" w:cs="Arial"/>
          <w:lang w:val="en-ZA"/>
        </w:rPr>
        <w:t xml:space="preserve"> that they pleaded guilty, and</w:t>
      </w:r>
      <w:r w:rsidR="00AF470C">
        <w:rPr>
          <w:rFonts w:ascii="Arial" w:hAnsi="Arial" w:cs="Arial"/>
          <w:lang w:val="en-ZA"/>
        </w:rPr>
        <w:t xml:space="preserve"> able </w:t>
      </w:r>
      <w:r w:rsidR="002C45BA">
        <w:rPr>
          <w:rFonts w:ascii="Arial" w:hAnsi="Arial" w:cs="Arial"/>
          <w:lang w:val="en-ZA"/>
        </w:rPr>
        <w:t>o</w:t>
      </w:r>
      <w:r w:rsidR="00AF470C">
        <w:rPr>
          <w:rFonts w:ascii="Arial" w:hAnsi="Arial" w:cs="Arial"/>
          <w:lang w:val="en-ZA"/>
        </w:rPr>
        <w:t>f</w:t>
      </w:r>
      <w:r w:rsidR="002C45BA">
        <w:rPr>
          <w:rFonts w:ascii="Arial" w:hAnsi="Arial" w:cs="Arial"/>
          <w:lang w:val="en-ZA"/>
        </w:rPr>
        <w:t xml:space="preserve"> pay</w:t>
      </w:r>
      <w:r w:rsidR="004C18A4">
        <w:rPr>
          <w:rFonts w:ascii="Arial" w:hAnsi="Arial" w:cs="Arial"/>
          <w:lang w:val="en-ZA"/>
        </w:rPr>
        <w:t xml:space="preserve"> fines</w:t>
      </w:r>
      <w:r w:rsidR="002C45BA">
        <w:rPr>
          <w:rFonts w:ascii="Arial" w:hAnsi="Arial" w:cs="Arial"/>
          <w:lang w:val="en-ZA"/>
        </w:rPr>
        <w:t xml:space="preserve"> between N$2 000 and N$2 500 each.</w:t>
      </w:r>
      <w:r w:rsidR="00C030D8">
        <w:rPr>
          <w:rFonts w:ascii="Arial" w:hAnsi="Arial" w:cs="Arial"/>
          <w:lang w:val="en-ZA"/>
        </w:rPr>
        <w:t xml:space="preserve"> </w:t>
      </w:r>
    </w:p>
    <w:p w:rsidR="002C45BA" w:rsidRDefault="002C45BA" w:rsidP="00176493">
      <w:pPr>
        <w:spacing w:line="360" w:lineRule="auto"/>
        <w:jc w:val="both"/>
        <w:rPr>
          <w:rFonts w:ascii="Arial" w:hAnsi="Arial" w:cs="Arial"/>
          <w:lang w:val="en-ZA"/>
        </w:rPr>
      </w:pPr>
    </w:p>
    <w:p w:rsidR="002C45BA" w:rsidRDefault="002C45BA" w:rsidP="00176493">
      <w:pPr>
        <w:spacing w:line="360" w:lineRule="auto"/>
        <w:jc w:val="both"/>
        <w:rPr>
          <w:rFonts w:ascii="Arial" w:hAnsi="Arial" w:cs="Arial"/>
          <w:lang w:val="en-ZA"/>
        </w:rPr>
      </w:pPr>
      <w:r>
        <w:rPr>
          <w:rFonts w:ascii="Arial" w:hAnsi="Arial" w:cs="Arial"/>
          <w:lang w:val="en-ZA"/>
        </w:rPr>
        <w:t>[</w:t>
      </w:r>
      <w:r w:rsidR="00341AB3">
        <w:rPr>
          <w:rFonts w:ascii="Arial" w:hAnsi="Arial" w:cs="Arial"/>
          <w:lang w:val="en-ZA"/>
        </w:rPr>
        <w:t>5</w:t>
      </w:r>
      <w:r>
        <w:rPr>
          <w:rFonts w:ascii="Arial" w:hAnsi="Arial" w:cs="Arial"/>
          <w:lang w:val="en-ZA"/>
        </w:rPr>
        <w:t xml:space="preserve">]   The court </w:t>
      </w:r>
      <w:r w:rsidR="00AF470C">
        <w:rPr>
          <w:rFonts w:ascii="Arial" w:hAnsi="Arial" w:cs="Arial"/>
          <w:lang w:val="en-ZA"/>
        </w:rPr>
        <w:t xml:space="preserve">further </w:t>
      </w:r>
      <w:r w:rsidR="006A5E1B">
        <w:rPr>
          <w:rFonts w:ascii="Arial" w:hAnsi="Arial" w:cs="Arial"/>
          <w:lang w:val="en-ZA"/>
        </w:rPr>
        <w:t>took into account the prevalence of the</w:t>
      </w:r>
      <w:r>
        <w:rPr>
          <w:rFonts w:ascii="Arial" w:hAnsi="Arial" w:cs="Arial"/>
          <w:lang w:val="en-ZA"/>
        </w:rPr>
        <w:t xml:space="preserve"> offence of possession of suspected stolen property</w:t>
      </w:r>
      <w:r w:rsidR="006A5E1B">
        <w:rPr>
          <w:rFonts w:ascii="Arial" w:hAnsi="Arial" w:cs="Arial"/>
          <w:lang w:val="en-ZA"/>
        </w:rPr>
        <w:t xml:space="preserve"> and that it was serious, moreover, where the appellants in this instance admitted having actually stolen the goods found in their possession. Regard was also had to the fact that they were </w:t>
      </w:r>
      <w:r w:rsidR="00F62BC6">
        <w:rPr>
          <w:rFonts w:ascii="Arial" w:hAnsi="Arial" w:cs="Arial"/>
          <w:lang w:val="en-ZA"/>
        </w:rPr>
        <w:t>in possession of</w:t>
      </w:r>
      <w:r w:rsidR="006A5E1B">
        <w:rPr>
          <w:rFonts w:ascii="Arial" w:hAnsi="Arial" w:cs="Arial"/>
          <w:lang w:val="en-ZA"/>
        </w:rPr>
        <w:t xml:space="preserve"> a considerable </w:t>
      </w:r>
      <w:r w:rsidR="00AF470C">
        <w:rPr>
          <w:rFonts w:ascii="Arial" w:hAnsi="Arial" w:cs="Arial"/>
          <w:lang w:val="en-ZA"/>
        </w:rPr>
        <w:t>quantity</w:t>
      </w:r>
      <w:r w:rsidR="00F62BC6">
        <w:rPr>
          <w:rFonts w:ascii="Arial" w:hAnsi="Arial" w:cs="Arial"/>
          <w:lang w:val="en-ZA"/>
        </w:rPr>
        <w:t xml:space="preserve"> of goods</w:t>
      </w:r>
      <w:r w:rsidR="006A5E1B">
        <w:rPr>
          <w:rFonts w:ascii="Arial" w:hAnsi="Arial" w:cs="Arial"/>
          <w:lang w:val="en-ZA"/>
        </w:rPr>
        <w:t xml:space="preserve"> valued at N$17 721.45.</w:t>
      </w:r>
      <w:r w:rsidR="00AF470C">
        <w:rPr>
          <w:rFonts w:ascii="Arial" w:hAnsi="Arial" w:cs="Arial"/>
          <w:lang w:val="en-ZA"/>
        </w:rPr>
        <w:t xml:space="preserve"> From a reading of the court’s reasons on sentence, it is evident that general deterrence was the main objective of punishment</w:t>
      </w:r>
      <w:r w:rsidR="00F62BC6">
        <w:rPr>
          <w:rFonts w:ascii="Arial" w:hAnsi="Arial" w:cs="Arial"/>
          <w:lang w:val="en-ZA"/>
        </w:rPr>
        <w:t>, culminating</w:t>
      </w:r>
      <w:r w:rsidR="00335BDA">
        <w:rPr>
          <w:rFonts w:ascii="Arial" w:hAnsi="Arial" w:cs="Arial"/>
          <w:lang w:val="en-ZA"/>
        </w:rPr>
        <w:t xml:space="preserve"> in direct imprisonment being imposed.</w:t>
      </w:r>
      <w:r w:rsidR="00F62BC6">
        <w:rPr>
          <w:rFonts w:ascii="Arial" w:hAnsi="Arial" w:cs="Arial"/>
          <w:lang w:val="en-ZA"/>
        </w:rPr>
        <w:t xml:space="preserve"> The court </w:t>
      </w:r>
      <w:r w:rsidR="00BB263B">
        <w:rPr>
          <w:rFonts w:ascii="Arial" w:hAnsi="Arial" w:cs="Arial"/>
          <w:i/>
          <w:lang w:val="en-ZA"/>
        </w:rPr>
        <w:t xml:space="preserve">a quo </w:t>
      </w:r>
      <w:r w:rsidR="00F62BC6">
        <w:rPr>
          <w:rFonts w:ascii="Arial" w:hAnsi="Arial" w:cs="Arial"/>
          <w:lang w:val="en-ZA"/>
        </w:rPr>
        <w:t xml:space="preserve">was further of the view that the appellants were remorseful when </w:t>
      </w:r>
      <w:r w:rsidR="00BB263B">
        <w:rPr>
          <w:rFonts w:ascii="Arial" w:hAnsi="Arial" w:cs="Arial"/>
          <w:lang w:val="en-ZA"/>
        </w:rPr>
        <w:t xml:space="preserve">asking the </w:t>
      </w:r>
      <w:r w:rsidR="00341AB3">
        <w:rPr>
          <w:rFonts w:ascii="Arial" w:hAnsi="Arial" w:cs="Arial"/>
          <w:lang w:val="en-ZA"/>
        </w:rPr>
        <w:t>court to show mercy upon them.</w:t>
      </w:r>
    </w:p>
    <w:p w:rsidR="00F62BC6" w:rsidRDefault="00F62BC6" w:rsidP="00176493">
      <w:pPr>
        <w:spacing w:line="360" w:lineRule="auto"/>
        <w:jc w:val="both"/>
        <w:rPr>
          <w:rFonts w:ascii="Arial" w:hAnsi="Arial" w:cs="Arial"/>
          <w:lang w:val="en-ZA"/>
        </w:rPr>
      </w:pPr>
    </w:p>
    <w:p w:rsidR="00F62BC6" w:rsidRDefault="00F62BC6" w:rsidP="00176493">
      <w:pPr>
        <w:spacing w:line="360" w:lineRule="auto"/>
        <w:jc w:val="both"/>
        <w:rPr>
          <w:rFonts w:ascii="Arial" w:hAnsi="Arial" w:cs="Arial"/>
          <w:lang w:val="en-ZA"/>
        </w:rPr>
      </w:pPr>
      <w:r>
        <w:rPr>
          <w:rFonts w:ascii="Arial" w:hAnsi="Arial" w:cs="Arial"/>
          <w:lang w:val="en-ZA"/>
        </w:rPr>
        <w:t>[</w:t>
      </w:r>
      <w:r w:rsidR="00341AB3">
        <w:rPr>
          <w:rFonts w:ascii="Arial" w:hAnsi="Arial" w:cs="Arial"/>
          <w:lang w:val="en-ZA"/>
        </w:rPr>
        <w:t>6</w:t>
      </w:r>
      <w:r>
        <w:rPr>
          <w:rFonts w:ascii="Arial" w:hAnsi="Arial" w:cs="Arial"/>
          <w:lang w:val="en-ZA"/>
        </w:rPr>
        <w:t>]   The magistrate in response to the appeal lodged, did not advance any additional reasons.</w:t>
      </w:r>
    </w:p>
    <w:p w:rsidR="00335BDA" w:rsidRDefault="00335BDA" w:rsidP="00176493">
      <w:pPr>
        <w:spacing w:line="360" w:lineRule="auto"/>
        <w:jc w:val="both"/>
        <w:rPr>
          <w:rFonts w:ascii="Arial" w:hAnsi="Arial" w:cs="Arial"/>
          <w:lang w:val="en-ZA"/>
        </w:rPr>
      </w:pPr>
    </w:p>
    <w:p w:rsidR="00F62BC6" w:rsidRDefault="00335BDA" w:rsidP="00F62BC6">
      <w:pPr>
        <w:spacing w:line="360" w:lineRule="auto"/>
        <w:jc w:val="both"/>
        <w:rPr>
          <w:rFonts w:ascii="Arial" w:hAnsi="Arial" w:cs="Arial"/>
          <w:lang w:val="en-ZA"/>
        </w:rPr>
      </w:pPr>
      <w:r>
        <w:rPr>
          <w:rFonts w:ascii="Arial" w:hAnsi="Arial" w:cs="Arial"/>
          <w:lang w:val="en-ZA"/>
        </w:rPr>
        <w:t>[</w:t>
      </w:r>
      <w:r w:rsidR="00341AB3">
        <w:rPr>
          <w:rFonts w:ascii="Arial" w:hAnsi="Arial" w:cs="Arial"/>
          <w:lang w:val="en-ZA"/>
        </w:rPr>
        <w:t>7</w:t>
      </w:r>
      <w:r>
        <w:rPr>
          <w:rFonts w:ascii="Arial" w:hAnsi="Arial" w:cs="Arial"/>
          <w:lang w:val="en-ZA"/>
        </w:rPr>
        <w:t xml:space="preserve">]   </w:t>
      </w:r>
      <w:r w:rsidR="00F62BC6">
        <w:rPr>
          <w:rFonts w:ascii="Arial" w:hAnsi="Arial" w:cs="Arial"/>
          <w:lang w:val="en-ZA"/>
        </w:rPr>
        <w:t>It is settled law that a court of appeal can only interfere with the sentence imposed by the trial court if it is satisfied that that court did not exercise its discretion judiciously or properly, either misdirecting itself on the facts material to sentencing or on legal principles relevant thereto.</w:t>
      </w:r>
      <w:r w:rsidR="00F62BC6">
        <w:rPr>
          <w:rStyle w:val="FootnoteReference"/>
          <w:rFonts w:ascii="Arial" w:hAnsi="Arial" w:cs="Arial"/>
          <w:lang w:val="en-ZA"/>
        </w:rPr>
        <w:footnoteReference w:id="1"/>
      </w:r>
      <w:r w:rsidR="00F62BC6">
        <w:rPr>
          <w:rFonts w:ascii="Arial" w:hAnsi="Arial" w:cs="Arial"/>
          <w:lang w:val="en-ZA"/>
        </w:rPr>
        <w:t xml:space="preserve"> In circumstances where it could be inferred that the trial court acted unreasonably and the sentence induces a sense of shock, or there exists a disparity between the sentence passed and the sentence the court of appeal would have passed</w:t>
      </w:r>
      <w:r w:rsidR="00552C92">
        <w:rPr>
          <w:rFonts w:ascii="Arial" w:hAnsi="Arial" w:cs="Arial"/>
          <w:lang w:val="en-ZA"/>
        </w:rPr>
        <w:t>,</w:t>
      </w:r>
      <w:r w:rsidR="00F62BC6">
        <w:rPr>
          <w:rFonts w:ascii="Arial" w:hAnsi="Arial" w:cs="Arial"/>
          <w:lang w:val="en-ZA"/>
        </w:rPr>
        <w:t xml:space="preserve"> had it sat as court of first instance, or where the sentence is startlingly or disturbingly inappropriate, interference will be warranted.</w:t>
      </w:r>
    </w:p>
    <w:p w:rsidR="00F62BC6" w:rsidRDefault="00F62BC6" w:rsidP="00F62BC6">
      <w:pPr>
        <w:spacing w:line="360" w:lineRule="auto"/>
        <w:jc w:val="both"/>
        <w:rPr>
          <w:rFonts w:ascii="Arial" w:hAnsi="Arial" w:cs="Arial"/>
          <w:lang w:val="en-ZA"/>
        </w:rPr>
      </w:pPr>
    </w:p>
    <w:p w:rsidR="00F62BC6" w:rsidRDefault="00F62BC6" w:rsidP="00F62BC6">
      <w:pPr>
        <w:spacing w:line="360" w:lineRule="auto"/>
        <w:jc w:val="both"/>
        <w:rPr>
          <w:rFonts w:ascii="Arial" w:hAnsi="Arial" w:cs="Arial"/>
          <w:lang w:val="en-ZA"/>
        </w:rPr>
      </w:pPr>
      <w:r>
        <w:rPr>
          <w:rFonts w:ascii="Arial" w:hAnsi="Arial" w:cs="Arial"/>
          <w:lang w:val="en-ZA"/>
        </w:rPr>
        <w:t>[</w:t>
      </w:r>
      <w:r w:rsidR="00552C92">
        <w:rPr>
          <w:rFonts w:ascii="Arial" w:hAnsi="Arial" w:cs="Arial"/>
          <w:lang w:val="en-ZA"/>
        </w:rPr>
        <w:t>8</w:t>
      </w:r>
      <w:r>
        <w:rPr>
          <w:rFonts w:ascii="Arial" w:hAnsi="Arial" w:cs="Arial"/>
          <w:lang w:val="en-ZA"/>
        </w:rPr>
        <w:t xml:space="preserve">]   </w:t>
      </w:r>
      <w:r w:rsidR="00376F1A">
        <w:rPr>
          <w:rFonts w:ascii="Arial" w:hAnsi="Arial" w:cs="Arial"/>
          <w:lang w:val="en-ZA"/>
        </w:rPr>
        <w:t xml:space="preserve">Though the court briefly summarised the personal circumstances of the appellants and acknowledged </w:t>
      </w:r>
      <w:r w:rsidR="00DE41DD">
        <w:rPr>
          <w:rFonts w:ascii="Arial" w:hAnsi="Arial" w:cs="Arial"/>
          <w:lang w:val="en-ZA"/>
        </w:rPr>
        <w:t xml:space="preserve">the fact </w:t>
      </w:r>
      <w:r w:rsidR="00376F1A">
        <w:rPr>
          <w:rFonts w:ascii="Arial" w:hAnsi="Arial" w:cs="Arial"/>
          <w:lang w:val="en-ZA"/>
        </w:rPr>
        <w:t>that they pleaded guilty, there is no indication as to the weight accorded to the mitigating factors placed before the court. The fact that the appellants were convicted on their own pleas of guilty, coupled with genuine remorse – which the court seemingly found to exist – is in itself</w:t>
      </w:r>
      <w:r w:rsidR="0019413C">
        <w:rPr>
          <w:rFonts w:ascii="Arial" w:hAnsi="Arial" w:cs="Arial"/>
          <w:lang w:val="en-ZA"/>
        </w:rPr>
        <w:t xml:space="preserve"> mitigating factors which should have weighed in their favour at </w:t>
      </w:r>
      <w:r w:rsidR="0019413C">
        <w:rPr>
          <w:rFonts w:ascii="Arial" w:hAnsi="Arial" w:cs="Arial"/>
          <w:lang w:val="en-ZA"/>
        </w:rPr>
        <w:lastRenderedPageBreak/>
        <w:t xml:space="preserve">sentencing. In the absence of reasons showing otherwise, it would appear to us that the court </w:t>
      </w:r>
      <w:r w:rsidR="0019413C">
        <w:rPr>
          <w:rFonts w:ascii="Arial" w:hAnsi="Arial" w:cs="Arial"/>
          <w:i/>
          <w:lang w:val="en-ZA"/>
        </w:rPr>
        <w:t xml:space="preserve">a quo </w:t>
      </w:r>
      <w:r w:rsidR="0019413C">
        <w:rPr>
          <w:rFonts w:ascii="Arial" w:hAnsi="Arial" w:cs="Arial"/>
          <w:lang w:val="en-ZA"/>
        </w:rPr>
        <w:t>did not properly apply its mind to those factors on record favourable to the appellants.</w:t>
      </w:r>
    </w:p>
    <w:p w:rsidR="0019413C" w:rsidRDefault="0019413C" w:rsidP="00F62BC6">
      <w:pPr>
        <w:spacing w:line="360" w:lineRule="auto"/>
        <w:jc w:val="both"/>
        <w:rPr>
          <w:rFonts w:ascii="Arial" w:hAnsi="Arial" w:cs="Arial"/>
          <w:lang w:val="en-ZA"/>
        </w:rPr>
      </w:pPr>
    </w:p>
    <w:p w:rsidR="0019413C" w:rsidRDefault="0019413C" w:rsidP="00F62BC6">
      <w:pPr>
        <w:spacing w:line="360" w:lineRule="auto"/>
        <w:jc w:val="both"/>
        <w:rPr>
          <w:rFonts w:ascii="Arial" w:hAnsi="Arial" w:cs="Arial"/>
          <w:lang w:val="en-ZA"/>
        </w:rPr>
      </w:pPr>
      <w:r>
        <w:rPr>
          <w:rFonts w:ascii="Arial" w:hAnsi="Arial" w:cs="Arial"/>
          <w:lang w:val="en-ZA"/>
        </w:rPr>
        <w:t>[</w:t>
      </w:r>
      <w:r w:rsidR="00552C92">
        <w:rPr>
          <w:rFonts w:ascii="Arial" w:hAnsi="Arial" w:cs="Arial"/>
          <w:lang w:val="en-ZA"/>
        </w:rPr>
        <w:t>9</w:t>
      </w:r>
      <w:r>
        <w:rPr>
          <w:rFonts w:ascii="Arial" w:hAnsi="Arial" w:cs="Arial"/>
          <w:lang w:val="en-ZA"/>
        </w:rPr>
        <w:t xml:space="preserve">]   Regarding their convictions on eight counts of being </w:t>
      </w:r>
      <w:r w:rsidR="00FC2BED">
        <w:rPr>
          <w:rFonts w:ascii="Arial" w:hAnsi="Arial" w:cs="Arial"/>
          <w:lang w:val="en-ZA"/>
        </w:rPr>
        <w:t xml:space="preserve">found </w:t>
      </w:r>
      <w:r>
        <w:rPr>
          <w:rFonts w:ascii="Arial" w:hAnsi="Arial" w:cs="Arial"/>
          <w:lang w:val="en-ZA"/>
        </w:rPr>
        <w:t xml:space="preserve">in possession of suspected stolen property, the court took into account that the appellants admitted having stolen the property from different shops and by selling same to </w:t>
      </w:r>
      <w:r w:rsidR="00FC2BED">
        <w:rPr>
          <w:rFonts w:ascii="Arial" w:hAnsi="Arial" w:cs="Arial"/>
          <w:lang w:val="en-ZA"/>
        </w:rPr>
        <w:t>unexpected customers, made a profit from their criminal behaviour. The opinion was expressed that there is a need to protect shop owners and the community against such behaviour.</w:t>
      </w:r>
      <w:r w:rsidR="00DE41DD">
        <w:rPr>
          <w:rFonts w:ascii="Arial" w:hAnsi="Arial" w:cs="Arial"/>
          <w:lang w:val="en-ZA"/>
        </w:rPr>
        <w:t xml:space="preserve"> From the court </w:t>
      </w:r>
      <w:r w:rsidR="00DE41DD">
        <w:rPr>
          <w:rFonts w:ascii="Arial" w:hAnsi="Arial" w:cs="Arial"/>
          <w:i/>
          <w:lang w:val="en-ZA"/>
        </w:rPr>
        <w:t xml:space="preserve">a quo’s </w:t>
      </w:r>
      <w:r w:rsidR="00DE41DD">
        <w:rPr>
          <w:rFonts w:ascii="Arial" w:hAnsi="Arial" w:cs="Arial"/>
          <w:lang w:val="en-ZA"/>
        </w:rPr>
        <w:t>reasoning it</w:t>
      </w:r>
      <w:r w:rsidR="00DE41DD">
        <w:rPr>
          <w:rFonts w:ascii="Arial" w:hAnsi="Arial" w:cs="Arial"/>
          <w:i/>
          <w:lang w:val="en-ZA"/>
        </w:rPr>
        <w:t xml:space="preserve"> </w:t>
      </w:r>
      <w:r w:rsidR="00DE41DD">
        <w:rPr>
          <w:rFonts w:ascii="Arial" w:hAnsi="Arial" w:cs="Arial"/>
          <w:lang w:val="en-ZA"/>
        </w:rPr>
        <w:t>clearly regarded the fact that the appellants admitted having stolen the goods found in their possessio</w:t>
      </w:r>
      <w:r w:rsidR="00F41D44">
        <w:rPr>
          <w:rFonts w:ascii="Arial" w:hAnsi="Arial" w:cs="Arial"/>
          <w:lang w:val="en-ZA"/>
        </w:rPr>
        <w:t>n to be aggravating</w:t>
      </w:r>
      <w:r w:rsidR="00DC297C">
        <w:rPr>
          <w:rFonts w:ascii="Arial" w:hAnsi="Arial" w:cs="Arial"/>
          <w:lang w:val="en-ZA"/>
        </w:rPr>
        <w:t xml:space="preserve">. </w:t>
      </w:r>
      <w:r w:rsidR="00F41D44">
        <w:rPr>
          <w:rFonts w:ascii="Arial" w:hAnsi="Arial" w:cs="Arial"/>
          <w:lang w:val="en-ZA"/>
        </w:rPr>
        <w:t>It should be borne in mind that</w:t>
      </w:r>
      <w:r w:rsidR="00DC297C">
        <w:rPr>
          <w:rFonts w:ascii="Arial" w:hAnsi="Arial" w:cs="Arial"/>
          <w:lang w:val="en-ZA"/>
        </w:rPr>
        <w:t xml:space="preserve"> the appellants were not c</w:t>
      </w:r>
      <w:r w:rsidR="00F41D44">
        <w:rPr>
          <w:rFonts w:ascii="Arial" w:hAnsi="Arial" w:cs="Arial"/>
          <w:lang w:val="en-ZA"/>
        </w:rPr>
        <w:t>onvicted of</w:t>
      </w:r>
      <w:r w:rsidR="00DC297C">
        <w:rPr>
          <w:rFonts w:ascii="Arial" w:hAnsi="Arial" w:cs="Arial"/>
          <w:lang w:val="en-ZA"/>
        </w:rPr>
        <w:t xml:space="preserve"> theft</w:t>
      </w:r>
      <w:r w:rsidR="00F41D44">
        <w:rPr>
          <w:rFonts w:ascii="Arial" w:hAnsi="Arial" w:cs="Arial"/>
          <w:lang w:val="en-ZA"/>
        </w:rPr>
        <w:t xml:space="preserve"> but the unlawful possession of suspected stolen property, a lesser offence. T</w:t>
      </w:r>
      <w:r w:rsidR="00DC297C">
        <w:rPr>
          <w:rFonts w:ascii="Arial" w:hAnsi="Arial" w:cs="Arial"/>
          <w:lang w:val="en-ZA"/>
        </w:rPr>
        <w:t>he trial court simply placed too much emphasis on the appellan</w:t>
      </w:r>
      <w:r w:rsidR="00552C92">
        <w:rPr>
          <w:rFonts w:ascii="Arial" w:hAnsi="Arial" w:cs="Arial"/>
          <w:lang w:val="en-ZA"/>
        </w:rPr>
        <w:t>ts’ admission that they had</w:t>
      </w:r>
      <w:r w:rsidR="00DC297C">
        <w:rPr>
          <w:rFonts w:ascii="Arial" w:hAnsi="Arial" w:cs="Arial"/>
          <w:lang w:val="en-ZA"/>
        </w:rPr>
        <w:t xml:space="preserve"> stolen the goods and </w:t>
      </w:r>
      <w:r w:rsidR="00552C92">
        <w:rPr>
          <w:rFonts w:ascii="Arial" w:hAnsi="Arial" w:cs="Arial"/>
          <w:lang w:val="en-ZA"/>
        </w:rPr>
        <w:t>resultantly</w:t>
      </w:r>
      <w:r w:rsidR="00DC297C">
        <w:rPr>
          <w:rFonts w:ascii="Arial" w:hAnsi="Arial" w:cs="Arial"/>
          <w:lang w:val="en-ZA"/>
        </w:rPr>
        <w:t xml:space="preserve"> </w:t>
      </w:r>
      <w:r w:rsidR="00F41D44">
        <w:rPr>
          <w:rFonts w:ascii="Arial" w:hAnsi="Arial" w:cs="Arial"/>
          <w:lang w:val="en-ZA"/>
        </w:rPr>
        <w:t>imposed a more severe sentence than what it would have done, had the origin of the goods not been made known</w:t>
      </w:r>
      <w:r w:rsidR="00DC297C">
        <w:rPr>
          <w:rFonts w:ascii="Arial" w:hAnsi="Arial" w:cs="Arial"/>
          <w:lang w:val="en-ZA"/>
        </w:rPr>
        <w:t xml:space="preserve">. </w:t>
      </w:r>
      <w:r w:rsidR="00F41D44">
        <w:rPr>
          <w:rFonts w:ascii="Arial" w:hAnsi="Arial" w:cs="Arial"/>
          <w:lang w:val="en-ZA"/>
        </w:rPr>
        <w:t>By so doing the trial court misdirected itself.</w:t>
      </w:r>
    </w:p>
    <w:p w:rsidR="00F41D44" w:rsidRDefault="00F41D44" w:rsidP="00F62BC6">
      <w:pPr>
        <w:spacing w:line="360" w:lineRule="auto"/>
        <w:jc w:val="both"/>
        <w:rPr>
          <w:rFonts w:ascii="Arial" w:hAnsi="Arial" w:cs="Arial"/>
          <w:lang w:val="en-ZA"/>
        </w:rPr>
      </w:pPr>
    </w:p>
    <w:p w:rsidR="00F41D44" w:rsidRDefault="00F41D44" w:rsidP="00F62BC6">
      <w:pPr>
        <w:spacing w:line="360" w:lineRule="auto"/>
        <w:jc w:val="both"/>
        <w:rPr>
          <w:rFonts w:ascii="Arial" w:hAnsi="Arial" w:cs="Arial"/>
          <w:lang w:val="en-ZA"/>
        </w:rPr>
      </w:pPr>
      <w:r>
        <w:rPr>
          <w:rFonts w:ascii="Arial" w:hAnsi="Arial" w:cs="Arial"/>
          <w:lang w:val="en-ZA"/>
        </w:rPr>
        <w:t>[</w:t>
      </w:r>
      <w:r w:rsidR="00552C92">
        <w:rPr>
          <w:rFonts w:ascii="Arial" w:hAnsi="Arial" w:cs="Arial"/>
          <w:lang w:val="en-ZA"/>
        </w:rPr>
        <w:t>10</w:t>
      </w:r>
      <w:r>
        <w:rPr>
          <w:rFonts w:ascii="Arial" w:hAnsi="Arial" w:cs="Arial"/>
          <w:lang w:val="en-ZA"/>
        </w:rPr>
        <w:t xml:space="preserve">]   </w:t>
      </w:r>
      <w:r w:rsidR="004F0A2D">
        <w:rPr>
          <w:rFonts w:ascii="Arial" w:hAnsi="Arial" w:cs="Arial"/>
          <w:lang w:val="en-ZA"/>
        </w:rPr>
        <w:t xml:space="preserve">I pause to reflect on the charges preferred against the appellants. Each of the eight counts against the appellants relate to a single incident </w:t>
      </w:r>
      <w:r w:rsidR="00552C92">
        <w:rPr>
          <w:rFonts w:ascii="Arial" w:hAnsi="Arial" w:cs="Arial"/>
          <w:lang w:val="en-ZA"/>
        </w:rPr>
        <w:t xml:space="preserve">on 01 September 2016 </w:t>
      </w:r>
      <w:r w:rsidR="004F0A2D">
        <w:rPr>
          <w:rFonts w:ascii="Arial" w:hAnsi="Arial" w:cs="Arial"/>
          <w:lang w:val="en-ZA"/>
        </w:rPr>
        <w:t>when they were found in possession of suspected stolen property. It would appear that</w:t>
      </w:r>
      <w:r w:rsidR="00552C92">
        <w:rPr>
          <w:rFonts w:ascii="Arial" w:hAnsi="Arial" w:cs="Arial"/>
          <w:lang w:val="en-ZA"/>
        </w:rPr>
        <w:t>,</w:t>
      </w:r>
      <w:r w:rsidR="004F0A2D">
        <w:rPr>
          <w:rFonts w:ascii="Arial" w:hAnsi="Arial" w:cs="Arial"/>
          <w:lang w:val="en-ZA"/>
        </w:rPr>
        <w:t xml:space="preserve"> from information provided by the appellants as to how the goods cam</w:t>
      </w:r>
      <w:r w:rsidR="00552C92">
        <w:rPr>
          <w:rFonts w:ascii="Arial" w:hAnsi="Arial" w:cs="Arial"/>
          <w:lang w:val="en-ZA"/>
        </w:rPr>
        <w:t>e into their possession and they</w:t>
      </w:r>
      <w:r w:rsidR="004F0A2D">
        <w:rPr>
          <w:rFonts w:ascii="Arial" w:hAnsi="Arial" w:cs="Arial"/>
          <w:lang w:val="en-ZA"/>
        </w:rPr>
        <w:t xml:space="preserve"> admitting having stolen it from various shops, the prosecution decided </w:t>
      </w:r>
      <w:r w:rsidR="00552C92">
        <w:rPr>
          <w:rFonts w:ascii="Arial" w:hAnsi="Arial" w:cs="Arial"/>
          <w:lang w:val="en-ZA"/>
        </w:rPr>
        <w:t>to formulate multiple charges which</w:t>
      </w:r>
      <w:r w:rsidR="004F0A2D">
        <w:rPr>
          <w:rFonts w:ascii="Arial" w:hAnsi="Arial" w:cs="Arial"/>
          <w:lang w:val="en-ZA"/>
        </w:rPr>
        <w:t xml:space="preserve"> </w:t>
      </w:r>
      <w:r w:rsidR="00552C92">
        <w:rPr>
          <w:rFonts w:ascii="Arial" w:hAnsi="Arial" w:cs="Arial"/>
          <w:lang w:val="en-ZA"/>
        </w:rPr>
        <w:t>would have been proper, had they committed</w:t>
      </w:r>
      <w:r w:rsidR="004F0A2D">
        <w:rPr>
          <w:rFonts w:ascii="Arial" w:hAnsi="Arial" w:cs="Arial"/>
          <w:lang w:val="en-ZA"/>
        </w:rPr>
        <w:t xml:space="preserve"> theft. This </w:t>
      </w:r>
      <w:r w:rsidR="00552C92">
        <w:rPr>
          <w:rFonts w:ascii="Arial" w:hAnsi="Arial" w:cs="Arial"/>
          <w:lang w:val="en-ZA"/>
        </w:rPr>
        <w:t>was clearly wrong because,</w:t>
      </w:r>
      <w:r w:rsidR="00E22DE1">
        <w:rPr>
          <w:rFonts w:ascii="Arial" w:hAnsi="Arial" w:cs="Arial"/>
          <w:lang w:val="en-ZA"/>
        </w:rPr>
        <w:t xml:space="preserve"> if the State was in possession of evidence that could prove the different </w:t>
      </w:r>
      <w:r w:rsidR="00552C92">
        <w:rPr>
          <w:rFonts w:ascii="Arial" w:hAnsi="Arial" w:cs="Arial"/>
          <w:lang w:val="en-ZA"/>
        </w:rPr>
        <w:t xml:space="preserve">incidents </w:t>
      </w:r>
      <w:r w:rsidR="00E22DE1">
        <w:rPr>
          <w:rFonts w:ascii="Arial" w:hAnsi="Arial" w:cs="Arial"/>
          <w:lang w:val="en-ZA"/>
        </w:rPr>
        <w:t>of th</w:t>
      </w:r>
      <w:r w:rsidR="00552C92">
        <w:rPr>
          <w:rFonts w:ascii="Arial" w:hAnsi="Arial" w:cs="Arial"/>
          <w:lang w:val="en-ZA"/>
        </w:rPr>
        <w:t>eft</w:t>
      </w:r>
      <w:r w:rsidR="00E22DE1">
        <w:rPr>
          <w:rFonts w:ascii="Arial" w:hAnsi="Arial" w:cs="Arial"/>
          <w:lang w:val="en-ZA"/>
        </w:rPr>
        <w:t xml:space="preserve"> committed, then they should have charged the appellants accordingly</w:t>
      </w:r>
      <w:r w:rsidR="00552C92">
        <w:rPr>
          <w:rFonts w:ascii="Arial" w:hAnsi="Arial" w:cs="Arial"/>
          <w:lang w:val="en-ZA"/>
        </w:rPr>
        <w:t>,</w:t>
      </w:r>
      <w:r w:rsidR="00E22DE1">
        <w:rPr>
          <w:rFonts w:ascii="Arial" w:hAnsi="Arial" w:cs="Arial"/>
          <w:lang w:val="en-ZA"/>
        </w:rPr>
        <w:t xml:space="preserve"> and not with a lesser offence.</w:t>
      </w:r>
      <w:r w:rsidR="00CE694F">
        <w:rPr>
          <w:rFonts w:ascii="Arial" w:hAnsi="Arial" w:cs="Arial"/>
          <w:lang w:val="en-ZA"/>
        </w:rPr>
        <w:t xml:space="preserve"> To formulate eight different charges against t</w:t>
      </w:r>
      <w:r w:rsidR="00E22DE1">
        <w:rPr>
          <w:rFonts w:ascii="Arial" w:hAnsi="Arial" w:cs="Arial"/>
          <w:lang w:val="en-ZA"/>
        </w:rPr>
        <w:t xml:space="preserve">he appellants </w:t>
      </w:r>
      <w:r w:rsidR="00CE694F">
        <w:rPr>
          <w:rFonts w:ascii="Arial" w:hAnsi="Arial" w:cs="Arial"/>
          <w:lang w:val="en-ZA"/>
        </w:rPr>
        <w:t xml:space="preserve">on the same set of facts constituted a duplication of convictions as the appellants should </w:t>
      </w:r>
      <w:r w:rsidR="00E22DE1">
        <w:rPr>
          <w:rFonts w:ascii="Arial" w:hAnsi="Arial" w:cs="Arial"/>
          <w:lang w:val="en-ZA"/>
        </w:rPr>
        <w:t>have been convicted</w:t>
      </w:r>
      <w:r w:rsidR="00CE694F">
        <w:rPr>
          <w:rFonts w:ascii="Arial" w:hAnsi="Arial" w:cs="Arial"/>
          <w:lang w:val="en-ZA"/>
        </w:rPr>
        <w:t xml:space="preserve"> of </w:t>
      </w:r>
      <w:r w:rsidR="00E22DE1">
        <w:rPr>
          <w:rFonts w:ascii="Arial" w:hAnsi="Arial" w:cs="Arial"/>
          <w:lang w:val="en-ZA"/>
        </w:rPr>
        <w:t xml:space="preserve">only one count of having been found in possession of suspected stolen property. </w:t>
      </w:r>
      <w:r w:rsidR="00CE694F">
        <w:rPr>
          <w:rFonts w:ascii="Arial" w:hAnsi="Arial" w:cs="Arial"/>
          <w:lang w:val="en-ZA"/>
        </w:rPr>
        <w:t xml:space="preserve">Appellants however did not lodge an appeal against conviction and </w:t>
      </w:r>
      <w:r w:rsidR="00161E9D">
        <w:rPr>
          <w:rFonts w:ascii="Arial" w:hAnsi="Arial" w:cs="Arial"/>
          <w:lang w:val="en-ZA"/>
        </w:rPr>
        <w:t>in view of the outcome</w:t>
      </w:r>
      <w:r w:rsidR="008362FA">
        <w:rPr>
          <w:rFonts w:ascii="Arial" w:hAnsi="Arial" w:cs="Arial"/>
          <w:lang w:val="en-ZA"/>
        </w:rPr>
        <w:t xml:space="preserve"> of these proceedings </w:t>
      </w:r>
      <w:r w:rsidR="00CE694F">
        <w:rPr>
          <w:rFonts w:ascii="Arial" w:hAnsi="Arial" w:cs="Arial"/>
          <w:lang w:val="en-ZA"/>
        </w:rPr>
        <w:t xml:space="preserve">there is no </w:t>
      </w:r>
      <w:r w:rsidR="008362FA">
        <w:rPr>
          <w:rFonts w:ascii="Arial" w:hAnsi="Arial" w:cs="Arial"/>
          <w:lang w:val="en-ZA"/>
        </w:rPr>
        <w:t>reason</w:t>
      </w:r>
      <w:r w:rsidR="00CE694F">
        <w:rPr>
          <w:rFonts w:ascii="Arial" w:hAnsi="Arial" w:cs="Arial"/>
          <w:lang w:val="en-ZA"/>
        </w:rPr>
        <w:t xml:space="preserve"> </w:t>
      </w:r>
      <w:r w:rsidR="008362FA">
        <w:rPr>
          <w:rFonts w:ascii="Arial" w:hAnsi="Arial" w:cs="Arial"/>
          <w:lang w:val="en-ZA"/>
        </w:rPr>
        <w:t xml:space="preserve">to </w:t>
      </w:r>
      <w:r w:rsidR="00552C92">
        <w:rPr>
          <w:rFonts w:ascii="Arial" w:hAnsi="Arial" w:cs="Arial"/>
          <w:i/>
          <w:lang w:val="en-ZA"/>
        </w:rPr>
        <w:t xml:space="preserve">mero motu </w:t>
      </w:r>
      <w:r w:rsidR="008362FA">
        <w:rPr>
          <w:rFonts w:ascii="Arial" w:hAnsi="Arial" w:cs="Arial"/>
          <w:lang w:val="en-ZA"/>
        </w:rPr>
        <w:t>upset the convictions</w:t>
      </w:r>
      <w:r w:rsidR="00CE694F">
        <w:rPr>
          <w:rFonts w:ascii="Arial" w:hAnsi="Arial" w:cs="Arial"/>
          <w:lang w:val="en-ZA"/>
        </w:rPr>
        <w:t xml:space="preserve">. </w:t>
      </w:r>
    </w:p>
    <w:p w:rsidR="00161E9D" w:rsidRDefault="00161E9D" w:rsidP="00F62BC6">
      <w:pPr>
        <w:spacing w:line="360" w:lineRule="auto"/>
        <w:jc w:val="both"/>
        <w:rPr>
          <w:rFonts w:ascii="Arial" w:hAnsi="Arial" w:cs="Arial"/>
          <w:lang w:val="en-ZA"/>
        </w:rPr>
      </w:pPr>
    </w:p>
    <w:p w:rsidR="004C18A4" w:rsidRDefault="00161E9D" w:rsidP="004C18A4">
      <w:pPr>
        <w:spacing w:line="360" w:lineRule="auto"/>
        <w:jc w:val="both"/>
        <w:rPr>
          <w:rFonts w:ascii="Arial" w:hAnsi="Arial" w:cs="Arial"/>
          <w:lang w:val="en-ZA"/>
        </w:rPr>
      </w:pPr>
      <w:r>
        <w:rPr>
          <w:rFonts w:ascii="Arial" w:hAnsi="Arial" w:cs="Arial"/>
          <w:lang w:val="en-ZA"/>
        </w:rPr>
        <w:t>[</w:t>
      </w:r>
      <w:r w:rsidR="00552C92">
        <w:rPr>
          <w:rFonts w:ascii="Arial" w:hAnsi="Arial" w:cs="Arial"/>
          <w:lang w:val="en-ZA"/>
        </w:rPr>
        <w:t>11</w:t>
      </w:r>
      <w:r>
        <w:rPr>
          <w:rFonts w:ascii="Arial" w:hAnsi="Arial" w:cs="Arial"/>
          <w:lang w:val="en-ZA"/>
        </w:rPr>
        <w:t xml:space="preserve">]   </w:t>
      </w:r>
      <w:r w:rsidR="00AB3255">
        <w:rPr>
          <w:rFonts w:ascii="Arial" w:hAnsi="Arial" w:cs="Arial"/>
          <w:lang w:val="en-ZA"/>
        </w:rPr>
        <w:t>Though the</w:t>
      </w:r>
      <w:r w:rsidR="008362FA">
        <w:rPr>
          <w:rFonts w:ascii="Arial" w:hAnsi="Arial" w:cs="Arial"/>
          <w:lang w:val="en-ZA"/>
        </w:rPr>
        <w:t xml:space="preserve"> court </w:t>
      </w:r>
      <w:r w:rsidR="00AB3255">
        <w:rPr>
          <w:rFonts w:ascii="Arial" w:hAnsi="Arial" w:cs="Arial"/>
          <w:i/>
          <w:lang w:val="en-ZA"/>
        </w:rPr>
        <w:t xml:space="preserve">a quo </w:t>
      </w:r>
      <w:r w:rsidR="00AB3255">
        <w:rPr>
          <w:rFonts w:ascii="Arial" w:hAnsi="Arial" w:cs="Arial"/>
          <w:lang w:val="en-ZA"/>
        </w:rPr>
        <w:t>summarised the mitigating factors</w:t>
      </w:r>
      <w:r w:rsidR="008362FA">
        <w:rPr>
          <w:rFonts w:ascii="Arial" w:hAnsi="Arial" w:cs="Arial"/>
          <w:lang w:val="en-ZA"/>
        </w:rPr>
        <w:t xml:space="preserve"> and circumstances relevant to sentencing, </w:t>
      </w:r>
      <w:r w:rsidR="00AB3255">
        <w:rPr>
          <w:rFonts w:ascii="Arial" w:hAnsi="Arial" w:cs="Arial"/>
          <w:lang w:val="en-ZA"/>
        </w:rPr>
        <w:t xml:space="preserve">this court, sitting as a court of appeal, is left in the dark as to the weight accorded to those factors considered mitigating. It is not sufficient to merely </w:t>
      </w:r>
      <w:r w:rsidR="00D85862">
        <w:rPr>
          <w:rFonts w:ascii="Arial" w:hAnsi="Arial" w:cs="Arial"/>
          <w:lang w:val="en-ZA"/>
        </w:rPr>
        <w:t xml:space="preserve">mention </w:t>
      </w:r>
      <w:r w:rsidR="00552C92">
        <w:rPr>
          <w:rFonts w:ascii="Arial" w:hAnsi="Arial" w:cs="Arial"/>
          <w:lang w:val="en-ZA"/>
        </w:rPr>
        <w:t>or list the</w:t>
      </w:r>
      <w:r w:rsidR="00AB3255">
        <w:rPr>
          <w:rFonts w:ascii="Arial" w:hAnsi="Arial" w:cs="Arial"/>
          <w:lang w:val="en-ZA"/>
        </w:rPr>
        <w:t xml:space="preserve"> </w:t>
      </w:r>
      <w:r w:rsidR="00552C92">
        <w:rPr>
          <w:rFonts w:ascii="Arial" w:hAnsi="Arial" w:cs="Arial"/>
          <w:lang w:val="en-ZA"/>
        </w:rPr>
        <w:t xml:space="preserve">relevant </w:t>
      </w:r>
      <w:r w:rsidR="00AB3255">
        <w:rPr>
          <w:rFonts w:ascii="Arial" w:hAnsi="Arial" w:cs="Arial"/>
          <w:lang w:val="en-ZA"/>
        </w:rPr>
        <w:t xml:space="preserve">factors </w:t>
      </w:r>
      <w:r w:rsidR="00D85862">
        <w:rPr>
          <w:rFonts w:ascii="Arial" w:hAnsi="Arial" w:cs="Arial"/>
          <w:lang w:val="en-ZA"/>
        </w:rPr>
        <w:t>without giving proper consideration to each</w:t>
      </w:r>
      <w:r w:rsidR="00CB25F2">
        <w:rPr>
          <w:rFonts w:ascii="Arial" w:hAnsi="Arial" w:cs="Arial"/>
          <w:lang w:val="en-ZA"/>
        </w:rPr>
        <w:t xml:space="preserve"> factor</w:t>
      </w:r>
      <w:r w:rsidR="00552C92">
        <w:rPr>
          <w:rFonts w:ascii="Arial" w:hAnsi="Arial" w:cs="Arial"/>
          <w:lang w:val="en-ZA"/>
        </w:rPr>
        <w:t>.</w:t>
      </w:r>
      <w:r w:rsidR="00D85862">
        <w:rPr>
          <w:rFonts w:ascii="Arial" w:hAnsi="Arial" w:cs="Arial"/>
          <w:lang w:val="en-ZA"/>
        </w:rPr>
        <w:t xml:space="preserve"> </w:t>
      </w:r>
      <w:r w:rsidR="00552C92">
        <w:rPr>
          <w:rFonts w:ascii="Arial" w:hAnsi="Arial" w:cs="Arial"/>
          <w:lang w:val="en-ZA"/>
        </w:rPr>
        <w:t>T</w:t>
      </w:r>
      <w:r w:rsidR="00D85862">
        <w:rPr>
          <w:rFonts w:ascii="Arial" w:hAnsi="Arial" w:cs="Arial"/>
          <w:lang w:val="en-ZA"/>
        </w:rPr>
        <w:t>o</w:t>
      </w:r>
      <w:r w:rsidR="00AB3255">
        <w:rPr>
          <w:rFonts w:ascii="Arial" w:hAnsi="Arial" w:cs="Arial"/>
          <w:lang w:val="en-ZA"/>
        </w:rPr>
        <w:t xml:space="preserve"> do so</w:t>
      </w:r>
      <w:r w:rsidR="00D85862">
        <w:rPr>
          <w:rFonts w:ascii="Arial" w:hAnsi="Arial" w:cs="Arial"/>
          <w:lang w:val="en-ZA"/>
        </w:rPr>
        <w:t>,</w:t>
      </w:r>
      <w:r w:rsidR="008362FA">
        <w:rPr>
          <w:rFonts w:ascii="Arial" w:hAnsi="Arial" w:cs="Arial"/>
          <w:lang w:val="en-ZA"/>
        </w:rPr>
        <w:t xml:space="preserve"> unfortunately</w:t>
      </w:r>
      <w:r w:rsidR="00D85862">
        <w:rPr>
          <w:rFonts w:ascii="Arial" w:hAnsi="Arial" w:cs="Arial"/>
          <w:lang w:val="en-ZA"/>
        </w:rPr>
        <w:t>, amounts</w:t>
      </w:r>
      <w:r w:rsidR="008362FA">
        <w:rPr>
          <w:rFonts w:ascii="Arial" w:hAnsi="Arial" w:cs="Arial"/>
          <w:lang w:val="en-ZA"/>
        </w:rPr>
        <w:t xml:space="preserve"> to nothing more than </w:t>
      </w:r>
      <w:r w:rsidR="00AB3255">
        <w:rPr>
          <w:rFonts w:ascii="Arial" w:hAnsi="Arial" w:cs="Arial"/>
          <w:lang w:val="en-ZA"/>
        </w:rPr>
        <w:t xml:space="preserve">merely </w:t>
      </w:r>
      <w:r w:rsidR="008362FA">
        <w:rPr>
          <w:rFonts w:ascii="Arial" w:hAnsi="Arial" w:cs="Arial"/>
          <w:lang w:val="en-ZA"/>
        </w:rPr>
        <w:t>paying lip-service</w:t>
      </w:r>
      <w:r w:rsidR="00D85862">
        <w:rPr>
          <w:rFonts w:ascii="Arial" w:hAnsi="Arial" w:cs="Arial"/>
          <w:lang w:val="en-ZA"/>
        </w:rPr>
        <w:t>. Furthermore, the</w:t>
      </w:r>
      <w:r w:rsidR="00CB25F2">
        <w:rPr>
          <w:rFonts w:ascii="Arial" w:hAnsi="Arial" w:cs="Arial"/>
          <w:lang w:val="en-ZA"/>
        </w:rPr>
        <w:t>re is nothing showing that the</w:t>
      </w:r>
      <w:r w:rsidR="00D85862">
        <w:rPr>
          <w:rFonts w:ascii="Arial" w:hAnsi="Arial" w:cs="Arial"/>
          <w:lang w:val="en-ZA"/>
        </w:rPr>
        <w:t xml:space="preserve"> weight the court</w:t>
      </w:r>
      <w:r w:rsidR="00AB3255">
        <w:rPr>
          <w:rFonts w:ascii="Arial" w:hAnsi="Arial" w:cs="Arial"/>
          <w:lang w:val="en-ZA"/>
        </w:rPr>
        <w:t xml:space="preserve"> ought to have accorded</w:t>
      </w:r>
      <w:r w:rsidR="008362FA">
        <w:rPr>
          <w:rFonts w:ascii="Arial" w:hAnsi="Arial" w:cs="Arial"/>
          <w:lang w:val="en-ZA"/>
        </w:rPr>
        <w:t xml:space="preserve"> </w:t>
      </w:r>
      <w:r w:rsidR="00D85862">
        <w:rPr>
          <w:rFonts w:ascii="Arial" w:hAnsi="Arial" w:cs="Arial"/>
          <w:lang w:val="en-ZA"/>
        </w:rPr>
        <w:t xml:space="preserve">to those factors </w:t>
      </w:r>
      <w:r w:rsidR="00CB25F2">
        <w:rPr>
          <w:rFonts w:ascii="Arial" w:hAnsi="Arial" w:cs="Arial"/>
          <w:lang w:val="en-ZA"/>
        </w:rPr>
        <w:t xml:space="preserve">found </w:t>
      </w:r>
      <w:r w:rsidR="00D85862">
        <w:rPr>
          <w:rFonts w:ascii="Arial" w:hAnsi="Arial" w:cs="Arial"/>
          <w:lang w:val="en-ZA"/>
        </w:rPr>
        <w:t>favourable to the appellants</w:t>
      </w:r>
      <w:r w:rsidR="00CB25F2">
        <w:rPr>
          <w:rFonts w:ascii="Arial" w:hAnsi="Arial" w:cs="Arial"/>
          <w:lang w:val="en-ZA"/>
        </w:rPr>
        <w:t>,</w:t>
      </w:r>
      <w:r w:rsidR="00D85862">
        <w:rPr>
          <w:rFonts w:ascii="Arial" w:hAnsi="Arial" w:cs="Arial"/>
          <w:lang w:val="en-ZA"/>
        </w:rPr>
        <w:t xml:space="preserve"> are </w:t>
      </w:r>
      <w:r w:rsidR="008362FA">
        <w:rPr>
          <w:rFonts w:ascii="Arial" w:hAnsi="Arial" w:cs="Arial"/>
          <w:lang w:val="en-ZA"/>
        </w:rPr>
        <w:t>borne out by the sentence impose</w:t>
      </w:r>
      <w:r w:rsidR="00D85862">
        <w:rPr>
          <w:rFonts w:ascii="Arial" w:hAnsi="Arial" w:cs="Arial"/>
          <w:lang w:val="en-ZA"/>
        </w:rPr>
        <w:t xml:space="preserve">d. This was likely </w:t>
      </w:r>
      <w:r w:rsidR="008362FA">
        <w:rPr>
          <w:rFonts w:ascii="Arial" w:hAnsi="Arial" w:cs="Arial"/>
          <w:lang w:val="en-ZA"/>
        </w:rPr>
        <w:t xml:space="preserve">brought about due to the court </w:t>
      </w:r>
      <w:r w:rsidR="00D85862">
        <w:rPr>
          <w:rFonts w:ascii="Arial" w:hAnsi="Arial" w:cs="Arial"/>
          <w:lang w:val="en-ZA"/>
        </w:rPr>
        <w:t>having over-emphasised</w:t>
      </w:r>
      <w:r w:rsidR="008362FA">
        <w:rPr>
          <w:rFonts w:ascii="Arial" w:hAnsi="Arial" w:cs="Arial"/>
          <w:lang w:val="en-ZA"/>
        </w:rPr>
        <w:t xml:space="preserve"> the seriousness of the offence committed</w:t>
      </w:r>
      <w:r w:rsidR="00D85862">
        <w:rPr>
          <w:rFonts w:ascii="Arial" w:hAnsi="Arial" w:cs="Arial"/>
          <w:lang w:val="en-ZA"/>
        </w:rPr>
        <w:t>,</w:t>
      </w:r>
      <w:r w:rsidR="008362FA">
        <w:rPr>
          <w:rFonts w:ascii="Arial" w:hAnsi="Arial" w:cs="Arial"/>
          <w:lang w:val="en-ZA"/>
        </w:rPr>
        <w:t xml:space="preserve"> and the need to deter would-be </w:t>
      </w:r>
      <w:r w:rsidR="004F5A9F">
        <w:rPr>
          <w:rFonts w:ascii="Arial" w:hAnsi="Arial" w:cs="Arial"/>
          <w:lang w:val="en-ZA"/>
        </w:rPr>
        <w:t>offenders</w:t>
      </w:r>
      <w:r w:rsidR="00D85862">
        <w:rPr>
          <w:rFonts w:ascii="Arial" w:hAnsi="Arial" w:cs="Arial"/>
          <w:lang w:val="en-ZA"/>
        </w:rPr>
        <w:t>, thereby losing</w:t>
      </w:r>
      <w:r w:rsidR="004F5A9F">
        <w:rPr>
          <w:rFonts w:ascii="Arial" w:hAnsi="Arial" w:cs="Arial"/>
          <w:lang w:val="en-ZA"/>
        </w:rPr>
        <w:t xml:space="preserve"> sight of the actual blameworthiness of the appellants.</w:t>
      </w:r>
      <w:r w:rsidR="004F5A9F">
        <w:rPr>
          <w:rStyle w:val="FootnoteReference"/>
          <w:rFonts w:ascii="Arial" w:hAnsi="Arial" w:cs="Arial"/>
          <w:lang w:val="en-ZA"/>
        </w:rPr>
        <w:footnoteReference w:id="2"/>
      </w:r>
      <w:r w:rsidR="004F5A9F">
        <w:rPr>
          <w:rFonts w:ascii="Arial" w:hAnsi="Arial" w:cs="Arial"/>
          <w:lang w:val="en-ZA"/>
        </w:rPr>
        <w:t xml:space="preserve"> </w:t>
      </w:r>
      <w:r w:rsidR="00D85862">
        <w:rPr>
          <w:rFonts w:ascii="Arial" w:hAnsi="Arial" w:cs="Arial"/>
          <w:lang w:val="en-ZA"/>
        </w:rPr>
        <w:t>For the court to</w:t>
      </w:r>
      <w:r w:rsidR="004C18A4">
        <w:rPr>
          <w:rFonts w:ascii="Arial" w:hAnsi="Arial" w:cs="Arial"/>
          <w:lang w:val="en-ZA"/>
        </w:rPr>
        <w:t xml:space="preserve"> </w:t>
      </w:r>
      <w:r w:rsidR="004F5A9F">
        <w:rPr>
          <w:rFonts w:ascii="Arial" w:hAnsi="Arial" w:cs="Arial"/>
          <w:lang w:val="en-ZA"/>
        </w:rPr>
        <w:t xml:space="preserve">have </w:t>
      </w:r>
      <w:r w:rsidR="004C18A4">
        <w:rPr>
          <w:rFonts w:ascii="Arial" w:hAnsi="Arial" w:cs="Arial"/>
          <w:lang w:val="en-ZA"/>
        </w:rPr>
        <w:t>ignore</w:t>
      </w:r>
      <w:r w:rsidR="004F5A9F">
        <w:rPr>
          <w:rFonts w:ascii="Arial" w:hAnsi="Arial" w:cs="Arial"/>
          <w:lang w:val="en-ZA"/>
        </w:rPr>
        <w:t>d or given insufficient weight to</w:t>
      </w:r>
      <w:r w:rsidR="004C18A4">
        <w:rPr>
          <w:rFonts w:ascii="Arial" w:hAnsi="Arial" w:cs="Arial"/>
          <w:lang w:val="en-ZA"/>
        </w:rPr>
        <w:t xml:space="preserve"> circumstances</w:t>
      </w:r>
      <w:r w:rsidR="004F5A9F">
        <w:rPr>
          <w:rFonts w:ascii="Arial" w:hAnsi="Arial" w:cs="Arial"/>
          <w:lang w:val="en-ZA"/>
        </w:rPr>
        <w:t xml:space="preserve"> favourable to the appellants</w:t>
      </w:r>
      <w:r w:rsidR="00D85862">
        <w:rPr>
          <w:rFonts w:ascii="Arial" w:hAnsi="Arial" w:cs="Arial"/>
          <w:lang w:val="en-ZA"/>
        </w:rPr>
        <w:t>,</w:t>
      </w:r>
      <w:r w:rsidR="004F5A9F">
        <w:rPr>
          <w:rFonts w:ascii="Arial" w:hAnsi="Arial" w:cs="Arial"/>
          <w:lang w:val="en-ZA"/>
        </w:rPr>
        <w:t xml:space="preserve"> clearly constituted</w:t>
      </w:r>
      <w:r w:rsidR="004C18A4">
        <w:rPr>
          <w:rFonts w:ascii="Arial" w:hAnsi="Arial" w:cs="Arial"/>
          <w:lang w:val="en-ZA"/>
        </w:rPr>
        <w:t xml:space="preserve"> a misdirection. </w:t>
      </w:r>
    </w:p>
    <w:p w:rsidR="0085512F" w:rsidRDefault="0085512F" w:rsidP="004C18A4">
      <w:pPr>
        <w:spacing w:line="360" w:lineRule="auto"/>
        <w:jc w:val="both"/>
        <w:rPr>
          <w:rFonts w:ascii="Arial" w:hAnsi="Arial" w:cs="Arial"/>
          <w:lang w:val="en-ZA"/>
        </w:rPr>
      </w:pPr>
    </w:p>
    <w:p w:rsidR="0085512F" w:rsidRDefault="0085512F" w:rsidP="004C18A4">
      <w:pPr>
        <w:spacing w:line="360" w:lineRule="auto"/>
        <w:jc w:val="both"/>
        <w:rPr>
          <w:rFonts w:ascii="Arial" w:hAnsi="Arial" w:cs="Arial"/>
          <w:lang w:val="en-ZA"/>
        </w:rPr>
      </w:pPr>
      <w:r>
        <w:rPr>
          <w:rFonts w:ascii="Arial" w:hAnsi="Arial" w:cs="Arial"/>
          <w:lang w:val="en-ZA"/>
        </w:rPr>
        <w:t>[</w:t>
      </w:r>
      <w:r w:rsidR="00CB25F2">
        <w:rPr>
          <w:rFonts w:ascii="Arial" w:hAnsi="Arial" w:cs="Arial"/>
          <w:lang w:val="en-ZA"/>
        </w:rPr>
        <w:t>12</w:t>
      </w:r>
      <w:r>
        <w:rPr>
          <w:rFonts w:ascii="Arial" w:hAnsi="Arial" w:cs="Arial"/>
          <w:lang w:val="en-ZA"/>
        </w:rPr>
        <w:t xml:space="preserve">]   Though the unlawful possession of suspected stolen property is considered a lesser offence to theft, it remains serious as the same penalty </w:t>
      </w:r>
      <w:r w:rsidR="003E2C82">
        <w:rPr>
          <w:rFonts w:ascii="Arial" w:hAnsi="Arial" w:cs="Arial"/>
          <w:lang w:val="en-ZA"/>
        </w:rPr>
        <w:t xml:space="preserve">on a conviction of theft may be imposed. The seriousness of the offence is further aggravated by the quantity of goods involved, valued at more than N$17 000. The court </w:t>
      </w:r>
      <w:r w:rsidR="003E2C82">
        <w:rPr>
          <w:rFonts w:ascii="Arial" w:hAnsi="Arial" w:cs="Arial"/>
          <w:i/>
          <w:lang w:val="en-ZA"/>
        </w:rPr>
        <w:t xml:space="preserve">a quo </w:t>
      </w:r>
      <w:r w:rsidR="003E2C82">
        <w:rPr>
          <w:rFonts w:ascii="Arial" w:hAnsi="Arial" w:cs="Arial"/>
          <w:lang w:val="en-ZA"/>
        </w:rPr>
        <w:t xml:space="preserve">was further entitled to take into account the prevalence of the offence committed in its jurisdiction. This would </w:t>
      </w:r>
      <w:r w:rsidR="00CB25F2">
        <w:rPr>
          <w:rFonts w:ascii="Arial" w:hAnsi="Arial" w:cs="Arial"/>
          <w:lang w:val="en-ZA"/>
        </w:rPr>
        <w:t xml:space="preserve">indeed </w:t>
      </w:r>
      <w:r w:rsidR="003E2C82">
        <w:rPr>
          <w:rFonts w:ascii="Arial" w:hAnsi="Arial" w:cs="Arial"/>
          <w:lang w:val="en-ZA"/>
        </w:rPr>
        <w:t>justify a sentence with general deterrence as objective of punishment. Taking into account the aforesaid reasons, it is my considered opinion that the imposition of a custodial sentence, even on a first offender, would be justified. Counsel for the appellants did not present argument to the contrary.</w:t>
      </w:r>
    </w:p>
    <w:p w:rsidR="00B15FC3" w:rsidRDefault="00B15FC3" w:rsidP="004C18A4">
      <w:pPr>
        <w:spacing w:line="360" w:lineRule="auto"/>
        <w:jc w:val="both"/>
        <w:rPr>
          <w:rFonts w:ascii="Arial" w:hAnsi="Arial" w:cs="Arial"/>
          <w:lang w:val="en-ZA"/>
        </w:rPr>
      </w:pPr>
    </w:p>
    <w:p w:rsidR="00B15FC3" w:rsidRDefault="00B15FC3" w:rsidP="004C18A4">
      <w:pPr>
        <w:spacing w:line="360" w:lineRule="auto"/>
        <w:jc w:val="both"/>
        <w:rPr>
          <w:rFonts w:ascii="Arial" w:hAnsi="Arial" w:cs="Arial"/>
          <w:lang w:val="en-ZA"/>
        </w:rPr>
      </w:pPr>
      <w:r>
        <w:rPr>
          <w:rFonts w:ascii="Arial" w:hAnsi="Arial" w:cs="Arial"/>
          <w:lang w:val="en-ZA"/>
        </w:rPr>
        <w:t>[</w:t>
      </w:r>
      <w:r w:rsidR="00CB25F2">
        <w:rPr>
          <w:rFonts w:ascii="Arial" w:hAnsi="Arial" w:cs="Arial"/>
          <w:lang w:val="en-ZA"/>
        </w:rPr>
        <w:t>13</w:t>
      </w:r>
      <w:r>
        <w:rPr>
          <w:rFonts w:ascii="Arial" w:hAnsi="Arial" w:cs="Arial"/>
          <w:lang w:val="en-ZA"/>
        </w:rPr>
        <w:t xml:space="preserve">]   </w:t>
      </w:r>
      <w:r w:rsidR="00AE75CE">
        <w:rPr>
          <w:rFonts w:ascii="Arial" w:hAnsi="Arial" w:cs="Arial"/>
          <w:lang w:val="en-ZA"/>
        </w:rPr>
        <w:t>As court of appeal we are alive to the accepted rule that sentencing primarily falls within the discretion of trial court and may only interfere with that court’s discretion where it is clear that the trial court did</w:t>
      </w:r>
      <w:r w:rsidR="00EB3562">
        <w:rPr>
          <w:rFonts w:ascii="Arial" w:hAnsi="Arial" w:cs="Arial"/>
          <w:lang w:val="en-ZA"/>
        </w:rPr>
        <w:t xml:space="preserve"> not</w:t>
      </w:r>
      <w:r w:rsidR="00AE75CE">
        <w:rPr>
          <w:rFonts w:ascii="Arial" w:hAnsi="Arial" w:cs="Arial"/>
          <w:lang w:val="en-ZA"/>
        </w:rPr>
        <w:t xml:space="preserve"> exercise its discretion judiciously or reasonably.</w:t>
      </w:r>
      <w:r w:rsidR="00AE75CE">
        <w:rPr>
          <w:rStyle w:val="FootnoteReference"/>
          <w:rFonts w:ascii="Arial" w:hAnsi="Arial" w:cs="Arial"/>
          <w:lang w:val="en-ZA"/>
        </w:rPr>
        <w:footnoteReference w:id="3"/>
      </w:r>
    </w:p>
    <w:p w:rsidR="004C18A4" w:rsidRDefault="004C18A4" w:rsidP="004C18A4">
      <w:pPr>
        <w:spacing w:line="360" w:lineRule="auto"/>
        <w:jc w:val="both"/>
        <w:rPr>
          <w:rFonts w:ascii="Arial" w:hAnsi="Arial" w:cs="Arial"/>
          <w:lang w:val="en-ZA"/>
        </w:rPr>
      </w:pPr>
    </w:p>
    <w:p w:rsidR="00CE694F" w:rsidRDefault="004C18A4" w:rsidP="004C18A4">
      <w:pPr>
        <w:spacing w:line="360" w:lineRule="auto"/>
        <w:jc w:val="both"/>
        <w:rPr>
          <w:rFonts w:ascii="Arial" w:hAnsi="Arial" w:cs="Arial"/>
          <w:lang w:val="en-ZA"/>
        </w:rPr>
      </w:pPr>
      <w:r>
        <w:rPr>
          <w:rFonts w:ascii="Arial" w:hAnsi="Arial" w:cs="Arial"/>
          <w:lang w:val="en-ZA"/>
        </w:rPr>
        <w:t>[</w:t>
      </w:r>
      <w:r w:rsidR="00CB25F2">
        <w:rPr>
          <w:rFonts w:ascii="Arial" w:hAnsi="Arial" w:cs="Arial"/>
          <w:lang w:val="en-ZA"/>
        </w:rPr>
        <w:t>14</w:t>
      </w:r>
      <w:r>
        <w:rPr>
          <w:rFonts w:ascii="Arial" w:hAnsi="Arial" w:cs="Arial"/>
          <w:lang w:val="en-ZA"/>
        </w:rPr>
        <w:t xml:space="preserve">]   </w:t>
      </w:r>
      <w:r w:rsidR="004F5A9F">
        <w:rPr>
          <w:rFonts w:ascii="Arial" w:hAnsi="Arial" w:cs="Arial"/>
          <w:lang w:val="en-ZA"/>
        </w:rPr>
        <w:t>When considering the appellants’</w:t>
      </w:r>
      <w:r>
        <w:rPr>
          <w:rFonts w:ascii="Arial" w:hAnsi="Arial" w:cs="Arial"/>
          <w:lang w:val="en-ZA"/>
        </w:rPr>
        <w:t xml:space="preserve"> </w:t>
      </w:r>
      <w:r w:rsidR="004F5A9F">
        <w:rPr>
          <w:rFonts w:ascii="Arial" w:hAnsi="Arial" w:cs="Arial"/>
          <w:lang w:val="en-ZA"/>
        </w:rPr>
        <w:t>interests</w:t>
      </w:r>
      <w:r>
        <w:rPr>
          <w:rFonts w:ascii="Arial" w:hAnsi="Arial" w:cs="Arial"/>
          <w:lang w:val="en-ZA"/>
        </w:rPr>
        <w:t xml:space="preserve"> in relation to the interests of society, I am satisfied that although society’s aversion to crimes of this nature and condemnation thereof should be reflected in the sentence imposed, it does not in the present circumstances </w:t>
      </w:r>
      <w:r w:rsidR="004F5A9F">
        <w:rPr>
          <w:rFonts w:ascii="Arial" w:hAnsi="Arial" w:cs="Arial"/>
          <w:lang w:val="en-ZA"/>
        </w:rPr>
        <w:t>justify</w:t>
      </w:r>
      <w:r>
        <w:rPr>
          <w:rFonts w:ascii="Arial" w:hAnsi="Arial" w:cs="Arial"/>
          <w:lang w:val="en-ZA"/>
        </w:rPr>
        <w:t xml:space="preserve"> a sentence of </w:t>
      </w:r>
      <w:r w:rsidR="004F5A9F">
        <w:rPr>
          <w:rFonts w:ascii="Arial" w:hAnsi="Arial" w:cs="Arial"/>
          <w:lang w:val="en-ZA"/>
        </w:rPr>
        <w:t>four years’</w:t>
      </w:r>
      <w:r>
        <w:rPr>
          <w:rFonts w:ascii="Arial" w:hAnsi="Arial" w:cs="Arial"/>
          <w:lang w:val="en-ZA"/>
        </w:rPr>
        <w:t xml:space="preserve"> imprisonment.</w:t>
      </w:r>
      <w:r w:rsidR="00B15FC3">
        <w:rPr>
          <w:rFonts w:ascii="Arial" w:hAnsi="Arial" w:cs="Arial"/>
          <w:lang w:val="en-ZA"/>
        </w:rPr>
        <w:t xml:space="preserve"> The sentence in our view is excessive and induces a sense of shock.</w:t>
      </w:r>
      <w:r w:rsidR="00AE75CE">
        <w:rPr>
          <w:rFonts w:ascii="Arial" w:hAnsi="Arial" w:cs="Arial"/>
          <w:lang w:val="en-ZA"/>
        </w:rPr>
        <w:t xml:space="preserve"> The sentence imposed by the trial court therefore falls to be set aside and substi</w:t>
      </w:r>
      <w:r w:rsidR="00CB25F2">
        <w:rPr>
          <w:rFonts w:ascii="Arial" w:hAnsi="Arial" w:cs="Arial"/>
          <w:lang w:val="en-ZA"/>
        </w:rPr>
        <w:t>tuted with a balanced and suitable</w:t>
      </w:r>
      <w:r w:rsidR="00AE75CE">
        <w:rPr>
          <w:rFonts w:ascii="Arial" w:hAnsi="Arial" w:cs="Arial"/>
          <w:lang w:val="en-ZA"/>
        </w:rPr>
        <w:t xml:space="preserve"> sentence.</w:t>
      </w:r>
    </w:p>
    <w:p w:rsidR="00B15FC3" w:rsidRDefault="00B15FC3" w:rsidP="004C18A4">
      <w:pPr>
        <w:spacing w:line="360" w:lineRule="auto"/>
        <w:jc w:val="both"/>
        <w:rPr>
          <w:rFonts w:ascii="Arial" w:hAnsi="Arial" w:cs="Arial"/>
          <w:lang w:val="en-ZA"/>
        </w:rPr>
      </w:pPr>
    </w:p>
    <w:p w:rsidR="00B15FC3" w:rsidRDefault="00B15FC3" w:rsidP="004C18A4">
      <w:pPr>
        <w:spacing w:line="360" w:lineRule="auto"/>
        <w:jc w:val="both"/>
        <w:rPr>
          <w:rFonts w:ascii="Arial" w:hAnsi="Arial" w:cs="Arial"/>
          <w:lang w:val="en-ZA"/>
        </w:rPr>
      </w:pPr>
      <w:r>
        <w:rPr>
          <w:rFonts w:ascii="Arial" w:hAnsi="Arial" w:cs="Arial"/>
          <w:lang w:val="en-ZA"/>
        </w:rPr>
        <w:t>[</w:t>
      </w:r>
      <w:r w:rsidR="00CB25F2">
        <w:rPr>
          <w:rFonts w:ascii="Arial" w:hAnsi="Arial" w:cs="Arial"/>
          <w:lang w:val="en-ZA"/>
        </w:rPr>
        <w:t>15</w:t>
      </w:r>
      <w:r>
        <w:rPr>
          <w:rFonts w:ascii="Arial" w:hAnsi="Arial" w:cs="Arial"/>
          <w:lang w:val="en-ZA"/>
        </w:rPr>
        <w:t xml:space="preserve">]   </w:t>
      </w:r>
      <w:r w:rsidR="00AE75CE">
        <w:rPr>
          <w:rFonts w:ascii="Arial" w:hAnsi="Arial" w:cs="Arial"/>
          <w:lang w:val="en-ZA"/>
        </w:rPr>
        <w:t>In the result, it is ordered:</w:t>
      </w:r>
    </w:p>
    <w:p w:rsidR="00AE75CE" w:rsidRDefault="00AE75CE" w:rsidP="004C18A4">
      <w:pPr>
        <w:spacing w:line="360" w:lineRule="auto"/>
        <w:jc w:val="both"/>
        <w:rPr>
          <w:rFonts w:ascii="Arial" w:hAnsi="Arial" w:cs="Arial"/>
          <w:lang w:val="en-ZA"/>
        </w:rPr>
      </w:pPr>
    </w:p>
    <w:p w:rsidR="00AE75CE" w:rsidRDefault="00AE75CE" w:rsidP="006A2F04">
      <w:pPr>
        <w:numPr>
          <w:ilvl w:val="0"/>
          <w:numId w:val="3"/>
        </w:numPr>
        <w:spacing w:line="360" w:lineRule="auto"/>
        <w:jc w:val="both"/>
        <w:rPr>
          <w:rFonts w:ascii="Arial" w:hAnsi="Arial" w:cs="Arial"/>
          <w:lang w:val="en-ZA"/>
        </w:rPr>
      </w:pPr>
      <w:r>
        <w:rPr>
          <w:rFonts w:ascii="Arial" w:hAnsi="Arial" w:cs="Arial"/>
          <w:lang w:val="en-ZA"/>
        </w:rPr>
        <w:t>The appeal against sentence is upheld.</w:t>
      </w:r>
    </w:p>
    <w:p w:rsidR="006A2F04" w:rsidRDefault="00AE75CE" w:rsidP="006A2F04">
      <w:pPr>
        <w:numPr>
          <w:ilvl w:val="0"/>
          <w:numId w:val="3"/>
        </w:numPr>
        <w:spacing w:line="360" w:lineRule="auto"/>
        <w:jc w:val="both"/>
        <w:rPr>
          <w:rFonts w:ascii="Arial" w:hAnsi="Arial" w:cs="Arial"/>
          <w:lang w:val="en-ZA"/>
        </w:rPr>
      </w:pPr>
      <w:r>
        <w:rPr>
          <w:rFonts w:ascii="Arial" w:hAnsi="Arial" w:cs="Arial"/>
          <w:lang w:val="en-ZA"/>
        </w:rPr>
        <w:t>The sentence</w:t>
      </w:r>
      <w:r w:rsidR="006A2F04">
        <w:rPr>
          <w:rFonts w:ascii="Arial" w:hAnsi="Arial" w:cs="Arial"/>
          <w:lang w:val="en-ZA"/>
        </w:rPr>
        <w:t>s imposed are</w:t>
      </w:r>
      <w:r>
        <w:rPr>
          <w:rFonts w:ascii="Arial" w:hAnsi="Arial" w:cs="Arial"/>
          <w:lang w:val="en-ZA"/>
        </w:rPr>
        <w:t xml:space="preserve"> set aside and substituted with: </w:t>
      </w:r>
    </w:p>
    <w:p w:rsidR="00AE75CE" w:rsidRDefault="006A2F04" w:rsidP="006A2F04">
      <w:pPr>
        <w:spacing w:line="360" w:lineRule="auto"/>
        <w:ind w:left="720"/>
        <w:jc w:val="both"/>
        <w:rPr>
          <w:rFonts w:ascii="Arial" w:hAnsi="Arial" w:cs="Arial"/>
          <w:lang w:val="en-ZA"/>
        </w:rPr>
      </w:pPr>
      <w:r>
        <w:rPr>
          <w:rFonts w:ascii="Arial" w:hAnsi="Arial" w:cs="Arial"/>
          <w:lang w:val="en-ZA"/>
        </w:rPr>
        <w:t>Each accused</w:t>
      </w:r>
      <w:r w:rsidR="00DD2014">
        <w:rPr>
          <w:rFonts w:ascii="Arial" w:hAnsi="Arial" w:cs="Arial"/>
          <w:lang w:val="en-ZA"/>
        </w:rPr>
        <w:t xml:space="preserve"> is sentenced to</w:t>
      </w:r>
      <w:r>
        <w:rPr>
          <w:rFonts w:ascii="Arial" w:hAnsi="Arial" w:cs="Arial"/>
          <w:lang w:val="en-ZA"/>
        </w:rPr>
        <w:t>: 2 years’ imprisonment of which 6 months suspended for a period of 5 years on condition that the accused is not convicted of theft or in contravention of section 6 of Ordinance 12 of 1956 (Possession of suspected stolen property), committed during the period of suspension.</w:t>
      </w:r>
    </w:p>
    <w:p w:rsidR="006A2F04" w:rsidRDefault="006A2F04" w:rsidP="006A2F04">
      <w:pPr>
        <w:numPr>
          <w:ilvl w:val="0"/>
          <w:numId w:val="3"/>
        </w:numPr>
        <w:spacing w:line="360" w:lineRule="auto"/>
        <w:jc w:val="both"/>
        <w:rPr>
          <w:rFonts w:ascii="Arial" w:hAnsi="Arial" w:cs="Arial"/>
          <w:lang w:val="en-ZA"/>
        </w:rPr>
      </w:pPr>
      <w:r>
        <w:rPr>
          <w:rFonts w:ascii="Arial" w:hAnsi="Arial" w:cs="Arial"/>
          <w:lang w:val="en-ZA"/>
        </w:rPr>
        <w:t>The sentences are antedated to 13 September 2016.</w:t>
      </w:r>
    </w:p>
    <w:p w:rsidR="00B15FC3" w:rsidRPr="00DE41DD" w:rsidRDefault="00B15FC3" w:rsidP="004C18A4">
      <w:pPr>
        <w:spacing w:line="360" w:lineRule="auto"/>
        <w:jc w:val="both"/>
        <w:rPr>
          <w:rFonts w:ascii="Arial" w:hAnsi="Arial" w:cs="Arial"/>
          <w:lang w:val="en-ZA"/>
        </w:rPr>
      </w:pPr>
      <w:r>
        <w:rPr>
          <w:rFonts w:ascii="Arial" w:hAnsi="Arial" w:cs="Arial"/>
          <w:lang w:val="en-ZA"/>
        </w:rPr>
        <w:t xml:space="preserve">  </w:t>
      </w:r>
    </w:p>
    <w:p w:rsidR="00335BDA" w:rsidRDefault="00335BDA"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A5912" w:rsidP="000A5912">
      <w:pPr>
        <w:spacing w:line="360" w:lineRule="auto"/>
        <w:jc w:val="right"/>
        <w:rPr>
          <w:rFonts w:ascii="Arial" w:hAnsi="Arial" w:cs="Arial"/>
          <w:lang w:val="en-ZA"/>
        </w:rPr>
      </w:pPr>
      <w:r w:rsidRPr="004C27B0">
        <w:rPr>
          <w:rFonts w:ascii="Arial" w:hAnsi="Arial" w:cs="Arial"/>
          <w:lang w:val="en-ZA"/>
        </w:rPr>
        <w:t>J</w:t>
      </w:r>
      <w:r w:rsidR="00851D17" w:rsidRPr="004C27B0">
        <w:rPr>
          <w:rFonts w:ascii="Arial" w:hAnsi="Arial" w:cs="Arial"/>
          <w:lang w:val="en-ZA"/>
        </w:rPr>
        <w:t>C</w:t>
      </w:r>
      <w:r w:rsidRPr="004C27B0">
        <w:rPr>
          <w:rFonts w:ascii="Arial" w:hAnsi="Arial" w:cs="Arial"/>
          <w:lang w:val="en-ZA"/>
        </w:rPr>
        <w:t xml:space="preserve"> LIEBENBERG</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2C086D" w:rsidRDefault="002C086D"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2C086D" w:rsidRDefault="002C086D" w:rsidP="000A5912">
      <w:pPr>
        <w:spacing w:line="360" w:lineRule="auto"/>
        <w:jc w:val="right"/>
        <w:rPr>
          <w:rFonts w:ascii="Arial" w:hAnsi="Arial" w:cs="Arial"/>
          <w:lang w:val="en-ZA"/>
        </w:rPr>
      </w:pPr>
    </w:p>
    <w:p w:rsidR="002C086D" w:rsidRDefault="002C086D"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743690" w:rsidP="000A5912">
      <w:pPr>
        <w:spacing w:line="360" w:lineRule="auto"/>
        <w:jc w:val="right"/>
        <w:rPr>
          <w:rFonts w:ascii="Arial" w:hAnsi="Arial" w:cs="Arial"/>
          <w:lang w:val="en-ZA"/>
        </w:rPr>
      </w:pPr>
      <w:r>
        <w:rPr>
          <w:rFonts w:ascii="Arial" w:hAnsi="Arial" w:cs="Arial"/>
          <w:lang w:val="en-ZA"/>
        </w:rPr>
        <w:t>GN NDAUENDAPO</w:t>
      </w:r>
    </w:p>
    <w:p w:rsidR="000A5912" w:rsidRPr="000A5912" w:rsidRDefault="000A5912" w:rsidP="000A5912">
      <w:pPr>
        <w:spacing w:line="360" w:lineRule="auto"/>
        <w:jc w:val="right"/>
        <w:rPr>
          <w:rFonts w:ascii="Arial" w:hAnsi="Arial" w:cs="Arial"/>
          <w:lang w:val="en-ZA"/>
        </w:rPr>
      </w:pPr>
      <w:r>
        <w:rPr>
          <w:rFonts w:ascii="Arial" w:hAnsi="Arial" w:cs="Arial"/>
          <w:lang w:val="en-ZA"/>
        </w:rPr>
        <w:t>JUDGE</w:t>
      </w: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Pr="00340732" w:rsidRDefault="00176493" w:rsidP="00176493">
      <w:pPr>
        <w:spacing w:line="360" w:lineRule="auto"/>
        <w:jc w:val="both"/>
        <w:rPr>
          <w:rFonts w:ascii="Arial" w:hAnsi="Arial" w:cs="Arial"/>
          <w:lang w:val="en-ZA"/>
        </w:rPr>
      </w:pPr>
    </w:p>
    <w:p w:rsidR="008365DA" w:rsidRPr="00340732" w:rsidRDefault="008365DA"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6A2F04" w:rsidRDefault="006A2F04" w:rsidP="00176493">
      <w:pPr>
        <w:spacing w:line="360" w:lineRule="auto"/>
        <w:jc w:val="both"/>
        <w:rPr>
          <w:rFonts w:ascii="Arial" w:hAnsi="Arial" w:cs="Arial"/>
          <w:lang w:val="en-ZA"/>
        </w:rPr>
      </w:pPr>
    </w:p>
    <w:p w:rsidR="002A0D50" w:rsidRPr="00D70426" w:rsidRDefault="002A0D50" w:rsidP="00176493">
      <w:pPr>
        <w:spacing w:line="360" w:lineRule="auto"/>
        <w:jc w:val="both"/>
        <w:rPr>
          <w:rFonts w:ascii="Arial" w:hAnsi="Arial" w:cs="Arial"/>
          <w:lang w:val="en-ZA"/>
        </w:rPr>
      </w:pPr>
      <w:r w:rsidRPr="00D70426">
        <w:rPr>
          <w:rFonts w:ascii="Arial" w:hAnsi="Arial" w:cs="Arial"/>
          <w:lang w:val="en-ZA"/>
        </w:rPr>
        <w:t>APPEARANCES</w:t>
      </w:r>
    </w:p>
    <w:p w:rsidR="008365DA" w:rsidRPr="00D70426" w:rsidRDefault="008365DA" w:rsidP="002A0D50">
      <w:pPr>
        <w:spacing w:line="360" w:lineRule="auto"/>
        <w:jc w:val="both"/>
        <w:rPr>
          <w:rFonts w:ascii="Arial" w:hAnsi="Arial" w:cs="Arial"/>
          <w:lang w:val="en-ZA"/>
        </w:rPr>
      </w:pPr>
    </w:p>
    <w:p w:rsidR="002A0D50" w:rsidRPr="00D70426" w:rsidRDefault="002A0D50" w:rsidP="002A0D50">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r w:rsidR="006A2F04">
        <w:rPr>
          <w:rFonts w:ascii="Arial" w:hAnsi="Arial" w:cs="Arial"/>
          <w:lang w:val="en-ZA"/>
        </w:rPr>
        <w:t>I Mainga</w:t>
      </w:r>
    </w:p>
    <w:p w:rsidR="008B0835" w:rsidRDefault="00851D17" w:rsidP="002A0D5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6A2F04">
        <w:rPr>
          <w:rFonts w:ascii="Arial" w:hAnsi="Arial" w:cs="Arial"/>
          <w:lang w:val="en-ZA"/>
        </w:rPr>
        <w:t>Inonge Mainga Attorneys</w:t>
      </w:r>
      <w:r w:rsidR="00F06B4D" w:rsidRPr="00D70426">
        <w:rPr>
          <w:rFonts w:ascii="Arial" w:hAnsi="Arial" w:cs="Arial"/>
          <w:lang w:val="en-ZA"/>
        </w:rPr>
        <w:t>,</w:t>
      </w:r>
    </w:p>
    <w:p w:rsidR="00DD2014" w:rsidRDefault="00DD2014" w:rsidP="002A0D5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c/o Kishi Shakumu &amp; Co. Inc,</w:t>
      </w:r>
    </w:p>
    <w:p w:rsidR="00F06B4D" w:rsidRPr="00D70426" w:rsidRDefault="008B0835" w:rsidP="008B0835">
      <w:pPr>
        <w:spacing w:line="360" w:lineRule="auto"/>
        <w:ind w:left="2160" w:firstLine="720"/>
        <w:jc w:val="both"/>
        <w:rPr>
          <w:rFonts w:ascii="Arial" w:hAnsi="Arial" w:cs="Arial"/>
          <w:lang w:val="en-ZA"/>
        </w:rPr>
      </w:pPr>
      <w:r>
        <w:rPr>
          <w:rFonts w:ascii="Arial" w:hAnsi="Arial" w:cs="Arial"/>
          <w:lang w:val="en-ZA"/>
        </w:rPr>
        <w:t>Windhoek.</w:t>
      </w:r>
      <w:r w:rsidR="00F06B4D"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F06B4D" w:rsidRPr="00D70426" w:rsidRDefault="00DD2014" w:rsidP="002A0D50">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t>P S Kumalo</w:t>
      </w:r>
    </w:p>
    <w:p w:rsidR="00F06B4D" w:rsidRPr="00D70426" w:rsidRDefault="00F06B4D" w:rsidP="002A0D50">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t xml:space="preserve">Of the Office of the Prosecutor-General, </w:t>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00D70426">
        <w:rPr>
          <w:rFonts w:ascii="Arial" w:hAnsi="Arial" w:cs="Arial"/>
          <w:lang w:val="en-ZA"/>
        </w:rPr>
        <w:tab/>
      </w:r>
      <w:r w:rsidR="008B0835">
        <w:rPr>
          <w:rFonts w:ascii="Arial" w:hAnsi="Arial" w:cs="Arial"/>
          <w:lang w:val="en-ZA"/>
        </w:rPr>
        <w:t>Windhoek.</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84" w:rsidRDefault="00F26684">
      <w:r>
        <w:separator/>
      </w:r>
    </w:p>
  </w:endnote>
  <w:endnote w:type="continuationSeparator" w:id="0">
    <w:p w:rsidR="00F26684" w:rsidRDefault="00F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84" w:rsidRDefault="00F26684">
      <w:r>
        <w:separator/>
      </w:r>
    </w:p>
  </w:footnote>
  <w:footnote w:type="continuationSeparator" w:id="0">
    <w:p w:rsidR="00F26684" w:rsidRDefault="00F26684">
      <w:r>
        <w:continuationSeparator/>
      </w:r>
    </w:p>
  </w:footnote>
  <w:footnote w:id="1">
    <w:p w:rsidR="00BB263B" w:rsidRPr="00003665" w:rsidRDefault="00BB263B" w:rsidP="00F62BC6">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Gaseb and Others </w:t>
      </w:r>
      <w:r>
        <w:rPr>
          <w:rFonts w:ascii="Arial" w:hAnsi="Arial" w:cs="Arial"/>
          <w:lang w:val="en-US"/>
        </w:rPr>
        <w:t xml:space="preserve">2000 NR 139 (SC); </w:t>
      </w:r>
      <w:r>
        <w:rPr>
          <w:rFonts w:ascii="Arial" w:hAnsi="Arial" w:cs="Arial"/>
          <w:i/>
          <w:lang w:val="en-US"/>
        </w:rPr>
        <w:t xml:space="preserve">S v Tjiho </w:t>
      </w:r>
      <w:r>
        <w:rPr>
          <w:rFonts w:ascii="Arial" w:hAnsi="Arial" w:cs="Arial"/>
          <w:lang w:val="en-US"/>
        </w:rPr>
        <w:t>1991 NR 631 (HC).</w:t>
      </w:r>
    </w:p>
  </w:footnote>
  <w:footnote w:id="2">
    <w:p w:rsidR="004F5A9F" w:rsidRPr="004F5A9F" w:rsidRDefault="004F5A9F">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Alexander </w:t>
      </w:r>
      <w:r>
        <w:rPr>
          <w:rFonts w:ascii="Arial" w:hAnsi="Arial" w:cs="Arial"/>
          <w:lang w:val="en-US"/>
        </w:rPr>
        <w:t>1998 NR 83 (HC) at 88.</w:t>
      </w:r>
    </w:p>
  </w:footnote>
  <w:footnote w:id="3">
    <w:p w:rsidR="00AE75CE" w:rsidRPr="00AE75CE" w:rsidRDefault="00AE75C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Shapumba </w:t>
      </w:r>
      <w:r>
        <w:rPr>
          <w:rFonts w:ascii="Arial" w:hAnsi="Arial" w:cs="Arial"/>
          <w:lang w:val="en-US"/>
        </w:rPr>
        <w:t>1999 NR 342 (SC) at 344G.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3B" w:rsidRDefault="00BB263B"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63B" w:rsidRDefault="00BB2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3B" w:rsidRDefault="00BB263B">
    <w:pPr>
      <w:pStyle w:val="Header"/>
      <w:jc w:val="right"/>
    </w:pPr>
    <w:r>
      <w:fldChar w:fldCharType="begin"/>
    </w:r>
    <w:r>
      <w:instrText xml:space="preserve"> PAGE   \* MERGEFORMAT </w:instrText>
    </w:r>
    <w:r>
      <w:fldChar w:fldCharType="separate"/>
    </w:r>
    <w:r w:rsidR="00001DD9">
      <w:rPr>
        <w:noProof/>
      </w:rPr>
      <w:t>2</w:t>
    </w:r>
    <w:r>
      <w:fldChar w:fldCharType="end"/>
    </w:r>
  </w:p>
  <w:p w:rsidR="00BB263B" w:rsidRDefault="00BB2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3B" w:rsidRDefault="00BB263B">
    <w:pPr>
      <w:pStyle w:val="Header"/>
      <w:jc w:val="right"/>
    </w:pPr>
  </w:p>
  <w:p w:rsidR="00BB263B" w:rsidRDefault="00BB2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DB7"/>
    <w:multiLevelType w:val="hybridMultilevel"/>
    <w:tmpl w:val="9534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15002"/>
    <w:multiLevelType w:val="hybridMultilevel"/>
    <w:tmpl w:val="9534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1DD9"/>
    <w:rsid w:val="00006879"/>
    <w:rsid w:val="000122F4"/>
    <w:rsid w:val="00033F3F"/>
    <w:rsid w:val="00090F03"/>
    <w:rsid w:val="000A5912"/>
    <w:rsid w:val="001111F5"/>
    <w:rsid w:val="0013137F"/>
    <w:rsid w:val="00143F36"/>
    <w:rsid w:val="0014662D"/>
    <w:rsid w:val="00153845"/>
    <w:rsid w:val="00161E9D"/>
    <w:rsid w:val="00167CE5"/>
    <w:rsid w:val="00176493"/>
    <w:rsid w:val="001829BC"/>
    <w:rsid w:val="0018649E"/>
    <w:rsid w:val="0019413C"/>
    <w:rsid w:val="001C5ED7"/>
    <w:rsid w:val="001D69EB"/>
    <w:rsid w:val="00210744"/>
    <w:rsid w:val="0022612C"/>
    <w:rsid w:val="00227DE5"/>
    <w:rsid w:val="00250179"/>
    <w:rsid w:val="0027593E"/>
    <w:rsid w:val="00275BF7"/>
    <w:rsid w:val="00291BBA"/>
    <w:rsid w:val="002A0D50"/>
    <w:rsid w:val="002C086D"/>
    <w:rsid w:val="002C45BA"/>
    <w:rsid w:val="002E76CF"/>
    <w:rsid w:val="003209A3"/>
    <w:rsid w:val="00323AAF"/>
    <w:rsid w:val="00335BDA"/>
    <w:rsid w:val="00340732"/>
    <w:rsid w:val="00341AB3"/>
    <w:rsid w:val="003442F2"/>
    <w:rsid w:val="00351D1B"/>
    <w:rsid w:val="00376F1A"/>
    <w:rsid w:val="003B0AE9"/>
    <w:rsid w:val="003C089D"/>
    <w:rsid w:val="003D3C07"/>
    <w:rsid w:val="003E2C82"/>
    <w:rsid w:val="003E7ADD"/>
    <w:rsid w:val="004126FE"/>
    <w:rsid w:val="004251BB"/>
    <w:rsid w:val="00435472"/>
    <w:rsid w:val="00463708"/>
    <w:rsid w:val="00484ACA"/>
    <w:rsid w:val="004C18A4"/>
    <w:rsid w:val="004C27B0"/>
    <w:rsid w:val="004C62C8"/>
    <w:rsid w:val="004D7768"/>
    <w:rsid w:val="004F0A2D"/>
    <w:rsid w:val="004F29C0"/>
    <w:rsid w:val="004F5A9F"/>
    <w:rsid w:val="004F6EDD"/>
    <w:rsid w:val="0050251A"/>
    <w:rsid w:val="005223B2"/>
    <w:rsid w:val="00552C92"/>
    <w:rsid w:val="005632C1"/>
    <w:rsid w:val="005A6E59"/>
    <w:rsid w:val="005B46A4"/>
    <w:rsid w:val="005C34AF"/>
    <w:rsid w:val="005D4057"/>
    <w:rsid w:val="005E14DB"/>
    <w:rsid w:val="005E2EEC"/>
    <w:rsid w:val="0061029A"/>
    <w:rsid w:val="00610342"/>
    <w:rsid w:val="00612F96"/>
    <w:rsid w:val="00635D4F"/>
    <w:rsid w:val="006516E3"/>
    <w:rsid w:val="00685321"/>
    <w:rsid w:val="00686A1A"/>
    <w:rsid w:val="006A2079"/>
    <w:rsid w:val="006A2F04"/>
    <w:rsid w:val="006A5E1B"/>
    <w:rsid w:val="006D037E"/>
    <w:rsid w:val="006E137F"/>
    <w:rsid w:val="006F1710"/>
    <w:rsid w:val="00711975"/>
    <w:rsid w:val="00713627"/>
    <w:rsid w:val="0074006B"/>
    <w:rsid w:val="00743690"/>
    <w:rsid w:val="007565C2"/>
    <w:rsid w:val="007A26BB"/>
    <w:rsid w:val="007A47F4"/>
    <w:rsid w:val="007A5167"/>
    <w:rsid w:val="007B192E"/>
    <w:rsid w:val="007C5DB3"/>
    <w:rsid w:val="007F1682"/>
    <w:rsid w:val="00811B5C"/>
    <w:rsid w:val="008267BB"/>
    <w:rsid w:val="008362FA"/>
    <w:rsid w:val="008365DA"/>
    <w:rsid w:val="00851D17"/>
    <w:rsid w:val="0085512F"/>
    <w:rsid w:val="00882112"/>
    <w:rsid w:val="0089757C"/>
    <w:rsid w:val="008B0835"/>
    <w:rsid w:val="008D10CE"/>
    <w:rsid w:val="008D1A9E"/>
    <w:rsid w:val="008E5EE0"/>
    <w:rsid w:val="0093199F"/>
    <w:rsid w:val="009427B5"/>
    <w:rsid w:val="00946FE9"/>
    <w:rsid w:val="00947462"/>
    <w:rsid w:val="00984781"/>
    <w:rsid w:val="009A4B5A"/>
    <w:rsid w:val="009C2CD3"/>
    <w:rsid w:val="009D3BE4"/>
    <w:rsid w:val="009D5AD4"/>
    <w:rsid w:val="009D72A6"/>
    <w:rsid w:val="009E41C3"/>
    <w:rsid w:val="00A31168"/>
    <w:rsid w:val="00A36A4A"/>
    <w:rsid w:val="00A644D8"/>
    <w:rsid w:val="00A74E48"/>
    <w:rsid w:val="00A75037"/>
    <w:rsid w:val="00A879B3"/>
    <w:rsid w:val="00A87EF8"/>
    <w:rsid w:val="00A9073F"/>
    <w:rsid w:val="00AA385F"/>
    <w:rsid w:val="00AB3255"/>
    <w:rsid w:val="00AB5966"/>
    <w:rsid w:val="00AE75CE"/>
    <w:rsid w:val="00AF0B28"/>
    <w:rsid w:val="00AF470C"/>
    <w:rsid w:val="00B05FB4"/>
    <w:rsid w:val="00B1228F"/>
    <w:rsid w:val="00B15FC3"/>
    <w:rsid w:val="00B17592"/>
    <w:rsid w:val="00B35F5F"/>
    <w:rsid w:val="00B6056C"/>
    <w:rsid w:val="00B62CA9"/>
    <w:rsid w:val="00B90DCD"/>
    <w:rsid w:val="00BA5771"/>
    <w:rsid w:val="00BB263B"/>
    <w:rsid w:val="00BC4161"/>
    <w:rsid w:val="00BF1473"/>
    <w:rsid w:val="00C030D8"/>
    <w:rsid w:val="00C05B05"/>
    <w:rsid w:val="00C06675"/>
    <w:rsid w:val="00C421EA"/>
    <w:rsid w:val="00C852D1"/>
    <w:rsid w:val="00C97786"/>
    <w:rsid w:val="00CA2F94"/>
    <w:rsid w:val="00CA4466"/>
    <w:rsid w:val="00CB25F2"/>
    <w:rsid w:val="00CB465F"/>
    <w:rsid w:val="00CE0DD9"/>
    <w:rsid w:val="00CE694F"/>
    <w:rsid w:val="00D17803"/>
    <w:rsid w:val="00D24A1F"/>
    <w:rsid w:val="00D531D2"/>
    <w:rsid w:val="00D70426"/>
    <w:rsid w:val="00D81B6E"/>
    <w:rsid w:val="00D85862"/>
    <w:rsid w:val="00DC297C"/>
    <w:rsid w:val="00DD2014"/>
    <w:rsid w:val="00DE41DD"/>
    <w:rsid w:val="00E06182"/>
    <w:rsid w:val="00E06608"/>
    <w:rsid w:val="00E07C65"/>
    <w:rsid w:val="00E13B0E"/>
    <w:rsid w:val="00E22DE1"/>
    <w:rsid w:val="00E7716C"/>
    <w:rsid w:val="00E91EFB"/>
    <w:rsid w:val="00EB3562"/>
    <w:rsid w:val="00EC2A45"/>
    <w:rsid w:val="00EC5C32"/>
    <w:rsid w:val="00EC5F8C"/>
    <w:rsid w:val="00EE7376"/>
    <w:rsid w:val="00EF50D2"/>
    <w:rsid w:val="00EF62F8"/>
    <w:rsid w:val="00F02BC4"/>
    <w:rsid w:val="00F06B4D"/>
    <w:rsid w:val="00F25730"/>
    <w:rsid w:val="00F26684"/>
    <w:rsid w:val="00F41D44"/>
    <w:rsid w:val="00F620C0"/>
    <w:rsid w:val="00F622A6"/>
    <w:rsid w:val="00F62BC6"/>
    <w:rsid w:val="00F75C33"/>
    <w:rsid w:val="00FB5816"/>
    <w:rsid w:val="00FB6413"/>
    <w:rsid w:val="00FC2BED"/>
    <w:rsid w:val="00FD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E01634-86E9-4359-9247-56E6B0A6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EB3562"/>
    <w:rPr>
      <w:rFonts w:ascii="Segoe UI" w:hAnsi="Segoe UI" w:cs="Segoe UI"/>
      <w:sz w:val="18"/>
      <w:szCs w:val="18"/>
    </w:rPr>
  </w:style>
  <w:style w:type="character" w:customStyle="1" w:styleId="BalloonTextChar">
    <w:name w:val="Balloon Text Char"/>
    <w:link w:val="BalloonText"/>
    <w:rsid w:val="00EB356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2017-08-07T00:00:00Z</Judgment_x0020_Date>
  </documentManagement>
</p:properties>
</file>

<file path=customXml/itemProps1.xml><?xml version="1.0" encoding="utf-8"?>
<ds:datastoreItem xmlns:ds="http://schemas.openxmlformats.org/officeDocument/2006/customXml" ds:itemID="{9336CD41-1344-461A-BB99-7AC00523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13D4F-19EA-4FBF-A219-5AA076013F9B}">
  <ds:schemaRefs>
    <ds:schemaRef ds:uri="http://schemas.microsoft.com/sharepoint/v3/contenttype/forms"/>
  </ds:schemaRefs>
</ds:datastoreItem>
</file>

<file path=customXml/itemProps3.xml><?xml version="1.0" encoding="utf-8"?>
<ds:datastoreItem xmlns:ds="http://schemas.openxmlformats.org/officeDocument/2006/customXml" ds:itemID="{DAA88EC0-6CA1-499B-8E82-9630B938A47A}">
  <ds:schemaRefs>
    <ds:schemaRef ds:uri="http://schemas.microsoft.com/office/2006/metadata/longProperties"/>
  </ds:schemaRefs>
</ds:datastoreItem>
</file>

<file path=customXml/itemProps4.xml><?xml version="1.0" encoding="utf-8"?>
<ds:datastoreItem xmlns:ds="http://schemas.openxmlformats.org/officeDocument/2006/customXml" ds:itemID="{13D87CF9-9A31-46B4-B2E5-2826183F6395}">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a036617c-f1b0-4353-ab0a-456b3885ee3b"/>
    <ds:schemaRef ds:uri="http://schemas.microsoft.com/office/2006/metadata/properties"/>
    <ds:schemaRef ds:uri="17a0f4bd-1162-49ac-b85f-dfe96a90bc0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NamibLII</cp:lastModifiedBy>
  <cp:revision>2</cp:revision>
  <cp:lastPrinted>2017-08-07T06:27:00Z</cp:lastPrinted>
  <dcterms:created xsi:type="dcterms:W3CDTF">2017-08-14T09:30:00Z</dcterms:created>
  <dcterms:modified xsi:type="dcterms:W3CDTF">2017-08-14T09:30:00Z</dcterms:modified>
</cp:coreProperties>
</file>