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84A3A" w:rsidRPr="00084A3A" w:rsidRDefault="00084A3A" w:rsidP="00084A3A">
      <w:pPr>
        <w:widowControl w:val="0"/>
        <w:spacing w:after="0" w:line="360" w:lineRule="auto"/>
        <w:ind w:firstLine="720"/>
        <w:jc w:val="center"/>
        <w:rPr>
          <w:rFonts w:ascii="Arial" w:eastAsia="Times New Roman" w:hAnsi="Arial" w:cs="Arial"/>
          <w:b/>
          <w:spacing w:val="-3"/>
          <w:sz w:val="24"/>
          <w:szCs w:val="24"/>
          <w:lang w:val="en-GB"/>
        </w:rPr>
      </w:pPr>
      <w:r w:rsidRPr="00084A3A">
        <w:rPr>
          <w:rFonts w:ascii="Calibri" w:eastAsia="Calibri" w:hAnsi="Calibri" w:cs="Times New Roman"/>
          <w:noProof/>
          <w:lang w:val="en-ZA" w:eastAsia="en-ZA"/>
        </w:rPr>
        <mc:AlternateContent>
          <mc:Choice Requires="wps">
            <w:drawing>
              <wp:anchor distT="0" distB="0" distL="114300" distR="114300" simplePos="0" relativeHeight="251659264" behindDoc="0" locked="0" layoutInCell="1" allowOverlap="1" wp14:anchorId="533F6CBD" wp14:editId="6767AEE9">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84A3A" w:rsidRDefault="00084A3A" w:rsidP="00084A3A">
                            <w:pPr>
                              <w:jc w:val="right"/>
                              <w:rPr>
                                <w:rFonts w:cs="Calibri"/>
                              </w:rPr>
                            </w:pPr>
                            <w:r>
                              <w:rPr>
                                <w:rFonts w:cs="Calibri"/>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F6CB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084A3A" w:rsidRDefault="00084A3A" w:rsidP="00084A3A">
                      <w:pPr>
                        <w:jc w:val="right"/>
                        <w:rPr>
                          <w:rFonts w:cs="Calibri"/>
                        </w:rPr>
                      </w:pPr>
                      <w:r>
                        <w:rPr>
                          <w:rFonts w:cs="Calibri"/>
                        </w:rPr>
                        <w:t>NOT REPORTABLE</w:t>
                      </w:r>
                    </w:p>
                  </w:txbxContent>
                </v:textbox>
              </v:shape>
            </w:pict>
          </mc:Fallback>
        </mc:AlternateContent>
      </w:r>
      <w:r w:rsidRPr="00084A3A">
        <w:rPr>
          <w:rFonts w:ascii="Arial" w:eastAsia="Times New Roman" w:hAnsi="Arial" w:cs="Arial"/>
          <w:b/>
          <w:spacing w:val="-3"/>
          <w:sz w:val="24"/>
          <w:szCs w:val="24"/>
          <w:lang w:val="en-GB"/>
        </w:rPr>
        <w:t>REPUBLIC OF NAMIBIA</w:t>
      </w:r>
    </w:p>
    <w:p w:rsidR="00084A3A" w:rsidRPr="00084A3A" w:rsidRDefault="00084A3A" w:rsidP="00084A3A">
      <w:pPr>
        <w:widowControl w:val="0"/>
        <w:spacing w:after="0" w:line="360" w:lineRule="auto"/>
        <w:jc w:val="center"/>
        <w:rPr>
          <w:rFonts w:ascii="Arial" w:eastAsia="Times New Roman" w:hAnsi="Arial" w:cs="Arial"/>
          <w:b/>
          <w:spacing w:val="-3"/>
          <w:sz w:val="32"/>
          <w:szCs w:val="32"/>
          <w:lang w:val="en-GB"/>
        </w:rPr>
      </w:pPr>
      <w:r w:rsidRPr="00084A3A">
        <w:rPr>
          <w:rFonts w:ascii="Arial" w:eastAsia="Times New Roman" w:hAnsi="Arial" w:cs="Arial"/>
          <w:b/>
          <w:noProof/>
          <w:spacing w:val="-3"/>
          <w:sz w:val="32"/>
          <w:szCs w:val="32"/>
          <w:lang w:val="en-ZA" w:eastAsia="en-ZA"/>
        </w:rPr>
        <w:drawing>
          <wp:inline distT="0" distB="0" distL="0" distR="0" wp14:anchorId="433B6581" wp14:editId="3CF16A1F">
            <wp:extent cx="1276350" cy="1323975"/>
            <wp:effectExtent l="0" t="0" r="0" b="9525"/>
            <wp:docPr id="4"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084A3A" w:rsidRPr="00084A3A" w:rsidRDefault="00084A3A" w:rsidP="00084A3A">
      <w:pPr>
        <w:widowControl w:val="0"/>
        <w:spacing w:after="0" w:line="360" w:lineRule="auto"/>
        <w:jc w:val="center"/>
        <w:rPr>
          <w:rFonts w:ascii="Arial" w:eastAsia="Times New Roman" w:hAnsi="Arial" w:cs="Arial"/>
          <w:b/>
          <w:spacing w:val="-3"/>
          <w:sz w:val="24"/>
          <w:szCs w:val="24"/>
          <w:lang w:val="en-GB"/>
        </w:rPr>
      </w:pPr>
    </w:p>
    <w:p w:rsidR="00084A3A" w:rsidRPr="00084A3A" w:rsidRDefault="00084A3A" w:rsidP="00084A3A">
      <w:pPr>
        <w:widowControl w:val="0"/>
        <w:spacing w:after="0" w:line="360" w:lineRule="auto"/>
        <w:jc w:val="center"/>
        <w:rPr>
          <w:rFonts w:ascii="Arial" w:eastAsia="Times New Roman" w:hAnsi="Arial" w:cs="Arial"/>
          <w:bCs/>
          <w:spacing w:val="-3"/>
          <w:sz w:val="24"/>
          <w:szCs w:val="24"/>
          <w:lang w:val="en-GB"/>
        </w:rPr>
      </w:pPr>
      <w:r w:rsidRPr="00084A3A">
        <w:rPr>
          <w:rFonts w:ascii="Arial" w:eastAsia="Times New Roman" w:hAnsi="Arial" w:cs="Arial"/>
          <w:b/>
          <w:spacing w:val="-3"/>
          <w:sz w:val="24"/>
          <w:szCs w:val="24"/>
          <w:lang w:val="en-GB"/>
        </w:rPr>
        <w:t>HIGH COURT OF NAMIBIA MAIN DIVISION, WINDHOEK</w:t>
      </w:r>
    </w:p>
    <w:p w:rsidR="00084A3A" w:rsidRPr="00084A3A" w:rsidRDefault="00084A3A" w:rsidP="00084A3A">
      <w:pPr>
        <w:widowControl w:val="0"/>
        <w:spacing w:after="0" w:line="360" w:lineRule="auto"/>
        <w:jc w:val="center"/>
        <w:rPr>
          <w:rFonts w:ascii="Arial" w:eastAsia="Times New Roman" w:hAnsi="Arial" w:cs="Arial"/>
          <w:b/>
          <w:spacing w:val="-3"/>
          <w:sz w:val="24"/>
          <w:szCs w:val="24"/>
          <w:lang w:val="en-GB"/>
        </w:rPr>
      </w:pPr>
    </w:p>
    <w:p w:rsidR="00084A3A" w:rsidRPr="00084A3A" w:rsidRDefault="00084A3A" w:rsidP="00084A3A">
      <w:pPr>
        <w:widowControl w:val="0"/>
        <w:spacing w:after="0" w:line="360" w:lineRule="auto"/>
        <w:jc w:val="center"/>
        <w:rPr>
          <w:rFonts w:ascii="Arial" w:eastAsia="Times New Roman" w:hAnsi="Arial" w:cs="Arial"/>
          <w:b/>
          <w:spacing w:val="-3"/>
          <w:sz w:val="24"/>
          <w:szCs w:val="24"/>
          <w:lang w:val="en-GB"/>
        </w:rPr>
      </w:pPr>
    </w:p>
    <w:p w:rsidR="00084A3A" w:rsidRPr="00084A3A" w:rsidRDefault="00084A3A" w:rsidP="00084A3A">
      <w:pPr>
        <w:widowControl w:val="0"/>
        <w:spacing w:after="0" w:line="360" w:lineRule="auto"/>
        <w:jc w:val="center"/>
        <w:rPr>
          <w:rFonts w:ascii="Arial" w:eastAsia="Times New Roman" w:hAnsi="Arial" w:cs="Arial"/>
          <w:b/>
          <w:spacing w:val="-3"/>
          <w:sz w:val="24"/>
          <w:szCs w:val="24"/>
          <w:lang w:val="en-GB"/>
        </w:rPr>
      </w:pPr>
      <w:r w:rsidRPr="00084A3A">
        <w:rPr>
          <w:rFonts w:ascii="Arial" w:eastAsia="Times New Roman" w:hAnsi="Arial" w:cs="Arial"/>
          <w:b/>
          <w:spacing w:val="-3"/>
          <w:sz w:val="24"/>
          <w:szCs w:val="24"/>
          <w:lang w:val="en-GB"/>
        </w:rPr>
        <w:t>JUDGMENT</w:t>
      </w:r>
    </w:p>
    <w:p w:rsidR="00084A3A" w:rsidRPr="00084A3A" w:rsidRDefault="00084A3A" w:rsidP="00084A3A">
      <w:pPr>
        <w:widowControl w:val="0"/>
        <w:spacing w:after="0" w:line="360" w:lineRule="auto"/>
        <w:jc w:val="right"/>
        <w:rPr>
          <w:rFonts w:ascii="Arial" w:eastAsia="Times New Roman" w:hAnsi="Arial" w:cs="Arial"/>
          <w:spacing w:val="-3"/>
          <w:sz w:val="24"/>
          <w:szCs w:val="24"/>
          <w:lang w:val="en-GB"/>
        </w:rPr>
      </w:pPr>
    </w:p>
    <w:p w:rsidR="00084A3A" w:rsidRPr="00084A3A" w:rsidRDefault="00084A3A" w:rsidP="00084A3A">
      <w:pPr>
        <w:widowControl w:val="0"/>
        <w:spacing w:after="0" w:line="360" w:lineRule="auto"/>
        <w:jc w:val="right"/>
        <w:rPr>
          <w:rFonts w:ascii="Arial" w:eastAsia="Times New Roman" w:hAnsi="Arial" w:cs="Arial"/>
          <w:spacing w:val="-3"/>
          <w:sz w:val="24"/>
          <w:szCs w:val="24"/>
          <w:lang w:val="en-GB"/>
        </w:rPr>
      </w:pPr>
      <w:r w:rsidRPr="00084A3A">
        <w:rPr>
          <w:rFonts w:ascii="Arial" w:eastAsia="Times New Roman" w:hAnsi="Arial" w:cs="Arial"/>
          <w:spacing w:val="-3"/>
          <w:sz w:val="24"/>
          <w:szCs w:val="24"/>
          <w:lang w:val="en-GB"/>
        </w:rPr>
        <w:t xml:space="preserve">             Case no:</w:t>
      </w:r>
      <w:r w:rsidRPr="00084A3A">
        <w:rPr>
          <w:rFonts w:ascii="Arial" w:eastAsia="Times New Roman" w:hAnsi="Arial" w:cs="Arial"/>
          <w:spacing w:val="-3"/>
          <w:sz w:val="24"/>
          <w:szCs w:val="24"/>
          <w:lang w:val="en-GB"/>
        </w:rPr>
        <w:tab/>
      </w:r>
      <w:r>
        <w:rPr>
          <w:rFonts w:ascii="Arial" w:eastAsia="Times New Roman" w:hAnsi="Arial" w:cs="Arial"/>
          <w:spacing w:val="-3"/>
          <w:sz w:val="24"/>
          <w:szCs w:val="24"/>
          <w:lang w:val="en-GB"/>
        </w:rPr>
        <w:t>I 3785/2012</w:t>
      </w:r>
    </w:p>
    <w:p w:rsidR="00084A3A" w:rsidRPr="00084A3A" w:rsidRDefault="00084A3A" w:rsidP="00084A3A">
      <w:pPr>
        <w:widowControl w:val="0"/>
        <w:spacing w:after="0" w:line="360" w:lineRule="auto"/>
        <w:jc w:val="both"/>
        <w:rPr>
          <w:rFonts w:ascii="Arial" w:eastAsia="Times New Roman" w:hAnsi="Arial" w:cs="Arial"/>
          <w:spacing w:val="-3"/>
          <w:sz w:val="24"/>
          <w:szCs w:val="24"/>
          <w:lang w:val="en-GB"/>
        </w:rPr>
      </w:pPr>
    </w:p>
    <w:p w:rsidR="00084A3A" w:rsidRPr="00084A3A" w:rsidRDefault="00084A3A" w:rsidP="00084A3A">
      <w:pPr>
        <w:widowControl w:val="0"/>
        <w:spacing w:after="0" w:line="360" w:lineRule="auto"/>
        <w:jc w:val="both"/>
        <w:rPr>
          <w:rFonts w:ascii="Arial" w:eastAsia="Times New Roman" w:hAnsi="Arial" w:cs="Arial"/>
          <w:spacing w:val="-3"/>
          <w:sz w:val="24"/>
          <w:szCs w:val="24"/>
          <w:lang w:val="en-GB"/>
        </w:rPr>
      </w:pPr>
    </w:p>
    <w:p w:rsidR="00084A3A" w:rsidRPr="00084A3A" w:rsidRDefault="00084A3A" w:rsidP="00084A3A">
      <w:pPr>
        <w:widowControl w:val="0"/>
        <w:spacing w:after="0" w:line="360" w:lineRule="auto"/>
        <w:jc w:val="both"/>
        <w:rPr>
          <w:rFonts w:ascii="Arial" w:eastAsia="Times New Roman" w:hAnsi="Arial" w:cs="Arial"/>
          <w:spacing w:val="-3"/>
          <w:sz w:val="24"/>
          <w:szCs w:val="24"/>
          <w:lang w:val="en-GB"/>
        </w:rPr>
      </w:pPr>
      <w:r w:rsidRPr="00084A3A">
        <w:rPr>
          <w:rFonts w:ascii="Arial" w:eastAsia="Times New Roman" w:hAnsi="Arial" w:cs="Arial"/>
          <w:spacing w:val="-3"/>
          <w:sz w:val="24"/>
          <w:szCs w:val="24"/>
          <w:lang w:val="en-GB"/>
        </w:rPr>
        <w:t>In the matter between:</w:t>
      </w:r>
    </w:p>
    <w:p w:rsidR="00084A3A" w:rsidRPr="00084A3A" w:rsidRDefault="00084A3A" w:rsidP="00084A3A">
      <w:pPr>
        <w:widowControl w:val="0"/>
        <w:spacing w:after="0" w:line="360" w:lineRule="auto"/>
        <w:jc w:val="both"/>
        <w:rPr>
          <w:rFonts w:ascii="Arial" w:eastAsia="Times New Roman" w:hAnsi="Arial" w:cs="Arial"/>
          <w:spacing w:val="-3"/>
          <w:sz w:val="24"/>
          <w:szCs w:val="24"/>
          <w:lang w:val="en-GB"/>
        </w:rPr>
      </w:pPr>
    </w:p>
    <w:p w:rsidR="00084A3A" w:rsidRPr="00084A3A" w:rsidRDefault="00084A3A" w:rsidP="00084A3A">
      <w:pPr>
        <w:widowControl w:val="0"/>
        <w:spacing w:after="0" w:line="360" w:lineRule="auto"/>
        <w:jc w:val="both"/>
        <w:rPr>
          <w:rFonts w:ascii="Arial" w:eastAsia="Times New Roman" w:hAnsi="Arial" w:cs="Arial"/>
          <w:spacing w:val="-3"/>
          <w:sz w:val="24"/>
          <w:szCs w:val="24"/>
          <w:lang w:val="en-GB"/>
        </w:rPr>
      </w:pPr>
    </w:p>
    <w:p w:rsidR="00084A3A" w:rsidRPr="00084A3A" w:rsidRDefault="00084A3A" w:rsidP="00084A3A">
      <w:pPr>
        <w:widowControl w:val="0"/>
        <w:tabs>
          <w:tab w:val="right" w:pos="8280"/>
        </w:tabs>
        <w:spacing w:after="0" w:line="360" w:lineRule="auto"/>
        <w:jc w:val="both"/>
        <w:outlineLvl w:val="3"/>
        <w:rPr>
          <w:rFonts w:ascii="Arial" w:eastAsia="Times New Roman" w:hAnsi="Arial" w:cs="Arial"/>
          <w:b/>
          <w:spacing w:val="-3"/>
          <w:sz w:val="24"/>
          <w:szCs w:val="24"/>
          <w:lang w:val="en-GB"/>
        </w:rPr>
      </w:pPr>
      <w:r>
        <w:rPr>
          <w:rFonts w:ascii="Arial" w:eastAsia="Times New Roman" w:hAnsi="Arial" w:cs="Arial"/>
          <w:b/>
          <w:spacing w:val="-3"/>
          <w:sz w:val="24"/>
          <w:szCs w:val="24"/>
          <w:lang w:val="en-GB"/>
        </w:rPr>
        <w:t>JORGE MANUEL BATISTA NEVES</w:t>
      </w:r>
      <w:r w:rsidRPr="00084A3A">
        <w:rPr>
          <w:rFonts w:ascii="Arial" w:eastAsia="Times New Roman" w:hAnsi="Arial" w:cs="Arial"/>
          <w:b/>
          <w:spacing w:val="-3"/>
          <w:sz w:val="24"/>
          <w:szCs w:val="24"/>
          <w:lang w:val="en-GB"/>
        </w:rPr>
        <w:tab/>
      </w:r>
      <w:r>
        <w:rPr>
          <w:rFonts w:ascii="Arial" w:eastAsia="Times New Roman" w:hAnsi="Arial" w:cs="Arial"/>
          <w:b/>
          <w:spacing w:val="-3"/>
          <w:sz w:val="24"/>
          <w:szCs w:val="24"/>
          <w:lang w:val="en-GB"/>
        </w:rPr>
        <w:t>FIRST PLAINTIFF</w:t>
      </w:r>
    </w:p>
    <w:p w:rsidR="00084A3A" w:rsidRPr="00084A3A" w:rsidRDefault="00084A3A" w:rsidP="00084A3A">
      <w:pPr>
        <w:widowControl w:val="0"/>
        <w:tabs>
          <w:tab w:val="right" w:pos="8280"/>
        </w:tabs>
        <w:spacing w:after="0" w:line="360" w:lineRule="auto"/>
        <w:jc w:val="both"/>
        <w:outlineLvl w:val="3"/>
        <w:rPr>
          <w:rFonts w:ascii="Arial" w:eastAsia="Times New Roman" w:hAnsi="Arial" w:cs="Arial"/>
          <w:b/>
          <w:spacing w:val="-3"/>
          <w:sz w:val="24"/>
          <w:szCs w:val="24"/>
          <w:lang w:val="en-GB"/>
        </w:rPr>
      </w:pPr>
      <w:r>
        <w:rPr>
          <w:rFonts w:ascii="Arial" w:eastAsia="Times New Roman" w:hAnsi="Arial" w:cs="Arial"/>
          <w:b/>
          <w:spacing w:val="-3"/>
          <w:sz w:val="24"/>
          <w:szCs w:val="24"/>
          <w:lang w:val="en-GB"/>
        </w:rPr>
        <w:t>MARIA ALZIRA ALVES BATISTA NEVES</w:t>
      </w:r>
      <w:r>
        <w:rPr>
          <w:rFonts w:ascii="Arial" w:eastAsia="Times New Roman" w:hAnsi="Arial" w:cs="Arial"/>
          <w:b/>
          <w:spacing w:val="-3"/>
          <w:sz w:val="24"/>
          <w:szCs w:val="24"/>
          <w:lang w:val="en-GB"/>
        </w:rPr>
        <w:tab/>
        <w:t>SECOND PLAINTIFF</w:t>
      </w:r>
    </w:p>
    <w:p w:rsidR="00084A3A" w:rsidRPr="00084A3A" w:rsidRDefault="00084A3A" w:rsidP="00084A3A">
      <w:pPr>
        <w:widowControl w:val="0"/>
        <w:spacing w:after="0" w:line="360" w:lineRule="auto"/>
        <w:jc w:val="both"/>
        <w:rPr>
          <w:rFonts w:ascii="Arial" w:eastAsia="Times New Roman" w:hAnsi="Arial" w:cs="Arial"/>
          <w:spacing w:val="-3"/>
          <w:sz w:val="24"/>
          <w:szCs w:val="24"/>
          <w:lang w:val="en-GB"/>
        </w:rPr>
      </w:pPr>
      <w:r w:rsidRPr="00084A3A">
        <w:rPr>
          <w:rFonts w:ascii="Arial" w:eastAsia="Times New Roman" w:hAnsi="Arial" w:cs="Arial"/>
          <w:spacing w:val="-3"/>
          <w:sz w:val="24"/>
          <w:szCs w:val="24"/>
          <w:lang w:val="en-GB"/>
        </w:rPr>
        <w:t>and</w:t>
      </w:r>
    </w:p>
    <w:p w:rsidR="00084A3A" w:rsidRPr="00084A3A" w:rsidRDefault="00084A3A" w:rsidP="00084A3A">
      <w:pPr>
        <w:widowControl w:val="0"/>
        <w:spacing w:after="0" w:line="360" w:lineRule="auto"/>
        <w:jc w:val="both"/>
        <w:rPr>
          <w:rFonts w:ascii="Arial" w:eastAsia="Times New Roman" w:hAnsi="Arial" w:cs="Arial"/>
          <w:spacing w:val="-3"/>
          <w:sz w:val="24"/>
          <w:szCs w:val="24"/>
          <w:lang w:val="en-GB"/>
        </w:rPr>
      </w:pPr>
    </w:p>
    <w:p w:rsidR="00084A3A" w:rsidRPr="00084A3A" w:rsidRDefault="00084A3A" w:rsidP="00084A3A">
      <w:pPr>
        <w:widowControl w:val="0"/>
        <w:tabs>
          <w:tab w:val="right" w:pos="8280"/>
        </w:tabs>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RAINIER ARANGIES</w:t>
      </w:r>
      <w:r w:rsidRPr="00084A3A">
        <w:rPr>
          <w:rFonts w:ascii="Arial" w:eastAsia="Times New Roman" w:hAnsi="Arial" w:cs="Arial"/>
          <w:b/>
          <w:spacing w:val="-3"/>
          <w:sz w:val="24"/>
          <w:szCs w:val="24"/>
          <w:lang w:val="en-GB"/>
        </w:rPr>
        <w:tab/>
        <w:t>FIRST RESPONDENT</w:t>
      </w:r>
    </w:p>
    <w:p w:rsidR="00084A3A" w:rsidRPr="00084A3A" w:rsidRDefault="00084A3A" w:rsidP="00084A3A">
      <w:pPr>
        <w:widowControl w:val="0"/>
        <w:tabs>
          <w:tab w:val="right" w:pos="8280"/>
        </w:tabs>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COUNCIL FOR THE MUNICIPALITY OF TSUMEB</w:t>
      </w:r>
      <w:r w:rsidRPr="00084A3A">
        <w:rPr>
          <w:rFonts w:ascii="Arial" w:eastAsia="Times New Roman" w:hAnsi="Arial" w:cs="Arial"/>
          <w:b/>
          <w:spacing w:val="-3"/>
          <w:sz w:val="24"/>
          <w:szCs w:val="24"/>
          <w:lang w:val="en-GB"/>
        </w:rPr>
        <w:tab/>
        <w:t>SECOND RESPONDENT</w:t>
      </w:r>
    </w:p>
    <w:p w:rsidR="00084A3A" w:rsidRPr="00084A3A" w:rsidRDefault="00084A3A" w:rsidP="00084A3A">
      <w:pPr>
        <w:widowControl w:val="0"/>
        <w:tabs>
          <w:tab w:val="right" w:pos="8280"/>
        </w:tabs>
        <w:spacing w:after="0" w:line="360" w:lineRule="auto"/>
        <w:jc w:val="both"/>
        <w:rPr>
          <w:rFonts w:ascii="Arial" w:eastAsia="Times New Roman" w:hAnsi="Arial" w:cs="Arial"/>
          <w:b/>
          <w:spacing w:val="-3"/>
          <w:sz w:val="24"/>
          <w:szCs w:val="24"/>
          <w:lang w:val="en-GB"/>
        </w:rPr>
      </w:pPr>
    </w:p>
    <w:p w:rsidR="00084A3A" w:rsidRPr="00084A3A" w:rsidRDefault="00084A3A" w:rsidP="00084A3A">
      <w:pPr>
        <w:widowControl w:val="0"/>
        <w:spacing w:after="0" w:line="360" w:lineRule="auto"/>
        <w:jc w:val="both"/>
        <w:rPr>
          <w:rFonts w:ascii="Arial" w:eastAsia="Times New Roman" w:hAnsi="Arial" w:cs="Arial"/>
          <w:b/>
          <w:spacing w:val="-3"/>
          <w:sz w:val="24"/>
          <w:szCs w:val="24"/>
          <w:u w:val="single"/>
          <w:lang w:val="en-GB"/>
        </w:rPr>
      </w:pPr>
    </w:p>
    <w:p w:rsidR="00084A3A" w:rsidRPr="00084A3A" w:rsidRDefault="00084A3A" w:rsidP="00084A3A">
      <w:pPr>
        <w:widowControl w:val="0"/>
        <w:spacing w:after="0" w:line="360" w:lineRule="auto"/>
        <w:jc w:val="both"/>
        <w:rPr>
          <w:rFonts w:ascii="Arial" w:eastAsia="Times New Roman" w:hAnsi="Arial" w:cs="Arial"/>
          <w:i/>
          <w:spacing w:val="-3"/>
          <w:sz w:val="24"/>
          <w:szCs w:val="24"/>
          <w:lang w:val="en-GB"/>
        </w:rPr>
      </w:pPr>
      <w:r w:rsidRPr="00084A3A">
        <w:rPr>
          <w:rFonts w:ascii="Arial" w:eastAsia="Times New Roman" w:hAnsi="Arial" w:cs="Arial"/>
          <w:b/>
          <w:spacing w:val="-3"/>
          <w:sz w:val="24"/>
          <w:szCs w:val="24"/>
          <w:lang w:val="en-GB"/>
        </w:rPr>
        <w:t>Neutral citation:</w:t>
      </w:r>
      <w:r w:rsidRPr="00084A3A">
        <w:rPr>
          <w:rFonts w:ascii="Arial" w:eastAsia="Times New Roman" w:hAnsi="Arial" w:cs="Arial"/>
          <w:b/>
          <w:spacing w:val="-3"/>
          <w:sz w:val="24"/>
          <w:szCs w:val="24"/>
          <w:lang w:val="en-GB"/>
        </w:rPr>
        <w:tab/>
      </w:r>
      <w:r>
        <w:rPr>
          <w:rFonts w:ascii="Arial" w:eastAsia="Times New Roman" w:hAnsi="Arial" w:cs="Arial"/>
          <w:i/>
          <w:spacing w:val="-3"/>
          <w:sz w:val="24"/>
          <w:szCs w:val="24"/>
          <w:lang w:val="en-GB"/>
        </w:rPr>
        <w:t>Neves &amp; Another v</w:t>
      </w:r>
      <w:r w:rsidRPr="00084A3A">
        <w:rPr>
          <w:rFonts w:ascii="Arial" w:eastAsia="Times New Roman" w:hAnsi="Arial" w:cs="Arial"/>
          <w:i/>
          <w:spacing w:val="-3"/>
          <w:sz w:val="24"/>
          <w:szCs w:val="24"/>
          <w:lang w:val="en-GB"/>
        </w:rPr>
        <w:t xml:space="preserve"> </w:t>
      </w:r>
      <w:r>
        <w:rPr>
          <w:rFonts w:ascii="Arial" w:eastAsia="Times New Roman" w:hAnsi="Arial" w:cs="Arial"/>
          <w:i/>
          <w:spacing w:val="-3"/>
          <w:sz w:val="24"/>
          <w:szCs w:val="24"/>
          <w:lang w:val="en-GB"/>
        </w:rPr>
        <w:t>Arangies &amp;</w:t>
      </w:r>
      <w:r w:rsidRPr="00084A3A">
        <w:rPr>
          <w:rFonts w:ascii="Arial" w:eastAsia="Times New Roman" w:hAnsi="Arial" w:cs="Arial"/>
          <w:i/>
          <w:spacing w:val="-3"/>
          <w:sz w:val="24"/>
          <w:szCs w:val="24"/>
          <w:lang w:val="en-GB"/>
        </w:rPr>
        <w:t xml:space="preserve"> Another (</w:t>
      </w:r>
      <w:r>
        <w:rPr>
          <w:rFonts w:ascii="Arial" w:eastAsia="Times New Roman" w:hAnsi="Arial" w:cs="Arial"/>
          <w:i/>
          <w:spacing w:val="-3"/>
          <w:sz w:val="24"/>
          <w:szCs w:val="24"/>
          <w:lang w:val="en-GB"/>
        </w:rPr>
        <w:t>I 3785/2012</w:t>
      </w:r>
      <w:r w:rsidR="008E5E21">
        <w:rPr>
          <w:rFonts w:ascii="Arial" w:eastAsia="Times New Roman" w:hAnsi="Arial" w:cs="Arial"/>
          <w:i/>
          <w:spacing w:val="-3"/>
          <w:sz w:val="24"/>
          <w:szCs w:val="24"/>
          <w:lang w:val="en-GB"/>
        </w:rPr>
        <w:t>) [2017] NAHCMD 57</w:t>
      </w:r>
      <w:r w:rsidRPr="00084A3A">
        <w:rPr>
          <w:rFonts w:ascii="Arial" w:eastAsia="Times New Roman" w:hAnsi="Arial" w:cs="Arial"/>
          <w:i/>
          <w:spacing w:val="-3"/>
          <w:sz w:val="24"/>
          <w:szCs w:val="24"/>
          <w:lang w:val="en-GB"/>
        </w:rPr>
        <w:t xml:space="preserve"> (</w:t>
      </w:r>
      <w:r>
        <w:rPr>
          <w:rFonts w:ascii="Arial" w:eastAsia="Times New Roman" w:hAnsi="Arial" w:cs="Arial"/>
          <w:i/>
          <w:spacing w:val="-3"/>
          <w:sz w:val="24"/>
          <w:szCs w:val="24"/>
          <w:lang w:val="en-GB"/>
        </w:rPr>
        <w:t>03 March</w:t>
      </w:r>
      <w:r w:rsidRPr="00084A3A">
        <w:rPr>
          <w:rFonts w:ascii="Arial" w:eastAsia="Times New Roman" w:hAnsi="Arial" w:cs="Arial"/>
          <w:i/>
          <w:spacing w:val="-3"/>
          <w:sz w:val="24"/>
          <w:szCs w:val="24"/>
          <w:lang w:val="en-GB"/>
        </w:rPr>
        <w:t xml:space="preserve"> 2017) </w:t>
      </w:r>
    </w:p>
    <w:p w:rsidR="00084A3A" w:rsidRDefault="00084A3A" w:rsidP="00186060">
      <w:pPr>
        <w:spacing w:line="360" w:lineRule="auto"/>
        <w:jc w:val="both"/>
        <w:rPr>
          <w:rFonts w:ascii="Arial" w:hAnsi="Arial" w:cs="Arial"/>
          <w:sz w:val="24"/>
          <w:szCs w:val="24"/>
          <w:lang w:val="en-ZA"/>
        </w:rPr>
      </w:pPr>
    </w:p>
    <w:p w:rsidR="00B86DEA" w:rsidRDefault="00B86DEA" w:rsidP="00186060">
      <w:pPr>
        <w:spacing w:line="360" w:lineRule="auto"/>
        <w:jc w:val="both"/>
        <w:rPr>
          <w:rFonts w:ascii="Arial" w:hAnsi="Arial" w:cs="Arial"/>
          <w:b/>
          <w:sz w:val="24"/>
          <w:szCs w:val="24"/>
          <w:lang w:val="en-ZA"/>
        </w:rPr>
      </w:pPr>
    </w:p>
    <w:p w:rsidR="00084A3A" w:rsidRDefault="00084A3A" w:rsidP="00186060">
      <w:pPr>
        <w:spacing w:line="360" w:lineRule="auto"/>
        <w:jc w:val="both"/>
        <w:rPr>
          <w:rFonts w:ascii="Arial" w:hAnsi="Arial" w:cs="Arial"/>
          <w:sz w:val="24"/>
          <w:szCs w:val="24"/>
          <w:lang w:val="en-ZA"/>
        </w:rPr>
      </w:pPr>
      <w:r w:rsidRPr="00F226BB">
        <w:rPr>
          <w:rFonts w:ascii="Arial" w:hAnsi="Arial" w:cs="Arial"/>
          <w:b/>
          <w:sz w:val="24"/>
          <w:szCs w:val="24"/>
          <w:lang w:val="en-ZA"/>
        </w:rPr>
        <w:lastRenderedPageBreak/>
        <w:t>Coram:</w:t>
      </w:r>
      <w:r>
        <w:rPr>
          <w:rFonts w:ascii="Arial" w:hAnsi="Arial" w:cs="Arial"/>
          <w:sz w:val="24"/>
          <w:szCs w:val="24"/>
          <w:lang w:val="en-ZA"/>
        </w:rPr>
        <w:tab/>
        <w:t>MILLER AJ</w:t>
      </w:r>
    </w:p>
    <w:p w:rsidR="00084A3A" w:rsidRDefault="00084A3A" w:rsidP="00186060">
      <w:pPr>
        <w:spacing w:line="360" w:lineRule="auto"/>
        <w:jc w:val="both"/>
        <w:rPr>
          <w:rFonts w:ascii="Arial" w:hAnsi="Arial" w:cs="Arial"/>
          <w:sz w:val="24"/>
          <w:szCs w:val="24"/>
          <w:lang w:val="en-ZA"/>
        </w:rPr>
      </w:pPr>
      <w:r w:rsidRPr="00F226BB">
        <w:rPr>
          <w:rFonts w:ascii="Arial" w:hAnsi="Arial" w:cs="Arial"/>
          <w:b/>
          <w:sz w:val="24"/>
          <w:szCs w:val="24"/>
          <w:lang w:val="en-ZA"/>
        </w:rPr>
        <w:t>Heard:</w:t>
      </w:r>
      <w:r>
        <w:rPr>
          <w:rFonts w:ascii="Arial" w:hAnsi="Arial" w:cs="Arial"/>
          <w:sz w:val="24"/>
          <w:szCs w:val="24"/>
          <w:lang w:val="en-ZA"/>
        </w:rPr>
        <w:tab/>
        <w:t>15, 16 and 18 November 2016.</w:t>
      </w:r>
    </w:p>
    <w:p w:rsidR="00084A3A" w:rsidRDefault="00084A3A" w:rsidP="00186060">
      <w:pPr>
        <w:spacing w:line="360" w:lineRule="auto"/>
        <w:jc w:val="both"/>
        <w:rPr>
          <w:rFonts w:ascii="Arial" w:hAnsi="Arial" w:cs="Arial"/>
          <w:sz w:val="24"/>
          <w:szCs w:val="24"/>
          <w:lang w:val="en-ZA"/>
        </w:rPr>
      </w:pPr>
      <w:r w:rsidRPr="00F226BB">
        <w:rPr>
          <w:rFonts w:ascii="Arial" w:hAnsi="Arial" w:cs="Arial"/>
          <w:b/>
          <w:sz w:val="24"/>
          <w:szCs w:val="24"/>
          <w:lang w:val="en-ZA"/>
        </w:rPr>
        <w:t>Delivered:</w:t>
      </w:r>
      <w:r>
        <w:rPr>
          <w:rFonts w:ascii="Arial" w:hAnsi="Arial" w:cs="Arial"/>
          <w:sz w:val="24"/>
          <w:szCs w:val="24"/>
          <w:lang w:val="en-ZA"/>
        </w:rPr>
        <w:tab/>
        <w:t>03 March 2017</w:t>
      </w:r>
    </w:p>
    <w:p w:rsidR="00084A3A" w:rsidRDefault="00084A3A" w:rsidP="00186060">
      <w:pPr>
        <w:pBdr>
          <w:bottom w:val="single" w:sz="12" w:space="1" w:color="auto"/>
        </w:pBdr>
        <w:spacing w:line="360" w:lineRule="auto"/>
        <w:jc w:val="both"/>
        <w:rPr>
          <w:rFonts w:ascii="Arial" w:hAnsi="Arial" w:cs="Arial"/>
          <w:sz w:val="24"/>
          <w:szCs w:val="24"/>
          <w:lang w:val="en-ZA"/>
        </w:rPr>
      </w:pPr>
    </w:p>
    <w:p w:rsidR="00084A3A" w:rsidRPr="00F226BB" w:rsidRDefault="00084A3A" w:rsidP="00084A3A">
      <w:pPr>
        <w:spacing w:line="360" w:lineRule="auto"/>
        <w:jc w:val="center"/>
        <w:rPr>
          <w:rFonts w:ascii="Arial" w:hAnsi="Arial" w:cs="Arial"/>
          <w:b/>
          <w:sz w:val="24"/>
          <w:szCs w:val="24"/>
          <w:lang w:val="en-ZA"/>
        </w:rPr>
      </w:pPr>
      <w:r w:rsidRPr="00F226BB">
        <w:rPr>
          <w:rFonts w:ascii="Arial" w:hAnsi="Arial" w:cs="Arial"/>
          <w:b/>
          <w:sz w:val="24"/>
          <w:szCs w:val="24"/>
          <w:lang w:val="en-ZA"/>
        </w:rPr>
        <w:t>ORDER</w:t>
      </w:r>
    </w:p>
    <w:p w:rsidR="00084A3A" w:rsidRDefault="00084A3A" w:rsidP="00084A3A">
      <w:pPr>
        <w:spacing w:line="360" w:lineRule="auto"/>
        <w:jc w:val="center"/>
        <w:rPr>
          <w:rFonts w:ascii="Arial" w:hAnsi="Arial" w:cs="Arial"/>
          <w:sz w:val="24"/>
          <w:szCs w:val="24"/>
          <w:lang w:val="en-ZA"/>
        </w:rPr>
      </w:pPr>
      <w:r>
        <w:rPr>
          <w:rFonts w:ascii="Arial" w:hAnsi="Arial" w:cs="Arial"/>
          <w:sz w:val="24"/>
          <w:szCs w:val="24"/>
          <w:lang w:val="en-ZA"/>
        </w:rPr>
        <w:t>______________________________________________________________________</w:t>
      </w:r>
    </w:p>
    <w:p w:rsidR="00730044" w:rsidRDefault="00730044" w:rsidP="00730044">
      <w:pPr>
        <w:pStyle w:val="ListParagraph"/>
        <w:numPr>
          <w:ilvl w:val="0"/>
          <w:numId w:val="2"/>
        </w:numPr>
        <w:spacing w:line="360" w:lineRule="auto"/>
        <w:jc w:val="both"/>
        <w:rPr>
          <w:rFonts w:ascii="Arial" w:hAnsi="Arial" w:cs="Arial"/>
          <w:sz w:val="24"/>
          <w:szCs w:val="24"/>
        </w:rPr>
      </w:pPr>
      <w:r>
        <w:rPr>
          <w:rFonts w:ascii="Arial" w:hAnsi="Arial" w:cs="Arial"/>
          <w:sz w:val="24"/>
          <w:szCs w:val="24"/>
        </w:rPr>
        <w:t>I grant judgment in favour of the plaintiff, on the principal claim.</w:t>
      </w:r>
    </w:p>
    <w:p w:rsidR="00084A3A" w:rsidRPr="00730044" w:rsidRDefault="00730044" w:rsidP="00730044">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first defendant is ordered to pay the costs of the plaintiff on the basis of one instructing and 2 instructed counsel.</w:t>
      </w:r>
    </w:p>
    <w:p w:rsidR="00084A3A" w:rsidRDefault="00084A3A" w:rsidP="00084A3A">
      <w:pPr>
        <w:spacing w:line="360" w:lineRule="auto"/>
        <w:jc w:val="both"/>
        <w:rPr>
          <w:rFonts w:ascii="Arial" w:hAnsi="Arial" w:cs="Arial"/>
          <w:sz w:val="24"/>
          <w:szCs w:val="24"/>
          <w:lang w:val="en-ZA"/>
        </w:rPr>
      </w:pPr>
      <w:r>
        <w:rPr>
          <w:rFonts w:ascii="Arial" w:hAnsi="Arial" w:cs="Arial"/>
          <w:sz w:val="24"/>
          <w:szCs w:val="24"/>
          <w:lang w:val="en-ZA"/>
        </w:rPr>
        <w:t>______________________________________________________________________</w:t>
      </w:r>
    </w:p>
    <w:p w:rsidR="00084A3A" w:rsidRPr="00F226BB" w:rsidRDefault="00084A3A" w:rsidP="00084A3A">
      <w:pPr>
        <w:pBdr>
          <w:bottom w:val="single" w:sz="12" w:space="1" w:color="auto"/>
        </w:pBdr>
        <w:spacing w:line="360" w:lineRule="auto"/>
        <w:jc w:val="center"/>
        <w:rPr>
          <w:rFonts w:ascii="Arial" w:hAnsi="Arial" w:cs="Arial"/>
          <w:b/>
          <w:sz w:val="24"/>
          <w:szCs w:val="24"/>
          <w:lang w:val="en-ZA"/>
        </w:rPr>
      </w:pPr>
      <w:r w:rsidRPr="00F226BB">
        <w:rPr>
          <w:rFonts w:ascii="Arial" w:hAnsi="Arial" w:cs="Arial"/>
          <w:b/>
          <w:sz w:val="24"/>
          <w:szCs w:val="24"/>
          <w:lang w:val="en-ZA"/>
        </w:rPr>
        <w:t>JUDGMENT</w:t>
      </w:r>
    </w:p>
    <w:p w:rsidR="00084A3A" w:rsidRPr="00084A3A" w:rsidRDefault="00084A3A" w:rsidP="00084A3A">
      <w:pPr>
        <w:spacing w:line="360" w:lineRule="auto"/>
        <w:jc w:val="center"/>
        <w:rPr>
          <w:rFonts w:ascii="Arial" w:hAnsi="Arial" w:cs="Arial"/>
          <w:sz w:val="24"/>
          <w:szCs w:val="24"/>
          <w:lang w:val="en-ZA"/>
        </w:rPr>
      </w:pPr>
    </w:p>
    <w:p w:rsidR="00186060" w:rsidRPr="00186060" w:rsidRDefault="00186060" w:rsidP="00186060">
      <w:pPr>
        <w:spacing w:line="360" w:lineRule="auto"/>
        <w:jc w:val="both"/>
        <w:rPr>
          <w:rFonts w:ascii="Arial" w:hAnsi="Arial" w:cs="Arial"/>
          <w:sz w:val="24"/>
          <w:szCs w:val="24"/>
          <w:lang w:val="en-ZA"/>
        </w:rPr>
      </w:pPr>
      <w:r w:rsidRPr="00186060">
        <w:rPr>
          <w:rFonts w:ascii="Arial" w:hAnsi="Arial" w:cs="Arial"/>
          <w:sz w:val="24"/>
          <w:szCs w:val="24"/>
          <w:lang w:val="en-ZA"/>
        </w:rPr>
        <w:t>Miller, AJ:</w:t>
      </w:r>
    </w:p>
    <w:p w:rsidR="00186060" w:rsidRPr="00186060" w:rsidRDefault="00186060" w:rsidP="00186060">
      <w:pPr>
        <w:spacing w:line="360" w:lineRule="auto"/>
        <w:jc w:val="both"/>
        <w:rPr>
          <w:rFonts w:ascii="Arial" w:hAnsi="Arial" w:cs="Arial"/>
          <w:sz w:val="24"/>
          <w:szCs w:val="24"/>
          <w:lang w:val="en-ZA"/>
        </w:rPr>
      </w:pPr>
    </w:p>
    <w:p w:rsidR="00186060" w:rsidRPr="00186060" w:rsidRDefault="00186060" w:rsidP="00186060">
      <w:pPr>
        <w:spacing w:line="360" w:lineRule="auto"/>
        <w:jc w:val="both"/>
        <w:rPr>
          <w:rFonts w:ascii="Arial" w:hAnsi="Arial" w:cs="Arial"/>
          <w:sz w:val="24"/>
          <w:szCs w:val="24"/>
          <w:lang w:val="en-ZA"/>
        </w:rPr>
      </w:pPr>
      <w:r w:rsidRPr="00186060">
        <w:rPr>
          <w:rFonts w:ascii="Arial" w:hAnsi="Arial" w:cs="Arial"/>
          <w:sz w:val="24"/>
          <w:szCs w:val="24"/>
          <w:lang w:val="en-ZA"/>
        </w:rPr>
        <w:t>[1]</w:t>
      </w:r>
      <w:r w:rsidRPr="00186060">
        <w:rPr>
          <w:rFonts w:ascii="Arial" w:hAnsi="Arial" w:cs="Arial"/>
          <w:sz w:val="24"/>
          <w:szCs w:val="24"/>
          <w:lang w:val="en-ZA"/>
        </w:rPr>
        <w:tab/>
        <w:t>The plaintiff in this matter seeks an order declaring that they have acquired a servitude of right of way over the first defendant’s property in terms of section 6 of the Prescription Act, Act 68 of 1969 and other relief as stated in their Particulars of Claim dated 29 November 2012.</w:t>
      </w:r>
      <w:r w:rsidR="005F7D2B">
        <w:rPr>
          <w:rFonts w:ascii="Arial" w:hAnsi="Arial" w:cs="Arial"/>
          <w:sz w:val="24"/>
          <w:szCs w:val="24"/>
          <w:lang w:val="en-ZA"/>
        </w:rPr>
        <w:t xml:space="preserve"> The law relating to acquisitive prescription is well settled. It requires the plaintiff to prove that it had possession of the property or any portion thereof for an interrupted period of 30 years and that such possession was </w:t>
      </w:r>
      <w:r w:rsidR="005F7D2B" w:rsidRPr="005F7D2B">
        <w:rPr>
          <w:rFonts w:ascii="Arial" w:hAnsi="Arial" w:cs="Arial"/>
          <w:i/>
          <w:sz w:val="24"/>
          <w:szCs w:val="24"/>
          <w:lang w:val="en-ZA"/>
        </w:rPr>
        <w:t>nec vi, nec clam</w:t>
      </w:r>
      <w:r w:rsidR="005F7D2B">
        <w:rPr>
          <w:rFonts w:ascii="Arial" w:hAnsi="Arial" w:cs="Arial"/>
          <w:sz w:val="24"/>
          <w:szCs w:val="24"/>
          <w:lang w:val="en-ZA"/>
        </w:rPr>
        <w:t xml:space="preserve"> and </w:t>
      </w:r>
      <w:r w:rsidR="005F7D2B" w:rsidRPr="005F7D2B">
        <w:rPr>
          <w:rFonts w:ascii="Arial" w:hAnsi="Arial" w:cs="Arial"/>
          <w:i/>
          <w:sz w:val="24"/>
          <w:szCs w:val="24"/>
          <w:lang w:val="en-ZA"/>
        </w:rPr>
        <w:t>nec precario</w:t>
      </w:r>
      <w:r w:rsidR="005F7D2B">
        <w:rPr>
          <w:rFonts w:ascii="Arial" w:hAnsi="Arial" w:cs="Arial"/>
          <w:sz w:val="24"/>
          <w:szCs w:val="24"/>
          <w:lang w:val="en-ZA"/>
        </w:rPr>
        <w:t>.</w:t>
      </w:r>
    </w:p>
    <w:p w:rsidR="00186060" w:rsidRPr="00186060" w:rsidRDefault="00186060" w:rsidP="00186060">
      <w:pPr>
        <w:spacing w:line="360" w:lineRule="auto"/>
        <w:jc w:val="both"/>
        <w:rPr>
          <w:rFonts w:ascii="Arial" w:hAnsi="Arial" w:cs="Arial"/>
          <w:sz w:val="24"/>
          <w:szCs w:val="24"/>
          <w:u w:val="single"/>
          <w:lang w:val="en-ZA"/>
        </w:rPr>
      </w:pPr>
    </w:p>
    <w:p w:rsidR="00186060" w:rsidRPr="00186060" w:rsidRDefault="00186060" w:rsidP="00186060">
      <w:pPr>
        <w:spacing w:line="360" w:lineRule="auto"/>
        <w:jc w:val="both"/>
        <w:rPr>
          <w:rFonts w:ascii="Arial" w:hAnsi="Arial" w:cs="Arial"/>
          <w:sz w:val="24"/>
          <w:szCs w:val="24"/>
          <w:lang w:val="en-ZA"/>
        </w:rPr>
      </w:pPr>
      <w:r>
        <w:rPr>
          <w:rFonts w:ascii="Arial" w:hAnsi="Arial" w:cs="Arial"/>
          <w:sz w:val="24"/>
          <w:szCs w:val="24"/>
          <w:lang w:val="en-ZA"/>
        </w:rPr>
        <w:t>[2</w:t>
      </w:r>
      <w:r w:rsidRPr="00186060">
        <w:rPr>
          <w:rFonts w:ascii="Arial" w:hAnsi="Arial" w:cs="Arial"/>
          <w:sz w:val="24"/>
          <w:szCs w:val="24"/>
          <w:lang w:val="en-ZA"/>
        </w:rPr>
        <w:t>]</w:t>
      </w:r>
      <w:r w:rsidRPr="00186060">
        <w:rPr>
          <w:rFonts w:ascii="Arial" w:hAnsi="Arial" w:cs="Arial"/>
          <w:sz w:val="24"/>
          <w:szCs w:val="24"/>
          <w:lang w:val="en-ZA"/>
        </w:rPr>
        <w:tab/>
        <w:t>During 1972, Mr</w:t>
      </w:r>
      <w:r>
        <w:rPr>
          <w:rFonts w:ascii="Arial" w:hAnsi="Arial" w:cs="Arial"/>
          <w:sz w:val="24"/>
          <w:szCs w:val="24"/>
          <w:lang w:val="en-ZA"/>
        </w:rPr>
        <w:t>.</w:t>
      </w:r>
      <w:r w:rsidRPr="00186060">
        <w:rPr>
          <w:rFonts w:ascii="Arial" w:hAnsi="Arial" w:cs="Arial"/>
          <w:sz w:val="24"/>
          <w:szCs w:val="24"/>
          <w:lang w:val="en-ZA"/>
        </w:rPr>
        <w:t xml:space="preserve"> Manuel da Silva Neves (first plaintiff’s father and second plaintiff’s husband) (hereinafter reffered to as Mr. Neves), purchased and became the owner of Erf 71A, Presidents Avenue, Tsumeb, Namibia, which is the Erf in issue.</w:t>
      </w:r>
    </w:p>
    <w:p w:rsidR="00186060" w:rsidRPr="00186060" w:rsidRDefault="00186060" w:rsidP="00186060">
      <w:pPr>
        <w:spacing w:line="360" w:lineRule="auto"/>
        <w:jc w:val="both"/>
        <w:rPr>
          <w:rFonts w:ascii="Arial" w:hAnsi="Arial" w:cs="Arial"/>
          <w:sz w:val="24"/>
          <w:szCs w:val="24"/>
          <w:lang w:val="en-ZA"/>
        </w:rPr>
      </w:pPr>
      <w:r>
        <w:rPr>
          <w:rFonts w:ascii="Arial" w:hAnsi="Arial" w:cs="Arial"/>
          <w:sz w:val="24"/>
          <w:szCs w:val="24"/>
          <w:lang w:val="en-ZA"/>
        </w:rPr>
        <w:lastRenderedPageBreak/>
        <w:t>[3</w:t>
      </w:r>
      <w:r w:rsidRPr="00186060">
        <w:rPr>
          <w:rFonts w:ascii="Arial" w:hAnsi="Arial" w:cs="Arial"/>
          <w:sz w:val="24"/>
          <w:szCs w:val="24"/>
          <w:lang w:val="en-ZA"/>
        </w:rPr>
        <w:t>]</w:t>
      </w:r>
      <w:r w:rsidRPr="00186060">
        <w:rPr>
          <w:rFonts w:ascii="Arial" w:hAnsi="Arial" w:cs="Arial"/>
          <w:sz w:val="24"/>
          <w:szCs w:val="24"/>
          <w:lang w:val="en-ZA"/>
        </w:rPr>
        <w:tab/>
        <w:t>The aforesaid Erf 71A, had and still has shop-fronts on the front of the property which faces Presidents Avenue and during 1980, Mr. Neves erected dwelling and a lean</w:t>
      </w:r>
      <w:r w:rsidR="00730044">
        <w:rPr>
          <w:rFonts w:ascii="Arial" w:hAnsi="Arial" w:cs="Arial"/>
          <w:sz w:val="24"/>
          <w:szCs w:val="24"/>
          <w:lang w:val="en-ZA"/>
        </w:rPr>
        <w:t>-to at the rear of the property. T</w:t>
      </w:r>
      <w:r w:rsidRPr="00186060">
        <w:rPr>
          <w:rFonts w:ascii="Arial" w:hAnsi="Arial" w:cs="Arial"/>
          <w:sz w:val="24"/>
          <w:szCs w:val="24"/>
          <w:lang w:val="en-ZA"/>
        </w:rPr>
        <w:t xml:space="preserve">he lean-to was used as a </w:t>
      </w:r>
      <w:r w:rsidR="00730044" w:rsidRPr="00186060">
        <w:rPr>
          <w:rFonts w:ascii="Arial" w:hAnsi="Arial" w:cs="Arial"/>
          <w:sz w:val="24"/>
          <w:szCs w:val="24"/>
          <w:lang w:val="en-ZA"/>
        </w:rPr>
        <w:t>carport</w:t>
      </w:r>
      <w:r w:rsidRPr="00186060">
        <w:rPr>
          <w:rFonts w:ascii="Arial" w:hAnsi="Arial" w:cs="Arial"/>
          <w:sz w:val="24"/>
          <w:szCs w:val="24"/>
          <w:lang w:val="en-ZA"/>
        </w:rPr>
        <w:t xml:space="preserve">/garage. </w:t>
      </w:r>
    </w:p>
    <w:p w:rsidR="00186060" w:rsidRPr="00186060" w:rsidRDefault="00186060" w:rsidP="00186060">
      <w:pPr>
        <w:spacing w:line="360" w:lineRule="auto"/>
        <w:jc w:val="both"/>
        <w:rPr>
          <w:rFonts w:ascii="Arial" w:hAnsi="Arial" w:cs="Arial"/>
          <w:sz w:val="24"/>
          <w:szCs w:val="24"/>
          <w:lang w:val="en-ZA"/>
        </w:rPr>
      </w:pPr>
    </w:p>
    <w:p w:rsidR="00186060" w:rsidRPr="00186060" w:rsidRDefault="00186060" w:rsidP="00186060">
      <w:pPr>
        <w:spacing w:line="360" w:lineRule="auto"/>
        <w:jc w:val="both"/>
        <w:rPr>
          <w:rFonts w:ascii="Arial" w:hAnsi="Arial" w:cs="Arial"/>
          <w:sz w:val="24"/>
          <w:szCs w:val="24"/>
          <w:lang w:val="en-ZA"/>
        </w:rPr>
      </w:pPr>
      <w:r>
        <w:rPr>
          <w:rFonts w:ascii="Arial" w:hAnsi="Arial" w:cs="Arial"/>
          <w:sz w:val="24"/>
          <w:szCs w:val="24"/>
          <w:lang w:val="en-ZA"/>
        </w:rPr>
        <w:t>[4</w:t>
      </w:r>
      <w:r w:rsidRPr="00186060">
        <w:rPr>
          <w:rFonts w:ascii="Arial" w:hAnsi="Arial" w:cs="Arial"/>
          <w:sz w:val="24"/>
          <w:szCs w:val="24"/>
          <w:lang w:val="en-ZA"/>
        </w:rPr>
        <w:t>]</w:t>
      </w:r>
      <w:r w:rsidRPr="00186060">
        <w:rPr>
          <w:rFonts w:ascii="Arial" w:hAnsi="Arial" w:cs="Arial"/>
          <w:sz w:val="24"/>
          <w:szCs w:val="24"/>
          <w:lang w:val="en-ZA"/>
        </w:rPr>
        <w:tab/>
        <w:t>Mr</w:t>
      </w:r>
      <w:r w:rsidR="00DF225D">
        <w:rPr>
          <w:rFonts w:ascii="Arial" w:hAnsi="Arial" w:cs="Arial"/>
          <w:sz w:val="24"/>
          <w:szCs w:val="24"/>
          <w:lang w:val="en-ZA"/>
        </w:rPr>
        <w:t>.</w:t>
      </w:r>
      <w:r w:rsidRPr="00186060">
        <w:rPr>
          <w:rFonts w:ascii="Arial" w:hAnsi="Arial" w:cs="Arial"/>
          <w:sz w:val="24"/>
          <w:szCs w:val="24"/>
          <w:lang w:val="en-ZA"/>
        </w:rPr>
        <w:t xml:space="preserve"> Neves passed away on the 24</w:t>
      </w:r>
      <w:r w:rsidRPr="00186060">
        <w:rPr>
          <w:rFonts w:ascii="Arial" w:hAnsi="Arial" w:cs="Arial"/>
          <w:sz w:val="24"/>
          <w:szCs w:val="24"/>
          <w:vertAlign w:val="superscript"/>
          <w:lang w:val="en-ZA"/>
        </w:rPr>
        <w:t>th</w:t>
      </w:r>
      <w:r w:rsidRPr="00186060">
        <w:rPr>
          <w:rFonts w:ascii="Arial" w:hAnsi="Arial" w:cs="Arial"/>
          <w:sz w:val="24"/>
          <w:szCs w:val="24"/>
          <w:lang w:val="en-ZA"/>
        </w:rPr>
        <w:t xml:space="preserve"> of February 1997, and subsequent to the demise of Mr</w:t>
      </w:r>
      <w:r w:rsidR="00DF225D">
        <w:rPr>
          <w:rFonts w:ascii="Arial" w:hAnsi="Arial" w:cs="Arial"/>
          <w:sz w:val="24"/>
          <w:szCs w:val="24"/>
          <w:lang w:val="en-ZA"/>
        </w:rPr>
        <w:t>.</w:t>
      </w:r>
      <w:r w:rsidRPr="00186060">
        <w:rPr>
          <w:rFonts w:ascii="Arial" w:hAnsi="Arial" w:cs="Arial"/>
          <w:sz w:val="24"/>
          <w:szCs w:val="24"/>
          <w:lang w:val="en-ZA"/>
        </w:rPr>
        <w:t xml:space="preserve"> Neves, plaintiffs became the owners of the aforesaid property, Erf 71A together with all its improvements.</w:t>
      </w:r>
    </w:p>
    <w:p w:rsidR="00186060" w:rsidRPr="00186060" w:rsidRDefault="00186060" w:rsidP="00186060">
      <w:pPr>
        <w:spacing w:line="360" w:lineRule="auto"/>
        <w:jc w:val="both"/>
        <w:rPr>
          <w:rFonts w:ascii="Arial" w:hAnsi="Arial" w:cs="Arial"/>
          <w:sz w:val="24"/>
          <w:szCs w:val="24"/>
          <w:lang w:val="en-ZA"/>
        </w:rPr>
      </w:pPr>
    </w:p>
    <w:p w:rsidR="00186060" w:rsidRPr="00186060" w:rsidRDefault="00186060" w:rsidP="00186060">
      <w:pPr>
        <w:spacing w:line="360" w:lineRule="auto"/>
        <w:jc w:val="both"/>
        <w:rPr>
          <w:rFonts w:ascii="Arial" w:hAnsi="Arial" w:cs="Arial"/>
          <w:sz w:val="24"/>
          <w:szCs w:val="24"/>
          <w:lang w:val="en-ZA"/>
        </w:rPr>
      </w:pPr>
      <w:r>
        <w:rPr>
          <w:rFonts w:ascii="Arial" w:hAnsi="Arial" w:cs="Arial"/>
          <w:sz w:val="24"/>
          <w:szCs w:val="24"/>
          <w:lang w:val="en-ZA"/>
        </w:rPr>
        <w:t>[5</w:t>
      </w:r>
      <w:r w:rsidRPr="00186060">
        <w:rPr>
          <w:rFonts w:ascii="Arial" w:hAnsi="Arial" w:cs="Arial"/>
          <w:sz w:val="24"/>
          <w:szCs w:val="24"/>
          <w:lang w:val="en-ZA"/>
        </w:rPr>
        <w:t>]</w:t>
      </w:r>
      <w:r w:rsidRPr="00186060">
        <w:rPr>
          <w:rFonts w:ascii="Arial" w:hAnsi="Arial" w:cs="Arial"/>
          <w:sz w:val="24"/>
          <w:szCs w:val="24"/>
          <w:lang w:val="en-ZA"/>
        </w:rPr>
        <w:tab/>
        <w:t>The first defendant is the owner of Erf 646 (formerly open space, a portion of Erf 56 open space), Susan Nghidinwa Street, Tsumeb, Namibia. The first defendant’s property borders that of the plaintiff’s.</w:t>
      </w:r>
    </w:p>
    <w:p w:rsidR="00186060" w:rsidRPr="00186060" w:rsidRDefault="00186060" w:rsidP="00186060">
      <w:pPr>
        <w:spacing w:line="360" w:lineRule="auto"/>
        <w:jc w:val="both"/>
        <w:rPr>
          <w:rFonts w:ascii="Arial" w:hAnsi="Arial" w:cs="Arial"/>
          <w:sz w:val="24"/>
          <w:szCs w:val="24"/>
          <w:lang w:val="en-ZA"/>
        </w:rPr>
      </w:pPr>
    </w:p>
    <w:p w:rsidR="00186060" w:rsidRPr="00186060" w:rsidRDefault="00186060" w:rsidP="00186060">
      <w:pPr>
        <w:spacing w:line="360" w:lineRule="auto"/>
        <w:jc w:val="both"/>
        <w:rPr>
          <w:rFonts w:ascii="Arial" w:hAnsi="Arial" w:cs="Arial"/>
          <w:sz w:val="24"/>
          <w:szCs w:val="24"/>
          <w:lang w:val="en-ZA"/>
        </w:rPr>
      </w:pPr>
      <w:r>
        <w:rPr>
          <w:rFonts w:ascii="Arial" w:hAnsi="Arial" w:cs="Arial"/>
          <w:sz w:val="24"/>
          <w:szCs w:val="24"/>
          <w:lang w:val="en-ZA"/>
        </w:rPr>
        <w:t>[6</w:t>
      </w:r>
      <w:r w:rsidRPr="00186060">
        <w:rPr>
          <w:rFonts w:ascii="Arial" w:hAnsi="Arial" w:cs="Arial"/>
          <w:sz w:val="24"/>
          <w:szCs w:val="24"/>
          <w:lang w:val="en-ZA"/>
        </w:rPr>
        <w:t>]</w:t>
      </w:r>
      <w:r w:rsidRPr="00186060">
        <w:rPr>
          <w:rFonts w:ascii="Arial" w:hAnsi="Arial" w:cs="Arial"/>
          <w:sz w:val="24"/>
          <w:szCs w:val="24"/>
          <w:lang w:val="en-ZA"/>
        </w:rPr>
        <w:tab/>
        <w:t>The second defendant is the owner of Erf 56, Tsumeb and the aforesaid property of the first defendant formed part of Erf 56, Tsumeb prior to it being created as Erf 646, Tsumeb. Second defendant’s property is adjacent to that of the plaintiffs. No costs order is sought against the second defendant, save in the event of it opposing the relief sought.</w:t>
      </w:r>
    </w:p>
    <w:p w:rsidR="00186060" w:rsidRPr="00186060" w:rsidRDefault="00186060" w:rsidP="00186060">
      <w:pPr>
        <w:spacing w:line="360" w:lineRule="auto"/>
        <w:jc w:val="both"/>
        <w:rPr>
          <w:rFonts w:ascii="Arial" w:hAnsi="Arial" w:cs="Arial"/>
          <w:sz w:val="24"/>
          <w:szCs w:val="24"/>
          <w:lang w:val="en-ZA"/>
        </w:rPr>
      </w:pPr>
    </w:p>
    <w:p w:rsidR="004C51AC" w:rsidRPr="00186060" w:rsidRDefault="00186060" w:rsidP="00186060">
      <w:pPr>
        <w:spacing w:line="360" w:lineRule="auto"/>
        <w:jc w:val="both"/>
        <w:rPr>
          <w:rFonts w:ascii="Arial" w:hAnsi="Arial" w:cs="Arial"/>
          <w:sz w:val="24"/>
          <w:szCs w:val="24"/>
          <w:lang w:val="en-ZA"/>
        </w:rPr>
      </w:pPr>
      <w:r>
        <w:rPr>
          <w:rFonts w:ascii="Arial" w:hAnsi="Arial" w:cs="Arial"/>
          <w:sz w:val="24"/>
          <w:szCs w:val="24"/>
          <w:lang w:val="en-ZA"/>
        </w:rPr>
        <w:t>[7</w:t>
      </w:r>
      <w:r w:rsidRPr="00186060">
        <w:rPr>
          <w:rFonts w:ascii="Arial" w:hAnsi="Arial" w:cs="Arial"/>
          <w:sz w:val="24"/>
          <w:szCs w:val="24"/>
          <w:lang w:val="en-ZA"/>
        </w:rPr>
        <w:t>]</w:t>
      </w:r>
      <w:r w:rsidRPr="00186060">
        <w:rPr>
          <w:rFonts w:ascii="Arial" w:hAnsi="Arial" w:cs="Arial"/>
          <w:sz w:val="24"/>
          <w:szCs w:val="24"/>
          <w:lang w:val="en-ZA"/>
        </w:rPr>
        <w:tab/>
      </w:r>
      <w:r w:rsidR="001919B8">
        <w:rPr>
          <w:rFonts w:ascii="Arial" w:hAnsi="Arial" w:cs="Arial"/>
          <w:sz w:val="24"/>
          <w:szCs w:val="24"/>
        </w:rPr>
        <w:t xml:space="preserve">It is stated in the particulars of claim that the only ingress and egress from the plaintiff’s property, by motor and delivery vehicles, is via the public road known as Susan Nghidinwa Street and the only way to reach it is by traversing the defendant’s properties as follows:  </w:t>
      </w:r>
    </w:p>
    <w:p w:rsidR="001919B8" w:rsidRDefault="001919B8" w:rsidP="001919B8">
      <w:pPr>
        <w:spacing w:line="360" w:lineRule="auto"/>
        <w:jc w:val="both"/>
        <w:rPr>
          <w:rFonts w:ascii="Arial" w:hAnsi="Arial" w:cs="Arial"/>
          <w:sz w:val="24"/>
          <w:szCs w:val="24"/>
        </w:rPr>
      </w:pPr>
    </w:p>
    <w:p w:rsidR="001919B8" w:rsidRDefault="001919B8" w:rsidP="001919B8">
      <w:pPr>
        <w:pStyle w:val="ListParagraph"/>
        <w:numPr>
          <w:ilvl w:val="0"/>
          <w:numId w:val="1"/>
        </w:numPr>
        <w:spacing w:line="360" w:lineRule="auto"/>
        <w:jc w:val="both"/>
        <w:rPr>
          <w:rFonts w:ascii="Arial" w:hAnsi="Arial" w:cs="Arial"/>
          <w:sz w:val="24"/>
          <w:szCs w:val="24"/>
        </w:rPr>
      </w:pPr>
      <w:r>
        <w:rPr>
          <w:rFonts w:ascii="Arial" w:hAnsi="Arial" w:cs="Arial"/>
          <w:sz w:val="24"/>
          <w:szCs w:val="24"/>
        </w:rPr>
        <w:t>From Susan Nghidinwa Street across the total length of the first defendant’s property along its boundary with erven 69 and 70 up to the boundary with the second defendant’s property where the property of the first defendant borders that of the plaintiffs; and</w:t>
      </w:r>
    </w:p>
    <w:p w:rsidR="001919B8" w:rsidRDefault="001919B8" w:rsidP="001919B8">
      <w:pPr>
        <w:pStyle w:val="ListParagraph"/>
        <w:spacing w:line="360" w:lineRule="auto"/>
        <w:ind w:left="1080"/>
        <w:jc w:val="both"/>
        <w:rPr>
          <w:rFonts w:ascii="Arial" w:hAnsi="Arial" w:cs="Arial"/>
          <w:sz w:val="24"/>
          <w:szCs w:val="24"/>
        </w:rPr>
      </w:pPr>
    </w:p>
    <w:p w:rsidR="001919B8" w:rsidRDefault="001919B8" w:rsidP="001919B8">
      <w:pPr>
        <w:pStyle w:val="ListParagraph"/>
        <w:numPr>
          <w:ilvl w:val="0"/>
          <w:numId w:val="1"/>
        </w:numPr>
        <w:spacing w:line="360" w:lineRule="auto"/>
        <w:jc w:val="both"/>
        <w:rPr>
          <w:rFonts w:ascii="Arial" w:hAnsi="Arial" w:cs="Arial"/>
          <w:sz w:val="24"/>
          <w:szCs w:val="24"/>
        </w:rPr>
      </w:pPr>
      <w:r>
        <w:rPr>
          <w:rFonts w:ascii="Arial" w:hAnsi="Arial" w:cs="Arial"/>
          <w:sz w:val="24"/>
          <w:szCs w:val="24"/>
        </w:rPr>
        <w:lastRenderedPageBreak/>
        <w:t xml:space="preserve">From the second defendant’s property at the point mentioned in paragraph 11.1 above into the plaintiff’s property in the one corner abutting first defendants property and adjacent to erf 70 and second defendant’s property. </w:t>
      </w:r>
    </w:p>
    <w:p w:rsidR="001919B8" w:rsidRPr="001919B8" w:rsidRDefault="001919B8" w:rsidP="001919B8">
      <w:pPr>
        <w:pStyle w:val="ListParagraph"/>
        <w:rPr>
          <w:rFonts w:ascii="Arial" w:hAnsi="Arial" w:cs="Arial"/>
          <w:sz w:val="24"/>
          <w:szCs w:val="24"/>
        </w:rPr>
      </w:pPr>
    </w:p>
    <w:p w:rsidR="001919B8" w:rsidRDefault="001919B8" w:rsidP="001919B8">
      <w:pPr>
        <w:spacing w:line="360" w:lineRule="auto"/>
        <w:jc w:val="both"/>
        <w:rPr>
          <w:rFonts w:ascii="Arial" w:hAnsi="Arial" w:cs="Arial"/>
          <w:sz w:val="24"/>
          <w:szCs w:val="24"/>
        </w:rPr>
      </w:pPr>
    </w:p>
    <w:p w:rsidR="001919B8" w:rsidRDefault="001919B8" w:rsidP="001919B8">
      <w:pPr>
        <w:spacing w:line="360" w:lineRule="auto"/>
        <w:jc w:val="both"/>
        <w:rPr>
          <w:rFonts w:ascii="Arial" w:hAnsi="Arial" w:cs="Arial"/>
          <w:sz w:val="24"/>
          <w:szCs w:val="24"/>
        </w:rPr>
      </w:pPr>
      <w:r>
        <w:rPr>
          <w:rFonts w:ascii="Arial" w:hAnsi="Arial" w:cs="Arial"/>
          <w:sz w:val="24"/>
          <w:szCs w:val="24"/>
        </w:rPr>
        <w:t>[</w:t>
      </w:r>
      <w:r w:rsidR="00186060">
        <w:rPr>
          <w:rFonts w:ascii="Arial" w:hAnsi="Arial" w:cs="Arial"/>
          <w:sz w:val="24"/>
          <w:szCs w:val="24"/>
        </w:rPr>
        <w:t>8</w:t>
      </w:r>
      <w:r>
        <w:rPr>
          <w:rFonts w:ascii="Arial" w:hAnsi="Arial" w:cs="Arial"/>
          <w:sz w:val="24"/>
          <w:szCs w:val="24"/>
        </w:rPr>
        <w:t>]</w:t>
      </w:r>
      <w:r>
        <w:rPr>
          <w:rFonts w:ascii="Arial" w:hAnsi="Arial" w:cs="Arial"/>
          <w:sz w:val="24"/>
          <w:szCs w:val="24"/>
        </w:rPr>
        <w:tab/>
        <w:t>Since 1972, the late Mr. Neves, plaintiffs, their customers, tenants, employees, and guests have traversed the defendants’ properties as set out above in paragraph xx, openly, continuously, and as though they were entitled to do so, in order to obtain motor vehicles and other access and from the property. It is alleged that at no time have the plaintiff’s acknowledged defendant’s right to prevent them from using the said right of way.</w:t>
      </w:r>
    </w:p>
    <w:p w:rsidR="001919B8" w:rsidRDefault="001919B8" w:rsidP="001919B8">
      <w:pPr>
        <w:spacing w:line="360" w:lineRule="auto"/>
        <w:jc w:val="both"/>
        <w:rPr>
          <w:rFonts w:ascii="Arial" w:hAnsi="Arial" w:cs="Arial"/>
          <w:sz w:val="24"/>
          <w:szCs w:val="24"/>
        </w:rPr>
      </w:pPr>
    </w:p>
    <w:p w:rsidR="001919B8" w:rsidRDefault="00922EE8" w:rsidP="001919B8">
      <w:pPr>
        <w:spacing w:line="360" w:lineRule="auto"/>
        <w:jc w:val="both"/>
        <w:rPr>
          <w:rFonts w:ascii="Arial" w:hAnsi="Arial" w:cs="Arial"/>
          <w:sz w:val="24"/>
          <w:szCs w:val="24"/>
        </w:rPr>
      </w:pPr>
      <w:r>
        <w:rPr>
          <w:rFonts w:ascii="Arial" w:hAnsi="Arial" w:cs="Arial"/>
          <w:sz w:val="24"/>
          <w:szCs w:val="24"/>
        </w:rPr>
        <w:t>[</w:t>
      </w:r>
      <w:r w:rsidR="00186060">
        <w:rPr>
          <w:rFonts w:ascii="Arial" w:hAnsi="Arial" w:cs="Arial"/>
          <w:sz w:val="24"/>
          <w:szCs w:val="24"/>
        </w:rPr>
        <w:t>9</w:t>
      </w:r>
      <w:r>
        <w:rPr>
          <w:rFonts w:ascii="Arial" w:hAnsi="Arial" w:cs="Arial"/>
          <w:sz w:val="24"/>
          <w:szCs w:val="24"/>
        </w:rPr>
        <w:t>]</w:t>
      </w:r>
      <w:r>
        <w:rPr>
          <w:rFonts w:ascii="Arial" w:hAnsi="Arial" w:cs="Arial"/>
          <w:sz w:val="24"/>
          <w:szCs w:val="24"/>
        </w:rPr>
        <w:tab/>
        <w:t xml:space="preserve">It is for these </w:t>
      </w:r>
      <w:r w:rsidR="001919B8">
        <w:rPr>
          <w:rFonts w:ascii="Arial" w:hAnsi="Arial" w:cs="Arial"/>
          <w:sz w:val="24"/>
          <w:szCs w:val="24"/>
        </w:rPr>
        <w:t>reasons that the plaintiffs claim that they have acquired a servitude of right of way, with a width of 4 meters over the defendants’ properties in terms of Section 6 of the Prescription Act</w:t>
      </w:r>
      <w:r w:rsidR="009B0072">
        <w:rPr>
          <w:rFonts w:ascii="Arial" w:hAnsi="Arial" w:cs="Arial"/>
          <w:sz w:val="24"/>
          <w:szCs w:val="24"/>
        </w:rPr>
        <w:t>, Act 68 of 1969</w:t>
      </w:r>
      <w:r w:rsidR="001919B8">
        <w:rPr>
          <w:rFonts w:ascii="Arial" w:hAnsi="Arial" w:cs="Arial"/>
          <w:sz w:val="24"/>
          <w:szCs w:val="24"/>
        </w:rPr>
        <w:t>.</w:t>
      </w:r>
    </w:p>
    <w:p w:rsidR="001919B8" w:rsidRDefault="001919B8" w:rsidP="001919B8">
      <w:pPr>
        <w:spacing w:line="360" w:lineRule="auto"/>
        <w:jc w:val="both"/>
        <w:rPr>
          <w:rFonts w:ascii="Arial" w:hAnsi="Arial" w:cs="Arial"/>
          <w:sz w:val="24"/>
          <w:szCs w:val="24"/>
        </w:rPr>
      </w:pPr>
    </w:p>
    <w:p w:rsidR="00EF198B" w:rsidRDefault="001919B8" w:rsidP="001919B8">
      <w:pPr>
        <w:spacing w:line="360" w:lineRule="auto"/>
        <w:jc w:val="both"/>
        <w:rPr>
          <w:rFonts w:ascii="Arial" w:hAnsi="Arial" w:cs="Arial"/>
          <w:sz w:val="24"/>
          <w:szCs w:val="24"/>
        </w:rPr>
      </w:pPr>
      <w:r>
        <w:rPr>
          <w:rFonts w:ascii="Arial" w:hAnsi="Arial" w:cs="Arial"/>
          <w:sz w:val="24"/>
          <w:szCs w:val="24"/>
        </w:rPr>
        <w:t>[</w:t>
      </w:r>
      <w:r w:rsidR="00186060">
        <w:rPr>
          <w:rFonts w:ascii="Arial" w:hAnsi="Arial" w:cs="Arial"/>
          <w:sz w:val="24"/>
          <w:szCs w:val="24"/>
        </w:rPr>
        <w:t>10</w:t>
      </w:r>
      <w:r>
        <w:rPr>
          <w:rFonts w:ascii="Arial" w:hAnsi="Arial" w:cs="Arial"/>
          <w:sz w:val="24"/>
          <w:szCs w:val="24"/>
        </w:rPr>
        <w:t>]</w:t>
      </w:r>
      <w:r>
        <w:rPr>
          <w:rFonts w:ascii="Arial" w:hAnsi="Arial" w:cs="Arial"/>
          <w:sz w:val="24"/>
          <w:szCs w:val="24"/>
        </w:rPr>
        <w:tab/>
      </w:r>
      <w:r w:rsidR="00EF198B">
        <w:rPr>
          <w:rFonts w:ascii="Arial" w:hAnsi="Arial" w:cs="Arial"/>
          <w:sz w:val="24"/>
          <w:szCs w:val="24"/>
        </w:rPr>
        <w:t xml:space="preserve">Section 6 of the Prescription Act of 1969 reads as follows – </w:t>
      </w:r>
    </w:p>
    <w:p w:rsidR="00EF198B" w:rsidRDefault="00EF198B" w:rsidP="001919B8">
      <w:pPr>
        <w:spacing w:line="360" w:lineRule="auto"/>
        <w:jc w:val="both"/>
        <w:rPr>
          <w:rFonts w:ascii="Arial" w:hAnsi="Arial" w:cs="Arial"/>
          <w:sz w:val="24"/>
          <w:szCs w:val="24"/>
        </w:rPr>
      </w:pPr>
    </w:p>
    <w:p w:rsidR="00EF198B" w:rsidRPr="00EF198B" w:rsidRDefault="00EF198B" w:rsidP="00EF198B">
      <w:pPr>
        <w:spacing w:line="360" w:lineRule="auto"/>
        <w:jc w:val="both"/>
        <w:rPr>
          <w:rFonts w:ascii="Arial" w:hAnsi="Arial" w:cs="Arial"/>
          <w:b/>
          <w:bCs/>
          <w:i/>
        </w:rPr>
      </w:pPr>
      <w:r>
        <w:rPr>
          <w:rFonts w:ascii="Arial" w:hAnsi="Arial" w:cs="Arial"/>
          <w:sz w:val="24"/>
          <w:szCs w:val="24"/>
        </w:rPr>
        <w:tab/>
      </w:r>
      <w:r w:rsidRPr="00EF198B">
        <w:rPr>
          <w:rFonts w:ascii="Arial" w:hAnsi="Arial" w:cs="Arial"/>
          <w:i/>
        </w:rPr>
        <w:t>‘</w:t>
      </w:r>
      <w:r w:rsidRPr="00EF198B">
        <w:rPr>
          <w:rFonts w:ascii="Arial" w:hAnsi="Arial" w:cs="Arial"/>
          <w:b/>
          <w:bCs/>
          <w:i/>
          <w:vanish/>
        </w:rPr>
        <w:t xml:space="preserve">[a68y1969s6] </w:t>
      </w:r>
      <w:bookmarkStart w:id="1" w:name="0-0-0-9373"/>
      <w:bookmarkEnd w:id="1"/>
      <w:r w:rsidRPr="00EF198B">
        <w:rPr>
          <w:rFonts w:ascii="Arial" w:hAnsi="Arial" w:cs="Arial"/>
          <w:b/>
          <w:bCs/>
          <w:i/>
        </w:rPr>
        <w:t xml:space="preserve">6     Acquisition of servitudes by prescription </w:t>
      </w:r>
    </w:p>
    <w:p w:rsidR="00EF198B" w:rsidRDefault="00EF198B" w:rsidP="00EF198B">
      <w:pPr>
        <w:spacing w:line="360" w:lineRule="auto"/>
        <w:ind w:left="720"/>
        <w:jc w:val="both"/>
        <w:rPr>
          <w:rFonts w:ascii="Arial" w:hAnsi="Arial" w:cs="Arial"/>
          <w:i/>
        </w:rPr>
      </w:pPr>
      <w:r w:rsidRPr="00EF198B">
        <w:rPr>
          <w:rFonts w:ascii="Arial" w:hAnsi="Arial" w:cs="Arial"/>
          <w:i/>
        </w:rPr>
        <w:br/>
        <w:t xml:space="preserve">    </w:t>
      </w:r>
      <w:r w:rsidRPr="00EF198B">
        <w:rPr>
          <w:rFonts w:ascii="Arial" w:hAnsi="Arial" w:cs="Arial"/>
          <w:i/>
        </w:rPr>
        <w:tab/>
        <w:t>Subject to the provisions of this Chapter and of Chapter IV, a person shall acquire a servitude by prescription if he has openly and as though he were entitled to do so, exercised the rights and powers which a person who has a right to such servitude is entitled to exercise, for an uninterrupted period of thirty years or, in the case of a praedial servitude, for a period which, together with any periods for which such rights and powers were so exercised by his predecessors in title, constitutes an uninterrupted period of thirty years.’</w:t>
      </w:r>
    </w:p>
    <w:p w:rsidR="00EF198B" w:rsidRDefault="00EF198B" w:rsidP="00EF198B">
      <w:pPr>
        <w:spacing w:line="360" w:lineRule="auto"/>
        <w:jc w:val="both"/>
        <w:rPr>
          <w:rFonts w:ascii="Arial" w:hAnsi="Arial" w:cs="Arial"/>
          <w:sz w:val="24"/>
          <w:szCs w:val="24"/>
        </w:rPr>
      </w:pPr>
    </w:p>
    <w:p w:rsidR="00084A3A" w:rsidRDefault="00EF198B" w:rsidP="00084A3A">
      <w:pPr>
        <w:spacing w:line="360" w:lineRule="auto"/>
        <w:jc w:val="both"/>
        <w:rPr>
          <w:rFonts w:ascii="Arial" w:hAnsi="Arial" w:cs="Arial"/>
          <w:sz w:val="24"/>
          <w:szCs w:val="24"/>
        </w:rPr>
      </w:pPr>
      <w:r>
        <w:rPr>
          <w:rFonts w:ascii="Arial" w:hAnsi="Arial" w:cs="Arial"/>
          <w:sz w:val="24"/>
          <w:szCs w:val="24"/>
        </w:rPr>
        <w:lastRenderedPageBreak/>
        <w:t>[</w:t>
      </w:r>
      <w:r w:rsidR="00186060">
        <w:rPr>
          <w:rFonts w:ascii="Arial" w:hAnsi="Arial" w:cs="Arial"/>
          <w:sz w:val="24"/>
          <w:szCs w:val="24"/>
        </w:rPr>
        <w:t>11</w:t>
      </w:r>
      <w:r>
        <w:rPr>
          <w:rFonts w:ascii="Arial" w:hAnsi="Arial" w:cs="Arial"/>
          <w:sz w:val="24"/>
          <w:szCs w:val="24"/>
        </w:rPr>
        <w:t>]</w:t>
      </w:r>
      <w:r>
        <w:rPr>
          <w:rFonts w:ascii="Arial" w:hAnsi="Arial" w:cs="Arial"/>
          <w:sz w:val="24"/>
          <w:szCs w:val="24"/>
        </w:rPr>
        <w:tab/>
      </w:r>
      <w:r w:rsidR="00084A3A" w:rsidRPr="00084A3A">
        <w:rPr>
          <w:rFonts w:ascii="Arial" w:hAnsi="Arial" w:cs="Arial"/>
          <w:sz w:val="24"/>
          <w:szCs w:val="24"/>
        </w:rPr>
        <w:t>Acquisitive prescription refers to the acquisition of ownership by the possession of another</w:t>
      </w:r>
      <w:r w:rsidR="00084A3A">
        <w:rPr>
          <w:rFonts w:ascii="Arial" w:hAnsi="Arial" w:cs="Arial"/>
          <w:sz w:val="24"/>
          <w:szCs w:val="24"/>
        </w:rPr>
        <w:t xml:space="preserve">. </w:t>
      </w:r>
      <w:r w:rsidR="00084A3A" w:rsidRPr="00084A3A">
        <w:rPr>
          <w:rFonts w:ascii="Arial" w:hAnsi="Arial" w:cs="Arial"/>
          <w:sz w:val="24"/>
          <w:szCs w:val="24"/>
        </w:rPr>
        <w:t>The following requirements must be alleged and proved by any person claiming acquisitive prescription:</w:t>
      </w:r>
      <w:r w:rsidR="00084A3A" w:rsidRPr="00084A3A">
        <w:rPr>
          <w:rFonts w:ascii="Arial" w:hAnsi="Arial" w:cs="Arial"/>
          <w:sz w:val="24"/>
          <w:szCs w:val="24"/>
          <w:vertAlign w:val="superscript"/>
        </w:rPr>
        <w:footnoteReference w:id="1"/>
      </w:r>
    </w:p>
    <w:p w:rsidR="005F7D2B" w:rsidRPr="00084A3A" w:rsidRDefault="005F7D2B" w:rsidP="00084A3A">
      <w:pPr>
        <w:spacing w:line="360" w:lineRule="auto"/>
        <w:jc w:val="both"/>
        <w:rPr>
          <w:rFonts w:ascii="Arial" w:hAnsi="Arial" w:cs="Arial"/>
          <w:sz w:val="24"/>
          <w:szCs w:val="24"/>
        </w:rPr>
      </w:pPr>
    </w:p>
    <w:p w:rsidR="00084A3A" w:rsidRDefault="00084A3A" w:rsidP="00084A3A">
      <w:pPr>
        <w:spacing w:line="360" w:lineRule="auto"/>
        <w:ind w:left="720"/>
        <w:jc w:val="both"/>
        <w:rPr>
          <w:rFonts w:ascii="Arial" w:hAnsi="Arial" w:cs="Arial"/>
          <w:sz w:val="24"/>
          <w:szCs w:val="24"/>
        </w:rPr>
      </w:pPr>
      <w:r w:rsidRPr="00084A3A">
        <w:rPr>
          <w:rFonts w:ascii="Arial" w:hAnsi="Arial" w:cs="Arial"/>
          <w:sz w:val="24"/>
          <w:szCs w:val="24"/>
        </w:rPr>
        <w:t xml:space="preserve">a) </w:t>
      </w:r>
      <w:r w:rsidRPr="00084A3A">
        <w:rPr>
          <w:rFonts w:ascii="Arial" w:hAnsi="Arial" w:cs="Arial"/>
          <w:sz w:val="24"/>
          <w:szCs w:val="24"/>
        </w:rPr>
        <w:tab/>
        <w:t>There must have been a civil possession (</w:t>
      </w:r>
      <w:r w:rsidRPr="00084A3A">
        <w:rPr>
          <w:rFonts w:ascii="Arial" w:hAnsi="Arial" w:cs="Arial"/>
          <w:i/>
          <w:sz w:val="24"/>
          <w:szCs w:val="24"/>
        </w:rPr>
        <w:t>possession civilis</w:t>
      </w:r>
      <w:r w:rsidRPr="00084A3A">
        <w:rPr>
          <w:rFonts w:ascii="Arial" w:hAnsi="Arial" w:cs="Arial"/>
          <w:sz w:val="24"/>
          <w:szCs w:val="24"/>
        </w:rPr>
        <w:t>), which is possession with the intention to possess an</w:t>
      </w:r>
      <w:r>
        <w:rPr>
          <w:rFonts w:ascii="Arial" w:hAnsi="Arial" w:cs="Arial"/>
          <w:sz w:val="24"/>
          <w:szCs w:val="24"/>
        </w:rPr>
        <w:t xml:space="preserve">d control the thing or property. </w:t>
      </w:r>
      <w:r w:rsidRPr="00084A3A">
        <w:rPr>
          <w:rFonts w:ascii="Arial" w:hAnsi="Arial" w:cs="Arial"/>
          <w:sz w:val="24"/>
          <w:szCs w:val="24"/>
        </w:rPr>
        <w:t xml:space="preserve">There must also be an intention of acquiring ownership and there must have been physical control exercise. </w:t>
      </w:r>
    </w:p>
    <w:p w:rsidR="00084A3A" w:rsidRPr="00084A3A" w:rsidRDefault="00084A3A" w:rsidP="00084A3A">
      <w:pPr>
        <w:spacing w:line="360" w:lineRule="auto"/>
        <w:ind w:left="720"/>
        <w:jc w:val="both"/>
        <w:rPr>
          <w:rFonts w:ascii="Arial" w:hAnsi="Arial" w:cs="Arial"/>
          <w:sz w:val="24"/>
          <w:szCs w:val="24"/>
        </w:rPr>
      </w:pPr>
      <w:r w:rsidRPr="00084A3A">
        <w:rPr>
          <w:rFonts w:ascii="Arial" w:hAnsi="Arial" w:cs="Arial"/>
          <w:sz w:val="24"/>
          <w:szCs w:val="24"/>
        </w:rPr>
        <w:t xml:space="preserve">b) </w:t>
      </w:r>
      <w:r w:rsidRPr="00084A3A">
        <w:rPr>
          <w:rFonts w:ascii="Arial" w:hAnsi="Arial" w:cs="Arial"/>
          <w:sz w:val="24"/>
          <w:szCs w:val="24"/>
        </w:rPr>
        <w:tab/>
        <w:t>There must be possession for an uninterrupted period of thirty (30) years, which together with any period for which the thing was possessed by any predecessor in title constituted an uninterrupted period of 30 years.</w:t>
      </w:r>
    </w:p>
    <w:p w:rsidR="00084A3A" w:rsidRPr="00084A3A" w:rsidRDefault="00084A3A" w:rsidP="00084A3A">
      <w:pPr>
        <w:spacing w:line="360" w:lineRule="auto"/>
        <w:ind w:left="720"/>
        <w:jc w:val="both"/>
        <w:rPr>
          <w:rFonts w:ascii="Arial" w:hAnsi="Arial" w:cs="Arial"/>
          <w:sz w:val="24"/>
          <w:szCs w:val="24"/>
        </w:rPr>
      </w:pPr>
      <w:r w:rsidRPr="00084A3A">
        <w:rPr>
          <w:rFonts w:ascii="Arial" w:hAnsi="Arial" w:cs="Arial"/>
          <w:sz w:val="24"/>
          <w:szCs w:val="24"/>
        </w:rPr>
        <w:t xml:space="preserve">c) </w:t>
      </w:r>
      <w:r w:rsidRPr="00084A3A">
        <w:rPr>
          <w:rFonts w:ascii="Arial" w:hAnsi="Arial" w:cs="Arial"/>
          <w:sz w:val="24"/>
          <w:szCs w:val="24"/>
        </w:rPr>
        <w:tab/>
        <w:t xml:space="preserve">The possession must have been </w:t>
      </w:r>
      <w:r w:rsidRPr="00084A3A">
        <w:rPr>
          <w:rFonts w:ascii="Arial" w:hAnsi="Arial" w:cs="Arial"/>
          <w:i/>
          <w:sz w:val="24"/>
          <w:szCs w:val="24"/>
        </w:rPr>
        <w:t>nec vic</w:t>
      </w:r>
      <w:r w:rsidRPr="00084A3A">
        <w:rPr>
          <w:rFonts w:ascii="Arial" w:hAnsi="Arial" w:cs="Arial"/>
          <w:sz w:val="24"/>
          <w:szCs w:val="24"/>
        </w:rPr>
        <w:t xml:space="preserve"> meaning without force and </w:t>
      </w:r>
      <w:r w:rsidRPr="00084A3A">
        <w:rPr>
          <w:rFonts w:ascii="Arial" w:hAnsi="Arial" w:cs="Arial"/>
          <w:i/>
          <w:sz w:val="24"/>
          <w:szCs w:val="24"/>
        </w:rPr>
        <w:t>nec clam</w:t>
      </w:r>
      <w:r w:rsidRPr="00084A3A">
        <w:rPr>
          <w:rFonts w:ascii="Arial" w:hAnsi="Arial" w:cs="Arial"/>
          <w:sz w:val="24"/>
          <w:szCs w:val="24"/>
        </w:rPr>
        <w:t xml:space="preserve"> meaning openly for an uninterrupted period if thirty (30) years. </w:t>
      </w:r>
    </w:p>
    <w:p w:rsidR="00084A3A" w:rsidRPr="00084A3A" w:rsidRDefault="00084A3A" w:rsidP="00084A3A">
      <w:pPr>
        <w:spacing w:line="360" w:lineRule="auto"/>
        <w:ind w:left="720"/>
        <w:jc w:val="both"/>
        <w:rPr>
          <w:rFonts w:ascii="Arial" w:hAnsi="Arial" w:cs="Arial"/>
          <w:sz w:val="24"/>
          <w:szCs w:val="24"/>
        </w:rPr>
      </w:pPr>
      <w:r w:rsidRPr="00084A3A">
        <w:rPr>
          <w:rFonts w:ascii="Arial" w:hAnsi="Arial" w:cs="Arial"/>
          <w:sz w:val="24"/>
          <w:szCs w:val="24"/>
        </w:rPr>
        <w:t xml:space="preserve">d) </w:t>
      </w:r>
      <w:r w:rsidRPr="00084A3A">
        <w:rPr>
          <w:rFonts w:ascii="Arial" w:hAnsi="Arial" w:cs="Arial"/>
          <w:sz w:val="24"/>
          <w:szCs w:val="24"/>
        </w:rPr>
        <w:tab/>
        <w:t xml:space="preserve">The possession must be non-precarious. In the case of </w:t>
      </w:r>
      <w:r w:rsidRPr="00084A3A">
        <w:rPr>
          <w:rFonts w:ascii="Arial" w:hAnsi="Arial" w:cs="Arial"/>
          <w:i/>
          <w:sz w:val="24"/>
          <w:szCs w:val="24"/>
        </w:rPr>
        <w:t>De Beer v Van Der Merwe</w:t>
      </w:r>
      <w:r w:rsidRPr="00084A3A">
        <w:rPr>
          <w:rFonts w:ascii="Arial" w:hAnsi="Arial" w:cs="Arial"/>
          <w:sz w:val="24"/>
          <w:szCs w:val="24"/>
        </w:rPr>
        <w:t xml:space="preserve"> </w:t>
      </w:r>
      <w:r w:rsidRPr="00084A3A">
        <w:rPr>
          <w:rFonts w:ascii="Arial" w:hAnsi="Arial" w:cs="Arial"/>
          <w:i/>
          <w:sz w:val="24"/>
          <w:szCs w:val="24"/>
        </w:rPr>
        <w:t>supra</w:t>
      </w:r>
      <w:r w:rsidRPr="00084A3A">
        <w:rPr>
          <w:rFonts w:ascii="Arial" w:hAnsi="Arial" w:cs="Arial"/>
          <w:sz w:val="24"/>
          <w:szCs w:val="24"/>
        </w:rPr>
        <w:t xml:space="preserve">, the court stated that in order to establish prescription, the exercise of the right must have been </w:t>
      </w:r>
      <w:r w:rsidRPr="00084A3A">
        <w:rPr>
          <w:rFonts w:ascii="Arial" w:hAnsi="Arial" w:cs="Arial"/>
          <w:i/>
          <w:sz w:val="24"/>
          <w:szCs w:val="24"/>
        </w:rPr>
        <w:t>non</w:t>
      </w:r>
      <w:r w:rsidR="00DF225D">
        <w:rPr>
          <w:rFonts w:ascii="Arial" w:hAnsi="Arial" w:cs="Arial"/>
          <w:i/>
          <w:sz w:val="24"/>
          <w:szCs w:val="24"/>
        </w:rPr>
        <w:t>-</w:t>
      </w:r>
      <w:r w:rsidRPr="00084A3A">
        <w:rPr>
          <w:rFonts w:ascii="Arial" w:hAnsi="Arial" w:cs="Arial"/>
          <w:i/>
          <w:sz w:val="24"/>
          <w:szCs w:val="24"/>
        </w:rPr>
        <w:t>precario</w:t>
      </w:r>
      <w:r w:rsidRPr="00084A3A">
        <w:rPr>
          <w:rFonts w:ascii="Arial" w:hAnsi="Arial" w:cs="Arial"/>
          <w:sz w:val="24"/>
          <w:szCs w:val="24"/>
        </w:rPr>
        <w:t xml:space="preserve"> meaning that the right must have been exercised adversely and as of right.</w:t>
      </w:r>
    </w:p>
    <w:p w:rsidR="00084A3A" w:rsidRDefault="00084A3A" w:rsidP="00084A3A">
      <w:pPr>
        <w:spacing w:line="360" w:lineRule="auto"/>
        <w:jc w:val="both"/>
        <w:rPr>
          <w:rFonts w:ascii="Arial" w:hAnsi="Arial" w:cs="Arial"/>
          <w:sz w:val="24"/>
          <w:szCs w:val="24"/>
        </w:rPr>
      </w:pPr>
    </w:p>
    <w:p w:rsidR="00084A3A" w:rsidRPr="00084A3A" w:rsidRDefault="00084A3A" w:rsidP="00084A3A">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Pr="00084A3A">
        <w:rPr>
          <w:rFonts w:ascii="Arial" w:hAnsi="Arial" w:cs="Arial"/>
          <w:sz w:val="24"/>
          <w:szCs w:val="24"/>
        </w:rPr>
        <w:t xml:space="preserve">In the case of </w:t>
      </w:r>
      <w:r w:rsidRPr="00DF225D">
        <w:rPr>
          <w:rFonts w:ascii="Arial" w:hAnsi="Arial" w:cs="Arial"/>
          <w:b/>
          <w:i/>
          <w:sz w:val="24"/>
          <w:szCs w:val="24"/>
        </w:rPr>
        <w:t>Bryan O’Linn v Minister of Agricultral, Water &amp; Forestry and Others</w:t>
      </w:r>
      <w:r w:rsidRPr="00084A3A">
        <w:rPr>
          <w:rFonts w:ascii="Arial" w:hAnsi="Arial" w:cs="Arial"/>
          <w:sz w:val="24"/>
          <w:szCs w:val="24"/>
        </w:rPr>
        <w:t>,</w:t>
      </w:r>
      <w:r w:rsidRPr="00084A3A">
        <w:rPr>
          <w:rFonts w:ascii="Arial" w:hAnsi="Arial" w:cs="Arial"/>
          <w:sz w:val="24"/>
          <w:szCs w:val="24"/>
          <w:vertAlign w:val="superscript"/>
        </w:rPr>
        <w:footnoteReference w:id="2"/>
      </w:r>
      <w:r w:rsidRPr="00084A3A">
        <w:rPr>
          <w:rFonts w:ascii="Arial" w:hAnsi="Arial" w:cs="Arial"/>
          <w:sz w:val="24"/>
          <w:szCs w:val="24"/>
        </w:rPr>
        <w:t xml:space="preserve"> the court stated that for this requirement to be active, both possession as well as the intention to keep the property must be necessary. Meaning that the requirement of possession </w:t>
      </w:r>
      <w:r w:rsidR="00730044">
        <w:rPr>
          <w:rFonts w:ascii="Arial" w:hAnsi="Arial" w:cs="Arial"/>
          <w:sz w:val="24"/>
          <w:szCs w:val="24"/>
        </w:rPr>
        <w:t xml:space="preserve">must </w:t>
      </w:r>
      <w:r w:rsidRPr="00084A3A">
        <w:rPr>
          <w:rFonts w:ascii="Arial" w:hAnsi="Arial" w:cs="Arial"/>
          <w:sz w:val="24"/>
          <w:szCs w:val="24"/>
        </w:rPr>
        <w:t xml:space="preserve">be contemporaneous simultaneously with the requirement of intention in order for the any person to keep the land as the owner. </w:t>
      </w:r>
    </w:p>
    <w:p w:rsidR="00084A3A" w:rsidRDefault="00084A3A" w:rsidP="00084A3A">
      <w:pPr>
        <w:spacing w:line="360" w:lineRule="auto"/>
        <w:jc w:val="both"/>
        <w:rPr>
          <w:rFonts w:ascii="Arial" w:hAnsi="Arial" w:cs="Arial"/>
          <w:sz w:val="24"/>
          <w:szCs w:val="24"/>
        </w:rPr>
      </w:pPr>
    </w:p>
    <w:p w:rsidR="00084A3A" w:rsidRPr="00084A3A" w:rsidRDefault="00084A3A" w:rsidP="00084A3A">
      <w:pPr>
        <w:spacing w:line="360" w:lineRule="auto"/>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Pr="00084A3A">
        <w:rPr>
          <w:rFonts w:ascii="Arial" w:hAnsi="Arial" w:cs="Arial"/>
          <w:sz w:val="24"/>
          <w:szCs w:val="24"/>
        </w:rPr>
        <w:t xml:space="preserve">In the case of </w:t>
      </w:r>
      <w:r w:rsidRPr="00DF225D">
        <w:rPr>
          <w:rFonts w:ascii="Arial" w:hAnsi="Arial" w:cs="Arial"/>
          <w:b/>
          <w:i/>
          <w:sz w:val="24"/>
          <w:szCs w:val="24"/>
        </w:rPr>
        <w:t>Albert Falls Power Co (Pty) Ltd v Goge</w:t>
      </w:r>
      <w:r w:rsidRPr="00084A3A">
        <w:rPr>
          <w:rFonts w:ascii="Arial" w:hAnsi="Arial" w:cs="Arial"/>
          <w:sz w:val="24"/>
          <w:szCs w:val="24"/>
        </w:rPr>
        <w:t>,</w:t>
      </w:r>
      <w:r w:rsidRPr="00084A3A">
        <w:rPr>
          <w:rFonts w:ascii="Arial" w:hAnsi="Arial" w:cs="Arial"/>
          <w:sz w:val="24"/>
          <w:szCs w:val="24"/>
          <w:vertAlign w:val="superscript"/>
        </w:rPr>
        <w:footnoteReference w:id="3"/>
      </w:r>
      <w:r w:rsidRPr="00084A3A">
        <w:rPr>
          <w:rFonts w:ascii="Arial" w:hAnsi="Arial" w:cs="Arial"/>
          <w:sz w:val="24"/>
          <w:szCs w:val="24"/>
        </w:rPr>
        <w:t xml:space="preserve"> the court held that possession for the purposes of acquisitive prescription is always possession civilis. The court held further that the necessity of its being adverse to the owner is always emphasized as an additional nature of the grounds for claiming title. </w:t>
      </w:r>
    </w:p>
    <w:p w:rsidR="00084A3A" w:rsidRDefault="00084A3A" w:rsidP="00EF198B">
      <w:pPr>
        <w:spacing w:line="360" w:lineRule="auto"/>
        <w:jc w:val="both"/>
        <w:rPr>
          <w:rFonts w:ascii="Arial" w:hAnsi="Arial" w:cs="Arial"/>
          <w:sz w:val="24"/>
          <w:szCs w:val="24"/>
        </w:rPr>
      </w:pPr>
    </w:p>
    <w:p w:rsidR="00EF198B" w:rsidRDefault="00084A3A" w:rsidP="00EF198B">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EF198B">
        <w:rPr>
          <w:rFonts w:ascii="Arial" w:hAnsi="Arial" w:cs="Arial"/>
          <w:sz w:val="24"/>
          <w:szCs w:val="24"/>
        </w:rPr>
        <w:t>At all relevant times (since the commencement of the 30 year prescription period in 1973), the first defendant’s property constituted public open space. It is undisputed that Mr</w:t>
      </w:r>
      <w:r w:rsidR="00186060">
        <w:rPr>
          <w:rFonts w:ascii="Arial" w:hAnsi="Arial" w:cs="Arial"/>
          <w:sz w:val="24"/>
          <w:szCs w:val="24"/>
        </w:rPr>
        <w:t>.</w:t>
      </w:r>
      <w:r w:rsidR="00EF198B">
        <w:rPr>
          <w:rFonts w:ascii="Arial" w:hAnsi="Arial" w:cs="Arial"/>
          <w:sz w:val="24"/>
          <w:szCs w:val="24"/>
        </w:rPr>
        <w:t xml:space="preserve"> Neethling, the first defendant’s predecessor in title purchased the property at some stage during 2004. By then the period of 30 years (1972 – 2003) had already expired and the right of way came into existence.</w:t>
      </w:r>
    </w:p>
    <w:p w:rsidR="00EF198B" w:rsidRDefault="00EF198B" w:rsidP="00EF198B">
      <w:pPr>
        <w:spacing w:line="360" w:lineRule="auto"/>
        <w:jc w:val="both"/>
        <w:rPr>
          <w:rFonts w:ascii="Arial" w:hAnsi="Arial" w:cs="Arial"/>
          <w:sz w:val="24"/>
          <w:szCs w:val="24"/>
        </w:rPr>
      </w:pPr>
    </w:p>
    <w:p w:rsidR="00EF198B" w:rsidRDefault="00EF198B" w:rsidP="00EF198B">
      <w:pPr>
        <w:spacing w:line="360" w:lineRule="auto"/>
        <w:jc w:val="both"/>
        <w:rPr>
          <w:rFonts w:ascii="Arial" w:hAnsi="Arial" w:cs="Arial"/>
          <w:sz w:val="24"/>
          <w:szCs w:val="24"/>
        </w:rPr>
      </w:pPr>
      <w:r>
        <w:rPr>
          <w:rFonts w:ascii="Arial" w:hAnsi="Arial" w:cs="Arial"/>
          <w:sz w:val="24"/>
          <w:szCs w:val="24"/>
        </w:rPr>
        <w:t>[</w:t>
      </w:r>
      <w:r w:rsidR="00084A3A">
        <w:rPr>
          <w:rFonts w:ascii="Arial" w:hAnsi="Arial" w:cs="Arial"/>
          <w:sz w:val="24"/>
          <w:szCs w:val="24"/>
        </w:rPr>
        <w:t>15</w:t>
      </w:r>
      <w:r>
        <w:rPr>
          <w:rFonts w:ascii="Arial" w:hAnsi="Arial" w:cs="Arial"/>
          <w:sz w:val="24"/>
          <w:szCs w:val="24"/>
        </w:rPr>
        <w:t>]</w:t>
      </w:r>
      <w:r>
        <w:rPr>
          <w:rFonts w:ascii="Arial" w:hAnsi="Arial" w:cs="Arial"/>
          <w:sz w:val="24"/>
          <w:szCs w:val="24"/>
        </w:rPr>
        <w:tab/>
      </w:r>
      <w:r w:rsidR="00186060">
        <w:rPr>
          <w:rFonts w:ascii="Arial" w:hAnsi="Arial" w:cs="Arial"/>
          <w:sz w:val="24"/>
          <w:szCs w:val="24"/>
        </w:rPr>
        <w:t>Mr</w:t>
      </w:r>
      <w:r w:rsidR="00DF225D">
        <w:rPr>
          <w:rFonts w:ascii="Arial" w:hAnsi="Arial" w:cs="Arial"/>
          <w:sz w:val="24"/>
          <w:szCs w:val="24"/>
        </w:rPr>
        <w:t>.</w:t>
      </w:r>
      <w:r w:rsidR="00186060">
        <w:rPr>
          <w:rFonts w:ascii="Arial" w:hAnsi="Arial" w:cs="Arial"/>
          <w:sz w:val="24"/>
          <w:szCs w:val="24"/>
        </w:rPr>
        <w:t xml:space="preserve"> Barnard who appeared for the defendant submits that the plaintiffs nor their family made us of Erf 646 from the period of 1973 to 1980, as the first plaintiff with his mother and father lived in Otjiwarongo from 1966 to 1980.</w:t>
      </w:r>
      <w:r w:rsidR="00730044">
        <w:rPr>
          <w:rFonts w:ascii="Arial" w:hAnsi="Arial" w:cs="Arial"/>
          <w:sz w:val="24"/>
          <w:szCs w:val="24"/>
        </w:rPr>
        <w:t xml:space="preserve"> I dealt with that aspect during the absolution from the instance application, where I raised as follows:</w:t>
      </w:r>
    </w:p>
    <w:p w:rsidR="00730044" w:rsidRDefault="00730044" w:rsidP="00EF198B">
      <w:pPr>
        <w:spacing w:line="360" w:lineRule="auto"/>
        <w:jc w:val="both"/>
        <w:rPr>
          <w:rFonts w:ascii="Arial" w:hAnsi="Arial" w:cs="Arial"/>
          <w:sz w:val="24"/>
          <w:szCs w:val="24"/>
        </w:rPr>
      </w:pPr>
    </w:p>
    <w:p w:rsidR="00730044" w:rsidRPr="00730044" w:rsidRDefault="00730044" w:rsidP="00EF198B">
      <w:pPr>
        <w:spacing w:line="360" w:lineRule="auto"/>
        <w:jc w:val="both"/>
        <w:rPr>
          <w:rFonts w:ascii="Arial" w:hAnsi="Arial" w:cs="Arial"/>
          <w:i/>
        </w:rPr>
      </w:pPr>
      <w:r>
        <w:rPr>
          <w:rFonts w:ascii="Arial" w:hAnsi="Arial" w:cs="Arial"/>
          <w:sz w:val="24"/>
          <w:szCs w:val="24"/>
        </w:rPr>
        <w:tab/>
      </w:r>
      <w:r w:rsidRPr="00730044">
        <w:rPr>
          <w:rFonts w:ascii="Arial" w:hAnsi="Arial" w:cs="Arial"/>
          <w:i/>
        </w:rPr>
        <w:t>‘[5]</w:t>
      </w:r>
      <w:r w:rsidRPr="00730044">
        <w:rPr>
          <w:rFonts w:ascii="Arial" w:hAnsi="Arial" w:cs="Arial"/>
          <w:i/>
        </w:rPr>
        <w:tab/>
        <w:t>. . . A further submission made was that the plaintiff’s evidence does not cover the entire period of 30 years since on his own evidence he was away from the property for a period of time where he lived elsewhere. That is correct as it goes. However the totality of the plaintiff’s evidence is that access was gained to the residential building continuously and that in my view is propbable.</w:t>
      </w:r>
    </w:p>
    <w:p w:rsidR="00730044" w:rsidRPr="00730044" w:rsidRDefault="00730044" w:rsidP="00EF198B">
      <w:pPr>
        <w:spacing w:line="360" w:lineRule="auto"/>
        <w:jc w:val="both"/>
        <w:rPr>
          <w:rFonts w:ascii="Arial" w:hAnsi="Arial" w:cs="Arial"/>
          <w:i/>
        </w:rPr>
      </w:pPr>
    </w:p>
    <w:p w:rsidR="00730044" w:rsidRPr="00730044" w:rsidRDefault="00730044" w:rsidP="00EF198B">
      <w:pPr>
        <w:spacing w:line="360" w:lineRule="auto"/>
        <w:jc w:val="both"/>
        <w:rPr>
          <w:rFonts w:ascii="Arial" w:hAnsi="Arial" w:cs="Arial"/>
          <w:i/>
        </w:rPr>
      </w:pPr>
      <w:r w:rsidRPr="00730044">
        <w:rPr>
          <w:rFonts w:ascii="Arial" w:hAnsi="Arial" w:cs="Arial"/>
          <w:i/>
        </w:rPr>
        <w:tab/>
        <w:t>[6]</w:t>
      </w:r>
      <w:r w:rsidRPr="00730044">
        <w:rPr>
          <w:rFonts w:ascii="Arial" w:hAnsi="Arial" w:cs="Arial"/>
          <w:i/>
        </w:rPr>
        <w:tab/>
        <w:t>If one bears in mind that it was the only access to and from the residential building, it is highly probable that access was gained to the residential period on an uninterrupted basis for a period in excess of 30 years.’</w:t>
      </w:r>
    </w:p>
    <w:p w:rsidR="00186060" w:rsidRDefault="00186060" w:rsidP="00EF198B">
      <w:pPr>
        <w:spacing w:line="360" w:lineRule="auto"/>
        <w:jc w:val="both"/>
        <w:rPr>
          <w:rFonts w:ascii="Arial" w:hAnsi="Arial" w:cs="Arial"/>
          <w:sz w:val="24"/>
          <w:szCs w:val="24"/>
        </w:rPr>
      </w:pPr>
    </w:p>
    <w:p w:rsidR="00186060" w:rsidRDefault="00084A3A" w:rsidP="00EF198B">
      <w:pPr>
        <w:spacing w:line="360" w:lineRule="auto"/>
        <w:jc w:val="both"/>
        <w:rPr>
          <w:rFonts w:ascii="Arial" w:hAnsi="Arial" w:cs="Arial"/>
          <w:sz w:val="24"/>
          <w:szCs w:val="24"/>
        </w:rPr>
      </w:pPr>
      <w:r>
        <w:rPr>
          <w:rFonts w:ascii="Arial" w:hAnsi="Arial" w:cs="Arial"/>
          <w:sz w:val="24"/>
          <w:szCs w:val="24"/>
        </w:rPr>
        <w:lastRenderedPageBreak/>
        <w:t>[16</w:t>
      </w:r>
      <w:r w:rsidR="00186060">
        <w:rPr>
          <w:rFonts w:ascii="Arial" w:hAnsi="Arial" w:cs="Arial"/>
          <w:sz w:val="24"/>
          <w:szCs w:val="24"/>
        </w:rPr>
        <w:t>]</w:t>
      </w:r>
      <w:r w:rsidR="00186060">
        <w:rPr>
          <w:rFonts w:ascii="Arial" w:hAnsi="Arial" w:cs="Arial"/>
          <w:sz w:val="24"/>
          <w:szCs w:val="24"/>
        </w:rPr>
        <w:tab/>
        <w:t xml:space="preserve">It is my considered view that whichever way the period is calculated, either from 1973 when the property was registered in the </w:t>
      </w:r>
      <w:r w:rsidR="005F7D2B">
        <w:rPr>
          <w:rFonts w:ascii="Arial" w:hAnsi="Arial" w:cs="Arial"/>
          <w:sz w:val="24"/>
          <w:szCs w:val="24"/>
        </w:rPr>
        <w:t>Late Mr. Neves’ name or in 1980 when the property was purchased by Mr. Neethling, the fact of the matter is that</w:t>
      </w:r>
      <w:r w:rsidR="00186060">
        <w:rPr>
          <w:rFonts w:ascii="Arial" w:hAnsi="Arial" w:cs="Arial"/>
          <w:sz w:val="24"/>
          <w:szCs w:val="24"/>
        </w:rPr>
        <w:t xml:space="preserve"> a period of </w:t>
      </w:r>
      <w:r w:rsidR="005F7D2B">
        <w:rPr>
          <w:rFonts w:ascii="Arial" w:hAnsi="Arial" w:cs="Arial"/>
          <w:sz w:val="24"/>
          <w:szCs w:val="24"/>
        </w:rPr>
        <w:t xml:space="preserve">uninterrupted possession of </w:t>
      </w:r>
      <w:r w:rsidR="00186060">
        <w:rPr>
          <w:rFonts w:ascii="Arial" w:hAnsi="Arial" w:cs="Arial"/>
          <w:sz w:val="24"/>
          <w:szCs w:val="24"/>
        </w:rPr>
        <w:t xml:space="preserve">30 years has elapsed. </w:t>
      </w:r>
    </w:p>
    <w:p w:rsidR="00186060" w:rsidRDefault="00186060" w:rsidP="00EF198B">
      <w:pPr>
        <w:spacing w:line="360" w:lineRule="auto"/>
        <w:jc w:val="both"/>
        <w:rPr>
          <w:rFonts w:ascii="Arial" w:hAnsi="Arial" w:cs="Arial"/>
          <w:sz w:val="24"/>
          <w:szCs w:val="24"/>
        </w:rPr>
      </w:pPr>
    </w:p>
    <w:p w:rsidR="00186060" w:rsidRDefault="00084A3A" w:rsidP="00EF198B">
      <w:pPr>
        <w:spacing w:line="360" w:lineRule="auto"/>
        <w:jc w:val="both"/>
        <w:rPr>
          <w:rFonts w:ascii="Arial" w:hAnsi="Arial" w:cs="Arial"/>
          <w:sz w:val="24"/>
          <w:szCs w:val="24"/>
        </w:rPr>
      </w:pPr>
      <w:r>
        <w:rPr>
          <w:rFonts w:ascii="Arial" w:hAnsi="Arial" w:cs="Arial"/>
          <w:sz w:val="24"/>
          <w:szCs w:val="24"/>
        </w:rPr>
        <w:t>[17</w:t>
      </w:r>
      <w:r w:rsidR="00186060">
        <w:rPr>
          <w:rFonts w:ascii="Arial" w:hAnsi="Arial" w:cs="Arial"/>
          <w:sz w:val="24"/>
          <w:szCs w:val="24"/>
        </w:rPr>
        <w:t>]</w:t>
      </w:r>
      <w:r w:rsidR="00186060">
        <w:rPr>
          <w:rFonts w:ascii="Arial" w:hAnsi="Arial" w:cs="Arial"/>
          <w:sz w:val="24"/>
          <w:szCs w:val="24"/>
        </w:rPr>
        <w:tab/>
        <w:t xml:space="preserve">It is common cause that the section of the property over which the plaintiff </w:t>
      </w:r>
      <w:r w:rsidR="003F3140">
        <w:rPr>
          <w:rFonts w:ascii="Arial" w:hAnsi="Arial" w:cs="Arial"/>
          <w:sz w:val="24"/>
          <w:szCs w:val="24"/>
        </w:rPr>
        <w:t>seeks to establish the principal</w:t>
      </w:r>
      <w:r w:rsidR="00186060">
        <w:rPr>
          <w:rFonts w:ascii="Arial" w:hAnsi="Arial" w:cs="Arial"/>
          <w:sz w:val="24"/>
          <w:szCs w:val="24"/>
        </w:rPr>
        <w:t xml:space="preserve"> claim is partly owned by the first defendant and the second defendant respectively.</w:t>
      </w:r>
    </w:p>
    <w:p w:rsidR="00186060" w:rsidRDefault="00186060" w:rsidP="00EF198B">
      <w:pPr>
        <w:spacing w:line="360" w:lineRule="auto"/>
        <w:jc w:val="both"/>
        <w:rPr>
          <w:rFonts w:ascii="Arial" w:hAnsi="Arial" w:cs="Arial"/>
          <w:sz w:val="24"/>
          <w:szCs w:val="24"/>
        </w:rPr>
      </w:pPr>
    </w:p>
    <w:p w:rsidR="00186060" w:rsidRDefault="00084A3A" w:rsidP="00EF198B">
      <w:pPr>
        <w:spacing w:line="360" w:lineRule="auto"/>
        <w:jc w:val="both"/>
        <w:rPr>
          <w:rFonts w:ascii="Arial" w:hAnsi="Arial" w:cs="Arial"/>
          <w:sz w:val="24"/>
          <w:szCs w:val="24"/>
        </w:rPr>
      </w:pPr>
      <w:r>
        <w:rPr>
          <w:rFonts w:ascii="Arial" w:hAnsi="Arial" w:cs="Arial"/>
          <w:sz w:val="24"/>
          <w:szCs w:val="24"/>
        </w:rPr>
        <w:t>[18</w:t>
      </w:r>
      <w:r w:rsidR="00186060">
        <w:rPr>
          <w:rFonts w:ascii="Arial" w:hAnsi="Arial" w:cs="Arial"/>
          <w:sz w:val="24"/>
          <w:szCs w:val="24"/>
        </w:rPr>
        <w:t>]</w:t>
      </w:r>
      <w:r w:rsidR="00186060">
        <w:rPr>
          <w:rFonts w:ascii="Arial" w:hAnsi="Arial" w:cs="Arial"/>
          <w:sz w:val="24"/>
          <w:szCs w:val="24"/>
        </w:rPr>
        <w:tab/>
        <w:t>The second defendant however entered no appearance to defend which leaves the Court only to consider the acquisitive presc</w:t>
      </w:r>
      <w:r w:rsidR="00730044">
        <w:rPr>
          <w:rFonts w:ascii="Arial" w:hAnsi="Arial" w:cs="Arial"/>
          <w:sz w:val="24"/>
          <w:szCs w:val="24"/>
        </w:rPr>
        <w:t>ription claimed in the principal</w:t>
      </w:r>
      <w:r w:rsidR="00186060">
        <w:rPr>
          <w:rFonts w:ascii="Arial" w:hAnsi="Arial" w:cs="Arial"/>
          <w:sz w:val="24"/>
          <w:szCs w:val="24"/>
        </w:rPr>
        <w:t xml:space="preserve"> claim in so far as it relates to that portion of the properly owned by the first defendant. </w:t>
      </w:r>
    </w:p>
    <w:p w:rsidR="00186060" w:rsidRDefault="00186060" w:rsidP="00EF198B">
      <w:pPr>
        <w:spacing w:line="360" w:lineRule="auto"/>
        <w:jc w:val="both"/>
        <w:rPr>
          <w:rFonts w:ascii="Arial" w:hAnsi="Arial" w:cs="Arial"/>
          <w:sz w:val="24"/>
          <w:szCs w:val="24"/>
        </w:rPr>
      </w:pPr>
    </w:p>
    <w:p w:rsidR="00186060" w:rsidRDefault="00084A3A" w:rsidP="00EF198B">
      <w:pPr>
        <w:spacing w:line="360" w:lineRule="auto"/>
        <w:jc w:val="both"/>
        <w:rPr>
          <w:rFonts w:ascii="Arial" w:hAnsi="Arial" w:cs="Arial"/>
          <w:sz w:val="24"/>
          <w:szCs w:val="24"/>
        </w:rPr>
      </w:pPr>
      <w:r>
        <w:rPr>
          <w:rFonts w:ascii="Arial" w:hAnsi="Arial" w:cs="Arial"/>
          <w:sz w:val="24"/>
          <w:szCs w:val="24"/>
        </w:rPr>
        <w:t>[19</w:t>
      </w:r>
      <w:r w:rsidR="00186060">
        <w:rPr>
          <w:rFonts w:ascii="Arial" w:hAnsi="Arial" w:cs="Arial"/>
          <w:sz w:val="24"/>
          <w:szCs w:val="24"/>
        </w:rPr>
        <w:t>]</w:t>
      </w:r>
      <w:r w:rsidR="00186060">
        <w:rPr>
          <w:rFonts w:ascii="Arial" w:hAnsi="Arial" w:cs="Arial"/>
          <w:sz w:val="24"/>
          <w:szCs w:val="24"/>
        </w:rPr>
        <w:tab/>
        <w:t>During the course of the argument on the application for absolution from the instance, an argument was advanced that before the prescriptive period of 30 years has ran out, the property of the first defendant was fenced and the gates were installed and locked. In this regard I dealt with that argument as follows:</w:t>
      </w:r>
    </w:p>
    <w:p w:rsidR="00186060" w:rsidRDefault="00186060" w:rsidP="00EF198B">
      <w:pPr>
        <w:spacing w:line="360" w:lineRule="auto"/>
        <w:jc w:val="both"/>
        <w:rPr>
          <w:rFonts w:ascii="Arial" w:hAnsi="Arial" w:cs="Arial"/>
          <w:sz w:val="24"/>
          <w:szCs w:val="24"/>
        </w:rPr>
      </w:pPr>
    </w:p>
    <w:p w:rsidR="00186060" w:rsidRPr="003803A6" w:rsidRDefault="00186060" w:rsidP="00EF198B">
      <w:pPr>
        <w:spacing w:line="360" w:lineRule="auto"/>
        <w:jc w:val="both"/>
        <w:rPr>
          <w:rFonts w:ascii="Arial" w:hAnsi="Arial" w:cs="Arial"/>
          <w:i/>
        </w:rPr>
      </w:pPr>
      <w:r>
        <w:rPr>
          <w:rFonts w:ascii="Arial" w:hAnsi="Arial" w:cs="Arial"/>
          <w:sz w:val="24"/>
          <w:szCs w:val="24"/>
        </w:rPr>
        <w:tab/>
      </w:r>
      <w:r w:rsidRPr="003803A6">
        <w:rPr>
          <w:rFonts w:ascii="Arial" w:hAnsi="Arial" w:cs="Arial"/>
          <w:i/>
        </w:rPr>
        <w:t>‘[6]</w:t>
      </w:r>
      <w:r w:rsidRPr="003803A6">
        <w:rPr>
          <w:rFonts w:ascii="Arial" w:hAnsi="Arial" w:cs="Arial"/>
          <w:i/>
        </w:rPr>
        <w:tab/>
        <w:t>. . . Mr. Barnard submits in this regard that in fact that the gates were installed and locked has the effect that the plaintiff’s rights to become precarious from that point on. That may be one inference, but it is not the only inference.</w:t>
      </w:r>
    </w:p>
    <w:p w:rsidR="00186060" w:rsidRPr="003803A6" w:rsidRDefault="00186060" w:rsidP="00EF198B">
      <w:pPr>
        <w:spacing w:line="360" w:lineRule="auto"/>
        <w:jc w:val="both"/>
        <w:rPr>
          <w:rFonts w:ascii="Arial" w:hAnsi="Arial" w:cs="Arial"/>
          <w:i/>
        </w:rPr>
      </w:pPr>
    </w:p>
    <w:p w:rsidR="00186060" w:rsidRPr="003803A6" w:rsidRDefault="00186060" w:rsidP="00EF198B">
      <w:pPr>
        <w:spacing w:line="360" w:lineRule="auto"/>
        <w:jc w:val="both"/>
        <w:rPr>
          <w:rFonts w:ascii="Arial" w:hAnsi="Arial" w:cs="Arial"/>
          <w:i/>
        </w:rPr>
      </w:pPr>
      <w:r w:rsidRPr="003803A6">
        <w:rPr>
          <w:rFonts w:ascii="Arial" w:hAnsi="Arial" w:cs="Arial"/>
          <w:i/>
        </w:rPr>
        <w:tab/>
        <w:t>[5]</w:t>
      </w:r>
      <w:r w:rsidRPr="003803A6">
        <w:rPr>
          <w:rFonts w:ascii="Arial" w:hAnsi="Arial" w:cs="Arial"/>
          <w:i/>
        </w:rPr>
        <w:tab/>
        <w:t>The handing over of the key to the defendant perhaps may also as an inference be an acknowledgement of and the endorsement of</w:t>
      </w:r>
      <w:r w:rsidR="00730044">
        <w:rPr>
          <w:rFonts w:ascii="Arial" w:hAnsi="Arial" w:cs="Arial"/>
          <w:i/>
        </w:rPr>
        <w:t xml:space="preserve"> the plaintiff’s property. . . ’</w:t>
      </w:r>
    </w:p>
    <w:p w:rsidR="00186060" w:rsidRDefault="00186060" w:rsidP="00EF198B">
      <w:pPr>
        <w:spacing w:line="360" w:lineRule="auto"/>
        <w:jc w:val="both"/>
        <w:rPr>
          <w:rFonts w:ascii="Arial" w:hAnsi="Arial" w:cs="Arial"/>
          <w:sz w:val="24"/>
          <w:szCs w:val="24"/>
        </w:rPr>
      </w:pPr>
    </w:p>
    <w:p w:rsidR="00186060" w:rsidRDefault="00084A3A" w:rsidP="00EF198B">
      <w:pPr>
        <w:spacing w:line="360" w:lineRule="auto"/>
        <w:jc w:val="both"/>
        <w:rPr>
          <w:rFonts w:ascii="Arial" w:hAnsi="Arial" w:cs="Arial"/>
          <w:sz w:val="24"/>
          <w:szCs w:val="24"/>
        </w:rPr>
      </w:pPr>
      <w:r>
        <w:rPr>
          <w:rFonts w:ascii="Arial" w:hAnsi="Arial" w:cs="Arial"/>
          <w:sz w:val="24"/>
          <w:szCs w:val="24"/>
        </w:rPr>
        <w:t>[20</w:t>
      </w:r>
      <w:r w:rsidR="00186060">
        <w:rPr>
          <w:rFonts w:ascii="Arial" w:hAnsi="Arial" w:cs="Arial"/>
          <w:sz w:val="24"/>
          <w:szCs w:val="24"/>
        </w:rPr>
        <w:t>]</w:t>
      </w:r>
      <w:r w:rsidR="00186060">
        <w:rPr>
          <w:rFonts w:ascii="Arial" w:hAnsi="Arial" w:cs="Arial"/>
          <w:sz w:val="24"/>
          <w:szCs w:val="24"/>
        </w:rPr>
        <w:tab/>
        <w:t xml:space="preserve">Having heard the evidence tendered by the first defendant subsequent to the dismissal of the application for absolution from the instance, I am of the view that the only </w:t>
      </w:r>
      <w:r w:rsidR="00186060">
        <w:rPr>
          <w:rFonts w:ascii="Arial" w:hAnsi="Arial" w:cs="Arial"/>
          <w:sz w:val="24"/>
          <w:szCs w:val="24"/>
        </w:rPr>
        <w:lastRenderedPageBreak/>
        <w:t xml:space="preserve">inference to be drawn from the </w:t>
      </w:r>
      <w:r w:rsidR="00730044">
        <w:rPr>
          <w:rFonts w:ascii="Arial" w:hAnsi="Arial" w:cs="Arial"/>
          <w:sz w:val="24"/>
          <w:szCs w:val="24"/>
        </w:rPr>
        <w:t>totality</w:t>
      </w:r>
      <w:r w:rsidR="00186060">
        <w:rPr>
          <w:rFonts w:ascii="Arial" w:hAnsi="Arial" w:cs="Arial"/>
          <w:sz w:val="24"/>
          <w:szCs w:val="24"/>
        </w:rPr>
        <w:t xml:space="preserve"> of the evidence is that the handing over of the </w:t>
      </w:r>
      <w:r w:rsidR="00730044">
        <w:rPr>
          <w:rFonts w:ascii="Arial" w:hAnsi="Arial" w:cs="Arial"/>
          <w:sz w:val="24"/>
          <w:szCs w:val="24"/>
        </w:rPr>
        <w:t xml:space="preserve">keys to the </w:t>
      </w:r>
      <w:r w:rsidR="00186060">
        <w:rPr>
          <w:rFonts w:ascii="Arial" w:hAnsi="Arial" w:cs="Arial"/>
          <w:sz w:val="24"/>
          <w:szCs w:val="24"/>
        </w:rPr>
        <w:t>plaintiff constitutes an acknowledgment of the plaintiff’s free access of the property to and from the residential build</w:t>
      </w:r>
      <w:r w:rsidR="00730044">
        <w:rPr>
          <w:rFonts w:ascii="Arial" w:hAnsi="Arial" w:cs="Arial"/>
          <w:sz w:val="24"/>
          <w:szCs w:val="24"/>
        </w:rPr>
        <w:t>ing on the plaintiff’s property, and that it’s not one of rendering the plaintiff’s right precarious.</w:t>
      </w:r>
    </w:p>
    <w:p w:rsidR="00186060" w:rsidRDefault="00186060" w:rsidP="00EF198B">
      <w:pPr>
        <w:spacing w:line="360" w:lineRule="auto"/>
        <w:jc w:val="both"/>
        <w:rPr>
          <w:rFonts w:ascii="Arial" w:hAnsi="Arial" w:cs="Arial"/>
          <w:sz w:val="24"/>
          <w:szCs w:val="24"/>
        </w:rPr>
      </w:pPr>
    </w:p>
    <w:p w:rsidR="00186060" w:rsidRDefault="00084A3A" w:rsidP="00EF198B">
      <w:pPr>
        <w:spacing w:line="360" w:lineRule="auto"/>
        <w:jc w:val="both"/>
        <w:rPr>
          <w:rFonts w:ascii="Arial" w:hAnsi="Arial" w:cs="Arial"/>
          <w:sz w:val="24"/>
          <w:szCs w:val="24"/>
        </w:rPr>
      </w:pPr>
      <w:r>
        <w:rPr>
          <w:rFonts w:ascii="Arial" w:hAnsi="Arial" w:cs="Arial"/>
          <w:sz w:val="24"/>
          <w:szCs w:val="24"/>
        </w:rPr>
        <w:t>[21</w:t>
      </w:r>
      <w:r w:rsidR="00186060">
        <w:rPr>
          <w:rFonts w:ascii="Arial" w:hAnsi="Arial" w:cs="Arial"/>
          <w:sz w:val="24"/>
          <w:szCs w:val="24"/>
        </w:rPr>
        <w:t>]</w:t>
      </w:r>
      <w:r w:rsidR="00186060">
        <w:rPr>
          <w:rFonts w:ascii="Arial" w:hAnsi="Arial" w:cs="Arial"/>
          <w:sz w:val="24"/>
          <w:szCs w:val="24"/>
        </w:rPr>
        <w:tab/>
        <w:t>Although the plaintiff was at times during the course of this evidence emotional and behest for the defendant insulting towards the first defendant’s legal representative, I remain of the view that this evidence in its totality he was not an unreliable witness, in fact I accept his evidence despite the shortcomings during that, which I have already mentioned.</w:t>
      </w:r>
      <w:r w:rsidR="00730044">
        <w:rPr>
          <w:rFonts w:ascii="Arial" w:hAnsi="Arial" w:cs="Arial"/>
          <w:sz w:val="24"/>
          <w:szCs w:val="24"/>
        </w:rPr>
        <w:t xml:space="preserve"> As far as the evidence of Mr. Arangies is concerned, the only relevant portion thereof is that it is the intention to develop the property by the creation of dwelling units and a shop. That does not advance the case of the defendant because his right to do so is subject to the rights of the plaintiff, acquired by way of prescription.</w:t>
      </w:r>
    </w:p>
    <w:p w:rsidR="00186060" w:rsidRDefault="00186060" w:rsidP="00EF198B">
      <w:pPr>
        <w:spacing w:line="360" w:lineRule="auto"/>
        <w:jc w:val="both"/>
        <w:rPr>
          <w:rFonts w:ascii="Arial" w:hAnsi="Arial" w:cs="Arial"/>
          <w:sz w:val="24"/>
          <w:szCs w:val="24"/>
        </w:rPr>
      </w:pPr>
    </w:p>
    <w:p w:rsidR="00186060" w:rsidRDefault="00084A3A" w:rsidP="00EF198B">
      <w:pPr>
        <w:spacing w:line="360" w:lineRule="auto"/>
        <w:jc w:val="both"/>
        <w:rPr>
          <w:rFonts w:ascii="Arial" w:hAnsi="Arial" w:cs="Arial"/>
          <w:sz w:val="24"/>
          <w:szCs w:val="24"/>
        </w:rPr>
      </w:pPr>
      <w:r>
        <w:rPr>
          <w:rFonts w:ascii="Arial" w:hAnsi="Arial" w:cs="Arial"/>
          <w:sz w:val="24"/>
          <w:szCs w:val="24"/>
        </w:rPr>
        <w:t>[22</w:t>
      </w:r>
      <w:r w:rsidR="00186060">
        <w:rPr>
          <w:rFonts w:ascii="Arial" w:hAnsi="Arial" w:cs="Arial"/>
          <w:sz w:val="24"/>
          <w:szCs w:val="24"/>
        </w:rPr>
        <w:t>]</w:t>
      </w:r>
      <w:r w:rsidR="00186060">
        <w:rPr>
          <w:rFonts w:ascii="Arial" w:hAnsi="Arial" w:cs="Arial"/>
          <w:sz w:val="24"/>
          <w:szCs w:val="24"/>
        </w:rPr>
        <w:tab/>
        <w:t>At the conclusion of the evidence, Mr. Frank abandoned the alternative claim and it is therefore not necessary to deal with that aspect any further.</w:t>
      </w:r>
    </w:p>
    <w:p w:rsidR="00186060" w:rsidRDefault="00186060" w:rsidP="00EF198B">
      <w:pPr>
        <w:spacing w:line="360" w:lineRule="auto"/>
        <w:jc w:val="both"/>
        <w:rPr>
          <w:rFonts w:ascii="Arial" w:hAnsi="Arial" w:cs="Arial"/>
          <w:sz w:val="24"/>
          <w:szCs w:val="24"/>
        </w:rPr>
      </w:pPr>
    </w:p>
    <w:p w:rsidR="00186060" w:rsidRDefault="00084A3A" w:rsidP="00EF198B">
      <w:pPr>
        <w:spacing w:line="360" w:lineRule="auto"/>
        <w:jc w:val="both"/>
        <w:rPr>
          <w:rFonts w:ascii="Arial" w:hAnsi="Arial" w:cs="Arial"/>
          <w:sz w:val="24"/>
          <w:szCs w:val="24"/>
        </w:rPr>
      </w:pPr>
      <w:r>
        <w:rPr>
          <w:rFonts w:ascii="Arial" w:hAnsi="Arial" w:cs="Arial"/>
          <w:sz w:val="24"/>
          <w:szCs w:val="24"/>
        </w:rPr>
        <w:t>[23</w:t>
      </w:r>
      <w:r w:rsidR="00186060">
        <w:rPr>
          <w:rFonts w:ascii="Arial" w:hAnsi="Arial" w:cs="Arial"/>
          <w:sz w:val="24"/>
          <w:szCs w:val="24"/>
        </w:rPr>
        <w:t>]</w:t>
      </w:r>
      <w:r w:rsidR="00186060">
        <w:rPr>
          <w:rFonts w:ascii="Arial" w:hAnsi="Arial" w:cs="Arial"/>
          <w:sz w:val="24"/>
          <w:szCs w:val="24"/>
        </w:rPr>
        <w:tab/>
        <w:t>In conclusion, I find that the plaintiff has established the required elements which will entitle him to the relief claimed in the principle claim.</w:t>
      </w:r>
    </w:p>
    <w:p w:rsidR="00186060" w:rsidRDefault="00186060" w:rsidP="00EF198B">
      <w:pPr>
        <w:spacing w:line="360" w:lineRule="auto"/>
        <w:jc w:val="both"/>
        <w:rPr>
          <w:rFonts w:ascii="Arial" w:hAnsi="Arial" w:cs="Arial"/>
          <w:sz w:val="24"/>
          <w:szCs w:val="24"/>
        </w:rPr>
      </w:pPr>
    </w:p>
    <w:p w:rsidR="00186060" w:rsidRDefault="00084A3A" w:rsidP="00EF198B">
      <w:pPr>
        <w:spacing w:line="360" w:lineRule="auto"/>
        <w:jc w:val="both"/>
        <w:rPr>
          <w:rFonts w:ascii="Arial" w:hAnsi="Arial" w:cs="Arial"/>
          <w:sz w:val="24"/>
          <w:szCs w:val="24"/>
        </w:rPr>
      </w:pPr>
      <w:r>
        <w:rPr>
          <w:rFonts w:ascii="Arial" w:hAnsi="Arial" w:cs="Arial"/>
          <w:sz w:val="24"/>
          <w:szCs w:val="24"/>
        </w:rPr>
        <w:t>[24</w:t>
      </w:r>
      <w:r w:rsidR="00186060">
        <w:rPr>
          <w:rFonts w:ascii="Arial" w:hAnsi="Arial" w:cs="Arial"/>
          <w:sz w:val="24"/>
          <w:szCs w:val="24"/>
        </w:rPr>
        <w:t>]</w:t>
      </w:r>
      <w:r w:rsidR="00186060">
        <w:rPr>
          <w:rFonts w:ascii="Arial" w:hAnsi="Arial" w:cs="Arial"/>
          <w:sz w:val="24"/>
          <w:szCs w:val="24"/>
        </w:rPr>
        <w:tab/>
        <w:t>I therefore make the following orders:</w:t>
      </w:r>
    </w:p>
    <w:p w:rsidR="00186060" w:rsidRDefault="00186060" w:rsidP="00EF198B">
      <w:pPr>
        <w:spacing w:line="360" w:lineRule="auto"/>
        <w:jc w:val="both"/>
        <w:rPr>
          <w:rFonts w:ascii="Arial" w:hAnsi="Arial" w:cs="Arial"/>
          <w:sz w:val="24"/>
          <w:szCs w:val="24"/>
        </w:rPr>
      </w:pPr>
    </w:p>
    <w:p w:rsidR="00186060" w:rsidRDefault="00186060" w:rsidP="00186060">
      <w:pPr>
        <w:pStyle w:val="ListParagraph"/>
        <w:numPr>
          <w:ilvl w:val="0"/>
          <w:numId w:val="2"/>
        </w:numPr>
        <w:spacing w:line="360" w:lineRule="auto"/>
        <w:jc w:val="both"/>
        <w:rPr>
          <w:rFonts w:ascii="Arial" w:hAnsi="Arial" w:cs="Arial"/>
          <w:sz w:val="24"/>
          <w:szCs w:val="24"/>
        </w:rPr>
      </w:pPr>
      <w:r>
        <w:rPr>
          <w:rFonts w:ascii="Arial" w:hAnsi="Arial" w:cs="Arial"/>
          <w:sz w:val="24"/>
          <w:szCs w:val="24"/>
        </w:rPr>
        <w:t>I grant judgment in favour of</w:t>
      </w:r>
      <w:r w:rsidR="00730044">
        <w:rPr>
          <w:rFonts w:ascii="Arial" w:hAnsi="Arial" w:cs="Arial"/>
          <w:sz w:val="24"/>
          <w:szCs w:val="24"/>
        </w:rPr>
        <w:t xml:space="preserve"> the plaintiff, on the principal</w:t>
      </w:r>
      <w:r>
        <w:rPr>
          <w:rFonts w:ascii="Arial" w:hAnsi="Arial" w:cs="Arial"/>
          <w:sz w:val="24"/>
          <w:szCs w:val="24"/>
        </w:rPr>
        <w:t xml:space="preserve"> claim.</w:t>
      </w:r>
    </w:p>
    <w:p w:rsidR="00186060" w:rsidRPr="00186060" w:rsidRDefault="00186060" w:rsidP="00186060">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first defendant is ordered to pay the costs of the plaintiff on the basis of one instructing and 2 instructed counsel.</w:t>
      </w:r>
    </w:p>
    <w:p w:rsidR="001919B8" w:rsidRDefault="001919B8" w:rsidP="001919B8">
      <w:pPr>
        <w:spacing w:line="360" w:lineRule="auto"/>
        <w:jc w:val="both"/>
        <w:rPr>
          <w:rFonts w:ascii="Arial" w:hAnsi="Arial" w:cs="Arial"/>
          <w:sz w:val="24"/>
          <w:szCs w:val="24"/>
        </w:rPr>
      </w:pPr>
    </w:p>
    <w:p w:rsidR="00C7228B" w:rsidRDefault="00C7228B" w:rsidP="001919B8">
      <w:pPr>
        <w:spacing w:line="360" w:lineRule="auto"/>
        <w:jc w:val="both"/>
        <w:rPr>
          <w:rFonts w:ascii="Arial" w:hAnsi="Arial" w:cs="Arial"/>
          <w:sz w:val="24"/>
          <w:szCs w:val="24"/>
        </w:rPr>
      </w:pPr>
    </w:p>
    <w:p w:rsidR="00C7228B" w:rsidRDefault="00C7228B" w:rsidP="001919B8">
      <w:pPr>
        <w:spacing w:line="360" w:lineRule="auto"/>
        <w:jc w:val="both"/>
        <w:rPr>
          <w:rFonts w:ascii="Arial" w:hAnsi="Arial" w:cs="Arial"/>
          <w:sz w:val="24"/>
          <w:szCs w:val="24"/>
        </w:rPr>
      </w:pPr>
    </w:p>
    <w:p w:rsidR="00C7228B" w:rsidRDefault="00C7228B" w:rsidP="00C7228B">
      <w:pPr>
        <w:spacing w:line="360" w:lineRule="auto"/>
        <w:jc w:val="right"/>
        <w:rPr>
          <w:rFonts w:ascii="Arial" w:hAnsi="Arial" w:cs="Arial"/>
          <w:sz w:val="24"/>
          <w:szCs w:val="24"/>
        </w:rPr>
      </w:pPr>
      <w:r>
        <w:rPr>
          <w:rFonts w:ascii="Arial" w:hAnsi="Arial" w:cs="Arial"/>
          <w:sz w:val="24"/>
          <w:szCs w:val="24"/>
        </w:rPr>
        <w:t>______________________</w:t>
      </w:r>
    </w:p>
    <w:p w:rsidR="00C7228B" w:rsidRDefault="00C7228B" w:rsidP="00C7228B">
      <w:pPr>
        <w:spacing w:line="360" w:lineRule="auto"/>
        <w:jc w:val="right"/>
        <w:rPr>
          <w:rFonts w:ascii="Arial" w:hAnsi="Arial" w:cs="Arial"/>
          <w:sz w:val="24"/>
          <w:szCs w:val="24"/>
        </w:rPr>
      </w:pPr>
      <w:r>
        <w:rPr>
          <w:rFonts w:ascii="Arial" w:hAnsi="Arial" w:cs="Arial"/>
          <w:sz w:val="24"/>
          <w:szCs w:val="24"/>
        </w:rPr>
        <w:t>PJ Miller</w:t>
      </w:r>
    </w:p>
    <w:p w:rsidR="00FC3AA2" w:rsidRDefault="00FC3AA2" w:rsidP="00C7228B">
      <w:pPr>
        <w:spacing w:line="360" w:lineRule="auto"/>
        <w:jc w:val="right"/>
        <w:rPr>
          <w:rFonts w:ascii="Arial" w:hAnsi="Arial" w:cs="Arial"/>
          <w:sz w:val="24"/>
          <w:szCs w:val="24"/>
        </w:rPr>
      </w:pPr>
    </w:p>
    <w:p w:rsidR="00FC3AA2" w:rsidRPr="00FC3AA2" w:rsidRDefault="00FC3AA2" w:rsidP="00FC3AA2">
      <w:pPr>
        <w:spacing w:line="360" w:lineRule="auto"/>
        <w:jc w:val="both"/>
        <w:rPr>
          <w:rFonts w:ascii="Arial" w:hAnsi="Arial" w:cs="Arial"/>
          <w:b/>
          <w:sz w:val="24"/>
          <w:szCs w:val="24"/>
        </w:rPr>
      </w:pPr>
      <w:r w:rsidRPr="00FC3AA2">
        <w:rPr>
          <w:rFonts w:ascii="Arial" w:hAnsi="Arial" w:cs="Arial"/>
          <w:b/>
          <w:sz w:val="24"/>
          <w:szCs w:val="24"/>
        </w:rPr>
        <w:t>APPEARANCES:</w:t>
      </w:r>
    </w:p>
    <w:p w:rsidR="00FC3AA2" w:rsidRDefault="00FC3AA2" w:rsidP="00FC3AA2">
      <w:pPr>
        <w:spacing w:line="360" w:lineRule="auto"/>
        <w:jc w:val="both"/>
        <w:rPr>
          <w:rFonts w:ascii="Arial" w:hAnsi="Arial" w:cs="Arial"/>
          <w:sz w:val="24"/>
          <w:szCs w:val="24"/>
        </w:rPr>
      </w:pPr>
    </w:p>
    <w:p w:rsidR="00FC3AA2" w:rsidRDefault="00FC3AA2" w:rsidP="00FC3AA2">
      <w:pPr>
        <w:spacing w:line="360" w:lineRule="auto"/>
        <w:jc w:val="both"/>
        <w:rPr>
          <w:rFonts w:ascii="Arial" w:hAnsi="Arial" w:cs="Arial"/>
          <w:sz w:val="24"/>
          <w:szCs w:val="24"/>
        </w:rPr>
      </w:pPr>
      <w:r>
        <w:rPr>
          <w:rFonts w:ascii="Arial" w:hAnsi="Arial" w:cs="Arial"/>
          <w:sz w:val="24"/>
          <w:szCs w:val="24"/>
        </w:rPr>
        <w:t>FOR THE 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TJ Frank SC (with him Y Campbell)</w:t>
      </w:r>
    </w:p>
    <w:p w:rsidR="00FC3AA2" w:rsidRDefault="00FC3AA2" w:rsidP="00FC3AA2">
      <w:pPr>
        <w:spacing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Neves Leagal Practitioners, Windhoek</w:t>
      </w:r>
    </w:p>
    <w:p w:rsidR="00FC3AA2" w:rsidRDefault="00FC3AA2" w:rsidP="00FC3AA2">
      <w:pPr>
        <w:spacing w:line="360" w:lineRule="auto"/>
        <w:jc w:val="both"/>
        <w:rPr>
          <w:rFonts w:ascii="Arial" w:hAnsi="Arial" w:cs="Arial"/>
          <w:sz w:val="24"/>
          <w:szCs w:val="24"/>
        </w:rPr>
      </w:pPr>
    </w:p>
    <w:p w:rsidR="00FC3AA2" w:rsidRDefault="00FC3AA2" w:rsidP="00FC3AA2">
      <w:pPr>
        <w:spacing w:line="360" w:lineRule="auto"/>
        <w:jc w:val="both"/>
        <w:rPr>
          <w:rFonts w:ascii="Arial" w:hAnsi="Arial" w:cs="Arial"/>
          <w:sz w:val="24"/>
          <w:szCs w:val="24"/>
        </w:rPr>
      </w:pPr>
      <w:r>
        <w:rPr>
          <w:rFonts w:ascii="Arial" w:hAnsi="Arial" w:cs="Arial"/>
          <w:sz w:val="24"/>
          <w:szCs w:val="24"/>
        </w:rPr>
        <w:t>FOR THE FIRST DEFENDANT:</w:t>
      </w:r>
      <w:r>
        <w:rPr>
          <w:rFonts w:ascii="Arial" w:hAnsi="Arial" w:cs="Arial"/>
          <w:sz w:val="24"/>
          <w:szCs w:val="24"/>
        </w:rPr>
        <w:tab/>
      </w:r>
      <w:r>
        <w:rPr>
          <w:rFonts w:ascii="Arial" w:hAnsi="Arial" w:cs="Arial"/>
          <w:sz w:val="24"/>
          <w:szCs w:val="24"/>
        </w:rPr>
        <w:tab/>
      </w:r>
      <w:r>
        <w:rPr>
          <w:rFonts w:ascii="Arial" w:hAnsi="Arial" w:cs="Arial"/>
          <w:sz w:val="24"/>
          <w:szCs w:val="24"/>
        </w:rPr>
        <w:tab/>
        <w:t>TA Barnard</w:t>
      </w:r>
    </w:p>
    <w:p w:rsidR="00FC3AA2" w:rsidRPr="001919B8" w:rsidRDefault="00FC3AA2" w:rsidP="00FC3AA2">
      <w:pPr>
        <w:spacing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Mueller Legal Practitioners, Windhoek</w:t>
      </w:r>
    </w:p>
    <w:sectPr w:rsidR="00FC3AA2" w:rsidRPr="001919B8" w:rsidSect="00FE59D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D9C" w:rsidRDefault="00F22D9C" w:rsidP="00084A3A">
      <w:pPr>
        <w:spacing w:after="0" w:line="240" w:lineRule="auto"/>
      </w:pPr>
      <w:r>
        <w:separator/>
      </w:r>
    </w:p>
  </w:endnote>
  <w:endnote w:type="continuationSeparator" w:id="0">
    <w:p w:rsidR="00F22D9C" w:rsidRDefault="00F22D9C" w:rsidP="0008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D9C" w:rsidRDefault="00F22D9C" w:rsidP="00084A3A">
      <w:pPr>
        <w:spacing w:after="0" w:line="240" w:lineRule="auto"/>
      </w:pPr>
      <w:r>
        <w:separator/>
      </w:r>
    </w:p>
  </w:footnote>
  <w:footnote w:type="continuationSeparator" w:id="0">
    <w:p w:rsidR="00F22D9C" w:rsidRDefault="00F22D9C" w:rsidP="00084A3A">
      <w:pPr>
        <w:spacing w:after="0" w:line="240" w:lineRule="auto"/>
      </w:pPr>
      <w:r>
        <w:continuationSeparator/>
      </w:r>
    </w:p>
  </w:footnote>
  <w:footnote w:id="1">
    <w:p w:rsidR="00084A3A" w:rsidRDefault="00084A3A" w:rsidP="00084A3A">
      <w:pPr>
        <w:pStyle w:val="FootnoteText"/>
      </w:pPr>
      <w:r>
        <w:rPr>
          <w:rStyle w:val="FootnoteReference"/>
        </w:rPr>
        <w:footnoteRef/>
      </w:r>
      <w:r>
        <w:t xml:space="preserve"> De Beer v Van Der Merwe 1923 AD 378. </w:t>
      </w:r>
    </w:p>
  </w:footnote>
  <w:footnote w:id="2">
    <w:p w:rsidR="00084A3A" w:rsidRDefault="00084A3A" w:rsidP="00084A3A">
      <w:pPr>
        <w:pStyle w:val="FootnoteText"/>
      </w:pPr>
      <w:r>
        <w:rPr>
          <w:rStyle w:val="FootnoteReference"/>
        </w:rPr>
        <w:footnoteRef/>
      </w:r>
      <w:r>
        <w:t xml:space="preserve"> A 79/2007. </w:t>
      </w:r>
    </w:p>
  </w:footnote>
  <w:footnote w:id="3">
    <w:p w:rsidR="00084A3A" w:rsidRDefault="00084A3A" w:rsidP="00084A3A">
      <w:pPr>
        <w:pStyle w:val="FootnoteText"/>
      </w:pPr>
      <w:r>
        <w:rPr>
          <w:rStyle w:val="FootnoteReference"/>
        </w:rPr>
        <w:footnoteRef/>
      </w:r>
      <w:r>
        <w:t xml:space="preserve"> 1960 (2) SA 46 N 486.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625908"/>
      <w:docPartObj>
        <w:docPartGallery w:val="Page Numbers (Top of Page)"/>
        <w:docPartUnique/>
      </w:docPartObj>
    </w:sdtPr>
    <w:sdtEndPr>
      <w:rPr>
        <w:noProof/>
      </w:rPr>
    </w:sdtEndPr>
    <w:sdtContent>
      <w:p w:rsidR="00FE59DB" w:rsidRDefault="00FE59DB">
        <w:pPr>
          <w:pStyle w:val="Header"/>
          <w:jc w:val="right"/>
        </w:pPr>
        <w:r>
          <w:fldChar w:fldCharType="begin"/>
        </w:r>
        <w:r>
          <w:instrText xml:space="preserve"> PAGE   \* MERGEFORMAT </w:instrText>
        </w:r>
        <w:r>
          <w:fldChar w:fldCharType="separate"/>
        </w:r>
        <w:r w:rsidR="009A73DD">
          <w:rPr>
            <w:noProof/>
          </w:rPr>
          <w:t>5</w:t>
        </w:r>
        <w:r>
          <w:rPr>
            <w:noProof/>
          </w:rPr>
          <w:fldChar w:fldCharType="end"/>
        </w:r>
      </w:p>
    </w:sdtContent>
  </w:sdt>
  <w:p w:rsidR="00FE59DB" w:rsidRDefault="00FE5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87CB1"/>
    <w:multiLevelType w:val="hybridMultilevel"/>
    <w:tmpl w:val="1C70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C20BA"/>
    <w:multiLevelType w:val="hybridMultilevel"/>
    <w:tmpl w:val="C5306372"/>
    <w:lvl w:ilvl="0" w:tplc="CC30D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E074F3"/>
    <w:multiLevelType w:val="hybridMultilevel"/>
    <w:tmpl w:val="626E9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5569E7"/>
    <w:multiLevelType w:val="hybridMultilevel"/>
    <w:tmpl w:val="91C0DDE2"/>
    <w:lvl w:ilvl="0" w:tplc="8D8A6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B8"/>
    <w:rsid w:val="00084A3A"/>
    <w:rsid w:val="00186060"/>
    <w:rsid w:val="001919B8"/>
    <w:rsid w:val="003803A6"/>
    <w:rsid w:val="003F3140"/>
    <w:rsid w:val="004C51AC"/>
    <w:rsid w:val="005F7D2B"/>
    <w:rsid w:val="00730044"/>
    <w:rsid w:val="008E5E21"/>
    <w:rsid w:val="00922EE8"/>
    <w:rsid w:val="00925EBB"/>
    <w:rsid w:val="009A73DD"/>
    <w:rsid w:val="009B0072"/>
    <w:rsid w:val="00B86DEA"/>
    <w:rsid w:val="00C7228B"/>
    <w:rsid w:val="00DF225D"/>
    <w:rsid w:val="00EF198B"/>
    <w:rsid w:val="00F226BB"/>
    <w:rsid w:val="00F22D9C"/>
    <w:rsid w:val="00FC3AA2"/>
    <w:rsid w:val="00FE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082D4-8F2E-4996-9C92-15F4D2E9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9B8"/>
    <w:pPr>
      <w:ind w:left="720"/>
      <w:contextualSpacing/>
    </w:pPr>
  </w:style>
  <w:style w:type="paragraph" w:styleId="FootnoteText">
    <w:name w:val="footnote text"/>
    <w:basedOn w:val="Normal"/>
    <w:link w:val="FootnoteTextChar"/>
    <w:uiPriority w:val="99"/>
    <w:semiHidden/>
    <w:unhideWhenUsed/>
    <w:rsid w:val="00084A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A3A"/>
    <w:rPr>
      <w:sz w:val="20"/>
      <w:szCs w:val="20"/>
    </w:rPr>
  </w:style>
  <w:style w:type="character" w:styleId="FootnoteReference">
    <w:name w:val="footnote reference"/>
    <w:basedOn w:val="DefaultParagraphFont"/>
    <w:uiPriority w:val="99"/>
    <w:semiHidden/>
    <w:unhideWhenUsed/>
    <w:rsid w:val="00084A3A"/>
    <w:rPr>
      <w:vertAlign w:val="superscript"/>
    </w:rPr>
  </w:style>
  <w:style w:type="paragraph" w:styleId="BalloonText">
    <w:name w:val="Balloon Text"/>
    <w:basedOn w:val="Normal"/>
    <w:link w:val="BalloonTextChar"/>
    <w:uiPriority w:val="99"/>
    <w:semiHidden/>
    <w:unhideWhenUsed/>
    <w:rsid w:val="00FE5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9DB"/>
    <w:rPr>
      <w:rFonts w:ascii="Segoe UI" w:hAnsi="Segoe UI" w:cs="Segoe UI"/>
      <w:sz w:val="18"/>
      <w:szCs w:val="18"/>
    </w:rPr>
  </w:style>
  <w:style w:type="paragraph" w:styleId="Header">
    <w:name w:val="header"/>
    <w:basedOn w:val="Normal"/>
    <w:link w:val="HeaderChar"/>
    <w:uiPriority w:val="99"/>
    <w:unhideWhenUsed/>
    <w:rsid w:val="00FE5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9DB"/>
  </w:style>
  <w:style w:type="paragraph" w:styleId="Footer">
    <w:name w:val="footer"/>
    <w:basedOn w:val="Normal"/>
    <w:link w:val="FooterChar"/>
    <w:uiPriority w:val="99"/>
    <w:unhideWhenUsed/>
    <w:rsid w:val="00FE5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48022">
      <w:bodyDiv w:val="1"/>
      <w:marLeft w:val="0"/>
      <w:marRight w:val="0"/>
      <w:marTop w:val="0"/>
      <w:marBottom w:val="0"/>
      <w:divBdr>
        <w:top w:val="none" w:sz="0" w:space="0" w:color="auto"/>
        <w:left w:val="none" w:sz="0" w:space="0" w:color="auto"/>
        <w:bottom w:val="none" w:sz="0" w:space="0" w:color="auto"/>
        <w:right w:val="none" w:sz="0" w:space="0" w:color="auto"/>
      </w:divBdr>
    </w:div>
    <w:div w:id="16230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2017-03-02T18:30:00+00:00</Judgment_x0020_Date>
    <Year xmlns="c1afb1bd-f2fb-40fd-9abb-aea55b4d7662">2017</Year>
  </documentManagement>
</p:properties>
</file>

<file path=customXml/itemProps1.xml><?xml version="1.0" encoding="utf-8"?>
<ds:datastoreItem xmlns:ds="http://schemas.openxmlformats.org/officeDocument/2006/customXml" ds:itemID="{0B32D3CE-1D9A-4977-B55C-E2CB32EC1DAB}"/>
</file>

<file path=customXml/itemProps2.xml><?xml version="1.0" encoding="utf-8"?>
<ds:datastoreItem xmlns:ds="http://schemas.openxmlformats.org/officeDocument/2006/customXml" ds:itemID="{A98AD19C-B346-4E93-8FDB-998BE8C1C170}"/>
</file>

<file path=customXml/itemProps3.xml><?xml version="1.0" encoding="utf-8"?>
<ds:datastoreItem xmlns:ds="http://schemas.openxmlformats.org/officeDocument/2006/customXml" ds:itemID="{41E91EEE-5A2F-48C1-ABF4-5FFB02D85CCE}"/>
</file>

<file path=docProps/app.xml><?xml version="1.0" encoding="utf-8"?>
<Properties xmlns="http://schemas.openxmlformats.org/officeDocument/2006/extended-properties" xmlns:vt="http://schemas.openxmlformats.org/officeDocument/2006/docPropsVTypes">
  <Template>Normal</Template>
  <TotalTime>1</TotalTime>
  <Pages>9</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Nambahu</dc:creator>
  <cp:keywords/>
  <dc:description/>
  <cp:lastModifiedBy>Lotta Ambunda</cp:lastModifiedBy>
  <cp:revision>2</cp:revision>
  <cp:lastPrinted>2017-03-03T06:57:00Z</cp:lastPrinted>
  <dcterms:created xsi:type="dcterms:W3CDTF">2017-03-03T13:53:00Z</dcterms:created>
  <dcterms:modified xsi:type="dcterms:W3CDTF">2017-03-03T13:53:00Z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