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335764" w:rsidP="00216680">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C4189" w:rsidRPr="00483760" w:rsidRDefault="009C4189" w:rsidP="0048376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C4189" w:rsidRPr="00483760" w:rsidRDefault="009C4189" w:rsidP="00483760">
                      <w:pPr>
                        <w:jc w:val="center"/>
                        <w:rPr>
                          <w:b/>
                        </w:rPr>
                      </w:pPr>
                    </w:p>
                  </w:txbxContent>
                </v:textbox>
              </v:shape>
            </w:pict>
          </mc:Fallback>
        </mc:AlternateContent>
      </w:r>
      <w:r w:rsidR="001B7E1F" w:rsidRPr="006E026B">
        <w:rPr>
          <w:rFonts w:ascii="Arial" w:hAnsi="Arial" w:cs="Arial"/>
          <w:b/>
          <w:sz w:val="24"/>
          <w:szCs w:val="24"/>
        </w:rPr>
        <w:t>REPUBLIC OF NAMIBIA</w:t>
      </w:r>
    </w:p>
    <w:p w:rsidR="001B7E1F" w:rsidRDefault="00A016D8" w:rsidP="00216680">
      <w:pPr>
        <w:spacing w:after="0" w:line="360" w:lineRule="auto"/>
        <w:jc w:val="center"/>
        <w:rPr>
          <w:b/>
          <w:sz w:val="32"/>
          <w:szCs w:val="32"/>
        </w:rPr>
      </w:pPr>
      <w:r>
        <w:rPr>
          <w:b/>
          <w:noProof/>
          <w:sz w:val="32"/>
          <w:szCs w:val="32"/>
        </w:rPr>
        <w:drawing>
          <wp:inline distT="0" distB="0" distL="0" distR="0">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6F0DB7" w:rsidRDefault="006F0DB7" w:rsidP="00216680">
      <w:pPr>
        <w:spacing w:after="0" w:line="360" w:lineRule="auto"/>
        <w:jc w:val="center"/>
        <w:rPr>
          <w:rFonts w:ascii="Arial" w:hAnsi="Arial" w:cs="Arial"/>
          <w:b/>
          <w:sz w:val="24"/>
          <w:szCs w:val="24"/>
        </w:rPr>
      </w:pPr>
    </w:p>
    <w:p w:rsidR="001B7E1F" w:rsidRPr="006F0DB7" w:rsidRDefault="001B7E1F" w:rsidP="006F0DB7">
      <w:pPr>
        <w:spacing w:after="0" w:line="360" w:lineRule="auto"/>
        <w:jc w:val="center"/>
        <w:rPr>
          <w:rFonts w:ascii="Arial" w:hAnsi="Arial" w:cs="Arial"/>
          <w:bCs/>
          <w:sz w:val="24"/>
          <w:szCs w:val="24"/>
        </w:rPr>
      </w:pPr>
      <w:r w:rsidRPr="006F0DB7">
        <w:rPr>
          <w:rFonts w:ascii="Arial" w:hAnsi="Arial" w:cs="Arial"/>
          <w:b/>
          <w:sz w:val="24"/>
          <w:szCs w:val="24"/>
        </w:rPr>
        <w:t>HIGH COURT OF NAMIBIA MAIN DIVISION, WINDHOEK</w:t>
      </w:r>
    </w:p>
    <w:p w:rsidR="001B7E1F" w:rsidRPr="006F0DB7" w:rsidRDefault="001B7E1F" w:rsidP="006F0DB7">
      <w:pPr>
        <w:spacing w:after="0" w:line="360" w:lineRule="auto"/>
        <w:jc w:val="center"/>
        <w:rPr>
          <w:rFonts w:ascii="Arial" w:hAnsi="Arial" w:cs="Arial"/>
          <w:b/>
          <w:sz w:val="24"/>
          <w:szCs w:val="24"/>
        </w:rPr>
      </w:pPr>
    </w:p>
    <w:p w:rsidR="001B7E1F" w:rsidRPr="006F0DB7" w:rsidRDefault="001B7E1F" w:rsidP="006F0DB7">
      <w:pPr>
        <w:spacing w:after="0" w:line="360" w:lineRule="auto"/>
        <w:jc w:val="center"/>
        <w:rPr>
          <w:rFonts w:ascii="Arial" w:hAnsi="Arial" w:cs="Arial"/>
          <w:b/>
          <w:sz w:val="24"/>
          <w:szCs w:val="24"/>
        </w:rPr>
      </w:pPr>
      <w:r w:rsidRPr="006F0DB7">
        <w:rPr>
          <w:rFonts w:ascii="Arial" w:hAnsi="Arial" w:cs="Arial"/>
          <w:b/>
          <w:sz w:val="24"/>
          <w:szCs w:val="24"/>
        </w:rPr>
        <w:t>JUDGMENT</w:t>
      </w:r>
    </w:p>
    <w:p w:rsidR="006F0DB7" w:rsidRPr="006F0DB7" w:rsidRDefault="006F0DB7" w:rsidP="006F0DB7">
      <w:pPr>
        <w:spacing w:after="0" w:line="360" w:lineRule="auto"/>
        <w:jc w:val="both"/>
        <w:rPr>
          <w:rFonts w:ascii="Arial" w:hAnsi="Arial" w:cs="Arial"/>
          <w:b/>
          <w:sz w:val="24"/>
          <w:szCs w:val="24"/>
          <w:u w:val="single"/>
        </w:rPr>
      </w:pPr>
    </w:p>
    <w:p w:rsidR="006F0DB7" w:rsidRPr="00454C1D" w:rsidRDefault="006F0DB7" w:rsidP="006F0DB7">
      <w:pPr>
        <w:spacing w:after="0" w:line="360" w:lineRule="auto"/>
        <w:jc w:val="right"/>
        <w:rPr>
          <w:rFonts w:ascii="Arial" w:hAnsi="Arial" w:cs="Arial"/>
          <w:sz w:val="24"/>
          <w:szCs w:val="24"/>
        </w:rPr>
      </w:pPr>
      <w:r w:rsidRPr="00454C1D">
        <w:rPr>
          <w:rFonts w:ascii="Arial" w:hAnsi="Arial" w:cs="Arial"/>
          <w:sz w:val="24"/>
          <w:szCs w:val="24"/>
        </w:rPr>
        <w:t xml:space="preserve">CASE NO: HC-MD-CIV-MOT-GEN-2017/00299 </w:t>
      </w:r>
    </w:p>
    <w:p w:rsidR="006F0DB7" w:rsidRPr="006F0DB7" w:rsidRDefault="006F0DB7" w:rsidP="006F0DB7">
      <w:pPr>
        <w:spacing w:after="0" w:line="360" w:lineRule="auto"/>
        <w:jc w:val="both"/>
        <w:rPr>
          <w:rFonts w:ascii="Arial" w:hAnsi="Arial" w:cs="Arial"/>
          <w:sz w:val="24"/>
          <w:szCs w:val="24"/>
        </w:rPr>
      </w:pPr>
      <w:r w:rsidRPr="006F0DB7">
        <w:rPr>
          <w:rFonts w:ascii="Arial" w:hAnsi="Arial" w:cs="Arial"/>
          <w:sz w:val="24"/>
          <w:szCs w:val="24"/>
        </w:rPr>
        <w:t>In the matter between:</w:t>
      </w:r>
    </w:p>
    <w:p w:rsidR="006F0DB7" w:rsidRPr="006F0DB7" w:rsidRDefault="006F0DB7" w:rsidP="006F0DB7">
      <w:pPr>
        <w:spacing w:after="0" w:line="360" w:lineRule="auto"/>
        <w:jc w:val="both"/>
        <w:rPr>
          <w:rFonts w:ascii="Arial" w:hAnsi="Arial" w:cs="Arial"/>
          <w:b/>
          <w:bCs/>
          <w:sz w:val="24"/>
          <w:szCs w:val="24"/>
        </w:rPr>
      </w:pPr>
    </w:p>
    <w:p w:rsidR="006F0DB7" w:rsidRPr="006F0DB7" w:rsidRDefault="006F0DB7" w:rsidP="006F0DB7">
      <w:pPr>
        <w:tabs>
          <w:tab w:val="left" w:pos="6840"/>
        </w:tabs>
        <w:spacing w:after="0" w:line="360" w:lineRule="auto"/>
        <w:jc w:val="both"/>
        <w:rPr>
          <w:rFonts w:ascii="Arial" w:hAnsi="Arial" w:cs="Arial"/>
          <w:b/>
          <w:bCs/>
          <w:sz w:val="24"/>
          <w:szCs w:val="24"/>
        </w:rPr>
      </w:pPr>
      <w:r w:rsidRPr="006F0DB7">
        <w:rPr>
          <w:rFonts w:ascii="Arial" w:hAnsi="Arial" w:cs="Arial"/>
          <w:b/>
          <w:bCs/>
          <w:sz w:val="24"/>
          <w:szCs w:val="24"/>
        </w:rPr>
        <w:t>GINA NELAO WETUTALA MWOOMBOLA</w:t>
      </w:r>
      <w:r w:rsidRPr="006F0DB7">
        <w:rPr>
          <w:rFonts w:ascii="Arial" w:hAnsi="Arial" w:cs="Arial"/>
          <w:b/>
          <w:bCs/>
          <w:sz w:val="24"/>
          <w:szCs w:val="24"/>
        </w:rPr>
        <w:tab/>
        <w:t>FIRST APPLICANT</w:t>
      </w:r>
    </w:p>
    <w:p w:rsidR="006F0DB7" w:rsidRPr="006F0DB7" w:rsidRDefault="006F0DB7" w:rsidP="006F0DB7">
      <w:pPr>
        <w:tabs>
          <w:tab w:val="left" w:pos="6570"/>
        </w:tabs>
        <w:spacing w:after="0" w:line="360" w:lineRule="auto"/>
        <w:jc w:val="both"/>
        <w:rPr>
          <w:rFonts w:ascii="Arial" w:hAnsi="Arial" w:cs="Arial"/>
          <w:b/>
          <w:bCs/>
          <w:sz w:val="24"/>
          <w:szCs w:val="24"/>
        </w:rPr>
      </w:pPr>
      <w:r w:rsidRPr="006F0DB7">
        <w:rPr>
          <w:rFonts w:ascii="Arial" w:hAnsi="Arial" w:cs="Arial"/>
          <w:b/>
          <w:bCs/>
          <w:sz w:val="24"/>
          <w:szCs w:val="24"/>
        </w:rPr>
        <w:t>LA-TOYA LUCILLE TWEUFI MWOOMBOLA</w:t>
      </w:r>
      <w:r w:rsidRPr="006F0DB7">
        <w:rPr>
          <w:rFonts w:ascii="Arial" w:hAnsi="Arial" w:cs="Arial"/>
          <w:b/>
          <w:bCs/>
          <w:sz w:val="24"/>
          <w:szCs w:val="24"/>
        </w:rPr>
        <w:tab/>
        <w:t>SECOND APPLICANT</w:t>
      </w:r>
    </w:p>
    <w:p w:rsidR="006F0DB7" w:rsidRPr="006F0DB7" w:rsidRDefault="006F0DB7" w:rsidP="006F0DB7">
      <w:pPr>
        <w:spacing w:after="0" w:line="360" w:lineRule="auto"/>
        <w:jc w:val="both"/>
        <w:rPr>
          <w:rFonts w:ascii="Arial" w:hAnsi="Arial" w:cs="Arial"/>
          <w:b/>
          <w:bCs/>
          <w:sz w:val="24"/>
          <w:szCs w:val="24"/>
        </w:rPr>
      </w:pPr>
    </w:p>
    <w:p w:rsidR="006F0DB7" w:rsidRPr="006F0DB7" w:rsidRDefault="006F0DB7" w:rsidP="006F0DB7">
      <w:pPr>
        <w:spacing w:after="0" w:line="360" w:lineRule="auto"/>
        <w:jc w:val="both"/>
        <w:rPr>
          <w:rFonts w:ascii="Arial" w:hAnsi="Arial" w:cs="Arial"/>
          <w:sz w:val="24"/>
          <w:szCs w:val="24"/>
        </w:rPr>
      </w:pPr>
      <w:proofErr w:type="gramStart"/>
      <w:r w:rsidRPr="006F0DB7">
        <w:rPr>
          <w:rFonts w:ascii="Arial" w:hAnsi="Arial" w:cs="Arial"/>
          <w:sz w:val="24"/>
          <w:szCs w:val="24"/>
        </w:rPr>
        <w:t>and</w:t>
      </w:r>
      <w:proofErr w:type="gramEnd"/>
    </w:p>
    <w:p w:rsidR="006F0DB7" w:rsidRPr="006F0DB7" w:rsidRDefault="006F0DB7" w:rsidP="006F0DB7">
      <w:pPr>
        <w:spacing w:after="0" w:line="360" w:lineRule="auto"/>
        <w:jc w:val="both"/>
        <w:rPr>
          <w:rFonts w:ascii="Arial" w:hAnsi="Arial" w:cs="Arial"/>
          <w:b/>
          <w:bCs/>
          <w:sz w:val="24"/>
          <w:szCs w:val="24"/>
        </w:rPr>
      </w:pPr>
    </w:p>
    <w:p w:rsidR="006F0DB7" w:rsidRPr="006F0DB7" w:rsidRDefault="006F0DB7" w:rsidP="006A61ED">
      <w:pPr>
        <w:tabs>
          <w:tab w:val="left" w:pos="7290"/>
        </w:tabs>
        <w:spacing w:after="0" w:line="360" w:lineRule="auto"/>
        <w:jc w:val="both"/>
        <w:rPr>
          <w:rFonts w:ascii="Arial" w:hAnsi="Arial" w:cs="Arial"/>
          <w:sz w:val="24"/>
          <w:szCs w:val="24"/>
        </w:rPr>
      </w:pPr>
      <w:r w:rsidRPr="006F0DB7">
        <w:rPr>
          <w:rFonts w:ascii="Arial" w:hAnsi="Arial" w:cs="Arial"/>
          <w:b/>
          <w:bCs/>
          <w:sz w:val="24"/>
          <w:szCs w:val="24"/>
        </w:rPr>
        <w:t xml:space="preserve">THE MASTER OF THE HIGH COURT </w:t>
      </w:r>
      <w:r w:rsidRPr="006F0DB7">
        <w:rPr>
          <w:rFonts w:ascii="Arial" w:hAnsi="Arial" w:cs="Arial"/>
          <w:b/>
          <w:bCs/>
          <w:sz w:val="24"/>
          <w:szCs w:val="24"/>
        </w:rPr>
        <w:tab/>
      </w:r>
      <w:r w:rsidR="006A61ED">
        <w:rPr>
          <w:rFonts w:ascii="Arial" w:hAnsi="Arial" w:cs="Arial"/>
          <w:b/>
          <w:bCs/>
          <w:sz w:val="24"/>
          <w:szCs w:val="24"/>
        </w:rPr>
        <w:t>R</w:t>
      </w:r>
      <w:r w:rsidRPr="006F0DB7">
        <w:rPr>
          <w:rFonts w:ascii="Arial" w:hAnsi="Arial" w:cs="Arial"/>
          <w:b/>
          <w:bCs/>
          <w:sz w:val="24"/>
          <w:szCs w:val="24"/>
        </w:rPr>
        <w:t>ESPONDENT</w:t>
      </w:r>
    </w:p>
    <w:p w:rsidR="001B7E1F" w:rsidRPr="006F0DB7" w:rsidRDefault="001B7E1F" w:rsidP="006F0DB7">
      <w:pPr>
        <w:spacing w:after="0" w:line="360" w:lineRule="auto"/>
        <w:ind w:left="2160" w:hanging="2160"/>
        <w:jc w:val="both"/>
        <w:rPr>
          <w:rFonts w:ascii="Arial" w:hAnsi="Arial" w:cs="Arial"/>
          <w:sz w:val="24"/>
          <w:szCs w:val="24"/>
        </w:rPr>
      </w:pPr>
    </w:p>
    <w:p w:rsidR="001B7E1F" w:rsidRPr="00395F30" w:rsidRDefault="001B7E1F" w:rsidP="00A016D8">
      <w:pPr>
        <w:spacing w:after="0" w:line="360" w:lineRule="auto"/>
        <w:jc w:val="both"/>
        <w:rPr>
          <w:rFonts w:ascii="Arial" w:hAnsi="Arial" w:cs="Arial"/>
          <w:sz w:val="24"/>
          <w:szCs w:val="24"/>
        </w:rPr>
      </w:pPr>
      <w:r>
        <w:rPr>
          <w:rFonts w:ascii="Arial" w:hAnsi="Arial" w:cs="Arial"/>
          <w:b/>
          <w:sz w:val="24"/>
          <w:szCs w:val="24"/>
        </w:rPr>
        <w:t xml:space="preserve">Neutral citation: </w:t>
      </w:r>
      <w:proofErr w:type="spellStart"/>
      <w:r w:rsidR="00395F30" w:rsidRPr="00395F30">
        <w:rPr>
          <w:rFonts w:ascii="Arial" w:hAnsi="Arial" w:cs="Arial"/>
          <w:i/>
          <w:sz w:val="24"/>
          <w:szCs w:val="24"/>
        </w:rPr>
        <w:t>Mwoombola</w:t>
      </w:r>
      <w:proofErr w:type="spellEnd"/>
      <w:r w:rsidR="00395F30" w:rsidRPr="00395F30">
        <w:rPr>
          <w:rFonts w:ascii="Arial" w:hAnsi="Arial" w:cs="Arial"/>
          <w:i/>
          <w:sz w:val="24"/>
          <w:szCs w:val="24"/>
        </w:rPr>
        <w:t xml:space="preserve"> vs The Master of the High Court</w:t>
      </w:r>
      <w:r w:rsidR="00395F30">
        <w:rPr>
          <w:rFonts w:ascii="Arial" w:hAnsi="Arial" w:cs="Arial"/>
          <w:b/>
          <w:i/>
          <w:sz w:val="24"/>
          <w:szCs w:val="24"/>
        </w:rPr>
        <w:t xml:space="preserve"> </w:t>
      </w:r>
      <w:r w:rsidR="00395F30" w:rsidRPr="00395F30">
        <w:rPr>
          <w:rFonts w:ascii="Arial" w:hAnsi="Arial" w:cs="Arial"/>
          <w:sz w:val="24"/>
          <w:szCs w:val="24"/>
        </w:rPr>
        <w:t>(HC-MD-CIV-MOT-GEN-2017/00299)</w:t>
      </w:r>
      <w:r w:rsidR="00395F30">
        <w:rPr>
          <w:rFonts w:ascii="Arial" w:hAnsi="Arial" w:cs="Arial"/>
          <w:sz w:val="24"/>
          <w:szCs w:val="24"/>
        </w:rPr>
        <w:t xml:space="preserve"> </w:t>
      </w:r>
      <w:r w:rsidR="00454C1D">
        <w:rPr>
          <w:rFonts w:ascii="Arial" w:hAnsi="Arial" w:cs="Arial"/>
          <w:sz w:val="24"/>
          <w:szCs w:val="24"/>
        </w:rPr>
        <w:t xml:space="preserve">[2018] </w:t>
      </w:r>
      <w:r w:rsidR="00395F30">
        <w:rPr>
          <w:rFonts w:ascii="Arial" w:hAnsi="Arial" w:cs="Arial"/>
          <w:sz w:val="24"/>
          <w:szCs w:val="24"/>
        </w:rPr>
        <w:t xml:space="preserve">NAHCMD </w:t>
      </w:r>
      <w:r w:rsidR="00FF1870">
        <w:rPr>
          <w:rFonts w:ascii="Arial" w:hAnsi="Arial" w:cs="Arial"/>
          <w:sz w:val="24"/>
          <w:szCs w:val="24"/>
        </w:rPr>
        <w:t xml:space="preserve">103 </w:t>
      </w:r>
      <w:r w:rsidR="00395F30">
        <w:rPr>
          <w:rFonts w:ascii="Arial" w:hAnsi="Arial" w:cs="Arial"/>
          <w:sz w:val="24"/>
          <w:szCs w:val="24"/>
        </w:rPr>
        <w:t>(20 April 2018)</w:t>
      </w:r>
    </w:p>
    <w:p w:rsidR="006F0DB7" w:rsidRDefault="006F0DB7" w:rsidP="00216680">
      <w:pPr>
        <w:spacing w:after="0" w:line="360" w:lineRule="auto"/>
        <w:ind w:left="1440" w:hanging="1440"/>
        <w:jc w:val="both"/>
        <w:rPr>
          <w:rFonts w:ascii="Arial" w:hAnsi="Arial" w:cs="Arial"/>
          <w:b/>
          <w:sz w:val="24"/>
          <w:szCs w:val="24"/>
        </w:rPr>
      </w:pPr>
    </w:p>
    <w:p w:rsidR="001B7E1F" w:rsidRPr="006E026B" w:rsidRDefault="001B7E1F" w:rsidP="00216680">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6F0DB7">
        <w:rPr>
          <w:rFonts w:ascii="Arial" w:hAnsi="Arial" w:cs="Arial"/>
          <w:sz w:val="24"/>
          <w:szCs w:val="24"/>
        </w:rPr>
        <w:t xml:space="preserve">UEITELE </w:t>
      </w:r>
      <w:r w:rsidR="00E11C67">
        <w:rPr>
          <w:rFonts w:ascii="Arial" w:hAnsi="Arial" w:cs="Arial"/>
          <w:sz w:val="24"/>
          <w:szCs w:val="24"/>
        </w:rPr>
        <w:t>J</w:t>
      </w:r>
    </w:p>
    <w:p w:rsidR="001B7E1F" w:rsidRPr="00454C1D" w:rsidRDefault="001B7E1F" w:rsidP="00216680">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6F0DB7" w:rsidRPr="00454C1D">
        <w:rPr>
          <w:rFonts w:ascii="Arial" w:hAnsi="Arial" w:cs="Arial"/>
          <w:b/>
          <w:sz w:val="24"/>
          <w:szCs w:val="24"/>
        </w:rPr>
        <w:t>19 December 2017</w:t>
      </w:r>
    </w:p>
    <w:p w:rsidR="001B7E1F" w:rsidRPr="006E026B" w:rsidRDefault="001B7E1F" w:rsidP="00216680">
      <w:pPr>
        <w:spacing w:after="0" w:line="360" w:lineRule="auto"/>
        <w:rPr>
          <w:rFonts w:ascii="Arial" w:hAnsi="Arial" w:cs="Arial"/>
          <w:b/>
          <w:sz w:val="24"/>
          <w:szCs w:val="24"/>
        </w:rPr>
      </w:pPr>
      <w:r w:rsidRPr="00454C1D">
        <w:rPr>
          <w:rFonts w:ascii="Arial" w:hAnsi="Arial" w:cs="Arial"/>
          <w:b/>
          <w:bCs/>
          <w:sz w:val="24"/>
          <w:szCs w:val="24"/>
        </w:rPr>
        <w:t>Delivered</w:t>
      </w:r>
      <w:r w:rsidRPr="00454C1D">
        <w:rPr>
          <w:rFonts w:ascii="Arial" w:hAnsi="Arial" w:cs="Arial"/>
          <w:b/>
          <w:sz w:val="24"/>
          <w:szCs w:val="24"/>
        </w:rPr>
        <w:t>:</w:t>
      </w:r>
      <w:r w:rsidRPr="00454C1D">
        <w:rPr>
          <w:rFonts w:ascii="Arial" w:hAnsi="Arial" w:cs="Arial"/>
          <w:b/>
          <w:sz w:val="24"/>
          <w:szCs w:val="24"/>
        </w:rPr>
        <w:tab/>
      </w:r>
      <w:r w:rsidR="00943F7A" w:rsidRPr="00454C1D">
        <w:rPr>
          <w:rFonts w:ascii="Arial" w:hAnsi="Arial" w:cs="Arial"/>
          <w:b/>
          <w:sz w:val="24"/>
          <w:szCs w:val="24"/>
        </w:rPr>
        <w:t xml:space="preserve"> </w:t>
      </w:r>
      <w:r w:rsidR="00251210" w:rsidRPr="00454C1D">
        <w:rPr>
          <w:rFonts w:ascii="Arial" w:hAnsi="Arial" w:cs="Arial"/>
          <w:b/>
          <w:sz w:val="24"/>
          <w:szCs w:val="24"/>
        </w:rPr>
        <w:t>20 April 2018</w:t>
      </w:r>
    </w:p>
    <w:p w:rsidR="001B7E1F" w:rsidRPr="006E026B" w:rsidRDefault="001B7E1F" w:rsidP="00216680">
      <w:pPr>
        <w:spacing w:after="0" w:line="360" w:lineRule="auto"/>
        <w:jc w:val="both"/>
        <w:rPr>
          <w:rFonts w:ascii="Arial" w:hAnsi="Arial" w:cs="Arial"/>
          <w:b/>
          <w:sz w:val="24"/>
          <w:szCs w:val="24"/>
        </w:rPr>
      </w:pPr>
    </w:p>
    <w:p w:rsidR="00DF5A78" w:rsidRDefault="001B7E1F" w:rsidP="009A1CD9">
      <w:pPr>
        <w:widowControl w:val="0"/>
        <w:autoSpaceDE w:val="0"/>
        <w:autoSpaceDN w:val="0"/>
        <w:adjustRightInd w:val="0"/>
        <w:spacing w:after="0" w:line="360" w:lineRule="auto"/>
        <w:ind w:right="119"/>
        <w:jc w:val="both"/>
        <w:rPr>
          <w:rFonts w:ascii="Arial" w:hAnsi="Arial" w:cs="Arial"/>
          <w:sz w:val="24"/>
          <w:szCs w:val="24"/>
        </w:rPr>
      </w:pPr>
      <w:proofErr w:type="spellStart"/>
      <w:r w:rsidRPr="004A2319">
        <w:rPr>
          <w:rFonts w:ascii="Arial" w:hAnsi="Arial" w:cs="Arial"/>
          <w:b/>
          <w:sz w:val="24"/>
          <w:szCs w:val="24"/>
        </w:rPr>
        <w:t>Flynote</w:t>
      </w:r>
      <w:proofErr w:type="spellEnd"/>
      <w:r w:rsidRPr="008F578C">
        <w:rPr>
          <w:rFonts w:ascii="Arial" w:hAnsi="Arial" w:cs="Arial"/>
          <w:sz w:val="24"/>
          <w:szCs w:val="24"/>
        </w:rPr>
        <w:t>:</w:t>
      </w:r>
      <w:r w:rsidRPr="008F578C">
        <w:rPr>
          <w:rFonts w:ascii="Arial" w:hAnsi="Arial" w:cs="Arial"/>
          <w:sz w:val="24"/>
          <w:szCs w:val="24"/>
        </w:rPr>
        <w:tab/>
      </w:r>
      <w:r w:rsidR="009A1CD9" w:rsidRPr="00FF1870">
        <w:rPr>
          <w:rFonts w:ascii="Arial" w:hAnsi="Arial" w:cs="Arial"/>
          <w:i/>
          <w:sz w:val="24"/>
          <w:szCs w:val="24"/>
        </w:rPr>
        <w:t>Will -</w:t>
      </w:r>
      <w:r w:rsidR="009A1CD9" w:rsidRPr="009A1CD9">
        <w:rPr>
          <w:rFonts w:ascii="Arial" w:hAnsi="Arial" w:cs="Arial"/>
          <w:sz w:val="24"/>
          <w:szCs w:val="24"/>
        </w:rPr>
        <w:t xml:space="preserve"> Execution </w:t>
      </w:r>
      <w:r w:rsidR="009A1CD9">
        <w:rPr>
          <w:rFonts w:ascii="Arial" w:hAnsi="Arial" w:cs="Arial"/>
          <w:sz w:val="24"/>
          <w:szCs w:val="24"/>
        </w:rPr>
        <w:t>–</w:t>
      </w:r>
      <w:r w:rsidR="009A1CD9" w:rsidRPr="009A1CD9">
        <w:rPr>
          <w:rFonts w:ascii="Arial" w:hAnsi="Arial" w:cs="Arial"/>
          <w:sz w:val="24"/>
          <w:szCs w:val="24"/>
        </w:rPr>
        <w:t xml:space="preserve"> </w:t>
      </w:r>
      <w:r w:rsidR="009A1CD9">
        <w:rPr>
          <w:rFonts w:ascii="Arial" w:hAnsi="Arial" w:cs="Arial"/>
          <w:sz w:val="24"/>
          <w:szCs w:val="24"/>
        </w:rPr>
        <w:t>executrix and w</w:t>
      </w:r>
      <w:r w:rsidR="009A1CD9" w:rsidRPr="009A1CD9">
        <w:rPr>
          <w:rFonts w:ascii="Arial" w:hAnsi="Arial" w:cs="Arial"/>
          <w:sz w:val="24"/>
          <w:szCs w:val="24"/>
        </w:rPr>
        <w:t xml:space="preserve">itnesses initialing </w:t>
      </w:r>
      <w:r w:rsidR="004B07B7">
        <w:rPr>
          <w:rFonts w:ascii="Arial" w:hAnsi="Arial" w:cs="Arial"/>
          <w:sz w:val="24"/>
          <w:szCs w:val="24"/>
        </w:rPr>
        <w:t>the first three pages of a four</w:t>
      </w:r>
      <w:r w:rsidR="009A1CD9">
        <w:rPr>
          <w:rFonts w:ascii="Arial" w:hAnsi="Arial" w:cs="Arial"/>
          <w:sz w:val="24"/>
          <w:szCs w:val="24"/>
        </w:rPr>
        <w:t xml:space="preserve"> paged will and only signing</w:t>
      </w:r>
      <w:r w:rsidR="004B07B7">
        <w:rPr>
          <w:rFonts w:ascii="Arial" w:hAnsi="Arial" w:cs="Arial"/>
          <w:sz w:val="24"/>
          <w:szCs w:val="24"/>
        </w:rPr>
        <w:t xml:space="preserve"> the fourth</w:t>
      </w:r>
      <w:r w:rsidR="009A1CD9">
        <w:rPr>
          <w:rFonts w:ascii="Arial" w:hAnsi="Arial" w:cs="Arial"/>
          <w:sz w:val="24"/>
          <w:szCs w:val="24"/>
        </w:rPr>
        <w:t xml:space="preserve"> page</w:t>
      </w:r>
      <w:r w:rsidR="009A1CD9" w:rsidRPr="009A1CD9">
        <w:rPr>
          <w:rFonts w:ascii="Arial" w:hAnsi="Arial" w:cs="Arial"/>
          <w:sz w:val="24"/>
          <w:szCs w:val="24"/>
        </w:rPr>
        <w:t xml:space="preserve"> - Requirements of sec. 2 (1) (a) (iii)</w:t>
      </w:r>
      <w:r w:rsidR="004B07B7">
        <w:rPr>
          <w:rFonts w:ascii="Arial" w:hAnsi="Arial" w:cs="Arial"/>
          <w:sz w:val="24"/>
          <w:szCs w:val="24"/>
        </w:rPr>
        <w:t xml:space="preserve"> and</w:t>
      </w:r>
      <w:r w:rsidR="009A1CD9">
        <w:rPr>
          <w:rFonts w:ascii="Arial" w:hAnsi="Arial" w:cs="Arial"/>
          <w:sz w:val="24"/>
          <w:szCs w:val="24"/>
        </w:rPr>
        <w:t xml:space="preserve"> (iv)</w:t>
      </w:r>
      <w:r w:rsidR="009A1CD9" w:rsidRPr="009A1CD9">
        <w:rPr>
          <w:rFonts w:ascii="Arial" w:hAnsi="Arial" w:cs="Arial"/>
          <w:sz w:val="24"/>
          <w:szCs w:val="24"/>
        </w:rPr>
        <w:t xml:space="preserve"> of </w:t>
      </w:r>
      <w:r w:rsidR="003134F9">
        <w:rPr>
          <w:rFonts w:ascii="Arial" w:hAnsi="Arial" w:cs="Arial"/>
          <w:sz w:val="24"/>
          <w:szCs w:val="24"/>
        </w:rPr>
        <w:t xml:space="preserve">the Wills Act 7 of </w:t>
      </w:r>
      <w:r w:rsidR="009A1CD9" w:rsidRPr="009A1CD9">
        <w:rPr>
          <w:rFonts w:ascii="Arial" w:hAnsi="Arial" w:cs="Arial"/>
          <w:sz w:val="24"/>
          <w:szCs w:val="24"/>
        </w:rPr>
        <w:t>1953</w:t>
      </w:r>
      <w:r w:rsidR="009A1CD9">
        <w:rPr>
          <w:rFonts w:ascii="Arial" w:hAnsi="Arial" w:cs="Arial"/>
          <w:sz w:val="24"/>
          <w:szCs w:val="24"/>
        </w:rPr>
        <w:t>.</w:t>
      </w:r>
    </w:p>
    <w:p w:rsidR="009A1CD9" w:rsidRDefault="009A1CD9" w:rsidP="009A1CD9">
      <w:pPr>
        <w:widowControl w:val="0"/>
        <w:autoSpaceDE w:val="0"/>
        <w:autoSpaceDN w:val="0"/>
        <w:adjustRightInd w:val="0"/>
        <w:spacing w:after="0" w:line="360" w:lineRule="auto"/>
        <w:ind w:right="119"/>
        <w:jc w:val="both"/>
        <w:rPr>
          <w:rFonts w:ascii="Arial" w:eastAsia="Times New Roman" w:hAnsi="Arial" w:cs="Arial"/>
          <w:sz w:val="24"/>
          <w:szCs w:val="24"/>
        </w:rPr>
      </w:pPr>
    </w:p>
    <w:p w:rsidR="00667CB5" w:rsidRDefault="009A1CD9" w:rsidP="00216680">
      <w:pPr>
        <w:spacing w:after="0" w:line="360" w:lineRule="auto"/>
        <w:jc w:val="both"/>
        <w:rPr>
          <w:rFonts w:ascii="Arial" w:hAnsi="Arial" w:cs="Arial"/>
          <w:sz w:val="24"/>
          <w:szCs w:val="24"/>
        </w:rPr>
      </w:pPr>
      <w:r w:rsidRPr="00FF1870">
        <w:rPr>
          <w:rFonts w:ascii="Arial" w:hAnsi="Arial" w:cs="Arial"/>
          <w:i/>
          <w:sz w:val="24"/>
          <w:szCs w:val="24"/>
        </w:rPr>
        <w:t>Constitutional Law</w:t>
      </w:r>
      <w:r w:rsidRPr="009A1CD9">
        <w:rPr>
          <w:rFonts w:ascii="Arial" w:hAnsi="Arial" w:cs="Arial"/>
          <w:sz w:val="24"/>
          <w:szCs w:val="24"/>
        </w:rPr>
        <w:t xml:space="preserve"> </w:t>
      </w:r>
      <w:r>
        <w:rPr>
          <w:rFonts w:ascii="Arial" w:hAnsi="Arial" w:cs="Arial"/>
          <w:sz w:val="24"/>
          <w:szCs w:val="24"/>
        </w:rPr>
        <w:t xml:space="preserve">– Article 16 of the Namibian Constitution </w:t>
      </w:r>
      <w:r w:rsidR="00251210">
        <w:rPr>
          <w:rFonts w:ascii="Arial" w:hAnsi="Arial" w:cs="Arial"/>
          <w:sz w:val="24"/>
          <w:szCs w:val="24"/>
        </w:rPr>
        <w:t>conferring freedom of testation on all persons – Invalidating Will for non</w:t>
      </w:r>
      <w:r w:rsidR="00206691">
        <w:rPr>
          <w:rFonts w:ascii="Arial" w:hAnsi="Arial" w:cs="Arial"/>
          <w:sz w:val="24"/>
          <w:szCs w:val="24"/>
        </w:rPr>
        <w:t>-</w:t>
      </w:r>
      <w:r w:rsidR="00251210">
        <w:rPr>
          <w:rFonts w:ascii="Arial" w:hAnsi="Arial" w:cs="Arial"/>
          <w:sz w:val="24"/>
          <w:szCs w:val="24"/>
        </w:rPr>
        <w:t xml:space="preserve">compliance with </w:t>
      </w:r>
      <w:r w:rsidR="00251210" w:rsidRPr="009A1CD9">
        <w:rPr>
          <w:rFonts w:ascii="Arial" w:hAnsi="Arial" w:cs="Arial"/>
          <w:sz w:val="24"/>
          <w:szCs w:val="24"/>
        </w:rPr>
        <w:t>sec. 2 (1) (a) (iii)</w:t>
      </w:r>
      <w:r w:rsidR="004B07B7">
        <w:rPr>
          <w:rFonts w:ascii="Arial" w:hAnsi="Arial" w:cs="Arial"/>
          <w:sz w:val="24"/>
          <w:szCs w:val="24"/>
        </w:rPr>
        <w:t xml:space="preserve"> and</w:t>
      </w:r>
      <w:r w:rsidR="00251210">
        <w:rPr>
          <w:rFonts w:ascii="Arial" w:hAnsi="Arial" w:cs="Arial"/>
          <w:sz w:val="24"/>
          <w:szCs w:val="24"/>
        </w:rPr>
        <w:t xml:space="preserve"> (iv)</w:t>
      </w:r>
      <w:r w:rsidR="00251210" w:rsidRPr="009A1CD9">
        <w:rPr>
          <w:rFonts w:ascii="Arial" w:hAnsi="Arial" w:cs="Arial"/>
          <w:sz w:val="24"/>
          <w:szCs w:val="24"/>
        </w:rPr>
        <w:t xml:space="preserve"> of </w:t>
      </w:r>
      <w:r w:rsidR="003134F9">
        <w:rPr>
          <w:rFonts w:ascii="Arial" w:hAnsi="Arial" w:cs="Arial"/>
          <w:sz w:val="24"/>
          <w:szCs w:val="24"/>
        </w:rPr>
        <w:t xml:space="preserve">the Wills Act 7 of </w:t>
      </w:r>
      <w:r w:rsidR="00251210" w:rsidRPr="009A1CD9">
        <w:rPr>
          <w:rFonts w:ascii="Arial" w:hAnsi="Arial" w:cs="Arial"/>
          <w:sz w:val="24"/>
          <w:szCs w:val="24"/>
        </w:rPr>
        <w:t>1953</w:t>
      </w:r>
      <w:r w:rsidR="004B07B7">
        <w:rPr>
          <w:rFonts w:ascii="Arial" w:hAnsi="Arial" w:cs="Arial"/>
          <w:sz w:val="24"/>
          <w:szCs w:val="24"/>
        </w:rPr>
        <w:t xml:space="preserve">, may </w:t>
      </w:r>
      <w:r w:rsidR="00251210">
        <w:rPr>
          <w:rFonts w:ascii="Arial" w:hAnsi="Arial" w:cs="Arial"/>
          <w:sz w:val="24"/>
          <w:szCs w:val="24"/>
        </w:rPr>
        <w:t xml:space="preserve">in certain circumstances amount to </w:t>
      </w:r>
      <w:r w:rsidR="00720D99">
        <w:rPr>
          <w:rFonts w:ascii="Arial" w:hAnsi="Arial" w:cs="Arial"/>
          <w:sz w:val="24"/>
          <w:szCs w:val="24"/>
        </w:rPr>
        <w:t xml:space="preserve">a </w:t>
      </w:r>
      <w:r w:rsidR="00251210">
        <w:rPr>
          <w:rFonts w:ascii="Arial" w:hAnsi="Arial" w:cs="Arial"/>
          <w:sz w:val="24"/>
          <w:szCs w:val="24"/>
        </w:rPr>
        <w:t>violation</w:t>
      </w:r>
      <w:r w:rsidR="00720D99">
        <w:rPr>
          <w:rFonts w:ascii="Arial" w:hAnsi="Arial" w:cs="Arial"/>
          <w:sz w:val="24"/>
          <w:szCs w:val="24"/>
        </w:rPr>
        <w:t xml:space="preserve"> of</w:t>
      </w:r>
      <w:r w:rsidR="00251210">
        <w:rPr>
          <w:rFonts w:ascii="Arial" w:hAnsi="Arial" w:cs="Arial"/>
          <w:sz w:val="24"/>
          <w:szCs w:val="24"/>
        </w:rPr>
        <w:t xml:space="preserve"> the right to freedom of testation.</w:t>
      </w:r>
    </w:p>
    <w:p w:rsidR="00FF1870" w:rsidRDefault="00B66966" w:rsidP="00136594">
      <w:pPr>
        <w:spacing w:after="0" w:line="360" w:lineRule="auto"/>
        <w:jc w:val="both"/>
        <w:rPr>
          <w:rFonts w:ascii="Arial" w:hAnsi="Arial" w:cs="Arial"/>
          <w:sz w:val="24"/>
          <w:szCs w:val="24"/>
        </w:rPr>
      </w:pPr>
      <w:r w:rsidRPr="004A2319">
        <w:rPr>
          <w:rFonts w:ascii="Arial" w:hAnsi="Arial" w:cs="Arial"/>
          <w:b/>
          <w:sz w:val="24"/>
          <w:szCs w:val="24"/>
        </w:rPr>
        <w:lastRenderedPageBreak/>
        <w:t>Summary</w:t>
      </w:r>
      <w:r w:rsidR="004B07B7">
        <w:rPr>
          <w:rFonts w:ascii="Arial" w:hAnsi="Arial" w:cs="Arial"/>
          <w:sz w:val="24"/>
          <w:szCs w:val="24"/>
        </w:rPr>
        <w:t>:</w:t>
      </w:r>
      <w:r w:rsidR="004B07B7">
        <w:rPr>
          <w:rFonts w:ascii="Arial" w:hAnsi="Arial" w:cs="Arial"/>
          <w:sz w:val="24"/>
          <w:szCs w:val="24"/>
        </w:rPr>
        <w:tab/>
      </w:r>
      <w:r w:rsidR="00136594">
        <w:rPr>
          <w:rFonts w:ascii="Arial" w:hAnsi="Arial" w:cs="Arial"/>
          <w:sz w:val="24"/>
          <w:szCs w:val="24"/>
        </w:rPr>
        <w:t>The applicants in this matter approached this court for an order in the following terms: (a) T</w:t>
      </w:r>
      <w:r w:rsidR="00206691">
        <w:rPr>
          <w:rFonts w:ascii="Arial" w:hAnsi="Arial" w:cs="Arial"/>
          <w:sz w:val="24"/>
          <w:szCs w:val="24"/>
        </w:rPr>
        <w:t>hat th</w:t>
      </w:r>
      <w:r w:rsidR="00136594" w:rsidRPr="00136594">
        <w:rPr>
          <w:rFonts w:ascii="Arial" w:hAnsi="Arial" w:cs="Arial"/>
          <w:sz w:val="24"/>
          <w:szCs w:val="24"/>
        </w:rPr>
        <w:t xml:space="preserve">e testamentary document executed on 02 February 2017 by the late Linea </w:t>
      </w:r>
      <w:proofErr w:type="spellStart"/>
      <w:r w:rsidR="00136594" w:rsidRPr="00136594">
        <w:rPr>
          <w:rFonts w:ascii="Arial" w:hAnsi="Arial" w:cs="Arial"/>
          <w:sz w:val="24"/>
          <w:szCs w:val="24"/>
        </w:rPr>
        <w:t>Peneyambeko</w:t>
      </w:r>
      <w:proofErr w:type="spellEnd"/>
      <w:r w:rsidR="00136594" w:rsidRPr="00136594">
        <w:rPr>
          <w:rFonts w:ascii="Arial" w:hAnsi="Arial" w:cs="Arial"/>
          <w:sz w:val="24"/>
          <w:szCs w:val="24"/>
        </w:rPr>
        <w:t xml:space="preserve"> </w:t>
      </w:r>
      <w:proofErr w:type="spellStart"/>
      <w:r w:rsidR="00136594" w:rsidRPr="00136594">
        <w:rPr>
          <w:rFonts w:ascii="Arial" w:hAnsi="Arial" w:cs="Arial"/>
          <w:sz w:val="24"/>
          <w:szCs w:val="24"/>
        </w:rPr>
        <w:t>Nuugwedha</w:t>
      </w:r>
      <w:proofErr w:type="spellEnd"/>
      <w:r w:rsidR="00136594" w:rsidRPr="00136594">
        <w:rPr>
          <w:rFonts w:ascii="Arial" w:hAnsi="Arial" w:cs="Arial"/>
          <w:sz w:val="24"/>
          <w:szCs w:val="24"/>
        </w:rPr>
        <w:t xml:space="preserve"> who died on 03 February 2017, a copy of which is appended to the Affidavit of Gina </w:t>
      </w:r>
      <w:proofErr w:type="spellStart"/>
      <w:r w:rsidR="00136594" w:rsidRPr="00136594">
        <w:rPr>
          <w:rFonts w:ascii="Arial" w:hAnsi="Arial" w:cs="Arial"/>
          <w:sz w:val="24"/>
          <w:szCs w:val="24"/>
        </w:rPr>
        <w:t>Nelao</w:t>
      </w:r>
      <w:proofErr w:type="spellEnd"/>
      <w:r w:rsidR="00136594" w:rsidRPr="00136594">
        <w:rPr>
          <w:rFonts w:ascii="Arial" w:hAnsi="Arial" w:cs="Arial"/>
          <w:sz w:val="24"/>
          <w:szCs w:val="24"/>
        </w:rPr>
        <w:t xml:space="preserve"> </w:t>
      </w:r>
      <w:proofErr w:type="spellStart"/>
      <w:r w:rsidR="00136594" w:rsidRPr="00136594">
        <w:rPr>
          <w:rFonts w:ascii="Arial" w:hAnsi="Arial" w:cs="Arial"/>
          <w:sz w:val="24"/>
          <w:szCs w:val="24"/>
        </w:rPr>
        <w:t>Wetutala</w:t>
      </w:r>
      <w:proofErr w:type="spellEnd"/>
      <w:r w:rsidR="00136594" w:rsidRPr="00136594">
        <w:rPr>
          <w:rFonts w:ascii="Arial" w:hAnsi="Arial" w:cs="Arial"/>
          <w:sz w:val="24"/>
          <w:szCs w:val="24"/>
        </w:rPr>
        <w:t xml:space="preserve"> </w:t>
      </w:r>
      <w:proofErr w:type="spellStart"/>
      <w:r w:rsidR="00136594" w:rsidRPr="00136594">
        <w:rPr>
          <w:rFonts w:ascii="Arial" w:hAnsi="Arial" w:cs="Arial"/>
          <w:sz w:val="24"/>
          <w:szCs w:val="24"/>
        </w:rPr>
        <w:t>Mwoombola</w:t>
      </w:r>
      <w:proofErr w:type="spellEnd"/>
      <w:r w:rsidR="00136594" w:rsidRPr="00136594">
        <w:rPr>
          <w:rFonts w:ascii="Arial" w:hAnsi="Arial" w:cs="Arial"/>
          <w:sz w:val="24"/>
          <w:szCs w:val="24"/>
        </w:rPr>
        <w:t xml:space="preserve"> as Annexure A, is declared to have been intended by th</w:t>
      </w:r>
      <w:r w:rsidR="00136594">
        <w:rPr>
          <w:rFonts w:ascii="Arial" w:hAnsi="Arial" w:cs="Arial"/>
          <w:sz w:val="24"/>
          <w:szCs w:val="24"/>
        </w:rPr>
        <w:t xml:space="preserve">e deceased to be her last Will; (b) </w:t>
      </w:r>
      <w:r w:rsidR="00136594" w:rsidRPr="00136594">
        <w:rPr>
          <w:rFonts w:ascii="Arial" w:hAnsi="Arial" w:cs="Arial"/>
          <w:sz w:val="24"/>
          <w:szCs w:val="24"/>
        </w:rPr>
        <w:t>That the respondent is directed to accept the aforementioned testamentary document as a Will for purposes of the Administra</w:t>
      </w:r>
      <w:r w:rsidR="00136594">
        <w:rPr>
          <w:rFonts w:ascii="Arial" w:hAnsi="Arial" w:cs="Arial"/>
          <w:sz w:val="24"/>
          <w:szCs w:val="24"/>
        </w:rPr>
        <w:t xml:space="preserve">tion of Estates Act 66 of 1965; (c) </w:t>
      </w:r>
      <w:r w:rsidR="00136594" w:rsidRPr="00136594">
        <w:rPr>
          <w:rFonts w:ascii="Arial" w:hAnsi="Arial" w:cs="Arial"/>
          <w:sz w:val="24"/>
          <w:szCs w:val="24"/>
        </w:rPr>
        <w:t>That the administrative oversight by not signing on pages 1-3 of the testamentary document by the testator and two witnesses as contemplated by Section 2 (1)(a)(iv) of the W</w:t>
      </w:r>
      <w:r w:rsidR="00136594">
        <w:rPr>
          <w:rFonts w:ascii="Arial" w:hAnsi="Arial" w:cs="Arial"/>
          <w:sz w:val="24"/>
          <w:szCs w:val="24"/>
        </w:rPr>
        <w:t xml:space="preserve">ills Act 7 of 1953 be condoned; (d) </w:t>
      </w:r>
      <w:r w:rsidR="00136594" w:rsidRPr="00136594">
        <w:rPr>
          <w:rFonts w:ascii="Arial" w:hAnsi="Arial" w:cs="Arial"/>
          <w:sz w:val="24"/>
          <w:szCs w:val="24"/>
        </w:rPr>
        <w:t>That the party who is appointed as the executor by the testame</w:t>
      </w:r>
      <w:r w:rsidR="00136594">
        <w:rPr>
          <w:rFonts w:ascii="Arial" w:hAnsi="Arial" w:cs="Arial"/>
          <w:sz w:val="24"/>
          <w:szCs w:val="24"/>
        </w:rPr>
        <w:t xml:space="preserve">ntary document shall so remain. </w:t>
      </w:r>
    </w:p>
    <w:p w:rsidR="00FF1870" w:rsidRDefault="00FF1870" w:rsidP="00136594">
      <w:pPr>
        <w:spacing w:after="0" w:line="360" w:lineRule="auto"/>
        <w:jc w:val="both"/>
        <w:rPr>
          <w:rFonts w:ascii="Arial" w:hAnsi="Arial" w:cs="Arial"/>
          <w:sz w:val="24"/>
          <w:szCs w:val="24"/>
        </w:rPr>
      </w:pPr>
    </w:p>
    <w:p w:rsidR="00950D5E" w:rsidRDefault="00136594" w:rsidP="00136594">
      <w:pPr>
        <w:spacing w:after="0" w:line="360" w:lineRule="auto"/>
        <w:jc w:val="both"/>
        <w:rPr>
          <w:rFonts w:ascii="Arial" w:hAnsi="Arial" w:cs="Arial"/>
          <w:sz w:val="24"/>
          <w:szCs w:val="24"/>
        </w:rPr>
      </w:pPr>
      <w:r>
        <w:rPr>
          <w:rFonts w:ascii="Arial" w:hAnsi="Arial" w:cs="Arial"/>
          <w:sz w:val="24"/>
          <w:szCs w:val="24"/>
        </w:rPr>
        <w:t xml:space="preserve">The respondent </w:t>
      </w:r>
      <w:r w:rsidRPr="00136594">
        <w:rPr>
          <w:rFonts w:ascii="Arial" w:hAnsi="Arial" w:cs="Arial"/>
          <w:sz w:val="24"/>
          <w:szCs w:val="24"/>
        </w:rPr>
        <w:t xml:space="preserve">opposed the application launched by the applicants, </w:t>
      </w:r>
      <w:r w:rsidR="00FF1870">
        <w:rPr>
          <w:rFonts w:ascii="Arial" w:hAnsi="Arial" w:cs="Arial"/>
          <w:sz w:val="24"/>
          <w:szCs w:val="24"/>
        </w:rPr>
        <w:t xml:space="preserve">arguing </w:t>
      </w:r>
      <w:r>
        <w:rPr>
          <w:rFonts w:ascii="Arial" w:hAnsi="Arial" w:cs="Arial"/>
          <w:sz w:val="24"/>
          <w:szCs w:val="24"/>
        </w:rPr>
        <w:t xml:space="preserve">that the </w:t>
      </w:r>
      <w:r w:rsidR="00206691">
        <w:rPr>
          <w:rFonts w:ascii="Arial" w:hAnsi="Arial" w:cs="Arial"/>
          <w:sz w:val="24"/>
          <w:szCs w:val="24"/>
        </w:rPr>
        <w:t xml:space="preserve">late </w:t>
      </w:r>
      <w:proofErr w:type="spellStart"/>
      <w:r w:rsidR="00206691">
        <w:rPr>
          <w:rFonts w:ascii="Arial" w:hAnsi="Arial" w:cs="Arial"/>
          <w:sz w:val="24"/>
          <w:szCs w:val="24"/>
        </w:rPr>
        <w:t>Nuugwedha’s</w:t>
      </w:r>
      <w:proofErr w:type="spellEnd"/>
      <w:r>
        <w:rPr>
          <w:rFonts w:ascii="Arial" w:hAnsi="Arial" w:cs="Arial"/>
          <w:sz w:val="24"/>
          <w:szCs w:val="24"/>
        </w:rPr>
        <w:t xml:space="preserve"> </w:t>
      </w:r>
      <w:r w:rsidRPr="00136594">
        <w:rPr>
          <w:rFonts w:ascii="Arial" w:hAnsi="Arial" w:cs="Arial"/>
          <w:sz w:val="24"/>
          <w:szCs w:val="24"/>
        </w:rPr>
        <w:t xml:space="preserve">document purporting to be her </w:t>
      </w:r>
      <w:r w:rsidR="00FF1870">
        <w:rPr>
          <w:rFonts w:ascii="Arial" w:hAnsi="Arial" w:cs="Arial"/>
          <w:sz w:val="24"/>
          <w:szCs w:val="24"/>
        </w:rPr>
        <w:t xml:space="preserve">last </w:t>
      </w:r>
      <w:r w:rsidRPr="00136594">
        <w:rPr>
          <w:rFonts w:ascii="Arial" w:hAnsi="Arial" w:cs="Arial"/>
          <w:sz w:val="24"/>
          <w:szCs w:val="24"/>
        </w:rPr>
        <w:t>wil</w:t>
      </w:r>
      <w:r>
        <w:rPr>
          <w:rFonts w:ascii="Arial" w:hAnsi="Arial" w:cs="Arial"/>
          <w:sz w:val="24"/>
          <w:szCs w:val="24"/>
        </w:rPr>
        <w:t xml:space="preserve">l </w:t>
      </w:r>
      <w:r w:rsidR="00FF1870">
        <w:rPr>
          <w:rFonts w:ascii="Arial" w:hAnsi="Arial" w:cs="Arial"/>
          <w:sz w:val="24"/>
          <w:szCs w:val="24"/>
        </w:rPr>
        <w:t xml:space="preserve">and testament </w:t>
      </w:r>
      <w:r>
        <w:rPr>
          <w:rFonts w:ascii="Arial" w:hAnsi="Arial" w:cs="Arial"/>
          <w:sz w:val="24"/>
          <w:szCs w:val="24"/>
        </w:rPr>
        <w:t xml:space="preserve">in terms </w:t>
      </w:r>
      <w:r w:rsidR="00206691">
        <w:rPr>
          <w:rFonts w:ascii="Arial" w:hAnsi="Arial" w:cs="Arial"/>
          <w:sz w:val="24"/>
          <w:szCs w:val="24"/>
        </w:rPr>
        <w:t xml:space="preserve">of </w:t>
      </w:r>
      <w:r>
        <w:rPr>
          <w:rFonts w:ascii="Arial" w:hAnsi="Arial" w:cs="Arial"/>
          <w:sz w:val="24"/>
          <w:szCs w:val="24"/>
        </w:rPr>
        <w:t xml:space="preserve">the Wills Act, 1953 </w:t>
      </w:r>
      <w:r w:rsidRPr="00136594">
        <w:rPr>
          <w:rFonts w:ascii="Arial" w:hAnsi="Arial" w:cs="Arial"/>
          <w:sz w:val="24"/>
          <w:szCs w:val="24"/>
        </w:rPr>
        <w:t>was not a valid will, as that document was not in compliance with the formalities required for</w:t>
      </w:r>
      <w:r w:rsidR="00FF1870">
        <w:rPr>
          <w:rFonts w:ascii="Arial" w:hAnsi="Arial" w:cs="Arial"/>
          <w:sz w:val="24"/>
          <w:szCs w:val="24"/>
        </w:rPr>
        <w:t xml:space="preserve"> the execution of a valid will.</w:t>
      </w:r>
    </w:p>
    <w:p w:rsidR="00FF1870" w:rsidRDefault="00FF1870" w:rsidP="00136594">
      <w:pPr>
        <w:spacing w:after="0" w:line="360" w:lineRule="auto"/>
        <w:jc w:val="both"/>
        <w:rPr>
          <w:rFonts w:ascii="Arial" w:hAnsi="Arial" w:cs="Arial"/>
          <w:sz w:val="24"/>
          <w:szCs w:val="24"/>
        </w:rPr>
      </w:pPr>
    </w:p>
    <w:p w:rsidR="00950D5E" w:rsidRDefault="00950D5E" w:rsidP="00136594">
      <w:pPr>
        <w:spacing w:after="0" w:line="360" w:lineRule="auto"/>
        <w:jc w:val="both"/>
        <w:rPr>
          <w:rFonts w:ascii="Arial" w:hAnsi="Arial" w:cs="Arial"/>
          <w:sz w:val="24"/>
          <w:szCs w:val="24"/>
        </w:rPr>
      </w:pPr>
      <w:r w:rsidRPr="00950D5E">
        <w:rPr>
          <w:rFonts w:ascii="Arial" w:hAnsi="Arial" w:cs="Arial"/>
          <w:i/>
          <w:sz w:val="24"/>
          <w:szCs w:val="24"/>
        </w:rPr>
        <w:t>Held that</w:t>
      </w:r>
      <w:r>
        <w:rPr>
          <w:rFonts w:ascii="Arial" w:hAnsi="Arial" w:cs="Arial"/>
          <w:sz w:val="24"/>
          <w:szCs w:val="24"/>
        </w:rPr>
        <w:t xml:space="preserve"> i</w:t>
      </w:r>
      <w:r w:rsidR="00FF1870">
        <w:rPr>
          <w:rFonts w:ascii="Arial" w:hAnsi="Arial" w:cs="Arial"/>
          <w:sz w:val="24"/>
          <w:szCs w:val="24"/>
        </w:rPr>
        <w:t>t is</w:t>
      </w:r>
      <w:r w:rsidRPr="00950D5E">
        <w:rPr>
          <w:rFonts w:ascii="Arial" w:hAnsi="Arial" w:cs="Arial"/>
          <w:sz w:val="24"/>
          <w:szCs w:val="24"/>
        </w:rPr>
        <w:t xml:space="preserve"> no longer appropriate for courts to simply defer to what parliament or the legislature says, but to ask the question whether the statutory provisions, in question, promote the spirit of the Constitution and whether the strict application of the statutory provision will amount to </w:t>
      </w:r>
      <w:r w:rsidR="00FF1870">
        <w:rPr>
          <w:rFonts w:ascii="Arial" w:hAnsi="Arial" w:cs="Arial"/>
          <w:sz w:val="24"/>
          <w:szCs w:val="24"/>
        </w:rPr>
        <w:t xml:space="preserve">a </w:t>
      </w:r>
      <w:r w:rsidRPr="00950D5E">
        <w:rPr>
          <w:rFonts w:ascii="Arial" w:hAnsi="Arial" w:cs="Arial"/>
          <w:sz w:val="24"/>
          <w:szCs w:val="24"/>
        </w:rPr>
        <w:t>violation of a fundamental human right.</w:t>
      </w:r>
    </w:p>
    <w:p w:rsidR="00950D5E" w:rsidRDefault="00950D5E" w:rsidP="00136594">
      <w:pPr>
        <w:spacing w:after="0" w:line="360" w:lineRule="auto"/>
        <w:jc w:val="both"/>
        <w:rPr>
          <w:rFonts w:ascii="Arial" w:hAnsi="Arial" w:cs="Arial"/>
          <w:sz w:val="24"/>
          <w:szCs w:val="24"/>
        </w:rPr>
      </w:pPr>
    </w:p>
    <w:p w:rsidR="003134F9" w:rsidRDefault="00950D5E" w:rsidP="00136594">
      <w:pPr>
        <w:spacing w:after="0" w:line="360" w:lineRule="auto"/>
        <w:jc w:val="both"/>
        <w:rPr>
          <w:rFonts w:ascii="Arial" w:hAnsi="Arial" w:cs="Arial"/>
          <w:sz w:val="24"/>
          <w:szCs w:val="24"/>
        </w:rPr>
      </w:pPr>
      <w:r w:rsidRPr="00084BD4">
        <w:rPr>
          <w:rFonts w:ascii="Arial" w:hAnsi="Arial" w:cs="Arial"/>
          <w:i/>
          <w:sz w:val="24"/>
          <w:szCs w:val="24"/>
        </w:rPr>
        <w:t>Held that</w:t>
      </w:r>
      <w:r w:rsidR="00084BD4" w:rsidRPr="00084BD4">
        <w:rPr>
          <w:rFonts w:ascii="Arial" w:hAnsi="Arial" w:cs="Arial"/>
          <w:sz w:val="24"/>
          <w:szCs w:val="24"/>
        </w:rPr>
        <w:t xml:space="preserve"> the </w:t>
      </w:r>
      <w:r w:rsidR="00084BD4">
        <w:rPr>
          <w:rFonts w:ascii="Arial" w:hAnsi="Arial" w:cs="Arial"/>
          <w:sz w:val="24"/>
          <w:szCs w:val="24"/>
        </w:rPr>
        <w:t xml:space="preserve">court is of the view that the </w:t>
      </w:r>
      <w:r w:rsidR="00084BD4" w:rsidRPr="00084BD4">
        <w:rPr>
          <w:rFonts w:ascii="Arial" w:hAnsi="Arial" w:cs="Arial"/>
          <w:sz w:val="24"/>
          <w:szCs w:val="24"/>
        </w:rPr>
        <w:t>first principle of the law of wills is freedom of testation. Although the legislature limits the power of testation in various ways, within the province that remains to the testamentary power, virtually the entire law of wills derives from the premise that a person has the fundamental right to dispose of his</w:t>
      </w:r>
      <w:r w:rsidR="003E7A8B">
        <w:rPr>
          <w:rFonts w:ascii="Arial" w:hAnsi="Arial" w:cs="Arial"/>
          <w:sz w:val="24"/>
          <w:szCs w:val="24"/>
        </w:rPr>
        <w:t xml:space="preserve"> or her</w:t>
      </w:r>
      <w:r w:rsidR="00084BD4" w:rsidRPr="00084BD4">
        <w:rPr>
          <w:rFonts w:ascii="Arial" w:hAnsi="Arial" w:cs="Arial"/>
          <w:sz w:val="24"/>
          <w:szCs w:val="24"/>
        </w:rPr>
        <w:t xml:space="preserve"> property as he</w:t>
      </w:r>
      <w:r w:rsidR="003E7A8B">
        <w:rPr>
          <w:rFonts w:ascii="Arial" w:hAnsi="Arial" w:cs="Arial"/>
          <w:sz w:val="24"/>
          <w:szCs w:val="24"/>
        </w:rPr>
        <w:t xml:space="preserve"> or she</w:t>
      </w:r>
      <w:r w:rsidR="00084BD4" w:rsidRPr="00084BD4">
        <w:rPr>
          <w:rFonts w:ascii="Arial" w:hAnsi="Arial" w:cs="Arial"/>
          <w:sz w:val="24"/>
          <w:szCs w:val="24"/>
        </w:rPr>
        <w:t xml:space="preserve"> pleases in death as in life. </w:t>
      </w:r>
    </w:p>
    <w:p w:rsidR="003134F9" w:rsidRDefault="003134F9" w:rsidP="00136594">
      <w:pPr>
        <w:spacing w:after="0" w:line="360" w:lineRule="auto"/>
        <w:jc w:val="both"/>
        <w:rPr>
          <w:rFonts w:ascii="Arial" w:hAnsi="Arial" w:cs="Arial"/>
          <w:sz w:val="24"/>
          <w:szCs w:val="24"/>
        </w:rPr>
      </w:pPr>
    </w:p>
    <w:p w:rsidR="00950D5E" w:rsidRDefault="00084BD4" w:rsidP="00136594">
      <w:pPr>
        <w:spacing w:after="0" w:line="360" w:lineRule="auto"/>
        <w:jc w:val="both"/>
        <w:rPr>
          <w:rFonts w:ascii="Arial" w:hAnsi="Arial" w:cs="Arial"/>
          <w:sz w:val="24"/>
          <w:szCs w:val="24"/>
        </w:rPr>
      </w:pPr>
      <w:r w:rsidRPr="00084BD4">
        <w:rPr>
          <w:rFonts w:ascii="Arial" w:hAnsi="Arial" w:cs="Arial"/>
          <w:i/>
          <w:sz w:val="24"/>
          <w:szCs w:val="24"/>
        </w:rPr>
        <w:t>Held further</w:t>
      </w:r>
      <w:r>
        <w:rPr>
          <w:rFonts w:ascii="Arial" w:hAnsi="Arial" w:cs="Arial"/>
          <w:sz w:val="24"/>
          <w:szCs w:val="24"/>
        </w:rPr>
        <w:t xml:space="preserve"> that t</w:t>
      </w:r>
      <w:r w:rsidRPr="00084BD4">
        <w:rPr>
          <w:rFonts w:ascii="Arial" w:hAnsi="Arial" w:cs="Arial"/>
          <w:sz w:val="24"/>
          <w:szCs w:val="24"/>
        </w:rPr>
        <w:t xml:space="preserve">he rules governing testamentary capacity and the construction of wills must, therefore, not result in interfering with or depriving a </w:t>
      </w:r>
      <w:r w:rsidR="003E7A8B" w:rsidRPr="003D054B">
        <w:rPr>
          <w:rFonts w:ascii="Arial" w:hAnsi="Arial" w:cs="Arial"/>
          <w:sz w:val="24"/>
          <w:szCs w:val="24"/>
        </w:rPr>
        <w:t>testator or testatrix</w:t>
      </w:r>
      <w:r w:rsidRPr="003D054B">
        <w:rPr>
          <w:rFonts w:ascii="Arial" w:hAnsi="Arial" w:cs="Arial"/>
          <w:sz w:val="24"/>
          <w:szCs w:val="24"/>
        </w:rPr>
        <w:t xml:space="preserve"> </w:t>
      </w:r>
      <w:r w:rsidRPr="00084BD4">
        <w:rPr>
          <w:rFonts w:ascii="Arial" w:hAnsi="Arial" w:cs="Arial"/>
          <w:sz w:val="24"/>
          <w:szCs w:val="24"/>
        </w:rPr>
        <w:t>his or her freedom of testation.</w:t>
      </w:r>
    </w:p>
    <w:p w:rsidR="00084BD4" w:rsidRDefault="00084BD4" w:rsidP="00136594">
      <w:pPr>
        <w:spacing w:after="0" w:line="360" w:lineRule="auto"/>
        <w:jc w:val="both"/>
        <w:rPr>
          <w:rFonts w:ascii="Arial" w:hAnsi="Arial" w:cs="Arial"/>
          <w:sz w:val="24"/>
          <w:szCs w:val="24"/>
        </w:rPr>
      </w:pPr>
    </w:p>
    <w:p w:rsidR="00084BD4" w:rsidRDefault="00084BD4" w:rsidP="00084BD4">
      <w:pPr>
        <w:spacing w:line="360" w:lineRule="auto"/>
        <w:jc w:val="both"/>
        <w:rPr>
          <w:rFonts w:ascii="Arial" w:hAnsi="Arial" w:cs="Arial"/>
          <w:sz w:val="24"/>
          <w:szCs w:val="24"/>
        </w:rPr>
      </w:pPr>
      <w:r w:rsidRPr="00084BD4">
        <w:rPr>
          <w:rFonts w:ascii="Arial" w:hAnsi="Arial" w:cs="Arial"/>
          <w:i/>
          <w:sz w:val="24"/>
          <w:szCs w:val="24"/>
        </w:rPr>
        <w:t xml:space="preserve">Held that </w:t>
      </w:r>
      <w:r>
        <w:rPr>
          <w:rFonts w:ascii="Arial" w:hAnsi="Arial" w:cs="Arial"/>
          <w:sz w:val="24"/>
          <w:szCs w:val="24"/>
        </w:rPr>
        <w:t>t</w:t>
      </w:r>
      <w:r w:rsidRPr="00084BD4">
        <w:rPr>
          <w:rFonts w:ascii="Arial" w:hAnsi="Arial" w:cs="Arial"/>
          <w:sz w:val="24"/>
          <w:szCs w:val="24"/>
        </w:rPr>
        <w:t xml:space="preserve">aking into consideration that; the right to dispose of her property as she pleases in death as in life is a fundamental right, the late </w:t>
      </w:r>
      <w:proofErr w:type="spellStart"/>
      <w:r w:rsidRPr="00084BD4">
        <w:rPr>
          <w:rFonts w:ascii="Arial" w:hAnsi="Arial" w:cs="Arial"/>
          <w:sz w:val="24"/>
          <w:szCs w:val="24"/>
        </w:rPr>
        <w:t>Nuugwedha</w:t>
      </w:r>
      <w:proofErr w:type="spellEnd"/>
      <w:r w:rsidRPr="00084BD4">
        <w:rPr>
          <w:rFonts w:ascii="Arial" w:hAnsi="Arial" w:cs="Arial"/>
          <w:sz w:val="24"/>
          <w:szCs w:val="24"/>
        </w:rPr>
        <w:t xml:space="preserve"> substantially complied with the formalities </w:t>
      </w:r>
      <w:r>
        <w:rPr>
          <w:rFonts w:ascii="Arial" w:hAnsi="Arial" w:cs="Arial"/>
          <w:sz w:val="24"/>
          <w:szCs w:val="24"/>
        </w:rPr>
        <w:t>prescribed by s 2 (1) (a)(iii) and</w:t>
      </w:r>
      <w:r w:rsidRPr="00084BD4">
        <w:rPr>
          <w:rFonts w:ascii="Arial" w:hAnsi="Arial" w:cs="Arial"/>
          <w:sz w:val="24"/>
          <w:szCs w:val="24"/>
        </w:rPr>
        <w:t xml:space="preserve"> (iv) of the Wills Act, and </w:t>
      </w:r>
      <w:r w:rsidRPr="00084BD4">
        <w:rPr>
          <w:rFonts w:ascii="Arial" w:hAnsi="Arial" w:cs="Arial"/>
          <w:sz w:val="24"/>
          <w:szCs w:val="24"/>
        </w:rPr>
        <w:lastRenderedPageBreak/>
        <w:t>the purposes, of the signature to a will and the fact that in this case the dangers which the Wills Act aim</w:t>
      </w:r>
      <w:r w:rsidR="00F67FF1">
        <w:rPr>
          <w:rFonts w:ascii="Arial" w:hAnsi="Arial" w:cs="Arial"/>
          <w:sz w:val="24"/>
          <w:szCs w:val="24"/>
        </w:rPr>
        <w:t>s to prevent or</w:t>
      </w:r>
      <w:r w:rsidR="003D054B">
        <w:rPr>
          <w:rFonts w:ascii="Arial" w:hAnsi="Arial" w:cs="Arial"/>
          <w:sz w:val="24"/>
          <w:szCs w:val="24"/>
        </w:rPr>
        <w:t xml:space="preserve"> eliminate </w:t>
      </w:r>
      <w:r w:rsidRPr="00084BD4">
        <w:rPr>
          <w:rFonts w:ascii="Arial" w:hAnsi="Arial" w:cs="Arial"/>
          <w:sz w:val="24"/>
          <w:szCs w:val="24"/>
        </w:rPr>
        <w:t>are</w:t>
      </w:r>
      <w:r>
        <w:rPr>
          <w:rFonts w:ascii="Arial" w:hAnsi="Arial" w:cs="Arial"/>
          <w:sz w:val="24"/>
          <w:szCs w:val="24"/>
        </w:rPr>
        <w:t xml:space="preserve"> not present in this case, the court is </w:t>
      </w:r>
      <w:r w:rsidRPr="00084BD4">
        <w:rPr>
          <w:rFonts w:ascii="Arial" w:hAnsi="Arial" w:cs="Arial"/>
          <w:sz w:val="24"/>
          <w:szCs w:val="24"/>
        </w:rPr>
        <w:t xml:space="preserve">of the view that invalidating the will amounts to the violation </w:t>
      </w:r>
      <w:r w:rsidR="00206691">
        <w:rPr>
          <w:rFonts w:ascii="Arial" w:hAnsi="Arial" w:cs="Arial"/>
          <w:sz w:val="24"/>
          <w:szCs w:val="24"/>
        </w:rPr>
        <w:t xml:space="preserve">of </w:t>
      </w:r>
      <w:r w:rsidRPr="00084BD4">
        <w:rPr>
          <w:rFonts w:ascii="Arial" w:hAnsi="Arial" w:cs="Arial"/>
          <w:sz w:val="24"/>
          <w:szCs w:val="24"/>
        </w:rPr>
        <w:t xml:space="preserve">the fundamental right of the late </w:t>
      </w:r>
      <w:proofErr w:type="spellStart"/>
      <w:r w:rsidRPr="00084BD4">
        <w:rPr>
          <w:rFonts w:ascii="Arial" w:hAnsi="Arial" w:cs="Arial"/>
          <w:sz w:val="24"/>
          <w:szCs w:val="24"/>
        </w:rPr>
        <w:t>Nuugwedha</w:t>
      </w:r>
      <w:proofErr w:type="spellEnd"/>
      <w:r w:rsidRPr="00084BD4">
        <w:rPr>
          <w:rFonts w:ascii="Arial" w:hAnsi="Arial" w:cs="Arial"/>
          <w:sz w:val="24"/>
          <w:szCs w:val="24"/>
        </w:rPr>
        <w:t xml:space="preserve"> to freedom of testation. </w:t>
      </w:r>
    </w:p>
    <w:p w:rsidR="003134F9" w:rsidRDefault="003134F9" w:rsidP="003134F9">
      <w:pPr>
        <w:spacing w:after="0" w:line="360" w:lineRule="auto"/>
        <w:jc w:val="both"/>
        <w:rPr>
          <w:rFonts w:ascii="Arial" w:hAnsi="Arial" w:cs="Arial"/>
          <w:i/>
          <w:sz w:val="24"/>
          <w:szCs w:val="24"/>
        </w:rPr>
      </w:pPr>
    </w:p>
    <w:p w:rsidR="005005CD" w:rsidRDefault="00084BD4" w:rsidP="004B07B7">
      <w:pPr>
        <w:spacing w:line="360" w:lineRule="auto"/>
        <w:jc w:val="both"/>
        <w:rPr>
          <w:rFonts w:ascii="Arial" w:hAnsi="Arial" w:cs="Arial"/>
          <w:sz w:val="24"/>
          <w:szCs w:val="24"/>
        </w:rPr>
      </w:pPr>
      <w:r w:rsidRPr="004B07B7">
        <w:rPr>
          <w:rFonts w:ascii="Arial" w:hAnsi="Arial" w:cs="Arial"/>
          <w:i/>
          <w:sz w:val="24"/>
          <w:szCs w:val="24"/>
        </w:rPr>
        <w:t xml:space="preserve">Held </w:t>
      </w:r>
      <w:r w:rsidRPr="00206691">
        <w:rPr>
          <w:rFonts w:ascii="Arial" w:hAnsi="Arial" w:cs="Arial"/>
          <w:sz w:val="24"/>
          <w:szCs w:val="24"/>
        </w:rPr>
        <w:t>f</w:t>
      </w:r>
      <w:r>
        <w:rPr>
          <w:rFonts w:ascii="Arial" w:hAnsi="Arial" w:cs="Arial"/>
          <w:sz w:val="24"/>
          <w:szCs w:val="24"/>
        </w:rPr>
        <w:t xml:space="preserve">inally that </w:t>
      </w:r>
      <w:r w:rsidR="004B07B7" w:rsidRPr="004B07B7">
        <w:rPr>
          <w:rFonts w:ascii="Arial" w:hAnsi="Arial" w:cs="Arial"/>
          <w:sz w:val="24"/>
          <w:szCs w:val="24"/>
        </w:rPr>
        <w:t xml:space="preserve">the testamentary document executed on 02 February 2017 by the late Linea </w:t>
      </w:r>
      <w:proofErr w:type="spellStart"/>
      <w:r w:rsidR="004B07B7" w:rsidRPr="004B07B7">
        <w:rPr>
          <w:rFonts w:ascii="Arial" w:hAnsi="Arial" w:cs="Arial"/>
          <w:sz w:val="24"/>
          <w:szCs w:val="24"/>
        </w:rPr>
        <w:t>Peneyambeko</w:t>
      </w:r>
      <w:proofErr w:type="spellEnd"/>
      <w:r w:rsidR="004B07B7" w:rsidRPr="004B07B7">
        <w:rPr>
          <w:rFonts w:ascii="Arial" w:hAnsi="Arial" w:cs="Arial"/>
          <w:sz w:val="24"/>
          <w:szCs w:val="24"/>
        </w:rPr>
        <w:t xml:space="preserve"> </w:t>
      </w:r>
      <w:proofErr w:type="spellStart"/>
      <w:r w:rsidR="004B07B7" w:rsidRPr="004B07B7">
        <w:rPr>
          <w:rFonts w:ascii="Arial" w:hAnsi="Arial" w:cs="Arial"/>
          <w:sz w:val="24"/>
          <w:szCs w:val="24"/>
        </w:rPr>
        <w:t>Nuugwedha</w:t>
      </w:r>
      <w:proofErr w:type="spellEnd"/>
      <w:r w:rsidR="004B07B7" w:rsidRPr="004B07B7">
        <w:rPr>
          <w:rFonts w:ascii="Arial" w:hAnsi="Arial" w:cs="Arial"/>
          <w:sz w:val="24"/>
          <w:szCs w:val="24"/>
        </w:rPr>
        <w:t xml:space="preserve"> who died on 03 February 2017, a copy of which is attached to the affidavit of Gina </w:t>
      </w:r>
      <w:proofErr w:type="spellStart"/>
      <w:r w:rsidR="004B07B7" w:rsidRPr="004B07B7">
        <w:rPr>
          <w:rFonts w:ascii="Arial" w:hAnsi="Arial" w:cs="Arial"/>
          <w:sz w:val="24"/>
          <w:szCs w:val="24"/>
        </w:rPr>
        <w:t>Nelao</w:t>
      </w:r>
      <w:proofErr w:type="spellEnd"/>
      <w:r w:rsidR="004B07B7" w:rsidRPr="004B07B7">
        <w:rPr>
          <w:rFonts w:ascii="Arial" w:hAnsi="Arial" w:cs="Arial"/>
          <w:sz w:val="24"/>
          <w:szCs w:val="24"/>
        </w:rPr>
        <w:t xml:space="preserve"> </w:t>
      </w:r>
      <w:proofErr w:type="spellStart"/>
      <w:r w:rsidR="004B07B7" w:rsidRPr="004B07B7">
        <w:rPr>
          <w:rFonts w:ascii="Arial" w:hAnsi="Arial" w:cs="Arial"/>
          <w:sz w:val="24"/>
          <w:szCs w:val="24"/>
        </w:rPr>
        <w:t>Wetutala</w:t>
      </w:r>
      <w:proofErr w:type="spellEnd"/>
      <w:r w:rsidR="004B07B7" w:rsidRPr="004B07B7">
        <w:rPr>
          <w:rFonts w:ascii="Arial" w:hAnsi="Arial" w:cs="Arial"/>
          <w:sz w:val="24"/>
          <w:szCs w:val="24"/>
        </w:rPr>
        <w:t xml:space="preserve"> </w:t>
      </w:r>
      <w:proofErr w:type="spellStart"/>
      <w:r w:rsidR="004B07B7" w:rsidRPr="004B07B7">
        <w:rPr>
          <w:rFonts w:ascii="Arial" w:hAnsi="Arial" w:cs="Arial"/>
          <w:sz w:val="24"/>
          <w:szCs w:val="24"/>
        </w:rPr>
        <w:t>Mwoombola</w:t>
      </w:r>
      <w:proofErr w:type="spellEnd"/>
      <w:r w:rsidR="004B07B7" w:rsidRPr="004B07B7">
        <w:rPr>
          <w:rFonts w:ascii="Arial" w:hAnsi="Arial" w:cs="Arial"/>
          <w:sz w:val="24"/>
          <w:szCs w:val="24"/>
        </w:rPr>
        <w:t xml:space="preserve"> as Annexure A, is a valid Will and </w:t>
      </w:r>
      <w:r w:rsidR="004B07B7">
        <w:rPr>
          <w:rFonts w:ascii="Arial" w:hAnsi="Arial" w:cs="Arial"/>
          <w:sz w:val="24"/>
          <w:szCs w:val="24"/>
        </w:rPr>
        <w:t>the court</w:t>
      </w:r>
      <w:r w:rsidR="004B07B7" w:rsidRPr="004B07B7">
        <w:rPr>
          <w:rFonts w:ascii="Arial" w:hAnsi="Arial" w:cs="Arial"/>
          <w:sz w:val="24"/>
          <w:szCs w:val="24"/>
        </w:rPr>
        <w:t xml:space="preserve"> direct</w:t>
      </w:r>
      <w:r w:rsidR="004B07B7">
        <w:rPr>
          <w:rFonts w:ascii="Arial" w:hAnsi="Arial" w:cs="Arial"/>
          <w:sz w:val="24"/>
          <w:szCs w:val="24"/>
        </w:rPr>
        <w:t>s</w:t>
      </w:r>
      <w:r w:rsidR="004B07B7" w:rsidRPr="004B07B7">
        <w:rPr>
          <w:rFonts w:ascii="Arial" w:hAnsi="Arial" w:cs="Arial"/>
          <w:sz w:val="24"/>
          <w:szCs w:val="24"/>
        </w:rPr>
        <w:t xml:space="preserve"> the Master to accept it as such.</w:t>
      </w:r>
    </w:p>
    <w:p w:rsidR="001B7E1F" w:rsidRPr="006E026B" w:rsidRDefault="00F756A4" w:rsidP="00084BD4">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084BD4">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F756A4" w:rsidP="00084BD4">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E2DCC" w:rsidRDefault="00BE2DCC" w:rsidP="00BE2DCC">
      <w:pPr>
        <w:pStyle w:val="Heading1"/>
        <w:tabs>
          <w:tab w:val="left" w:pos="720"/>
        </w:tabs>
        <w:spacing w:before="0" w:after="0" w:line="360" w:lineRule="auto"/>
        <w:jc w:val="both"/>
        <w:rPr>
          <w:rFonts w:ascii="Arial" w:hAnsi="Arial" w:cs="Arial"/>
          <w:b w:val="0"/>
          <w:sz w:val="24"/>
          <w:szCs w:val="24"/>
        </w:rPr>
      </w:pPr>
    </w:p>
    <w:p w:rsidR="00BE2DCC" w:rsidRPr="00372272" w:rsidRDefault="00BE2DCC" w:rsidP="00BE2DCC">
      <w:pPr>
        <w:pStyle w:val="Heading1"/>
        <w:tabs>
          <w:tab w:val="left" w:pos="720"/>
        </w:tabs>
        <w:spacing w:before="0" w:after="0" w:line="360" w:lineRule="auto"/>
        <w:jc w:val="both"/>
        <w:rPr>
          <w:rFonts w:ascii="Arial" w:hAnsi="Arial" w:cs="Arial"/>
          <w:b w:val="0"/>
          <w:sz w:val="24"/>
          <w:szCs w:val="24"/>
        </w:rPr>
      </w:pPr>
      <w:r w:rsidRPr="00372272">
        <w:rPr>
          <w:rFonts w:ascii="Arial" w:hAnsi="Arial" w:cs="Arial"/>
          <w:b w:val="0"/>
          <w:sz w:val="24"/>
          <w:szCs w:val="24"/>
        </w:rPr>
        <w:t>1</w:t>
      </w:r>
      <w:r w:rsidRPr="00372272">
        <w:rPr>
          <w:rFonts w:ascii="Arial" w:hAnsi="Arial" w:cs="Arial"/>
          <w:b w:val="0"/>
          <w:sz w:val="24"/>
          <w:szCs w:val="24"/>
        </w:rPr>
        <w:tab/>
      </w:r>
      <w:r>
        <w:rPr>
          <w:rFonts w:ascii="Arial" w:hAnsi="Arial" w:cs="Arial"/>
          <w:b w:val="0"/>
          <w:sz w:val="24"/>
          <w:szCs w:val="24"/>
        </w:rPr>
        <w:t>The</w:t>
      </w:r>
      <w:r w:rsidRPr="00372272">
        <w:rPr>
          <w:rFonts w:ascii="Arial" w:hAnsi="Arial" w:cs="Arial"/>
          <w:b w:val="0"/>
          <w:sz w:val="24"/>
          <w:szCs w:val="24"/>
        </w:rPr>
        <w:t xml:space="preserve"> testamentary document executed on 02 February 2017 by the late Linea </w:t>
      </w:r>
      <w:proofErr w:type="spellStart"/>
      <w:r w:rsidRPr="00372272">
        <w:rPr>
          <w:rFonts w:ascii="Arial" w:hAnsi="Arial" w:cs="Arial"/>
          <w:b w:val="0"/>
          <w:sz w:val="24"/>
          <w:szCs w:val="24"/>
        </w:rPr>
        <w:t>Peneyambeko</w:t>
      </w:r>
      <w:proofErr w:type="spellEnd"/>
      <w:r w:rsidRPr="00372272">
        <w:rPr>
          <w:rFonts w:ascii="Arial" w:hAnsi="Arial" w:cs="Arial"/>
          <w:b w:val="0"/>
          <w:sz w:val="24"/>
          <w:szCs w:val="24"/>
        </w:rPr>
        <w:t xml:space="preserve"> </w:t>
      </w:r>
      <w:proofErr w:type="spellStart"/>
      <w:r w:rsidRPr="00372272">
        <w:rPr>
          <w:rFonts w:ascii="Arial" w:hAnsi="Arial" w:cs="Arial"/>
          <w:b w:val="0"/>
          <w:sz w:val="24"/>
          <w:szCs w:val="24"/>
        </w:rPr>
        <w:t>Nuugwedha</w:t>
      </w:r>
      <w:proofErr w:type="spellEnd"/>
      <w:r w:rsidRPr="00372272">
        <w:rPr>
          <w:rFonts w:ascii="Arial" w:hAnsi="Arial" w:cs="Arial"/>
          <w:b w:val="0"/>
          <w:sz w:val="24"/>
          <w:szCs w:val="24"/>
        </w:rPr>
        <w:t xml:space="preserve"> who died on 03 February 2017, a copy of which is appended to the </w:t>
      </w:r>
      <w:r>
        <w:rPr>
          <w:rFonts w:ascii="Arial" w:hAnsi="Arial" w:cs="Arial"/>
          <w:b w:val="0"/>
          <w:sz w:val="24"/>
          <w:szCs w:val="24"/>
        </w:rPr>
        <w:t>a</w:t>
      </w:r>
      <w:r w:rsidRPr="00372272">
        <w:rPr>
          <w:rFonts w:ascii="Arial" w:hAnsi="Arial" w:cs="Arial"/>
          <w:b w:val="0"/>
          <w:sz w:val="24"/>
          <w:szCs w:val="24"/>
        </w:rPr>
        <w:t xml:space="preserve">ffidavit of Gina </w:t>
      </w:r>
      <w:proofErr w:type="spellStart"/>
      <w:r w:rsidRPr="00372272">
        <w:rPr>
          <w:rFonts w:ascii="Arial" w:hAnsi="Arial" w:cs="Arial"/>
          <w:b w:val="0"/>
          <w:sz w:val="24"/>
          <w:szCs w:val="24"/>
        </w:rPr>
        <w:t>Nelao</w:t>
      </w:r>
      <w:proofErr w:type="spellEnd"/>
      <w:r w:rsidRPr="00372272">
        <w:rPr>
          <w:rFonts w:ascii="Arial" w:hAnsi="Arial" w:cs="Arial"/>
          <w:b w:val="0"/>
          <w:sz w:val="24"/>
          <w:szCs w:val="24"/>
        </w:rPr>
        <w:t xml:space="preserve"> </w:t>
      </w:r>
      <w:proofErr w:type="spellStart"/>
      <w:r w:rsidRPr="00372272">
        <w:rPr>
          <w:rFonts w:ascii="Arial" w:hAnsi="Arial" w:cs="Arial"/>
          <w:b w:val="0"/>
          <w:sz w:val="24"/>
          <w:szCs w:val="24"/>
        </w:rPr>
        <w:t>Wetutala</w:t>
      </w:r>
      <w:proofErr w:type="spellEnd"/>
      <w:r w:rsidRPr="00372272">
        <w:rPr>
          <w:rFonts w:ascii="Arial" w:hAnsi="Arial" w:cs="Arial"/>
          <w:b w:val="0"/>
          <w:sz w:val="24"/>
          <w:szCs w:val="24"/>
        </w:rPr>
        <w:t xml:space="preserve"> </w:t>
      </w:r>
      <w:proofErr w:type="spellStart"/>
      <w:r w:rsidRPr="00372272">
        <w:rPr>
          <w:rFonts w:ascii="Arial" w:hAnsi="Arial" w:cs="Arial"/>
          <w:b w:val="0"/>
          <w:sz w:val="24"/>
          <w:szCs w:val="24"/>
        </w:rPr>
        <w:t>Mwoombola</w:t>
      </w:r>
      <w:proofErr w:type="spellEnd"/>
      <w:r w:rsidRPr="00372272">
        <w:rPr>
          <w:rFonts w:ascii="Arial" w:hAnsi="Arial" w:cs="Arial"/>
          <w:b w:val="0"/>
          <w:sz w:val="24"/>
          <w:szCs w:val="24"/>
        </w:rPr>
        <w:t xml:space="preserve"> as Annexure A, is declared to </w:t>
      </w:r>
      <w:r>
        <w:rPr>
          <w:rFonts w:ascii="Arial" w:hAnsi="Arial" w:cs="Arial"/>
          <w:b w:val="0"/>
          <w:sz w:val="24"/>
          <w:szCs w:val="24"/>
        </w:rPr>
        <w:t xml:space="preserve">be her valid </w:t>
      </w:r>
      <w:r w:rsidRPr="00372272">
        <w:rPr>
          <w:rFonts w:ascii="Arial" w:hAnsi="Arial" w:cs="Arial"/>
          <w:b w:val="0"/>
          <w:sz w:val="24"/>
          <w:szCs w:val="24"/>
        </w:rPr>
        <w:t>Will.</w:t>
      </w:r>
    </w:p>
    <w:p w:rsidR="00BE2DCC" w:rsidRPr="00372272" w:rsidRDefault="00BE2DCC" w:rsidP="00BE2DCC">
      <w:pPr>
        <w:jc w:val="both"/>
        <w:rPr>
          <w:sz w:val="24"/>
          <w:szCs w:val="24"/>
        </w:rPr>
      </w:pPr>
    </w:p>
    <w:p w:rsidR="00BE2DCC" w:rsidRPr="00372272" w:rsidRDefault="00BE2DCC" w:rsidP="00BE2DCC">
      <w:pPr>
        <w:pStyle w:val="Heading2"/>
        <w:tabs>
          <w:tab w:val="left" w:pos="720"/>
        </w:tabs>
        <w:spacing w:line="360" w:lineRule="auto"/>
        <w:jc w:val="both"/>
        <w:rPr>
          <w:rFonts w:ascii="Arial" w:hAnsi="Arial" w:cs="Arial"/>
          <w:b w:val="0"/>
          <w:i w:val="0"/>
          <w:sz w:val="24"/>
          <w:szCs w:val="24"/>
        </w:rPr>
      </w:pPr>
      <w:r w:rsidRPr="00BE2DCC">
        <w:rPr>
          <w:rFonts w:ascii="Arial" w:hAnsi="Arial" w:cs="Arial"/>
          <w:b w:val="0"/>
          <w:i w:val="0"/>
          <w:sz w:val="24"/>
          <w:szCs w:val="24"/>
        </w:rPr>
        <w:t>2</w:t>
      </w:r>
      <w:r w:rsidRPr="00BE2DCC">
        <w:rPr>
          <w:rFonts w:ascii="Arial" w:hAnsi="Arial" w:cs="Arial"/>
          <w:b w:val="0"/>
          <w:i w:val="0"/>
          <w:sz w:val="24"/>
          <w:szCs w:val="24"/>
        </w:rPr>
        <w:tab/>
        <w:t xml:space="preserve">The Master of the High Court of Namibia is directed to accept and register the testamentary document referred to in paragraph 1 of this order as the valid Will and last Testament of the late Linea </w:t>
      </w:r>
      <w:proofErr w:type="spellStart"/>
      <w:r w:rsidRPr="00BE2DCC">
        <w:rPr>
          <w:rFonts w:ascii="Arial" w:hAnsi="Arial" w:cs="Arial"/>
          <w:b w:val="0"/>
          <w:i w:val="0"/>
          <w:sz w:val="24"/>
          <w:szCs w:val="24"/>
        </w:rPr>
        <w:t>Peneyambeko</w:t>
      </w:r>
      <w:proofErr w:type="spellEnd"/>
      <w:r w:rsidRPr="00BE2DCC">
        <w:rPr>
          <w:rFonts w:ascii="Arial" w:hAnsi="Arial" w:cs="Arial"/>
          <w:b w:val="0"/>
          <w:i w:val="0"/>
          <w:sz w:val="24"/>
          <w:szCs w:val="24"/>
        </w:rPr>
        <w:t xml:space="preserve"> </w:t>
      </w:r>
      <w:proofErr w:type="spellStart"/>
      <w:r w:rsidRPr="00BE2DCC">
        <w:rPr>
          <w:rFonts w:ascii="Arial" w:hAnsi="Arial" w:cs="Arial"/>
          <w:b w:val="0"/>
          <w:i w:val="0"/>
          <w:sz w:val="24"/>
          <w:szCs w:val="24"/>
        </w:rPr>
        <w:t>Nuugwedha</w:t>
      </w:r>
      <w:proofErr w:type="spellEnd"/>
      <w:r w:rsidRPr="00BE2DCC">
        <w:rPr>
          <w:rFonts w:ascii="Arial" w:hAnsi="Arial" w:cs="Arial"/>
          <w:b w:val="0"/>
          <w:i w:val="0"/>
          <w:sz w:val="24"/>
          <w:szCs w:val="24"/>
        </w:rPr>
        <w:t xml:space="preserve"> for purposes of the Administration of Estates Act 66 of 1965</w:t>
      </w:r>
      <w:r w:rsidRPr="00372272">
        <w:rPr>
          <w:rFonts w:ascii="Arial" w:hAnsi="Arial" w:cs="Arial"/>
          <w:b w:val="0"/>
          <w:i w:val="0"/>
          <w:sz w:val="24"/>
          <w:szCs w:val="24"/>
        </w:rPr>
        <w:t>.</w:t>
      </w:r>
    </w:p>
    <w:p w:rsidR="00BE2DCC" w:rsidRPr="00372272" w:rsidRDefault="00BE2DCC" w:rsidP="00BE2DCC">
      <w:pPr>
        <w:pStyle w:val="Heading2"/>
        <w:tabs>
          <w:tab w:val="left" w:pos="540"/>
        </w:tabs>
        <w:spacing w:line="360" w:lineRule="auto"/>
        <w:jc w:val="both"/>
        <w:rPr>
          <w:rFonts w:ascii="Arial" w:hAnsi="Arial" w:cs="Arial"/>
          <w:b w:val="0"/>
          <w:i w:val="0"/>
          <w:sz w:val="24"/>
          <w:szCs w:val="24"/>
        </w:rPr>
      </w:pPr>
    </w:p>
    <w:p w:rsidR="00BE2DCC" w:rsidRDefault="00BE2DCC" w:rsidP="00BE2DCC">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3</w:t>
      </w:r>
      <w:r>
        <w:rPr>
          <w:rFonts w:ascii="Arial" w:hAnsi="Arial" w:cs="Arial"/>
          <w:sz w:val="24"/>
          <w:szCs w:val="24"/>
          <w:lang w:eastAsia="en-GB"/>
        </w:rPr>
        <w:tab/>
        <w:t xml:space="preserve">The </w:t>
      </w:r>
      <w:r w:rsidRPr="00E91391">
        <w:rPr>
          <w:rFonts w:ascii="Arial" w:hAnsi="Arial" w:cs="Arial"/>
          <w:sz w:val="24"/>
          <w:szCs w:val="24"/>
          <w:lang w:eastAsia="en-GB"/>
        </w:rPr>
        <w:t xml:space="preserve">Chief Registrar must provide a copy of this judgment for the personal attention of the </w:t>
      </w:r>
      <w:r>
        <w:rPr>
          <w:rFonts w:ascii="Arial" w:hAnsi="Arial" w:cs="Arial"/>
          <w:sz w:val="24"/>
          <w:szCs w:val="24"/>
          <w:lang w:eastAsia="en-GB"/>
        </w:rPr>
        <w:t xml:space="preserve">Chairperson </w:t>
      </w:r>
      <w:r w:rsidR="004B07B7" w:rsidRPr="004B07B7">
        <w:rPr>
          <w:rFonts w:ascii="Arial" w:hAnsi="Arial" w:cs="Arial"/>
          <w:sz w:val="24"/>
          <w:szCs w:val="24"/>
          <w:lang w:eastAsia="en-GB"/>
        </w:rPr>
        <w:t>of</w:t>
      </w:r>
      <w:r w:rsidR="004B07B7">
        <w:rPr>
          <w:rFonts w:ascii="Arial" w:hAnsi="Arial" w:cs="Arial"/>
          <w:sz w:val="24"/>
          <w:szCs w:val="24"/>
          <w:lang w:eastAsia="en-GB"/>
        </w:rPr>
        <w:t xml:space="preserve"> </w:t>
      </w:r>
      <w:r>
        <w:rPr>
          <w:rFonts w:ascii="Arial" w:hAnsi="Arial" w:cs="Arial"/>
          <w:sz w:val="24"/>
          <w:szCs w:val="24"/>
          <w:lang w:eastAsia="en-GB"/>
        </w:rPr>
        <w:t>Law Reform and Development Commission for her to investigate the issues raised in this judgment.</w:t>
      </w:r>
    </w:p>
    <w:p w:rsidR="00BE2DCC" w:rsidRDefault="00BE2DCC" w:rsidP="00BE2DCC">
      <w:pPr>
        <w:autoSpaceDE w:val="0"/>
        <w:autoSpaceDN w:val="0"/>
        <w:adjustRightInd w:val="0"/>
        <w:spacing w:after="0" w:line="360" w:lineRule="auto"/>
        <w:jc w:val="both"/>
        <w:rPr>
          <w:rFonts w:ascii="Arial" w:hAnsi="Arial" w:cs="Arial"/>
          <w:sz w:val="24"/>
          <w:szCs w:val="24"/>
          <w:lang w:eastAsia="en-GB"/>
        </w:rPr>
      </w:pPr>
    </w:p>
    <w:p w:rsidR="00BE2DCC" w:rsidRDefault="00BE2DCC" w:rsidP="00BE2DCC">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4</w:t>
      </w:r>
      <w:r>
        <w:rPr>
          <w:rFonts w:ascii="Arial" w:hAnsi="Arial" w:cs="Arial"/>
          <w:sz w:val="24"/>
          <w:szCs w:val="24"/>
          <w:lang w:eastAsia="en-GB"/>
        </w:rPr>
        <w:tab/>
      </w:r>
      <w:r w:rsidR="003D054B">
        <w:rPr>
          <w:rFonts w:ascii="Arial" w:hAnsi="Arial" w:cs="Arial"/>
          <w:sz w:val="24"/>
          <w:szCs w:val="24"/>
          <w:lang w:eastAsia="en-GB"/>
        </w:rPr>
        <w:t>Each party must pay its own costs</w:t>
      </w:r>
      <w:r>
        <w:rPr>
          <w:rFonts w:ascii="Arial" w:hAnsi="Arial" w:cs="Arial"/>
          <w:sz w:val="24"/>
          <w:szCs w:val="24"/>
          <w:lang w:eastAsia="en-GB"/>
        </w:rPr>
        <w:t>.</w:t>
      </w:r>
    </w:p>
    <w:p w:rsidR="003F0439" w:rsidRDefault="003F0439" w:rsidP="00216680">
      <w:pPr>
        <w:spacing w:after="0" w:line="360" w:lineRule="auto"/>
        <w:ind w:left="720"/>
        <w:jc w:val="both"/>
        <w:rPr>
          <w:rFonts w:ascii="Arial" w:hAnsi="Arial" w:cs="Arial"/>
          <w:bCs/>
          <w:sz w:val="24"/>
          <w:szCs w:val="24"/>
        </w:rPr>
      </w:pPr>
    </w:p>
    <w:p w:rsidR="003D054B" w:rsidRDefault="003D054B">
      <w:pPr>
        <w:spacing w:after="0" w:line="240" w:lineRule="auto"/>
        <w:rPr>
          <w:rFonts w:ascii="Arial" w:hAnsi="Arial" w:cs="Arial"/>
          <w:bCs/>
          <w:sz w:val="24"/>
          <w:szCs w:val="24"/>
        </w:rPr>
      </w:pPr>
      <w:r>
        <w:rPr>
          <w:rFonts w:ascii="Arial" w:hAnsi="Arial" w:cs="Arial"/>
          <w:bCs/>
          <w:sz w:val="24"/>
          <w:szCs w:val="24"/>
        </w:rPr>
        <w:br w:type="page"/>
      </w:r>
    </w:p>
    <w:p w:rsidR="001B7E1F" w:rsidRPr="006E026B" w:rsidRDefault="00F756A4" w:rsidP="00216680">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1B7E1F" w:rsidRPr="006E026B" w:rsidRDefault="001B7E1F" w:rsidP="00216680">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3134F9" w:rsidRDefault="00F756A4" w:rsidP="003134F9">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6F0DB7" w:rsidP="00216680">
      <w:pPr>
        <w:spacing w:after="0" w:line="360" w:lineRule="auto"/>
        <w:ind w:left="1440" w:hanging="1440"/>
        <w:jc w:val="both"/>
        <w:rPr>
          <w:rFonts w:ascii="Arial" w:hAnsi="Arial" w:cs="Arial"/>
          <w:b/>
          <w:i/>
          <w:sz w:val="24"/>
          <w:szCs w:val="24"/>
        </w:rPr>
      </w:pPr>
      <w:r w:rsidRPr="00454C1D">
        <w:rPr>
          <w:rFonts w:ascii="Arial" w:hAnsi="Arial" w:cs="Arial"/>
          <w:sz w:val="24"/>
          <w:szCs w:val="24"/>
        </w:rPr>
        <w:t xml:space="preserve">UEITELE </w:t>
      </w:r>
      <w:r w:rsidR="00261313" w:rsidRPr="00454C1D">
        <w:rPr>
          <w:rFonts w:ascii="Arial" w:hAnsi="Arial" w:cs="Arial"/>
          <w:sz w:val="24"/>
          <w:szCs w:val="24"/>
        </w:rPr>
        <w:t>J</w:t>
      </w:r>
      <w:r w:rsidR="001B7E1F" w:rsidRPr="006E026B">
        <w:rPr>
          <w:rFonts w:ascii="Arial" w:hAnsi="Arial" w:cs="Arial"/>
          <w:sz w:val="24"/>
          <w:szCs w:val="24"/>
        </w:rPr>
        <w:t>:</w:t>
      </w:r>
    </w:p>
    <w:p w:rsidR="001B7E1F" w:rsidRDefault="001B7E1F" w:rsidP="00216680">
      <w:pPr>
        <w:spacing w:after="0" w:line="360" w:lineRule="auto"/>
        <w:rPr>
          <w:rFonts w:ascii="Arial" w:hAnsi="Arial" w:cs="Arial"/>
          <w:sz w:val="24"/>
          <w:szCs w:val="24"/>
        </w:rPr>
      </w:pPr>
    </w:p>
    <w:p w:rsidR="00EC68DB" w:rsidRPr="00EC68DB" w:rsidRDefault="00EC68DB" w:rsidP="00216680">
      <w:pPr>
        <w:spacing w:after="0" w:line="360" w:lineRule="auto"/>
        <w:rPr>
          <w:rFonts w:ascii="Arial" w:hAnsi="Arial" w:cs="Arial"/>
          <w:sz w:val="24"/>
          <w:szCs w:val="24"/>
          <w:u w:val="single"/>
        </w:rPr>
      </w:pPr>
      <w:r w:rsidRPr="00EC68DB">
        <w:rPr>
          <w:rFonts w:ascii="Arial" w:hAnsi="Arial" w:cs="Arial"/>
          <w:sz w:val="24"/>
          <w:szCs w:val="24"/>
          <w:u w:val="single"/>
        </w:rPr>
        <w:t xml:space="preserve">Introduction </w:t>
      </w:r>
    </w:p>
    <w:p w:rsidR="00EC68DB" w:rsidRDefault="00EC68DB" w:rsidP="00216680">
      <w:pPr>
        <w:spacing w:after="0" w:line="360" w:lineRule="auto"/>
        <w:ind w:right="119"/>
        <w:jc w:val="both"/>
        <w:rPr>
          <w:rFonts w:ascii="Arial" w:hAnsi="Arial" w:cs="Arial"/>
          <w:sz w:val="24"/>
          <w:szCs w:val="24"/>
        </w:rPr>
      </w:pPr>
    </w:p>
    <w:p w:rsidR="00EC68DB" w:rsidRDefault="001B7E1F" w:rsidP="00216680">
      <w:pPr>
        <w:spacing w:after="0" w:line="360" w:lineRule="auto"/>
        <w:ind w:right="119"/>
        <w:jc w:val="both"/>
        <w:rPr>
          <w:rFonts w:ascii="Arial" w:hAnsi="Arial" w:cs="Arial"/>
          <w:sz w:val="24"/>
          <w:szCs w:val="24"/>
        </w:rPr>
      </w:pPr>
      <w:r w:rsidRPr="006E026B">
        <w:rPr>
          <w:rFonts w:ascii="Arial" w:hAnsi="Arial" w:cs="Arial"/>
          <w:sz w:val="24"/>
          <w:szCs w:val="24"/>
        </w:rPr>
        <w:t>[1]</w:t>
      </w:r>
      <w:r w:rsidRPr="006E026B">
        <w:rPr>
          <w:rFonts w:ascii="Arial" w:hAnsi="Arial" w:cs="Arial"/>
          <w:sz w:val="24"/>
          <w:szCs w:val="24"/>
        </w:rPr>
        <w:tab/>
      </w:r>
      <w:r w:rsidR="000626EF">
        <w:rPr>
          <w:rFonts w:ascii="Arial" w:hAnsi="Arial" w:cs="Arial"/>
          <w:sz w:val="24"/>
          <w:szCs w:val="24"/>
        </w:rPr>
        <w:t xml:space="preserve">Lord </w:t>
      </w:r>
      <w:r w:rsidR="00EC68DB" w:rsidRPr="00EC68DB">
        <w:rPr>
          <w:rFonts w:ascii="Arial" w:hAnsi="Arial" w:cs="Arial"/>
          <w:sz w:val="24"/>
          <w:szCs w:val="24"/>
        </w:rPr>
        <w:t xml:space="preserve">Campbell LC </w:t>
      </w:r>
      <w:r w:rsidR="00EC68DB">
        <w:rPr>
          <w:rFonts w:ascii="Arial" w:hAnsi="Arial" w:cs="Arial"/>
          <w:sz w:val="24"/>
          <w:szCs w:val="24"/>
        </w:rPr>
        <w:t>is reported to have observed</w:t>
      </w:r>
      <w:r w:rsidR="003058E8">
        <w:rPr>
          <w:rFonts w:ascii="Arial" w:hAnsi="Arial" w:cs="Arial"/>
          <w:sz w:val="24"/>
          <w:szCs w:val="24"/>
        </w:rPr>
        <w:t xml:space="preserve">, in the matter of </w:t>
      </w:r>
      <w:proofErr w:type="spellStart"/>
      <w:r w:rsidR="003058E8" w:rsidRPr="00EC68DB">
        <w:rPr>
          <w:rFonts w:ascii="Arial" w:hAnsi="Arial" w:cs="Arial"/>
          <w:i/>
          <w:sz w:val="24"/>
          <w:szCs w:val="24"/>
        </w:rPr>
        <w:t>Hindmarsh</w:t>
      </w:r>
      <w:proofErr w:type="spellEnd"/>
      <w:r w:rsidR="003058E8" w:rsidRPr="00EC68DB">
        <w:rPr>
          <w:rFonts w:ascii="Arial" w:hAnsi="Arial" w:cs="Arial"/>
          <w:i/>
          <w:sz w:val="24"/>
          <w:szCs w:val="24"/>
        </w:rPr>
        <w:t xml:space="preserve"> v Charlton</w:t>
      </w:r>
      <w:r w:rsidR="003058E8">
        <w:rPr>
          <w:rStyle w:val="FootnoteReference"/>
          <w:rFonts w:ascii="Arial" w:hAnsi="Arial"/>
          <w:i/>
          <w:sz w:val="24"/>
          <w:szCs w:val="24"/>
        </w:rPr>
        <w:footnoteReference w:id="1"/>
      </w:r>
      <w:r w:rsidR="00B26519">
        <w:rPr>
          <w:rFonts w:ascii="Arial" w:hAnsi="Arial" w:cs="Arial"/>
          <w:sz w:val="24"/>
          <w:szCs w:val="24"/>
        </w:rPr>
        <w:t xml:space="preserve">, </w:t>
      </w:r>
      <w:r w:rsidR="003058E8">
        <w:rPr>
          <w:rFonts w:ascii="Arial" w:hAnsi="Arial" w:cs="Arial"/>
          <w:sz w:val="24"/>
          <w:szCs w:val="24"/>
        </w:rPr>
        <w:t>that</w:t>
      </w:r>
      <w:r w:rsidR="00EC68DB" w:rsidRPr="00EC68DB">
        <w:rPr>
          <w:rFonts w:ascii="Arial" w:hAnsi="Arial" w:cs="Arial"/>
          <w:sz w:val="24"/>
          <w:szCs w:val="24"/>
        </w:rPr>
        <w:t>:</w:t>
      </w:r>
    </w:p>
    <w:p w:rsidR="00EC68DB" w:rsidRDefault="00EC68DB" w:rsidP="00216680">
      <w:pPr>
        <w:spacing w:after="0" w:line="360" w:lineRule="auto"/>
        <w:ind w:right="119"/>
        <w:jc w:val="both"/>
        <w:rPr>
          <w:rFonts w:ascii="Arial" w:hAnsi="Arial" w:cs="Arial"/>
          <w:sz w:val="24"/>
          <w:szCs w:val="24"/>
        </w:rPr>
      </w:pPr>
    </w:p>
    <w:p w:rsidR="00EC68DB" w:rsidRPr="00EC68DB" w:rsidRDefault="00EC68DB" w:rsidP="00947444">
      <w:pPr>
        <w:spacing w:after="0" w:line="360" w:lineRule="auto"/>
        <w:ind w:right="119"/>
        <w:jc w:val="both"/>
        <w:rPr>
          <w:rFonts w:ascii="Arial" w:hAnsi="Arial" w:cs="Arial"/>
        </w:rPr>
      </w:pPr>
      <w:r w:rsidRPr="00EC68DB">
        <w:rPr>
          <w:rFonts w:ascii="Arial" w:hAnsi="Arial" w:cs="Arial"/>
        </w:rPr>
        <w:t>‘</w:t>
      </w:r>
      <w:r w:rsidR="000626EF" w:rsidRPr="00EC68DB">
        <w:rPr>
          <w:rFonts w:ascii="Arial" w:hAnsi="Arial" w:cs="Arial"/>
        </w:rPr>
        <w:t>My Lords, these are very distressing cases for Judges to determine. I may honestly say that we have a strong inclination in our minds to support the validity of the will in dispute, which the</w:t>
      </w:r>
      <w:r w:rsidR="003058E8">
        <w:rPr>
          <w:rFonts w:ascii="Arial" w:hAnsi="Arial" w:cs="Arial"/>
        </w:rPr>
        <w:t xml:space="preserve"> parties </w:t>
      </w:r>
      <w:r w:rsidR="003058E8" w:rsidRPr="003058E8">
        <w:rPr>
          <w:rFonts w:ascii="Arial" w:hAnsi="Arial" w:cs="Arial"/>
          <w:i/>
        </w:rPr>
        <w:t>bona fide</w:t>
      </w:r>
      <w:r w:rsidR="003058E8">
        <w:rPr>
          <w:rFonts w:ascii="Arial" w:hAnsi="Arial" w:cs="Arial"/>
        </w:rPr>
        <w:t xml:space="preserve"> made, as</w:t>
      </w:r>
      <w:r w:rsidR="000626EF" w:rsidRPr="00EC68DB">
        <w:rPr>
          <w:rFonts w:ascii="Arial" w:hAnsi="Arial" w:cs="Arial"/>
        </w:rPr>
        <w:t xml:space="preserve"> they believed, according to law, and where there is not the smallest suspicion in the circumstances of the case. But we must obey the directions of the Legislature, and we are not at liberty to introduce nice distinctions which may bring about g</w:t>
      </w:r>
      <w:r w:rsidR="003058E8">
        <w:rPr>
          <w:rFonts w:ascii="Arial" w:hAnsi="Arial" w:cs="Arial"/>
        </w:rPr>
        <w:t>reat uncertainty and confusion'</w:t>
      </w:r>
      <w:r w:rsidR="004B07B7">
        <w:rPr>
          <w:rFonts w:ascii="Arial" w:hAnsi="Arial" w:cs="Arial"/>
        </w:rPr>
        <w:t xml:space="preserve">. </w:t>
      </w:r>
    </w:p>
    <w:p w:rsidR="00EC68DB" w:rsidRDefault="00EC68DB" w:rsidP="003058E8">
      <w:pPr>
        <w:spacing w:after="0" w:line="360" w:lineRule="auto"/>
        <w:ind w:right="119"/>
        <w:jc w:val="both"/>
        <w:rPr>
          <w:rFonts w:ascii="Arial" w:eastAsia="Times New Roman" w:hAnsi="Arial" w:cs="Arial"/>
          <w:sz w:val="24"/>
          <w:szCs w:val="24"/>
          <w:lang w:val="en-GB"/>
        </w:rPr>
      </w:pPr>
    </w:p>
    <w:p w:rsidR="005F7459" w:rsidRDefault="003058E8" w:rsidP="0062093A">
      <w:pPr>
        <w:spacing w:after="0" w:line="360" w:lineRule="auto"/>
        <w:ind w:right="119" w:firstLine="720"/>
        <w:jc w:val="both"/>
        <w:rPr>
          <w:rFonts w:ascii="Arial" w:hAnsi="Arial" w:cs="Arial"/>
          <w:sz w:val="24"/>
          <w:szCs w:val="24"/>
          <w:lang w:val="en-ZA"/>
        </w:rPr>
      </w:pPr>
      <w:r w:rsidRPr="005F7459">
        <w:rPr>
          <w:rFonts w:ascii="Arial" w:eastAsia="Times New Roman" w:hAnsi="Arial" w:cs="Arial"/>
          <w:sz w:val="24"/>
          <w:szCs w:val="24"/>
          <w:lang w:val="en-GB"/>
        </w:rPr>
        <w:t>[2]</w:t>
      </w:r>
      <w:r w:rsidRPr="005F7459">
        <w:rPr>
          <w:rFonts w:ascii="Arial" w:eastAsia="Times New Roman" w:hAnsi="Arial" w:cs="Arial"/>
          <w:sz w:val="24"/>
          <w:szCs w:val="24"/>
          <w:lang w:val="en-GB"/>
        </w:rPr>
        <w:tab/>
      </w:r>
      <w:r w:rsidRPr="00C11C91">
        <w:rPr>
          <w:rFonts w:ascii="Arial" w:eastAsia="Times New Roman" w:hAnsi="Arial" w:cs="Arial"/>
          <w:sz w:val="24"/>
          <w:szCs w:val="24"/>
          <w:lang w:val="en-GB"/>
        </w:rPr>
        <w:t xml:space="preserve">This matter is one such </w:t>
      </w:r>
      <w:r w:rsidR="005F7459" w:rsidRPr="00C11C91">
        <w:rPr>
          <w:rFonts w:ascii="Arial" w:eastAsia="Times New Roman" w:hAnsi="Arial" w:cs="Arial"/>
          <w:sz w:val="24"/>
          <w:szCs w:val="24"/>
          <w:lang w:val="en-GB"/>
        </w:rPr>
        <w:t xml:space="preserve">distressing </w:t>
      </w:r>
      <w:r w:rsidR="00C11C91" w:rsidRPr="00C11C91">
        <w:rPr>
          <w:rFonts w:ascii="Arial" w:eastAsia="Times New Roman" w:hAnsi="Arial" w:cs="Arial"/>
          <w:sz w:val="24"/>
          <w:szCs w:val="24"/>
          <w:lang w:val="en-GB"/>
        </w:rPr>
        <w:t>case</w:t>
      </w:r>
      <w:r w:rsidRPr="00C11C91">
        <w:rPr>
          <w:rFonts w:ascii="Arial" w:eastAsia="Times New Roman" w:hAnsi="Arial" w:cs="Arial"/>
          <w:sz w:val="24"/>
          <w:szCs w:val="24"/>
          <w:lang w:val="en-GB"/>
        </w:rPr>
        <w:t xml:space="preserve"> where</w:t>
      </w:r>
      <w:r w:rsidR="00C11C91">
        <w:rPr>
          <w:rFonts w:ascii="Arial" w:eastAsia="Times New Roman" w:hAnsi="Arial" w:cs="Arial"/>
          <w:sz w:val="24"/>
          <w:szCs w:val="24"/>
          <w:lang w:val="en-GB"/>
        </w:rPr>
        <w:t>,</w:t>
      </w:r>
      <w:r w:rsidRPr="00C11C91">
        <w:rPr>
          <w:rFonts w:ascii="Arial" w:eastAsia="Times New Roman" w:hAnsi="Arial" w:cs="Arial"/>
          <w:sz w:val="24"/>
          <w:szCs w:val="24"/>
          <w:lang w:val="en-GB"/>
        </w:rPr>
        <w:t xml:space="preserve"> </w:t>
      </w:r>
      <w:r w:rsidR="00C11C91" w:rsidRPr="00C11C91">
        <w:rPr>
          <w:rFonts w:ascii="Arial" w:eastAsia="Times New Roman" w:hAnsi="Arial" w:cs="Arial"/>
          <w:sz w:val="24"/>
          <w:szCs w:val="24"/>
          <w:lang w:val="en-GB"/>
        </w:rPr>
        <w:t>on the facts before</w:t>
      </w:r>
      <w:r w:rsidR="00947444">
        <w:rPr>
          <w:rFonts w:ascii="Arial" w:eastAsia="Times New Roman" w:hAnsi="Arial" w:cs="Arial"/>
          <w:sz w:val="24"/>
          <w:szCs w:val="24"/>
          <w:lang w:val="en-GB"/>
        </w:rPr>
        <w:t xml:space="preserve"> me</w:t>
      </w:r>
      <w:r w:rsidR="00C11C91">
        <w:rPr>
          <w:rFonts w:ascii="Arial" w:eastAsia="Times New Roman" w:hAnsi="Arial" w:cs="Arial"/>
          <w:sz w:val="24"/>
          <w:szCs w:val="24"/>
          <w:lang w:val="en-GB"/>
        </w:rPr>
        <w:t>,</w:t>
      </w:r>
      <w:r w:rsidR="00C11C91" w:rsidRPr="00C11C91">
        <w:rPr>
          <w:rFonts w:ascii="Arial" w:eastAsia="Times New Roman" w:hAnsi="Arial" w:cs="Arial"/>
          <w:sz w:val="24"/>
          <w:szCs w:val="24"/>
          <w:lang w:val="en-GB"/>
        </w:rPr>
        <w:t xml:space="preserve"> </w:t>
      </w:r>
      <w:r w:rsidR="00C11C91" w:rsidRPr="00C11C91">
        <w:rPr>
          <w:rFonts w:ascii="Arial" w:hAnsi="Arial" w:cs="Arial"/>
          <w:sz w:val="24"/>
          <w:szCs w:val="24"/>
        </w:rPr>
        <w:t xml:space="preserve">I </w:t>
      </w:r>
      <w:r w:rsidR="00C11C91">
        <w:rPr>
          <w:rFonts w:ascii="Arial" w:hAnsi="Arial" w:cs="Arial"/>
          <w:sz w:val="24"/>
          <w:szCs w:val="24"/>
        </w:rPr>
        <w:t>can</w:t>
      </w:r>
      <w:r w:rsidR="00C11C91" w:rsidRPr="00C11C91">
        <w:rPr>
          <w:rFonts w:ascii="Arial" w:hAnsi="Arial" w:cs="Arial"/>
          <w:sz w:val="24"/>
          <w:szCs w:val="24"/>
        </w:rPr>
        <w:t xml:space="preserve"> honestly say that </w:t>
      </w:r>
      <w:r w:rsidR="00C11C91">
        <w:rPr>
          <w:rFonts w:ascii="Arial" w:hAnsi="Arial" w:cs="Arial"/>
          <w:sz w:val="24"/>
          <w:szCs w:val="24"/>
        </w:rPr>
        <w:t>I</w:t>
      </w:r>
      <w:r w:rsidR="00C11C91" w:rsidRPr="00C11C91">
        <w:rPr>
          <w:rFonts w:ascii="Arial" w:hAnsi="Arial" w:cs="Arial"/>
          <w:sz w:val="24"/>
          <w:szCs w:val="24"/>
        </w:rPr>
        <w:t xml:space="preserve"> have a strong inclination in </w:t>
      </w:r>
      <w:r w:rsidR="00C11C91">
        <w:rPr>
          <w:rFonts w:ascii="Arial" w:hAnsi="Arial" w:cs="Arial"/>
          <w:sz w:val="24"/>
          <w:szCs w:val="24"/>
        </w:rPr>
        <w:t>my</w:t>
      </w:r>
      <w:r w:rsidR="00947444">
        <w:rPr>
          <w:rFonts w:ascii="Arial" w:hAnsi="Arial" w:cs="Arial"/>
          <w:sz w:val="24"/>
          <w:szCs w:val="24"/>
        </w:rPr>
        <w:t xml:space="preserve"> mind</w:t>
      </w:r>
      <w:r w:rsidR="00C11C91" w:rsidRPr="00C11C91">
        <w:rPr>
          <w:rFonts w:ascii="Arial" w:hAnsi="Arial" w:cs="Arial"/>
          <w:sz w:val="24"/>
          <w:szCs w:val="24"/>
        </w:rPr>
        <w:t xml:space="preserve"> to support the validity of the will in dispute, which the </w:t>
      </w:r>
      <w:r w:rsidR="00C11C91">
        <w:rPr>
          <w:rFonts w:ascii="Arial" w:hAnsi="Arial" w:cs="Arial"/>
          <w:sz w:val="24"/>
          <w:szCs w:val="24"/>
        </w:rPr>
        <w:t xml:space="preserve">late </w:t>
      </w:r>
      <w:r w:rsidR="00231834" w:rsidRPr="00C11C91">
        <w:rPr>
          <w:rFonts w:ascii="Arial" w:hAnsi="Arial" w:cs="Arial"/>
          <w:sz w:val="24"/>
          <w:szCs w:val="24"/>
          <w:lang w:val="en-ZA"/>
        </w:rPr>
        <w:t xml:space="preserve">Linea </w:t>
      </w:r>
      <w:proofErr w:type="spellStart"/>
      <w:r w:rsidR="00231834" w:rsidRPr="00C11C91">
        <w:rPr>
          <w:rFonts w:ascii="Arial" w:hAnsi="Arial" w:cs="Arial"/>
          <w:sz w:val="24"/>
          <w:szCs w:val="24"/>
          <w:lang w:val="en-ZA"/>
        </w:rPr>
        <w:t>Peneyambeko</w:t>
      </w:r>
      <w:proofErr w:type="spellEnd"/>
      <w:r w:rsidR="00231834" w:rsidRPr="00C11C91">
        <w:rPr>
          <w:rFonts w:ascii="Arial" w:hAnsi="Arial" w:cs="Arial"/>
          <w:sz w:val="24"/>
          <w:szCs w:val="24"/>
          <w:lang w:val="en-ZA"/>
        </w:rPr>
        <w:t xml:space="preserve"> </w:t>
      </w:r>
      <w:proofErr w:type="spellStart"/>
      <w:r w:rsidR="00231834" w:rsidRPr="00C11C91">
        <w:rPr>
          <w:rFonts w:ascii="Arial" w:hAnsi="Arial" w:cs="Arial"/>
          <w:sz w:val="24"/>
          <w:szCs w:val="24"/>
          <w:lang w:val="en-ZA"/>
        </w:rPr>
        <w:t>Kandalindishiwo</w:t>
      </w:r>
      <w:proofErr w:type="spellEnd"/>
      <w:r w:rsidR="00231834" w:rsidRPr="00C11C91">
        <w:rPr>
          <w:rFonts w:ascii="Arial" w:hAnsi="Arial" w:cs="Arial"/>
          <w:sz w:val="24"/>
          <w:szCs w:val="24"/>
          <w:lang w:val="en-ZA"/>
        </w:rPr>
        <w:t xml:space="preserve"> </w:t>
      </w:r>
      <w:proofErr w:type="spellStart"/>
      <w:r w:rsidR="00C11C91">
        <w:rPr>
          <w:rFonts w:ascii="Arial" w:hAnsi="Arial" w:cs="Arial"/>
          <w:sz w:val="24"/>
          <w:szCs w:val="24"/>
        </w:rPr>
        <w:t>Nuugwedha</w:t>
      </w:r>
      <w:proofErr w:type="spellEnd"/>
      <w:r w:rsidR="00C11C91" w:rsidRPr="00C11C91">
        <w:rPr>
          <w:rFonts w:ascii="Arial" w:hAnsi="Arial" w:cs="Arial"/>
          <w:sz w:val="24"/>
          <w:szCs w:val="24"/>
        </w:rPr>
        <w:t xml:space="preserve"> </w:t>
      </w:r>
      <w:r w:rsidR="00C11C91" w:rsidRPr="00C11C91">
        <w:rPr>
          <w:rFonts w:ascii="Arial" w:hAnsi="Arial" w:cs="Arial"/>
          <w:i/>
          <w:sz w:val="24"/>
          <w:szCs w:val="24"/>
        </w:rPr>
        <w:t>bona fide</w:t>
      </w:r>
      <w:r w:rsidR="00C11C91" w:rsidRPr="00C11C91">
        <w:rPr>
          <w:rFonts w:ascii="Arial" w:hAnsi="Arial" w:cs="Arial"/>
          <w:sz w:val="24"/>
          <w:szCs w:val="24"/>
        </w:rPr>
        <w:t xml:space="preserve"> made, as </w:t>
      </w:r>
      <w:r w:rsidR="00C11C91">
        <w:rPr>
          <w:rFonts w:ascii="Arial" w:hAnsi="Arial" w:cs="Arial"/>
          <w:sz w:val="24"/>
          <w:szCs w:val="24"/>
        </w:rPr>
        <w:t>she</w:t>
      </w:r>
      <w:r w:rsidR="00C11C91" w:rsidRPr="00C11C91">
        <w:rPr>
          <w:rFonts w:ascii="Arial" w:hAnsi="Arial" w:cs="Arial"/>
          <w:sz w:val="24"/>
          <w:szCs w:val="24"/>
        </w:rPr>
        <w:t xml:space="preserve"> believed, according to law, and there is not the smallest suspicion in the circumstances of th</w:t>
      </w:r>
      <w:r w:rsidR="00231834">
        <w:rPr>
          <w:rFonts w:ascii="Arial" w:hAnsi="Arial" w:cs="Arial"/>
          <w:sz w:val="24"/>
          <w:szCs w:val="24"/>
        </w:rPr>
        <w:t>is</w:t>
      </w:r>
      <w:r w:rsidR="00C11C91" w:rsidRPr="00C11C91">
        <w:rPr>
          <w:rFonts w:ascii="Arial" w:hAnsi="Arial" w:cs="Arial"/>
          <w:sz w:val="24"/>
          <w:szCs w:val="24"/>
        </w:rPr>
        <w:t xml:space="preserve"> case</w:t>
      </w:r>
      <w:r w:rsidR="00C11C91">
        <w:rPr>
          <w:rFonts w:ascii="Arial" w:hAnsi="Arial" w:cs="Arial"/>
          <w:sz w:val="24"/>
          <w:szCs w:val="24"/>
        </w:rPr>
        <w:t xml:space="preserve"> that any fraud is involved. Yet </w:t>
      </w:r>
      <w:r w:rsidRPr="00C11C91">
        <w:rPr>
          <w:rFonts w:ascii="Arial" w:eastAsia="Times New Roman" w:hAnsi="Arial" w:cs="Arial"/>
          <w:sz w:val="24"/>
          <w:szCs w:val="24"/>
          <w:lang w:val="en-GB"/>
        </w:rPr>
        <w:t>the Master of the High Court</w:t>
      </w:r>
      <w:r w:rsidR="005F7459" w:rsidRPr="00C11C91">
        <w:rPr>
          <w:rFonts w:ascii="Arial" w:eastAsia="Times New Roman" w:hAnsi="Arial" w:cs="Arial"/>
          <w:sz w:val="24"/>
          <w:szCs w:val="24"/>
          <w:lang w:val="en-GB"/>
        </w:rPr>
        <w:t>,</w:t>
      </w:r>
      <w:r w:rsidRPr="00C11C91">
        <w:rPr>
          <w:rFonts w:ascii="Arial" w:eastAsia="Times New Roman" w:hAnsi="Arial" w:cs="Arial"/>
          <w:sz w:val="24"/>
          <w:szCs w:val="24"/>
          <w:lang w:val="en-GB"/>
        </w:rPr>
        <w:t xml:space="preserve"> and I must add</w:t>
      </w:r>
      <w:r w:rsidR="00C11C91">
        <w:rPr>
          <w:rFonts w:ascii="Arial" w:eastAsia="Times New Roman" w:hAnsi="Arial" w:cs="Arial"/>
          <w:sz w:val="24"/>
          <w:szCs w:val="24"/>
          <w:lang w:val="en-GB"/>
        </w:rPr>
        <w:t>,</w:t>
      </w:r>
      <w:r w:rsidRPr="00C11C91">
        <w:rPr>
          <w:rFonts w:ascii="Arial" w:eastAsia="Times New Roman" w:hAnsi="Arial" w:cs="Arial"/>
          <w:sz w:val="24"/>
          <w:szCs w:val="24"/>
          <w:lang w:val="en-GB"/>
        </w:rPr>
        <w:t xml:space="preserve"> rightly</w:t>
      </w:r>
      <w:r w:rsidR="005F7459" w:rsidRPr="00C11C91">
        <w:rPr>
          <w:rFonts w:ascii="Arial" w:eastAsia="Times New Roman" w:hAnsi="Arial" w:cs="Arial"/>
          <w:sz w:val="24"/>
          <w:szCs w:val="24"/>
          <w:lang w:val="en-GB"/>
        </w:rPr>
        <w:t xml:space="preserve"> so</w:t>
      </w:r>
      <w:r w:rsidR="00C11C91">
        <w:rPr>
          <w:rFonts w:ascii="Arial" w:eastAsia="Times New Roman" w:hAnsi="Arial" w:cs="Arial"/>
          <w:sz w:val="24"/>
          <w:szCs w:val="24"/>
          <w:lang w:val="en-GB"/>
        </w:rPr>
        <w:t xml:space="preserve"> in the current state of the law</w:t>
      </w:r>
      <w:r w:rsidR="005F7459" w:rsidRPr="00C11C91">
        <w:rPr>
          <w:rFonts w:ascii="Arial" w:eastAsia="Times New Roman" w:hAnsi="Arial" w:cs="Arial"/>
          <w:sz w:val="24"/>
          <w:szCs w:val="24"/>
          <w:lang w:val="en-GB"/>
        </w:rPr>
        <w:t>,</w:t>
      </w:r>
      <w:r w:rsidRPr="00C11C91">
        <w:rPr>
          <w:rFonts w:ascii="Arial" w:eastAsia="Times New Roman" w:hAnsi="Arial" w:cs="Arial"/>
          <w:sz w:val="24"/>
          <w:szCs w:val="24"/>
          <w:lang w:val="en-GB"/>
        </w:rPr>
        <w:t xml:space="preserve"> </w:t>
      </w:r>
      <w:r w:rsidR="005F7459" w:rsidRPr="00C11C91">
        <w:rPr>
          <w:rFonts w:ascii="Arial" w:eastAsia="Times New Roman" w:hAnsi="Arial" w:cs="Arial"/>
          <w:sz w:val="24"/>
          <w:szCs w:val="24"/>
          <w:lang w:val="en-GB"/>
        </w:rPr>
        <w:t xml:space="preserve">rejected a document that purports to be the </w:t>
      </w:r>
      <w:r w:rsidR="0007573E" w:rsidRPr="00C11C91">
        <w:rPr>
          <w:rFonts w:ascii="Arial" w:eastAsia="Times New Roman" w:hAnsi="Arial" w:cs="Arial"/>
          <w:sz w:val="24"/>
          <w:szCs w:val="24"/>
          <w:lang w:val="en-GB"/>
        </w:rPr>
        <w:t>last Will and Testament</w:t>
      </w:r>
      <w:r w:rsidR="005F7459" w:rsidRPr="00C11C91">
        <w:rPr>
          <w:rFonts w:ascii="Arial" w:eastAsia="Times New Roman" w:hAnsi="Arial" w:cs="Arial"/>
          <w:sz w:val="24"/>
          <w:szCs w:val="24"/>
          <w:lang w:val="en-GB"/>
        </w:rPr>
        <w:t xml:space="preserve"> of the late </w:t>
      </w:r>
      <w:r w:rsidR="005F7459" w:rsidRPr="00C11C91">
        <w:rPr>
          <w:rFonts w:ascii="Arial" w:hAnsi="Arial" w:cs="Arial"/>
          <w:sz w:val="24"/>
          <w:szCs w:val="24"/>
          <w:lang w:val="en-ZA"/>
        </w:rPr>
        <w:t xml:space="preserve">Linea </w:t>
      </w:r>
      <w:proofErr w:type="spellStart"/>
      <w:r w:rsidR="005F7459" w:rsidRPr="00C11C91">
        <w:rPr>
          <w:rFonts w:ascii="Arial" w:hAnsi="Arial" w:cs="Arial"/>
          <w:sz w:val="24"/>
          <w:szCs w:val="24"/>
          <w:lang w:val="en-ZA"/>
        </w:rPr>
        <w:t>Peneyambeko</w:t>
      </w:r>
      <w:proofErr w:type="spellEnd"/>
      <w:r w:rsidR="005F7459" w:rsidRPr="00C11C91">
        <w:rPr>
          <w:rFonts w:ascii="Arial" w:hAnsi="Arial" w:cs="Arial"/>
          <w:sz w:val="24"/>
          <w:szCs w:val="24"/>
          <w:lang w:val="en-ZA"/>
        </w:rPr>
        <w:t xml:space="preserve"> </w:t>
      </w:r>
      <w:proofErr w:type="spellStart"/>
      <w:r w:rsidR="005F7459" w:rsidRPr="00C11C91">
        <w:rPr>
          <w:rFonts w:ascii="Arial" w:hAnsi="Arial" w:cs="Arial"/>
          <w:sz w:val="24"/>
          <w:szCs w:val="24"/>
          <w:lang w:val="en-ZA"/>
        </w:rPr>
        <w:t>Kandalindishiwo</w:t>
      </w:r>
      <w:proofErr w:type="spellEnd"/>
      <w:r w:rsidR="005F7459" w:rsidRPr="00C11C91">
        <w:rPr>
          <w:rFonts w:ascii="Arial" w:hAnsi="Arial" w:cs="Arial"/>
          <w:sz w:val="24"/>
          <w:szCs w:val="24"/>
          <w:lang w:val="en-ZA"/>
        </w:rPr>
        <w:t xml:space="preserve"> </w:t>
      </w:r>
      <w:proofErr w:type="spellStart"/>
      <w:r w:rsidR="005F7459" w:rsidRPr="00C11C91">
        <w:rPr>
          <w:rFonts w:ascii="Arial" w:hAnsi="Arial" w:cs="Arial"/>
          <w:sz w:val="24"/>
          <w:szCs w:val="24"/>
          <w:lang w:val="en-ZA"/>
        </w:rPr>
        <w:t>Nuugwedha</w:t>
      </w:r>
      <w:proofErr w:type="spellEnd"/>
      <w:r w:rsidR="00231834">
        <w:rPr>
          <w:rFonts w:ascii="Arial" w:hAnsi="Arial" w:cs="Arial"/>
          <w:sz w:val="24"/>
          <w:szCs w:val="24"/>
          <w:lang w:val="en-ZA"/>
        </w:rPr>
        <w:t xml:space="preserve"> and she (the Master) implores me to confirm the invalidity of the Will.</w:t>
      </w:r>
    </w:p>
    <w:p w:rsidR="0007573E" w:rsidRDefault="0007573E" w:rsidP="003058E8">
      <w:pPr>
        <w:spacing w:after="0" w:line="360" w:lineRule="auto"/>
        <w:ind w:right="119"/>
        <w:jc w:val="both"/>
        <w:rPr>
          <w:rFonts w:ascii="Arial" w:hAnsi="Arial" w:cs="Arial"/>
          <w:sz w:val="24"/>
          <w:szCs w:val="24"/>
          <w:lang w:val="en-ZA"/>
        </w:rPr>
      </w:pPr>
    </w:p>
    <w:p w:rsidR="0007573E" w:rsidRDefault="0007573E" w:rsidP="003058E8">
      <w:pPr>
        <w:spacing w:after="0" w:line="360" w:lineRule="auto"/>
        <w:ind w:right="119"/>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Pr>
          <w:rFonts w:ascii="Arial" w:eastAsia="Times New Roman" w:hAnsi="Arial"/>
          <w:spacing w:val="-3"/>
          <w:sz w:val="24"/>
          <w:szCs w:val="20"/>
          <w:lang w:val="en-GB"/>
        </w:rPr>
        <w:t>The two applicants</w:t>
      </w:r>
      <w:r w:rsidRPr="00777E01">
        <w:rPr>
          <w:rFonts w:ascii="Arial" w:eastAsia="Times New Roman" w:hAnsi="Arial"/>
          <w:spacing w:val="-3"/>
          <w:sz w:val="24"/>
          <w:szCs w:val="20"/>
          <w:lang w:val="en-GB"/>
        </w:rPr>
        <w:t xml:space="preserve"> </w:t>
      </w:r>
      <w:r>
        <w:rPr>
          <w:rFonts w:ascii="Arial" w:eastAsia="Times New Roman" w:hAnsi="Arial"/>
          <w:spacing w:val="-3"/>
          <w:sz w:val="24"/>
          <w:szCs w:val="20"/>
          <w:lang w:val="en-GB"/>
        </w:rPr>
        <w:t xml:space="preserve">in this matter </w:t>
      </w:r>
      <w:r w:rsidRPr="00777E01">
        <w:rPr>
          <w:rFonts w:ascii="Arial" w:eastAsia="Times New Roman" w:hAnsi="Arial"/>
          <w:spacing w:val="-3"/>
          <w:sz w:val="24"/>
          <w:szCs w:val="20"/>
          <w:lang w:val="en-GB"/>
        </w:rPr>
        <w:t xml:space="preserve">are the only </w:t>
      </w:r>
      <w:r>
        <w:rPr>
          <w:rFonts w:ascii="Arial" w:eastAsia="Times New Roman" w:hAnsi="Arial"/>
          <w:spacing w:val="-3"/>
          <w:sz w:val="24"/>
          <w:szCs w:val="20"/>
          <w:lang w:val="en-GB"/>
        </w:rPr>
        <w:t xml:space="preserve">biological children and </w:t>
      </w:r>
      <w:r w:rsidRPr="00777E01">
        <w:rPr>
          <w:rFonts w:ascii="Arial" w:eastAsia="Times New Roman" w:hAnsi="Arial"/>
          <w:spacing w:val="-3"/>
          <w:sz w:val="24"/>
          <w:szCs w:val="20"/>
          <w:lang w:val="en-GB"/>
        </w:rPr>
        <w:t xml:space="preserve">living heirs </w:t>
      </w:r>
      <w:r>
        <w:rPr>
          <w:rFonts w:ascii="Arial" w:eastAsia="Times New Roman" w:hAnsi="Arial"/>
          <w:spacing w:val="-3"/>
          <w:sz w:val="24"/>
          <w:szCs w:val="20"/>
          <w:lang w:val="en-GB"/>
        </w:rPr>
        <w:t xml:space="preserve">of the late </w:t>
      </w:r>
      <w:proofErr w:type="spellStart"/>
      <w:r>
        <w:rPr>
          <w:rFonts w:ascii="Arial" w:eastAsia="Times New Roman" w:hAnsi="Arial"/>
          <w:spacing w:val="-3"/>
          <w:sz w:val="24"/>
          <w:szCs w:val="20"/>
          <w:lang w:val="en-GB"/>
        </w:rPr>
        <w:t>Nuugwedha</w:t>
      </w:r>
      <w:proofErr w:type="spellEnd"/>
      <w:r w:rsidRPr="00777E01">
        <w:rPr>
          <w:rFonts w:ascii="Arial" w:eastAsia="Times New Roman" w:hAnsi="Arial"/>
          <w:spacing w:val="-3"/>
          <w:sz w:val="24"/>
          <w:szCs w:val="20"/>
          <w:lang w:val="en-GB"/>
        </w:rPr>
        <w:t>.</w:t>
      </w:r>
      <w:r>
        <w:rPr>
          <w:rFonts w:ascii="Arial" w:eastAsia="Times New Roman" w:hAnsi="Arial"/>
          <w:spacing w:val="-3"/>
          <w:sz w:val="24"/>
          <w:szCs w:val="20"/>
          <w:lang w:val="en-GB"/>
        </w:rPr>
        <w:t xml:space="preserve"> The respondent is the </w:t>
      </w:r>
      <w:r w:rsidR="00BD6DC1">
        <w:rPr>
          <w:rFonts w:ascii="Arial" w:eastAsia="Times New Roman" w:hAnsi="Arial"/>
          <w:spacing w:val="-3"/>
          <w:sz w:val="24"/>
          <w:szCs w:val="20"/>
          <w:lang w:val="en-GB"/>
        </w:rPr>
        <w:t>master of the</w:t>
      </w:r>
      <w:r>
        <w:rPr>
          <w:rFonts w:ascii="Arial" w:eastAsia="Times New Roman" w:hAnsi="Arial"/>
          <w:spacing w:val="-3"/>
          <w:sz w:val="24"/>
          <w:szCs w:val="20"/>
          <w:lang w:val="en-GB"/>
        </w:rPr>
        <w:t xml:space="preserve"> High Court </w:t>
      </w:r>
      <w:r w:rsidR="00BD6DC1">
        <w:rPr>
          <w:rFonts w:ascii="Arial" w:eastAsia="Times New Roman" w:hAnsi="Arial"/>
          <w:spacing w:val="-3"/>
          <w:sz w:val="24"/>
          <w:szCs w:val="20"/>
          <w:lang w:val="en-GB"/>
        </w:rPr>
        <w:t>of Namibia</w:t>
      </w:r>
      <w:r>
        <w:rPr>
          <w:rFonts w:ascii="Arial" w:eastAsia="Times New Roman" w:hAnsi="Arial"/>
          <w:spacing w:val="-3"/>
          <w:sz w:val="24"/>
          <w:szCs w:val="20"/>
          <w:lang w:val="en-GB"/>
        </w:rPr>
        <w:t>.</w:t>
      </w:r>
      <w:r w:rsidR="00BD6DC1">
        <w:rPr>
          <w:rFonts w:ascii="Arial" w:eastAsia="Times New Roman" w:hAnsi="Arial"/>
          <w:spacing w:val="-3"/>
          <w:sz w:val="24"/>
          <w:szCs w:val="20"/>
          <w:lang w:val="en-GB"/>
        </w:rPr>
        <w:t xml:space="preserve"> (I will in this judgment refer to her as </w:t>
      </w:r>
      <w:r w:rsidR="004B07B7">
        <w:rPr>
          <w:rFonts w:ascii="Arial" w:eastAsia="Times New Roman" w:hAnsi="Arial"/>
          <w:spacing w:val="-3"/>
          <w:sz w:val="24"/>
          <w:szCs w:val="20"/>
          <w:lang w:val="en-GB"/>
        </w:rPr>
        <w:t>‘</w:t>
      </w:r>
      <w:r w:rsidR="00BD6DC1">
        <w:rPr>
          <w:rFonts w:ascii="Arial" w:eastAsia="Times New Roman" w:hAnsi="Arial"/>
          <w:spacing w:val="-3"/>
          <w:sz w:val="24"/>
          <w:szCs w:val="20"/>
          <w:lang w:val="en-GB"/>
        </w:rPr>
        <w:t>the Master</w:t>
      </w:r>
      <w:r w:rsidR="004B07B7">
        <w:rPr>
          <w:rFonts w:ascii="Arial" w:eastAsia="Times New Roman" w:hAnsi="Arial"/>
          <w:spacing w:val="-3"/>
          <w:sz w:val="24"/>
          <w:szCs w:val="20"/>
          <w:lang w:val="en-GB"/>
        </w:rPr>
        <w:t>’</w:t>
      </w:r>
      <w:r w:rsidR="00BD6DC1">
        <w:rPr>
          <w:rFonts w:ascii="Arial" w:eastAsia="Times New Roman" w:hAnsi="Arial"/>
          <w:spacing w:val="-3"/>
          <w:sz w:val="24"/>
          <w:szCs w:val="20"/>
          <w:lang w:val="en-GB"/>
        </w:rPr>
        <w:t xml:space="preserve">). </w:t>
      </w:r>
    </w:p>
    <w:p w:rsidR="00B31214" w:rsidRDefault="00B31214" w:rsidP="00216680">
      <w:pPr>
        <w:spacing w:after="0" w:line="360" w:lineRule="auto"/>
        <w:jc w:val="both"/>
        <w:rPr>
          <w:rFonts w:ascii="Arial" w:hAnsi="Arial" w:cs="Arial"/>
          <w:sz w:val="24"/>
          <w:szCs w:val="24"/>
          <w:lang w:val="en-GB"/>
        </w:rPr>
      </w:pPr>
    </w:p>
    <w:p w:rsidR="009035E4" w:rsidRDefault="009035E4" w:rsidP="00216680">
      <w:pPr>
        <w:spacing w:after="0" w:line="360" w:lineRule="auto"/>
        <w:jc w:val="both"/>
        <w:rPr>
          <w:rFonts w:ascii="Arial" w:hAnsi="Arial" w:cs="Arial"/>
          <w:sz w:val="24"/>
          <w:szCs w:val="24"/>
          <w:u w:val="single"/>
          <w:lang w:val="en-GB"/>
        </w:rPr>
      </w:pPr>
      <w:r w:rsidRPr="009035E4">
        <w:rPr>
          <w:rFonts w:ascii="Arial" w:hAnsi="Arial" w:cs="Arial"/>
          <w:sz w:val="24"/>
          <w:szCs w:val="24"/>
          <w:u w:val="single"/>
          <w:lang w:val="en-GB"/>
        </w:rPr>
        <w:t xml:space="preserve">Background events </w:t>
      </w:r>
    </w:p>
    <w:p w:rsidR="009035E4" w:rsidRPr="009035E4" w:rsidRDefault="009035E4" w:rsidP="00216680">
      <w:pPr>
        <w:spacing w:after="0" w:line="360" w:lineRule="auto"/>
        <w:jc w:val="both"/>
        <w:rPr>
          <w:rFonts w:ascii="Arial" w:hAnsi="Arial" w:cs="Arial"/>
          <w:sz w:val="24"/>
          <w:szCs w:val="24"/>
          <w:u w:val="single"/>
          <w:lang w:val="en-GB"/>
        </w:rPr>
      </w:pPr>
    </w:p>
    <w:p w:rsidR="00BA2100" w:rsidRDefault="00B31214" w:rsidP="00BA2100">
      <w:pPr>
        <w:widowControl w:val="0"/>
        <w:spacing w:after="0" w:line="360" w:lineRule="auto"/>
        <w:jc w:val="both"/>
        <w:outlineLvl w:val="1"/>
        <w:rPr>
          <w:rFonts w:ascii="Arial" w:eastAsia="Times New Roman" w:hAnsi="Arial"/>
          <w:spacing w:val="-3"/>
          <w:sz w:val="24"/>
          <w:szCs w:val="20"/>
          <w:lang w:val="en-GB"/>
        </w:rPr>
      </w:pPr>
      <w:r>
        <w:rPr>
          <w:rFonts w:ascii="Arial" w:hAnsi="Arial" w:cs="Arial"/>
          <w:sz w:val="24"/>
          <w:szCs w:val="24"/>
          <w:lang w:val="en-GB"/>
        </w:rPr>
        <w:t>[</w:t>
      </w:r>
      <w:r w:rsidR="0007573E">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The events preceding</w:t>
      </w:r>
      <w:r w:rsidR="00F410B6">
        <w:rPr>
          <w:rFonts w:ascii="Arial" w:hAnsi="Arial" w:cs="Arial"/>
          <w:b/>
          <w:sz w:val="24"/>
          <w:szCs w:val="24"/>
          <w:lang w:val="en-GB"/>
        </w:rPr>
        <w:t xml:space="preserve"> </w:t>
      </w:r>
      <w:r w:rsidR="00DA6F43">
        <w:rPr>
          <w:rFonts w:ascii="Arial" w:hAnsi="Arial" w:cs="Arial"/>
          <w:sz w:val="24"/>
          <w:szCs w:val="24"/>
          <w:lang w:val="en-GB"/>
        </w:rPr>
        <w:t xml:space="preserve">the signing of the will by the </w:t>
      </w:r>
      <w:r w:rsidR="00B26519">
        <w:rPr>
          <w:rFonts w:ascii="Arial" w:hAnsi="Arial" w:cs="Arial"/>
          <w:sz w:val="24"/>
          <w:szCs w:val="24"/>
          <w:lang w:val="en-GB"/>
        </w:rPr>
        <w:t>deceased</w:t>
      </w:r>
      <w:r w:rsidR="00DA6F43">
        <w:rPr>
          <w:rFonts w:ascii="Arial" w:hAnsi="Arial" w:cs="Arial"/>
          <w:sz w:val="24"/>
          <w:szCs w:val="24"/>
          <w:lang w:val="en-GB"/>
        </w:rPr>
        <w:t xml:space="preserve"> are undisputed</w:t>
      </w:r>
      <w:r w:rsidR="009035E4">
        <w:rPr>
          <w:rFonts w:ascii="Arial" w:hAnsi="Arial" w:cs="Arial"/>
          <w:sz w:val="24"/>
          <w:szCs w:val="24"/>
          <w:lang w:val="en-GB"/>
        </w:rPr>
        <w:t xml:space="preserve"> </w:t>
      </w:r>
      <w:r w:rsidR="009035E4">
        <w:rPr>
          <w:rFonts w:ascii="Arial" w:hAnsi="Arial" w:cs="Arial"/>
          <w:sz w:val="24"/>
          <w:szCs w:val="24"/>
          <w:lang w:val="en-GB"/>
        </w:rPr>
        <w:lastRenderedPageBreak/>
        <w:t>and those events are these:</w:t>
      </w:r>
      <w:r w:rsidR="00DA6F43">
        <w:rPr>
          <w:rFonts w:ascii="Arial" w:hAnsi="Arial" w:cs="Arial"/>
          <w:sz w:val="24"/>
          <w:szCs w:val="24"/>
          <w:lang w:val="en-GB"/>
        </w:rPr>
        <w:t xml:space="preserve"> </w:t>
      </w:r>
      <w:r w:rsidR="009035E4" w:rsidRPr="00777E01">
        <w:rPr>
          <w:rFonts w:ascii="Arial" w:eastAsia="Times New Roman" w:hAnsi="Arial"/>
          <w:spacing w:val="-3"/>
          <w:sz w:val="24"/>
          <w:szCs w:val="20"/>
          <w:lang w:val="en-GB"/>
        </w:rPr>
        <w:t xml:space="preserve">During 2016, </w:t>
      </w:r>
      <w:r w:rsidR="009035E4">
        <w:rPr>
          <w:rFonts w:ascii="Arial" w:eastAsia="Times New Roman" w:hAnsi="Arial"/>
          <w:spacing w:val="-3"/>
          <w:sz w:val="24"/>
          <w:szCs w:val="20"/>
          <w:lang w:val="en-GB"/>
        </w:rPr>
        <w:t>the</w:t>
      </w:r>
      <w:r w:rsidR="009035E4" w:rsidRPr="00777E01">
        <w:rPr>
          <w:rFonts w:ascii="Arial" w:eastAsia="Times New Roman" w:hAnsi="Arial"/>
          <w:spacing w:val="-3"/>
          <w:sz w:val="24"/>
          <w:szCs w:val="20"/>
          <w:lang w:val="en-GB"/>
        </w:rPr>
        <w:t xml:space="preserve"> </w:t>
      </w:r>
      <w:r w:rsidR="00A86413">
        <w:rPr>
          <w:rFonts w:ascii="Arial" w:eastAsia="Times New Roman" w:hAnsi="Arial"/>
          <w:spacing w:val="-3"/>
          <w:sz w:val="24"/>
          <w:szCs w:val="20"/>
          <w:lang w:val="en-GB"/>
        </w:rPr>
        <w:t xml:space="preserve">late </w:t>
      </w:r>
      <w:r w:rsidR="009035E4">
        <w:rPr>
          <w:rFonts w:ascii="Arial" w:eastAsia="Times New Roman" w:hAnsi="Arial"/>
          <w:spacing w:val="-3"/>
          <w:sz w:val="24"/>
          <w:szCs w:val="20"/>
          <w:lang w:val="en-GB"/>
        </w:rPr>
        <w:t xml:space="preserve">Linea </w:t>
      </w:r>
      <w:proofErr w:type="spellStart"/>
      <w:r w:rsidR="009035E4">
        <w:rPr>
          <w:rFonts w:ascii="Arial" w:eastAsia="Times New Roman" w:hAnsi="Arial"/>
          <w:spacing w:val="-3"/>
          <w:sz w:val="24"/>
          <w:szCs w:val="20"/>
          <w:lang w:val="en-GB"/>
        </w:rPr>
        <w:t>Peneyambeko</w:t>
      </w:r>
      <w:proofErr w:type="spellEnd"/>
      <w:r w:rsidR="009035E4">
        <w:rPr>
          <w:rFonts w:ascii="Arial" w:eastAsia="Times New Roman" w:hAnsi="Arial"/>
          <w:spacing w:val="-3"/>
          <w:sz w:val="24"/>
          <w:szCs w:val="20"/>
          <w:lang w:val="en-GB"/>
        </w:rPr>
        <w:t xml:space="preserve"> </w:t>
      </w:r>
      <w:proofErr w:type="spellStart"/>
      <w:r w:rsidR="009035E4">
        <w:rPr>
          <w:rFonts w:ascii="Arial" w:eastAsia="Times New Roman" w:hAnsi="Arial"/>
          <w:spacing w:val="-3"/>
          <w:sz w:val="24"/>
          <w:szCs w:val="20"/>
          <w:lang w:val="en-GB"/>
        </w:rPr>
        <w:t>Kandalindishiwo</w:t>
      </w:r>
      <w:proofErr w:type="spellEnd"/>
      <w:r w:rsidR="009035E4">
        <w:rPr>
          <w:rFonts w:ascii="Arial" w:eastAsia="Times New Roman" w:hAnsi="Arial"/>
          <w:spacing w:val="-3"/>
          <w:sz w:val="24"/>
          <w:szCs w:val="20"/>
          <w:lang w:val="en-GB"/>
        </w:rPr>
        <w:t xml:space="preserve"> </w:t>
      </w:r>
      <w:proofErr w:type="spellStart"/>
      <w:r w:rsidR="009035E4">
        <w:rPr>
          <w:rFonts w:ascii="Arial" w:eastAsia="Times New Roman" w:hAnsi="Arial"/>
          <w:spacing w:val="-3"/>
          <w:sz w:val="24"/>
          <w:szCs w:val="20"/>
          <w:lang w:val="en-GB"/>
        </w:rPr>
        <w:t>Nuugwedha</w:t>
      </w:r>
      <w:proofErr w:type="spellEnd"/>
      <w:r w:rsidR="009035E4">
        <w:rPr>
          <w:rFonts w:ascii="Arial" w:eastAsia="Times New Roman" w:hAnsi="Arial"/>
          <w:spacing w:val="-3"/>
          <w:sz w:val="24"/>
          <w:szCs w:val="20"/>
          <w:lang w:val="en-GB"/>
        </w:rPr>
        <w:t xml:space="preserve">, (I will, in this judgment, refer to her as the </w:t>
      </w:r>
      <w:r w:rsidR="004B07B7">
        <w:rPr>
          <w:rFonts w:ascii="Arial" w:eastAsia="Times New Roman" w:hAnsi="Arial"/>
          <w:spacing w:val="-3"/>
          <w:sz w:val="24"/>
          <w:szCs w:val="20"/>
          <w:lang w:val="en-GB"/>
        </w:rPr>
        <w:t>‘</w:t>
      </w:r>
      <w:r w:rsidR="009035E4">
        <w:rPr>
          <w:rFonts w:ascii="Arial" w:eastAsia="Times New Roman" w:hAnsi="Arial"/>
          <w:spacing w:val="-3"/>
          <w:sz w:val="24"/>
          <w:szCs w:val="20"/>
          <w:lang w:val="en-GB"/>
        </w:rPr>
        <w:t xml:space="preserve">late </w:t>
      </w:r>
      <w:proofErr w:type="spellStart"/>
      <w:r w:rsidR="009035E4">
        <w:rPr>
          <w:rFonts w:ascii="Arial" w:eastAsia="Times New Roman" w:hAnsi="Arial"/>
          <w:spacing w:val="-3"/>
          <w:sz w:val="24"/>
          <w:szCs w:val="20"/>
          <w:lang w:val="en-GB"/>
        </w:rPr>
        <w:t>Nuugwedha</w:t>
      </w:r>
      <w:proofErr w:type="spellEnd"/>
      <w:r w:rsidR="004B07B7">
        <w:rPr>
          <w:rFonts w:ascii="Arial" w:eastAsia="Times New Roman" w:hAnsi="Arial"/>
          <w:spacing w:val="-3"/>
          <w:sz w:val="24"/>
          <w:szCs w:val="20"/>
          <w:lang w:val="en-GB"/>
        </w:rPr>
        <w:t>’</w:t>
      </w:r>
      <w:r w:rsidR="009035E4">
        <w:rPr>
          <w:rFonts w:ascii="Arial" w:eastAsia="Times New Roman" w:hAnsi="Arial"/>
          <w:spacing w:val="-3"/>
          <w:sz w:val="24"/>
          <w:szCs w:val="20"/>
          <w:lang w:val="en-GB"/>
        </w:rPr>
        <w:t xml:space="preserve">) </w:t>
      </w:r>
      <w:r w:rsidR="009035E4" w:rsidRPr="00777E01">
        <w:rPr>
          <w:rFonts w:ascii="Arial" w:eastAsia="Times New Roman" w:hAnsi="Arial"/>
          <w:spacing w:val="-3"/>
          <w:sz w:val="24"/>
          <w:szCs w:val="20"/>
          <w:lang w:val="en-GB"/>
        </w:rPr>
        <w:t xml:space="preserve">was diagnosed with Stage 4 Cancer. As a result of her diagnosis she became very sick and weak. </w:t>
      </w:r>
      <w:r w:rsidR="00851A88">
        <w:rPr>
          <w:rFonts w:ascii="Arial" w:eastAsia="Times New Roman" w:hAnsi="Arial"/>
          <w:spacing w:val="-3"/>
          <w:sz w:val="24"/>
          <w:szCs w:val="20"/>
          <w:lang w:val="en-GB"/>
        </w:rPr>
        <w:t xml:space="preserve">She </w:t>
      </w:r>
      <w:r w:rsidR="009035E4">
        <w:rPr>
          <w:rFonts w:ascii="Arial" w:eastAsia="Times New Roman" w:hAnsi="Arial"/>
          <w:spacing w:val="-3"/>
          <w:sz w:val="24"/>
          <w:szCs w:val="20"/>
          <w:lang w:val="en-GB"/>
        </w:rPr>
        <w:t>was hospitalised and w</w:t>
      </w:r>
      <w:r w:rsidR="009035E4" w:rsidRPr="00777E01">
        <w:rPr>
          <w:rFonts w:ascii="Arial" w:eastAsia="Times New Roman" w:hAnsi="Arial"/>
          <w:spacing w:val="-3"/>
          <w:sz w:val="24"/>
          <w:szCs w:val="20"/>
          <w:lang w:val="en-GB"/>
        </w:rPr>
        <w:t xml:space="preserve">hen it became apparent </w:t>
      </w:r>
      <w:r w:rsidR="009035E4">
        <w:rPr>
          <w:rFonts w:ascii="Arial" w:eastAsia="Times New Roman" w:hAnsi="Arial"/>
          <w:spacing w:val="-3"/>
          <w:sz w:val="24"/>
          <w:szCs w:val="20"/>
          <w:lang w:val="en-GB"/>
        </w:rPr>
        <w:t xml:space="preserve">that </w:t>
      </w:r>
      <w:r w:rsidR="009035E4" w:rsidRPr="00777E01">
        <w:rPr>
          <w:rFonts w:ascii="Arial" w:eastAsia="Times New Roman" w:hAnsi="Arial"/>
          <w:spacing w:val="-3"/>
          <w:sz w:val="24"/>
          <w:szCs w:val="20"/>
          <w:lang w:val="en-GB"/>
        </w:rPr>
        <w:t xml:space="preserve">she might not recover </w:t>
      </w:r>
      <w:r w:rsidR="009035E4">
        <w:rPr>
          <w:rFonts w:ascii="Arial" w:eastAsia="Times New Roman" w:hAnsi="Arial"/>
          <w:spacing w:val="-3"/>
          <w:sz w:val="24"/>
          <w:szCs w:val="20"/>
          <w:lang w:val="en-GB"/>
        </w:rPr>
        <w:t xml:space="preserve">from her ailment </w:t>
      </w:r>
      <w:r w:rsidR="009035E4" w:rsidRPr="00777E01">
        <w:rPr>
          <w:rFonts w:ascii="Arial" w:eastAsia="Times New Roman" w:hAnsi="Arial"/>
          <w:spacing w:val="-3"/>
          <w:sz w:val="24"/>
          <w:szCs w:val="20"/>
          <w:lang w:val="en-GB"/>
        </w:rPr>
        <w:t xml:space="preserve">she gave instructions </w:t>
      </w:r>
      <w:r w:rsidR="00BA2100">
        <w:rPr>
          <w:rFonts w:ascii="Arial" w:eastAsia="Times New Roman" w:hAnsi="Arial"/>
          <w:spacing w:val="-3"/>
          <w:sz w:val="24"/>
          <w:szCs w:val="20"/>
          <w:lang w:val="en-GB"/>
        </w:rPr>
        <w:t>for her</w:t>
      </w:r>
      <w:r w:rsidR="009035E4" w:rsidRPr="00777E01">
        <w:rPr>
          <w:rFonts w:ascii="Arial" w:eastAsia="Times New Roman" w:hAnsi="Arial"/>
          <w:spacing w:val="-3"/>
          <w:sz w:val="24"/>
          <w:szCs w:val="20"/>
          <w:lang w:val="en-GB"/>
        </w:rPr>
        <w:t xml:space="preserve"> last Will</w:t>
      </w:r>
      <w:r w:rsidR="009035E4">
        <w:rPr>
          <w:rFonts w:ascii="Arial" w:eastAsia="Times New Roman" w:hAnsi="Arial"/>
          <w:spacing w:val="-3"/>
          <w:sz w:val="24"/>
          <w:szCs w:val="20"/>
          <w:lang w:val="en-GB"/>
        </w:rPr>
        <w:t xml:space="preserve"> and T</w:t>
      </w:r>
      <w:r w:rsidR="009035E4" w:rsidRPr="00777E01">
        <w:rPr>
          <w:rFonts w:ascii="Arial" w:eastAsia="Times New Roman" w:hAnsi="Arial"/>
          <w:spacing w:val="-3"/>
          <w:sz w:val="24"/>
          <w:szCs w:val="20"/>
          <w:lang w:val="en-GB"/>
        </w:rPr>
        <w:t>estament</w:t>
      </w:r>
      <w:r w:rsidR="00BA2100">
        <w:rPr>
          <w:rFonts w:ascii="Arial" w:eastAsia="Times New Roman" w:hAnsi="Arial"/>
          <w:spacing w:val="-3"/>
          <w:sz w:val="24"/>
          <w:szCs w:val="20"/>
          <w:lang w:val="en-GB"/>
        </w:rPr>
        <w:t xml:space="preserve"> to be prepared and drafted</w:t>
      </w:r>
      <w:r w:rsidR="009035E4" w:rsidRPr="00777E01">
        <w:rPr>
          <w:rFonts w:ascii="Arial" w:eastAsia="Times New Roman" w:hAnsi="Arial"/>
          <w:spacing w:val="-3"/>
          <w:sz w:val="24"/>
          <w:szCs w:val="20"/>
          <w:lang w:val="en-GB"/>
        </w:rPr>
        <w:t xml:space="preserve">. </w:t>
      </w:r>
      <w:r w:rsidR="00BA2100">
        <w:rPr>
          <w:rFonts w:ascii="Arial" w:eastAsia="Times New Roman" w:hAnsi="Arial"/>
          <w:spacing w:val="-3"/>
          <w:sz w:val="24"/>
          <w:szCs w:val="20"/>
          <w:lang w:val="en-GB"/>
        </w:rPr>
        <w:t xml:space="preserve">Her </w:t>
      </w:r>
      <w:r w:rsidR="00BA2100" w:rsidRPr="00777E01">
        <w:rPr>
          <w:rFonts w:ascii="Arial" w:eastAsia="Times New Roman" w:hAnsi="Arial"/>
          <w:spacing w:val="-3"/>
          <w:sz w:val="24"/>
          <w:szCs w:val="20"/>
          <w:lang w:val="en-GB"/>
        </w:rPr>
        <w:t>last Will</w:t>
      </w:r>
      <w:r w:rsidR="00BA2100">
        <w:rPr>
          <w:rFonts w:ascii="Arial" w:eastAsia="Times New Roman" w:hAnsi="Arial"/>
          <w:spacing w:val="-3"/>
          <w:sz w:val="24"/>
          <w:szCs w:val="20"/>
          <w:lang w:val="en-GB"/>
        </w:rPr>
        <w:t xml:space="preserve"> and T</w:t>
      </w:r>
      <w:r w:rsidR="00BA2100" w:rsidRPr="00777E01">
        <w:rPr>
          <w:rFonts w:ascii="Arial" w:eastAsia="Times New Roman" w:hAnsi="Arial"/>
          <w:spacing w:val="-3"/>
          <w:sz w:val="24"/>
          <w:szCs w:val="20"/>
          <w:lang w:val="en-GB"/>
        </w:rPr>
        <w:t>estament</w:t>
      </w:r>
      <w:r w:rsidR="00BA2100">
        <w:rPr>
          <w:rFonts w:ascii="Arial" w:eastAsia="Times New Roman" w:hAnsi="Arial"/>
          <w:spacing w:val="-3"/>
          <w:sz w:val="24"/>
          <w:szCs w:val="20"/>
          <w:lang w:val="en-GB"/>
        </w:rPr>
        <w:t xml:space="preserve"> was</w:t>
      </w:r>
      <w:r w:rsidR="00A86413">
        <w:rPr>
          <w:rFonts w:ascii="Arial" w:eastAsia="Times New Roman" w:hAnsi="Arial"/>
          <w:spacing w:val="-3"/>
          <w:sz w:val="24"/>
          <w:szCs w:val="20"/>
          <w:lang w:val="en-GB"/>
        </w:rPr>
        <w:t>,</w:t>
      </w:r>
      <w:r w:rsidR="00BA2100">
        <w:rPr>
          <w:rFonts w:ascii="Arial" w:eastAsia="Times New Roman" w:hAnsi="Arial"/>
          <w:spacing w:val="-3"/>
          <w:sz w:val="24"/>
          <w:szCs w:val="20"/>
          <w:lang w:val="en-GB"/>
        </w:rPr>
        <w:t xml:space="preserve"> as per her instructions and wishes</w:t>
      </w:r>
      <w:r w:rsidR="00A86413">
        <w:rPr>
          <w:rFonts w:ascii="Arial" w:eastAsia="Times New Roman" w:hAnsi="Arial"/>
          <w:spacing w:val="-3"/>
          <w:sz w:val="24"/>
          <w:szCs w:val="20"/>
          <w:lang w:val="en-GB"/>
        </w:rPr>
        <w:t xml:space="preserve">, </w:t>
      </w:r>
      <w:r w:rsidR="00BA2100">
        <w:rPr>
          <w:rFonts w:ascii="Arial" w:eastAsia="Times New Roman" w:hAnsi="Arial"/>
          <w:spacing w:val="-3"/>
          <w:sz w:val="24"/>
          <w:szCs w:val="20"/>
          <w:lang w:val="en-GB"/>
        </w:rPr>
        <w:t>prepared, drafted</w:t>
      </w:r>
      <w:r w:rsidR="00A86413">
        <w:rPr>
          <w:rFonts w:ascii="Arial" w:eastAsia="Times New Roman" w:hAnsi="Arial"/>
          <w:spacing w:val="-3"/>
          <w:sz w:val="24"/>
          <w:szCs w:val="20"/>
          <w:lang w:val="en-GB"/>
        </w:rPr>
        <w:t xml:space="preserve"> and presented to her, on 2 February 2017, </w:t>
      </w:r>
      <w:r w:rsidR="00BA2100">
        <w:rPr>
          <w:rFonts w:ascii="Arial" w:eastAsia="Times New Roman" w:hAnsi="Arial"/>
          <w:spacing w:val="-3"/>
          <w:sz w:val="24"/>
          <w:szCs w:val="20"/>
          <w:lang w:val="en-GB"/>
        </w:rPr>
        <w:t>for her signature.</w:t>
      </w:r>
    </w:p>
    <w:p w:rsidR="00BA2100" w:rsidRDefault="00BA2100" w:rsidP="00BA2100">
      <w:pPr>
        <w:widowControl w:val="0"/>
        <w:spacing w:after="0" w:line="360" w:lineRule="auto"/>
        <w:jc w:val="both"/>
        <w:outlineLvl w:val="1"/>
        <w:rPr>
          <w:rFonts w:ascii="Arial" w:eastAsia="Times New Roman" w:hAnsi="Arial"/>
          <w:spacing w:val="-3"/>
          <w:sz w:val="24"/>
          <w:szCs w:val="20"/>
          <w:lang w:val="en-GB"/>
        </w:rPr>
      </w:pPr>
    </w:p>
    <w:p w:rsidR="0007573E" w:rsidRDefault="00A86413" w:rsidP="0007573E">
      <w:pPr>
        <w:widowControl w:val="0"/>
        <w:spacing w:after="0" w:line="360" w:lineRule="auto"/>
        <w:jc w:val="both"/>
        <w:outlineLvl w:val="1"/>
        <w:rPr>
          <w:rFonts w:ascii="Arial" w:eastAsia="Times New Roman" w:hAnsi="Arial"/>
          <w:spacing w:val="-3"/>
          <w:sz w:val="24"/>
          <w:szCs w:val="20"/>
          <w:lang w:val="en-GB"/>
        </w:rPr>
      </w:pPr>
      <w:r>
        <w:rPr>
          <w:rFonts w:ascii="Arial" w:eastAsia="Times New Roman" w:hAnsi="Arial"/>
          <w:spacing w:val="-3"/>
          <w:sz w:val="24"/>
          <w:szCs w:val="20"/>
          <w:lang w:val="en-GB"/>
        </w:rPr>
        <w:t>[</w:t>
      </w:r>
      <w:r w:rsidR="0007573E">
        <w:rPr>
          <w:rFonts w:ascii="Arial" w:eastAsia="Times New Roman" w:hAnsi="Arial"/>
          <w:spacing w:val="-3"/>
          <w:sz w:val="24"/>
          <w:szCs w:val="20"/>
          <w:lang w:val="en-GB"/>
        </w:rPr>
        <w:t>5</w:t>
      </w:r>
      <w:r>
        <w:rPr>
          <w:rFonts w:ascii="Arial" w:eastAsia="Times New Roman" w:hAnsi="Arial"/>
          <w:spacing w:val="-3"/>
          <w:sz w:val="24"/>
          <w:szCs w:val="20"/>
          <w:lang w:val="en-GB"/>
        </w:rPr>
        <w:t>]</w:t>
      </w:r>
      <w:r>
        <w:rPr>
          <w:rFonts w:ascii="Arial" w:eastAsia="Times New Roman" w:hAnsi="Arial"/>
          <w:spacing w:val="-3"/>
          <w:sz w:val="24"/>
          <w:szCs w:val="20"/>
          <w:lang w:val="en-GB"/>
        </w:rPr>
        <w:tab/>
      </w:r>
      <w:r w:rsidR="0007573E">
        <w:rPr>
          <w:rFonts w:ascii="Arial" w:eastAsia="Times New Roman" w:hAnsi="Arial"/>
          <w:spacing w:val="-3"/>
          <w:sz w:val="24"/>
          <w:szCs w:val="20"/>
          <w:lang w:val="en-GB"/>
        </w:rPr>
        <w:t>The court was informed that a</w:t>
      </w:r>
      <w:r w:rsidR="009035E4" w:rsidRPr="00777E01">
        <w:rPr>
          <w:rFonts w:ascii="Arial" w:eastAsia="Times New Roman" w:hAnsi="Arial"/>
          <w:spacing w:val="-3"/>
          <w:sz w:val="24"/>
          <w:szCs w:val="20"/>
          <w:lang w:val="en-GB"/>
        </w:rPr>
        <w:t xml:space="preserve">t the time </w:t>
      </w:r>
      <w:r>
        <w:rPr>
          <w:rFonts w:ascii="Arial" w:eastAsia="Times New Roman" w:hAnsi="Arial"/>
          <w:spacing w:val="-3"/>
          <w:sz w:val="24"/>
          <w:szCs w:val="20"/>
          <w:lang w:val="en-GB"/>
        </w:rPr>
        <w:t xml:space="preserve">(i.e. on 2 February 2017) when the draft Will and </w:t>
      </w:r>
      <w:r w:rsidR="0007573E">
        <w:rPr>
          <w:rFonts w:ascii="Arial" w:eastAsia="Times New Roman" w:hAnsi="Arial"/>
          <w:spacing w:val="-3"/>
          <w:sz w:val="24"/>
          <w:szCs w:val="20"/>
          <w:lang w:val="en-GB"/>
        </w:rPr>
        <w:t xml:space="preserve">Testament (which consisted of four typed pages) </w:t>
      </w:r>
      <w:r>
        <w:rPr>
          <w:rFonts w:ascii="Arial" w:eastAsia="Times New Roman" w:hAnsi="Arial"/>
          <w:spacing w:val="-3"/>
          <w:sz w:val="24"/>
          <w:szCs w:val="20"/>
          <w:lang w:val="en-GB"/>
        </w:rPr>
        <w:t>was presented to her for her signature</w:t>
      </w:r>
      <w:r w:rsidR="0007573E">
        <w:rPr>
          <w:rFonts w:ascii="Arial" w:eastAsia="Times New Roman" w:hAnsi="Arial"/>
          <w:spacing w:val="-3"/>
          <w:sz w:val="24"/>
          <w:szCs w:val="20"/>
          <w:lang w:val="en-GB"/>
        </w:rPr>
        <w:t>,</w:t>
      </w:r>
      <w:r>
        <w:rPr>
          <w:rFonts w:ascii="Arial" w:eastAsia="Times New Roman" w:hAnsi="Arial"/>
          <w:spacing w:val="-3"/>
          <w:sz w:val="24"/>
          <w:szCs w:val="20"/>
          <w:lang w:val="en-GB"/>
        </w:rPr>
        <w:t xml:space="preserve"> the late </w:t>
      </w:r>
      <w:proofErr w:type="spellStart"/>
      <w:r>
        <w:rPr>
          <w:rFonts w:ascii="Arial" w:eastAsia="Times New Roman" w:hAnsi="Arial"/>
          <w:spacing w:val="-3"/>
          <w:sz w:val="24"/>
          <w:szCs w:val="20"/>
          <w:lang w:val="en-GB"/>
        </w:rPr>
        <w:t>Nuugwedha’s</w:t>
      </w:r>
      <w:proofErr w:type="spellEnd"/>
      <w:r>
        <w:rPr>
          <w:rFonts w:ascii="Arial" w:eastAsia="Times New Roman" w:hAnsi="Arial"/>
          <w:spacing w:val="-3"/>
          <w:sz w:val="24"/>
          <w:szCs w:val="20"/>
          <w:lang w:val="en-GB"/>
        </w:rPr>
        <w:t xml:space="preserve"> </w:t>
      </w:r>
      <w:r w:rsidR="009035E4" w:rsidRPr="00777E01">
        <w:rPr>
          <w:rFonts w:ascii="Arial" w:eastAsia="Times New Roman" w:hAnsi="Arial"/>
          <w:spacing w:val="-3"/>
          <w:sz w:val="24"/>
          <w:szCs w:val="20"/>
          <w:lang w:val="en-GB"/>
        </w:rPr>
        <w:t xml:space="preserve">health </w:t>
      </w:r>
      <w:r>
        <w:rPr>
          <w:rFonts w:ascii="Arial" w:eastAsia="Times New Roman" w:hAnsi="Arial"/>
          <w:spacing w:val="-3"/>
          <w:sz w:val="24"/>
          <w:szCs w:val="20"/>
          <w:lang w:val="en-GB"/>
        </w:rPr>
        <w:t xml:space="preserve">had </w:t>
      </w:r>
      <w:r w:rsidR="009035E4" w:rsidRPr="00777E01">
        <w:rPr>
          <w:rFonts w:ascii="Arial" w:eastAsia="Times New Roman" w:hAnsi="Arial"/>
          <w:spacing w:val="-3"/>
          <w:sz w:val="24"/>
          <w:szCs w:val="20"/>
          <w:lang w:val="en-GB"/>
        </w:rPr>
        <w:t>deteriorated to such an extent that she only had enough ene</w:t>
      </w:r>
      <w:r>
        <w:rPr>
          <w:rFonts w:ascii="Arial" w:eastAsia="Times New Roman" w:hAnsi="Arial"/>
          <w:spacing w:val="-3"/>
          <w:sz w:val="24"/>
          <w:szCs w:val="20"/>
          <w:lang w:val="en-GB"/>
        </w:rPr>
        <w:t xml:space="preserve">rgy to initial the first three </w:t>
      </w:r>
      <w:r w:rsidR="009035E4" w:rsidRPr="00777E01">
        <w:rPr>
          <w:rFonts w:ascii="Arial" w:eastAsia="Times New Roman" w:hAnsi="Arial"/>
          <w:spacing w:val="-3"/>
          <w:sz w:val="24"/>
          <w:szCs w:val="20"/>
          <w:lang w:val="en-GB"/>
        </w:rPr>
        <w:t xml:space="preserve">pages of the Will and </w:t>
      </w:r>
      <w:r>
        <w:rPr>
          <w:rFonts w:ascii="Arial" w:eastAsia="Times New Roman" w:hAnsi="Arial"/>
          <w:spacing w:val="-3"/>
          <w:sz w:val="24"/>
          <w:szCs w:val="20"/>
          <w:lang w:val="en-GB"/>
        </w:rPr>
        <w:t xml:space="preserve">Testament </w:t>
      </w:r>
      <w:r w:rsidR="0007573E">
        <w:rPr>
          <w:rFonts w:ascii="Arial" w:eastAsia="Times New Roman" w:hAnsi="Arial"/>
          <w:spacing w:val="-3"/>
          <w:sz w:val="24"/>
          <w:szCs w:val="20"/>
          <w:lang w:val="en-GB"/>
        </w:rPr>
        <w:t xml:space="preserve">and to sign on the last page. </w:t>
      </w:r>
      <w:r w:rsidR="004D5E1B">
        <w:rPr>
          <w:rFonts w:ascii="Arial" w:eastAsia="Times New Roman" w:hAnsi="Arial"/>
          <w:spacing w:val="-3"/>
          <w:sz w:val="24"/>
          <w:szCs w:val="20"/>
          <w:lang w:val="en-GB"/>
        </w:rPr>
        <w:t xml:space="preserve">The witnesses who witnessed the execution of the will similarly only initialled the first three pages and signed the last page of the will. </w:t>
      </w:r>
      <w:r w:rsidR="009035E4">
        <w:rPr>
          <w:rFonts w:ascii="Arial" w:eastAsia="Times New Roman" w:hAnsi="Arial"/>
          <w:spacing w:val="-3"/>
          <w:sz w:val="24"/>
          <w:szCs w:val="20"/>
          <w:lang w:val="en-GB"/>
        </w:rPr>
        <w:t>O</w:t>
      </w:r>
      <w:r w:rsidR="009035E4" w:rsidRPr="00777E01">
        <w:rPr>
          <w:rFonts w:ascii="Arial" w:eastAsia="Times New Roman" w:hAnsi="Arial"/>
          <w:spacing w:val="-3"/>
          <w:sz w:val="24"/>
          <w:szCs w:val="20"/>
          <w:lang w:val="en-GB"/>
        </w:rPr>
        <w:t>n the 3</w:t>
      </w:r>
      <w:r w:rsidR="009035E4" w:rsidRPr="00777E01">
        <w:rPr>
          <w:rFonts w:ascii="Arial" w:eastAsia="Times New Roman" w:hAnsi="Arial"/>
          <w:spacing w:val="-3"/>
          <w:sz w:val="24"/>
          <w:szCs w:val="20"/>
          <w:vertAlign w:val="superscript"/>
          <w:lang w:val="en-GB"/>
        </w:rPr>
        <w:t>rd</w:t>
      </w:r>
      <w:r w:rsidR="009035E4" w:rsidRPr="00777E01">
        <w:rPr>
          <w:rFonts w:ascii="Arial" w:eastAsia="Times New Roman" w:hAnsi="Arial"/>
          <w:spacing w:val="-3"/>
          <w:sz w:val="24"/>
          <w:szCs w:val="20"/>
          <w:lang w:val="en-GB"/>
        </w:rPr>
        <w:t xml:space="preserve"> of February 2017,</w:t>
      </w:r>
      <w:r w:rsidR="009035E4">
        <w:rPr>
          <w:rFonts w:ascii="Arial" w:eastAsia="Times New Roman" w:hAnsi="Arial"/>
          <w:spacing w:val="-3"/>
          <w:sz w:val="24"/>
          <w:szCs w:val="20"/>
          <w:lang w:val="en-GB"/>
        </w:rPr>
        <w:t xml:space="preserve"> </w:t>
      </w:r>
      <w:r w:rsidR="0007573E">
        <w:rPr>
          <w:rFonts w:ascii="Arial" w:eastAsia="Times New Roman" w:hAnsi="Arial"/>
          <w:spacing w:val="-3"/>
          <w:sz w:val="24"/>
          <w:szCs w:val="20"/>
          <w:lang w:val="en-GB"/>
        </w:rPr>
        <w:t xml:space="preserve">the late </w:t>
      </w:r>
      <w:proofErr w:type="spellStart"/>
      <w:r w:rsidR="0007573E">
        <w:rPr>
          <w:rFonts w:ascii="Arial" w:eastAsia="Times New Roman" w:hAnsi="Arial"/>
          <w:spacing w:val="-3"/>
          <w:sz w:val="24"/>
          <w:szCs w:val="20"/>
          <w:lang w:val="en-GB"/>
        </w:rPr>
        <w:t>Nuugwedha</w:t>
      </w:r>
      <w:proofErr w:type="spellEnd"/>
      <w:r w:rsidR="009035E4">
        <w:rPr>
          <w:rFonts w:ascii="Arial" w:eastAsia="Times New Roman" w:hAnsi="Arial"/>
          <w:spacing w:val="-3"/>
          <w:sz w:val="24"/>
          <w:szCs w:val="20"/>
          <w:lang w:val="en-GB"/>
        </w:rPr>
        <w:t xml:space="preserve"> passed </w:t>
      </w:r>
      <w:r w:rsidR="0007573E">
        <w:rPr>
          <w:rFonts w:ascii="Arial" w:eastAsia="Times New Roman" w:hAnsi="Arial"/>
          <w:spacing w:val="-3"/>
          <w:sz w:val="24"/>
          <w:szCs w:val="20"/>
          <w:lang w:val="en-GB"/>
        </w:rPr>
        <w:t>on</w:t>
      </w:r>
      <w:r w:rsidR="009035E4" w:rsidRPr="00777E01">
        <w:rPr>
          <w:rFonts w:ascii="Arial" w:eastAsia="Times New Roman" w:hAnsi="Arial"/>
          <w:spacing w:val="-3"/>
          <w:sz w:val="24"/>
          <w:szCs w:val="20"/>
          <w:lang w:val="en-GB"/>
        </w:rPr>
        <w:t xml:space="preserve">. </w:t>
      </w:r>
    </w:p>
    <w:p w:rsidR="0007573E" w:rsidRDefault="0007573E" w:rsidP="0007573E">
      <w:pPr>
        <w:widowControl w:val="0"/>
        <w:spacing w:after="0" w:line="360" w:lineRule="auto"/>
        <w:jc w:val="both"/>
        <w:outlineLvl w:val="1"/>
        <w:rPr>
          <w:rFonts w:ascii="Arial" w:eastAsia="Times New Roman" w:hAnsi="Arial"/>
          <w:spacing w:val="-3"/>
          <w:sz w:val="24"/>
          <w:szCs w:val="20"/>
          <w:lang w:val="en-GB"/>
        </w:rPr>
      </w:pPr>
    </w:p>
    <w:p w:rsidR="009035E4" w:rsidRPr="00777E01" w:rsidRDefault="0007573E" w:rsidP="0007573E">
      <w:pPr>
        <w:widowControl w:val="0"/>
        <w:spacing w:after="0" w:line="360" w:lineRule="auto"/>
        <w:jc w:val="both"/>
        <w:outlineLvl w:val="1"/>
        <w:rPr>
          <w:rFonts w:ascii="Arial" w:eastAsia="Times New Roman" w:hAnsi="Arial"/>
          <w:spacing w:val="-3"/>
          <w:sz w:val="24"/>
          <w:szCs w:val="20"/>
          <w:lang w:val="en-GB"/>
        </w:rPr>
      </w:pPr>
      <w:r>
        <w:rPr>
          <w:rFonts w:ascii="Arial" w:eastAsia="Times New Roman" w:hAnsi="Arial"/>
          <w:spacing w:val="-3"/>
          <w:sz w:val="24"/>
          <w:szCs w:val="20"/>
          <w:lang w:val="en-GB"/>
        </w:rPr>
        <w:t>[6]</w:t>
      </w:r>
      <w:r>
        <w:rPr>
          <w:rFonts w:ascii="Arial" w:eastAsia="Times New Roman" w:hAnsi="Arial"/>
          <w:spacing w:val="-3"/>
          <w:sz w:val="24"/>
          <w:szCs w:val="20"/>
          <w:lang w:val="en-GB"/>
        </w:rPr>
        <w:tab/>
      </w:r>
      <w:r w:rsidR="009035E4" w:rsidRPr="00777E01">
        <w:rPr>
          <w:rFonts w:ascii="Arial" w:eastAsia="Times New Roman" w:hAnsi="Arial"/>
          <w:spacing w:val="-3"/>
          <w:sz w:val="24"/>
          <w:szCs w:val="20"/>
          <w:lang w:val="en-GB"/>
        </w:rPr>
        <w:t>In terms of th</w:t>
      </w:r>
      <w:r w:rsidR="00E034C1">
        <w:rPr>
          <w:rFonts w:ascii="Arial" w:eastAsia="Times New Roman" w:hAnsi="Arial"/>
          <w:spacing w:val="-3"/>
          <w:sz w:val="24"/>
          <w:szCs w:val="20"/>
          <w:lang w:val="en-GB"/>
        </w:rPr>
        <w:t>at document that</w:t>
      </w:r>
      <w:r w:rsidR="00BD6DC1">
        <w:rPr>
          <w:rFonts w:ascii="Arial" w:eastAsia="Times New Roman" w:hAnsi="Arial"/>
          <w:spacing w:val="-3"/>
          <w:sz w:val="24"/>
          <w:szCs w:val="20"/>
          <w:lang w:val="en-GB"/>
        </w:rPr>
        <w:t xml:space="preserve"> purport</w:t>
      </w:r>
      <w:r w:rsidR="00851A88">
        <w:rPr>
          <w:rFonts w:ascii="Arial" w:eastAsia="Times New Roman" w:hAnsi="Arial"/>
          <w:spacing w:val="-3"/>
          <w:sz w:val="24"/>
          <w:szCs w:val="20"/>
          <w:lang w:val="en-GB"/>
        </w:rPr>
        <w:t>s</w:t>
      </w:r>
      <w:r w:rsidR="00BD6DC1">
        <w:rPr>
          <w:rFonts w:ascii="Arial" w:eastAsia="Times New Roman" w:hAnsi="Arial"/>
          <w:spacing w:val="-3"/>
          <w:sz w:val="24"/>
          <w:szCs w:val="20"/>
          <w:lang w:val="en-GB"/>
        </w:rPr>
        <w:t xml:space="preserve"> to be the last </w:t>
      </w:r>
      <w:r w:rsidR="009035E4" w:rsidRPr="00777E01">
        <w:rPr>
          <w:rFonts w:ascii="Arial" w:eastAsia="Times New Roman" w:hAnsi="Arial"/>
          <w:spacing w:val="-3"/>
          <w:sz w:val="24"/>
          <w:szCs w:val="20"/>
          <w:lang w:val="en-GB"/>
        </w:rPr>
        <w:t>Will</w:t>
      </w:r>
      <w:r w:rsidR="00BD6DC1">
        <w:rPr>
          <w:rFonts w:ascii="Arial" w:eastAsia="Times New Roman" w:hAnsi="Arial"/>
          <w:spacing w:val="-3"/>
          <w:sz w:val="24"/>
          <w:szCs w:val="20"/>
          <w:lang w:val="en-GB"/>
        </w:rPr>
        <w:t xml:space="preserve"> and Testament of the late </w:t>
      </w:r>
      <w:proofErr w:type="spellStart"/>
      <w:r w:rsidR="00BD6DC1">
        <w:rPr>
          <w:rFonts w:ascii="Arial" w:eastAsia="Times New Roman" w:hAnsi="Arial"/>
          <w:spacing w:val="-3"/>
          <w:sz w:val="24"/>
          <w:szCs w:val="20"/>
          <w:lang w:val="en-GB"/>
        </w:rPr>
        <w:t>Nuugwedha</w:t>
      </w:r>
      <w:proofErr w:type="spellEnd"/>
      <w:r w:rsidR="009035E4" w:rsidRPr="00777E01">
        <w:rPr>
          <w:rFonts w:ascii="Arial" w:eastAsia="Times New Roman" w:hAnsi="Arial"/>
          <w:spacing w:val="-3"/>
          <w:sz w:val="24"/>
          <w:szCs w:val="20"/>
          <w:lang w:val="en-GB"/>
        </w:rPr>
        <w:t>,</w:t>
      </w:r>
      <w:r w:rsidR="00BD6DC1">
        <w:rPr>
          <w:rFonts w:ascii="Arial" w:eastAsia="Times New Roman" w:hAnsi="Arial"/>
          <w:spacing w:val="-3"/>
          <w:sz w:val="24"/>
          <w:szCs w:val="20"/>
          <w:lang w:val="en-GB"/>
        </w:rPr>
        <w:t xml:space="preserve"> a certain Ms </w:t>
      </w:r>
      <w:proofErr w:type="spellStart"/>
      <w:r w:rsidR="009035E4" w:rsidRPr="00777E01">
        <w:rPr>
          <w:rFonts w:ascii="Arial" w:eastAsia="Times New Roman" w:hAnsi="Arial"/>
          <w:spacing w:val="-3"/>
          <w:sz w:val="24"/>
          <w:szCs w:val="20"/>
          <w:lang w:val="en-GB"/>
        </w:rPr>
        <w:t>Foibe</w:t>
      </w:r>
      <w:proofErr w:type="spellEnd"/>
      <w:r w:rsidR="009035E4" w:rsidRPr="00777E01">
        <w:rPr>
          <w:rFonts w:ascii="Arial" w:eastAsia="Times New Roman" w:hAnsi="Arial"/>
          <w:spacing w:val="-3"/>
          <w:sz w:val="24"/>
          <w:szCs w:val="20"/>
          <w:lang w:val="en-GB"/>
        </w:rPr>
        <w:t xml:space="preserve"> </w:t>
      </w:r>
      <w:proofErr w:type="spellStart"/>
      <w:r w:rsidR="009035E4" w:rsidRPr="00777E01">
        <w:rPr>
          <w:rFonts w:ascii="Arial" w:eastAsia="Times New Roman" w:hAnsi="Arial"/>
          <w:spacing w:val="-3"/>
          <w:sz w:val="24"/>
          <w:szCs w:val="20"/>
          <w:lang w:val="en-GB"/>
        </w:rPr>
        <w:t>Namene</w:t>
      </w:r>
      <w:proofErr w:type="spellEnd"/>
      <w:r w:rsidR="009035E4" w:rsidRPr="00777E01">
        <w:rPr>
          <w:rFonts w:ascii="Arial" w:eastAsia="Times New Roman" w:hAnsi="Arial"/>
          <w:spacing w:val="-3"/>
          <w:sz w:val="24"/>
          <w:szCs w:val="20"/>
          <w:lang w:val="en-GB"/>
        </w:rPr>
        <w:t xml:space="preserve"> </w:t>
      </w:r>
      <w:r w:rsidR="00BD6DC1">
        <w:rPr>
          <w:rFonts w:ascii="Arial" w:eastAsia="Times New Roman" w:hAnsi="Arial"/>
          <w:spacing w:val="-3"/>
          <w:sz w:val="24"/>
          <w:szCs w:val="20"/>
          <w:lang w:val="en-GB"/>
        </w:rPr>
        <w:t xml:space="preserve">(I will refer to her as Ms </w:t>
      </w:r>
      <w:proofErr w:type="spellStart"/>
      <w:r w:rsidR="00BD6DC1">
        <w:rPr>
          <w:rFonts w:ascii="Arial" w:eastAsia="Times New Roman" w:hAnsi="Arial"/>
          <w:spacing w:val="-3"/>
          <w:sz w:val="24"/>
          <w:szCs w:val="20"/>
          <w:lang w:val="en-GB"/>
        </w:rPr>
        <w:t>Namene</w:t>
      </w:r>
      <w:proofErr w:type="spellEnd"/>
      <w:r w:rsidR="00BD6DC1">
        <w:rPr>
          <w:rFonts w:ascii="Arial" w:eastAsia="Times New Roman" w:hAnsi="Arial"/>
          <w:spacing w:val="-3"/>
          <w:sz w:val="24"/>
          <w:szCs w:val="20"/>
          <w:lang w:val="en-GB"/>
        </w:rPr>
        <w:t xml:space="preserve">) was nominated as </w:t>
      </w:r>
      <w:r w:rsidR="009035E4" w:rsidRPr="00777E01">
        <w:rPr>
          <w:rFonts w:ascii="Arial" w:eastAsia="Times New Roman" w:hAnsi="Arial"/>
          <w:spacing w:val="-3"/>
          <w:sz w:val="24"/>
          <w:szCs w:val="20"/>
          <w:lang w:val="en-GB"/>
        </w:rPr>
        <w:t xml:space="preserve">executrix of </w:t>
      </w:r>
      <w:r w:rsidR="00BD6DC1">
        <w:rPr>
          <w:rFonts w:ascii="Arial" w:eastAsia="Times New Roman" w:hAnsi="Arial"/>
          <w:spacing w:val="-3"/>
          <w:sz w:val="24"/>
          <w:szCs w:val="20"/>
          <w:lang w:val="en-GB"/>
        </w:rPr>
        <w:t xml:space="preserve">the estate of </w:t>
      </w:r>
      <w:r w:rsidR="009035E4" w:rsidRPr="00777E01">
        <w:rPr>
          <w:rFonts w:ascii="Arial" w:eastAsia="Times New Roman" w:hAnsi="Arial"/>
          <w:spacing w:val="-3"/>
          <w:sz w:val="24"/>
          <w:szCs w:val="20"/>
          <w:lang w:val="en-GB"/>
        </w:rPr>
        <w:t xml:space="preserve">late </w:t>
      </w:r>
      <w:proofErr w:type="spellStart"/>
      <w:r w:rsidR="009035E4" w:rsidRPr="00914B48">
        <w:rPr>
          <w:rFonts w:ascii="Arial" w:eastAsia="Times New Roman" w:hAnsi="Arial"/>
          <w:spacing w:val="-3"/>
          <w:sz w:val="24"/>
          <w:szCs w:val="20"/>
          <w:lang w:val="en-GB"/>
        </w:rPr>
        <w:t>Nuugwedha</w:t>
      </w:r>
      <w:proofErr w:type="spellEnd"/>
      <w:r w:rsidR="009035E4" w:rsidRPr="00777E01">
        <w:rPr>
          <w:rFonts w:ascii="Arial" w:eastAsia="Times New Roman" w:hAnsi="Arial"/>
          <w:spacing w:val="-3"/>
          <w:sz w:val="24"/>
          <w:szCs w:val="20"/>
          <w:lang w:val="en-GB"/>
        </w:rPr>
        <w:t>.</w:t>
      </w:r>
      <w:r w:rsidR="009035E4" w:rsidRPr="00914B48">
        <w:rPr>
          <w:rFonts w:ascii="Arial" w:eastAsia="Times New Roman" w:hAnsi="Arial"/>
          <w:spacing w:val="-3"/>
          <w:sz w:val="24"/>
          <w:szCs w:val="20"/>
          <w:lang w:val="en-GB"/>
        </w:rPr>
        <w:t xml:space="preserve"> </w:t>
      </w:r>
      <w:r w:rsidR="00BD6DC1">
        <w:rPr>
          <w:rFonts w:ascii="Arial" w:eastAsia="Times New Roman" w:hAnsi="Arial"/>
          <w:spacing w:val="-3"/>
          <w:sz w:val="24"/>
          <w:szCs w:val="20"/>
          <w:lang w:val="en-GB"/>
        </w:rPr>
        <w:t xml:space="preserve">Ms </w:t>
      </w:r>
      <w:proofErr w:type="spellStart"/>
      <w:r w:rsidR="00BD6DC1">
        <w:rPr>
          <w:rFonts w:ascii="Arial" w:eastAsia="Times New Roman" w:hAnsi="Arial"/>
          <w:spacing w:val="-3"/>
          <w:sz w:val="24"/>
          <w:szCs w:val="20"/>
          <w:lang w:val="en-GB"/>
        </w:rPr>
        <w:t>Namene</w:t>
      </w:r>
      <w:proofErr w:type="spellEnd"/>
      <w:r w:rsidR="00BD6DC1">
        <w:rPr>
          <w:rFonts w:ascii="Arial" w:eastAsia="Times New Roman" w:hAnsi="Arial"/>
          <w:spacing w:val="-3"/>
          <w:sz w:val="24"/>
          <w:szCs w:val="20"/>
          <w:lang w:val="en-GB"/>
        </w:rPr>
        <w:t xml:space="preserve"> then appointed the law firm </w:t>
      </w:r>
      <w:proofErr w:type="spellStart"/>
      <w:r w:rsidR="009035E4" w:rsidRPr="00777E01">
        <w:rPr>
          <w:rFonts w:ascii="Arial" w:eastAsia="Times New Roman" w:hAnsi="Arial"/>
          <w:spacing w:val="-3"/>
          <w:sz w:val="24"/>
          <w:szCs w:val="20"/>
          <w:lang w:val="en-GB"/>
        </w:rPr>
        <w:t>AngulaCo</w:t>
      </w:r>
      <w:proofErr w:type="spellEnd"/>
      <w:r w:rsidR="009035E4" w:rsidRPr="00777E01">
        <w:rPr>
          <w:rFonts w:ascii="Arial" w:eastAsia="Times New Roman" w:hAnsi="Arial"/>
          <w:spacing w:val="-3"/>
          <w:sz w:val="24"/>
          <w:szCs w:val="20"/>
          <w:lang w:val="en-GB"/>
        </w:rPr>
        <w:t xml:space="preserve"> Incorporated </w:t>
      </w:r>
      <w:r w:rsidR="004D5E1B">
        <w:rPr>
          <w:rFonts w:ascii="Arial" w:eastAsia="Times New Roman" w:hAnsi="Arial"/>
          <w:spacing w:val="-3"/>
          <w:sz w:val="24"/>
          <w:szCs w:val="20"/>
          <w:lang w:val="en-GB"/>
        </w:rPr>
        <w:t>to act as her agent</w:t>
      </w:r>
      <w:r w:rsidR="00BD6DC1">
        <w:rPr>
          <w:rFonts w:ascii="Arial" w:eastAsia="Times New Roman" w:hAnsi="Arial"/>
          <w:spacing w:val="-3"/>
          <w:sz w:val="24"/>
          <w:szCs w:val="20"/>
          <w:lang w:val="en-GB"/>
        </w:rPr>
        <w:t xml:space="preserve">, who proceeded to </w:t>
      </w:r>
      <w:r w:rsidR="00BD6DC1" w:rsidRPr="00914B48">
        <w:rPr>
          <w:rFonts w:ascii="Arial" w:eastAsia="Times New Roman" w:hAnsi="Arial"/>
          <w:spacing w:val="-3"/>
          <w:sz w:val="24"/>
          <w:szCs w:val="20"/>
          <w:lang w:val="en-GB"/>
        </w:rPr>
        <w:t>register</w:t>
      </w:r>
      <w:r w:rsidR="00BD6DC1">
        <w:rPr>
          <w:rFonts w:ascii="Arial" w:eastAsia="Times New Roman" w:hAnsi="Arial"/>
          <w:spacing w:val="-3"/>
          <w:sz w:val="24"/>
          <w:szCs w:val="20"/>
          <w:lang w:val="en-GB"/>
        </w:rPr>
        <w:t xml:space="preserve"> the </w:t>
      </w:r>
      <w:r w:rsidR="009035E4" w:rsidRPr="00914B48">
        <w:rPr>
          <w:rFonts w:ascii="Arial" w:eastAsia="Times New Roman" w:hAnsi="Arial"/>
          <w:spacing w:val="-3"/>
          <w:sz w:val="24"/>
          <w:szCs w:val="20"/>
          <w:lang w:val="en-GB"/>
        </w:rPr>
        <w:t>estate</w:t>
      </w:r>
      <w:r w:rsidR="00BD6DC1">
        <w:rPr>
          <w:rFonts w:ascii="Arial" w:eastAsia="Times New Roman" w:hAnsi="Arial"/>
          <w:spacing w:val="-3"/>
          <w:sz w:val="24"/>
          <w:szCs w:val="20"/>
          <w:lang w:val="en-GB"/>
        </w:rPr>
        <w:t xml:space="preserve"> of the late </w:t>
      </w:r>
      <w:proofErr w:type="spellStart"/>
      <w:r w:rsidR="00BD6DC1">
        <w:rPr>
          <w:rFonts w:ascii="Arial" w:eastAsia="Times New Roman" w:hAnsi="Arial"/>
          <w:spacing w:val="-3"/>
          <w:sz w:val="24"/>
          <w:szCs w:val="20"/>
          <w:lang w:val="en-GB"/>
        </w:rPr>
        <w:t>Nuugwedha</w:t>
      </w:r>
      <w:proofErr w:type="spellEnd"/>
      <w:r w:rsidR="00BD6DC1">
        <w:rPr>
          <w:rFonts w:ascii="Arial" w:eastAsia="Times New Roman" w:hAnsi="Arial"/>
          <w:spacing w:val="-3"/>
          <w:sz w:val="24"/>
          <w:szCs w:val="20"/>
          <w:lang w:val="en-GB"/>
        </w:rPr>
        <w:t xml:space="preserve"> and also </w:t>
      </w:r>
      <w:r w:rsidR="004D5E1B">
        <w:rPr>
          <w:rFonts w:ascii="Arial" w:eastAsia="Times New Roman" w:hAnsi="Arial"/>
          <w:spacing w:val="-3"/>
          <w:sz w:val="24"/>
          <w:szCs w:val="20"/>
          <w:lang w:val="en-GB"/>
        </w:rPr>
        <w:t xml:space="preserve">to, in terms of </w:t>
      </w:r>
      <w:r w:rsidR="009A53EC">
        <w:rPr>
          <w:rFonts w:ascii="Arial" w:eastAsia="Times New Roman" w:hAnsi="Arial"/>
          <w:spacing w:val="-3"/>
          <w:sz w:val="24"/>
          <w:szCs w:val="20"/>
          <w:lang w:val="en-GB"/>
        </w:rPr>
        <w:t xml:space="preserve">the Wills Act 7 of </w:t>
      </w:r>
      <w:r w:rsidR="00213277">
        <w:rPr>
          <w:rFonts w:ascii="Arial" w:eastAsia="Times New Roman" w:hAnsi="Arial"/>
          <w:spacing w:val="-3"/>
          <w:sz w:val="24"/>
          <w:szCs w:val="20"/>
          <w:lang w:val="en-GB"/>
        </w:rPr>
        <w:t>1953</w:t>
      </w:r>
      <w:r w:rsidR="009A53EC">
        <w:rPr>
          <w:rFonts w:ascii="Arial" w:eastAsia="Times New Roman" w:hAnsi="Arial"/>
          <w:spacing w:val="-3"/>
          <w:sz w:val="24"/>
          <w:szCs w:val="20"/>
          <w:lang w:val="en-GB"/>
        </w:rPr>
        <w:t>,</w:t>
      </w:r>
      <w:r w:rsidR="00213277">
        <w:rPr>
          <w:rFonts w:ascii="Arial" w:eastAsia="Times New Roman" w:hAnsi="Arial"/>
          <w:spacing w:val="-3"/>
          <w:sz w:val="24"/>
          <w:szCs w:val="20"/>
          <w:lang w:val="en-GB"/>
        </w:rPr>
        <w:t xml:space="preserve"> </w:t>
      </w:r>
      <w:r w:rsidR="004B07B7">
        <w:rPr>
          <w:rFonts w:ascii="Arial" w:eastAsia="Times New Roman" w:hAnsi="Arial"/>
          <w:spacing w:val="-3"/>
          <w:sz w:val="24"/>
          <w:szCs w:val="20"/>
          <w:lang w:val="en-GB"/>
        </w:rPr>
        <w:t>lodge</w:t>
      </w:r>
      <w:r w:rsidR="00BD6DC1">
        <w:rPr>
          <w:rFonts w:ascii="Arial" w:eastAsia="Times New Roman" w:hAnsi="Arial"/>
          <w:spacing w:val="-3"/>
          <w:sz w:val="24"/>
          <w:szCs w:val="20"/>
          <w:lang w:val="en-GB"/>
        </w:rPr>
        <w:t xml:space="preserve"> the last Will and Testament</w:t>
      </w:r>
      <w:r w:rsidR="009035E4" w:rsidRPr="00914B48">
        <w:rPr>
          <w:rFonts w:ascii="Arial" w:eastAsia="Times New Roman" w:hAnsi="Arial"/>
          <w:spacing w:val="-3"/>
          <w:sz w:val="24"/>
          <w:szCs w:val="20"/>
          <w:lang w:val="en-GB"/>
        </w:rPr>
        <w:t xml:space="preserve">. </w:t>
      </w:r>
      <w:r w:rsidR="009035E4" w:rsidRPr="00777E01">
        <w:rPr>
          <w:rFonts w:ascii="Arial" w:eastAsia="Times New Roman" w:hAnsi="Arial"/>
          <w:spacing w:val="-3"/>
          <w:sz w:val="24"/>
          <w:szCs w:val="20"/>
          <w:lang w:val="en-GB"/>
        </w:rPr>
        <w:t xml:space="preserve">On 24 March 2017, the </w:t>
      </w:r>
      <w:r w:rsidR="00BD6DC1">
        <w:rPr>
          <w:rFonts w:ascii="Arial" w:eastAsia="Times New Roman" w:hAnsi="Arial"/>
          <w:spacing w:val="-3"/>
          <w:sz w:val="24"/>
          <w:szCs w:val="20"/>
          <w:lang w:val="en-GB"/>
        </w:rPr>
        <w:t xml:space="preserve">Master </w:t>
      </w:r>
      <w:r w:rsidR="00BD6DC1" w:rsidRPr="00777E01">
        <w:rPr>
          <w:rFonts w:ascii="Arial" w:eastAsia="Times New Roman" w:hAnsi="Arial"/>
          <w:spacing w:val="-3"/>
          <w:sz w:val="24"/>
          <w:szCs w:val="20"/>
          <w:lang w:val="en-GB"/>
        </w:rPr>
        <w:t>informed</w:t>
      </w:r>
      <w:r w:rsidR="009035E4" w:rsidRPr="00777E01">
        <w:rPr>
          <w:rFonts w:ascii="Arial" w:eastAsia="Times New Roman" w:hAnsi="Arial"/>
          <w:spacing w:val="-3"/>
          <w:sz w:val="24"/>
          <w:szCs w:val="20"/>
          <w:lang w:val="en-GB"/>
        </w:rPr>
        <w:t xml:space="preserve"> </w:t>
      </w:r>
      <w:proofErr w:type="spellStart"/>
      <w:r w:rsidR="009035E4" w:rsidRPr="00777E01">
        <w:rPr>
          <w:rFonts w:ascii="Arial" w:eastAsia="Times New Roman" w:hAnsi="Arial"/>
          <w:spacing w:val="-3"/>
          <w:sz w:val="24"/>
          <w:szCs w:val="20"/>
          <w:lang w:val="en-GB"/>
        </w:rPr>
        <w:t>AngulaCo</w:t>
      </w:r>
      <w:proofErr w:type="spellEnd"/>
      <w:r w:rsidR="009035E4" w:rsidRPr="00777E01">
        <w:rPr>
          <w:rFonts w:ascii="Arial" w:eastAsia="Times New Roman" w:hAnsi="Arial"/>
          <w:spacing w:val="-3"/>
          <w:sz w:val="24"/>
          <w:szCs w:val="20"/>
          <w:lang w:val="en-GB"/>
        </w:rPr>
        <w:t xml:space="preserve"> Incorporated that the</w:t>
      </w:r>
      <w:r w:rsidR="00BD6DC1">
        <w:rPr>
          <w:rFonts w:ascii="Arial" w:eastAsia="Times New Roman" w:hAnsi="Arial"/>
          <w:spacing w:val="-3"/>
          <w:sz w:val="24"/>
          <w:szCs w:val="20"/>
          <w:lang w:val="en-GB"/>
        </w:rPr>
        <w:t xml:space="preserve"> late </w:t>
      </w:r>
      <w:proofErr w:type="spellStart"/>
      <w:r w:rsidR="00BD6DC1">
        <w:rPr>
          <w:rFonts w:ascii="Arial" w:eastAsia="Times New Roman" w:hAnsi="Arial"/>
          <w:spacing w:val="-3"/>
          <w:sz w:val="24"/>
          <w:szCs w:val="20"/>
          <w:lang w:val="en-GB"/>
        </w:rPr>
        <w:t>Nuugwedha’s</w:t>
      </w:r>
      <w:proofErr w:type="spellEnd"/>
      <w:r w:rsidR="00BD6DC1">
        <w:rPr>
          <w:rFonts w:ascii="Arial" w:eastAsia="Times New Roman" w:hAnsi="Arial"/>
          <w:spacing w:val="-3"/>
          <w:sz w:val="24"/>
          <w:szCs w:val="20"/>
          <w:lang w:val="en-GB"/>
        </w:rPr>
        <w:t xml:space="preserve"> last Will and Testament</w:t>
      </w:r>
      <w:r w:rsidR="00BD6DC1" w:rsidRPr="00777E01">
        <w:rPr>
          <w:rFonts w:ascii="Arial" w:eastAsia="Times New Roman" w:hAnsi="Arial"/>
          <w:spacing w:val="-3"/>
          <w:sz w:val="24"/>
          <w:szCs w:val="20"/>
          <w:lang w:val="en-GB"/>
        </w:rPr>
        <w:t xml:space="preserve"> </w:t>
      </w:r>
      <w:r w:rsidR="009035E4" w:rsidRPr="00777E01">
        <w:rPr>
          <w:rFonts w:ascii="Arial" w:eastAsia="Times New Roman" w:hAnsi="Arial"/>
          <w:spacing w:val="-3"/>
          <w:sz w:val="24"/>
          <w:szCs w:val="20"/>
          <w:lang w:val="en-GB"/>
        </w:rPr>
        <w:t xml:space="preserve">was rejected. The reason provided by the </w:t>
      </w:r>
      <w:r w:rsidR="00BD6DC1">
        <w:rPr>
          <w:rFonts w:ascii="Arial" w:eastAsia="Times New Roman" w:hAnsi="Arial"/>
          <w:spacing w:val="-3"/>
          <w:sz w:val="24"/>
          <w:szCs w:val="20"/>
          <w:lang w:val="en-GB"/>
        </w:rPr>
        <w:t xml:space="preserve">Master </w:t>
      </w:r>
      <w:r w:rsidR="00851A88">
        <w:rPr>
          <w:rFonts w:ascii="Arial" w:eastAsia="Times New Roman" w:hAnsi="Arial"/>
          <w:spacing w:val="-3"/>
          <w:sz w:val="24"/>
          <w:szCs w:val="20"/>
          <w:lang w:val="en-GB"/>
        </w:rPr>
        <w:t>for the rejection of the Will was</w:t>
      </w:r>
      <w:r w:rsidR="009035E4" w:rsidRPr="00777E01">
        <w:rPr>
          <w:rFonts w:ascii="Arial" w:eastAsia="Times New Roman" w:hAnsi="Arial"/>
          <w:spacing w:val="-3"/>
          <w:sz w:val="24"/>
          <w:szCs w:val="20"/>
          <w:lang w:val="en-GB"/>
        </w:rPr>
        <w:t xml:space="preserve"> that </w:t>
      </w:r>
      <w:r w:rsidR="004B07B7">
        <w:rPr>
          <w:rFonts w:ascii="Arial" w:eastAsia="Times New Roman" w:hAnsi="Arial"/>
          <w:i/>
          <w:spacing w:val="-3"/>
          <w:sz w:val="24"/>
          <w:szCs w:val="20"/>
          <w:lang w:val="en-GB"/>
        </w:rPr>
        <w:t>‘</w:t>
      </w:r>
      <w:r w:rsidR="009035E4" w:rsidRPr="00777E01">
        <w:rPr>
          <w:rFonts w:ascii="Arial" w:eastAsia="Times New Roman" w:hAnsi="Arial"/>
          <w:i/>
          <w:spacing w:val="-3"/>
          <w:sz w:val="24"/>
          <w:szCs w:val="20"/>
          <w:lang w:val="en-GB"/>
        </w:rPr>
        <w:t>only the last page of the Will is signed by the testator and witnesse</w:t>
      </w:r>
      <w:r w:rsidR="004B07B7">
        <w:rPr>
          <w:rFonts w:ascii="Arial" w:eastAsia="Times New Roman" w:hAnsi="Arial"/>
          <w:i/>
          <w:spacing w:val="-3"/>
          <w:sz w:val="24"/>
          <w:szCs w:val="20"/>
          <w:lang w:val="en-GB"/>
        </w:rPr>
        <w:t>s, the rest are only initialled’</w:t>
      </w:r>
      <w:r w:rsidR="009035E4" w:rsidRPr="00777E01">
        <w:rPr>
          <w:rFonts w:ascii="Arial" w:eastAsia="Times New Roman" w:hAnsi="Arial"/>
          <w:spacing w:val="-3"/>
          <w:sz w:val="24"/>
          <w:szCs w:val="20"/>
          <w:lang w:val="en-GB"/>
        </w:rPr>
        <w:t xml:space="preserve">. </w:t>
      </w:r>
    </w:p>
    <w:p w:rsidR="009035E4" w:rsidRDefault="009035E4" w:rsidP="009035E4">
      <w:pPr>
        <w:pStyle w:val="ListParagraph"/>
        <w:rPr>
          <w:spacing w:val="-3"/>
          <w:szCs w:val="20"/>
          <w:lang w:val="en-GB"/>
        </w:rPr>
      </w:pPr>
    </w:p>
    <w:p w:rsidR="00C63D3C" w:rsidRDefault="00C63D3C" w:rsidP="00BD6DC1">
      <w:pPr>
        <w:widowControl w:val="0"/>
        <w:spacing w:after="0" w:line="360" w:lineRule="auto"/>
        <w:jc w:val="both"/>
        <w:outlineLvl w:val="1"/>
        <w:rPr>
          <w:rFonts w:ascii="Arial" w:eastAsia="Times New Roman" w:hAnsi="Arial"/>
          <w:spacing w:val="-3"/>
          <w:sz w:val="24"/>
          <w:szCs w:val="20"/>
          <w:lang w:val="en-GB"/>
        </w:rPr>
      </w:pPr>
      <w:r>
        <w:rPr>
          <w:rFonts w:ascii="Arial" w:eastAsia="Times New Roman" w:hAnsi="Arial"/>
          <w:spacing w:val="-3"/>
          <w:sz w:val="24"/>
          <w:szCs w:val="20"/>
          <w:lang w:val="en-GB"/>
        </w:rPr>
        <w:t>[7]</w:t>
      </w:r>
      <w:r>
        <w:rPr>
          <w:rFonts w:ascii="Arial" w:eastAsia="Times New Roman" w:hAnsi="Arial"/>
          <w:spacing w:val="-3"/>
          <w:sz w:val="24"/>
          <w:szCs w:val="20"/>
          <w:lang w:val="en-GB"/>
        </w:rPr>
        <w:tab/>
        <w:t>The first and second applicants are aggrieved by the decision of the Master to reject their late mother’s last Will and Testament. Desirous to ho</w:t>
      </w:r>
      <w:r w:rsidR="009A53EC">
        <w:rPr>
          <w:rFonts w:ascii="Arial" w:eastAsia="Times New Roman" w:hAnsi="Arial"/>
          <w:spacing w:val="-3"/>
          <w:sz w:val="24"/>
          <w:szCs w:val="20"/>
          <w:lang w:val="en-GB"/>
        </w:rPr>
        <w:t xml:space="preserve">nour their mother’s last wishes, </w:t>
      </w:r>
      <w:r>
        <w:rPr>
          <w:rFonts w:ascii="Arial" w:eastAsia="Times New Roman" w:hAnsi="Arial"/>
          <w:spacing w:val="-3"/>
          <w:sz w:val="24"/>
          <w:szCs w:val="20"/>
          <w:lang w:val="en-GB"/>
        </w:rPr>
        <w:t>the applicants a</w:t>
      </w:r>
      <w:r w:rsidR="004B07B7">
        <w:rPr>
          <w:rFonts w:ascii="Arial" w:eastAsia="Times New Roman" w:hAnsi="Arial"/>
          <w:spacing w:val="-3"/>
          <w:sz w:val="24"/>
          <w:szCs w:val="20"/>
          <w:lang w:val="en-GB"/>
        </w:rPr>
        <w:t>pproached this Court seeking an</w:t>
      </w:r>
      <w:r>
        <w:rPr>
          <w:rFonts w:ascii="Arial" w:eastAsia="Times New Roman" w:hAnsi="Arial"/>
          <w:spacing w:val="-3"/>
          <w:sz w:val="24"/>
          <w:szCs w:val="20"/>
          <w:lang w:val="en-GB"/>
        </w:rPr>
        <w:t xml:space="preserve"> order in the following terms:</w:t>
      </w:r>
    </w:p>
    <w:p w:rsidR="00C63D3C" w:rsidRPr="00C63D3C" w:rsidRDefault="00C63D3C" w:rsidP="00C63D3C">
      <w:pPr>
        <w:spacing w:after="0" w:line="360" w:lineRule="auto"/>
        <w:ind w:firstLine="720"/>
        <w:jc w:val="both"/>
        <w:rPr>
          <w:rFonts w:ascii="Arial" w:hAnsi="Arial" w:cs="Arial"/>
        </w:rPr>
      </w:pPr>
    </w:p>
    <w:p w:rsidR="00C63D3C" w:rsidRDefault="009A53EC" w:rsidP="00454C1D">
      <w:pPr>
        <w:pStyle w:val="Heading1"/>
        <w:tabs>
          <w:tab w:val="left" w:pos="720"/>
          <w:tab w:val="left" w:pos="1260"/>
        </w:tabs>
        <w:spacing w:before="0" w:after="0" w:line="360" w:lineRule="auto"/>
        <w:jc w:val="both"/>
        <w:rPr>
          <w:rFonts w:ascii="Arial" w:hAnsi="Arial" w:cs="Arial"/>
          <w:b w:val="0"/>
          <w:sz w:val="22"/>
          <w:szCs w:val="22"/>
        </w:rPr>
      </w:pPr>
      <w:r>
        <w:rPr>
          <w:rFonts w:ascii="Arial" w:hAnsi="Arial" w:cs="Arial"/>
          <w:b w:val="0"/>
          <w:sz w:val="22"/>
          <w:szCs w:val="22"/>
        </w:rPr>
        <w:t xml:space="preserve">‘1 </w:t>
      </w:r>
      <w:r w:rsidR="0062093A">
        <w:rPr>
          <w:rFonts w:ascii="Arial" w:hAnsi="Arial" w:cs="Arial"/>
          <w:b w:val="0"/>
          <w:sz w:val="22"/>
          <w:szCs w:val="22"/>
        </w:rPr>
        <w:tab/>
      </w:r>
      <w:proofErr w:type="gramStart"/>
      <w:r w:rsidR="00C63D3C" w:rsidRPr="00E034C1">
        <w:rPr>
          <w:rFonts w:ascii="Arial" w:hAnsi="Arial" w:cs="Arial"/>
          <w:b w:val="0"/>
          <w:sz w:val="22"/>
          <w:szCs w:val="22"/>
        </w:rPr>
        <w:t>That</w:t>
      </w:r>
      <w:proofErr w:type="gramEnd"/>
      <w:r w:rsidR="00C63D3C" w:rsidRPr="00E034C1">
        <w:rPr>
          <w:rFonts w:ascii="Arial" w:hAnsi="Arial" w:cs="Arial"/>
          <w:b w:val="0"/>
          <w:sz w:val="22"/>
          <w:szCs w:val="22"/>
        </w:rPr>
        <w:t xml:space="preserve"> the testamentary document executed on 02 February 2017 by the late Linea </w:t>
      </w:r>
      <w:proofErr w:type="spellStart"/>
      <w:r w:rsidR="00E034C1" w:rsidRPr="00E034C1">
        <w:rPr>
          <w:rFonts w:ascii="Arial" w:hAnsi="Arial" w:cs="Arial"/>
          <w:b w:val="0"/>
          <w:sz w:val="22"/>
          <w:szCs w:val="22"/>
        </w:rPr>
        <w:t>Peneyambeko</w:t>
      </w:r>
      <w:proofErr w:type="spellEnd"/>
      <w:r w:rsidR="00C63D3C" w:rsidRPr="00E034C1">
        <w:rPr>
          <w:rFonts w:ascii="Arial" w:hAnsi="Arial" w:cs="Arial"/>
          <w:b w:val="0"/>
          <w:sz w:val="22"/>
          <w:szCs w:val="22"/>
        </w:rPr>
        <w:t xml:space="preserve"> </w:t>
      </w:r>
      <w:proofErr w:type="spellStart"/>
      <w:r w:rsidR="00C63D3C" w:rsidRPr="00E034C1">
        <w:rPr>
          <w:rFonts w:ascii="Arial" w:hAnsi="Arial" w:cs="Arial"/>
          <w:b w:val="0"/>
          <w:sz w:val="22"/>
          <w:szCs w:val="22"/>
        </w:rPr>
        <w:t>Nuugwedha</w:t>
      </w:r>
      <w:proofErr w:type="spellEnd"/>
      <w:r w:rsidR="00C63D3C" w:rsidRPr="00E034C1">
        <w:rPr>
          <w:rFonts w:ascii="Arial" w:hAnsi="Arial" w:cs="Arial"/>
          <w:b w:val="0"/>
          <w:sz w:val="22"/>
          <w:szCs w:val="22"/>
        </w:rPr>
        <w:t xml:space="preserve"> who died on 03 February 2017, a copy of which is appended to the Affidavit of Gina </w:t>
      </w:r>
      <w:proofErr w:type="spellStart"/>
      <w:r w:rsidR="00C63D3C" w:rsidRPr="00E034C1">
        <w:rPr>
          <w:rFonts w:ascii="Arial" w:hAnsi="Arial" w:cs="Arial"/>
          <w:b w:val="0"/>
          <w:sz w:val="22"/>
          <w:szCs w:val="22"/>
        </w:rPr>
        <w:t>Nelao</w:t>
      </w:r>
      <w:proofErr w:type="spellEnd"/>
      <w:r w:rsidR="00C63D3C" w:rsidRPr="00E034C1">
        <w:rPr>
          <w:rFonts w:ascii="Arial" w:hAnsi="Arial" w:cs="Arial"/>
          <w:b w:val="0"/>
          <w:sz w:val="22"/>
          <w:szCs w:val="22"/>
        </w:rPr>
        <w:t xml:space="preserve"> </w:t>
      </w:r>
      <w:proofErr w:type="spellStart"/>
      <w:r w:rsidR="00C63D3C" w:rsidRPr="00E034C1">
        <w:rPr>
          <w:rFonts w:ascii="Arial" w:hAnsi="Arial" w:cs="Arial"/>
          <w:b w:val="0"/>
          <w:sz w:val="22"/>
          <w:szCs w:val="22"/>
        </w:rPr>
        <w:t>Wetutala</w:t>
      </w:r>
      <w:proofErr w:type="spellEnd"/>
      <w:r w:rsidR="00C63D3C" w:rsidRPr="00E034C1">
        <w:rPr>
          <w:rFonts w:ascii="Arial" w:hAnsi="Arial" w:cs="Arial"/>
          <w:b w:val="0"/>
          <w:sz w:val="22"/>
          <w:szCs w:val="22"/>
        </w:rPr>
        <w:t xml:space="preserve"> </w:t>
      </w:r>
      <w:proofErr w:type="spellStart"/>
      <w:r w:rsidR="00C63D3C" w:rsidRPr="00E034C1">
        <w:rPr>
          <w:rFonts w:ascii="Arial" w:hAnsi="Arial" w:cs="Arial"/>
          <w:b w:val="0"/>
          <w:sz w:val="22"/>
          <w:szCs w:val="22"/>
        </w:rPr>
        <w:t>Mwoombola</w:t>
      </w:r>
      <w:proofErr w:type="spellEnd"/>
      <w:r w:rsidR="00C63D3C" w:rsidRPr="00E034C1">
        <w:rPr>
          <w:rFonts w:ascii="Arial" w:hAnsi="Arial" w:cs="Arial"/>
          <w:b w:val="0"/>
          <w:sz w:val="22"/>
          <w:szCs w:val="22"/>
        </w:rPr>
        <w:t xml:space="preserve"> as Annexure A, is declared to have been intended by the deceased to be her last Will.</w:t>
      </w:r>
    </w:p>
    <w:p w:rsidR="00E034C1" w:rsidRPr="00E034C1" w:rsidRDefault="00E034C1" w:rsidP="00E034C1">
      <w:pPr>
        <w:jc w:val="both"/>
      </w:pPr>
    </w:p>
    <w:p w:rsidR="00C63D3C" w:rsidRPr="00E034C1" w:rsidRDefault="00E034C1" w:rsidP="00E034C1">
      <w:pPr>
        <w:pStyle w:val="Heading2"/>
        <w:tabs>
          <w:tab w:val="left" w:pos="540"/>
        </w:tabs>
        <w:spacing w:line="360" w:lineRule="auto"/>
        <w:jc w:val="both"/>
        <w:rPr>
          <w:rFonts w:ascii="Arial" w:hAnsi="Arial" w:cs="Arial"/>
          <w:b w:val="0"/>
          <w:i w:val="0"/>
          <w:sz w:val="22"/>
          <w:szCs w:val="22"/>
        </w:rPr>
      </w:pPr>
      <w:r>
        <w:rPr>
          <w:rFonts w:ascii="Arial" w:hAnsi="Arial" w:cs="Arial"/>
          <w:b w:val="0"/>
          <w:i w:val="0"/>
          <w:sz w:val="22"/>
          <w:szCs w:val="22"/>
        </w:rPr>
        <w:t>2</w:t>
      </w:r>
      <w:r>
        <w:rPr>
          <w:rFonts w:ascii="Arial" w:hAnsi="Arial" w:cs="Arial"/>
          <w:b w:val="0"/>
          <w:i w:val="0"/>
          <w:sz w:val="22"/>
          <w:szCs w:val="22"/>
        </w:rPr>
        <w:tab/>
      </w:r>
      <w:r w:rsidR="00C63D3C" w:rsidRPr="00E034C1">
        <w:rPr>
          <w:rFonts w:ascii="Arial" w:hAnsi="Arial" w:cs="Arial"/>
          <w:b w:val="0"/>
          <w:i w:val="0"/>
          <w:sz w:val="22"/>
          <w:szCs w:val="22"/>
        </w:rPr>
        <w:t>That the respondent is directed to accept the aforementioned testamentary document</w:t>
      </w:r>
      <w:r w:rsidR="009A53EC">
        <w:rPr>
          <w:rFonts w:ascii="Arial" w:hAnsi="Arial" w:cs="Arial"/>
          <w:b w:val="0"/>
          <w:i w:val="0"/>
          <w:sz w:val="22"/>
          <w:szCs w:val="22"/>
        </w:rPr>
        <w:t xml:space="preserve"> </w:t>
      </w:r>
      <w:r w:rsidR="00C63D3C" w:rsidRPr="00E034C1">
        <w:rPr>
          <w:rFonts w:ascii="Arial" w:hAnsi="Arial" w:cs="Arial"/>
          <w:b w:val="0"/>
          <w:i w:val="0"/>
          <w:sz w:val="22"/>
          <w:szCs w:val="22"/>
        </w:rPr>
        <w:lastRenderedPageBreak/>
        <w:t>as a Will for purposes of the Administration of Estates Act 66 of 1965.</w:t>
      </w:r>
    </w:p>
    <w:p w:rsidR="00E034C1" w:rsidRDefault="00E034C1" w:rsidP="00E034C1">
      <w:pPr>
        <w:pStyle w:val="Heading2"/>
        <w:spacing w:line="360" w:lineRule="auto"/>
        <w:jc w:val="both"/>
        <w:rPr>
          <w:rFonts w:ascii="Arial" w:hAnsi="Arial" w:cs="Arial"/>
          <w:b w:val="0"/>
          <w:i w:val="0"/>
          <w:sz w:val="22"/>
          <w:szCs w:val="22"/>
        </w:rPr>
      </w:pPr>
    </w:p>
    <w:p w:rsidR="00C63D3C" w:rsidRPr="00E034C1" w:rsidRDefault="00E034C1" w:rsidP="00E034C1">
      <w:pPr>
        <w:pStyle w:val="Heading2"/>
        <w:tabs>
          <w:tab w:val="left" w:pos="540"/>
        </w:tabs>
        <w:spacing w:line="360" w:lineRule="auto"/>
        <w:jc w:val="both"/>
        <w:rPr>
          <w:rFonts w:ascii="Arial" w:hAnsi="Arial" w:cs="Arial"/>
          <w:b w:val="0"/>
          <w:i w:val="0"/>
          <w:sz w:val="22"/>
          <w:szCs w:val="22"/>
        </w:rPr>
      </w:pPr>
      <w:r>
        <w:rPr>
          <w:rFonts w:ascii="Arial" w:hAnsi="Arial" w:cs="Arial"/>
          <w:b w:val="0"/>
          <w:i w:val="0"/>
          <w:sz w:val="22"/>
          <w:szCs w:val="22"/>
        </w:rPr>
        <w:t>3</w:t>
      </w:r>
      <w:r>
        <w:rPr>
          <w:rFonts w:ascii="Arial" w:hAnsi="Arial" w:cs="Arial"/>
          <w:b w:val="0"/>
          <w:i w:val="0"/>
          <w:sz w:val="22"/>
          <w:szCs w:val="22"/>
        </w:rPr>
        <w:tab/>
      </w:r>
      <w:r w:rsidR="00C63D3C" w:rsidRPr="00E034C1">
        <w:rPr>
          <w:rFonts w:ascii="Arial" w:hAnsi="Arial" w:cs="Arial"/>
          <w:b w:val="0"/>
          <w:i w:val="0"/>
          <w:sz w:val="22"/>
          <w:szCs w:val="22"/>
        </w:rPr>
        <w:t>That the administrative oversight by not signing on pages 1-3 of the testamentary document by the testator and two witnesses as contemplated by Section 2 (1)(a)(iv) of the Wills Act 7 of 1953 be condoned.</w:t>
      </w:r>
    </w:p>
    <w:p w:rsidR="00E034C1" w:rsidRDefault="00E034C1" w:rsidP="00E034C1">
      <w:pPr>
        <w:pStyle w:val="Heading2"/>
        <w:spacing w:line="360" w:lineRule="auto"/>
        <w:jc w:val="both"/>
        <w:rPr>
          <w:rFonts w:ascii="Arial" w:hAnsi="Arial" w:cs="Arial"/>
          <w:b w:val="0"/>
          <w:i w:val="0"/>
          <w:sz w:val="22"/>
          <w:szCs w:val="22"/>
        </w:rPr>
      </w:pPr>
    </w:p>
    <w:p w:rsidR="00C63D3C" w:rsidRPr="00E034C1" w:rsidRDefault="00E034C1" w:rsidP="00E034C1">
      <w:pPr>
        <w:pStyle w:val="Heading2"/>
        <w:tabs>
          <w:tab w:val="left" w:pos="540"/>
        </w:tabs>
        <w:spacing w:line="360" w:lineRule="auto"/>
        <w:jc w:val="both"/>
        <w:rPr>
          <w:rFonts w:ascii="Arial" w:hAnsi="Arial" w:cs="Arial"/>
          <w:b w:val="0"/>
          <w:i w:val="0"/>
          <w:sz w:val="22"/>
          <w:szCs w:val="22"/>
        </w:rPr>
      </w:pPr>
      <w:r>
        <w:rPr>
          <w:rFonts w:ascii="Arial" w:hAnsi="Arial" w:cs="Arial"/>
          <w:b w:val="0"/>
          <w:i w:val="0"/>
          <w:sz w:val="22"/>
          <w:szCs w:val="22"/>
        </w:rPr>
        <w:t>4</w:t>
      </w:r>
      <w:r>
        <w:rPr>
          <w:rFonts w:ascii="Arial" w:hAnsi="Arial" w:cs="Arial"/>
          <w:b w:val="0"/>
          <w:i w:val="0"/>
          <w:sz w:val="22"/>
          <w:szCs w:val="22"/>
        </w:rPr>
        <w:tab/>
      </w:r>
      <w:r w:rsidR="00C63D3C" w:rsidRPr="00E034C1">
        <w:rPr>
          <w:rFonts w:ascii="Arial" w:hAnsi="Arial" w:cs="Arial"/>
          <w:b w:val="0"/>
          <w:i w:val="0"/>
          <w:sz w:val="22"/>
          <w:szCs w:val="22"/>
        </w:rPr>
        <w:t>That the party who is appointed as the executor by the testamentary document shall so remain.</w:t>
      </w:r>
      <w:r>
        <w:rPr>
          <w:rFonts w:ascii="Arial" w:hAnsi="Arial" w:cs="Arial"/>
          <w:b w:val="0"/>
          <w:i w:val="0"/>
          <w:sz w:val="22"/>
          <w:szCs w:val="22"/>
        </w:rPr>
        <w:t>’</w:t>
      </w:r>
    </w:p>
    <w:p w:rsidR="009035E4" w:rsidRDefault="009035E4" w:rsidP="00BD6DC1">
      <w:pPr>
        <w:widowControl w:val="0"/>
        <w:spacing w:after="0" w:line="360" w:lineRule="auto"/>
        <w:jc w:val="both"/>
        <w:outlineLvl w:val="1"/>
        <w:rPr>
          <w:rFonts w:ascii="Arial" w:eastAsia="Times New Roman" w:hAnsi="Arial"/>
          <w:spacing w:val="-3"/>
          <w:sz w:val="24"/>
          <w:szCs w:val="20"/>
          <w:lang w:val="en-GB"/>
        </w:rPr>
      </w:pPr>
    </w:p>
    <w:p w:rsidR="004257F9" w:rsidRDefault="00216680" w:rsidP="004257F9">
      <w:pPr>
        <w:pStyle w:val="ListParagraph"/>
        <w:tabs>
          <w:tab w:val="left" w:pos="720"/>
          <w:tab w:val="left" w:pos="4820"/>
        </w:tabs>
        <w:spacing w:line="360" w:lineRule="auto"/>
        <w:ind w:left="0"/>
        <w:jc w:val="both"/>
        <w:rPr>
          <w:rFonts w:cs="Arial"/>
          <w:lang w:val="en-ZA"/>
        </w:rPr>
      </w:pPr>
      <w:r>
        <w:rPr>
          <w:rFonts w:cs="Arial"/>
          <w:lang w:val="en-GB"/>
        </w:rPr>
        <w:t>[8</w:t>
      </w:r>
      <w:r w:rsidR="00425285">
        <w:rPr>
          <w:rFonts w:cs="Arial"/>
          <w:lang w:val="en-GB"/>
        </w:rPr>
        <w:t>]</w:t>
      </w:r>
      <w:r w:rsidR="00425285">
        <w:rPr>
          <w:rFonts w:cs="Arial"/>
          <w:lang w:val="en-GB"/>
        </w:rPr>
        <w:tab/>
      </w:r>
      <w:r w:rsidR="00E034C1">
        <w:rPr>
          <w:rFonts w:cs="Arial"/>
          <w:lang w:val="en-GB"/>
        </w:rPr>
        <w:t xml:space="preserve">The Master opposed the </w:t>
      </w:r>
      <w:r w:rsidR="004257F9">
        <w:rPr>
          <w:rFonts w:cs="Arial"/>
          <w:lang w:val="en-GB"/>
        </w:rPr>
        <w:t>application launched</w:t>
      </w:r>
      <w:r w:rsidR="00DC048A">
        <w:rPr>
          <w:rFonts w:cs="Arial"/>
          <w:lang w:val="en-GB"/>
        </w:rPr>
        <w:t xml:space="preserve"> by the applicants. I</w:t>
      </w:r>
      <w:r w:rsidR="00E034C1">
        <w:rPr>
          <w:rFonts w:cs="Arial"/>
          <w:lang w:val="en-GB"/>
        </w:rPr>
        <w:t xml:space="preserve">n her </w:t>
      </w:r>
      <w:r w:rsidR="004257F9">
        <w:rPr>
          <w:rFonts w:cs="Arial"/>
          <w:lang w:val="en-GB"/>
        </w:rPr>
        <w:t>opposing affidavit</w:t>
      </w:r>
      <w:r w:rsidR="00DC048A">
        <w:rPr>
          <w:rFonts w:cs="Arial"/>
          <w:lang w:val="en-ZA"/>
        </w:rPr>
        <w:t xml:space="preserve">, </w:t>
      </w:r>
      <w:r w:rsidR="004257F9">
        <w:rPr>
          <w:rFonts w:cs="Arial"/>
          <w:lang w:val="en-ZA"/>
        </w:rPr>
        <w:t xml:space="preserve">she states that the death of the late </w:t>
      </w:r>
      <w:proofErr w:type="spellStart"/>
      <w:r w:rsidR="004257F9">
        <w:rPr>
          <w:rFonts w:cs="Arial"/>
          <w:lang w:val="en-ZA"/>
        </w:rPr>
        <w:t>Nuugwedha</w:t>
      </w:r>
      <w:proofErr w:type="spellEnd"/>
      <w:r w:rsidR="004257F9">
        <w:rPr>
          <w:rFonts w:cs="Arial"/>
          <w:lang w:val="en-ZA"/>
        </w:rPr>
        <w:t xml:space="preserve"> was, in terms of s 7 of the Admin</w:t>
      </w:r>
      <w:r w:rsidR="009A53EC">
        <w:rPr>
          <w:rFonts w:cs="Arial"/>
          <w:lang w:val="en-ZA"/>
        </w:rPr>
        <w:t xml:space="preserve">istration of Estates Act No </w:t>
      </w:r>
      <w:r w:rsidR="004257F9">
        <w:rPr>
          <w:rFonts w:cs="Arial"/>
          <w:lang w:val="en-ZA"/>
        </w:rPr>
        <w:t>66 of 19</w:t>
      </w:r>
      <w:r w:rsidR="009A53EC">
        <w:rPr>
          <w:rFonts w:cs="Arial"/>
          <w:lang w:val="en-ZA"/>
        </w:rPr>
        <w:t>65</w:t>
      </w:r>
      <w:r w:rsidR="00D5099F">
        <w:rPr>
          <w:rFonts w:cs="Arial"/>
          <w:lang w:val="en-ZA"/>
        </w:rPr>
        <w:t>, as amended</w:t>
      </w:r>
      <w:r w:rsidR="009A53EC">
        <w:rPr>
          <w:rFonts w:cs="Arial"/>
          <w:lang w:val="en-ZA"/>
        </w:rPr>
        <w:t>,</w:t>
      </w:r>
      <w:r w:rsidR="00D5099F">
        <w:rPr>
          <w:rFonts w:cs="Arial"/>
          <w:lang w:val="en-ZA"/>
        </w:rPr>
        <w:t xml:space="preserve"> reported to her</w:t>
      </w:r>
      <w:r w:rsidR="004257F9">
        <w:rPr>
          <w:rFonts w:cs="Arial"/>
          <w:lang w:val="en-ZA"/>
        </w:rPr>
        <w:t xml:space="preserve"> office and as </w:t>
      </w:r>
      <w:r w:rsidR="004257F9">
        <w:rPr>
          <w:rFonts w:cs="Arial"/>
          <w:lang w:val="en-GB"/>
        </w:rPr>
        <w:t xml:space="preserve">Master, her office considered and studied the </w:t>
      </w:r>
      <w:r w:rsidR="004257F9">
        <w:rPr>
          <w:rFonts w:cs="Arial"/>
          <w:lang w:val="en-ZA"/>
        </w:rPr>
        <w:t xml:space="preserve">late </w:t>
      </w:r>
      <w:proofErr w:type="spellStart"/>
      <w:r w:rsidR="004257F9">
        <w:rPr>
          <w:rFonts w:cs="Arial"/>
          <w:lang w:val="en-ZA"/>
        </w:rPr>
        <w:t>Nuugwedha</w:t>
      </w:r>
      <w:proofErr w:type="spellEnd"/>
      <w:r w:rsidR="004257F9">
        <w:rPr>
          <w:rFonts w:cs="Arial"/>
          <w:lang w:val="en-GB"/>
        </w:rPr>
        <w:t>’s document purporting to be her will in terms the Wills Act, 1953</w:t>
      </w:r>
      <w:r w:rsidR="00D5099F">
        <w:rPr>
          <w:rStyle w:val="FootnoteReference"/>
          <w:lang w:val="en-GB"/>
        </w:rPr>
        <w:footnoteReference w:id="2"/>
      </w:r>
      <w:r w:rsidR="004257F9">
        <w:rPr>
          <w:rFonts w:cs="Arial"/>
          <w:lang w:val="en-GB"/>
        </w:rPr>
        <w:t xml:space="preserve"> and it was established that the document was not</w:t>
      </w:r>
      <w:r w:rsidR="00D5099F">
        <w:rPr>
          <w:rFonts w:cs="Arial"/>
          <w:lang w:val="en-GB"/>
        </w:rPr>
        <w:t xml:space="preserve"> a valid will, as that document</w:t>
      </w:r>
      <w:r w:rsidR="004257F9">
        <w:rPr>
          <w:rFonts w:cs="Arial"/>
          <w:lang w:val="en-GB"/>
        </w:rPr>
        <w:t xml:space="preserve"> was not in compliance with the </w:t>
      </w:r>
      <w:r w:rsidR="004257F9">
        <w:rPr>
          <w:rFonts w:cs="Arial"/>
          <w:bCs/>
        </w:rPr>
        <w:t xml:space="preserve">formalities required for the </w:t>
      </w:r>
      <w:r w:rsidR="004257F9" w:rsidRPr="001266A8">
        <w:rPr>
          <w:rFonts w:cs="Arial"/>
          <w:bCs/>
        </w:rPr>
        <w:t xml:space="preserve">execution of a </w:t>
      </w:r>
      <w:r w:rsidR="004257F9">
        <w:rPr>
          <w:rFonts w:cs="Arial"/>
          <w:bCs/>
        </w:rPr>
        <w:t xml:space="preserve">valid </w:t>
      </w:r>
      <w:r w:rsidR="004257F9" w:rsidRPr="001266A8">
        <w:rPr>
          <w:rFonts w:cs="Arial"/>
          <w:bCs/>
        </w:rPr>
        <w:t>will</w:t>
      </w:r>
      <w:r w:rsidR="004257F9">
        <w:rPr>
          <w:rFonts w:cs="Arial"/>
          <w:bCs/>
        </w:rPr>
        <w:t>. She accordingly</w:t>
      </w:r>
      <w:r w:rsidR="004257F9">
        <w:rPr>
          <w:rFonts w:cs="Arial"/>
          <w:lang w:val="en-ZA"/>
        </w:rPr>
        <w:t xml:space="preserve"> rejected the document purporting to be </w:t>
      </w:r>
      <w:r w:rsidR="00D5099F">
        <w:rPr>
          <w:rFonts w:cs="Arial"/>
          <w:lang w:val="en-ZA"/>
        </w:rPr>
        <w:t>the</w:t>
      </w:r>
      <w:r w:rsidR="004257F9">
        <w:rPr>
          <w:rFonts w:cs="Arial"/>
          <w:lang w:val="en-ZA"/>
        </w:rPr>
        <w:t xml:space="preserve"> will, as an </w:t>
      </w:r>
      <w:r w:rsidR="00DC048A">
        <w:rPr>
          <w:rFonts w:cs="Arial"/>
          <w:lang w:val="en-ZA"/>
        </w:rPr>
        <w:t>invalid will in terms of s</w:t>
      </w:r>
      <w:r w:rsidR="004257F9">
        <w:rPr>
          <w:rFonts w:cs="Arial"/>
          <w:lang w:val="en-ZA"/>
        </w:rPr>
        <w:t xml:space="preserve"> 2 of the Wills Act.</w:t>
      </w:r>
    </w:p>
    <w:p w:rsidR="00E82AAC" w:rsidRPr="00706A22" w:rsidRDefault="00E82AAC" w:rsidP="00216680">
      <w:pPr>
        <w:spacing w:after="0" w:line="360" w:lineRule="auto"/>
        <w:jc w:val="both"/>
        <w:rPr>
          <w:rFonts w:ascii="Arial" w:hAnsi="Arial" w:cs="Arial"/>
          <w:sz w:val="24"/>
          <w:szCs w:val="24"/>
          <w:lang w:val="en-GB"/>
        </w:rPr>
      </w:pPr>
    </w:p>
    <w:p w:rsidR="00041E0E" w:rsidRDefault="00216680" w:rsidP="00041E0E">
      <w:pPr>
        <w:pStyle w:val="ListParagraph"/>
        <w:widowControl/>
        <w:tabs>
          <w:tab w:val="left" w:pos="720"/>
          <w:tab w:val="left" w:pos="4820"/>
        </w:tabs>
        <w:autoSpaceDE/>
        <w:autoSpaceDN/>
        <w:adjustRightInd/>
        <w:spacing w:line="360" w:lineRule="auto"/>
        <w:ind w:left="0"/>
        <w:contextualSpacing/>
        <w:jc w:val="both"/>
        <w:rPr>
          <w:rFonts w:cs="Arial"/>
          <w:lang w:val="en-ZA"/>
        </w:rPr>
      </w:pPr>
      <w:r w:rsidRPr="00706A22">
        <w:rPr>
          <w:rFonts w:cs="Arial"/>
          <w:lang w:val="en-GB"/>
        </w:rPr>
        <w:t>[9</w:t>
      </w:r>
      <w:r w:rsidR="00E82AAC" w:rsidRPr="00706A22">
        <w:rPr>
          <w:rFonts w:cs="Arial"/>
          <w:lang w:val="en-GB"/>
        </w:rPr>
        <w:t>]</w:t>
      </w:r>
      <w:r w:rsidR="00E82AAC" w:rsidRPr="00706A22">
        <w:rPr>
          <w:rFonts w:cs="Arial"/>
          <w:lang w:val="en-GB"/>
        </w:rPr>
        <w:tab/>
      </w:r>
      <w:r w:rsidR="004B1814">
        <w:rPr>
          <w:rFonts w:cs="Arial"/>
          <w:lang w:val="en-GB"/>
        </w:rPr>
        <w:t>In her affidavit</w:t>
      </w:r>
      <w:r w:rsidR="00706A22">
        <w:rPr>
          <w:rFonts w:cs="Arial"/>
          <w:lang w:val="en-GB"/>
        </w:rPr>
        <w:t xml:space="preserve"> in support of the opposition </w:t>
      </w:r>
      <w:r w:rsidR="00C014AC">
        <w:rPr>
          <w:rFonts w:cs="Arial"/>
          <w:lang w:val="en-GB"/>
        </w:rPr>
        <w:t>to the</w:t>
      </w:r>
      <w:r w:rsidR="00706A22">
        <w:rPr>
          <w:rFonts w:cs="Arial"/>
          <w:lang w:val="en-GB"/>
        </w:rPr>
        <w:t xml:space="preserve"> r</w:t>
      </w:r>
      <w:r w:rsidR="00C014AC">
        <w:rPr>
          <w:rFonts w:cs="Arial"/>
          <w:lang w:val="en-GB"/>
        </w:rPr>
        <w:t xml:space="preserve">elief sought by the applicants, the Master raised a point </w:t>
      </w:r>
      <w:r w:rsidR="00C014AC" w:rsidRPr="00D5099F">
        <w:rPr>
          <w:rFonts w:cs="Arial"/>
          <w:i/>
          <w:lang w:val="en-GB"/>
        </w:rPr>
        <w:t xml:space="preserve">in </w:t>
      </w:r>
      <w:proofErr w:type="spellStart"/>
      <w:r w:rsidR="00C014AC" w:rsidRPr="00D5099F">
        <w:rPr>
          <w:rFonts w:cs="Arial"/>
          <w:i/>
          <w:lang w:val="en-GB"/>
        </w:rPr>
        <w:t>limine</w:t>
      </w:r>
      <w:proofErr w:type="spellEnd"/>
      <w:r w:rsidR="00C014AC">
        <w:rPr>
          <w:rFonts w:cs="Arial"/>
          <w:lang w:val="en-GB"/>
        </w:rPr>
        <w:t xml:space="preserve"> relating to the non-joinder of certain persons. She states that the</w:t>
      </w:r>
      <w:r w:rsidR="00706A22" w:rsidRPr="00706A22">
        <w:rPr>
          <w:rFonts w:cs="Arial"/>
          <w:lang w:val="en-ZA"/>
        </w:rPr>
        <w:t xml:space="preserve"> following persons namely, </w:t>
      </w:r>
      <w:proofErr w:type="spellStart"/>
      <w:r w:rsidR="00706A22" w:rsidRPr="00706A22">
        <w:rPr>
          <w:rFonts w:cs="Arial"/>
          <w:lang w:val="en-ZA"/>
        </w:rPr>
        <w:t>Foibe</w:t>
      </w:r>
      <w:proofErr w:type="spellEnd"/>
      <w:r w:rsidR="00706A22" w:rsidRPr="00706A22">
        <w:rPr>
          <w:rFonts w:cs="Arial"/>
          <w:lang w:val="en-ZA"/>
        </w:rPr>
        <w:t xml:space="preserve"> </w:t>
      </w:r>
      <w:proofErr w:type="spellStart"/>
      <w:r w:rsidR="00706A22" w:rsidRPr="00706A22">
        <w:rPr>
          <w:rFonts w:cs="Arial"/>
          <w:lang w:val="en-ZA"/>
        </w:rPr>
        <w:t>Namene</w:t>
      </w:r>
      <w:proofErr w:type="spellEnd"/>
      <w:r w:rsidR="00706A22" w:rsidRPr="00706A22">
        <w:rPr>
          <w:rFonts w:cs="Arial"/>
          <w:lang w:val="en-ZA"/>
        </w:rPr>
        <w:t xml:space="preserve">, Petrus </w:t>
      </w:r>
      <w:proofErr w:type="spellStart"/>
      <w:r w:rsidR="00706A22" w:rsidRPr="00706A22">
        <w:rPr>
          <w:rFonts w:cs="Arial"/>
          <w:lang w:val="en-ZA"/>
        </w:rPr>
        <w:t>Nalimanguluke</w:t>
      </w:r>
      <w:proofErr w:type="spellEnd"/>
      <w:r w:rsidR="00706A22" w:rsidRPr="00706A22">
        <w:rPr>
          <w:rFonts w:cs="Arial"/>
          <w:lang w:val="en-ZA"/>
        </w:rPr>
        <w:t xml:space="preserve"> </w:t>
      </w:r>
      <w:proofErr w:type="spellStart"/>
      <w:r w:rsidR="00706A22" w:rsidRPr="00706A22">
        <w:rPr>
          <w:rFonts w:cs="Arial"/>
          <w:lang w:val="en-ZA"/>
        </w:rPr>
        <w:t>Uusiku</w:t>
      </w:r>
      <w:proofErr w:type="spellEnd"/>
      <w:r w:rsidR="00706A22" w:rsidRPr="00706A22">
        <w:rPr>
          <w:rFonts w:cs="Arial"/>
          <w:lang w:val="en-ZA"/>
        </w:rPr>
        <w:t xml:space="preserve">, Barnabas Ephraim, Linea </w:t>
      </w:r>
      <w:proofErr w:type="spellStart"/>
      <w:r w:rsidR="00706A22" w:rsidRPr="00706A22">
        <w:rPr>
          <w:rFonts w:cs="Arial"/>
          <w:lang w:val="en-ZA"/>
        </w:rPr>
        <w:t>Kandali</w:t>
      </w:r>
      <w:proofErr w:type="spellEnd"/>
      <w:r w:rsidR="00706A22" w:rsidRPr="00706A22">
        <w:rPr>
          <w:rFonts w:cs="Arial"/>
          <w:lang w:val="en-ZA"/>
        </w:rPr>
        <w:t xml:space="preserve"> </w:t>
      </w:r>
      <w:proofErr w:type="spellStart"/>
      <w:r w:rsidR="00706A22" w:rsidRPr="00706A22">
        <w:rPr>
          <w:rFonts w:cs="Arial"/>
          <w:lang w:val="en-ZA"/>
        </w:rPr>
        <w:t>Iyambo</w:t>
      </w:r>
      <w:proofErr w:type="spellEnd"/>
      <w:r w:rsidR="00706A22" w:rsidRPr="00706A22">
        <w:rPr>
          <w:rFonts w:cs="Arial"/>
          <w:lang w:val="en-ZA"/>
        </w:rPr>
        <w:t xml:space="preserve"> and Paulina </w:t>
      </w:r>
      <w:proofErr w:type="spellStart"/>
      <w:r w:rsidR="00706A22" w:rsidRPr="00706A22">
        <w:rPr>
          <w:rFonts w:cs="Arial"/>
          <w:lang w:val="en-ZA"/>
        </w:rPr>
        <w:t>Ndinelago</w:t>
      </w:r>
      <w:proofErr w:type="spellEnd"/>
      <w:r w:rsidR="00706A22" w:rsidRPr="00706A22">
        <w:rPr>
          <w:rFonts w:cs="Arial"/>
          <w:lang w:val="en-ZA"/>
        </w:rPr>
        <w:t xml:space="preserve"> Gabriel (herein referred to as the legatees) are reflected as beneficiaries in the invalid will, </w:t>
      </w:r>
      <w:r w:rsidR="008633B6">
        <w:rPr>
          <w:rFonts w:cs="Arial"/>
          <w:lang w:val="en-ZA"/>
        </w:rPr>
        <w:t xml:space="preserve">they </w:t>
      </w:r>
      <w:r w:rsidR="00706A22" w:rsidRPr="00706A22">
        <w:rPr>
          <w:rFonts w:cs="Arial"/>
          <w:lang w:val="en-ZA"/>
        </w:rPr>
        <w:t>thus have an interest in the dissolution of the deceased’s estate</w:t>
      </w:r>
      <w:r w:rsidR="008633B6">
        <w:rPr>
          <w:rFonts w:cs="Arial"/>
          <w:lang w:val="en-ZA"/>
        </w:rPr>
        <w:t xml:space="preserve"> and ought to have been joined as parties</w:t>
      </w:r>
      <w:r w:rsidR="001B18E4">
        <w:rPr>
          <w:rFonts w:cs="Arial"/>
          <w:lang w:val="en-ZA"/>
        </w:rPr>
        <w:t xml:space="preserve">. Before I consider the </w:t>
      </w:r>
      <w:r w:rsidR="00D5099F">
        <w:rPr>
          <w:rFonts w:cs="Arial"/>
          <w:lang w:val="en-ZA"/>
        </w:rPr>
        <w:t>merits of this case</w:t>
      </w:r>
      <w:r w:rsidR="004B1814">
        <w:rPr>
          <w:rFonts w:cs="Arial"/>
          <w:lang w:val="en-ZA"/>
        </w:rPr>
        <w:t>,</w:t>
      </w:r>
      <w:r w:rsidR="00D5099F">
        <w:rPr>
          <w:rFonts w:cs="Arial"/>
          <w:lang w:val="en-ZA"/>
        </w:rPr>
        <w:t xml:space="preserve"> I will briefly</w:t>
      </w:r>
      <w:r w:rsidR="00CF543E">
        <w:rPr>
          <w:rFonts w:cs="Arial"/>
          <w:lang w:val="en-ZA"/>
        </w:rPr>
        <w:t xml:space="preserve"> deal with the point </w:t>
      </w:r>
      <w:r w:rsidR="00CF543E" w:rsidRPr="00041E0E">
        <w:rPr>
          <w:rFonts w:cs="Arial"/>
          <w:i/>
          <w:lang w:val="en-ZA"/>
        </w:rPr>
        <w:t xml:space="preserve">in </w:t>
      </w:r>
      <w:proofErr w:type="spellStart"/>
      <w:r w:rsidR="00CF543E" w:rsidRPr="00041E0E">
        <w:rPr>
          <w:rFonts w:cs="Arial"/>
          <w:i/>
          <w:lang w:val="en-ZA"/>
        </w:rPr>
        <w:t>limine</w:t>
      </w:r>
      <w:proofErr w:type="spellEnd"/>
      <w:r w:rsidR="00CF543E">
        <w:rPr>
          <w:rFonts w:cs="Arial"/>
          <w:lang w:val="en-ZA"/>
        </w:rPr>
        <w:t xml:space="preserve"> raised by the Master.</w:t>
      </w:r>
    </w:p>
    <w:p w:rsidR="00041E0E" w:rsidRDefault="00041E0E" w:rsidP="00041E0E">
      <w:pPr>
        <w:pStyle w:val="ListParagraph"/>
        <w:widowControl/>
        <w:tabs>
          <w:tab w:val="left" w:pos="720"/>
          <w:tab w:val="left" w:pos="4820"/>
        </w:tabs>
        <w:autoSpaceDE/>
        <w:autoSpaceDN/>
        <w:adjustRightInd/>
        <w:spacing w:line="360" w:lineRule="auto"/>
        <w:ind w:left="0"/>
        <w:contextualSpacing/>
        <w:jc w:val="both"/>
        <w:rPr>
          <w:rFonts w:cs="Arial"/>
          <w:lang w:val="en-ZA"/>
        </w:rPr>
      </w:pPr>
    </w:p>
    <w:p w:rsidR="00041E0E" w:rsidRPr="0098493D" w:rsidRDefault="00041E0E" w:rsidP="00041E0E">
      <w:pPr>
        <w:pStyle w:val="ListParagraph"/>
        <w:widowControl/>
        <w:tabs>
          <w:tab w:val="left" w:pos="720"/>
          <w:tab w:val="left" w:pos="4820"/>
        </w:tabs>
        <w:autoSpaceDE/>
        <w:autoSpaceDN/>
        <w:adjustRightInd/>
        <w:spacing w:line="360" w:lineRule="auto"/>
        <w:ind w:left="0"/>
        <w:contextualSpacing/>
        <w:jc w:val="both"/>
        <w:rPr>
          <w:rFonts w:cs="Arial"/>
          <w:u w:val="single"/>
          <w:lang w:val="en-ZA"/>
        </w:rPr>
      </w:pPr>
      <w:r w:rsidRPr="00041E0E">
        <w:rPr>
          <w:rFonts w:cs="Arial"/>
          <w:u w:val="single"/>
          <w:lang w:val="en-ZA"/>
        </w:rPr>
        <w:t xml:space="preserve">The point </w:t>
      </w:r>
      <w:r w:rsidRPr="00041E0E">
        <w:rPr>
          <w:rFonts w:cs="Arial"/>
          <w:i/>
          <w:u w:val="single"/>
          <w:lang w:val="en-ZA"/>
        </w:rPr>
        <w:t xml:space="preserve">in </w:t>
      </w:r>
      <w:proofErr w:type="spellStart"/>
      <w:r w:rsidRPr="00041E0E">
        <w:rPr>
          <w:rFonts w:cs="Arial"/>
          <w:i/>
          <w:u w:val="single"/>
          <w:lang w:val="en-ZA"/>
        </w:rPr>
        <w:t>limine</w:t>
      </w:r>
      <w:proofErr w:type="spellEnd"/>
      <w:r w:rsidR="0098493D">
        <w:rPr>
          <w:rFonts w:cs="Arial"/>
          <w:i/>
          <w:u w:val="single"/>
          <w:lang w:val="en-ZA"/>
        </w:rPr>
        <w:t xml:space="preserve"> </w:t>
      </w:r>
      <w:r w:rsidR="0098493D">
        <w:rPr>
          <w:rFonts w:cs="Arial"/>
          <w:u w:val="single"/>
          <w:lang w:val="en-ZA"/>
        </w:rPr>
        <w:t xml:space="preserve">on non-joinder </w:t>
      </w:r>
    </w:p>
    <w:p w:rsidR="00041E0E" w:rsidRDefault="00041E0E" w:rsidP="00041E0E">
      <w:pPr>
        <w:pStyle w:val="ListParagraph"/>
        <w:widowControl/>
        <w:tabs>
          <w:tab w:val="left" w:pos="720"/>
          <w:tab w:val="left" w:pos="4820"/>
        </w:tabs>
        <w:autoSpaceDE/>
        <w:autoSpaceDN/>
        <w:adjustRightInd/>
        <w:spacing w:line="360" w:lineRule="auto"/>
        <w:ind w:left="0"/>
        <w:contextualSpacing/>
        <w:jc w:val="both"/>
        <w:rPr>
          <w:rFonts w:cs="Arial"/>
          <w:lang w:val="en-ZA"/>
        </w:rPr>
      </w:pPr>
    </w:p>
    <w:p w:rsidR="00CF543E" w:rsidRPr="00951C99" w:rsidRDefault="00041E0E" w:rsidP="00041E0E">
      <w:pPr>
        <w:pStyle w:val="ListParagraph"/>
        <w:widowControl/>
        <w:tabs>
          <w:tab w:val="left" w:pos="720"/>
          <w:tab w:val="left" w:pos="4820"/>
        </w:tabs>
        <w:autoSpaceDE/>
        <w:autoSpaceDN/>
        <w:adjustRightInd/>
        <w:spacing w:line="360" w:lineRule="auto"/>
        <w:ind w:left="0"/>
        <w:contextualSpacing/>
        <w:jc w:val="both"/>
        <w:rPr>
          <w:rFonts w:cs="Arial"/>
          <w:lang w:val="en-ZA"/>
        </w:rPr>
      </w:pPr>
      <w:r>
        <w:rPr>
          <w:rFonts w:cs="Arial"/>
          <w:lang w:val="en-ZA"/>
        </w:rPr>
        <w:t>[10]</w:t>
      </w:r>
      <w:r>
        <w:rPr>
          <w:rFonts w:cs="Arial"/>
          <w:lang w:val="en-ZA"/>
        </w:rPr>
        <w:tab/>
      </w:r>
      <w:r w:rsidR="004D1F71">
        <w:rPr>
          <w:rFonts w:cs="Arial"/>
          <w:lang w:val="en-ZA"/>
        </w:rPr>
        <w:t xml:space="preserve">Mr </w:t>
      </w:r>
      <w:proofErr w:type="spellStart"/>
      <w:r w:rsidR="004D1F71">
        <w:rPr>
          <w:rFonts w:cs="Arial"/>
          <w:lang w:val="en-ZA"/>
        </w:rPr>
        <w:t>Tibinyane</w:t>
      </w:r>
      <w:proofErr w:type="spellEnd"/>
      <w:r w:rsidR="004D1F71">
        <w:rPr>
          <w:rFonts w:cs="Arial"/>
          <w:lang w:val="en-ZA"/>
        </w:rPr>
        <w:t xml:space="preserve">, who appeared for the Master, </w:t>
      </w:r>
      <w:r w:rsidR="00CF543E">
        <w:rPr>
          <w:rFonts w:cs="Arial"/>
          <w:lang w:val="en-ZA"/>
        </w:rPr>
        <w:t xml:space="preserve">argued that </w:t>
      </w:r>
      <w:r w:rsidR="00CF543E">
        <w:rPr>
          <w:rFonts w:cs="Arial"/>
        </w:rPr>
        <w:t xml:space="preserve">this </w:t>
      </w:r>
      <w:r w:rsidR="00CF543E" w:rsidRPr="00951C99">
        <w:rPr>
          <w:rFonts w:cs="Arial"/>
        </w:rPr>
        <w:t xml:space="preserve">Court </w:t>
      </w:r>
      <w:r w:rsidR="00CF543E">
        <w:rPr>
          <w:rFonts w:cs="Arial"/>
        </w:rPr>
        <w:t>has held that</w:t>
      </w:r>
      <w:r w:rsidR="00CF543E" w:rsidRPr="00951C99">
        <w:rPr>
          <w:rFonts w:cs="Arial"/>
        </w:rPr>
        <w:t xml:space="preserve"> where any person has direct and substantial interest in issues raised before any Court and which interest may be prejudicially affected by such judgment, it </w:t>
      </w:r>
      <w:r w:rsidR="00CF543E">
        <w:rPr>
          <w:rFonts w:cs="Arial"/>
        </w:rPr>
        <w:t>is</w:t>
      </w:r>
      <w:r w:rsidR="00CF543E" w:rsidRPr="00951C99">
        <w:rPr>
          <w:rFonts w:cs="Arial"/>
        </w:rPr>
        <w:t xml:space="preserve"> essential </w:t>
      </w:r>
      <w:r w:rsidR="00CF543E">
        <w:rPr>
          <w:rFonts w:cs="Arial"/>
        </w:rPr>
        <w:t>that such</w:t>
      </w:r>
      <w:r w:rsidR="00CF543E" w:rsidRPr="00951C99">
        <w:rPr>
          <w:rFonts w:cs="Arial"/>
        </w:rPr>
        <w:t xml:space="preserve"> person </w:t>
      </w:r>
      <w:r w:rsidR="00CF543E">
        <w:rPr>
          <w:rFonts w:cs="Arial"/>
        </w:rPr>
        <w:t>is</w:t>
      </w:r>
      <w:r w:rsidR="00CF543E" w:rsidRPr="00951C99">
        <w:rPr>
          <w:rFonts w:cs="Arial"/>
        </w:rPr>
        <w:t xml:space="preserve"> joined as a party to such proceedings, either as </w:t>
      </w:r>
      <w:r w:rsidR="00CF543E">
        <w:rPr>
          <w:rFonts w:cs="Arial"/>
        </w:rPr>
        <w:t>a</w:t>
      </w:r>
      <w:r w:rsidR="00CF543E" w:rsidRPr="00951C99">
        <w:rPr>
          <w:rFonts w:cs="Arial"/>
        </w:rPr>
        <w:t xml:space="preserve">n applicant or as a respondent. </w:t>
      </w:r>
      <w:r w:rsidR="00CF543E">
        <w:rPr>
          <w:rFonts w:cs="Arial"/>
        </w:rPr>
        <w:t xml:space="preserve"> He referred me to a number </w:t>
      </w:r>
      <w:r w:rsidR="004B07B7">
        <w:rPr>
          <w:rFonts w:cs="Arial"/>
        </w:rPr>
        <w:t xml:space="preserve">of </w:t>
      </w:r>
      <w:r w:rsidR="00CF543E">
        <w:rPr>
          <w:rFonts w:cs="Arial"/>
        </w:rPr>
        <w:t>authorities emanating from this Court.</w:t>
      </w:r>
      <w:r w:rsidR="00CF543E">
        <w:rPr>
          <w:rStyle w:val="FootnoteReference"/>
        </w:rPr>
        <w:footnoteReference w:id="3"/>
      </w:r>
    </w:p>
    <w:p w:rsidR="00706A22" w:rsidRPr="00706A22" w:rsidRDefault="00041E0E" w:rsidP="001B18E4">
      <w:pPr>
        <w:spacing w:after="0" w:line="360" w:lineRule="auto"/>
        <w:contextualSpacing/>
        <w:jc w:val="both"/>
        <w:rPr>
          <w:rFonts w:ascii="Arial" w:hAnsi="Arial" w:cs="Arial"/>
          <w:sz w:val="24"/>
          <w:szCs w:val="24"/>
          <w:lang w:val="en-ZA"/>
        </w:rPr>
      </w:pPr>
      <w:r>
        <w:rPr>
          <w:rFonts w:ascii="Arial" w:hAnsi="Arial" w:cs="Arial"/>
          <w:sz w:val="24"/>
          <w:szCs w:val="24"/>
          <w:lang w:val="en-ZA"/>
        </w:rPr>
        <w:lastRenderedPageBreak/>
        <w:t>[11]</w:t>
      </w:r>
      <w:r>
        <w:rPr>
          <w:rFonts w:ascii="Arial" w:hAnsi="Arial" w:cs="Arial"/>
          <w:sz w:val="24"/>
          <w:szCs w:val="24"/>
          <w:lang w:val="en-ZA"/>
        </w:rPr>
        <w:tab/>
        <w:t>I have no qualms with the</w:t>
      </w:r>
      <w:r w:rsidR="004D1F71">
        <w:rPr>
          <w:rFonts w:ascii="Arial" w:hAnsi="Arial" w:cs="Arial"/>
          <w:sz w:val="24"/>
          <w:szCs w:val="24"/>
          <w:lang w:val="en-ZA"/>
        </w:rPr>
        <w:t xml:space="preserve"> correctness of the</w:t>
      </w:r>
      <w:r>
        <w:rPr>
          <w:rFonts w:ascii="Arial" w:hAnsi="Arial" w:cs="Arial"/>
          <w:sz w:val="24"/>
          <w:szCs w:val="24"/>
          <w:lang w:val="en-ZA"/>
        </w:rPr>
        <w:t xml:space="preserve"> legal position as argued and put forward by Mr </w:t>
      </w:r>
      <w:proofErr w:type="spellStart"/>
      <w:r>
        <w:rPr>
          <w:rFonts w:ascii="Arial" w:hAnsi="Arial" w:cs="Arial"/>
          <w:sz w:val="24"/>
          <w:szCs w:val="24"/>
          <w:lang w:val="en-ZA"/>
        </w:rPr>
        <w:t>Tibinyane</w:t>
      </w:r>
      <w:proofErr w:type="spellEnd"/>
      <w:r>
        <w:rPr>
          <w:rFonts w:ascii="Arial" w:hAnsi="Arial" w:cs="Arial"/>
          <w:sz w:val="24"/>
          <w:szCs w:val="24"/>
          <w:lang w:val="en-ZA"/>
        </w:rPr>
        <w:t xml:space="preserve">. What Mr </w:t>
      </w:r>
      <w:proofErr w:type="spellStart"/>
      <w:r>
        <w:rPr>
          <w:rFonts w:ascii="Arial" w:hAnsi="Arial" w:cs="Arial"/>
          <w:sz w:val="24"/>
          <w:szCs w:val="24"/>
          <w:lang w:val="en-ZA"/>
        </w:rPr>
        <w:t>Tibinyane</w:t>
      </w:r>
      <w:proofErr w:type="spellEnd"/>
      <w:r>
        <w:rPr>
          <w:rFonts w:ascii="Arial" w:hAnsi="Arial" w:cs="Arial"/>
          <w:sz w:val="24"/>
          <w:szCs w:val="24"/>
          <w:lang w:val="en-ZA"/>
        </w:rPr>
        <w:t xml:space="preserve"> has overlooked is the case of </w:t>
      </w:r>
      <w:r w:rsidRPr="00041E0E">
        <w:rPr>
          <w:rFonts w:ascii="Arial" w:hAnsi="Arial" w:cs="Arial"/>
          <w:i/>
          <w:sz w:val="24"/>
          <w:szCs w:val="24"/>
          <w:lang w:val="en-ZA"/>
        </w:rPr>
        <w:t xml:space="preserve">Kerry McNamara Architects </w:t>
      </w:r>
      <w:proofErr w:type="spellStart"/>
      <w:r w:rsidRPr="00041E0E">
        <w:rPr>
          <w:rFonts w:ascii="Arial" w:hAnsi="Arial" w:cs="Arial"/>
          <w:i/>
          <w:sz w:val="24"/>
          <w:szCs w:val="24"/>
          <w:lang w:val="en-ZA"/>
        </w:rPr>
        <w:t>Inc</w:t>
      </w:r>
      <w:proofErr w:type="spellEnd"/>
      <w:r w:rsidRPr="00041E0E">
        <w:rPr>
          <w:rFonts w:ascii="Arial" w:hAnsi="Arial" w:cs="Arial"/>
          <w:i/>
          <w:sz w:val="24"/>
          <w:szCs w:val="24"/>
          <w:lang w:val="en-ZA"/>
        </w:rPr>
        <w:t xml:space="preserve"> and Others v Minister of Works, Transport and Communication and Others</w:t>
      </w:r>
      <w:r>
        <w:rPr>
          <w:rStyle w:val="FootnoteReference"/>
          <w:rFonts w:ascii="Arial" w:hAnsi="Arial"/>
          <w:i/>
          <w:sz w:val="24"/>
          <w:szCs w:val="24"/>
          <w:lang w:val="en-ZA"/>
        </w:rPr>
        <w:footnoteReference w:id="4"/>
      </w:r>
      <w:r w:rsidR="002A1147">
        <w:rPr>
          <w:rFonts w:ascii="Arial" w:hAnsi="Arial" w:cs="Arial"/>
          <w:sz w:val="24"/>
          <w:szCs w:val="24"/>
          <w:lang w:val="en-ZA"/>
        </w:rPr>
        <w:t xml:space="preserve"> where it was held that for the</w:t>
      </w:r>
      <w:r w:rsidR="002A1147" w:rsidRPr="002A1147">
        <w:rPr>
          <w:rFonts w:ascii="Arial" w:hAnsi="Arial" w:cs="Arial"/>
          <w:sz w:val="24"/>
          <w:szCs w:val="24"/>
          <w:lang w:val="en-ZA"/>
        </w:rPr>
        <w:t xml:space="preserve"> purposes of </w:t>
      </w:r>
      <w:r w:rsidR="002A1147" w:rsidRPr="002A1147">
        <w:rPr>
          <w:rFonts w:ascii="Arial" w:hAnsi="Arial" w:cs="Arial"/>
          <w:i/>
          <w:sz w:val="24"/>
          <w:szCs w:val="24"/>
          <w:lang w:val="en-ZA"/>
        </w:rPr>
        <w:t>locus standi</w:t>
      </w:r>
      <w:r w:rsidR="002A1147" w:rsidRPr="002A1147">
        <w:rPr>
          <w:rFonts w:ascii="Arial" w:hAnsi="Arial" w:cs="Arial"/>
          <w:sz w:val="24"/>
          <w:szCs w:val="24"/>
          <w:lang w:val="en-ZA"/>
        </w:rPr>
        <w:t xml:space="preserve"> </w:t>
      </w:r>
      <w:r w:rsidR="002A1147">
        <w:rPr>
          <w:rFonts w:ascii="Arial" w:hAnsi="Arial" w:cs="Arial"/>
          <w:sz w:val="24"/>
          <w:szCs w:val="24"/>
          <w:lang w:val="en-ZA"/>
        </w:rPr>
        <w:t xml:space="preserve">a person must have </w:t>
      </w:r>
      <w:r w:rsidR="002A1147" w:rsidRPr="002A1147">
        <w:rPr>
          <w:rFonts w:ascii="Arial" w:hAnsi="Arial" w:cs="Arial"/>
          <w:sz w:val="24"/>
          <w:szCs w:val="24"/>
          <w:lang w:val="en-ZA"/>
        </w:rPr>
        <w:t xml:space="preserve">a direct interest </w:t>
      </w:r>
      <w:r w:rsidR="002A1147">
        <w:rPr>
          <w:rFonts w:ascii="Arial" w:hAnsi="Arial" w:cs="Arial"/>
          <w:sz w:val="24"/>
          <w:szCs w:val="24"/>
          <w:lang w:val="en-ZA"/>
        </w:rPr>
        <w:t>and not derivative rights</w:t>
      </w:r>
      <w:r w:rsidR="002A1147" w:rsidRPr="002A1147">
        <w:rPr>
          <w:rFonts w:ascii="Arial" w:hAnsi="Arial" w:cs="Arial"/>
          <w:sz w:val="24"/>
          <w:szCs w:val="24"/>
          <w:lang w:val="en-ZA"/>
        </w:rPr>
        <w:t xml:space="preserve">. </w:t>
      </w:r>
      <w:r w:rsidR="002A1147">
        <w:rPr>
          <w:rFonts w:ascii="Arial" w:hAnsi="Arial" w:cs="Arial"/>
          <w:sz w:val="24"/>
          <w:szCs w:val="24"/>
          <w:lang w:val="en-ZA"/>
        </w:rPr>
        <w:t xml:space="preserve"> In the present matter the rights and interest</w:t>
      </w:r>
      <w:r w:rsidR="0064794F">
        <w:rPr>
          <w:rFonts w:ascii="Arial" w:hAnsi="Arial" w:cs="Arial"/>
          <w:sz w:val="24"/>
          <w:szCs w:val="24"/>
          <w:lang w:val="en-ZA"/>
        </w:rPr>
        <w:t>s</w:t>
      </w:r>
      <w:r w:rsidR="002A1147">
        <w:rPr>
          <w:rFonts w:ascii="Arial" w:hAnsi="Arial" w:cs="Arial"/>
          <w:sz w:val="24"/>
          <w:szCs w:val="24"/>
          <w:lang w:val="en-ZA"/>
        </w:rPr>
        <w:t xml:space="preserve"> of the persons mentioned by the Master are dependent on the acceptance of the late </w:t>
      </w:r>
      <w:proofErr w:type="spellStart"/>
      <w:r w:rsidR="002A1147">
        <w:rPr>
          <w:rFonts w:ascii="Arial" w:hAnsi="Arial" w:cs="Arial"/>
          <w:sz w:val="24"/>
          <w:szCs w:val="24"/>
          <w:lang w:val="en-ZA"/>
        </w:rPr>
        <w:t>Nuugw</w:t>
      </w:r>
      <w:r w:rsidR="004B60EF">
        <w:rPr>
          <w:rFonts w:ascii="Arial" w:hAnsi="Arial" w:cs="Arial"/>
          <w:sz w:val="24"/>
          <w:szCs w:val="24"/>
          <w:lang w:val="en-ZA"/>
        </w:rPr>
        <w:t>edha’s</w:t>
      </w:r>
      <w:proofErr w:type="spellEnd"/>
      <w:r w:rsidR="004B60EF">
        <w:rPr>
          <w:rFonts w:ascii="Arial" w:hAnsi="Arial" w:cs="Arial"/>
          <w:sz w:val="24"/>
          <w:szCs w:val="24"/>
          <w:lang w:val="en-ZA"/>
        </w:rPr>
        <w:t xml:space="preserve"> will being accepted as </w:t>
      </w:r>
      <w:r w:rsidR="002A1147">
        <w:rPr>
          <w:rFonts w:ascii="Arial" w:hAnsi="Arial" w:cs="Arial"/>
          <w:sz w:val="24"/>
          <w:szCs w:val="24"/>
          <w:lang w:val="en-ZA"/>
        </w:rPr>
        <w:t>valid and to that extent their rights are derivative rights. There is in my view therefore no need to join</w:t>
      </w:r>
      <w:r w:rsidR="00482F20">
        <w:rPr>
          <w:rFonts w:ascii="Arial" w:hAnsi="Arial" w:cs="Arial"/>
          <w:sz w:val="24"/>
          <w:szCs w:val="24"/>
          <w:lang w:val="en-ZA"/>
        </w:rPr>
        <w:t xml:space="preserve"> them as parties to this case. </w:t>
      </w:r>
      <w:r w:rsidR="002A1147">
        <w:rPr>
          <w:rFonts w:ascii="Arial" w:hAnsi="Arial" w:cs="Arial"/>
          <w:sz w:val="24"/>
          <w:szCs w:val="24"/>
          <w:lang w:val="en-ZA"/>
        </w:rPr>
        <w:t>I will now proceed to consider the legal principles applicable to this case.</w:t>
      </w:r>
    </w:p>
    <w:p w:rsidR="00706A22" w:rsidRPr="00091E6B" w:rsidRDefault="00706A22" w:rsidP="001B18E4">
      <w:pPr>
        <w:widowControl w:val="0"/>
        <w:autoSpaceDE w:val="0"/>
        <w:autoSpaceDN w:val="0"/>
        <w:adjustRightInd w:val="0"/>
        <w:spacing w:after="0" w:line="360" w:lineRule="auto"/>
        <w:jc w:val="both"/>
        <w:rPr>
          <w:rFonts w:ascii="Arial" w:eastAsia="Times New Roman" w:hAnsi="Arial" w:cs="Arial"/>
          <w:lang w:val="en-GB" w:eastAsia="en-GB"/>
        </w:rPr>
      </w:pPr>
    </w:p>
    <w:p w:rsidR="00E82AAC" w:rsidRDefault="001B18E4" w:rsidP="001B18E4">
      <w:pPr>
        <w:spacing w:after="0" w:line="360" w:lineRule="auto"/>
        <w:jc w:val="both"/>
        <w:rPr>
          <w:rFonts w:ascii="Arial" w:hAnsi="Arial" w:cs="Arial"/>
          <w:sz w:val="24"/>
          <w:szCs w:val="24"/>
          <w:u w:val="single"/>
          <w:lang w:val="en-GB"/>
        </w:rPr>
      </w:pPr>
      <w:r w:rsidRPr="001B18E4">
        <w:rPr>
          <w:rFonts w:ascii="Arial" w:hAnsi="Arial" w:cs="Arial"/>
          <w:sz w:val="24"/>
          <w:szCs w:val="24"/>
          <w:u w:val="single"/>
          <w:lang w:val="en-GB"/>
        </w:rPr>
        <w:t>The legal principles</w:t>
      </w:r>
    </w:p>
    <w:p w:rsidR="001B18E4" w:rsidRPr="00DF196A" w:rsidRDefault="001B18E4" w:rsidP="001B18E4">
      <w:pPr>
        <w:spacing w:after="0" w:line="360" w:lineRule="auto"/>
        <w:jc w:val="both"/>
        <w:rPr>
          <w:rFonts w:ascii="Arial" w:hAnsi="Arial" w:cs="Arial"/>
          <w:sz w:val="24"/>
          <w:szCs w:val="24"/>
          <w:u w:val="single"/>
          <w:lang w:val="en-GB"/>
        </w:rPr>
      </w:pPr>
    </w:p>
    <w:p w:rsidR="00DF196A" w:rsidRPr="00DF196A" w:rsidRDefault="00216680" w:rsidP="00FC333D">
      <w:pPr>
        <w:spacing w:after="0" w:line="360" w:lineRule="auto"/>
        <w:jc w:val="both"/>
        <w:rPr>
          <w:rFonts w:ascii="Arial" w:hAnsi="Arial" w:cs="Arial"/>
          <w:sz w:val="24"/>
          <w:szCs w:val="24"/>
        </w:rPr>
      </w:pPr>
      <w:r w:rsidRPr="00DF196A">
        <w:rPr>
          <w:rFonts w:ascii="Arial" w:hAnsi="Arial" w:cs="Arial"/>
          <w:sz w:val="24"/>
          <w:szCs w:val="24"/>
          <w:lang w:val="en-GB"/>
        </w:rPr>
        <w:t>[1</w:t>
      </w:r>
      <w:r w:rsidR="00792738" w:rsidRPr="00DF196A">
        <w:rPr>
          <w:rFonts w:ascii="Arial" w:hAnsi="Arial" w:cs="Arial"/>
          <w:sz w:val="24"/>
          <w:szCs w:val="24"/>
          <w:lang w:val="en-GB"/>
        </w:rPr>
        <w:t>2</w:t>
      </w:r>
      <w:r w:rsidR="00E82AAC" w:rsidRPr="00DF196A">
        <w:rPr>
          <w:rFonts w:ascii="Arial" w:hAnsi="Arial" w:cs="Arial"/>
          <w:sz w:val="24"/>
          <w:szCs w:val="24"/>
          <w:lang w:val="en-GB"/>
        </w:rPr>
        <w:t>]</w:t>
      </w:r>
      <w:r w:rsidR="00E82AAC" w:rsidRPr="00DF196A">
        <w:rPr>
          <w:rFonts w:ascii="Arial" w:hAnsi="Arial" w:cs="Arial"/>
          <w:sz w:val="24"/>
          <w:szCs w:val="24"/>
          <w:lang w:val="en-GB"/>
        </w:rPr>
        <w:tab/>
      </w:r>
      <w:r w:rsidR="00792738" w:rsidRPr="00DF196A">
        <w:rPr>
          <w:rFonts w:ascii="Arial" w:hAnsi="Arial" w:cs="Arial"/>
          <w:sz w:val="24"/>
          <w:szCs w:val="24"/>
          <w:lang w:val="en-GB"/>
        </w:rPr>
        <w:t xml:space="preserve">I find it appropriate to </w:t>
      </w:r>
      <w:r w:rsidR="004B07B7">
        <w:rPr>
          <w:rFonts w:ascii="Arial" w:hAnsi="Arial" w:cs="Arial"/>
          <w:sz w:val="24"/>
          <w:szCs w:val="24"/>
          <w:lang w:val="en-GB"/>
        </w:rPr>
        <w:t>mention</w:t>
      </w:r>
      <w:r w:rsidR="009C4189">
        <w:rPr>
          <w:rFonts w:ascii="Arial" w:hAnsi="Arial" w:cs="Arial"/>
          <w:sz w:val="24"/>
          <w:szCs w:val="24"/>
          <w:lang w:val="en-GB"/>
        </w:rPr>
        <w:t xml:space="preserve"> that in </w:t>
      </w:r>
      <w:r w:rsidR="00FC333D" w:rsidRPr="00DF196A">
        <w:rPr>
          <w:rFonts w:ascii="Arial" w:hAnsi="Arial" w:cs="Arial"/>
          <w:sz w:val="24"/>
          <w:szCs w:val="24"/>
        </w:rPr>
        <w:t xml:space="preserve">an article published in the </w:t>
      </w:r>
      <w:r w:rsidR="00FC333D" w:rsidRPr="004B60EF">
        <w:rPr>
          <w:rFonts w:ascii="Arial" w:hAnsi="Arial" w:cs="Arial"/>
          <w:i/>
          <w:sz w:val="24"/>
          <w:szCs w:val="24"/>
        </w:rPr>
        <w:t>SALJ</w:t>
      </w:r>
      <w:r w:rsidR="00FC333D" w:rsidRPr="00DF196A">
        <w:rPr>
          <w:rStyle w:val="FootnoteReference"/>
          <w:rFonts w:ascii="Arial" w:hAnsi="Arial" w:cs="Arial"/>
          <w:sz w:val="24"/>
          <w:szCs w:val="24"/>
        </w:rPr>
        <w:footnoteReference w:id="5"/>
      </w:r>
      <w:r w:rsidR="0064794F">
        <w:rPr>
          <w:rFonts w:ascii="Arial" w:hAnsi="Arial" w:cs="Arial"/>
          <w:sz w:val="24"/>
          <w:szCs w:val="24"/>
        </w:rPr>
        <w:t xml:space="preserve"> P</w:t>
      </w:r>
      <w:r w:rsidR="00FC333D" w:rsidRPr="00DF196A">
        <w:rPr>
          <w:rFonts w:ascii="Arial" w:hAnsi="Arial" w:cs="Arial"/>
          <w:sz w:val="24"/>
          <w:szCs w:val="24"/>
        </w:rPr>
        <w:t xml:space="preserve">rofessor </w:t>
      </w:r>
      <w:proofErr w:type="spellStart"/>
      <w:r w:rsidR="00FC333D" w:rsidRPr="00DF196A">
        <w:rPr>
          <w:rFonts w:ascii="Arial" w:hAnsi="Arial" w:cs="Arial"/>
          <w:sz w:val="24"/>
          <w:szCs w:val="24"/>
        </w:rPr>
        <w:t>Beinart</w:t>
      </w:r>
      <w:proofErr w:type="spellEnd"/>
      <w:r w:rsidR="00FC333D" w:rsidRPr="00DF196A">
        <w:rPr>
          <w:rFonts w:ascii="Arial" w:hAnsi="Arial" w:cs="Arial"/>
          <w:sz w:val="24"/>
          <w:szCs w:val="24"/>
        </w:rPr>
        <w:t xml:space="preserve"> stated that the 1953 Wills Act was the culmination of a long process of development</w:t>
      </w:r>
      <w:r w:rsidR="00DF196A" w:rsidRPr="00DF196A">
        <w:rPr>
          <w:rFonts w:ascii="Arial" w:hAnsi="Arial" w:cs="Arial"/>
          <w:sz w:val="24"/>
          <w:szCs w:val="24"/>
        </w:rPr>
        <w:t>.</w:t>
      </w:r>
      <w:r w:rsidR="00FC333D" w:rsidRPr="00DF196A">
        <w:rPr>
          <w:rFonts w:ascii="Arial" w:hAnsi="Arial" w:cs="Arial"/>
          <w:sz w:val="24"/>
          <w:szCs w:val="24"/>
        </w:rPr>
        <w:t xml:space="preserve"> </w:t>
      </w:r>
      <w:r w:rsidR="00DF196A" w:rsidRPr="00DF196A">
        <w:rPr>
          <w:rFonts w:ascii="Arial" w:hAnsi="Arial" w:cs="Arial"/>
          <w:sz w:val="24"/>
          <w:szCs w:val="24"/>
        </w:rPr>
        <w:t>He said:</w:t>
      </w:r>
    </w:p>
    <w:p w:rsidR="00DF196A" w:rsidRDefault="00DF196A" w:rsidP="00FC333D">
      <w:pPr>
        <w:spacing w:after="0" w:line="360" w:lineRule="auto"/>
        <w:jc w:val="both"/>
        <w:rPr>
          <w:rFonts w:ascii="Arial" w:hAnsi="Arial" w:cs="Arial"/>
          <w:sz w:val="24"/>
          <w:szCs w:val="24"/>
        </w:rPr>
      </w:pPr>
    </w:p>
    <w:p w:rsidR="00DF196A" w:rsidRDefault="00DF196A" w:rsidP="00454C1D">
      <w:pPr>
        <w:spacing w:after="0" w:line="360" w:lineRule="auto"/>
        <w:jc w:val="both"/>
        <w:rPr>
          <w:rFonts w:ascii="Arial" w:hAnsi="Arial" w:cs="Arial"/>
          <w:sz w:val="24"/>
          <w:szCs w:val="24"/>
        </w:rPr>
      </w:pPr>
      <w:r w:rsidRPr="00DF196A">
        <w:rPr>
          <w:rFonts w:ascii="Arial" w:hAnsi="Arial" w:cs="Arial"/>
        </w:rPr>
        <w:t>‘</w:t>
      </w:r>
      <w:r w:rsidR="00FC333D" w:rsidRPr="00DF196A">
        <w:rPr>
          <w:rFonts w:ascii="Arial" w:hAnsi="Arial" w:cs="Arial"/>
        </w:rPr>
        <w:t>Our law relating to the execution of wills has retained many forms which are relics of its Roman and Dutch past. Legislation in the various Provinces has added or partly substituted the English forms of will.</w:t>
      </w:r>
      <w:r>
        <w:rPr>
          <w:rFonts w:ascii="Arial" w:hAnsi="Arial" w:cs="Arial"/>
          <w:sz w:val="24"/>
          <w:szCs w:val="24"/>
        </w:rPr>
        <w:t>’</w:t>
      </w:r>
    </w:p>
    <w:p w:rsidR="004B07B7" w:rsidRDefault="004B07B7" w:rsidP="00DF196A">
      <w:pPr>
        <w:spacing w:after="0" w:line="360" w:lineRule="auto"/>
        <w:jc w:val="both"/>
        <w:rPr>
          <w:rFonts w:ascii="Arial" w:hAnsi="Arial" w:cs="Arial"/>
          <w:sz w:val="24"/>
          <w:szCs w:val="24"/>
        </w:rPr>
      </w:pPr>
    </w:p>
    <w:p w:rsidR="00FC333D" w:rsidRDefault="009C4189" w:rsidP="00DF196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F196A" w:rsidRPr="00AD0A53">
        <w:rPr>
          <w:rFonts w:ascii="Arial" w:hAnsi="Arial" w:cs="Arial"/>
          <w:sz w:val="24"/>
          <w:szCs w:val="24"/>
        </w:rPr>
        <w:t>The Cape Ordinance</w:t>
      </w:r>
      <w:r w:rsidR="00691017">
        <w:rPr>
          <w:rFonts w:ascii="Arial" w:hAnsi="Arial" w:cs="Arial"/>
          <w:sz w:val="24"/>
          <w:szCs w:val="24"/>
        </w:rPr>
        <w:t>,</w:t>
      </w:r>
      <w:r w:rsidR="00DF196A" w:rsidRPr="00AD0A53">
        <w:rPr>
          <w:rFonts w:ascii="Arial" w:hAnsi="Arial" w:cs="Arial"/>
          <w:sz w:val="24"/>
          <w:szCs w:val="24"/>
        </w:rPr>
        <w:t xml:space="preserve"> on which the 1953 Wills Act was </w:t>
      </w:r>
      <w:r w:rsidR="00C517C9" w:rsidRPr="00AD0A53">
        <w:rPr>
          <w:rFonts w:ascii="Arial" w:hAnsi="Arial" w:cs="Arial"/>
          <w:sz w:val="24"/>
          <w:szCs w:val="24"/>
        </w:rPr>
        <w:t xml:space="preserve">equally </w:t>
      </w:r>
      <w:r w:rsidR="00FC333D" w:rsidRPr="00AD0A53">
        <w:rPr>
          <w:rFonts w:ascii="Arial" w:hAnsi="Arial" w:cs="Arial"/>
          <w:sz w:val="24"/>
          <w:szCs w:val="24"/>
        </w:rPr>
        <w:t>modelled on s 9 of the English Wills Act, 1837</w:t>
      </w:r>
      <w:r w:rsidR="00691017">
        <w:rPr>
          <w:rFonts w:ascii="Arial" w:hAnsi="Arial" w:cs="Arial"/>
          <w:sz w:val="24"/>
          <w:szCs w:val="24"/>
        </w:rPr>
        <w:t>,</w:t>
      </w:r>
      <w:r w:rsidR="00E8496C" w:rsidRPr="00AD0A53">
        <w:rPr>
          <w:rFonts w:ascii="Arial" w:hAnsi="Arial" w:cs="Arial"/>
          <w:sz w:val="24"/>
          <w:szCs w:val="24"/>
        </w:rPr>
        <w:t xml:space="preserve"> originated in </w:t>
      </w:r>
      <w:r w:rsidR="00691017">
        <w:rPr>
          <w:rFonts w:ascii="Arial" w:hAnsi="Arial" w:cs="Arial"/>
          <w:sz w:val="24"/>
          <w:szCs w:val="24"/>
        </w:rPr>
        <w:t xml:space="preserve">the Statute of Frauds of </w:t>
      </w:r>
      <w:proofErr w:type="gramStart"/>
      <w:r w:rsidR="00691017">
        <w:rPr>
          <w:rFonts w:ascii="Arial" w:hAnsi="Arial" w:cs="Arial"/>
          <w:sz w:val="24"/>
          <w:szCs w:val="24"/>
        </w:rPr>
        <w:t>1677,’</w:t>
      </w:r>
      <w:r w:rsidR="00F50615">
        <w:rPr>
          <w:rFonts w:ascii="Arial" w:hAnsi="Arial" w:cs="Arial"/>
          <w:sz w:val="24"/>
          <w:szCs w:val="24"/>
        </w:rPr>
        <w:t>.</w:t>
      </w:r>
      <w:proofErr w:type="gramEnd"/>
      <w:r w:rsidR="00691017">
        <w:rPr>
          <w:rFonts w:ascii="Arial" w:hAnsi="Arial" w:cs="Arial"/>
          <w:sz w:val="24"/>
          <w:szCs w:val="24"/>
        </w:rPr>
        <w:t xml:space="preserve"> T</w:t>
      </w:r>
      <w:r w:rsidR="00E8496C" w:rsidRPr="00AD0A53">
        <w:rPr>
          <w:rFonts w:ascii="Arial" w:hAnsi="Arial" w:cs="Arial"/>
          <w:sz w:val="24"/>
          <w:szCs w:val="24"/>
        </w:rPr>
        <w:t>he first Wills Act</w:t>
      </w:r>
      <w:r w:rsidR="004B60EF">
        <w:rPr>
          <w:rFonts w:ascii="Arial" w:hAnsi="Arial" w:cs="Arial"/>
          <w:sz w:val="24"/>
          <w:szCs w:val="24"/>
        </w:rPr>
        <w:t xml:space="preserve"> which provided “</w:t>
      </w:r>
      <w:r w:rsidR="00FC333D" w:rsidRPr="00AD0A53">
        <w:rPr>
          <w:rFonts w:ascii="Arial" w:hAnsi="Arial" w:cs="Arial"/>
          <w:sz w:val="24"/>
          <w:szCs w:val="24"/>
        </w:rPr>
        <w:t>No will shall be valid unless it shall be in writing and executed in</w:t>
      </w:r>
      <w:r w:rsidR="00F50615">
        <w:rPr>
          <w:rFonts w:ascii="Arial" w:hAnsi="Arial" w:cs="Arial"/>
          <w:sz w:val="24"/>
          <w:szCs w:val="24"/>
        </w:rPr>
        <w:t xml:space="preserve"> the</w:t>
      </w:r>
      <w:r w:rsidR="00FC333D" w:rsidRPr="00AD0A53">
        <w:rPr>
          <w:rFonts w:ascii="Arial" w:hAnsi="Arial" w:cs="Arial"/>
          <w:sz w:val="24"/>
          <w:szCs w:val="24"/>
        </w:rPr>
        <w:t xml:space="preserve"> manner hereinafter mentioned; (that is to say), it shall be signed at the foot or end ther</w:t>
      </w:r>
      <w:r>
        <w:rPr>
          <w:rFonts w:ascii="Arial" w:hAnsi="Arial" w:cs="Arial"/>
          <w:sz w:val="24"/>
          <w:szCs w:val="24"/>
        </w:rPr>
        <w:t>eof by the testator, or by some</w:t>
      </w:r>
      <w:r w:rsidR="00FC333D" w:rsidRPr="00AD0A53">
        <w:rPr>
          <w:rFonts w:ascii="Arial" w:hAnsi="Arial" w:cs="Arial"/>
          <w:sz w:val="24"/>
          <w:szCs w:val="24"/>
        </w:rPr>
        <w:t xml:space="preserve"> other person in his presence and by his direction, and such signature shall be made or acknowledged by the testator in the presence of two or more witnesses present at the same time, and such witnesses shall attest and shall subscribe</w:t>
      </w:r>
      <w:r w:rsidR="00F50615">
        <w:rPr>
          <w:rFonts w:ascii="Arial" w:hAnsi="Arial" w:cs="Arial"/>
          <w:sz w:val="24"/>
          <w:szCs w:val="24"/>
        </w:rPr>
        <w:t xml:space="preserve"> to</w:t>
      </w:r>
      <w:r w:rsidR="00FC333D" w:rsidRPr="00AD0A53">
        <w:rPr>
          <w:rFonts w:ascii="Arial" w:hAnsi="Arial" w:cs="Arial"/>
          <w:sz w:val="24"/>
          <w:szCs w:val="24"/>
        </w:rPr>
        <w:t xml:space="preserve"> the will in the presence of the testator, but no form of attestation </w:t>
      </w:r>
      <w:r w:rsidR="00F50615">
        <w:rPr>
          <w:rFonts w:ascii="Arial" w:hAnsi="Arial" w:cs="Arial"/>
          <w:sz w:val="24"/>
          <w:szCs w:val="24"/>
        </w:rPr>
        <w:t>shall be necessary."</w:t>
      </w:r>
      <w:r w:rsidR="00313441">
        <w:rPr>
          <w:rFonts w:ascii="Arial" w:hAnsi="Arial" w:cs="Arial"/>
          <w:sz w:val="24"/>
          <w:szCs w:val="24"/>
        </w:rPr>
        <w:t>’</w:t>
      </w:r>
    </w:p>
    <w:p w:rsidR="001B6124" w:rsidRPr="00427AC6" w:rsidRDefault="009C4189" w:rsidP="00454C1D">
      <w:pPr>
        <w:autoSpaceDE w:val="0"/>
        <w:autoSpaceDN w:val="0"/>
        <w:adjustRightInd w:val="0"/>
        <w:spacing w:after="0" w:line="360" w:lineRule="auto"/>
        <w:jc w:val="both"/>
        <w:rPr>
          <w:rFonts w:ascii="Arial" w:hAnsi="Arial" w:cs="Arial"/>
          <w:sz w:val="24"/>
          <w:szCs w:val="24"/>
        </w:rPr>
      </w:pPr>
      <w:r w:rsidRPr="00427AC6">
        <w:rPr>
          <w:rFonts w:ascii="Arial" w:hAnsi="Arial" w:cs="Arial"/>
          <w:sz w:val="24"/>
          <w:szCs w:val="24"/>
          <w:lang w:val="en-GB"/>
        </w:rPr>
        <w:lastRenderedPageBreak/>
        <w:t>[14]</w:t>
      </w:r>
      <w:r w:rsidRPr="00427AC6">
        <w:rPr>
          <w:rFonts w:ascii="Arial" w:hAnsi="Arial" w:cs="Arial"/>
          <w:sz w:val="24"/>
          <w:szCs w:val="24"/>
          <w:lang w:val="en-GB"/>
        </w:rPr>
        <w:tab/>
        <w:t xml:space="preserve">The English Courts have thus </w:t>
      </w:r>
      <w:r w:rsidR="001B6124" w:rsidRPr="00427AC6">
        <w:rPr>
          <w:rFonts w:ascii="Arial" w:hAnsi="Arial" w:cs="Arial"/>
          <w:sz w:val="24"/>
          <w:szCs w:val="24"/>
        </w:rPr>
        <w:t xml:space="preserve">required literal compliance with the Wills Act formalities, automatically invalidating defectively executed wills. A good example is the case of </w:t>
      </w:r>
      <w:r w:rsidR="001B6124" w:rsidRPr="00DC7651">
        <w:rPr>
          <w:rFonts w:ascii="Arial" w:hAnsi="Arial" w:cs="Arial"/>
          <w:i/>
          <w:sz w:val="24"/>
          <w:szCs w:val="24"/>
        </w:rPr>
        <w:t xml:space="preserve">Marley </w:t>
      </w:r>
      <w:r w:rsidR="001B6124" w:rsidRPr="00DC7651">
        <w:rPr>
          <w:rFonts w:ascii="Arial" w:hAnsi="Arial" w:cs="Arial"/>
          <w:i/>
          <w:iCs/>
          <w:sz w:val="24"/>
          <w:szCs w:val="24"/>
        </w:rPr>
        <w:t xml:space="preserve">v </w:t>
      </w:r>
      <w:r w:rsidR="001B6124" w:rsidRPr="00DC7651">
        <w:rPr>
          <w:rFonts w:ascii="Arial" w:hAnsi="Arial" w:cs="Arial"/>
          <w:i/>
          <w:sz w:val="24"/>
          <w:szCs w:val="24"/>
        </w:rPr>
        <w:t>Rawlings</w:t>
      </w:r>
      <w:r w:rsidR="00F064B2">
        <w:rPr>
          <w:rFonts w:ascii="Arial" w:hAnsi="Arial" w:cs="Arial"/>
          <w:sz w:val="24"/>
          <w:szCs w:val="24"/>
        </w:rPr>
        <w:t>.</w:t>
      </w:r>
      <w:r w:rsidR="001B6124" w:rsidRPr="00427AC6">
        <w:rPr>
          <w:rStyle w:val="FootnoteReference"/>
          <w:rFonts w:ascii="Arial" w:hAnsi="Arial" w:cs="Arial"/>
          <w:sz w:val="24"/>
          <w:szCs w:val="24"/>
        </w:rPr>
        <w:footnoteReference w:id="6"/>
      </w:r>
      <w:r w:rsidR="001B6124" w:rsidRPr="00427AC6">
        <w:rPr>
          <w:rFonts w:ascii="Arial" w:hAnsi="Arial" w:cs="Arial"/>
          <w:sz w:val="24"/>
          <w:szCs w:val="24"/>
        </w:rPr>
        <w:t xml:space="preserve"> The brief facts of that case are that in 1999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and </w:t>
      </w:r>
      <w:proofErr w:type="spellStart"/>
      <w:r w:rsidR="001B6124" w:rsidRPr="00427AC6">
        <w:rPr>
          <w:rFonts w:ascii="Arial" w:hAnsi="Arial" w:cs="Arial"/>
          <w:sz w:val="24"/>
          <w:szCs w:val="24"/>
        </w:rPr>
        <w:t>Mrs</w:t>
      </w:r>
      <w:proofErr w:type="spellEnd"/>
      <w:r w:rsidR="001B6124" w:rsidRPr="00427AC6">
        <w:rPr>
          <w:rFonts w:ascii="Arial" w:hAnsi="Arial" w:cs="Arial"/>
          <w:sz w:val="24"/>
          <w:szCs w:val="24"/>
        </w:rPr>
        <w:t xml:space="preserve"> Rawlings saw their solicitor</w:t>
      </w:r>
      <w:r w:rsidR="00427AC6">
        <w:rPr>
          <w:rFonts w:ascii="Arial" w:hAnsi="Arial" w:cs="Arial"/>
          <w:sz w:val="24"/>
          <w:szCs w:val="24"/>
        </w:rPr>
        <w:t xml:space="preserve"> (legal practitioner)</w:t>
      </w:r>
      <w:r w:rsidR="001B6124" w:rsidRPr="00427AC6">
        <w:rPr>
          <w:rFonts w:ascii="Arial" w:hAnsi="Arial" w:cs="Arial"/>
          <w:sz w:val="24"/>
          <w:szCs w:val="24"/>
        </w:rPr>
        <w:t xml:space="preserve"> to execute mutual wills. The entire estate</w:t>
      </w:r>
      <w:r w:rsidR="00427AC6">
        <w:rPr>
          <w:rFonts w:ascii="Arial" w:hAnsi="Arial" w:cs="Arial"/>
          <w:sz w:val="24"/>
          <w:szCs w:val="24"/>
        </w:rPr>
        <w:t xml:space="preserve"> </w:t>
      </w:r>
      <w:r w:rsidR="001B6124" w:rsidRPr="00427AC6">
        <w:rPr>
          <w:rFonts w:ascii="Arial" w:hAnsi="Arial" w:cs="Arial"/>
          <w:sz w:val="24"/>
          <w:szCs w:val="24"/>
        </w:rPr>
        <w:t>was to pass to the surviving spouse. When the survivor died the property was to be inherited</w:t>
      </w:r>
      <w:r w:rsidR="00427AC6">
        <w:rPr>
          <w:rFonts w:ascii="Arial" w:hAnsi="Arial" w:cs="Arial"/>
          <w:sz w:val="24"/>
          <w:szCs w:val="24"/>
        </w:rPr>
        <w:t xml:space="preserve"> </w:t>
      </w:r>
      <w:r w:rsidR="001B6124" w:rsidRPr="00427AC6">
        <w:rPr>
          <w:rFonts w:ascii="Arial" w:hAnsi="Arial" w:cs="Arial"/>
          <w:sz w:val="24"/>
          <w:szCs w:val="24"/>
        </w:rPr>
        <w:t>not by the couple’s natural and legitimate sons, but by Terry Marley, who was unrelated to</w:t>
      </w:r>
      <w:r w:rsidR="00427AC6">
        <w:rPr>
          <w:rFonts w:ascii="Arial" w:hAnsi="Arial" w:cs="Arial"/>
          <w:sz w:val="24"/>
          <w:szCs w:val="24"/>
        </w:rPr>
        <w:t xml:space="preserve"> </w:t>
      </w:r>
      <w:r w:rsidR="001B6124" w:rsidRPr="00427AC6">
        <w:rPr>
          <w:rFonts w:ascii="Arial" w:hAnsi="Arial" w:cs="Arial"/>
          <w:sz w:val="24"/>
          <w:szCs w:val="24"/>
        </w:rPr>
        <w:t>them but had been informally adopted</w:t>
      </w:r>
      <w:r w:rsidR="00BC3E52">
        <w:rPr>
          <w:rFonts w:ascii="Arial" w:hAnsi="Arial" w:cs="Arial"/>
          <w:sz w:val="24"/>
          <w:szCs w:val="24"/>
        </w:rPr>
        <w:t xml:space="preserve"> by them</w:t>
      </w:r>
      <w:r w:rsidR="001B6124" w:rsidRPr="00427AC6">
        <w:rPr>
          <w:rFonts w:ascii="Arial" w:hAnsi="Arial" w:cs="Arial"/>
          <w:sz w:val="24"/>
          <w:szCs w:val="24"/>
        </w:rPr>
        <w:t xml:space="preserve">.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and </w:t>
      </w:r>
      <w:proofErr w:type="spellStart"/>
      <w:r w:rsidR="001B6124" w:rsidRPr="00427AC6">
        <w:rPr>
          <w:rFonts w:ascii="Arial" w:hAnsi="Arial" w:cs="Arial"/>
          <w:sz w:val="24"/>
          <w:szCs w:val="24"/>
        </w:rPr>
        <w:t>Mrs</w:t>
      </w:r>
      <w:proofErr w:type="spellEnd"/>
      <w:r w:rsidR="001B6124" w:rsidRPr="00427AC6">
        <w:rPr>
          <w:rFonts w:ascii="Arial" w:hAnsi="Arial" w:cs="Arial"/>
          <w:sz w:val="24"/>
          <w:szCs w:val="24"/>
        </w:rPr>
        <w:t xml:space="preserve"> Rawlings regarded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Marley as their</w:t>
      </w:r>
      <w:r w:rsidR="00427AC6">
        <w:rPr>
          <w:rFonts w:ascii="Arial" w:hAnsi="Arial" w:cs="Arial"/>
          <w:sz w:val="24"/>
          <w:szCs w:val="24"/>
        </w:rPr>
        <w:t xml:space="preserve"> </w:t>
      </w:r>
      <w:r w:rsidR="001B6124" w:rsidRPr="00427AC6">
        <w:rPr>
          <w:rFonts w:ascii="Arial" w:hAnsi="Arial" w:cs="Arial"/>
          <w:sz w:val="24"/>
          <w:szCs w:val="24"/>
        </w:rPr>
        <w:t>s</w:t>
      </w:r>
      <w:r w:rsidR="00BC3E52">
        <w:rPr>
          <w:rFonts w:ascii="Arial" w:hAnsi="Arial" w:cs="Arial"/>
          <w:sz w:val="24"/>
          <w:szCs w:val="24"/>
        </w:rPr>
        <w:t>on. Unfortunately, the Rawlings</w:t>
      </w:r>
      <w:r w:rsidR="001B6124" w:rsidRPr="00427AC6">
        <w:rPr>
          <w:rFonts w:ascii="Arial" w:hAnsi="Arial" w:cs="Arial"/>
          <w:sz w:val="24"/>
          <w:szCs w:val="24"/>
        </w:rPr>
        <w:t xml:space="preserve"> signed each other’s wills by mistake; the respective</w:t>
      </w:r>
      <w:r w:rsidR="00427AC6">
        <w:rPr>
          <w:rFonts w:ascii="Arial" w:hAnsi="Arial" w:cs="Arial"/>
          <w:sz w:val="24"/>
          <w:szCs w:val="24"/>
        </w:rPr>
        <w:t xml:space="preserve"> </w:t>
      </w:r>
      <w:r w:rsidR="001B6124" w:rsidRPr="00427AC6">
        <w:rPr>
          <w:rFonts w:ascii="Arial" w:hAnsi="Arial" w:cs="Arial"/>
          <w:sz w:val="24"/>
          <w:szCs w:val="24"/>
        </w:rPr>
        <w:t>signatures were attested by the solicitor and secretary but the error was not noticed. When</w:t>
      </w:r>
      <w:r w:rsidR="00427AC6">
        <w:rPr>
          <w:rFonts w:ascii="Arial" w:hAnsi="Arial" w:cs="Arial"/>
          <w:sz w:val="24"/>
          <w:szCs w:val="24"/>
        </w:rPr>
        <w:t xml:space="preserve"> </w:t>
      </w:r>
      <w:proofErr w:type="spellStart"/>
      <w:r w:rsidR="001B6124" w:rsidRPr="00427AC6">
        <w:rPr>
          <w:rFonts w:ascii="Arial" w:hAnsi="Arial" w:cs="Arial"/>
          <w:sz w:val="24"/>
          <w:szCs w:val="24"/>
        </w:rPr>
        <w:t>Mrs</w:t>
      </w:r>
      <w:proofErr w:type="spellEnd"/>
      <w:r w:rsidR="001B6124" w:rsidRPr="00427AC6">
        <w:rPr>
          <w:rFonts w:ascii="Arial" w:hAnsi="Arial" w:cs="Arial"/>
          <w:sz w:val="24"/>
          <w:szCs w:val="24"/>
        </w:rPr>
        <w:t xml:space="preserve"> Rawlings died in 2003 the mistake went unseen and the will was proved.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Rawlings</w:t>
      </w:r>
      <w:r w:rsidR="00427AC6">
        <w:rPr>
          <w:rFonts w:ascii="Arial" w:hAnsi="Arial" w:cs="Arial"/>
          <w:sz w:val="24"/>
          <w:szCs w:val="24"/>
        </w:rPr>
        <w:t xml:space="preserve"> </w:t>
      </w:r>
      <w:r w:rsidR="001B6124" w:rsidRPr="00427AC6">
        <w:rPr>
          <w:rFonts w:ascii="Arial" w:hAnsi="Arial" w:cs="Arial"/>
          <w:sz w:val="24"/>
          <w:szCs w:val="24"/>
        </w:rPr>
        <w:t xml:space="preserve">then died in August 2006. A dispute arose between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Marley and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Rawlings’ two sons.</w:t>
      </w:r>
      <w:r w:rsidR="00427AC6">
        <w:rPr>
          <w:rFonts w:ascii="Arial" w:hAnsi="Arial" w:cs="Arial"/>
          <w:sz w:val="24"/>
          <w:szCs w:val="24"/>
        </w:rPr>
        <w:t xml:space="preserve"> </w:t>
      </w:r>
      <w:r w:rsidR="001B6124" w:rsidRPr="00427AC6">
        <w:rPr>
          <w:rFonts w:ascii="Arial" w:hAnsi="Arial" w:cs="Arial"/>
          <w:sz w:val="24"/>
          <w:szCs w:val="24"/>
        </w:rPr>
        <w:t xml:space="preserve">The validity of the will was contested as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Rawlings’ will did not comply with the</w:t>
      </w:r>
      <w:r w:rsidR="00427AC6">
        <w:rPr>
          <w:rFonts w:ascii="Arial" w:hAnsi="Arial" w:cs="Arial"/>
          <w:sz w:val="24"/>
          <w:szCs w:val="24"/>
        </w:rPr>
        <w:t xml:space="preserve"> </w:t>
      </w:r>
      <w:r w:rsidR="001B6124" w:rsidRPr="00427AC6">
        <w:rPr>
          <w:rFonts w:ascii="Arial" w:hAnsi="Arial" w:cs="Arial"/>
          <w:sz w:val="24"/>
          <w:szCs w:val="24"/>
        </w:rPr>
        <w:t>necessary formalities under the 1837 Act.</w:t>
      </w:r>
      <w:r w:rsidR="00427AC6">
        <w:rPr>
          <w:rFonts w:ascii="Arial" w:hAnsi="Arial" w:cs="Arial"/>
          <w:sz w:val="24"/>
          <w:szCs w:val="24"/>
        </w:rPr>
        <w:t xml:space="preserve"> </w:t>
      </w:r>
      <w:r w:rsidR="001B6124" w:rsidRPr="00427AC6">
        <w:rPr>
          <w:rFonts w:ascii="Arial" w:hAnsi="Arial" w:cs="Arial"/>
          <w:sz w:val="24"/>
          <w:szCs w:val="24"/>
        </w:rPr>
        <w:t xml:space="preserve">If the will was thus invalid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Rawlings would have died intestate. The statutory rules of</w:t>
      </w:r>
      <w:r w:rsidR="00427AC6">
        <w:rPr>
          <w:rFonts w:ascii="Arial" w:hAnsi="Arial" w:cs="Arial"/>
          <w:sz w:val="24"/>
          <w:szCs w:val="24"/>
        </w:rPr>
        <w:t xml:space="preserve"> </w:t>
      </w:r>
      <w:r w:rsidR="001B6124" w:rsidRPr="00427AC6">
        <w:rPr>
          <w:rFonts w:ascii="Arial" w:hAnsi="Arial" w:cs="Arial"/>
          <w:sz w:val="24"/>
          <w:szCs w:val="24"/>
        </w:rPr>
        <w:t xml:space="preserve">intestacy would </w:t>
      </w:r>
      <w:r w:rsidR="00BC3E52">
        <w:rPr>
          <w:rFonts w:ascii="Arial" w:hAnsi="Arial" w:cs="Arial"/>
          <w:sz w:val="24"/>
          <w:szCs w:val="24"/>
        </w:rPr>
        <w:t>then</w:t>
      </w:r>
      <w:r w:rsidR="00B70548">
        <w:rPr>
          <w:rFonts w:ascii="Arial" w:hAnsi="Arial" w:cs="Arial"/>
          <w:sz w:val="24"/>
          <w:szCs w:val="24"/>
        </w:rPr>
        <w:t xml:space="preserve"> </w:t>
      </w:r>
      <w:r w:rsidR="001B6124" w:rsidRPr="00427AC6">
        <w:rPr>
          <w:rFonts w:ascii="Arial" w:hAnsi="Arial" w:cs="Arial"/>
          <w:sz w:val="24"/>
          <w:szCs w:val="24"/>
        </w:rPr>
        <w:t xml:space="preserve">apply, allowing the sons to inherit but not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Marley, never having formally</w:t>
      </w:r>
      <w:r w:rsidR="00427AC6">
        <w:rPr>
          <w:rFonts w:ascii="Arial" w:hAnsi="Arial" w:cs="Arial"/>
          <w:sz w:val="24"/>
          <w:szCs w:val="24"/>
        </w:rPr>
        <w:t xml:space="preserve"> </w:t>
      </w:r>
      <w:r w:rsidR="001B6124" w:rsidRPr="00427AC6">
        <w:rPr>
          <w:rFonts w:ascii="Arial" w:hAnsi="Arial" w:cs="Arial"/>
          <w:sz w:val="24"/>
          <w:szCs w:val="24"/>
        </w:rPr>
        <w:t xml:space="preserve">been adopted. The High Court rejected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Marley’s claim: the will did not comply with the</w:t>
      </w:r>
      <w:r w:rsidR="00427AC6">
        <w:rPr>
          <w:rFonts w:ascii="Arial" w:hAnsi="Arial" w:cs="Arial"/>
          <w:sz w:val="24"/>
          <w:szCs w:val="24"/>
        </w:rPr>
        <w:t xml:space="preserve"> </w:t>
      </w:r>
      <w:r w:rsidR="001B6124" w:rsidRPr="00427AC6">
        <w:rPr>
          <w:rFonts w:ascii="Arial" w:hAnsi="Arial" w:cs="Arial"/>
          <w:sz w:val="24"/>
          <w:szCs w:val="24"/>
        </w:rPr>
        <w:t xml:space="preserve">requirements of the 1837 Act as it was not </w:t>
      </w:r>
      <w:r w:rsidR="001B6124" w:rsidRPr="00427AC6">
        <w:rPr>
          <w:rFonts w:ascii="Arial" w:hAnsi="Arial" w:cs="Arial"/>
          <w:i/>
          <w:iCs/>
          <w:sz w:val="24"/>
          <w:szCs w:val="24"/>
        </w:rPr>
        <w:t xml:space="preserve">his </w:t>
      </w:r>
      <w:r w:rsidR="001B6124" w:rsidRPr="00427AC6">
        <w:rPr>
          <w:rFonts w:ascii="Arial" w:hAnsi="Arial" w:cs="Arial"/>
          <w:sz w:val="24"/>
          <w:szCs w:val="24"/>
        </w:rPr>
        <w:t>will.</w:t>
      </w:r>
    </w:p>
    <w:p w:rsidR="00427AC6" w:rsidRDefault="00427AC6" w:rsidP="00427AC6">
      <w:pPr>
        <w:autoSpaceDE w:val="0"/>
        <w:autoSpaceDN w:val="0"/>
        <w:adjustRightInd w:val="0"/>
        <w:spacing w:after="0" w:line="360" w:lineRule="auto"/>
        <w:jc w:val="both"/>
        <w:rPr>
          <w:rFonts w:ascii="Arial" w:hAnsi="Arial" w:cs="Arial"/>
          <w:sz w:val="24"/>
          <w:szCs w:val="24"/>
        </w:rPr>
      </w:pPr>
    </w:p>
    <w:p w:rsidR="00427AC6" w:rsidRDefault="00427AC6" w:rsidP="00427A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70548">
        <w:rPr>
          <w:rFonts w:ascii="Arial" w:hAnsi="Arial" w:cs="Arial"/>
          <w:sz w:val="24"/>
          <w:szCs w:val="24"/>
        </w:rPr>
        <w:t xml:space="preserve">Mr. </w:t>
      </w:r>
      <w:r>
        <w:rPr>
          <w:rFonts w:ascii="Arial" w:hAnsi="Arial" w:cs="Arial"/>
          <w:sz w:val="24"/>
          <w:szCs w:val="24"/>
        </w:rPr>
        <w:t>Marley was unhappy and appealed</w:t>
      </w:r>
      <w:r w:rsidR="00B70548">
        <w:rPr>
          <w:rFonts w:ascii="Arial" w:hAnsi="Arial" w:cs="Arial"/>
          <w:sz w:val="24"/>
          <w:szCs w:val="24"/>
        </w:rPr>
        <w:t xml:space="preserve"> the decision</w:t>
      </w:r>
      <w:r>
        <w:rPr>
          <w:rFonts w:ascii="Arial" w:hAnsi="Arial" w:cs="Arial"/>
          <w:sz w:val="24"/>
          <w:szCs w:val="24"/>
        </w:rPr>
        <w:t xml:space="preserve"> to the Court of Appeal. </w:t>
      </w:r>
      <w:r w:rsidR="001B6124" w:rsidRPr="00427AC6">
        <w:rPr>
          <w:rFonts w:ascii="Arial" w:hAnsi="Arial" w:cs="Arial"/>
          <w:sz w:val="24"/>
          <w:szCs w:val="24"/>
        </w:rPr>
        <w:t xml:space="preserve">The Court of Appeal considered the case. Their Lordships were satisfied that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Rawlings</w:t>
      </w:r>
      <w:r>
        <w:rPr>
          <w:rFonts w:ascii="Arial" w:hAnsi="Arial" w:cs="Arial"/>
          <w:sz w:val="24"/>
          <w:szCs w:val="24"/>
        </w:rPr>
        <w:t xml:space="preserve"> </w:t>
      </w:r>
      <w:r w:rsidR="001B6124" w:rsidRPr="00427AC6">
        <w:rPr>
          <w:rFonts w:ascii="Arial" w:hAnsi="Arial" w:cs="Arial"/>
          <w:sz w:val="24"/>
          <w:szCs w:val="24"/>
        </w:rPr>
        <w:t xml:space="preserve">had genuinely intended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Marley to be the sole beneficiary of his estate. Black LJ made</w:t>
      </w:r>
      <w:r>
        <w:rPr>
          <w:rFonts w:ascii="Arial" w:hAnsi="Arial" w:cs="Arial"/>
          <w:sz w:val="24"/>
          <w:szCs w:val="24"/>
        </w:rPr>
        <w:t xml:space="preserve"> </w:t>
      </w:r>
      <w:r w:rsidR="001B6124" w:rsidRPr="00427AC6">
        <w:rPr>
          <w:rFonts w:ascii="Arial" w:hAnsi="Arial" w:cs="Arial"/>
          <w:sz w:val="24"/>
          <w:szCs w:val="24"/>
        </w:rPr>
        <w:t>clear the Court’s position</w:t>
      </w:r>
      <w:r w:rsidR="00B70548">
        <w:rPr>
          <w:rFonts w:ascii="Arial" w:hAnsi="Arial" w:cs="Arial"/>
          <w:sz w:val="24"/>
          <w:szCs w:val="24"/>
        </w:rPr>
        <w:t xml:space="preserve"> when he</w:t>
      </w:r>
      <w:r>
        <w:rPr>
          <w:rFonts w:ascii="Arial" w:hAnsi="Arial" w:cs="Arial"/>
          <w:sz w:val="24"/>
          <w:szCs w:val="24"/>
        </w:rPr>
        <w:t xml:space="preserve"> said</w:t>
      </w:r>
      <w:r w:rsidR="001B6124" w:rsidRPr="00427AC6">
        <w:rPr>
          <w:rFonts w:ascii="Arial" w:hAnsi="Arial" w:cs="Arial"/>
          <w:sz w:val="24"/>
          <w:szCs w:val="24"/>
        </w:rPr>
        <w:t xml:space="preserve">: </w:t>
      </w:r>
    </w:p>
    <w:p w:rsidR="00427AC6" w:rsidRDefault="00427AC6" w:rsidP="00427AC6">
      <w:pPr>
        <w:autoSpaceDE w:val="0"/>
        <w:autoSpaceDN w:val="0"/>
        <w:adjustRightInd w:val="0"/>
        <w:spacing w:after="0" w:line="360" w:lineRule="auto"/>
        <w:jc w:val="both"/>
        <w:rPr>
          <w:rFonts w:ascii="Arial" w:hAnsi="Arial" w:cs="Arial"/>
          <w:sz w:val="24"/>
          <w:szCs w:val="24"/>
        </w:rPr>
      </w:pPr>
    </w:p>
    <w:p w:rsidR="001B6124" w:rsidRDefault="001B6124" w:rsidP="00454C1D">
      <w:pPr>
        <w:autoSpaceDE w:val="0"/>
        <w:autoSpaceDN w:val="0"/>
        <w:adjustRightInd w:val="0"/>
        <w:spacing w:after="0" w:line="360" w:lineRule="auto"/>
        <w:jc w:val="both"/>
        <w:rPr>
          <w:rFonts w:ascii="Arial" w:hAnsi="Arial" w:cs="Arial"/>
          <w:iCs/>
        </w:rPr>
      </w:pPr>
      <w:r w:rsidRPr="00427AC6">
        <w:rPr>
          <w:rFonts w:ascii="Arial" w:hAnsi="Arial" w:cs="Arial"/>
          <w:iCs/>
        </w:rPr>
        <w:t xml:space="preserve">‘There can be no doubt as to what </w:t>
      </w:r>
      <w:proofErr w:type="spellStart"/>
      <w:r w:rsidRPr="00427AC6">
        <w:rPr>
          <w:rFonts w:ascii="Arial" w:hAnsi="Arial" w:cs="Arial"/>
          <w:iCs/>
        </w:rPr>
        <w:t>Mr</w:t>
      </w:r>
      <w:proofErr w:type="spellEnd"/>
      <w:r w:rsidRPr="00427AC6">
        <w:rPr>
          <w:rFonts w:ascii="Arial" w:hAnsi="Arial" w:cs="Arial"/>
          <w:iCs/>
        </w:rPr>
        <w:t xml:space="preserve"> and </w:t>
      </w:r>
      <w:proofErr w:type="spellStart"/>
      <w:r w:rsidRPr="00427AC6">
        <w:rPr>
          <w:rFonts w:ascii="Arial" w:hAnsi="Arial" w:cs="Arial"/>
          <w:iCs/>
        </w:rPr>
        <w:t>Mrs</w:t>
      </w:r>
      <w:proofErr w:type="spellEnd"/>
      <w:r w:rsidRPr="00427AC6">
        <w:rPr>
          <w:rFonts w:ascii="Arial" w:hAnsi="Arial" w:cs="Arial"/>
          <w:iCs/>
        </w:rPr>
        <w:t xml:space="preserve"> Rawlings wanted to</w:t>
      </w:r>
      <w:r w:rsidR="00427AC6" w:rsidRPr="00427AC6">
        <w:rPr>
          <w:rFonts w:ascii="Arial" w:hAnsi="Arial" w:cs="Arial"/>
          <w:iCs/>
        </w:rPr>
        <w:t xml:space="preserve"> </w:t>
      </w:r>
      <w:r w:rsidRPr="00427AC6">
        <w:rPr>
          <w:rFonts w:ascii="Arial" w:hAnsi="Arial" w:cs="Arial"/>
          <w:iCs/>
        </w:rPr>
        <w:t xml:space="preserve">achieve when they made their wills and that was that </w:t>
      </w:r>
      <w:proofErr w:type="spellStart"/>
      <w:r w:rsidRPr="00427AC6">
        <w:rPr>
          <w:rFonts w:ascii="Arial" w:hAnsi="Arial" w:cs="Arial"/>
          <w:iCs/>
        </w:rPr>
        <w:t>Mr</w:t>
      </w:r>
      <w:proofErr w:type="spellEnd"/>
      <w:r w:rsidRPr="00427AC6">
        <w:rPr>
          <w:rFonts w:ascii="Arial" w:hAnsi="Arial" w:cs="Arial"/>
          <w:iCs/>
        </w:rPr>
        <w:t xml:space="preserve"> Marley should have the entirety of</w:t>
      </w:r>
      <w:r w:rsidR="00427AC6" w:rsidRPr="00427AC6">
        <w:rPr>
          <w:rFonts w:ascii="Arial" w:hAnsi="Arial" w:cs="Arial"/>
          <w:iCs/>
        </w:rPr>
        <w:t xml:space="preserve"> </w:t>
      </w:r>
      <w:r w:rsidRPr="00427AC6">
        <w:rPr>
          <w:rFonts w:ascii="Arial" w:hAnsi="Arial" w:cs="Arial"/>
          <w:iCs/>
        </w:rPr>
        <w:t xml:space="preserve">their estate and their sons should have nothing’. </w:t>
      </w:r>
      <w:r w:rsidRPr="00427AC6">
        <w:rPr>
          <w:rFonts w:ascii="Arial" w:hAnsi="Arial" w:cs="Arial"/>
        </w:rPr>
        <w:t xml:space="preserve">However, this </w:t>
      </w:r>
      <w:r w:rsidRPr="00427AC6">
        <w:rPr>
          <w:rFonts w:ascii="Arial" w:hAnsi="Arial" w:cs="Arial"/>
          <w:iCs/>
        </w:rPr>
        <w:t>‘certain knowledge is not</w:t>
      </w:r>
      <w:r w:rsidR="00427AC6" w:rsidRPr="00427AC6">
        <w:rPr>
          <w:rFonts w:ascii="Arial" w:hAnsi="Arial" w:cs="Arial"/>
          <w:iCs/>
        </w:rPr>
        <w:t xml:space="preserve"> </w:t>
      </w:r>
      <w:r w:rsidRPr="00427AC6">
        <w:rPr>
          <w:rFonts w:ascii="Arial" w:hAnsi="Arial" w:cs="Arial"/>
          <w:iCs/>
        </w:rPr>
        <w:t>what determines the outcome of this appeal. The answer is contained in the law relating to</w:t>
      </w:r>
      <w:r w:rsidR="00427AC6">
        <w:rPr>
          <w:rFonts w:ascii="Arial" w:hAnsi="Arial" w:cs="Arial"/>
          <w:iCs/>
        </w:rPr>
        <w:t xml:space="preserve"> </w:t>
      </w:r>
      <w:r w:rsidRPr="00427AC6">
        <w:rPr>
          <w:rFonts w:ascii="Arial" w:hAnsi="Arial" w:cs="Arial"/>
          <w:iCs/>
        </w:rPr>
        <w:t>the making and rectification of wills</w:t>
      </w:r>
      <w:r w:rsidR="00427AC6">
        <w:rPr>
          <w:rFonts w:ascii="Arial" w:hAnsi="Arial" w:cs="Arial"/>
          <w:iCs/>
        </w:rPr>
        <w:t>.</w:t>
      </w:r>
      <w:r w:rsidRPr="00427AC6">
        <w:rPr>
          <w:rFonts w:ascii="Arial" w:hAnsi="Arial" w:cs="Arial"/>
          <w:iCs/>
        </w:rPr>
        <w:t xml:space="preserve">’ </w:t>
      </w:r>
    </w:p>
    <w:p w:rsidR="00427AC6" w:rsidRDefault="00427AC6" w:rsidP="00427AC6">
      <w:pPr>
        <w:autoSpaceDE w:val="0"/>
        <w:autoSpaceDN w:val="0"/>
        <w:adjustRightInd w:val="0"/>
        <w:spacing w:after="0" w:line="360" w:lineRule="auto"/>
        <w:ind w:firstLine="720"/>
        <w:jc w:val="both"/>
        <w:rPr>
          <w:rFonts w:ascii="Arial" w:hAnsi="Arial" w:cs="Arial"/>
          <w:iCs/>
        </w:rPr>
      </w:pPr>
    </w:p>
    <w:p w:rsidR="00427AC6" w:rsidRDefault="00427AC6" w:rsidP="00427AC6">
      <w:pPr>
        <w:autoSpaceDE w:val="0"/>
        <w:autoSpaceDN w:val="0"/>
        <w:adjustRightInd w:val="0"/>
        <w:spacing w:after="0" w:line="360" w:lineRule="auto"/>
        <w:rPr>
          <w:rFonts w:ascii="Arial" w:hAnsi="Arial" w:cs="Arial"/>
          <w:sz w:val="24"/>
          <w:szCs w:val="24"/>
        </w:rPr>
      </w:pPr>
      <w:r>
        <w:rPr>
          <w:rFonts w:ascii="Arial" w:hAnsi="Arial" w:cs="Arial"/>
          <w:sz w:val="24"/>
          <w:szCs w:val="24"/>
        </w:rPr>
        <w:t>[16]</w:t>
      </w:r>
      <w:r>
        <w:rPr>
          <w:rFonts w:ascii="Arial" w:hAnsi="Arial" w:cs="Arial"/>
          <w:sz w:val="24"/>
          <w:szCs w:val="24"/>
        </w:rPr>
        <w:tab/>
        <w:t xml:space="preserve">The </w:t>
      </w:r>
      <w:r w:rsidR="001B6124" w:rsidRPr="00427AC6">
        <w:rPr>
          <w:rFonts w:ascii="Arial" w:hAnsi="Arial" w:cs="Arial"/>
          <w:sz w:val="24"/>
          <w:szCs w:val="24"/>
        </w:rPr>
        <w:t>Court felt strictly bound by the 1837</w:t>
      </w:r>
      <w:r>
        <w:rPr>
          <w:rFonts w:ascii="Arial" w:hAnsi="Arial" w:cs="Arial"/>
          <w:sz w:val="24"/>
          <w:szCs w:val="24"/>
        </w:rPr>
        <w:t xml:space="preserve"> Wills Act</w:t>
      </w:r>
      <w:r w:rsidR="000474A4">
        <w:rPr>
          <w:rFonts w:ascii="Arial" w:hAnsi="Arial" w:cs="Arial"/>
          <w:sz w:val="24"/>
          <w:szCs w:val="24"/>
        </w:rPr>
        <w:t xml:space="preserve"> and 1982 legislation and </w:t>
      </w:r>
      <w:r w:rsidR="001B6124" w:rsidRPr="00427AC6">
        <w:rPr>
          <w:rFonts w:ascii="Arial" w:hAnsi="Arial" w:cs="Arial"/>
          <w:sz w:val="24"/>
          <w:szCs w:val="24"/>
        </w:rPr>
        <w:t>that its powers</w:t>
      </w:r>
      <w:r>
        <w:rPr>
          <w:rFonts w:ascii="Arial" w:hAnsi="Arial" w:cs="Arial"/>
          <w:sz w:val="24"/>
          <w:szCs w:val="24"/>
        </w:rPr>
        <w:t xml:space="preserve"> </w:t>
      </w:r>
      <w:r w:rsidR="001B6124" w:rsidRPr="00427AC6">
        <w:rPr>
          <w:rFonts w:ascii="Arial" w:hAnsi="Arial" w:cs="Arial"/>
          <w:sz w:val="24"/>
          <w:szCs w:val="24"/>
        </w:rPr>
        <w:t xml:space="preserve">of interpretation could not render </w:t>
      </w:r>
      <w:proofErr w:type="spellStart"/>
      <w:r w:rsidR="001B6124" w:rsidRPr="00427AC6">
        <w:rPr>
          <w:rFonts w:ascii="Arial" w:hAnsi="Arial" w:cs="Arial"/>
          <w:sz w:val="24"/>
          <w:szCs w:val="24"/>
        </w:rPr>
        <w:t>Mr</w:t>
      </w:r>
      <w:proofErr w:type="spellEnd"/>
      <w:r w:rsidR="001B6124" w:rsidRPr="00427AC6">
        <w:rPr>
          <w:rFonts w:ascii="Arial" w:hAnsi="Arial" w:cs="Arial"/>
          <w:sz w:val="24"/>
          <w:szCs w:val="24"/>
        </w:rPr>
        <w:t xml:space="preserve"> Rawlings’ will valid. On giving his judgment, </w:t>
      </w:r>
      <w:proofErr w:type="spellStart"/>
      <w:r w:rsidR="001B6124" w:rsidRPr="00427AC6">
        <w:rPr>
          <w:rFonts w:ascii="Arial" w:hAnsi="Arial" w:cs="Arial"/>
          <w:sz w:val="24"/>
          <w:szCs w:val="24"/>
        </w:rPr>
        <w:t>Kitchin</w:t>
      </w:r>
      <w:proofErr w:type="spellEnd"/>
      <w:r>
        <w:rPr>
          <w:rFonts w:ascii="Arial" w:hAnsi="Arial" w:cs="Arial"/>
          <w:sz w:val="24"/>
          <w:szCs w:val="24"/>
        </w:rPr>
        <w:t xml:space="preserve"> </w:t>
      </w:r>
      <w:r w:rsidR="001B6124" w:rsidRPr="00427AC6">
        <w:rPr>
          <w:rFonts w:ascii="Arial" w:hAnsi="Arial" w:cs="Arial"/>
          <w:sz w:val="24"/>
          <w:szCs w:val="24"/>
        </w:rPr>
        <w:t>LJ stated that</w:t>
      </w:r>
      <w:r>
        <w:rPr>
          <w:rFonts w:ascii="Arial" w:hAnsi="Arial" w:cs="Arial"/>
          <w:sz w:val="24"/>
          <w:szCs w:val="24"/>
        </w:rPr>
        <w:t>:</w:t>
      </w:r>
    </w:p>
    <w:p w:rsidR="00427AC6" w:rsidRDefault="00427AC6" w:rsidP="00427AC6">
      <w:pPr>
        <w:autoSpaceDE w:val="0"/>
        <w:autoSpaceDN w:val="0"/>
        <w:adjustRightInd w:val="0"/>
        <w:spacing w:after="0" w:line="360" w:lineRule="auto"/>
        <w:rPr>
          <w:rFonts w:ascii="Arial" w:hAnsi="Arial" w:cs="Arial"/>
          <w:i/>
          <w:iCs/>
          <w:sz w:val="24"/>
          <w:szCs w:val="24"/>
        </w:rPr>
      </w:pPr>
    </w:p>
    <w:p w:rsidR="00440A64" w:rsidRPr="00440A64" w:rsidRDefault="001B6124" w:rsidP="00454C1D">
      <w:pPr>
        <w:autoSpaceDE w:val="0"/>
        <w:autoSpaceDN w:val="0"/>
        <w:adjustRightInd w:val="0"/>
        <w:spacing w:after="0" w:line="360" w:lineRule="auto"/>
        <w:rPr>
          <w:rFonts w:ascii="Arial" w:hAnsi="Arial" w:cs="Arial"/>
        </w:rPr>
      </w:pPr>
      <w:r w:rsidRPr="00440A64">
        <w:rPr>
          <w:rFonts w:ascii="Arial" w:hAnsi="Arial" w:cs="Arial"/>
          <w:iCs/>
        </w:rPr>
        <w:lastRenderedPageBreak/>
        <w:t>‘</w:t>
      </w:r>
      <w:r w:rsidR="00427AC6" w:rsidRPr="00440A64">
        <w:rPr>
          <w:rFonts w:ascii="Arial" w:hAnsi="Arial" w:cs="Arial"/>
          <w:iCs/>
        </w:rPr>
        <w:t xml:space="preserve">… </w:t>
      </w:r>
      <w:r w:rsidRPr="00440A64">
        <w:rPr>
          <w:rFonts w:ascii="Arial" w:hAnsi="Arial" w:cs="Arial"/>
          <w:iCs/>
        </w:rPr>
        <w:t>this is a conclusion I have reached with great regret, but Parliament made</w:t>
      </w:r>
      <w:r w:rsidR="00427AC6" w:rsidRPr="00440A64">
        <w:rPr>
          <w:rFonts w:ascii="Arial" w:hAnsi="Arial" w:cs="Arial"/>
          <w:iCs/>
        </w:rPr>
        <w:t xml:space="preserve"> </w:t>
      </w:r>
      <w:r w:rsidRPr="00440A64">
        <w:rPr>
          <w:rFonts w:ascii="Arial" w:hAnsi="Arial" w:cs="Arial"/>
          <w:iCs/>
        </w:rPr>
        <w:t>very limited changes to the law in 1982 and it would not be right for a court to go beyond</w:t>
      </w:r>
      <w:r w:rsidR="00427AC6" w:rsidRPr="00440A64">
        <w:rPr>
          <w:rFonts w:ascii="Arial" w:hAnsi="Arial" w:cs="Arial"/>
          <w:iCs/>
        </w:rPr>
        <w:t xml:space="preserve"> </w:t>
      </w:r>
      <w:r w:rsidRPr="00440A64">
        <w:rPr>
          <w:rFonts w:ascii="Arial" w:hAnsi="Arial" w:cs="Arial"/>
          <w:iCs/>
        </w:rPr>
        <w:t>what Parliament then decided’</w:t>
      </w:r>
      <w:r w:rsidR="00F064B2">
        <w:rPr>
          <w:rFonts w:ascii="Arial" w:hAnsi="Arial" w:cs="Arial"/>
          <w:iCs/>
        </w:rPr>
        <w:t xml:space="preserve">. </w:t>
      </w:r>
      <w:r w:rsidRPr="00440A64">
        <w:rPr>
          <w:rFonts w:ascii="Arial" w:hAnsi="Arial" w:cs="Arial"/>
          <w:iCs/>
        </w:rPr>
        <w:t xml:space="preserve"> </w:t>
      </w:r>
    </w:p>
    <w:p w:rsidR="00440A64" w:rsidRDefault="00440A64" w:rsidP="00440A64">
      <w:pPr>
        <w:autoSpaceDE w:val="0"/>
        <w:autoSpaceDN w:val="0"/>
        <w:adjustRightInd w:val="0"/>
        <w:spacing w:after="0" w:line="360" w:lineRule="auto"/>
        <w:rPr>
          <w:rFonts w:ascii="Arial" w:hAnsi="Arial" w:cs="Arial"/>
          <w:sz w:val="24"/>
          <w:szCs w:val="24"/>
        </w:rPr>
      </w:pPr>
    </w:p>
    <w:p w:rsidR="001B6124" w:rsidRPr="00427AC6" w:rsidRDefault="001B6124" w:rsidP="00440A64">
      <w:pPr>
        <w:autoSpaceDE w:val="0"/>
        <w:autoSpaceDN w:val="0"/>
        <w:adjustRightInd w:val="0"/>
        <w:spacing w:after="0" w:line="360" w:lineRule="auto"/>
        <w:jc w:val="both"/>
        <w:rPr>
          <w:rFonts w:ascii="Arial" w:hAnsi="Arial" w:cs="Arial"/>
          <w:sz w:val="24"/>
          <w:szCs w:val="24"/>
        </w:rPr>
      </w:pPr>
      <w:r w:rsidRPr="00427AC6">
        <w:rPr>
          <w:rFonts w:ascii="Arial" w:hAnsi="Arial" w:cs="Arial"/>
          <w:sz w:val="24"/>
          <w:szCs w:val="24"/>
        </w:rPr>
        <w:t xml:space="preserve">Their Lordships could not give effect to </w:t>
      </w:r>
      <w:proofErr w:type="spellStart"/>
      <w:r w:rsidRPr="00427AC6">
        <w:rPr>
          <w:rFonts w:ascii="Arial" w:hAnsi="Arial" w:cs="Arial"/>
          <w:sz w:val="24"/>
          <w:szCs w:val="24"/>
        </w:rPr>
        <w:t>Mr</w:t>
      </w:r>
      <w:proofErr w:type="spellEnd"/>
      <w:r w:rsidR="00440A64">
        <w:rPr>
          <w:rFonts w:ascii="Arial" w:hAnsi="Arial" w:cs="Arial"/>
          <w:sz w:val="24"/>
          <w:szCs w:val="24"/>
        </w:rPr>
        <w:t xml:space="preserve"> </w:t>
      </w:r>
      <w:r w:rsidRPr="00427AC6">
        <w:rPr>
          <w:rFonts w:ascii="Arial" w:hAnsi="Arial" w:cs="Arial"/>
          <w:sz w:val="24"/>
          <w:szCs w:val="24"/>
        </w:rPr>
        <w:t>Rawlings’ intentions</w:t>
      </w:r>
      <w:r w:rsidR="00440A64">
        <w:rPr>
          <w:rFonts w:ascii="Arial" w:hAnsi="Arial" w:cs="Arial"/>
          <w:sz w:val="24"/>
          <w:szCs w:val="24"/>
        </w:rPr>
        <w:t>. The English Courts thus insist</w:t>
      </w:r>
      <w:r w:rsidR="00B70548">
        <w:rPr>
          <w:rFonts w:ascii="Arial" w:hAnsi="Arial" w:cs="Arial"/>
          <w:sz w:val="24"/>
          <w:szCs w:val="24"/>
        </w:rPr>
        <w:t>ed</w:t>
      </w:r>
      <w:r w:rsidR="00440A64">
        <w:rPr>
          <w:rFonts w:ascii="Arial" w:hAnsi="Arial" w:cs="Arial"/>
          <w:sz w:val="24"/>
          <w:szCs w:val="24"/>
        </w:rPr>
        <w:t xml:space="preserve"> on strict compliance with the statute until such time </w:t>
      </w:r>
      <w:r w:rsidR="00440A64" w:rsidRPr="00427AC6">
        <w:rPr>
          <w:rFonts w:ascii="Arial" w:hAnsi="Arial" w:cs="Arial"/>
          <w:sz w:val="24"/>
          <w:szCs w:val="24"/>
        </w:rPr>
        <w:t xml:space="preserve">as a change was enacted </w:t>
      </w:r>
      <w:r w:rsidR="00440A64">
        <w:rPr>
          <w:rFonts w:ascii="Arial" w:hAnsi="Arial" w:cs="Arial"/>
          <w:sz w:val="24"/>
          <w:szCs w:val="24"/>
        </w:rPr>
        <w:t xml:space="preserve">by </w:t>
      </w:r>
      <w:r w:rsidR="00440A64" w:rsidRPr="00427AC6">
        <w:rPr>
          <w:rFonts w:ascii="Arial" w:hAnsi="Arial" w:cs="Arial"/>
          <w:sz w:val="24"/>
          <w:szCs w:val="24"/>
        </w:rPr>
        <w:t>statute</w:t>
      </w:r>
      <w:r w:rsidR="00440A64">
        <w:rPr>
          <w:rFonts w:ascii="Arial" w:hAnsi="Arial" w:cs="Arial"/>
          <w:sz w:val="24"/>
          <w:szCs w:val="24"/>
        </w:rPr>
        <w:t>.</w:t>
      </w:r>
    </w:p>
    <w:p w:rsidR="00792738" w:rsidRPr="00427AC6" w:rsidRDefault="00792738" w:rsidP="001B18E4">
      <w:pPr>
        <w:pStyle w:val="ListParagraph"/>
        <w:widowControl/>
        <w:tabs>
          <w:tab w:val="left" w:pos="720"/>
          <w:tab w:val="left" w:pos="4820"/>
        </w:tabs>
        <w:autoSpaceDE/>
        <w:autoSpaceDN/>
        <w:adjustRightInd/>
        <w:spacing w:line="360" w:lineRule="auto"/>
        <w:ind w:left="0"/>
        <w:contextualSpacing/>
        <w:jc w:val="both"/>
        <w:rPr>
          <w:rFonts w:cs="Arial"/>
          <w:lang w:val="en-GB"/>
        </w:rPr>
      </w:pPr>
    </w:p>
    <w:p w:rsidR="001B18E4" w:rsidRPr="00427AC6" w:rsidRDefault="00440A64" w:rsidP="001B18E4">
      <w:pPr>
        <w:pStyle w:val="ListParagraph"/>
        <w:widowControl/>
        <w:tabs>
          <w:tab w:val="left" w:pos="720"/>
          <w:tab w:val="left" w:pos="4820"/>
        </w:tabs>
        <w:autoSpaceDE/>
        <w:autoSpaceDN/>
        <w:adjustRightInd/>
        <w:spacing w:line="360" w:lineRule="auto"/>
        <w:ind w:left="0"/>
        <w:contextualSpacing/>
        <w:jc w:val="both"/>
        <w:rPr>
          <w:rFonts w:cs="Arial"/>
          <w:i/>
          <w:lang w:val="en-ZA"/>
        </w:rPr>
      </w:pPr>
      <w:r>
        <w:rPr>
          <w:rFonts w:cs="Arial"/>
          <w:lang w:val="en-ZA"/>
        </w:rPr>
        <w:t>[17]</w:t>
      </w:r>
      <w:r>
        <w:rPr>
          <w:rFonts w:cs="Arial"/>
          <w:lang w:val="en-ZA"/>
        </w:rPr>
        <w:tab/>
        <w:t xml:space="preserve">I now return to our legal position. </w:t>
      </w:r>
      <w:r w:rsidR="001B18E4" w:rsidRPr="00427AC6">
        <w:rPr>
          <w:rFonts w:cs="Arial"/>
          <w:lang w:val="en-ZA"/>
        </w:rPr>
        <w:t>Section 2(1</w:t>
      </w:r>
      <w:proofErr w:type="gramStart"/>
      <w:r w:rsidR="001B18E4" w:rsidRPr="00427AC6">
        <w:rPr>
          <w:rFonts w:cs="Arial"/>
          <w:lang w:val="en-ZA"/>
        </w:rPr>
        <w:t>)(</w:t>
      </w:r>
      <w:proofErr w:type="gramEnd"/>
      <w:r w:rsidR="001B18E4" w:rsidRPr="00427AC6">
        <w:rPr>
          <w:rFonts w:cs="Arial"/>
          <w:lang w:val="en-ZA"/>
        </w:rPr>
        <w:t xml:space="preserve">a) of the Wills Act, 1953 provides </w:t>
      </w:r>
      <w:r w:rsidR="00E94C45" w:rsidRPr="00427AC6">
        <w:rPr>
          <w:rFonts w:cs="Arial"/>
          <w:lang w:val="en-ZA"/>
        </w:rPr>
        <w:t>as follows</w:t>
      </w:r>
      <w:r w:rsidR="001B18E4" w:rsidRPr="00427AC6">
        <w:rPr>
          <w:rFonts w:cs="Arial"/>
        </w:rPr>
        <w:t xml:space="preserve"> –</w:t>
      </w:r>
    </w:p>
    <w:p w:rsidR="00E94C45" w:rsidRPr="00427AC6" w:rsidRDefault="00E94C45" w:rsidP="00E94C45">
      <w:pPr>
        <w:tabs>
          <w:tab w:val="left" w:pos="4820"/>
        </w:tabs>
        <w:spacing w:after="0" w:line="360" w:lineRule="auto"/>
        <w:contextualSpacing/>
        <w:jc w:val="both"/>
        <w:rPr>
          <w:rFonts w:ascii="Arial" w:hAnsi="Arial" w:cs="Arial"/>
          <w:sz w:val="24"/>
          <w:szCs w:val="24"/>
          <w:lang w:val="en-ZA"/>
        </w:rPr>
      </w:pPr>
    </w:p>
    <w:p w:rsidR="00E94C45" w:rsidRPr="00440A64" w:rsidRDefault="00E94C45" w:rsidP="00454C1D">
      <w:pPr>
        <w:tabs>
          <w:tab w:val="left" w:pos="1260"/>
          <w:tab w:val="left" w:pos="4820"/>
        </w:tabs>
        <w:spacing w:after="0" w:line="360" w:lineRule="auto"/>
        <w:contextualSpacing/>
        <w:jc w:val="both"/>
        <w:rPr>
          <w:rFonts w:ascii="Arial" w:hAnsi="Arial" w:cs="Arial"/>
          <w:b/>
          <w:lang w:val="en-ZA"/>
        </w:rPr>
      </w:pPr>
      <w:r w:rsidRPr="00440A64">
        <w:rPr>
          <w:rFonts w:ascii="Arial" w:hAnsi="Arial" w:cs="Arial"/>
          <w:b/>
          <w:lang w:val="en-ZA"/>
        </w:rPr>
        <w:t>‘2</w:t>
      </w:r>
      <w:r w:rsidRPr="00440A64">
        <w:rPr>
          <w:rFonts w:ascii="Arial" w:hAnsi="Arial" w:cs="Arial"/>
          <w:b/>
          <w:lang w:val="en-ZA"/>
        </w:rPr>
        <w:tab/>
        <w:t>Formalities required in the execution of a will:</w:t>
      </w:r>
    </w:p>
    <w:p w:rsidR="00E94C45" w:rsidRPr="00440A64" w:rsidRDefault="00E94C45" w:rsidP="00E94C45">
      <w:pPr>
        <w:tabs>
          <w:tab w:val="left" w:pos="1260"/>
          <w:tab w:val="left" w:pos="4820"/>
        </w:tabs>
        <w:spacing w:after="0" w:line="360" w:lineRule="auto"/>
        <w:ind w:firstLine="720"/>
        <w:contextualSpacing/>
        <w:jc w:val="both"/>
        <w:rPr>
          <w:rFonts w:ascii="Arial" w:hAnsi="Arial" w:cs="Arial"/>
          <w:b/>
          <w:lang w:val="en-ZA"/>
        </w:rPr>
      </w:pPr>
    </w:p>
    <w:p w:rsidR="00E94C45" w:rsidRPr="00440A64" w:rsidRDefault="00E94C45" w:rsidP="00E94C45">
      <w:pPr>
        <w:pStyle w:val="ListParagraph"/>
        <w:numPr>
          <w:ilvl w:val="0"/>
          <w:numId w:val="22"/>
        </w:numPr>
        <w:tabs>
          <w:tab w:val="left" w:pos="4820"/>
        </w:tabs>
        <w:spacing w:line="360" w:lineRule="auto"/>
        <w:ind w:hanging="720"/>
        <w:contextualSpacing/>
        <w:jc w:val="both"/>
        <w:rPr>
          <w:rFonts w:cs="Arial"/>
          <w:sz w:val="22"/>
          <w:szCs w:val="22"/>
          <w:lang w:val="en-ZA"/>
        </w:rPr>
      </w:pPr>
      <w:r w:rsidRPr="00440A64">
        <w:rPr>
          <w:rFonts w:cs="Arial"/>
          <w:sz w:val="22"/>
          <w:szCs w:val="22"/>
          <w:lang w:val="en-ZA"/>
        </w:rPr>
        <w:t xml:space="preserve">Subject to the provisions of sections </w:t>
      </w:r>
      <w:r w:rsidRPr="00375EE5">
        <w:rPr>
          <w:rFonts w:cs="Arial"/>
          <w:i/>
          <w:sz w:val="22"/>
          <w:szCs w:val="22"/>
          <w:lang w:val="en-ZA"/>
        </w:rPr>
        <w:t>three</w:t>
      </w:r>
      <w:r w:rsidRPr="00440A64">
        <w:rPr>
          <w:rFonts w:cs="Arial"/>
          <w:sz w:val="22"/>
          <w:szCs w:val="22"/>
          <w:lang w:val="en-ZA"/>
        </w:rPr>
        <w:t xml:space="preserve"> and </w:t>
      </w:r>
      <w:r w:rsidRPr="00375EE5">
        <w:rPr>
          <w:rFonts w:cs="Arial"/>
          <w:i/>
          <w:sz w:val="22"/>
          <w:szCs w:val="22"/>
          <w:lang w:val="en-ZA"/>
        </w:rPr>
        <w:t xml:space="preserve">three </w:t>
      </w:r>
      <w:proofErr w:type="spellStart"/>
      <w:r w:rsidRPr="00375EE5">
        <w:rPr>
          <w:rFonts w:cs="Arial"/>
          <w:i/>
          <w:sz w:val="22"/>
          <w:szCs w:val="22"/>
          <w:lang w:val="en-ZA"/>
        </w:rPr>
        <w:t>bis</w:t>
      </w:r>
      <w:proofErr w:type="spellEnd"/>
      <w:r w:rsidRPr="00440A64">
        <w:rPr>
          <w:rFonts w:cs="Arial"/>
          <w:sz w:val="22"/>
          <w:szCs w:val="22"/>
          <w:lang w:val="en-ZA"/>
        </w:rPr>
        <w:t>-</w:t>
      </w:r>
    </w:p>
    <w:p w:rsidR="00E94C45" w:rsidRPr="00440A64" w:rsidRDefault="00E94C45" w:rsidP="00E94C45">
      <w:pPr>
        <w:tabs>
          <w:tab w:val="left" w:pos="720"/>
          <w:tab w:val="left" w:pos="4820"/>
        </w:tabs>
        <w:spacing w:line="360" w:lineRule="auto"/>
        <w:contextualSpacing/>
        <w:jc w:val="both"/>
        <w:rPr>
          <w:rFonts w:ascii="Arial" w:hAnsi="Arial" w:cs="Arial"/>
          <w:lang w:val="en-ZA"/>
        </w:rPr>
      </w:pPr>
      <w:r w:rsidRPr="00440A64">
        <w:rPr>
          <w:rFonts w:ascii="Arial" w:hAnsi="Arial" w:cs="Arial"/>
          <w:lang w:val="en-ZA"/>
        </w:rPr>
        <w:t>(</w:t>
      </w:r>
      <w:proofErr w:type="gramStart"/>
      <w:r w:rsidRPr="00440A64">
        <w:rPr>
          <w:rFonts w:ascii="Arial" w:hAnsi="Arial" w:cs="Arial"/>
          <w:lang w:val="en-ZA"/>
        </w:rPr>
        <w:t>a</w:t>
      </w:r>
      <w:proofErr w:type="gramEnd"/>
      <w:r w:rsidRPr="00440A64">
        <w:rPr>
          <w:rFonts w:ascii="Arial" w:hAnsi="Arial" w:cs="Arial"/>
          <w:lang w:val="en-ZA"/>
        </w:rPr>
        <w:t>)</w:t>
      </w:r>
      <w:r w:rsidRPr="00440A64">
        <w:rPr>
          <w:rFonts w:ascii="Arial" w:hAnsi="Arial" w:cs="Arial"/>
          <w:lang w:val="en-ZA"/>
        </w:rPr>
        <w:tab/>
        <w:t>no will executed on or after the first day of January, 1954, shall be valid unless-</w:t>
      </w:r>
    </w:p>
    <w:p w:rsidR="00486CD3" w:rsidRPr="00440A64" w:rsidRDefault="00486CD3" w:rsidP="00E94C45">
      <w:pPr>
        <w:tabs>
          <w:tab w:val="left" w:pos="720"/>
          <w:tab w:val="left" w:pos="4820"/>
        </w:tabs>
        <w:spacing w:line="360" w:lineRule="auto"/>
        <w:contextualSpacing/>
        <w:jc w:val="both"/>
        <w:rPr>
          <w:rFonts w:ascii="Arial" w:hAnsi="Arial" w:cs="Arial"/>
          <w:lang w:val="en-ZA"/>
        </w:rPr>
      </w:pPr>
    </w:p>
    <w:p w:rsidR="00E94C45" w:rsidRPr="00440A64" w:rsidRDefault="00E94C45" w:rsidP="00E94C45">
      <w:pPr>
        <w:tabs>
          <w:tab w:val="left" w:pos="1440"/>
          <w:tab w:val="left" w:pos="4820"/>
        </w:tabs>
        <w:spacing w:line="360" w:lineRule="auto"/>
        <w:ind w:left="1440" w:hanging="720"/>
        <w:contextualSpacing/>
        <w:jc w:val="both"/>
        <w:rPr>
          <w:rFonts w:ascii="Arial" w:hAnsi="Arial" w:cs="Arial"/>
          <w:lang w:val="en-ZA"/>
        </w:rPr>
      </w:pPr>
      <w:r w:rsidRPr="00440A64">
        <w:rPr>
          <w:rFonts w:ascii="Arial" w:hAnsi="Arial" w:cs="Arial"/>
          <w:lang w:val="en-ZA"/>
        </w:rPr>
        <w:t>(</w:t>
      </w:r>
      <w:proofErr w:type="spellStart"/>
      <w:r w:rsidRPr="00440A64">
        <w:rPr>
          <w:rFonts w:ascii="Arial" w:hAnsi="Arial" w:cs="Arial"/>
          <w:lang w:val="en-ZA"/>
        </w:rPr>
        <w:t>i</w:t>
      </w:r>
      <w:proofErr w:type="spellEnd"/>
      <w:r w:rsidRPr="00440A64">
        <w:rPr>
          <w:rFonts w:ascii="Arial" w:hAnsi="Arial" w:cs="Arial"/>
          <w:lang w:val="en-ZA"/>
        </w:rPr>
        <w:t>)</w:t>
      </w:r>
      <w:r w:rsidRPr="00440A64">
        <w:rPr>
          <w:rFonts w:ascii="Arial" w:hAnsi="Arial" w:cs="Arial"/>
          <w:lang w:val="en-ZA"/>
        </w:rPr>
        <w:tab/>
      </w:r>
      <w:proofErr w:type="gramStart"/>
      <w:r w:rsidRPr="00440A64">
        <w:rPr>
          <w:rFonts w:ascii="Arial" w:hAnsi="Arial" w:cs="Arial"/>
          <w:lang w:val="en-ZA"/>
        </w:rPr>
        <w:t>the</w:t>
      </w:r>
      <w:proofErr w:type="gramEnd"/>
      <w:r w:rsidRPr="00440A64">
        <w:rPr>
          <w:rFonts w:ascii="Arial" w:hAnsi="Arial" w:cs="Arial"/>
          <w:lang w:val="en-ZA"/>
        </w:rPr>
        <w:t xml:space="preserve"> will is signed at the end thereof by the testator or by some other person in his presence and by his direction; and</w:t>
      </w:r>
    </w:p>
    <w:p w:rsidR="00E94C45" w:rsidRPr="00440A64" w:rsidRDefault="00E94C45" w:rsidP="00E94C45">
      <w:pPr>
        <w:tabs>
          <w:tab w:val="left" w:pos="1440"/>
          <w:tab w:val="left" w:pos="4820"/>
        </w:tabs>
        <w:spacing w:line="360" w:lineRule="auto"/>
        <w:ind w:left="1440" w:hanging="720"/>
        <w:contextualSpacing/>
        <w:jc w:val="both"/>
        <w:rPr>
          <w:rFonts w:ascii="Arial" w:hAnsi="Arial" w:cs="Arial"/>
          <w:lang w:val="en-ZA"/>
        </w:rPr>
      </w:pPr>
    </w:p>
    <w:p w:rsidR="00E94C45" w:rsidRPr="00440A64" w:rsidRDefault="00E94C45" w:rsidP="00E94C45">
      <w:pPr>
        <w:tabs>
          <w:tab w:val="left" w:pos="1440"/>
          <w:tab w:val="left" w:pos="4820"/>
        </w:tabs>
        <w:spacing w:line="360" w:lineRule="auto"/>
        <w:ind w:left="1440" w:hanging="720"/>
        <w:contextualSpacing/>
        <w:jc w:val="both"/>
        <w:rPr>
          <w:rFonts w:ascii="Arial" w:hAnsi="Arial" w:cs="Arial"/>
          <w:lang w:val="en-ZA"/>
        </w:rPr>
      </w:pPr>
      <w:r w:rsidRPr="00440A64">
        <w:rPr>
          <w:rFonts w:ascii="Arial" w:hAnsi="Arial" w:cs="Arial"/>
          <w:lang w:val="en-ZA"/>
        </w:rPr>
        <w:t>(ii)</w:t>
      </w:r>
      <w:r w:rsidRPr="00440A64">
        <w:rPr>
          <w:rFonts w:ascii="Arial" w:hAnsi="Arial" w:cs="Arial"/>
          <w:lang w:val="en-ZA"/>
        </w:rPr>
        <w:tab/>
      </w:r>
      <w:proofErr w:type="gramStart"/>
      <w:r w:rsidRPr="00440A64">
        <w:rPr>
          <w:rFonts w:ascii="Arial" w:hAnsi="Arial" w:cs="Arial"/>
          <w:lang w:val="en-ZA"/>
        </w:rPr>
        <w:t>such</w:t>
      </w:r>
      <w:proofErr w:type="gramEnd"/>
      <w:r w:rsidRPr="00440A64">
        <w:rPr>
          <w:rFonts w:ascii="Arial" w:hAnsi="Arial" w:cs="Arial"/>
          <w:lang w:val="en-ZA"/>
        </w:rPr>
        <w:t xml:space="preserve"> signature is made by the testator or by such other person or is acknowledged by the testator and, if made by such other person, also by such other person, in the presence of two or more competent witnesses present at the same time; and</w:t>
      </w:r>
    </w:p>
    <w:p w:rsidR="00E94C45" w:rsidRPr="00440A64" w:rsidRDefault="00E94C45" w:rsidP="00E94C45">
      <w:pPr>
        <w:tabs>
          <w:tab w:val="left" w:pos="1440"/>
          <w:tab w:val="left" w:pos="4820"/>
        </w:tabs>
        <w:spacing w:line="360" w:lineRule="auto"/>
        <w:ind w:left="1440" w:hanging="720"/>
        <w:contextualSpacing/>
        <w:jc w:val="both"/>
        <w:rPr>
          <w:rFonts w:ascii="Arial" w:hAnsi="Arial" w:cs="Arial"/>
          <w:lang w:val="en-ZA"/>
        </w:rPr>
      </w:pPr>
    </w:p>
    <w:p w:rsidR="00E94C45" w:rsidRPr="00440A64" w:rsidRDefault="00E94C45" w:rsidP="00E94C45">
      <w:pPr>
        <w:tabs>
          <w:tab w:val="left" w:pos="4820"/>
        </w:tabs>
        <w:spacing w:line="360" w:lineRule="auto"/>
        <w:ind w:left="1440" w:hanging="720"/>
        <w:contextualSpacing/>
        <w:jc w:val="both"/>
        <w:rPr>
          <w:rFonts w:ascii="Arial" w:hAnsi="Arial" w:cs="Arial"/>
          <w:lang w:val="en-ZA"/>
        </w:rPr>
      </w:pPr>
      <w:r w:rsidRPr="00440A64">
        <w:rPr>
          <w:rFonts w:ascii="Arial" w:hAnsi="Arial" w:cs="Arial"/>
          <w:lang w:val="en-ZA"/>
        </w:rPr>
        <w:t>(iii)</w:t>
      </w:r>
      <w:r w:rsidRPr="00440A64">
        <w:rPr>
          <w:rFonts w:ascii="Arial" w:hAnsi="Arial" w:cs="Arial"/>
          <w:lang w:val="en-ZA"/>
        </w:rPr>
        <w:tab/>
      </w:r>
      <w:proofErr w:type="gramStart"/>
      <w:r w:rsidRPr="00440A64">
        <w:rPr>
          <w:rFonts w:ascii="Arial" w:hAnsi="Arial" w:cs="Arial"/>
          <w:lang w:val="en-ZA"/>
        </w:rPr>
        <w:t>such</w:t>
      </w:r>
      <w:proofErr w:type="gramEnd"/>
      <w:r w:rsidRPr="00440A64">
        <w:rPr>
          <w:rFonts w:ascii="Arial" w:hAnsi="Arial" w:cs="Arial"/>
          <w:lang w:val="en-ZA"/>
        </w:rPr>
        <w:t xml:space="preserve"> witnesses attest and sign the will in the presence of the testator and of each other and, if the will is signed by such other person, in the presence also of such other person; and</w:t>
      </w:r>
    </w:p>
    <w:p w:rsidR="00E94C45" w:rsidRPr="00440A64" w:rsidRDefault="00E94C45" w:rsidP="00E94C45">
      <w:pPr>
        <w:tabs>
          <w:tab w:val="left" w:pos="4820"/>
        </w:tabs>
        <w:spacing w:line="360" w:lineRule="auto"/>
        <w:ind w:left="1440" w:hanging="720"/>
        <w:contextualSpacing/>
        <w:jc w:val="both"/>
        <w:rPr>
          <w:rFonts w:ascii="Arial" w:hAnsi="Arial" w:cs="Arial"/>
          <w:lang w:val="en-ZA"/>
        </w:rPr>
      </w:pPr>
    </w:p>
    <w:p w:rsidR="00E94C45" w:rsidRPr="00440A64" w:rsidRDefault="00E94C45" w:rsidP="00E94C45">
      <w:pPr>
        <w:tabs>
          <w:tab w:val="left" w:pos="1440"/>
          <w:tab w:val="left" w:pos="4820"/>
        </w:tabs>
        <w:spacing w:line="360" w:lineRule="auto"/>
        <w:ind w:left="1440" w:hanging="720"/>
        <w:contextualSpacing/>
        <w:jc w:val="both"/>
        <w:rPr>
          <w:rFonts w:ascii="Arial" w:hAnsi="Arial" w:cs="Arial"/>
          <w:lang w:val="en-ZA"/>
        </w:rPr>
      </w:pPr>
      <w:r w:rsidRPr="00440A64">
        <w:rPr>
          <w:rFonts w:ascii="Arial" w:hAnsi="Arial" w:cs="Arial"/>
          <w:lang w:val="en-ZA"/>
        </w:rPr>
        <w:t>(iv)</w:t>
      </w:r>
      <w:r w:rsidRPr="00440A64">
        <w:rPr>
          <w:rFonts w:ascii="Arial" w:hAnsi="Arial" w:cs="Arial"/>
          <w:lang w:val="en-ZA"/>
        </w:rPr>
        <w:tab/>
        <w:t>if the will consists of more than one page, each page other than the page on which it ends, is also so signed by the testator or by such other person and by such witnesses anywhere on the page; and</w:t>
      </w:r>
    </w:p>
    <w:p w:rsidR="00E94C45" w:rsidRPr="00440A64" w:rsidRDefault="00E94C45" w:rsidP="00E94C45">
      <w:pPr>
        <w:tabs>
          <w:tab w:val="left" w:pos="1440"/>
          <w:tab w:val="left" w:pos="4820"/>
        </w:tabs>
        <w:spacing w:line="360" w:lineRule="auto"/>
        <w:ind w:left="1440" w:hanging="720"/>
        <w:contextualSpacing/>
        <w:jc w:val="both"/>
        <w:rPr>
          <w:rFonts w:ascii="Arial" w:hAnsi="Arial" w:cs="Arial"/>
          <w:lang w:val="en-ZA"/>
        </w:rPr>
      </w:pPr>
    </w:p>
    <w:p w:rsidR="00486CD3" w:rsidRPr="00440A64" w:rsidRDefault="00E94C45" w:rsidP="00486CD3">
      <w:pPr>
        <w:tabs>
          <w:tab w:val="left" w:pos="4820"/>
        </w:tabs>
        <w:spacing w:line="360" w:lineRule="auto"/>
        <w:ind w:left="1440" w:hanging="720"/>
        <w:contextualSpacing/>
        <w:jc w:val="both"/>
        <w:rPr>
          <w:rFonts w:ascii="Arial" w:hAnsi="Arial" w:cs="Arial"/>
          <w:lang w:val="en-ZA"/>
        </w:rPr>
      </w:pPr>
      <w:r w:rsidRPr="00440A64">
        <w:rPr>
          <w:rFonts w:ascii="Arial" w:hAnsi="Arial" w:cs="Arial"/>
          <w:lang w:val="en-ZA"/>
        </w:rPr>
        <w:t>(v)</w:t>
      </w:r>
      <w:r w:rsidRPr="00440A64">
        <w:rPr>
          <w:rFonts w:ascii="Arial" w:hAnsi="Arial" w:cs="Arial"/>
          <w:lang w:val="en-ZA"/>
        </w:rPr>
        <w:tab/>
        <w:t xml:space="preserve">if the will is signed by the testator by the making of a mark or by some other person in the presence and by the direction of the testator, a magistrate, justice of the peace, commissioner of oaths or notary public certifies at the end thereof that he has satisfied himself as to the identity of the testator and that the will so signed is the will of the testator, and if the will consists of more than one page, each page other than the page on which it ends, is also signed, anywhere on </w:t>
      </w:r>
      <w:r w:rsidRPr="00440A64">
        <w:rPr>
          <w:rFonts w:ascii="Arial" w:hAnsi="Arial" w:cs="Arial"/>
          <w:lang w:val="en-ZA"/>
        </w:rPr>
        <w:lastRenderedPageBreak/>
        <w:t>the page, by the magistrate, justice of the peace, commissioner of oaths or notary public w</w:t>
      </w:r>
      <w:r w:rsidR="00F064B2">
        <w:rPr>
          <w:rFonts w:ascii="Arial" w:hAnsi="Arial" w:cs="Arial"/>
          <w:lang w:val="en-ZA"/>
        </w:rPr>
        <w:t>ho so certifies.</w:t>
      </w:r>
      <w:r w:rsidR="00486CD3" w:rsidRPr="00440A64">
        <w:rPr>
          <w:rFonts w:ascii="Arial" w:hAnsi="Arial" w:cs="Arial"/>
          <w:lang w:val="en-ZA"/>
        </w:rPr>
        <w:t>’</w:t>
      </w:r>
    </w:p>
    <w:p w:rsidR="00486CD3" w:rsidRPr="00427AC6" w:rsidRDefault="00486CD3" w:rsidP="00486CD3">
      <w:pPr>
        <w:tabs>
          <w:tab w:val="left" w:pos="4820"/>
        </w:tabs>
        <w:spacing w:line="360" w:lineRule="auto"/>
        <w:contextualSpacing/>
        <w:jc w:val="both"/>
        <w:rPr>
          <w:rFonts w:ascii="Arial" w:hAnsi="Arial" w:cs="Arial"/>
          <w:sz w:val="24"/>
          <w:szCs w:val="24"/>
          <w:lang w:val="en-ZA"/>
        </w:rPr>
      </w:pPr>
    </w:p>
    <w:p w:rsidR="00C51E4F" w:rsidRPr="00427AC6" w:rsidRDefault="00D6159D" w:rsidP="00C51E4F">
      <w:pPr>
        <w:tabs>
          <w:tab w:val="left" w:pos="720"/>
          <w:tab w:val="left" w:pos="4820"/>
        </w:tabs>
        <w:spacing w:line="360" w:lineRule="auto"/>
        <w:contextualSpacing/>
        <w:jc w:val="both"/>
        <w:rPr>
          <w:rFonts w:ascii="Arial" w:hAnsi="Arial" w:cs="Arial"/>
          <w:sz w:val="24"/>
          <w:szCs w:val="24"/>
          <w:lang w:val="en-ZA"/>
        </w:rPr>
      </w:pPr>
      <w:r w:rsidRPr="00427AC6">
        <w:rPr>
          <w:rFonts w:ascii="Arial" w:hAnsi="Arial" w:cs="Arial"/>
          <w:sz w:val="24"/>
          <w:szCs w:val="24"/>
          <w:lang w:val="en-ZA"/>
        </w:rPr>
        <w:t>[1</w:t>
      </w:r>
      <w:r w:rsidR="00440A64">
        <w:rPr>
          <w:rFonts w:ascii="Arial" w:hAnsi="Arial" w:cs="Arial"/>
          <w:sz w:val="24"/>
          <w:szCs w:val="24"/>
          <w:lang w:val="en-ZA"/>
        </w:rPr>
        <w:t>8</w:t>
      </w:r>
      <w:r w:rsidRPr="00427AC6">
        <w:rPr>
          <w:rFonts w:ascii="Arial" w:hAnsi="Arial" w:cs="Arial"/>
          <w:sz w:val="24"/>
          <w:szCs w:val="24"/>
          <w:lang w:val="en-ZA"/>
        </w:rPr>
        <w:t>]</w:t>
      </w:r>
      <w:r w:rsidRPr="00427AC6">
        <w:rPr>
          <w:rFonts w:ascii="Arial" w:hAnsi="Arial" w:cs="Arial"/>
          <w:sz w:val="24"/>
          <w:szCs w:val="24"/>
          <w:lang w:val="en-ZA"/>
        </w:rPr>
        <w:tab/>
      </w:r>
      <w:r w:rsidR="00486CD3" w:rsidRPr="00427AC6">
        <w:rPr>
          <w:rFonts w:ascii="Arial" w:hAnsi="Arial" w:cs="Arial"/>
          <w:sz w:val="24"/>
          <w:szCs w:val="24"/>
          <w:lang w:val="en-ZA"/>
        </w:rPr>
        <w:t>Section 2(1</w:t>
      </w:r>
      <w:r w:rsidR="000474A4" w:rsidRPr="00427AC6">
        <w:rPr>
          <w:rFonts w:ascii="Arial" w:hAnsi="Arial" w:cs="Arial"/>
          <w:sz w:val="24"/>
          <w:szCs w:val="24"/>
          <w:lang w:val="en-ZA"/>
        </w:rPr>
        <w:t>) (</w:t>
      </w:r>
      <w:r w:rsidR="00486CD3" w:rsidRPr="00427AC6">
        <w:rPr>
          <w:rFonts w:ascii="Arial" w:hAnsi="Arial" w:cs="Arial"/>
          <w:sz w:val="24"/>
          <w:szCs w:val="24"/>
          <w:lang w:val="en-ZA"/>
        </w:rPr>
        <w:t xml:space="preserve">a) of the Wills Act </w:t>
      </w:r>
      <w:r w:rsidR="00C51E4F" w:rsidRPr="00427AC6">
        <w:rPr>
          <w:rFonts w:ascii="Arial" w:hAnsi="Arial" w:cs="Arial"/>
          <w:sz w:val="24"/>
          <w:szCs w:val="24"/>
          <w:lang w:val="en-ZA"/>
        </w:rPr>
        <w:t xml:space="preserve">thus sets out </w:t>
      </w:r>
      <w:r w:rsidR="00486CD3" w:rsidRPr="00427AC6">
        <w:rPr>
          <w:rFonts w:ascii="Arial" w:hAnsi="Arial" w:cs="Arial"/>
          <w:sz w:val="24"/>
          <w:szCs w:val="24"/>
          <w:lang w:val="en-ZA"/>
        </w:rPr>
        <w:t xml:space="preserve">requirements </w:t>
      </w:r>
      <w:r w:rsidR="000474A4">
        <w:rPr>
          <w:rFonts w:ascii="Arial" w:hAnsi="Arial" w:cs="Arial"/>
          <w:sz w:val="24"/>
          <w:szCs w:val="24"/>
          <w:lang w:val="en-ZA"/>
        </w:rPr>
        <w:t>that must be met for a w</w:t>
      </w:r>
      <w:r w:rsidR="00C51E4F" w:rsidRPr="00427AC6">
        <w:rPr>
          <w:rFonts w:ascii="Arial" w:hAnsi="Arial" w:cs="Arial"/>
          <w:sz w:val="24"/>
          <w:szCs w:val="24"/>
          <w:lang w:val="en-ZA"/>
        </w:rPr>
        <w:t xml:space="preserve">ill to be regarded as valid. In the matter </w:t>
      </w:r>
      <w:r w:rsidR="00C51E4F" w:rsidRPr="00427AC6">
        <w:rPr>
          <w:rFonts w:ascii="Arial" w:hAnsi="Arial" w:cs="Arial"/>
          <w:i/>
          <w:sz w:val="24"/>
          <w:szCs w:val="24"/>
          <w:lang w:val="en-ZA"/>
        </w:rPr>
        <w:t xml:space="preserve">of Ex parte Goldman and </w:t>
      </w:r>
      <w:proofErr w:type="spellStart"/>
      <w:r w:rsidR="00C51E4F" w:rsidRPr="00427AC6">
        <w:rPr>
          <w:rFonts w:ascii="Arial" w:hAnsi="Arial" w:cs="Arial"/>
          <w:i/>
          <w:sz w:val="24"/>
          <w:szCs w:val="24"/>
          <w:lang w:val="en-ZA"/>
        </w:rPr>
        <w:t>Kalmer</w:t>
      </w:r>
      <w:proofErr w:type="spellEnd"/>
      <w:r w:rsidR="00C51E4F" w:rsidRPr="00427AC6">
        <w:rPr>
          <w:rFonts w:ascii="Arial" w:hAnsi="Arial" w:cs="Arial"/>
          <w:i/>
          <w:sz w:val="24"/>
          <w:szCs w:val="24"/>
          <w:lang w:val="en-ZA"/>
        </w:rPr>
        <w:t xml:space="preserve"> NNO</w:t>
      </w:r>
      <w:r w:rsidR="00C51E4F" w:rsidRPr="00427AC6">
        <w:rPr>
          <w:rStyle w:val="FootnoteReference"/>
          <w:rFonts w:ascii="Arial" w:hAnsi="Arial" w:cs="Arial"/>
          <w:i/>
          <w:sz w:val="24"/>
          <w:szCs w:val="24"/>
          <w:lang w:val="en-ZA"/>
        </w:rPr>
        <w:footnoteReference w:id="7"/>
      </w:r>
      <w:r w:rsidR="00C51E4F" w:rsidRPr="00427AC6">
        <w:rPr>
          <w:rFonts w:ascii="Arial" w:hAnsi="Arial" w:cs="Arial"/>
          <w:sz w:val="24"/>
          <w:szCs w:val="24"/>
          <w:lang w:val="en-ZA"/>
        </w:rPr>
        <w:t xml:space="preserve"> a w</w:t>
      </w:r>
      <w:r w:rsidR="008A5B6C">
        <w:rPr>
          <w:rFonts w:ascii="Arial" w:hAnsi="Arial" w:cs="Arial"/>
          <w:sz w:val="24"/>
          <w:szCs w:val="24"/>
          <w:lang w:val="en-ZA"/>
        </w:rPr>
        <w:t>ill consisted of several pages. A</w:t>
      </w:r>
      <w:r w:rsidR="00C51E4F" w:rsidRPr="00427AC6">
        <w:rPr>
          <w:rFonts w:ascii="Arial" w:hAnsi="Arial" w:cs="Arial"/>
          <w:sz w:val="24"/>
          <w:szCs w:val="24"/>
          <w:lang w:val="en-ZA"/>
        </w:rPr>
        <w:t>t the foot of each page of the testatrix's will there appeared the signature of two witnesses and a sign or symbol made by the testatrix. Underneath this sign there appeared, in the handwriting of the attorney, who was also the notary, the words 'her mark', and the signature of the attorney. The Master had rejected the will bec</w:t>
      </w:r>
      <w:r w:rsidR="006E2B1F">
        <w:rPr>
          <w:rFonts w:ascii="Arial" w:hAnsi="Arial" w:cs="Arial"/>
          <w:sz w:val="24"/>
          <w:szCs w:val="24"/>
          <w:lang w:val="en-ZA"/>
        </w:rPr>
        <w:t>ause on the face of it the sign</w:t>
      </w:r>
      <w:r w:rsidR="00C51E4F" w:rsidRPr="00427AC6">
        <w:rPr>
          <w:rFonts w:ascii="Arial" w:hAnsi="Arial" w:cs="Arial"/>
          <w:sz w:val="24"/>
          <w:szCs w:val="24"/>
          <w:lang w:val="en-ZA"/>
        </w:rPr>
        <w:t xml:space="preserve"> did not appear to be a signature but a mark. In an application to have this will declared valid, the court held, that in terms of the Wills Act, as amended, 'signature' included the making of a 'mark' and that the words 'sign' and 'signature' in section 2 (1) (a) (iv) and (v) of the Act should be given a wide meaning. The Court, further</w:t>
      </w:r>
      <w:r w:rsidR="00F064B2">
        <w:rPr>
          <w:rFonts w:ascii="Arial" w:hAnsi="Arial" w:cs="Arial"/>
          <w:sz w:val="24"/>
          <w:szCs w:val="24"/>
          <w:lang w:val="en-ZA"/>
        </w:rPr>
        <w:t xml:space="preserve"> held</w:t>
      </w:r>
      <w:r w:rsidR="00C51E4F" w:rsidRPr="00427AC6">
        <w:rPr>
          <w:rFonts w:ascii="Arial" w:hAnsi="Arial" w:cs="Arial"/>
          <w:sz w:val="24"/>
          <w:szCs w:val="24"/>
          <w:lang w:val="en-ZA"/>
        </w:rPr>
        <w:t>, that the Legislature did not intend that a full signature was required from the testatrix</w:t>
      </w:r>
      <w:r w:rsidR="007D6120" w:rsidRPr="00427AC6">
        <w:rPr>
          <w:rFonts w:ascii="Arial" w:hAnsi="Arial" w:cs="Arial"/>
          <w:sz w:val="24"/>
          <w:szCs w:val="24"/>
          <w:lang w:val="en-ZA"/>
        </w:rPr>
        <w:t>.</w:t>
      </w:r>
    </w:p>
    <w:p w:rsidR="00486CD3" w:rsidRPr="00427AC6" w:rsidRDefault="00486CD3" w:rsidP="00486CD3">
      <w:pPr>
        <w:pStyle w:val="ListParagraph"/>
        <w:tabs>
          <w:tab w:val="left" w:pos="4820"/>
        </w:tabs>
        <w:spacing w:line="360" w:lineRule="auto"/>
        <w:ind w:left="0"/>
        <w:jc w:val="both"/>
        <w:rPr>
          <w:rFonts w:cs="Arial"/>
          <w:lang w:val="en-ZA"/>
        </w:rPr>
      </w:pPr>
    </w:p>
    <w:p w:rsidR="007D6120" w:rsidRPr="00427AC6" w:rsidRDefault="007D6120" w:rsidP="007D6120">
      <w:pPr>
        <w:pStyle w:val="ListParagraph"/>
        <w:tabs>
          <w:tab w:val="left" w:pos="720"/>
          <w:tab w:val="left" w:pos="4820"/>
        </w:tabs>
        <w:spacing w:line="360" w:lineRule="auto"/>
        <w:ind w:left="0"/>
        <w:jc w:val="both"/>
        <w:rPr>
          <w:rFonts w:cs="Arial"/>
          <w:lang w:val="en-ZA"/>
        </w:rPr>
      </w:pPr>
      <w:r w:rsidRPr="00427AC6">
        <w:rPr>
          <w:rFonts w:cs="Arial"/>
          <w:lang w:val="en-ZA"/>
        </w:rPr>
        <w:t>[1</w:t>
      </w:r>
      <w:r w:rsidR="00440A64">
        <w:rPr>
          <w:rFonts w:cs="Arial"/>
          <w:lang w:val="en-ZA"/>
        </w:rPr>
        <w:t>9</w:t>
      </w:r>
      <w:r w:rsidRPr="00427AC6">
        <w:rPr>
          <w:rFonts w:cs="Arial"/>
          <w:lang w:val="en-ZA"/>
        </w:rPr>
        <w:t>]</w:t>
      </w:r>
      <w:r w:rsidRPr="00427AC6">
        <w:rPr>
          <w:rFonts w:cs="Arial"/>
          <w:lang w:val="en-ZA"/>
        </w:rPr>
        <w:tab/>
        <w:t xml:space="preserve">In the matter of </w:t>
      </w:r>
      <w:proofErr w:type="spellStart"/>
      <w:r w:rsidRPr="00427AC6">
        <w:rPr>
          <w:rFonts w:cs="Arial"/>
          <w:i/>
          <w:lang w:val="en-ZA"/>
        </w:rPr>
        <w:t>Jhajbhai</w:t>
      </w:r>
      <w:proofErr w:type="spellEnd"/>
      <w:r w:rsidRPr="00427AC6">
        <w:rPr>
          <w:rFonts w:cs="Arial"/>
          <w:i/>
          <w:lang w:val="en-ZA"/>
        </w:rPr>
        <w:t xml:space="preserve"> and Others v The Master and Another</w:t>
      </w:r>
      <w:r w:rsidR="00B627BA" w:rsidRPr="00427AC6">
        <w:rPr>
          <w:rStyle w:val="FootnoteReference"/>
          <w:rFonts w:cs="Arial"/>
          <w:i/>
          <w:lang w:val="en-ZA"/>
        </w:rPr>
        <w:footnoteReference w:id="8"/>
      </w:r>
      <w:r w:rsidR="006E2B1F">
        <w:rPr>
          <w:rFonts w:cs="Arial"/>
          <w:lang w:val="en-ZA"/>
        </w:rPr>
        <w:t xml:space="preserve"> </w:t>
      </w:r>
      <w:r w:rsidRPr="00427AC6">
        <w:rPr>
          <w:rFonts w:cs="Arial"/>
          <w:lang w:val="en-ZA"/>
        </w:rPr>
        <w:t>the will</w:t>
      </w:r>
      <w:r w:rsidR="006E2B1F">
        <w:rPr>
          <w:rFonts w:cs="Arial"/>
          <w:lang w:val="en-ZA"/>
        </w:rPr>
        <w:t xml:space="preserve"> in that matter</w:t>
      </w:r>
      <w:r w:rsidR="008A5B6C">
        <w:rPr>
          <w:rFonts w:cs="Arial"/>
          <w:lang w:val="en-ZA"/>
        </w:rPr>
        <w:t xml:space="preserve"> was a two-</w:t>
      </w:r>
      <w:r w:rsidRPr="00427AC6">
        <w:rPr>
          <w:rFonts w:cs="Arial"/>
          <w:lang w:val="en-ZA"/>
        </w:rPr>
        <w:t>page docum</w:t>
      </w:r>
      <w:r w:rsidR="00B627BA" w:rsidRPr="00427AC6">
        <w:rPr>
          <w:rFonts w:cs="Arial"/>
          <w:lang w:val="en-ZA"/>
        </w:rPr>
        <w:t>ent</w:t>
      </w:r>
      <w:r w:rsidRPr="00427AC6">
        <w:rPr>
          <w:rFonts w:cs="Arial"/>
          <w:lang w:val="en-ZA"/>
        </w:rPr>
        <w:t xml:space="preserve"> which had been duly signed by both the testator and two witnesses at the foot of the first page. At the end of the will, on the second page, the testator signed his name but each witness wrote his name and address in capital letters without actually signing. The question to be decided was whether the writing or printing by the witnesses of their names on the</w:t>
      </w:r>
      <w:r w:rsidR="00B627BA" w:rsidRPr="00427AC6">
        <w:rPr>
          <w:rFonts w:cs="Arial"/>
          <w:lang w:val="en-ZA"/>
        </w:rPr>
        <w:t xml:space="preserve"> </w:t>
      </w:r>
      <w:r w:rsidRPr="00427AC6">
        <w:rPr>
          <w:rFonts w:cs="Arial"/>
          <w:lang w:val="en-ZA"/>
        </w:rPr>
        <w:t>second page of the will con</w:t>
      </w:r>
      <w:r w:rsidR="00B627BA" w:rsidRPr="00427AC6">
        <w:rPr>
          <w:rFonts w:cs="Arial"/>
          <w:lang w:val="en-ZA"/>
        </w:rPr>
        <w:t xml:space="preserve">stituted a valid signature as </w:t>
      </w:r>
      <w:r w:rsidRPr="00427AC6">
        <w:rPr>
          <w:rFonts w:cs="Arial"/>
          <w:lang w:val="en-ZA"/>
        </w:rPr>
        <w:t xml:space="preserve">required by s 2 (1) (a) (iii) of the Act. </w:t>
      </w:r>
      <w:r w:rsidR="00B627BA" w:rsidRPr="00427AC6">
        <w:rPr>
          <w:rFonts w:cs="Arial"/>
          <w:lang w:val="en-ZA"/>
        </w:rPr>
        <w:t xml:space="preserve"> The Court </w:t>
      </w:r>
      <w:r w:rsidR="00F064B2">
        <w:rPr>
          <w:rFonts w:cs="Arial"/>
          <w:lang w:val="en-ZA"/>
        </w:rPr>
        <w:t>held that ‘</w:t>
      </w:r>
      <w:r w:rsidRPr="00427AC6">
        <w:rPr>
          <w:rFonts w:cs="Arial"/>
          <w:lang w:val="en-ZA"/>
        </w:rPr>
        <w:t>sig</w:t>
      </w:r>
      <w:r w:rsidR="00F064B2">
        <w:rPr>
          <w:rFonts w:cs="Arial"/>
          <w:lang w:val="en-ZA"/>
        </w:rPr>
        <w:t>n’</w:t>
      </w:r>
      <w:r w:rsidR="00A1283D" w:rsidRPr="00427AC6">
        <w:rPr>
          <w:rFonts w:cs="Arial"/>
          <w:lang w:val="en-ZA"/>
        </w:rPr>
        <w:t xml:space="preserve"> for the purposes of the Act </w:t>
      </w:r>
      <w:r w:rsidRPr="00427AC6">
        <w:rPr>
          <w:rFonts w:cs="Arial"/>
          <w:lang w:val="en-ZA"/>
        </w:rPr>
        <w:t xml:space="preserve">"includes the accustomed mode of signature of a witness, as well as any other mode adopted by him (not being a mark) to write or sign his name. It may or may not be his full name. The intention of the witness in writing or signing his name is the criterion. If he intends his </w:t>
      </w:r>
      <w:r w:rsidR="00A1283D" w:rsidRPr="00427AC6">
        <w:rPr>
          <w:rFonts w:cs="Arial"/>
          <w:lang w:val="en-ZA"/>
        </w:rPr>
        <w:t xml:space="preserve">mode of writing or signing his </w:t>
      </w:r>
      <w:r w:rsidRPr="00427AC6">
        <w:rPr>
          <w:rFonts w:cs="Arial"/>
          <w:lang w:val="en-ZA"/>
        </w:rPr>
        <w:t>name to represent his signature, it is effective as such".</w:t>
      </w:r>
      <w:r w:rsidR="00A1283D" w:rsidRPr="00427AC6">
        <w:rPr>
          <w:rFonts w:cs="Arial"/>
          <w:lang w:val="en-ZA"/>
        </w:rPr>
        <w:t xml:space="preserve"> </w:t>
      </w:r>
      <w:r w:rsidRPr="00427AC6">
        <w:rPr>
          <w:rFonts w:cs="Arial"/>
          <w:lang w:val="en-ZA"/>
        </w:rPr>
        <w:t>The will was accordingly held to have been duly attested by the witnesses.</w:t>
      </w:r>
    </w:p>
    <w:p w:rsidR="00A1283D" w:rsidRPr="00427AC6" w:rsidRDefault="00A1283D" w:rsidP="007D6120">
      <w:pPr>
        <w:pStyle w:val="ListParagraph"/>
        <w:tabs>
          <w:tab w:val="left" w:pos="720"/>
          <w:tab w:val="left" w:pos="4820"/>
        </w:tabs>
        <w:spacing w:line="360" w:lineRule="auto"/>
        <w:ind w:left="0"/>
        <w:jc w:val="both"/>
        <w:rPr>
          <w:rFonts w:cs="Arial"/>
          <w:lang w:val="en-ZA"/>
        </w:rPr>
      </w:pPr>
    </w:p>
    <w:p w:rsidR="003F4D62" w:rsidRPr="00427AC6" w:rsidRDefault="00A1283D" w:rsidP="00A1283D">
      <w:pPr>
        <w:pStyle w:val="ListParagraph"/>
        <w:tabs>
          <w:tab w:val="left" w:pos="720"/>
          <w:tab w:val="left" w:pos="4820"/>
        </w:tabs>
        <w:spacing w:line="360" w:lineRule="auto"/>
        <w:ind w:left="0"/>
        <w:jc w:val="both"/>
        <w:rPr>
          <w:rFonts w:cs="Arial"/>
          <w:lang w:val="en-ZA"/>
        </w:rPr>
      </w:pPr>
      <w:r w:rsidRPr="00427AC6">
        <w:rPr>
          <w:rFonts w:cs="Arial"/>
          <w:lang w:val="en-ZA"/>
        </w:rPr>
        <w:t>[</w:t>
      </w:r>
      <w:r w:rsidR="00440A64">
        <w:rPr>
          <w:rFonts w:cs="Arial"/>
          <w:lang w:val="en-ZA"/>
        </w:rPr>
        <w:t>20</w:t>
      </w:r>
      <w:r w:rsidR="006E2B1F">
        <w:rPr>
          <w:rFonts w:cs="Arial"/>
          <w:lang w:val="en-ZA"/>
        </w:rPr>
        <w:t>]</w:t>
      </w:r>
      <w:r w:rsidR="006E2B1F">
        <w:rPr>
          <w:rFonts w:cs="Arial"/>
          <w:lang w:val="en-ZA"/>
        </w:rPr>
        <w:tab/>
        <w:t xml:space="preserve">In </w:t>
      </w:r>
      <w:proofErr w:type="spellStart"/>
      <w:r w:rsidRPr="00427AC6">
        <w:rPr>
          <w:rFonts w:cs="Arial"/>
          <w:i/>
          <w:lang w:val="en-ZA"/>
        </w:rPr>
        <w:t>Dempers</w:t>
      </w:r>
      <w:proofErr w:type="spellEnd"/>
      <w:r w:rsidRPr="00427AC6">
        <w:rPr>
          <w:rFonts w:cs="Arial"/>
          <w:i/>
          <w:lang w:val="en-ZA"/>
        </w:rPr>
        <w:t xml:space="preserve"> and Others v The Master and Others (1)</w:t>
      </w:r>
      <w:r w:rsidRPr="00427AC6">
        <w:rPr>
          <w:rStyle w:val="FootnoteReference"/>
          <w:rFonts w:cs="Arial"/>
          <w:i/>
          <w:lang w:val="en-ZA"/>
        </w:rPr>
        <w:footnoteReference w:id="9"/>
      </w:r>
      <w:r w:rsidRPr="00427AC6">
        <w:rPr>
          <w:rFonts w:cs="Arial"/>
          <w:lang w:val="en-ZA"/>
        </w:rPr>
        <w:t xml:space="preserve"> a will consisting of four pages had been signed by the testator at the end thereof and at the foot of each page </w:t>
      </w:r>
      <w:r w:rsidRPr="00427AC6">
        <w:rPr>
          <w:rFonts w:cs="Arial"/>
          <w:lang w:val="en-ZA"/>
        </w:rPr>
        <w:lastRenderedPageBreak/>
        <w:t xml:space="preserve">but the witnesses had signed the last page only and had placed their initials at the foot of each page. The Court </w:t>
      </w:r>
      <w:r w:rsidR="008A5B6C">
        <w:rPr>
          <w:rFonts w:cs="Arial"/>
          <w:lang w:val="en-ZA"/>
        </w:rPr>
        <w:t xml:space="preserve">held </w:t>
      </w:r>
      <w:r w:rsidRPr="00427AC6">
        <w:rPr>
          <w:rFonts w:cs="Arial"/>
          <w:lang w:val="en-ZA"/>
        </w:rPr>
        <w:t>that the will did not comply with the requirements of section 2 (1</w:t>
      </w:r>
      <w:r w:rsidR="006E2B1F">
        <w:rPr>
          <w:rFonts w:cs="Arial"/>
          <w:lang w:val="en-ZA"/>
        </w:rPr>
        <w:t xml:space="preserve">) (a) (iii) of the Wills Act </w:t>
      </w:r>
      <w:r w:rsidRPr="00427AC6">
        <w:rPr>
          <w:rFonts w:cs="Arial"/>
          <w:lang w:val="en-ZA"/>
        </w:rPr>
        <w:t xml:space="preserve">of 1953, and was </w:t>
      </w:r>
      <w:r w:rsidR="00F229D0">
        <w:rPr>
          <w:rFonts w:cs="Arial"/>
          <w:lang w:val="en-ZA"/>
        </w:rPr>
        <w:t xml:space="preserve">thus </w:t>
      </w:r>
      <w:r w:rsidRPr="00427AC6">
        <w:rPr>
          <w:rFonts w:cs="Arial"/>
          <w:lang w:val="en-ZA"/>
        </w:rPr>
        <w:t>invalid.</w:t>
      </w:r>
      <w:r w:rsidR="003F4D62" w:rsidRPr="00427AC6">
        <w:rPr>
          <w:rFonts w:cs="Arial"/>
          <w:lang w:val="en-ZA"/>
        </w:rPr>
        <w:t xml:space="preserve"> </w:t>
      </w:r>
    </w:p>
    <w:p w:rsidR="003F4D62" w:rsidRPr="00427AC6" w:rsidRDefault="003F4D62" w:rsidP="00A1283D">
      <w:pPr>
        <w:pStyle w:val="ListParagraph"/>
        <w:tabs>
          <w:tab w:val="left" w:pos="720"/>
          <w:tab w:val="left" w:pos="4820"/>
        </w:tabs>
        <w:spacing w:line="360" w:lineRule="auto"/>
        <w:ind w:left="0"/>
        <w:jc w:val="both"/>
        <w:rPr>
          <w:rFonts w:cs="Arial"/>
          <w:lang w:val="en-ZA"/>
        </w:rPr>
      </w:pPr>
    </w:p>
    <w:p w:rsidR="00A1283D" w:rsidRDefault="00440A64" w:rsidP="00747AA8">
      <w:pPr>
        <w:pStyle w:val="ListParagraph"/>
        <w:tabs>
          <w:tab w:val="left" w:pos="720"/>
          <w:tab w:val="left" w:pos="4820"/>
        </w:tabs>
        <w:spacing w:line="360" w:lineRule="auto"/>
        <w:ind w:left="0"/>
        <w:jc w:val="both"/>
        <w:rPr>
          <w:rFonts w:cs="Arial"/>
          <w:lang w:val="en-ZA"/>
        </w:rPr>
      </w:pPr>
      <w:r>
        <w:rPr>
          <w:rFonts w:cs="Arial"/>
          <w:lang w:val="en-ZA"/>
        </w:rPr>
        <w:t>[21</w:t>
      </w:r>
      <w:r w:rsidR="006E2B1F">
        <w:rPr>
          <w:rFonts w:cs="Arial"/>
          <w:lang w:val="en-ZA"/>
        </w:rPr>
        <w:t>]</w:t>
      </w:r>
      <w:r w:rsidR="006E2B1F">
        <w:rPr>
          <w:rFonts w:cs="Arial"/>
          <w:lang w:val="en-ZA"/>
        </w:rPr>
        <w:tab/>
        <w:t xml:space="preserve">In </w:t>
      </w:r>
      <w:proofErr w:type="spellStart"/>
      <w:r w:rsidR="003F4D62" w:rsidRPr="00427AC6">
        <w:rPr>
          <w:rFonts w:cs="Arial"/>
          <w:i/>
          <w:lang w:val="en-ZA"/>
        </w:rPr>
        <w:t>Mellvill</w:t>
      </w:r>
      <w:proofErr w:type="spellEnd"/>
      <w:r w:rsidR="003F4D62" w:rsidRPr="00427AC6">
        <w:rPr>
          <w:rFonts w:cs="Arial"/>
          <w:i/>
          <w:lang w:val="en-ZA"/>
        </w:rPr>
        <w:t xml:space="preserve"> and Another NNO v </w:t>
      </w:r>
      <w:r w:rsidR="00B45A29" w:rsidRPr="00427AC6">
        <w:rPr>
          <w:rFonts w:cs="Arial"/>
          <w:i/>
          <w:lang w:val="en-ZA"/>
        </w:rPr>
        <w:t xml:space="preserve">The </w:t>
      </w:r>
      <w:r w:rsidR="003F4D62" w:rsidRPr="00427AC6">
        <w:rPr>
          <w:rFonts w:cs="Arial"/>
          <w:i/>
          <w:lang w:val="en-ZA"/>
        </w:rPr>
        <w:t>Master, and Others</w:t>
      </w:r>
      <w:r w:rsidR="003F4D62" w:rsidRPr="00427AC6">
        <w:rPr>
          <w:rStyle w:val="FootnoteReference"/>
          <w:rFonts w:cs="Arial"/>
          <w:i/>
          <w:lang w:val="en-ZA"/>
        </w:rPr>
        <w:footnoteReference w:id="10"/>
      </w:r>
      <w:r w:rsidR="003F4D62" w:rsidRPr="00427AC6">
        <w:rPr>
          <w:rFonts w:cs="Arial"/>
          <w:lang w:val="en-ZA"/>
        </w:rPr>
        <w:t xml:space="preserve"> the witnesses only signed </w:t>
      </w:r>
      <w:r w:rsidR="004C7F8D">
        <w:rPr>
          <w:rFonts w:cs="Arial"/>
          <w:lang w:val="en-ZA"/>
        </w:rPr>
        <w:t xml:space="preserve">the </w:t>
      </w:r>
      <w:r w:rsidR="003F4D62" w:rsidRPr="00427AC6">
        <w:rPr>
          <w:rFonts w:cs="Arial"/>
          <w:lang w:val="en-ZA"/>
        </w:rPr>
        <w:t xml:space="preserve">will by writing their initials thereon. The Court held that mere initials do not constitute a signature for the purposes of </w:t>
      </w:r>
      <w:r w:rsidR="006E2B1F">
        <w:rPr>
          <w:rFonts w:cs="Arial"/>
          <w:lang w:val="en-ZA"/>
        </w:rPr>
        <w:t>s 2 (a) (</w:t>
      </w:r>
      <w:proofErr w:type="gramStart"/>
      <w:r w:rsidR="006E2B1F">
        <w:rPr>
          <w:rFonts w:cs="Arial"/>
          <w:lang w:val="en-ZA"/>
        </w:rPr>
        <w:t>iv</w:t>
      </w:r>
      <w:proofErr w:type="gramEnd"/>
      <w:r w:rsidR="006E2B1F">
        <w:rPr>
          <w:rFonts w:cs="Arial"/>
          <w:lang w:val="en-ZA"/>
        </w:rPr>
        <w:t xml:space="preserve">) of the Wills Act </w:t>
      </w:r>
      <w:r w:rsidR="003F4D62" w:rsidRPr="00427AC6">
        <w:rPr>
          <w:rFonts w:cs="Arial"/>
          <w:lang w:val="en-ZA"/>
        </w:rPr>
        <w:t xml:space="preserve">of 1953, and </w:t>
      </w:r>
      <w:r w:rsidR="00F229D0">
        <w:rPr>
          <w:rFonts w:cs="Arial"/>
          <w:lang w:val="en-ZA"/>
        </w:rPr>
        <w:t xml:space="preserve">that </w:t>
      </w:r>
      <w:r w:rsidR="003F4D62" w:rsidRPr="00427AC6">
        <w:rPr>
          <w:rFonts w:cs="Arial"/>
          <w:lang w:val="en-ZA"/>
        </w:rPr>
        <w:t>an instrument thus initialled will not be a valid will for the purposes of the Act.</w:t>
      </w:r>
    </w:p>
    <w:p w:rsidR="00950D5E" w:rsidRDefault="00950D5E" w:rsidP="00747AA8">
      <w:pPr>
        <w:pStyle w:val="ListParagraph"/>
        <w:tabs>
          <w:tab w:val="left" w:pos="720"/>
          <w:tab w:val="left" w:pos="4820"/>
        </w:tabs>
        <w:spacing w:line="360" w:lineRule="auto"/>
        <w:ind w:left="0"/>
        <w:jc w:val="both"/>
        <w:rPr>
          <w:rFonts w:cs="Arial"/>
          <w:lang w:val="en-ZA"/>
        </w:rPr>
      </w:pPr>
    </w:p>
    <w:p w:rsidR="00C6029C" w:rsidRPr="00427AC6" w:rsidRDefault="00440A64" w:rsidP="00747AA8">
      <w:pPr>
        <w:pStyle w:val="ListParagraph"/>
        <w:tabs>
          <w:tab w:val="left" w:pos="720"/>
          <w:tab w:val="left" w:pos="4820"/>
        </w:tabs>
        <w:spacing w:line="360" w:lineRule="auto"/>
        <w:ind w:left="0"/>
        <w:jc w:val="both"/>
        <w:rPr>
          <w:rFonts w:cs="Arial"/>
          <w:lang w:val="en-GB"/>
        </w:rPr>
      </w:pPr>
      <w:r>
        <w:rPr>
          <w:rFonts w:cs="Arial"/>
          <w:lang w:val="en-ZA"/>
        </w:rPr>
        <w:t>[22</w:t>
      </w:r>
      <w:r w:rsidR="00092615" w:rsidRPr="00427AC6">
        <w:rPr>
          <w:rFonts w:cs="Arial"/>
          <w:lang w:val="en-ZA"/>
        </w:rPr>
        <w:t>]</w:t>
      </w:r>
      <w:r w:rsidR="00092615" w:rsidRPr="00427AC6">
        <w:rPr>
          <w:rFonts w:cs="Arial"/>
          <w:lang w:val="en-ZA"/>
        </w:rPr>
        <w:tab/>
        <w:t>From the above cases, the legal position in Namibia appears to be that the formalities set out in s 2(1</w:t>
      </w:r>
      <w:proofErr w:type="gramStart"/>
      <w:r w:rsidR="00092615" w:rsidRPr="00427AC6">
        <w:rPr>
          <w:rFonts w:cs="Arial"/>
          <w:lang w:val="en-ZA"/>
        </w:rPr>
        <w:t>)(</w:t>
      </w:r>
      <w:proofErr w:type="gramEnd"/>
      <w:r w:rsidR="00092615" w:rsidRPr="00427AC6">
        <w:rPr>
          <w:rFonts w:cs="Arial"/>
          <w:lang w:val="en-ZA"/>
        </w:rPr>
        <w:t>a</w:t>
      </w:r>
      <w:r w:rsidR="00FC333D" w:rsidRPr="00427AC6">
        <w:rPr>
          <w:rFonts w:cs="Arial"/>
          <w:lang w:val="en-ZA"/>
        </w:rPr>
        <w:t>) must</w:t>
      </w:r>
      <w:r>
        <w:rPr>
          <w:rFonts w:cs="Arial"/>
          <w:lang w:val="en-ZA"/>
        </w:rPr>
        <w:t xml:space="preserve"> be strictly complied with for</w:t>
      </w:r>
      <w:r w:rsidR="00092615" w:rsidRPr="00427AC6">
        <w:rPr>
          <w:rFonts w:cs="Arial"/>
          <w:lang w:val="en-ZA"/>
        </w:rPr>
        <w:t xml:space="preserve"> a will to be considered a valid will.</w:t>
      </w:r>
      <w:r w:rsidR="00092615" w:rsidRPr="00427AC6">
        <w:rPr>
          <w:rStyle w:val="FootnoteReference"/>
          <w:rFonts w:cs="Arial"/>
          <w:lang w:val="en-ZA"/>
        </w:rPr>
        <w:footnoteReference w:id="11"/>
      </w:r>
      <w:r w:rsidR="00092615" w:rsidRPr="00427AC6">
        <w:rPr>
          <w:rFonts w:cs="Arial"/>
          <w:lang w:val="en-ZA"/>
        </w:rPr>
        <w:t xml:space="preserve"> </w:t>
      </w:r>
    </w:p>
    <w:p w:rsidR="00042EE1" w:rsidRPr="00427AC6" w:rsidRDefault="00042EE1" w:rsidP="00747AA8">
      <w:pPr>
        <w:spacing w:after="0" w:line="360" w:lineRule="auto"/>
        <w:jc w:val="both"/>
        <w:rPr>
          <w:rFonts w:ascii="Arial" w:hAnsi="Arial" w:cs="Arial"/>
          <w:sz w:val="24"/>
          <w:szCs w:val="24"/>
          <w:lang w:val="en-GB"/>
        </w:rPr>
      </w:pPr>
    </w:p>
    <w:p w:rsidR="009A1C2E" w:rsidRPr="00427AC6" w:rsidRDefault="00F229D0" w:rsidP="00747AA8">
      <w:pPr>
        <w:spacing w:after="0" w:line="360" w:lineRule="auto"/>
        <w:jc w:val="both"/>
        <w:rPr>
          <w:rFonts w:ascii="Arial" w:hAnsi="Arial" w:cs="Arial"/>
          <w:b/>
          <w:sz w:val="24"/>
          <w:szCs w:val="24"/>
          <w:u w:val="single"/>
          <w:lang w:val="en-GB"/>
        </w:rPr>
      </w:pPr>
      <w:r>
        <w:rPr>
          <w:rFonts w:ascii="Arial" w:hAnsi="Arial" w:cs="Arial"/>
          <w:sz w:val="24"/>
          <w:szCs w:val="24"/>
          <w:u w:val="single"/>
          <w:lang w:val="en-GB"/>
        </w:rPr>
        <w:t>Is the document created by</w:t>
      </w:r>
      <w:r w:rsidR="009A1C2E" w:rsidRPr="00427AC6">
        <w:rPr>
          <w:rFonts w:ascii="Arial" w:hAnsi="Arial" w:cs="Arial"/>
          <w:sz w:val="24"/>
          <w:szCs w:val="24"/>
          <w:u w:val="single"/>
          <w:lang w:val="en-GB"/>
        </w:rPr>
        <w:t xml:space="preserve"> the late</w:t>
      </w:r>
      <w:r w:rsidR="009A1C2E" w:rsidRPr="00427AC6">
        <w:rPr>
          <w:rFonts w:ascii="Arial" w:eastAsia="Times New Roman" w:hAnsi="Arial" w:cs="Arial"/>
          <w:spacing w:val="-3"/>
          <w:sz w:val="24"/>
          <w:szCs w:val="24"/>
          <w:u w:val="single"/>
          <w:lang w:val="en-GB"/>
        </w:rPr>
        <w:t xml:space="preserve"> </w:t>
      </w:r>
      <w:proofErr w:type="spellStart"/>
      <w:r w:rsidR="009A1C2E" w:rsidRPr="00427AC6">
        <w:rPr>
          <w:rFonts w:ascii="Arial" w:eastAsia="Times New Roman" w:hAnsi="Arial" w:cs="Arial"/>
          <w:spacing w:val="-3"/>
          <w:sz w:val="24"/>
          <w:szCs w:val="24"/>
          <w:u w:val="single"/>
          <w:lang w:val="en-GB"/>
        </w:rPr>
        <w:t>Nuugwedha</w:t>
      </w:r>
      <w:proofErr w:type="spellEnd"/>
      <w:r w:rsidR="009A1C2E" w:rsidRPr="00427AC6">
        <w:rPr>
          <w:rFonts w:ascii="Arial" w:eastAsia="Times New Roman" w:hAnsi="Arial" w:cs="Arial"/>
          <w:spacing w:val="-3"/>
          <w:sz w:val="24"/>
          <w:szCs w:val="24"/>
          <w:u w:val="single"/>
          <w:lang w:val="en-GB"/>
        </w:rPr>
        <w:t xml:space="preserve"> a valid will?</w:t>
      </w:r>
    </w:p>
    <w:p w:rsidR="00042EE1" w:rsidRPr="00427AC6" w:rsidRDefault="00042EE1" w:rsidP="00747AA8">
      <w:pPr>
        <w:spacing w:after="0" w:line="360" w:lineRule="auto"/>
        <w:jc w:val="both"/>
        <w:rPr>
          <w:rFonts w:ascii="Arial" w:hAnsi="Arial" w:cs="Arial"/>
          <w:sz w:val="24"/>
          <w:szCs w:val="24"/>
          <w:lang w:val="en-GB"/>
        </w:rPr>
      </w:pPr>
    </w:p>
    <w:p w:rsidR="009A1C2E" w:rsidRPr="00427AC6" w:rsidRDefault="00216680" w:rsidP="00747AA8">
      <w:pPr>
        <w:widowControl w:val="0"/>
        <w:tabs>
          <w:tab w:val="num" w:pos="720"/>
          <w:tab w:val="num" w:pos="1700"/>
        </w:tabs>
        <w:autoSpaceDE w:val="0"/>
        <w:autoSpaceDN w:val="0"/>
        <w:adjustRightInd w:val="0"/>
        <w:spacing w:after="0" w:line="360" w:lineRule="auto"/>
        <w:jc w:val="both"/>
        <w:rPr>
          <w:rFonts w:ascii="Arial" w:hAnsi="Arial" w:cs="Arial"/>
          <w:sz w:val="24"/>
          <w:szCs w:val="24"/>
        </w:rPr>
      </w:pPr>
      <w:r w:rsidRPr="00427AC6">
        <w:rPr>
          <w:rFonts w:ascii="Arial" w:hAnsi="Arial" w:cs="Arial"/>
          <w:sz w:val="24"/>
          <w:szCs w:val="24"/>
          <w:lang w:val="en-GB"/>
        </w:rPr>
        <w:t>[2</w:t>
      </w:r>
      <w:r w:rsidR="00440A64">
        <w:rPr>
          <w:rFonts w:ascii="Arial" w:hAnsi="Arial" w:cs="Arial"/>
          <w:sz w:val="24"/>
          <w:szCs w:val="24"/>
          <w:lang w:val="en-GB"/>
        </w:rPr>
        <w:t>3</w:t>
      </w:r>
      <w:r w:rsidR="00DA75EF" w:rsidRPr="00427AC6">
        <w:rPr>
          <w:rFonts w:ascii="Arial" w:hAnsi="Arial" w:cs="Arial"/>
          <w:sz w:val="24"/>
          <w:szCs w:val="24"/>
          <w:lang w:val="en-GB"/>
        </w:rPr>
        <w:t>]</w:t>
      </w:r>
      <w:r w:rsidR="00DA75EF" w:rsidRPr="00427AC6">
        <w:rPr>
          <w:rFonts w:ascii="Arial" w:hAnsi="Arial" w:cs="Arial"/>
          <w:sz w:val="24"/>
          <w:szCs w:val="24"/>
          <w:lang w:val="en-GB"/>
        </w:rPr>
        <w:tab/>
      </w:r>
      <w:r w:rsidR="00F229D0">
        <w:rPr>
          <w:rFonts w:ascii="Arial" w:hAnsi="Arial" w:cs="Arial"/>
          <w:sz w:val="24"/>
          <w:szCs w:val="24"/>
          <w:lang w:val="en-GB"/>
        </w:rPr>
        <w:t xml:space="preserve">Ms </w:t>
      </w:r>
      <w:proofErr w:type="spellStart"/>
      <w:r w:rsidR="00F229D0">
        <w:rPr>
          <w:rFonts w:ascii="Arial" w:hAnsi="Arial" w:cs="Arial"/>
          <w:sz w:val="24"/>
          <w:szCs w:val="24"/>
          <w:lang w:val="en-GB"/>
        </w:rPr>
        <w:t>Angula</w:t>
      </w:r>
      <w:proofErr w:type="spellEnd"/>
      <w:r w:rsidR="00F229D0">
        <w:rPr>
          <w:rFonts w:ascii="Arial" w:hAnsi="Arial" w:cs="Arial"/>
          <w:sz w:val="24"/>
          <w:szCs w:val="24"/>
          <w:lang w:val="en-GB"/>
        </w:rPr>
        <w:t xml:space="preserve">, </w:t>
      </w:r>
      <w:r w:rsidR="009A1C2E" w:rsidRPr="00427AC6">
        <w:rPr>
          <w:rFonts w:ascii="Arial" w:hAnsi="Arial" w:cs="Arial"/>
          <w:sz w:val="24"/>
          <w:szCs w:val="24"/>
          <w:lang w:val="en-GB"/>
        </w:rPr>
        <w:t>who appea</w:t>
      </w:r>
      <w:r w:rsidR="00F229D0">
        <w:rPr>
          <w:rFonts w:ascii="Arial" w:hAnsi="Arial" w:cs="Arial"/>
          <w:sz w:val="24"/>
          <w:szCs w:val="24"/>
          <w:lang w:val="en-GB"/>
        </w:rPr>
        <w:t xml:space="preserve">red on behalf of the applicants, </w:t>
      </w:r>
      <w:r w:rsidR="009A1C2E" w:rsidRPr="00427AC6">
        <w:rPr>
          <w:rFonts w:ascii="Arial" w:hAnsi="Arial" w:cs="Arial"/>
          <w:sz w:val="24"/>
          <w:szCs w:val="24"/>
          <w:lang w:val="en-GB"/>
        </w:rPr>
        <w:t>implored to</w:t>
      </w:r>
      <w:r w:rsidR="00E812C7" w:rsidRPr="00427AC6">
        <w:rPr>
          <w:rFonts w:ascii="Arial" w:hAnsi="Arial" w:cs="Arial"/>
          <w:sz w:val="24"/>
          <w:szCs w:val="24"/>
          <w:lang w:val="en-GB"/>
        </w:rPr>
        <w:t>, (</w:t>
      </w:r>
      <w:r w:rsidR="009A1C2E" w:rsidRPr="00427AC6">
        <w:rPr>
          <w:rFonts w:ascii="Arial" w:hAnsi="Arial" w:cs="Arial"/>
          <w:sz w:val="24"/>
          <w:szCs w:val="24"/>
          <w:lang w:val="en-GB"/>
        </w:rPr>
        <w:t>in view of the allegation that</w:t>
      </w:r>
      <w:r w:rsidR="00E812C7" w:rsidRPr="00427AC6">
        <w:rPr>
          <w:rFonts w:ascii="Arial" w:hAnsi="Arial" w:cs="Arial"/>
          <w:sz w:val="24"/>
          <w:szCs w:val="24"/>
          <w:lang w:val="en-GB"/>
        </w:rPr>
        <w:t xml:space="preserve"> the</w:t>
      </w:r>
      <w:r w:rsidR="009A1C2E" w:rsidRPr="00427AC6">
        <w:rPr>
          <w:rFonts w:ascii="Arial" w:hAnsi="Arial" w:cs="Arial"/>
          <w:sz w:val="24"/>
          <w:szCs w:val="24"/>
          <w:lang w:val="en-GB"/>
        </w:rPr>
        <w:t xml:space="preserve"> late </w:t>
      </w:r>
      <w:proofErr w:type="spellStart"/>
      <w:r w:rsidR="009A1C2E" w:rsidRPr="00427AC6">
        <w:rPr>
          <w:rFonts w:ascii="Arial" w:hAnsi="Arial" w:cs="Arial"/>
          <w:sz w:val="24"/>
          <w:szCs w:val="24"/>
          <w:lang w:val="en-GB"/>
        </w:rPr>
        <w:t>Nuugwedha</w:t>
      </w:r>
      <w:proofErr w:type="spellEnd"/>
      <w:r w:rsidR="009A1C2E" w:rsidRPr="00427AC6">
        <w:rPr>
          <w:rFonts w:ascii="Arial" w:hAnsi="Arial" w:cs="Arial"/>
          <w:sz w:val="24"/>
          <w:szCs w:val="24"/>
        </w:rPr>
        <w:t xml:space="preserve"> signed </w:t>
      </w:r>
      <w:r w:rsidR="00E812C7" w:rsidRPr="00427AC6">
        <w:rPr>
          <w:rFonts w:ascii="Arial" w:hAnsi="Arial" w:cs="Arial"/>
          <w:sz w:val="24"/>
          <w:szCs w:val="24"/>
        </w:rPr>
        <w:t xml:space="preserve">the will </w:t>
      </w:r>
      <w:r w:rsidR="009A1C2E" w:rsidRPr="00427AC6">
        <w:rPr>
          <w:rFonts w:ascii="Arial" w:hAnsi="Arial" w:cs="Arial"/>
          <w:sz w:val="24"/>
          <w:szCs w:val="24"/>
        </w:rPr>
        <w:t xml:space="preserve">when </w:t>
      </w:r>
      <w:r w:rsidR="00E812C7" w:rsidRPr="00427AC6">
        <w:rPr>
          <w:rFonts w:ascii="Arial" w:hAnsi="Arial" w:cs="Arial"/>
          <w:sz w:val="24"/>
          <w:szCs w:val="24"/>
        </w:rPr>
        <w:t>her</w:t>
      </w:r>
      <w:r w:rsidR="009A1C2E" w:rsidRPr="00427AC6">
        <w:rPr>
          <w:rFonts w:ascii="Arial" w:hAnsi="Arial" w:cs="Arial"/>
          <w:sz w:val="24"/>
          <w:szCs w:val="24"/>
        </w:rPr>
        <w:t xml:space="preserve"> health </w:t>
      </w:r>
      <w:r w:rsidR="00E812C7" w:rsidRPr="00427AC6">
        <w:rPr>
          <w:rFonts w:ascii="Arial" w:hAnsi="Arial" w:cs="Arial"/>
          <w:sz w:val="24"/>
          <w:szCs w:val="24"/>
        </w:rPr>
        <w:t xml:space="preserve">had </w:t>
      </w:r>
      <w:r w:rsidR="009A1C2E" w:rsidRPr="00427AC6">
        <w:rPr>
          <w:rFonts w:ascii="Arial" w:hAnsi="Arial" w:cs="Arial"/>
          <w:sz w:val="24"/>
          <w:szCs w:val="24"/>
        </w:rPr>
        <w:t>deteriorated</w:t>
      </w:r>
      <w:r w:rsidR="00E812C7" w:rsidRPr="00427AC6">
        <w:rPr>
          <w:rFonts w:ascii="Arial" w:hAnsi="Arial" w:cs="Arial"/>
          <w:sz w:val="24"/>
          <w:szCs w:val="24"/>
        </w:rPr>
        <w:t xml:space="preserve">, the applicants are desirous to </w:t>
      </w:r>
      <w:proofErr w:type="spellStart"/>
      <w:r w:rsidR="00E812C7" w:rsidRPr="00427AC6">
        <w:rPr>
          <w:rFonts w:ascii="Arial" w:hAnsi="Arial" w:cs="Arial"/>
          <w:sz w:val="24"/>
          <w:szCs w:val="24"/>
        </w:rPr>
        <w:t>honour</w:t>
      </w:r>
      <w:proofErr w:type="spellEnd"/>
      <w:r w:rsidR="00E812C7" w:rsidRPr="00427AC6">
        <w:rPr>
          <w:rFonts w:ascii="Arial" w:hAnsi="Arial" w:cs="Arial"/>
          <w:sz w:val="24"/>
          <w:szCs w:val="24"/>
        </w:rPr>
        <w:t xml:space="preserve"> their late mother’s wishes, the </w:t>
      </w:r>
      <w:r w:rsidR="009A1C2E" w:rsidRPr="00427AC6">
        <w:rPr>
          <w:rFonts w:ascii="Arial" w:hAnsi="Arial" w:cs="Arial"/>
          <w:sz w:val="24"/>
          <w:szCs w:val="24"/>
        </w:rPr>
        <w:t>applicants are unable to attend to the estate in the event that the estate is to devolve in terms of intestate succession</w:t>
      </w:r>
      <w:r w:rsidR="00E812C7" w:rsidRPr="00427AC6">
        <w:rPr>
          <w:rFonts w:ascii="Arial" w:hAnsi="Arial" w:cs="Arial"/>
          <w:sz w:val="24"/>
          <w:szCs w:val="24"/>
        </w:rPr>
        <w:t xml:space="preserve">, there is </w:t>
      </w:r>
      <w:r w:rsidR="009A1C2E" w:rsidRPr="00427AC6">
        <w:rPr>
          <w:rFonts w:ascii="Arial" w:hAnsi="Arial" w:cs="Arial"/>
          <w:sz w:val="24"/>
          <w:szCs w:val="24"/>
        </w:rPr>
        <w:t>no fraud involved</w:t>
      </w:r>
      <w:r w:rsidR="00E812C7" w:rsidRPr="00427AC6">
        <w:rPr>
          <w:rFonts w:ascii="Arial" w:hAnsi="Arial" w:cs="Arial"/>
          <w:sz w:val="24"/>
          <w:szCs w:val="24"/>
        </w:rPr>
        <w:t xml:space="preserve"> and t</w:t>
      </w:r>
      <w:r w:rsidR="009A1C2E" w:rsidRPr="00427AC6">
        <w:rPr>
          <w:rFonts w:ascii="Arial" w:hAnsi="Arial" w:cs="Arial"/>
          <w:sz w:val="24"/>
          <w:szCs w:val="24"/>
        </w:rPr>
        <w:t>he witnesses</w:t>
      </w:r>
      <w:r w:rsidR="00E812C7" w:rsidRPr="00427AC6">
        <w:rPr>
          <w:rFonts w:ascii="Arial" w:hAnsi="Arial" w:cs="Arial"/>
          <w:sz w:val="24"/>
          <w:szCs w:val="24"/>
        </w:rPr>
        <w:t xml:space="preserve"> who attested to the signing of the will</w:t>
      </w:r>
      <w:r w:rsidR="009A1C2E" w:rsidRPr="00427AC6">
        <w:rPr>
          <w:rFonts w:ascii="Arial" w:hAnsi="Arial" w:cs="Arial"/>
          <w:sz w:val="24"/>
          <w:szCs w:val="24"/>
        </w:rPr>
        <w:t xml:space="preserve"> confirmed their presence at the execution of the will</w:t>
      </w:r>
      <w:r w:rsidR="00E812C7" w:rsidRPr="00427AC6">
        <w:rPr>
          <w:rFonts w:ascii="Arial" w:hAnsi="Arial" w:cs="Arial"/>
          <w:sz w:val="24"/>
          <w:szCs w:val="24"/>
        </w:rPr>
        <w:t>),</w:t>
      </w:r>
      <w:r w:rsidR="009A1C2E" w:rsidRPr="00427AC6">
        <w:rPr>
          <w:rFonts w:ascii="Arial" w:hAnsi="Arial" w:cs="Arial"/>
          <w:sz w:val="24"/>
          <w:szCs w:val="24"/>
        </w:rPr>
        <w:t xml:space="preserve"> </w:t>
      </w:r>
      <w:r w:rsidR="00E812C7" w:rsidRPr="00427AC6">
        <w:rPr>
          <w:rFonts w:ascii="Arial" w:hAnsi="Arial" w:cs="Arial"/>
          <w:sz w:val="24"/>
          <w:szCs w:val="24"/>
        </w:rPr>
        <w:t xml:space="preserve">adopt a liberal </w:t>
      </w:r>
      <w:r w:rsidR="009A1C2E" w:rsidRPr="00427AC6">
        <w:rPr>
          <w:rFonts w:ascii="Arial" w:hAnsi="Arial" w:cs="Arial"/>
          <w:sz w:val="24"/>
          <w:szCs w:val="24"/>
        </w:rPr>
        <w:t xml:space="preserve">approach </w:t>
      </w:r>
      <w:r w:rsidR="00E812C7" w:rsidRPr="00427AC6">
        <w:rPr>
          <w:rFonts w:ascii="Arial" w:hAnsi="Arial" w:cs="Arial"/>
          <w:sz w:val="24"/>
          <w:szCs w:val="24"/>
        </w:rPr>
        <w:t xml:space="preserve">and </w:t>
      </w:r>
      <w:r w:rsidR="00747AA8" w:rsidRPr="00427AC6">
        <w:rPr>
          <w:rFonts w:ascii="Arial" w:hAnsi="Arial" w:cs="Arial"/>
          <w:sz w:val="24"/>
          <w:szCs w:val="24"/>
        </w:rPr>
        <w:t>place an interpretation on</w:t>
      </w:r>
      <w:r w:rsidR="00E812C7" w:rsidRPr="00427AC6">
        <w:rPr>
          <w:rFonts w:ascii="Arial" w:hAnsi="Arial" w:cs="Arial"/>
          <w:sz w:val="24"/>
          <w:szCs w:val="24"/>
        </w:rPr>
        <w:t xml:space="preserve"> s </w:t>
      </w:r>
      <w:r w:rsidR="00E812C7" w:rsidRPr="00427AC6">
        <w:rPr>
          <w:rFonts w:ascii="Arial" w:hAnsi="Arial" w:cs="Arial"/>
          <w:sz w:val="24"/>
          <w:szCs w:val="24"/>
          <w:lang w:val="en-ZA"/>
        </w:rPr>
        <w:t>2 (1) (a)(i</w:t>
      </w:r>
      <w:r w:rsidR="00276338">
        <w:rPr>
          <w:rFonts w:ascii="Arial" w:hAnsi="Arial" w:cs="Arial"/>
          <w:sz w:val="24"/>
          <w:szCs w:val="24"/>
          <w:lang w:val="en-ZA"/>
        </w:rPr>
        <w:t>ii</w:t>
      </w:r>
      <w:r w:rsidR="004C7F8D">
        <w:rPr>
          <w:rFonts w:ascii="Arial" w:hAnsi="Arial" w:cs="Arial"/>
          <w:sz w:val="24"/>
          <w:szCs w:val="24"/>
          <w:lang w:val="en-ZA"/>
        </w:rPr>
        <w:t>) and</w:t>
      </w:r>
      <w:r w:rsidR="00E812C7" w:rsidRPr="00427AC6">
        <w:rPr>
          <w:rFonts w:ascii="Arial" w:hAnsi="Arial" w:cs="Arial"/>
          <w:sz w:val="24"/>
          <w:szCs w:val="24"/>
          <w:lang w:val="en-ZA"/>
        </w:rPr>
        <w:t xml:space="preserve"> (</w:t>
      </w:r>
      <w:r w:rsidR="00276338">
        <w:rPr>
          <w:rFonts w:ascii="Arial" w:hAnsi="Arial" w:cs="Arial"/>
          <w:sz w:val="24"/>
          <w:szCs w:val="24"/>
          <w:lang w:val="en-ZA"/>
        </w:rPr>
        <w:t>i</w:t>
      </w:r>
      <w:r w:rsidR="00E812C7" w:rsidRPr="00427AC6">
        <w:rPr>
          <w:rFonts w:ascii="Arial" w:hAnsi="Arial" w:cs="Arial"/>
          <w:sz w:val="24"/>
          <w:szCs w:val="24"/>
          <w:lang w:val="en-ZA"/>
        </w:rPr>
        <w:t>v)</w:t>
      </w:r>
      <w:r w:rsidR="00E812C7" w:rsidRPr="00427AC6">
        <w:rPr>
          <w:rFonts w:ascii="Arial" w:hAnsi="Arial" w:cs="Arial"/>
          <w:sz w:val="24"/>
          <w:szCs w:val="24"/>
        </w:rPr>
        <w:t xml:space="preserve"> </w:t>
      </w:r>
      <w:r w:rsidR="00747AA8" w:rsidRPr="00427AC6">
        <w:rPr>
          <w:rFonts w:ascii="Arial" w:hAnsi="Arial" w:cs="Arial"/>
          <w:sz w:val="24"/>
          <w:szCs w:val="24"/>
        </w:rPr>
        <w:t xml:space="preserve">to the effect that </w:t>
      </w:r>
      <w:r w:rsidR="009A1C2E" w:rsidRPr="00427AC6">
        <w:rPr>
          <w:rFonts w:ascii="Arial" w:hAnsi="Arial" w:cs="Arial"/>
          <w:sz w:val="24"/>
          <w:szCs w:val="24"/>
        </w:rPr>
        <w:t>signature include</w:t>
      </w:r>
      <w:r w:rsidR="00747AA8" w:rsidRPr="00427AC6">
        <w:rPr>
          <w:rFonts w:ascii="Arial" w:hAnsi="Arial" w:cs="Arial"/>
          <w:sz w:val="24"/>
          <w:szCs w:val="24"/>
        </w:rPr>
        <w:t>s</w:t>
      </w:r>
      <w:r w:rsidR="009A1C2E" w:rsidRPr="00427AC6">
        <w:rPr>
          <w:rFonts w:ascii="Arial" w:hAnsi="Arial" w:cs="Arial"/>
          <w:sz w:val="24"/>
          <w:szCs w:val="24"/>
        </w:rPr>
        <w:t xml:space="preserve"> an initial.</w:t>
      </w:r>
    </w:p>
    <w:p w:rsidR="00112D92" w:rsidRPr="00427AC6" w:rsidRDefault="00112D92" w:rsidP="009A1C2E">
      <w:pPr>
        <w:spacing w:after="0" w:line="360" w:lineRule="auto"/>
        <w:jc w:val="both"/>
        <w:rPr>
          <w:rFonts w:ascii="Arial" w:hAnsi="Arial" w:cs="Arial"/>
          <w:sz w:val="24"/>
          <w:szCs w:val="24"/>
        </w:rPr>
      </w:pPr>
    </w:p>
    <w:p w:rsidR="00B562B4" w:rsidRPr="00427AC6" w:rsidRDefault="00B562B4" w:rsidP="00935301">
      <w:pPr>
        <w:autoSpaceDE w:val="0"/>
        <w:autoSpaceDN w:val="0"/>
        <w:adjustRightInd w:val="0"/>
        <w:spacing w:after="0" w:line="360" w:lineRule="auto"/>
        <w:jc w:val="both"/>
        <w:rPr>
          <w:rFonts w:ascii="Arial" w:hAnsi="Arial" w:cs="Arial"/>
          <w:sz w:val="24"/>
          <w:szCs w:val="24"/>
          <w:lang w:val="en-ZA"/>
        </w:rPr>
      </w:pPr>
      <w:r w:rsidRPr="00427AC6">
        <w:rPr>
          <w:rFonts w:ascii="Arial" w:hAnsi="Arial" w:cs="Arial"/>
          <w:sz w:val="24"/>
          <w:szCs w:val="24"/>
        </w:rPr>
        <w:t>[2</w:t>
      </w:r>
      <w:r w:rsidR="00440A64">
        <w:rPr>
          <w:rFonts w:ascii="Arial" w:hAnsi="Arial" w:cs="Arial"/>
          <w:sz w:val="24"/>
          <w:szCs w:val="24"/>
        </w:rPr>
        <w:t>4</w:t>
      </w:r>
      <w:r w:rsidRPr="00427AC6">
        <w:rPr>
          <w:rFonts w:ascii="Arial" w:hAnsi="Arial" w:cs="Arial"/>
          <w:sz w:val="24"/>
          <w:szCs w:val="24"/>
        </w:rPr>
        <w:t>]</w:t>
      </w:r>
      <w:r w:rsidRPr="00427AC6">
        <w:rPr>
          <w:rFonts w:ascii="Arial" w:hAnsi="Arial" w:cs="Arial"/>
          <w:sz w:val="24"/>
          <w:szCs w:val="24"/>
        </w:rPr>
        <w:tab/>
      </w:r>
      <w:proofErr w:type="spellStart"/>
      <w:r w:rsidRPr="00427AC6">
        <w:rPr>
          <w:rFonts w:ascii="Arial" w:hAnsi="Arial" w:cs="Arial"/>
          <w:sz w:val="24"/>
          <w:szCs w:val="24"/>
        </w:rPr>
        <w:t>Mr</w:t>
      </w:r>
      <w:proofErr w:type="spellEnd"/>
      <w:r w:rsidRPr="00427AC6">
        <w:rPr>
          <w:rFonts w:ascii="Arial" w:hAnsi="Arial" w:cs="Arial"/>
          <w:sz w:val="24"/>
          <w:szCs w:val="24"/>
        </w:rPr>
        <w:t xml:space="preserve"> </w:t>
      </w:r>
      <w:proofErr w:type="spellStart"/>
      <w:r w:rsidRPr="00427AC6">
        <w:rPr>
          <w:rFonts w:ascii="Arial" w:hAnsi="Arial" w:cs="Arial"/>
          <w:sz w:val="24"/>
          <w:szCs w:val="24"/>
        </w:rPr>
        <w:t>Tibiny</w:t>
      </w:r>
      <w:r w:rsidR="00F229D0">
        <w:rPr>
          <w:rFonts w:ascii="Arial" w:hAnsi="Arial" w:cs="Arial"/>
          <w:sz w:val="24"/>
          <w:szCs w:val="24"/>
        </w:rPr>
        <w:t>ane</w:t>
      </w:r>
      <w:proofErr w:type="spellEnd"/>
      <w:r w:rsidR="00F229D0">
        <w:rPr>
          <w:rFonts w:ascii="Arial" w:hAnsi="Arial" w:cs="Arial"/>
          <w:sz w:val="24"/>
          <w:szCs w:val="24"/>
        </w:rPr>
        <w:t xml:space="preserve"> who appeared for the Master, </w:t>
      </w:r>
      <w:r w:rsidR="00935301" w:rsidRPr="00427AC6">
        <w:rPr>
          <w:rFonts w:ascii="Arial" w:hAnsi="Arial" w:cs="Arial"/>
          <w:sz w:val="24"/>
          <w:szCs w:val="24"/>
        </w:rPr>
        <w:t xml:space="preserve">argued that it will not be right for the Court </w:t>
      </w:r>
      <w:r w:rsidR="004C7F8D">
        <w:rPr>
          <w:rFonts w:ascii="Arial" w:hAnsi="Arial" w:cs="Arial"/>
          <w:sz w:val="24"/>
          <w:szCs w:val="24"/>
        </w:rPr>
        <w:t xml:space="preserve">to </w:t>
      </w:r>
      <w:r w:rsidR="00935301" w:rsidRPr="00427AC6">
        <w:rPr>
          <w:rFonts w:ascii="Arial" w:hAnsi="Arial" w:cs="Arial"/>
          <w:iCs/>
          <w:sz w:val="24"/>
          <w:szCs w:val="24"/>
        </w:rPr>
        <w:t xml:space="preserve">go beyond what the legislature has decided even if it means </w:t>
      </w:r>
      <w:r w:rsidR="00935301" w:rsidRPr="00427AC6">
        <w:rPr>
          <w:rFonts w:ascii="Arial" w:hAnsi="Arial" w:cs="Arial"/>
          <w:sz w:val="24"/>
          <w:szCs w:val="24"/>
          <w:lang w:val="en-ZA"/>
        </w:rPr>
        <w:t>frustrating the testatrix’s intention</w:t>
      </w:r>
      <w:r w:rsidR="00935301" w:rsidRPr="00427AC6">
        <w:rPr>
          <w:rFonts w:ascii="Arial" w:hAnsi="Arial" w:cs="Arial"/>
          <w:iCs/>
          <w:sz w:val="24"/>
          <w:szCs w:val="24"/>
        </w:rPr>
        <w:t xml:space="preserve">. He argued that this </w:t>
      </w:r>
      <w:r w:rsidR="004C7F8D">
        <w:rPr>
          <w:rFonts w:ascii="Arial" w:hAnsi="Arial" w:cs="Arial"/>
          <w:iCs/>
          <w:sz w:val="24"/>
          <w:szCs w:val="24"/>
        </w:rPr>
        <w:t>‘</w:t>
      </w:r>
      <w:r w:rsidR="00935301" w:rsidRPr="00427AC6">
        <w:rPr>
          <w:rFonts w:ascii="Arial" w:hAnsi="Arial" w:cs="Arial"/>
          <w:iCs/>
          <w:sz w:val="24"/>
          <w:szCs w:val="24"/>
        </w:rPr>
        <w:t>(i.e. the frustration of the testatrix’s intention</w:t>
      </w:r>
      <w:r w:rsidR="00935301" w:rsidRPr="00427AC6">
        <w:rPr>
          <w:rFonts w:ascii="Arial" w:hAnsi="Arial" w:cs="Arial"/>
          <w:sz w:val="24"/>
          <w:szCs w:val="24"/>
          <w:lang w:val="en-ZA"/>
        </w:rPr>
        <w:t xml:space="preserve">) </w:t>
      </w:r>
      <w:r w:rsidRPr="00427AC6">
        <w:rPr>
          <w:rFonts w:ascii="Arial" w:hAnsi="Arial" w:cs="Arial"/>
          <w:sz w:val="24"/>
          <w:szCs w:val="24"/>
          <w:lang w:val="en-ZA"/>
        </w:rPr>
        <w:t>is the result of a failure to observe a statutory requirement for the validi</w:t>
      </w:r>
      <w:r w:rsidR="004C7F8D">
        <w:rPr>
          <w:rFonts w:ascii="Arial" w:hAnsi="Arial" w:cs="Arial"/>
          <w:sz w:val="24"/>
          <w:szCs w:val="24"/>
          <w:lang w:val="en-ZA"/>
        </w:rPr>
        <w:t>ty of wills which is peremptory’</w:t>
      </w:r>
      <w:r w:rsidRPr="00427AC6">
        <w:rPr>
          <w:rFonts w:ascii="Arial" w:hAnsi="Arial" w:cs="Arial"/>
          <w:sz w:val="24"/>
          <w:szCs w:val="24"/>
          <w:lang w:val="en-ZA"/>
        </w:rPr>
        <w:t>.</w:t>
      </w:r>
      <w:r w:rsidR="00935301" w:rsidRPr="00427AC6">
        <w:rPr>
          <w:rFonts w:ascii="Arial" w:hAnsi="Arial" w:cs="Arial"/>
          <w:sz w:val="24"/>
          <w:szCs w:val="24"/>
          <w:lang w:val="en-ZA"/>
        </w:rPr>
        <w:t xml:space="preserve"> He thus implored me to confirm the Master’s rejection of the will.</w:t>
      </w:r>
    </w:p>
    <w:p w:rsidR="00935301" w:rsidRPr="00427AC6" w:rsidRDefault="00935301" w:rsidP="00935301">
      <w:pPr>
        <w:autoSpaceDE w:val="0"/>
        <w:autoSpaceDN w:val="0"/>
        <w:adjustRightInd w:val="0"/>
        <w:spacing w:after="0" w:line="360" w:lineRule="auto"/>
        <w:jc w:val="both"/>
        <w:rPr>
          <w:rFonts w:ascii="Arial" w:hAnsi="Arial" w:cs="Arial"/>
          <w:sz w:val="24"/>
          <w:szCs w:val="24"/>
          <w:lang w:val="en-ZA"/>
        </w:rPr>
      </w:pPr>
    </w:p>
    <w:p w:rsidR="006D021C" w:rsidRPr="00427AC6" w:rsidRDefault="00935301" w:rsidP="00935301">
      <w:pPr>
        <w:autoSpaceDE w:val="0"/>
        <w:autoSpaceDN w:val="0"/>
        <w:adjustRightInd w:val="0"/>
        <w:spacing w:after="0" w:line="360" w:lineRule="auto"/>
        <w:jc w:val="both"/>
        <w:rPr>
          <w:rFonts w:ascii="Arial" w:hAnsi="Arial" w:cs="Arial"/>
          <w:sz w:val="24"/>
          <w:szCs w:val="24"/>
          <w:lang w:val="en-ZA"/>
        </w:rPr>
      </w:pPr>
      <w:r w:rsidRPr="00427AC6">
        <w:rPr>
          <w:rFonts w:ascii="Arial" w:hAnsi="Arial" w:cs="Arial"/>
          <w:sz w:val="24"/>
          <w:szCs w:val="24"/>
          <w:lang w:val="en-ZA"/>
        </w:rPr>
        <w:lastRenderedPageBreak/>
        <w:t>[2</w:t>
      </w:r>
      <w:r w:rsidR="00440A64">
        <w:rPr>
          <w:rFonts w:ascii="Arial" w:hAnsi="Arial" w:cs="Arial"/>
          <w:sz w:val="24"/>
          <w:szCs w:val="24"/>
          <w:lang w:val="en-ZA"/>
        </w:rPr>
        <w:t>5</w:t>
      </w:r>
      <w:r w:rsidRPr="00427AC6">
        <w:rPr>
          <w:rFonts w:ascii="Arial" w:hAnsi="Arial" w:cs="Arial"/>
          <w:sz w:val="24"/>
          <w:szCs w:val="24"/>
          <w:lang w:val="en-ZA"/>
        </w:rPr>
        <w:t>]</w:t>
      </w:r>
      <w:r w:rsidRPr="00427AC6">
        <w:rPr>
          <w:rFonts w:ascii="Arial" w:hAnsi="Arial" w:cs="Arial"/>
          <w:sz w:val="24"/>
          <w:szCs w:val="24"/>
          <w:lang w:val="en-ZA"/>
        </w:rPr>
        <w:tab/>
        <w:t xml:space="preserve">I have </w:t>
      </w:r>
      <w:r w:rsidR="008B405C" w:rsidRPr="00427AC6">
        <w:rPr>
          <w:rFonts w:ascii="Arial" w:hAnsi="Arial" w:cs="Arial"/>
          <w:sz w:val="24"/>
          <w:szCs w:val="24"/>
          <w:lang w:val="en-ZA"/>
        </w:rPr>
        <w:t>looked at all the authorities to which the parties referred me. In most, if not all those cases, the courts concerned themselves with the interpretation t</w:t>
      </w:r>
      <w:r w:rsidR="004C7F8D">
        <w:rPr>
          <w:rFonts w:ascii="Arial" w:hAnsi="Arial" w:cs="Arial"/>
          <w:sz w:val="24"/>
          <w:szCs w:val="24"/>
          <w:lang w:val="en-ZA"/>
        </w:rPr>
        <w:t>hat must be placed on the word ‘signature’</w:t>
      </w:r>
      <w:r w:rsidR="008B405C" w:rsidRPr="00427AC6">
        <w:rPr>
          <w:rFonts w:ascii="Arial" w:hAnsi="Arial" w:cs="Arial"/>
          <w:sz w:val="24"/>
          <w:szCs w:val="24"/>
          <w:lang w:val="en-ZA"/>
        </w:rPr>
        <w:t xml:space="preserve">. Does the meaning of the word ‘signature’ </w:t>
      </w:r>
      <w:r w:rsidR="004C7F8D">
        <w:rPr>
          <w:rFonts w:ascii="Arial" w:hAnsi="Arial" w:cs="Arial"/>
          <w:sz w:val="24"/>
          <w:szCs w:val="24"/>
          <w:lang w:val="en-ZA"/>
        </w:rPr>
        <w:t>include ‘initials’ was</w:t>
      </w:r>
      <w:r w:rsidR="008B405C" w:rsidRPr="00427AC6">
        <w:rPr>
          <w:rFonts w:ascii="Arial" w:hAnsi="Arial" w:cs="Arial"/>
          <w:sz w:val="24"/>
          <w:szCs w:val="24"/>
          <w:lang w:val="en-ZA"/>
        </w:rPr>
        <w:t xml:space="preserve"> th</w:t>
      </w:r>
      <w:r w:rsidR="00A843D8">
        <w:rPr>
          <w:rFonts w:ascii="Arial" w:hAnsi="Arial" w:cs="Arial"/>
          <w:sz w:val="24"/>
          <w:szCs w:val="24"/>
          <w:lang w:val="en-ZA"/>
        </w:rPr>
        <w:t>e main question. I do not intend</w:t>
      </w:r>
      <w:r w:rsidR="008B405C" w:rsidRPr="00427AC6">
        <w:rPr>
          <w:rFonts w:ascii="Arial" w:hAnsi="Arial" w:cs="Arial"/>
          <w:sz w:val="24"/>
          <w:szCs w:val="24"/>
          <w:lang w:val="en-ZA"/>
        </w:rPr>
        <w:t xml:space="preserve"> to resolve the question that confront</w:t>
      </w:r>
      <w:r w:rsidR="004C7F8D">
        <w:rPr>
          <w:rFonts w:ascii="Arial" w:hAnsi="Arial" w:cs="Arial"/>
          <w:sz w:val="24"/>
          <w:szCs w:val="24"/>
          <w:lang w:val="en-ZA"/>
        </w:rPr>
        <w:t>s</w:t>
      </w:r>
      <w:r w:rsidR="008B405C" w:rsidRPr="00427AC6">
        <w:rPr>
          <w:rFonts w:ascii="Arial" w:hAnsi="Arial" w:cs="Arial"/>
          <w:sz w:val="24"/>
          <w:szCs w:val="24"/>
          <w:lang w:val="en-ZA"/>
        </w:rPr>
        <w:t xml:space="preserve"> me by following the route of deciding whether or not the meaning of the word ‘signature’ includes initials.</w:t>
      </w:r>
    </w:p>
    <w:p w:rsidR="006D021C" w:rsidRPr="00427AC6" w:rsidRDefault="006D021C" w:rsidP="00935301">
      <w:pPr>
        <w:autoSpaceDE w:val="0"/>
        <w:autoSpaceDN w:val="0"/>
        <w:adjustRightInd w:val="0"/>
        <w:spacing w:after="0" w:line="360" w:lineRule="auto"/>
        <w:jc w:val="both"/>
        <w:rPr>
          <w:rFonts w:ascii="Arial" w:hAnsi="Arial" w:cs="Arial"/>
          <w:sz w:val="24"/>
          <w:szCs w:val="24"/>
          <w:lang w:val="en-ZA"/>
        </w:rPr>
      </w:pPr>
    </w:p>
    <w:p w:rsidR="0086333C" w:rsidRDefault="006D021C" w:rsidP="00935301">
      <w:pPr>
        <w:autoSpaceDE w:val="0"/>
        <w:autoSpaceDN w:val="0"/>
        <w:adjustRightInd w:val="0"/>
        <w:spacing w:after="0" w:line="360" w:lineRule="auto"/>
        <w:jc w:val="both"/>
        <w:rPr>
          <w:rFonts w:ascii="Arial" w:hAnsi="Arial" w:cs="Arial"/>
          <w:sz w:val="24"/>
          <w:szCs w:val="24"/>
          <w:lang w:val="en-ZA"/>
        </w:rPr>
      </w:pPr>
      <w:r w:rsidRPr="00427AC6">
        <w:rPr>
          <w:rFonts w:ascii="Arial" w:hAnsi="Arial" w:cs="Arial"/>
          <w:sz w:val="24"/>
          <w:szCs w:val="24"/>
          <w:lang w:val="en-ZA"/>
        </w:rPr>
        <w:t>[2</w:t>
      </w:r>
      <w:r w:rsidR="00440A64">
        <w:rPr>
          <w:rFonts w:ascii="Arial" w:hAnsi="Arial" w:cs="Arial"/>
          <w:sz w:val="24"/>
          <w:szCs w:val="24"/>
          <w:lang w:val="en-ZA"/>
        </w:rPr>
        <w:t>6</w:t>
      </w:r>
      <w:r w:rsidRPr="00427AC6">
        <w:rPr>
          <w:rFonts w:ascii="Arial" w:hAnsi="Arial" w:cs="Arial"/>
          <w:sz w:val="24"/>
          <w:szCs w:val="24"/>
          <w:lang w:val="en-ZA"/>
        </w:rPr>
        <w:t>]</w:t>
      </w:r>
      <w:r w:rsidRPr="00427AC6">
        <w:rPr>
          <w:rFonts w:ascii="Arial" w:hAnsi="Arial" w:cs="Arial"/>
          <w:sz w:val="24"/>
          <w:szCs w:val="24"/>
          <w:lang w:val="en-ZA"/>
        </w:rPr>
        <w:tab/>
      </w:r>
      <w:r w:rsidR="008B405C" w:rsidRPr="00427AC6">
        <w:rPr>
          <w:rFonts w:ascii="Arial" w:hAnsi="Arial" w:cs="Arial"/>
          <w:sz w:val="24"/>
          <w:szCs w:val="24"/>
          <w:lang w:val="en-ZA"/>
        </w:rPr>
        <w:t xml:space="preserve">In my view the question that confronts me has arisen at a </w:t>
      </w:r>
      <w:r w:rsidRPr="00427AC6">
        <w:rPr>
          <w:rFonts w:ascii="Arial" w:hAnsi="Arial" w:cs="Arial"/>
          <w:sz w:val="24"/>
          <w:szCs w:val="24"/>
          <w:lang w:val="en-ZA"/>
        </w:rPr>
        <w:t>different historical</w:t>
      </w:r>
      <w:r w:rsidR="008B405C" w:rsidRPr="00427AC6">
        <w:rPr>
          <w:rFonts w:ascii="Arial" w:hAnsi="Arial" w:cs="Arial"/>
          <w:sz w:val="24"/>
          <w:szCs w:val="24"/>
          <w:lang w:val="en-ZA"/>
        </w:rPr>
        <w:t xml:space="preserve"> </w:t>
      </w:r>
      <w:r w:rsidR="00D6561B" w:rsidRPr="00427AC6">
        <w:rPr>
          <w:rFonts w:ascii="Arial" w:hAnsi="Arial" w:cs="Arial"/>
          <w:sz w:val="24"/>
          <w:szCs w:val="24"/>
          <w:lang w:val="en-ZA"/>
        </w:rPr>
        <w:t>period</w:t>
      </w:r>
      <w:r w:rsidR="004C7F8D">
        <w:rPr>
          <w:rFonts w:ascii="Arial" w:hAnsi="Arial" w:cs="Arial"/>
          <w:sz w:val="24"/>
          <w:szCs w:val="24"/>
          <w:lang w:val="en-ZA"/>
        </w:rPr>
        <w:t xml:space="preserve"> in </w:t>
      </w:r>
      <w:r w:rsidRPr="00427AC6">
        <w:rPr>
          <w:rFonts w:ascii="Arial" w:hAnsi="Arial" w:cs="Arial"/>
          <w:sz w:val="24"/>
          <w:szCs w:val="24"/>
          <w:lang w:val="en-ZA"/>
        </w:rPr>
        <w:t xml:space="preserve">our development. The </w:t>
      </w:r>
      <w:r w:rsidR="00440A64">
        <w:rPr>
          <w:rFonts w:ascii="Arial" w:hAnsi="Arial" w:cs="Arial"/>
          <w:sz w:val="24"/>
          <w:szCs w:val="24"/>
          <w:lang w:val="en-ZA"/>
        </w:rPr>
        <w:t>issue</w:t>
      </w:r>
      <w:r w:rsidRPr="00427AC6">
        <w:rPr>
          <w:rFonts w:ascii="Arial" w:hAnsi="Arial" w:cs="Arial"/>
          <w:sz w:val="24"/>
          <w:szCs w:val="24"/>
          <w:lang w:val="en-ZA"/>
        </w:rPr>
        <w:t xml:space="preserve"> has arisen at a </w:t>
      </w:r>
      <w:r w:rsidR="00D6561B" w:rsidRPr="00427AC6">
        <w:rPr>
          <w:rFonts w:ascii="Arial" w:hAnsi="Arial" w:cs="Arial"/>
          <w:sz w:val="24"/>
          <w:szCs w:val="24"/>
          <w:lang w:val="en-ZA"/>
        </w:rPr>
        <w:t>period</w:t>
      </w:r>
      <w:r w:rsidR="006E2B1F">
        <w:rPr>
          <w:rFonts w:ascii="Arial" w:hAnsi="Arial" w:cs="Arial"/>
          <w:sz w:val="24"/>
          <w:szCs w:val="24"/>
          <w:lang w:val="en-ZA"/>
        </w:rPr>
        <w:t xml:space="preserve"> where Namibia as a Nation beca</w:t>
      </w:r>
      <w:r w:rsidR="00A843D8">
        <w:rPr>
          <w:rFonts w:ascii="Arial" w:hAnsi="Arial" w:cs="Arial"/>
          <w:sz w:val="24"/>
          <w:szCs w:val="24"/>
          <w:lang w:val="en-ZA"/>
        </w:rPr>
        <w:t xml:space="preserve">me a constitutional state and </w:t>
      </w:r>
      <w:r w:rsidRPr="00427AC6">
        <w:rPr>
          <w:rFonts w:ascii="Arial" w:hAnsi="Arial" w:cs="Arial"/>
          <w:sz w:val="24"/>
          <w:szCs w:val="24"/>
          <w:lang w:val="en-ZA"/>
        </w:rPr>
        <w:t>where constitutional supremacy has replace</w:t>
      </w:r>
      <w:r w:rsidR="00D6561B" w:rsidRPr="00427AC6">
        <w:rPr>
          <w:rFonts w:ascii="Arial" w:hAnsi="Arial" w:cs="Arial"/>
          <w:sz w:val="24"/>
          <w:szCs w:val="24"/>
          <w:lang w:val="en-ZA"/>
        </w:rPr>
        <w:t>d</w:t>
      </w:r>
      <w:r w:rsidR="00276338">
        <w:rPr>
          <w:rFonts w:ascii="Arial" w:hAnsi="Arial" w:cs="Arial"/>
          <w:sz w:val="24"/>
          <w:szCs w:val="24"/>
          <w:lang w:val="en-ZA"/>
        </w:rPr>
        <w:t xml:space="preserve"> parliamentary </w:t>
      </w:r>
      <w:r w:rsidRPr="00427AC6">
        <w:rPr>
          <w:rFonts w:ascii="Arial" w:hAnsi="Arial" w:cs="Arial"/>
          <w:sz w:val="24"/>
          <w:szCs w:val="24"/>
          <w:lang w:val="en-ZA"/>
        </w:rPr>
        <w:t>supremacy</w:t>
      </w:r>
      <w:r w:rsidR="00276338">
        <w:rPr>
          <w:rFonts w:ascii="Arial" w:hAnsi="Arial" w:cs="Arial"/>
          <w:sz w:val="24"/>
          <w:szCs w:val="24"/>
          <w:lang w:val="en-ZA"/>
        </w:rPr>
        <w:t xml:space="preserve"> or sovereignty</w:t>
      </w:r>
      <w:r w:rsidRPr="00427AC6">
        <w:rPr>
          <w:rFonts w:ascii="Arial" w:hAnsi="Arial" w:cs="Arial"/>
          <w:sz w:val="24"/>
          <w:szCs w:val="24"/>
          <w:lang w:val="en-ZA"/>
        </w:rPr>
        <w:t>. It is therefore no longer appropriate for courts to simpl</w:t>
      </w:r>
      <w:r w:rsidR="0086333C" w:rsidRPr="00427AC6">
        <w:rPr>
          <w:rFonts w:ascii="Arial" w:hAnsi="Arial" w:cs="Arial"/>
          <w:sz w:val="24"/>
          <w:szCs w:val="24"/>
          <w:lang w:val="en-ZA"/>
        </w:rPr>
        <w:t>y</w:t>
      </w:r>
      <w:r w:rsidRPr="00427AC6">
        <w:rPr>
          <w:rFonts w:ascii="Arial" w:hAnsi="Arial" w:cs="Arial"/>
          <w:sz w:val="24"/>
          <w:szCs w:val="24"/>
          <w:lang w:val="en-ZA"/>
        </w:rPr>
        <w:t xml:space="preserve"> defer to what parliament or the legislature says, but </w:t>
      </w:r>
      <w:r w:rsidR="00A843D8">
        <w:rPr>
          <w:rFonts w:ascii="Arial" w:hAnsi="Arial" w:cs="Arial"/>
          <w:sz w:val="24"/>
          <w:szCs w:val="24"/>
          <w:lang w:val="en-ZA"/>
        </w:rPr>
        <w:t xml:space="preserve">to go further and </w:t>
      </w:r>
      <w:r w:rsidRPr="00427AC6">
        <w:rPr>
          <w:rFonts w:ascii="Arial" w:hAnsi="Arial" w:cs="Arial"/>
          <w:sz w:val="24"/>
          <w:szCs w:val="24"/>
          <w:lang w:val="en-ZA"/>
        </w:rPr>
        <w:t>ask the question whether the statutory provisions, in question, promote the spirit of the Constitution</w:t>
      </w:r>
      <w:r w:rsidR="0086333C" w:rsidRPr="00427AC6">
        <w:rPr>
          <w:rFonts w:ascii="Arial" w:hAnsi="Arial" w:cs="Arial"/>
          <w:sz w:val="24"/>
          <w:szCs w:val="24"/>
          <w:lang w:val="en-ZA"/>
        </w:rPr>
        <w:t xml:space="preserve"> and whether the strict application of the statutory provision will</w:t>
      </w:r>
      <w:r w:rsidR="00A843D8">
        <w:rPr>
          <w:rFonts w:ascii="Arial" w:hAnsi="Arial" w:cs="Arial"/>
          <w:sz w:val="24"/>
          <w:szCs w:val="24"/>
          <w:lang w:val="en-ZA"/>
        </w:rPr>
        <w:t xml:space="preserve"> or will not</w:t>
      </w:r>
      <w:r w:rsidR="0086333C" w:rsidRPr="00427AC6">
        <w:rPr>
          <w:rFonts w:ascii="Arial" w:hAnsi="Arial" w:cs="Arial"/>
          <w:sz w:val="24"/>
          <w:szCs w:val="24"/>
          <w:lang w:val="en-ZA"/>
        </w:rPr>
        <w:t xml:space="preserve"> amount to the violation </w:t>
      </w:r>
      <w:r w:rsidR="00A843D8">
        <w:rPr>
          <w:rFonts w:ascii="Arial" w:hAnsi="Arial" w:cs="Arial"/>
          <w:sz w:val="24"/>
          <w:szCs w:val="24"/>
          <w:lang w:val="en-ZA"/>
        </w:rPr>
        <w:t xml:space="preserve">or negation </w:t>
      </w:r>
      <w:r w:rsidR="0086333C" w:rsidRPr="00427AC6">
        <w:rPr>
          <w:rFonts w:ascii="Arial" w:hAnsi="Arial" w:cs="Arial"/>
          <w:sz w:val="24"/>
          <w:szCs w:val="24"/>
          <w:lang w:val="en-ZA"/>
        </w:rPr>
        <w:t>of a fundamental human right.</w:t>
      </w:r>
      <w:r w:rsidR="00276338">
        <w:rPr>
          <w:rFonts w:ascii="Arial" w:hAnsi="Arial" w:cs="Arial"/>
          <w:sz w:val="24"/>
          <w:szCs w:val="24"/>
          <w:lang w:val="en-ZA"/>
        </w:rPr>
        <w:t xml:space="preserve"> Lord Atkins encouraged courts to discard precedents which hamper the delivery of justice in the following words:</w:t>
      </w:r>
    </w:p>
    <w:p w:rsidR="0086333C" w:rsidRDefault="0086333C" w:rsidP="00935301">
      <w:pPr>
        <w:autoSpaceDE w:val="0"/>
        <w:autoSpaceDN w:val="0"/>
        <w:adjustRightInd w:val="0"/>
        <w:spacing w:after="0" w:line="360" w:lineRule="auto"/>
        <w:jc w:val="both"/>
        <w:rPr>
          <w:rFonts w:ascii="Arial" w:hAnsi="Arial" w:cs="Arial"/>
          <w:sz w:val="24"/>
          <w:szCs w:val="24"/>
          <w:lang w:val="en-ZA"/>
        </w:rPr>
      </w:pPr>
    </w:p>
    <w:p w:rsidR="00141F9F" w:rsidRDefault="00141F9F" w:rsidP="00C1706B">
      <w:pPr>
        <w:autoSpaceDE w:val="0"/>
        <w:autoSpaceDN w:val="0"/>
        <w:adjustRightInd w:val="0"/>
        <w:spacing w:after="0" w:line="360" w:lineRule="auto"/>
        <w:jc w:val="both"/>
        <w:rPr>
          <w:rFonts w:ascii="Arial" w:hAnsi="Arial" w:cs="Arial"/>
          <w:lang w:val="en-ZA"/>
        </w:rPr>
      </w:pPr>
      <w:r w:rsidRPr="00141F9F">
        <w:rPr>
          <w:rFonts w:ascii="Arial" w:hAnsi="Arial" w:cs="Arial"/>
          <w:lang w:val="en-ZA"/>
        </w:rPr>
        <w:t>‘When these ghosts of the past stand in the path of justice clinking their medieval chains the proper course for the judge is to pass through them undeterred.’</w:t>
      </w:r>
      <w:r w:rsidRPr="00141F9F">
        <w:rPr>
          <w:rStyle w:val="FootnoteReference"/>
          <w:rFonts w:ascii="Arial" w:hAnsi="Arial"/>
          <w:lang w:val="en-ZA"/>
        </w:rPr>
        <w:footnoteReference w:id="12"/>
      </w:r>
    </w:p>
    <w:p w:rsidR="00141F9F" w:rsidRPr="00141F9F" w:rsidRDefault="00141F9F" w:rsidP="00141F9F">
      <w:pPr>
        <w:autoSpaceDE w:val="0"/>
        <w:autoSpaceDN w:val="0"/>
        <w:adjustRightInd w:val="0"/>
        <w:spacing w:after="0" w:line="360" w:lineRule="auto"/>
        <w:ind w:firstLine="360"/>
        <w:jc w:val="both"/>
        <w:rPr>
          <w:rFonts w:ascii="Arial" w:hAnsi="Arial" w:cs="Arial"/>
          <w:lang w:val="en-ZA"/>
        </w:rPr>
      </w:pPr>
    </w:p>
    <w:p w:rsidR="00141F9F" w:rsidRPr="00276338" w:rsidRDefault="0086333C" w:rsidP="00141F9F">
      <w:pPr>
        <w:autoSpaceDE w:val="0"/>
        <w:autoSpaceDN w:val="0"/>
        <w:adjustRightInd w:val="0"/>
        <w:spacing w:after="0" w:line="360" w:lineRule="auto"/>
        <w:jc w:val="both"/>
        <w:rPr>
          <w:rFonts w:ascii="Arial" w:hAnsi="Arial" w:cs="Arial"/>
          <w:iCs/>
        </w:rPr>
      </w:pPr>
      <w:r w:rsidRPr="00427AC6">
        <w:rPr>
          <w:rFonts w:ascii="Arial" w:hAnsi="Arial" w:cs="Arial"/>
          <w:sz w:val="24"/>
          <w:szCs w:val="24"/>
          <w:lang w:val="en-ZA"/>
        </w:rPr>
        <w:t>[2</w:t>
      </w:r>
      <w:r w:rsidR="00440A64">
        <w:rPr>
          <w:rFonts w:ascii="Arial" w:hAnsi="Arial" w:cs="Arial"/>
          <w:sz w:val="24"/>
          <w:szCs w:val="24"/>
          <w:lang w:val="en-ZA"/>
        </w:rPr>
        <w:t>7</w:t>
      </w:r>
      <w:r w:rsidRPr="00427AC6">
        <w:rPr>
          <w:rFonts w:ascii="Arial" w:hAnsi="Arial" w:cs="Arial"/>
          <w:sz w:val="24"/>
          <w:szCs w:val="24"/>
          <w:lang w:val="en-ZA"/>
        </w:rPr>
        <w:t>]</w:t>
      </w:r>
      <w:r w:rsidRPr="00427AC6">
        <w:rPr>
          <w:rFonts w:ascii="Arial" w:hAnsi="Arial" w:cs="Arial"/>
          <w:sz w:val="24"/>
          <w:szCs w:val="24"/>
          <w:lang w:val="en-ZA"/>
        </w:rPr>
        <w:tab/>
      </w:r>
      <w:r w:rsidR="006D021C" w:rsidRPr="00427AC6">
        <w:rPr>
          <w:rFonts w:ascii="Arial" w:hAnsi="Arial" w:cs="Arial"/>
          <w:sz w:val="24"/>
          <w:szCs w:val="24"/>
          <w:lang w:val="en-ZA"/>
        </w:rPr>
        <w:t>The Namibian Constitution in Article 16 (which is part of the chapter on Fundamental Rights and Freedoms) provides that:</w:t>
      </w:r>
    </w:p>
    <w:p w:rsidR="006D021C" w:rsidRPr="00427AC6" w:rsidRDefault="006D021C" w:rsidP="00935301">
      <w:pPr>
        <w:autoSpaceDE w:val="0"/>
        <w:autoSpaceDN w:val="0"/>
        <w:adjustRightInd w:val="0"/>
        <w:spacing w:after="0" w:line="360" w:lineRule="auto"/>
        <w:jc w:val="both"/>
        <w:rPr>
          <w:rFonts w:ascii="Arial" w:hAnsi="Arial" w:cs="Arial"/>
          <w:sz w:val="24"/>
          <w:szCs w:val="24"/>
          <w:lang w:val="en-ZA"/>
        </w:rPr>
      </w:pPr>
    </w:p>
    <w:p w:rsidR="006D021C" w:rsidRPr="00440A64" w:rsidRDefault="006D021C" w:rsidP="00C1706B">
      <w:pPr>
        <w:autoSpaceDE w:val="0"/>
        <w:autoSpaceDN w:val="0"/>
        <w:adjustRightInd w:val="0"/>
        <w:spacing w:after="0" w:line="360" w:lineRule="auto"/>
        <w:jc w:val="both"/>
        <w:rPr>
          <w:rFonts w:ascii="Arial" w:hAnsi="Arial" w:cs="Arial"/>
        </w:rPr>
      </w:pPr>
      <w:r w:rsidRPr="00440A64">
        <w:rPr>
          <w:rFonts w:ascii="Arial" w:hAnsi="Arial" w:cs="Arial"/>
        </w:rPr>
        <w:t>‘</w:t>
      </w:r>
      <w:r w:rsidRPr="00440A64">
        <w:rPr>
          <w:rFonts w:ascii="Arial" w:hAnsi="Arial" w:cs="Arial"/>
          <w:b/>
        </w:rPr>
        <w:t>Article 16 Property</w:t>
      </w:r>
      <w:r w:rsidRPr="00440A64">
        <w:rPr>
          <w:rFonts w:ascii="Arial" w:hAnsi="Arial" w:cs="Arial"/>
        </w:rPr>
        <w:t xml:space="preserve"> </w:t>
      </w:r>
    </w:p>
    <w:p w:rsidR="006D021C" w:rsidRPr="00440A64" w:rsidRDefault="006D021C" w:rsidP="006D021C">
      <w:pPr>
        <w:autoSpaceDE w:val="0"/>
        <w:autoSpaceDN w:val="0"/>
        <w:adjustRightInd w:val="0"/>
        <w:spacing w:after="0" w:line="360" w:lineRule="auto"/>
        <w:ind w:firstLine="720"/>
        <w:jc w:val="both"/>
        <w:rPr>
          <w:rFonts w:ascii="Arial" w:hAnsi="Arial" w:cs="Arial"/>
        </w:rPr>
      </w:pPr>
    </w:p>
    <w:p w:rsidR="008B405C" w:rsidRDefault="006D021C" w:rsidP="00C1706B">
      <w:pPr>
        <w:pStyle w:val="ListParagraph"/>
        <w:numPr>
          <w:ilvl w:val="0"/>
          <w:numId w:val="27"/>
        </w:numPr>
        <w:spacing w:line="360" w:lineRule="auto"/>
        <w:ind w:left="720" w:hanging="720"/>
        <w:jc w:val="both"/>
        <w:rPr>
          <w:rFonts w:cs="Arial"/>
          <w:lang w:val="en-ZA"/>
        </w:rPr>
      </w:pPr>
      <w:r w:rsidRPr="00440A64">
        <w:rPr>
          <w:rFonts w:cs="Arial"/>
          <w:sz w:val="22"/>
          <w:szCs w:val="22"/>
        </w:rPr>
        <w:t xml:space="preserve">All persons shall have the right in any part of Namibia to acquire, own and dispose of all forms of immovable and movable property individually or in association with others and </w:t>
      </w:r>
      <w:r w:rsidRPr="00440A64">
        <w:rPr>
          <w:rFonts w:cs="Arial"/>
          <w:i/>
          <w:sz w:val="22"/>
          <w:szCs w:val="22"/>
          <w:u w:val="single"/>
        </w:rPr>
        <w:t>to bequeath their property to their heirs or legatees</w:t>
      </w:r>
      <w:r w:rsidRPr="00440A64">
        <w:rPr>
          <w:rFonts w:cs="Arial"/>
          <w:sz w:val="22"/>
          <w:szCs w:val="22"/>
        </w:rPr>
        <w:t>: provided that Parliament may by legislation prohibit or regulate as it deems expedient the right to acquire property by persons who are not Namibian citizens.</w:t>
      </w:r>
      <w:r w:rsidRPr="00427AC6">
        <w:rPr>
          <w:rFonts w:cs="Arial"/>
        </w:rPr>
        <w:t>’</w:t>
      </w:r>
      <w:r w:rsidR="004C7F8D">
        <w:rPr>
          <w:rFonts w:cs="Arial"/>
          <w:lang w:val="en-ZA"/>
        </w:rPr>
        <w:t xml:space="preserve"> </w:t>
      </w:r>
      <w:r w:rsidRPr="00427AC6">
        <w:rPr>
          <w:rFonts w:cs="Arial"/>
          <w:lang w:val="en-ZA"/>
        </w:rPr>
        <w:t>(Italicised and underlined for emphasis)</w:t>
      </w:r>
    </w:p>
    <w:p w:rsidR="00BE2DCC" w:rsidRPr="00427AC6" w:rsidRDefault="00BE2DCC" w:rsidP="00BE2DCC">
      <w:pPr>
        <w:pStyle w:val="ListParagraph"/>
        <w:spacing w:line="360" w:lineRule="auto"/>
        <w:ind w:left="1440"/>
        <w:jc w:val="both"/>
        <w:rPr>
          <w:rFonts w:cs="Arial"/>
          <w:lang w:val="en-ZA"/>
        </w:rPr>
      </w:pPr>
    </w:p>
    <w:p w:rsidR="001B2B21" w:rsidRPr="00427AC6" w:rsidRDefault="00702BDE" w:rsidP="00216680">
      <w:pPr>
        <w:spacing w:after="0" w:line="360" w:lineRule="auto"/>
        <w:jc w:val="both"/>
        <w:rPr>
          <w:rFonts w:ascii="Arial" w:hAnsi="Arial" w:cs="Arial"/>
          <w:sz w:val="24"/>
          <w:szCs w:val="24"/>
        </w:rPr>
      </w:pPr>
      <w:r w:rsidRPr="00427AC6">
        <w:rPr>
          <w:rFonts w:ascii="Arial" w:hAnsi="Arial" w:cs="Arial"/>
          <w:sz w:val="24"/>
          <w:szCs w:val="24"/>
        </w:rPr>
        <w:t>[2</w:t>
      </w:r>
      <w:r w:rsidR="00440A64">
        <w:rPr>
          <w:rFonts w:ascii="Arial" w:hAnsi="Arial" w:cs="Arial"/>
          <w:sz w:val="24"/>
          <w:szCs w:val="24"/>
        </w:rPr>
        <w:t>8</w:t>
      </w:r>
      <w:r w:rsidRPr="00427AC6">
        <w:rPr>
          <w:rFonts w:ascii="Arial" w:hAnsi="Arial" w:cs="Arial"/>
          <w:sz w:val="24"/>
          <w:szCs w:val="24"/>
        </w:rPr>
        <w:t>]</w:t>
      </w:r>
      <w:r w:rsidRPr="00427AC6">
        <w:rPr>
          <w:rFonts w:ascii="Arial" w:hAnsi="Arial" w:cs="Arial"/>
          <w:sz w:val="24"/>
          <w:szCs w:val="24"/>
        </w:rPr>
        <w:tab/>
        <w:t>I am therefore of the view that the first principle of the law of wills</w:t>
      </w:r>
      <w:r w:rsidR="001C7A1D">
        <w:rPr>
          <w:rFonts w:ascii="Arial" w:hAnsi="Arial" w:cs="Arial"/>
          <w:sz w:val="24"/>
          <w:szCs w:val="24"/>
        </w:rPr>
        <w:t xml:space="preserve"> enshrined in our Constitution</w:t>
      </w:r>
      <w:r w:rsidRPr="00427AC6">
        <w:rPr>
          <w:rFonts w:ascii="Arial" w:hAnsi="Arial" w:cs="Arial"/>
          <w:sz w:val="24"/>
          <w:szCs w:val="24"/>
        </w:rPr>
        <w:t xml:space="preserve"> is </w:t>
      </w:r>
      <w:r w:rsidR="001C7A1D">
        <w:rPr>
          <w:rFonts w:ascii="Arial" w:hAnsi="Arial" w:cs="Arial"/>
          <w:sz w:val="24"/>
          <w:szCs w:val="24"/>
        </w:rPr>
        <w:t xml:space="preserve">the </w:t>
      </w:r>
      <w:r w:rsidRPr="00427AC6">
        <w:rPr>
          <w:rFonts w:ascii="Arial" w:hAnsi="Arial" w:cs="Arial"/>
          <w:sz w:val="24"/>
          <w:szCs w:val="24"/>
        </w:rPr>
        <w:t>freedom of testation. Although the legislature limits the powe</w:t>
      </w:r>
      <w:r w:rsidR="00C52B4D">
        <w:rPr>
          <w:rFonts w:ascii="Arial" w:hAnsi="Arial" w:cs="Arial"/>
          <w:sz w:val="24"/>
          <w:szCs w:val="24"/>
        </w:rPr>
        <w:t xml:space="preserve">r </w:t>
      </w:r>
      <w:r w:rsidR="00C52B4D">
        <w:rPr>
          <w:rFonts w:ascii="Arial" w:hAnsi="Arial" w:cs="Arial"/>
          <w:sz w:val="24"/>
          <w:szCs w:val="24"/>
        </w:rPr>
        <w:lastRenderedPageBreak/>
        <w:t xml:space="preserve">of testation in various ways </w:t>
      </w:r>
      <w:r w:rsidRPr="00427AC6">
        <w:rPr>
          <w:rFonts w:ascii="Arial" w:hAnsi="Arial" w:cs="Arial"/>
          <w:sz w:val="24"/>
          <w:szCs w:val="24"/>
        </w:rPr>
        <w:t>within the province that remains to the testamentary power, virtually the entire law of wills derives from the premise that a person has the fundamental right to dispose of his</w:t>
      </w:r>
      <w:r w:rsidR="001C7A1D">
        <w:rPr>
          <w:rFonts w:ascii="Arial" w:hAnsi="Arial" w:cs="Arial"/>
          <w:sz w:val="24"/>
          <w:szCs w:val="24"/>
        </w:rPr>
        <w:t xml:space="preserve"> or her</w:t>
      </w:r>
      <w:r w:rsidRPr="00427AC6">
        <w:rPr>
          <w:rFonts w:ascii="Arial" w:hAnsi="Arial" w:cs="Arial"/>
          <w:sz w:val="24"/>
          <w:szCs w:val="24"/>
        </w:rPr>
        <w:t xml:space="preserve"> property as he pleases in death as in life. The rules governing testamentary capacity and the construction of wills must</w:t>
      </w:r>
      <w:r w:rsidR="0086333C" w:rsidRPr="00427AC6">
        <w:rPr>
          <w:rFonts w:ascii="Arial" w:hAnsi="Arial" w:cs="Arial"/>
          <w:sz w:val="24"/>
          <w:szCs w:val="24"/>
        </w:rPr>
        <w:t>,</w:t>
      </w:r>
      <w:r w:rsidRPr="00427AC6">
        <w:rPr>
          <w:rFonts w:ascii="Arial" w:hAnsi="Arial" w:cs="Arial"/>
          <w:sz w:val="24"/>
          <w:szCs w:val="24"/>
        </w:rPr>
        <w:t xml:space="preserve"> therefore</w:t>
      </w:r>
      <w:r w:rsidR="0086333C" w:rsidRPr="00427AC6">
        <w:rPr>
          <w:rFonts w:ascii="Arial" w:hAnsi="Arial" w:cs="Arial"/>
          <w:sz w:val="24"/>
          <w:szCs w:val="24"/>
        </w:rPr>
        <w:t>,</w:t>
      </w:r>
      <w:r w:rsidRPr="00427AC6">
        <w:rPr>
          <w:rFonts w:ascii="Arial" w:hAnsi="Arial" w:cs="Arial"/>
          <w:sz w:val="24"/>
          <w:szCs w:val="24"/>
        </w:rPr>
        <w:t xml:space="preserve"> not result in </w:t>
      </w:r>
      <w:r w:rsidR="001C7A1D">
        <w:rPr>
          <w:rFonts w:ascii="Arial" w:hAnsi="Arial" w:cs="Arial"/>
          <w:sz w:val="24"/>
          <w:szCs w:val="24"/>
        </w:rPr>
        <w:t>interfering with or depriving a testator or testatrix</w:t>
      </w:r>
      <w:r w:rsidR="00060AE1">
        <w:rPr>
          <w:rFonts w:ascii="Arial" w:hAnsi="Arial" w:cs="Arial"/>
          <w:sz w:val="24"/>
          <w:szCs w:val="24"/>
        </w:rPr>
        <w:t xml:space="preserve"> of</w:t>
      </w:r>
      <w:r w:rsidRPr="00427AC6">
        <w:rPr>
          <w:rFonts w:ascii="Arial" w:hAnsi="Arial" w:cs="Arial"/>
          <w:sz w:val="24"/>
          <w:szCs w:val="24"/>
        </w:rPr>
        <w:t xml:space="preserve"> his or her freedom of testation.</w:t>
      </w:r>
    </w:p>
    <w:p w:rsidR="00934AD9" w:rsidRPr="00427AC6" w:rsidRDefault="00934AD9" w:rsidP="00216680">
      <w:pPr>
        <w:spacing w:after="0" w:line="360" w:lineRule="auto"/>
        <w:jc w:val="both"/>
        <w:rPr>
          <w:rFonts w:ascii="Arial" w:hAnsi="Arial" w:cs="Arial"/>
          <w:sz w:val="24"/>
          <w:szCs w:val="24"/>
        </w:rPr>
      </w:pPr>
    </w:p>
    <w:p w:rsidR="003013EF" w:rsidRPr="00427AC6" w:rsidRDefault="00934AD9" w:rsidP="00216680">
      <w:pPr>
        <w:spacing w:after="0" w:line="360" w:lineRule="auto"/>
        <w:jc w:val="both"/>
        <w:rPr>
          <w:rFonts w:ascii="Arial" w:hAnsi="Arial" w:cs="Arial"/>
          <w:sz w:val="24"/>
          <w:szCs w:val="24"/>
        </w:rPr>
      </w:pPr>
      <w:r w:rsidRPr="00427AC6">
        <w:rPr>
          <w:rFonts w:ascii="Arial" w:hAnsi="Arial" w:cs="Arial"/>
          <w:sz w:val="24"/>
          <w:szCs w:val="24"/>
        </w:rPr>
        <w:t>[2</w:t>
      </w:r>
      <w:r w:rsidR="00440A64">
        <w:rPr>
          <w:rFonts w:ascii="Arial" w:hAnsi="Arial" w:cs="Arial"/>
          <w:sz w:val="24"/>
          <w:szCs w:val="24"/>
        </w:rPr>
        <w:t>9</w:t>
      </w:r>
      <w:r w:rsidRPr="00427AC6">
        <w:rPr>
          <w:rFonts w:ascii="Arial" w:hAnsi="Arial" w:cs="Arial"/>
          <w:sz w:val="24"/>
          <w:szCs w:val="24"/>
        </w:rPr>
        <w:t>]</w:t>
      </w:r>
      <w:r w:rsidRPr="00427AC6">
        <w:rPr>
          <w:rFonts w:ascii="Arial" w:hAnsi="Arial" w:cs="Arial"/>
          <w:sz w:val="24"/>
          <w:szCs w:val="24"/>
        </w:rPr>
        <w:tab/>
        <w:t>What is peculiar about the interpretation of wills is not the prominence of the formalities, but the judicial insistence that any defect</w:t>
      </w:r>
      <w:r w:rsidR="00937E12">
        <w:rPr>
          <w:rFonts w:ascii="Arial" w:hAnsi="Arial" w:cs="Arial"/>
          <w:sz w:val="24"/>
          <w:szCs w:val="24"/>
        </w:rPr>
        <w:t xml:space="preserve"> regardless of how minuet,</w:t>
      </w:r>
      <w:r w:rsidRPr="00427AC6">
        <w:rPr>
          <w:rFonts w:ascii="Arial" w:hAnsi="Arial" w:cs="Arial"/>
          <w:sz w:val="24"/>
          <w:szCs w:val="24"/>
        </w:rPr>
        <w:t xml:space="preserve"> in complying with the statutory requirements </w:t>
      </w:r>
      <w:r w:rsidR="00440A64">
        <w:rPr>
          <w:rFonts w:ascii="Arial" w:hAnsi="Arial" w:cs="Arial"/>
          <w:sz w:val="24"/>
          <w:szCs w:val="24"/>
        </w:rPr>
        <w:t xml:space="preserve">for </w:t>
      </w:r>
      <w:r w:rsidRPr="00427AC6">
        <w:rPr>
          <w:rFonts w:ascii="Arial" w:hAnsi="Arial" w:cs="Arial"/>
          <w:sz w:val="24"/>
          <w:szCs w:val="24"/>
        </w:rPr>
        <w:t>valid</w:t>
      </w:r>
      <w:r w:rsidR="0086333C" w:rsidRPr="00427AC6">
        <w:rPr>
          <w:rFonts w:ascii="Arial" w:hAnsi="Arial" w:cs="Arial"/>
          <w:sz w:val="24"/>
          <w:szCs w:val="24"/>
        </w:rPr>
        <w:t>ity</w:t>
      </w:r>
      <w:r w:rsidR="00937E12">
        <w:rPr>
          <w:rFonts w:ascii="Arial" w:hAnsi="Arial" w:cs="Arial"/>
          <w:sz w:val="24"/>
          <w:szCs w:val="24"/>
        </w:rPr>
        <w:t xml:space="preserve">, </w:t>
      </w:r>
      <w:r w:rsidRPr="00427AC6">
        <w:rPr>
          <w:rFonts w:ascii="Arial" w:hAnsi="Arial" w:cs="Arial"/>
          <w:sz w:val="24"/>
          <w:szCs w:val="24"/>
        </w:rPr>
        <w:t>inevitably voids the will. In other areas</w:t>
      </w:r>
      <w:r w:rsidR="00234F07">
        <w:rPr>
          <w:rFonts w:ascii="Arial" w:hAnsi="Arial" w:cs="Arial"/>
          <w:sz w:val="24"/>
          <w:szCs w:val="24"/>
        </w:rPr>
        <w:t xml:space="preserve"> of the law</w:t>
      </w:r>
      <w:r w:rsidRPr="00427AC6">
        <w:rPr>
          <w:rFonts w:ascii="Arial" w:hAnsi="Arial" w:cs="Arial"/>
          <w:sz w:val="24"/>
          <w:szCs w:val="24"/>
        </w:rPr>
        <w:t xml:space="preserve"> where legislation imposes formal requirements, the courts have taken a purposive approach to form</w:t>
      </w:r>
      <w:r w:rsidR="00937E12">
        <w:rPr>
          <w:rFonts w:ascii="Arial" w:hAnsi="Arial" w:cs="Arial"/>
          <w:sz w:val="24"/>
          <w:szCs w:val="24"/>
        </w:rPr>
        <w:t xml:space="preserve">al defects. The common example </w:t>
      </w:r>
      <w:r w:rsidRPr="00427AC6">
        <w:rPr>
          <w:rFonts w:ascii="Arial" w:hAnsi="Arial" w:cs="Arial"/>
          <w:sz w:val="24"/>
          <w:szCs w:val="24"/>
        </w:rPr>
        <w:t>is the judicial doctrine which sustain</w:t>
      </w:r>
      <w:r w:rsidR="00937E12">
        <w:rPr>
          <w:rFonts w:ascii="Arial" w:hAnsi="Arial" w:cs="Arial"/>
          <w:sz w:val="24"/>
          <w:szCs w:val="24"/>
        </w:rPr>
        <w:t>s</w:t>
      </w:r>
      <w:r w:rsidRPr="00427AC6">
        <w:rPr>
          <w:rFonts w:ascii="Arial" w:hAnsi="Arial" w:cs="Arial"/>
          <w:sz w:val="24"/>
          <w:szCs w:val="24"/>
        </w:rPr>
        <w:t xml:space="preserve"> transactions despite non</w:t>
      </w:r>
      <w:r w:rsidR="004C7F8D">
        <w:rPr>
          <w:rFonts w:ascii="Arial" w:hAnsi="Arial" w:cs="Arial"/>
          <w:sz w:val="24"/>
          <w:szCs w:val="24"/>
        </w:rPr>
        <w:t>-</w:t>
      </w:r>
      <w:r w:rsidRPr="00427AC6">
        <w:rPr>
          <w:rFonts w:ascii="Arial" w:hAnsi="Arial" w:cs="Arial"/>
          <w:sz w:val="24"/>
          <w:szCs w:val="24"/>
        </w:rPr>
        <w:t xml:space="preserve">compliance with the statutory provisions namely, the main purpose and part performance rules. The essential </w:t>
      </w:r>
      <w:r w:rsidRPr="00427AC6">
        <w:rPr>
          <w:rFonts w:ascii="Arial" w:hAnsi="Arial" w:cs="Arial"/>
          <w:i/>
          <w:sz w:val="24"/>
          <w:szCs w:val="24"/>
        </w:rPr>
        <w:t>rationale</w:t>
      </w:r>
      <w:r w:rsidRPr="00427AC6">
        <w:rPr>
          <w:rFonts w:ascii="Arial" w:hAnsi="Arial" w:cs="Arial"/>
          <w:sz w:val="24"/>
          <w:szCs w:val="24"/>
        </w:rPr>
        <w:t xml:space="preserve"> of these rules is that when the purposes of the formal requirements are proved to have been served, literal and exact compliance with the formalities themselves may be excused. The courts have boasted that they do not permit formal safeguards to be turned into instruments of injustice in cases where the purposes of the formalities are substantially satisfied.</w:t>
      </w:r>
      <w:r w:rsidR="003013EF" w:rsidRPr="00427AC6">
        <w:rPr>
          <w:rFonts w:ascii="Arial" w:hAnsi="Arial" w:cs="Arial"/>
          <w:sz w:val="24"/>
          <w:szCs w:val="24"/>
        </w:rPr>
        <w:t xml:space="preserve"> Why has the Wills Act not been interpreted with a similar</w:t>
      </w:r>
      <w:r w:rsidR="00937E12">
        <w:rPr>
          <w:rFonts w:ascii="Arial" w:hAnsi="Arial" w:cs="Arial"/>
          <w:sz w:val="24"/>
          <w:szCs w:val="24"/>
        </w:rPr>
        <w:t xml:space="preserve"> level of</w:t>
      </w:r>
      <w:r w:rsidR="003013EF" w:rsidRPr="00427AC6">
        <w:rPr>
          <w:rFonts w:ascii="Arial" w:hAnsi="Arial" w:cs="Arial"/>
          <w:sz w:val="24"/>
          <w:szCs w:val="24"/>
        </w:rPr>
        <w:t xml:space="preserve"> </w:t>
      </w:r>
      <w:r w:rsidR="003C08F8" w:rsidRPr="00427AC6">
        <w:rPr>
          <w:rFonts w:ascii="Arial" w:hAnsi="Arial" w:cs="Arial"/>
          <w:sz w:val="24"/>
          <w:szCs w:val="24"/>
        </w:rPr>
        <w:t xml:space="preserve">purposiveness? </w:t>
      </w:r>
      <w:r w:rsidR="003013EF" w:rsidRPr="00427AC6">
        <w:rPr>
          <w:rFonts w:ascii="Arial" w:hAnsi="Arial" w:cs="Arial"/>
          <w:sz w:val="24"/>
          <w:szCs w:val="24"/>
        </w:rPr>
        <w:t xml:space="preserve">In my view there is no justification why </w:t>
      </w:r>
      <w:r w:rsidR="00937E12">
        <w:rPr>
          <w:rFonts w:ascii="Arial" w:hAnsi="Arial" w:cs="Arial"/>
          <w:sz w:val="24"/>
          <w:szCs w:val="24"/>
        </w:rPr>
        <w:t xml:space="preserve">in deserving cases, </w:t>
      </w:r>
      <w:r w:rsidR="003013EF" w:rsidRPr="00427AC6">
        <w:rPr>
          <w:rFonts w:ascii="Arial" w:hAnsi="Arial" w:cs="Arial"/>
          <w:sz w:val="24"/>
          <w:szCs w:val="24"/>
        </w:rPr>
        <w:t xml:space="preserve">the rule relating </w:t>
      </w:r>
      <w:r w:rsidR="004C7F8D">
        <w:rPr>
          <w:rFonts w:ascii="Arial" w:hAnsi="Arial" w:cs="Arial"/>
          <w:sz w:val="24"/>
          <w:szCs w:val="24"/>
        </w:rPr>
        <w:t xml:space="preserve">to </w:t>
      </w:r>
      <w:r w:rsidR="003013EF" w:rsidRPr="00427AC6">
        <w:rPr>
          <w:rFonts w:ascii="Arial" w:hAnsi="Arial" w:cs="Arial"/>
          <w:sz w:val="24"/>
          <w:szCs w:val="24"/>
        </w:rPr>
        <w:t>‘substantial compliance’ cannot be equally applied to the interpretation of the Wills Act.</w:t>
      </w:r>
    </w:p>
    <w:p w:rsidR="003013EF" w:rsidRPr="00427AC6" w:rsidRDefault="003013EF" w:rsidP="00216680">
      <w:pPr>
        <w:spacing w:after="0" w:line="360" w:lineRule="auto"/>
        <w:jc w:val="both"/>
        <w:rPr>
          <w:rFonts w:ascii="Arial" w:hAnsi="Arial" w:cs="Arial"/>
          <w:sz w:val="24"/>
          <w:szCs w:val="24"/>
        </w:rPr>
      </w:pPr>
    </w:p>
    <w:p w:rsidR="00B45A29" w:rsidRDefault="003013EF" w:rsidP="00216680">
      <w:pPr>
        <w:spacing w:after="0" w:line="360" w:lineRule="auto"/>
        <w:jc w:val="both"/>
        <w:rPr>
          <w:rFonts w:ascii="Arial" w:hAnsi="Arial" w:cs="Arial"/>
          <w:sz w:val="24"/>
          <w:szCs w:val="24"/>
          <w:lang w:val="en-ZA"/>
        </w:rPr>
      </w:pPr>
      <w:r w:rsidRPr="00427AC6">
        <w:rPr>
          <w:rFonts w:ascii="Arial" w:hAnsi="Arial" w:cs="Arial"/>
          <w:sz w:val="24"/>
          <w:szCs w:val="24"/>
        </w:rPr>
        <w:t>[</w:t>
      </w:r>
      <w:r w:rsidR="00234F07">
        <w:rPr>
          <w:rFonts w:ascii="Arial" w:hAnsi="Arial" w:cs="Arial"/>
          <w:sz w:val="24"/>
          <w:szCs w:val="24"/>
        </w:rPr>
        <w:t>30</w:t>
      </w:r>
      <w:r w:rsidR="00C52B4D">
        <w:rPr>
          <w:rFonts w:ascii="Arial" w:hAnsi="Arial" w:cs="Arial"/>
          <w:sz w:val="24"/>
          <w:szCs w:val="24"/>
        </w:rPr>
        <w:t>]</w:t>
      </w:r>
      <w:r w:rsidR="00C52B4D">
        <w:rPr>
          <w:rFonts w:ascii="Arial" w:hAnsi="Arial" w:cs="Arial"/>
          <w:sz w:val="24"/>
          <w:szCs w:val="24"/>
        </w:rPr>
        <w:tab/>
        <w:t xml:space="preserve"> In </w:t>
      </w:r>
      <w:proofErr w:type="spellStart"/>
      <w:r w:rsidR="00B45A29" w:rsidRPr="00427AC6">
        <w:rPr>
          <w:rFonts w:ascii="Arial" w:hAnsi="Arial" w:cs="Arial"/>
          <w:i/>
          <w:sz w:val="24"/>
          <w:szCs w:val="24"/>
          <w:lang w:val="en-ZA"/>
        </w:rPr>
        <w:t>Mellvill</w:t>
      </w:r>
      <w:proofErr w:type="spellEnd"/>
      <w:r w:rsidR="00B45A29" w:rsidRPr="00427AC6">
        <w:rPr>
          <w:rFonts w:ascii="Arial" w:hAnsi="Arial" w:cs="Arial"/>
          <w:i/>
          <w:sz w:val="24"/>
          <w:szCs w:val="24"/>
          <w:lang w:val="en-ZA"/>
        </w:rPr>
        <w:t xml:space="preserve"> and Another NNO v The Master, and Others</w:t>
      </w:r>
      <w:r w:rsidR="00B45A29" w:rsidRPr="00427AC6">
        <w:rPr>
          <w:rStyle w:val="FootnoteReference"/>
          <w:rFonts w:ascii="Arial" w:hAnsi="Arial" w:cs="Arial"/>
          <w:i/>
          <w:sz w:val="24"/>
          <w:szCs w:val="24"/>
          <w:lang w:val="en-ZA"/>
        </w:rPr>
        <w:footnoteReference w:id="13"/>
      </w:r>
      <w:r w:rsidR="00B45A29" w:rsidRPr="00427AC6">
        <w:rPr>
          <w:rFonts w:ascii="Arial" w:hAnsi="Arial" w:cs="Arial"/>
          <w:i/>
          <w:sz w:val="24"/>
          <w:szCs w:val="24"/>
          <w:lang w:val="en-ZA"/>
        </w:rPr>
        <w:t xml:space="preserve"> </w:t>
      </w:r>
      <w:r w:rsidR="00B45A29" w:rsidRPr="00427AC6">
        <w:rPr>
          <w:rFonts w:ascii="Arial" w:hAnsi="Arial" w:cs="Arial"/>
          <w:sz w:val="24"/>
          <w:szCs w:val="24"/>
          <w:lang w:val="en-ZA"/>
        </w:rPr>
        <w:t>the Court said:</w:t>
      </w:r>
    </w:p>
    <w:p w:rsidR="00BF48E2" w:rsidRPr="00BF48E2" w:rsidRDefault="00BF48E2" w:rsidP="00216680">
      <w:pPr>
        <w:spacing w:after="0" w:line="360" w:lineRule="auto"/>
        <w:jc w:val="both"/>
        <w:rPr>
          <w:rFonts w:ascii="Arial" w:hAnsi="Arial" w:cs="Arial"/>
          <w:sz w:val="24"/>
          <w:szCs w:val="24"/>
          <w:lang w:val="en-ZA"/>
        </w:rPr>
      </w:pPr>
    </w:p>
    <w:p w:rsidR="00B45A29" w:rsidRPr="00234F07" w:rsidRDefault="003013EF" w:rsidP="00C1706B">
      <w:pPr>
        <w:spacing w:after="0" w:line="360" w:lineRule="auto"/>
        <w:jc w:val="both"/>
        <w:rPr>
          <w:rFonts w:ascii="Arial" w:hAnsi="Arial" w:cs="Arial"/>
        </w:rPr>
      </w:pPr>
      <w:r w:rsidRPr="00234F07">
        <w:rPr>
          <w:rFonts w:ascii="Arial" w:hAnsi="Arial" w:cs="Arial"/>
        </w:rPr>
        <w:t>‘The purpose of requiring a signature to a will is to identify, in the case of the testator, the document as being the will of the testator himself, and in the case of the witnesses, to identify the persons who were present at the execution of the document in compliance with the statutory formalities. The Act is intended to eliminate as far as</w:t>
      </w:r>
      <w:r w:rsidR="00B45A29" w:rsidRPr="00234F07">
        <w:rPr>
          <w:rFonts w:ascii="Arial" w:hAnsi="Arial" w:cs="Arial"/>
        </w:rPr>
        <w:t xml:space="preserve"> possible, the perpetration</w:t>
      </w:r>
      <w:r w:rsidRPr="00234F07">
        <w:rPr>
          <w:rFonts w:ascii="Arial" w:hAnsi="Arial" w:cs="Arial"/>
        </w:rPr>
        <w:t xml:space="preserve"> of fraud by, for example, the substitution of a page from an earlier will for that of a later will or the addition to a will of provisions not made by the testator. </w:t>
      </w:r>
      <w:proofErr w:type="spellStart"/>
      <w:r w:rsidRPr="00234F07">
        <w:rPr>
          <w:rFonts w:ascii="Arial" w:hAnsi="Arial" w:cs="Arial"/>
          <w:i/>
        </w:rPr>
        <w:t>Cf</w:t>
      </w:r>
      <w:proofErr w:type="spellEnd"/>
      <w:r w:rsidRPr="00234F07">
        <w:rPr>
          <w:rFonts w:ascii="Arial" w:hAnsi="Arial" w:cs="Arial"/>
          <w:i/>
        </w:rPr>
        <w:t xml:space="preserve"> Ex parte </w:t>
      </w:r>
      <w:proofErr w:type="spellStart"/>
      <w:r w:rsidRPr="00234F07">
        <w:rPr>
          <w:rFonts w:ascii="Arial" w:hAnsi="Arial" w:cs="Arial"/>
          <w:i/>
        </w:rPr>
        <w:t>Suknanan</w:t>
      </w:r>
      <w:proofErr w:type="spellEnd"/>
      <w:r w:rsidRPr="00234F07">
        <w:rPr>
          <w:rFonts w:ascii="Arial" w:hAnsi="Arial" w:cs="Arial"/>
          <w:i/>
        </w:rPr>
        <w:t xml:space="preserve"> and Another 1959 (2) SA 189 (D) at 191A - B.</w:t>
      </w:r>
      <w:r w:rsidRPr="00234F07">
        <w:rPr>
          <w:rFonts w:ascii="Arial" w:hAnsi="Arial" w:cs="Arial"/>
        </w:rPr>
        <w:t xml:space="preserve"> It is easier for initials to be forged than it is for a signature. Proof that a will was in fact signed by the testator and the witnesses is also facilitated when the document</w:t>
      </w:r>
      <w:r w:rsidR="00B45A29" w:rsidRPr="00234F07">
        <w:rPr>
          <w:rFonts w:ascii="Arial" w:hAnsi="Arial" w:cs="Arial"/>
        </w:rPr>
        <w:t xml:space="preserve"> contains signatures in the</w:t>
      </w:r>
      <w:r w:rsidRPr="00234F07">
        <w:rPr>
          <w:rFonts w:ascii="Arial" w:hAnsi="Arial" w:cs="Arial"/>
        </w:rPr>
        <w:t xml:space="preserve"> normal sense of that term, as </w:t>
      </w:r>
      <w:r w:rsidRPr="00234F07">
        <w:rPr>
          <w:rFonts w:ascii="Arial" w:hAnsi="Arial" w:cs="Arial"/>
        </w:rPr>
        <w:lastRenderedPageBreak/>
        <w:t>opposed to mere initials, as signatures would normally be more readily identifiable by comparison with other signatures of the testator or the witnesses, than initials would be. Having regard to the manifest purpose of the Act, there is accordingly no reason to construe the word "signature" contrary to its popular and normal meaning so as to incorporate unnaturally within its ambit initials which do not normally constitute a signature.</w:t>
      </w:r>
    </w:p>
    <w:p w:rsidR="00B45A29" w:rsidRPr="00B45A29" w:rsidRDefault="00B45A29" w:rsidP="003013EF">
      <w:pPr>
        <w:spacing w:after="0" w:line="360" w:lineRule="auto"/>
        <w:ind w:firstLine="720"/>
        <w:jc w:val="both"/>
        <w:rPr>
          <w:rFonts w:ascii="Arial" w:hAnsi="Arial" w:cs="Arial"/>
          <w:sz w:val="24"/>
          <w:szCs w:val="24"/>
        </w:rPr>
      </w:pPr>
    </w:p>
    <w:p w:rsidR="00B45A29" w:rsidRDefault="00B45A29" w:rsidP="00B45A29">
      <w:pPr>
        <w:spacing w:after="0" w:line="360" w:lineRule="auto"/>
        <w:jc w:val="both"/>
        <w:rPr>
          <w:rFonts w:ascii="Arial" w:hAnsi="Arial" w:cs="Arial"/>
          <w:sz w:val="24"/>
          <w:szCs w:val="24"/>
        </w:rPr>
      </w:pPr>
      <w:r w:rsidRPr="00B45A29">
        <w:rPr>
          <w:rFonts w:ascii="Arial" w:hAnsi="Arial" w:cs="Arial"/>
          <w:sz w:val="24"/>
          <w:szCs w:val="24"/>
        </w:rPr>
        <w:t>[</w:t>
      </w:r>
      <w:r w:rsidR="00234F07">
        <w:rPr>
          <w:rFonts w:ascii="Arial" w:hAnsi="Arial" w:cs="Arial"/>
          <w:sz w:val="24"/>
          <w:szCs w:val="24"/>
        </w:rPr>
        <w:t>31</w:t>
      </w:r>
      <w:r w:rsidR="00B904EF">
        <w:rPr>
          <w:rFonts w:ascii="Arial" w:hAnsi="Arial" w:cs="Arial"/>
          <w:sz w:val="24"/>
          <w:szCs w:val="24"/>
        </w:rPr>
        <w:t>]</w:t>
      </w:r>
      <w:r w:rsidR="00B904EF">
        <w:rPr>
          <w:rFonts w:ascii="Arial" w:hAnsi="Arial" w:cs="Arial"/>
          <w:sz w:val="24"/>
          <w:szCs w:val="24"/>
        </w:rPr>
        <w:tab/>
        <w:t xml:space="preserve"> In </w:t>
      </w:r>
      <w:proofErr w:type="gramStart"/>
      <w:r w:rsidRPr="00B45A29">
        <w:rPr>
          <w:rFonts w:ascii="Arial" w:hAnsi="Arial" w:cs="Arial"/>
          <w:i/>
          <w:sz w:val="24"/>
          <w:szCs w:val="24"/>
        </w:rPr>
        <w:t>The</w:t>
      </w:r>
      <w:proofErr w:type="gramEnd"/>
      <w:r w:rsidRPr="00B45A29">
        <w:rPr>
          <w:rFonts w:ascii="Arial" w:hAnsi="Arial" w:cs="Arial"/>
          <w:i/>
          <w:sz w:val="24"/>
          <w:szCs w:val="24"/>
        </w:rPr>
        <w:t xml:space="preserve"> Leprosy Mission and Others v The Master of the Supreme Court and Another NO</w:t>
      </w:r>
      <w:r w:rsidR="00BF48E2">
        <w:rPr>
          <w:rFonts w:ascii="Arial" w:hAnsi="Arial" w:cs="Arial"/>
          <w:i/>
          <w:sz w:val="24"/>
          <w:szCs w:val="24"/>
        </w:rPr>
        <w:t>,</w:t>
      </w:r>
      <w:r>
        <w:rPr>
          <w:rStyle w:val="FootnoteReference"/>
          <w:rFonts w:ascii="Arial" w:hAnsi="Arial"/>
          <w:sz w:val="24"/>
          <w:szCs w:val="24"/>
        </w:rPr>
        <w:footnoteReference w:id="14"/>
      </w:r>
      <w:r w:rsidR="009B0E48">
        <w:rPr>
          <w:rFonts w:ascii="Arial" w:hAnsi="Arial" w:cs="Arial"/>
          <w:sz w:val="24"/>
          <w:szCs w:val="24"/>
        </w:rPr>
        <w:t xml:space="preserve"> the c</w:t>
      </w:r>
      <w:r>
        <w:rPr>
          <w:rFonts w:ascii="Arial" w:hAnsi="Arial" w:cs="Arial"/>
          <w:sz w:val="24"/>
          <w:szCs w:val="24"/>
        </w:rPr>
        <w:t>ourt sai</w:t>
      </w:r>
      <w:r w:rsidR="00D6561B">
        <w:rPr>
          <w:rFonts w:ascii="Arial" w:hAnsi="Arial" w:cs="Arial"/>
          <w:sz w:val="24"/>
          <w:szCs w:val="24"/>
        </w:rPr>
        <w:t>d</w:t>
      </w:r>
      <w:r>
        <w:rPr>
          <w:rFonts w:ascii="Arial" w:hAnsi="Arial" w:cs="Arial"/>
          <w:sz w:val="24"/>
          <w:szCs w:val="24"/>
        </w:rPr>
        <w:t>:</w:t>
      </w:r>
    </w:p>
    <w:p w:rsidR="00B45A29" w:rsidRPr="00B45A29" w:rsidRDefault="00B45A29" w:rsidP="00B45A29">
      <w:pPr>
        <w:spacing w:after="0" w:line="360" w:lineRule="auto"/>
        <w:jc w:val="both"/>
        <w:rPr>
          <w:rFonts w:ascii="Arial" w:hAnsi="Arial" w:cs="Arial"/>
          <w:sz w:val="24"/>
          <w:szCs w:val="24"/>
        </w:rPr>
      </w:pPr>
    </w:p>
    <w:p w:rsidR="00D6561B" w:rsidRDefault="00D6561B" w:rsidP="00C1706B">
      <w:pPr>
        <w:spacing w:after="0" w:line="360" w:lineRule="auto"/>
        <w:jc w:val="both"/>
        <w:rPr>
          <w:rFonts w:ascii="Arial" w:hAnsi="Arial" w:cs="Arial"/>
        </w:rPr>
      </w:pPr>
      <w:r>
        <w:rPr>
          <w:rFonts w:ascii="Arial" w:hAnsi="Arial" w:cs="Arial"/>
        </w:rPr>
        <w:t>‘</w:t>
      </w:r>
      <w:r w:rsidR="003013EF" w:rsidRPr="003013EF">
        <w:rPr>
          <w:rFonts w:ascii="Arial" w:hAnsi="Arial" w:cs="Arial"/>
        </w:rPr>
        <w:t xml:space="preserve">Because the Act is designed, as far as possible, to prevent the perpetration of frauds, uncertainty and speculation, strict compliance with the formalities prescribed by the </w:t>
      </w:r>
      <w:r w:rsidR="00BF48E2">
        <w:rPr>
          <w:rFonts w:ascii="Arial" w:hAnsi="Arial" w:cs="Arial"/>
        </w:rPr>
        <w:t xml:space="preserve">Legislature are </w:t>
      </w:r>
      <w:r w:rsidR="003013EF" w:rsidRPr="003013EF">
        <w:rPr>
          <w:rFonts w:ascii="Arial" w:hAnsi="Arial" w:cs="Arial"/>
        </w:rPr>
        <w:t>required, particularly as the testator is no longer alive when the validity of his will is challenged, and the witnesses ma</w:t>
      </w:r>
      <w:r>
        <w:rPr>
          <w:rFonts w:ascii="Arial" w:hAnsi="Arial" w:cs="Arial"/>
        </w:rPr>
        <w:t>y no longer be alive to say</w:t>
      </w:r>
      <w:r w:rsidR="003013EF" w:rsidRPr="003013EF">
        <w:rPr>
          <w:rFonts w:ascii="Arial" w:hAnsi="Arial" w:cs="Arial"/>
        </w:rPr>
        <w:t xml:space="preserve"> what happened when the will was executed</w:t>
      </w:r>
      <w:r>
        <w:rPr>
          <w:rFonts w:ascii="Arial" w:hAnsi="Arial" w:cs="Arial"/>
        </w:rPr>
        <w:t>’</w:t>
      </w:r>
      <w:r w:rsidR="003013EF" w:rsidRPr="003013EF">
        <w:rPr>
          <w:rFonts w:ascii="Arial" w:hAnsi="Arial" w:cs="Arial"/>
        </w:rPr>
        <w:t>.</w:t>
      </w:r>
    </w:p>
    <w:p w:rsidR="00D6561B" w:rsidRDefault="00D6561B" w:rsidP="003013EF">
      <w:pPr>
        <w:spacing w:after="0" w:line="360" w:lineRule="auto"/>
        <w:ind w:firstLine="720"/>
        <w:jc w:val="both"/>
        <w:rPr>
          <w:rFonts w:ascii="Arial" w:hAnsi="Arial" w:cs="Arial"/>
        </w:rPr>
      </w:pPr>
    </w:p>
    <w:p w:rsidR="00B66E43" w:rsidRDefault="00D6561B" w:rsidP="00216680">
      <w:pPr>
        <w:spacing w:after="0" w:line="360" w:lineRule="auto"/>
        <w:jc w:val="both"/>
        <w:rPr>
          <w:rFonts w:ascii="Arial" w:hAnsi="Arial" w:cs="Arial"/>
          <w:sz w:val="24"/>
          <w:szCs w:val="24"/>
          <w:lang w:val="en-ZA"/>
        </w:rPr>
      </w:pPr>
      <w:r w:rsidRPr="00234F07">
        <w:rPr>
          <w:rFonts w:ascii="Arial" w:hAnsi="Arial" w:cs="Arial"/>
          <w:sz w:val="24"/>
          <w:szCs w:val="24"/>
        </w:rPr>
        <w:t>[</w:t>
      </w:r>
      <w:r w:rsidR="003C08F8" w:rsidRPr="00234F07">
        <w:rPr>
          <w:rFonts w:ascii="Arial" w:hAnsi="Arial" w:cs="Arial"/>
          <w:sz w:val="24"/>
          <w:szCs w:val="24"/>
        </w:rPr>
        <w:t>3</w:t>
      </w:r>
      <w:r w:rsidR="00234F07" w:rsidRPr="00234F07">
        <w:rPr>
          <w:rFonts w:ascii="Arial" w:hAnsi="Arial" w:cs="Arial"/>
          <w:sz w:val="24"/>
          <w:szCs w:val="24"/>
        </w:rPr>
        <w:t>2</w:t>
      </w:r>
      <w:r w:rsidR="00084BD4">
        <w:rPr>
          <w:rFonts w:ascii="Arial" w:hAnsi="Arial" w:cs="Arial"/>
          <w:sz w:val="24"/>
          <w:szCs w:val="24"/>
        </w:rPr>
        <w:t>]</w:t>
      </w:r>
      <w:r w:rsidR="00084BD4">
        <w:rPr>
          <w:rFonts w:ascii="Arial" w:hAnsi="Arial" w:cs="Arial"/>
          <w:sz w:val="24"/>
          <w:szCs w:val="24"/>
        </w:rPr>
        <w:tab/>
        <w:t>Taking in</w:t>
      </w:r>
      <w:r w:rsidRPr="00234F07">
        <w:rPr>
          <w:rFonts w:ascii="Arial" w:hAnsi="Arial" w:cs="Arial"/>
          <w:sz w:val="24"/>
          <w:szCs w:val="24"/>
        </w:rPr>
        <w:t xml:space="preserve">to consideration </w:t>
      </w:r>
      <w:r w:rsidR="003C08F8" w:rsidRPr="00234F07">
        <w:rPr>
          <w:rFonts w:ascii="Arial" w:hAnsi="Arial" w:cs="Arial"/>
          <w:sz w:val="24"/>
          <w:szCs w:val="24"/>
        </w:rPr>
        <w:t xml:space="preserve">that; the right to dispose of her property as she pleases in death as in life is a fundamental right, the late </w:t>
      </w:r>
      <w:proofErr w:type="spellStart"/>
      <w:r w:rsidR="003C08F8" w:rsidRPr="00234F07">
        <w:rPr>
          <w:rFonts w:ascii="Arial" w:hAnsi="Arial" w:cs="Arial"/>
          <w:sz w:val="24"/>
          <w:szCs w:val="24"/>
        </w:rPr>
        <w:t>Nuugwedha</w:t>
      </w:r>
      <w:proofErr w:type="spellEnd"/>
      <w:r w:rsidR="003C08F8" w:rsidRPr="00234F07">
        <w:rPr>
          <w:rFonts w:ascii="Arial" w:hAnsi="Arial" w:cs="Arial"/>
          <w:sz w:val="24"/>
          <w:szCs w:val="24"/>
        </w:rPr>
        <w:t xml:space="preserve"> substantially complied with the formalities prescribed by s </w:t>
      </w:r>
      <w:r w:rsidR="003C08F8" w:rsidRPr="00234F07">
        <w:rPr>
          <w:rFonts w:ascii="Arial" w:hAnsi="Arial" w:cs="Arial"/>
          <w:sz w:val="24"/>
          <w:szCs w:val="24"/>
          <w:lang w:val="en-ZA"/>
        </w:rPr>
        <w:t>2 (1) (a)(i</w:t>
      </w:r>
      <w:r w:rsidR="00234F07" w:rsidRPr="00234F07">
        <w:rPr>
          <w:rFonts w:ascii="Arial" w:hAnsi="Arial" w:cs="Arial"/>
          <w:sz w:val="24"/>
          <w:szCs w:val="24"/>
          <w:lang w:val="en-ZA"/>
        </w:rPr>
        <w:t>ii</w:t>
      </w:r>
      <w:r w:rsidR="004C7F8D">
        <w:rPr>
          <w:rFonts w:ascii="Arial" w:hAnsi="Arial" w:cs="Arial"/>
          <w:sz w:val="24"/>
          <w:szCs w:val="24"/>
          <w:lang w:val="en-ZA"/>
        </w:rPr>
        <w:t>) and</w:t>
      </w:r>
      <w:r w:rsidR="003C08F8" w:rsidRPr="00234F07">
        <w:rPr>
          <w:rFonts w:ascii="Arial" w:hAnsi="Arial" w:cs="Arial"/>
          <w:sz w:val="24"/>
          <w:szCs w:val="24"/>
          <w:lang w:val="en-ZA"/>
        </w:rPr>
        <w:t xml:space="preserve"> (</w:t>
      </w:r>
      <w:r w:rsidR="00234F07" w:rsidRPr="00234F07">
        <w:rPr>
          <w:rFonts w:ascii="Arial" w:hAnsi="Arial" w:cs="Arial"/>
          <w:sz w:val="24"/>
          <w:szCs w:val="24"/>
          <w:lang w:val="en-ZA"/>
        </w:rPr>
        <w:t>i</w:t>
      </w:r>
      <w:r w:rsidR="003C08F8" w:rsidRPr="00234F07">
        <w:rPr>
          <w:rFonts w:ascii="Arial" w:hAnsi="Arial" w:cs="Arial"/>
          <w:sz w:val="24"/>
          <w:szCs w:val="24"/>
          <w:lang w:val="en-ZA"/>
        </w:rPr>
        <w:t xml:space="preserve">v) of the Wills Act, and the </w:t>
      </w:r>
      <w:r w:rsidR="00234F07" w:rsidRPr="00234F07">
        <w:rPr>
          <w:rFonts w:ascii="Arial" w:hAnsi="Arial" w:cs="Arial"/>
          <w:sz w:val="24"/>
          <w:szCs w:val="24"/>
          <w:lang w:val="en-ZA"/>
        </w:rPr>
        <w:t xml:space="preserve">purposes, (namely </w:t>
      </w:r>
      <w:r w:rsidR="00234F07" w:rsidRPr="00234F07">
        <w:rPr>
          <w:rFonts w:ascii="Arial" w:hAnsi="Arial" w:cs="Arial"/>
          <w:sz w:val="24"/>
          <w:szCs w:val="24"/>
        </w:rPr>
        <w:t>to identify the persons who were present at the execution of the document in compliance with the statutory formalities</w:t>
      </w:r>
      <w:r w:rsidR="00234F07">
        <w:rPr>
          <w:rFonts w:ascii="Arial" w:hAnsi="Arial" w:cs="Arial"/>
          <w:sz w:val="24"/>
          <w:szCs w:val="24"/>
        </w:rPr>
        <w:t xml:space="preserve"> and that the Wills </w:t>
      </w:r>
      <w:r w:rsidR="00234F07" w:rsidRPr="00234F07">
        <w:rPr>
          <w:rFonts w:ascii="Arial" w:hAnsi="Arial" w:cs="Arial"/>
          <w:sz w:val="24"/>
          <w:szCs w:val="24"/>
        </w:rPr>
        <w:t>Act is intended to eliminate as far as possible, the perpetration of fraud by, for example, the substitution of a page from an earlier will for that of a later will or the addition to a will of provisions not made by the testator</w:t>
      </w:r>
      <w:r w:rsidR="00234F07">
        <w:rPr>
          <w:rFonts w:ascii="Arial" w:hAnsi="Arial" w:cs="Arial"/>
          <w:sz w:val="24"/>
          <w:szCs w:val="24"/>
        </w:rPr>
        <w:t>)</w:t>
      </w:r>
      <w:r w:rsidR="003C08F8" w:rsidRPr="00234F07">
        <w:rPr>
          <w:rFonts w:ascii="Arial" w:hAnsi="Arial" w:cs="Arial"/>
          <w:sz w:val="24"/>
          <w:szCs w:val="24"/>
          <w:lang w:val="en-ZA"/>
        </w:rPr>
        <w:t xml:space="preserve"> of the signature to a will</w:t>
      </w:r>
      <w:r w:rsidR="00234F07">
        <w:rPr>
          <w:rFonts w:ascii="Arial" w:hAnsi="Arial" w:cs="Arial"/>
          <w:sz w:val="24"/>
          <w:szCs w:val="24"/>
          <w:lang w:val="en-ZA"/>
        </w:rPr>
        <w:t xml:space="preserve"> and the fact that in this case the dangers which the Wills Act aim to eliminat</w:t>
      </w:r>
      <w:r w:rsidR="009B0E48">
        <w:rPr>
          <w:rFonts w:ascii="Arial" w:hAnsi="Arial" w:cs="Arial"/>
          <w:sz w:val="24"/>
          <w:szCs w:val="24"/>
          <w:lang w:val="en-ZA"/>
        </w:rPr>
        <w:t xml:space="preserve">e are not present in this case. </w:t>
      </w:r>
      <w:r w:rsidR="003C08F8" w:rsidRPr="00234F07">
        <w:rPr>
          <w:rFonts w:ascii="Arial" w:hAnsi="Arial" w:cs="Arial"/>
          <w:sz w:val="24"/>
          <w:szCs w:val="24"/>
          <w:lang w:val="en-ZA"/>
        </w:rPr>
        <w:t>I am of the view that inva</w:t>
      </w:r>
      <w:r w:rsidR="00BF48E2">
        <w:rPr>
          <w:rFonts w:ascii="Arial" w:hAnsi="Arial" w:cs="Arial"/>
          <w:sz w:val="24"/>
          <w:szCs w:val="24"/>
          <w:lang w:val="en-ZA"/>
        </w:rPr>
        <w:t>lidating the will amounts to a</w:t>
      </w:r>
      <w:r w:rsidR="003C08F8" w:rsidRPr="00234F07">
        <w:rPr>
          <w:rFonts w:ascii="Arial" w:hAnsi="Arial" w:cs="Arial"/>
          <w:sz w:val="24"/>
          <w:szCs w:val="24"/>
          <w:lang w:val="en-ZA"/>
        </w:rPr>
        <w:t xml:space="preserve"> violation </w:t>
      </w:r>
      <w:r w:rsidR="004C7F8D">
        <w:rPr>
          <w:rFonts w:ascii="Arial" w:hAnsi="Arial" w:cs="Arial"/>
          <w:sz w:val="24"/>
          <w:szCs w:val="24"/>
          <w:lang w:val="en-ZA"/>
        </w:rPr>
        <w:t xml:space="preserve">of </w:t>
      </w:r>
      <w:r w:rsidR="003C08F8" w:rsidRPr="00234F07">
        <w:rPr>
          <w:rFonts w:ascii="Arial" w:hAnsi="Arial" w:cs="Arial"/>
          <w:sz w:val="24"/>
          <w:szCs w:val="24"/>
          <w:lang w:val="en-ZA"/>
        </w:rPr>
        <w:t xml:space="preserve">the fundamental right of the late </w:t>
      </w:r>
      <w:proofErr w:type="spellStart"/>
      <w:r w:rsidR="003C08F8" w:rsidRPr="00234F07">
        <w:rPr>
          <w:rFonts w:ascii="Arial" w:hAnsi="Arial" w:cs="Arial"/>
          <w:sz w:val="24"/>
          <w:szCs w:val="24"/>
          <w:lang w:val="en-ZA"/>
        </w:rPr>
        <w:t>Nuugwedha</w:t>
      </w:r>
      <w:proofErr w:type="spellEnd"/>
      <w:r w:rsidR="003C08F8" w:rsidRPr="00234F07">
        <w:rPr>
          <w:rFonts w:ascii="Arial" w:hAnsi="Arial" w:cs="Arial"/>
          <w:sz w:val="24"/>
          <w:szCs w:val="24"/>
          <w:lang w:val="en-ZA"/>
        </w:rPr>
        <w:t xml:space="preserve"> to freedom of testation.</w:t>
      </w:r>
      <w:r w:rsidR="00B66E43">
        <w:rPr>
          <w:rFonts w:ascii="Arial" w:hAnsi="Arial" w:cs="Arial"/>
          <w:sz w:val="24"/>
          <w:szCs w:val="24"/>
          <w:lang w:val="en-ZA"/>
        </w:rPr>
        <w:t xml:space="preserve"> </w:t>
      </w:r>
    </w:p>
    <w:p w:rsidR="00B66E43" w:rsidRDefault="00B66E43" w:rsidP="00216680">
      <w:pPr>
        <w:spacing w:after="0" w:line="360" w:lineRule="auto"/>
        <w:jc w:val="both"/>
        <w:rPr>
          <w:rFonts w:ascii="Arial" w:hAnsi="Arial" w:cs="Arial"/>
          <w:sz w:val="24"/>
          <w:szCs w:val="24"/>
          <w:lang w:val="en-ZA"/>
        </w:rPr>
      </w:pPr>
    </w:p>
    <w:p w:rsidR="000F14FA" w:rsidRDefault="00B66E43" w:rsidP="00216680">
      <w:pPr>
        <w:spacing w:after="0" w:line="360" w:lineRule="auto"/>
        <w:jc w:val="both"/>
        <w:rPr>
          <w:rFonts w:ascii="Arial" w:hAnsi="Arial" w:cs="Arial"/>
          <w:sz w:val="24"/>
          <w:szCs w:val="24"/>
        </w:rPr>
      </w:pPr>
      <w:r>
        <w:rPr>
          <w:rFonts w:ascii="Arial" w:hAnsi="Arial" w:cs="Arial"/>
          <w:sz w:val="24"/>
          <w:szCs w:val="24"/>
          <w:lang w:val="en-ZA"/>
        </w:rPr>
        <w:t>[</w:t>
      </w:r>
      <w:r w:rsidRPr="00B66E43">
        <w:rPr>
          <w:rFonts w:ascii="Arial" w:hAnsi="Arial" w:cs="Arial"/>
          <w:sz w:val="24"/>
          <w:szCs w:val="24"/>
          <w:lang w:val="en-ZA"/>
        </w:rPr>
        <w:t>33]</w:t>
      </w:r>
      <w:r w:rsidRPr="00B66E43">
        <w:rPr>
          <w:rFonts w:ascii="Arial" w:hAnsi="Arial" w:cs="Arial"/>
          <w:sz w:val="24"/>
          <w:szCs w:val="24"/>
          <w:lang w:val="en-ZA"/>
        </w:rPr>
        <w:tab/>
        <w:t xml:space="preserve">For the reasons that I have set out in the preceding </w:t>
      </w:r>
      <w:r w:rsidR="009B0E48">
        <w:rPr>
          <w:rFonts w:ascii="Arial" w:hAnsi="Arial" w:cs="Arial"/>
          <w:sz w:val="24"/>
          <w:szCs w:val="24"/>
          <w:lang w:val="en-ZA"/>
        </w:rPr>
        <w:t xml:space="preserve">paragraphs, </w:t>
      </w:r>
      <w:r w:rsidR="004B07B7">
        <w:rPr>
          <w:rFonts w:ascii="Arial" w:hAnsi="Arial" w:cs="Arial"/>
          <w:sz w:val="24"/>
          <w:szCs w:val="24"/>
          <w:lang w:val="en-ZA"/>
        </w:rPr>
        <w:t>I hold the view that</w:t>
      </w:r>
      <w:r w:rsidRPr="00B66E43">
        <w:rPr>
          <w:rFonts w:ascii="Arial" w:hAnsi="Arial" w:cs="Arial"/>
          <w:sz w:val="24"/>
          <w:szCs w:val="24"/>
        </w:rPr>
        <w:t xml:space="preserve"> the testamentary document executed on 02 February 2017 by the l</w:t>
      </w:r>
      <w:r w:rsidR="00BF48E2">
        <w:rPr>
          <w:rFonts w:ascii="Arial" w:hAnsi="Arial" w:cs="Arial"/>
          <w:sz w:val="24"/>
          <w:szCs w:val="24"/>
        </w:rPr>
        <w:t xml:space="preserve">ate Linea </w:t>
      </w:r>
      <w:proofErr w:type="spellStart"/>
      <w:r w:rsidR="00BF48E2">
        <w:rPr>
          <w:rFonts w:ascii="Arial" w:hAnsi="Arial" w:cs="Arial"/>
          <w:sz w:val="24"/>
          <w:szCs w:val="24"/>
        </w:rPr>
        <w:t>Peneyambeko</w:t>
      </w:r>
      <w:proofErr w:type="spellEnd"/>
      <w:r w:rsidR="00BF48E2">
        <w:rPr>
          <w:rFonts w:ascii="Arial" w:hAnsi="Arial" w:cs="Arial"/>
          <w:sz w:val="24"/>
          <w:szCs w:val="24"/>
        </w:rPr>
        <w:t xml:space="preserve"> </w:t>
      </w:r>
      <w:proofErr w:type="spellStart"/>
      <w:r w:rsidR="00BF48E2">
        <w:rPr>
          <w:rFonts w:ascii="Arial" w:hAnsi="Arial" w:cs="Arial"/>
          <w:sz w:val="24"/>
          <w:szCs w:val="24"/>
        </w:rPr>
        <w:t>Nuugwedha</w:t>
      </w:r>
      <w:proofErr w:type="spellEnd"/>
      <w:r w:rsidR="00BF48E2">
        <w:rPr>
          <w:rFonts w:ascii="Arial" w:hAnsi="Arial" w:cs="Arial"/>
          <w:sz w:val="24"/>
          <w:szCs w:val="24"/>
        </w:rPr>
        <w:t xml:space="preserve">, </w:t>
      </w:r>
      <w:r w:rsidRPr="00B66E43">
        <w:rPr>
          <w:rFonts w:ascii="Arial" w:hAnsi="Arial" w:cs="Arial"/>
          <w:sz w:val="24"/>
          <w:szCs w:val="24"/>
        </w:rPr>
        <w:t xml:space="preserve">who died on 03 February 2017, a copy of which is </w:t>
      </w:r>
      <w:r>
        <w:rPr>
          <w:rFonts w:ascii="Arial" w:hAnsi="Arial" w:cs="Arial"/>
          <w:sz w:val="24"/>
          <w:szCs w:val="24"/>
        </w:rPr>
        <w:t xml:space="preserve">attached </w:t>
      </w:r>
      <w:r w:rsidRPr="00B66E43">
        <w:rPr>
          <w:rFonts w:ascii="Arial" w:hAnsi="Arial" w:cs="Arial"/>
          <w:sz w:val="24"/>
          <w:szCs w:val="24"/>
        </w:rPr>
        <w:t xml:space="preserve">to the </w:t>
      </w:r>
      <w:r>
        <w:rPr>
          <w:rFonts w:ascii="Arial" w:hAnsi="Arial" w:cs="Arial"/>
          <w:sz w:val="24"/>
          <w:szCs w:val="24"/>
        </w:rPr>
        <w:t>a</w:t>
      </w:r>
      <w:r w:rsidRPr="00B66E43">
        <w:rPr>
          <w:rFonts w:ascii="Arial" w:hAnsi="Arial" w:cs="Arial"/>
          <w:sz w:val="24"/>
          <w:szCs w:val="24"/>
        </w:rPr>
        <w:t xml:space="preserve">ffidavit of Gina </w:t>
      </w:r>
      <w:proofErr w:type="spellStart"/>
      <w:r w:rsidRPr="00B66E43">
        <w:rPr>
          <w:rFonts w:ascii="Arial" w:hAnsi="Arial" w:cs="Arial"/>
          <w:sz w:val="24"/>
          <w:szCs w:val="24"/>
        </w:rPr>
        <w:t>Nelao</w:t>
      </w:r>
      <w:proofErr w:type="spellEnd"/>
      <w:r w:rsidRPr="00B66E43">
        <w:rPr>
          <w:rFonts w:ascii="Arial" w:hAnsi="Arial" w:cs="Arial"/>
          <w:sz w:val="24"/>
          <w:szCs w:val="24"/>
        </w:rPr>
        <w:t xml:space="preserve"> </w:t>
      </w:r>
      <w:proofErr w:type="spellStart"/>
      <w:r w:rsidRPr="00B66E43">
        <w:rPr>
          <w:rFonts w:ascii="Arial" w:hAnsi="Arial" w:cs="Arial"/>
          <w:sz w:val="24"/>
          <w:szCs w:val="24"/>
        </w:rPr>
        <w:t>Wetutala</w:t>
      </w:r>
      <w:proofErr w:type="spellEnd"/>
      <w:r w:rsidRPr="00B66E43">
        <w:rPr>
          <w:rFonts w:ascii="Arial" w:hAnsi="Arial" w:cs="Arial"/>
          <w:sz w:val="24"/>
          <w:szCs w:val="24"/>
        </w:rPr>
        <w:t xml:space="preserve"> </w:t>
      </w:r>
      <w:proofErr w:type="spellStart"/>
      <w:r w:rsidRPr="00B66E43">
        <w:rPr>
          <w:rFonts w:ascii="Arial" w:hAnsi="Arial" w:cs="Arial"/>
          <w:sz w:val="24"/>
          <w:szCs w:val="24"/>
        </w:rPr>
        <w:t>Mwoombola</w:t>
      </w:r>
      <w:proofErr w:type="spellEnd"/>
      <w:r w:rsidRPr="00B66E43">
        <w:rPr>
          <w:rFonts w:ascii="Arial" w:hAnsi="Arial" w:cs="Arial"/>
          <w:sz w:val="24"/>
          <w:szCs w:val="24"/>
        </w:rPr>
        <w:t xml:space="preserve"> as Annexure A, is </w:t>
      </w:r>
      <w:r>
        <w:rPr>
          <w:rFonts w:ascii="Arial" w:hAnsi="Arial" w:cs="Arial"/>
          <w:sz w:val="24"/>
          <w:szCs w:val="24"/>
        </w:rPr>
        <w:t>a valid Will and</w:t>
      </w:r>
      <w:r w:rsidR="00BF48E2">
        <w:rPr>
          <w:rFonts w:ascii="Arial" w:hAnsi="Arial" w:cs="Arial"/>
          <w:sz w:val="24"/>
          <w:szCs w:val="24"/>
        </w:rPr>
        <w:t xml:space="preserve"> </w:t>
      </w:r>
      <w:proofErr w:type="spellStart"/>
      <w:r w:rsidR="00BF48E2">
        <w:rPr>
          <w:rFonts w:ascii="Arial" w:hAnsi="Arial" w:cs="Arial"/>
          <w:sz w:val="24"/>
          <w:szCs w:val="24"/>
        </w:rPr>
        <w:t>Testamant</w:t>
      </w:r>
      <w:proofErr w:type="spellEnd"/>
      <w:r w:rsidR="00BF48E2">
        <w:rPr>
          <w:rFonts w:ascii="Arial" w:hAnsi="Arial" w:cs="Arial"/>
          <w:sz w:val="24"/>
          <w:szCs w:val="24"/>
        </w:rPr>
        <w:t xml:space="preserve"> and</w:t>
      </w:r>
      <w:r>
        <w:rPr>
          <w:rFonts w:ascii="Arial" w:hAnsi="Arial" w:cs="Arial"/>
          <w:sz w:val="24"/>
          <w:szCs w:val="24"/>
        </w:rPr>
        <w:t xml:space="preserve"> I direct the Master to accept it as such.</w:t>
      </w:r>
      <w:r w:rsidRPr="00B66E43">
        <w:rPr>
          <w:rFonts w:ascii="Arial" w:hAnsi="Arial" w:cs="Arial"/>
          <w:sz w:val="24"/>
          <w:szCs w:val="24"/>
        </w:rPr>
        <w:t xml:space="preserve"> </w:t>
      </w:r>
    </w:p>
    <w:p w:rsidR="00C1706B" w:rsidRDefault="00C1706B" w:rsidP="00216680">
      <w:pPr>
        <w:spacing w:after="0" w:line="360" w:lineRule="auto"/>
        <w:jc w:val="both"/>
        <w:rPr>
          <w:rFonts w:ascii="Arial" w:hAnsi="Arial" w:cs="Arial"/>
          <w:sz w:val="24"/>
          <w:szCs w:val="24"/>
        </w:rPr>
      </w:pPr>
    </w:p>
    <w:p w:rsidR="00727E60" w:rsidRPr="00727E60" w:rsidRDefault="00141F9F" w:rsidP="00727E60">
      <w:pPr>
        <w:autoSpaceDE w:val="0"/>
        <w:autoSpaceDN w:val="0"/>
        <w:adjustRightInd w:val="0"/>
        <w:spacing w:after="0" w:line="360" w:lineRule="auto"/>
        <w:jc w:val="both"/>
        <w:rPr>
          <w:rFonts w:ascii="Arial" w:hAnsi="Arial" w:cs="Arial"/>
          <w:sz w:val="24"/>
          <w:szCs w:val="24"/>
        </w:rPr>
      </w:pPr>
      <w:r w:rsidRPr="00727E60">
        <w:rPr>
          <w:rFonts w:ascii="Arial" w:hAnsi="Arial" w:cs="Arial"/>
          <w:sz w:val="24"/>
          <w:szCs w:val="24"/>
        </w:rPr>
        <w:lastRenderedPageBreak/>
        <w:t xml:space="preserve"> </w:t>
      </w:r>
      <w:r w:rsidR="00B66E43" w:rsidRPr="00727E60">
        <w:rPr>
          <w:rFonts w:ascii="Arial" w:hAnsi="Arial" w:cs="Arial"/>
          <w:sz w:val="24"/>
          <w:szCs w:val="24"/>
        </w:rPr>
        <w:t>[34]</w:t>
      </w:r>
      <w:r w:rsidR="00B66E43" w:rsidRPr="00727E60">
        <w:rPr>
          <w:rFonts w:ascii="Arial" w:hAnsi="Arial" w:cs="Arial"/>
          <w:sz w:val="24"/>
          <w:szCs w:val="24"/>
        </w:rPr>
        <w:tab/>
        <w:t xml:space="preserve">The conclusion that I have reached above would </w:t>
      </w:r>
      <w:r w:rsidR="00727E60" w:rsidRPr="00727E60">
        <w:rPr>
          <w:rFonts w:ascii="Arial" w:hAnsi="Arial" w:cs="Arial"/>
          <w:sz w:val="24"/>
          <w:szCs w:val="24"/>
        </w:rPr>
        <w:t>ordinarily mean</w:t>
      </w:r>
      <w:r w:rsidR="00B66E43" w:rsidRPr="00727E60">
        <w:rPr>
          <w:rFonts w:ascii="Arial" w:hAnsi="Arial" w:cs="Arial"/>
          <w:sz w:val="24"/>
          <w:szCs w:val="24"/>
        </w:rPr>
        <w:t xml:space="preserve"> </w:t>
      </w:r>
      <w:r w:rsidR="00727E60" w:rsidRPr="00727E60">
        <w:rPr>
          <w:rFonts w:ascii="Arial" w:hAnsi="Arial" w:cs="Arial"/>
          <w:sz w:val="24"/>
          <w:szCs w:val="24"/>
        </w:rPr>
        <w:t>that</w:t>
      </w:r>
      <w:r w:rsidR="00962193">
        <w:rPr>
          <w:rFonts w:ascii="Arial" w:hAnsi="Arial" w:cs="Arial"/>
          <w:sz w:val="24"/>
          <w:szCs w:val="24"/>
        </w:rPr>
        <w:t xml:space="preserve"> this is the end of the matter. </w:t>
      </w:r>
      <w:r w:rsidR="00B66E43" w:rsidRPr="00727E60">
        <w:rPr>
          <w:rFonts w:ascii="Arial" w:hAnsi="Arial" w:cs="Arial"/>
          <w:sz w:val="24"/>
          <w:szCs w:val="24"/>
        </w:rPr>
        <w:t xml:space="preserve">I am </w:t>
      </w:r>
      <w:r w:rsidR="00962193">
        <w:rPr>
          <w:rFonts w:ascii="Arial" w:hAnsi="Arial" w:cs="Arial"/>
          <w:sz w:val="24"/>
          <w:szCs w:val="24"/>
        </w:rPr>
        <w:t xml:space="preserve">acutely </w:t>
      </w:r>
      <w:r w:rsidR="00B66E43" w:rsidRPr="00727E60">
        <w:rPr>
          <w:rFonts w:ascii="Arial" w:hAnsi="Arial" w:cs="Arial"/>
          <w:sz w:val="24"/>
          <w:szCs w:val="24"/>
        </w:rPr>
        <w:t>alive to the fact that</w:t>
      </w:r>
      <w:r w:rsidR="00727E60" w:rsidRPr="00727E60">
        <w:rPr>
          <w:rFonts w:ascii="Arial" w:hAnsi="Arial" w:cs="Arial"/>
          <w:sz w:val="24"/>
          <w:szCs w:val="24"/>
        </w:rPr>
        <w:t xml:space="preserve"> another Court may come to a different conclusion. I therefore make the following observation. Lord </w:t>
      </w:r>
      <w:proofErr w:type="spellStart"/>
      <w:r w:rsidR="00727E60" w:rsidRPr="00727E60">
        <w:rPr>
          <w:rFonts w:ascii="Arial" w:hAnsi="Arial" w:cs="Arial"/>
          <w:sz w:val="24"/>
          <w:szCs w:val="24"/>
        </w:rPr>
        <w:t>Langdale</w:t>
      </w:r>
      <w:proofErr w:type="spellEnd"/>
      <w:r w:rsidR="00727E60" w:rsidRPr="00727E60">
        <w:rPr>
          <w:rFonts w:ascii="Arial" w:hAnsi="Arial" w:cs="Arial"/>
          <w:sz w:val="24"/>
          <w:szCs w:val="24"/>
        </w:rPr>
        <w:t xml:space="preserve"> MR</w:t>
      </w:r>
      <w:r w:rsidR="00727E60">
        <w:rPr>
          <w:rFonts w:ascii="Arial" w:hAnsi="Arial" w:cs="Arial"/>
          <w:sz w:val="24"/>
          <w:szCs w:val="24"/>
        </w:rPr>
        <w:t xml:space="preserve"> is reported to, so</w:t>
      </w:r>
      <w:r w:rsidR="00962193">
        <w:rPr>
          <w:rFonts w:ascii="Arial" w:hAnsi="Arial" w:cs="Arial"/>
          <w:sz w:val="24"/>
          <w:szCs w:val="24"/>
        </w:rPr>
        <w:t xml:space="preserve">me 181 years ago, </w:t>
      </w:r>
      <w:r w:rsidR="00727E60">
        <w:rPr>
          <w:rFonts w:ascii="Arial" w:hAnsi="Arial" w:cs="Arial"/>
          <w:sz w:val="24"/>
          <w:szCs w:val="24"/>
        </w:rPr>
        <w:t>o</w:t>
      </w:r>
      <w:r w:rsidR="00727E60" w:rsidRPr="00727E60">
        <w:rPr>
          <w:rFonts w:ascii="Arial" w:hAnsi="Arial" w:cs="Arial"/>
          <w:sz w:val="24"/>
          <w:szCs w:val="24"/>
        </w:rPr>
        <w:t>n 23 February 1837</w:t>
      </w:r>
      <w:r w:rsidR="00727E60">
        <w:rPr>
          <w:rFonts w:ascii="Arial" w:hAnsi="Arial" w:cs="Arial"/>
          <w:sz w:val="24"/>
          <w:szCs w:val="24"/>
        </w:rPr>
        <w:t xml:space="preserve">, have </w:t>
      </w:r>
      <w:r w:rsidR="00727E60" w:rsidRPr="00727E60">
        <w:rPr>
          <w:rFonts w:ascii="Arial" w:hAnsi="Arial" w:cs="Arial"/>
          <w:sz w:val="24"/>
          <w:szCs w:val="24"/>
        </w:rPr>
        <w:t>told</w:t>
      </w:r>
      <w:r w:rsidR="00727E60">
        <w:rPr>
          <w:rStyle w:val="FootnoteReference"/>
          <w:rFonts w:ascii="Arial" w:hAnsi="Arial"/>
          <w:sz w:val="24"/>
          <w:szCs w:val="24"/>
        </w:rPr>
        <w:footnoteReference w:id="15"/>
      </w:r>
      <w:r w:rsidR="00727E60" w:rsidRPr="00727E60">
        <w:rPr>
          <w:rFonts w:ascii="Arial" w:hAnsi="Arial" w:cs="Arial"/>
          <w:sz w:val="24"/>
          <w:szCs w:val="24"/>
        </w:rPr>
        <w:t xml:space="preserve"> the House of Lords that –</w:t>
      </w:r>
    </w:p>
    <w:p w:rsidR="00C1706B" w:rsidRDefault="00C1706B" w:rsidP="00C1706B">
      <w:pPr>
        <w:autoSpaceDE w:val="0"/>
        <w:autoSpaceDN w:val="0"/>
        <w:adjustRightInd w:val="0"/>
        <w:spacing w:after="0" w:line="360" w:lineRule="auto"/>
        <w:jc w:val="both"/>
        <w:rPr>
          <w:rFonts w:ascii="Arial" w:hAnsi="Arial" w:cs="Arial"/>
          <w:sz w:val="24"/>
          <w:szCs w:val="24"/>
        </w:rPr>
      </w:pPr>
    </w:p>
    <w:p w:rsidR="00B66E43" w:rsidRDefault="00727E60" w:rsidP="00C1706B">
      <w:pPr>
        <w:autoSpaceDE w:val="0"/>
        <w:autoSpaceDN w:val="0"/>
        <w:adjustRightInd w:val="0"/>
        <w:spacing w:after="0" w:line="360" w:lineRule="auto"/>
        <w:jc w:val="both"/>
        <w:rPr>
          <w:rFonts w:ascii="Arial" w:hAnsi="Arial" w:cs="Arial"/>
          <w:sz w:val="24"/>
          <w:szCs w:val="24"/>
        </w:rPr>
      </w:pPr>
      <w:r w:rsidRPr="0020645A">
        <w:rPr>
          <w:rFonts w:ascii="Arial" w:hAnsi="Arial" w:cs="Arial"/>
        </w:rPr>
        <w:t>‘It is so important to the welfare of families, and to the general interests of the community, that men should be able to dispose of their property by will, and that their lawful intentions should be faithfully carried into execution after their deaths, and the laws under which these objects are to be effected are now attended with so much doubt and perplexity, that I am induced to hope that an attempt to introduce some improvement will not be considered to require any apology.</w:t>
      </w:r>
      <w:r>
        <w:rPr>
          <w:rFonts w:ascii="Arial" w:hAnsi="Arial" w:cs="Arial"/>
          <w:sz w:val="24"/>
          <w:szCs w:val="24"/>
        </w:rPr>
        <w:t>’</w:t>
      </w:r>
      <w:r>
        <w:rPr>
          <w:rStyle w:val="FootnoteReference"/>
          <w:rFonts w:ascii="Arial" w:hAnsi="Arial"/>
          <w:sz w:val="24"/>
          <w:szCs w:val="24"/>
        </w:rPr>
        <w:footnoteReference w:id="16"/>
      </w:r>
    </w:p>
    <w:p w:rsidR="0020645A" w:rsidRDefault="0020645A" w:rsidP="00727E60">
      <w:pPr>
        <w:autoSpaceDE w:val="0"/>
        <w:autoSpaceDN w:val="0"/>
        <w:adjustRightInd w:val="0"/>
        <w:spacing w:after="0" w:line="360" w:lineRule="auto"/>
        <w:ind w:firstLine="720"/>
        <w:jc w:val="both"/>
        <w:rPr>
          <w:rFonts w:ascii="Arial" w:hAnsi="Arial" w:cs="Arial"/>
          <w:sz w:val="24"/>
          <w:szCs w:val="24"/>
        </w:rPr>
      </w:pPr>
    </w:p>
    <w:p w:rsidR="00455036" w:rsidRDefault="00482F20" w:rsidP="0045503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[35</w:t>
      </w:r>
      <w:r w:rsidR="0020645A" w:rsidRPr="00455036">
        <w:rPr>
          <w:rFonts w:ascii="Arial" w:hAnsi="Arial" w:cs="Arial"/>
          <w:sz w:val="24"/>
          <w:szCs w:val="24"/>
        </w:rPr>
        <w:t>]</w:t>
      </w:r>
      <w:r w:rsidR="0020645A" w:rsidRPr="00455036">
        <w:rPr>
          <w:rFonts w:ascii="Arial" w:hAnsi="Arial" w:cs="Arial"/>
          <w:sz w:val="24"/>
          <w:szCs w:val="24"/>
        </w:rPr>
        <w:tab/>
        <w:t xml:space="preserve">Even today where the Constitution </w:t>
      </w:r>
      <w:r w:rsidR="00962193">
        <w:rPr>
          <w:rFonts w:ascii="Arial" w:hAnsi="Arial" w:cs="Arial"/>
          <w:sz w:val="24"/>
          <w:szCs w:val="24"/>
        </w:rPr>
        <w:t>endorses</w:t>
      </w:r>
      <w:r w:rsidR="0020645A" w:rsidRPr="00455036">
        <w:rPr>
          <w:rFonts w:ascii="Arial" w:hAnsi="Arial" w:cs="Arial"/>
          <w:sz w:val="24"/>
          <w:szCs w:val="24"/>
        </w:rPr>
        <w:t xml:space="preserve"> that the recognition of the inalienable rights of all members of the human family is indispensable</w:t>
      </w:r>
      <w:r w:rsidR="009B0E48">
        <w:rPr>
          <w:rFonts w:ascii="Arial" w:hAnsi="Arial" w:cs="Arial"/>
          <w:sz w:val="24"/>
          <w:szCs w:val="24"/>
        </w:rPr>
        <w:t xml:space="preserve"> for freedom, justice and peace, </w:t>
      </w:r>
      <w:r w:rsidR="0020645A" w:rsidRPr="00455036">
        <w:rPr>
          <w:rFonts w:ascii="Arial" w:hAnsi="Arial" w:cs="Arial"/>
          <w:sz w:val="24"/>
          <w:szCs w:val="24"/>
        </w:rPr>
        <w:t>our succession laws</w:t>
      </w:r>
      <w:r w:rsidR="00455036">
        <w:rPr>
          <w:rFonts w:ascii="Arial" w:hAnsi="Arial" w:cs="Arial"/>
          <w:sz w:val="24"/>
          <w:szCs w:val="24"/>
        </w:rPr>
        <w:t xml:space="preserve">, particularly the 1953 Wills Act, </w:t>
      </w:r>
      <w:r w:rsidR="0020645A" w:rsidRPr="00455036">
        <w:rPr>
          <w:rFonts w:ascii="Arial" w:hAnsi="Arial" w:cs="Arial"/>
          <w:sz w:val="24"/>
          <w:szCs w:val="24"/>
        </w:rPr>
        <w:t xml:space="preserve">continue to frustrate the </w:t>
      </w:r>
      <w:r w:rsidR="0020645A" w:rsidRPr="00455036">
        <w:rPr>
          <w:rFonts w:ascii="Arial" w:hAnsi="Arial" w:cs="Arial"/>
          <w:i/>
          <w:iCs/>
          <w:sz w:val="24"/>
          <w:szCs w:val="24"/>
        </w:rPr>
        <w:t xml:space="preserve">‘lawful intentions’ </w:t>
      </w:r>
      <w:r w:rsidR="00962193">
        <w:rPr>
          <w:rFonts w:ascii="Arial" w:hAnsi="Arial" w:cs="Arial"/>
          <w:sz w:val="24"/>
          <w:szCs w:val="24"/>
        </w:rPr>
        <w:t xml:space="preserve">of testators, </w:t>
      </w:r>
      <w:r w:rsidR="0020645A" w:rsidRPr="00455036">
        <w:rPr>
          <w:rFonts w:ascii="Arial" w:hAnsi="Arial" w:cs="Arial"/>
          <w:sz w:val="24"/>
          <w:szCs w:val="24"/>
        </w:rPr>
        <w:t xml:space="preserve">thus violating some of the </w:t>
      </w:r>
      <w:r w:rsidR="00455036">
        <w:rPr>
          <w:rFonts w:ascii="Arial" w:hAnsi="Arial" w:cs="Arial"/>
          <w:sz w:val="24"/>
          <w:szCs w:val="24"/>
        </w:rPr>
        <w:t xml:space="preserve">fundamental human </w:t>
      </w:r>
      <w:r w:rsidR="0020645A" w:rsidRPr="00455036">
        <w:rPr>
          <w:rFonts w:ascii="Arial" w:hAnsi="Arial" w:cs="Arial"/>
          <w:sz w:val="24"/>
          <w:szCs w:val="24"/>
        </w:rPr>
        <w:t xml:space="preserve">rights guaranteed by the Constitution. </w:t>
      </w:r>
    </w:p>
    <w:p w:rsidR="00455036" w:rsidRDefault="00455036" w:rsidP="00455036">
      <w:pPr>
        <w:autoSpaceDE w:val="0"/>
        <w:autoSpaceDN w:val="0"/>
        <w:adjustRightInd w:val="0"/>
        <w:spacing w:after="0" w:line="360" w:lineRule="auto"/>
        <w:jc w:val="both"/>
        <w:rPr>
          <w:rFonts w:ascii="Arial" w:hAnsi="Arial" w:cs="Arial"/>
          <w:sz w:val="24"/>
          <w:szCs w:val="24"/>
        </w:rPr>
      </w:pPr>
    </w:p>
    <w:p w:rsidR="00395F30" w:rsidRDefault="00482F20" w:rsidP="0045503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[36</w:t>
      </w:r>
      <w:r w:rsidR="00455036">
        <w:rPr>
          <w:rFonts w:ascii="Arial" w:hAnsi="Arial" w:cs="Arial"/>
          <w:sz w:val="24"/>
          <w:szCs w:val="24"/>
        </w:rPr>
        <w:t>]</w:t>
      </w:r>
      <w:r w:rsidR="00455036">
        <w:rPr>
          <w:rFonts w:ascii="Arial" w:hAnsi="Arial" w:cs="Arial"/>
          <w:sz w:val="24"/>
          <w:szCs w:val="24"/>
        </w:rPr>
        <w:tab/>
      </w:r>
      <w:r w:rsidR="0020645A" w:rsidRPr="00455036">
        <w:rPr>
          <w:rFonts w:ascii="Arial" w:hAnsi="Arial" w:cs="Arial"/>
          <w:sz w:val="24"/>
          <w:szCs w:val="24"/>
        </w:rPr>
        <w:t>This case therefore brings to the fore the need to reform the 1953 Wills Act. South Africa</w:t>
      </w:r>
      <w:r w:rsidR="00455036">
        <w:rPr>
          <w:rFonts w:ascii="Arial" w:hAnsi="Arial" w:cs="Arial"/>
          <w:sz w:val="24"/>
          <w:szCs w:val="24"/>
        </w:rPr>
        <w:t xml:space="preserve"> </w:t>
      </w:r>
      <w:r w:rsidR="009B0E48">
        <w:rPr>
          <w:rFonts w:ascii="Arial" w:hAnsi="Arial" w:cs="Arial"/>
          <w:sz w:val="24"/>
          <w:szCs w:val="24"/>
        </w:rPr>
        <w:t xml:space="preserve">and Zimbabwe, </w:t>
      </w:r>
      <w:r w:rsidR="00455036" w:rsidRPr="00455036">
        <w:rPr>
          <w:rFonts w:ascii="Arial" w:hAnsi="Arial" w:cs="Arial"/>
          <w:sz w:val="24"/>
          <w:szCs w:val="24"/>
        </w:rPr>
        <w:t>who’s</w:t>
      </w:r>
      <w:r w:rsidR="0020645A" w:rsidRPr="00455036">
        <w:rPr>
          <w:rFonts w:ascii="Arial" w:hAnsi="Arial" w:cs="Arial"/>
          <w:sz w:val="24"/>
          <w:szCs w:val="24"/>
        </w:rPr>
        <w:t xml:space="preserve"> Wills Acts were also modelled on the English </w:t>
      </w:r>
      <w:r w:rsidR="00455036" w:rsidRPr="00455036">
        <w:rPr>
          <w:rFonts w:ascii="Arial" w:hAnsi="Arial" w:cs="Arial"/>
          <w:sz w:val="24"/>
          <w:szCs w:val="24"/>
        </w:rPr>
        <w:t>Wills Act of 1837 have</w:t>
      </w:r>
      <w:r w:rsidR="00455036">
        <w:rPr>
          <w:rFonts w:ascii="Arial" w:hAnsi="Arial" w:cs="Arial"/>
          <w:sz w:val="24"/>
          <w:szCs w:val="24"/>
        </w:rPr>
        <w:t>, in 1992 and 1998 respectively,</w:t>
      </w:r>
      <w:r w:rsidR="00455036" w:rsidRPr="00455036">
        <w:rPr>
          <w:rFonts w:ascii="Arial" w:hAnsi="Arial" w:cs="Arial"/>
          <w:sz w:val="24"/>
          <w:szCs w:val="24"/>
        </w:rPr>
        <w:t xml:space="preserve"> addressed the evil of frustrating a testator’s</w:t>
      </w:r>
      <w:r w:rsidR="00C232C8">
        <w:rPr>
          <w:rFonts w:ascii="Arial" w:hAnsi="Arial" w:cs="Arial"/>
          <w:sz w:val="24"/>
          <w:szCs w:val="24"/>
        </w:rPr>
        <w:t xml:space="preserve"> or testatrix’s</w:t>
      </w:r>
      <w:r w:rsidR="00455036" w:rsidRPr="00455036">
        <w:rPr>
          <w:rFonts w:ascii="Arial" w:hAnsi="Arial" w:cs="Arial"/>
          <w:sz w:val="24"/>
          <w:szCs w:val="24"/>
        </w:rPr>
        <w:t xml:space="preserve"> </w:t>
      </w:r>
      <w:r w:rsidR="0020645A" w:rsidRPr="00455036">
        <w:rPr>
          <w:rFonts w:ascii="Arial" w:hAnsi="Arial" w:cs="Arial"/>
          <w:sz w:val="24"/>
          <w:szCs w:val="24"/>
        </w:rPr>
        <w:t>true wishes</w:t>
      </w:r>
      <w:r w:rsidR="00455036">
        <w:rPr>
          <w:rFonts w:ascii="Arial" w:hAnsi="Arial" w:cs="Arial"/>
          <w:sz w:val="24"/>
          <w:szCs w:val="24"/>
        </w:rPr>
        <w:t>.</w:t>
      </w:r>
      <w:r w:rsidR="0020645A" w:rsidRPr="00455036">
        <w:rPr>
          <w:rFonts w:ascii="Arial" w:hAnsi="Arial" w:cs="Arial"/>
          <w:sz w:val="24"/>
          <w:szCs w:val="24"/>
        </w:rPr>
        <w:t xml:space="preserve"> </w:t>
      </w:r>
      <w:r w:rsidR="00455036" w:rsidRPr="00455036">
        <w:rPr>
          <w:rFonts w:ascii="Arial" w:hAnsi="Arial" w:cs="Arial"/>
          <w:sz w:val="24"/>
          <w:szCs w:val="24"/>
        </w:rPr>
        <w:t>This</w:t>
      </w:r>
      <w:r w:rsidR="00455036">
        <w:rPr>
          <w:rFonts w:ascii="Arial" w:hAnsi="Arial" w:cs="Arial"/>
          <w:sz w:val="24"/>
          <w:szCs w:val="24"/>
        </w:rPr>
        <w:t xml:space="preserve"> they have done by </w:t>
      </w:r>
      <w:r w:rsidR="00455036" w:rsidRPr="00455036">
        <w:rPr>
          <w:rFonts w:ascii="Arial" w:hAnsi="Arial" w:cs="Arial"/>
          <w:sz w:val="24"/>
          <w:szCs w:val="24"/>
        </w:rPr>
        <w:t>introduc</w:t>
      </w:r>
      <w:r w:rsidR="00455036">
        <w:rPr>
          <w:rFonts w:ascii="Arial" w:hAnsi="Arial" w:cs="Arial"/>
          <w:sz w:val="24"/>
          <w:szCs w:val="24"/>
        </w:rPr>
        <w:t>ing</w:t>
      </w:r>
      <w:r w:rsidR="00455036" w:rsidRPr="00455036">
        <w:rPr>
          <w:rFonts w:ascii="Arial" w:hAnsi="Arial" w:cs="Arial"/>
          <w:sz w:val="24"/>
          <w:szCs w:val="24"/>
        </w:rPr>
        <w:t xml:space="preserve"> a ‘dispensing power’ where a court would </w:t>
      </w:r>
      <w:r w:rsidR="00395F30">
        <w:rPr>
          <w:rFonts w:ascii="Arial" w:hAnsi="Arial" w:cs="Arial"/>
          <w:sz w:val="24"/>
          <w:szCs w:val="24"/>
        </w:rPr>
        <w:t xml:space="preserve">have the discretion to admit </w:t>
      </w:r>
      <w:r w:rsidR="00455036" w:rsidRPr="00455036">
        <w:rPr>
          <w:rFonts w:ascii="Arial" w:hAnsi="Arial" w:cs="Arial"/>
          <w:sz w:val="24"/>
          <w:szCs w:val="24"/>
        </w:rPr>
        <w:t xml:space="preserve">a document claiming to be </w:t>
      </w:r>
      <w:r w:rsidR="00F535E1">
        <w:rPr>
          <w:rFonts w:ascii="Arial" w:hAnsi="Arial" w:cs="Arial"/>
          <w:sz w:val="24"/>
          <w:szCs w:val="24"/>
        </w:rPr>
        <w:t xml:space="preserve">a </w:t>
      </w:r>
      <w:r w:rsidR="00455036" w:rsidRPr="00455036">
        <w:rPr>
          <w:rFonts w:ascii="Arial" w:hAnsi="Arial" w:cs="Arial"/>
          <w:sz w:val="24"/>
          <w:szCs w:val="24"/>
        </w:rPr>
        <w:t>will, even if the 1837 Act formalities had not been complied with.</w:t>
      </w:r>
      <w:r w:rsidR="00455036">
        <w:rPr>
          <w:rFonts w:ascii="Arial" w:hAnsi="Arial" w:cs="Arial"/>
          <w:sz w:val="24"/>
          <w:szCs w:val="24"/>
        </w:rPr>
        <w:t xml:space="preserve"> </w:t>
      </w:r>
    </w:p>
    <w:p w:rsidR="00395F30" w:rsidRDefault="00395F30" w:rsidP="00455036">
      <w:pPr>
        <w:autoSpaceDE w:val="0"/>
        <w:autoSpaceDN w:val="0"/>
        <w:adjustRightInd w:val="0"/>
        <w:spacing w:after="0" w:line="360" w:lineRule="auto"/>
        <w:jc w:val="both"/>
        <w:rPr>
          <w:rFonts w:ascii="Arial" w:hAnsi="Arial" w:cs="Arial"/>
          <w:sz w:val="24"/>
          <w:szCs w:val="24"/>
        </w:rPr>
      </w:pPr>
    </w:p>
    <w:p w:rsidR="0020645A" w:rsidRDefault="00395F30" w:rsidP="0045503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55036">
        <w:rPr>
          <w:rFonts w:ascii="Arial" w:hAnsi="Arial" w:cs="Arial"/>
          <w:sz w:val="24"/>
          <w:szCs w:val="24"/>
        </w:rPr>
        <w:t xml:space="preserve">I therefore strongly recommend </w:t>
      </w:r>
      <w:r>
        <w:rPr>
          <w:rFonts w:ascii="Arial" w:hAnsi="Arial" w:cs="Arial"/>
          <w:sz w:val="24"/>
          <w:szCs w:val="24"/>
        </w:rPr>
        <w:t xml:space="preserve">that </w:t>
      </w:r>
      <w:r w:rsidR="00455036">
        <w:rPr>
          <w:rFonts w:ascii="Arial" w:hAnsi="Arial" w:cs="Arial"/>
          <w:sz w:val="24"/>
          <w:szCs w:val="24"/>
        </w:rPr>
        <w:t>the Law Refo</w:t>
      </w:r>
      <w:r>
        <w:rPr>
          <w:rFonts w:ascii="Arial" w:hAnsi="Arial" w:cs="Arial"/>
          <w:sz w:val="24"/>
          <w:szCs w:val="24"/>
        </w:rPr>
        <w:t>rm and Development Commission</w:t>
      </w:r>
      <w:r w:rsidR="00455036">
        <w:rPr>
          <w:rFonts w:ascii="Arial" w:hAnsi="Arial" w:cs="Arial"/>
          <w:sz w:val="24"/>
          <w:szCs w:val="24"/>
        </w:rPr>
        <w:t xml:space="preserve"> investigate the possibility of revising the Wills Act</w:t>
      </w:r>
      <w:r w:rsidR="00141F9F">
        <w:rPr>
          <w:rFonts w:ascii="Arial" w:hAnsi="Arial" w:cs="Arial"/>
          <w:sz w:val="24"/>
          <w:szCs w:val="24"/>
        </w:rPr>
        <w:t>, 1953</w:t>
      </w:r>
      <w:r w:rsidR="00455036">
        <w:rPr>
          <w:rFonts w:ascii="Arial" w:hAnsi="Arial" w:cs="Arial"/>
          <w:sz w:val="24"/>
          <w:szCs w:val="24"/>
        </w:rPr>
        <w:t xml:space="preserve"> so as to address the violation </w:t>
      </w:r>
      <w:r w:rsidR="00F535E1">
        <w:rPr>
          <w:rFonts w:ascii="Arial" w:hAnsi="Arial" w:cs="Arial"/>
          <w:sz w:val="24"/>
          <w:szCs w:val="24"/>
        </w:rPr>
        <w:t xml:space="preserve">of </w:t>
      </w:r>
      <w:r w:rsidR="00455036">
        <w:rPr>
          <w:rFonts w:ascii="Arial" w:hAnsi="Arial" w:cs="Arial"/>
          <w:sz w:val="24"/>
          <w:szCs w:val="24"/>
        </w:rPr>
        <w:t xml:space="preserve">the fundamental human rights that may be caused by the </w:t>
      </w:r>
      <w:r>
        <w:rPr>
          <w:rFonts w:ascii="Arial" w:hAnsi="Arial" w:cs="Arial"/>
          <w:sz w:val="24"/>
          <w:szCs w:val="24"/>
        </w:rPr>
        <w:t xml:space="preserve">strict and unyielding </w:t>
      </w:r>
      <w:r w:rsidR="00455036">
        <w:rPr>
          <w:rFonts w:ascii="Arial" w:hAnsi="Arial" w:cs="Arial"/>
          <w:sz w:val="24"/>
          <w:szCs w:val="24"/>
        </w:rPr>
        <w:t xml:space="preserve">interpretation of the 1953 Wills Act. </w:t>
      </w:r>
    </w:p>
    <w:p w:rsidR="00455036" w:rsidRDefault="00455036" w:rsidP="00455036">
      <w:pPr>
        <w:autoSpaceDE w:val="0"/>
        <w:autoSpaceDN w:val="0"/>
        <w:adjustRightInd w:val="0"/>
        <w:spacing w:after="0" w:line="360" w:lineRule="auto"/>
        <w:jc w:val="both"/>
        <w:rPr>
          <w:rFonts w:ascii="Arial" w:hAnsi="Arial" w:cs="Arial"/>
          <w:sz w:val="24"/>
          <w:szCs w:val="24"/>
        </w:rPr>
      </w:pPr>
    </w:p>
    <w:p w:rsidR="00004425" w:rsidRDefault="00482F20" w:rsidP="0045503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004425">
        <w:rPr>
          <w:rFonts w:ascii="Arial" w:hAnsi="Arial" w:cs="Arial"/>
          <w:sz w:val="24"/>
          <w:szCs w:val="24"/>
        </w:rPr>
        <w:t>8</w:t>
      </w:r>
      <w:r w:rsidR="00372272">
        <w:rPr>
          <w:rFonts w:ascii="Arial" w:hAnsi="Arial" w:cs="Arial"/>
          <w:sz w:val="24"/>
          <w:szCs w:val="24"/>
        </w:rPr>
        <w:t>]</w:t>
      </w:r>
      <w:r w:rsidR="00372272">
        <w:rPr>
          <w:rFonts w:ascii="Arial" w:hAnsi="Arial" w:cs="Arial"/>
          <w:sz w:val="24"/>
          <w:szCs w:val="24"/>
        </w:rPr>
        <w:tab/>
        <w:t xml:space="preserve">The only issue that remains for determination is the question of costs. The first general rule is that </w:t>
      </w:r>
      <w:r w:rsidR="00395F30">
        <w:rPr>
          <w:rFonts w:ascii="Arial" w:hAnsi="Arial" w:cs="Arial"/>
          <w:sz w:val="24"/>
          <w:szCs w:val="24"/>
        </w:rPr>
        <w:t xml:space="preserve">the question of </w:t>
      </w:r>
      <w:r w:rsidR="00372272">
        <w:rPr>
          <w:rFonts w:ascii="Arial" w:hAnsi="Arial" w:cs="Arial"/>
          <w:sz w:val="24"/>
          <w:szCs w:val="24"/>
        </w:rPr>
        <w:t>costs is in the di</w:t>
      </w:r>
      <w:r w:rsidR="00F535E1">
        <w:rPr>
          <w:rFonts w:ascii="Arial" w:hAnsi="Arial" w:cs="Arial"/>
          <w:sz w:val="24"/>
          <w:szCs w:val="24"/>
        </w:rPr>
        <w:t xml:space="preserve">scretion of the Court and </w:t>
      </w:r>
      <w:r w:rsidR="00372272">
        <w:rPr>
          <w:rFonts w:ascii="Arial" w:hAnsi="Arial" w:cs="Arial"/>
          <w:sz w:val="24"/>
          <w:szCs w:val="24"/>
        </w:rPr>
        <w:t xml:space="preserve">the other </w:t>
      </w:r>
      <w:r w:rsidR="00372272">
        <w:rPr>
          <w:rFonts w:ascii="Arial" w:hAnsi="Arial" w:cs="Arial"/>
          <w:sz w:val="24"/>
          <w:szCs w:val="24"/>
        </w:rPr>
        <w:lastRenderedPageBreak/>
        <w:t xml:space="preserve">general rule is that costs follow the cause. I am of the view that the Master did not act </w:t>
      </w:r>
      <w:proofErr w:type="spellStart"/>
      <w:r w:rsidR="00372272">
        <w:rPr>
          <w:rFonts w:ascii="Arial" w:hAnsi="Arial" w:cs="Arial"/>
          <w:sz w:val="24"/>
          <w:szCs w:val="24"/>
        </w:rPr>
        <w:t>vexatiously</w:t>
      </w:r>
      <w:proofErr w:type="spellEnd"/>
      <w:r w:rsidR="00372272">
        <w:rPr>
          <w:rFonts w:ascii="Arial" w:hAnsi="Arial" w:cs="Arial"/>
          <w:sz w:val="24"/>
          <w:szCs w:val="24"/>
        </w:rPr>
        <w:t xml:space="preserve"> or frivolousl</w:t>
      </w:r>
      <w:r w:rsidR="00395F30">
        <w:rPr>
          <w:rFonts w:ascii="Arial" w:hAnsi="Arial" w:cs="Arial"/>
          <w:sz w:val="24"/>
          <w:szCs w:val="24"/>
        </w:rPr>
        <w:t>y when she opposed this matter</w:t>
      </w:r>
      <w:r w:rsidR="00004425">
        <w:rPr>
          <w:rFonts w:ascii="Arial" w:hAnsi="Arial" w:cs="Arial"/>
          <w:sz w:val="24"/>
          <w:szCs w:val="24"/>
        </w:rPr>
        <w:t xml:space="preserve"> she was actually applying the law as it stands</w:t>
      </w:r>
      <w:r w:rsidR="00395F30">
        <w:rPr>
          <w:rFonts w:ascii="Arial" w:hAnsi="Arial" w:cs="Arial"/>
          <w:sz w:val="24"/>
          <w:szCs w:val="24"/>
        </w:rPr>
        <w:t xml:space="preserve">. </w:t>
      </w:r>
      <w:r w:rsidR="00372272">
        <w:rPr>
          <w:rFonts w:ascii="Arial" w:hAnsi="Arial" w:cs="Arial"/>
          <w:sz w:val="24"/>
          <w:szCs w:val="24"/>
        </w:rPr>
        <w:t xml:space="preserve">I am therefore of the view that </w:t>
      </w:r>
      <w:r w:rsidR="00004425">
        <w:rPr>
          <w:rFonts w:ascii="Arial" w:hAnsi="Arial" w:cs="Arial"/>
          <w:sz w:val="24"/>
          <w:szCs w:val="24"/>
        </w:rPr>
        <w:t xml:space="preserve">it will be unfair to mulct the </w:t>
      </w:r>
      <w:r w:rsidR="00372272">
        <w:rPr>
          <w:rFonts w:ascii="Arial" w:hAnsi="Arial" w:cs="Arial"/>
          <w:sz w:val="24"/>
          <w:szCs w:val="24"/>
        </w:rPr>
        <w:t xml:space="preserve">Master </w:t>
      </w:r>
      <w:r w:rsidR="00004425">
        <w:rPr>
          <w:rFonts w:ascii="Arial" w:hAnsi="Arial" w:cs="Arial"/>
          <w:sz w:val="24"/>
          <w:szCs w:val="24"/>
        </w:rPr>
        <w:t>with the</w:t>
      </w:r>
      <w:r w:rsidR="00372272">
        <w:rPr>
          <w:rFonts w:ascii="Arial" w:hAnsi="Arial" w:cs="Arial"/>
          <w:sz w:val="24"/>
          <w:szCs w:val="24"/>
        </w:rPr>
        <w:t xml:space="preserve"> cost</w:t>
      </w:r>
      <w:r w:rsidR="00F535E1">
        <w:rPr>
          <w:rFonts w:ascii="Arial" w:hAnsi="Arial" w:cs="Arial"/>
          <w:sz w:val="24"/>
          <w:szCs w:val="24"/>
        </w:rPr>
        <w:t>s</w:t>
      </w:r>
      <w:r w:rsidR="00372272">
        <w:rPr>
          <w:rFonts w:ascii="Arial" w:hAnsi="Arial" w:cs="Arial"/>
          <w:sz w:val="24"/>
          <w:szCs w:val="24"/>
        </w:rPr>
        <w:t xml:space="preserve"> of th</w:t>
      </w:r>
      <w:r w:rsidR="00004425">
        <w:rPr>
          <w:rFonts w:ascii="Arial" w:hAnsi="Arial" w:cs="Arial"/>
          <w:sz w:val="24"/>
          <w:szCs w:val="24"/>
        </w:rPr>
        <w:t>is</w:t>
      </w:r>
      <w:r w:rsidR="00372272">
        <w:rPr>
          <w:rFonts w:ascii="Arial" w:hAnsi="Arial" w:cs="Arial"/>
          <w:sz w:val="24"/>
          <w:szCs w:val="24"/>
        </w:rPr>
        <w:t xml:space="preserve"> application. </w:t>
      </w:r>
    </w:p>
    <w:p w:rsidR="00004425" w:rsidRDefault="00004425" w:rsidP="00455036">
      <w:pPr>
        <w:autoSpaceDE w:val="0"/>
        <w:autoSpaceDN w:val="0"/>
        <w:adjustRightInd w:val="0"/>
        <w:spacing w:after="0" w:line="360" w:lineRule="auto"/>
        <w:jc w:val="both"/>
        <w:rPr>
          <w:rFonts w:ascii="Arial" w:hAnsi="Arial" w:cs="Arial"/>
          <w:sz w:val="24"/>
          <w:szCs w:val="24"/>
        </w:rPr>
      </w:pPr>
    </w:p>
    <w:p w:rsidR="00372272" w:rsidRDefault="00004425" w:rsidP="0045503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72272">
        <w:rPr>
          <w:rFonts w:ascii="Arial" w:hAnsi="Arial" w:cs="Arial"/>
          <w:sz w:val="24"/>
          <w:szCs w:val="24"/>
        </w:rPr>
        <w:t>I the</w:t>
      </w:r>
      <w:r w:rsidR="000E19D1">
        <w:rPr>
          <w:rFonts w:ascii="Arial" w:hAnsi="Arial" w:cs="Arial"/>
          <w:sz w:val="24"/>
          <w:szCs w:val="24"/>
        </w:rPr>
        <w:t>refore make the following order:</w:t>
      </w:r>
    </w:p>
    <w:p w:rsidR="00372272" w:rsidRPr="00372272" w:rsidRDefault="00372272" w:rsidP="00455036">
      <w:pPr>
        <w:autoSpaceDE w:val="0"/>
        <w:autoSpaceDN w:val="0"/>
        <w:adjustRightInd w:val="0"/>
        <w:spacing w:after="0" w:line="360" w:lineRule="auto"/>
        <w:jc w:val="both"/>
        <w:rPr>
          <w:rFonts w:ascii="Arial" w:hAnsi="Arial" w:cs="Arial"/>
          <w:sz w:val="24"/>
          <w:szCs w:val="24"/>
        </w:rPr>
      </w:pPr>
    </w:p>
    <w:p w:rsidR="00372272" w:rsidRPr="00372272" w:rsidRDefault="00372272" w:rsidP="00372272">
      <w:pPr>
        <w:pStyle w:val="Heading1"/>
        <w:tabs>
          <w:tab w:val="left" w:pos="720"/>
        </w:tabs>
        <w:spacing w:before="0" w:after="0" w:line="360" w:lineRule="auto"/>
        <w:jc w:val="both"/>
        <w:rPr>
          <w:rFonts w:ascii="Arial" w:hAnsi="Arial" w:cs="Arial"/>
          <w:b w:val="0"/>
          <w:sz w:val="24"/>
          <w:szCs w:val="24"/>
        </w:rPr>
      </w:pPr>
      <w:r w:rsidRPr="00372272">
        <w:rPr>
          <w:rFonts w:ascii="Arial" w:hAnsi="Arial" w:cs="Arial"/>
          <w:b w:val="0"/>
          <w:sz w:val="24"/>
          <w:szCs w:val="24"/>
        </w:rPr>
        <w:t>1</w:t>
      </w:r>
      <w:r w:rsidRPr="00372272">
        <w:rPr>
          <w:rFonts w:ascii="Arial" w:hAnsi="Arial" w:cs="Arial"/>
          <w:b w:val="0"/>
          <w:sz w:val="24"/>
          <w:szCs w:val="24"/>
        </w:rPr>
        <w:tab/>
      </w:r>
      <w:r>
        <w:rPr>
          <w:rFonts w:ascii="Arial" w:hAnsi="Arial" w:cs="Arial"/>
          <w:b w:val="0"/>
          <w:sz w:val="24"/>
          <w:szCs w:val="24"/>
        </w:rPr>
        <w:t>The</w:t>
      </w:r>
      <w:r w:rsidRPr="00372272">
        <w:rPr>
          <w:rFonts w:ascii="Arial" w:hAnsi="Arial" w:cs="Arial"/>
          <w:b w:val="0"/>
          <w:sz w:val="24"/>
          <w:szCs w:val="24"/>
        </w:rPr>
        <w:t xml:space="preserve"> testamentary document executed on 02 February 2017 by the late Linea </w:t>
      </w:r>
      <w:proofErr w:type="spellStart"/>
      <w:r w:rsidRPr="00372272">
        <w:rPr>
          <w:rFonts w:ascii="Arial" w:hAnsi="Arial" w:cs="Arial"/>
          <w:b w:val="0"/>
          <w:sz w:val="24"/>
          <w:szCs w:val="24"/>
        </w:rPr>
        <w:t>Peneyambeko</w:t>
      </w:r>
      <w:proofErr w:type="spellEnd"/>
      <w:r w:rsidRPr="00372272">
        <w:rPr>
          <w:rFonts w:ascii="Arial" w:hAnsi="Arial" w:cs="Arial"/>
          <w:b w:val="0"/>
          <w:sz w:val="24"/>
          <w:szCs w:val="24"/>
        </w:rPr>
        <w:t xml:space="preserve"> </w:t>
      </w:r>
      <w:proofErr w:type="spellStart"/>
      <w:r w:rsidRPr="00372272">
        <w:rPr>
          <w:rFonts w:ascii="Arial" w:hAnsi="Arial" w:cs="Arial"/>
          <w:b w:val="0"/>
          <w:sz w:val="24"/>
          <w:szCs w:val="24"/>
        </w:rPr>
        <w:t>Nuugwedha</w:t>
      </w:r>
      <w:proofErr w:type="spellEnd"/>
      <w:r w:rsidRPr="00372272">
        <w:rPr>
          <w:rFonts w:ascii="Arial" w:hAnsi="Arial" w:cs="Arial"/>
          <w:b w:val="0"/>
          <w:sz w:val="24"/>
          <w:szCs w:val="24"/>
        </w:rPr>
        <w:t xml:space="preserve"> who died on 03 February 2017, a copy of which is appended to the </w:t>
      </w:r>
      <w:r>
        <w:rPr>
          <w:rFonts w:ascii="Arial" w:hAnsi="Arial" w:cs="Arial"/>
          <w:b w:val="0"/>
          <w:sz w:val="24"/>
          <w:szCs w:val="24"/>
        </w:rPr>
        <w:t>a</w:t>
      </w:r>
      <w:r w:rsidRPr="00372272">
        <w:rPr>
          <w:rFonts w:ascii="Arial" w:hAnsi="Arial" w:cs="Arial"/>
          <w:b w:val="0"/>
          <w:sz w:val="24"/>
          <w:szCs w:val="24"/>
        </w:rPr>
        <w:t xml:space="preserve">ffidavit of Gina </w:t>
      </w:r>
      <w:proofErr w:type="spellStart"/>
      <w:r w:rsidRPr="00372272">
        <w:rPr>
          <w:rFonts w:ascii="Arial" w:hAnsi="Arial" w:cs="Arial"/>
          <w:b w:val="0"/>
          <w:sz w:val="24"/>
          <w:szCs w:val="24"/>
        </w:rPr>
        <w:t>Nelao</w:t>
      </w:r>
      <w:proofErr w:type="spellEnd"/>
      <w:r w:rsidRPr="00372272">
        <w:rPr>
          <w:rFonts w:ascii="Arial" w:hAnsi="Arial" w:cs="Arial"/>
          <w:b w:val="0"/>
          <w:sz w:val="24"/>
          <w:szCs w:val="24"/>
        </w:rPr>
        <w:t xml:space="preserve"> </w:t>
      </w:r>
      <w:proofErr w:type="spellStart"/>
      <w:r w:rsidRPr="00372272">
        <w:rPr>
          <w:rFonts w:ascii="Arial" w:hAnsi="Arial" w:cs="Arial"/>
          <w:b w:val="0"/>
          <w:sz w:val="24"/>
          <w:szCs w:val="24"/>
        </w:rPr>
        <w:t>Wetutala</w:t>
      </w:r>
      <w:proofErr w:type="spellEnd"/>
      <w:r w:rsidRPr="00372272">
        <w:rPr>
          <w:rFonts w:ascii="Arial" w:hAnsi="Arial" w:cs="Arial"/>
          <w:b w:val="0"/>
          <w:sz w:val="24"/>
          <w:szCs w:val="24"/>
        </w:rPr>
        <w:t xml:space="preserve"> </w:t>
      </w:r>
      <w:proofErr w:type="spellStart"/>
      <w:r w:rsidRPr="00372272">
        <w:rPr>
          <w:rFonts w:ascii="Arial" w:hAnsi="Arial" w:cs="Arial"/>
          <w:b w:val="0"/>
          <w:sz w:val="24"/>
          <w:szCs w:val="24"/>
        </w:rPr>
        <w:t>Mwoombola</w:t>
      </w:r>
      <w:proofErr w:type="spellEnd"/>
      <w:r w:rsidRPr="00372272">
        <w:rPr>
          <w:rFonts w:ascii="Arial" w:hAnsi="Arial" w:cs="Arial"/>
          <w:b w:val="0"/>
          <w:sz w:val="24"/>
          <w:szCs w:val="24"/>
        </w:rPr>
        <w:t xml:space="preserve"> as Annexure A, is declared to </w:t>
      </w:r>
      <w:r>
        <w:rPr>
          <w:rFonts w:ascii="Arial" w:hAnsi="Arial" w:cs="Arial"/>
          <w:b w:val="0"/>
          <w:sz w:val="24"/>
          <w:szCs w:val="24"/>
        </w:rPr>
        <w:t xml:space="preserve">be her valid </w:t>
      </w:r>
      <w:r w:rsidRPr="00372272">
        <w:rPr>
          <w:rFonts w:ascii="Arial" w:hAnsi="Arial" w:cs="Arial"/>
          <w:b w:val="0"/>
          <w:sz w:val="24"/>
          <w:szCs w:val="24"/>
        </w:rPr>
        <w:t>Will.</w:t>
      </w:r>
    </w:p>
    <w:p w:rsidR="00372272" w:rsidRPr="00372272" w:rsidRDefault="00372272" w:rsidP="00372272">
      <w:pPr>
        <w:jc w:val="both"/>
        <w:rPr>
          <w:sz w:val="24"/>
          <w:szCs w:val="24"/>
        </w:rPr>
      </w:pPr>
    </w:p>
    <w:p w:rsidR="00372272" w:rsidRPr="00372272" w:rsidRDefault="00372272" w:rsidP="00372272">
      <w:pPr>
        <w:pStyle w:val="Heading2"/>
        <w:tabs>
          <w:tab w:val="left" w:pos="720"/>
        </w:tabs>
        <w:spacing w:line="360" w:lineRule="auto"/>
        <w:jc w:val="both"/>
        <w:rPr>
          <w:rFonts w:ascii="Arial" w:hAnsi="Arial" w:cs="Arial"/>
          <w:b w:val="0"/>
          <w:i w:val="0"/>
          <w:sz w:val="24"/>
          <w:szCs w:val="24"/>
        </w:rPr>
      </w:pPr>
      <w:r w:rsidRPr="00BE2DCC">
        <w:rPr>
          <w:rFonts w:ascii="Arial" w:hAnsi="Arial" w:cs="Arial"/>
          <w:b w:val="0"/>
          <w:i w:val="0"/>
          <w:sz w:val="24"/>
          <w:szCs w:val="24"/>
        </w:rPr>
        <w:t>2</w:t>
      </w:r>
      <w:r w:rsidRPr="00BE2DCC">
        <w:rPr>
          <w:rFonts w:ascii="Arial" w:hAnsi="Arial" w:cs="Arial"/>
          <w:b w:val="0"/>
          <w:i w:val="0"/>
          <w:sz w:val="24"/>
          <w:szCs w:val="24"/>
        </w:rPr>
        <w:tab/>
        <w:t xml:space="preserve">The Master of the High Court </w:t>
      </w:r>
      <w:r w:rsidR="00BE2DCC" w:rsidRPr="00BE2DCC">
        <w:rPr>
          <w:rFonts w:ascii="Arial" w:hAnsi="Arial" w:cs="Arial"/>
          <w:b w:val="0"/>
          <w:i w:val="0"/>
          <w:sz w:val="24"/>
          <w:szCs w:val="24"/>
        </w:rPr>
        <w:t>of Namibia</w:t>
      </w:r>
      <w:r w:rsidRPr="00BE2DCC">
        <w:rPr>
          <w:rFonts w:ascii="Arial" w:hAnsi="Arial" w:cs="Arial"/>
          <w:b w:val="0"/>
          <w:i w:val="0"/>
          <w:sz w:val="24"/>
          <w:szCs w:val="24"/>
        </w:rPr>
        <w:t xml:space="preserve"> is directed to accept </w:t>
      </w:r>
      <w:r w:rsidR="00BE2DCC" w:rsidRPr="00BE2DCC">
        <w:rPr>
          <w:rFonts w:ascii="Arial" w:hAnsi="Arial" w:cs="Arial"/>
          <w:b w:val="0"/>
          <w:i w:val="0"/>
          <w:sz w:val="24"/>
          <w:szCs w:val="24"/>
        </w:rPr>
        <w:t xml:space="preserve">and register </w:t>
      </w:r>
      <w:r w:rsidRPr="00BE2DCC">
        <w:rPr>
          <w:rFonts w:ascii="Arial" w:hAnsi="Arial" w:cs="Arial"/>
          <w:b w:val="0"/>
          <w:i w:val="0"/>
          <w:sz w:val="24"/>
          <w:szCs w:val="24"/>
        </w:rPr>
        <w:t xml:space="preserve">the testamentary document </w:t>
      </w:r>
      <w:r w:rsidR="00BE2DCC" w:rsidRPr="00BE2DCC">
        <w:rPr>
          <w:rFonts w:ascii="Arial" w:hAnsi="Arial" w:cs="Arial"/>
          <w:b w:val="0"/>
          <w:i w:val="0"/>
          <w:sz w:val="24"/>
          <w:szCs w:val="24"/>
        </w:rPr>
        <w:t xml:space="preserve">referred to in paragraph 1 of this order </w:t>
      </w:r>
      <w:r w:rsidRPr="00BE2DCC">
        <w:rPr>
          <w:rFonts w:ascii="Arial" w:hAnsi="Arial" w:cs="Arial"/>
          <w:b w:val="0"/>
          <w:i w:val="0"/>
          <w:sz w:val="24"/>
          <w:szCs w:val="24"/>
        </w:rPr>
        <w:t xml:space="preserve">as </w:t>
      </w:r>
      <w:r w:rsidR="00BE2DCC" w:rsidRPr="00BE2DCC">
        <w:rPr>
          <w:rFonts w:ascii="Arial" w:hAnsi="Arial" w:cs="Arial"/>
          <w:b w:val="0"/>
          <w:i w:val="0"/>
          <w:sz w:val="24"/>
          <w:szCs w:val="24"/>
        </w:rPr>
        <w:t xml:space="preserve">the valid </w:t>
      </w:r>
      <w:r w:rsidRPr="00BE2DCC">
        <w:rPr>
          <w:rFonts w:ascii="Arial" w:hAnsi="Arial" w:cs="Arial"/>
          <w:b w:val="0"/>
          <w:i w:val="0"/>
          <w:sz w:val="24"/>
          <w:szCs w:val="24"/>
        </w:rPr>
        <w:t>Will</w:t>
      </w:r>
      <w:r w:rsidR="00BE2DCC" w:rsidRPr="00BE2DCC">
        <w:rPr>
          <w:rFonts w:ascii="Arial" w:hAnsi="Arial" w:cs="Arial"/>
          <w:b w:val="0"/>
          <w:i w:val="0"/>
          <w:sz w:val="24"/>
          <w:szCs w:val="24"/>
        </w:rPr>
        <w:t xml:space="preserve"> and last Testament of the late Linea </w:t>
      </w:r>
      <w:proofErr w:type="spellStart"/>
      <w:r w:rsidR="00BE2DCC" w:rsidRPr="00BE2DCC">
        <w:rPr>
          <w:rFonts w:ascii="Arial" w:hAnsi="Arial" w:cs="Arial"/>
          <w:b w:val="0"/>
          <w:i w:val="0"/>
          <w:sz w:val="24"/>
          <w:szCs w:val="24"/>
        </w:rPr>
        <w:t>Peneyambeko</w:t>
      </w:r>
      <w:proofErr w:type="spellEnd"/>
      <w:r w:rsidR="00BE2DCC" w:rsidRPr="00BE2DCC">
        <w:rPr>
          <w:rFonts w:ascii="Arial" w:hAnsi="Arial" w:cs="Arial"/>
          <w:b w:val="0"/>
          <w:i w:val="0"/>
          <w:sz w:val="24"/>
          <w:szCs w:val="24"/>
        </w:rPr>
        <w:t xml:space="preserve"> </w:t>
      </w:r>
      <w:proofErr w:type="spellStart"/>
      <w:r w:rsidR="00BE2DCC" w:rsidRPr="00BE2DCC">
        <w:rPr>
          <w:rFonts w:ascii="Arial" w:hAnsi="Arial" w:cs="Arial"/>
          <w:b w:val="0"/>
          <w:i w:val="0"/>
          <w:sz w:val="24"/>
          <w:szCs w:val="24"/>
        </w:rPr>
        <w:t>Nuugwedha</w:t>
      </w:r>
      <w:proofErr w:type="spellEnd"/>
      <w:r w:rsidRPr="00BE2DCC">
        <w:rPr>
          <w:rFonts w:ascii="Arial" w:hAnsi="Arial" w:cs="Arial"/>
          <w:b w:val="0"/>
          <w:i w:val="0"/>
          <w:sz w:val="24"/>
          <w:szCs w:val="24"/>
        </w:rPr>
        <w:t xml:space="preserve"> for purposes of the Administration of Estates Act 66 of 1965</w:t>
      </w:r>
      <w:r w:rsidRPr="00372272">
        <w:rPr>
          <w:rFonts w:ascii="Arial" w:hAnsi="Arial" w:cs="Arial"/>
          <w:b w:val="0"/>
          <w:i w:val="0"/>
          <w:sz w:val="24"/>
          <w:szCs w:val="24"/>
        </w:rPr>
        <w:t>.</w:t>
      </w:r>
    </w:p>
    <w:p w:rsidR="00372272" w:rsidRPr="00372272" w:rsidRDefault="00372272" w:rsidP="00372272">
      <w:pPr>
        <w:pStyle w:val="Heading2"/>
        <w:tabs>
          <w:tab w:val="left" w:pos="540"/>
        </w:tabs>
        <w:spacing w:line="360" w:lineRule="auto"/>
        <w:jc w:val="both"/>
        <w:rPr>
          <w:rFonts w:ascii="Arial" w:hAnsi="Arial" w:cs="Arial"/>
          <w:b w:val="0"/>
          <w:i w:val="0"/>
          <w:sz w:val="24"/>
          <w:szCs w:val="24"/>
        </w:rPr>
      </w:pPr>
    </w:p>
    <w:p w:rsidR="00372272" w:rsidRDefault="00BE2DCC" w:rsidP="00455036">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3</w:t>
      </w:r>
      <w:r>
        <w:rPr>
          <w:rFonts w:ascii="Arial" w:hAnsi="Arial" w:cs="Arial"/>
          <w:sz w:val="24"/>
          <w:szCs w:val="24"/>
          <w:lang w:eastAsia="en-GB"/>
        </w:rPr>
        <w:tab/>
        <w:t xml:space="preserve">The </w:t>
      </w:r>
      <w:r w:rsidRPr="00E91391">
        <w:rPr>
          <w:rFonts w:ascii="Arial" w:hAnsi="Arial" w:cs="Arial"/>
          <w:sz w:val="24"/>
          <w:szCs w:val="24"/>
          <w:lang w:eastAsia="en-GB"/>
        </w:rPr>
        <w:t xml:space="preserve">Chief Registrar must provide a copy of this judgment for the personal attention of the </w:t>
      </w:r>
      <w:r>
        <w:rPr>
          <w:rFonts w:ascii="Arial" w:hAnsi="Arial" w:cs="Arial"/>
          <w:sz w:val="24"/>
          <w:szCs w:val="24"/>
          <w:lang w:eastAsia="en-GB"/>
        </w:rPr>
        <w:t xml:space="preserve">Chairperson </w:t>
      </w:r>
      <w:r w:rsidR="00F535E1">
        <w:rPr>
          <w:rFonts w:ascii="Arial" w:hAnsi="Arial" w:cs="Arial"/>
          <w:sz w:val="24"/>
          <w:szCs w:val="24"/>
          <w:lang w:eastAsia="en-GB"/>
        </w:rPr>
        <w:t xml:space="preserve">of </w:t>
      </w:r>
      <w:r>
        <w:rPr>
          <w:rFonts w:ascii="Arial" w:hAnsi="Arial" w:cs="Arial"/>
          <w:sz w:val="24"/>
          <w:szCs w:val="24"/>
          <w:lang w:eastAsia="en-GB"/>
        </w:rPr>
        <w:t>Law Reform and Development Commission for her to investigate the issues raised in this judgment.</w:t>
      </w:r>
    </w:p>
    <w:p w:rsidR="00BE2DCC" w:rsidRDefault="00BE2DCC" w:rsidP="00455036">
      <w:pPr>
        <w:autoSpaceDE w:val="0"/>
        <w:autoSpaceDN w:val="0"/>
        <w:adjustRightInd w:val="0"/>
        <w:spacing w:after="0" w:line="360" w:lineRule="auto"/>
        <w:jc w:val="both"/>
        <w:rPr>
          <w:rFonts w:ascii="Arial" w:hAnsi="Arial" w:cs="Arial"/>
          <w:sz w:val="24"/>
          <w:szCs w:val="24"/>
          <w:lang w:eastAsia="en-GB"/>
        </w:rPr>
      </w:pPr>
    </w:p>
    <w:p w:rsidR="00BE2DCC" w:rsidRDefault="00BE2DCC" w:rsidP="00455036">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4</w:t>
      </w:r>
      <w:r>
        <w:rPr>
          <w:rFonts w:ascii="Arial" w:hAnsi="Arial" w:cs="Arial"/>
          <w:sz w:val="24"/>
          <w:szCs w:val="24"/>
          <w:lang w:eastAsia="en-GB"/>
        </w:rPr>
        <w:tab/>
        <w:t>The Master of the High Court of Namibia must pay the applicants’ costs of this application.</w:t>
      </w:r>
    </w:p>
    <w:p w:rsidR="00BE2DCC" w:rsidRDefault="00BE2DCC" w:rsidP="00455036">
      <w:pPr>
        <w:autoSpaceDE w:val="0"/>
        <w:autoSpaceDN w:val="0"/>
        <w:adjustRightInd w:val="0"/>
        <w:spacing w:after="0" w:line="360" w:lineRule="auto"/>
        <w:jc w:val="both"/>
        <w:rPr>
          <w:rFonts w:ascii="Arial" w:hAnsi="Arial" w:cs="Arial"/>
          <w:sz w:val="24"/>
          <w:szCs w:val="24"/>
          <w:lang w:eastAsia="en-GB"/>
        </w:rPr>
      </w:pPr>
    </w:p>
    <w:p w:rsidR="001B7E1F" w:rsidRPr="006E026B" w:rsidRDefault="001B7E1F" w:rsidP="00216680">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C1706B" w:rsidP="00216680">
      <w:pPr>
        <w:spacing w:after="0" w:line="360" w:lineRule="auto"/>
        <w:jc w:val="right"/>
        <w:rPr>
          <w:rFonts w:ascii="Arial" w:hAnsi="Arial" w:cs="Arial"/>
          <w:sz w:val="24"/>
          <w:szCs w:val="24"/>
        </w:rPr>
      </w:pPr>
      <w:r>
        <w:rPr>
          <w:rFonts w:ascii="Arial" w:hAnsi="Arial" w:cs="Arial"/>
          <w:sz w:val="24"/>
          <w:szCs w:val="24"/>
        </w:rPr>
        <w:t xml:space="preserve">S F I </w:t>
      </w:r>
      <w:proofErr w:type="spellStart"/>
      <w:r>
        <w:rPr>
          <w:rFonts w:ascii="Arial" w:hAnsi="Arial" w:cs="Arial"/>
          <w:sz w:val="24"/>
          <w:szCs w:val="24"/>
        </w:rPr>
        <w:t>Ueitele</w:t>
      </w:r>
      <w:proofErr w:type="spellEnd"/>
      <w:r w:rsidR="00BE2DCC">
        <w:rPr>
          <w:rFonts w:ascii="Arial" w:hAnsi="Arial" w:cs="Arial"/>
          <w:sz w:val="24"/>
          <w:szCs w:val="24"/>
        </w:rPr>
        <w:t xml:space="preserve"> </w:t>
      </w:r>
    </w:p>
    <w:p w:rsidR="001B7E1F" w:rsidRPr="006E026B" w:rsidRDefault="00741B0B" w:rsidP="00216680">
      <w:pPr>
        <w:spacing w:after="0" w:line="360" w:lineRule="auto"/>
        <w:jc w:val="right"/>
        <w:rPr>
          <w:rFonts w:ascii="Arial" w:hAnsi="Arial" w:cs="Arial"/>
          <w:sz w:val="24"/>
          <w:szCs w:val="24"/>
        </w:rPr>
      </w:pPr>
      <w:r>
        <w:rPr>
          <w:rFonts w:ascii="Arial" w:hAnsi="Arial" w:cs="Arial"/>
          <w:sz w:val="24"/>
          <w:szCs w:val="24"/>
        </w:rPr>
        <w:t>Judge</w:t>
      </w:r>
    </w:p>
    <w:p w:rsidR="00883358" w:rsidRDefault="00883358" w:rsidP="00216680">
      <w:pPr>
        <w:pStyle w:val="BodyText"/>
        <w:autoSpaceDE w:val="0"/>
        <w:autoSpaceDN w:val="0"/>
        <w:adjustRightInd w:val="0"/>
        <w:spacing w:line="360" w:lineRule="auto"/>
        <w:jc w:val="both"/>
        <w:rPr>
          <w:rFonts w:ascii="Arial" w:hAnsi="Arial" w:cs="Arial"/>
        </w:rPr>
      </w:pPr>
    </w:p>
    <w:p w:rsidR="00234F07" w:rsidRDefault="00234F07" w:rsidP="00216680">
      <w:pPr>
        <w:pStyle w:val="BodyText"/>
        <w:autoSpaceDE w:val="0"/>
        <w:autoSpaceDN w:val="0"/>
        <w:adjustRightInd w:val="0"/>
        <w:spacing w:line="360" w:lineRule="auto"/>
        <w:jc w:val="both"/>
        <w:rPr>
          <w:rFonts w:ascii="Arial" w:hAnsi="Arial" w:cs="Arial"/>
        </w:rPr>
      </w:pPr>
    </w:p>
    <w:p w:rsidR="00BE2DCC" w:rsidRDefault="00BE2DCC">
      <w:pPr>
        <w:spacing w:after="0" w:line="240" w:lineRule="auto"/>
        <w:rPr>
          <w:rFonts w:ascii="Arial" w:eastAsia="Times New Roman" w:hAnsi="Arial" w:cs="Arial"/>
          <w:sz w:val="24"/>
          <w:szCs w:val="24"/>
          <w:lang w:val="en-GB"/>
        </w:rPr>
      </w:pPr>
      <w:r>
        <w:rPr>
          <w:rFonts w:ascii="Arial" w:hAnsi="Arial" w:cs="Arial"/>
        </w:rPr>
        <w:br w:type="page"/>
      </w:r>
    </w:p>
    <w:p w:rsidR="001B7E1F" w:rsidRPr="00C1706B" w:rsidRDefault="001B7E1F" w:rsidP="00216680">
      <w:pPr>
        <w:pStyle w:val="BodyText"/>
        <w:autoSpaceDE w:val="0"/>
        <w:autoSpaceDN w:val="0"/>
        <w:adjustRightInd w:val="0"/>
        <w:spacing w:line="360" w:lineRule="auto"/>
        <w:jc w:val="both"/>
        <w:rPr>
          <w:rFonts w:ascii="Arial" w:hAnsi="Arial" w:cs="Arial"/>
        </w:rPr>
      </w:pPr>
      <w:r w:rsidRPr="00C1706B">
        <w:rPr>
          <w:rFonts w:ascii="Arial" w:hAnsi="Arial" w:cs="Arial"/>
        </w:rPr>
        <w:lastRenderedPageBreak/>
        <w:t>APPEARANCES</w:t>
      </w:r>
      <w:r w:rsidR="00F535E1" w:rsidRPr="00C1706B">
        <w:rPr>
          <w:rFonts w:ascii="Arial" w:hAnsi="Arial" w:cs="Arial"/>
        </w:rPr>
        <w:t>:</w:t>
      </w:r>
    </w:p>
    <w:p w:rsidR="001B7E1F" w:rsidRPr="00C1706B" w:rsidRDefault="001B7E1F" w:rsidP="00216680">
      <w:pPr>
        <w:pStyle w:val="BodyText"/>
        <w:autoSpaceDE w:val="0"/>
        <w:autoSpaceDN w:val="0"/>
        <w:adjustRightInd w:val="0"/>
        <w:spacing w:line="360" w:lineRule="auto"/>
        <w:jc w:val="both"/>
        <w:rPr>
          <w:rFonts w:ascii="Arial" w:hAnsi="Arial" w:cs="Arial"/>
        </w:rPr>
      </w:pPr>
    </w:p>
    <w:p w:rsidR="001B7E1F" w:rsidRPr="00C1706B" w:rsidRDefault="005F473C" w:rsidP="00216680">
      <w:pPr>
        <w:tabs>
          <w:tab w:val="left" w:pos="1394"/>
          <w:tab w:val="left" w:pos="2528"/>
          <w:tab w:val="left" w:pos="3780"/>
        </w:tabs>
        <w:spacing w:after="0" w:line="360" w:lineRule="auto"/>
        <w:jc w:val="both"/>
        <w:rPr>
          <w:rFonts w:ascii="Arial" w:hAnsi="Arial" w:cs="Arial"/>
          <w:sz w:val="24"/>
          <w:szCs w:val="24"/>
        </w:rPr>
      </w:pPr>
      <w:r w:rsidRPr="00C1706B">
        <w:rPr>
          <w:rFonts w:ascii="Arial" w:hAnsi="Arial" w:cs="Arial"/>
          <w:sz w:val="24"/>
          <w:szCs w:val="24"/>
        </w:rPr>
        <w:t>APPLICANT</w:t>
      </w:r>
      <w:r w:rsidR="00F535E1" w:rsidRPr="00C1706B">
        <w:rPr>
          <w:rFonts w:ascii="Arial" w:hAnsi="Arial" w:cs="Arial"/>
          <w:sz w:val="24"/>
          <w:szCs w:val="24"/>
        </w:rPr>
        <w:t>S</w:t>
      </w:r>
      <w:r w:rsidRPr="00C1706B">
        <w:rPr>
          <w:rFonts w:ascii="Arial" w:hAnsi="Arial" w:cs="Arial"/>
          <w:sz w:val="24"/>
          <w:szCs w:val="24"/>
        </w:rPr>
        <w:t>:</w:t>
      </w:r>
      <w:r w:rsidR="001B7E1F" w:rsidRPr="00C1706B">
        <w:rPr>
          <w:rFonts w:ascii="Arial" w:hAnsi="Arial" w:cs="Arial"/>
          <w:sz w:val="24"/>
          <w:szCs w:val="24"/>
        </w:rPr>
        <w:t xml:space="preserve"> </w:t>
      </w:r>
      <w:r w:rsidR="00204C96" w:rsidRPr="00C1706B">
        <w:rPr>
          <w:rFonts w:ascii="Arial" w:hAnsi="Arial" w:cs="Arial"/>
          <w:sz w:val="24"/>
          <w:szCs w:val="24"/>
        </w:rPr>
        <w:tab/>
      </w:r>
      <w:r w:rsidR="001B7E1F" w:rsidRPr="00C1706B">
        <w:rPr>
          <w:rFonts w:ascii="Arial" w:hAnsi="Arial" w:cs="Arial"/>
          <w:sz w:val="24"/>
          <w:szCs w:val="24"/>
        </w:rPr>
        <w:t xml:space="preserve">               </w:t>
      </w:r>
      <w:r w:rsidR="001B7E1F" w:rsidRPr="00C1706B">
        <w:rPr>
          <w:rFonts w:ascii="Arial" w:hAnsi="Arial" w:cs="Arial"/>
          <w:sz w:val="24"/>
          <w:szCs w:val="24"/>
        </w:rPr>
        <w:tab/>
      </w:r>
      <w:r w:rsidR="00BE2DCC" w:rsidRPr="00C1706B">
        <w:rPr>
          <w:rFonts w:ascii="Arial" w:hAnsi="Arial" w:cs="Arial"/>
          <w:sz w:val="24"/>
          <w:szCs w:val="24"/>
        </w:rPr>
        <w:t xml:space="preserve">E M </w:t>
      </w:r>
      <w:proofErr w:type="spellStart"/>
      <w:r w:rsidR="00BE2DCC" w:rsidRPr="00C1706B">
        <w:rPr>
          <w:rFonts w:ascii="Arial" w:hAnsi="Arial" w:cs="Arial"/>
          <w:sz w:val="24"/>
          <w:szCs w:val="24"/>
        </w:rPr>
        <w:t>Angula</w:t>
      </w:r>
      <w:proofErr w:type="spellEnd"/>
      <w:r w:rsidR="00BE2DCC" w:rsidRPr="00C1706B">
        <w:rPr>
          <w:rFonts w:ascii="Arial" w:hAnsi="Arial" w:cs="Arial"/>
          <w:sz w:val="24"/>
          <w:szCs w:val="24"/>
        </w:rPr>
        <w:t xml:space="preserve"> </w:t>
      </w:r>
      <w:r w:rsidR="001B7E1F" w:rsidRPr="00C1706B">
        <w:rPr>
          <w:rFonts w:ascii="Arial" w:hAnsi="Arial" w:cs="Arial"/>
          <w:sz w:val="24"/>
          <w:szCs w:val="24"/>
        </w:rPr>
        <w:t xml:space="preserve"> </w:t>
      </w:r>
    </w:p>
    <w:p w:rsidR="001B7E1F" w:rsidRPr="00C1706B" w:rsidRDefault="00C1706B" w:rsidP="00216680">
      <w:pPr>
        <w:autoSpaceDE w:val="0"/>
        <w:autoSpaceDN w:val="0"/>
        <w:adjustRightInd w:val="0"/>
        <w:spacing w:after="0" w:line="360" w:lineRule="auto"/>
        <w:ind w:left="3780"/>
        <w:jc w:val="both"/>
        <w:rPr>
          <w:rFonts w:ascii="Arial" w:hAnsi="Arial" w:cs="Arial"/>
          <w:sz w:val="24"/>
          <w:szCs w:val="24"/>
        </w:rPr>
      </w:pPr>
      <w:proofErr w:type="spellStart"/>
      <w:r>
        <w:rPr>
          <w:rFonts w:ascii="Arial" w:hAnsi="Arial" w:cs="Arial"/>
          <w:sz w:val="24"/>
          <w:szCs w:val="24"/>
        </w:rPr>
        <w:t>AngulaCo</w:t>
      </w:r>
      <w:proofErr w:type="spellEnd"/>
      <w:r>
        <w:rPr>
          <w:rFonts w:ascii="Arial" w:hAnsi="Arial" w:cs="Arial"/>
          <w:sz w:val="24"/>
          <w:szCs w:val="24"/>
        </w:rPr>
        <w:t xml:space="preserve"> Inc.</w:t>
      </w:r>
      <w:r w:rsidR="008203F4" w:rsidRPr="00C1706B">
        <w:rPr>
          <w:rFonts w:ascii="Arial" w:hAnsi="Arial" w:cs="Arial"/>
          <w:sz w:val="24"/>
          <w:szCs w:val="24"/>
        </w:rPr>
        <w:t>,</w:t>
      </w:r>
      <w:r w:rsidR="005F1286" w:rsidRPr="00C1706B">
        <w:rPr>
          <w:rFonts w:ascii="Arial" w:hAnsi="Arial" w:cs="Arial"/>
          <w:sz w:val="24"/>
          <w:szCs w:val="24"/>
        </w:rPr>
        <w:t xml:space="preserve"> </w:t>
      </w:r>
      <w:r w:rsidR="001B7E1F" w:rsidRPr="00C1706B">
        <w:rPr>
          <w:rFonts w:ascii="Arial" w:hAnsi="Arial" w:cs="Arial"/>
          <w:sz w:val="24"/>
          <w:szCs w:val="24"/>
        </w:rPr>
        <w:t>Windhoek.</w:t>
      </w:r>
    </w:p>
    <w:p w:rsidR="001B7E1F" w:rsidRPr="00C1706B" w:rsidRDefault="001B7E1F" w:rsidP="00216680">
      <w:pPr>
        <w:autoSpaceDE w:val="0"/>
        <w:autoSpaceDN w:val="0"/>
        <w:adjustRightInd w:val="0"/>
        <w:spacing w:after="0" w:line="360" w:lineRule="auto"/>
        <w:ind w:left="3780" w:hanging="3780"/>
        <w:jc w:val="both"/>
        <w:rPr>
          <w:rFonts w:ascii="Arial" w:hAnsi="Arial" w:cs="Arial"/>
          <w:sz w:val="24"/>
          <w:szCs w:val="24"/>
        </w:rPr>
      </w:pPr>
    </w:p>
    <w:p w:rsidR="001B7E1F" w:rsidRDefault="005F1286" w:rsidP="00216680">
      <w:pPr>
        <w:autoSpaceDE w:val="0"/>
        <w:autoSpaceDN w:val="0"/>
        <w:adjustRightInd w:val="0"/>
        <w:spacing w:after="0" w:line="360" w:lineRule="auto"/>
        <w:ind w:left="3780" w:hanging="3780"/>
        <w:jc w:val="both"/>
        <w:rPr>
          <w:rFonts w:ascii="Arial" w:hAnsi="Arial" w:cs="Arial"/>
          <w:sz w:val="24"/>
          <w:szCs w:val="24"/>
        </w:rPr>
      </w:pPr>
      <w:r w:rsidRPr="00C1706B">
        <w:rPr>
          <w:rFonts w:ascii="Arial" w:hAnsi="Arial" w:cs="Arial"/>
          <w:sz w:val="24"/>
          <w:szCs w:val="24"/>
        </w:rPr>
        <w:t>RESPONDENT</w:t>
      </w:r>
      <w:r w:rsidR="001B7E1F" w:rsidRPr="00C1706B">
        <w:rPr>
          <w:rFonts w:ascii="Arial" w:hAnsi="Arial" w:cs="Arial"/>
          <w:sz w:val="24"/>
          <w:szCs w:val="24"/>
        </w:rPr>
        <w:t>:</w:t>
      </w:r>
      <w:r w:rsidR="001B7E1F" w:rsidRPr="000E7777">
        <w:rPr>
          <w:rFonts w:ascii="Arial" w:hAnsi="Arial" w:cs="Arial"/>
          <w:sz w:val="24"/>
          <w:szCs w:val="24"/>
        </w:rPr>
        <w:tab/>
      </w:r>
      <w:r w:rsidR="00BE2DCC">
        <w:rPr>
          <w:rFonts w:ascii="Arial" w:hAnsi="Arial" w:cs="Arial"/>
          <w:sz w:val="24"/>
          <w:szCs w:val="24"/>
        </w:rPr>
        <w:t xml:space="preserve">L </w:t>
      </w:r>
      <w:proofErr w:type="spellStart"/>
      <w:r w:rsidR="00BE2DCC">
        <w:rPr>
          <w:rFonts w:ascii="Arial" w:hAnsi="Arial" w:cs="Arial"/>
          <w:sz w:val="24"/>
          <w:szCs w:val="24"/>
        </w:rPr>
        <w:t>Tibinyane</w:t>
      </w:r>
      <w:proofErr w:type="spellEnd"/>
    </w:p>
    <w:p w:rsidR="00D26F59" w:rsidRPr="004F7672" w:rsidRDefault="00D26F59" w:rsidP="00216680">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BE2DCC">
        <w:rPr>
          <w:rFonts w:ascii="Arial" w:hAnsi="Arial" w:cs="Arial"/>
          <w:sz w:val="24"/>
          <w:szCs w:val="24"/>
        </w:rPr>
        <w:t xml:space="preserve">Government </w:t>
      </w:r>
      <w:r>
        <w:rPr>
          <w:rFonts w:ascii="Arial" w:hAnsi="Arial" w:cs="Arial"/>
          <w:sz w:val="24"/>
          <w:szCs w:val="24"/>
        </w:rPr>
        <w:t>Attorneys, Windhoek</w:t>
      </w:r>
      <w:bookmarkStart w:id="0" w:name="_GoBack"/>
      <w:bookmarkEnd w:id="0"/>
    </w:p>
    <w:p w:rsidR="009F703D" w:rsidRPr="00206691" w:rsidRDefault="009F703D" w:rsidP="009F703D">
      <w:pPr>
        <w:spacing w:after="0" w:line="360" w:lineRule="auto"/>
        <w:jc w:val="both"/>
        <w:rPr>
          <w:rFonts w:ascii="Arial" w:hAnsi="Arial" w:cs="Arial"/>
          <w:sz w:val="24"/>
          <w:szCs w:val="24"/>
        </w:rPr>
      </w:pPr>
    </w:p>
    <w:sectPr w:rsidR="009F703D" w:rsidRPr="00206691"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A4" w:rsidRDefault="00F756A4" w:rsidP="00741B0B">
      <w:pPr>
        <w:spacing w:after="0" w:line="240" w:lineRule="auto"/>
      </w:pPr>
      <w:r>
        <w:separator/>
      </w:r>
    </w:p>
  </w:endnote>
  <w:endnote w:type="continuationSeparator" w:id="0">
    <w:p w:rsidR="00F756A4" w:rsidRDefault="00F756A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A4" w:rsidRDefault="00F756A4" w:rsidP="00741B0B">
      <w:pPr>
        <w:spacing w:after="0" w:line="240" w:lineRule="auto"/>
      </w:pPr>
      <w:r>
        <w:separator/>
      </w:r>
    </w:p>
  </w:footnote>
  <w:footnote w:type="continuationSeparator" w:id="0">
    <w:p w:rsidR="00F756A4" w:rsidRDefault="00F756A4" w:rsidP="00741B0B">
      <w:pPr>
        <w:spacing w:after="0" w:line="240" w:lineRule="auto"/>
      </w:pPr>
      <w:r>
        <w:continuationSeparator/>
      </w:r>
    </w:p>
  </w:footnote>
  <w:footnote w:id="1">
    <w:p w:rsidR="009C4189" w:rsidRPr="00A86413" w:rsidRDefault="009C4189" w:rsidP="00454C1D">
      <w:pPr>
        <w:pStyle w:val="FootnoteText"/>
        <w:tabs>
          <w:tab w:val="left" w:pos="360"/>
        </w:tabs>
        <w:jc w:val="both"/>
        <w:rPr>
          <w:sz w:val="20"/>
          <w:szCs w:val="20"/>
        </w:rPr>
      </w:pPr>
      <w:r w:rsidRPr="00A86413">
        <w:rPr>
          <w:rStyle w:val="FootnoteReference"/>
          <w:sz w:val="20"/>
          <w:szCs w:val="20"/>
        </w:rPr>
        <w:footnoteRef/>
      </w:r>
      <w:r w:rsidRPr="00A86413">
        <w:rPr>
          <w:sz w:val="20"/>
          <w:szCs w:val="20"/>
        </w:rPr>
        <w:t xml:space="preserve"> </w:t>
      </w:r>
      <w:r w:rsidRPr="00A86413">
        <w:rPr>
          <w:sz w:val="20"/>
          <w:szCs w:val="20"/>
        </w:rPr>
        <w:tab/>
      </w:r>
      <w:r w:rsidRPr="00A86413">
        <w:rPr>
          <w:rFonts w:cs="Arial"/>
          <w:sz w:val="20"/>
          <w:szCs w:val="20"/>
        </w:rPr>
        <w:t xml:space="preserve">(1861) 8 HL </w:t>
      </w:r>
      <w:proofErr w:type="spellStart"/>
      <w:proofErr w:type="gramStart"/>
      <w:r w:rsidRPr="00A86413">
        <w:rPr>
          <w:rFonts w:cs="Arial"/>
          <w:sz w:val="20"/>
          <w:szCs w:val="20"/>
        </w:rPr>
        <w:t>Cas</w:t>
      </w:r>
      <w:proofErr w:type="spellEnd"/>
      <w:proofErr w:type="gramEnd"/>
      <w:r w:rsidRPr="00A86413">
        <w:rPr>
          <w:rFonts w:cs="Arial"/>
          <w:sz w:val="20"/>
          <w:szCs w:val="20"/>
        </w:rPr>
        <w:t xml:space="preserve"> 160 (11 ER 388).</w:t>
      </w:r>
    </w:p>
  </w:footnote>
  <w:footnote w:id="2">
    <w:p w:rsidR="009C4189" w:rsidRPr="00454C1D" w:rsidRDefault="009C4189" w:rsidP="00454C1D">
      <w:pPr>
        <w:pStyle w:val="FootnoteText"/>
        <w:tabs>
          <w:tab w:val="left" w:pos="360"/>
        </w:tabs>
        <w:jc w:val="both"/>
        <w:rPr>
          <w:sz w:val="20"/>
          <w:szCs w:val="20"/>
        </w:rPr>
      </w:pPr>
      <w:r w:rsidRPr="00454C1D">
        <w:rPr>
          <w:rStyle w:val="FootnoteReference"/>
          <w:sz w:val="20"/>
          <w:szCs w:val="20"/>
        </w:rPr>
        <w:footnoteRef/>
      </w:r>
      <w:r w:rsidRPr="00454C1D">
        <w:rPr>
          <w:sz w:val="20"/>
          <w:szCs w:val="20"/>
        </w:rPr>
        <w:t xml:space="preserve"> </w:t>
      </w:r>
      <w:r w:rsidRPr="00454C1D">
        <w:rPr>
          <w:sz w:val="20"/>
          <w:szCs w:val="20"/>
        </w:rPr>
        <w:tab/>
      </w:r>
      <w:r w:rsidR="004B07B7" w:rsidRPr="00454C1D">
        <w:rPr>
          <w:rFonts w:cs="Arial"/>
          <w:sz w:val="20"/>
          <w:szCs w:val="20"/>
          <w:lang w:val="en-GB"/>
        </w:rPr>
        <w:t>The Wills Act, 1953 (</w:t>
      </w:r>
      <w:r w:rsidRPr="00454C1D">
        <w:rPr>
          <w:rFonts w:cs="Arial"/>
          <w:sz w:val="20"/>
          <w:szCs w:val="20"/>
          <w:lang w:val="en-GB"/>
        </w:rPr>
        <w:t>Act No. 7 of 1953).</w:t>
      </w:r>
    </w:p>
  </w:footnote>
  <w:footnote w:id="3">
    <w:p w:rsidR="009C4189" w:rsidRPr="00FC333D" w:rsidRDefault="009C4189" w:rsidP="00454C1D">
      <w:pPr>
        <w:pStyle w:val="FootnoteText"/>
        <w:tabs>
          <w:tab w:val="left" w:pos="360"/>
        </w:tabs>
        <w:ind w:left="360" w:hanging="360"/>
        <w:jc w:val="both"/>
        <w:rPr>
          <w:sz w:val="20"/>
          <w:szCs w:val="20"/>
        </w:rPr>
      </w:pPr>
      <w:r w:rsidRPr="00454C1D">
        <w:rPr>
          <w:rStyle w:val="FootnoteReference"/>
          <w:sz w:val="20"/>
          <w:szCs w:val="20"/>
        </w:rPr>
        <w:footnoteRef/>
      </w:r>
      <w:r w:rsidRPr="00454C1D">
        <w:rPr>
          <w:sz w:val="20"/>
          <w:szCs w:val="20"/>
        </w:rPr>
        <w:t xml:space="preserve"> </w:t>
      </w:r>
      <w:r w:rsidRPr="00454C1D">
        <w:rPr>
          <w:sz w:val="20"/>
          <w:szCs w:val="20"/>
        </w:rPr>
        <w:tab/>
      </w:r>
      <w:proofErr w:type="spellStart"/>
      <w:r w:rsidR="004D1F71" w:rsidRPr="00454C1D">
        <w:rPr>
          <w:rFonts w:cs="Arial"/>
          <w:i/>
          <w:sz w:val="20"/>
          <w:szCs w:val="20"/>
        </w:rPr>
        <w:t>Demenkov</w:t>
      </w:r>
      <w:proofErr w:type="spellEnd"/>
      <w:r w:rsidR="004D1F71" w:rsidRPr="00454C1D">
        <w:rPr>
          <w:rFonts w:cs="Arial"/>
          <w:i/>
          <w:sz w:val="20"/>
          <w:szCs w:val="20"/>
        </w:rPr>
        <w:t xml:space="preserve"> and Another v</w:t>
      </w:r>
      <w:r w:rsidRPr="00454C1D">
        <w:rPr>
          <w:rFonts w:cs="Arial"/>
          <w:i/>
          <w:sz w:val="20"/>
          <w:szCs w:val="20"/>
        </w:rPr>
        <w:t xml:space="preserve"> Minister of Home Affairs and Immigration and Another: </w:t>
      </w:r>
      <w:r w:rsidRPr="00454C1D">
        <w:rPr>
          <w:rFonts w:cs="Arial"/>
          <w:sz w:val="20"/>
          <w:szCs w:val="20"/>
        </w:rPr>
        <w:t>an unreported</w:t>
      </w:r>
      <w:r w:rsidRPr="00FC333D">
        <w:rPr>
          <w:rFonts w:cs="Arial"/>
          <w:i/>
          <w:sz w:val="20"/>
          <w:szCs w:val="20"/>
        </w:rPr>
        <w:t xml:space="preserve"> </w:t>
      </w:r>
      <w:r w:rsidRPr="00FC333D">
        <w:rPr>
          <w:rFonts w:cs="Arial"/>
          <w:sz w:val="20"/>
          <w:szCs w:val="20"/>
        </w:rPr>
        <w:t xml:space="preserve">judgment of this Court, Case No. A 263/2015) [2015] NAHCMD Also see </w:t>
      </w:r>
      <w:r w:rsidRPr="00FC333D">
        <w:rPr>
          <w:rFonts w:cs="Arial"/>
          <w:i/>
          <w:sz w:val="20"/>
          <w:szCs w:val="20"/>
          <w:lang w:val="en-ZW"/>
        </w:rPr>
        <w:t>Amalgamated Engineering Union v Minister of Labour</w:t>
      </w:r>
      <w:r w:rsidRPr="00FC333D">
        <w:rPr>
          <w:rStyle w:val="FootnoteReference"/>
          <w:rFonts w:cs="Arial"/>
          <w:i/>
          <w:sz w:val="20"/>
          <w:szCs w:val="20"/>
          <w:lang w:val="en-ZW"/>
        </w:rPr>
        <w:t xml:space="preserve"> </w:t>
      </w:r>
      <w:r w:rsidRPr="00FC333D">
        <w:rPr>
          <w:rFonts w:cs="Arial"/>
          <w:i/>
          <w:sz w:val="20"/>
          <w:szCs w:val="20"/>
          <w:lang w:val="en-ZW"/>
        </w:rPr>
        <w:t xml:space="preserve"> </w:t>
      </w:r>
      <w:r w:rsidRPr="00FC333D">
        <w:rPr>
          <w:sz w:val="20"/>
          <w:szCs w:val="20"/>
          <w:lang w:val="en-ZW"/>
        </w:rPr>
        <w:t>1949 (3) SA 637 (A),</w:t>
      </w:r>
      <w:r w:rsidRPr="00FC333D">
        <w:rPr>
          <w:rFonts w:cs="Arial"/>
          <w:sz w:val="20"/>
          <w:szCs w:val="20"/>
          <w:lang w:val="en-ZW"/>
        </w:rPr>
        <w:t xml:space="preserve"> </w:t>
      </w:r>
      <w:r w:rsidRPr="00FC333D">
        <w:rPr>
          <w:rFonts w:cs="Arial"/>
          <w:i/>
          <w:sz w:val="20"/>
          <w:szCs w:val="20"/>
        </w:rPr>
        <w:t xml:space="preserve">Namibia Grape Growers and Exporters v Minister of Mines &amp; Energy </w:t>
      </w:r>
      <w:r w:rsidRPr="00FC333D">
        <w:rPr>
          <w:rStyle w:val="FootnoteReference"/>
          <w:rFonts w:cs="Arial"/>
          <w:i/>
          <w:sz w:val="20"/>
          <w:szCs w:val="20"/>
        </w:rPr>
        <w:t xml:space="preserve"> </w:t>
      </w:r>
      <w:r w:rsidRPr="00FC333D">
        <w:rPr>
          <w:rFonts w:cs="Arial"/>
          <w:sz w:val="20"/>
          <w:szCs w:val="20"/>
        </w:rPr>
        <w:t>2002 NR 328</w:t>
      </w:r>
      <w:r w:rsidRPr="00FC333D">
        <w:rPr>
          <w:rFonts w:cs="Arial"/>
          <w:i/>
          <w:sz w:val="20"/>
          <w:szCs w:val="20"/>
        </w:rPr>
        <w:t xml:space="preserve">, Kleynhans v Chairperson of the Council for the Municipality of Walvis Bay and Others </w:t>
      </w:r>
      <w:r w:rsidRPr="00FC333D">
        <w:rPr>
          <w:rFonts w:cs="Arial"/>
          <w:sz w:val="20"/>
          <w:szCs w:val="20"/>
        </w:rPr>
        <w:t>2011 (2) NR 437</w:t>
      </w:r>
      <w:r w:rsidRPr="00FC333D">
        <w:rPr>
          <w:rFonts w:cs="Arial"/>
          <w:i/>
          <w:sz w:val="20"/>
          <w:szCs w:val="20"/>
        </w:rPr>
        <w:t xml:space="preserve"> </w:t>
      </w:r>
      <w:r w:rsidRPr="00FC333D">
        <w:rPr>
          <w:rFonts w:cs="Arial"/>
          <w:sz w:val="20"/>
          <w:szCs w:val="20"/>
        </w:rPr>
        <w:t xml:space="preserve">and </w:t>
      </w:r>
      <w:r w:rsidRPr="00FC333D">
        <w:rPr>
          <w:rFonts w:cs="Arial"/>
          <w:i/>
          <w:sz w:val="20"/>
          <w:szCs w:val="20"/>
        </w:rPr>
        <w:t xml:space="preserve">Independence Catering (Pty) Ltd and Others v Minister of </w:t>
      </w:r>
      <w:proofErr w:type="spellStart"/>
      <w:r w:rsidRPr="00FC333D">
        <w:rPr>
          <w:rFonts w:cs="Arial"/>
          <w:i/>
          <w:sz w:val="20"/>
          <w:szCs w:val="20"/>
        </w:rPr>
        <w:t>Defence</w:t>
      </w:r>
      <w:proofErr w:type="spellEnd"/>
      <w:r w:rsidRPr="00FC333D">
        <w:rPr>
          <w:rFonts w:cs="Arial"/>
          <w:i/>
          <w:sz w:val="20"/>
          <w:szCs w:val="20"/>
        </w:rPr>
        <w:t xml:space="preserve"> and Others </w:t>
      </w:r>
      <w:r w:rsidRPr="00FC333D">
        <w:rPr>
          <w:rFonts w:cs="Arial"/>
          <w:sz w:val="20"/>
          <w:szCs w:val="20"/>
        </w:rPr>
        <w:t>2014 (4) NR 1085 (HC).</w:t>
      </w:r>
    </w:p>
  </w:footnote>
  <w:footnote w:id="4">
    <w:p w:rsidR="009C4189" w:rsidRPr="00FC333D" w:rsidRDefault="009C4189" w:rsidP="00FC333D">
      <w:pPr>
        <w:pStyle w:val="FootnoteText"/>
        <w:tabs>
          <w:tab w:val="left" w:pos="360"/>
        </w:tabs>
        <w:ind w:left="360" w:hanging="360"/>
        <w:jc w:val="both"/>
        <w:rPr>
          <w:sz w:val="20"/>
          <w:szCs w:val="20"/>
        </w:rPr>
      </w:pPr>
      <w:r w:rsidRPr="00FC333D">
        <w:rPr>
          <w:rStyle w:val="FootnoteReference"/>
          <w:sz w:val="20"/>
          <w:szCs w:val="20"/>
        </w:rPr>
        <w:footnoteRef/>
      </w:r>
      <w:r w:rsidRPr="00FC333D">
        <w:rPr>
          <w:sz w:val="20"/>
          <w:szCs w:val="20"/>
        </w:rPr>
        <w:t xml:space="preserve"> </w:t>
      </w:r>
      <w:r w:rsidRPr="00FC333D">
        <w:rPr>
          <w:sz w:val="20"/>
          <w:szCs w:val="20"/>
        </w:rPr>
        <w:tab/>
      </w:r>
      <w:r w:rsidRPr="00FC333D">
        <w:rPr>
          <w:i/>
          <w:sz w:val="20"/>
          <w:szCs w:val="20"/>
        </w:rPr>
        <w:t xml:space="preserve">Kerry McNamara Architects </w:t>
      </w:r>
      <w:proofErr w:type="spellStart"/>
      <w:r w:rsidRPr="00FC333D">
        <w:rPr>
          <w:i/>
          <w:sz w:val="20"/>
          <w:szCs w:val="20"/>
        </w:rPr>
        <w:t>Inc</w:t>
      </w:r>
      <w:proofErr w:type="spellEnd"/>
      <w:r w:rsidRPr="00FC333D">
        <w:rPr>
          <w:i/>
          <w:sz w:val="20"/>
          <w:szCs w:val="20"/>
        </w:rPr>
        <w:t xml:space="preserve"> and Others v Minister of Works, Transport and Communication and Others</w:t>
      </w:r>
      <w:r w:rsidRPr="00FC333D">
        <w:rPr>
          <w:sz w:val="20"/>
          <w:szCs w:val="20"/>
        </w:rPr>
        <w:t xml:space="preserve"> 2000 NR 1 (HC)</w:t>
      </w:r>
      <w:r w:rsidR="004B07B7">
        <w:rPr>
          <w:sz w:val="20"/>
          <w:szCs w:val="20"/>
        </w:rPr>
        <w:t xml:space="preserve">. </w:t>
      </w:r>
    </w:p>
  </w:footnote>
  <w:footnote w:id="5">
    <w:p w:rsidR="009C4189" w:rsidRDefault="009C4189" w:rsidP="00FC333D">
      <w:pPr>
        <w:pStyle w:val="FootnoteText"/>
        <w:tabs>
          <w:tab w:val="left" w:pos="360"/>
        </w:tabs>
        <w:ind w:left="360" w:hanging="360"/>
        <w:jc w:val="both"/>
      </w:pPr>
      <w:r w:rsidRPr="00FC333D">
        <w:rPr>
          <w:rStyle w:val="FootnoteReference"/>
          <w:sz w:val="20"/>
          <w:szCs w:val="20"/>
        </w:rPr>
        <w:footnoteRef/>
      </w:r>
      <w:r w:rsidRPr="00FC333D">
        <w:rPr>
          <w:sz w:val="20"/>
          <w:szCs w:val="20"/>
        </w:rPr>
        <w:t xml:space="preserve"> </w:t>
      </w:r>
      <w:r w:rsidRPr="00FC333D">
        <w:rPr>
          <w:sz w:val="20"/>
          <w:szCs w:val="20"/>
        </w:rPr>
        <w:tab/>
      </w:r>
      <w:r w:rsidRPr="00FC333D">
        <w:rPr>
          <w:rFonts w:cs="Arial"/>
          <w:sz w:val="20"/>
          <w:szCs w:val="20"/>
        </w:rPr>
        <w:t xml:space="preserve">B </w:t>
      </w:r>
      <w:proofErr w:type="spellStart"/>
      <w:r w:rsidRPr="00FC333D">
        <w:rPr>
          <w:rFonts w:cs="Arial"/>
          <w:sz w:val="20"/>
          <w:szCs w:val="20"/>
        </w:rPr>
        <w:t>Beinart</w:t>
      </w:r>
      <w:proofErr w:type="spellEnd"/>
      <w:r w:rsidRPr="00FC333D">
        <w:rPr>
          <w:rFonts w:cs="Arial"/>
          <w:sz w:val="20"/>
          <w:szCs w:val="20"/>
        </w:rPr>
        <w:t>: ‘</w:t>
      </w:r>
      <w:r w:rsidRPr="00FC333D">
        <w:rPr>
          <w:rFonts w:cs="Arial"/>
          <w:i/>
          <w:sz w:val="20"/>
          <w:szCs w:val="20"/>
        </w:rPr>
        <w:t>Testamentary Form and Capacity and the Wills Act, 1953’</w:t>
      </w:r>
      <w:r w:rsidRPr="00FC333D">
        <w:rPr>
          <w:rFonts w:cs="Arial"/>
          <w:sz w:val="20"/>
          <w:szCs w:val="20"/>
        </w:rPr>
        <w:t xml:space="preserve">. </w:t>
      </w:r>
      <w:r>
        <w:rPr>
          <w:rFonts w:cs="Arial"/>
          <w:sz w:val="20"/>
          <w:szCs w:val="20"/>
        </w:rPr>
        <w:t xml:space="preserve"> </w:t>
      </w:r>
      <w:r w:rsidRPr="00FC333D">
        <w:rPr>
          <w:rFonts w:cs="Arial"/>
          <w:sz w:val="20"/>
          <w:szCs w:val="20"/>
        </w:rPr>
        <w:t>1953</w:t>
      </w:r>
      <w:r>
        <w:rPr>
          <w:rFonts w:cs="Arial"/>
          <w:sz w:val="20"/>
          <w:szCs w:val="20"/>
        </w:rPr>
        <w:t xml:space="preserve"> (70</w:t>
      </w:r>
      <w:r w:rsidRPr="00FC333D">
        <w:rPr>
          <w:rFonts w:cs="Arial"/>
          <w:sz w:val="20"/>
          <w:szCs w:val="20"/>
        </w:rPr>
        <w:t>) SA</w:t>
      </w:r>
      <w:r>
        <w:rPr>
          <w:rFonts w:cs="Arial"/>
          <w:sz w:val="20"/>
          <w:szCs w:val="20"/>
        </w:rPr>
        <w:t>LJ 159.</w:t>
      </w:r>
    </w:p>
  </w:footnote>
  <w:footnote w:id="6">
    <w:p w:rsidR="001B6124" w:rsidRPr="001B6124" w:rsidRDefault="001B6124" w:rsidP="00454C1D">
      <w:pPr>
        <w:pStyle w:val="FootnoteText"/>
        <w:tabs>
          <w:tab w:val="left" w:pos="360"/>
        </w:tabs>
        <w:jc w:val="both"/>
        <w:rPr>
          <w:rFonts w:cs="Arial"/>
          <w:sz w:val="20"/>
          <w:szCs w:val="20"/>
        </w:rPr>
      </w:pPr>
      <w:r w:rsidRPr="001B6124">
        <w:rPr>
          <w:rStyle w:val="FootnoteReference"/>
          <w:rFonts w:cs="Arial"/>
          <w:sz w:val="20"/>
          <w:szCs w:val="20"/>
        </w:rPr>
        <w:footnoteRef/>
      </w:r>
      <w:r w:rsidRPr="001B6124">
        <w:rPr>
          <w:rFonts w:cs="Arial"/>
          <w:sz w:val="20"/>
          <w:szCs w:val="20"/>
        </w:rPr>
        <w:t xml:space="preserve"> </w:t>
      </w:r>
      <w:r w:rsidRPr="001B6124">
        <w:rPr>
          <w:rFonts w:cs="Arial"/>
          <w:sz w:val="20"/>
          <w:szCs w:val="20"/>
        </w:rPr>
        <w:tab/>
        <w:t xml:space="preserve">[2012] EWCA </w:t>
      </w:r>
      <w:proofErr w:type="spellStart"/>
      <w:r w:rsidRPr="001B6124">
        <w:rPr>
          <w:rFonts w:cs="Arial"/>
          <w:sz w:val="20"/>
          <w:szCs w:val="20"/>
        </w:rPr>
        <w:t>Civ</w:t>
      </w:r>
      <w:proofErr w:type="spellEnd"/>
      <w:r w:rsidRPr="001B6124">
        <w:rPr>
          <w:rFonts w:cs="Arial"/>
          <w:sz w:val="20"/>
          <w:szCs w:val="20"/>
        </w:rPr>
        <w:t xml:space="preserve"> 61</w:t>
      </w:r>
      <w:r w:rsidR="00482F20">
        <w:rPr>
          <w:rFonts w:cs="Arial"/>
          <w:sz w:val="20"/>
          <w:szCs w:val="20"/>
        </w:rPr>
        <w:t>.</w:t>
      </w:r>
    </w:p>
  </w:footnote>
  <w:footnote w:id="7">
    <w:p w:rsidR="009C4189" w:rsidRPr="00B45A29" w:rsidRDefault="009C4189" w:rsidP="00C1706B">
      <w:pPr>
        <w:pStyle w:val="FootnoteText"/>
        <w:tabs>
          <w:tab w:val="left" w:pos="360"/>
        </w:tabs>
        <w:jc w:val="both"/>
        <w:rPr>
          <w:sz w:val="20"/>
          <w:szCs w:val="20"/>
        </w:rPr>
      </w:pPr>
      <w:r w:rsidRPr="00B45A29">
        <w:rPr>
          <w:rStyle w:val="FootnoteReference"/>
          <w:sz w:val="20"/>
          <w:szCs w:val="20"/>
        </w:rPr>
        <w:footnoteRef/>
      </w:r>
      <w:r w:rsidRPr="00B45A29">
        <w:rPr>
          <w:sz w:val="20"/>
          <w:szCs w:val="20"/>
        </w:rPr>
        <w:t xml:space="preserve"> </w:t>
      </w:r>
      <w:r w:rsidRPr="00B45A29">
        <w:rPr>
          <w:sz w:val="20"/>
          <w:szCs w:val="20"/>
        </w:rPr>
        <w:tab/>
      </w:r>
      <w:r w:rsidRPr="00B45A29">
        <w:rPr>
          <w:rFonts w:cs="Arial"/>
          <w:i/>
          <w:sz w:val="20"/>
          <w:szCs w:val="20"/>
          <w:lang w:val="en-ZA"/>
        </w:rPr>
        <w:t xml:space="preserve">Ex parte Goldman and </w:t>
      </w:r>
      <w:proofErr w:type="spellStart"/>
      <w:r w:rsidRPr="00B45A29">
        <w:rPr>
          <w:rFonts w:cs="Arial"/>
          <w:i/>
          <w:sz w:val="20"/>
          <w:szCs w:val="20"/>
          <w:lang w:val="en-ZA"/>
        </w:rPr>
        <w:t>Kalmer</w:t>
      </w:r>
      <w:proofErr w:type="spellEnd"/>
      <w:r w:rsidRPr="00B45A29">
        <w:rPr>
          <w:rFonts w:cs="Arial"/>
          <w:i/>
          <w:sz w:val="20"/>
          <w:szCs w:val="20"/>
          <w:lang w:val="en-ZA"/>
        </w:rPr>
        <w:t xml:space="preserve"> NNO</w:t>
      </w:r>
      <w:r w:rsidRPr="00B45A29">
        <w:rPr>
          <w:rFonts w:cs="Arial"/>
          <w:sz w:val="20"/>
          <w:szCs w:val="20"/>
          <w:lang w:val="en-ZA"/>
        </w:rPr>
        <w:t xml:space="preserve"> 1965 (1) SA 464 (W).</w:t>
      </w:r>
    </w:p>
  </w:footnote>
  <w:footnote w:id="8">
    <w:p w:rsidR="009C4189" w:rsidRPr="00B45A29" w:rsidRDefault="009C4189" w:rsidP="00C1706B">
      <w:pPr>
        <w:pStyle w:val="FootnoteText"/>
        <w:tabs>
          <w:tab w:val="left" w:pos="360"/>
        </w:tabs>
        <w:jc w:val="both"/>
        <w:rPr>
          <w:sz w:val="20"/>
          <w:szCs w:val="20"/>
        </w:rPr>
      </w:pPr>
      <w:r w:rsidRPr="00B45A29">
        <w:rPr>
          <w:rStyle w:val="FootnoteReference"/>
          <w:sz w:val="20"/>
          <w:szCs w:val="20"/>
        </w:rPr>
        <w:footnoteRef/>
      </w:r>
      <w:r w:rsidRPr="00B45A29">
        <w:rPr>
          <w:sz w:val="20"/>
          <w:szCs w:val="20"/>
        </w:rPr>
        <w:t xml:space="preserve"> </w:t>
      </w:r>
      <w:r w:rsidRPr="00B45A29">
        <w:rPr>
          <w:sz w:val="20"/>
          <w:szCs w:val="20"/>
        </w:rPr>
        <w:tab/>
      </w:r>
      <w:proofErr w:type="spellStart"/>
      <w:r w:rsidRPr="00B45A29">
        <w:rPr>
          <w:rFonts w:cs="Arial"/>
          <w:i/>
          <w:sz w:val="20"/>
          <w:szCs w:val="20"/>
          <w:lang w:val="en-ZA"/>
        </w:rPr>
        <w:t>Jhajbhai</w:t>
      </w:r>
      <w:proofErr w:type="spellEnd"/>
      <w:r w:rsidRPr="00B45A29">
        <w:rPr>
          <w:rFonts w:cs="Arial"/>
          <w:i/>
          <w:sz w:val="20"/>
          <w:szCs w:val="20"/>
          <w:lang w:val="en-ZA"/>
        </w:rPr>
        <w:t xml:space="preserve"> and </w:t>
      </w:r>
      <w:proofErr w:type="gramStart"/>
      <w:r w:rsidRPr="00B45A29">
        <w:rPr>
          <w:rFonts w:cs="Arial"/>
          <w:i/>
          <w:sz w:val="20"/>
          <w:szCs w:val="20"/>
          <w:lang w:val="en-ZA"/>
        </w:rPr>
        <w:t>Others</w:t>
      </w:r>
      <w:proofErr w:type="gramEnd"/>
      <w:r w:rsidRPr="00B45A29">
        <w:rPr>
          <w:rFonts w:cs="Arial"/>
          <w:i/>
          <w:sz w:val="20"/>
          <w:szCs w:val="20"/>
          <w:lang w:val="en-ZA"/>
        </w:rPr>
        <w:t xml:space="preserve"> v The Master and Another</w:t>
      </w:r>
      <w:r w:rsidRPr="00B45A29">
        <w:rPr>
          <w:rFonts w:cs="Arial"/>
          <w:sz w:val="20"/>
          <w:szCs w:val="20"/>
          <w:lang w:val="en-ZA"/>
        </w:rPr>
        <w:t xml:space="preserve"> 1971 (2) SA 370 (D).</w:t>
      </w:r>
    </w:p>
  </w:footnote>
  <w:footnote w:id="9">
    <w:p w:rsidR="009C4189" w:rsidRPr="00B45A29" w:rsidRDefault="009C4189" w:rsidP="00C1706B">
      <w:pPr>
        <w:pStyle w:val="FootnoteText"/>
        <w:tabs>
          <w:tab w:val="left" w:pos="360"/>
        </w:tabs>
        <w:jc w:val="both"/>
        <w:rPr>
          <w:sz w:val="20"/>
          <w:szCs w:val="20"/>
        </w:rPr>
      </w:pPr>
      <w:r w:rsidRPr="00B45A29">
        <w:rPr>
          <w:rStyle w:val="FootnoteReference"/>
          <w:sz w:val="20"/>
          <w:szCs w:val="20"/>
        </w:rPr>
        <w:footnoteRef/>
      </w:r>
      <w:r w:rsidRPr="00B45A29">
        <w:rPr>
          <w:sz w:val="20"/>
          <w:szCs w:val="20"/>
        </w:rPr>
        <w:t xml:space="preserve"> </w:t>
      </w:r>
      <w:r w:rsidRPr="00B45A29">
        <w:rPr>
          <w:sz w:val="20"/>
          <w:szCs w:val="20"/>
        </w:rPr>
        <w:tab/>
      </w:r>
      <w:proofErr w:type="spellStart"/>
      <w:r w:rsidRPr="00B45A29">
        <w:rPr>
          <w:rFonts w:cs="Arial"/>
          <w:i/>
          <w:sz w:val="20"/>
          <w:szCs w:val="20"/>
          <w:lang w:val="en-ZA"/>
        </w:rPr>
        <w:t>Dempers</w:t>
      </w:r>
      <w:proofErr w:type="spellEnd"/>
      <w:r w:rsidRPr="00B45A29">
        <w:rPr>
          <w:rFonts w:cs="Arial"/>
          <w:i/>
          <w:sz w:val="20"/>
          <w:szCs w:val="20"/>
          <w:lang w:val="en-ZA"/>
        </w:rPr>
        <w:t xml:space="preserve"> and </w:t>
      </w:r>
      <w:proofErr w:type="gramStart"/>
      <w:r w:rsidRPr="00B45A29">
        <w:rPr>
          <w:rFonts w:cs="Arial"/>
          <w:i/>
          <w:sz w:val="20"/>
          <w:szCs w:val="20"/>
          <w:lang w:val="en-ZA"/>
        </w:rPr>
        <w:t>Others</w:t>
      </w:r>
      <w:proofErr w:type="gramEnd"/>
      <w:r w:rsidRPr="00B45A29">
        <w:rPr>
          <w:rFonts w:cs="Arial"/>
          <w:i/>
          <w:sz w:val="20"/>
          <w:szCs w:val="20"/>
          <w:lang w:val="en-ZA"/>
        </w:rPr>
        <w:t xml:space="preserve"> v The Master and Others (1)</w:t>
      </w:r>
      <w:r w:rsidRPr="00B45A29">
        <w:rPr>
          <w:rFonts w:cs="Arial"/>
          <w:sz w:val="20"/>
          <w:szCs w:val="20"/>
          <w:lang w:val="en-ZA"/>
        </w:rPr>
        <w:t>1977 (4) SA 44 (SWA).</w:t>
      </w:r>
    </w:p>
  </w:footnote>
  <w:footnote w:id="10">
    <w:p w:rsidR="009C4189" w:rsidRPr="00B45A29" w:rsidRDefault="009C4189" w:rsidP="00C1706B">
      <w:pPr>
        <w:pStyle w:val="FootnoteText"/>
        <w:tabs>
          <w:tab w:val="left" w:pos="360"/>
        </w:tabs>
        <w:jc w:val="both"/>
        <w:rPr>
          <w:sz w:val="20"/>
          <w:szCs w:val="20"/>
        </w:rPr>
      </w:pPr>
      <w:r w:rsidRPr="00B45A29">
        <w:rPr>
          <w:rStyle w:val="FootnoteReference"/>
          <w:sz w:val="20"/>
          <w:szCs w:val="20"/>
        </w:rPr>
        <w:footnoteRef/>
      </w:r>
      <w:r w:rsidRPr="00B45A29">
        <w:rPr>
          <w:sz w:val="20"/>
          <w:szCs w:val="20"/>
        </w:rPr>
        <w:t xml:space="preserve"> </w:t>
      </w:r>
      <w:r w:rsidRPr="00B45A29">
        <w:rPr>
          <w:sz w:val="20"/>
          <w:szCs w:val="20"/>
        </w:rPr>
        <w:tab/>
      </w:r>
      <w:proofErr w:type="spellStart"/>
      <w:r w:rsidRPr="00B45A29">
        <w:rPr>
          <w:rFonts w:cs="Arial"/>
          <w:i/>
          <w:sz w:val="20"/>
          <w:szCs w:val="20"/>
          <w:lang w:val="en-ZA"/>
        </w:rPr>
        <w:t>Mellvill</w:t>
      </w:r>
      <w:proofErr w:type="spellEnd"/>
      <w:r w:rsidRPr="00B45A29">
        <w:rPr>
          <w:rFonts w:cs="Arial"/>
          <w:i/>
          <w:sz w:val="20"/>
          <w:szCs w:val="20"/>
          <w:lang w:val="en-ZA"/>
        </w:rPr>
        <w:t xml:space="preserve"> and Another NNO v The Master, and </w:t>
      </w:r>
      <w:proofErr w:type="gramStart"/>
      <w:r w:rsidRPr="00B45A29">
        <w:rPr>
          <w:rFonts w:cs="Arial"/>
          <w:i/>
          <w:sz w:val="20"/>
          <w:szCs w:val="20"/>
          <w:lang w:val="en-ZA"/>
        </w:rPr>
        <w:t>Others</w:t>
      </w:r>
      <w:proofErr w:type="gramEnd"/>
      <w:r w:rsidRPr="00B45A29">
        <w:rPr>
          <w:rFonts w:cs="Arial"/>
          <w:sz w:val="20"/>
          <w:szCs w:val="20"/>
          <w:lang w:val="en-ZA"/>
        </w:rPr>
        <w:t xml:space="preserve"> 1984 (3) SA 387 (C).</w:t>
      </w:r>
    </w:p>
  </w:footnote>
  <w:footnote w:id="11">
    <w:p w:rsidR="009C4189" w:rsidRPr="00092615" w:rsidRDefault="009C4189" w:rsidP="00C1706B">
      <w:pPr>
        <w:tabs>
          <w:tab w:val="left" w:pos="360"/>
        </w:tabs>
        <w:spacing w:after="0" w:line="240" w:lineRule="auto"/>
        <w:jc w:val="both"/>
        <w:rPr>
          <w:rFonts w:ascii="Arial" w:hAnsi="Arial" w:cs="Arial"/>
          <w:sz w:val="20"/>
          <w:szCs w:val="20"/>
        </w:rPr>
      </w:pPr>
      <w:r w:rsidRPr="00092615">
        <w:rPr>
          <w:rStyle w:val="FootnoteReference"/>
          <w:rFonts w:ascii="Arial" w:hAnsi="Arial" w:cs="Arial"/>
          <w:sz w:val="20"/>
          <w:szCs w:val="20"/>
        </w:rPr>
        <w:footnoteRef/>
      </w:r>
      <w:r w:rsidR="004C7F8D">
        <w:rPr>
          <w:rFonts w:ascii="Arial" w:hAnsi="Arial" w:cs="Arial"/>
          <w:sz w:val="20"/>
          <w:szCs w:val="20"/>
        </w:rPr>
        <w:t xml:space="preserve"> </w:t>
      </w:r>
      <w:r w:rsidR="004C7F8D">
        <w:rPr>
          <w:rFonts w:ascii="Arial" w:hAnsi="Arial" w:cs="Arial"/>
          <w:sz w:val="20"/>
          <w:szCs w:val="20"/>
        </w:rPr>
        <w:tab/>
        <w:t>Compare</w:t>
      </w:r>
      <w:r w:rsidRPr="00092615">
        <w:rPr>
          <w:rFonts w:ascii="Arial" w:hAnsi="Arial" w:cs="Arial"/>
          <w:sz w:val="20"/>
          <w:szCs w:val="20"/>
        </w:rPr>
        <w:t xml:space="preserve"> the unreported case of </w:t>
      </w:r>
      <w:r w:rsidRPr="00092615">
        <w:rPr>
          <w:rFonts w:ascii="Arial" w:hAnsi="Arial" w:cs="Arial"/>
          <w:i/>
          <w:sz w:val="20"/>
          <w:szCs w:val="20"/>
        </w:rPr>
        <w:t xml:space="preserve">Afrikaner v The Master of the High Court of Namibia </w:t>
      </w:r>
      <w:r w:rsidRPr="00092615">
        <w:rPr>
          <w:rFonts w:ascii="Arial" w:hAnsi="Arial" w:cs="Arial"/>
          <w:sz w:val="20"/>
          <w:szCs w:val="20"/>
        </w:rPr>
        <w:t>(A 330/2011) [2013] NAHCMD 224 (29 July 2013)</w:t>
      </w:r>
      <w:r w:rsidR="004C7F8D">
        <w:rPr>
          <w:rFonts w:ascii="Arial" w:hAnsi="Arial" w:cs="Arial"/>
          <w:sz w:val="20"/>
          <w:szCs w:val="20"/>
        </w:rPr>
        <w:t xml:space="preserve">. </w:t>
      </w:r>
    </w:p>
    <w:p w:rsidR="009C4189" w:rsidRDefault="009C4189" w:rsidP="00C1706B">
      <w:pPr>
        <w:pStyle w:val="FootnoteText"/>
        <w:tabs>
          <w:tab w:val="left" w:pos="360"/>
        </w:tabs>
        <w:jc w:val="both"/>
      </w:pPr>
    </w:p>
  </w:footnote>
  <w:footnote w:id="12">
    <w:p w:rsidR="00141F9F" w:rsidRPr="00C1706B" w:rsidRDefault="00141F9F" w:rsidP="00C1706B">
      <w:pPr>
        <w:pStyle w:val="FootnoteText"/>
        <w:tabs>
          <w:tab w:val="left" w:pos="360"/>
        </w:tabs>
        <w:jc w:val="both"/>
        <w:rPr>
          <w:sz w:val="20"/>
          <w:szCs w:val="20"/>
        </w:rPr>
      </w:pPr>
      <w:r w:rsidRPr="00C1706B">
        <w:rPr>
          <w:rStyle w:val="FootnoteReference"/>
          <w:sz w:val="20"/>
          <w:szCs w:val="20"/>
        </w:rPr>
        <w:footnoteRef/>
      </w:r>
      <w:r w:rsidRPr="00C1706B">
        <w:rPr>
          <w:sz w:val="20"/>
          <w:szCs w:val="20"/>
        </w:rPr>
        <w:t xml:space="preserve"> </w:t>
      </w:r>
      <w:r w:rsidRPr="00C1706B">
        <w:rPr>
          <w:sz w:val="20"/>
          <w:szCs w:val="20"/>
        </w:rPr>
        <w:tab/>
        <w:t>In the case of United Australia, Ltd v Barclays Bank Ltd [1941] AC1 at 29.</w:t>
      </w:r>
    </w:p>
  </w:footnote>
  <w:footnote w:id="13">
    <w:p w:rsidR="009C4189" w:rsidRPr="00B45A29" w:rsidRDefault="009C4189" w:rsidP="00B45A29">
      <w:pPr>
        <w:pStyle w:val="FootnoteText"/>
        <w:tabs>
          <w:tab w:val="left" w:pos="360"/>
        </w:tabs>
        <w:jc w:val="both"/>
        <w:rPr>
          <w:sz w:val="20"/>
          <w:szCs w:val="20"/>
        </w:rPr>
      </w:pPr>
      <w:r w:rsidRPr="00B45A29">
        <w:rPr>
          <w:rStyle w:val="FootnoteReference"/>
          <w:sz w:val="20"/>
          <w:szCs w:val="20"/>
        </w:rPr>
        <w:footnoteRef/>
      </w:r>
      <w:r w:rsidRPr="00B45A29">
        <w:rPr>
          <w:sz w:val="20"/>
          <w:szCs w:val="20"/>
        </w:rPr>
        <w:t xml:space="preserve"> </w:t>
      </w:r>
      <w:r w:rsidRPr="00B45A29">
        <w:rPr>
          <w:sz w:val="20"/>
          <w:szCs w:val="20"/>
        </w:rPr>
        <w:tab/>
      </w:r>
      <w:r>
        <w:rPr>
          <w:sz w:val="20"/>
          <w:szCs w:val="20"/>
        </w:rPr>
        <w:t>Supra footnote 5</w:t>
      </w:r>
      <w:r w:rsidRPr="00B45A29">
        <w:rPr>
          <w:rFonts w:cs="Arial"/>
          <w:sz w:val="20"/>
          <w:szCs w:val="20"/>
        </w:rPr>
        <w:t>.</w:t>
      </w:r>
    </w:p>
  </w:footnote>
  <w:footnote w:id="14">
    <w:p w:rsidR="009C4189" w:rsidRPr="00C1706B" w:rsidRDefault="009C4189" w:rsidP="00C1706B">
      <w:pPr>
        <w:pStyle w:val="FootnoteText"/>
        <w:tabs>
          <w:tab w:val="left" w:pos="360"/>
        </w:tabs>
        <w:jc w:val="both"/>
        <w:rPr>
          <w:sz w:val="20"/>
          <w:szCs w:val="20"/>
        </w:rPr>
      </w:pPr>
      <w:r w:rsidRPr="00C1706B">
        <w:rPr>
          <w:rStyle w:val="FootnoteReference"/>
          <w:sz w:val="20"/>
          <w:szCs w:val="20"/>
        </w:rPr>
        <w:footnoteRef/>
      </w:r>
      <w:r w:rsidRPr="00C1706B">
        <w:rPr>
          <w:sz w:val="20"/>
          <w:szCs w:val="20"/>
        </w:rPr>
        <w:t xml:space="preserve"> </w:t>
      </w:r>
      <w:r w:rsidRPr="00C1706B">
        <w:rPr>
          <w:sz w:val="20"/>
          <w:szCs w:val="20"/>
        </w:rPr>
        <w:tab/>
      </w:r>
      <w:r w:rsidRPr="00C1706B">
        <w:rPr>
          <w:rFonts w:cs="Arial"/>
          <w:i/>
          <w:sz w:val="20"/>
          <w:szCs w:val="20"/>
        </w:rPr>
        <w:t>The Leprosy Mission and Others v The Master of the Supreme Court and Another NO</w:t>
      </w:r>
      <w:r w:rsidRPr="00C1706B">
        <w:rPr>
          <w:rFonts w:cs="Arial"/>
          <w:sz w:val="20"/>
          <w:szCs w:val="20"/>
        </w:rPr>
        <w:t xml:space="preserve">: 1972 (4) SA 173 (C) at 184 </w:t>
      </w:r>
      <w:r w:rsidR="004C7F8D" w:rsidRPr="00C1706B">
        <w:rPr>
          <w:rFonts w:cs="Arial"/>
          <w:sz w:val="20"/>
          <w:szCs w:val="20"/>
        </w:rPr>
        <w:t>–</w:t>
      </w:r>
      <w:r w:rsidRPr="00C1706B">
        <w:rPr>
          <w:rFonts w:cs="Arial"/>
          <w:sz w:val="20"/>
          <w:szCs w:val="20"/>
        </w:rPr>
        <w:t xml:space="preserve"> 185</w:t>
      </w:r>
      <w:r w:rsidR="004C7F8D" w:rsidRPr="00C1706B">
        <w:rPr>
          <w:rFonts w:cs="Arial"/>
          <w:sz w:val="20"/>
          <w:szCs w:val="20"/>
        </w:rPr>
        <w:t xml:space="preserve">. </w:t>
      </w:r>
    </w:p>
  </w:footnote>
  <w:footnote w:id="15">
    <w:p w:rsidR="00727E60" w:rsidRPr="00727E60" w:rsidRDefault="00727E60" w:rsidP="00C1706B">
      <w:pPr>
        <w:pStyle w:val="FootnoteText"/>
        <w:tabs>
          <w:tab w:val="left" w:pos="360"/>
        </w:tabs>
        <w:jc w:val="both"/>
        <w:rPr>
          <w:rFonts w:cs="Arial"/>
          <w:sz w:val="20"/>
          <w:szCs w:val="20"/>
        </w:rPr>
      </w:pPr>
      <w:r w:rsidRPr="00727E60">
        <w:rPr>
          <w:rStyle w:val="FootnoteReference"/>
          <w:rFonts w:cs="Arial"/>
          <w:sz w:val="20"/>
          <w:szCs w:val="20"/>
        </w:rPr>
        <w:footnoteRef/>
      </w:r>
      <w:r w:rsidRPr="00727E60">
        <w:rPr>
          <w:rFonts w:cs="Arial"/>
          <w:sz w:val="20"/>
          <w:szCs w:val="20"/>
        </w:rPr>
        <w:t xml:space="preserve"> </w:t>
      </w:r>
      <w:r w:rsidRPr="00727E60">
        <w:rPr>
          <w:rFonts w:cs="Arial"/>
          <w:sz w:val="20"/>
          <w:szCs w:val="20"/>
        </w:rPr>
        <w:tab/>
        <w:t xml:space="preserve"> When he was introducing the Second Reading of what was to become the </w:t>
      </w:r>
      <w:r w:rsidRPr="00727E60">
        <w:rPr>
          <w:rFonts w:cs="Arial"/>
          <w:i/>
          <w:iCs/>
          <w:sz w:val="20"/>
          <w:szCs w:val="20"/>
        </w:rPr>
        <w:t>Wills Act 1837.</w:t>
      </w:r>
    </w:p>
  </w:footnote>
  <w:footnote w:id="16">
    <w:p w:rsidR="00727E60" w:rsidRDefault="00727E60" w:rsidP="00C1706B">
      <w:pPr>
        <w:pStyle w:val="FootnoteText"/>
        <w:tabs>
          <w:tab w:val="left" w:pos="450"/>
        </w:tabs>
        <w:jc w:val="both"/>
      </w:pPr>
      <w:r w:rsidRPr="00727E60">
        <w:rPr>
          <w:rStyle w:val="FootnoteReference"/>
          <w:rFonts w:cs="Arial"/>
          <w:sz w:val="20"/>
          <w:szCs w:val="20"/>
        </w:rPr>
        <w:footnoteRef/>
      </w:r>
      <w:r w:rsidRPr="00727E60">
        <w:rPr>
          <w:rFonts w:cs="Arial"/>
          <w:sz w:val="20"/>
          <w:szCs w:val="20"/>
        </w:rPr>
        <w:t xml:space="preserve"> </w:t>
      </w:r>
      <w:r w:rsidRPr="00727E60">
        <w:rPr>
          <w:rFonts w:cs="Arial"/>
          <w:sz w:val="20"/>
          <w:szCs w:val="20"/>
        </w:rPr>
        <w:tab/>
        <w:t>Hansard (House of Lords), 1837, Vol. 36, col. 963</w:t>
      </w:r>
      <w:r w:rsidR="0020645A">
        <w:rPr>
          <w:rFonts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89" w:rsidRDefault="009C4189">
    <w:pPr>
      <w:pStyle w:val="Header"/>
      <w:jc w:val="right"/>
    </w:pPr>
    <w:r>
      <w:fldChar w:fldCharType="begin"/>
    </w:r>
    <w:r>
      <w:instrText xml:space="preserve"> PAGE   \* MERGEFORMAT </w:instrText>
    </w:r>
    <w:r>
      <w:fldChar w:fldCharType="separate"/>
    </w:r>
    <w:r w:rsidR="00A02DBA">
      <w:rPr>
        <w:noProof/>
      </w:rPr>
      <w:t>2</w:t>
    </w:r>
    <w:r>
      <w:rPr>
        <w:noProof/>
      </w:rPr>
      <w:fldChar w:fldCharType="end"/>
    </w:r>
  </w:p>
  <w:p w:rsidR="009C4189" w:rsidRDefault="009C4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91C"/>
    <w:multiLevelType w:val="hybridMultilevel"/>
    <w:tmpl w:val="00004D06"/>
    <w:lvl w:ilvl="0" w:tplc="00004DB7">
      <w:start w:val="1"/>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5473D4"/>
    <w:multiLevelType w:val="hybridMultilevel"/>
    <w:tmpl w:val="A184CC4E"/>
    <w:lvl w:ilvl="0" w:tplc="4CF6C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6688F"/>
    <w:multiLevelType w:val="hybridMultilevel"/>
    <w:tmpl w:val="EF50629C"/>
    <w:lvl w:ilvl="0" w:tplc="8CF8A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630F2"/>
    <w:multiLevelType w:val="hybridMultilevel"/>
    <w:tmpl w:val="50647CB0"/>
    <w:lvl w:ilvl="0" w:tplc="2E4A4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E10E4"/>
    <w:multiLevelType w:val="hybridMultilevel"/>
    <w:tmpl w:val="75A26462"/>
    <w:lvl w:ilvl="0" w:tplc="64AC8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90ADF"/>
    <w:multiLevelType w:val="multilevel"/>
    <w:tmpl w:val="80B28D8C"/>
    <w:lvl w:ilvl="0">
      <w:start w:val="1"/>
      <w:numFmt w:val="decimal"/>
      <w:lvlText w:val="%1."/>
      <w:lvlJc w:val="left"/>
      <w:pPr>
        <w:tabs>
          <w:tab w:val="num" w:pos="737"/>
        </w:tabs>
        <w:ind w:left="737" w:hanging="737"/>
      </w:pPr>
    </w:lvl>
    <w:lvl w:ilvl="1">
      <w:start w:val="1"/>
      <w:numFmt w:val="decimal"/>
      <w:lvlText w:val="%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7" w15:restartNumberingAfterBreak="0">
    <w:nsid w:val="1A9A4D3C"/>
    <w:multiLevelType w:val="multilevel"/>
    <w:tmpl w:val="6622850E"/>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850D06"/>
    <w:multiLevelType w:val="hybridMultilevel"/>
    <w:tmpl w:val="EF4E4ABA"/>
    <w:lvl w:ilvl="0" w:tplc="BB985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3E22"/>
    <w:multiLevelType w:val="multilevel"/>
    <w:tmpl w:val="0330A038"/>
    <w:lvl w:ilvl="0">
      <w:start w:val="1"/>
      <w:numFmt w:val="decimal"/>
      <w:lvlText w:val="%1."/>
      <w:lvlJc w:val="left"/>
      <w:pPr>
        <w:ind w:left="3510" w:hanging="450"/>
      </w:pPr>
      <w:rPr>
        <w:rFonts w:hint="default"/>
      </w:rPr>
    </w:lvl>
    <w:lvl w:ilvl="1">
      <w:start w:val="1"/>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4860" w:hanging="1800"/>
      </w:pPr>
      <w:rPr>
        <w:rFonts w:hint="default"/>
      </w:rPr>
    </w:lvl>
  </w:abstractNum>
  <w:abstractNum w:abstractNumId="10" w15:restartNumberingAfterBreak="0">
    <w:nsid w:val="2094081D"/>
    <w:multiLevelType w:val="hybridMultilevel"/>
    <w:tmpl w:val="92BE1842"/>
    <w:lvl w:ilvl="0" w:tplc="E27A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9A9"/>
    <w:multiLevelType w:val="hybridMultilevel"/>
    <w:tmpl w:val="C1520702"/>
    <w:lvl w:ilvl="0" w:tplc="27263CF4">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AAF4766"/>
    <w:multiLevelType w:val="hybridMultilevel"/>
    <w:tmpl w:val="7684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D63EE"/>
    <w:multiLevelType w:val="hybridMultilevel"/>
    <w:tmpl w:val="5DF2888E"/>
    <w:lvl w:ilvl="0" w:tplc="D5743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B09C2"/>
    <w:multiLevelType w:val="multilevel"/>
    <w:tmpl w:val="33C4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E2361B"/>
    <w:multiLevelType w:val="hybridMultilevel"/>
    <w:tmpl w:val="0718A136"/>
    <w:lvl w:ilvl="0" w:tplc="9BA4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04D95"/>
    <w:multiLevelType w:val="hybridMultilevel"/>
    <w:tmpl w:val="468A7B1A"/>
    <w:lvl w:ilvl="0" w:tplc="9872E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E4852"/>
    <w:multiLevelType w:val="hybridMultilevel"/>
    <w:tmpl w:val="CB68E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A6DF1"/>
    <w:multiLevelType w:val="hybridMultilevel"/>
    <w:tmpl w:val="1B32B736"/>
    <w:lvl w:ilvl="0" w:tplc="05002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A6D45"/>
    <w:multiLevelType w:val="hybridMultilevel"/>
    <w:tmpl w:val="AC549714"/>
    <w:lvl w:ilvl="0" w:tplc="5CDA8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C270E4"/>
    <w:multiLevelType w:val="hybridMultilevel"/>
    <w:tmpl w:val="6448A038"/>
    <w:lvl w:ilvl="0" w:tplc="6944F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60E99"/>
    <w:multiLevelType w:val="hybridMultilevel"/>
    <w:tmpl w:val="4E905026"/>
    <w:lvl w:ilvl="0" w:tplc="68A8885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84465E"/>
    <w:multiLevelType w:val="hybridMultilevel"/>
    <w:tmpl w:val="DF7409A8"/>
    <w:lvl w:ilvl="0" w:tplc="0254C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A5B32"/>
    <w:multiLevelType w:val="hybridMultilevel"/>
    <w:tmpl w:val="02E4502A"/>
    <w:lvl w:ilvl="0" w:tplc="5EDA3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243AB"/>
    <w:multiLevelType w:val="hybridMultilevel"/>
    <w:tmpl w:val="BBC4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14BF9"/>
    <w:multiLevelType w:val="hybridMultilevel"/>
    <w:tmpl w:val="46188544"/>
    <w:lvl w:ilvl="0" w:tplc="4E1E5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B64C8"/>
    <w:multiLevelType w:val="hybridMultilevel"/>
    <w:tmpl w:val="979E08DA"/>
    <w:lvl w:ilvl="0" w:tplc="E5CEA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4"/>
  </w:num>
  <w:num w:numId="4">
    <w:abstractNumId w:val="23"/>
  </w:num>
  <w:num w:numId="5">
    <w:abstractNumId w:val="3"/>
  </w:num>
  <w:num w:numId="6">
    <w:abstractNumId w:val="16"/>
  </w:num>
  <w:num w:numId="7">
    <w:abstractNumId w:val="5"/>
  </w:num>
  <w:num w:numId="8">
    <w:abstractNumId w:val="15"/>
  </w:num>
  <w:num w:numId="9">
    <w:abstractNumId w:val="26"/>
  </w:num>
  <w:num w:numId="10">
    <w:abstractNumId w:val="13"/>
  </w:num>
  <w:num w:numId="11">
    <w:abstractNumId w:val="25"/>
  </w:num>
  <w:num w:numId="12">
    <w:abstractNumId w:val="2"/>
  </w:num>
  <w:num w:numId="13">
    <w:abstractNumId w:val="12"/>
  </w:num>
  <w:num w:numId="14">
    <w:abstractNumId w:val="24"/>
  </w:num>
  <w:num w:numId="15">
    <w:abstractNumId w:val="22"/>
  </w:num>
  <w:num w:numId="16">
    <w:abstractNumId w:val="17"/>
  </w:num>
  <w:num w:numId="17">
    <w:abstractNumId w:val="6"/>
  </w:num>
  <w:num w:numId="18">
    <w:abstractNumId w:val="14"/>
  </w:num>
  <w:num w:numId="19">
    <w:abstractNumId w:val="9"/>
  </w:num>
  <w:num w:numId="20">
    <w:abstractNumId w:val="7"/>
  </w:num>
  <w:num w:numId="21">
    <w:abstractNumId w:val="18"/>
  </w:num>
  <w:num w:numId="22">
    <w:abstractNumId w:val="20"/>
  </w:num>
  <w:num w:numId="23">
    <w:abstractNumId w:val="19"/>
  </w:num>
  <w:num w:numId="24">
    <w:abstractNumId w:val="1"/>
  </w:num>
  <w:num w:numId="25">
    <w:abstractNumId w:val="0"/>
  </w:num>
  <w:num w:numId="26">
    <w:abstractNumId w:val="8"/>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95E"/>
    <w:rsid w:val="00004425"/>
    <w:rsid w:val="0000539B"/>
    <w:rsid w:val="00006A65"/>
    <w:rsid w:val="000123D0"/>
    <w:rsid w:val="00013520"/>
    <w:rsid w:val="00014098"/>
    <w:rsid w:val="00015CE0"/>
    <w:rsid w:val="00015ED7"/>
    <w:rsid w:val="00020E29"/>
    <w:rsid w:val="00023363"/>
    <w:rsid w:val="00023709"/>
    <w:rsid w:val="000241F7"/>
    <w:rsid w:val="00032335"/>
    <w:rsid w:val="00033527"/>
    <w:rsid w:val="00033F21"/>
    <w:rsid w:val="00037142"/>
    <w:rsid w:val="00041E0E"/>
    <w:rsid w:val="00042EE1"/>
    <w:rsid w:val="0004602C"/>
    <w:rsid w:val="00046F2A"/>
    <w:rsid w:val="000474A4"/>
    <w:rsid w:val="000501BF"/>
    <w:rsid w:val="00052051"/>
    <w:rsid w:val="00060AE1"/>
    <w:rsid w:val="0006107C"/>
    <w:rsid w:val="00061653"/>
    <w:rsid w:val="000626EF"/>
    <w:rsid w:val="0006325D"/>
    <w:rsid w:val="000648CE"/>
    <w:rsid w:val="00065477"/>
    <w:rsid w:val="00071CA2"/>
    <w:rsid w:val="00072D97"/>
    <w:rsid w:val="00073BD9"/>
    <w:rsid w:val="00074ACA"/>
    <w:rsid w:val="0007573E"/>
    <w:rsid w:val="00081241"/>
    <w:rsid w:val="00084BD4"/>
    <w:rsid w:val="000857B0"/>
    <w:rsid w:val="000911CB"/>
    <w:rsid w:val="00092146"/>
    <w:rsid w:val="000921A7"/>
    <w:rsid w:val="00092615"/>
    <w:rsid w:val="000929FA"/>
    <w:rsid w:val="000A24ED"/>
    <w:rsid w:val="000A46D0"/>
    <w:rsid w:val="000A638B"/>
    <w:rsid w:val="000A7D4A"/>
    <w:rsid w:val="000D36A9"/>
    <w:rsid w:val="000D5B82"/>
    <w:rsid w:val="000D7033"/>
    <w:rsid w:val="000D7100"/>
    <w:rsid w:val="000D72CD"/>
    <w:rsid w:val="000E19D1"/>
    <w:rsid w:val="000E1F87"/>
    <w:rsid w:val="000E242E"/>
    <w:rsid w:val="000F0CB5"/>
    <w:rsid w:val="000F14FA"/>
    <w:rsid w:val="000F2018"/>
    <w:rsid w:val="000F753E"/>
    <w:rsid w:val="000F7582"/>
    <w:rsid w:val="001007CF"/>
    <w:rsid w:val="0010139B"/>
    <w:rsid w:val="00101576"/>
    <w:rsid w:val="0010166B"/>
    <w:rsid w:val="001049B8"/>
    <w:rsid w:val="00111671"/>
    <w:rsid w:val="00112BDD"/>
    <w:rsid w:val="00112D92"/>
    <w:rsid w:val="00114041"/>
    <w:rsid w:val="00116727"/>
    <w:rsid w:val="00116C87"/>
    <w:rsid w:val="00122100"/>
    <w:rsid w:val="0012290F"/>
    <w:rsid w:val="001236E2"/>
    <w:rsid w:val="001258A7"/>
    <w:rsid w:val="00126B96"/>
    <w:rsid w:val="00130F62"/>
    <w:rsid w:val="00131B0E"/>
    <w:rsid w:val="001327A3"/>
    <w:rsid w:val="00133A68"/>
    <w:rsid w:val="0013602F"/>
    <w:rsid w:val="001364F9"/>
    <w:rsid w:val="00136594"/>
    <w:rsid w:val="00141F9F"/>
    <w:rsid w:val="00142724"/>
    <w:rsid w:val="00144416"/>
    <w:rsid w:val="00145BAC"/>
    <w:rsid w:val="00146968"/>
    <w:rsid w:val="00146C6A"/>
    <w:rsid w:val="00153ED0"/>
    <w:rsid w:val="0015486A"/>
    <w:rsid w:val="00155CA0"/>
    <w:rsid w:val="00156EDE"/>
    <w:rsid w:val="00157B0E"/>
    <w:rsid w:val="001647FC"/>
    <w:rsid w:val="00167C01"/>
    <w:rsid w:val="00170154"/>
    <w:rsid w:val="00170263"/>
    <w:rsid w:val="00170661"/>
    <w:rsid w:val="00171618"/>
    <w:rsid w:val="001726A5"/>
    <w:rsid w:val="00173AAF"/>
    <w:rsid w:val="0017646C"/>
    <w:rsid w:val="00182E6F"/>
    <w:rsid w:val="00184830"/>
    <w:rsid w:val="00185461"/>
    <w:rsid w:val="0018593B"/>
    <w:rsid w:val="00186893"/>
    <w:rsid w:val="001A17C8"/>
    <w:rsid w:val="001A33D3"/>
    <w:rsid w:val="001B18E4"/>
    <w:rsid w:val="001B222E"/>
    <w:rsid w:val="001B2393"/>
    <w:rsid w:val="001B2B21"/>
    <w:rsid w:val="001B6124"/>
    <w:rsid w:val="001B7E1F"/>
    <w:rsid w:val="001C1ED8"/>
    <w:rsid w:val="001C2037"/>
    <w:rsid w:val="001C775B"/>
    <w:rsid w:val="001C7916"/>
    <w:rsid w:val="001C7A1D"/>
    <w:rsid w:val="001D1C4C"/>
    <w:rsid w:val="001D3F7A"/>
    <w:rsid w:val="001D5754"/>
    <w:rsid w:val="001D5CF7"/>
    <w:rsid w:val="001E1B81"/>
    <w:rsid w:val="001E5488"/>
    <w:rsid w:val="001F0AAE"/>
    <w:rsid w:val="001F4140"/>
    <w:rsid w:val="001F4EF8"/>
    <w:rsid w:val="001F60AD"/>
    <w:rsid w:val="00204C96"/>
    <w:rsid w:val="00204FA7"/>
    <w:rsid w:val="0020645A"/>
    <w:rsid w:val="00206691"/>
    <w:rsid w:val="00206B95"/>
    <w:rsid w:val="0021139D"/>
    <w:rsid w:val="00213277"/>
    <w:rsid w:val="00213D43"/>
    <w:rsid w:val="00216680"/>
    <w:rsid w:val="00220A91"/>
    <w:rsid w:val="0022151F"/>
    <w:rsid w:val="002226C7"/>
    <w:rsid w:val="0022434E"/>
    <w:rsid w:val="00224DF3"/>
    <w:rsid w:val="00225FE5"/>
    <w:rsid w:val="002277DC"/>
    <w:rsid w:val="00231834"/>
    <w:rsid w:val="00231B58"/>
    <w:rsid w:val="00231EC6"/>
    <w:rsid w:val="00232E1A"/>
    <w:rsid w:val="00234942"/>
    <w:rsid w:val="00234F07"/>
    <w:rsid w:val="0023602B"/>
    <w:rsid w:val="00243670"/>
    <w:rsid w:val="00246361"/>
    <w:rsid w:val="0024669F"/>
    <w:rsid w:val="00251210"/>
    <w:rsid w:val="0025533E"/>
    <w:rsid w:val="00257BA7"/>
    <w:rsid w:val="00261313"/>
    <w:rsid w:val="00261F1C"/>
    <w:rsid w:val="002639D6"/>
    <w:rsid w:val="00265026"/>
    <w:rsid w:val="00265377"/>
    <w:rsid w:val="002702A7"/>
    <w:rsid w:val="00274BEC"/>
    <w:rsid w:val="00275052"/>
    <w:rsid w:val="00276338"/>
    <w:rsid w:val="00276370"/>
    <w:rsid w:val="002830F1"/>
    <w:rsid w:val="0028505B"/>
    <w:rsid w:val="00291971"/>
    <w:rsid w:val="00291E38"/>
    <w:rsid w:val="00294350"/>
    <w:rsid w:val="00294C16"/>
    <w:rsid w:val="002A0799"/>
    <w:rsid w:val="002A1147"/>
    <w:rsid w:val="002A149E"/>
    <w:rsid w:val="002A4034"/>
    <w:rsid w:val="002A4686"/>
    <w:rsid w:val="002A4E11"/>
    <w:rsid w:val="002A62DC"/>
    <w:rsid w:val="002B0CF7"/>
    <w:rsid w:val="002B0F2E"/>
    <w:rsid w:val="002B20F7"/>
    <w:rsid w:val="002B3444"/>
    <w:rsid w:val="002B3700"/>
    <w:rsid w:val="002B50B3"/>
    <w:rsid w:val="002B5342"/>
    <w:rsid w:val="002B5FC7"/>
    <w:rsid w:val="002C04FD"/>
    <w:rsid w:val="002C2FD6"/>
    <w:rsid w:val="002D64AF"/>
    <w:rsid w:val="002E0107"/>
    <w:rsid w:val="002E1259"/>
    <w:rsid w:val="002E6E4C"/>
    <w:rsid w:val="002F1E0D"/>
    <w:rsid w:val="002F5356"/>
    <w:rsid w:val="002F57FE"/>
    <w:rsid w:val="002F6B09"/>
    <w:rsid w:val="003013EF"/>
    <w:rsid w:val="00303C40"/>
    <w:rsid w:val="003058E8"/>
    <w:rsid w:val="00312FD2"/>
    <w:rsid w:val="00313441"/>
    <w:rsid w:val="003134F9"/>
    <w:rsid w:val="00314774"/>
    <w:rsid w:val="00314F0F"/>
    <w:rsid w:val="00317831"/>
    <w:rsid w:val="003204AA"/>
    <w:rsid w:val="00320B37"/>
    <w:rsid w:val="00325791"/>
    <w:rsid w:val="003315D7"/>
    <w:rsid w:val="0033230A"/>
    <w:rsid w:val="003337F1"/>
    <w:rsid w:val="00333FB5"/>
    <w:rsid w:val="00334F7F"/>
    <w:rsid w:val="00335764"/>
    <w:rsid w:val="00341024"/>
    <w:rsid w:val="00352B3A"/>
    <w:rsid w:val="0036076A"/>
    <w:rsid w:val="00362E29"/>
    <w:rsid w:val="00363AD6"/>
    <w:rsid w:val="003706DF"/>
    <w:rsid w:val="00370965"/>
    <w:rsid w:val="00370C42"/>
    <w:rsid w:val="00372272"/>
    <w:rsid w:val="003724C7"/>
    <w:rsid w:val="00375EE5"/>
    <w:rsid w:val="003779B1"/>
    <w:rsid w:val="00377D71"/>
    <w:rsid w:val="00377DF6"/>
    <w:rsid w:val="00377E85"/>
    <w:rsid w:val="00383B08"/>
    <w:rsid w:val="00385363"/>
    <w:rsid w:val="00391B38"/>
    <w:rsid w:val="00391FEE"/>
    <w:rsid w:val="0039439E"/>
    <w:rsid w:val="00394E9E"/>
    <w:rsid w:val="00395F30"/>
    <w:rsid w:val="003963C1"/>
    <w:rsid w:val="0039706D"/>
    <w:rsid w:val="0039793A"/>
    <w:rsid w:val="00397FD3"/>
    <w:rsid w:val="003A1571"/>
    <w:rsid w:val="003A1E54"/>
    <w:rsid w:val="003A26CE"/>
    <w:rsid w:val="003A337A"/>
    <w:rsid w:val="003A3742"/>
    <w:rsid w:val="003A74E8"/>
    <w:rsid w:val="003B11C4"/>
    <w:rsid w:val="003C08F8"/>
    <w:rsid w:val="003C146C"/>
    <w:rsid w:val="003C2BC3"/>
    <w:rsid w:val="003C35CE"/>
    <w:rsid w:val="003C6897"/>
    <w:rsid w:val="003D054B"/>
    <w:rsid w:val="003D06B1"/>
    <w:rsid w:val="003D3A52"/>
    <w:rsid w:val="003D692F"/>
    <w:rsid w:val="003E35BF"/>
    <w:rsid w:val="003E64B0"/>
    <w:rsid w:val="003E7A8B"/>
    <w:rsid w:val="003F0439"/>
    <w:rsid w:val="003F0C0B"/>
    <w:rsid w:val="003F3D71"/>
    <w:rsid w:val="003F4D62"/>
    <w:rsid w:val="003F6D44"/>
    <w:rsid w:val="00406659"/>
    <w:rsid w:val="004074E9"/>
    <w:rsid w:val="00407BE0"/>
    <w:rsid w:val="00415566"/>
    <w:rsid w:val="004176C3"/>
    <w:rsid w:val="004177CC"/>
    <w:rsid w:val="00422C2A"/>
    <w:rsid w:val="00424EDF"/>
    <w:rsid w:val="00425285"/>
    <w:rsid w:val="004257F9"/>
    <w:rsid w:val="004258D1"/>
    <w:rsid w:val="00427A17"/>
    <w:rsid w:val="00427AC6"/>
    <w:rsid w:val="0043005E"/>
    <w:rsid w:val="004339F6"/>
    <w:rsid w:val="00440A64"/>
    <w:rsid w:val="00445348"/>
    <w:rsid w:val="00454C1D"/>
    <w:rsid w:val="00455036"/>
    <w:rsid w:val="004574E4"/>
    <w:rsid w:val="00462B59"/>
    <w:rsid w:val="00464414"/>
    <w:rsid w:val="0046521A"/>
    <w:rsid w:val="004659BE"/>
    <w:rsid w:val="0047000B"/>
    <w:rsid w:val="00472732"/>
    <w:rsid w:val="00475627"/>
    <w:rsid w:val="00475D14"/>
    <w:rsid w:val="00482F20"/>
    <w:rsid w:val="00483760"/>
    <w:rsid w:val="00486CD3"/>
    <w:rsid w:val="00494571"/>
    <w:rsid w:val="004947E6"/>
    <w:rsid w:val="00496343"/>
    <w:rsid w:val="004A2319"/>
    <w:rsid w:val="004A3064"/>
    <w:rsid w:val="004A5075"/>
    <w:rsid w:val="004B07B7"/>
    <w:rsid w:val="004B1814"/>
    <w:rsid w:val="004B37F7"/>
    <w:rsid w:val="004B4586"/>
    <w:rsid w:val="004B57A9"/>
    <w:rsid w:val="004B60EF"/>
    <w:rsid w:val="004C7F8D"/>
    <w:rsid w:val="004D1B5C"/>
    <w:rsid w:val="004D1F71"/>
    <w:rsid w:val="004D2689"/>
    <w:rsid w:val="004D3C25"/>
    <w:rsid w:val="004D43A4"/>
    <w:rsid w:val="004D4516"/>
    <w:rsid w:val="004D5076"/>
    <w:rsid w:val="004D5E1B"/>
    <w:rsid w:val="004D62F1"/>
    <w:rsid w:val="004E5E65"/>
    <w:rsid w:val="004F2271"/>
    <w:rsid w:val="004F3811"/>
    <w:rsid w:val="004F609F"/>
    <w:rsid w:val="004F6F68"/>
    <w:rsid w:val="004F7672"/>
    <w:rsid w:val="004F7725"/>
    <w:rsid w:val="005005CD"/>
    <w:rsid w:val="0050112E"/>
    <w:rsid w:val="005014FD"/>
    <w:rsid w:val="00502818"/>
    <w:rsid w:val="005042E6"/>
    <w:rsid w:val="005140E0"/>
    <w:rsid w:val="005152D1"/>
    <w:rsid w:val="0051622A"/>
    <w:rsid w:val="00516B14"/>
    <w:rsid w:val="00517360"/>
    <w:rsid w:val="00520ECE"/>
    <w:rsid w:val="005261C0"/>
    <w:rsid w:val="00527A5E"/>
    <w:rsid w:val="00530CF6"/>
    <w:rsid w:val="005322DA"/>
    <w:rsid w:val="0053245E"/>
    <w:rsid w:val="00532EE4"/>
    <w:rsid w:val="0053428B"/>
    <w:rsid w:val="00537FE1"/>
    <w:rsid w:val="00543D59"/>
    <w:rsid w:val="00545A6C"/>
    <w:rsid w:val="00546928"/>
    <w:rsid w:val="00551783"/>
    <w:rsid w:val="0056111E"/>
    <w:rsid w:val="005628F8"/>
    <w:rsid w:val="0056429B"/>
    <w:rsid w:val="005650ED"/>
    <w:rsid w:val="005658C8"/>
    <w:rsid w:val="00566892"/>
    <w:rsid w:val="0057061D"/>
    <w:rsid w:val="00577ECA"/>
    <w:rsid w:val="00580C36"/>
    <w:rsid w:val="00582487"/>
    <w:rsid w:val="0058401A"/>
    <w:rsid w:val="00585B60"/>
    <w:rsid w:val="00587D09"/>
    <w:rsid w:val="005928F0"/>
    <w:rsid w:val="005946AC"/>
    <w:rsid w:val="00596EC6"/>
    <w:rsid w:val="005A05FA"/>
    <w:rsid w:val="005A387C"/>
    <w:rsid w:val="005A5F2D"/>
    <w:rsid w:val="005A7EE2"/>
    <w:rsid w:val="005B2724"/>
    <w:rsid w:val="005B6878"/>
    <w:rsid w:val="005C2105"/>
    <w:rsid w:val="005C2D17"/>
    <w:rsid w:val="005D1F83"/>
    <w:rsid w:val="005F1286"/>
    <w:rsid w:val="005F1C9C"/>
    <w:rsid w:val="005F27BF"/>
    <w:rsid w:val="005F3610"/>
    <w:rsid w:val="005F473C"/>
    <w:rsid w:val="005F559D"/>
    <w:rsid w:val="005F7459"/>
    <w:rsid w:val="00600965"/>
    <w:rsid w:val="00600AEB"/>
    <w:rsid w:val="00602264"/>
    <w:rsid w:val="0060418F"/>
    <w:rsid w:val="00612AD2"/>
    <w:rsid w:val="00612BAA"/>
    <w:rsid w:val="00613EB3"/>
    <w:rsid w:val="0061498D"/>
    <w:rsid w:val="0062093A"/>
    <w:rsid w:val="006256EA"/>
    <w:rsid w:val="00626478"/>
    <w:rsid w:val="006327CD"/>
    <w:rsid w:val="00632AF8"/>
    <w:rsid w:val="0063737E"/>
    <w:rsid w:val="006373F0"/>
    <w:rsid w:val="00643EDB"/>
    <w:rsid w:val="00645B34"/>
    <w:rsid w:val="006471FB"/>
    <w:rsid w:val="00647233"/>
    <w:rsid w:val="0064794F"/>
    <w:rsid w:val="00650DFB"/>
    <w:rsid w:val="006525AC"/>
    <w:rsid w:val="0066423D"/>
    <w:rsid w:val="006643A8"/>
    <w:rsid w:val="00666202"/>
    <w:rsid w:val="00666FB4"/>
    <w:rsid w:val="00667CB5"/>
    <w:rsid w:val="006724C3"/>
    <w:rsid w:val="00672C5C"/>
    <w:rsid w:val="00674060"/>
    <w:rsid w:val="00674F73"/>
    <w:rsid w:val="00686864"/>
    <w:rsid w:val="00691017"/>
    <w:rsid w:val="0069105C"/>
    <w:rsid w:val="00694262"/>
    <w:rsid w:val="006A5F9D"/>
    <w:rsid w:val="006A61ED"/>
    <w:rsid w:val="006B01D3"/>
    <w:rsid w:val="006B0AB9"/>
    <w:rsid w:val="006B400C"/>
    <w:rsid w:val="006B5CAC"/>
    <w:rsid w:val="006B7998"/>
    <w:rsid w:val="006C031F"/>
    <w:rsid w:val="006C16CE"/>
    <w:rsid w:val="006C624A"/>
    <w:rsid w:val="006C6CC9"/>
    <w:rsid w:val="006D021C"/>
    <w:rsid w:val="006D2D59"/>
    <w:rsid w:val="006D2DEB"/>
    <w:rsid w:val="006D65DE"/>
    <w:rsid w:val="006E2B1F"/>
    <w:rsid w:val="006E3CC4"/>
    <w:rsid w:val="006E5827"/>
    <w:rsid w:val="006E7F21"/>
    <w:rsid w:val="006F0DB7"/>
    <w:rsid w:val="006F1F0E"/>
    <w:rsid w:val="006F2AD4"/>
    <w:rsid w:val="006F3267"/>
    <w:rsid w:val="006F48F3"/>
    <w:rsid w:val="00702869"/>
    <w:rsid w:val="00702BDE"/>
    <w:rsid w:val="00706A22"/>
    <w:rsid w:val="00715174"/>
    <w:rsid w:val="00715F1B"/>
    <w:rsid w:val="007168FA"/>
    <w:rsid w:val="00717FFE"/>
    <w:rsid w:val="00720D99"/>
    <w:rsid w:val="0072123C"/>
    <w:rsid w:val="00723F0B"/>
    <w:rsid w:val="00725660"/>
    <w:rsid w:val="00725C9B"/>
    <w:rsid w:val="00727E60"/>
    <w:rsid w:val="00735C6F"/>
    <w:rsid w:val="007362A2"/>
    <w:rsid w:val="00741B0B"/>
    <w:rsid w:val="00743420"/>
    <w:rsid w:val="00743709"/>
    <w:rsid w:val="00747AA8"/>
    <w:rsid w:val="00751835"/>
    <w:rsid w:val="00755935"/>
    <w:rsid w:val="007560E5"/>
    <w:rsid w:val="00757684"/>
    <w:rsid w:val="00757FA3"/>
    <w:rsid w:val="00760B22"/>
    <w:rsid w:val="00760C9F"/>
    <w:rsid w:val="007704D9"/>
    <w:rsid w:val="00770B59"/>
    <w:rsid w:val="00771B3A"/>
    <w:rsid w:val="007735CB"/>
    <w:rsid w:val="007738C6"/>
    <w:rsid w:val="00775316"/>
    <w:rsid w:val="007908C8"/>
    <w:rsid w:val="00792738"/>
    <w:rsid w:val="00794F6A"/>
    <w:rsid w:val="007960EA"/>
    <w:rsid w:val="007A2F09"/>
    <w:rsid w:val="007A3AE3"/>
    <w:rsid w:val="007A78F2"/>
    <w:rsid w:val="007A7C63"/>
    <w:rsid w:val="007B2792"/>
    <w:rsid w:val="007B344C"/>
    <w:rsid w:val="007B34C8"/>
    <w:rsid w:val="007B3D03"/>
    <w:rsid w:val="007B45B5"/>
    <w:rsid w:val="007B6585"/>
    <w:rsid w:val="007B6C0A"/>
    <w:rsid w:val="007B70B0"/>
    <w:rsid w:val="007C048F"/>
    <w:rsid w:val="007C3E5B"/>
    <w:rsid w:val="007C5190"/>
    <w:rsid w:val="007D6120"/>
    <w:rsid w:val="007E2BC0"/>
    <w:rsid w:val="007E2E64"/>
    <w:rsid w:val="007E578C"/>
    <w:rsid w:val="007F02DC"/>
    <w:rsid w:val="007F11A5"/>
    <w:rsid w:val="007F382A"/>
    <w:rsid w:val="007F64C5"/>
    <w:rsid w:val="007F6614"/>
    <w:rsid w:val="007F7341"/>
    <w:rsid w:val="008018D6"/>
    <w:rsid w:val="00802911"/>
    <w:rsid w:val="008139BD"/>
    <w:rsid w:val="008203F4"/>
    <w:rsid w:val="0082440E"/>
    <w:rsid w:val="00832622"/>
    <w:rsid w:val="00834D1D"/>
    <w:rsid w:val="008400AC"/>
    <w:rsid w:val="008447A7"/>
    <w:rsid w:val="00844B03"/>
    <w:rsid w:val="00845143"/>
    <w:rsid w:val="0084654D"/>
    <w:rsid w:val="008474FA"/>
    <w:rsid w:val="008474FB"/>
    <w:rsid w:val="00851A88"/>
    <w:rsid w:val="0086193C"/>
    <w:rsid w:val="0086333C"/>
    <w:rsid w:val="008633B6"/>
    <w:rsid w:val="0086569C"/>
    <w:rsid w:val="00866192"/>
    <w:rsid w:val="008734EB"/>
    <w:rsid w:val="008764D3"/>
    <w:rsid w:val="00883358"/>
    <w:rsid w:val="0088443C"/>
    <w:rsid w:val="008913C5"/>
    <w:rsid w:val="00894591"/>
    <w:rsid w:val="008A0E96"/>
    <w:rsid w:val="008A3347"/>
    <w:rsid w:val="008A5B6C"/>
    <w:rsid w:val="008B0572"/>
    <w:rsid w:val="008B1028"/>
    <w:rsid w:val="008B11A0"/>
    <w:rsid w:val="008B271A"/>
    <w:rsid w:val="008B405C"/>
    <w:rsid w:val="008B7445"/>
    <w:rsid w:val="008D0BEB"/>
    <w:rsid w:val="008D18A9"/>
    <w:rsid w:val="008D2698"/>
    <w:rsid w:val="008D30C6"/>
    <w:rsid w:val="008D3D10"/>
    <w:rsid w:val="008D5B63"/>
    <w:rsid w:val="008E11AC"/>
    <w:rsid w:val="008E4A61"/>
    <w:rsid w:val="008E644E"/>
    <w:rsid w:val="008E6AAA"/>
    <w:rsid w:val="008E7593"/>
    <w:rsid w:val="008F578C"/>
    <w:rsid w:val="008F5DAF"/>
    <w:rsid w:val="008F61DD"/>
    <w:rsid w:val="00901615"/>
    <w:rsid w:val="00902ED4"/>
    <w:rsid w:val="009035E4"/>
    <w:rsid w:val="0090467A"/>
    <w:rsid w:val="009066DA"/>
    <w:rsid w:val="00906C61"/>
    <w:rsid w:val="009126DF"/>
    <w:rsid w:val="00914C87"/>
    <w:rsid w:val="009203D7"/>
    <w:rsid w:val="00920E97"/>
    <w:rsid w:val="00922DC0"/>
    <w:rsid w:val="00924B60"/>
    <w:rsid w:val="00924D3E"/>
    <w:rsid w:val="00925E87"/>
    <w:rsid w:val="00926E79"/>
    <w:rsid w:val="009332FE"/>
    <w:rsid w:val="00933C5E"/>
    <w:rsid w:val="0093484F"/>
    <w:rsid w:val="00934952"/>
    <w:rsid w:val="00934AD9"/>
    <w:rsid w:val="00935301"/>
    <w:rsid w:val="00937E12"/>
    <w:rsid w:val="00940BB1"/>
    <w:rsid w:val="009432D9"/>
    <w:rsid w:val="00943F7A"/>
    <w:rsid w:val="00945DCE"/>
    <w:rsid w:val="00947444"/>
    <w:rsid w:val="009503D6"/>
    <w:rsid w:val="009506FF"/>
    <w:rsid w:val="00950D5E"/>
    <w:rsid w:val="009562C1"/>
    <w:rsid w:val="00962193"/>
    <w:rsid w:val="0096351B"/>
    <w:rsid w:val="00965EB3"/>
    <w:rsid w:val="0097071E"/>
    <w:rsid w:val="009711E1"/>
    <w:rsid w:val="00971E53"/>
    <w:rsid w:val="0097223D"/>
    <w:rsid w:val="0097241C"/>
    <w:rsid w:val="009772D3"/>
    <w:rsid w:val="009801C1"/>
    <w:rsid w:val="0098493D"/>
    <w:rsid w:val="0098666B"/>
    <w:rsid w:val="00992E31"/>
    <w:rsid w:val="00996EFF"/>
    <w:rsid w:val="009A01C6"/>
    <w:rsid w:val="009A0B26"/>
    <w:rsid w:val="009A1C2E"/>
    <w:rsid w:val="009A1CD9"/>
    <w:rsid w:val="009A53EC"/>
    <w:rsid w:val="009A6EBF"/>
    <w:rsid w:val="009B0E48"/>
    <w:rsid w:val="009B1667"/>
    <w:rsid w:val="009B5AE3"/>
    <w:rsid w:val="009B7098"/>
    <w:rsid w:val="009C2058"/>
    <w:rsid w:val="009C2BE8"/>
    <w:rsid w:val="009C4189"/>
    <w:rsid w:val="009D1142"/>
    <w:rsid w:val="009D1498"/>
    <w:rsid w:val="009D55D1"/>
    <w:rsid w:val="009D695E"/>
    <w:rsid w:val="009D7D31"/>
    <w:rsid w:val="009E544F"/>
    <w:rsid w:val="009E74DB"/>
    <w:rsid w:val="009E7A1C"/>
    <w:rsid w:val="009F0519"/>
    <w:rsid w:val="009F0BFA"/>
    <w:rsid w:val="009F3100"/>
    <w:rsid w:val="009F6F04"/>
    <w:rsid w:val="009F703D"/>
    <w:rsid w:val="00A016D8"/>
    <w:rsid w:val="00A02351"/>
    <w:rsid w:val="00A02DBA"/>
    <w:rsid w:val="00A11954"/>
    <w:rsid w:val="00A1283D"/>
    <w:rsid w:val="00A14EAD"/>
    <w:rsid w:val="00A224E1"/>
    <w:rsid w:val="00A30618"/>
    <w:rsid w:val="00A3382A"/>
    <w:rsid w:val="00A34292"/>
    <w:rsid w:val="00A356A6"/>
    <w:rsid w:val="00A36F20"/>
    <w:rsid w:val="00A3720F"/>
    <w:rsid w:val="00A4013E"/>
    <w:rsid w:val="00A403DD"/>
    <w:rsid w:val="00A408F5"/>
    <w:rsid w:val="00A43878"/>
    <w:rsid w:val="00A44756"/>
    <w:rsid w:val="00A44DA9"/>
    <w:rsid w:val="00A47E31"/>
    <w:rsid w:val="00A538AF"/>
    <w:rsid w:val="00A53F54"/>
    <w:rsid w:val="00A552B7"/>
    <w:rsid w:val="00A5636F"/>
    <w:rsid w:val="00A606B6"/>
    <w:rsid w:val="00A63DC4"/>
    <w:rsid w:val="00A70691"/>
    <w:rsid w:val="00A73AF3"/>
    <w:rsid w:val="00A81E65"/>
    <w:rsid w:val="00A843D8"/>
    <w:rsid w:val="00A84C6F"/>
    <w:rsid w:val="00A86413"/>
    <w:rsid w:val="00AA107E"/>
    <w:rsid w:val="00AA4071"/>
    <w:rsid w:val="00AA4669"/>
    <w:rsid w:val="00AA468E"/>
    <w:rsid w:val="00AA47AC"/>
    <w:rsid w:val="00AB126C"/>
    <w:rsid w:val="00AB2FF8"/>
    <w:rsid w:val="00AB3FA6"/>
    <w:rsid w:val="00AB42DE"/>
    <w:rsid w:val="00AC1F36"/>
    <w:rsid w:val="00AD0A53"/>
    <w:rsid w:val="00AD4157"/>
    <w:rsid w:val="00AD46BE"/>
    <w:rsid w:val="00AD4F40"/>
    <w:rsid w:val="00AE01FB"/>
    <w:rsid w:val="00AE0A48"/>
    <w:rsid w:val="00AE18F7"/>
    <w:rsid w:val="00AF0BF5"/>
    <w:rsid w:val="00AF2107"/>
    <w:rsid w:val="00AF2BE7"/>
    <w:rsid w:val="00AF7580"/>
    <w:rsid w:val="00B00696"/>
    <w:rsid w:val="00B055F3"/>
    <w:rsid w:val="00B0666C"/>
    <w:rsid w:val="00B1509C"/>
    <w:rsid w:val="00B16F4D"/>
    <w:rsid w:val="00B20EE5"/>
    <w:rsid w:val="00B24088"/>
    <w:rsid w:val="00B26519"/>
    <w:rsid w:val="00B265AE"/>
    <w:rsid w:val="00B30346"/>
    <w:rsid w:val="00B30FAF"/>
    <w:rsid w:val="00B31214"/>
    <w:rsid w:val="00B335F2"/>
    <w:rsid w:val="00B35A70"/>
    <w:rsid w:val="00B374B3"/>
    <w:rsid w:val="00B40805"/>
    <w:rsid w:val="00B4467D"/>
    <w:rsid w:val="00B45A29"/>
    <w:rsid w:val="00B523C6"/>
    <w:rsid w:val="00B53E16"/>
    <w:rsid w:val="00B54DDF"/>
    <w:rsid w:val="00B55EE7"/>
    <w:rsid w:val="00B562B4"/>
    <w:rsid w:val="00B57615"/>
    <w:rsid w:val="00B627BA"/>
    <w:rsid w:val="00B6360C"/>
    <w:rsid w:val="00B64322"/>
    <w:rsid w:val="00B65252"/>
    <w:rsid w:val="00B6547D"/>
    <w:rsid w:val="00B65532"/>
    <w:rsid w:val="00B66966"/>
    <w:rsid w:val="00B66E43"/>
    <w:rsid w:val="00B70548"/>
    <w:rsid w:val="00B737B3"/>
    <w:rsid w:val="00B74A1A"/>
    <w:rsid w:val="00B774DA"/>
    <w:rsid w:val="00B77A22"/>
    <w:rsid w:val="00B84CB7"/>
    <w:rsid w:val="00B900DE"/>
    <w:rsid w:val="00B903B2"/>
    <w:rsid w:val="00B904EF"/>
    <w:rsid w:val="00B936A9"/>
    <w:rsid w:val="00B942F0"/>
    <w:rsid w:val="00B9558F"/>
    <w:rsid w:val="00B96A67"/>
    <w:rsid w:val="00BA10A9"/>
    <w:rsid w:val="00BA2100"/>
    <w:rsid w:val="00BA3002"/>
    <w:rsid w:val="00BA3982"/>
    <w:rsid w:val="00BA44BA"/>
    <w:rsid w:val="00BA56DD"/>
    <w:rsid w:val="00BB3574"/>
    <w:rsid w:val="00BB5C9C"/>
    <w:rsid w:val="00BC1D92"/>
    <w:rsid w:val="00BC3E52"/>
    <w:rsid w:val="00BC7684"/>
    <w:rsid w:val="00BD0369"/>
    <w:rsid w:val="00BD6DC1"/>
    <w:rsid w:val="00BE04FF"/>
    <w:rsid w:val="00BE2DCC"/>
    <w:rsid w:val="00BE5271"/>
    <w:rsid w:val="00BE66B4"/>
    <w:rsid w:val="00BF0A1F"/>
    <w:rsid w:val="00BF48E2"/>
    <w:rsid w:val="00BF5D35"/>
    <w:rsid w:val="00BF6908"/>
    <w:rsid w:val="00C002AE"/>
    <w:rsid w:val="00C014AC"/>
    <w:rsid w:val="00C05574"/>
    <w:rsid w:val="00C11C91"/>
    <w:rsid w:val="00C13296"/>
    <w:rsid w:val="00C169F8"/>
    <w:rsid w:val="00C1706B"/>
    <w:rsid w:val="00C20AC3"/>
    <w:rsid w:val="00C2130C"/>
    <w:rsid w:val="00C232C8"/>
    <w:rsid w:val="00C265E5"/>
    <w:rsid w:val="00C3533D"/>
    <w:rsid w:val="00C504E7"/>
    <w:rsid w:val="00C50E7B"/>
    <w:rsid w:val="00C517C9"/>
    <w:rsid w:val="00C51E4F"/>
    <w:rsid w:val="00C52372"/>
    <w:rsid w:val="00C52B4D"/>
    <w:rsid w:val="00C6029C"/>
    <w:rsid w:val="00C63605"/>
    <w:rsid w:val="00C63D3C"/>
    <w:rsid w:val="00C721A0"/>
    <w:rsid w:val="00C72F3B"/>
    <w:rsid w:val="00C76683"/>
    <w:rsid w:val="00C82E4C"/>
    <w:rsid w:val="00C85EB3"/>
    <w:rsid w:val="00C93D7F"/>
    <w:rsid w:val="00C94C2C"/>
    <w:rsid w:val="00C9570B"/>
    <w:rsid w:val="00CA0AD6"/>
    <w:rsid w:val="00CA173F"/>
    <w:rsid w:val="00CA3059"/>
    <w:rsid w:val="00CA3459"/>
    <w:rsid w:val="00CA3FA4"/>
    <w:rsid w:val="00CA578E"/>
    <w:rsid w:val="00CB1B60"/>
    <w:rsid w:val="00CB5ED3"/>
    <w:rsid w:val="00CC015B"/>
    <w:rsid w:val="00CC1A6C"/>
    <w:rsid w:val="00CC5BB0"/>
    <w:rsid w:val="00CC78DB"/>
    <w:rsid w:val="00CC7FC1"/>
    <w:rsid w:val="00CD00FD"/>
    <w:rsid w:val="00CD12F8"/>
    <w:rsid w:val="00CD1E68"/>
    <w:rsid w:val="00CD638A"/>
    <w:rsid w:val="00CD7E9E"/>
    <w:rsid w:val="00CE35DC"/>
    <w:rsid w:val="00CE6A78"/>
    <w:rsid w:val="00CF25F6"/>
    <w:rsid w:val="00CF543E"/>
    <w:rsid w:val="00CF5A35"/>
    <w:rsid w:val="00CF6A8D"/>
    <w:rsid w:val="00D025A9"/>
    <w:rsid w:val="00D215C5"/>
    <w:rsid w:val="00D23CE7"/>
    <w:rsid w:val="00D244E4"/>
    <w:rsid w:val="00D24875"/>
    <w:rsid w:val="00D24C5E"/>
    <w:rsid w:val="00D26F59"/>
    <w:rsid w:val="00D358BD"/>
    <w:rsid w:val="00D371E1"/>
    <w:rsid w:val="00D40855"/>
    <w:rsid w:val="00D4246C"/>
    <w:rsid w:val="00D44C2F"/>
    <w:rsid w:val="00D47B91"/>
    <w:rsid w:val="00D5099F"/>
    <w:rsid w:val="00D54FE9"/>
    <w:rsid w:val="00D565E2"/>
    <w:rsid w:val="00D569B6"/>
    <w:rsid w:val="00D61541"/>
    <w:rsid w:val="00D6159D"/>
    <w:rsid w:val="00D61EA1"/>
    <w:rsid w:val="00D6561B"/>
    <w:rsid w:val="00D6713E"/>
    <w:rsid w:val="00D732A4"/>
    <w:rsid w:val="00D7339A"/>
    <w:rsid w:val="00D7344B"/>
    <w:rsid w:val="00D75154"/>
    <w:rsid w:val="00D76AB2"/>
    <w:rsid w:val="00D76C34"/>
    <w:rsid w:val="00D777E8"/>
    <w:rsid w:val="00D77F24"/>
    <w:rsid w:val="00D82866"/>
    <w:rsid w:val="00D91E3D"/>
    <w:rsid w:val="00D96EBA"/>
    <w:rsid w:val="00D97708"/>
    <w:rsid w:val="00D9783D"/>
    <w:rsid w:val="00DA1C0F"/>
    <w:rsid w:val="00DA6334"/>
    <w:rsid w:val="00DA6F43"/>
    <w:rsid w:val="00DA75EF"/>
    <w:rsid w:val="00DA79BF"/>
    <w:rsid w:val="00DC048A"/>
    <w:rsid w:val="00DC7651"/>
    <w:rsid w:val="00DE29FC"/>
    <w:rsid w:val="00DE4DA8"/>
    <w:rsid w:val="00DE5C57"/>
    <w:rsid w:val="00DE5E76"/>
    <w:rsid w:val="00DE669C"/>
    <w:rsid w:val="00DE6B1C"/>
    <w:rsid w:val="00DE7713"/>
    <w:rsid w:val="00DF196A"/>
    <w:rsid w:val="00DF5A78"/>
    <w:rsid w:val="00DF5AEC"/>
    <w:rsid w:val="00E01248"/>
    <w:rsid w:val="00E02920"/>
    <w:rsid w:val="00E034C1"/>
    <w:rsid w:val="00E0648E"/>
    <w:rsid w:val="00E11C67"/>
    <w:rsid w:val="00E12B81"/>
    <w:rsid w:val="00E16FD5"/>
    <w:rsid w:val="00E25361"/>
    <w:rsid w:val="00E31576"/>
    <w:rsid w:val="00E35E91"/>
    <w:rsid w:val="00E41D3E"/>
    <w:rsid w:val="00E430BA"/>
    <w:rsid w:val="00E437A1"/>
    <w:rsid w:val="00E47A2C"/>
    <w:rsid w:val="00E47E64"/>
    <w:rsid w:val="00E50A9F"/>
    <w:rsid w:val="00E50C5D"/>
    <w:rsid w:val="00E51DD8"/>
    <w:rsid w:val="00E52D29"/>
    <w:rsid w:val="00E55DCD"/>
    <w:rsid w:val="00E63A5C"/>
    <w:rsid w:val="00E7247A"/>
    <w:rsid w:val="00E7626D"/>
    <w:rsid w:val="00E8099A"/>
    <w:rsid w:val="00E812C7"/>
    <w:rsid w:val="00E82AAC"/>
    <w:rsid w:val="00E832BD"/>
    <w:rsid w:val="00E8496C"/>
    <w:rsid w:val="00E84F77"/>
    <w:rsid w:val="00E858DA"/>
    <w:rsid w:val="00E90656"/>
    <w:rsid w:val="00E91EA6"/>
    <w:rsid w:val="00E94C45"/>
    <w:rsid w:val="00E97191"/>
    <w:rsid w:val="00EA43B8"/>
    <w:rsid w:val="00EB4F8A"/>
    <w:rsid w:val="00EB73C0"/>
    <w:rsid w:val="00EC26A5"/>
    <w:rsid w:val="00EC49F2"/>
    <w:rsid w:val="00EC5E0B"/>
    <w:rsid w:val="00EC68DB"/>
    <w:rsid w:val="00EC7CB0"/>
    <w:rsid w:val="00ED0D95"/>
    <w:rsid w:val="00ED1ACE"/>
    <w:rsid w:val="00ED73C7"/>
    <w:rsid w:val="00EE2188"/>
    <w:rsid w:val="00EE32B9"/>
    <w:rsid w:val="00EE5348"/>
    <w:rsid w:val="00F014BA"/>
    <w:rsid w:val="00F027C6"/>
    <w:rsid w:val="00F064B2"/>
    <w:rsid w:val="00F11C23"/>
    <w:rsid w:val="00F1361D"/>
    <w:rsid w:val="00F229D0"/>
    <w:rsid w:val="00F23D98"/>
    <w:rsid w:val="00F26F21"/>
    <w:rsid w:val="00F3246B"/>
    <w:rsid w:val="00F4080D"/>
    <w:rsid w:val="00F410B6"/>
    <w:rsid w:val="00F44D2D"/>
    <w:rsid w:val="00F4778F"/>
    <w:rsid w:val="00F50395"/>
    <w:rsid w:val="00F50615"/>
    <w:rsid w:val="00F51344"/>
    <w:rsid w:val="00F51BE3"/>
    <w:rsid w:val="00F535E1"/>
    <w:rsid w:val="00F54A23"/>
    <w:rsid w:val="00F56082"/>
    <w:rsid w:val="00F643E7"/>
    <w:rsid w:val="00F6479C"/>
    <w:rsid w:val="00F65D22"/>
    <w:rsid w:val="00F67FF1"/>
    <w:rsid w:val="00F756A4"/>
    <w:rsid w:val="00F75CB5"/>
    <w:rsid w:val="00F81822"/>
    <w:rsid w:val="00F829B8"/>
    <w:rsid w:val="00F86675"/>
    <w:rsid w:val="00F86890"/>
    <w:rsid w:val="00F86A3B"/>
    <w:rsid w:val="00F87002"/>
    <w:rsid w:val="00F90D05"/>
    <w:rsid w:val="00F963B3"/>
    <w:rsid w:val="00F96A7C"/>
    <w:rsid w:val="00FA01DB"/>
    <w:rsid w:val="00FA080A"/>
    <w:rsid w:val="00FA253C"/>
    <w:rsid w:val="00FA40D2"/>
    <w:rsid w:val="00FB3DC8"/>
    <w:rsid w:val="00FB6EE9"/>
    <w:rsid w:val="00FB7F0F"/>
    <w:rsid w:val="00FC0C27"/>
    <w:rsid w:val="00FC12A9"/>
    <w:rsid w:val="00FC333D"/>
    <w:rsid w:val="00FC35DC"/>
    <w:rsid w:val="00FC44F1"/>
    <w:rsid w:val="00FC4AFE"/>
    <w:rsid w:val="00FD04B8"/>
    <w:rsid w:val="00FD2F1F"/>
    <w:rsid w:val="00FD3D92"/>
    <w:rsid w:val="00FD692F"/>
    <w:rsid w:val="00FE0DA7"/>
    <w:rsid w:val="00FE12AC"/>
    <w:rsid w:val="00FE1FC6"/>
    <w:rsid w:val="00FE31AB"/>
    <w:rsid w:val="00FE3B15"/>
    <w:rsid w:val="00FE48EE"/>
    <w:rsid w:val="00FE5885"/>
    <w:rsid w:val="00FE5B46"/>
    <w:rsid w:val="00FE77C8"/>
    <w:rsid w:val="00FE787E"/>
    <w:rsid w:val="00FF1870"/>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A1C6-43F0-45BC-8DD0-1EF0EB86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rPr>
  </w:style>
  <w:style w:type="character" w:customStyle="1" w:styleId="FootnoteTextChar">
    <w:name w:val="Footnote Text Char"/>
    <w:link w:val="FootnoteText"/>
    <w:uiPriority w:val="99"/>
    <w:rsid w:val="009506FF"/>
    <w:rPr>
      <w:rFonts w:ascii="Arial" w:eastAsia="Times New Roman" w:hAnsi="Arial"/>
      <w:sz w:val="24"/>
      <w:szCs w:val="24"/>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rPr>
  </w:style>
  <w:style w:type="character" w:customStyle="1" w:styleId="Heading3Char">
    <w:name w:val="Heading 3 Char"/>
    <w:link w:val="Heading3"/>
    <w:uiPriority w:val="9"/>
    <w:rsid w:val="003337F1"/>
    <w:rPr>
      <w:rFonts w:eastAsia="Times New Roman"/>
      <w:b/>
      <w:bCs/>
      <w:sz w:val="26"/>
      <w:szCs w:val="26"/>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rPr>
  </w:style>
  <w:style w:type="character" w:customStyle="1" w:styleId="DocumentMapChar">
    <w:name w:val="Document Map Char"/>
    <w:link w:val="DocumentMap"/>
    <w:uiPriority w:val="99"/>
    <w:semiHidden/>
    <w:rsid w:val="003337F1"/>
    <w:rPr>
      <w:rFonts w:ascii="Lucida Grande" w:eastAsia="Times New Roman" w:hAnsi="Lucida Grande"/>
      <w:sz w:val="24"/>
      <w:szCs w:val="24"/>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styleId="EndnoteText">
    <w:name w:val="endnote text"/>
    <w:basedOn w:val="Normal"/>
    <w:link w:val="EndnoteTextChar"/>
    <w:uiPriority w:val="99"/>
    <w:semiHidden/>
    <w:unhideWhenUsed/>
    <w:rsid w:val="00A11954"/>
    <w:rPr>
      <w:sz w:val="20"/>
      <w:szCs w:val="20"/>
    </w:rPr>
  </w:style>
  <w:style w:type="character" w:customStyle="1" w:styleId="EndnoteTextChar">
    <w:name w:val="Endnote Text Char"/>
    <w:basedOn w:val="DefaultParagraphFont"/>
    <w:link w:val="EndnoteText"/>
    <w:uiPriority w:val="99"/>
    <w:semiHidden/>
    <w:rsid w:val="00A11954"/>
  </w:style>
  <w:style w:type="character" w:styleId="EndnoteReference">
    <w:name w:val="endnote reference"/>
    <w:uiPriority w:val="99"/>
    <w:semiHidden/>
    <w:unhideWhenUsed/>
    <w:rsid w:val="00A11954"/>
    <w:rPr>
      <w:vertAlign w:val="superscript"/>
    </w:rPr>
  </w:style>
  <w:style w:type="paragraph" w:styleId="NormalWeb">
    <w:name w:val="Normal (Web)"/>
    <w:basedOn w:val="Normal"/>
    <w:uiPriority w:val="99"/>
    <w:semiHidden/>
    <w:unhideWhenUsed/>
    <w:rsid w:val="0027633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76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04558">
      <w:bodyDiv w:val="1"/>
      <w:marLeft w:val="0"/>
      <w:marRight w:val="0"/>
      <w:marTop w:val="0"/>
      <w:marBottom w:val="0"/>
      <w:divBdr>
        <w:top w:val="none" w:sz="0" w:space="0" w:color="auto"/>
        <w:left w:val="none" w:sz="0" w:space="0" w:color="auto"/>
        <w:bottom w:val="none" w:sz="0" w:space="0" w:color="auto"/>
        <w:right w:val="none" w:sz="0" w:space="0" w:color="auto"/>
      </w:divBdr>
    </w:div>
    <w:div w:id="9591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1afb1bd-f2fb-40fd-9abb-aea55b4d7662">2018</Year>
    <Judgment_x0020_Date xmlns="17a0f4bd-1162-49ac-b85f-dfe96a90bc01">2018-04-19T18:30:00+00:00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E606-F08C-4F0A-B9A2-3A12B35FD2CC}"/>
</file>

<file path=customXml/itemProps2.xml><?xml version="1.0" encoding="utf-8"?>
<ds:datastoreItem xmlns:ds="http://schemas.openxmlformats.org/officeDocument/2006/customXml" ds:itemID="{E232AD32-6C92-471A-9F08-F60B74C06F22}"/>
</file>

<file path=customXml/itemProps3.xml><?xml version="1.0" encoding="utf-8"?>
<ds:datastoreItem xmlns:ds="http://schemas.openxmlformats.org/officeDocument/2006/customXml" ds:itemID="{A7822F94-BBA8-4DDD-9BA1-3A79E6EFAD35}"/>
</file>

<file path=customXml/itemProps4.xml><?xml version="1.0" encoding="utf-8"?>
<ds:datastoreItem xmlns:ds="http://schemas.openxmlformats.org/officeDocument/2006/customXml" ds:itemID="{E4C08B8F-120F-4BF5-8A02-5C2A62CEDDCD}"/>
</file>

<file path=docProps/app.xml><?xml version="1.0" encoding="utf-8"?>
<Properties xmlns="http://schemas.openxmlformats.org/officeDocument/2006/extended-properties" xmlns:vt="http://schemas.openxmlformats.org/officeDocument/2006/docPropsVTypes">
  <Template>JUDGMENT TEMPLATE</Template>
  <TotalTime>15</TotalTime>
  <Pages>17</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32131</CharactersWithSpaces>
  <SharedDoc>false</SharedDoc>
  <HLinks>
    <vt:vector size="12" baseType="variant">
      <vt:variant>
        <vt:i4>6357038</vt:i4>
      </vt:variant>
      <vt:variant>
        <vt:i4>3</vt:i4>
      </vt:variant>
      <vt:variant>
        <vt:i4>0</vt:i4>
      </vt:variant>
      <vt:variant>
        <vt:i4>5</vt:i4>
      </vt:variant>
      <vt:variant>
        <vt:lpwstr>http://www.saflii.org/na/cases/NAHCMD/2013/67.html</vt:lpwstr>
      </vt:variant>
      <vt:variant>
        <vt:lpwstr/>
      </vt:variant>
      <vt:variant>
        <vt:i4>6291582</vt:i4>
      </vt:variant>
      <vt:variant>
        <vt:i4>0</vt:i4>
      </vt:variant>
      <vt:variant>
        <vt:i4>0</vt:i4>
      </vt:variant>
      <vt:variant>
        <vt:i4>5</vt:i4>
      </vt:variant>
      <vt:variant>
        <vt:lpwstr>http://www.saflii.org/na/cases/NAHCMD/2013/185.html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Mwoombola vs The Master of the High Court</dc:title>
  <dc:creator>High Court Judge 5</dc:creator>
  <cp:lastModifiedBy>Nicole Januarie</cp:lastModifiedBy>
  <cp:revision>6</cp:revision>
  <cp:lastPrinted>2013-07-29T10:25:00Z</cp:lastPrinted>
  <dcterms:created xsi:type="dcterms:W3CDTF">2018-04-20T13:05:00Z</dcterms:created>
  <dcterms:modified xsi:type="dcterms:W3CDTF">2018-04-20T13:21:00Z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277500</vt:r8>
  </property>
  <property fmtid="{D5CDD505-2E9C-101B-9397-08002B2CF9AE}" pid="3" name="WorkflowChangePath">
    <vt:lpwstr>0311da68-e013-4ac6-902b-412b81a02448,4;0311da68-e013-4ac6-902b-412b81a02448,6;0311da68-e013-4ac6-902b-412b81a02448,8;0311da68-e013-4ac6-902b-412b81a02448,11;</vt:lpwstr>
  </property>
  <property fmtid="{D5CDD505-2E9C-101B-9397-08002B2CF9AE}" pid="4" name="ContentTypeId">
    <vt:lpwstr>0x0101000ECE0F99B3F8644397ECB0C536651393</vt:lpwstr>
  </property>
</Properties>
</file>