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7F" w:rsidRPr="007613D3" w:rsidRDefault="0016457F" w:rsidP="0016457F">
      <w:pPr>
        <w:spacing w:after="0" w:line="360" w:lineRule="auto"/>
        <w:jc w:val="center"/>
        <w:rPr>
          <w:rFonts w:ascii="Arial" w:hAnsi="Arial" w:cs="Arial"/>
          <w:b/>
          <w:sz w:val="24"/>
          <w:szCs w:val="24"/>
          <w:lang w:val="en-ZA"/>
        </w:rPr>
      </w:pPr>
      <w:r w:rsidRPr="007613D3">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9A74F14" wp14:editId="02918A03">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6457F" w:rsidRPr="000A0FD8" w:rsidRDefault="0016457F" w:rsidP="0016457F">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A74F14"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6457F" w:rsidRPr="000A0FD8" w:rsidRDefault="0016457F" w:rsidP="0016457F">
                      <w:pPr>
                        <w:jc w:val="right"/>
                        <w:rPr>
                          <w:rFonts w:ascii="Arial" w:hAnsi="Arial" w:cs="Arial"/>
                          <w:b/>
                          <w:sz w:val="24"/>
                          <w:szCs w:val="24"/>
                        </w:rPr>
                      </w:pPr>
                    </w:p>
                  </w:txbxContent>
                </v:textbox>
                <w10:wrap anchorx="margin"/>
              </v:shape>
            </w:pict>
          </mc:Fallback>
        </mc:AlternateContent>
      </w:r>
      <w:r w:rsidRPr="007613D3">
        <w:rPr>
          <w:rFonts w:ascii="Arial" w:hAnsi="Arial" w:cs="Arial"/>
          <w:b/>
          <w:sz w:val="24"/>
          <w:szCs w:val="24"/>
          <w:lang w:val="en-ZA"/>
        </w:rPr>
        <w:t>REPUBLIC OF NAMIBIA</w:t>
      </w:r>
    </w:p>
    <w:p w:rsidR="0016457F" w:rsidRPr="007613D3" w:rsidRDefault="0016457F" w:rsidP="0016457F">
      <w:pPr>
        <w:spacing w:after="0" w:line="360" w:lineRule="auto"/>
        <w:jc w:val="both"/>
        <w:rPr>
          <w:rFonts w:ascii="Arial" w:hAnsi="Arial" w:cs="Arial"/>
          <w:b/>
          <w:sz w:val="24"/>
          <w:szCs w:val="24"/>
          <w:lang w:val="en-ZA"/>
        </w:rPr>
      </w:pPr>
      <w:r w:rsidRPr="007613D3">
        <w:rPr>
          <w:rFonts w:ascii="Arial" w:hAnsi="Arial" w:cs="Arial"/>
          <w:b/>
          <w:noProof/>
          <w:sz w:val="24"/>
          <w:szCs w:val="24"/>
          <w:lang w:val="en-US"/>
        </w:rPr>
        <w:drawing>
          <wp:anchor distT="0" distB="0" distL="114300" distR="114300" simplePos="0" relativeHeight="251660288" behindDoc="0" locked="0" layoutInCell="1" allowOverlap="1" wp14:anchorId="4DFCE823" wp14:editId="7A626173">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16457F" w:rsidRPr="007613D3" w:rsidRDefault="0016457F" w:rsidP="0016457F">
      <w:pPr>
        <w:spacing w:after="0" w:line="360" w:lineRule="auto"/>
        <w:jc w:val="both"/>
        <w:rPr>
          <w:rFonts w:ascii="Arial" w:hAnsi="Arial" w:cs="Arial"/>
          <w:b/>
          <w:sz w:val="24"/>
          <w:szCs w:val="24"/>
          <w:lang w:val="en-ZA"/>
        </w:rPr>
      </w:pPr>
    </w:p>
    <w:p w:rsidR="0016457F" w:rsidRPr="007613D3" w:rsidRDefault="0016457F" w:rsidP="0016457F">
      <w:pPr>
        <w:spacing w:after="0" w:line="360" w:lineRule="auto"/>
        <w:jc w:val="both"/>
        <w:rPr>
          <w:rFonts w:ascii="Arial" w:hAnsi="Arial" w:cs="Arial"/>
          <w:b/>
          <w:sz w:val="24"/>
          <w:szCs w:val="24"/>
          <w:lang w:val="en-ZA"/>
        </w:rPr>
      </w:pPr>
    </w:p>
    <w:p w:rsidR="0016457F" w:rsidRPr="007613D3" w:rsidRDefault="0016457F" w:rsidP="0016457F">
      <w:pPr>
        <w:spacing w:after="0" w:line="360" w:lineRule="auto"/>
        <w:jc w:val="both"/>
        <w:rPr>
          <w:rFonts w:ascii="Arial" w:hAnsi="Arial" w:cs="Arial"/>
          <w:b/>
          <w:sz w:val="24"/>
          <w:szCs w:val="24"/>
          <w:lang w:val="en-ZA"/>
        </w:rPr>
      </w:pPr>
    </w:p>
    <w:p w:rsidR="0016457F" w:rsidRPr="007613D3" w:rsidRDefault="0016457F" w:rsidP="0016457F">
      <w:pPr>
        <w:spacing w:after="0" w:line="360" w:lineRule="auto"/>
        <w:jc w:val="both"/>
        <w:rPr>
          <w:rFonts w:ascii="Arial" w:hAnsi="Arial" w:cs="Arial"/>
          <w:b/>
          <w:sz w:val="24"/>
          <w:szCs w:val="24"/>
          <w:lang w:val="en-ZA"/>
        </w:rPr>
      </w:pPr>
    </w:p>
    <w:p w:rsidR="0016457F" w:rsidRPr="007613D3" w:rsidRDefault="0016457F" w:rsidP="0016457F">
      <w:pPr>
        <w:spacing w:after="0" w:line="360" w:lineRule="auto"/>
        <w:jc w:val="both"/>
        <w:rPr>
          <w:rFonts w:ascii="Arial" w:hAnsi="Arial" w:cs="Arial"/>
          <w:b/>
          <w:sz w:val="24"/>
          <w:szCs w:val="24"/>
          <w:lang w:val="en-ZA"/>
        </w:rPr>
      </w:pPr>
    </w:p>
    <w:p w:rsidR="0016457F" w:rsidRPr="007613D3" w:rsidRDefault="0016457F" w:rsidP="0016457F">
      <w:pPr>
        <w:spacing w:after="0" w:line="360" w:lineRule="auto"/>
        <w:jc w:val="both"/>
        <w:rPr>
          <w:rFonts w:ascii="Arial" w:hAnsi="Arial" w:cs="Arial"/>
          <w:b/>
          <w:sz w:val="24"/>
          <w:szCs w:val="24"/>
          <w:lang w:val="en-ZA"/>
        </w:rPr>
      </w:pPr>
    </w:p>
    <w:p w:rsidR="0016457F" w:rsidRDefault="0016457F" w:rsidP="0016457F">
      <w:pPr>
        <w:spacing w:after="0" w:line="360" w:lineRule="auto"/>
        <w:jc w:val="center"/>
        <w:rPr>
          <w:rFonts w:ascii="Arial" w:hAnsi="Arial" w:cs="Arial"/>
          <w:b/>
          <w:sz w:val="24"/>
          <w:szCs w:val="24"/>
          <w:lang w:val="en-ZA"/>
        </w:rPr>
      </w:pPr>
      <w:r w:rsidRPr="007613D3">
        <w:rPr>
          <w:rFonts w:ascii="Arial" w:hAnsi="Arial" w:cs="Arial"/>
          <w:b/>
          <w:sz w:val="24"/>
          <w:szCs w:val="24"/>
          <w:lang w:val="en-ZA"/>
        </w:rPr>
        <w:t>HIGH COURT OF NAMIBIA, MAIN DIVISION, WINDHOEK</w:t>
      </w:r>
    </w:p>
    <w:p w:rsidR="00724A9A" w:rsidRPr="007613D3" w:rsidRDefault="00724A9A" w:rsidP="0016457F">
      <w:pPr>
        <w:spacing w:after="0" w:line="360" w:lineRule="auto"/>
        <w:jc w:val="center"/>
        <w:rPr>
          <w:rFonts w:ascii="Arial" w:hAnsi="Arial" w:cs="Arial"/>
          <w:b/>
          <w:sz w:val="24"/>
          <w:szCs w:val="24"/>
          <w:lang w:val="en-ZA"/>
        </w:rPr>
      </w:pPr>
    </w:p>
    <w:p w:rsidR="0016457F" w:rsidRDefault="0016457F" w:rsidP="0016457F">
      <w:pPr>
        <w:spacing w:after="0" w:line="360" w:lineRule="auto"/>
        <w:jc w:val="center"/>
        <w:rPr>
          <w:rFonts w:ascii="Arial" w:hAnsi="Arial" w:cs="Arial"/>
          <w:b/>
          <w:sz w:val="24"/>
          <w:szCs w:val="24"/>
          <w:lang w:val="en-ZA"/>
        </w:rPr>
      </w:pPr>
      <w:r>
        <w:rPr>
          <w:rFonts w:ascii="Arial" w:hAnsi="Arial" w:cs="Arial"/>
          <w:b/>
          <w:sz w:val="24"/>
          <w:szCs w:val="24"/>
          <w:lang w:val="en-ZA"/>
        </w:rPr>
        <w:t>RULING IN TERMS OF RULE 64</w:t>
      </w:r>
    </w:p>
    <w:p w:rsidR="0016457F" w:rsidRPr="007613D3" w:rsidRDefault="0016457F" w:rsidP="0016457F">
      <w:pPr>
        <w:spacing w:after="0" w:line="360" w:lineRule="auto"/>
        <w:jc w:val="center"/>
        <w:rPr>
          <w:rFonts w:ascii="Arial" w:hAnsi="Arial" w:cs="Arial"/>
          <w:b/>
          <w:sz w:val="24"/>
          <w:szCs w:val="24"/>
          <w:lang w:val="en-ZA"/>
        </w:rPr>
      </w:pPr>
    </w:p>
    <w:p w:rsidR="0016457F" w:rsidRPr="007613D3" w:rsidRDefault="0016457F" w:rsidP="0016457F">
      <w:pPr>
        <w:spacing w:after="0" w:line="360" w:lineRule="auto"/>
        <w:jc w:val="right"/>
        <w:rPr>
          <w:rFonts w:ascii="Arial" w:hAnsi="Arial" w:cs="Arial"/>
          <w:b/>
          <w:sz w:val="24"/>
          <w:szCs w:val="24"/>
          <w:lang w:val="en-ZA"/>
        </w:rPr>
      </w:pPr>
      <w:r w:rsidRPr="007613D3">
        <w:rPr>
          <w:rFonts w:ascii="Arial" w:hAnsi="Arial" w:cs="Arial"/>
          <w:sz w:val="24"/>
          <w:szCs w:val="24"/>
          <w:lang w:val="en-ZA"/>
        </w:rPr>
        <w:t>Case</w:t>
      </w:r>
      <w:r w:rsidRPr="007613D3">
        <w:rPr>
          <w:rFonts w:ascii="Arial" w:hAnsi="Arial" w:cs="Arial"/>
          <w:b/>
          <w:sz w:val="24"/>
          <w:szCs w:val="24"/>
          <w:lang w:val="en-ZA"/>
        </w:rPr>
        <w:t xml:space="preserve"> </w:t>
      </w:r>
      <w:r w:rsidRPr="007613D3">
        <w:rPr>
          <w:rFonts w:ascii="Arial" w:hAnsi="Arial" w:cs="Arial"/>
          <w:sz w:val="24"/>
          <w:szCs w:val="24"/>
          <w:lang w:val="en-ZA"/>
        </w:rPr>
        <w:t>No:</w:t>
      </w:r>
      <w:r w:rsidRPr="007613D3">
        <w:rPr>
          <w:rFonts w:ascii="Arial" w:hAnsi="Arial" w:cs="Arial"/>
          <w:b/>
          <w:sz w:val="24"/>
          <w:szCs w:val="24"/>
          <w:lang w:val="en-ZA"/>
        </w:rPr>
        <w:t xml:space="preserve"> </w:t>
      </w:r>
      <w:r w:rsidRPr="00745247">
        <w:rPr>
          <w:rFonts w:ascii="Arial" w:hAnsi="Arial" w:cs="Arial"/>
          <w:sz w:val="24"/>
          <w:szCs w:val="24"/>
        </w:rPr>
        <w:t>HC-MD-CIV-ACT-CON-2017/02946</w:t>
      </w:r>
    </w:p>
    <w:p w:rsidR="0016457F" w:rsidRPr="007613D3" w:rsidRDefault="0016457F" w:rsidP="0016457F">
      <w:pPr>
        <w:spacing w:after="0" w:line="360" w:lineRule="auto"/>
        <w:jc w:val="both"/>
        <w:rPr>
          <w:rFonts w:ascii="Arial" w:hAnsi="Arial" w:cs="Arial"/>
          <w:sz w:val="24"/>
          <w:szCs w:val="24"/>
          <w:lang w:val="en-ZA"/>
        </w:rPr>
      </w:pPr>
      <w:r w:rsidRPr="007613D3">
        <w:rPr>
          <w:rFonts w:ascii="Arial" w:hAnsi="Arial" w:cs="Arial"/>
          <w:sz w:val="24"/>
          <w:szCs w:val="24"/>
          <w:lang w:val="en-ZA"/>
        </w:rPr>
        <w:t>In the matter between:</w:t>
      </w:r>
    </w:p>
    <w:p w:rsidR="0016457F" w:rsidRPr="007613D3" w:rsidRDefault="0016457F" w:rsidP="0016457F">
      <w:pPr>
        <w:spacing w:after="0" w:line="360" w:lineRule="auto"/>
        <w:jc w:val="both"/>
        <w:rPr>
          <w:rFonts w:ascii="Arial" w:hAnsi="Arial" w:cs="Arial"/>
          <w:b/>
          <w:sz w:val="24"/>
          <w:szCs w:val="24"/>
          <w:lang w:val="en-ZA"/>
        </w:rPr>
      </w:pPr>
    </w:p>
    <w:p w:rsidR="0016457F" w:rsidRPr="007613D3" w:rsidRDefault="0016457F" w:rsidP="0016457F">
      <w:pPr>
        <w:spacing w:after="0" w:line="360" w:lineRule="auto"/>
        <w:jc w:val="both"/>
        <w:rPr>
          <w:rFonts w:ascii="Arial" w:hAnsi="Arial" w:cs="Arial"/>
          <w:b/>
          <w:sz w:val="24"/>
          <w:szCs w:val="24"/>
          <w:lang w:val="en-ZA"/>
        </w:rPr>
      </w:pPr>
      <w:r w:rsidRPr="00267A93">
        <w:rPr>
          <w:rFonts w:ascii="Arial" w:hAnsi="Arial" w:cs="Arial"/>
          <w:b/>
          <w:sz w:val="24"/>
          <w:szCs w:val="24"/>
        </w:rPr>
        <w:t>HAROLD NDEVAMONA AKWENYE </w:t>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t xml:space="preserve">     </w:t>
      </w:r>
      <w:r w:rsidRPr="007613D3">
        <w:rPr>
          <w:rFonts w:ascii="Arial" w:hAnsi="Arial" w:cs="Arial"/>
          <w:b/>
          <w:sz w:val="24"/>
          <w:szCs w:val="24"/>
          <w:lang w:val="en-ZA"/>
        </w:rPr>
        <w:t xml:space="preserve">PLAINTIFF                                                      </w:t>
      </w:r>
    </w:p>
    <w:p w:rsidR="0016457F" w:rsidRPr="007613D3" w:rsidRDefault="0016457F" w:rsidP="0016457F">
      <w:pPr>
        <w:spacing w:after="0" w:line="360" w:lineRule="auto"/>
        <w:jc w:val="both"/>
        <w:rPr>
          <w:rFonts w:ascii="Arial" w:hAnsi="Arial" w:cs="Arial"/>
          <w:b/>
          <w:sz w:val="24"/>
          <w:szCs w:val="24"/>
          <w:lang w:val="en-ZA"/>
        </w:rPr>
      </w:pPr>
    </w:p>
    <w:p w:rsidR="0016457F" w:rsidRPr="007613D3" w:rsidRDefault="0016457F" w:rsidP="0016457F">
      <w:pPr>
        <w:spacing w:after="0" w:line="360" w:lineRule="auto"/>
        <w:jc w:val="both"/>
        <w:rPr>
          <w:rFonts w:ascii="Arial" w:hAnsi="Arial" w:cs="Arial"/>
          <w:b/>
          <w:sz w:val="24"/>
          <w:szCs w:val="24"/>
          <w:lang w:val="en-ZA"/>
        </w:rPr>
      </w:pPr>
      <w:proofErr w:type="gramStart"/>
      <w:r w:rsidRPr="007613D3">
        <w:rPr>
          <w:rFonts w:ascii="Arial" w:hAnsi="Arial" w:cs="Arial"/>
          <w:b/>
          <w:sz w:val="24"/>
          <w:szCs w:val="24"/>
          <w:lang w:val="en-ZA"/>
        </w:rPr>
        <w:t>and</w:t>
      </w:r>
      <w:proofErr w:type="gramEnd"/>
    </w:p>
    <w:p w:rsidR="0016457F" w:rsidRPr="007613D3" w:rsidRDefault="0016457F" w:rsidP="0016457F">
      <w:pPr>
        <w:spacing w:after="0" w:line="360" w:lineRule="auto"/>
        <w:jc w:val="both"/>
        <w:rPr>
          <w:rFonts w:ascii="Arial" w:hAnsi="Arial" w:cs="Arial"/>
          <w:b/>
          <w:sz w:val="24"/>
          <w:szCs w:val="24"/>
          <w:lang w:val="en-ZA"/>
        </w:rPr>
      </w:pPr>
    </w:p>
    <w:p w:rsidR="0016457F" w:rsidRDefault="0016457F" w:rsidP="0016457F">
      <w:pPr>
        <w:spacing w:after="0" w:line="360" w:lineRule="auto"/>
        <w:jc w:val="both"/>
        <w:rPr>
          <w:rFonts w:ascii="Arial" w:hAnsi="Arial" w:cs="Arial"/>
          <w:b/>
          <w:sz w:val="24"/>
          <w:szCs w:val="24"/>
          <w:lang w:val="en-ZA"/>
        </w:rPr>
      </w:pPr>
      <w:r w:rsidRPr="00267A93">
        <w:rPr>
          <w:rFonts w:ascii="Arial" w:hAnsi="Arial" w:cs="Arial"/>
          <w:b/>
          <w:sz w:val="24"/>
          <w:szCs w:val="24"/>
        </w:rPr>
        <w:t>SOPHIA NDESHIPANDA AMADHILA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613D3">
        <w:rPr>
          <w:rFonts w:ascii="Arial" w:hAnsi="Arial" w:cs="Arial"/>
          <w:b/>
          <w:sz w:val="24"/>
          <w:szCs w:val="24"/>
          <w:lang w:val="en-ZA"/>
        </w:rPr>
        <w:t>DEFENDANT</w:t>
      </w:r>
    </w:p>
    <w:p w:rsidR="0016457F" w:rsidRPr="007613D3" w:rsidRDefault="0016457F" w:rsidP="0016457F">
      <w:pPr>
        <w:spacing w:after="0" w:line="360" w:lineRule="auto"/>
        <w:jc w:val="both"/>
        <w:rPr>
          <w:rFonts w:ascii="Arial" w:hAnsi="Arial" w:cs="Arial"/>
          <w:b/>
          <w:sz w:val="24"/>
          <w:szCs w:val="24"/>
          <w:lang w:val="en-ZA"/>
        </w:rPr>
      </w:pPr>
    </w:p>
    <w:p w:rsidR="0016457F" w:rsidRPr="00C035EA" w:rsidRDefault="0016457F" w:rsidP="0016457F">
      <w:pPr>
        <w:spacing w:after="0" w:line="360" w:lineRule="auto"/>
        <w:jc w:val="both"/>
        <w:rPr>
          <w:rFonts w:ascii="Arial" w:hAnsi="Arial" w:cs="Arial"/>
          <w:sz w:val="24"/>
          <w:szCs w:val="24"/>
        </w:rPr>
      </w:pPr>
      <w:r w:rsidRPr="007613D3">
        <w:rPr>
          <w:rFonts w:ascii="Arial" w:hAnsi="Arial" w:cs="Arial"/>
          <w:b/>
          <w:sz w:val="24"/>
          <w:szCs w:val="24"/>
          <w:lang w:val="en-ZA"/>
        </w:rPr>
        <w:t>Neutral Citation</w:t>
      </w:r>
      <w:r w:rsidRPr="00F87F64">
        <w:rPr>
          <w:rFonts w:ascii="Arial" w:hAnsi="Arial" w:cs="Arial"/>
          <w:b/>
          <w:sz w:val="24"/>
          <w:szCs w:val="24"/>
          <w:lang w:val="en-ZA"/>
        </w:rPr>
        <w:t xml:space="preserve">: </w:t>
      </w:r>
      <w:proofErr w:type="spellStart"/>
      <w:r w:rsidRPr="00C035EA">
        <w:rPr>
          <w:rFonts w:ascii="Arial" w:hAnsi="Arial" w:cs="Arial"/>
          <w:i/>
          <w:sz w:val="24"/>
          <w:szCs w:val="24"/>
          <w:lang w:val="en-ZA"/>
        </w:rPr>
        <w:t>Akwenye</w:t>
      </w:r>
      <w:proofErr w:type="spellEnd"/>
      <w:r w:rsidRPr="00C035EA">
        <w:rPr>
          <w:rFonts w:ascii="Arial" w:hAnsi="Arial" w:cs="Arial"/>
          <w:i/>
          <w:sz w:val="24"/>
          <w:szCs w:val="24"/>
          <w:lang w:val="en-ZA"/>
        </w:rPr>
        <w:t xml:space="preserve"> v </w:t>
      </w:r>
      <w:proofErr w:type="spellStart"/>
      <w:r w:rsidRPr="00C035EA">
        <w:rPr>
          <w:rFonts w:ascii="Arial" w:hAnsi="Arial" w:cs="Arial"/>
          <w:i/>
          <w:sz w:val="24"/>
          <w:szCs w:val="24"/>
          <w:lang w:val="en-ZA"/>
        </w:rPr>
        <w:t>Amadhila</w:t>
      </w:r>
      <w:proofErr w:type="spellEnd"/>
      <w:r w:rsidRPr="00C035EA">
        <w:rPr>
          <w:rFonts w:ascii="Arial" w:hAnsi="Arial" w:cs="Arial"/>
          <w:i/>
          <w:sz w:val="24"/>
          <w:szCs w:val="24"/>
          <w:lang w:val="en-ZA"/>
        </w:rPr>
        <w:t xml:space="preserve"> </w:t>
      </w:r>
      <w:r w:rsidRPr="00C035EA">
        <w:rPr>
          <w:rFonts w:ascii="Arial" w:hAnsi="Arial" w:cs="Arial"/>
          <w:sz w:val="24"/>
          <w:szCs w:val="24"/>
          <w:lang w:val="en-ZA"/>
        </w:rPr>
        <w:t>(</w:t>
      </w:r>
      <w:r w:rsidRPr="00C035EA">
        <w:rPr>
          <w:rFonts w:ascii="Arial" w:hAnsi="Arial" w:cs="Arial"/>
          <w:sz w:val="24"/>
          <w:szCs w:val="24"/>
        </w:rPr>
        <w:t>HC-MD-CIV-ACT-CON-2017/02946) [2018] NAHCMD</w:t>
      </w:r>
      <w:r w:rsidR="00046B5F">
        <w:rPr>
          <w:rFonts w:ascii="Arial" w:hAnsi="Arial" w:cs="Arial"/>
          <w:sz w:val="24"/>
          <w:szCs w:val="24"/>
        </w:rPr>
        <w:t xml:space="preserve"> 252</w:t>
      </w:r>
      <w:r w:rsidR="002D56EE">
        <w:rPr>
          <w:rFonts w:ascii="Arial" w:hAnsi="Arial" w:cs="Arial"/>
          <w:sz w:val="24"/>
          <w:szCs w:val="24"/>
        </w:rPr>
        <w:t xml:space="preserve"> (</w:t>
      </w:r>
      <w:r w:rsidR="003040FF">
        <w:rPr>
          <w:rFonts w:ascii="Arial" w:hAnsi="Arial" w:cs="Arial"/>
          <w:sz w:val="24"/>
          <w:szCs w:val="24"/>
        </w:rPr>
        <w:t xml:space="preserve">21 August </w:t>
      </w:r>
      <w:r>
        <w:rPr>
          <w:rFonts w:ascii="Arial" w:hAnsi="Arial" w:cs="Arial"/>
          <w:sz w:val="24"/>
          <w:szCs w:val="24"/>
        </w:rPr>
        <w:t>2018)</w:t>
      </w:r>
    </w:p>
    <w:p w:rsidR="0016457F" w:rsidRPr="007613D3" w:rsidRDefault="0016457F" w:rsidP="0016457F">
      <w:pPr>
        <w:spacing w:after="0" w:line="360" w:lineRule="auto"/>
        <w:jc w:val="both"/>
        <w:rPr>
          <w:rFonts w:ascii="Arial" w:hAnsi="Arial" w:cs="Arial"/>
          <w:sz w:val="24"/>
          <w:szCs w:val="24"/>
          <w:lang w:val="en-ZA"/>
        </w:rPr>
      </w:pPr>
    </w:p>
    <w:p w:rsidR="0016457F" w:rsidRPr="007613D3" w:rsidRDefault="0016457F" w:rsidP="0016457F">
      <w:pPr>
        <w:spacing w:after="0" w:line="360" w:lineRule="auto"/>
        <w:jc w:val="both"/>
        <w:rPr>
          <w:rFonts w:ascii="Arial" w:hAnsi="Arial" w:cs="Arial"/>
          <w:b/>
          <w:sz w:val="24"/>
          <w:szCs w:val="24"/>
          <w:lang w:val="en-ZA"/>
        </w:rPr>
      </w:pPr>
      <w:r w:rsidRPr="007613D3">
        <w:rPr>
          <w:rFonts w:ascii="Arial" w:hAnsi="Arial" w:cs="Arial"/>
          <w:b/>
          <w:sz w:val="24"/>
          <w:szCs w:val="24"/>
          <w:lang w:val="en-ZA"/>
        </w:rPr>
        <w:t>CORAM:</w:t>
      </w:r>
      <w:r w:rsidRPr="007613D3">
        <w:rPr>
          <w:rFonts w:ascii="Arial" w:hAnsi="Arial" w:cs="Arial"/>
          <w:b/>
          <w:sz w:val="24"/>
          <w:szCs w:val="24"/>
          <w:lang w:val="en-ZA"/>
        </w:rPr>
        <w:tab/>
      </w:r>
      <w:r w:rsidRPr="00745247">
        <w:rPr>
          <w:rFonts w:ascii="Arial" w:hAnsi="Arial" w:cs="Arial"/>
          <w:sz w:val="24"/>
          <w:szCs w:val="24"/>
          <w:lang w:val="en-ZA"/>
        </w:rPr>
        <w:t>PRINSLOO J</w:t>
      </w:r>
    </w:p>
    <w:p w:rsidR="0016457F" w:rsidRPr="007613D3" w:rsidRDefault="0016457F" w:rsidP="0016457F">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Heard: </w:t>
      </w:r>
      <w:r w:rsidRPr="007613D3">
        <w:rPr>
          <w:rFonts w:ascii="Arial" w:hAnsi="Arial" w:cs="Arial"/>
          <w:b/>
          <w:sz w:val="24"/>
          <w:szCs w:val="24"/>
          <w:lang w:val="en-ZA"/>
        </w:rPr>
        <w:tab/>
      </w:r>
      <w:r>
        <w:rPr>
          <w:rFonts w:ascii="Arial" w:hAnsi="Arial" w:cs="Arial"/>
          <w:b/>
          <w:sz w:val="24"/>
          <w:szCs w:val="24"/>
          <w:lang w:val="en-ZA"/>
        </w:rPr>
        <w:t xml:space="preserve"> </w:t>
      </w:r>
      <w:r w:rsidR="00A42772">
        <w:rPr>
          <w:rFonts w:ascii="Arial" w:hAnsi="Arial" w:cs="Arial"/>
          <w:b/>
          <w:sz w:val="24"/>
          <w:szCs w:val="24"/>
          <w:lang w:val="en-ZA"/>
        </w:rPr>
        <w:t xml:space="preserve">30 July </w:t>
      </w:r>
      <w:r>
        <w:rPr>
          <w:rFonts w:ascii="Arial" w:hAnsi="Arial" w:cs="Arial"/>
          <w:b/>
          <w:sz w:val="24"/>
          <w:szCs w:val="24"/>
          <w:lang w:val="en-ZA"/>
        </w:rPr>
        <w:t>2018</w:t>
      </w:r>
    </w:p>
    <w:p w:rsidR="0016457F" w:rsidRPr="007613D3" w:rsidRDefault="0016457F" w:rsidP="0016457F">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Delivered:  </w:t>
      </w:r>
      <w:r w:rsidRPr="007613D3">
        <w:rPr>
          <w:rFonts w:ascii="Arial" w:hAnsi="Arial" w:cs="Arial"/>
          <w:b/>
          <w:sz w:val="24"/>
          <w:szCs w:val="24"/>
          <w:lang w:val="en-ZA"/>
        </w:rPr>
        <w:tab/>
      </w:r>
      <w:r>
        <w:rPr>
          <w:rFonts w:ascii="Arial" w:hAnsi="Arial" w:cs="Arial"/>
          <w:b/>
          <w:sz w:val="24"/>
          <w:szCs w:val="24"/>
          <w:lang w:val="en-ZA"/>
        </w:rPr>
        <w:t xml:space="preserve"> </w:t>
      </w:r>
      <w:r w:rsidR="003040FF">
        <w:rPr>
          <w:rFonts w:ascii="Arial" w:hAnsi="Arial" w:cs="Arial"/>
          <w:b/>
          <w:sz w:val="24"/>
          <w:szCs w:val="24"/>
          <w:lang w:val="en-ZA"/>
        </w:rPr>
        <w:t xml:space="preserve">21 August </w:t>
      </w:r>
      <w:r>
        <w:rPr>
          <w:rFonts w:ascii="Arial" w:hAnsi="Arial" w:cs="Arial"/>
          <w:b/>
          <w:sz w:val="24"/>
          <w:szCs w:val="24"/>
          <w:lang w:val="en-ZA"/>
        </w:rPr>
        <w:t>2018</w:t>
      </w:r>
    </w:p>
    <w:p w:rsidR="0016457F" w:rsidRDefault="0016457F" w:rsidP="0016457F">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Reasons:     </w:t>
      </w:r>
      <w:r>
        <w:rPr>
          <w:rFonts w:ascii="Arial" w:hAnsi="Arial" w:cs="Arial"/>
          <w:b/>
          <w:sz w:val="24"/>
          <w:szCs w:val="24"/>
          <w:lang w:val="en-ZA"/>
        </w:rPr>
        <w:t xml:space="preserve"> </w:t>
      </w:r>
      <w:r w:rsidR="000B041E">
        <w:rPr>
          <w:rFonts w:ascii="Arial" w:hAnsi="Arial" w:cs="Arial"/>
          <w:b/>
          <w:sz w:val="24"/>
          <w:szCs w:val="24"/>
          <w:lang w:val="en-ZA"/>
        </w:rPr>
        <w:t>23</w:t>
      </w:r>
      <w:r w:rsidR="003040FF">
        <w:rPr>
          <w:rFonts w:ascii="Arial" w:hAnsi="Arial" w:cs="Arial"/>
          <w:b/>
          <w:sz w:val="24"/>
          <w:szCs w:val="24"/>
          <w:lang w:val="en-ZA"/>
        </w:rPr>
        <w:t xml:space="preserve"> August </w:t>
      </w:r>
      <w:r>
        <w:rPr>
          <w:rFonts w:ascii="Arial" w:hAnsi="Arial" w:cs="Arial"/>
          <w:b/>
          <w:sz w:val="24"/>
          <w:szCs w:val="24"/>
          <w:lang w:val="en-ZA"/>
        </w:rPr>
        <w:t>2018</w:t>
      </w:r>
    </w:p>
    <w:p w:rsidR="0016457F" w:rsidRPr="007613D3" w:rsidRDefault="0016457F" w:rsidP="0016457F">
      <w:pPr>
        <w:spacing w:after="0" w:line="360" w:lineRule="auto"/>
        <w:jc w:val="both"/>
        <w:rPr>
          <w:rFonts w:ascii="Arial" w:hAnsi="Arial" w:cs="Arial"/>
          <w:b/>
          <w:sz w:val="24"/>
          <w:szCs w:val="24"/>
          <w:lang w:val="en-ZA"/>
        </w:rPr>
      </w:pPr>
    </w:p>
    <w:p w:rsidR="0016457F" w:rsidRPr="007613D3" w:rsidRDefault="0016457F" w:rsidP="0016457F">
      <w:pPr>
        <w:spacing w:after="0" w:line="360" w:lineRule="auto"/>
        <w:jc w:val="both"/>
        <w:rPr>
          <w:rFonts w:ascii="Arial" w:hAnsi="Arial" w:cs="Arial"/>
          <w:sz w:val="24"/>
          <w:szCs w:val="24"/>
          <w:shd w:val="clear" w:color="auto" w:fill="FFFFFF"/>
        </w:rPr>
      </w:pPr>
      <w:proofErr w:type="spellStart"/>
      <w:r w:rsidRPr="007613D3">
        <w:rPr>
          <w:rFonts w:ascii="Arial" w:hAnsi="Arial" w:cs="Arial"/>
          <w:b/>
          <w:sz w:val="24"/>
          <w:szCs w:val="24"/>
          <w:lang w:val="en-ZA"/>
        </w:rPr>
        <w:t>Flynote</w:t>
      </w:r>
      <w:proofErr w:type="spellEnd"/>
      <w:r w:rsidRPr="007613D3">
        <w:rPr>
          <w:rFonts w:ascii="Arial" w:hAnsi="Arial" w:cs="Arial"/>
          <w:b/>
          <w:sz w:val="24"/>
          <w:szCs w:val="24"/>
          <w:lang w:val="en-ZA"/>
        </w:rPr>
        <w:t>:</w:t>
      </w:r>
      <w:r w:rsidRPr="007613D3">
        <w:rPr>
          <w:rFonts w:ascii="Arial" w:hAnsi="Arial" w:cs="Arial"/>
          <w:b/>
          <w:sz w:val="24"/>
          <w:szCs w:val="24"/>
          <w:lang w:val="en-ZA"/>
        </w:rPr>
        <w:tab/>
      </w:r>
      <w:r w:rsidRPr="007613D3">
        <w:rPr>
          <w:rFonts w:ascii="Arial" w:hAnsi="Arial" w:cs="Arial"/>
          <w:sz w:val="24"/>
          <w:szCs w:val="24"/>
          <w:lang w:val="en-ZA"/>
        </w:rPr>
        <w:t xml:space="preserve">Procedure – </w:t>
      </w:r>
      <w:r w:rsidR="007C3531">
        <w:rPr>
          <w:rFonts w:ascii="Arial" w:hAnsi="Arial" w:cs="Arial"/>
          <w:sz w:val="24"/>
          <w:szCs w:val="24"/>
          <w:lang w:val="en-ZA"/>
        </w:rPr>
        <w:t xml:space="preserve">Notice in terms of rule 64 containing </w:t>
      </w:r>
      <w:r w:rsidR="00530982">
        <w:rPr>
          <w:rFonts w:ascii="Arial" w:hAnsi="Arial" w:cs="Arial"/>
          <w:sz w:val="24"/>
          <w:szCs w:val="24"/>
          <w:lang w:val="en-ZA"/>
        </w:rPr>
        <w:t>unconditional settlement offer – Such party to be cautious utilising rule 64 and must ensure strict compliance to the provisions of the rule cited in settling under rule 64.</w:t>
      </w:r>
    </w:p>
    <w:p w:rsidR="007165CE" w:rsidRPr="00A52B58" w:rsidRDefault="0016457F" w:rsidP="007165CE">
      <w:pPr>
        <w:spacing w:after="0" w:line="360" w:lineRule="auto"/>
        <w:jc w:val="both"/>
        <w:rPr>
          <w:rFonts w:ascii="Arial" w:hAnsi="Arial" w:cs="Arial"/>
          <w:sz w:val="24"/>
          <w:szCs w:val="24"/>
          <w:shd w:val="clear" w:color="auto" w:fill="FFFFFF"/>
        </w:rPr>
      </w:pPr>
      <w:r w:rsidRPr="007613D3">
        <w:rPr>
          <w:rFonts w:ascii="Arial" w:hAnsi="Arial" w:cs="Arial"/>
          <w:b/>
          <w:sz w:val="24"/>
          <w:szCs w:val="24"/>
          <w:shd w:val="clear" w:color="auto" w:fill="FFFFFF"/>
        </w:rPr>
        <w:lastRenderedPageBreak/>
        <w:t xml:space="preserve">Summary: </w:t>
      </w:r>
      <w:r>
        <w:rPr>
          <w:rFonts w:ascii="Arial" w:hAnsi="Arial" w:cs="Arial"/>
          <w:b/>
          <w:sz w:val="24"/>
          <w:szCs w:val="24"/>
          <w:shd w:val="clear" w:color="auto" w:fill="FFFFFF"/>
        </w:rPr>
        <w:t xml:space="preserve"> </w:t>
      </w:r>
      <w:r w:rsidR="007165CE" w:rsidRPr="00A52B58">
        <w:rPr>
          <w:rFonts w:ascii="Arial" w:hAnsi="Arial" w:cs="Arial"/>
          <w:sz w:val="24"/>
          <w:szCs w:val="24"/>
          <w:shd w:val="clear" w:color="auto" w:fill="FFFFFF"/>
        </w:rPr>
        <w:t>The parties entered into an agreement in which the defendant breached the terms thereof and the plaintiff ensued to seek relief in term</w:t>
      </w:r>
      <w:r w:rsidR="000B041E">
        <w:rPr>
          <w:rFonts w:ascii="Arial" w:hAnsi="Arial" w:cs="Arial"/>
          <w:sz w:val="24"/>
          <w:szCs w:val="24"/>
          <w:shd w:val="clear" w:color="auto" w:fill="FFFFFF"/>
        </w:rPr>
        <w:t>s</w:t>
      </w:r>
      <w:r w:rsidR="007165CE" w:rsidRPr="00A52B58">
        <w:rPr>
          <w:rFonts w:ascii="Arial" w:hAnsi="Arial" w:cs="Arial"/>
          <w:sz w:val="24"/>
          <w:szCs w:val="24"/>
          <w:shd w:val="clear" w:color="auto" w:fill="FFFFFF"/>
        </w:rPr>
        <w:t xml:space="preserve"> of the agreement. The defendant however opposed the relief sought by the plaintiff.</w:t>
      </w:r>
    </w:p>
    <w:p w:rsidR="007165CE" w:rsidRPr="007165CE" w:rsidRDefault="007165CE" w:rsidP="007165CE">
      <w:pPr>
        <w:spacing w:after="0" w:line="360" w:lineRule="auto"/>
        <w:jc w:val="both"/>
        <w:rPr>
          <w:rFonts w:ascii="Arial" w:hAnsi="Arial" w:cs="Arial"/>
          <w:color w:val="FF0000"/>
          <w:sz w:val="24"/>
          <w:szCs w:val="24"/>
          <w:shd w:val="clear" w:color="auto" w:fill="FFFFFF"/>
        </w:rPr>
      </w:pPr>
    </w:p>
    <w:p w:rsidR="007165CE" w:rsidRPr="00A52B58" w:rsidRDefault="007165CE" w:rsidP="007165CE">
      <w:pPr>
        <w:spacing w:after="0" w:line="360" w:lineRule="auto"/>
        <w:jc w:val="both"/>
        <w:rPr>
          <w:rFonts w:ascii="Arial" w:hAnsi="Arial" w:cs="Arial"/>
          <w:sz w:val="24"/>
          <w:szCs w:val="24"/>
        </w:rPr>
      </w:pPr>
      <w:r w:rsidRPr="00A52B58">
        <w:rPr>
          <w:rFonts w:ascii="Arial" w:hAnsi="Arial" w:cs="Arial"/>
          <w:sz w:val="24"/>
          <w:szCs w:val="24"/>
        </w:rPr>
        <w:t xml:space="preserve">On 26 October 2017, a case plan was adopted as filed by the parties and the matter was postponed to 30 November 2017 for a case management conference hearing.  For various reasons advanced by the defendant’s legal practitioners, the plea that should have been filed as per court order dated 26 October 2017 was not filed. Due to the defendant’s failure to file her plea, the plaintiff proceeded to file an application for default judgment against the defendant. The defendant applied for condonation for her non-compliance with the relevant court order which was opposed by the plaintiff. The parties then proceeded with filing papers and this court’s ruling dated 27 April 2018 refused condonation for defendant’s non-compliance, rendering the defendant being barred </w:t>
      </w:r>
      <w:r w:rsidRPr="00A52B58">
        <w:rPr>
          <w:rFonts w:ascii="Arial" w:hAnsi="Arial" w:cs="Arial"/>
          <w:i/>
          <w:sz w:val="24"/>
          <w:szCs w:val="24"/>
        </w:rPr>
        <w:t xml:space="preserve">ipso facto </w:t>
      </w:r>
      <w:r w:rsidRPr="00A52B58">
        <w:rPr>
          <w:rFonts w:ascii="Arial" w:hAnsi="Arial" w:cs="Arial"/>
          <w:sz w:val="24"/>
          <w:szCs w:val="24"/>
        </w:rPr>
        <w:t>from partaking in court proceedings.</w:t>
      </w:r>
    </w:p>
    <w:p w:rsidR="007165CE" w:rsidRPr="007165CE" w:rsidRDefault="007165CE" w:rsidP="007165CE">
      <w:pPr>
        <w:spacing w:after="0" w:line="360" w:lineRule="auto"/>
        <w:jc w:val="both"/>
        <w:rPr>
          <w:rFonts w:ascii="Arial" w:hAnsi="Arial" w:cs="Arial"/>
          <w:color w:val="FF0000"/>
          <w:sz w:val="24"/>
          <w:szCs w:val="24"/>
        </w:rPr>
      </w:pPr>
    </w:p>
    <w:p w:rsidR="007165CE" w:rsidRPr="00A52B58" w:rsidRDefault="007165CE" w:rsidP="007165CE">
      <w:pPr>
        <w:spacing w:after="0" w:line="360" w:lineRule="auto"/>
        <w:jc w:val="both"/>
        <w:rPr>
          <w:rFonts w:ascii="Arial" w:hAnsi="Arial" w:cs="Arial"/>
          <w:sz w:val="24"/>
          <w:szCs w:val="24"/>
        </w:rPr>
      </w:pPr>
      <w:r w:rsidRPr="00A52B58">
        <w:rPr>
          <w:rFonts w:ascii="Arial" w:hAnsi="Arial" w:cs="Arial"/>
          <w:sz w:val="24"/>
          <w:szCs w:val="24"/>
        </w:rPr>
        <w:t>In a la</w:t>
      </w:r>
      <w:r w:rsidR="00B14210" w:rsidRPr="00A52B58">
        <w:rPr>
          <w:rFonts w:ascii="Arial" w:hAnsi="Arial" w:cs="Arial"/>
          <w:sz w:val="24"/>
          <w:szCs w:val="24"/>
        </w:rPr>
        <w:t>st resort attempt, the defendant</w:t>
      </w:r>
      <w:r w:rsidRPr="00A52B58">
        <w:rPr>
          <w:rFonts w:ascii="Arial" w:hAnsi="Arial" w:cs="Arial"/>
          <w:sz w:val="24"/>
          <w:szCs w:val="24"/>
        </w:rPr>
        <w:t xml:space="preserve"> filed a Rule 64</w:t>
      </w:r>
      <w:r w:rsidR="000B041E">
        <w:rPr>
          <w:rFonts w:ascii="Arial" w:hAnsi="Arial" w:cs="Arial"/>
          <w:sz w:val="24"/>
          <w:szCs w:val="24"/>
        </w:rPr>
        <w:t xml:space="preserve"> notice with an unconditional </w:t>
      </w:r>
      <w:r w:rsidRPr="00A52B58">
        <w:rPr>
          <w:rFonts w:ascii="Arial" w:hAnsi="Arial" w:cs="Arial"/>
          <w:sz w:val="24"/>
          <w:szCs w:val="24"/>
        </w:rPr>
        <w:t>tender to settle t</w:t>
      </w:r>
      <w:r w:rsidR="00B14210" w:rsidRPr="00A52B58">
        <w:rPr>
          <w:rFonts w:ascii="Arial" w:hAnsi="Arial" w:cs="Arial"/>
          <w:sz w:val="24"/>
          <w:szCs w:val="24"/>
        </w:rPr>
        <w:t>he claim of the plaintiff. The d</w:t>
      </w:r>
      <w:r w:rsidRPr="00A52B58">
        <w:rPr>
          <w:rFonts w:ascii="Arial" w:hAnsi="Arial" w:cs="Arial"/>
          <w:sz w:val="24"/>
          <w:szCs w:val="24"/>
        </w:rPr>
        <w:t xml:space="preserve">efendant offered an </w:t>
      </w:r>
      <w:r w:rsidR="00B14210" w:rsidRPr="00A52B58">
        <w:rPr>
          <w:rFonts w:ascii="Arial" w:hAnsi="Arial" w:cs="Arial"/>
          <w:sz w:val="24"/>
          <w:szCs w:val="24"/>
        </w:rPr>
        <w:t>amount of N$ 769,334.87 to the p</w:t>
      </w:r>
      <w:r w:rsidRPr="00A52B58">
        <w:rPr>
          <w:rFonts w:ascii="Arial" w:hAnsi="Arial" w:cs="Arial"/>
          <w:sz w:val="24"/>
          <w:szCs w:val="24"/>
        </w:rPr>
        <w:t>laintiff in full and final settl</w:t>
      </w:r>
      <w:r w:rsidR="00B14210" w:rsidRPr="00A52B58">
        <w:rPr>
          <w:rFonts w:ascii="Arial" w:hAnsi="Arial" w:cs="Arial"/>
          <w:sz w:val="24"/>
          <w:szCs w:val="24"/>
        </w:rPr>
        <w:t>ement of the claim against the d</w:t>
      </w:r>
      <w:r w:rsidRPr="00A52B58">
        <w:rPr>
          <w:rFonts w:ascii="Arial" w:hAnsi="Arial" w:cs="Arial"/>
          <w:sz w:val="24"/>
          <w:szCs w:val="24"/>
        </w:rPr>
        <w:t>efendant. Furthermore, the defendant filed a status report indicating to this court she gave the plaintiff a Rule 64 notice in which the plaintiff failed to respond to.</w:t>
      </w:r>
    </w:p>
    <w:p w:rsidR="007165CE" w:rsidRPr="007165CE" w:rsidRDefault="007165CE" w:rsidP="007165CE">
      <w:pPr>
        <w:spacing w:after="0" w:line="360" w:lineRule="auto"/>
        <w:jc w:val="both"/>
        <w:rPr>
          <w:rFonts w:ascii="Arial" w:hAnsi="Arial" w:cs="Arial"/>
          <w:color w:val="FF0000"/>
          <w:sz w:val="24"/>
          <w:szCs w:val="24"/>
        </w:rPr>
      </w:pPr>
    </w:p>
    <w:p w:rsidR="007165CE" w:rsidRPr="00A52B58" w:rsidRDefault="007165CE" w:rsidP="007165CE">
      <w:pPr>
        <w:spacing w:after="0" w:line="360" w:lineRule="auto"/>
        <w:jc w:val="both"/>
        <w:rPr>
          <w:rFonts w:ascii="Arial" w:hAnsi="Arial" w:cs="Arial"/>
          <w:sz w:val="24"/>
          <w:szCs w:val="24"/>
          <w:lang w:val="en-US"/>
        </w:rPr>
      </w:pPr>
      <w:r w:rsidRPr="00A52B58">
        <w:rPr>
          <w:rFonts w:ascii="Arial" w:hAnsi="Arial" w:cs="Arial"/>
          <w:sz w:val="24"/>
          <w:szCs w:val="24"/>
        </w:rPr>
        <w:t xml:space="preserve">During submissions, the defendant was of the view that </w:t>
      </w:r>
      <w:r w:rsidRPr="00A52B58">
        <w:rPr>
          <w:rFonts w:ascii="Arial" w:hAnsi="Arial" w:cs="Arial"/>
          <w:sz w:val="24"/>
          <w:szCs w:val="24"/>
          <w:lang w:val="en-US"/>
        </w:rPr>
        <w:t xml:space="preserve">the court should take cognizance on the fact that the defendant made a </w:t>
      </w:r>
      <w:r w:rsidRPr="00A52B58">
        <w:rPr>
          <w:rFonts w:ascii="Arial" w:hAnsi="Arial" w:cs="Arial"/>
          <w:i/>
          <w:sz w:val="24"/>
          <w:szCs w:val="24"/>
          <w:lang w:val="en-US"/>
        </w:rPr>
        <w:t>bona fide</w:t>
      </w:r>
      <w:r w:rsidRPr="00A52B58">
        <w:rPr>
          <w:rFonts w:ascii="Arial" w:hAnsi="Arial" w:cs="Arial"/>
          <w:sz w:val="24"/>
          <w:szCs w:val="24"/>
          <w:lang w:val="en-US"/>
        </w:rPr>
        <w:t xml:space="preserve"> offer on the alternative prayers to the plaintiff’s claim, and submitted that the defendant should not be further sanctioned under the circumstances in the court’s refusal for the plaintiff to accept offer made on the alternative claim.</w:t>
      </w:r>
    </w:p>
    <w:p w:rsidR="007165CE" w:rsidRPr="00A52B58" w:rsidRDefault="007165CE" w:rsidP="007165CE">
      <w:pPr>
        <w:spacing w:after="0" w:line="360" w:lineRule="auto"/>
        <w:jc w:val="both"/>
        <w:rPr>
          <w:rFonts w:ascii="Arial" w:hAnsi="Arial" w:cs="Arial"/>
          <w:sz w:val="24"/>
          <w:szCs w:val="24"/>
          <w:lang w:val="en-US"/>
        </w:rPr>
      </w:pPr>
    </w:p>
    <w:p w:rsidR="007165CE" w:rsidRPr="00A52B58" w:rsidRDefault="007165CE" w:rsidP="007165CE">
      <w:pPr>
        <w:spacing w:after="0" w:line="360" w:lineRule="auto"/>
        <w:jc w:val="both"/>
        <w:rPr>
          <w:rFonts w:ascii="Arial" w:hAnsi="Arial" w:cs="Arial"/>
          <w:sz w:val="24"/>
          <w:szCs w:val="24"/>
          <w:lang w:val="en-US"/>
        </w:rPr>
      </w:pPr>
      <w:r w:rsidRPr="00A52B58">
        <w:rPr>
          <w:rFonts w:ascii="Arial" w:hAnsi="Arial" w:cs="Arial"/>
          <w:sz w:val="24"/>
          <w:szCs w:val="24"/>
          <w:lang w:val="en-US"/>
        </w:rPr>
        <w:t xml:space="preserve">The plaintiff, however, of the view that defendant was </w:t>
      </w:r>
      <w:r w:rsidRPr="00A52B58">
        <w:rPr>
          <w:rFonts w:ascii="Arial" w:hAnsi="Arial" w:cs="Arial"/>
          <w:i/>
          <w:sz w:val="24"/>
          <w:szCs w:val="24"/>
          <w:lang w:val="en-US"/>
        </w:rPr>
        <w:t>ipso facto</w:t>
      </w:r>
      <w:r w:rsidRPr="00A52B58">
        <w:rPr>
          <w:rFonts w:ascii="Arial" w:hAnsi="Arial" w:cs="Arial"/>
          <w:sz w:val="24"/>
          <w:szCs w:val="24"/>
          <w:lang w:val="en-US"/>
        </w:rPr>
        <w:t xml:space="preserve"> barred from pleading as the condonation application incorporating the upliftment of the bar was denied. As a result, the defendant must appeal against this judgment and have it properly prosecuted. The plaintiff was furthermore of the view that in light of the </w:t>
      </w:r>
      <w:r w:rsidRPr="00A52B58">
        <w:rPr>
          <w:rFonts w:ascii="Arial" w:hAnsi="Arial" w:cs="Arial"/>
          <w:sz w:val="24"/>
          <w:szCs w:val="24"/>
          <w:lang w:val="en-US"/>
        </w:rPr>
        <w:lastRenderedPageBreak/>
        <w:t xml:space="preserve">offer made on the plaintiff’s alternative prayers, such would only be introduced if, and only when the court ruled upon the unenforceability of the alleged cancellation of the agreement in favor of the defendant, and seeing that the defendant is </w:t>
      </w:r>
      <w:r w:rsidRPr="00A52B58">
        <w:rPr>
          <w:rFonts w:ascii="Arial" w:hAnsi="Arial" w:cs="Arial"/>
          <w:i/>
          <w:sz w:val="24"/>
          <w:szCs w:val="24"/>
          <w:lang w:val="en-US"/>
        </w:rPr>
        <w:t>ipso facto</w:t>
      </w:r>
      <w:r w:rsidRPr="00A52B58">
        <w:rPr>
          <w:rFonts w:ascii="Arial" w:hAnsi="Arial" w:cs="Arial"/>
          <w:sz w:val="24"/>
          <w:szCs w:val="24"/>
          <w:lang w:val="en-US"/>
        </w:rPr>
        <w:t xml:space="preserve"> barred from pleading, her defence is not before this court and therefor the plaintiff’s claim stands unchallenged.</w:t>
      </w:r>
    </w:p>
    <w:p w:rsidR="007165CE" w:rsidRPr="007165CE" w:rsidRDefault="007165CE" w:rsidP="007165CE">
      <w:pPr>
        <w:spacing w:after="0" w:line="360" w:lineRule="auto"/>
        <w:jc w:val="both"/>
        <w:rPr>
          <w:rFonts w:ascii="Arial" w:hAnsi="Arial" w:cs="Arial"/>
          <w:color w:val="FF0000"/>
          <w:sz w:val="24"/>
          <w:szCs w:val="24"/>
          <w:lang w:val="en-US"/>
        </w:rPr>
      </w:pPr>
    </w:p>
    <w:p w:rsidR="007165CE" w:rsidRPr="00A52B58" w:rsidRDefault="007165CE" w:rsidP="007165CE">
      <w:pPr>
        <w:spacing w:after="0" w:line="360" w:lineRule="auto"/>
        <w:jc w:val="both"/>
        <w:rPr>
          <w:rFonts w:ascii="Arial" w:hAnsi="Arial" w:cs="Arial"/>
          <w:sz w:val="24"/>
          <w:szCs w:val="24"/>
          <w:lang w:val="en-US"/>
        </w:rPr>
      </w:pPr>
      <w:r w:rsidRPr="00A52B58">
        <w:rPr>
          <w:rFonts w:ascii="Arial" w:hAnsi="Arial" w:cs="Arial"/>
          <w:sz w:val="24"/>
          <w:szCs w:val="24"/>
          <w:lang w:val="en-US"/>
        </w:rPr>
        <w:t>Held – It is important to understand that the plaintiff is not obliged to accept the offer/tender and if the plaintiff does not accept the tender the action proceeds in the normal way. Failure to accept an unconditional tender by a plaintiff can be to his or her own peril when the issue of cost is considered.</w:t>
      </w:r>
    </w:p>
    <w:p w:rsidR="007165CE" w:rsidRPr="007165CE" w:rsidRDefault="007165CE" w:rsidP="007165CE">
      <w:pPr>
        <w:spacing w:after="0" w:line="360" w:lineRule="auto"/>
        <w:jc w:val="both"/>
        <w:rPr>
          <w:rFonts w:ascii="Arial" w:hAnsi="Arial" w:cs="Arial"/>
          <w:color w:val="FF0000"/>
          <w:sz w:val="24"/>
          <w:szCs w:val="24"/>
          <w:lang w:val="en-US"/>
        </w:rPr>
      </w:pPr>
    </w:p>
    <w:p w:rsidR="007165CE" w:rsidRPr="00A52B58" w:rsidRDefault="007165CE" w:rsidP="007165CE">
      <w:pPr>
        <w:spacing w:after="0" w:line="360" w:lineRule="auto"/>
        <w:jc w:val="both"/>
        <w:rPr>
          <w:rFonts w:ascii="Arial" w:hAnsi="Arial" w:cs="Arial"/>
          <w:sz w:val="24"/>
          <w:szCs w:val="24"/>
          <w:lang w:val="en-US"/>
        </w:rPr>
      </w:pPr>
      <w:r w:rsidRPr="00A52B58">
        <w:rPr>
          <w:rFonts w:ascii="Arial" w:hAnsi="Arial" w:cs="Arial"/>
          <w:sz w:val="24"/>
          <w:szCs w:val="24"/>
          <w:lang w:val="en-US"/>
        </w:rPr>
        <w:t xml:space="preserve">Held further – </w:t>
      </w:r>
      <w:r w:rsidRPr="00A52B58">
        <w:rPr>
          <w:rFonts w:ascii="Arial" w:hAnsi="Arial" w:cs="Arial"/>
          <w:sz w:val="24"/>
          <w:szCs w:val="24"/>
        </w:rPr>
        <w:t xml:space="preserve">the rule 64 notice made by the defendant falls short of the requirement of rule 64 in light of the fact that the alternative claim by the plaintiff relied on by the defendant is not the main relief sought by the plaintiff. </w:t>
      </w:r>
    </w:p>
    <w:p w:rsidR="00530982" w:rsidRPr="00530982" w:rsidRDefault="00530982" w:rsidP="0016457F">
      <w:pPr>
        <w:spacing w:after="0" w:line="360" w:lineRule="auto"/>
        <w:jc w:val="both"/>
        <w:rPr>
          <w:rFonts w:ascii="Arial" w:hAnsi="Arial" w:cs="Arial"/>
          <w:sz w:val="24"/>
          <w:szCs w:val="24"/>
          <w:lang w:val="en-US"/>
        </w:rPr>
      </w:pPr>
    </w:p>
    <w:p w:rsidR="0016457F" w:rsidRDefault="0016457F" w:rsidP="0016457F">
      <w:pPr>
        <w:pBdr>
          <w:top w:val="single" w:sz="12" w:space="1" w:color="auto"/>
          <w:bottom w:val="single" w:sz="12" w:space="1" w:color="auto"/>
        </w:pBdr>
        <w:spacing w:after="0" w:line="360" w:lineRule="auto"/>
        <w:jc w:val="both"/>
        <w:rPr>
          <w:rFonts w:ascii="Arial" w:hAnsi="Arial" w:cs="Arial"/>
          <w:sz w:val="24"/>
          <w:szCs w:val="24"/>
        </w:rPr>
      </w:pPr>
    </w:p>
    <w:p w:rsidR="0016457F" w:rsidRPr="00695188" w:rsidRDefault="0016457F" w:rsidP="0016457F">
      <w:pPr>
        <w:pBdr>
          <w:top w:val="single" w:sz="12" w:space="1" w:color="auto"/>
          <w:bottom w:val="single" w:sz="12" w:space="1" w:color="auto"/>
        </w:pBd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95188">
        <w:rPr>
          <w:rFonts w:ascii="Arial" w:hAnsi="Arial" w:cs="Arial"/>
          <w:b/>
          <w:sz w:val="24"/>
          <w:szCs w:val="24"/>
        </w:rPr>
        <w:t>ORDER</w:t>
      </w:r>
    </w:p>
    <w:p w:rsidR="007F3370" w:rsidRDefault="007F3370" w:rsidP="007F3370">
      <w:pPr>
        <w:spacing w:after="0" w:line="360" w:lineRule="auto"/>
        <w:jc w:val="both"/>
        <w:rPr>
          <w:rFonts w:ascii="Arial" w:hAnsi="Arial" w:cs="Arial"/>
          <w:sz w:val="24"/>
          <w:szCs w:val="24"/>
          <w:lang w:val="en-US"/>
        </w:rPr>
      </w:pPr>
    </w:p>
    <w:p w:rsidR="0016457F" w:rsidRDefault="007F3370" w:rsidP="0016457F">
      <w:pPr>
        <w:spacing w:after="0" w:line="360" w:lineRule="auto"/>
        <w:jc w:val="both"/>
        <w:rPr>
          <w:rFonts w:ascii="Arial" w:hAnsi="Arial" w:cs="Arial"/>
          <w:b/>
          <w:sz w:val="24"/>
          <w:szCs w:val="24"/>
          <w:shd w:val="clear" w:color="auto" w:fill="FFFFFF"/>
        </w:rPr>
      </w:pPr>
      <w:r w:rsidRPr="007F3370">
        <w:rPr>
          <w:rFonts w:ascii="Arial" w:hAnsi="Arial" w:cs="Arial"/>
          <w:sz w:val="24"/>
          <w:szCs w:val="24"/>
          <w:lang w:val="en-US"/>
        </w:rPr>
        <w:t xml:space="preserve">The relief sought by the defendant to compel the plaintiff to accept her tender in terms of Rule 64 in respect of the claims are incompetent and leave is granted to the plaintiff to proceed with his application for default judgment. </w:t>
      </w:r>
    </w:p>
    <w:p w:rsidR="0016457F" w:rsidRPr="007613D3" w:rsidRDefault="0016457F" w:rsidP="0016457F">
      <w:pPr>
        <w:spacing w:after="0" w:line="360" w:lineRule="auto"/>
        <w:jc w:val="both"/>
        <w:rPr>
          <w:rFonts w:ascii="Arial" w:hAnsi="Arial" w:cs="Arial"/>
          <w:b/>
          <w:sz w:val="24"/>
          <w:szCs w:val="24"/>
          <w:lang w:val="en-ZA"/>
        </w:rPr>
      </w:pPr>
    </w:p>
    <w:p w:rsidR="0016457F" w:rsidRPr="007613D3" w:rsidRDefault="0016457F" w:rsidP="0016457F">
      <w:pPr>
        <w:pBdr>
          <w:top w:val="single" w:sz="12" w:space="1" w:color="auto"/>
          <w:bottom w:val="single" w:sz="12" w:space="1" w:color="auto"/>
        </w:pBdr>
        <w:spacing w:after="0" w:line="360" w:lineRule="auto"/>
        <w:jc w:val="both"/>
        <w:rPr>
          <w:rFonts w:ascii="Arial" w:hAnsi="Arial" w:cs="Arial"/>
          <w:b/>
          <w:sz w:val="24"/>
          <w:szCs w:val="24"/>
        </w:rPr>
      </w:pPr>
    </w:p>
    <w:p w:rsidR="0016457F" w:rsidRPr="002B73CA" w:rsidRDefault="0016457F" w:rsidP="0016457F">
      <w:pPr>
        <w:pBdr>
          <w:top w:val="single" w:sz="12" w:space="1" w:color="auto"/>
          <w:bottom w:val="single" w:sz="12" w:space="1" w:color="auto"/>
        </w:pBdr>
        <w:spacing w:after="0" w:line="360" w:lineRule="auto"/>
        <w:jc w:val="center"/>
        <w:rPr>
          <w:rFonts w:ascii="Arial" w:hAnsi="Arial" w:cs="Arial"/>
          <w:b/>
          <w:sz w:val="24"/>
          <w:szCs w:val="24"/>
        </w:rPr>
      </w:pPr>
      <w:r w:rsidRPr="007613D3">
        <w:rPr>
          <w:rFonts w:ascii="Arial" w:hAnsi="Arial" w:cs="Arial"/>
          <w:b/>
          <w:sz w:val="24"/>
          <w:szCs w:val="24"/>
        </w:rPr>
        <w:t xml:space="preserve">JUDGMENT </w:t>
      </w:r>
    </w:p>
    <w:p w:rsidR="0016457F" w:rsidRDefault="0016457F" w:rsidP="0016457F">
      <w:pPr>
        <w:spacing w:after="0" w:line="360" w:lineRule="auto"/>
        <w:jc w:val="both"/>
        <w:rPr>
          <w:rFonts w:ascii="Arial" w:hAnsi="Arial" w:cs="Arial"/>
          <w:sz w:val="24"/>
          <w:szCs w:val="24"/>
          <w:lang w:val="en-US"/>
        </w:rPr>
      </w:pPr>
      <w:r w:rsidRPr="007613D3">
        <w:rPr>
          <w:rFonts w:ascii="Arial" w:hAnsi="Arial" w:cs="Arial"/>
          <w:sz w:val="24"/>
          <w:szCs w:val="24"/>
          <w:lang w:val="en-US"/>
        </w:rPr>
        <w:t>PRINSLOO J</w:t>
      </w:r>
      <w:r w:rsidR="00745247">
        <w:rPr>
          <w:rFonts w:ascii="Arial" w:hAnsi="Arial" w:cs="Arial"/>
          <w:sz w:val="24"/>
          <w:szCs w:val="24"/>
          <w:lang w:val="en-US"/>
        </w:rPr>
        <w:t>:</w:t>
      </w:r>
    </w:p>
    <w:p w:rsidR="0016457F" w:rsidRPr="007613D3" w:rsidRDefault="0016457F" w:rsidP="0016457F">
      <w:pPr>
        <w:spacing w:after="0" w:line="360" w:lineRule="auto"/>
        <w:jc w:val="both"/>
        <w:rPr>
          <w:rFonts w:ascii="Arial" w:hAnsi="Arial" w:cs="Arial"/>
          <w:sz w:val="24"/>
          <w:szCs w:val="24"/>
          <w:lang w:val="en-US"/>
        </w:rPr>
      </w:pPr>
    </w:p>
    <w:p w:rsidR="0016457F" w:rsidRDefault="0016457F" w:rsidP="0016457F">
      <w:pPr>
        <w:spacing w:after="0" w:line="360" w:lineRule="auto"/>
        <w:jc w:val="both"/>
        <w:rPr>
          <w:rFonts w:ascii="Arial" w:hAnsi="Arial" w:cs="Arial"/>
          <w:sz w:val="24"/>
          <w:szCs w:val="24"/>
          <w:u w:val="single"/>
          <w:lang w:val="en-US"/>
        </w:rPr>
      </w:pPr>
      <w:r w:rsidRPr="00096F8C">
        <w:rPr>
          <w:rFonts w:ascii="Arial" w:hAnsi="Arial" w:cs="Arial"/>
          <w:sz w:val="24"/>
          <w:szCs w:val="24"/>
          <w:u w:val="single"/>
          <w:lang w:val="en-US"/>
        </w:rPr>
        <w:t>Introduction</w:t>
      </w:r>
    </w:p>
    <w:p w:rsidR="0016457F" w:rsidRPr="00096F8C" w:rsidRDefault="0016457F" w:rsidP="0016457F">
      <w:pPr>
        <w:spacing w:after="0" w:line="360" w:lineRule="auto"/>
        <w:jc w:val="both"/>
        <w:rPr>
          <w:rFonts w:ascii="Arial" w:hAnsi="Arial" w:cs="Arial"/>
          <w:sz w:val="24"/>
          <w:szCs w:val="24"/>
          <w:u w:val="single"/>
          <w:lang w:val="en-US"/>
        </w:rPr>
      </w:pPr>
    </w:p>
    <w:p w:rsidR="00E4419A" w:rsidRDefault="0016457F" w:rsidP="00E4419A">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plaintiff instituted action against the defendant for </w:t>
      </w:r>
      <w:r w:rsidR="00642A4E">
        <w:rPr>
          <w:rFonts w:ascii="Arial" w:hAnsi="Arial" w:cs="Arial"/>
          <w:sz w:val="24"/>
          <w:szCs w:val="24"/>
        </w:rPr>
        <w:t xml:space="preserve">three </w:t>
      </w:r>
      <w:r w:rsidR="00E4419A">
        <w:rPr>
          <w:rFonts w:ascii="Arial" w:hAnsi="Arial" w:cs="Arial"/>
          <w:sz w:val="24"/>
          <w:szCs w:val="24"/>
        </w:rPr>
        <w:t xml:space="preserve">different </w:t>
      </w:r>
      <w:r w:rsidR="00642A4E">
        <w:rPr>
          <w:rFonts w:ascii="Arial" w:hAnsi="Arial" w:cs="Arial"/>
          <w:sz w:val="24"/>
          <w:szCs w:val="24"/>
        </w:rPr>
        <w:t>claims</w:t>
      </w:r>
      <w:r w:rsidR="00E4419A">
        <w:rPr>
          <w:rFonts w:ascii="Arial" w:hAnsi="Arial" w:cs="Arial"/>
          <w:sz w:val="24"/>
          <w:szCs w:val="24"/>
        </w:rPr>
        <w:t>.</w:t>
      </w:r>
      <w:r w:rsidR="00642A4E">
        <w:rPr>
          <w:rFonts w:ascii="Arial" w:hAnsi="Arial" w:cs="Arial"/>
          <w:sz w:val="24"/>
          <w:szCs w:val="24"/>
        </w:rPr>
        <w:t xml:space="preserve"> </w:t>
      </w:r>
      <w:r w:rsidR="00E4419A">
        <w:rPr>
          <w:rFonts w:ascii="Arial" w:hAnsi="Arial" w:cs="Arial"/>
          <w:sz w:val="24"/>
          <w:szCs w:val="24"/>
        </w:rPr>
        <w:t>C</w:t>
      </w:r>
      <w:r w:rsidR="00642A4E">
        <w:rPr>
          <w:rFonts w:ascii="Arial" w:hAnsi="Arial" w:cs="Arial"/>
          <w:sz w:val="24"/>
          <w:szCs w:val="24"/>
        </w:rPr>
        <w:t xml:space="preserve">laim 1 constitutes </w:t>
      </w:r>
      <w:r>
        <w:rPr>
          <w:rFonts w:ascii="Arial" w:hAnsi="Arial" w:cs="Arial"/>
          <w:sz w:val="24"/>
          <w:szCs w:val="24"/>
        </w:rPr>
        <w:t>a claim in terms of a</w:t>
      </w:r>
      <w:r w:rsidR="00E93488">
        <w:rPr>
          <w:rFonts w:ascii="Arial" w:hAnsi="Arial" w:cs="Arial"/>
          <w:sz w:val="24"/>
          <w:szCs w:val="24"/>
        </w:rPr>
        <w:t xml:space="preserve"> </w:t>
      </w:r>
      <w:r w:rsidR="00780332">
        <w:rPr>
          <w:rFonts w:ascii="Arial" w:hAnsi="Arial" w:cs="Arial"/>
          <w:sz w:val="24"/>
          <w:szCs w:val="24"/>
        </w:rPr>
        <w:t>written</w:t>
      </w:r>
      <w:r>
        <w:rPr>
          <w:rFonts w:ascii="Arial" w:hAnsi="Arial" w:cs="Arial"/>
          <w:sz w:val="24"/>
          <w:szCs w:val="24"/>
        </w:rPr>
        <w:t xml:space="preserve"> agreement </w:t>
      </w:r>
      <w:r w:rsidR="00052F40">
        <w:rPr>
          <w:rFonts w:ascii="Arial" w:hAnsi="Arial" w:cs="Arial"/>
          <w:sz w:val="24"/>
          <w:szCs w:val="24"/>
        </w:rPr>
        <w:t>of sale for fixed property situated in Windhoek</w:t>
      </w:r>
      <w:r w:rsidR="00320736">
        <w:rPr>
          <w:rFonts w:ascii="Arial" w:hAnsi="Arial" w:cs="Arial"/>
          <w:sz w:val="24"/>
          <w:szCs w:val="24"/>
        </w:rPr>
        <w:t xml:space="preserve">. In terms of the agreement between the parties the </w:t>
      </w:r>
      <w:r w:rsidR="00320736">
        <w:rPr>
          <w:rFonts w:ascii="Arial" w:hAnsi="Arial" w:cs="Arial"/>
          <w:sz w:val="24"/>
          <w:szCs w:val="24"/>
        </w:rPr>
        <w:lastRenderedPageBreak/>
        <w:t>defendant sold the property to the plaintiff, and the plaintiff purchased the property for the purchase consideration of N$ 521,286.19. The plaintiff would be entitled to transfer of the property on the payment by the plaintiff of the purchase consideration and payment of the transfer cost on demand of the defendant’s conveyancer. Possession of the property would then</w:t>
      </w:r>
      <w:r w:rsidR="003040FF">
        <w:rPr>
          <w:rFonts w:ascii="Arial" w:hAnsi="Arial" w:cs="Arial"/>
          <w:sz w:val="24"/>
          <w:szCs w:val="24"/>
        </w:rPr>
        <w:t xml:space="preserve"> be provided to the plaintiff </w:t>
      </w:r>
      <w:r w:rsidR="003040FF" w:rsidRPr="00745247">
        <w:rPr>
          <w:rFonts w:ascii="Arial" w:hAnsi="Arial" w:cs="Arial"/>
          <w:color w:val="000000" w:themeColor="text1"/>
          <w:sz w:val="24"/>
          <w:szCs w:val="24"/>
        </w:rPr>
        <w:t>upon</w:t>
      </w:r>
      <w:r w:rsidR="00320736" w:rsidRPr="00745247">
        <w:rPr>
          <w:rFonts w:ascii="Arial" w:hAnsi="Arial" w:cs="Arial"/>
          <w:color w:val="000000" w:themeColor="text1"/>
          <w:sz w:val="24"/>
          <w:szCs w:val="24"/>
        </w:rPr>
        <w:t xml:space="preserve"> registration of transfer of the property. The plaintiff in compliance with his obligations in terms of the written agreement paid the amount of N$ 521,286.19 to Nedbank Nam</w:t>
      </w:r>
      <w:r w:rsidR="00745247">
        <w:rPr>
          <w:rFonts w:ascii="Arial" w:hAnsi="Arial" w:cs="Arial"/>
          <w:color w:val="000000" w:themeColor="text1"/>
          <w:sz w:val="24"/>
          <w:szCs w:val="24"/>
        </w:rPr>
        <w:t>i</w:t>
      </w:r>
      <w:r w:rsidR="00320736" w:rsidRPr="00745247">
        <w:rPr>
          <w:rFonts w:ascii="Arial" w:hAnsi="Arial" w:cs="Arial"/>
          <w:color w:val="000000" w:themeColor="text1"/>
          <w:sz w:val="24"/>
          <w:szCs w:val="24"/>
        </w:rPr>
        <w:t>bia Ltd for the benefit of the defendant. The defendant breached the terms of the agreement in failing and refusing to give transfer of the property into the plaintiff’s name, despite demand.</w:t>
      </w:r>
      <w:r w:rsidR="00E4419A" w:rsidRPr="00745247">
        <w:rPr>
          <w:rFonts w:ascii="Arial" w:hAnsi="Arial" w:cs="Arial"/>
          <w:color w:val="000000" w:themeColor="text1"/>
          <w:sz w:val="24"/>
          <w:szCs w:val="24"/>
        </w:rPr>
        <w:t xml:space="preserve"> In the alternative to claim 1 the plaintiff claimed on the basis of unjust enrichment payment in the amount defendant was so enriched and the plaintiff </w:t>
      </w:r>
      <w:r w:rsidR="003040FF" w:rsidRPr="00745247">
        <w:rPr>
          <w:rFonts w:ascii="Arial" w:hAnsi="Arial" w:cs="Arial"/>
          <w:color w:val="000000" w:themeColor="text1"/>
          <w:sz w:val="24"/>
          <w:szCs w:val="24"/>
        </w:rPr>
        <w:t>w</w:t>
      </w:r>
      <w:r w:rsidR="00E4419A" w:rsidRPr="00745247">
        <w:rPr>
          <w:rFonts w:ascii="Arial" w:hAnsi="Arial" w:cs="Arial"/>
          <w:color w:val="000000" w:themeColor="text1"/>
          <w:sz w:val="24"/>
          <w:szCs w:val="24"/>
        </w:rPr>
        <w:t>a</w:t>
      </w:r>
      <w:r w:rsidR="003040FF" w:rsidRPr="00745247">
        <w:rPr>
          <w:rFonts w:ascii="Arial" w:hAnsi="Arial" w:cs="Arial"/>
          <w:color w:val="000000" w:themeColor="text1"/>
          <w:sz w:val="24"/>
          <w:szCs w:val="24"/>
        </w:rPr>
        <w:t>s</w:t>
      </w:r>
      <w:r w:rsidR="00E4419A" w:rsidRPr="00745247">
        <w:rPr>
          <w:rFonts w:ascii="Arial" w:hAnsi="Arial" w:cs="Arial"/>
          <w:color w:val="000000" w:themeColor="text1"/>
          <w:sz w:val="24"/>
          <w:szCs w:val="24"/>
        </w:rPr>
        <w:t xml:space="preserve"> so </w:t>
      </w:r>
      <w:r w:rsidR="00E4419A">
        <w:rPr>
          <w:rFonts w:ascii="Arial" w:hAnsi="Arial" w:cs="Arial"/>
          <w:sz w:val="24"/>
          <w:szCs w:val="24"/>
        </w:rPr>
        <w:t xml:space="preserve">impoverished. </w:t>
      </w:r>
    </w:p>
    <w:p w:rsidR="004B2D4B" w:rsidRDefault="004B2D4B" w:rsidP="004B2D4B">
      <w:pPr>
        <w:pStyle w:val="ListParagraph"/>
        <w:spacing w:after="0" w:line="360" w:lineRule="auto"/>
        <w:ind w:left="0"/>
        <w:jc w:val="both"/>
        <w:rPr>
          <w:rFonts w:ascii="Arial" w:hAnsi="Arial" w:cs="Arial"/>
          <w:sz w:val="24"/>
          <w:szCs w:val="24"/>
        </w:rPr>
      </w:pPr>
    </w:p>
    <w:p w:rsidR="00320736" w:rsidRDefault="00E4419A" w:rsidP="0016457F">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Claim 2 is based on an oral lease agreement relating to the property in issue wherein the plaintiff claims payment in the amount of N$ 126 000 for rental for the period June 2014 to July 2017 which is due, owing and payable. Claim 3 is based on a donation wherein the plaintiff donated a certain vehicle to the defendant, which </w:t>
      </w:r>
      <w:r w:rsidR="004B2D4B">
        <w:rPr>
          <w:rFonts w:ascii="Arial" w:hAnsi="Arial" w:cs="Arial"/>
          <w:sz w:val="24"/>
          <w:szCs w:val="24"/>
        </w:rPr>
        <w:t xml:space="preserve">donation </w:t>
      </w:r>
      <w:r>
        <w:rPr>
          <w:rFonts w:ascii="Arial" w:hAnsi="Arial" w:cs="Arial"/>
          <w:sz w:val="24"/>
          <w:szCs w:val="24"/>
        </w:rPr>
        <w:t>the plaintiff revoked</w:t>
      </w:r>
      <w:r w:rsidR="004B2D4B">
        <w:rPr>
          <w:rFonts w:ascii="Arial" w:hAnsi="Arial" w:cs="Arial"/>
          <w:sz w:val="24"/>
          <w:szCs w:val="24"/>
        </w:rPr>
        <w:t>. In his prayers the plaintiff</w:t>
      </w:r>
      <w:r>
        <w:rPr>
          <w:rFonts w:ascii="Arial" w:hAnsi="Arial" w:cs="Arial"/>
          <w:sz w:val="24"/>
          <w:szCs w:val="24"/>
        </w:rPr>
        <w:t xml:space="preserve"> prays for the confirmation of the revocation of the donation and an order directing the defendant to retransfer the vehicle into the plaintiff’s name</w:t>
      </w:r>
      <w:r w:rsidR="008501EB">
        <w:rPr>
          <w:rFonts w:ascii="Arial" w:hAnsi="Arial" w:cs="Arial"/>
          <w:sz w:val="24"/>
          <w:szCs w:val="24"/>
        </w:rPr>
        <w:t xml:space="preserve"> and return possession of the vehicle to the plaint</w:t>
      </w:r>
      <w:r w:rsidR="004B2D4B">
        <w:rPr>
          <w:rFonts w:ascii="Arial" w:hAnsi="Arial" w:cs="Arial"/>
          <w:sz w:val="24"/>
          <w:szCs w:val="24"/>
        </w:rPr>
        <w:t>i</w:t>
      </w:r>
      <w:r w:rsidR="008501EB">
        <w:rPr>
          <w:rFonts w:ascii="Arial" w:hAnsi="Arial" w:cs="Arial"/>
          <w:sz w:val="24"/>
          <w:szCs w:val="24"/>
        </w:rPr>
        <w:t>ff</w:t>
      </w:r>
      <w:r>
        <w:rPr>
          <w:rFonts w:ascii="Arial" w:hAnsi="Arial" w:cs="Arial"/>
          <w:sz w:val="24"/>
          <w:szCs w:val="24"/>
        </w:rPr>
        <w:t xml:space="preserve">. In the alternative </w:t>
      </w:r>
      <w:r w:rsidR="008501EB">
        <w:rPr>
          <w:rFonts w:ascii="Arial" w:hAnsi="Arial" w:cs="Arial"/>
          <w:sz w:val="24"/>
          <w:szCs w:val="24"/>
        </w:rPr>
        <w:t>if it was found that the defendant was no longer in possession of the vehicle payment in the amount of N$ 77 000.00.</w:t>
      </w:r>
    </w:p>
    <w:p w:rsidR="00DA5398" w:rsidRDefault="00DA5398" w:rsidP="00DA5398">
      <w:pPr>
        <w:pStyle w:val="ListParagraph"/>
        <w:spacing w:after="0" w:line="360" w:lineRule="auto"/>
        <w:ind w:left="0"/>
        <w:jc w:val="both"/>
        <w:rPr>
          <w:rFonts w:ascii="Arial" w:hAnsi="Arial" w:cs="Arial"/>
          <w:sz w:val="24"/>
          <w:szCs w:val="24"/>
        </w:rPr>
      </w:pPr>
    </w:p>
    <w:p w:rsidR="00DA5398" w:rsidRPr="00DA5398" w:rsidRDefault="00DA5398" w:rsidP="00DA539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DA5398">
        <w:rPr>
          <w:rFonts w:ascii="Arial" w:hAnsi="Arial" w:cs="Arial"/>
          <w:sz w:val="24"/>
          <w:szCs w:val="24"/>
        </w:rPr>
        <w:t>On 26 October 2017, this court adopted the case plan as filed by the parties and the matter was post</w:t>
      </w:r>
      <w:r w:rsidR="007869C5">
        <w:rPr>
          <w:rFonts w:ascii="Arial" w:hAnsi="Arial" w:cs="Arial"/>
          <w:sz w:val="24"/>
          <w:szCs w:val="24"/>
        </w:rPr>
        <w:t xml:space="preserve">poned to 30 November 2017 for a </w:t>
      </w:r>
      <w:r w:rsidRPr="00DA5398">
        <w:rPr>
          <w:rFonts w:ascii="Arial" w:hAnsi="Arial" w:cs="Arial"/>
          <w:sz w:val="24"/>
          <w:szCs w:val="24"/>
        </w:rPr>
        <w:t xml:space="preserve">case management conference hearing.  The defendant failed to file her plea as set out in the court order dated 26 October 2017. </w:t>
      </w:r>
      <w:r w:rsidR="004B2D4B">
        <w:rPr>
          <w:rFonts w:ascii="Arial" w:hAnsi="Arial" w:cs="Arial"/>
          <w:sz w:val="24"/>
          <w:szCs w:val="24"/>
        </w:rPr>
        <w:t xml:space="preserve">Due to the defendant’s failure to file her plea </w:t>
      </w:r>
      <w:r w:rsidRPr="00DA5398">
        <w:rPr>
          <w:rFonts w:ascii="Arial" w:hAnsi="Arial" w:cs="Arial"/>
          <w:sz w:val="24"/>
          <w:szCs w:val="24"/>
        </w:rPr>
        <w:t>as per court</w:t>
      </w:r>
      <w:r w:rsidR="007869C5">
        <w:rPr>
          <w:rFonts w:ascii="Arial" w:hAnsi="Arial" w:cs="Arial"/>
          <w:sz w:val="24"/>
          <w:szCs w:val="24"/>
        </w:rPr>
        <w:t xml:space="preserve"> order dated 26 October 2017</w:t>
      </w:r>
      <w:r w:rsidR="007869C5" w:rsidRPr="007869C5">
        <w:rPr>
          <w:rFonts w:ascii="Arial" w:hAnsi="Arial" w:cs="Arial"/>
          <w:color w:val="FF0000"/>
          <w:sz w:val="24"/>
          <w:szCs w:val="24"/>
        </w:rPr>
        <w:t>,</w:t>
      </w:r>
      <w:r w:rsidRPr="00DA5398">
        <w:rPr>
          <w:rFonts w:ascii="Arial" w:hAnsi="Arial" w:cs="Arial"/>
          <w:sz w:val="24"/>
          <w:szCs w:val="24"/>
        </w:rPr>
        <w:t xml:space="preserve"> the plaintiff proceeded to file </w:t>
      </w:r>
      <w:r w:rsidR="004B2D4B">
        <w:rPr>
          <w:rFonts w:ascii="Arial" w:hAnsi="Arial" w:cs="Arial"/>
          <w:sz w:val="24"/>
          <w:szCs w:val="24"/>
        </w:rPr>
        <w:t xml:space="preserve">application for </w:t>
      </w:r>
      <w:r w:rsidRPr="00DA5398">
        <w:rPr>
          <w:rFonts w:ascii="Arial" w:hAnsi="Arial" w:cs="Arial"/>
          <w:sz w:val="24"/>
          <w:szCs w:val="24"/>
        </w:rPr>
        <w:t xml:space="preserve">default judgment against the defendant. </w:t>
      </w:r>
      <w:r w:rsidR="004B2D4B">
        <w:rPr>
          <w:rFonts w:ascii="Arial" w:hAnsi="Arial" w:cs="Arial"/>
          <w:sz w:val="24"/>
          <w:szCs w:val="24"/>
        </w:rPr>
        <w:t xml:space="preserve">The defendant applied for condonation for her non-compliance with the relevant court order which was opposed by the plaintiff. </w:t>
      </w:r>
      <w:r w:rsidRPr="00DA5398">
        <w:rPr>
          <w:rFonts w:ascii="Arial" w:hAnsi="Arial" w:cs="Arial"/>
          <w:sz w:val="24"/>
          <w:szCs w:val="24"/>
        </w:rPr>
        <w:t>The parties then proceeded with filing papers and this</w:t>
      </w:r>
      <w:r w:rsidR="007869C5">
        <w:rPr>
          <w:rFonts w:ascii="Arial" w:hAnsi="Arial" w:cs="Arial"/>
          <w:sz w:val="24"/>
          <w:szCs w:val="24"/>
        </w:rPr>
        <w:t xml:space="preserve"> court gave </w:t>
      </w:r>
      <w:r w:rsidR="007869C5">
        <w:rPr>
          <w:rFonts w:ascii="Arial" w:hAnsi="Arial" w:cs="Arial"/>
          <w:sz w:val="24"/>
          <w:szCs w:val="24"/>
        </w:rPr>
        <w:lastRenderedPageBreak/>
        <w:t xml:space="preserve">judgment </w:t>
      </w:r>
      <w:r w:rsidR="007869C5" w:rsidRPr="007F3370">
        <w:rPr>
          <w:rFonts w:ascii="Arial" w:hAnsi="Arial" w:cs="Arial"/>
          <w:sz w:val="24"/>
          <w:szCs w:val="24"/>
        </w:rPr>
        <w:t xml:space="preserve">in light of </w:t>
      </w:r>
      <w:r w:rsidRPr="00DA5398">
        <w:rPr>
          <w:rFonts w:ascii="Arial" w:hAnsi="Arial" w:cs="Arial"/>
          <w:sz w:val="24"/>
          <w:szCs w:val="24"/>
        </w:rPr>
        <w:t>the non-compliance by the defendant and this court made the following order:</w:t>
      </w:r>
      <w:r>
        <w:rPr>
          <w:rStyle w:val="FootnoteReference"/>
          <w:rFonts w:ascii="Arial" w:hAnsi="Arial" w:cs="Arial"/>
          <w:sz w:val="24"/>
          <w:szCs w:val="24"/>
        </w:rPr>
        <w:footnoteReference w:id="1"/>
      </w:r>
    </w:p>
    <w:p w:rsidR="00DA5398" w:rsidRPr="00DA5398" w:rsidRDefault="00DA5398" w:rsidP="00DA5398">
      <w:pPr>
        <w:pStyle w:val="ListParagraph"/>
        <w:spacing w:after="0" w:line="360" w:lineRule="auto"/>
        <w:jc w:val="both"/>
        <w:rPr>
          <w:rFonts w:ascii="Arial" w:hAnsi="Arial" w:cs="Arial"/>
          <w:sz w:val="24"/>
          <w:szCs w:val="24"/>
        </w:rPr>
      </w:pPr>
    </w:p>
    <w:p w:rsidR="00DA5398" w:rsidRDefault="00DA5398" w:rsidP="00724A9A">
      <w:pPr>
        <w:spacing w:after="0" w:line="360" w:lineRule="auto"/>
        <w:jc w:val="both"/>
        <w:rPr>
          <w:rFonts w:ascii="Arial" w:hAnsi="Arial" w:cs="Arial"/>
          <w:szCs w:val="24"/>
        </w:rPr>
      </w:pPr>
      <w:r w:rsidRPr="00724A9A">
        <w:rPr>
          <w:rFonts w:ascii="Arial" w:hAnsi="Arial" w:cs="Arial"/>
          <w:szCs w:val="24"/>
        </w:rPr>
        <w:t>‘</w:t>
      </w:r>
      <w:proofErr w:type="gramStart"/>
      <w:r w:rsidRPr="00724A9A">
        <w:rPr>
          <w:rFonts w:ascii="Arial" w:hAnsi="Arial" w:cs="Arial"/>
          <w:szCs w:val="24"/>
        </w:rPr>
        <w:t>a</w:t>
      </w:r>
      <w:proofErr w:type="gramEnd"/>
      <w:r w:rsidRPr="00724A9A">
        <w:rPr>
          <w:rFonts w:ascii="Arial" w:hAnsi="Arial" w:cs="Arial"/>
          <w:szCs w:val="24"/>
        </w:rPr>
        <w:t xml:space="preserve">) </w:t>
      </w:r>
      <w:r w:rsidRPr="00724A9A">
        <w:rPr>
          <w:rFonts w:ascii="Arial" w:hAnsi="Arial" w:cs="Arial"/>
          <w:szCs w:val="24"/>
        </w:rPr>
        <w:tab/>
        <w:t xml:space="preserve">The application for condoning the defendant’s failure to comply with court order dated 26 October 2018 is refused with costs, cost of one instructed and one instructing counsel. </w:t>
      </w:r>
    </w:p>
    <w:p w:rsidR="00745247" w:rsidRPr="00724A9A" w:rsidRDefault="00745247" w:rsidP="00724A9A">
      <w:pPr>
        <w:spacing w:after="0" w:line="360" w:lineRule="auto"/>
        <w:jc w:val="both"/>
        <w:rPr>
          <w:rFonts w:ascii="Arial" w:hAnsi="Arial" w:cs="Arial"/>
          <w:szCs w:val="24"/>
        </w:rPr>
      </w:pPr>
    </w:p>
    <w:p w:rsidR="00DA5398" w:rsidRDefault="00DA5398" w:rsidP="00724A9A">
      <w:pPr>
        <w:spacing w:after="0" w:line="360" w:lineRule="auto"/>
        <w:jc w:val="both"/>
        <w:rPr>
          <w:rFonts w:ascii="Arial" w:hAnsi="Arial" w:cs="Arial"/>
          <w:szCs w:val="24"/>
        </w:rPr>
      </w:pPr>
      <w:r w:rsidRPr="00724A9A">
        <w:rPr>
          <w:rFonts w:ascii="Arial" w:hAnsi="Arial" w:cs="Arial"/>
          <w:szCs w:val="24"/>
        </w:rPr>
        <w:t>b)</w:t>
      </w:r>
      <w:r w:rsidRPr="00724A9A">
        <w:rPr>
          <w:rFonts w:ascii="Arial" w:hAnsi="Arial" w:cs="Arial"/>
          <w:szCs w:val="24"/>
        </w:rPr>
        <w:tab/>
        <w:t xml:space="preserve"> Matter is postponed to 24 May 2018 at 15:00 for Status Hearing (Reason: Plaintiff </w:t>
      </w:r>
      <w:proofErr w:type="gramStart"/>
      <w:r w:rsidRPr="00724A9A">
        <w:rPr>
          <w:rFonts w:ascii="Arial" w:hAnsi="Arial" w:cs="Arial"/>
          <w:szCs w:val="24"/>
        </w:rPr>
        <w:t>intend</w:t>
      </w:r>
      <w:proofErr w:type="gramEnd"/>
      <w:r w:rsidRPr="00724A9A">
        <w:rPr>
          <w:rFonts w:ascii="Arial" w:hAnsi="Arial" w:cs="Arial"/>
          <w:szCs w:val="24"/>
        </w:rPr>
        <w:t xml:space="preserve"> to move an application for default judgment in terms of Rule 15).</w:t>
      </w:r>
    </w:p>
    <w:p w:rsidR="00745247" w:rsidRPr="00724A9A" w:rsidRDefault="00745247" w:rsidP="00724A9A">
      <w:pPr>
        <w:spacing w:after="0" w:line="360" w:lineRule="auto"/>
        <w:jc w:val="both"/>
        <w:rPr>
          <w:rFonts w:ascii="Arial" w:hAnsi="Arial" w:cs="Arial"/>
          <w:szCs w:val="24"/>
        </w:rPr>
      </w:pPr>
    </w:p>
    <w:p w:rsidR="00DA5398" w:rsidRPr="00724A9A" w:rsidRDefault="00DA5398" w:rsidP="00724A9A">
      <w:pPr>
        <w:spacing w:after="0" w:line="360" w:lineRule="auto"/>
        <w:jc w:val="both"/>
        <w:rPr>
          <w:rFonts w:ascii="Arial" w:hAnsi="Arial" w:cs="Arial"/>
          <w:szCs w:val="24"/>
        </w:rPr>
      </w:pPr>
      <w:r w:rsidRPr="00724A9A">
        <w:rPr>
          <w:rFonts w:ascii="Arial" w:hAnsi="Arial" w:cs="Arial"/>
          <w:szCs w:val="24"/>
        </w:rPr>
        <w:t xml:space="preserve">c) </w:t>
      </w:r>
      <w:r w:rsidRPr="00724A9A">
        <w:rPr>
          <w:rFonts w:ascii="Arial" w:hAnsi="Arial" w:cs="Arial"/>
          <w:szCs w:val="24"/>
        </w:rPr>
        <w:tab/>
        <w:t>Aforesaid application must be set down in terms of the Rules and Practice Directions.’</w:t>
      </w:r>
    </w:p>
    <w:p w:rsidR="00DA5398" w:rsidRPr="00DA5398" w:rsidRDefault="00DA5398" w:rsidP="00DA5398">
      <w:pPr>
        <w:pStyle w:val="ListParagraph"/>
        <w:spacing w:after="0" w:line="360" w:lineRule="auto"/>
        <w:ind w:left="0"/>
        <w:jc w:val="both"/>
        <w:rPr>
          <w:rFonts w:ascii="Arial" w:hAnsi="Arial" w:cs="Arial"/>
          <w:sz w:val="24"/>
          <w:szCs w:val="24"/>
        </w:rPr>
      </w:pPr>
    </w:p>
    <w:p w:rsidR="00DA5398" w:rsidRDefault="00DA5398" w:rsidP="00DA5398">
      <w:pPr>
        <w:pStyle w:val="ListParagraph"/>
        <w:tabs>
          <w:tab w:val="left" w:pos="1530"/>
        </w:tabs>
        <w:spacing w:after="0" w:line="360" w:lineRule="auto"/>
        <w:ind w:left="0"/>
        <w:jc w:val="both"/>
        <w:rPr>
          <w:rFonts w:ascii="Arial" w:hAnsi="Arial" w:cs="Arial"/>
          <w:sz w:val="24"/>
          <w:szCs w:val="24"/>
        </w:rPr>
      </w:pPr>
      <w:r>
        <w:rPr>
          <w:rFonts w:ascii="Arial" w:hAnsi="Arial" w:cs="Arial"/>
          <w:sz w:val="24"/>
          <w:szCs w:val="24"/>
        </w:rPr>
        <w:t>[4]     The result of the ruling dated 27 April 2018 is that the defendant is i</w:t>
      </w:r>
      <w:r w:rsidRPr="00DA5398">
        <w:rPr>
          <w:rFonts w:ascii="Arial" w:hAnsi="Arial" w:cs="Arial"/>
          <w:i/>
          <w:sz w:val="24"/>
          <w:szCs w:val="24"/>
        </w:rPr>
        <w:t>pso facto</w:t>
      </w:r>
      <w:r>
        <w:rPr>
          <w:rFonts w:ascii="Arial" w:hAnsi="Arial" w:cs="Arial"/>
          <w:sz w:val="24"/>
          <w:szCs w:val="24"/>
        </w:rPr>
        <w:t xml:space="preserve"> barred from pleading.</w:t>
      </w:r>
    </w:p>
    <w:p w:rsidR="00DA5398" w:rsidRDefault="00DA5398" w:rsidP="00DA5398">
      <w:pPr>
        <w:pStyle w:val="ListParagraph"/>
        <w:tabs>
          <w:tab w:val="left" w:pos="1530"/>
        </w:tabs>
        <w:spacing w:after="0" w:line="360" w:lineRule="auto"/>
        <w:ind w:left="0"/>
        <w:jc w:val="both"/>
        <w:rPr>
          <w:rFonts w:ascii="Arial" w:hAnsi="Arial" w:cs="Arial"/>
          <w:sz w:val="24"/>
          <w:szCs w:val="24"/>
        </w:rPr>
      </w:pPr>
    </w:p>
    <w:p w:rsidR="00D97286" w:rsidRDefault="00DA5398" w:rsidP="00DA5398">
      <w:pPr>
        <w:pStyle w:val="ListParagraph"/>
        <w:tabs>
          <w:tab w:val="left" w:pos="1530"/>
        </w:tabs>
        <w:spacing w:after="0" w:line="360" w:lineRule="auto"/>
        <w:ind w:left="0"/>
        <w:jc w:val="both"/>
        <w:rPr>
          <w:rFonts w:ascii="Arial" w:hAnsi="Arial" w:cs="Arial"/>
          <w:sz w:val="24"/>
          <w:szCs w:val="24"/>
        </w:rPr>
      </w:pPr>
      <w:r>
        <w:rPr>
          <w:rFonts w:ascii="Arial" w:hAnsi="Arial" w:cs="Arial"/>
          <w:sz w:val="24"/>
          <w:szCs w:val="24"/>
        </w:rPr>
        <w:t xml:space="preserve">[5]      </w:t>
      </w:r>
      <w:r w:rsidR="00642A4E">
        <w:rPr>
          <w:rFonts w:ascii="Arial" w:hAnsi="Arial" w:cs="Arial"/>
          <w:sz w:val="24"/>
          <w:szCs w:val="24"/>
        </w:rPr>
        <w:t>On 17 May 2018</w:t>
      </w:r>
      <w:r w:rsidR="00D97286">
        <w:rPr>
          <w:rFonts w:ascii="Arial" w:hAnsi="Arial" w:cs="Arial"/>
          <w:sz w:val="24"/>
          <w:szCs w:val="24"/>
        </w:rPr>
        <w:t xml:space="preserve"> the defendant filed a Notice in terms of Rule 64, which reads as follows: </w:t>
      </w:r>
    </w:p>
    <w:p w:rsidR="00DC708D" w:rsidRDefault="00DC708D" w:rsidP="00DA5398">
      <w:pPr>
        <w:pStyle w:val="ListParagraph"/>
        <w:tabs>
          <w:tab w:val="left" w:pos="1530"/>
        </w:tabs>
        <w:spacing w:after="0" w:line="360" w:lineRule="auto"/>
        <w:ind w:left="0"/>
        <w:jc w:val="both"/>
        <w:rPr>
          <w:rFonts w:ascii="Arial" w:hAnsi="Arial" w:cs="Arial"/>
          <w:sz w:val="24"/>
          <w:szCs w:val="24"/>
        </w:rPr>
      </w:pPr>
    </w:p>
    <w:p w:rsidR="00DA5398" w:rsidRDefault="00D97286" w:rsidP="00DA5398">
      <w:pPr>
        <w:pStyle w:val="ListParagraph"/>
        <w:tabs>
          <w:tab w:val="left" w:pos="1530"/>
        </w:tabs>
        <w:spacing w:after="0" w:line="360" w:lineRule="auto"/>
        <w:ind w:left="0"/>
        <w:jc w:val="both"/>
        <w:rPr>
          <w:rFonts w:ascii="Arial" w:hAnsi="Arial" w:cs="Arial"/>
          <w:sz w:val="24"/>
          <w:szCs w:val="24"/>
        </w:rPr>
      </w:pPr>
      <w:r>
        <w:rPr>
          <w:rFonts w:ascii="Arial" w:hAnsi="Arial" w:cs="Arial"/>
          <w:sz w:val="24"/>
          <w:szCs w:val="24"/>
        </w:rPr>
        <w:t>‘</w:t>
      </w:r>
      <w:r w:rsidRPr="00D97286">
        <w:rPr>
          <w:rFonts w:ascii="Arial" w:hAnsi="Arial" w:cs="Arial"/>
        </w:rPr>
        <w:t xml:space="preserve">1. </w:t>
      </w:r>
      <w:r w:rsidRPr="00D97286">
        <w:rPr>
          <w:rFonts w:ascii="Arial" w:hAnsi="Arial" w:cs="Arial"/>
          <w:b/>
        </w:rPr>
        <w:t>KINDLY TAKE NOTICE</w:t>
      </w:r>
      <w:r w:rsidRPr="00D97286">
        <w:rPr>
          <w:rFonts w:ascii="Arial" w:hAnsi="Arial" w:cs="Arial"/>
        </w:rPr>
        <w:t xml:space="preserve"> that the Defendant unconditionally tenders to settle the claim of the Plaintiff prayed for in paragraph 3, 6 and 12 of the Plaintiff’s Particulars of Claim. The Defendant offers an amount of N$ 769,334.87 to the Plaintiff in full and final settlement of the claim against the Defendant.</w:t>
      </w:r>
      <w:r>
        <w:rPr>
          <w:rFonts w:ascii="Arial" w:hAnsi="Arial" w:cs="Arial"/>
          <w:sz w:val="24"/>
          <w:szCs w:val="24"/>
        </w:rPr>
        <w:t>’</w:t>
      </w:r>
    </w:p>
    <w:p w:rsidR="00DA5398" w:rsidRDefault="00DA5398" w:rsidP="00DA5398">
      <w:pPr>
        <w:pStyle w:val="ListParagraph"/>
        <w:tabs>
          <w:tab w:val="left" w:pos="1530"/>
        </w:tabs>
        <w:spacing w:after="0" w:line="360" w:lineRule="auto"/>
        <w:ind w:left="0"/>
        <w:jc w:val="both"/>
        <w:rPr>
          <w:rFonts w:ascii="Arial" w:hAnsi="Arial" w:cs="Arial"/>
          <w:sz w:val="24"/>
          <w:szCs w:val="24"/>
        </w:rPr>
      </w:pPr>
    </w:p>
    <w:p w:rsidR="004B2D4B" w:rsidRDefault="00D97286" w:rsidP="00DA5398">
      <w:pPr>
        <w:pStyle w:val="ListParagraph"/>
        <w:tabs>
          <w:tab w:val="left" w:pos="1530"/>
        </w:tabs>
        <w:spacing w:after="0" w:line="360" w:lineRule="auto"/>
        <w:ind w:left="0"/>
        <w:jc w:val="both"/>
        <w:rPr>
          <w:rFonts w:ascii="Arial" w:hAnsi="Arial" w:cs="Arial"/>
          <w:sz w:val="24"/>
          <w:szCs w:val="24"/>
        </w:rPr>
      </w:pPr>
      <w:r>
        <w:rPr>
          <w:rFonts w:ascii="Arial" w:hAnsi="Arial" w:cs="Arial"/>
          <w:sz w:val="24"/>
          <w:szCs w:val="24"/>
        </w:rPr>
        <w:t xml:space="preserve">[6]    </w:t>
      </w:r>
      <w:r w:rsidR="003A3928">
        <w:rPr>
          <w:rFonts w:ascii="Arial" w:hAnsi="Arial" w:cs="Arial"/>
          <w:sz w:val="24"/>
          <w:szCs w:val="24"/>
        </w:rPr>
        <w:t xml:space="preserve"> </w:t>
      </w:r>
      <w:r w:rsidR="006E2406">
        <w:rPr>
          <w:rFonts w:ascii="Arial" w:hAnsi="Arial" w:cs="Arial"/>
          <w:sz w:val="24"/>
          <w:szCs w:val="24"/>
        </w:rPr>
        <w:t>It is important to note that t</w:t>
      </w:r>
      <w:r w:rsidR="004B2D4B">
        <w:rPr>
          <w:rFonts w:ascii="Arial" w:hAnsi="Arial" w:cs="Arial"/>
          <w:sz w:val="24"/>
          <w:szCs w:val="24"/>
        </w:rPr>
        <w:t>he paragraphs referred to in the Rule 64 relates to the alternative to claim 1, claim 2 and the alternative to claim 3</w:t>
      </w:r>
      <w:r w:rsidR="006E2406">
        <w:rPr>
          <w:rFonts w:ascii="Arial" w:hAnsi="Arial" w:cs="Arial"/>
          <w:sz w:val="24"/>
          <w:szCs w:val="24"/>
        </w:rPr>
        <w:t xml:space="preserve">, and the amount tendered appears to </w:t>
      </w:r>
      <w:r w:rsidR="006E2406" w:rsidRPr="00745247">
        <w:rPr>
          <w:rFonts w:ascii="Arial" w:hAnsi="Arial" w:cs="Arial"/>
          <w:color w:val="000000" w:themeColor="text1"/>
          <w:sz w:val="24"/>
          <w:szCs w:val="24"/>
        </w:rPr>
        <w:t>be</w:t>
      </w:r>
      <w:r w:rsidR="007869C5" w:rsidRPr="00745247">
        <w:rPr>
          <w:rFonts w:ascii="Arial" w:hAnsi="Arial" w:cs="Arial"/>
          <w:color w:val="000000" w:themeColor="text1"/>
          <w:sz w:val="24"/>
          <w:szCs w:val="24"/>
        </w:rPr>
        <w:t xml:space="preserve"> the</w:t>
      </w:r>
      <w:r w:rsidR="006E2406" w:rsidRPr="00745247">
        <w:rPr>
          <w:rFonts w:ascii="Arial" w:hAnsi="Arial" w:cs="Arial"/>
          <w:color w:val="000000" w:themeColor="text1"/>
          <w:sz w:val="24"/>
          <w:szCs w:val="24"/>
        </w:rPr>
        <w:t xml:space="preserve"> sum </w:t>
      </w:r>
      <w:r w:rsidR="006E2406">
        <w:rPr>
          <w:rFonts w:ascii="Arial" w:hAnsi="Arial" w:cs="Arial"/>
          <w:sz w:val="24"/>
          <w:szCs w:val="24"/>
        </w:rPr>
        <w:t>total of the monetary value of the aforementioned claims.</w:t>
      </w:r>
      <w:r w:rsidR="004B2D4B">
        <w:rPr>
          <w:rFonts w:ascii="Arial" w:hAnsi="Arial" w:cs="Arial"/>
          <w:sz w:val="24"/>
          <w:szCs w:val="24"/>
        </w:rPr>
        <w:t xml:space="preserve"> </w:t>
      </w:r>
    </w:p>
    <w:p w:rsidR="004B2D4B" w:rsidRDefault="004B2D4B" w:rsidP="00DA5398">
      <w:pPr>
        <w:pStyle w:val="ListParagraph"/>
        <w:tabs>
          <w:tab w:val="left" w:pos="1530"/>
        </w:tabs>
        <w:spacing w:after="0" w:line="360" w:lineRule="auto"/>
        <w:ind w:left="0"/>
        <w:jc w:val="both"/>
        <w:rPr>
          <w:rFonts w:ascii="Arial" w:hAnsi="Arial" w:cs="Arial"/>
          <w:sz w:val="24"/>
          <w:szCs w:val="24"/>
        </w:rPr>
      </w:pPr>
    </w:p>
    <w:p w:rsidR="003A3928" w:rsidRDefault="006E2406" w:rsidP="00DA5398">
      <w:pPr>
        <w:pStyle w:val="ListParagraph"/>
        <w:tabs>
          <w:tab w:val="left" w:pos="1530"/>
        </w:tabs>
        <w:spacing w:after="0" w:line="360" w:lineRule="auto"/>
        <w:ind w:left="0"/>
        <w:jc w:val="both"/>
        <w:rPr>
          <w:rFonts w:ascii="Arial" w:hAnsi="Arial" w:cs="Arial"/>
          <w:sz w:val="24"/>
          <w:szCs w:val="24"/>
        </w:rPr>
      </w:pPr>
      <w:r>
        <w:rPr>
          <w:rFonts w:ascii="Arial" w:hAnsi="Arial" w:cs="Arial"/>
          <w:sz w:val="24"/>
          <w:szCs w:val="24"/>
        </w:rPr>
        <w:t xml:space="preserve">[7]     </w:t>
      </w:r>
      <w:r w:rsidR="00D97286">
        <w:rPr>
          <w:rFonts w:ascii="Arial" w:hAnsi="Arial" w:cs="Arial"/>
          <w:sz w:val="24"/>
          <w:szCs w:val="24"/>
        </w:rPr>
        <w:t xml:space="preserve">On 31 May 2018 the plaintiff filed a notice of application for default judgment.  Hereafter on 09/07/2018 the defendant filed a status report indicating that </w:t>
      </w:r>
      <w:r w:rsidR="003A3928">
        <w:rPr>
          <w:rFonts w:ascii="Arial" w:hAnsi="Arial" w:cs="Arial"/>
          <w:sz w:val="24"/>
          <w:szCs w:val="24"/>
        </w:rPr>
        <w:t xml:space="preserve">the </w:t>
      </w:r>
      <w:r w:rsidR="003A3928">
        <w:rPr>
          <w:rFonts w:ascii="Arial" w:hAnsi="Arial" w:cs="Arial"/>
          <w:sz w:val="24"/>
          <w:szCs w:val="24"/>
        </w:rPr>
        <w:lastRenderedPageBreak/>
        <w:t xml:space="preserve">defendant tendered payment in terms of Rule 64 but that the plaintiff has failed to respond to the offer. Defendant further submitted that the offer is reasonable in that it is based on the plaintiff’s claim and that it would be in the interest of justice that the court compel the plaintiff to consider the offer. </w:t>
      </w:r>
      <w:r>
        <w:rPr>
          <w:rFonts w:ascii="Arial" w:hAnsi="Arial" w:cs="Arial"/>
          <w:sz w:val="24"/>
          <w:szCs w:val="24"/>
        </w:rPr>
        <w:t>In turn the plaintiff filed a reply in terms of Rule 64 indicating that the plaintiff will not accept the tender as it is not regarded as reasonable.</w:t>
      </w:r>
    </w:p>
    <w:p w:rsidR="003A3928" w:rsidRDefault="003A3928" w:rsidP="00DA5398">
      <w:pPr>
        <w:pStyle w:val="ListParagraph"/>
        <w:tabs>
          <w:tab w:val="left" w:pos="1530"/>
        </w:tabs>
        <w:spacing w:after="0" w:line="360" w:lineRule="auto"/>
        <w:ind w:left="0"/>
        <w:jc w:val="both"/>
        <w:rPr>
          <w:rFonts w:ascii="Arial" w:hAnsi="Arial" w:cs="Arial"/>
          <w:sz w:val="24"/>
          <w:szCs w:val="24"/>
        </w:rPr>
      </w:pPr>
    </w:p>
    <w:p w:rsidR="003A3928" w:rsidRDefault="003A3928" w:rsidP="00DA5398">
      <w:pPr>
        <w:pStyle w:val="ListParagraph"/>
        <w:tabs>
          <w:tab w:val="left" w:pos="1530"/>
        </w:tabs>
        <w:spacing w:after="0" w:line="360" w:lineRule="auto"/>
        <w:ind w:left="0"/>
        <w:jc w:val="both"/>
        <w:rPr>
          <w:rFonts w:ascii="Arial" w:hAnsi="Arial" w:cs="Arial"/>
          <w:sz w:val="24"/>
          <w:szCs w:val="24"/>
        </w:rPr>
      </w:pPr>
      <w:r>
        <w:rPr>
          <w:rFonts w:ascii="Arial" w:hAnsi="Arial" w:cs="Arial"/>
          <w:sz w:val="24"/>
          <w:szCs w:val="24"/>
        </w:rPr>
        <w:t>[</w:t>
      </w:r>
      <w:r w:rsidR="006E2406">
        <w:rPr>
          <w:rFonts w:ascii="Arial" w:hAnsi="Arial" w:cs="Arial"/>
          <w:sz w:val="24"/>
          <w:szCs w:val="24"/>
        </w:rPr>
        <w:t>8</w:t>
      </w:r>
      <w:r>
        <w:rPr>
          <w:rFonts w:ascii="Arial" w:hAnsi="Arial" w:cs="Arial"/>
          <w:sz w:val="24"/>
          <w:szCs w:val="24"/>
        </w:rPr>
        <w:t xml:space="preserve">]        At the status hearing the </w:t>
      </w:r>
      <w:r w:rsidRPr="007F3370">
        <w:rPr>
          <w:rFonts w:ascii="Arial" w:hAnsi="Arial" w:cs="Arial"/>
          <w:sz w:val="24"/>
          <w:szCs w:val="24"/>
        </w:rPr>
        <w:t>counsel</w:t>
      </w:r>
      <w:r w:rsidR="00A944F4" w:rsidRPr="007F3370">
        <w:rPr>
          <w:rFonts w:ascii="Arial" w:hAnsi="Arial" w:cs="Arial"/>
          <w:sz w:val="24"/>
          <w:szCs w:val="24"/>
        </w:rPr>
        <w:t>s</w:t>
      </w:r>
      <w:r>
        <w:rPr>
          <w:rFonts w:ascii="Arial" w:hAnsi="Arial" w:cs="Arial"/>
          <w:sz w:val="24"/>
          <w:szCs w:val="24"/>
        </w:rPr>
        <w:t xml:space="preserve"> acting on behalf of the parties were ordered to file heads of argument on the issue if the court can compel the plaintiff to accept the offer in terms of Rule 64. </w:t>
      </w:r>
    </w:p>
    <w:p w:rsidR="0016457F" w:rsidRDefault="0016457F" w:rsidP="0016457F">
      <w:pPr>
        <w:spacing w:after="0" w:line="360" w:lineRule="auto"/>
        <w:jc w:val="both"/>
        <w:rPr>
          <w:rFonts w:ascii="Arial" w:hAnsi="Arial" w:cs="Arial"/>
          <w:sz w:val="24"/>
          <w:szCs w:val="24"/>
          <w:lang w:val="en-US"/>
        </w:rPr>
      </w:pPr>
    </w:p>
    <w:p w:rsidR="00533522" w:rsidRPr="00745247" w:rsidRDefault="006E2406" w:rsidP="0016457F">
      <w:pPr>
        <w:spacing w:after="0" w:line="360" w:lineRule="auto"/>
        <w:jc w:val="both"/>
        <w:rPr>
          <w:rFonts w:ascii="Arial" w:hAnsi="Arial" w:cs="Arial"/>
          <w:sz w:val="24"/>
          <w:szCs w:val="24"/>
          <w:u w:val="single"/>
          <w:lang w:val="en-US"/>
        </w:rPr>
      </w:pPr>
      <w:r w:rsidRPr="00745247">
        <w:rPr>
          <w:rFonts w:ascii="Arial" w:hAnsi="Arial" w:cs="Arial"/>
          <w:sz w:val="24"/>
          <w:szCs w:val="24"/>
          <w:u w:val="single"/>
          <w:lang w:val="en-US"/>
        </w:rPr>
        <w:t xml:space="preserve">Submissions on behalf of the </w:t>
      </w:r>
      <w:r w:rsidR="00184B63" w:rsidRPr="00745247">
        <w:rPr>
          <w:rFonts w:ascii="Arial" w:hAnsi="Arial" w:cs="Arial"/>
          <w:sz w:val="24"/>
          <w:szCs w:val="24"/>
          <w:u w:val="single"/>
          <w:lang w:val="en-US"/>
        </w:rPr>
        <w:t>Defendant</w:t>
      </w:r>
    </w:p>
    <w:p w:rsidR="00184B63" w:rsidRPr="00184B63" w:rsidRDefault="00184B63" w:rsidP="0016457F">
      <w:pPr>
        <w:spacing w:after="0" w:line="360" w:lineRule="auto"/>
        <w:jc w:val="both"/>
        <w:rPr>
          <w:rFonts w:ascii="Arial" w:hAnsi="Arial" w:cs="Arial"/>
          <w:i/>
          <w:sz w:val="24"/>
          <w:szCs w:val="24"/>
          <w:lang w:val="en-US"/>
        </w:rPr>
      </w:pPr>
    </w:p>
    <w:p w:rsidR="0016457F" w:rsidRPr="00A944F4" w:rsidRDefault="0016457F" w:rsidP="0016457F">
      <w:pPr>
        <w:spacing w:after="0" w:line="360" w:lineRule="auto"/>
        <w:jc w:val="both"/>
        <w:rPr>
          <w:rFonts w:ascii="Arial" w:hAnsi="Arial" w:cs="Arial"/>
          <w:sz w:val="24"/>
          <w:szCs w:val="24"/>
          <w:lang w:val="en-US"/>
        </w:rPr>
      </w:pPr>
      <w:r>
        <w:rPr>
          <w:rFonts w:ascii="Arial" w:hAnsi="Arial" w:cs="Arial"/>
          <w:sz w:val="24"/>
          <w:szCs w:val="24"/>
          <w:lang w:val="en-US"/>
        </w:rPr>
        <w:t>[</w:t>
      </w:r>
      <w:r w:rsidR="006E2406">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3A3928">
        <w:rPr>
          <w:rFonts w:ascii="Arial" w:hAnsi="Arial" w:cs="Arial"/>
          <w:sz w:val="24"/>
          <w:szCs w:val="24"/>
          <w:lang w:val="en-US"/>
        </w:rPr>
        <w:t xml:space="preserve">Ms. McLeod, on behalf of the defendant, </w:t>
      </w:r>
      <w:r w:rsidR="00780332">
        <w:rPr>
          <w:rFonts w:ascii="Arial" w:hAnsi="Arial" w:cs="Arial"/>
          <w:sz w:val="24"/>
          <w:szCs w:val="24"/>
          <w:lang w:val="en-US"/>
        </w:rPr>
        <w:t>conceded</w:t>
      </w:r>
      <w:r w:rsidR="00530BCC">
        <w:rPr>
          <w:rFonts w:ascii="Arial" w:hAnsi="Arial" w:cs="Arial"/>
          <w:sz w:val="24"/>
          <w:szCs w:val="24"/>
          <w:lang w:val="en-US"/>
        </w:rPr>
        <w:t xml:space="preserve"> that </w:t>
      </w:r>
      <w:r w:rsidR="003A3928">
        <w:rPr>
          <w:rFonts w:ascii="Arial" w:hAnsi="Arial" w:cs="Arial"/>
          <w:sz w:val="24"/>
          <w:szCs w:val="24"/>
          <w:lang w:val="en-US"/>
        </w:rPr>
        <w:t>the defendant</w:t>
      </w:r>
      <w:r w:rsidR="00530BCC">
        <w:rPr>
          <w:rFonts w:ascii="Arial" w:hAnsi="Arial" w:cs="Arial"/>
          <w:sz w:val="24"/>
          <w:szCs w:val="24"/>
          <w:lang w:val="en-US"/>
        </w:rPr>
        <w:t xml:space="preserve"> is barred from pleading </w:t>
      </w:r>
      <w:r w:rsidR="00780332">
        <w:rPr>
          <w:rFonts w:ascii="Arial" w:hAnsi="Arial" w:cs="Arial"/>
          <w:sz w:val="24"/>
          <w:szCs w:val="24"/>
          <w:lang w:val="en-US"/>
        </w:rPr>
        <w:t>but</w:t>
      </w:r>
      <w:r w:rsidR="00530BCC">
        <w:rPr>
          <w:rFonts w:ascii="Arial" w:hAnsi="Arial" w:cs="Arial"/>
          <w:sz w:val="24"/>
          <w:szCs w:val="24"/>
          <w:lang w:val="en-US"/>
        </w:rPr>
        <w:t xml:space="preserve"> </w:t>
      </w:r>
      <w:r w:rsidR="003A3928">
        <w:rPr>
          <w:rFonts w:ascii="Arial" w:hAnsi="Arial" w:cs="Arial"/>
          <w:sz w:val="24"/>
          <w:szCs w:val="24"/>
          <w:lang w:val="en-US"/>
        </w:rPr>
        <w:t xml:space="preserve">argued that </w:t>
      </w:r>
      <w:r w:rsidR="00530BCC">
        <w:rPr>
          <w:rFonts w:ascii="Arial" w:hAnsi="Arial" w:cs="Arial"/>
          <w:sz w:val="24"/>
          <w:szCs w:val="24"/>
          <w:lang w:val="en-US"/>
        </w:rPr>
        <w:t xml:space="preserve">the court should take cognizance on the fact that </w:t>
      </w:r>
      <w:r w:rsidR="00780332">
        <w:rPr>
          <w:rFonts w:ascii="Arial" w:hAnsi="Arial" w:cs="Arial"/>
          <w:sz w:val="24"/>
          <w:szCs w:val="24"/>
          <w:lang w:val="en-US"/>
        </w:rPr>
        <w:t xml:space="preserve">she </w:t>
      </w:r>
      <w:r w:rsidR="00530BCC">
        <w:rPr>
          <w:rFonts w:ascii="Arial" w:hAnsi="Arial" w:cs="Arial"/>
          <w:sz w:val="24"/>
          <w:szCs w:val="24"/>
          <w:lang w:val="en-US"/>
        </w:rPr>
        <w:t xml:space="preserve">made a </w:t>
      </w:r>
      <w:r w:rsidR="00530BCC" w:rsidRPr="00780332">
        <w:rPr>
          <w:rFonts w:ascii="Arial" w:hAnsi="Arial" w:cs="Arial"/>
          <w:i/>
          <w:sz w:val="24"/>
          <w:szCs w:val="24"/>
          <w:lang w:val="en-US"/>
        </w:rPr>
        <w:t>bona fide</w:t>
      </w:r>
      <w:r w:rsidR="00530BCC">
        <w:rPr>
          <w:rFonts w:ascii="Arial" w:hAnsi="Arial" w:cs="Arial"/>
          <w:sz w:val="24"/>
          <w:szCs w:val="24"/>
          <w:lang w:val="en-US"/>
        </w:rPr>
        <w:t xml:space="preserve"> offer on the alternative prayers to the plaintiff’s claim</w:t>
      </w:r>
      <w:r w:rsidR="003A3928">
        <w:rPr>
          <w:rFonts w:ascii="Arial" w:hAnsi="Arial" w:cs="Arial"/>
          <w:sz w:val="24"/>
          <w:szCs w:val="24"/>
          <w:lang w:val="en-US"/>
        </w:rPr>
        <w:t>,</w:t>
      </w:r>
      <w:r w:rsidR="00530BCC">
        <w:rPr>
          <w:rFonts w:ascii="Arial" w:hAnsi="Arial" w:cs="Arial"/>
          <w:sz w:val="24"/>
          <w:szCs w:val="24"/>
          <w:lang w:val="en-US"/>
        </w:rPr>
        <w:t xml:space="preserve"> </w:t>
      </w:r>
      <w:r w:rsidR="003A3928">
        <w:rPr>
          <w:rFonts w:ascii="Arial" w:hAnsi="Arial" w:cs="Arial"/>
          <w:sz w:val="24"/>
          <w:szCs w:val="24"/>
          <w:lang w:val="en-US"/>
        </w:rPr>
        <w:t>and submitted</w:t>
      </w:r>
      <w:r w:rsidR="00530BCC">
        <w:rPr>
          <w:rFonts w:ascii="Arial" w:hAnsi="Arial" w:cs="Arial"/>
          <w:sz w:val="24"/>
          <w:szCs w:val="24"/>
          <w:lang w:val="en-US"/>
        </w:rPr>
        <w:t xml:space="preserve"> that </w:t>
      </w:r>
      <w:r w:rsidR="003A3928">
        <w:rPr>
          <w:rFonts w:ascii="Arial" w:hAnsi="Arial" w:cs="Arial"/>
          <w:sz w:val="24"/>
          <w:szCs w:val="24"/>
          <w:lang w:val="en-US"/>
        </w:rPr>
        <w:t>the defendant</w:t>
      </w:r>
      <w:r w:rsidR="00530BCC">
        <w:rPr>
          <w:rFonts w:ascii="Arial" w:hAnsi="Arial" w:cs="Arial"/>
          <w:sz w:val="24"/>
          <w:szCs w:val="24"/>
          <w:lang w:val="en-US"/>
        </w:rPr>
        <w:t xml:space="preserve"> should not be further sanctioned under the circumstances </w:t>
      </w:r>
      <w:r w:rsidR="00530BCC" w:rsidRPr="00A944F4">
        <w:rPr>
          <w:rFonts w:ascii="Arial" w:hAnsi="Arial" w:cs="Arial"/>
          <w:sz w:val="24"/>
          <w:szCs w:val="24"/>
          <w:lang w:val="en-US"/>
        </w:rPr>
        <w:t xml:space="preserve">in the court’s refusal </w:t>
      </w:r>
      <w:r w:rsidR="00A944F4" w:rsidRPr="007F3370">
        <w:rPr>
          <w:rFonts w:ascii="Arial" w:hAnsi="Arial" w:cs="Arial"/>
          <w:sz w:val="24"/>
          <w:szCs w:val="24"/>
          <w:lang w:val="en-US"/>
        </w:rPr>
        <w:t xml:space="preserve">to compel </w:t>
      </w:r>
      <w:r w:rsidR="00530BCC" w:rsidRPr="00A944F4">
        <w:rPr>
          <w:rFonts w:ascii="Arial" w:hAnsi="Arial" w:cs="Arial"/>
          <w:sz w:val="24"/>
          <w:szCs w:val="24"/>
          <w:lang w:val="en-US"/>
        </w:rPr>
        <w:t>the plaintiff to accept offer made on the alternative claim.</w:t>
      </w:r>
    </w:p>
    <w:p w:rsidR="00530BCC" w:rsidRDefault="00530BCC" w:rsidP="0016457F">
      <w:pPr>
        <w:spacing w:after="0" w:line="360" w:lineRule="auto"/>
        <w:jc w:val="both"/>
        <w:rPr>
          <w:rFonts w:ascii="Arial" w:hAnsi="Arial" w:cs="Arial"/>
          <w:sz w:val="24"/>
          <w:szCs w:val="24"/>
          <w:lang w:val="en-US"/>
        </w:rPr>
      </w:pPr>
    </w:p>
    <w:p w:rsidR="007C3531" w:rsidRDefault="0016457F" w:rsidP="0016457F">
      <w:pPr>
        <w:spacing w:after="0" w:line="360" w:lineRule="auto"/>
        <w:jc w:val="both"/>
        <w:rPr>
          <w:rFonts w:ascii="Arial" w:hAnsi="Arial" w:cs="Arial"/>
          <w:sz w:val="24"/>
          <w:szCs w:val="24"/>
          <w:lang w:val="en-US"/>
        </w:rPr>
      </w:pPr>
      <w:r>
        <w:rPr>
          <w:rFonts w:ascii="Arial" w:hAnsi="Arial" w:cs="Arial"/>
          <w:sz w:val="24"/>
          <w:szCs w:val="24"/>
          <w:lang w:val="en-US"/>
        </w:rPr>
        <w:t>[</w:t>
      </w:r>
      <w:r w:rsidR="006E2406">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r>
      <w:r w:rsidR="003A3928">
        <w:rPr>
          <w:rFonts w:ascii="Arial" w:hAnsi="Arial" w:cs="Arial"/>
          <w:sz w:val="24"/>
          <w:szCs w:val="24"/>
          <w:lang w:val="en-US"/>
        </w:rPr>
        <w:t>In her heads of argument Ms. McLeod made submissio</w:t>
      </w:r>
      <w:r w:rsidR="00BA121D">
        <w:rPr>
          <w:rFonts w:ascii="Arial" w:hAnsi="Arial" w:cs="Arial"/>
          <w:sz w:val="24"/>
          <w:szCs w:val="24"/>
          <w:lang w:val="en-US"/>
        </w:rPr>
        <w:t>ns relating to the relationship</w:t>
      </w:r>
      <w:r w:rsidR="003A3928">
        <w:rPr>
          <w:rFonts w:ascii="Arial" w:hAnsi="Arial" w:cs="Arial"/>
          <w:sz w:val="24"/>
          <w:szCs w:val="24"/>
          <w:lang w:val="en-US"/>
        </w:rPr>
        <w:t xml:space="preserve"> and the socio</w:t>
      </w:r>
      <w:r w:rsidR="00BA121D">
        <w:rPr>
          <w:rFonts w:ascii="Arial" w:hAnsi="Arial" w:cs="Arial"/>
          <w:sz w:val="24"/>
          <w:szCs w:val="24"/>
          <w:lang w:val="en-US"/>
        </w:rPr>
        <w:t xml:space="preserve">-economic status of the parties, which is not relevant at this point in time and I will not discuss it for purposes of this ruling. </w:t>
      </w:r>
    </w:p>
    <w:p w:rsidR="00BA121D" w:rsidRDefault="00BA121D" w:rsidP="0016457F">
      <w:pPr>
        <w:spacing w:after="0" w:line="360" w:lineRule="auto"/>
        <w:jc w:val="both"/>
        <w:rPr>
          <w:rFonts w:ascii="Arial" w:hAnsi="Arial" w:cs="Arial"/>
          <w:sz w:val="24"/>
          <w:szCs w:val="24"/>
          <w:lang w:val="en-US"/>
        </w:rPr>
      </w:pPr>
    </w:p>
    <w:p w:rsidR="0016457F" w:rsidRDefault="0016457F" w:rsidP="0016457F">
      <w:pPr>
        <w:spacing w:after="0" w:line="360" w:lineRule="auto"/>
        <w:jc w:val="both"/>
        <w:rPr>
          <w:rFonts w:ascii="Arial" w:hAnsi="Arial" w:cs="Arial"/>
          <w:sz w:val="24"/>
          <w:szCs w:val="24"/>
          <w:lang w:val="en-US"/>
        </w:rPr>
      </w:pPr>
      <w:r>
        <w:rPr>
          <w:rFonts w:ascii="Arial" w:hAnsi="Arial" w:cs="Arial"/>
          <w:sz w:val="24"/>
          <w:szCs w:val="24"/>
          <w:lang w:val="en-US"/>
        </w:rPr>
        <w:t>[</w:t>
      </w:r>
      <w:r w:rsidR="00BA121D">
        <w:rPr>
          <w:rFonts w:ascii="Arial" w:hAnsi="Arial" w:cs="Arial"/>
          <w:sz w:val="24"/>
          <w:szCs w:val="24"/>
          <w:lang w:val="en-US"/>
        </w:rPr>
        <w:t>1</w:t>
      </w:r>
      <w:r w:rsidR="006E2406">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 xml:space="preserve"> </w:t>
      </w:r>
      <w:r w:rsidR="00BA121D">
        <w:rPr>
          <w:rFonts w:ascii="Arial" w:hAnsi="Arial" w:cs="Arial"/>
          <w:sz w:val="24"/>
          <w:szCs w:val="24"/>
          <w:lang w:val="en-US"/>
        </w:rPr>
        <w:t>Ms. McLeod further</w:t>
      </w:r>
      <w:r w:rsidR="008F709A">
        <w:rPr>
          <w:rFonts w:ascii="Arial" w:hAnsi="Arial" w:cs="Arial"/>
          <w:sz w:val="24"/>
          <w:szCs w:val="24"/>
          <w:lang w:val="en-US"/>
        </w:rPr>
        <w:t xml:space="preserve"> submitted that no case was made out</w:t>
      </w:r>
      <w:r w:rsidR="00B9470F">
        <w:rPr>
          <w:rFonts w:ascii="Arial" w:hAnsi="Arial" w:cs="Arial"/>
          <w:sz w:val="24"/>
          <w:szCs w:val="24"/>
          <w:lang w:val="en-US"/>
        </w:rPr>
        <w:t xml:space="preserve"> to this court</w:t>
      </w:r>
      <w:r w:rsidR="008F709A">
        <w:rPr>
          <w:rFonts w:ascii="Arial" w:hAnsi="Arial" w:cs="Arial"/>
          <w:sz w:val="24"/>
          <w:szCs w:val="24"/>
          <w:lang w:val="en-US"/>
        </w:rPr>
        <w:t xml:space="preserve"> on the plaintiff’s</w:t>
      </w:r>
      <w:r w:rsidR="00B9470F">
        <w:rPr>
          <w:rFonts w:ascii="Arial" w:hAnsi="Arial" w:cs="Arial"/>
          <w:sz w:val="24"/>
          <w:szCs w:val="24"/>
          <w:lang w:val="en-US"/>
        </w:rPr>
        <w:t xml:space="preserve"> insistence on the main prayers. Consequently, the defendant is of the view that the plaintiff would not suffer any prejudice as the defendant has tendered in full on the alternative claim.</w:t>
      </w:r>
    </w:p>
    <w:p w:rsidR="0016457F" w:rsidRDefault="0016457F" w:rsidP="0016457F">
      <w:pPr>
        <w:spacing w:after="0" w:line="360" w:lineRule="auto"/>
        <w:jc w:val="both"/>
        <w:rPr>
          <w:rFonts w:ascii="Arial" w:hAnsi="Arial" w:cs="Arial"/>
          <w:sz w:val="24"/>
          <w:szCs w:val="24"/>
          <w:lang w:val="en-US"/>
        </w:rPr>
      </w:pPr>
    </w:p>
    <w:p w:rsidR="0016457F" w:rsidRDefault="0016457F" w:rsidP="0016457F">
      <w:pPr>
        <w:spacing w:after="0" w:line="360" w:lineRule="auto"/>
        <w:jc w:val="both"/>
        <w:rPr>
          <w:rFonts w:ascii="Arial" w:hAnsi="Arial" w:cs="Arial"/>
          <w:sz w:val="24"/>
          <w:szCs w:val="24"/>
          <w:lang w:val="en-US"/>
        </w:rPr>
      </w:pPr>
      <w:r>
        <w:rPr>
          <w:rFonts w:ascii="Arial" w:hAnsi="Arial" w:cs="Arial"/>
          <w:sz w:val="24"/>
          <w:szCs w:val="24"/>
          <w:lang w:val="en-US"/>
        </w:rPr>
        <w:t>[</w:t>
      </w:r>
      <w:r w:rsidR="00BA121D">
        <w:rPr>
          <w:rFonts w:ascii="Arial" w:hAnsi="Arial" w:cs="Arial"/>
          <w:sz w:val="24"/>
          <w:szCs w:val="24"/>
          <w:lang w:val="en-US"/>
        </w:rPr>
        <w:t>1</w:t>
      </w:r>
      <w:r w:rsidR="006E2406">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B04240">
        <w:rPr>
          <w:rFonts w:ascii="Arial" w:hAnsi="Arial" w:cs="Arial"/>
          <w:sz w:val="24"/>
          <w:szCs w:val="24"/>
          <w:lang w:val="en-US"/>
        </w:rPr>
        <w:t xml:space="preserve">In concluding, </w:t>
      </w:r>
      <w:r w:rsidR="00BA121D">
        <w:rPr>
          <w:rFonts w:ascii="Arial" w:hAnsi="Arial" w:cs="Arial"/>
          <w:sz w:val="24"/>
          <w:szCs w:val="24"/>
          <w:lang w:val="en-US"/>
        </w:rPr>
        <w:t>she</w:t>
      </w:r>
      <w:r w:rsidR="00B04240">
        <w:rPr>
          <w:rFonts w:ascii="Arial" w:hAnsi="Arial" w:cs="Arial"/>
          <w:sz w:val="24"/>
          <w:szCs w:val="24"/>
          <w:lang w:val="en-US"/>
        </w:rPr>
        <w:t xml:space="preserve"> submits that the plaintiff is taking </w:t>
      </w:r>
      <w:r w:rsidR="00B04240" w:rsidRPr="00745247">
        <w:rPr>
          <w:rFonts w:ascii="Arial" w:hAnsi="Arial" w:cs="Arial"/>
          <w:color w:val="000000" w:themeColor="text1"/>
          <w:sz w:val="24"/>
          <w:szCs w:val="24"/>
          <w:lang w:val="en-US"/>
        </w:rPr>
        <w:t>adva</w:t>
      </w:r>
      <w:r w:rsidR="00A944F4" w:rsidRPr="00745247">
        <w:rPr>
          <w:rFonts w:ascii="Arial" w:hAnsi="Arial" w:cs="Arial"/>
          <w:color w:val="000000" w:themeColor="text1"/>
          <w:sz w:val="24"/>
          <w:szCs w:val="24"/>
          <w:lang w:val="en-US"/>
        </w:rPr>
        <w:t>ntage of</w:t>
      </w:r>
      <w:r w:rsidR="00B04240" w:rsidRPr="00745247">
        <w:rPr>
          <w:rFonts w:ascii="Arial" w:hAnsi="Arial" w:cs="Arial"/>
          <w:color w:val="000000" w:themeColor="text1"/>
          <w:sz w:val="24"/>
          <w:szCs w:val="24"/>
          <w:lang w:val="en-US"/>
        </w:rPr>
        <w:t xml:space="preserve"> the </w:t>
      </w:r>
      <w:r w:rsidR="00B04240">
        <w:rPr>
          <w:rFonts w:ascii="Arial" w:hAnsi="Arial" w:cs="Arial"/>
          <w:sz w:val="24"/>
          <w:szCs w:val="24"/>
          <w:lang w:val="en-US"/>
        </w:rPr>
        <w:t xml:space="preserve">fact that the defendant is barred from pleading and at no stage did the plaintiff indicate that the offer made by the defendant on the alternative claim is not reasonable and </w:t>
      </w:r>
      <w:r w:rsidR="00B04240">
        <w:rPr>
          <w:rFonts w:ascii="Arial" w:hAnsi="Arial" w:cs="Arial"/>
          <w:sz w:val="24"/>
          <w:szCs w:val="24"/>
          <w:lang w:val="en-US"/>
        </w:rPr>
        <w:lastRenderedPageBreak/>
        <w:t xml:space="preserve">thus the refusal of the plaintiff to accept the offer made by the defendant is </w:t>
      </w:r>
      <w:r w:rsidR="00B04240" w:rsidRPr="00780332">
        <w:rPr>
          <w:rFonts w:ascii="Arial" w:hAnsi="Arial" w:cs="Arial"/>
          <w:i/>
          <w:sz w:val="24"/>
          <w:szCs w:val="24"/>
          <w:lang w:val="en-US"/>
        </w:rPr>
        <w:t>mala fide</w:t>
      </w:r>
      <w:r w:rsidR="00BA121D">
        <w:rPr>
          <w:rFonts w:ascii="Arial" w:hAnsi="Arial" w:cs="Arial"/>
          <w:sz w:val="24"/>
          <w:szCs w:val="24"/>
          <w:lang w:val="en-US"/>
        </w:rPr>
        <w:t xml:space="preserve"> and prays for an order the Plaintiff must be compelled to accept the offer in terms of Rule 64.</w:t>
      </w:r>
    </w:p>
    <w:p w:rsidR="006E2406" w:rsidRDefault="006E2406" w:rsidP="00B04240">
      <w:pPr>
        <w:tabs>
          <w:tab w:val="left" w:pos="720"/>
          <w:tab w:val="left" w:pos="1725"/>
        </w:tabs>
        <w:spacing w:after="0" w:line="360" w:lineRule="auto"/>
        <w:jc w:val="both"/>
        <w:rPr>
          <w:rFonts w:ascii="Arial" w:hAnsi="Arial" w:cs="Arial"/>
          <w:i/>
          <w:sz w:val="24"/>
          <w:szCs w:val="24"/>
          <w:lang w:val="en-US"/>
        </w:rPr>
      </w:pPr>
    </w:p>
    <w:p w:rsidR="007076C9" w:rsidRPr="00745247" w:rsidRDefault="007076C9" w:rsidP="00B04240">
      <w:pPr>
        <w:tabs>
          <w:tab w:val="left" w:pos="720"/>
          <w:tab w:val="left" w:pos="1725"/>
        </w:tabs>
        <w:spacing w:after="0" w:line="360" w:lineRule="auto"/>
        <w:jc w:val="both"/>
        <w:rPr>
          <w:rFonts w:ascii="Arial" w:hAnsi="Arial" w:cs="Arial"/>
          <w:sz w:val="24"/>
          <w:szCs w:val="24"/>
          <w:u w:val="single"/>
          <w:lang w:val="en-US"/>
        </w:rPr>
      </w:pPr>
      <w:r w:rsidRPr="00745247">
        <w:rPr>
          <w:rFonts w:ascii="Arial" w:hAnsi="Arial" w:cs="Arial"/>
          <w:sz w:val="24"/>
          <w:szCs w:val="24"/>
          <w:u w:val="single"/>
          <w:lang w:val="en-US"/>
        </w:rPr>
        <w:t xml:space="preserve">Submissions </w:t>
      </w:r>
      <w:r w:rsidR="006E2406" w:rsidRPr="00745247">
        <w:rPr>
          <w:rFonts w:ascii="Arial" w:hAnsi="Arial" w:cs="Arial"/>
          <w:sz w:val="24"/>
          <w:szCs w:val="24"/>
          <w:u w:val="single"/>
          <w:lang w:val="en-US"/>
        </w:rPr>
        <w:t>on behalf of</w:t>
      </w:r>
      <w:r w:rsidRPr="00745247">
        <w:rPr>
          <w:rFonts w:ascii="Arial" w:hAnsi="Arial" w:cs="Arial"/>
          <w:sz w:val="24"/>
          <w:szCs w:val="24"/>
          <w:u w:val="single"/>
          <w:lang w:val="en-US"/>
        </w:rPr>
        <w:t xml:space="preserve"> the </w:t>
      </w:r>
      <w:r w:rsidR="006E2406" w:rsidRPr="00745247">
        <w:rPr>
          <w:rFonts w:ascii="Arial" w:hAnsi="Arial" w:cs="Arial"/>
          <w:sz w:val="24"/>
          <w:szCs w:val="24"/>
          <w:u w:val="single"/>
          <w:lang w:val="en-US"/>
        </w:rPr>
        <w:t>P</w:t>
      </w:r>
      <w:r w:rsidRPr="00745247">
        <w:rPr>
          <w:rFonts w:ascii="Arial" w:hAnsi="Arial" w:cs="Arial"/>
          <w:sz w:val="24"/>
          <w:szCs w:val="24"/>
          <w:u w:val="single"/>
          <w:lang w:val="en-US"/>
        </w:rPr>
        <w:t>laintiff</w:t>
      </w:r>
    </w:p>
    <w:p w:rsidR="007076C9" w:rsidRDefault="007076C9" w:rsidP="00B04240">
      <w:pPr>
        <w:tabs>
          <w:tab w:val="left" w:pos="720"/>
          <w:tab w:val="left" w:pos="1725"/>
        </w:tabs>
        <w:spacing w:after="0" w:line="360" w:lineRule="auto"/>
        <w:jc w:val="both"/>
        <w:rPr>
          <w:rFonts w:ascii="Arial" w:hAnsi="Arial" w:cs="Arial"/>
          <w:sz w:val="24"/>
          <w:szCs w:val="24"/>
          <w:lang w:val="en-US"/>
        </w:rPr>
      </w:pPr>
    </w:p>
    <w:p w:rsidR="007076C9" w:rsidRDefault="0016457F" w:rsidP="007076C9">
      <w:pPr>
        <w:tabs>
          <w:tab w:val="left" w:pos="720"/>
          <w:tab w:val="left" w:pos="2355"/>
        </w:tabs>
        <w:spacing w:after="0" w:line="360" w:lineRule="auto"/>
        <w:jc w:val="both"/>
        <w:rPr>
          <w:rFonts w:ascii="Arial" w:hAnsi="Arial" w:cs="Arial"/>
          <w:sz w:val="24"/>
          <w:szCs w:val="24"/>
          <w:lang w:val="en-US"/>
        </w:rPr>
      </w:pPr>
      <w:r>
        <w:rPr>
          <w:rFonts w:ascii="Arial" w:hAnsi="Arial" w:cs="Arial"/>
          <w:sz w:val="24"/>
          <w:szCs w:val="24"/>
          <w:lang w:val="en-US"/>
        </w:rPr>
        <w:t>[</w:t>
      </w:r>
      <w:r w:rsidR="00BA121D">
        <w:rPr>
          <w:rFonts w:ascii="Arial" w:hAnsi="Arial" w:cs="Arial"/>
          <w:sz w:val="24"/>
          <w:szCs w:val="24"/>
          <w:lang w:val="en-US"/>
        </w:rPr>
        <w:t>1</w:t>
      </w:r>
      <w:r w:rsidR="006E2406">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BA121D">
        <w:rPr>
          <w:rFonts w:ascii="Arial" w:hAnsi="Arial" w:cs="Arial"/>
          <w:sz w:val="24"/>
          <w:szCs w:val="24"/>
          <w:lang w:val="en-US"/>
        </w:rPr>
        <w:t xml:space="preserve">Mrs. </w:t>
      </w:r>
      <w:proofErr w:type="spellStart"/>
      <w:r w:rsidR="00BA121D">
        <w:rPr>
          <w:rFonts w:ascii="Arial" w:hAnsi="Arial" w:cs="Arial"/>
          <w:sz w:val="24"/>
          <w:szCs w:val="24"/>
          <w:lang w:val="en-US"/>
        </w:rPr>
        <w:t>Delport</w:t>
      </w:r>
      <w:proofErr w:type="spellEnd"/>
      <w:r w:rsidR="00BA121D">
        <w:rPr>
          <w:rFonts w:ascii="Arial" w:hAnsi="Arial" w:cs="Arial"/>
          <w:sz w:val="24"/>
          <w:szCs w:val="24"/>
          <w:lang w:val="en-US"/>
        </w:rPr>
        <w:t>, on behalf of the plaintiff,</w:t>
      </w:r>
      <w:r w:rsidR="007076C9">
        <w:rPr>
          <w:rFonts w:ascii="Arial" w:hAnsi="Arial" w:cs="Arial"/>
          <w:sz w:val="24"/>
          <w:szCs w:val="24"/>
          <w:lang w:val="en-US"/>
        </w:rPr>
        <w:t xml:space="preserve"> submits that the defendant was </w:t>
      </w:r>
      <w:r w:rsidR="007076C9" w:rsidRPr="00780332">
        <w:rPr>
          <w:rFonts w:ascii="Arial" w:hAnsi="Arial" w:cs="Arial"/>
          <w:i/>
          <w:sz w:val="24"/>
          <w:szCs w:val="24"/>
          <w:lang w:val="en-US"/>
        </w:rPr>
        <w:t>ipso facto</w:t>
      </w:r>
      <w:r w:rsidR="007076C9">
        <w:rPr>
          <w:rFonts w:ascii="Arial" w:hAnsi="Arial" w:cs="Arial"/>
          <w:sz w:val="24"/>
          <w:szCs w:val="24"/>
          <w:lang w:val="en-US"/>
        </w:rPr>
        <w:t xml:space="preserve"> barred from pleading </w:t>
      </w:r>
      <w:r w:rsidR="006E2406">
        <w:rPr>
          <w:rFonts w:ascii="Arial" w:hAnsi="Arial" w:cs="Arial"/>
          <w:sz w:val="24"/>
          <w:szCs w:val="24"/>
          <w:lang w:val="en-US"/>
        </w:rPr>
        <w:t>as</w:t>
      </w:r>
      <w:r w:rsidR="007076C9">
        <w:rPr>
          <w:rFonts w:ascii="Arial" w:hAnsi="Arial" w:cs="Arial"/>
          <w:sz w:val="24"/>
          <w:szCs w:val="24"/>
          <w:lang w:val="en-US"/>
        </w:rPr>
        <w:t xml:space="preserve"> the condonation application incorporating the upliftment of the bar was denied. As a result, the defendant must appeal against this judgment and have it properly prosecuted.</w:t>
      </w:r>
    </w:p>
    <w:p w:rsidR="0016457F" w:rsidRDefault="007076C9" w:rsidP="007076C9">
      <w:pPr>
        <w:tabs>
          <w:tab w:val="left" w:pos="720"/>
          <w:tab w:val="left" w:pos="2355"/>
        </w:tabs>
        <w:spacing w:after="0" w:line="360" w:lineRule="auto"/>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p>
    <w:p w:rsidR="0016457F" w:rsidRDefault="0016457F" w:rsidP="0016457F">
      <w:pPr>
        <w:spacing w:after="0" w:line="360" w:lineRule="auto"/>
        <w:jc w:val="both"/>
        <w:rPr>
          <w:rFonts w:ascii="Arial" w:hAnsi="Arial" w:cs="Arial"/>
          <w:sz w:val="24"/>
          <w:szCs w:val="24"/>
          <w:lang w:val="en-US"/>
        </w:rPr>
      </w:pPr>
      <w:r>
        <w:rPr>
          <w:rFonts w:ascii="Arial" w:hAnsi="Arial" w:cs="Arial"/>
          <w:sz w:val="24"/>
          <w:szCs w:val="24"/>
          <w:lang w:val="en-US"/>
        </w:rPr>
        <w:t>[1</w:t>
      </w:r>
      <w:r w:rsidR="006E2406">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BA121D">
        <w:rPr>
          <w:rFonts w:ascii="Arial" w:hAnsi="Arial" w:cs="Arial"/>
          <w:sz w:val="24"/>
          <w:szCs w:val="24"/>
          <w:lang w:val="en-US"/>
        </w:rPr>
        <w:t xml:space="preserve">Mrs. </w:t>
      </w:r>
      <w:proofErr w:type="spellStart"/>
      <w:r w:rsidR="00BA121D">
        <w:rPr>
          <w:rFonts w:ascii="Arial" w:hAnsi="Arial" w:cs="Arial"/>
          <w:sz w:val="24"/>
          <w:szCs w:val="24"/>
          <w:lang w:val="en-US"/>
        </w:rPr>
        <w:t>Delport</w:t>
      </w:r>
      <w:proofErr w:type="spellEnd"/>
      <w:r w:rsidR="00BA121D">
        <w:rPr>
          <w:rFonts w:ascii="Arial" w:hAnsi="Arial" w:cs="Arial"/>
          <w:sz w:val="24"/>
          <w:szCs w:val="24"/>
          <w:lang w:val="en-US"/>
        </w:rPr>
        <w:t xml:space="preserve"> argued</w:t>
      </w:r>
      <w:r w:rsidR="0042139C">
        <w:rPr>
          <w:rFonts w:ascii="Arial" w:hAnsi="Arial" w:cs="Arial"/>
          <w:sz w:val="24"/>
          <w:szCs w:val="24"/>
          <w:lang w:val="en-US"/>
        </w:rPr>
        <w:t xml:space="preserve"> that the alternative claim was introduced if, and only when the court ruled upon the unenforceability of the alleged cancellation of the agreement in favor of the defendant, and seeing that the defendant</w:t>
      </w:r>
      <w:r w:rsidR="00BA121D">
        <w:rPr>
          <w:rFonts w:ascii="Arial" w:hAnsi="Arial" w:cs="Arial"/>
          <w:sz w:val="24"/>
          <w:szCs w:val="24"/>
          <w:lang w:val="en-US"/>
        </w:rPr>
        <w:t xml:space="preserve"> is </w:t>
      </w:r>
      <w:r w:rsidR="00BA121D" w:rsidRPr="00BA121D">
        <w:rPr>
          <w:rFonts w:ascii="Arial" w:hAnsi="Arial" w:cs="Arial"/>
          <w:i/>
          <w:sz w:val="24"/>
          <w:szCs w:val="24"/>
          <w:lang w:val="en-US"/>
        </w:rPr>
        <w:t>ipso facto</w:t>
      </w:r>
      <w:r w:rsidR="00BA121D">
        <w:rPr>
          <w:rFonts w:ascii="Arial" w:hAnsi="Arial" w:cs="Arial"/>
          <w:sz w:val="24"/>
          <w:szCs w:val="24"/>
          <w:lang w:val="en-US"/>
        </w:rPr>
        <w:t xml:space="preserve"> barred from pleading her defence is not before this court and therefor</w:t>
      </w:r>
      <w:r w:rsidR="0042139C">
        <w:rPr>
          <w:rFonts w:ascii="Arial" w:hAnsi="Arial" w:cs="Arial"/>
          <w:sz w:val="24"/>
          <w:szCs w:val="24"/>
          <w:lang w:val="en-US"/>
        </w:rPr>
        <w:t xml:space="preserve"> the plaintiff’s claim stands unchallenged.</w:t>
      </w:r>
    </w:p>
    <w:p w:rsidR="0042139C" w:rsidRDefault="0042139C" w:rsidP="0016457F">
      <w:pPr>
        <w:spacing w:after="0" w:line="360" w:lineRule="auto"/>
        <w:jc w:val="both"/>
        <w:rPr>
          <w:rFonts w:ascii="Arial" w:hAnsi="Arial" w:cs="Arial"/>
          <w:sz w:val="24"/>
          <w:szCs w:val="24"/>
          <w:lang w:val="en-US"/>
        </w:rPr>
      </w:pPr>
    </w:p>
    <w:p w:rsidR="0016457F" w:rsidRDefault="0016457F" w:rsidP="0016457F">
      <w:pPr>
        <w:spacing w:after="0" w:line="360" w:lineRule="auto"/>
        <w:jc w:val="both"/>
        <w:rPr>
          <w:rFonts w:ascii="Arial" w:hAnsi="Arial" w:cs="Arial"/>
          <w:i/>
          <w:sz w:val="24"/>
          <w:szCs w:val="24"/>
          <w:lang w:val="en-US"/>
        </w:rPr>
      </w:pPr>
      <w:r>
        <w:rPr>
          <w:rFonts w:ascii="Arial" w:hAnsi="Arial" w:cs="Arial"/>
          <w:sz w:val="24"/>
          <w:szCs w:val="24"/>
          <w:lang w:val="en-US"/>
        </w:rPr>
        <w:t>[1</w:t>
      </w:r>
      <w:r w:rsidR="006E2406">
        <w:rPr>
          <w:rFonts w:ascii="Arial" w:hAnsi="Arial" w:cs="Arial"/>
          <w:sz w:val="24"/>
          <w:szCs w:val="24"/>
          <w:lang w:val="en-US"/>
        </w:rPr>
        <w:t>5</w:t>
      </w:r>
      <w:r>
        <w:rPr>
          <w:rFonts w:ascii="Arial" w:hAnsi="Arial" w:cs="Arial"/>
          <w:sz w:val="24"/>
          <w:szCs w:val="24"/>
          <w:lang w:val="en-US"/>
        </w:rPr>
        <w:t>]</w:t>
      </w:r>
      <w:r w:rsidR="0042139C">
        <w:rPr>
          <w:rFonts w:ascii="Arial" w:hAnsi="Arial" w:cs="Arial"/>
          <w:sz w:val="24"/>
          <w:szCs w:val="24"/>
          <w:lang w:val="en-US"/>
        </w:rPr>
        <w:tab/>
      </w:r>
      <w:r w:rsidR="00BA121D">
        <w:rPr>
          <w:rFonts w:ascii="Arial" w:hAnsi="Arial" w:cs="Arial"/>
          <w:sz w:val="24"/>
          <w:szCs w:val="24"/>
          <w:lang w:val="en-US"/>
        </w:rPr>
        <w:t>It was</w:t>
      </w:r>
      <w:r w:rsidR="00CF50E0">
        <w:rPr>
          <w:rFonts w:ascii="Arial" w:hAnsi="Arial" w:cs="Arial"/>
          <w:sz w:val="24"/>
          <w:szCs w:val="24"/>
          <w:lang w:val="en-US"/>
        </w:rPr>
        <w:t xml:space="preserve"> further submi</w:t>
      </w:r>
      <w:r w:rsidR="006E2406">
        <w:rPr>
          <w:rFonts w:ascii="Arial" w:hAnsi="Arial" w:cs="Arial"/>
          <w:sz w:val="24"/>
          <w:szCs w:val="24"/>
          <w:lang w:val="en-US"/>
        </w:rPr>
        <w:t>t</w:t>
      </w:r>
      <w:r w:rsidR="00CF50E0">
        <w:rPr>
          <w:rFonts w:ascii="Arial" w:hAnsi="Arial" w:cs="Arial"/>
          <w:sz w:val="24"/>
          <w:szCs w:val="24"/>
          <w:lang w:val="en-US"/>
        </w:rPr>
        <w:t>t</w:t>
      </w:r>
      <w:r w:rsidR="00BA121D">
        <w:rPr>
          <w:rFonts w:ascii="Arial" w:hAnsi="Arial" w:cs="Arial"/>
          <w:sz w:val="24"/>
          <w:szCs w:val="24"/>
          <w:lang w:val="en-US"/>
        </w:rPr>
        <w:t>ed</w:t>
      </w:r>
      <w:r w:rsidR="00CF50E0">
        <w:rPr>
          <w:rFonts w:ascii="Arial" w:hAnsi="Arial" w:cs="Arial"/>
          <w:sz w:val="24"/>
          <w:szCs w:val="24"/>
          <w:lang w:val="en-US"/>
        </w:rPr>
        <w:t xml:space="preserve"> that the defendant’s focus on the alternative claim is misguided and the relief sought to compel the plaintiff to accept the tender in respect of the alternative claim is therefore incompetent. </w:t>
      </w:r>
      <w:r>
        <w:rPr>
          <w:rFonts w:ascii="Arial" w:hAnsi="Arial" w:cs="Arial"/>
          <w:sz w:val="24"/>
          <w:szCs w:val="24"/>
          <w:lang w:val="en-US"/>
        </w:rPr>
        <w:tab/>
      </w:r>
      <w:r>
        <w:rPr>
          <w:rFonts w:ascii="Arial" w:hAnsi="Arial" w:cs="Arial"/>
          <w:i/>
          <w:sz w:val="24"/>
          <w:szCs w:val="24"/>
          <w:lang w:val="en-US"/>
        </w:rPr>
        <w:t xml:space="preserve"> </w:t>
      </w:r>
    </w:p>
    <w:p w:rsidR="0016457F" w:rsidRDefault="0016457F" w:rsidP="0016457F">
      <w:pPr>
        <w:spacing w:after="0" w:line="360" w:lineRule="auto"/>
        <w:jc w:val="both"/>
        <w:rPr>
          <w:rFonts w:ascii="Arial" w:hAnsi="Arial" w:cs="Arial"/>
          <w:i/>
          <w:sz w:val="24"/>
          <w:szCs w:val="24"/>
          <w:lang w:val="en-US"/>
        </w:rPr>
      </w:pPr>
    </w:p>
    <w:p w:rsidR="0016457F" w:rsidRDefault="0016457F" w:rsidP="0016457F">
      <w:pPr>
        <w:spacing w:after="0" w:line="360" w:lineRule="auto"/>
        <w:jc w:val="both"/>
        <w:rPr>
          <w:rFonts w:ascii="Arial" w:hAnsi="Arial" w:cs="Arial"/>
          <w:sz w:val="24"/>
          <w:szCs w:val="24"/>
          <w:lang w:val="en-US"/>
        </w:rPr>
      </w:pPr>
      <w:r>
        <w:rPr>
          <w:rFonts w:ascii="Arial" w:hAnsi="Arial" w:cs="Arial"/>
          <w:sz w:val="24"/>
          <w:szCs w:val="24"/>
          <w:lang w:val="en-US"/>
        </w:rPr>
        <w:t>[1</w:t>
      </w:r>
      <w:r w:rsidR="006E2406">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 </w:t>
      </w:r>
      <w:r w:rsidR="00D82D8C">
        <w:rPr>
          <w:rFonts w:ascii="Arial" w:hAnsi="Arial" w:cs="Arial"/>
          <w:sz w:val="24"/>
          <w:szCs w:val="24"/>
          <w:lang w:val="en-US"/>
        </w:rPr>
        <w:t xml:space="preserve">In concluding, </w:t>
      </w:r>
      <w:r w:rsidR="00BA121D">
        <w:rPr>
          <w:rFonts w:ascii="Arial" w:hAnsi="Arial" w:cs="Arial"/>
          <w:sz w:val="24"/>
          <w:szCs w:val="24"/>
          <w:lang w:val="en-US"/>
        </w:rPr>
        <w:t xml:space="preserve">Mrs. </w:t>
      </w:r>
      <w:proofErr w:type="spellStart"/>
      <w:r w:rsidR="00BA121D">
        <w:rPr>
          <w:rFonts w:ascii="Arial" w:hAnsi="Arial" w:cs="Arial"/>
          <w:sz w:val="24"/>
          <w:szCs w:val="24"/>
          <w:lang w:val="en-US"/>
        </w:rPr>
        <w:t>Delport</w:t>
      </w:r>
      <w:proofErr w:type="spellEnd"/>
      <w:r w:rsidR="00D82D8C">
        <w:rPr>
          <w:rFonts w:ascii="Arial" w:hAnsi="Arial" w:cs="Arial"/>
          <w:sz w:val="24"/>
          <w:szCs w:val="24"/>
          <w:lang w:val="en-US"/>
        </w:rPr>
        <w:t xml:space="preserve"> submits that the defendant’s disclosure of the </w:t>
      </w:r>
      <w:r w:rsidR="00DF5B13">
        <w:rPr>
          <w:rFonts w:ascii="Arial" w:hAnsi="Arial" w:cs="Arial"/>
          <w:sz w:val="24"/>
          <w:szCs w:val="24"/>
          <w:lang w:val="en-US"/>
        </w:rPr>
        <w:t>R</w:t>
      </w:r>
      <w:r w:rsidR="00D82D8C">
        <w:rPr>
          <w:rFonts w:ascii="Arial" w:hAnsi="Arial" w:cs="Arial"/>
          <w:sz w:val="24"/>
          <w:szCs w:val="24"/>
          <w:lang w:val="en-US"/>
        </w:rPr>
        <w:t xml:space="preserve">ule 64 notice should be regarded as irregular and incompetent and should be disregarded </w:t>
      </w:r>
      <w:r w:rsidR="00D82D8C" w:rsidRPr="00780332">
        <w:rPr>
          <w:rFonts w:ascii="Arial" w:hAnsi="Arial" w:cs="Arial"/>
          <w:i/>
          <w:sz w:val="24"/>
          <w:szCs w:val="24"/>
          <w:lang w:val="en-US"/>
        </w:rPr>
        <w:t xml:space="preserve">in </w:t>
      </w:r>
      <w:proofErr w:type="spellStart"/>
      <w:r w:rsidR="00D82D8C" w:rsidRPr="00780332">
        <w:rPr>
          <w:rFonts w:ascii="Arial" w:hAnsi="Arial" w:cs="Arial"/>
          <w:i/>
          <w:sz w:val="24"/>
          <w:szCs w:val="24"/>
          <w:lang w:val="en-US"/>
        </w:rPr>
        <w:t>toto</w:t>
      </w:r>
      <w:proofErr w:type="spellEnd"/>
      <w:r w:rsidR="00D82D8C">
        <w:rPr>
          <w:rFonts w:ascii="Arial" w:hAnsi="Arial" w:cs="Arial"/>
          <w:sz w:val="24"/>
          <w:szCs w:val="24"/>
          <w:lang w:val="en-US"/>
        </w:rPr>
        <w:t>.</w:t>
      </w:r>
    </w:p>
    <w:p w:rsidR="0016457F" w:rsidRPr="00690C4A" w:rsidRDefault="0016457F" w:rsidP="0016457F">
      <w:pPr>
        <w:spacing w:after="0" w:line="360" w:lineRule="auto"/>
        <w:jc w:val="both"/>
        <w:rPr>
          <w:rFonts w:ascii="Arial" w:hAnsi="Arial" w:cs="Arial"/>
          <w:i/>
          <w:sz w:val="24"/>
          <w:szCs w:val="24"/>
          <w:lang w:val="en-US"/>
        </w:rPr>
      </w:pPr>
    </w:p>
    <w:p w:rsidR="00B809E4" w:rsidRPr="00745247" w:rsidRDefault="00690C4A" w:rsidP="0016457F">
      <w:pPr>
        <w:spacing w:after="0" w:line="360" w:lineRule="auto"/>
        <w:jc w:val="both"/>
        <w:rPr>
          <w:rFonts w:ascii="Arial" w:hAnsi="Arial" w:cs="Arial"/>
          <w:sz w:val="24"/>
          <w:szCs w:val="24"/>
          <w:u w:val="single"/>
          <w:lang w:val="en-US"/>
        </w:rPr>
      </w:pPr>
      <w:r w:rsidRPr="00745247">
        <w:rPr>
          <w:rFonts w:ascii="Arial" w:hAnsi="Arial" w:cs="Arial"/>
          <w:sz w:val="24"/>
          <w:szCs w:val="24"/>
          <w:u w:val="single"/>
          <w:lang w:val="en-US"/>
        </w:rPr>
        <w:t>Applicable legal principles</w:t>
      </w:r>
      <w:r w:rsidR="006E2406" w:rsidRPr="00745247">
        <w:rPr>
          <w:rFonts w:ascii="Arial" w:hAnsi="Arial" w:cs="Arial"/>
          <w:sz w:val="24"/>
          <w:szCs w:val="24"/>
          <w:u w:val="single"/>
          <w:lang w:val="en-US"/>
        </w:rPr>
        <w:t xml:space="preserve"> and application to the facts</w:t>
      </w:r>
    </w:p>
    <w:p w:rsidR="00B809E4" w:rsidRDefault="00690C4A" w:rsidP="00690C4A">
      <w:pPr>
        <w:tabs>
          <w:tab w:val="left" w:pos="1185"/>
        </w:tabs>
        <w:spacing w:after="0" w:line="360" w:lineRule="auto"/>
        <w:jc w:val="both"/>
        <w:rPr>
          <w:rFonts w:ascii="Arial" w:hAnsi="Arial" w:cs="Arial"/>
          <w:sz w:val="24"/>
          <w:szCs w:val="24"/>
          <w:lang w:val="en-US"/>
        </w:rPr>
      </w:pPr>
      <w:r>
        <w:rPr>
          <w:rFonts w:ascii="Arial" w:hAnsi="Arial" w:cs="Arial"/>
          <w:sz w:val="24"/>
          <w:szCs w:val="24"/>
          <w:lang w:val="en-US"/>
        </w:rPr>
        <w:tab/>
      </w:r>
    </w:p>
    <w:p w:rsidR="00690C4A" w:rsidRDefault="0016457F" w:rsidP="0016457F">
      <w:pPr>
        <w:spacing w:after="0" w:line="360" w:lineRule="auto"/>
        <w:jc w:val="both"/>
        <w:rPr>
          <w:rFonts w:ascii="Arial" w:hAnsi="Arial" w:cs="Arial"/>
          <w:sz w:val="24"/>
          <w:szCs w:val="24"/>
          <w:lang w:val="en-US"/>
        </w:rPr>
      </w:pPr>
      <w:r>
        <w:rPr>
          <w:rFonts w:ascii="Arial" w:hAnsi="Arial" w:cs="Arial"/>
          <w:sz w:val="24"/>
          <w:szCs w:val="24"/>
          <w:lang w:val="en-US"/>
        </w:rPr>
        <w:t>[13]</w:t>
      </w:r>
      <w:r w:rsidR="00B809E4">
        <w:rPr>
          <w:rFonts w:ascii="Arial" w:hAnsi="Arial" w:cs="Arial"/>
          <w:sz w:val="24"/>
          <w:szCs w:val="24"/>
          <w:lang w:val="en-US"/>
        </w:rPr>
        <w:tab/>
      </w:r>
      <w:r w:rsidR="00690C4A">
        <w:rPr>
          <w:rFonts w:ascii="Arial" w:hAnsi="Arial" w:cs="Arial"/>
          <w:sz w:val="24"/>
          <w:szCs w:val="24"/>
          <w:lang w:val="en-US"/>
        </w:rPr>
        <w:t>Rule 64 stipulates that:</w:t>
      </w:r>
    </w:p>
    <w:p w:rsidR="00724A9A" w:rsidRDefault="00724A9A" w:rsidP="0016457F">
      <w:pPr>
        <w:spacing w:after="0" w:line="360" w:lineRule="auto"/>
        <w:jc w:val="both"/>
        <w:rPr>
          <w:rFonts w:ascii="Arial" w:hAnsi="Arial" w:cs="Arial"/>
          <w:sz w:val="24"/>
          <w:szCs w:val="24"/>
          <w:lang w:val="en-US"/>
        </w:rPr>
      </w:pPr>
    </w:p>
    <w:p w:rsidR="00690C4A" w:rsidRDefault="00690C4A" w:rsidP="0016457F">
      <w:pPr>
        <w:spacing w:after="0" w:line="360" w:lineRule="auto"/>
        <w:jc w:val="both"/>
        <w:rPr>
          <w:rFonts w:ascii="Arial" w:hAnsi="Arial" w:cs="Arial"/>
          <w:lang w:val="en-US"/>
        </w:rPr>
      </w:pPr>
      <w:r w:rsidRPr="00690C4A">
        <w:rPr>
          <w:rFonts w:ascii="Arial" w:hAnsi="Arial" w:cs="Arial"/>
          <w:lang w:val="en-US"/>
        </w:rPr>
        <w:t xml:space="preserve">‘(1) </w:t>
      </w:r>
      <w:r w:rsidRPr="00690C4A">
        <w:rPr>
          <w:rFonts w:ascii="Arial" w:hAnsi="Arial" w:cs="Arial"/>
          <w:lang w:val="en-US"/>
        </w:rPr>
        <w:tab/>
        <w:t xml:space="preserve">In an action where a sum of money is claimed, either alone or with other relief, the defendant may at any time unconditionally or without prejudice make a written offer to </w:t>
      </w:r>
      <w:r w:rsidRPr="00690C4A">
        <w:rPr>
          <w:rFonts w:ascii="Arial" w:hAnsi="Arial" w:cs="Arial"/>
          <w:lang w:val="en-US"/>
        </w:rPr>
        <w:lastRenderedPageBreak/>
        <w:t xml:space="preserve">settle the plaintiff’s claim and the offer must be signed either by the defendant or by his or her legal practitioner if the latter has been authorized in writing to sign. </w:t>
      </w:r>
    </w:p>
    <w:p w:rsidR="00745247" w:rsidRDefault="00745247" w:rsidP="0016457F">
      <w:pPr>
        <w:spacing w:after="0" w:line="360" w:lineRule="auto"/>
        <w:jc w:val="both"/>
        <w:rPr>
          <w:rFonts w:ascii="Arial" w:hAnsi="Arial" w:cs="Arial"/>
          <w:lang w:val="en-US"/>
        </w:rPr>
      </w:pPr>
    </w:p>
    <w:p w:rsidR="00D30C1D" w:rsidRDefault="00D30C1D" w:rsidP="0016457F">
      <w:pPr>
        <w:spacing w:after="0" w:line="360" w:lineRule="auto"/>
        <w:jc w:val="both"/>
        <w:rPr>
          <w:rFonts w:ascii="Arial" w:hAnsi="Arial" w:cs="Arial"/>
          <w:lang w:val="en-US"/>
        </w:rPr>
      </w:pPr>
      <w:r>
        <w:rPr>
          <w:rFonts w:ascii="Arial" w:hAnsi="Arial" w:cs="Arial"/>
          <w:lang w:val="en-US"/>
        </w:rPr>
        <w:t xml:space="preserve">(2) </w:t>
      </w:r>
      <w:r>
        <w:rPr>
          <w:rFonts w:ascii="Arial" w:hAnsi="Arial" w:cs="Arial"/>
          <w:lang w:val="en-US"/>
        </w:rPr>
        <w:tab/>
        <w:t>Where the plaintiff claims the performance of some act by the defendant, the defendant may at any time tender either unconditionally or without prejudice to perform the act</w:t>
      </w:r>
      <w:r w:rsidR="00D40EE4">
        <w:rPr>
          <w:rStyle w:val="FootnoteReference"/>
          <w:rFonts w:ascii="Arial" w:hAnsi="Arial" w:cs="Arial"/>
          <w:lang w:val="en-US"/>
        </w:rPr>
        <w:footnoteReference w:id="2"/>
      </w:r>
      <w:r>
        <w:rPr>
          <w:rFonts w:ascii="Arial" w:hAnsi="Arial" w:cs="Arial"/>
          <w:lang w:val="en-US"/>
        </w:rPr>
        <w:t xml:space="preserve"> and, unless the act has to be performed by the defendant personally, he or she must execute an irrevocable power or attorney authorizing the performance of the act which he or she must deliver to the registrar together with the tender.</w:t>
      </w:r>
    </w:p>
    <w:p w:rsidR="00745247" w:rsidRDefault="00745247" w:rsidP="0016457F">
      <w:pPr>
        <w:spacing w:after="0" w:line="360" w:lineRule="auto"/>
        <w:jc w:val="both"/>
        <w:rPr>
          <w:rFonts w:ascii="Arial" w:hAnsi="Arial" w:cs="Arial"/>
          <w:lang w:val="en-US"/>
        </w:rPr>
      </w:pPr>
    </w:p>
    <w:p w:rsidR="00D30C1D" w:rsidRDefault="00D30C1D" w:rsidP="0016457F">
      <w:pPr>
        <w:spacing w:after="0" w:line="360" w:lineRule="auto"/>
        <w:jc w:val="both"/>
        <w:rPr>
          <w:rFonts w:ascii="Arial" w:hAnsi="Arial" w:cs="Arial"/>
          <w:lang w:val="en-US"/>
        </w:rPr>
      </w:pPr>
      <w:r>
        <w:rPr>
          <w:rFonts w:ascii="Arial" w:hAnsi="Arial" w:cs="Arial"/>
          <w:lang w:val="en-US"/>
        </w:rPr>
        <w:t xml:space="preserve">(3) </w:t>
      </w:r>
      <w:r>
        <w:rPr>
          <w:rFonts w:ascii="Arial" w:hAnsi="Arial" w:cs="Arial"/>
          <w:lang w:val="en-US"/>
        </w:rPr>
        <w:tab/>
        <w:t>…..</w:t>
      </w:r>
    </w:p>
    <w:p w:rsidR="00745247" w:rsidRDefault="00745247" w:rsidP="0016457F">
      <w:pPr>
        <w:spacing w:after="0" w:line="360" w:lineRule="auto"/>
        <w:jc w:val="both"/>
        <w:rPr>
          <w:rFonts w:ascii="Arial" w:hAnsi="Arial" w:cs="Arial"/>
          <w:lang w:val="en-US"/>
        </w:rPr>
      </w:pPr>
    </w:p>
    <w:p w:rsidR="00D30C1D" w:rsidRDefault="00D30C1D" w:rsidP="0016457F">
      <w:pPr>
        <w:spacing w:after="0" w:line="360" w:lineRule="auto"/>
        <w:jc w:val="both"/>
        <w:rPr>
          <w:rFonts w:ascii="Arial" w:hAnsi="Arial" w:cs="Arial"/>
          <w:lang w:val="en-US"/>
        </w:rPr>
      </w:pPr>
      <w:r>
        <w:rPr>
          <w:rFonts w:ascii="Arial" w:hAnsi="Arial" w:cs="Arial"/>
          <w:lang w:val="en-US"/>
        </w:rPr>
        <w:t>(4)</w:t>
      </w:r>
      <w:r>
        <w:rPr>
          <w:rFonts w:ascii="Arial" w:hAnsi="Arial" w:cs="Arial"/>
          <w:lang w:val="en-US"/>
        </w:rPr>
        <w:tab/>
        <w:t>…..</w:t>
      </w:r>
    </w:p>
    <w:p w:rsidR="00745247" w:rsidRDefault="00745247" w:rsidP="0016457F">
      <w:pPr>
        <w:spacing w:after="0" w:line="360" w:lineRule="auto"/>
        <w:jc w:val="both"/>
        <w:rPr>
          <w:rFonts w:ascii="Arial" w:hAnsi="Arial" w:cs="Arial"/>
          <w:lang w:val="en-US"/>
        </w:rPr>
      </w:pPr>
    </w:p>
    <w:p w:rsidR="00D30C1D" w:rsidRDefault="00D30C1D" w:rsidP="0016457F">
      <w:pPr>
        <w:spacing w:after="0" w:line="360" w:lineRule="auto"/>
        <w:jc w:val="both"/>
        <w:rPr>
          <w:rFonts w:ascii="Arial" w:hAnsi="Arial" w:cs="Arial"/>
          <w:lang w:val="en-US"/>
        </w:rPr>
      </w:pPr>
      <w:r>
        <w:rPr>
          <w:rFonts w:ascii="Arial" w:hAnsi="Arial" w:cs="Arial"/>
          <w:lang w:val="en-US"/>
        </w:rPr>
        <w:t>(5)</w:t>
      </w:r>
      <w:r>
        <w:rPr>
          <w:rFonts w:ascii="Arial" w:hAnsi="Arial" w:cs="Arial"/>
          <w:lang w:val="en-US"/>
        </w:rPr>
        <w:tab/>
        <w:t>Notice of an offer or tender in terms of this rule must be given to all parties to the action and it must state whether the-</w:t>
      </w:r>
    </w:p>
    <w:p w:rsidR="00745247" w:rsidRDefault="00745247" w:rsidP="0016457F">
      <w:pPr>
        <w:spacing w:after="0" w:line="360" w:lineRule="auto"/>
        <w:jc w:val="both"/>
        <w:rPr>
          <w:rFonts w:ascii="Arial" w:hAnsi="Arial" w:cs="Arial"/>
          <w:lang w:val="en-US"/>
        </w:rPr>
      </w:pPr>
    </w:p>
    <w:p w:rsidR="00745247" w:rsidRPr="00745247" w:rsidRDefault="00D30C1D" w:rsidP="00745247">
      <w:pPr>
        <w:pStyle w:val="ListParagraph"/>
        <w:numPr>
          <w:ilvl w:val="0"/>
          <w:numId w:val="11"/>
        </w:numPr>
        <w:spacing w:after="0" w:line="360" w:lineRule="auto"/>
        <w:jc w:val="both"/>
        <w:rPr>
          <w:rFonts w:ascii="Arial" w:hAnsi="Arial" w:cs="Arial"/>
          <w:lang w:val="en-US"/>
        </w:rPr>
      </w:pPr>
      <w:r w:rsidRPr="00745247">
        <w:rPr>
          <w:rFonts w:ascii="Arial" w:hAnsi="Arial" w:cs="Arial"/>
          <w:lang w:val="en-US"/>
        </w:rPr>
        <w:t>offer or tender is unconditional or without prejudice as an offer of settlement;</w:t>
      </w:r>
    </w:p>
    <w:p w:rsidR="00D30C1D" w:rsidRPr="00745247" w:rsidRDefault="00D30C1D" w:rsidP="00745247">
      <w:pPr>
        <w:pStyle w:val="ListParagraph"/>
        <w:spacing w:after="0" w:line="360" w:lineRule="auto"/>
        <w:ind w:left="1080"/>
        <w:jc w:val="both"/>
        <w:rPr>
          <w:rFonts w:ascii="Arial" w:hAnsi="Arial" w:cs="Arial"/>
          <w:lang w:val="en-US"/>
        </w:rPr>
      </w:pPr>
      <w:r w:rsidRPr="00745247">
        <w:rPr>
          <w:rFonts w:ascii="Arial" w:hAnsi="Arial" w:cs="Arial"/>
          <w:lang w:val="en-US"/>
        </w:rPr>
        <w:t xml:space="preserve"> </w:t>
      </w:r>
    </w:p>
    <w:p w:rsidR="00D30C1D" w:rsidRPr="00745247" w:rsidRDefault="00D30C1D" w:rsidP="00745247">
      <w:pPr>
        <w:pStyle w:val="ListParagraph"/>
        <w:numPr>
          <w:ilvl w:val="0"/>
          <w:numId w:val="11"/>
        </w:numPr>
        <w:spacing w:after="0" w:line="360" w:lineRule="auto"/>
        <w:jc w:val="both"/>
        <w:rPr>
          <w:rFonts w:ascii="Arial" w:hAnsi="Arial" w:cs="Arial"/>
          <w:lang w:val="en-US"/>
        </w:rPr>
      </w:pPr>
      <w:r w:rsidRPr="00745247">
        <w:rPr>
          <w:rFonts w:ascii="Arial" w:hAnsi="Arial" w:cs="Arial"/>
          <w:lang w:val="en-US"/>
        </w:rPr>
        <w:t xml:space="preserve">offer or tender is accompanied by an offer to pay all or only part or the costs of the party to whom the offer or tender is made and further whether it is subject to conditions stated in the offer or tender; </w:t>
      </w:r>
    </w:p>
    <w:p w:rsidR="00745247" w:rsidRPr="00745247" w:rsidRDefault="00745247" w:rsidP="00745247">
      <w:pPr>
        <w:spacing w:after="0" w:line="360" w:lineRule="auto"/>
        <w:jc w:val="both"/>
        <w:rPr>
          <w:rFonts w:ascii="Arial" w:hAnsi="Arial" w:cs="Arial"/>
          <w:lang w:val="en-US"/>
        </w:rPr>
      </w:pPr>
    </w:p>
    <w:p w:rsidR="00D30C1D" w:rsidRPr="00745247" w:rsidRDefault="00D30C1D" w:rsidP="00745247">
      <w:pPr>
        <w:pStyle w:val="ListParagraph"/>
        <w:numPr>
          <w:ilvl w:val="0"/>
          <w:numId w:val="11"/>
        </w:numPr>
        <w:spacing w:after="0" w:line="360" w:lineRule="auto"/>
        <w:jc w:val="both"/>
        <w:rPr>
          <w:rFonts w:ascii="Arial" w:hAnsi="Arial" w:cs="Arial"/>
          <w:lang w:val="en-US"/>
        </w:rPr>
      </w:pPr>
      <w:r w:rsidRPr="00745247">
        <w:rPr>
          <w:rFonts w:ascii="Arial" w:hAnsi="Arial" w:cs="Arial"/>
          <w:lang w:val="en-US"/>
        </w:rPr>
        <w:t xml:space="preserve">offer or tender is made by way of settlement of both the claim and costs or of the claim only; and </w:t>
      </w:r>
    </w:p>
    <w:p w:rsidR="00745247" w:rsidRPr="00745247" w:rsidRDefault="00745247" w:rsidP="00745247">
      <w:pPr>
        <w:spacing w:after="0" w:line="360" w:lineRule="auto"/>
        <w:jc w:val="both"/>
        <w:rPr>
          <w:rFonts w:ascii="Arial" w:hAnsi="Arial" w:cs="Arial"/>
          <w:lang w:val="en-US"/>
        </w:rPr>
      </w:pPr>
    </w:p>
    <w:p w:rsidR="00D30C1D" w:rsidRPr="00745247" w:rsidRDefault="00D30C1D" w:rsidP="00745247">
      <w:pPr>
        <w:pStyle w:val="ListParagraph"/>
        <w:numPr>
          <w:ilvl w:val="0"/>
          <w:numId w:val="11"/>
        </w:numPr>
        <w:spacing w:after="0" w:line="360" w:lineRule="auto"/>
        <w:jc w:val="both"/>
        <w:rPr>
          <w:rFonts w:ascii="Arial" w:hAnsi="Arial" w:cs="Arial"/>
          <w:lang w:val="en-US"/>
        </w:rPr>
      </w:pPr>
      <w:proofErr w:type="gramStart"/>
      <w:r w:rsidRPr="00745247">
        <w:rPr>
          <w:rFonts w:ascii="Arial" w:hAnsi="Arial" w:cs="Arial"/>
          <w:lang w:val="en-US"/>
        </w:rPr>
        <w:t>defendant</w:t>
      </w:r>
      <w:proofErr w:type="gramEnd"/>
      <w:r w:rsidRPr="00745247">
        <w:rPr>
          <w:rFonts w:ascii="Arial" w:hAnsi="Arial" w:cs="Arial"/>
          <w:lang w:val="en-US"/>
        </w:rPr>
        <w:t xml:space="preserve"> disclaims liability for the payment of costs or for part thereof, in which case the reason for such disclaimed must be given and the action may then be set down on the question of costs alone. </w:t>
      </w:r>
    </w:p>
    <w:p w:rsidR="00745247" w:rsidRPr="00745247" w:rsidRDefault="00745247" w:rsidP="00745247">
      <w:pPr>
        <w:spacing w:after="0" w:line="360" w:lineRule="auto"/>
        <w:jc w:val="both"/>
        <w:rPr>
          <w:rFonts w:ascii="Arial" w:hAnsi="Arial" w:cs="Arial"/>
          <w:lang w:val="en-US"/>
        </w:rPr>
      </w:pPr>
    </w:p>
    <w:p w:rsidR="00D30C1D" w:rsidRDefault="00D30C1D" w:rsidP="0016457F">
      <w:pPr>
        <w:spacing w:after="0" w:line="360" w:lineRule="auto"/>
        <w:jc w:val="both"/>
        <w:rPr>
          <w:rFonts w:ascii="Arial" w:hAnsi="Arial" w:cs="Arial"/>
          <w:lang w:val="en-US"/>
        </w:rPr>
      </w:pPr>
      <w:r>
        <w:rPr>
          <w:rFonts w:ascii="Arial" w:hAnsi="Arial" w:cs="Arial"/>
          <w:lang w:val="en-US"/>
        </w:rPr>
        <w:t>(6)</w:t>
      </w:r>
      <w:r>
        <w:rPr>
          <w:rFonts w:ascii="Arial" w:hAnsi="Arial" w:cs="Arial"/>
          <w:lang w:val="en-US"/>
        </w:rPr>
        <w:tab/>
        <w:t xml:space="preserve">A plaintiff or a party referred to in </w:t>
      </w:r>
      <w:proofErr w:type="spellStart"/>
      <w:r>
        <w:rPr>
          <w:rFonts w:ascii="Arial" w:hAnsi="Arial" w:cs="Arial"/>
          <w:lang w:val="en-US"/>
        </w:rPr>
        <w:t>subrule</w:t>
      </w:r>
      <w:proofErr w:type="spellEnd"/>
      <w:r>
        <w:rPr>
          <w:rFonts w:ascii="Arial" w:hAnsi="Arial" w:cs="Arial"/>
          <w:lang w:val="en-US"/>
        </w:rPr>
        <w:t xml:space="preserve"> (3) may within 10 days after the receipt of the notice referred to in </w:t>
      </w:r>
      <w:proofErr w:type="spellStart"/>
      <w:r>
        <w:rPr>
          <w:rFonts w:ascii="Arial" w:hAnsi="Arial" w:cs="Arial"/>
          <w:lang w:val="en-US"/>
        </w:rPr>
        <w:t>subrule</w:t>
      </w:r>
      <w:proofErr w:type="spellEnd"/>
      <w:r>
        <w:rPr>
          <w:rFonts w:ascii="Arial" w:hAnsi="Arial" w:cs="Arial"/>
          <w:lang w:val="en-US"/>
        </w:rPr>
        <w:t xml:space="preserve"> (5) or thereafter with the written consent of the defendant or third party or on the order of court given on such condition as</w:t>
      </w:r>
      <w:r w:rsidR="0058170A">
        <w:rPr>
          <w:rFonts w:ascii="Arial" w:hAnsi="Arial" w:cs="Arial"/>
          <w:lang w:val="en-US"/>
        </w:rPr>
        <w:t xml:space="preserve"> the court may consider to be fair, accept an offer or tender, after which the registrar having satisfied </w:t>
      </w:r>
      <w:r w:rsidR="0058170A">
        <w:rPr>
          <w:rFonts w:ascii="Arial" w:hAnsi="Arial" w:cs="Arial"/>
          <w:lang w:val="en-US"/>
        </w:rPr>
        <w:lastRenderedPageBreak/>
        <w:t xml:space="preserve">himself or herself that the requirements of this </w:t>
      </w:r>
      <w:proofErr w:type="spellStart"/>
      <w:r w:rsidR="0058170A">
        <w:rPr>
          <w:rFonts w:ascii="Arial" w:hAnsi="Arial" w:cs="Arial"/>
          <w:lang w:val="en-US"/>
        </w:rPr>
        <w:t>subrule</w:t>
      </w:r>
      <w:proofErr w:type="spellEnd"/>
      <w:r w:rsidR="0058170A">
        <w:rPr>
          <w:rFonts w:ascii="Arial" w:hAnsi="Arial" w:cs="Arial"/>
          <w:lang w:val="en-US"/>
        </w:rPr>
        <w:t xml:space="preserve"> have been complied with, must hand over the power of attorney referred to in </w:t>
      </w:r>
      <w:proofErr w:type="spellStart"/>
      <w:r w:rsidR="0058170A">
        <w:rPr>
          <w:rFonts w:ascii="Arial" w:hAnsi="Arial" w:cs="Arial"/>
          <w:lang w:val="en-US"/>
        </w:rPr>
        <w:t>subrule</w:t>
      </w:r>
      <w:proofErr w:type="spellEnd"/>
      <w:r w:rsidR="0058170A">
        <w:rPr>
          <w:rFonts w:ascii="Arial" w:hAnsi="Arial" w:cs="Arial"/>
          <w:lang w:val="en-US"/>
        </w:rPr>
        <w:t xml:space="preserve"> (2) to the plaintiff or to his or her legal practitioner. </w:t>
      </w:r>
    </w:p>
    <w:p w:rsidR="00745247" w:rsidRDefault="00745247" w:rsidP="0016457F">
      <w:pPr>
        <w:spacing w:after="0" w:line="360" w:lineRule="auto"/>
        <w:jc w:val="both"/>
        <w:rPr>
          <w:rFonts w:ascii="Arial" w:hAnsi="Arial" w:cs="Arial"/>
          <w:lang w:val="en-US"/>
        </w:rPr>
      </w:pPr>
    </w:p>
    <w:p w:rsidR="0058170A" w:rsidRDefault="0058170A" w:rsidP="0016457F">
      <w:pPr>
        <w:spacing w:after="0" w:line="360" w:lineRule="auto"/>
        <w:jc w:val="both"/>
        <w:rPr>
          <w:rFonts w:ascii="Arial" w:hAnsi="Arial" w:cs="Arial"/>
          <w:lang w:val="en-US"/>
        </w:rPr>
      </w:pPr>
      <w:r>
        <w:rPr>
          <w:rFonts w:ascii="Arial" w:hAnsi="Arial" w:cs="Arial"/>
          <w:lang w:val="en-US"/>
        </w:rPr>
        <w:t>(7)- (9)</w:t>
      </w:r>
      <w:r>
        <w:rPr>
          <w:rFonts w:ascii="Arial" w:hAnsi="Arial" w:cs="Arial"/>
          <w:lang w:val="en-US"/>
        </w:rPr>
        <w:tab/>
        <w:t>……</w:t>
      </w:r>
    </w:p>
    <w:p w:rsidR="00745247" w:rsidRDefault="00745247" w:rsidP="0016457F">
      <w:pPr>
        <w:spacing w:after="0" w:line="360" w:lineRule="auto"/>
        <w:jc w:val="both"/>
        <w:rPr>
          <w:rFonts w:ascii="Arial" w:hAnsi="Arial" w:cs="Arial"/>
          <w:lang w:val="en-US"/>
        </w:rPr>
      </w:pPr>
    </w:p>
    <w:p w:rsidR="0058170A" w:rsidRDefault="00724A9A" w:rsidP="00724A9A">
      <w:pPr>
        <w:spacing w:after="0" w:line="360" w:lineRule="auto"/>
        <w:jc w:val="both"/>
        <w:rPr>
          <w:rFonts w:ascii="Arial" w:hAnsi="Arial" w:cs="Arial"/>
          <w:lang w:val="en-US"/>
        </w:rPr>
      </w:pPr>
      <w:r>
        <w:rPr>
          <w:rFonts w:ascii="Arial" w:hAnsi="Arial" w:cs="Arial"/>
          <w:lang w:val="en-US"/>
        </w:rPr>
        <w:t>(</w:t>
      </w:r>
      <w:r w:rsidR="0058170A" w:rsidRPr="0058170A">
        <w:rPr>
          <w:rFonts w:ascii="Arial" w:hAnsi="Arial" w:cs="Arial"/>
          <w:lang w:val="en-US"/>
        </w:rPr>
        <w:t>10)</w:t>
      </w:r>
      <w:r w:rsidR="0058170A" w:rsidRPr="0058170A">
        <w:rPr>
          <w:rFonts w:ascii="Arial" w:hAnsi="Arial" w:cs="Arial"/>
          <w:lang w:val="en-US"/>
        </w:rPr>
        <w:tab/>
      </w:r>
      <w:r w:rsidR="0058170A">
        <w:rPr>
          <w:rFonts w:ascii="Arial" w:hAnsi="Arial" w:cs="Arial"/>
          <w:lang w:val="en-US"/>
        </w:rPr>
        <w:t xml:space="preserve">An offer or tender in terms of this rule made ‘without prejudice’ must not be disclosed to the court at any time before judgment has been given and reference to such offer or tender must not appear on any file in the office of the registrar containing the papers in the cause or matter. </w:t>
      </w:r>
    </w:p>
    <w:p w:rsidR="00745247" w:rsidRDefault="00745247" w:rsidP="00724A9A">
      <w:pPr>
        <w:spacing w:after="0" w:line="360" w:lineRule="auto"/>
        <w:jc w:val="both"/>
        <w:rPr>
          <w:rFonts w:ascii="Arial" w:hAnsi="Arial" w:cs="Arial"/>
          <w:lang w:val="en-US"/>
        </w:rPr>
      </w:pPr>
    </w:p>
    <w:p w:rsidR="0058170A" w:rsidRDefault="00745247" w:rsidP="0016457F">
      <w:pPr>
        <w:spacing w:after="0" w:line="360" w:lineRule="auto"/>
        <w:jc w:val="both"/>
        <w:rPr>
          <w:rFonts w:ascii="Arial" w:hAnsi="Arial" w:cs="Arial"/>
          <w:lang w:val="en-US"/>
        </w:rPr>
      </w:pPr>
      <w:r>
        <w:rPr>
          <w:rFonts w:ascii="Arial" w:hAnsi="Arial" w:cs="Arial"/>
          <w:lang w:val="en-US"/>
        </w:rPr>
        <w:t>(11</w:t>
      </w:r>
      <w:r w:rsidR="0058170A">
        <w:rPr>
          <w:rFonts w:ascii="Arial" w:hAnsi="Arial" w:cs="Arial"/>
          <w:lang w:val="en-US"/>
        </w:rPr>
        <w:t>)</w:t>
      </w:r>
      <w:r w:rsidR="0058170A">
        <w:rPr>
          <w:rFonts w:ascii="Arial" w:hAnsi="Arial" w:cs="Arial"/>
          <w:lang w:val="en-US"/>
        </w:rPr>
        <w:tab/>
        <w:t>…..</w:t>
      </w:r>
    </w:p>
    <w:p w:rsidR="00745247" w:rsidRDefault="00745247" w:rsidP="0016457F">
      <w:pPr>
        <w:spacing w:after="0" w:line="360" w:lineRule="auto"/>
        <w:jc w:val="both"/>
        <w:rPr>
          <w:rFonts w:ascii="Arial" w:hAnsi="Arial" w:cs="Arial"/>
          <w:lang w:val="en-US"/>
        </w:rPr>
      </w:pPr>
    </w:p>
    <w:p w:rsidR="0058170A" w:rsidRDefault="00745247" w:rsidP="00724A9A">
      <w:pPr>
        <w:spacing w:after="0" w:line="360" w:lineRule="auto"/>
        <w:jc w:val="both"/>
        <w:rPr>
          <w:rFonts w:ascii="Arial" w:hAnsi="Arial" w:cs="Arial"/>
          <w:lang w:val="en-US"/>
        </w:rPr>
      </w:pPr>
      <w:r>
        <w:rPr>
          <w:rFonts w:ascii="Arial" w:hAnsi="Arial" w:cs="Arial"/>
          <w:lang w:val="en-US"/>
        </w:rPr>
        <w:t>(12</w:t>
      </w:r>
      <w:r w:rsidR="0058170A" w:rsidRPr="0058170A">
        <w:rPr>
          <w:rFonts w:ascii="Arial" w:hAnsi="Arial" w:cs="Arial"/>
          <w:lang w:val="en-US"/>
        </w:rPr>
        <w:t>)</w:t>
      </w:r>
      <w:r w:rsidR="0058170A" w:rsidRPr="0058170A">
        <w:rPr>
          <w:rFonts w:ascii="Arial" w:hAnsi="Arial" w:cs="Arial"/>
          <w:lang w:val="en-US"/>
        </w:rPr>
        <w:tab/>
      </w:r>
      <w:r w:rsidR="0058170A">
        <w:rPr>
          <w:rFonts w:ascii="Arial" w:hAnsi="Arial" w:cs="Arial"/>
          <w:lang w:val="en-US"/>
        </w:rPr>
        <w:t xml:space="preserve">The fact that an offer or tender referred to in this rule has been made may be brought to the notice of a judge after judgment has been given as a factor relevant to the question of costs. </w:t>
      </w:r>
    </w:p>
    <w:p w:rsidR="00745247" w:rsidRDefault="00745247" w:rsidP="00724A9A">
      <w:pPr>
        <w:spacing w:after="0" w:line="360" w:lineRule="auto"/>
        <w:jc w:val="both"/>
        <w:rPr>
          <w:rFonts w:ascii="Arial" w:hAnsi="Arial" w:cs="Arial"/>
          <w:lang w:val="en-US"/>
        </w:rPr>
      </w:pPr>
    </w:p>
    <w:p w:rsidR="0058170A" w:rsidRDefault="0058170A" w:rsidP="0016457F">
      <w:pPr>
        <w:spacing w:after="0" w:line="360" w:lineRule="auto"/>
        <w:jc w:val="both"/>
        <w:rPr>
          <w:rFonts w:ascii="Arial" w:hAnsi="Arial" w:cs="Arial"/>
          <w:lang w:val="en-US"/>
        </w:rPr>
      </w:pPr>
      <w:r w:rsidRPr="0058170A">
        <w:rPr>
          <w:rFonts w:ascii="Arial" w:hAnsi="Arial" w:cs="Arial"/>
          <w:lang w:val="en-US"/>
        </w:rPr>
        <w:t>(13)</w:t>
      </w:r>
      <w:r w:rsidRPr="0058170A">
        <w:rPr>
          <w:rFonts w:ascii="Arial" w:hAnsi="Arial" w:cs="Arial"/>
          <w:lang w:val="en-US"/>
        </w:rPr>
        <w:tab/>
      </w:r>
      <w:r>
        <w:rPr>
          <w:rFonts w:ascii="Arial" w:hAnsi="Arial" w:cs="Arial"/>
          <w:lang w:val="en-US"/>
        </w:rPr>
        <w:t>A party who, contrary to this rule, personally  or through any person representing him or her discloses an offer or tender referred to in this rule to the judge or the court is liable to have cost given against him or her even if he or she is successful in the action</w:t>
      </w:r>
      <w:r w:rsidR="003A6BC2">
        <w:rPr>
          <w:rStyle w:val="FootnoteReference"/>
          <w:rFonts w:ascii="Arial" w:hAnsi="Arial" w:cs="Arial"/>
          <w:szCs w:val="24"/>
          <w:lang w:val="en-US"/>
        </w:rPr>
        <w:footnoteReference w:id="3"/>
      </w:r>
      <w:r>
        <w:rPr>
          <w:rFonts w:ascii="Arial" w:hAnsi="Arial" w:cs="Arial"/>
          <w:lang w:val="en-US"/>
        </w:rPr>
        <w:t>.’</w:t>
      </w:r>
    </w:p>
    <w:p w:rsidR="0058170A" w:rsidRDefault="0058170A" w:rsidP="0016457F">
      <w:pPr>
        <w:spacing w:after="0" w:line="360" w:lineRule="auto"/>
        <w:jc w:val="both"/>
        <w:rPr>
          <w:rFonts w:ascii="Arial" w:hAnsi="Arial" w:cs="Arial"/>
          <w:sz w:val="24"/>
          <w:szCs w:val="24"/>
          <w:lang w:val="en-US"/>
        </w:rPr>
      </w:pPr>
    </w:p>
    <w:p w:rsidR="002D5FAB" w:rsidRDefault="00190D4F" w:rsidP="0016457F">
      <w:pPr>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BD5F3D">
        <w:rPr>
          <w:rFonts w:ascii="Arial" w:hAnsi="Arial" w:cs="Arial"/>
          <w:sz w:val="24"/>
          <w:szCs w:val="24"/>
          <w:lang w:val="en-US"/>
        </w:rPr>
        <w:t xml:space="preserve">Mrs. </w:t>
      </w:r>
      <w:proofErr w:type="spellStart"/>
      <w:r w:rsidR="00BD5F3D">
        <w:rPr>
          <w:rFonts w:ascii="Arial" w:hAnsi="Arial" w:cs="Arial"/>
          <w:sz w:val="24"/>
          <w:szCs w:val="24"/>
          <w:lang w:val="en-US"/>
        </w:rPr>
        <w:t>Delport</w:t>
      </w:r>
      <w:proofErr w:type="spellEnd"/>
      <w:r w:rsidR="00BD5F3D">
        <w:rPr>
          <w:rFonts w:ascii="Arial" w:hAnsi="Arial" w:cs="Arial"/>
          <w:sz w:val="24"/>
          <w:szCs w:val="24"/>
          <w:lang w:val="en-US"/>
        </w:rPr>
        <w:t xml:space="preserve"> argued that </w:t>
      </w:r>
      <w:r w:rsidR="002D5FAB">
        <w:rPr>
          <w:rFonts w:ascii="Arial" w:hAnsi="Arial" w:cs="Arial"/>
          <w:sz w:val="24"/>
          <w:szCs w:val="24"/>
          <w:lang w:val="en-US"/>
        </w:rPr>
        <w:t xml:space="preserve">disclosing the Rule 64 notice is irregular and should be disregarded, however the prohibition against disclosure applies to an offer or tender without prejudice. </w:t>
      </w:r>
      <w:r w:rsidR="00C02BFF">
        <w:rPr>
          <w:rFonts w:ascii="Arial" w:hAnsi="Arial" w:cs="Arial"/>
          <w:sz w:val="24"/>
          <w:szCs w:val="24"/>
          <w:lang w:val="en-US"/>
        </w:rPr>
        <w:t>It does not apply to an unconditional tender or offer</w:t>
      </w:r>
      <w:r w:rsidR="00BD5F3D">
        <w:rPr>
          <w:rFonts w:ascii="Arial" w:hAnsi="Arial" w:cs="Arial"/>
          <w:sz w:val="24"/>
          <w:szCs w:val="24"/>
          <w:lang w:val="en-US"/>
        </w:rPr>
        <w:t>.</w:t>
      </w:r>
      <w:r w:rsidR="00C02BFF">
        <w:rPr>
          <w:rStyle w:val="FootnoteReference"/>
          <w:rFonts w:ascii="Arial" w:hAnsi="Arial" w:cs="Arial"/>
          <w:sz w:val="24"/>
          <w:szCs w:val="24"/>
          <w:lang w:val="en-US"/>
        </w:rPr>
        <w:footnoteReference w:id="4"/>
      </w:r>
      <w:r w:rsidR="00724A9A">
        <w:rPr>
          <w:rFonts w:ascii="Arial" w:hAnsi="Arial" w:cs="Arial"/>
          <w:sz w:val="24"/>
          <w:szCs w:val="24"/>
          <w:lang w:val="en-US"/>
        </w:rPr>
        <w:t xml:space="preserve"> </w:t>
      </w:r>
      <w:r w:rsidR="002D5FAB">
        <w:rPr>
          <w:rFonts w:ascii="Arial" w:hAnsi="Arial" w:cs="Arial"/>
          <w:sz w:val="24"/>
          <w:szCs w:val="24"/>
          <w:lang w:val="en-US"/>
        </w:rPr>
        <w:t>The defendant indicates in the Rule 64 notice that she unconditionally tender to settle the claim of the plaintiff</w:t>
      </w:r>
      <w:r w:rsidR="00354439">
        <w:rPr>
          <w:rFonts w:ascii="Arial" w:hAnsi="Arial" w:cs="Arial"/>
          <w:sz w:val="24"/>
          <w:szCs w:val="24"/>
          <w:lang w:val="en-US"/>
        </w:rPr>
        <w:t xml:space="preserve">. </w:t>
      </w:r>
      <w:r w:rsidR="00067C77">
        <w:rPr>
          <w:rFonts w:ascii="Arial" w:hAnsi="Arial" w:cs="Arial"/>
          <w:sz w:val="24"/>
          <w:szCs w:val="24"/>
          <w:lang w:val="en-US"/>
        </w:rPr>
        <w:t xml:space="preserve">Having said that, it is indeed questionable </w:t>
      </w:r>
      <w:r w:rsidR="00930034">
        <w:rPr>
          <w:rFonts w:ascii="Arial" w:hAnsi="Arial" w:cs="Arial"/>
          <w:sz w:val="24"/>
          <w:szCs w:val="24"/>
          <w:lang w:val="en-US"/>
        </w:rPr>
        <w:t>if the tender is unconditional</w:t>
      </w:r>
      <w:r w:rsidR="00D40EE4">
        <w:rPr>
          <w:rFonts w:ascii="Arial" w:hAnsi="Arial" w:cs="Arial"/>
          <w:sz w:val="24"/>
          <w:szCs w:val="24"/>
          <w:lang w:val="en-US"/>
        </w:rPr>
        <w:t>.</w:t>
      </w:r>
      <w:r w:rsidR="00067C77">
        <w:rPr>
          <w:rFonts w:ascii="Arial" w:hAnsi="Arial" w:cs="Arial"/>
          <w:sz w:val="24"/>
          <w:szCs w:val="24"/>
          <w:lang w:val="en-US"/>
        </w:rPr>
        <w:t xml:space="preserve"> </w:t>
      </w:r>
    </w:p>
    <w:p w:rsidR="00067C77" w:rsidRDefault="00067C77" w:rsidP="0016457F">
      <w:pPr>
        <w:spacing w:after="0" w:line="360" w:lineRule="auto"/>
        <w:jc w:val="both"/>
        <w:rPr>
          <w:rFonts w:ascii="Arial" w:hAnsi="Arial" w:cs="Arial"/>
          <w:sz w:val="24"/>
          <w:szCs w:val="24"/>
          <w:lang w:val="en-US"/>
        </w:rPr>
      </w:pPr>
    </w:p>
    <w:p w:rsidR="00067C77" w:rsidRDefault="00067C77" w:rsidP="00067C77">
      <w:pPr>
        <w:spacing w:after="0"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 xml:space="preserve">An unconditional offer is designed for the case where the defendant admits liability on the plaintiff’s claim, whole or in part, entitling the plaintiff to accept the </w:t>
      </w:r>
      <w:r>
        <w:rPr>
          <w:rFonts w:ascii="Arial" w:hAnsi="Arial" w:cs="Arial"/>
          <w:sz w:val="24"/>
          <w:szCs w:val="24"/>
          <w:lang w:val="en-US"/>
        </w:rPr>
        <w:lastRenderedPageBreak/>
        <w:t>offer and to sue for th</w:t>
      </w:r>
      <w:r w:rsidR="00BD5F3D">
        <w:rPr>
          <w:rFonts w:ascii="Arial" w:hAnsi="Arial" w:cs="Arial"/>
          <w:sz w:val="24"/>
          <w:szCs w:val="24"/>
          <w:lang w:val="en-US"/>
        </w:rPr>
        <w:t xml:space="preserve">e balance of his or her </w:t>
      </w:r>
      <w:r w:rsidR="00BD5F3D" w:rsidRPr="00745247">
        <w:rPr>
          <w:rFonts w:ascii="Arial" w:hAnsi="Arial" w:cs="Arial"/>
          <w:color w:val="000000" w:themeColor="text1"/>
          <w:sz w:val="24"/>
          <w:szCs w:val="24"/>
          <w:lang w:val="en-US"/>
        </w:rPr>
        <w:t>claim at</w:t>
      </w:r>
      <w:r w:rsidRPr="00745247">
        <w:rPr>
          <w:rFonts w:ascii="Arial" w:hAnsi="Arial" w:cs="Arial"/>
          <w:color w:val="000000" w:themeColor="text1"/>
          <w:sz w:val="24"/>
          <w:szCs w:val="24"/>
          <w:lang w:val="en-US"/>
        </w:rPr>
        <w:t xml:space="preserve"> his peril</w:t>
      </w:r>
      <w:r w:rsidR="00BD5F3D">
        <w:rPr>
          <w:rFonts w:ascii="Arial" w:hAnsi="Arial" w:cs="Arial"/>
          <w:sz w:val="24"/>
          <w:szCs w:val="24"/>
          <w:lang w:val="en-US"/>
        </w:rPr>
        <w:t>.</w:t>
      </w:r>
      <w:r>
        <w:rPr>
          <w:rStyle w:val="FootnoteReference"/>
          <w:rFonts w:ascii="Arial" w:hAnsi="Arial" w:cs="Arial"/>
          <w:sz w:val="24"/>
          <w:szCs w:val="24"/>
          <w:lang w:val="en-US"/>
        </w:rPr>
        <w:footnoteReference w:id="5"/>
      </w:r>
      <w:r>
        <w:rPr>
          <w:rFonts w:ascii="Arial" w:hAnsi="Arial" w:cs="Arial"/>
          <w:sz w:val="24"/>
          <w:szCs w:val="24"/>
          <w:lang w:val="en-US"/>
        </w:rPr>
        <w:t xml:space="preserve"> In superior court practice an action is neither stayed nor terminated by an unconditional offer; the plaintiff is entitled to reject the offer and to increase the amount of his or her claim by amendment of his or her summons</w:t>
      </w:r>
      <w:r w:rsidR="00BD5F3D">
        <w:rPr>
          <w:rFonts w:ascii="Arial" w:hAnsi="Arial" w:cs="Arial"/>
          <w:sz w:val="24"/>
          <w:szCs w:val="24"/>
          <w:lang w:val="en-US"/>
        </w:rPr>
        <w:t>.</w:t>
      </w:r>
      <w:r>
        <w:rPr>
          <w:rStyle w:val="FootnoteReference"/>
          <w:rFonts w:ascii="Arial" w:hAnsi="Arial" w:cs="Arial"/>
          <w:sz w:val="24"/>
          <w:szCs w:val="24"/>
          <w:lang w:val="en-US"/>
        </w:rPr>
        <w:footnoteReference w:id="6"/>
      </w:r>
    </w:p>
    <w:p w:rsidR="00067C77" w:rsidRDefault="00067C77" w:rsidP="00067C77">
      <w:pPr>
        <w:spacing w:after="0" w:line="360" w:lineRule="auto"/>
        <w:jc w:val="both"/>
        <w:rPr>
          <w:rFonts w:ascii="Arial" w:hAnsi="Arial" w:cs="Arial"/>
          <w:sz w:val="24"/>
          <w:szCs w:val="24"/>
          <w:lang w:val="en-US"/>
        </w:rPr>
      </w:pPr>
    </w:p>
    <w:p w:rsidR="00067C77" w:rsidRDefault="00067C77" w:rsidP="00067C77">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To consider if the tender was unconditional it is important to consider the wording of the Notice in terms of Rule 64. Under paragraph 4 of the notice it reads as follows:</w:t>
      </w:r>
    </w:p>
    <w:p w:rsidR="00724A9A" w:rsidRDefault="00724A9A" w:rsidP="00067C77">
      <w:pPr>
        <w:spacing w:after="0" w:line="360" w:lineRule="auto"/>
        <w:jc w:val="both"/>
        <w:rPr>
          <w:rFonts w:ascii="Arial" w:hAnsi="Arial" w:cs="Arial"/>
          <w:sz w:val="24"/>
          <w:szCs w:val="24"/>
          <w:lang w:val="en-US"/>
        </w:rPr>
      </w:pPr>
    </w:p>
    <w:p w:rsidR="00067C77" w:rsidRDefault="00067C77" w:rsidP="00067C77">
      <w:pPr>
        <w:spacing w:after="0" w:line="360" w:lineRule="auto"/>
        <w:jc w:val="both"/>
        <w:rPr>
          <w:rFonts w:ascii="Arial" w:hAnsi="Arial" w:cs="Arial"/>
          <w:lang w:val="en-US"/>
        </w:rPr>
      </w:pPr>
      <w:r>
        <w:rPr>
          <w:rFonts w:ascii="Arial" w:hAnsi="Arial" w:cs="Arial"/>
          <w:sz w:val="24"/>
          <w:szCs w:val="24"/>
          <w:lang w:val="en-US"/>
        </w:rPr>
        <w:t>‘</w:t>
      </w:r>
      <w:r w:rsidRPr="0099362C">
        <w:rPr>
          <w:rFonts w:ascii="Arial" w:hAnsi="Arial" w:cs="Arial"/>
          <w:b/>
          <w:lang w:val="en-US"/>
        </w:rPr>
        <w:t>FURTHER TAKE NOTIC</w:t>
      </w:r>
      <w:r w:rsidRPr="0099362C">
        <w:rPr>
          <w:rFonts w:ascii="Arial" w:hAnsi="Arial" w:cs="Arial"/>
          <w:lang w:val="en-US"/>
        </w:rPr>
        <w:t>E that the Defendant’s offer is subject to the following conditions:</w:t>
      </w:r>
    </w:p>
    <w:p w:rsidR="00745247" w:rsidRPr="0099362C" w:rsidRDefault="00745247" w:rsidP="00067C77">
      <w:pPr>
        <w:spacing w:after="0" w:line="360" w:lineRule="auto"/>
        <w:jc w:val="both"/>
        <w:rPr>
          <w:rFonts w:ascii="Arial" w:hAnsi="Arial" w:cs="Arial"/>
          <w:lang w:val="en-US"/>
        </w:rPr>
      </w:pPr>
    </w:p>
    <w:p w:rsidR="00067C77" w:rsidRDefault="00067C77" w:rsidP="00067C77">
      <w:pPr>
        <w:spacing w:after="0" w:line="360" w:lineRule="auto"/>
        <w:jc w:val="both"/>
        <w:rPr>
          <w:rFonts w:ascii="Arial" w:hAnsi="Arial" w:cs="Arial"/>
          <w:lang w:val="en-US"/>
        </w:rPr>
      </w:pPr>
      <w:r w:rsidRPr="0099362C">
        <w:rPr>
          <w:rFonts w:ascii="Arial" w:hAnsi="Arial" w:cs="Arial"/>
          <w:lang w:val="en-US"/>
        </w:rPr>
        <w:t>4.1</w:t>
      </w:r>
      <w:r w:rsidRPr="0099362C">
        <w:rPr>
          <w:rFonts w:ascii="Arial" w:hAnsi="Arial" w:cs="Arial"/>
          <w:lang w:val="en-US"/>
        </w:rPr>
        <w:tab/>
        <w:t xml:space="preserve">Ownership and possession of Erf No. 1305, </w:t>
      </w:r>
      <w:proofErr w:type="spellStart"/>
      <w:r w:rsidRPr="0099362C">
        <w:rPr>
          <w:rFonts w:ascii="Arial" w:hAnsi="Arial" w:cs="Arial"/>
          <w:lang w:val="en-US"/>
        </w:rPr>
        <w:t>Cimbebasia</w:t>
      </w:r>
      <w:proofErr w:type="spellEnd"/>
      <w:r w:rsidRPr="0099362C">
        <w:rPr>
          <w:rFonts w:ascii="Arial" w:hAnsi="Arial" w:cs="Arial"/>
          <w:lang w:val="en-US"/>
        </w:rPr>
        <w:t xml:space="preserve">, Extension No.4, </w:t>
      </w:r>
      <w:proofErr w:type="gramStart"/>
      <w:r w:rsidRPr="0099362C">
        <w:rPr>
          <w:rFonts w:ascii="Arial" w:hAnsi="Arial" w:cs="Arial"/>
          <w:lang w:val="en-US"/>
        </w:rPr>
        <w:t>Windhoek</w:t>
      </w:r>
      <w:proofErr w:type="gramEnd"/>
      <w:r w:rsidRPr="0099362C">
        <w:rPr>
          <w:rFonts w:ascii="Arial" w:hAnsi="Arial" w:cs="Arial"/>
          <w:lang w:val="en-US"/>
        </w:rPr>
        <w:t xml:space="preserve"> remains vested in the Defendant;</w:t>
      </w:r>
    </w:p>
    <w:p w:rsidR="00745247" w:rsidRPr="0099362C" w:rsidRDefault="00745247" w:rsidP="00067C77">
      <w:pPr>
        <w:spacing w:after="0" w:line="360" w:lineRule="auto"/>
        <w:jc w:val="both"/>
        <w:rPr>
          <w:rFonts w:ascii="Arial" w:hAnsi="Arial" w:cs="Arial"/>
          <w:lang w:val="en-US"/>
        </w:rPr>
      </w:pPr>
    </w:p>
    <w:p w:rsidR="00067C77" w:rsidRDefault="00067C77" w:rsidP="00067C77">
      <w:pPr>
        <w:spacing w:after="0" w:line="360" w:lineRule="auto"/>
        <w:jc w:val="both"/>
        <w:rPr>
          <w:rFonts w:ascii="Arial" w:hAnsi="Arial" w:cs="Arial"/>
          <w:lang w:val="en-US"/>
        </w:rPr>
      </w:pPr>
      <w:r w:rsidRPr="0099362C">
        <w:rPr>
          <w:rFonts w:ascii="Arial" w:hAnsi="Arial" w:cs="Arial"/>
          <w:lang w:val="en-US"/>
        </w:rPr>
        <w:t>4.2</w:t>
      </w:r>
      <w:r w:rsidRPr="0099362C">
        <w:rPr>
          <w:rFonts w:ascii="Arial" w:hAnsi="Arial" w:cs="Arial"/>
          <w:lang w:val="en-US"/>
        </w:rPr>
        <w:tab/>
        <w:t>That the written agreement signed on 23 April 2014 between the parties be cancelled;</w:t>
      </w:r>
    </w:p>
    <w:p w:rsidR="00745247" w:rsidRPr="0099362C" w:rsidRDefault="00745247" w:rsidP="00067C77">
      <w:pPr>
        <w:spacing w:after="0" w:line="360" w:lineRule="auto"/>
        <w:jc w:val="both"/>
        <w:rPr>
          <w:rFonts w:ascii="Arial" w:hAnsi="Arial" w:cs="Arial"/>
          <w:lang w:val="en-US"/>
        </w:rPr>
      </w:pPr>
    </w:p>
    <w:p w:rsidR="00067C77" w:rsidRDefault="00067C77" w:rsidP="00067C77">
      <w:pPr>
        <w:spacing w:after="0" w:line="360" w:lineRule="auto"/>
        <w:jc w:val="both"/>
        <w:rPr>
          <w:rFonts w:ascii="Arial" w:hAnsi="Arial" w:cs="Arial"/>
          <w:lang w:val="en-US"/>
        </w:rPr>
      </w:pPr>
      <w:r w:rsidRPr="0099362C">
        <w:rPr>
          <w:rFonts w:ascii="Arial" w:hAnsi="Arial" w:cs="Arial"/>
          <w:lang w:val="en-US"/>
        </w:rPr>
        <w:t>4.3</w:t>
      </w:r>
      <w:r w:rsidRPr="0099362C">
        <w:rPr>
          <w:rFonts w:ascii="Arial" w:hAnsi="Arial" w:cs="Arial"/>
          <w:lang w:val="en-US"/>
        </w:rPr>
        <w:tab/>
      </w:r>
      <w:r w:rsidR="0099362C" w:rsidRPr="0099362C">
        <w:rPr>
          <w:rFonts w:ascii="Arial" w:hAnsi="Arial" w:cs="Arial"/>
          <w:lang w:val="en-US"/>
        </w:rPr>
        <w:t xml:space="preserve">Ownership and possession of the 2009 Volkswagen Polo motor vehicle with registration number N51935W remains vested in the Defendant, and </w:t>
      </w:r>
    </w:p>
    <w:p w:rsidR="00745247" w:rsidRPr="0099362C" w:rsidRDefault="00745247" w:rsidP="00067C77">
      <w:pPr>
        <w:spacing w:after="0" w:line="360" w:lineRule="auto"/>
        <w:jc w:val="both"/>
        <w:rPr>
          <w:rFonts w:ascii="Arial" w:hAnsi="Arial" w:cs="Arial"/>
          <w:lang w:val="en-US"/>
        </w:rPr>
      </w:pPr>
    </w:p>
    <w:p w:rsidR="00067C77" w:rsidRPr="0099362C" w:rsidRDefault="00067C77" w:rsidP="00067C77">
      <w:pPr>
        <w:spacing w:after="0" w:line="360" w:lineRule="auto"/>
        <w:jc w:val="both"/>
        <w:rPr>
          <w:rFonts w:ascii="Arial" w:hAnsi="Arial" w:cs="Arial"/>
          <w:lang w:val="en-US"/>
        </w:rPr>
      </w:pPr>
      <w:r w:rsidRPr="0099362C">
        <w:rPr>
          <w:rFonts w:ascii="Arial" w:hAnsi="Arial" w:cs="Arial"/>
          <w:lang w:val="en-US"/>
        </w:rPr>
        <w:t>4.4</w:t>
      </w:r>
      <w:r w:rsidRPr="0099362C">
        <w:rPr>
          <w:rFonts w:ascii="Arial" w:hAnsi="Arial" w:cs="Arial"/>
          <w:lang w:val="en-US"/>
        </w:rPr>
        <w:tab/>
      </w:r>
      <w:r w:rsidR="0099362C" w:rsidRPr="0099362C">
        <w:rPr>
          <w:rFonts w:ascii="Arial" w:hAnsi="Arial" w:cs="Arial"/>
          <w:lang w:val="en-US"/>
        </w:rPr>
        <w:t>That the Plaintiff waives interest</w:t>
      </w:r>
      <w:r w:rsidRPr="0099362C">
        <w:rPr>
          <w:rFonts w:ascii="Arial" w:hAnsi="Arial" w:cs="Arial"/>
          <w:lang w:val="en-US"/>
        </w:rPr>
        <w:t>’</w:t>
      </w:r>
    </w:p>
    <w:p w:rsidR="00354439" w:rsidRPr="0099362C" w:rsidRDefault="00354439" w:rsidP="0016457F">
      <w:pPr>
        <w:spacing w:after="0" w:line="360" w:lineRule="auto"/>
        <w:jc w:val="both"/>
        <w:rPr>
          <w:rFonts w:ascii="Arial" w:hAnsi="Arial" w:cs="Arial"/>
          <w:lang w:val="en-US"/>
        </w:rPr>
      </w:pPr>
    </w:p>
    <w:p w:rsidR="00724A9A" w:rsidRDefault="00354439" w:rsidP="0016457F">
      <w:pPr>
        <w:spacing w:after="0" w:line="360" w:lineRule="auto"/>
        <w:jc w:val="both"/>
        <w:rPr>
          <w:rFonts w:ascii="Arial" w:hAnsi="Arial" w:cs="Arial"/>
          <w:sz w:val="24"/>
          <w:szCs w:val="24"/>
          <w:lang w:val="en-US"/>
        </w:rPr>
      </w:pPr>
      <w:r>
        <w:rPr>
          <w:rFonts w:ascii="Arial" w:hAnsi="Arial" w:cs="Arial"/>
          <w:sz w:val="24"/>
          <w:szCs w:val="24"/>
          <w:lang w:val="en-US"/>
        </w:rPr>
        <w:t>[1</w:t>
      </w:r>
      <w:r w:rsidR="00310E63">
        <w:rPr>
          <w:rFonts w:ascii="Arial" w:hAnsi="Arial" w:cs="Arial"/>
          <w:sz w:val="24"/>
          <w:szCs w:val="24"/>
          <w:lang w:val="en-US"/>
        </w:rPr>
        <w:t>7</w:t>
      </w:r>
      <w:r>
        <w:rPr>
          <w:rFonts w:ascii="Arial" w:hAnsi="Arial" w:cs="Arial"/>
          <w:sz w:val="24"/>
          <w:szCs w:val="24"/>
          <w:lang w:val="en-US"/>
        </w:rPr>
        <w:t xml:space="preserve">] </w:t>
      </w:r>
      <w:r>
        <w:rPr>
          <w:rFonts w:ascii="Arial" w:hAnsi="Arial" w:cs="Arial"/>
          <w:sz w:val="24"/>
          <w:szCs w:val="24"/>
          <w:lang w:val="en-US"/>
        </w:rPr>
        <w:tab/>
      </w:r>
      <w:r w:rsidR="00930034">
        <w:rPr>
          <w:rFonts w:ascii="Arial" w:hAnsi="Arial" w:cs="Arial"/>
          <w:sz w:val="24"/>
          <w:szCs w:val="24"/>
          <w:lang w:val="en-US"/>
        </w:rPr>
        <w:t xml:space="preserve">It is clear that the </w:t>
      </w:r>
      <w:r w:rsidR="0099362C">
        <w:rPr>
          <w:rFonts w:ascii="Arial" w:hAnsi="Arial" w:cs="Arial"/>
          <w:sz w:val="24"/>
          <w:szCs w:val="24"/>
          <w:lang w:val="en-US"/>
        </w:rPr>
        <w:t>defendant’s tender i</w:t>
      </w:r>
      <w:r w:rsidR="00E76D54">
        <w:rPr>
          <w:rFonts w:ascii="Arial" w:hAnsi="Arial" w:cs="Arial"/>
          <w:sz w:val="24"/>
          <w:szCs w:val="24"/>
          <w:lang w:val="en-US"/>
        </w:rPr>
        <w:t xml:space="preserve">s everything but unconditional and it only relates to the alternative to claim 1 and claim 2 and </w:t>
      </w:r>
      <w:r w:rsidR="00E4419A">
        <w:rPr>
          <w:rFonts w:ascii="Arial" w:hAnsi="Arial" w:cs="Arial"/>
          <w:sz w:val="24"/>
          <w:szCs w:val="24"/>
          <w:lang w:val="en-US"/>
        </w:rPr>
        <w:t xml:space="preserve">alternative to claim </w:t>
      </w:r>
      <w:r w:rsidR="00E76D54">
        <w:rPr>
          <w:rFonts w:ascii="Arial" w:hAnsi="Arial" w:cs="Arial"/>
          <w:sz w:val="24"/>
          <w:szCs w:val="24"/>
          <w:lang w:val="en-US"/>
        </w:rPr>
        <w:t xml:space="preserve">3. </w:t>
      </w:r>
      <w:r>
        <w:rPr>
          <w:rFonts w:ascii="Arial" w:hAnsi="Arial" w:cs="Arial"/>
          <w:sz w:val="24"/>
          <w:szCs w:val="24"/>
          <w:lang w:val="en-US"/>
        </w:rPr>
        <w:t>It would appear that the defendant lost sight of the fact that claim</w:t>
      </w:r>
      <w:r w:rsidR="00B57064">
        <w:rPr>
          <w:rFonts w:ascii="Arial" w:hAnsi="Arial" w:cs="Arial"/>
          <w:sz w:val="24"/>
          <w:szCs w:val="24"/>
          <w:lang w:val="en-US"/>
        </w:rPr>
        <w:t>s</w:t>
      </w:r>
      <w:r>
        <w:rPr>
          <w:rFonts w:ascii="Arial" w:hAnsi="Arial" w:cs="Arial"/>
          <w:sz w:val="24"/>
          <w:szCs w:val="24"/>
          <w:lang w:val="en-US"/>
        </w:rPr>
        <w:t xml:space="preserve"> 1</w:t>
      </w:r>
      <w:r w:rsidR="00B57064">
        <w:rPr>
          <w:rFonts w:ascii="Arial" w:hAnsi="Arial" w:cs="Arial"/>
          <w:sz w:val="24"/>
          <w:szCs w:val="24"/>
          <w:lang w:val="en-US"/>
        </w:rPr>
        <w:t xml:space="preserve"> and 3 are</w:t>
      </w:r>
      <w:r>
        <w:rPr>
          <w:rFonts w:ascii="Arial" w:hAnsi="Arial" w:cs="Arial"/>
          <w:sz w:val="24"/>
          <w:szCs w:val="24"/>
          <w:lang w:val="en-US"/>
        </w:rPr>
        <w:t xml:space="preserve"> for specific performance by the defendant</w:t>
      </w:r>
      <w:r w:rsidR="00B57064">
        <w:rPr>
          <w:rFonts w:ascii="Arial" w:hAnsi="Arial" w:cs="Arial"/>
          <w:sz w:val="24"/>
          <w:szCs w:val="24"/>
          <w:lang w:val="en-US"/>
        </w:rPr>
        <w:t>.</w:t>
      </w:r>
      <w:r>
        <w:rPr>
          <w:rFonts w:ascii="Arial" w:hAnsi="Arial" w:cs="Arial"/>
          <w:sz w:val="24"/>
          <w:szCs w:val="24"/>
          <w:lang w:val="en-US"/>
        </w:rPr>
        <w:t xml:space="preserve"> </w:t>
      </w:r>
      <w:r w:rsidR="00B57064">
        <w:rPr>
          <w:rFonts w:ascii="Arial" w:hAnsi="Arial" w:cs="Arial"/>
          <w:sz w:val="24"/>
          <w:szCs w:val="24"/>
          <w:lang w:val="en-US"/>
        </w:rPr>
        <w:t xml:space="preserve">It is important to have regard to </w:t>
      </w:r>
      <w:proofErr w:type="gramStart"/>
      <w:r w:rsidR="00B57064">
        <w:rPr>
          <w:rFonts w:ascii="Arial" w:hAnsi="Arial" w:cs="Arial"/>
          <w:sz w:val="24"/>
          <w:szCs w:val="24"/>
          <w:lang w:val="en-US"/>
        </w:rPr>
        <w:t>the</w:t>
      </w:r>
      <w:r>
        <w:rPr>
          <w:rFonts w:ascii="Arial" w:hAnsi="Arial" w:cs="Arial"/>
          <w:sz w:val="24"/>
          <w:szCs w:val="24"/>
          <w:lang w:val="en-US"/>
        </w:rPr>
        <w:t xml:space="preserve">  preamble</w:t>
      </w:r>
      <w:proofErr w:type="gramEnd"/>
      <w:r>
        <w:rPr>
          <w:rFonts w:ascii="Arial" w:hAnsi="Arial" w:cs="Arial"/>
          <w:sz w:val="24"/>
          <w:szCs w:val="24"/>
          <w:lang w:val="en-US"/>
        </w:rPr>
        <w:t xml:space="preserve"> of alternative to claim 1 </w:t>
      </w:r>
      <w:r w:rsidR="00B57064">
        <w:rPr>
          <w:rFonts w:ascii="Arial" w:hAnsi="Arial" w:cs="Arial"/>
          <w:sz w:val="24"/>
          <w:szCs w:val="24"/>
          <w:lang w:val="en-US"/>
        </w:rPr>
        <w:t xml:space="preserve">which </w:t>
      </w:r>
      <w:r>
        <w:rPr>
          <w:rFonts w:ascii="Arial" w:hAnsi="Arial" w:cs="Arial"/>
          <w:sz w:val="24"/>
          <w:szCs w:val="24"/>
          <w:lang w:val="en-US"/>
        </w:rPr>
        <w:t>reads as follows:</w:t>
      </w:r>
      <w:r w:rsidR="00B57064">
        <w:rPr>
          <w:rFonts w:ascii="Arial" w:hAnsi="Arial" w:cs="Arial"/>
          <w:sz w:val="24"/>
          <w:szCs w:val="24"/>
          <w:lang w:val="en-US"/>
        </w:rPr>
        <w:t xml:space="preserve"> </w:t>
      </w:r>
    </w:p>
    <w:p w:rsidR="00745247" w:rsidRDefault="00745247" w:rsidP="0016457F">
      <w:pPr>
        <w:spacing w:after="0" w:line="360" w:lineRule="auto"/>
        <w:jc w:val="both"/>
        <w:rPr>
          <w:rFonts w:ascii="Arial" w:hAnsi="Arial" w:cs="Arial"/>
          <w:sz w:val="24"/>
          <w:szCs w:val="24"/>
          <w:lang w:val="en-US"/>
        </w:rPr>
      </w:pPr>
    </w:p>
    <w:p w:rsidR="00354439" w:rsidRDefault="00354439" w:rsidP="0016457F">
      <w:pPr>
        <w:spacing w:after="0" w:line="360" w:lineRule="auto"/>
        <w:jc w:val="both"/>
        <w:rPr>
          <w:rFonts w:ascii="Arial" w:hAnsi="Arial" w:cs="Arial"/>
          <w:sz w:val="24"/>
          <w:szCs w:val="24"/>
          <w:lang w:val="en-US"/>
        </w:rPr>
      </w:pPr>
      <w:r>
        <w:rPr>
          <w:rFonts w:ascii="Arial" w:hAnsi="Arial" w:cs="Arial"/>
          <w:sz w:val="24"/>
          <w:szCs w:val="24"/>
          <w:lang w:val="en-US"/>
        </w:rPr>
        <w:lastRenderedPageBreak/>
        <w:t>‘</w:t>
      </w:r>
      <w:r w:rsidRPr="00354439">
        <w:rPr>
          <w:rFonts w:ascii="Arial" w:hAnsi="Arial" w:cs="Arial"/>
          <w:lang w:val="en-US"/>
        </w:rPr>
        <w:t>In the event that the Honorable Court finding that the written agreement as pleaded above had not existed  between the parties alternatively that the agreement so pleaded was duly cancelled by the defendant, alternatively invalid and/or unenforceable, the plaintiff claims as follows</w:t>
      </w:r>
      <w:r>
        <w:rPr>
          <w:rFonts w:ascii="Arial" w:hAnsi="Arial" w:cs="Arial"/>
          <w:sz w:val="24"/>
          <w:szCs w:val="24"/>
          <w:lang w:val="en-US"/>
        </w:rPr>
        <w:t>:….’</w:t>
      </w:r>
    </w:p>
    <w:p w:rsidR="00724A9A" w:rsidRDefault="00724A9A" w:rsidP="0016457F">
      <w:pPr>
        <w:spacing w:after="0" w:line="360" w:lineRule="auto"/>
        <w:jc w:val="both"/>
        <w:rPr>
          <w:rFonts w:ascii="Arial" w:hAnsi="Arial" w:cs="Arial"/>
          <w:sz w:val="24"/>
          <w:szCs w:val="24"/>
          <w:lang w:val="en-US"/>
        </w:rPr>
      </w:pPr>
    </w:p>
    <w:p w:rsidR="00354439" w:rsidRDefault="00B57064" w:rsidP="0016457F">
      <w:pPr>
        <w:spacing w:after="0" w:line="360" w:lineRule="auto"/>
        <w:jc w:val="both"/>
        <w:rPr>
          <w:rFonts w:ascii="Arial" w:hAnsi="Arial" w:cs="Arial"/>
          <w:sz w:val="24"/>
          <w:szCs w:val="24"/>
          <w:lang w:val="en-US"/>
        </w:rPr>
      </w:pPr>
      <w:r w:rsidRPr="00BD5F3D">
        <w:rPr>
          <w:rFonts w:ascii="Arial" w:hAnsi="Arial" w:cs="Arial"/>
          <w:sz w:val="24"/>
          <w:szCs w:val="24"/>
          <w:lang w:val="en-US"/>
        </w:rPr>
        <w:t>C</w:t>
      </w:r>
      <w:r w:rsidR="00BD5F3D">
        <w:rPr>
          <w:rFonts w:ascii="Arial" w:hAnsi="Arial" w:cs="Arial"/>
          <w:sz w:val="24"/>
          <w:szCs w:val="24"/>
          <w:lang w:val="en-US"/>
        </w:rPr>
        <w:t xml:space="preserve">laim 3 is </w:t>
      </w:r>
      <w:r w:rsidR="00310E63" w:rsidRPr="00BD5F3D">
        <w:rPr>
          <w:rFonts w:ascii="Arial" w:hAnsi="Arial" w:cs="Arial"/>
          <w:sz w:val="24"/>
          <w:szCs w:val="24"/>
          <w:lang w:val="en-US"/>
        </w:rPr>
        <w:t xml:space="preserve">also not a straightforward monetary </w:t>
      </w:r>
      <w:r w:rsidR="00BD5F3D">
        <w:rPr>
          <w:rFonts w:ascii="Arial" w:hAnsi="Arial" w:cs="Arial"/>
          <w:sz w:val="24"/>
          <w:szCs w:val="24"/>
          <w:lang w:val="en-US"/>
        </w:rPr>
        <w:t xml:space="preserve">claim but indeed a prayer for </w:t>
      </w:r>
      <w:r w:rsidR="00310E63" w:rsidRPr="00BD5F3D">
        <w:rPr>
          <w:rFonts w:ascii="Arial" w:hAnsi="Arial" w:cs="Arial"/>
          <w:sz w:val="24"/>
          <w:szCs w:val="24"/>
          <w:lang w:val="en-US"/>
        </w:rPr>
        <w:t xml:space="preserve">registration and delivery of the vehicle and the alternative is only pleaded in the event that the vehicle was disposed </w:t>
      </w:r>
      <w:r w:rsidR="007F3370" w:rsidRPr="007F3370">
        <w:rPr>
          <w:rFonts w:ascii="Arial" w:hAnsi="Arial" w:cs="Arial"/>
          <w:sz w:val="24"/>
          <w:szCs w:val="24"/>
          <w:lang w:val="en-US"/>
        </w:rPr>
        <w:t>of</w:t>
      </w:r>
      <w:r w:rsidR="007F3370">
        <w:rPr>
          <w:rFonts w:ascii="Arial" w:hAnsi="Arial" w:cs="Arial"/>
          <w:color w:val="FF0000"/>
          <w:sz w:val="24"/>
          <w:szCs w:val="24"/>
          <w:lang w:val="en-US"/>
        </w:rPr>
        <w:t xml:space="preserve"> </w:t>
      </w:r>
      <w:r w:rsidR="00310E63" w:rsidRPr="00BD5F3D">
        <w:rPr>
          <w:rFonts w:ascii="Arial" w:hAnsi="Arial" w:cs="Arial"/>
          <w:sz w:val="24"/>
          <w:szCs w:val="24"/>
          <w:lang w:val="en-US"/>
        </w:rPr>
        <w:t>by the defendant and no longer in her possession</w:t>
      </w:r>
      <w:r w:rsidR="00310E63">
        <w:rPr>
          <w:rFonts w:ascii="Arial" w:hAnsi="Arial" w:cs="Arial"/>
          <w:sz w:val="24"/>
          <w:szCs w:val="24"/>
          <w:lang w:val="en-US"/>
        </w:rPr>
        <w:t xml:space="preserve">. </w:t>
      </w:r>
    </w:p>
    <w:p w:rsidR="00310E63" w:rsidRDefault="00310E63" w:rsidP="0016457F">
      <w:pPr>
        <w:spacing w:after="0" w:line="360" w:lineRule="auto"/>
        <w:jc w:val="both"/>
        <w:rPr>
          <w:rFonts w:ascii="Arial" w:hAnsi="Arial" w:cs="Arial"/>
          <w:sz w:val="24"/>
          <w:szCs w:val="24"/>
          <w:lang w:val="en-US"/>
        </w:rPr>
      </w:pPr>
    </w:p>
    <w:p w:rsidR="00C02BFF" w:rsidRDefault="00354439" w:rsidP="0016457F">
      <w:pPr>
        <w:spacing w:after="0" w:line="360" w:lineRule="auto"/>
        <w:jc w:val="both"/>
        <w:rPr>
          <w:rFonts w:ascii="Arial" w:hAnsi="Arial" w:cs="Arial"/>
          <w:sz w:val="24"/>
          <w:szCs w:val="24"/>
          <w:lang w:val="en-US"/>
        </w:rPr>
      </w:pPr>
      <w:r>
        <w:rPr>
          <w:rFonts w:ascii="Arial" w:hAnsi="Arial" w:cs="Arial"/>
          <w:sz w:val="24"/>
          <w:szCs w:val="24"/>
          <w:lang w:val="en-US"/>
        </w:rPr>
        <w:t>[1</w:t>
      </w:r>
      <w:r w:rsidR="00310E63">
        <w:rPr>
          <w:rFonts w:ascii="Arial" w:hAnsi="Arial" w:cs="Arial"/>
          <w:sz w:val="24"/>
          <w:szCs w:val="24"/>
          <w:lang w:val="en-US"/>
        </w:rPr>
        <w:t>8</w:t>
      </w:r>
      <w:r>
        <w:rPr>
          <w:rFonts w:ascii="Arial" w:hAnsi="Arial" w:cs="Arial"/>
          <w:sz w:val="24"/>
          <w:szCs w:val="24"/>
          <w:lang w:val="en-US"/>
        </w:rPr>
        <w:t xml:space="preserve">] </w:t>
      </w:r>
      <w:r>
        <w:rPr>
          <w:rFonts w:ascii="Arial" w:hAnsi="Arial" w:cs="Arial"/>
          <w:sz w:val="24"/>
          <w:szCs w:val="24"/>
          <w:lang w:val="en-US"/>
        </w:rPr>
        <w:tab/>
        <w:t xml:space="preserve">Therefor from reading the </w:t>
      </w:r>
      <w:r w:rsidR="00B57064">
        <w:rPr>
          <w:rFonts w:ascii="Arial" w:hAnsi="Arial" w:cs="Arial"/>
          <w:sz w:val="24"/>
          <w:szCs w:val="24"/>
          <w:lang w:val="en-US"/>
        </w:rPr>
        <w:t xml:space="preserve">plaintiff’s particulars of claim the </w:t>
      </w:r>
      <w:r>
        <w:rPr>
          <w:rFonts w:ascii="Arial" w:hAnsi="Arial" w:cs="Arial"/>
          <w:sz w:val="24"/>
          <w:szCs w:val="24"/>
          <w:lang w:val="en-US"/>
        </w:rPr>
        <w:t>alternative</w:t>
      </w:r>
      <w:r w:rsidR="00310E63">
        <w:rPr>
          <w:rFonts w:ascii="Arial" w:hAnsi="Arial" w:cs="Arial"/>
          <w:sz w:val="24"/>
          <w:szCs w:val="24"/>
          <w:lang w:val="en-US"/>
        </w:rPr>
        <w:t>s</w:t>
      </w:r>
      <w:r>
        <w:rPr>
          <w:rFonts w:ascii="Arial" w:hAnsi="Arial" w:cs="Arial"/>
          <w:sz w:val="24"/>
          <w:szCs w:val="24"/>
          <w:lang w:val="en-US"/>
        </w:rPr>
        <w:t xml:space="preserve"> to claim</w:t>
      </w:r>
      <w:r w:rsidR="00310E63">
        <w:rPr>
          <w:rFonts w:ascii="Arial" w:hAnsi="Arial" w:cs="Arial"/>
          <w:sz w:val="24"/>
          <w:szCs w:val="24"/>
          <w:lang w:val="en-US"/>
        </w:rPr>
        <w:t>s</w:t>
      </w:r>
      <w:r>
        <w:rPr>
          <w:rFonts w:ascii="Arial" w:hAnsi="Arial" w:cs="Arial"/>
          <w:sz w:val="24"/>
          <w:szCs w:val="24"/>
          <w:lang w:val="en-US"/>
        </w:rPr>
        <w:t xml:space="preserve"> 1</w:t>
      </w:r>
      <w:r w:rsidR="00310E63">
        <w:rPr>
          <w:rFonts w:ascii="Arial" w:hAnsi="Arial" w:cs="Arial"/>
          <w:sz w:val="24"/>
          <w:szCs w:val="24"/>
          <w:lang w:val="en-US"/>
        </w:rPr>
        <w:t xml:space="preserve"> and 3</w:t>
      </w:r>
      <w:r>
        <w:rPr>
          <w:rFonts w:ascii="Arial" w:hAnsi="Arial" w:cs="Arial"/>
          <w:sz w:val="24"/>
          <w:szCs w:val="24"/>
          <w:lang w:val="en-US"/>
        </w:rPr>
        <w:t xml:space="preserve"> </w:t>
      </w:r>
      <w:r w:rsidR="00C02BFF">
        <w:rPr>
          <w:rFonts w:ascii="Arial" w:hAnsi="Arial" w:cs="Arial"/>
          <w:sz w:val="24"/>
          <w:szCs w:val="24"/>
          <w:lang w:val="en-US"/>
        </w:rPr>
        <w:t xml:space="preserve">will only be introduced </w:t>
      </w:r>
      <w:r w:rsidR="002163C4">
        <w:rPr>
          <w:rFonts w:ascii="Arial" w:hAnsi="Arial" w:cs="Arial"/>
          <w:sz w:val="24"/>
          <w:szCs w:val="24"/>
          <w:lang w:val="en-US"/>
        </w:rPr>
        <w:t>if</w:t>
      </w:r>
      <w:r w:rsidR="00C02BFF">
        <w:rPr>
          <w:rFonts w:ascii="Arial" w:hAnsi="Arial" w:cs="Arial"/>
          <w:sz w:val="24"/>
          <w:szCs w:val="24"/>
          <w:lang w:val="en-US"/>
        </w:rPr>
        <w:t xml:space="preserve"> and </w:t>
      </w:r>
      <w:r w:rsidR="002163C4">
        <w:rPr>
          <w:rFonts w:ascii="Arial" w:hAnsi="Arial" w:cs="Arial"/>
          <w:sz w:val="24"/>
          <w:szCs w:val="24"/>
          <w:lang w:val="en-US"/>
        </w:rPr>
        <w:t>when</w:t>
      </w:r>
      <w:r w:rsidR="00C02BFF">
        <w:rPr>
          <w:rFonts w:ascii="Arial" w:hAnsi="Arial" w:cs="Arial"/>
          <w:sz w:val="24"/>
          <w:szCs w:val="24"/>
          <w:lang w:val="en-US"/>
        </w:rPr>
        <w:t xml:space="preserve"> the court rules upon the </w:t>
      </w:r>
      <w:r w:rsidR="00552DE7">
        <w:rPr>
          <w:rFonts w:ascii="Arial" w:hAnsi="Arial" w:cs="Arial"/>
          <w:sz w:val="24"/>
          <w:szCs w:val="24"/>
          <w:lang w:val="en-US"/>
        </w:rPr>
        <w:t>unenforceability</w:t>
      </w:r>
      <w:r w:rsidR="00C02BFF">
        <w:rPr>
          <w:rFonts w:ascii="Arial" w:hAnsi="Arial" w:cs="Arial"/>
          <w:sz w:val="24"/>
          <w:szCs w:val="24"/>
          <w:lang w:val="en-US"/>
        </w:rPr>
        <w:t xml:space="preserve"> of the agreement in favor of the defendant</w:t>
      </w:r>
      <w:r w:rsidR="00310E63">
        <w:rPr>
          <w:rFonts w:ascii="Arial" w:hAnsi="Arial" w:cs="Arial"/>
          <w:sz w:val="24"/>
          <w:szCs w:val="24"/>
          <w:lang w:val="en-US"/>
        </w:rPr>
        <w:t xml:space="preserve">, or in the case of claim 3 </w:t>
      </w:r>
      <w:r w:rsidR="00B57064">
        <w:rPr>
          <w:rFonts w:ascii="Arial" w:hAnsi="Arial" w:cs="Arial"/>
          <w:sz w:val="24"/>
          <w:szCs w:val="24"/>
          <w:lang w:val="en-US"/>
        </w:rPr>
        <w:t xml:space="preserve">if </w:t>
      </w:r>
      <w:r w:rsidR="00310E63">
        <w:rPr>
          <w:rFonts w:ascii="Arial" w:hAnsi="Arial" w:cs="Arial"/>
          <w:sz w:val="24"/>
          <w:szCs w:val="24"/>
          <w:lang w:val="en-US"/>
        </w:rPr>
        <w:t xml:space="preserve">the vehicle has been disposed </w:t>
      </w:r>
      <w:r w:rsidR="00BD5F3D" w:rsidRPr="007F3370">
        <w:rPr>
          <w:rFonts w:ascii="Arial" w:hAnsi="Arial" w:cs="Arial"/>
          <w:sz w:val="24"/>
          <w:szCs w:val="24"/>
          <w:lang w:val="en-US"/>
        </w:rPr>
        <w:t>of</w:t>
      </w:r>
      <w:r w:rsidR="007F3370" w:rsidRPr="007F3370">
        <w:rPr>
          <w:rFonts w:ascii="Arial" w:hAnsi="Arial" w:cs="Arial"/>
          <w:sz w:val="24"/>
          <w:szCs w:val="24"/>
          <w:lang w:val="en-US"/>
        </w:rPr>
        <w:t>.</w:t>
      </w:r>
    </w:p>
    <w:p w:rsidR="00C02BFF" w:rsidRDefault="00C02BFF" w:rsidP="0016457F">
      <w:pPr>
        <w:spacing w:after="0" w:line="360" w:lineRule="auto"/>
        <w:jc w:val="both"/>
        <w:rPr>
          <w:rFonts w:ascii="Arial" w:hAnsi="Arial" w:cs="Arial"/>
          <w:sz w:val="24"/>
          <w:szCs w:val="24"/>
          <w:lang w:val="en-US"/>
        </w:rPr>
      </w:pPr>
    </w:p>
    <w:p w:rsidR="00354439" w:rsidRDefault="00C02BFF" w:rsidP="0016457F">
      <w:pPr>
        <w:spacing w:after="0" w:line="360" w:lineRule="auto"/>
        <w:jc w:val="both"/>
        <w:rPr>
          <w:rFonts w:ascii="Arial" w:hAnsi="Arial" w:cs="Arial"/>
          <w:sz w:val="24"/>
          <w:szCs w:val="24"/>
          <w:lang w:val="en-US"/>
        </w:rPr>
      </w:pPr>
      <w:r>
        <w:rPr>
          <w:rFonts w:ascii="Arial" w:hAnsi="Arial" w:cs="Arial"/>
          <w:sz w:val="24"/>
          <w:szCs w:val="24"/>
          <w:lang w:val="en-US"/>
        </w:rPr>
        <w:t>[1</w:t>
      </w:r>
      <w:r w:rsidR="00310E63">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310E63">
        <w:rPr>
          <w:rFonts w:ascii="Arial" w:hAnsi="Arial" w:cs="Arial"/>
          <w:sz w:val="24"/>
          <w:szCs w:val="24"/>
          <w:lang w:val="en-US"/>
        </w:rPr>
        <w:t>Any tender in respect of c</w:t>
      </w:r>
      <w:r>
        <w:rPr>
          <w:rFonts w:ascii="Arial" w:hAnsi="Arial" w:cs="Arial"/>
          <w:sz w:val="24"/>
          <w:szCs w:val="24"/>
          <w:lang w:val="en-US"/>
        </w:rPr>
        <w:t>laim</w:t>
      </w:r>
      <w:r w:rsidR="00B57064">
        <w:rPr>
          <w:rFonts w:ascii="Arial" w:hAnsi="Arial" w:cs="Arial"/>
          <w:sz w:val="24"/>
          <w:szCs w:val="24"/>
          <w:lang w:val="en-US"/>
        </w:rPr>
        <w:t>s</w:t>
      </w:r>
      <w:r>
        <w:rPr>
          <w:rFonts w:ascii="Arial" w:hAnsi="Arial" w:cs="Arial"/>
          <w:sz w:val="24"/>
          <w:szCs w:val="24"/>
          <w:lang w:val="en-US"/>
        </w:rPr>
        <w:t xml:space="preserve"> 1</w:t>
      </w:r>
      <w:r w:rsidR="00310E63">
        <w:rPr>
          <w:rFonts w:ascii="Arial" w:hAnsi="Arial" w:cs="Arial"/>
          <w:sz w:val="24"/>
          <w:szCs w:val="24"/>
          <w:lang w:val="en-US"/>
        </w:rPr>
        <w:t xml:space="preserve"> and 3</w:t>
      </w:r>
      <w:r>
        <w:rPr>
          <w:rFonts w:ascii="Arial" w:hAnsi="Arial" w:cs="Arial"/>
          <w:sz w:val="24"/>
          <w:szCs w:val="24"/>
          <w:lang w:val="en-US"/>
        </w:rPr>
        <w:t xml:space="preserve"> </w:t>
      </w:r>
      <w:r w:rsidR="00310E63">
        <w:rPr>
          <w:rFonts w:ascii="Arial" w:hAnsi="Arial" w:cs="Arial"/>
          <w:sz w:val="24"/>
          <w:szCs w:val="24"/>
          <w:lang w:val="en-US"/>
        </w:rPr>
        <w:t xml:space="preserve">should be made in terms of </w:t>
      </w:r>
      <w:r>
        <w:rPr>
          <w:rFonts w:ascii="Arial" w:hAnsi="Arial" w:cs="Arial"/>
          <w:sz w:val="24"/>
          <w:szCs w:val="24"/>
          <w:lang w:val="en-US"/>
        </w:rPr>
        <w:t>Rule 64(2)</w:t>
      </w:r>
      <w:r w:rsidR="00E76D54">
        <w:rPr>
          <w:rFonts w:ascii="Arial" w:hAnsi="Arial" w:cs="Arial"/>
          <w:sz w:val="24"/>
          <w:szCs w:val="24"/>
          <w:lang w:val="en-US"/>
        </w:rPr>
        <w:t xml:space="preserve"> which deals with specific performance</w:t>
      </w:r>
      <w:r>
        <w:rPr>
          <w:rFonts w:ascii="Arial" w:hAnsi="Arial" w:cs="Arial"/>
          <w:sz w:val="24"/>
          <w:szCs w:val="24"/>
          <w:lang w:val="en-US"/>
        </w:rPr>
        <w:t xml:space="preserve"> and not</w:t>
      </w:r>
      <w:r w:rsidR="00310E63">
        <w:rPr>
          <w:rFonts w:ascii="Arial" w:hAnsi="Arial" w:cs="Arial"/>
          <w:sz w:val="24"/>
          <w:szCs w:val="24"/>
          <w:lang w:val="en-US"/>
        </w:rPr>
        <w:t xml:space="preserve"> in terms of</w:t>
      </w:r>
      <w:r w:rsidR="00724A9A">
        <w:rPr>
          <w:rFonts w:ascii="Arial" w:hAnsi="Arial" w:cs="Arial"/>
          <w:sz w:val="24"/>
          <w:szCs w:val="24"/>
          <w:lang w:val="en-US"/>
        </w:rPr>
        <w:t xml:space="preserve"> Rule </w:t>
      </w:r>
      <w:r>
        <w:rPr>
          <w:rFonts w:ascii="Arial" w:hAnsi="Arial" w:cs="Arial"/>
          <w:sz w:val="24"/>
          <w:szCs w:val="24"/>
          <w:lang w:val="en-US"/>
        </w:rPr>
        <w:t xml:space="preserve">64(1) which </w:t>
      </w:r>
      <w:r w:rsidRPr="00E76D54">
        <w:rPr>
          <w:rFonts w:ascii="Arial" w:hAnsi="Arial" w:cs="Arial"/>
          <w:sz w:val="24"/>
          <w:szCs w:val="24"/>
          <w:shd w:val="clear" w:color="auto" w:fill="FFFFFF"/>
        </w:rPr>
        <w:t>deals with monetary claims</w:t>
      </w:r>
      <w:r w:rsidR="00310E63">
        <w:rPr>
          <w:rFonts w:ascii="Arial" w:hAnsi="Arial" w:cs="Arial"/>
          <w:sz w:val="24"/>
          <w:szCs w:val="24"/>
          <w:shd w:val="clear" w:color="auto" w:fill="FFFFFF"/>
        </w:rPr>
        <w:t>.</w:t>
      </w:r>
      <w:r w:rsidRPr="00E76D54">
        <w:rPr>
          <w:rFonts w:ascii="Arial" w:hAnsi="Arial" w:cs="Arial"/>
          <w:sz w:val="24"/>
          <w:szCs w:val="24"/>
          <w:shd w:val="clear" w:color="auto" w:fill="FFFFFF"/>
        </w:rPr>
        <w:t xml:space="preserve"> </w:t>
      </w:r>
      <w:r w:rsidR="00310E63">
        <w:rPr>
          <w:rFonts w:ascii="Arial" w:hAnsi="Arial" w:cs="Arial"/>
          <w:sz w:val="24"/>
          <w:szCs w:val="24"/>
          <w:shd w:val="clear" w:color="auto" w:fill="FFFFFF"/>
        </w:rPr>
        <w:t>T</w:t>
      </w:r>
      <w:r w:rsidRPr="00E76D54">
        <w:rPr>
          <w:rFonts w:ascii="Arial" w:hAnsi="Arial" w:cs="Arial"/>
          <w:sz w:val="24"/>
          <w:szCs w:val="24"/>
          <w:shd w:val="clear" w:color="auto" w:fill="FFFFFF"/>
        </w:rPr>
        <w:t xml:space="preserve">he only offer capable of settling a monetary claim </w:t>
      </w:r>
      <w:r w:rsidR="00B57064">
        <w:rPr>
          <w:rFonts w:ascii="Arial" w:hAnsi="Arial" w:cs="Arial"/>
          <w:sz w:val="24"/>
          <w:szCs w:val="24"/>
          <w:shd w:val="clear" w:color="auto" w:fill="FFFFFF"/>
        </w:rPr>
        <w:t>i</w:t>
      </w:r>
      <w:r w:rsidRPr="00E76D54">
        <w:rPr>
          <w:rFonts w:ascii="Arial" w:hAnsi="Arial" w:cs="Arial"/>
          <w:sz w:val="24"/>
          <w:szCs w:val="24"/>
          <w:shd w:val="clear" w:color="auto" w:fill="FFFFFF"/>
        </w:rPr>
        <w:t xml:space="preserve">s an offer for the payment of a sum of </w:t>
      </w:r>
      <w:r w:rsidR="002163C4">
        <w:rPr>
          <w:rFonts w:ascii="Arial" w:hAnsi="Arial" w:cs="Arial"/>
          <w:sz w:val="24"/>
          <w:szCs w:val="24"/>
          <w:shd w:val="clear" w:color="auto" w:fill="FFFFFF"/>
        </w:rPr>
        <w:t xml:space="preserve">money </w:t>
      </w:r>
      <w:r w:rsidR="00552DE7">
        <w:rPr>
          <w:rFonts w:ascii="Arial" w:hAnsi="Arial" w:cs="Arial"/>
          <w:sz w:val="24"/>
          <w:szCs w:val="24"/>
          <w:lang w:val="en-US"/>
        </w:rPr>
        <w:t>tender</w:t>
      </w:r>
      <w:r w:rsidR="002163C4">
        <w:rPr>
          <w:rFonts w:ascii="Arial" w:hAnsi="Arial" w:cs="Arial"/>
          <w:sz w:val="24"/>
          <w:szCs w:val="24"/>
          <w:lang w:val="en-US"/>
        </w:rPr>
        <w:t>ed</w:t>
      </w:r>
      <w:r w:rsidR="00552DE7">
        <w:rPr>
          <w:rFonts w:ascii="Arial" w:hAnsi="Arial" w:cs="Arial"/>
          <w:sz w:val="24"/>
          <w:szCs w:val="24"/>
          <w:lang w:val="en-US"/>
        </w:rPr>
        <w:t xml:space="preserve"> </w:t>
      </w:r>
      <w:r w:rsidR="00B57064">
        <w:rPr>
          <w:rFonts w:ascii="Arial" w:hAnsi="Arial" w:cs="Arial"/>
          <w:sz w:val="24"/>
          <w:szCs w:val="24"/>
          <w:lang w:val="en-US"/>
        </w:rPr>
        <w:t>and this will only apply to claim 2. I am satisfied that n</w:t>
      </w:r>
      <w:r w:rsidR="002163C4">
        <w:rPr>
          <w:rFonts w:ascii="Arial" w:hAnsi="Arial" w:cs="Arial"/>
          <w:sz w:val="24"/>
          <w:szCs w:val="24"/>
          <w:lang w:val="en-US"/>
        </w:rPr>
        <w:t xml:space="preserve">o tender </w:t>
      </w:r>
      <w:r w:rsidR="00B57064">
        <w:rPr>
          <w:rFonts w:ascii="Arial" w:hAnsi="Arial" w:cs="Arial"/>
          <w:sz w:val="24"/>
          <w:szCs w:val="24"/>
          <w:lang w:val="en-US"/>
        </w:rPr>
        <w:t>was</w:t>
      </w:r>
      <w:r w:rsidR="002163C4">
        <w:rPr>
          <w:rFonts w:ascii="Arial" w:hAnsi="Arial" w:cs="Arial"/>
          <w:sz w:val="24"/>
          <w:szCs w:val="24"/>
          <w:lang w:val="en-US"/>
        </w:rPr>
        <w:t xml:space="preserve"> made</w:t>
      </w:r>
      <w:r w:rsidR="00786E47">
        <w:rPr>
          <w:rFonts w:ascii="Arial" w:hAnsi="Arial" w:cs="Arial"/>
          <w:sz w:val="24"/>
          <w:szCs w:val="24"/>
          <w:lang w:val="en-US"/>
        </w:rPr>
        <w:t xml:space="preserve"> in terms of Rule 64(2)</w:t>
      </w:r>
      <w:r w:rsidR="002163C4">
        <w:rPr>
          <w:rFonts w:ascii="Arial" w:hAnsi="Arial" w:cs="Arial"/>
          <w:sz w:val="24"/>
          <w:szCs w:val="24"/>
          <w:lang w:val="en-US"/>
        </w:rPr>
        <w:t xml:space="preserve"> </w:t>
      </w:r>
      <w:r w:rsidR="00B57064">
        <w:rPr>
          <w:rFonts w:ascii="Arial" w:hAnsi="Arial" w:cs="Arial"/>
          <w:sz w:val="24"/>
          <w:szCs w:val="24"/>
          <w:lang w:val="en-US"/>
        </w:rPr>
        <w:t>to satisfy</w:t>
      </w:r>
      <w:r w:rsidR="002163C4">
        <w:rPr>
          <w:rFonts w:ascii="Arial" w:hAnsi="Arial" w:cs="Arial"/>
          <w:sz w:val="24"/>
          <w:szCs w:val="24"/>
          <w:lang w:val="en-US"/>
        </w:rPr>
        <w:t xml:space="preserve"> claim</w:t>
      </w:r>
      <w:r w:rsidR="00B57064">
        <w:rPr>
          <w:rFonts w:ascii="Arial" w:hAnsi="Arial" w:cs="Arial"/>
          <w:sz w:val="24"/>
          <w:szCs w:val="24"/>
          <w:lang w:val="en-US"/>
        </w:rPr>
        <w:t>s</w:t>
      </w:r>
      <w:r w:rsidR="002163C4">
        <w:rPr>
          <w:rFonts w:ascii="Arial" w:hAnsi="Arial" w:cs="Arial"/>
          <w:sz w:val="24"/>
          <w:szCs w:val="24"/>
          <w:lang w:val="en-US"/>
        </w:rPr>
        <w:t xml:space="preserve"> 1</w:t>
      </w:r>
      <w:r w:rsidR="00B57064">
        <w:rPr>
          <w:rFonts w:ascii="Arial" w:hAnsi="Arial" w:cs="Arial"/>
          <w:sz w:val="24"/>
          <w:szCs w:val="24"/>
          <w:lang w:val="en-US"/>
        </w:rPr>
        <w:t xml:space="preserve"> and 3;</w:t>
      </w:r>
      <w:r w:rsidR="0048101F">
        <w:rPr>
          <w:rFonts w:ascii="Arial" w:hAnsi="Arial" w:cs="Arial"/>
          <w:sz w:val="24"/>
          <w:szCs w:val="24"/>
          <w:lang w:val="en-US"/>
        </w:rPr>
        <w:t xml:space="preserve"> and the tender</w:t>
      </w:r>
      <w:r w:rsidR="00786E47">
        <w:rPr>
          <w:rFonts w:ascii="Arial" w:hAnsi="Arial" w:cs="Arial"/>
          <w:sz w:val="24"/>
          <w:szCs w:val="24"/>
          <w:lang w:val="en-US"/>
        </w:rPr>
        <w:t xml:space="preserve"> that was made </w:t>
      </w:r>
      <w:r w:rsidR="0048101F">
        <w:rPr>
          <w:rFonts w:ascii="Arial" w:hAnsi="Arial" w:cs="Arial"/>
          <w:sz w:val="24"/>
          <w:szCs w:val="24"/>
          <w:lang w:val="en-US"/>
        </w:rPr>
        <w:t>in respect of the alternative to claim</w:t>
      </w:r>
      <w:r w:rsidR="00B57064">
        <w:rPr>
          <w:rFonts w:ascii="Arial" w:hAnsi="Arial" w:cs="Arial"/>
          <w:sz w:val="24"/>
          <w:szCs w:val="24"/>
          <w:lang w:val="en-US"/>
        </w:rPr>
        <w:t>s</w:t>
      </w:r>
      <w:r w:rsidR="0048101F">
        <w:rPr>
          <w:rFonts w:ascii="Arial" w:hAnsi="Arial" w:cs="Arial"/>
          <w:sz w:val="24"/>
          <w:szCs w:val="24"/>
          <w:lang w:val="en-US"/>
        </w:rPr>
        <w:t xml:space="preserve"> </w:t>
      </w:r>
      <w:r w:rsidR="00B57064">
        <w:rPr>
          <w:rFonts w:ascii="Arial" w:hAnsi="Arial" w:cs="Arial"/>
          <w:sz w:val="24"/>
          <w:szCs w:val="24"/>
          <w:lang w:val="en-US"/>
        </w:rPr>
        <w:t>are</w:t>
      </w:r>
      <w:r w:rsidR="0048101F">
        <w:rPr>
          <w:rFonts w:ascii="Arial" w:hAnsi="Arial" w:cs="Arial"/>
          <w:sz w:val="24"/>
          <w:szCs w:val="24"/>
          <w:lang w:val="en-US"/>
        </w:rPr>
        <w:t xml:space="preserve"> clearly </w:t>
      </w:r>
      <w:r w:rsidR="00786E47">
        <w:rPr>
          <w:rFonts w:ascii="Arial" w:hAnsi="Arial" w:cs="Arial"/>
          <w:sz w:val="24"/>
          <w:szCs w:val="24"/>
          <w:lang w:val="en-US"/>
        </w:rPr>
        <w:t>made conditionally on the premise</w:t>
      </w:r>
      <w:r w:rsidR="0048101F">
        <w:rPr>
          <w:rFonts w:ascii="Arial" w:hAnsi="Arial" w:cs="Arial"/>
          <w:sz w:val="24"/>
          <w:szCs w:val="24"/>
          <w:lang w:val="en-US"/>
        </w:rPr>
        <w:t xml:space="preserve"> that the plaintiff does not pursue claim 1</w:t>
      </w:r>
      <w:r w:rsidR="00B57064">
        <w:rPr>
          <w:rFonts w:ascii="Arial" w:hAnsi="Arial" w:cs="Arial"/>
          <w:sz w:val="24"/>
          <w:szCs w:val="24"/>
          <w:lang w:val="en-US"/>
        </w:rPr>
        <w:t>and 3</w:t>
      </w:r>
      <w:r w:rsidR="0048101F">
        <w:rPr>
          <w:rFonts w:ascii="Arial" w:hAnsi="Arial" w:cs="Arial"/>
          <w:sz w:val="24"/>
          <w:szCs w:val="24"/>
          <w:lang w:val="en-US"/>
        </w:rPr>
        <w:t xml:space="preserve"> further.</w:t>
      </w:r>
      <w:r w:rsidR="00786E47">
        <w:rPr>
          <w:rFonts w:ascii="Arial" w:hAnsi="Arial" w:cs="Arial"/>
          <w:sz w:val="24"/>
          <w:szCs w:val="24"/>
          <w:lang w:val="en-US"/>
        </w:rPr>
        <w:t xml:space="preserve"> </w:t>
      </w:r>
    </w:p>
    <w:p w:rsidR="00C02BFF" w:rsidRDefault="00C02BFF" w:rsidP="0016457F">
      <w:pPr>
        <w:spacing w:after="0" w:line="360" w:lineRule="auto"/>
        <w:jc w:val="both"/>
        <w:rPr>
          <w:rFonts w:ascii="Arial" w:hAnsi="Arial" w:cs="Arial"/>
          <w:sz w:val="24"/>
          <w:szCs w:val="24"/>
          <w:lang w:val="en-US"/>
        </w:rPr>
      </w:pPr>
    </w:p>
    <w:p w:rsidR="00190D4F" w:rsidRDefault="00C02BFF" w:rsidP="00067C77">
      <w:pPr>
        <w:spacing w:after="0" w:line="360" w:lineRule="auto"/>
        <w:jc w:val="both"/>
        <w:rPr>
          <w:rFonts w:ascii="Arial" w:hAnsi="Arial" w:cs="Arial"/>
          <w:sz w:val="24"/>
          <w:szCs w:val="24"/>
          <w:lang w:val="en-US"/>
        </w:rPr>
      </w:pPr>
      <w:r>
        <w:rPr>
          <w:rFonts w:ascii="Arial" w:hAnsi="Arial" w:cs="Arial"/>
          <w:sz w:val="24"/>
          <w:szCs w:val="24"/>
          <w:lang w:val="en-US"/>
        </w:rPr>
        <w:t>[</w:t>
      </w:r>
      <w:r w:rsidR="00B57064">
        <w:rPr>
          <w:rFonts w:ascii="Arial" w:hAnsi="Arial" w:cs="Arial"/>
          <w:sz w:val="24"/>
          <w:szCs w:val="24"/>
          <w:lang w:val="en-US"/>
        </w:rPr>
        <w:t>20</w:t>
      </w:r>
      <w:r w:rsidR="00881610">
        <w:rPr>
          <w:rFonts w:ascii="Arial" w:hAnsi="Arial" w:cs="Arial"/>
          <w:sz w:val="24"/>
          <w:szCs w:val="24"/>
          <w:lang w:val="en-US"/>
        </w:rPr>
        <w:t>]</w:t>
      </w:r>
      <w:r w:rsidR="00881610">
        <w:rPr>
          <w:rFonts w:ascii="Arial" w:hAnsi="Arial" w:cs="Arial"/>
          <w:sz w:val="24"/>
          <w:szCs w:val="24"/>
          <w:lang w:val="en-US"/>
        </w:rPr>
        <w:tab/>
        <w:t>It is Ms. McLeod’s submission</w:t>
      </w:r>
      <w:r w:rsidR="002163C4">
        <w:rPr>
          <w:rFonts w:ascii="Arial" w:hAnsi="Arial" w:cs="Arial"/>
          <w:sz w:val="24"/>
          <w:szCs w:val="24"/>
          <w:lang w:val="en-US"/>
        </w:rPr>
        <w:t xml:space="preserve"> that </w:t>
      </w:r>
      <w:r w:rsidR="00881610">
        <w:rPr>
          <w:rFonts w:ascii="Arial" w:hAnsi="Arial" w:cs="Arial"/>
          <w:sz w:val="24"/>
          <w:szCs w:val="24"/>
          <w:lang w:val="en-US"/>
        </w:rPr>
        <w:t xml:space="preserve">this </w:t>
      </w:r>
      <w:r w:rsidR="002163C4">
        <w:rPr>
          <w:rFonts w:ascii="Arial" w:hAnsi="Arial" w:cs="Arial"/>
          <w:sz w:val="24"/>
          <w:szCs w:val="24"/>
          <w:lang w:val="en-US"/>
        </w:rPr>
        <w:t>court</w:t>
      </w:r>
      <w:r w:rsidR="003A6BC2">
        <w:rPr>
          <w:rFonts w:ascii="Arial" w:hAnsi="Arial" w:cs="Arial"/>
          <w:sz w:val="24"/>
          <w:szCs w:val="24"/>
          <w:lang w:val="en-US"/>
        </w:rPr>
        <w:t xml:space="preserve"> </w:t>
      </w:r>
      <w:r w:rsidR="00881610">
        <w:rPr>
          <w:rFonts w:ascii="Arial" w:hAnsi="Arial" w:cs="Arial"/>
          <w:sz w:val="24"/>
          <w:szCs w:val="24"/>
          <w:lang w:val="en-US"/>
        </w:rPr>
        <w:t>should</w:t>
      </w:r>
      <w:r w:rsidR="002163C4">
        <w:rPr>
          <w:rFonts w:ascii="Arial" w:hAnsi="Arial" w:cs="Arial"/>
          <w:sz w:val="24"/>
          <w:szCs w:val="24"/>
          <w:lang w:val="en-US"/>
        </w:rPr>
        <w:t xml:space="preserve"> compel the plaintiff to accept </w:t>
      </w:r>
      <w:r w:rsidR="00786E47">
        <w:rPr>
          <w:rFonts w:ascii="Arial" w:hAnsi="Arial" w:cs="Arial"/>
          <w:sz w:val="24"/>
          <w:szCs w:val="24"/>
          <w:lang w:val="en-US"/>
        </w:rPr>
        <w:t>her</w:t>
      </w:r>
      <w:r w:rsidR="002163C4">
        <w:rPr>
          <w:rFonts w:ascii="Arial" w:hAnsi="Arial" w:cs="Arial"/>
          <w:sz w:val="24"/>
          <w:szCs w:val="24"/>
          <w:lang w:val="en-US"/>
        </w:rPr>
        <w:t xml:space="preserve"> tender</w:t>
      </w:r>
      <w:r w:rsidR="00786E47">
        <w:rPr>
          <w:rFonts w:ascii="Arial" w:hAnsi="Arial" w:cs="Arial"/>
          <w:sz w:val="24"/>
          <w:szCs w:val="24"/>
          <w:lang w:val="en-US"/>
        </w:rPr>
        <w:t xml:space="preserve"> and that the plaintiff is unreasonable in not doing so</w:t>
      </w:r>
      <w:r w:rsidR="002163C4">
        <w:rPr>
          <w:rFonts w:ascii="Arial" w:hAnsi="Arial" w:cs="Arial"/>
          <w:sz w:val="24"/>
          <w:szCs w:val="24"/>
          <w:lang w:val="en-US"/>
        </w:rPr>
        <w:t>. Ms. McLeod could however not support her prayer with any case law</w:t>
      </w:r>
      <w:r w:rsidR="003A6BC2">
        <w:rPr>
          <w:rFonts w:ascii="Arial" w:hAnsi="Arial" w:cs="Arial"/>
          <w:sz w:val="24"/>
          <w:szCs w:val="24"/>
          <w:lang w:val="en-US"/>
        </w:rPr>
        <w:t>.</w:t>
      </w:r>
      <w:r w:rsidR="00881610">
        <w:rPr>
          <w:rFonts w:ascii="Arial" w:hAnsi="Arial" w:cs="Arial"/>
          <w:sz w:val="24"/>
          <w:szCs w:val="24"/>
          <w:lang w:val="en-US"/>
        </w:rPr>
        <w:t xml:space="preserve"> </w:t>
      </w:r>
      <w:r w:rsidR="002163C4">
        <w:rPr>
          <w:rFonts w:ascii="Arial" w:hAnsi="Arial" w:cs="Arial"/>
          <w:sz w:val="24"/>
          <w:szCs w:val="24"/>
          <w:lang w:val="en-US"/>
        </w:rPr>
        <w:t>It</w:t>
      </w:r>
      <w:r w:rsidR="00E76D54">
        <w:rPr>
          <w:rFonts w:ascii="Arial" w:hAnsi="Arial" w:cs="Arial"/>
          <w:sz w:val="24"/>
          <w:szCs w:val="24"/>
          <w:lang w:val="en-US"/>
        </w:rPr>
        <w:t xml:space="preserve"> is important to understand that the plaintiff is not obliged to accept the offer</w:t>
      </w:r>
      <w:r w:rsidR="00786E47">
        <w:rPr>
          <w:rFonts w:ascii="Arial" w:hAnsi="Arial" w:cs="Arial"/>
          <w:sz w:val="24"/>
          <w:szCs w:val="24"/>
          <w:lang w:val="en-US"/>
        </w:rPr>
        <w:t>/tender</w:t>
      </w:r>
      <w:r w:rsidR="00E76D54">
        <w:rPr>
          <w:rFonts w:ascii="Arial" w:hAnsi="Arial" w:cs="Arial"/>
          <w:sz w:val="24"/>
          <w:szCs w:val="24"/>
          <w:lang w:val="en-US"/>
        </w:rPr>
        <w:t xml:space="preserve"> and if the plaintiff does not accept the tender the action proceeds in the normal way. </w:t>
      </w:r>
      <w:r w:rsidR="002163C4">
        <w:rPr>
          <w:rFonts w:ascii="Arial" w:hAnsi="Arial" w:cs="Arial"/>
          <w:sz w:val="24"/>
          <w:szCs w:val="24"/>
          <w:lang w:val="en-US"/>
        </w:rPr>
        <w:t xml:space="preserve">Failure to accept an unconditional tender by a plaintiff can be to his or her own peril when </w:t>
      </w:r>
      <w:r w:rsidR="00881610">
        <w:rPr>
          <w:rFonts w:ascii="Arial" w:hAnsi="Arial" w:cs="Arial"/>
          <w:sz w:val="24"/>
          <w:szCs w:val="24"/>
          <w:lang w:val="en-US"/>
        </w:rPr>
        <w:t xml:space="preserve">the issue of </w:t>
      </w:r>
      <w:r w:rsidR="002163C4">
        <w:rPr>
          <w:rFonts w:ascii="Arial" w:hAnsi="Arial" w:cs="Arial"/>
          <w:sz w:val="24"/>
          <w:szCs w:val="24"/>
          <w:lang w:val="en-US"/>
        </w:rPr>
        <w:t xml:space="preserve">cost is considered.  </w:t>
      </w:r>
    </w:p>
    <w:p w:rsidR="002163C4" w:rsidRDefault="002163C4" w:rsidP="0016457F">
      <w:pPr>
        <w:spacing w:after="0" w:line="360" w:lineRule="auto"/>
        <w:jc w:val="both"/>
        <w:rPr>
          <w:rFonts w:ascii="Arial" w:hAnsi="Arial" w:cs="Arial"/>
          <w:sz w:val="24"/>
          <w:szCs w:val="24"/>
          <w:lang w:val="en-US"/>
        </w:rPr>
      </w:pPr>
    </w:p>
    <w:p w:rsidR="0016457F" w:rsidRDefault="00881610" w:rsidP="0016457F">
      <w:pPr>
        <w:spacing w:after="0" w:line="360" w:lineRule="auto"/>
        <w:jc w:val="both"/>
        <w:rPr>
          <w:rFonts w:ascii="Arial" w:hAnsi="Arial" w:cs="Arial"/>
          <w:sz w:val="24"/>
          <w:szCs w:val="24"/>
        </w:rPr>
      </w:pPr>
      <w:r w:rsidRPr="00881610">
        <w:rPr>
          <w:rStyle w:val="Emphasis"/>
          <w:rFonts w:ascii="Arial" w:hAnsi="Arial" w:cs="Arial"/>
          <w:i w:val="0"/>
          <w:sz w:val="24"/>
          <w:szCs w:val="24"/>
          <w:shd w:val="clear" w:color="auto" w:fill="FFFFFF"/>
        </w:rPr>
        <w:lastRenderedPageBreak/>
        <w:t>[21]</w:t>
      </w:r>
      <w:r w:rsidRPr="00881610">
        <w:rPr>
          <w:rStyle w:val="Emphasis"/>
          <w:rFonts w:ascii="Arial" w:hAnsi="Arial" w:cs="Arial"/>
          <w:i w:val="0"/>
          <w:sz w:val="24"/>
          <w:szCs w:val="24"/>
          <w:shd w:val="clear" w:color="auto" w:fill="FFFFFF"/>
        </w:rPr>
        <w:tab/>
      </w:r>
      <w:r w:rsidR="00073CBC">
        <w:rPr>
          <w:rFonts w:ascii="Arial" w:hAnsi="Arial" w:cs="Arial"/>
          <w:sz w:val="24"/>
          <w:szCs w:val="24"/>
        </w:rPr>
        <w:t>For all intents</w:t>
      </w:r>
      <w:r w:rsidR="00C33823">
        <w:rPr>
          <w:rFonts w:ascii="Arial" w:hAnsi="Arial" w:cs="Arial"/>
          <w:sz w:val="24"/>
          <w:szCs w:val="24"/>
        </w:rPr>
        <w:t xml:space="preserve"> and purposes, the rule 64 notice made by the defenda</w:t>
      </w:r>
      <w:r w:rsidR="00BD5F3D">
        <w:rPr>
          <w:rFonts w:ascii="Arial" w:hAnsi="Arial" w:cs="Arial"/>
          <w:sz w:val="24"/>
          <w:szCs w:val="24"/>
        </w:rPr>
        <w:t xml:space="preserve">nt is a last ditch effort </w:t>
      </w:r>
      <w:r w:rsidR="00BD5F3D" w:rsidRPr="00745247">
        <w:rPr>
          <w:rFonts w:ascii="Arial" w:hAnsi="Arial" w:cs="Arial"/>
          <w:color w:val="000000" w:themeColor="text1"/>
          <w:sz w:val="24"/>
          <w:szCs w:val="24"/>
        </w:rPr>
        <w:t>in an</w:t>
      </w:r>
      <w:r w:rsidR="00C33823" w:rsidRPr="00745247">
        <w:rPr>
          <w:rFonts w:ascii="Arial" w:hAnsi="Arial" w:cs="Arial"/>
          <w:color w:val="000000" w:themeColor="text1"/>
          <w:sz w:val="24"/>
          <w:szCs w:val="24"/>
        </w:rPr>
        <w:t xml:space="preserve"> attempt </w:t>
      </w:r>
      <w:r w:rsidR="00C33823">
        <w:rPr>
          <w:rFonts w:ascii="Arial" w:hAnsi="Arial" w:cs="Arial"/>
          <w:sz w:val="24"/>
          <w:szCs w:val="24"/>
        </w:rPr>
        <w:t>to satisfy the plaintiff’s claim however the attempt made falls short of the requirement of rule 64 in light of the fact that the alternative claim by the plaintiff relied on by the defendant does not or is not the main relief sought by the plaintiff. It is not for the defendant to</w:t>
      </w:r>
      <w:r w:rsidR="007C3531">
        <w:rPr>
          <w:rFonts w:ascii="Arial" w:hAnsi="Arial" w:cs="Arial"/>
          <w:sz w:val="24"/>
          <w:szCs w:val="24"/>
        </w:rPr>
        <w:t xml:space="preserve"> pick and choose</w:t>
      </w:r>
      <w:r w:rsidR="00C33823">
        <w:rPr>
          <w:rFonts w:ascii="Arial" w:hAnsi="Arial" w:cs="Arial"/>
          <w:sz w:val="24"/>
          <w:szCs w:val="24"/>
        </w:rPr>
        <w:t xml:space="preserve"> which claim is suitable to satisfy and act upon it accordingly. </w:t>
      </w:r>
    </w:p>
    <w:p w:rsidR="00C33823" w:rsidRDefault="00C33823" w:rsidP="0016457F">
      <w:pPr>
        <w:spacing w:after="0" w:line="360" w:lineRule="auto"/>
        <w:jc w:val="both"/>
        <w:rPr>
          <w:rFonts w:ascii="Arial" w:hAnsi="Arial" w:cs="Arial"/>
          <w:sz w:val="24"/>
          <w:szCs w:val="24"/>
        </w:rPr>
      </w:pPr>
    </w:p>
    <w:p w:rsidR="007F3370" w:rsidRDefault="003A6BC2" w:rsidP="0016457F">
      <w:pPr>
        <w:spacing w:after="0" w:line="360" w:lineRule="auto"/>
        <w:jc w:val="both"/>
        <w:rPr>
          <w:rFonts w:ascii="Arial" w:hAnsi="Arial" w:cs="Arial"/>
          <w:sz w:val="24"/>
          <w:szCs w:val="24"/>
          <w:lang w:val="en-US"/>
        </w:rPr>
      </w:pPr>
      <w:r>
        <w:rPr>
          <w:rFonts w:ascii="Arial" w:hAnsi="Arial" w:cs="Arial"/>
          <w:sz w:val="24"/>
          <w:szCs w:val="24"/>
          <w:lang w:val="en-US"/>
        </w:rPr>
        <w:t>[2</w:t>
      </w:r>
      <w:r w:rsidR="007F3370">
        <w:rPr>
          <w:rFonts w:ascii="Arial" w:hAnsi="Arial" w:cs="Arial"/>
          <w:sz w:val="24"/>
          <w:szCs w:val="24"/>
          <w:lang w:val="en-US"/>
        </w:rPr>
        <w:t>3</w:t>
      </w:r>
      <w:r w:rsidR="0044272E">
        <w:rPr>
          <w:rFonts w:ascii="Arial" w:hAnsi="Arial" w:cs="Arial"/>
          <w:sz w:val="24"/>
          <w:szCs w:val="24"/>
          <w:lang w:val="en-US"/>
        </w:rPr>
        <w:t>]</w:t>
      </w:r>
      <w:r w:rsidR="0044272E">
        <w:rPr>
          <w:rFonts w:ascii="Arial" w:hAnsi="Arial" w:cs="Arial"/>
          <w:sz w:val="24"/>
          <w:szCs w:val="24"/>
          <w:lang w:val="en-US"/>
        </w:rPr>
        <w:tab/>
      </w:r>
      <w:r w:rsidR="007F3370" w:rsidRPr="007F3370">
        <w:rPr>
          <w:rFonts w:ascii="Arial" w:hAnsi="Arial" w:cs="Arial"/>
          <w:sz w:val="24"/>
          <w:szCs w:val="24"/>
          <w:lang w:val="en-US"/>
        </w:rPr>
        <w:t>My order is hereby as follows:</w:t>
      </w:r>
    </w:p>
    <w:p w:rsidR="00724A9A" w:rsidRDefault="00724A9A" w:rsidP="0016457F">
      <w:pPr>
        <w:spacing w:after="0" w:line="360" w:lineRule="auto"/>
        <w:jc w:val="both"/>
        <w:rPr>
          <w:rFonts w:ascii="Arial" w:hAnsi="Arial" w:cs="Arial"/>
          <w:sz w:val="24"/>
          <w:szCs w:val="24"/>
          <w:lang w:val="en-US"/>
        </w:rPr>
      </w:pPr>
    </w:p>
    <w:p w:rsidR="00F171E8" w:rsidRPr="007F3370" w:rsidRDefault="00552DE7" w:rsidP="0016457F">
      <w:pPr>
        <w:spacing w:after="0" w:line="360" w:lineRule="auto"/>
        <w:jc w:val="both"/>
        <w:rPr>
          <w:rFonts w:ascii="Arial" w:hAnsi="Arial" w:cs="Arial"/>
          <w:sz w:val="24"/>
          <w:szCs w:val="24"/>
          <w:lang w:val="en-US"/>
        </w:rPr>
      </w:pPr>
      <w:r w:rsidRPr="007F3370">
        <w:rPr>
          <w:rFonts w:ascii="Arial" w:hAnsi="Arial" w:cs="Arial"/>
          <w:sz w:val="24"/>
          <w:szCs w:val="24"/>
          <w:lang w:val="en-US"/>
        </w:rPr>
        <w:t>T</w:t>
      </w:r>
      <w:r w:rsidR="00A47761" w:rsidRPr="007F3370">
        <w:rPr>
          <w:rFonts w:ascii="Arial" w:hAnsi="Arial" w:cs="Arial"/>
          <w:sz w:val="24"/>
          <w:szCs w:val="24"/>
          <w:lang w:val="en-US"/>
        </w:rPr>
        <w:t xml:space="preserve">he </w:t>
      </w:r>
      <w:proofErr w:type="gramStart"/>
      <w:r w:rsidR="00A47761" w:rsidRPr="007F3370">
        <w:rPr>
          <w:rFonts w:ascii="Arial" w:hAnsi="Arial" w:cs="Arial"/>
          <w:sz w:val="24"/>
          <w:szCs w:val="24"/>
          <w:lang w:val="en-US"/>
        </w:rPr>
        <w:t xml:space="preserve">relief sought by the defendant to compel the plaintiff to accept her tender </w:t>
      </w:r>
      <w:r w:rsidR="003A6BC2" w:rsidRPr="007F3370">
        <w:rPr>
          <w:rFonts w:ascii="Arial" w:hAnsi="Arial" w:cs="Arial"/>
          <w:sz w:val="24"/>
          <w:szCs w:val="24"/>
          <w:lang w:val="en-US"/>
        </w:rPr>
        <w:t xml:space="preserve">in terms of Rule 64 </w:t>
      </w:r>
      <w:r w:rsidR="00A47761" w:rsidRPr="007F3370">
        <w:rPr>
          <w:rFonts w:ascii="Arial" w:hAnsi="Arial" w:cs="Arial"/>
          <w:sz w:val="24"/>
          <w:szCs w:val="24"/>
          <w:lang w:val="en-US"/>
        </w:rPr>
        <w:t xml:space="preserve">in respect of the </w:t>
      </w:r>
      <w:r w:rsidR="003A6BC2" w:rsidRPr="007F3370">
        <w:rPr>
          <w:rFonts w:ascii="Arial" w:hAnsi="Arial" w:cs="Arial"/>
          <w:sz w:val="24"/>
          <w:szCs w:val="24"/>
          <w:lang w:val="en-US"/>
        </w:rPr>
        <w:t>claims are</w:t>
      </w:r>
      <w:proofErr w:type="gramEnd"/>
      <w:r w:rsidR="00A47761" w:rsidRPr="007F3370">
        <w:rPr>
          <w:rFonts w:ascii="Arial" w:hAnsi="Arial" w:cs="Arial"/>
          <w:sz w:val="24"/>
          <w:szCs w:val="24"/>
          <w:lang w:val="en-US"/>
        </w:rPr>
        <w:t xml:space="preserve"> incompetent</w:t>
      </w:r>
      <w:r w:rsidR="003A6BC2" w:rsidRPr="007F3370">
        <w:rPr>
          <w:rFonts w:ascii="Arial" w:hAnsi="Arial" w:cs="Arial"/>
          <w:sz w:val="24"/>
          <w:szCs w:val="24"/>
          <w:lang w:val="en-US"/>
        </w:rPr>
        <w:t xml:space="preserve"> and </w:t>
      </w:r>
      <w:r w:rsidR="007F3370" w:rsidRPr="007F3370">
        <w:rPr>
          <w:rFonts w:ascii="Arial" w:hAnsi="Arial" w:cs="Arial"/>
          <w:sz w:val="24"/>
          <w:szCs w:val="24"/>
          <w:lang w:val="en-US"/>
        </w:rPr>
        <w:t>leave is granted to the plaintiff to proceed with his application for default judgment</w:t>
      </w:r>
      <w:r w:rsidR="00A47761" w:rsidRPr="007F3370">
        <w:rPr>
          <w:rFonts w:ascii="Arial" w:hAnsi="Arial" w:cs="Arial"/>
          <w:sz w:val="24"/>
          <w:szCs w:val="24"/>
          <w:lang w:val="en-US"/>
        </w:rPr>
        <w:t xml:space="preserve">. </w:t>
      </w:r>
    </w:p>
    <w:p w:rsidR="00A42772" w:rsidRDefault="00A42772" w:rsidP="0016457F">
      <w:pPr>
        <w:spacing w:after="0" w:line="360" w:lineRule="auto"/>
        <w:jc w:val="both"/>
        <w:rPr>
          <w:rFonts w:ascii="Arial" w:hAnsi="Arial" w:cs="Arial"/>
          <w:color w:val="FF0000"/>
          <w:sz w:val="24"/>
          <w:szCs w:val="24"/>
          <w:lang w:val="en-US"/>
        </w:rPr>
      </w:pPr>
    </w:p>
    <w:p w:rsidR="00745247" w:rsidRDefault="00745247" w:rsidP="0016457F">
      <w:pPr>
        <w:spacing w:after="0" w:line="360" w:lineRule="auto"/>
        <w:jc w:val="both"/>
        <w:rPr>
          <w:rFonts w:ascii="Arial" w:hAnsi="Arial" w:cs="Arial"/>
          <w:color w:val="FF0000"/>
          <w:sz w:val="24"/>
          <w:szCs w:val="24"/>
          <w:lang w:val="en-US"/>
        </w:rPr>
      </w:pPr>
    </w:p>
    <w:p w:rsidR="00745247" w:rsidRDefault="00745247" w:rsidP="0016457F">
      <w:pPr>
        <w:spacing w:after="0" w:line="360" w:lineRule="auto"/>
        <w:jc w:val="both"/>
        <w:rPr>
          <w:rFonts w:ascii="Arial" w:hAnsi="Arial" w:cs="Arial"/>
          <w:color w:val="FF0000"/>
          <w:sz w:val="24"/>
          <w:szCs w:val="24"/>
          <w:lang w:val="en-US"/>
        </w:rPr>
      </w:pPr>
    </w:p>
    <w:p w:rsidR="0016457F" w:rsidRDefault="0016457F" w:rsidP="0016457F">
      <w:pPr>
        <w:spacing w:after="0" w:line="360" w:lineRule="auto"/>
        <w:jc w:val="right"/>
        <w:rPr>
          <w:rFonts w:ascii="Arial" w:hAnsi="Arial" w:cs="Arial"/>
          <w:sz w:val="24"/>
          <w:szCs w:val="24"/>
          <w:lang w:val="en-US"/>
        </w:rPr>
      </w:pPr>
      <w:r>
        <w:rPr>
          <w:rFonts w:ascii="Arial" w:hAnsi="Arial" w:cs="Arial"/>
          <w:sz w:val="24"/>
          <w:szCs w:val="24"/>
          <w:lang w:val="en-US"/>
        </w:rPr>
        <w:t>_________________</w:t>
      </w:r>
    </w:p>
    <w:p w:rsidR="0016457F" w:rsidRDefault="0016457F" w:rsidP="0016457F">
      <w:pPr>
        <w:spacing w:after="0" w:line="360" w:lineRule="auto"/>
        <w:jc w:val="right"/>
        <w:rPr>
          <w:rFonts w:ascii="Arial" w:hAnsi="Arial" w:cs="Arial"/>
          <w:sz w:val="24"/>
          <w:szCs w:val="24"/>
          <w:lang w:val="en-US"/>
        </w:rPr>
      </w:pPr>
      <w:r>
        <w:rPr>
          <w:rFonts w:ascii="Arial" w:hAnsi="Arial" w:cs="Arial"/>
          <w:sz w:val="24"/>
          <w:szCs w:val="24"/>
          <w:lang w:val="en-US"/>
        </w:rPr>
        <w:t>J S Prinsloo</w:t>
      </w:r>
    </w:p>
    <w:p w:rsidR="0016457F" w:rsidRDefault="0016457F" w:rsidP="0016457F">
      <w:pPr>
        <w:spacing w:after="0" w:line="360" w:lineRule="auto"/>
        <w:jc w:val="right"/>
        <w:rPr>
          <w:rFonts w:ascii="Arial" w:hAnsi="Arial" w:cs="Arial"/>
          <w:sz w:val="24"/>
          <w:szCs w:val="24"/>
          <w:lang w:val="en-US"/>
        </w:rPr>
      </w:pPr>
      <w:r>
        <w:rPr>
          <w:rFonts w:ascii="Arial" w:hAnsi="Arial" w:cs="Arial"/>
          <w:sz w:val="24"/>
          <w:szCs w:val="24"/>
          <w:lang w:val="en-US"/>
        </w:rPr>
        <w:t>Judge</w:t>
      </w:r>
    </w:p>
    <w:p w:rsidR="00724A9A" w:rsidRDefault="00724A9A"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745247" w:rsidRDefault="00745247" w:rsidP="0016457F">
      <w:pPr>
        <w:spacing w:after="0" w:line="360" w:lineRule="auto"/>
        <w:jc w:val="both"/>
        <w:rPr>
          <w:rFonts w:ascii="Arial" w:hAnsi="Arial" w:cs="Arial"/>
          <w:sz w:val="24"/>
          <w:szCs w:val="24"/>
          <w:lang w:val="en-US"/>
        </w:rPr>
      </w:pPr>
    </w:p>
    <w:p w:rsidR="0016457F" w:rsidRPr="007613D3" w:rsidRDefault="0016457F" w:rsidP="0016457F">
      <w:pPr>
        <w:spacing w:after="0" w:line="360" w:lineRule="auto"/>
        <w:jc w:val="both"/>
        <w:rPr>
          <w:rFonts w:ascii="Arial" w:hAnsi="Arial" w:cs="Arial"/>
          <w:sz w:val="24"/>
          <w:szCs w:val="24"/>
          <w:lang w:val="en-US"/>
        </w:rPr>
      </w:pPr>
      <w:r w:rsidRPr="007613D3">
        <w:rPr>
          <w:rFonts w:ascii="Arial" w:hAnsi="Arial" w:cs="Arial"/>
          <w:sz w:val="24"/>
          <w:szCs w:val="24"/>
          <w:lang w:val="en-US"/>
        </w:rPr>
        <w:lastRenderedPageBreak/>
        <w:t>APPEARANCES</w:t>
      </w:r>
    </w:p>
    <w:p w:rsidR="0016457F" w:rsidRPr="007613D3" w:rsidRDefault="0016457F" w:rsidP="0016457F">
      <w:pPr>
        <w:pStyle w:val="MediumGrid1-Accent21"/>
        <w:spacing w:after="0" w:line="360" w:lineRule="auto"/>
        <w:ind w:left="0"/>
        <w:rPr>
          <w:rFonts w:ascii="Arial" w:hAnsi="Arial" w:cs="Arial"/>
          <w:sz w:val="24"/>
          <w:szCs w:val="24"/>
          <w:lang w:val="en-US"/>
        </w:rPr>
      </w:pPr>
    </w:p>
    <w:p w:rsidR="0016457F" w:rsidRPr="007613D3" w:rsidRDefault="00745247" w:rsidP="0016457F">
      <w:pPr>
        <w:pStyle w:val="MediumGrid1-Accent21"/>
        <w:spacing w:after="0" w:line="360" w:lineRule="auto"/>
        <w:ind w:left="0"/>
        <w:rPr>
          <w:rFonts w:ascii="Arial" w:hAnsi="Arial" w:cs="Arial"/>
          <w:sz w:val="24"/>
          <w:szCs w:val="24"/>
          <w:lang w:val="en-US"/>
        </w:rPr>
      </w:pPr>
      <w:r>
        <w:rPr>
          <w:rFonts w:ascii="Arial" w:hAnsi="Arial" w:cs="Arial"/>
          <w:sz w:val="24"/>
          <w:szCs w:val="24"/>
          <w:lang w:val="en-US"/>
        </w:rPr>
        <w:t xml:space="preserve">PLAINTIFF: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F1344E">
        <w:rPr>
          <w:rFonts w:ascii="Arial" w:hAnsi="Arial" w:cs="Arial"/>
          <w:sz w:val="24"/>
          <w:szCs w:val="24"/>
          <w:lang w:val="en-US"/>
        </w:rPr>
        <w:t xml:space="preserve">A </w:t>
      </w:r>
      <w:proofErr w:type="spellStart"/>
      <w:r w:rsidR="00F1344E">
        <w:rPr>
          <w:rFonts w:ascii="Arial" w:hAnsi="Arial" w:cs="Arial"/>
          <w:sz w:val="24"/>
          <w:szCs w:val="24"/>
          <w:lang w:val="en-US"/>
        </w:rPr>
        <w:t>Delport</w:t>
      </w:r>
      <w:proofErr w:type="spellEnd"/>
    </w:p>
    <w:p w:rsidR="0016457F" w:rsidRPr="007613D3" w:rsidRDefault="00745247" w:rsidP="00745247">
      <w:pPr>
        <w:pStyle w:val="MediumGrid1-Accent21"/>
        <w:spacing w:after="0" w:line="360" w:lineRule="auto"/>
        <w:ind w:left="2160" w:firstLine="720"/>
        <w:rPr>
          <w:rFonts w:ascii="Arial" w:hAnsi="Arial" w:cs="Arial"/>
          <w:sz w:val="24"/>
          <w:szCs w:val="24"/>
          <w:lang w:val="en-US"/>
        </w:rPr>
      </w:pPr>
      <w:proofErr w:type="gramStart"/>
      <w:r>
        <w:rPr>
          <w:rFonts w:ascii="Arial" w:hAnsi="Arial" w:cs="Arial"/>
          <w:sz w:val="24"/>
          <w:szCs w:val="24"/>
          <w:lang w:val="en-US"/>
        </w:rPr>
        <w:t>i</w:t>
      </w:r>
      <w:r w:rsidR="0016457F">
        <w:rPr>
          <w:rFonts w:ascii="Arial" w:hAnsi="Arial" w:cs="Arial"/>
          <w:sz w:val="24"/>
          <w:szCs w:val="24"/>
          <w:lang w:val="en-US"/>
        </w:rPr>
        <w:t>nstructed</w:t>
      </w:r>
      <w:proofErr w:type="gramEnd"/>
      <w:r w:rsidR="0016457F">
        <w:rPr>
          <w:rFonts w:ascii="Arial" w:hAnsi="Arial" w:cs="Arial"/>
          <w:sz w:val="24"/>
          <w:szCs w:val="24"/>
          <w:lang w:val="en-US"/>
        </w:rPr>
        <w:t xml:space="preserve"> by Kirsten &amp; Co.</w:t>
      </w:r>
      <w:r>
        <w:rPr>
          <w:rFonts w:ascii="Arial" w:hAnsi="Arial" w:cs="Arial"/>
          <w:sz w:val="24"/>
          <w:szCs w:val="24"/>
          <w:lang w:val="en-US"/>
        </w:rPr>
        <w:t>, Windhoek</w:t>
      </w:r>
    </w:p>
    <w:p w:rsidR="0016457F" w:rsidRPr="007613D3" w:rsidRDefault="0016457F" w:rsidP="0016457F">
      <w:pPr>
        <w:pStyle w:val="MediumGrid1-Accent21"/>
        <w:spacing w:after="0" w:line="360" w:lineRule="auto"/>
        <w:ind w:left="0"/>
        <w:rPr>
          <w:rFonts w:ascii="Arial" w:hAnsi="Arial" w:cs="Arial"/>
          <w:sz w:val="24"/>
          <w:szCs w:val="24"/>
          <w:lang w:val="en-US"/>
        </w:rPr>
      </w:pPr>
    </w:p>
    <w:p w:rsidR="0016457F" w:rsidRPr="007613D3" w:rsidRDefault="0016457F" w:rsidP="0016457F">
      <w:pPr>
        <w:pStyle w:val="MediumGrid1-Accent21"/>
        <w:spacing w:after="0" w:line="360" w:lineRule="auto"/>
        <w:ind w:left="0"/>
        <w:rPr>
          <w:rFonts w:ascii="Arial" w:hAnsi="Arial" w:cs="Arial"/>
          <w:sz w:val="24"/>
          <w:szCs w:val="24"/>
          <w:lang w:val="en-US"/>
        </w:rPr>
      </w:pPr>
      <w:r w:rsidRPr="007613D3">
        <w:rPr>
          <w:rFonts w:ascii="Arial" w:hAnsi="Arial" w:cs="Arial"/>
          <w:sz w:val="24"/>
          <w:szCs w:val="24"/>
          <w:lang w:val="en-US"/>
        </w:rPr>
        <w:t xml:space="preserve">DEFENDANT: </w:t>
      </w:r>
      <w:r w:rsidR="00745247">
        <w:rPr>
          <w:rFonts w:ascii="Arial" w:hAnsi="Arial" w:cs="Arial"/>
          <w:sz w:val="24"/>
          <w:szCs w:val="24"/>
          <w:lang w:val="en-US"/>
        </w:rPr>
        <w:tab/>
      </w:r>
      <w:r w:rsidR="00745247">
        <w:rPr>
          <w:rFonts w:ascii="Arial" w:hAnsi="Arial" w:cs="Arial"/>
          <w:sz w:val="24"/>
          <w:szCs w:val="24"/>
          <w:lang w:val="en-US"/>
        </w:rPr>
        <w:tab/>
      </w:r>
      <w:r>
        <w:rPr>
          <w:rFonts w:ascii="Arial" w:hAnsi="Arial" w:cs="Arial"/>
          <w:sz w:val="24"/>
          <w:szCs w:val="24"/>
          <w:lang w:val="en-US"/>
        </w:rPr>
        <w:t xml:space="preserve">J </w:t>
      </w:r>
      <w:proofErr w:type="spellStart"/>
      <w:r>
        <w:rPr>
          <w:rFonts w:ascii="Arial" w:hAnsi="Arial" w:cs="Arial"/>
          <w:sz w:val="24"/>
          <w:szCs w:val="24"/>
          <w:lang w:val="en-US"/>
        </w:rPr>
        <w:t>McCleod</w:t>
      </w:r>
      <w:proofErr w:type="spellEnd"/>
    </w:p>
    <w:p w:rsidR="0016457F" w:rsidRPr="007613D3" w:rsidRDefault="0016457F" w:rsidP="0016457F">
      <w:pPr>
        <w:pStyle w:val="MediumGrid1-Accent21"/>
        <w:spacing w:after="0" w:line="360" w:lineRule="auto"/>
        <w:ind w:left="0"/>
        <w:rPr>
          <w:rFonts w:ascii="Arial" w:hAnsi="Arial" w:cs="Arial"/>
          <w:sz w:val="24"/>
          <w:szCs w:val="24"/>
          <w:lang w:val="en-US"/>
        </w:rPr>
      </w:pPr>
      <w:r w:rsidRPr="007613D3">
        <w:rPr>
          <w:rFonts w:ascii="Arial" w:hAnsi="Arial" w:cs="Arial"/>
          <w:sz w:val="24"/>
          <w:szCs w:val="24"/>
          <w:lang w:val="en-US"/>
        </w:rPr>
        <w:tab/>
        <w:t xml:space="preserve">    </w:t>
      </w:r>
      <w:r w:rsidR="00745247">
        <w:rPr>
          <w:rFonts w:ascii="Arial" w:hAnsi="Arial" w:cs="Arial"/>
          <w:sz w:val="24"/>
          <w:szCs w:val="24"/>
          <w:lang w:val="en-US"/>
        </w:rPr>
        <w:t xml:space="preserve">                             </w:t>
      </w:r>
      <w:proofErr w:type="gramStart"/>
      <w:r w:rsidR="00745247">
        <w:rPr>
          <w:rFonts w:ascii="Arial" w:hAnsi="Arial" w:cs="Arial"/>
          <w:sz w:val="24"/>
          <w:szCs w:val="24"/>
          <w:lang w:val="en-US"/>
        </w:rPr>
        <w:t>of</w:t>
      </w:r>
      <w:proofErr w:type="gramEnd"/>
      <w:r w:rsidR="00745247">
        <w:rPr>
          <w:rFonts w:ascii="Arial" w:hAnsi="Arial" w:cs="Arial"/>
          <w:sz w:val="24"/>
          <w:szCs w:val="24"/>
          <w:lang w:val="en-US"/>
        </w:rPr>
        <w:t xml:space="preserve"> </w:t>
      </w:r>
      <w:proofErr w:type="spellStart"/>
      <w:r>
        <w:rPr>
          <w:rFonts w:ascii="Arial" w:hAnsi="Arial" w:cs="Arial"/>
          <w:sz w:val="24"/>
          <w:szCs w:val="24"/>
          <w:lang w:val="en-US"/>
        </w:rPr>
        <w:t>Shikongo</w:t>
      </w:r>
      <w:proofErr w:type="spellEnd"/>
      <w:r>
        <w:rPr>
          <w:rFonts w:ascii="Arial" w:hAnsi="Arial" w:cs="Arial"/>
          <w:sz w:val="24"/>
          <w:szCs w:val="24"/>
          <w:lang w:val="en-US"/>
        </w:rPr>
        <w:t xml:space="preserve"> Law Chambers</w:t>
      </w:r>
      <w:r w:rsidR="00745247">
        <w:rPr>
          <w:rFonts w:ascii="Arial" w:hAnsi="Arial" w:cs="Arial"/>
          <w:sz w:val="24"/>
          <w:szCs w:val="24"/>
          <w:lang w:val="en-US"/>
        </w:rPr>
        <w:t>, Windhoek</w:t>
      </w:r>
      <w:bookmarkStart w:id="0" w:name="_GoBack"/>
      <w:bookmarkEnd w:id="0"/>
    </w:p>
    <w:p w:rsidR="0016457F" w:rsidRDefault="0016457F" w:rsidP="0016457F"/>
    <w:p w:rsidR="002E66BE" w:rsidRDefault="002E66BE"/>
    <w:sectPr w:rsidR="002E66BE" w:rsidSect="00CF6A18">
      <w:headerReference w:type="default" r:id="rId10"/>
      <w:headerReference w:type="first" r:id="rId11"/>
      <w:pgSz w:w="11906" w:h="16838"/>
      <w:pgMar w:top="1701" w:right="1418" w:bottom="1418" w:left="1701" w:header="1701"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82" w:rsidRDefault="00452C82" w:rsidP="0016457F">
      <w:pPr>
        <w:spacing w:after="0" w:line="240" w:lineRule="auto"/>
      </w:pPr>
      <w:r>
        <w:separator/>
      </w:r>
    </w:p>
  </w:endnote>
  <w:endnote w:type="continuationSeparator" w:id="0">
    <w:p w:rsidR="00452C82" w:rsidRDefault="00452C82" w:rsidP="0016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82" w:rsidRDefault="00452C82" w:rsidP="0016457F">
      <w:pPr>
        <w:spacing w:after="0" w:line="240" w:lineRule="auto"/>
      </w:pPr>
      <w:r>
        <w:separator/>
      </w:r>
    </w:p>
  </w:footnote>
  <w:footnote w:type="continuationSeparator" w:id="0">
    <w:p w:rsidR="00452C82" w:rsidRDefault="00452C82" w:rsidP="0016457F">
      <w:pPr>
        <w:spacing w:after="0" w:line="240" w:lineRule="auto"/>
      </w:pPr>
      <w:r>
        <w:continuationSeparator/>
      </w:r>
    </w:p>
  </w:footnote>
  <w:footnote w:id="1">
    <w:p w:rsidR="00DA5398" w:rsidRPr="00DC708D" w:rsidRDefault="00DA5398" w:rsidP="00DC708D">
      <w:pPr>
        <w:pStyle w:val="FootnoteText"/>
        <w:jc w:val="both"/>
        <w:rPr>
          <w:rFonts w:ascii="Arial" w:hAnsi="Arial" w:cs="Arial"/>
          <w:lang w:val="en-US"/>
        </w:rPr>
      </w:pPr>
      <w:r w:rsidRPr="00DC708D">
        <w:rPr>
          <w:rStyle w:val="FootnoteReference"/>
          <w:rFonts w:ascii="Arial" w:hAnsi="Arial" w:cs="Arial"/>
        </w:rPr>
        <w:footnoteRef/>
      </w:r>
      <w:r w:rsidRPr="00DC708D">
        <w:rPr>
          <w:rFonts w:ascii="Arial" w:hAnsi="Arial" w:cs="Arial"/>
        </w:rPr>
        <w:t xml:space="preserve"> </w:t>
      </w:r>
      <w:proofErr w:type="spellStart"/>
      <w:r w:rsidRPr="00DC708D">
        <w:rPr>
          <w:rFonts w:ascii="Arial" w:hAnsi="Arial" w:cs="Arial"/>
          <w:i/>
          <w:lang w:val="en-ZA"/>
        </w:rPr>
        <w:t>Akwenye</w:t>
      </w:r>
      <w:proofErr w:type="spellEnd"/>
      <w:r w:rsidRPr="00DC708D">
        <w:rPr>
          <w:rFonts w:ascii="Arial" w:hAnsi="Arial" w:cs="Arial"/>
          <w:i/>
          <w:lang w:val="en-ZA"/>
        </w:rPr>
        <w:t xml:space="preserve"> v </w:t>
      </w:r>
      <w:proofErr w:type="spellStart"/>
      <w:r w:rsidRPr="00DC708D">
        <w:rPr>
          <w:rFonts w:ascii="Arial" w:hAnsi="Arial" w:cs="Arial"/>
          <w:i/>
          <w:lang w:val="en-ZA"/>
        </w:rPr>
        <w:t>Amadhila</w:t>
      </w:r>
      <w:proofErr w:type="spellEnd"/>
      <w:r w:rsidRPr="00DC708D">
        <w:rPr>
          <w:rFonts w:ascii="Arial" w:hAnsi="Arial" w:cs="Arial"/>
          <w:i/>
          <w:lang w:val="en-ZA"/>
        </w:rPr>
        <w:t xml:space="preserve"> </w:t>
      </w:r>
      <w:r w:rsidRPr="00DC708D">
        <w:rPr>
          <w:rFonts w:ascii="Arial" w:hAnsi="Arial" w:cs="Arial"/>
          <w:lang w:val="en-ZA"/>
        </w:rPr>
        <w:t>(</w:t>
      </w:r>
      <w:r w:rsidRPr="00DC708D">
        <w:rPr>
          <w:rFonts w:ascii="Arial" w:hAnsi="Arial" w:cs="Arial"/>
        </w:rPr>
        <w:t>HC-MD-CIV-ACT-CON-2017/02946) [2018] NAHCMD 114 (27 April 2018).</w:t>
      </w:r>
    </w:p>
  </w:footnote>
  <w:footnote w:id="2">
    <w:p w:rsidR="00D40EE4" w:rsidRPr="00DC708D" w:rsidRDefault="00D40EE4" w:rsidP="00DC708D">
      <w:pPr>
        <w:pStyle w:val="FootnoteText"/>
        <w:jc w:val="both"/>
        <w:rPr>
          <w:rFonts w:ascii="Arial" w:hAnsi="Arial" w:cs="Arial"/>
          <w:lang w:val="af-ZA"/>
        </w:rPr>
      </w:pPr>
      <w:r w:rsidRPr="00DC708D">
        <w:rPr>
          <w:rStyle w:val="FootnoteReference"/>
          <w:rFonts w:ascii="Arial" w:hAnsi="Arial" w:cs="Arial"/>
        </w:rPr>
        <w:footnoteRef/>
      </w:r>
      <w:r w:rsidRPr="00DC708D">
        <w:rPr>
          <w:rFonts w:ascii="Arial" w:hAnsi="Arial" w:cs="Arial"/>
        </w:rPr>
        <w:t xml:space="preserve"> “</w:t>
      </w:r>
      <w:proofErr w:type="gramStart"/>
      <w:r w:rsidRPr="00DC708D">
        <w:rPr>
          <w:rFonts w:ascii="Arial" w:hAnsi="Arial" w:cs="Arial"/>
        </w:rPr>
        <w:t>performance</w:t>
      </w:r>
      <w:proofErr w:type="gramEnd"/>
      <w:r w:rsidRPr="00DC708D">
        <w:rPr>
          <w:rFonts w:ascii="Arial" w:hAnsi="Arial" w:cs="Arial"/>
        </w:rPr>
        <w:t xml:space="preserve"> of an act” for example the passing of transfer of property. </w:t>
      </w:r>
    </w:p>
  </w:footnote>
  <w:footnote w:id="3">
    <w:p w:rsidR="003A6BC2" w:rsidRPr="00DC708D" w:rsidRDefault="003A6BC2" w:rsidP="00DC708D">
      <w:pPr>
        <w:pStyle w:val="FootnoteText"/>
        <w:spacing w:line="240" w:lineRule="auto"/>
        <w:jc w:val="both"/>
        <w:rPr>
          <w:rFonts w:ascii="Arial" w:hAnsi="Arial" w:cs="Arial"/>
          <w:lang w:val="en-US"/>
        </w:rPr>
      </w:pPr>
      <w:r w:rsidRPr="00DC708D">
        <w:rPr>
          <w:rStyle w:val="FootnoteReference"/>
          <w:rFonts w:ascii="Arial" w:hAnsi="Arial" w:cs="Arial"/>
        </w:rPr>
        <w:footnoteRef/>
      </w:r>
      <w:r w:rsidRPr="00DC708D">
        <w:rPr>
          <w:rFonts w:ascii="Arial" w:hAnsi="Arial" w:cs="Arial"/>
        </w:rPr>
        <w:t xml:space="preserve"> </w:t>
      </w:r>
      <w:r w:rsidRPr="00DC708D">
        <w:rPr>
          <w:rFonts w:ascii="Arial" w:hAnsi="Arial" w:cs="Arial"/>
          <w:lang w:val="en-US"/>
        </w:rPr>
        <w:t xml:space="preserve">See </w:t>
      </w:r>
      <w:r w:rsidRPr="00DC708D">
        <w:rPr>
          <w:rFonts w:ascii="Arial" w:hAnsi="Arial" w:cs="Arial"/>
          <w:i/>
          <w:lang w:val="en-US"/>
        </w:rPr>
        <w:t>PRIOR t/a PRO SECURITY v JACOBS t/a SOUTHERN ENGINEERING</w:t>
      </w:r>
      <w:r w:rsidRPr="00DC708D">
        <w:rPr>
          <w:rFonts w:ascii="Arial" w:hAnsi="Arial" w:cs="Arial"/>
          <w:lang w:val="en-US"/>
        </w:rPr>
        <w:t xml:space="preserve"> 2007 (2) NR 564 (HC).</w:t>
      </w:r>
    </w:p>
  </w:footnote>
  <w:footnote w:id="4">
    <w:p w:rsidR="00C02BFF" w:rsidRPr="00DC708D" w:rsidRDefault="00C02BFF" w:rsidP="00DC708D">
      <w:pPr>
        <w:pStyle w:val="FootnoteText"/>
        <w:jc w:val="both"/>
        <w:rPr>
          <w:rFonts w:ascii="Arial" w:hAnsi="Arial" w:cs="Arial"/>
          <w:lang w:val="af-ZA"/>
        </w:rPr>
      </w:pPr>
      <w:r w:rsidRPr="00DC708D">
        <w:rPr>
          <w:rStyle w:val="FootnoteReference"/>
          <w:rFonts w:ascii="Arial" w:hAnsi="Arial" w:cs="Arial"/>
        </w:rPr>
        <w:footnoteRef/>
      </w:r>
      <w:r w:rsidRPr="00DC708D">
        <w:rPr>
          <w:rFonts w:ascii="Arial" w:hAnsi="Arial" w:cs="Arial"/>
        </w:rPr>
        <w:t xml:space="preserve"> Erasmus: Superior Court Practice at B1-242</w:t>
      </w:r>
      <w:r w:rsidR="00DC708D">
        <w:rPr>
          <w:rFonts w:ascii="Arial" w:hAnsi="Arial" w:cs="Arial"/>
        </w:rPr>
        <w:t>.</w:t>
      </w:r>
    </w:p>
  </w:footnote>
  <w:footnote w:id="5">
    <w:p w:rsidR="00067C77" w:rsidRPr="00DC708D" w:rsidRDefault="00067C77" w:rsidP="00745247">
      <w:pPr>
        <w:pStyle w:val="FootnoteText"/>
        <w:spacing w:after="0" w:line="240" w:lineRule="auto"/>
        <w:jc w:val="both"/>
        <w:rPr>
          <w:rFonts w:ascii="Arial" w:hAnsi="Arial" w:cs="Arial"/>
          <w:lang w:val="af-ZA"/>
        </w:rPr>
      </w:pPr>
      <w:r w:rsidRPr="00DC708D">
        <w:rPr>
          <w:rStyle w:val="FootnoteReference"/>
          <w:rFonts w:ascii="Arial" w:hAnsi="Arial" w:cs="Arial"/>
        </w:rPr>
        <w:footnoteRef/>
      </w:r>
      <w:r w:rsidRPr="00DC708D">
        <w:rPr>
          <w:rFonts w:ascii="Arial" w:hAnsi="Arial" w:cs="Arial"/>
        </w:rPr>
        <w:t xml:space="preserve"> </w:t>
      </w:r>
      <w:r w:rsidRPr="00DC708D">
        <w:rPr>
          <w:rFonts w:ascii="Arial" w:hAnsi="Arial" w:cs="Arial"/>
          <w:i/>
        </w:rPr>
        <w:t xml:space="preserve">Van </w:t>
      </w:r>
      <w:proofErr w:type="spellStart"/>
      <w:r w:rsidRPr="00DC708D">
        <w:rPr>
          <w:rFonts w:ascii="Arial" w:hAnsi="Arial" w:cs="Arial"/>
          <w:i/>
        </w:rPr>
        <w:t>Rensburg</w:t>
      </w:r>
      <w:proofErr w:type="spellEnd"/>
      <w:r w:rsidRPr="00DC708D">
        <w:rPr>
          <w:rFonts w:ascii="Arial" w:hAnsi="Arial" w:cs="Arial"/>
          <w:i/>
        </w:rPr>
        <w:t xml:space="preserve"> v AA Mutual Insurance Co Ltd</w:t>
      </w:r>
      <w:r w:rsidRPr="00DC708D">
        <w:rPr>
          <w:rFonts w:ascii="Arial" w:hAnsi="Arial" w:cs="Arial"/>
        </w:rPr>
        <w:t xml:space="preserve"> 1969 (4) SA 360 (E) at 364E; </w:t>
      </w:r>
      <w:r w:rsidRPr="00DC708D">
        <w:rPr>
          <w:rFonts w:ascii="Arial" w:hAnsi="Arial" w:cs="Arial"/>
          <w:i/>
        </w:rPr>
        <w:t xml:space="preserve">Gush v </w:t>
      </w:r>
      <w:proofErr w:type="spellStart"/>
      <w:r w:rsidRPr="00DC708D">
        <w:rPr>
          <w:rFonts w:ascii="Arial" w:hAnsi="Arial" w:cs="Arial"/>
          <w:i/>
        </w:rPr>
        <w:t>Protea</w:t>
      </w:r>
      <w:proofErr w:type="spellEnd"/>
      <w:r w:rsidRPr="00DC708D">
        <w:rPr>
          <w:rFonts w:ascii="Arial" w:hAnsi="Arial" w:cs="Arial"/>
          <w:i/>
        </w:rPr>
        <w:t xml:space="preserve"> Insurance Co Ltd </w:t>
      </w:r>
      <w:r w:rsidRPr="00DC708D">
        <w:rPr>
          <w:rFonts w:ascii="Arial" w:hAnsi="Arial" w:cs="Arial"/>
        </w:rPr>
        <w:t>1973 (4) SA 286 (E)</w:t>
      </w:r>
      <w:r w:rsidR="00DC708D" w:rsidRPr="00DC708D">
        <w:rPr>
          <w:rFonts w:ascii="Arial" w:hAnsi="Arial" w:cs="Arial"/>
        </w:rPr>
        <w:t>.</w:t>
      </w:r>
    </w:p>
  </w:footnote>
  <w:footnote w:id="6">
    <w:p w:rsidR="00067C77" w:rsidRPr="00DC708D" w:rsidRDefault="00067C77" w:rsidP="00745247">
      <w:pPr>
        <w:pStyle w:val="FootnoteText"/>
        <w:spacing w:after="0" w:line="240" w:lineRule="auto"/>
        <w:jc w:val="both"/>
        <w:rPr>
          <w:rFonts w:ascii="Arial" w:hAnsi="Arial" w:cs="Arial"/>
          <w:lang w:val="af-ZA"/>
        </w:rPr>
      </w:pPr>
      <w:r w:rsidRPr="00DC708D">
        <w:rPr>
          <w:rStyle w:val="FootnoteReference"/>
          <w:rFonts w:ascii="Arial" w:hAnsi="Arial" w:cs="Arial"/>
        </w:rPr>
        <w:footnoteRef/>
      </w:r>
      <w:r w:rsidRPr="00DC708D">
        <w:rPr>
          <w:rFonts w:ascii="Arial" w:hAnsi="Arial" w:cs="Arial"/>
        </w:rPr>
        <w:t xml:space="preserve"> </w:t>
      </w:r>
      <w:proofErr w:type="spellStart"/>
      <w:r w:rsidRPr="00DC708D">
        <w:rPr>
          <w:rFonts w:ascii="Arial" w:hAnsi="Arial" w:cs="Arial"/>
          <w:i/>
        </w:rPr>
        <w:t>Molete</w:t>
      </w:r>
      <w:proofErr w:type="spellEnd"/>
      <w:r w:rsidRPr="00DC708D">
        <w:rPr>
          <w:rFonts w:ascii="Arial" w:hAnsi="Arial" w:cs="Arial"/>
          <w:i/>
        </w:rPr>
        <w:t xml:space="preserve"> v Union National South British Insurance Co Ltd</w:t>
      </w:r>
      <w:r w:rsidRPr="00DC708D">
        <w:rPr>
          <w:rFonts w:ascii="Arial" w:hAnsi="Arial" w:cs="Arial"/>
        </w:rPr>
        <w:t xml:space="preserve"> 1982 (4) SA 178 (W)</w:t>
      </w:r>
      <w:r w:rsidR="00DC708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80" w:rsidRPr="00C378CC" w:rsidRDefault="00CA5382" w:rsidP="00745247">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745247">
      <w:rPr>
        <w:rFonts w:ascii="Arial" w:hAnsi="Arial" w:cs="Arial"/>
        <w:noProof/>
        <w:sz w:val="24"/>
        <w:szCs w:val="24"/>
      </w:rPr>
      <w:t>2</w:t>
    </w:r>
    <w:r w:rsidRPr="00C378CC">
      <w:rPr>
        <w:rFonts w:ascii="Arial" w:hAnsi="Arial" w:cs="Arial"/>
        <w:noProof/>
        <w:sz w:val="24"/>
        <w:szCs w:val="24"/>
      </w:rPr>
      <w:fldChar w:fldCharType="end"/>
    </w:r>
  </w:p>
  <w:p w:rsidR="00701C80" w:rsidRDefault="00452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80" w:rsidRDefault="00452C82" w:rsidP="00722C0A">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A6F"/>
    <w:multiLevelType w:val="hybridMultilevel"/>
    <w:tmpl w:val="D3A85CB8"/>
    <w:lvl w:ilvl="0" w:tplc="895C2B8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A1782"/>
    <w:multiLevelType w:val="hybridMultilevel"/>
    <w:tmpl w:val="1A20B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D5CBD"/>
    <w:multiLevelType w:val="hybridMultilevel"/>
    <w:tmpl w:val="A8E034BA"/>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16177"/>
    <w:multiLevelType w:val="hybridMultilevel"/>
    <w:tmpl w:val="AA505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D50BC"/>
    <w:multiLevelType w:val="hybridMultilevel"/>
    <w:tmpl w:val="D3A85CB8"/>
    <w:lvl w:ilvl="0" w:tplc="895C2B8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AC0BC5"/>
    <w:multiLevelType w:val="hybridMultilevel"/>
    <w:tmpl w:val="BD4EE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20742"/>
    <w:multiLevelType w:val="hybridMultilevel"/>
    <w:tmpl w:val="54D4AD6A"/>
    <w:lvl w:ilvl="0" w:tplc="CBA28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C84ABB"/>
    <w:multiLevelType w:val="hybridMultilevel"/>
    <w:tmpl w:val="E7E27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9B065A"/>
    <w:multiLevelType w:val="multilevel"/>
    <w:tmpl w:val="B26C859C"/>
    <w:lvl w:ilvl="0">
      <w:start w:val="4"/>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79877D2B"/>
    <w:multiLevelType w:val="hybridMultilevel"/>
    <w:tmpl w:val="1CA2C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0"/>
  </w:num>
  <w:num w:numId="6">
    <w:abstractNumId w:val="3"/>
  </w:num>
  <w:num w:numId="7">
    <w:abstractNumId w:val="7"/>
  </w:num>
  <w:num w:numId="8">
    <w:abstractNumId w:val="1"/>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7F"/>
    <w:rsid w:val="00046B5F"/>
    <w:rsid w:val="00052F40"/>
    <w:rsid w:val="00067C77"/>
    <w:rsid w:val="00073CBC"/>
    <w:rsid w:val="000841A8"/>
    <w:rsid w:val="0008422B"/>
    <w:rsid w:val="000B041E"/>
    <w:rsid w:val="000F397A"/>
    <w:rsid w:val="00122EDB"/>
    <w:rsid w:val="0016457F"/>
    <w:rsid w:val="00184B63"/>
    <w:rsid w:val="001907C9"/>
    <w:rsid w:val="00190D4F"/>
    <w:rsid w:val="002163C4"/>
    <w:rsid w:val="002602B7"/>
    <w:rsid w:val="002D56EE"/>
    <w:rsid w:val="002D5FAB"/>
    <w:rsid w:val="002E66BE"/>
    <w:rsid w:val="003040FF"/>
    <w:rsid w:val="00310E63"/>
    <w:rsid w:val="00320736"/>
    <w:rsid w:val="00324597"/>
    <w:rsid w:val="00354439"/>
    <w:rsid w:val="003A3928"/>
    <w:rsid w:val="003A6BC2"/>
    <w:rsid w:val="004043D7"/>
    <w:rsid w:val="0042139C"/>
    <w:rsid w:val="0044272E"/>
    <w:rsid w:val="00452C82"/>
    <w:rsid w:val="0048101F"/>
    <w:rsid w:val="004B2D4B"/>
    <w:rsid w:val="004D0186"/>
    <w:rsid w:val="00530982"/>
    <w:rsid w:val="00530BCC"/>
    <w:rsid w:val="00533522"/>
    <w:rsid w:val="00552DE7"/>
    <w:rsid w:val="0058170A"/>
    <w:rsid w:val="00642A4E"/>
    <w:rsid w:val="00690C4A"/>
    <w:rsid w:val="00694F00"/>
    <w:rsid w:val="006E2406"/>
    <w:rsid w:val="007076C9"/>
    <w:rsid w:val="007165CE"/>
    <w:rsid w:val="00724A9A"/>
    <w:rsid w:val="00745247"/>
    <w:rsid w:val="00780332"/>
    <w:rsid w:val="007869C5"/>
    <w:rsid w:val="00786E47"/>
    <w:rsid w:val="007C3531"/>
    <w:rsid w:val="007E5C6A"/>
    <w:rsid w:val="007F0797"/>
    <w:rsid w:val="007F2DC2"/>
    <w:rsid w:val="007F3370"/>
    <w:rsid w:val="008501EB"/>
    <w:rsid w:val="00881610"/>
    <w:rsid w:val="008E2211"/>
    <w:rsid w:val="008F709A"/>
    <w:rsid w:val="00930034"/>
    <w:rsid w:val="0099362C"/>
    <w:rsid w:val="00A05B68"/>
    <w:rsid w:val="00A33C6B"/>
    <w:rsid w:val="00A42772"/>
    <w:rsid w:val="00A47761"/>
    <w:rsid w:val="00A52B58"/>
    <w:rsid w:val="00A944F4"/>
    <w:rsid w:val="00AC556F"/>
    <w:rsid w:val="00B04240"/>
    <w:rsid w:val="00B11171"/>
    <w:rsid w:val="00B14210"/>
    <w:rsid w:val="00B57064"/>
    <w:rsid w:val="00B809E4"/>
    <w:rsid w:val="00B9470F"/>
    <w:rsid w:val="00BA121D"/>
    <w:rsid w:val="00BD5F3D"/>
    <w:rsid w:val="00C02BFF"/>
    <w:rsid w:val="00C33823"/>
    <w:rsid w:val="00CA5382"/>
    <w:rsid w:val="00CC301A"/>
    <w:rsid w:val="00CD3909"/>
    <w:rsid w:val="00CF50E0"/>
    <w:rsid w:val="00D30C1D"/>
    <w:rsid w:val="00D40EE4"/>
    <w:rsid w:val="00D82D8C"/>
    <w:rsid w:val="00D97286"/>
    <w:rsid w:val="00DA5398"/>
    <w:rsid w:val="00DB0EA7"/>
    <w:rsid w:val="00DC708D"/>
    <w:rsid w:val="00DF5B13"/>
    <w:rsid w:val="00E4419A"/>
    <w:rsid w:val="00E76D54"/>
    <w:rsid w:val="00E93488"/>
    <w:rsid w:val="00F1344E"/>
    <w:rsid w:val="00F171E8"/>
    <w:rsid w:val="00F5706E"/>
    <w:rsid w:val="00F71519"/>
    <w:rsid w:val="00F9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7F"/>
    <w:pPr>
      <w:spacing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16457F"/>
    <w:pPr>
      <w:ind w:left="720"/>
      <w:contextualSpacing/>
    </w:pPr>
  </w:style>
  <w:style w:type="paragraph" w:styleId="Header">
    <w:name w:val="header"/>
    <w:basedOn w:val="Normal"/>
    <w:link w:val="HeaderChar"/>
    <w:uiPriority w:val="99"/>
    <w:unhideWhenUsed/>
    <w:rsid w:val="00164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57F"/>
    <w:rPr>
      <w:rFonts w:ascii="Calibri" w:eastAsia="Calibri" w:hAnsi="Calibri" w:cs="Times New Roman"/>
      <w:lang w:val="en-ZW"/>
    </w:rPr>
  </w:style>
  <w:style w:type="paragraph" w:styleId="FootnoteText">
    <w:name w:val="footnote text"/>
    <w:basedOn w:val="Normal"/>
    <w:link w:val="FootnoteTextChar"/>
    <w:uiPriority w:val="99"/>
    <w:semiHidden/>
    <w:unhideWhenUsed/>
    <w:rsid w:val="0016457F"/>
    <w:rPr>
      <w:sz w:val="20"/>
      <w:szCs w:val="20"/>
      <w:lang w:eastAsia="x-none"/>
    </w:rPr>
  </w:style>
  <w:style w:type="character" w:customStyle="1" w:styleId="FootnoteTextChar">
    <w:name w:val="Footnote Text Char"/>
    <w:basedOn w:val="DefaultParagraphFont"/>
    <w:link w:val="FootnoteText"/>
    <w:uiPriority w:val="99"/>
    <w:semiHidden/>
    <w:rsid w:val="0016457F"/>
    <w:rPr>
      <w:rFonts w:ascii="Calibri" w:eastAsia="Calibri" w:hAnsi="Calibri" w:cs="Times New Roman"/>
      <w:sz w:val="20"/>
      <w:szCs w:val="20"/>
      <w:lang w:val="en-ZW" w:eastAsia="x-none"/>
    </w:rPr>
  </w:style>
  <w:style w:type="character" w:styleId="FootnoteReference">
    <w:name w:val="footnote reference"/>
    <w:uiPriority w:val="99"/>
    <w:semiHidden/>
    <w:unhideWhenUsed/>
    <w:rsid w:val="0016457F"/>
    <w:rPr>
      <w:vertAlign w:val="superscript"/>
    </w:rPr>
  </w:style>
  <w:style w:type="paragraph" w:styleId="ListParagraph">
    <w:name w:val="List Paragraph"/>
    <w:basedOn w:val="Normal"/>
    <w:uiPriority w:val="34"/>
    <w:qFormat/>
    <w:rsid w:val="0016457F"/>
    <w:pPr>
      <w:ind w:left="720"/>
    </w:pPr>
  </w:style>
  <w:style w:type="paragraph" w:styleId="BodyText">
    <w:name w:val="Body Text"/>
    <w:basedOn w:val="Normal"/>
    <w:link w:val="BodyTextChar"/>
    <w:rsid w:val="0016457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6457F"/>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6457F"/>
    <w:rPr>
      <w:i/>
      <w:iCs/>
    </w:rPr>
  </w:style>
  <w:style w:type="paragraph" w:styleId="BalloonText">
    <w:name w:val="Balloon Text"/>
    <w:basedOn w:val="Normal"/>
    <w:link w:val="BalloonTextChar"/>
    <w:uiPriority w:val="99"/>
    <w:semiHidden/>
    <w:unhideWhenUsed/>
    <w:rsid w:val="00481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1F"/>
    <w:rPr>
      <w:rFonts w:ascii="Segoe UI" w:eastAsia="Calibri" w:hAnsi="Segoe UI" w:cs="Segoe UI"/>
      <w:sz w:val="18"/>
      <w:szCs w:val="18"/>
      <w:lang w:val="en-ZW"/>
    </w:rPr>
  </w:style>
  <w:style w:type="character" w:styleId="CommentReference">
    <w:name w:val="annotation reference"/>
    <w:basedOn w:val="DefaultParagraphFont"/>
    <w:uiPriority w:val="99"/>
    <w:semiHidden/>
    <w:unhideWhenUsed/>
    <w:rsid w:val="00A944F4"/>
    <w:rPr>
      <w:sz w:val="16"/>
      <w:szCs w:val="16"/>
    </w:rPr>
  </w:style>
  <w:style w:type="paragraph" w:styleId="CommentText">
    <w:name w:val="annotation text"/>
    <w:basedOn w:val="Normal"/>
    <w:link w:val="CommentTextChar"/>
    <w:uiPriority w:val="99"/>
    <w:semiHidden/>
    <w:unhideWhenUsed/>
    <w:rsid w:val="00A944F4"/>
    <w:pPr>
      <w:spacing w:line="240" w:lineRule="auto"/>
    </w:pPr>
    <w:rPr>
      <w:sz w:val="20"/>
      <w:szCs w:val="20"/>
    </w:rPr>
  </w:style>
  <w:style w:type="character" w:customStyle="1" w:styleId="CommentTextChar">
    <w:name w:val="Comment Text Char"/>
    <w:basedOn w:val="DefaultParagraphFont"/>
    <w:link w:val="CommentText"/>
    <w:uiPriority w:val="99"/>
    <w:semiHidden/>
    <w:rsid w:val="00A944F4"/>
    <w:rPr>
      <w:rFonts w:ascii="Calibri" w:eastAsia="Calibri" w:hAnsi="Calibri" w:cs="Times New Roman"/>
      <w:sz w:val="20"/>
      <w:szCs w:val="20"/>
      <w:lang w:val="en-ZW"/>
    </w:rPr>
  </w:style>
  <w:style w:type="paragraph" w:styleId="CommentSubject">
    <w:name w:val="annotation subject"/>
    <w:basedOn w:val="CommentText"/>
    <w:next w:val="CommentText"/>
    <w:link w:val="CommentSubjectChar"/>
    <w:uiPriority w:val="99"/>
    <w:semiHidden/>
    <w:unhideWhenUsed/>
    <w:rsid w:val="00A944F4"/>
    <w:rPr>
      <w:b/>
      <w:bCs/>
    </w:rPr>
  </w:style>
  <w:style w:type="character" w:customStyle="1" w:styleId="CommentSubjectChar">
    <w:name w:val="Comment Subject Char"/>
    <w:basedOn w:val="CommentTextChar"/>
    <w:link w:val="CommentSubject"/>
    <w:uiPriority w:val="99"/>
    <w:semiHidden/>
    <w:rsid w:val="00A944F4"/>
    <w:rPr>
      <w:rFonts w:ascii="Calibri" w:eastAsia="Calibri" w:hAnsi="Calibri" w:cs="Times New Roman"/>
      <w:b/>
      <w:bCs/>
      <w:sz w:val="20"/>
      <w:szCs w:val="20"/>
      <w:lang w:val="en-ZW"/>
    </w:rPr>
  </w:style>
  <w:style w:type="paragraph" w:styleId="Footer">
    <w:name w:val="footer"/>
    <w:basedOn w:val="Normal"/>
    <w:link w:val="FooterChar"/>
    <w:uiPriority w:val="99"/>
    <w:unhideWhenUsed/>
    <w:rsid w:val="0074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47"/>
    <w:rPr>
      <w:rFonts w:ascii="Calibri" w:eastAsia="Calibri" w:hAnsi="Calibri" w:cs="Times New Roman"/>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7F"/>
    <w:pPr>
      <w:spacing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16457F"/>
    <w:pPr>
      <w:ind w:left="720"/>
      <w:contextualSpacing/>
    </w:pPr>
  </w:style>
  <w:style w:type="paragraph" w:styleId="Header">
    <w:name w:val="header"/>
    <w:basedOn w:val="Normal"/>
    <w:link w:val="HeaderChar"/>
    <w:uiPriority w:val="99"/>
    <w:unhideWhenUsed/>
    <w:rsid w:val="00164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57F"/>
    <w:rPr>
      <w:rFonts w:ascii="Calibri" w:eastAsia="Calibri" w:hAnsi="Calibri" w:cs="Times New Roman"/>
      <w:lang w:val="en-ZW"/>
    </w:rPr>
  </w:style>
  <w:style w:type="paragraph" w:styleId="FootnoteText">
    <w:name w:val="footnote text"/>
    <w:basedOn w:val="Normal"/>
    <w:link w:val="FootnoteTextChar"/>
    <w:uiPriority w:val="99"/>
    <w:semiHidden/>
    <w:unhideWhenUsed/>
    <w:rsid w:val="0016457F"/>
    <w:rPr>
      <w:sz w:val="20"/>
      <w:szCs w:val="20"/>
      <w:lang w:eastAsia="x-none"/>
    </w:rPr>
  </w:style>
  <w:style w:type="character" w:customStyle="1" w:styleId="FootnoteTextChar">
    <w:name w:val="Footnote Text Char"/>
    <w:basedOn w:val="DefaultParagraphFont"/>
    <w:link w:val="FootnoteText"/>
    <w:uiPriority w:val="99"/>
    <w:semiHidden/>
    <w:rsid w:val="0016457F"/>
    <w:rPr>
      <w:rFonts w:ascii="Calibri" w:eastAsia="Calibri" w:hAnsi="Calibri" w:cs="Times New Roman"/>
      <w:sz w:val="20"/>
      <w:szCs w:val="20"/>
      <w:lang w:val="en-ZW" w:eastAsia="x-none"/>
    </w:rPr>
  </w:style>
  <w:style w:type="character" w:styleId="FootnoteReference">
    <w:name w:val="footnote reference"/>
    <w:uiPriority w:val="99"/>
    <w:semiHidden/>
    <w:unhideWhenUsed/>
    <w:rsid w:val="0016457F"/>
    <w:rPr>
      <w:vertAlign w:val="superscript"/>
    </w:rPr>
  </w:style>
  <w:style w:type="paragraph" w:styleId="ListParagraph">
    <w:name w:val="List Paragraph"/>
    <w:basedOn w:val="Normal"/>
    <w:uiPriority w:val="34"/>
    <w:qFormat/>
    <w:rsid w:val="0016457F"/>
    <w:pPr>
      <w:ind w:left="720"/>
    </w:pPr>
  </w:style>
  <w:style w:type="paragraph" w:styleId="BodyText">
    <w:name w:val="Body Text"/>
    <w:basedOn w:val="Normal"/>
    <w:link w:val="BodyTextChar"/>
    <w:rsid w:val="0016457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6457F"/>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6457F"/>
    <w:rPr>
      <w:i/>
      <w:iCs/>
    </w:rPr>
  </w:style>
  <w:style w:type="paragraph" w:styleId="BalloonText">
    <w:name w:val="Balloon Text"/>
    <w:basedOn w:val="Normal"/>
    <w:link w:val="BalloonTextChar"/>
    <w:uiPriority w:val="99"/>
    <w:semiHidden/>
    <w:unhideWhenUsed/>
    <w:rsid w:val="00481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1F"/>
    <w:rPr>
      <w:rFonts w:ascii="Segoe UI" w:eastAsia="Calibri" w:hAnsi="Segoe UI" w:cs="Segoe UI"/>
      <w:sz w:val="18"/>
      <w:szCs w:val="18"/>
      <w:lang w:val="en-ZW"/>
    </w:rPr>
  </w:style>
  <w:style w:type="character" w:styleId="CommentReference">
    <w:name w:val="annotation reference"/>
    <w:basedOn w:val="DefaultParagraphFont"/>
    <w:uiPriority w:val="99"/>
    <w:semiHidden/>
    <w:unhideWhenUsed/>
    <w:rsid w:val="00A944F4"/>
    <w:rPr>
      <w:sz w:val="16"/>
      <w:szCs w:val="16"/>
    </w:rPr>
  </w:style>
  <w:style w:type="paragraph" w:styleId="CommentText">
    <w:name w:val="annotation text"/>
    <w:basedOn w:val="Normal"/>
    <w:link w:val="CommentTextChar"/>
    <w:uiPriority w:val="99"/>
    <w:semiHidden/>
    <w:unhideWhenUsed/>
    <w:rsid w:val="00A944F4"/>
    <w:pPr>
      <w:spacing w:line="240" w:lineRule="auto"/>
    </w:pPr>
    <w:rPr>
      <w:sz w:val="20"/>
      <w:szCs w:val="20"/>
    </w:rPr>
  </w:style>
  <w:style w:type="character" w:customStyle="1" w:styleId="CommentTextChar">
    <w:name w:val="Comment Text Char"/>
    <w:basedOn w:val="DefaultParagraphFont"/>
    <w:link w:val="CommentText"/>
    <w:uiPriority w:val="99"/>
    <w:semiHidden/>
    <w:rsid w:val="00A944F4"/>
    <w:rPr>
      <w:rFonts w:ascii="Calibri" w:eastAsia="Calibri" w:hAnsi="Calibri" w:cs="Times New Roman"/>
      <w:sz w:val="20"/>
      <w:szCs w:val="20"/>
      <w:lang w:val="en-ZW"/>
    </w:rPr>
  </w:style>
  <w:style w:type="paragraph" w:styleId="CommentSubject">
    <w:name w:val="annotation subject"/>
    <w:basedOn w:val="CommentText"/>
    <w:next w:val="CommentText"/>
    <w:link w:val="CommentSubjectChar"/>
    <w:uiPriority w:val="99"/>
    <w:semiHidden/>
    <w:unhideWhenUsed/>
    <w:rsid w:val="00A944F4"/>
    <w:rPr>
      <w:b/>
      <w:bCs/>
    </w:rPr>
  </w:style>
  <w:style w:type="character" w:customStyle="1" w:styleId="CommentSubjectChar">
    <w:name w:val="Comment Subject Char"/>
    <w:basedOn w:val="CommentTextChar"/>
    <w:link w:val="CommentSubject"/>
    <w:uiPriority w:val="99"/>
    <w:semiHidden/>
    <w:rsid w:val="00A944F4"/>
    <w:rPr>
      <w:rFonts w:ascii="Calibri" w:eastAsia="Calibri" w:hAnsi="Calibri" w:cs="Times New Roman"/>
      <w:b/>
      <w:bCs/>
      <w:sz w:val="20"/>
      <w:szCs w:val="20"/>
      <w:lang w:val="en-ZW"/>
    </w:rPr>
  </w:style>
  <w:style w:type="paragraph" w:styleId="Footer">
    <w:name w:val="footer"/>
    <w:basedOn w:val="Normal"/>
    <w:link w:val="FooterChar"/>
    <w:uiPriority w:val="99"/>
    <w:unhideWhenUsed/>
    <w:rsid w:val="0074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47"/>
    <w:rPr>
      <w:rFonts w:ascii="Calibri" w:eastAsia="Calibri" w:hAnsi="Calibri" w:cs="Times New Roman"/>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38757">
      <w:bodyDiv w:val="1"/>
      <w:marLeft w:val="0"/>
      <w:marRight w:val="0"/>
      <w:marTop w:val="0"/>
      <w:marBottom w:val="0"/>
      <w:divBdr>
        <w:top w:val="none" w:sz="0" w:space="0" w:color="auto"/>
        <w:left w:val="none" w:sz="0" w:space="0" w:color="auto"/>
        <w:bottom w:val="none" w:sz="0" w:space="0" w:color="auto"/>
        <w:right w:val="none" w:sz="0" w:space="0" w:color="auto"/>
      </w:divBdr>
    </w:div>
    <w:div w:id="12514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2018-08-20T18:30:00+00:00</Judgment_x0020_Date>
    <Year xmlns="c1afb1bd-f2fb-40fd-9abb-aea55b4d7662">2018</Year>
  </documentManagement>
</p:properties>
</file>

<file path=customXml/itemProps1.xml><?xml version="1.0" encoding="utf-8"?>
<ds:datastoreItem xmlns:ds="http://schemas.openxmlformats.org/officeDocument/2006/customXml" ds:itemID="{C27ACAC8-C040-4C71-A55F-87CFAAA2C9F9}"/>
</file>

<file path=customXml/itemProps2.xml><?xml version="1.0" encoding="utf-8"?>
<ds:datastoreItem xmlns:ds="http://schemas.openxmlformats.org/officeDocument/2006/customXml" ds:itemID="{0F883C6C-554B-4C06-9727-C05C47CC8499}"/>
</file>

<file path=customXml/itemProps3.xml><?xml version="1.0" encoding="utf-8"?>
<ds:datastoreItem xmlns:ds="http://schemas.openxmlformats.org/officeDocument/2006/customXml" ds:itemID="{AA65FC1F-E936-4AD0-A6FC-4C6DC05EA5BF}"/>
</file>

<file path=customXml/itemProps4.xml><?xml version="1.0" encoding="utf-8"?>
<ds:datastoreItem xmlns:ds="http://schemas.openxmlformats.org/officeDocument/2006/customXml" ds:itemID="{8881EE5F-D526-4C14-889F-4C4D577D1ACA}"/>
</file>

<file path=docProps/app.xml><?xml version="1.0" encoding="utf-8"?>
<Properties xmlns="http://schemas.openxmlformats.org/officeDocument/2006/extended-properties" xmlns:vt="http://schemas.openxmlformats.org/officeDocument/2006/docPropsVTypes">
  <Template>Normal</Template>
  <TotalTime>0</TotalTime>
  <Pages>13</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Akwenye v Amadhila</dc:title>
  <dc:creator>priscilla nande</dc:creator>
  <cp:lastModifiedBy>Nicole Januarie</cp:lastModifiedBy>
  <cp:revision>2</cp:revision>
  <cp:lastPrinted>2018-08-22T12:38:00Z</cp:lastPrinted>
  <dcterms:created xsi:type="dcterms:W3CDTF">2018-08-23T10:02:00Z</dcterms:created>
  <dcterms:modified xsi:type="dcterms:W3CDTF">2018-08-23T10:02:00Z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