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A3" w:rsidRPr="006E49A3" w:rsidRDefault="006E49A3" w:rsidP="006E49A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6E49A3">
        <w:rPr>
          <w:rFonts w:ascii="Arial" w:hAnsi="Arial" w:cs="Arial"/>
          <w:sz w:val="26"/>
          <w:szCs w:val="26"/>
        </w:rPr>
        <w:t>“ANNEXURE 11”</w:t>
      </w:r>
    </w:p>
    <w:p w:rsidR="006E49A3" w:rsidRPr="006E49A3" w:rsidRDefault="006E49A3" w:rsidP="006E49A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E49A3">
        <w:rPr>
          <w:rFonts w:ascii="Arial" w:hAnsi="Arial" w:cs="Arial"/>
          <w:sz w:val="26"/>
          <w:szCs w:val="26"/>
        </w:rPr>
        <w:t>Practice Directive 61</w:t>
      </w:r>
    </w:p>
    <w:p w:rsidR="006E49A3" w:rsidRPr="006E49A3" w:rsidRDefault="006E49A3" w:rsidP="006E49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49A3" w:rsidRPr="006E49A3" w:rsidRDefault="006E49A3" w:rsidP="006E49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9A3">
        <w:rPr>
          <w:rFonts w:ascii="Arial" w:hAnsi="Arial" w:cs="Arial"/>
          <w:b/>
          <w:sz w:val="24"/>
          <w:szCs w:val="24"/>
        </w:rPr>
        <w:t>IN THE HIGH COURT OF NAMIBIA</w:t>
      </w:r>
    </w:p>
    <w:p w:rsidR="00281FAB" w:rsidRPr="006E49A3" w:rsidRDefault="00281FAB" w:rsidP="00EB27A0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73154" w:rsidRPr="006E49A3" w:rsidTr="005403D8">
        <w:trPr>
          <w:trHeight w:val="744"/>
        </w:trPr>
        <w:tc>
          <w:tcPr>
            <w:tcW w:w="5397" w:type="dxa"/>
            <w:gridSpan w:val="2"/>
            <w:vMerge w:val="restart"/>
          </w:tcPr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b/>
              </w:rPr>
              <w:t>Case Title:</w:t>
            </w:r>
          </w:p>
          <w:p w:rsidR="00C73154" w:rsidRPr="006E49A3" w:rsidRDefault="009F24FA" w:rsidP="006D2D8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shd w:val="clear" w:color="auto" w:fill="FFFFFF"/>
              </w:rPr>
              <w:t>ALEX KAMWI KAMWI // STANDARD BANK NAMIBIA</w:t>
            </w:r>
            <w:r w:rsidR="00F72F82" w:rsidRPr="006E49A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E49A3">
              <w:rPr>
                <w:rFonts w:ascii="Arial" w:hAnsi="Arial" w:cs="Arial"/>
                <w:shd w:val="clear" w:color="auto" w:fill="FFFFFF"/>
              </w:rPr>
              <w:t>LIMITED &amp; 2 OTHERS</w:t>
            </w:r>
          </w:p>
          <w:p w:rsidR="00C73154" w:rsidRPr="006E49A3" w:rsidRDefault="00C73154" w:rsidP="006D2D8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C73154" w:rsidRPr="006E49A3" w:rsidRDefault="00C73154" w:rsidP="00905A4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Case No:</w:t>
            </w:r>
          </w:p>
          <w:p w:rsidR="00C73154" w:rsidRPr="006E49A3" w:rsidRDefault="009F24FA" w:rsidP="008901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shd w:val="clear" w:color="auto" w:fill="FFFFFF"/>
              </w:rPr>
              <w:t>A 101/2011</w:t>
            </w:r>
          </w:p>
        </w:tc>
      </w:tr>
      <w:tr w:rsidR="00C73154" w:rsidRPr="006E49A3" w:rsidTr="005403D8">
        <w:trPr>
          <w:trHeight w:val="844"/>
        </w:trPr>
        <w:tc>
          <w:tcPr>
            <w:tcW w:w="5397" w:type="dxa"/>
            <w:gridSpan w:val="2"/>
            <w:vMerge/>
          </w:tcPr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b/>
              </w:rPr>
              <w:t>Division of Court:</w:t>
            </w:r>
          </w:p>
          <w:p w:rsidR="00C73154" w:rsidRPr="006E49A3" w:rsidRDefault="00C73154" w:rsidP="00092F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H</w:t>
            </w:r>
            <w:r w:rsidR="00092FD2" w:rsidRPr="006E49A3">
              <w:rPr>
                <w:rFonts w:ascii="Arial" w:hAnsi="Arial" w:cs="Arial"/>
              </w:rPr>
              <w:t>IGH COURT (MAIN DIVISION</w:t>
            </w:r>
            <w:r w:rsidR="00890143" w:rsidRPr="006E49A3">
              <w:rPr>
                <w:rFonts w:ascii="Arial" w:hAnsi="Arial" w:cs="Arial"/>
              </w:rPr>
              <w:t>)</w:t>
            </w:r>
          </w:p>
        </w:tc>
      </w:tr>
      <w:tr w:rsidR="005403D8" w:rsidRPr="006E49A3" w:rsidTr="005403D8">
        <w:trPr>
          <w:trHeight w:val="645"/>
        </w:trPr>
        <w:tc>
          <w:tcPr>
            <w:tcW w:w="5397" w:type="dxa"/>
            <w:gridSpan w:val="2"/>
            <w:vMerge w:val="restart"/>
          </w:tcPr>
          <w:p w:rsidR="005403D8" w:rsidRPr="006E49A3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Heard before:</w:t>
            </w:r>
          </w:p>
          <w:p w:rsidR="005403D8" w:rsidRPr="006E49A3" w:rsidRDefault="005403D8" w:rsidP="00092F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H</w:t>
            </w:r>
            <w:r w:rsidR="00092FD2" w:rsidRPr="006E49A3">
              <w:rPr>
                <w:rFonts w:ascii="Arial" w:hAnsi="Arial" w:cs="Arial"/>
              </w:rPr>
              <w:t>ONOURABLE MR JUSTICE ANGULA, DEPUTY JUDGE-PRESIDENT</w:t>
            </w:r>
          </w:p>
        </w:tc>
        <w:tc>
          <w:tcPr>
            <w:tcW w:w="4323" w:type="dxa"/>
          </w:tcPr>
          <w:p w:rsidR="005403D8" w:rsidRPr="006E49A3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Date of hearing:</w:t>
            </w:r>
          </w:p>
          <w:p w:rsidR="005403D8" w:rsidRPr="006E49A3" w:rsidRDefault="009F24FA" w:rsidP="00092FD2">
            <w:pPr>
              <w:spacing w:line="360" w:lineRule="auto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25 MARCH</w:t>
            </w:r>
            <w:r w:rsidR="00F72F82" w:rsidRPr="006E49A3">
              <w:rPr>
                <w:rFonts w:ascii="Arial" w:hAnsi="Arial" w:cs="Arial"/>
              </w:rPr>
              <w:t xml:space="preserve"> 2019</w:t>
            </w:r>
          </w:p>
        </w:tc>
      </w:tr>
      <w:tr w:rsidR="005403D8" w:rsidRPr="006E49A3" w:rsidTr="00FD38C2">
        <w:trPr>
          <w:trHeight w:val="588"/>
        </w:trPr>
        <w:tc>
          <w:tcPr>
            <w:tcW w:w="5397" w:type="dxa"/>
            <w:gridSpan w:val="2"/>
            <w:vMerge/>
          </w:tcPr>
          <w:p w:rsidR="005403D8" w:rsidRPr="006E49A3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</w:tcPr>
          <w:p w:rsidR="005403D8" w:rsidRPr="006E49A3" w:rsidRDefault="005403D8" w:rsidP="005403D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Delivered on:</w:t>
            </w:r>
          </w:p>
          <w:p w:rsidR="005403D8" w:rsidRPr="006E49A3" w:rsidRDefault="009F24FA" w:rsidP="009F24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</w:rPr>
              <w:t xml:space="preserve">17 APRIL </w:t>
            </w:r>
            <w:r w:rsidR="00F72F82" w:rsidRPr="006E49A3">
              <w:rPr>
                <w:rFonts w:ascii="Arial" w:hAnsi="Arial" w:cs="Arial"/>
              </w:rPr>
              <w:t>2019</w:t>
            </w:r>
          </w:p>
        </w:tc>
      </w:tr>
      <w:tr w:rsidR="005955B1" w:rsidRPr="006E49A3" w:rsidTr="00BB1E6E">
        <w:trPr>
          <w:trHeight w:val="908"/>
        </w:trPr>
        <w:tc>
          <w:tcPr>
            <w:tcW w:w="9720" w:type="dxa"/>
            <w:gridSpan w:val="3"/>
          </w:tcPr>
          <w:p w:rsidR="00F71EB9" w:rsidRPr="006E49A3" w:rsidRDefault="005955B1" w:rsidP="00AD0F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b/>
              </w:rPr>
              <w:t xml:space="preserve">Neutral citation: </w:t>
            </w:r>
            <w:r w:rsidR="009F24FA" w:rsidRPr="006E49A3">
              <w:rPr>
                <w:rFonts w:ascii="Arial" w:hAnsi="Arial" w:cs="Arial"/>
                <w:i/>
              </w:rPr>
              <w:t>Kamwi</w:t>
            </w:r>
            <w:r w:rsidR="00F72F82" w:rsidRPr="006E49A3">
              <w:rPr>
                <w:rFonts w:ascii="Arial" w:hAnsi="Arial" w:cs="Arial"/>
                <w:i/>
              </w:rPr>
              <w:t xml:space="preserve"> v </w:t>
            </w:r>
            <w:r w:rsidR="009F24FA" w:rsidRPr="006E49A3">
              <w:rPr>
                <w:rFonts w:ascii="Arial" w:hAnsi="Arial" w:cs="Arial"/>
                <w:i/>
              </w:rPr>
              <w:t>Standard Bank Namibia Limited</w:t>
            </w:r>
            <w:r w:rsidR="00B4625E" w:rsidRPr="006E49A3">
              <w:rPr>
                <w:rFonts w:ascii="Arial" w:hAnsi="Arial" w:cs="Arial"/>
                <w:b/>
              </w:rPr>
              <w:t xml:space="preserve"> </w:t>
            </w:r>
            <w:r w:rsidR="00B4625E" w:rsidRPr="006E49A3">
              <w:rPr>
                <w:rFonts w:ascii="Arial" w:hAnsi="Arial" w:cs="Arial"/>
              </w:rPr>
              <w:t>(</w:t>
            </w:r>
            <w:r w:rsidR="009F24FA" w:rsidRPr="006E49A3">
              <w:rPr>
                <w:rFonts w:ascii="Arial" w:hAnsi="Arial" w:cs="Arial"/>
                <w:shd w:val="clear" w:color="auto" w:fill="FFFFFF"/>
              </w:rPr>
              <w:t>A 101/2011</w:t>
            </w:r>
            <w:r w:rsidR="00B4625E" w:rsidRPr="006E49A3">
              <w:rPr>
                <w:rFonts w:ascii="Arial" w:hAnsi="Arial" w:cs="Arial"/>
              </w:rPr>
              <w:t>)</w:t>
            </w:r>
            <w:r w:rsidR="00B4625E" w:rsidRPr="006E49A3">
              <w:rPr>
                <w:rFonts w:ascii="Arial" w:hAnsi="Arial" w:cs="Arial"/>
                <w:b/>
              </w:rPr>
              <w:t xml:space="preserve"> </w:t>
            </w:r>
            <w:r w:rsidR="00B4625E" w:rsidRPr="006E49A3">
              <w:rPr>
                <w:rFonts w:ascii="Arial" w:hAnsi="Arial" w:cs="Arial"/>
              </w:rPr>
              <w:t>[201</w:t>
            </w:r>
            <w:r w:rsidR="00F72F82" w:rsidRPr="006E49A3">
              <w:rPr>
                <w:rFonts w:ascii="Arial" w:hAnsi="Arial" w:cs="Arial"/>
              </w:rPr>
              <w:t>9</w:t>
            </w:r>
            <w:r w:rsidR="00B4625E" w:rsidRPr="006E49A3">
              <w:rPr>
                <w:rFonts w:ascii="Arial" w:hAnsi="Arial" w:cs="Arial"/>
              </w:rPr>
              <w:t xml:space="preserve">] </w:t>
            </w:r>
            <w:r w:rsidRPr="006E49A3">
              <w:rPr>
                <w:rFonts w:ascii="Arial" w:hAnsi="Arial" w:cs="Arial"/>
              </w:rPr>
              <w:t xml:space="preserve">NAHCMD </w:t>
            </w:r>
            <w:r w:rsidR="00AD0FCD">
              <w:rPr>
                <w:rFonts w:ascii="Arial" w:hAnsi="Arial" w:cs="Arial"/>
              </w:rPr>
              <w:t>113</w:t>
            </w:r>
            <w:r w:rsidR="00B4625E" w:rsidRPr="006E49A3">
              <w:rPr>
                <w:rFonts w:ascii="Arial" w:hAnsi="Arial" w:cs="Arial"/>
              </w:rPr>
              <w:t xml:space="preserve"> (</w:t>
            </w:r>
            <w:r w:rsidR="009F24FA" w:rsidRPr="006E49A3">
              <w:rPr>
                <w:rFonts w:ascii="Arial" w:hAnsi="Arial" w:cs="Arial"/>
              </w:rPr>
              <w:t>17 April</w:t>
            </w:r>
            <w:r w:rsidR="00F72F82" w:rsidRPr="006E49A3">
              <w:rPr>
                <w:rFonts w:ascii="Arial" w:hAnsi="Arial" w:cs="Arial"/>
              </w:rPr>
              <w:t xml:space="preserve"> 2019</w:t>
            </w:r>
            <w:r w:rsidRPr="006E49A3">
              <w:rPr>
                <w:rFonts w:ascii="Arial" w:hAnsi="Arial" w:cs="Arial"/>
              </w:rPr>
              <w:t>)</w:t>
            </w:r>
          </w:p>
        </w:tc>
      </w:tr>
      <w:tr w:rsidR="00281FAB" w:rsidRPr="006E49A3" w:rsidTr="00EB27A0">
        <w:tc>
          <w:tcPr>
            <w:tcW w:w="9720" w:type="dxa"/>
            <w:gridSpan w:val="3"/>
          </w:tcPr>
          <w:p w:rsidR="00281FAB" w:rsidRPr="006E49A3" w:rsidRDefault="00281FAB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The order:</w:t>
            </w:r>
          </w:p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1FAB" w:rsidRPr="006E49A3" w:rsidRDefault="00FD38C2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Having heard</w:t>
            </w:r>
            <w:r w:rsidR="00C73154" w:rsidRPr="006E49A3">
              <w:rPr>
                <w:rFonts w:ascii="Arial" w:hAnsi="Arial" w:cs="Arial"/>
              </w:rPr>
              <w:t xml:space="preserve"> </w:t>
            </w:r>
            <w:r w:rsidR="009F24FA" w:rsidRPr="006E49A3">
              <w:rPr>
                <w:rFonts w:ascii="Arial" w:hAnsi="Arial" w:cs="Arial"/>
                <w:b/>
              </w:rPr>
              <w:t>Mr Kamwi</w:t>
            </w:r>
            <w:r w:rsidRPr="006E49A3">
              <w:rPr>
                <w:rFonts w:ascii="Arial" w:hAnsi="Arial" w:cs="Arial"/>
              </w:rPr>
              <w:t xml:space="preserve">, </w:t>
            </w:r>
            <w:r w:rsidR="00FF561E" w:rsidRPr="006E49A3">
              <w:rPr>
                <w:rFonts w:ascii="Arial" w:hAnsi="Arial" w:cs="Arial"/>
              </w:rPr>
              <w:t>the ap</w:t>
            </w:r>
            <w:r w:rsidR="00797247" w:rsidRPr="006E49A3">
              <w:rPr>
                <w:rFonts w:ascii="Arial" w:hAnsi="Arial" w:cs="Arial"/>
              </w:rPr>
              <w:t>plicant</w:t>
            </w:r>
            <w:r w:rsidR="009F24FA" w:rsidRPr="006E49A3">
              <w:rPr>
                <w:rFonts w:ascii="Arial" w:hAnsi="Arial" w:cs="Arial"/>
              </w:rPr>
              <w:t xml:space="preserve"> in person</w:t>
            </w:r>
            <w:r w:rsidRPr="006E49A3">
              <w:rPr>
                <w:rFonts w:ascii="Arial" w:hAnsi="Arial" w:cs="Arial"/>
              </w:rPr>
              <w:t xml:space="preserve">, and </w:t>
            </w:r>
            <w:r w:rsidR="00CF3D16" w:rsidRPr="006E49A3">
              <w:rPr>
                <w:rFonts w:ascii="Arial" w:hAnsi="Arial" w:cs="Arial"/>
                <w:b/>
              </w:rPr>
              <w:t xml:space="preserve">Mr </w:t>
            </w:r>
            <w:r w:rsidR="009F24FA" w:rsidRPr="006E49A3">
              <w:rPr>
                <w:rFonts w:ascii="Arial" w:hAnsi="Arial" w:cs="Arial"/>
                <w:b/>
              </w:rPr>
              <w:t>Vaatz</w:t>
            </w:r>
            <w:r w:rsidRPr="006E49A3">
              <w:rPr>
                <w:rFonts w:ascii="Arial" w:hAnsi="Arial" w:cs="Arial"/>
              </w:rPr>
              <w:t>,</w:t>
            </w:r>
            <w:r w:rsidR="00FF561E" w:rsidRPr="006E49A3">
              <w:rPr>
                <w:rFonts w:ascii="Arial" w:hAnsi="Arial" w:cs="Arial"/>
              </w:rPr>
              <w:t xml:space="preserve"> counsel for the</w:t>
            </w:r>
            <w:r w:rsidR="008D5B8D" w:rsidRPr="006E49A3">
              <w:rPr>
                <w:rFonts w:ascii="Arial" w:hAnsi="Arial" w:cs="Arial"/>
              </w:rPr>
              <w:t xml:space="preserve"> </w:t>
            </w:r>
            <w:r w:rsidR="009F24FA" w:rsidRPr="006E49A3">
              <w:rPr>
                <w:rFonts w:ascii="Arial" w:hAnsi="Arial" w:cs="Arial"/>
              </w:rPr>
              <w:t xml:space="preserve">first </w:t>
            </w:r>
            <w:r w:rsidR="009C7093" w:rsidRPr="006E49A3">
              <w:rPr>
                <w:rFonts w:ascii="Arial" w:hAnsi="Arial" w:cs="Arial"/>
              </w:rPr>
              <w:t>responden</w:t>
            </w:r>
            <w:r w:rsidRPr="006E49A3">
              <w:rPr>
                <w:rFonts w:ascii="Arial" w:hAnsi="Arial" w:cs="Arial"/>
              </w:rPr>
              <w:t>t, and having read</w:t>
            </w:r>
            <w:r w:rsidR="006D2D84" w:rsidRPr="006E49A3">
              <w:rPr>
                <w:rFonts w:ascii="Arial" w:hAnsi="Arial" w:cs="Arial"/>
              </w:rPr>
              <w:t xml:space="preserve"> the documents filed of record:</w:t>
            </w:r>
          </w:p>
          <w:p w:rsidR="00EB27A0" w:rsidRPr="006E49A3" w:rsidRDefault="00EB27A0" w:rsidP="00EB27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27A0" w:rsidRPr="006E49A3" w:rsidRDefault="00EB27A0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IT IS ORDERED THAT:</w:t>
            </w:r>
          </w:p>
          <w:p w:rsidR="008D65E9" w:rsidRPr="006E49A3" w:rsidRDefault="008D65E9" w:rsidP="00EB27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47AE" w:rsidRPr="006E49A3" w:rsidRDefault="00EE19B5" w:rsidP="00393E4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 xml:space="preserve">The applicant is hereby released from the obligation to furnish security for the </w:t>
            </w:r>
            <w:r w:rsidR="006E49A3" w:rsidRPr="006E49A3">
              <w:rPr>
                <w:rFonts w:ascii="Arial" w:hAnsi="Arial" w:cs="Arial"/>
              </w:rPr>
              <w:t>r</w:t>
            </w:r>
            <w:r w:rsidRPr="006E49A3">
              <w:rPr>
                <w:rFonts w:ascii="Arial" w:hAnsi="Arial" w:cs="Arial"/>
              </w:rPr>
              <w:t>espo</w:t>
            </w:r>
            <w:r w:rsidR="00DD1F31" w:rsidRPr="006E49A3">
              <w:rPr>
                <w:rFonts w:ascii="Arial" w:hAnsi="Arial" w:cs="Arial"/>
              </w:rPr>
              <w:t xml:space="preserve">ndent’s costs in respect of </w:t>
            </w:r>
            <w:r w:rsidRPr="006E49A3">
              <w:rPr>
                <w:rFonts w:ascii="Arial" w:hAnsi="Arial" w:cs="Arial"/>
              </w:rPr>
              <w:t>his appeal to the Supreme Court under case number</w:t>
            </w:r>
            <w:r w:rsidR="00364D3C" w:rsidRPr="006E49A3">
              <w:rPr>
                <w:rFonts w:ascii="Arial" w:hAnsi="Arial" w:cs="Arial"/>
              </w:rPr>
              <w:t xml:space="preserve"> SA</w:t>
            </w:r>
            <w:r w:rsidR="006E49A3" w:rsidRPr="006E49A3">
              <w:rPr>
                <w:rFonts w:ascii="Arial" w:hAnsi="Arial" w:cs="Arial"/>
              </w:rPr>
              <w:t xml:space="preserve"> </w:t>
            </w:r>
            <w:r w:rsidR="00364D3C" w:rsidRPr="006E49A3">
              <w:rPr>
                <w:rFonts w:ascii="Arial" w:hAnsi="Arial" w:cs="Arial"/>
              </w:rPr>
              <w:t>54/2018</w:t>
            </w:r>
            <w:r w:rsidR="006E49A3" w:rsidRPr="006E49A3">
              <w:rPr>
                <w:rFonts w:ascii="Arial" w:hAnsi="Arial" w:cs="Arial"/>
              </w:rPr>
              <w:t>.</w:t>
            </w:r>
          </w:p>
          <w:p w:rsidR="007447AE" w:rsidRPr="006E49A3" w:rsidRDefault="007447AE" w:rsidP="00393E41">
            <w:pPr>
              <w:spacing w:line="36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A48" w:rsidRPr="006E49A3" w:rsidRDefault="00EE19B5" w:rsidP="00393E4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There is  no order as to costs in respect of this application</w:t>
            </w:r>
          </w:p>
          <w:p w:rsidR="00837272" w:rsidRPr="006E49A3" w:rsidRDefault="00837272" w:rsidP="008D5B8D">
            <w:pPr>
              <w:spacing w:line="36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D16" w:rsidRPr="006E49A3" w:rsidRDefault="00EE19B5" w:rsidP="00364D3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The matter is removed from the roll and is considered as finalised.</w:t>
            </w:r>
          </w:p>
          <w:p w:rsidR="00686B3F" w:rsidRPr="006E49A3" w:rsidRDefault="00686B3F" w:rsidP="00A258A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1FAB" w:rsidRPr="006E49A3" w:rsidTr="00EB27A0">
        <w:tc>
          <w:tcPr>
            <w:tcW w:w="9720" w:type="dxa"/>
            <w:gridSpan w:val="3"/>
          </w:tcPr>
          <w:p w:rsidR="00281FAB" w:rsidRPr="006E49A3" w:rsidRDefault="00EB27A0" w:rsidP="006E4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 xml:space="preserve">Reasons for </w:t>
            </w:r>
            <w:r w:rsidR="006E49A3" w:rsidRPr="006E49A3">
              <w:rPr>
                <w:rFonts w:ascii="Arial" w:hAnsi="Arial" w:cs="Arial"/>
                <w:b/>
              </w:rPr>
              <w:t xml:space="preserve">the above </w:t>
            </w:r>
            <w:r w:rsidR="00864008" w:rsidRPr="006E49A3">
              <w:rPr>
                <w:rFonts w:ascii="Arial" w:hAnsi="Arial" w:cs="Arial"/>
                <w:b/>
              </w:rPr>
              <w:t>order</w:t>
            </w:r>
            <w:r w:rsidR="00A14435" w:rsidRPr="006E49A3">
              <w:rPr>
                <w:rFonts w:ascii="Arial" w:hAnsi="Arial" w:cs="Arial"/>
                <w:b/>
              </w:rPr>
              <w:t>:</w:t>
            </w:r>
          </w:p>
        </w:tc>
      </w:tr>
      <w:tr w:rsidR="00281FAB" w:rsidRPr="006E49A3" w:rsidTr="00EB27A0">
        <w:tc>
          <w:tcPr>
            <w:tcW w:w="9720" w:type="dxa"/>
            <w:gridSpan w:val="3"/>
          </w:tcPr>
          <w:p w:rsidR="00BB1E6E" w:rsidRPr="006E49A3" w:rsidRDefault="00BB1E6E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4515E" w:rsidRPr="006E49A3" w:rsidRDefault="009C7093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 xml:space="preserve">[1]   </w:t>
            </w:r>
            <w:r w:rsidR="00EE19B5" w:rsidRPr="006E49A3">
              <w:rPr>
                <w:rFonts w:ascii="Arial" w:hAnsi="Arial" w:cs="Arial"/>
              </w:rPr>
              <w:t>The applicant has satisfied the Court on a balance of probability that he is not in a financial position</w:t>
            </w:r>
            <w:r w:rsidR="00DD1F31" w:rsidRPr="006E49A3">
              <w:rPr>
                <w:rFonts w:ascii="Arial" w:hAnsi="Arial" w:cs="Arial"/>
              </w:rPr>
              <w:t xml:space="preserve"> to</w:t>
            </w:r>
            <w:r w:rsidR="00EE19B5" w:rsidRPr="006E49A3">
              <w:rPr>
                <w:rFonts w:ascii="Arial" w:hAnsi="Arial" w:cs="Arial"/>
              </w:rPr>
              <w:t xml:space="preserve"> pay security for costs to the respondent in respect of h</w:t>
            </w:r>
            <w:r w:rsidR="006E49A3" w:rsidRPr="006E49A3">
              <w:rPr>
                <w:rFonts w:ascii="Arial" w:hAnsi="Arial" w:cs="Arial"/>
              </w:rPr>
              <w:t>is appeal to the Supreme Court.</w:t>
            </w:r>
          </w:p>
          <w:p w:rsidR="00B53D6D" w:rsidRPr="006E49A3" w:rsidRDefault="00B53D6D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C4D82" w:rsidRPr="006E49A3" w:rsidRDefault="00A6494E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 xml:space="preserve">[2] </w:t>
            </w:r>
            <w:r w:rsidR="009C7093" w:rsidRPr="006E49A3">
              <w:rPr>
                <w:rFonts w:ascii="Arial" w:hAnsi="Arial" w:cs="Arial"/>
              </w:rPr>
              <w:t xml:space="preserve">  </w:t>
            </w:r>
            <w:r w:rsidR="00EE19B5" w:rsidRPr="006E49A3">
              <w:rPr>
                <w:rFonts w:ascii="Arial" w:hAnsi="Arial" w:cs="Arial"/>
              </w:rPr>
              <w:t>The foregoing finding is based on the undisputed evidence before Court tha</w:t>
            </w:r>
            <w:r w:rsidR="00DD1F31" w:rsidRPr="006E49A3">
              <w:rPr>
                <w:rFonts w:ascii="Arial" w:hAnsi="Arial" w:cs="Arial"/>
              </w:rPr>
              <w:t xml:space="preserve">t the applicant is a pensioner </w:t>
            </w:r>
            <w:r w:rsidR="00EE19B5" w:rsidRPr="006E49A3">
              <w:rPr>
                <w:rFonts w:ascii="Arial" w:hAnsi="Arial" w:cs="Arial"/>
              </w:rPr>
              <w:t>and has no other income</w:t>
            </w:r>
            <w:r w:rsidR="00DD1F31" w:rsidRPr="006E49A3">
              <w:rPr>
                <w:rFonts w:ascii="Arial" w:hAnsi="Arial" w:cs="Arial"/>
              </w:rPr>
              <w:t>,</w:t>
            </w:r>
            <w:r w:rsidR="00EE19B5" w:rsidRPr="006E49A3">
              <w:rPr>
                <w:rFonts w:ascii="Arial" w:hAnsi="Arial" w:cs="Arial"/>
              </w:rPr>
              <w:t xml:space="preserve"> </w:t>
            </w:r>
            <w:r w:rsidR="0039308E" w:rsidRPr="006E49A3">
              <w:rPr>
                <w:rFonts w:ascii="Arial" w:hAnsi="Arial" w:cs="Arial"/>
              </w:rPr>
              <w:t>notwithstanding the fact that he claims to be a businessman and a legal advisor. On the evidence it turned out that he has no business and does not give legal advice from</w:t>
            </w:r>
            <w:r w:rsidR="00DD1F31" w:rsidRPr="006E49A3">
              <w:rPr>
                <w:rFonts w:ascii="Arial" w:hAnsi="Arial" w:cs="Arial"/>
              </w:rPr>
              <w:t xml:space="preserve"> where</w:t>
            </w:r>
            <w:r w:rsidR="0039308E" w:rsidRPr="006E49A3">
              <w:rPr>
                <w:rFonts w:ascii="Arial" w:hAnsi="Arial" w:cs="Arial"/>
              </w:rPr>
              <w:t xml:space="preserve"> he earns an income. His bank statement attached to his supporting affidavit </w:t>
            </w:r>
            <w:r w:rsidR="0039308E" w:rsidRPr="006E49A3">
              <w:rPr>
                <w:rFonts w:ascii="Arial" w:hAnsi="Arial" w:cs="Arial"/>
              </w:rPr>
              <w:lastRenderedPageBreak/>
              <w:t>indicates a single monthly income from the Government social grant paid to pensioners. The Court is therefore satisfied that the applicant is an indigent person.</w:t>
            </w:r>
          </w:p>
          <w:p w:rsidR="00422CA6" w:rsidRPr="006E49A3" w:rsidRDefault="00422CA6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3F8A" w:rsidRPr="006E49A3" w:rsidRDefault="00A6494E" w:rsidP="00422C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[3]</w:t>
            </w:r>
            <w:r w:rsidR="00B53D6D" w:rsidRPr="006E49A3">
              <w:rPr>
                <w:rFonts w:ascii="Arial" w:hAnsi="Arial" w:cs="Arial"/>
              </w:rPr>
              <w:t xml:space="preserve"> </w:t>
            </w:r>
            <w:r w:rsidR="006E49A3" w:rsidRPr="006E49A3">
              <w:rPr>
                <w:rFonts w:ascii="Arial" w:hAnsi="Arial" w:cs="Arial"/>
              </w:rPr>
              <w:t xml:space="preserve">  </w:t>
            </w:r>
            <w:r w:rsidR="0039308E" w:rsidRPr="006E49A3">
              <w:rPr>
                <w:rFonts w:ascii="Arial" w:hAnsi="Arial" w:cs="Arial"/>
              </w:rPr>
              <w:t xml:space="preserve">The Court is </w:t>
            </w:r>
            <w:r w:rsidR="00090783" w:rsidRPr="006E49A3">
              <w:rPr>
                <w:rFonts w:ascii="Arial" w:hAnsi="Arial" w:cs="Arial"/>
              </w:rPr>
              <w:t xml:space="preserve">therefore, on the facts of this matter, </w:t>
            </w:r>
            <w:r w:rsidR="0039308E" w:rsidRPr="006E49A3">
              <w:rPr>
                <w:rFonts w:ascii="Arial" w:hAnsi="Arial" w:cs="Arial"/>
              </w:rPr>
              <w:t xml:space="preserve">of the view </w:t>
            </w:r>
            <w:r w:rsidR="00090783" w:rsidRPr="006E49A3">
              <w:rPr>
                <w:rFonts w:ascii="Arial" w:hAnsi="Arial" w:cs="Arial"/>
              </w:rPr>
              <w:t>that it would not be in the interest of justice to deny the applicant access to the Supreme Court, in order to pursue his c</w:t>
            </w:r>
            <w:r w:rsidR="00711F52" w:rsidRPr="006E49A3">
              <w:rPr>
                <w:rFonts w:ascii="Arial" w:hAnsi="Arial" w:cs="Arial"/>
              </w:rPr>
              <w:t xml:space="preserve">ause, merely because he cannot </w:t>
            </w:r>
            <w:r w:rsidR="00090783" w:rsidRPr="006E49A3">
              <w:rPr>
                <w:rFonts w:ascii="Arial" w:hAnsi="Arial" w:cs="Arial"/>
              </w:rPr>
              <w:t>put up a security for costs.</w:t>
            </w:r>
            <w:r w:rsidR="00364D3C" w:rsidRPr="006E49A3">
              <w:rPr>
                <w:rFonts w:ascii="Arial" w:hAnsi="Arial" w:cs="Arial"/>
              </w:rPr>
              <w:t xml:space="preserve"> It is also necessary that the Supreme Court makes a pronouncement regarding the claim for fees and disbursements by a successful litigant who is not </w:t>
            </w:r>
            <w:r w:rsidR="006E49A3" w:rsidRPr="006E49A3">
              <w:rPr>
                <w:rFonts w:ascii="Arial" w:hAnsi="Arial" w:cs="Arial"/>
              </w:rPr>
              <w:t>an admitted legal practitioner.</w:t>
            </w:r>
          </w:p>
          <w:p w:rsidR="00711F52" w:rsidRPr="006E49A3" w:rsidRDefault="00711F52" w:rsidP="00422CA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5489" w:rsidRPr="006E49A3" w:rsidTr="00C04EBD">
        <w:tc>
          <w:tcPr>
            <w:tcW w:w="4770" w:type="dxa"/>
          </w:tcPr>
          <w:p w:rsidR="00BE5489" w:rsidRPr="006E49A3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6E49A3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Note to the parties:</w:t>
            </w:r>
          </w:p>
        </w:tc>
      </w:tr>
      <w:tr w:rsidR="00BE5489" w:rsidRPr="006E49A3" w:rsidTr="0050338C">
        <w:trPr>
          <w:trHeight w:val="1114"/>
        </w:trPr>
        <w:tc>
          <w:tcPr>
            <w:tcW w:w="4770" w:type="dxa"/>
          </w:tcPr>
          <w:p w:rsidR="00BE5489" w:rsidRPr="006E49A3" w:rsidRDefault="00BE5489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2D84" w:rsidRPr="006E49A3" w:rsidRDefault="006D2D8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F6C8B" w:rsidRPr="006E49A3" w:rsidRDefault="009F6C8B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2"/>
          </w:tcPr>
          <w:p w:rsidR="00BE5489" w:rsidRPr="006E49A3" w:rsidRDefault="0060394A" w:rsidP="009521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Not applicable.</w:t>
            </w:r>
          </w:p>
        </w:tc>
      </w:tr>
      <w:tr w:rsidR="00A23F8A" w:rsidRPr="006E49A3" w:rsidTr="00B530B4">
        <w:tc>
          <w:tcPr>
            <w:tcW w:w="9720" w:type="dxa"/>
            <w:gridSpan w:val="3"/>
          </w:tcPr>
          <w:p w:rsidR="00A23F8A" w:rsidRPr="006E49A3" w:rsidRDefault="00A23F8A" w:rsidP="00A23F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Counsel:</w:t>
            </w:r>
          </w:p>
        </w:tc>
      </w:tr>
      <w:tr w:rsidR="00FD38C2" w:rsidRPr="006E49A3" w:rsidTr="00FD38C2">
        <w:tc>
          <w:tcPr>
            <w:tcW w:w="4770" w:type="dxa"/>
          </w:tcPr>
          <w:p w:rsidR="00FD38C2" w:rsidRPr="006E49A3" w:rsidRDefault="00890143" w:rsidP="008901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4950" w:type="dxa"/>
            <w:gridSpan w:val="2"/>
          </w:tcPr>
          <w:p w:rsidR="00FD38C2" w:rsidRPr="006E49A3" w:rsidRDefault="009F24FA" w:rsidP="006E4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 xml:space="preserve">First </w:t>
            </w:r>
            <w:r w:rsidR="006E49A3">
              <w:rPr>
                <w:rFonts w:ascii="Arial" w:hAnsi="Arial" w:cs="Arial"/>
                <w:b/>
              </w:rPr>
              <w:t>r</w:t>
            </w:r>
            <w:r w:rsidR="0050338C" w:rsidRPr="006E49A3">
              <w:rPr>
                <w:rFonts w:ascii="Arial" w:hAnsi="Arial" w:cs="Arial"/>
                <w:b/>
              </w:rPr>
              <w:t>espondent</w:t>
            </w:r>
          </w:p>
        </w:tc>
      </w:tr>
      <w:tr w:rsidR="00A23F8A" w:rsidRPr="006E49A3" w:rsidTr="00FD38C2">
        <w:tc>
          <w:tcPr>
            <w:tcW w:w="4770" w:type="dxa"/>
          </w:tcPr>
          <w:p w:rsidR="006D2D84" w:rsidRPr="006E49A3" w:rsidRDefault="006D2D84" w:rsidP="009F2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F24FA" w:rsidRPr="006E49A3" w:rsidRDefault="009F24FA" w:rsidP="009F24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In person</w:t>
            </w:r>
          </w:p>
        </w:tc>
        <w:tc>
          <w:tcPr>
            <w:tcW w:w="4950" w:type="dxa"/>
            <w:gridSpan w:val="2"/>
          </w:tcPr>
          <w:p w:rsidR="00A23F8A" w:rsidRPr="006E49A3" w:rsidRDefault="009F24FA" w:rsidP="005033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A Vaatz</w:t>
            </w:r>
          </w:p>
          <w:p w:rsidR="00B160EB" w:rsidRPr="006E49A3" w:rsidRDefault="009F24FA" w:rsidP="0050338C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6E49A3">
              <w:rPr>
                <w:rFonts w:ascii="Arial" w:hAnsi="Arial" w:cs="Arial"/>
                <w:i/>
              </w:rPr>
              <w:t>of</w:t>
            </w:r>
          </w:p>
          <w:p w:rsidR="006E49A3" w:rsidRPr="006E49A3" w:rsidRDefault="009F24FA" w:rsidP="006E49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Andreas Vaatz &amp; Partners</w:t>
            </w:r>
            <w:r w:rsidR="00997334" w:rsidRPr="006E49A3">
              <w:rPr>
                <w:rFonts w:ascii="Arial" w:hAnsi="Arial" w:cs="Arial"/>
              </w:rPr>
              <w:t>, Windhoek</w:t>
            </w:r>
          </w:p>
        </w:tc>
      </w:tr>
    </w:tbl>
    <w:p w:rsidR="009B096F" w:rsidRPr="006E49A3" w:rsidRDefault="009B096F" w:rsidP="00EB27A0">
      <w:pPr>
        <w:spacing w:after="0" w:line="360" w:lineRule="auto"/>
        <w:jc w:val="both"/>
        <w:rPr>
          <w:rFonts w:ascii="Arial" w:hAnsi="Arial" w:cs="Arial"/>
        </w:rPr>
      </w:pPr>
    </w:p>
    <w:p w:rsidR="00422CA6" w:rsidRPr="006E49A3" w:rsidRDefault="00422CA6" w:rsidP="00EB27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22CA6" w:rsidRPr="006E49A3" w:rsidSect="00BB1E6E">
      <w:footerReference w:type="default" r:id="rId8"/>
      <w:pgSz w:w="11906" w:h="16838"/>
      <w:pgMar w:top="1134" w:right="1440" w:bottom="1134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D4" w:rsidRDefault="00485DD4" w:rsidP="00A23F8A">
      <w:pPr>
        <w:spacing w:after="0" w:line="240" w:lineRule="auto"/>
      </w:pPr>
      <w:r>
        <w:separator/>
      </w:r>
    </w:p>
  </w:endnote>
  <w:endnote w:type="continuationSeparator" w:id="0">
    <w:p w:rsidR="00485DD4" w:rsidRDefault="00485DD4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7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F8A" w:rsidRDefault="00A23F8A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1F5B7F">
          <w:rPr>
            <w:rFonts w:ascii="Arial Narrow" w:hAnsi="Arial Narrow"/>
            <w:noProof/>
            <w:sz w:val="18"/>
            <w:szCs w:val="18"/>
          </w:rPr>
          <w:t>2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D4" w:rsidRDefault="00485DD4" w:rsidP="00A23F8A">
      <w:pPr>
        <w:spacing w:after="0" w:line="240" w:lineRule="auto"/>
      </w:pPr>
      <w:r>
        <w:separator/>
      </w:r>
    </w:p>
  </w:footnote>
  <w:footnote w:type="continuationSeparator" w:id="0">
    <w:p w:rsidR="00485DD4" w:rsidRDefault="00485DD4" w:rsidP="00A2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5C20"/>
    <w:multiLevelType w:val="hybridMultilevel"/>
    <w:tmpl w:val="0828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1676"/>
    <w:multiLevelType w:val="hybridMultilevel"/>
    <w:tmpl w:val="891C9018"/>
    <w:lvl w:ilvl="0" w:tplc="21F07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76F"/>
    <w:multiLevelType w:val="hybridMultilevel"/>
    <w:tmpl w:val="0F5456CA"/>
    <w:lvl w:ilvl="0" w:tplc="76D411F8">
      <w:start w:val="1"/>
      <w:numFmt w:val="decimal"/>
      <w:lvlText w:val="2.%1"/>
      <w:lvlJc w:val="left"/>
      <w:pPr>
        <w:ind w:left="48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617" w:hanging="360"/>
      </w:pPr>
    </w:lvl>
    <w:lvl w:ilvl="2" w:tplc="1C09001B" w:tentative="1">
      <w:start w:val="1"/>
      <w:numFmt w:val="lowerRoman"/>
      <w:lvlText w:val="%3."/>
      <w:lvlJc w:val="right"/>
      <w:pPr>
        <w:ind w:left="6337" w:hanging="180"/>
      </w:pPr>
    </w:lvl>
    <w:lvl w:ilvl="3" w:tplc="1C09000F" w:tentative="1">
      <w:start w:val="1"/>
      <w:numFmt w:val="decimal"/>
      <w:lvlText w:val="%4."/>
      <w:lvlJc w:val="left"/>
      <w:pPr>
        <w:ind w:left="7057" w:hanging="360"/>
      </w:pPr>
    </w:lvl>
    <w:lvl w:ilvl="4" w:tplc="1C090019" w:tentative="1">
      <w:start w:val="1"/>
      <w:numFmt w:val="lowerLetter"/>
      <w:lvlText w:val="%5."/>
      <w:lvlJc w:val="left"/>
      <w:pPr>
        <w:ind w:left="7777" w:hanging="360"/>
      </w:pPr>
    </w:lvl>
    <w:lvl w:ilvl="5" w:tplc="1C09001B" w:tentative="1">
      <w:start w:val="1"/>
      <w:numFmt w:val="lowerRoman"/>
      <w:lvlText w:val="%6."/>
      <w:lvlJc w:val="right"/>
      <w:pPr>
        <w:ind w:left="8497" w:hanging="180"/>
      </w:pPr>
    </w:lvl>
    <w:lvl w:ilvl="6" w:tplc="1C09000F" w:tentative="1">
      <w:start w:val="1"/>
      <w:numFmt w:val="decimal"/>
      <w:lvlText w:val="%7."/>
      <w:lvlJc w:val="left"/>
      <w:pPr>
        <w:ind w:left="9217" w:hanging="360"/>
      </w:pPr>
    </w:lvl>
    <w:lvl w:ilvl="7" w:tplc="1C090019" w:tentative="1">
      <w:start w:val="1"/>
      <w:numFmt w:val="lowerLetter"/>
      <w:lvlText w:val="%8."/>
      <w:lvlJc w:val="left"/>
      <w:pPr>
        <w:ind w:left="9937" w:hanging="360"/>
      </w:pPr>
    </w:lvl>
    <w:lvl w:ilvl="8" w:tplc="1C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3512E"/>
    <w:multiLevelType w:val="hybridMultilevel"/>
    <w:tmpl w:val="F8740784"/>
    <w:lvl w:ilvl="0" w:tplc="AF90C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007708"/>
    <w:rsid w:val="00062068"/>
    <w:rsid w:val="00065CE7"/>
    <w:rsid w:val="00090783"/>
    <w:rsid w:val="00092FD2"/>
    <w:rsid w:val="000C0A07"/>
    <w:rsid w:val="000D5FE9"/>
    <w:rsid w:val="000E362A"/>
    <w:rsid w:val="000F1180"/>
    <w:rsid w:val="00112D50"/>
    <w:rsid w:val="00113321"/>
    <w:rsid w:val="00124EC8"/>
    <w:rsid w:val="001338C3"/>
    <w:rsid w:val="001417E6"/>
    <w:rsid w:val="00165FEE"/>
    <w:rsid w:val="0017153C"/>
    <w:rsid w:val="001804AD"/>
    <w:rsid w:val="001B710C"/>
    <w:rsid w:val="001D41D2"/>
    <w:rsid w:val="001E39EE"/>
    <w:rsid w:val="001F1ECD"/>
    <w:rsid w:val="001F4A48"/>
    <w:rsid w:val="001F5B7F"/>
    <w:rsid w:val="002002FA"/>
    <w:rsid w:val="00203E3D"/>
    <w:rsid w:val="002100DF"/>
    <w:rsid w:val="002207D9"/>
    <w:rsid w:val="00223D66"/>
    <w:rsid w:val="00263A9B"/>
    <w:rsid w:val="00281A10"/>
    <w:rsid w:val="00281FAB"/>
    <w:rsid w:val="002B1C34"/>
    <w:rsid w:val="002C3150"/>
    <w:rsid w:val="002D4C2A"/>
    <w:rsid w:val="002E3BFB"/>
    <w:rsid w:val="00300CF7"/>
    <w:rsid w:val="0030287B"/>
    <w:rsid w:val="00323762"/>
    <w:rsid w:val="00334EC0"/>
    <w:rsid w:val="003375D1"/>
    <w:rsid w:val="00342AC5"/>
    <w:rsid w:val="00347DBC"/>
    <w:rsid w:val="00364D3C"/>
    <w:rsid w:val="00371CD0"/>
    <w:rsid w:val="0039308E"/>
    <w:rsid w:val="00393E41"/>
    <w:rsid w:val="00396AF1"/>
    <w:rsid w:val="003A0103"/>
    <w:rsid w:val="003A7E2F"/>
    <w:rsid w:val="003C4613"/>
    <w:rsid w:val="003E3D0D"/>
    <w:rsid w:val="003E50E8"/>
    <w:rsid w:val="003F52A2"/>
    <w:rsid w:val="003F63E0"/>
    <w:rsid w:val="00410D2F"/>
    <w:rsid w:val="00422CA6"/>
    <w:rsid w:val="00425554"/>
    <w:rsid w:val="004514DE"/>
    <w:rsid w:val="004546CC"/>
    <w:rsid w:val="00456199"/>
    <w:rsid w:val="00485DD4"/>
    <w:rsid w:val="004B355E"/>
    <w:rsid w:val="004B5538"/>
    <w:rsid w:val="004B5E87"/>
    <w:rsid w:val="004E7D33"/>
    <w:rsid w:val="0050338C"/>
    <w:rsid w:val="005234EE"/>
    <w:rsid w:val="005403D8"/>
    <w:rsid w:val="00560857"/>
    <w:rsid w:val="00562A14"/>
    <w:rsid w:val="005955B1"/>
    <w:rsid w:val="005A66F8"/>
    <w:rsid w:val="005B7A31"/>
    <w:rsid w:val="005D0592"/>
    <w:rsid w:val="005D6172"/>
    <w:rsid w:val="005D7161"/>
    <w:rsid w:val="005E5A8F"/>
    <w:rsid w:val="0060394A"/>
    <w:rsid w:val="006039AA"/>
    <w:rsid w:val="00621EE8"/>
    <w:rsid w:val="0062225A"/>
    <w:rsid w:val="006475B1"/>
    <w:rsid w:val="00652595"/>
    <w:rsid w:val="006629F3"/>
    <w:rsid w:val="00666306"/>
    <w:rsid w:val="00686B3F"/>
    <w:rsid w:val="006B1F56"/>
    <w:rsid w:val="006C2872"/>
    <w:rsid w:val="006D1141"/>
    <w:rsid w:val="006D22F9"/>
    <w:rsid w:val="006D2D84"/>
    <w:rsid w:val="006E2964"/>
    <w:rsid w:val="006E49A3"/>
    <w:rsid w:val="00711F52"/>
    <w:rsid w:val="00715AD2"/>
    <w:rsid w:val="00723F03"/>
    <w:rsid w:val="0072640A"/>
    <w:rsid w:val="0073012B"/>
    <w:rsid w:val="007447AE"/>
    <w:rsid w:val="00764071"/>
    <w:rsid w:val="0078341F"/>
    <w:rsid w:val="0079456D"/>
    <w:rsid w:val="00797188"/>
    <w:rsid w:val="00797247"/>
    <w:rsid w:val="00805BCE"/>
    <w:rsid w:val="00806B14"/>
    <w:rsid w:val="00812E09"/>
    <w:rsid w:val="0081352A"/>
    <w:rsid w:val="00823237"/>
    <w:rsid w:val="00825474"/>
    <w:rsid w:val="00837272"/>
    <w:rsid w:val="00851B88"/>
    <w:rsid w:val="00864008"/>
    <w:rsid w:val="00864FC2"/>
    <w:rsid w:val="00890143"/>
    <w:rsid w:val="008930A5"/>
    <w:rsid w:val="008A14A9"/>
    <w:rsid w:val="008B1C23"/>
    <w:rsid w:val="008C0AC7"/>
    <w:rsid w:val="008D2B93"/>
    <w:rsid w:val="008D5B8D"/>
    <w:rsid w:val="008D65E9"/>
    <w:rsid w:val="008D79D4"/>
    <w:rsid w:val="00902CE8"/>
    <w:rsid w:val="00905A48"/>
    <w:rsid w:val="00912D4E"/>
    <w:rsid w:val="00913A1D"/>
    <w:rsid w:val="00947BEE"/>
    <w:rsid w:val="00952193"/>
    <w:rsid w:val="009633A4"/>
    <w:rsid w:val="0098277A"/>
    <w:rsid w:val="00997334"/>
    <w:rsid w:val="009A5F60"/>
    <w:rsid w:val="009B096F"/>
    <w:rsid w:val="009C7093"/>
    <w:rsid w:val="009F24FA"/>
    <w:rsid w:val="009F6C8B"/>
    <w:rsid w:val="00A06FD8"/>
    <w:rsid w:val="00A14435"/>
    <w:rsid w:val="00A16AC6"/>
    <w:rsid w:val="00A23F8A"/>
    <w:rsid w:val="00A258AF"/>
    <w:rsid w:val="00A40097"/>
    <w:rsid w:val="00A4515E"/>
    <w:rsid w:val="00A5368E"/>
    <w:rsid w:val="00A5758F"/>
    <w:rsid w:val="00A635A8"/>
    <w:rsid w:val="00A6494E"/>
    <w:rsid w:val="00A772D3"/>
    <w:rsid w:val="00A81203"/>
    <w:rsid w:val="00A82F94"/>
    <w:rsid w:val="00AB5193"/>
    <w:rsid w:val="00AC4198"/>
    <w:rsid w:val="00AD0FCD"/>
    <w:rsid w:val="00B07B4B"/>
    <w:rsid w:val="00B160EB"/>
    <w:rsid w:val="00B1649C"/>
    <w:rsid w:val="00B30012"/>
    <w:rsid w:val="00B337FC"/>
    <w:rsid w:val="00B40BBE"/>
    <w:rsid w:val="00B4625E"/>
    <w:rsid w:val="00B53D6D"/>
    <w:rsid w:val="00B66325"/>
    <w:rsid w:val="00B76671"/>
    <w:rsid w:val="00B8518D"/>
    <w:rsid w:val="00BA213D"/>
    <w:rsid w:val="00BA3715"/>
    <w:rsid w:val="00BA48EA"/>
    <w:rsid w:val="00BB1E6E"/>
    <w:rsid w:val="00BB388A"/>
    <w:rsid w:val="00BC4D4A"/>
    <w:rsid w:val="00BE5489"/>
    <w:rsid w:val="00BE7DE8"/>
    <w:rsid w:val="00BF539E"/>
    <w:rsid w:val="00BF6DAE"/>
    <w:rsid w:val="00C04EBD"/>
    <w:rsid w:val="00C06B39"/>
    <w:rsid w:val="00C10C58"/>
    <w:rsid w:val="00C249D9"/>
    <w:rsid w:val="00C332BE"/>
    <w:rsid w:val="00C356C5"/>
    <w:rsid w:val="00C50A1F"/>
    <w:rsid w:val="00C73154"/>
    <w:rsid w:val="00CA4320"/>
    <w:rsid w:val="00CC191C"/>
    <w:rsid w:val="00CC4D82"/>
    <w:rsid w:val="00CC4E7A"/>
    <w:rsid w:val="00CC5024"/>
    <w:rsid w:val="00CF3D16"/>
    <w:rsid w:val="00CF6287"/>
    <w:rsid w:val="00D0287E"/>
    <w:rsid w:val="00D10858"/>
    <w:rsid w:val="00D22ACF"/>
    <w:rsid w:val="00D40029"/>
    <w:rsid w:val="00D64023"/>
    <w:rsid w:val="00D73FFF"/>
    <w:rsid w:val="00D862BF"/>
    <w:rsid w:val="00DD1F31"/>
    <w:rsid w:val="00E1002B"/>
    <w:rsid w:val="00E256F6"/>
    <w:rsid w:val="00E3339B"/>
    <w:rsid w:val="00E41C88"/>
    <w:rsid w:val="00E44BBF"/>
    <w:rsid w:val="00E619CB"/>
    <w:rsid w:val="00E765F9"/>
    <w:rsid w:val="00EA06CF"/>
    <w:rsid w:val="00EB27A0"/>
    <w:rsid w:val="00EE19B5"/>
    <w:rsid w:val="00F11950"/>
    <w:rsid w:val="00F16C57"/>
    <w:rsid w:val="00F24301"/>
    <w:rsid w:val="00F3787E"/>
    <w:rsid w:val="00F53DDE"/>
    <w:rsid w:val="00F571A4"/>
    <w:rsid w:val="00F66EB8"/>
    <w:rsid w:val="00F71EB9"/>
    <w:rsid w:val="00F72F82"/>
    <w:rsid w:val="00FB2069"/>
    <w:rsid w:val="00FD3814"/>
    <w:rsid w:val="00FD38C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4E541-DE00-4FA1-AA74-B0CA521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2019-04-16T18:30:00+00:00</Judgment_x0020_Date>
    <Year xmlns="c1afb1bd-f2fb-40fd-9abb-aea55b4d7662">2019</Year>
  </documentManagement>
</p:properties>
</file>

<file path=customXml/itemProps1.xml><?xml version="1.0" encoding="utf-8"?>
<ds:datastoreItem xmlns:ds="http://schemas.openxmlformats.org/officeDocument/2006/customXml" ds:itemID="{D25EA5AD-AB12-4531-86E1-6A0C3E2F65BE}"/>
</file>

<file path=customXml/itemProps2.xml><?xml version="1.0" encoding="utf-8"?>
<ds:datastoreItem xmlns:ds="http://schemas.openxmlformats.org/officeDocument/2006/customXml" ds:itemID="{19607057-8403-4AA3-B2F0-639768D9DFA1}"/>
</file>

<file path=customXml/itemProps3.xml><?xml version="1.0" encoding="utf-8"?>
<ds:datastoreItem xmlns:ds="http://schemas.openxmlformats.org/officeDocument/2006/customXml" ds:itemID="{EA00BF5E-E343-493C-884A-BC924DE80691}"/>
</file>

<file path=customXml/itemProps4.xml><?xml version="1.0" encoding="utf-8"?>
<ds:datastoreItem xmlns:ds="http://schemas.openxmlformats.org/officeDocument/2006/customXml" ds:itemID="{4F52BCAE-E888-4D4A-A5CD-AE5E16D28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Kharases</dc:creator>
  <cp:keywords/>
  <dc:description/>
  <cp:lastModifiedBy>Lotta N. Ambunda</cp:lastModifiedBy>
  <cp:revision>2</cp:revision>
  <cp:lastPrinted>2018-11-05T09:07:00Z</cp:lastPrinted>
  <dcterms:created xsi:type="dcterms:W3CDTF">2019-04-17T13:35:00Z</dcterms:created>
  <dcterms:modified xsi:type="dcterms:W3CDTF">2019-04-17T13:35:00Z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