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BE" w:rsidRPr="00E757E9" w:rsidRDefault="008630BE" w:rsidP="008630BE">
      <w:pPr>
        <w:spacing w:after="0" w:line="240" w:lineRule="auto"/>
        <w:jc w:val="center"/>
        <w:rPr>
          <w:rFonts w:ascii="Arial Narrow" w:hAnsi="Arial Narrow"/>
          <w:sz w:val="24"/>
          <w:szCs w:val="24"/>
        </w:rPr>
      </w:pPr>
      <w:r w:rsidRPr="00E757E9">
        <w:rPr>
          <w:rFonts w:ascii="Arial Narrow" w:hAnsi="Arial Narrow"/>
          <w:sz w:val="24"/>
          <w:szCs w:val="24"/>
        </w:rPr>
        <w:t>Practice Directive 61</w:t>
      </w:r>
    </w:p>
    <w:p w:rsidR="008630BE" w:rsidRPr="00E757E9" w:rsidRDefault="008630BE" w:rsidP="008630BE">
      <w:pPr>
        <w:spacing w:after="0" w:line="360" w:lineRule="auto"/>
        <w:jc w:val="both"/>
        <w:rPr>
          <w:rFonts w:ascii="Arial Narrow" w:hAnsi="Arial Narrow"/>
          <w:sz w:val="24"/>
          <w:szCs w:val="24"/>
        </w:rPr>
      </w:pPr>
    </w:p>
    <w:p w:rsidR="008630BE" w:rsidRPr="00E757E9" w:rsidRDefault="008630BE" w:rsidP="008630BE">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8630BE" w:rsidRPr="00E757E9" w:rsidRDefault="008630BE" w:rsidP="008630BE">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8630BE" w:rsidRPr="00E757E9" w:rsidTr="0004438E">
        <w:trPr>
          <w:trHeight w:val="744"/>
        </w:trPr>
        <w:tc>
          <w:tcPr>
            <w:tcW w:w="5397" w:type="dxa"/>
            <w:gridSpan w:val="2"/>
            <w:vMerge w:val="restart"/>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8630BE" w:rsidRPr="007C2795" w:rsidRDefault="00C15467" w:rsidP="0004438E">
            <w:pPr>
              <w:spacing w:line="360" w:lineRule="auto"/>
              <w:jc w:val="both"/>
              <w:rPr>
                <w:rFonts w:ascii="Arial Narrow" w:hAnsi="Arial Narrow" w:cs="Arial"/>
                <w:sz w:val="24"/>
                <w:szCs w:val="24"/>
              </w:rPr>
            </w:pPr>
            <w:r w:rsidRPr="007C2795">
              <w:rPr>
                <w:rFonts w:ascii="Arial Narrow" w:hAnsi="Arial Narrow" w:cs="Arial"/>
                <w:color w:val="000000" w:themeColor="text1"/>
                <w:sz w:val="24"/>
                <w:szCs w:val="24"/>
              </w:rPr>
              <w:t>BANK WNDHOEK LIMITED V CONGRESS OF DEMOCRATS</w:t>
            </w: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8630BE" w:rsidRPr="00E757E9" w:rsidRDefault="008630BE" w:rsidP="009E6680">
            <w:pPr>
              <w:spacing w:line="360" w:lineRule="auto"/>
              <w:jc w:val="both"/>
              <w:rPr>
                <w:rFonts w:ascii="Arial Narrow" w:hAnsi="Arial Narrow" w:cs="Arial"/>
                <w:b/>
                <w:sz w:val="24"/>
                <w:szCs w:val="24"/>
              </w:rPr>
            </w:pPr>
            <w:r>
              <w:rPr>
                <w:rFonts w:ascii="Arial Narrow" w:hAnsi="Arial Narrow" w:cs="Arial"/>
                <w:sz w:val="24"/>
                <w:szCs w:val="24"/>
              </w:rPr>
              <w:t>HC-MD-CIV-ACT-</w:t>
            </w:r>
            <w:r w:rsidRPr="00002861">
              <w:rPr>
                <w:rFonts w:ascii="Arial Narrow" w:hAnsi="Arial Narrow" w:cs="Arial"/>
                <w:color w:val="000000" w:themeColor="text1"/>
                <w:sz w:val="24"/>
                <w:szCs w:val="24"/>
              </w:rPr>
              <w:t>CON-</w:t>
            </w:r>
            <w:r w:rsidRPr="00610E06">
              <w:rPr>
                <w:rFonts w:ascii="Arial Narrow" w:hAnsi="Arial Narrow" w:cs="Arial"/>
                <w:color w:val="000000" w:themeColor="text1"/>
                <w:sz w:val="24"/>
                <w:szCs w:val="24"/>
              </w:rPr>
              <w:t>201</w:t>
            </w:r>
            <w:r w:rsidR="00C15467" w:rsidRPr="00610E06">
              <w:rPr>
                <w:rFonts w:ascii="Arial Narrow" w:hAnsi="Arial Narrow" w:cs="Arial"/>
                <w:color w:val="000000" w:themeColor="text1"/>
                <w:sz w:val="24"/>
                <w:szCs w:val="24"/>
              </w:rPr>
              <w:t>7</w:t>
            </w:r>
            <w:r w:rsidRPr="00610E06">
              <w:rPr>
                <w:rFonts w:ascii="Arial Narrow" w:hAnsi="Arial Narrow" w:cs="Arial"/>
                <w:color w:val="000000" w:themeColor="text1"/>
                <w:sz w:val="24"/>
                <w:szCs w:val="24"/>
              </w:rPr>
              <w:t>/</w:t>
            </w:r>
            <w:r w:rsidR="00C15467" w:rsidRPr="00610E06">
              <w:rPr>
                <w:rFonts w:ascii="Arial Narrow" w:hAnsi="Arial Narrow" w:cs="Arial"/>
                <w:color w:val="000000" w:themeColor="text1"/>
                <w:sz w:val="24"/>
                <w:szCs w:val="24"/>
              </w:rPr>
              <w:t>00123</w:t>
            </w:r>
          </w:p>
        </w:tc>
      </w:tr>
      <w:tr w:rsidR="008630BE" w:rsidRPr="00E757E9" w:rsidTr="0004438E">
        <w:trPr>
          <w:trHeight w:val="844"/>
        </w:trPr>
        <w:tc>
          <w:tcPr>
            <w:tcW w:w="5397" w:type="dxa"/>
            <w:gridSpan w:val="2"/>
            <w:vMerge/>
          </w:tcPr>
          <w:p w:rsidR="008630BE" w:rsidRPr="00E757E9" w:rsidRDefault="008630BE" w:rsidP="0004438E">
            <w:pPr>
              <w:spacing w:line="360" w:lineRule="auto"/>
              <w:jc w:val="both"/>
              <w:rPr>
                <w:rFonts w:ascii="Arial Narrow" w:hAnsi="Arial Narrow" w:cs="Arial"/>
                <w:sz w:val="24"/>
                <w:szCs w:val="24"/>
              </w:rPr>
            </w:pPr>
          </w:p>
        </w:tc>
        <w:tc>
          <w:tcPr>
            <w:tcW w:w="4323" w:type="dxa"/>
          </w:tcPr>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8630BE" w:rsidRPr="00E757E9" w:rsidRDefault="008630BE" w:rsidP="0004438E">
            <w:pPr>
              <w:spacing w:line="360" w:lineRule="auto"/>
              <w:jc w:val="both"/>
              <w:rPr>
                <w:rFonts w:ascii="Arial Narrow" w:hAnsi="Arial Narrow" w:cs="Arial"/>
                <w:sz w:val="24"/>
                <w:szCs w:val="24"/>
              </w:rPr>
            </w:pPr>
            <w:r>
              <w:rPr>
                <w:rFonts w:ascii="Arial Narrow" w:hAnsi="Arial Narrow" w:cs="Arial"/>
                <w:sz w:val="24"/>
                <w:szCs w:val="24"/>
              </w:rPr>
              <w:t>HIGH COURT</w:t>
            </w:r>
            <w:r w:rsidRPr="003F23AF">
              <w:rPr>
                <w:rFonts w:ascii="Arial Narrow" w:hAnsi="Arial Narrow" w:cs="Arial"/>
                <w:sz w:val="24"/>
                <w:szCs w:val="24"/>
              </w:rPr>
              <w:t>(MAIN DIVISION)</w:t>
            </w:r>
          </w:p>
        </w:tc>
      </w:tr>
      <w:tr w:rsidR="008630BE" w:rsidRPr="00E757E9" w:rsidTr="0004438E">
        <w:trPr>
          <w:trHeight w:val="645"/>
        </w:trPr>
        <w:tc>
          <w:tcPr>
            <w:tcW w:w="5397" w:type="dxa"/>
            <w:gridSpan w:val="2"/>
            <w:vMerge w:val="restart"/>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8630BE" w:rsidRPr="007F51D9" w:rsidRDefault="00610E06" w:rsidP="0004438E">
            <w:pPr>
              <w:spacing w:line="360" w:lineRule="auto"/>
              <w:rPr>
                <w:rFonts w:ascii="Arial Narrow" w:hAnsi="Arial Narrow" w:cs="Arial"/>
                <w:sz w:val="24"/>
                <w:szCs w:val="24"/>
              </w:rPr>
            </w:pPr>
            <w:r>
              <w:rPr>
                <w:rFonts w:ascii="Arial Narrow" w:hAnsi="Arial Narrow" w:cs="Arial"/>
                <w:color w:val="000000" w:themeColor="text1"/>
                <w:sz w:val="24"/>
                <w:szCs w:val="24"/>
              </w:rPr>
              <w:t>12 MAY</w:t>
            </w:r>
            <w:r w:rsidR="000E4639" w:rsidRPr="007F51D9">
              <w:rPr>
                <w:rFonts w:ascii="Arial Narrow" w:hAnsi="Arial Narrow" w:cs="Arial"/>
                <w:color w:val="000000" w:themeColor="text1"/>
                <w:sz w:val="24"/>
                <w:szCs w:val="24"/>
              </w:rPr>
              <w:t xml:space="preserve"> </w:t>
            </w:r>
            <w:r w:rsidR="008630BE" w:rsidRPr="007F51D9">
              <w:rPr>
                <w:rFonts w:ascii="Arial Narrow" w:hAnsi="Arial Narrow" w:cs="Arial"/>
                <w:color w:val="000000" w:themeColor="text1"/>
                <w:sz w:val="24"/>
                <w:szCs w:val="24"/>
              </w:rPr>
              <w:t>2019</w:t>
            </w:r>
          </w:p>
        </w:tc>
      </w:tr>
      <w:tr w:rsidR="008630BE" w:rsidRPr="00E757E9" w:rsidTr="0004438E">
        <w:trPr>
          <w:trHeight w:val="588"/>
        </w:trPr>
        <w:tc>
          <w:tcPr>
            <w:tcW w:w="5397" w:type="dxa"/>
            <w:gridSpan w:val="2"/>
            <w:vMerge/>
          </w:tcPr>
          <w:p w:rsidR="008630BE" w:rsidRPr="00E757E9" w:rsidRDefault="008630BE" w:rsidP="0004438E">
            <w:pPr>
              <w:spacing w:line="360" w:lineRule="auto"/>
              <w:jc w:val="both"/>
              <w:rPr>
                <w:rFonts w:ascii="Arial Narrow" w:hAnsi="Arial Narrow" w:cs="Arial"/>
                <w:b/>
                <w:sz w:val="24"/>
                <w:szCs w:val="24"/>
              </w:rPr>
            </w:pPr>
          </w:p>
        </w:tc>
        <w:tc>
          <w:tcPr>
            <w:tcW w:w="4323" w:type="dxa"/>
          </w:tcPr>
          <w:p w:rsidR="008630BE" w:rsidRPr="00E757E9" w:rsidRDefault="008630BE" w:rsidP="0004438E">
            <w:pPr>
              <w:spacing w:line="360" w:lineRule="auto"/>
              <w:jc w:val="both"/>
              <w:rPr>
                <w:rFonts w:ascii="Arial Narrow" w:hAnsi="Arial Narrow" w:cs="Arial"/>
                <w:b/>
                <w:sz w:val="24"/>
                <w:szCs w:val="24"/>
              </w:rPr>
            </w:pPr>
            <w:r>
              <w:rPr>
                <w:rFonts w:ascii="Arial Narrow" w:hAnsi="Arial Narrow" w:cs="Arial"/>
                <w:b/>
                <w:sz w:val="24"/>
                <w:szCs w:val="24"/>
              </w:rPr>
              <w:t>Date of order</w:t>
            </w:r>
            <w:r w:rsidRPr="00E757E9">
              <w:rPr>
                <w:rFonts w:ascii="Arial Narrow" w:hAnsi="Arial Narrow" w:cs="Arial"/>
                <w:b/>
                <w:sz w:val="24"/>
                <w:szCs w:val="24"/>
              </w:rPr>
              <w:t>:</w:t>
            </w:r>
          </w:p>
          <w:p w:rsidR="008630BE" w:rsidRDefault="00610E06" w:rsidP="0004438E">
            <w:pPr>
              <w:spacing w:line="360" w:lineRule="auto"/>
              <w:jc w:val="both"/>
              <w:rPr>
                <w:rFonts w:ascii="Arial Narrow" w:hAnsi="Arial Narrow" w:cs="Arial"/>
                <w:sz w:val="24"/>
                <w:szCs w:val="24"/>
              </w:rPr>
            </w:pPr>
            <w:r>
              <w:rPr>
                <w:rFonts w:ascii="Arial Narrow" w:hAnsi="Arial Narrow" w:cs="Arial"/>
                <w:sz w:val="24"/>
                <w:szCs w:val="24"/>
              </w:rPr>
              <w:t>19 JUNE</w:t>
            </w:r>
            <w:r w:rsidR="008630BE">
              <w:rPr>
                <w:rFonts w:ascii="Arial Narrow" w:hAnsi="Arial Narrow" w:cs="Arial"/>
                <w:sz w:val="24"/>
                <w:szCs w:val="24"/>
              </w:rPr>
              <w:t xml:space="preserve"> 2019</w:t>
            </w:r>
          </w:p>
          <w:p w:rsidR="008630BE" w:rsidRDefault="008630BE" w:rsidP="0004438E">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630BE" w:rsidRPr="00890FD4" w:rsidRDefault="00C62658" w:rsidP="0004438E">
            <w:pPr>
              <w:spacing w:line="360" w:lineRule="auto"/>
              <w:jc w:val="both"/>
              <w:rPr>
                <w:rFonts w:ascii="Arial Narrow" w:hAnsi="Arial Narrow" w:cs="Arial"/>
                <w:sz w:val="24"/>
                <w:szCs w:val="24"/>
              </w:rPr>
            </w:pPr>
            <w:r>
              <w:rPr>
                <w:rFonts w:ascii="Arial Narrow" w:hAnsi="Arial Narrow" w:cs="Arial"/>
                <w:sz w:val="24"/>
                <w:szCs w:val="24"/>
              </w:rPr>
              <w:t>19</w:t>
            </w:r>
            <w:r w:rsidR="00610E06">
              <w:rPr>
                <w:rFonts w:ascii="Arial Narrow" w:hAnsi="Arial Narrow" w:cs="Arial"/>
                <w:sz w:val="24"/>
                <w:szCs w:val="24"/>
              </w:rPr>
              <w:t xml:space="preserve"> JUNE</w:t>
            </w:r>
            <w:r w:rsidR="008630BE" w:rsidRPr="002762F2">
              <w:rPr>
                <w:rFonts w:ascii="Arial Narrow" w:hAnsi="Arial Narrow" w:cs="Arial"/>
                <w:sz w:val="24"/>
                <w:szCs w:val="24"/>
              </w:rPr>
              <w:t xml:space="preserve"> 2019</w:t>
            </w:r>
          </w:p>
        </w:tc>
      </w:tr>
      <w:tr w:rsidR="008630BE" w:rsidRPr="00E757E9" w:rsidTr="0004438E">
        <w:tc>
          <w:tcPr>
            <w:tcW w:w="9720" w:type="dxa"/>
            <w:gridSpan w:val="3"/>
          </w:tcPr>
          <w:p w:rsidR="008630BE" w:rsidRPr="007A3DFA" w:rsidRDefault="008630BE" w:rsidP="00BB38D9">
            <w:pPr>
              <w:pStyle w:val="form-control-static"/>
              <w:shd w:val="clear" w:color="auto" w:fill="FFFFFF"/>
              <w:spacing w:before="0" w:beforeAutospacing="0" w:after="0" w:afterAutospacing="0"/>
              <w:rPr>
                <w:rFonts w:ascii="Arial Narrow" w:hAnsi="Arial Narrow" w:cs="Arial"/>
              </w:rPr>
            </w:pPr>
            <w:r w:rsidRPr="00E757E9">
              <w:rPr>
                <w:rFonts w:ascii="Arial Narrow" w:hAnsi="Arial Narrow" w:cs="Arial"/>
                <w:b/>
              </w:rPr>
              <w:t xml:space="preserve">Neutral citation: </w:t>
            </w:r>
            <w:bookmarkStart w:id="0" w:name="_GoBack"/>
            <w:r w:rsidR="00610E06">
              <w:rPr>
                <w:rFonts w:ascii="Arial Narrow" w:hAnsi="Arial Narrow" w:cs="Arial"/>
                <w:i/>
                <w:color w:val="000000" w:themeColor="text1"/>
              </w:rPr>
              <w:t>Bank Windhoek Limited v Congress of Democrats</w:t>
            </w:r>
            <w:r w:rsidR="00C15467">
              <w:rPr>
                <w:rFonts w:ascii="Arial Narrow" w:hAnsi="Arial Narrow" w:cs="Arial"/>
                <w:color w:val="000000" w:themeColor="text1"/>
              </w:rPr>
              <w:t xml:space="preserve"> (HC-MD-CIV-AC</w:t>
            </w:r>
            <w:r w:rsidR="003408C9">
              <w:rPr>
                <w:rFonts w:ascii="Arial Narrow" w:hAnsi="Arial Narrow" w:cs="Arial"/>
                <w:color w:val="000000" w:themeColor="text1"/>
              </w:rPr>
              <w:t xml:space="preserve">T-CON-2017/00123) [2019] NAHCMD </w:t>
            </w:r>
            <w:r w:rsidR="00BB38D9">
              <w:rPr>
                <w:rFonts w:ascii="Arial Narrow" w:hAnsi="Arial Narrow" w:cs="Arial"/>
                <w:color w:val="000000" w:themeColor="text1"/>
              </w:rPr>
              <w:t xml:space="preserve">206 </w:t>
            </w:r>
            <w:r w:rsidR="00C15467">
              <w:rPr>
                <w:rFonts w:ascii="Arial Narrow" w:hAnsi="Arial Narrow" w:cs="Arial"/>
                <w:color w:val="000000" w:themeColor="text1"/>
              </w:rPr>
              <w:t>(19 June</w:t>
            </w:r>
            <w:r w:rsidR="000E4639" w:rsidRPr="002A2AC2">
              <w:rPr>
                <w:rFonts w:ascii="Arial Narrow" w:hAnsi="Arial Narrow" w:cs="Arial"/>
                <w:color w:val="000000" w:themeColor="text1"/>
              </w:rPr>
              <w:t xml:space="preserve"> 2019)</w:t>
            </w:r>
            <w:bookmarkEnd w:id="0"/>
          </w:p>
        </w:tc>
      </w:tr>
      <w:tr w:rsidR="008630BE" w:rsidRPr="00E757E9" w:rsidTr="0004438E">
        <w:tc>
          <w:tcPr>
            <w:tcW w:w="9720" w:type="dxa"/>
            <w:gridSpan w:val="3"/>
          </w:tcPr>
          <w:p w:rsidR="008630BE" w:rsidRPr="00E757E9" w:rsidRDefault="008630BE" w:rsidP="0004438E">
            <w:pPr>
              <w:pStyle w:val="form-control-static"/>
              <w:shd w:val="clear" w:color="auto" w:fill="FFFFFF"/>
              <w:spacing w:before="0" w:beforeAutospacing="0" w:after="0" w:afterAutospacing="0"/>
              <w:rPr>
                <w:rFonts w:ascii="Arial Narrow" w:hAnsi="Arial Narrow" w:cs="Arial"/>
                <w:b/>
              </w:rPr>
            </w:pPr>
            <w:r w:rsidRPr="00E757E9">
              <w:rPr>
                <w:rFonts w:ascii="Arial Narrow" w:hAnsi="Arial Narrow" w:cs="Arial"/>
                <w:b/>
              </w:rPr>
              <w:t>Results on merits:</w:t>
            </w:r>
          </w:p>
          <w:p w:rsidR="008630BE" w:rsidRPr="00E757E9" w:rsidRDefault="00C15467" w:rsidP="0004438E">
            <w:pPr>
              <w:pStyle w:val="form-control-static"/>
              <w:shd w:val="clear" w:color="auto" w:fill="FFFFFF"/>
              <w:spacing w:before="0" w:beforeAutospacing="0" w:after="0" w:afterAutospacing="0"/>
              <w:rPr>
                <w:rFonts w:ascii="Arial Narrow" w:hAnsi="Arial Narrow" w:cs="Arial"/>
              </w:rPr>
            </w:pPr>
            <w:r>
              <w:rPr>
                <w:rFonts w:ascii="Arial Narrow" w:hAnsi="Arial Narrow" w:cs="Arial"/>
              </w:rPr>
              <w:t xml:space="preserve">Application for leave to amend </w:t>
            </w:r>
            <w:r w:rsidR="00C62DB8">
              <w:rPr>
                <w:rFonts w:ascii="Arial Narrow" w:hAnsi="Arial Narrow" w:cs="Arial"/>
              </w:rPr>
              <w:t xml:space="preserve">amended </w:t>
            </w:r>
            <w:r>
              <w:rPr>
                <w:rFonts w:ascii="Arial Narrow" w:hAnsi="Arial Narrow" w:cs="Arial"/>
              </w:rPr>
              <w:t>particulars of claim</w:t>
            </w:r>
            <w:r w:rsidR="008630BE">
              <w:rPr>
                <w:rFonts w:ascii="Arial Narrow" w:hAnsi="Arial Narrow" w:cs="Arial"/>
              </w:rPr>
              <w:t>. No decision on the merits</w:t>
            </w:r>
          </w:p>
        </w:tc>
      </w:tr>
      <w:tr w:rsidR="008630BE" w:rsidRPr="00E757E9" w:rsidTr="0004438E">
        <w:tc>
          <w:tcPr>
            <w:tcW w:w="9720" w:type="dxa"/>
            <w:gridSpan w:val="3"/>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The order:</w:t>
            </w:r>
          </w:p>
          <w:p w:rsidR="008630BE" w:rsidRPr="00E757E9" w:rsidRDefault="008630BE" w:rsidP="0004438E">
            <w:pPr>
              <w:spacing w:line="360" w:lineRule="auto"/>
              <w:jc w:val="both"/>
              <w:rPr>
                <w:rFonts w:ascii="Arial Narrow" w:hAnsi="Arial Narrow" w:cs="Arial"/>
                <w:sz w:val="24"/>
                <w:szCs w:val="24"/>
              </w:rPr>
            </w:pPr>
            <w:r w:rsidRPr="00E757E9">
              <w:rPr>
                <w:rFonts w:ascii="Arial Narrow" w:hAnsi="Arial Narrow" w:cs="Arial"/>
                <w:sz w:val="24"/>
                <w:szCs w:val="24"/>
              </w:rPr>
              <w:t xml:space="preserve">Having heard </w:t>
            </w:r>
            <w:r w:rsidR="00C15467">
              <w:rPr>
                <w:rFonts w:ascii="Arial Narrow" w:hAnsi="Arial Narrow" w:cs="Arial"/>
                <w:b/>
                <w:sz w:val="24"/>
                <w:szCs w:val="24"/>
              </w:rPr>
              <w:t>ADV R TÖTEMEYER</w:t>
            </w:r>
            <w:r>
              <w:rPr>
                <w:rFonts w:ascii="Arial Narrow" w:hAnsi="Arial Narrow" w:cs="Arial"/>
                <w:b/>
                <w:sz w:val="24"/>
                <w:szCs w:val="24"/>
              </w:rPr>
              <w:t xml:space="preserve"> </w:t>
            </w:r>
            <w:r>
              <w:rPr>
                <w:rFonts w:ascii="Arial Narrow" w:hAnsi="Arial Narrow" w:cs="Arial"/>
                <w:sz w:val="24"/>
                <w:szCs w:val="24"/>
              </w:rPr>
              <w:t>for the Applicant</w:t>
            </w:r>
            <w:r w:rsidRPr="00E757E9">
              <w:rPr>
                <w:rFonts w:ascii="Arial Narrow" w:hAnsi="Arial Narrow" w:cs="Arial"/>
                <w:sz w:val="24"/>
                <w:szCs w:val="24"/>
              </w:rPr>
              <w:t xml:space="preserve"> and </w:t>
            </w:r>
            <w:r w:rsidR="00C15467">
              <w:rPr>
                <w:rFonts w:ascii="Arial Narrow" w:hAnsi="Arial Narrow" w:cs="Arial"/>
                <w:b/>
                <w:sz w:val="24"/>
                <w:szCs w:val="24"/>
                <w:shd w:val="clear" w:color="auto" w:fill="FFFFFF"/>
              </w:rPr>
              <w:t>MR A VAATZ</w:t>
            </w:r>
            <w:r w:rsidRPr="002762F2">
              <w:rPr>
                <w:rFonts w:ascii="Arial Narrow" w:hAnsi="Arial Narrow" w:cs="Arial"/>
                <w:sz w:val="24"/>
                <w:szCs w:val="24"/>
              </w:rPr>
              <w:t xml:space="preserve">, for the </w:t>
            </w:r>
            <w:r>
              <w:rPr>
                <w:rFonts w:ascii="Arial Narrow" w:hAnsi="Arial Narrow" w:cs="Arial"/>
                <w:sz w:val="24"/>
                <w:szCs w:val="24"/>
              </w:rPr>
              <w:t>Respondent</w:t>
            </w:r>
            <w:r w:rsidRPr="00E757E9">
              <w:rPr>
                <w:rFonts w:ascii="Arial Narrow" w:hAnsi="Arial Narrow" w:cs="Arial"/>
                <w:sz w:val="24"/>
                <w:szCs w:val="24"/>
              </w:rPr>
              <w:t>, and having read the documents filed of record:</w:t>
            </w:r>
          </w:p>
          <w:p w:rsidR="008630BE" w:rsidRPr="00E757E9" w:rsidRDefault="008630BE" w:rsidP="0004438E">
            <w:pPr>
              <w:spacing w:line="360" w:lineRule="auto"/>
              <w:jc w:val="both"/>
              <w:rPr>
                <w:rFonts w:ascii="Arial Narrow" w:hAnsi="Arial Narrow" w:cs="Arial"/>
                <w:sz w:val="24"/>
                <w:szCs w:val="24"/>
              </w:rPr>
            </w:pPr>
          </w:p>
          <w:p w:rsidR="008630BE" w:rsidRPr="00791A9A" w:rsidRDefault="008630BE" w:rsidP="0004438E">
            <w:pPr>
              <w:spacing w:line="360" w:lineRule="auto"/>
              <w:jc w:val="both"/>
              <w:rPr>
                <w:rFonts w:ascii="Arial Narrow" w:hAnsi="Arial Narrow" w:cs="Arial"/>
                <w:b/>
                <w:sz w:val="24"/>
                <w:szCs w:val="24"/>
              </w:rPr>
            </w:pPr>
            <w:r w:rsidRPr="00791A9A">
              <w:rPr>
                <w:rFonts w:ascii="Arial Narrow" w:hAnsi="Arial Narrow" w:cs="Arial"/>
                <w:b/>
                <w:sz w:val="24"/>
                <w:szCs w:val="24"/>
              </w:rPr>
              <w:t>IT IS HEREBY ORDERED THAT:</w:t>
            </w:r>
          </w:p>
          <w:p w:rsidR="008630BE" w:rsidRPr="00791A9A" w:rsidRDefault="005B183B" w:rsidP="008630BE">
            <w:pPr>
              <w:pStyle w:val="ListParagraph"/>
              <w:numPr>
                <w:ilvl w:val="0"/>
                <w:numId w:val="3"/>
              </w:numPr>
              <w:spacing w:line="360" w:lineRule="auto"/>
              <w:ind w:left="446" w:hanging="426"/>
              <w:rPr>
                <w:rFonts w:ascii="Arial Narrow" w:hAnsi="Arial Narrow" w:cs="Arial"/>
                <w:sz w:val="24"/>
                <w:szCs w:val="24"/>
              </w:rPr>
            </w:pPr>
            <w:r>
              <w:rPr>
                <w:rFonts w:ascii="Arial Narrow" w:hAnsi="Arial Narrow" w:cs="Arial"/>
                <w:sz w:val="24"/>
                <w:szCs w:val="24"/>
              </w:rPr>
              <w:t>The p</w:t>
            </w:r>
            <w:r w:rsidR="00FC0889" w:rsidRPr="00791A9A">
              <w:rPr>
                <w:rFonts w:ascii="Arial Narrow" w:hAnsi="Arial Narrow" w:cs="Arial"/>
                <w:sz w:val="24"/>
                <w:szCs w:val="24"/>
              </w:rPr>
              <w:t>laintiff’s application for leave to amend its amended particulars of claim is hereby granted</w:t>
            </w:r>
            <w:r w:rsidR="008630BE" w:rsidRPr="00791A9A">
              <w:rPr>
                <w:rFonts w:ascii="Arial Narrow" w:hAnsi="Arial Narrow" w:cs="Arial"/>
                <w:sz w:val="24"/>
                <w:szCs w:val="24"/>
              </w:rPr>
              <w:t>.</w:t>
            </w:r>
          </w:p>
          <w:p w:rsidR="008630BE" w:rsidRPr="00791A9A" w:rsidRDefault="00FC0889" w:rsidP="008630BE">
            <w:pPr>
              <w:pStyle w:val="ListParagraph"/>
              <w:numPr>
                <w:ilvl w:val="0"/>
                <w:numId w:val="3"/>
              </w:numPr>
              <w:spacing w:line="360" w:lineRule="auto"/>
              <w:ind w:left="446" w:hanging="426"/>
              <w:rPr>
                <w:rFonts w:ascii="Arial Narrow" w:hAnsi="Arial Narrow" w:cs="Arial"/>
                <w:sz w:val="24"/>
                <w:szCs w:val="24"/>
              </w:rPr>
            </w:pPr>
            <w:r w:rsidRPr="00791A9A">
              <w:rPr>
                <w:rFonts w:ascii="Arial Narrow" w:hAnsi="Arial Narrow" w:cs="Arial"/>
                <w:sz w:val="24"/>
                <w:szCs w:val="24"/>
              </w:rPr>
              <w:t>The plaintiff to pay the costs occasioned by the amendment, as tendered</w:t>
            </w:r>
            <w:r w:rsidR="008630BE" w:rsidRPr="00791A9A">
              <w:rPr>
                <w:rFonts w:ascii="Arial Narrow" w:hAnsi="Arial Narrow" w:cs="Arial"/>
                <w:sz w:val="24"/>
                <w:szCs w:val="24"/>
              </w:rPr>
              <w:t>.</w:t>
            </w:r>
          </w:p>
          <w:p w:rsidR="008630BE" w:rsidRPr="00134079" w:rsidRDefault="00FC0889" w:rsidP="009E6680">
            <w:pPr>
              <w:pStyle w:val="ListParagraph"/>
              <w:numPr>
                <w:ilvl w:val="0"/>
                <w:numId w:val="3"/>
              </w:numPr>
              <w:spacing w:line="360" w:lineRule="auto"/>
              <w:ind w:left="446" w:hanging="426"/>
              <w:rPr>
                <w:rFonts w:ascii="Arial Narrow" w:hAnsi="Arial Narrow" w:cs="Arial"/>
                <w:sz w:val="24"/>
                <w:szCs w:val="24"/>
              </w:rPr>
            </w:pPr>
            <w:r w:rsidRPr="00791A9A">
              <w:rPr>
                <w:rFonts w:ascii="Arial Narrow" w:hAnsi="Arial Narrow" w:cs="Arial"/>
                <w:sz w:val="24"/>
                <w:szCs w:val="24"/>
              </w:rPr>
              <w:t xml:space="preserve">The first defendant to pay the costs of the application for leave to amend, consequent upon the employment of one </w:t>
            </w:r>
            <w:r w:rsidRPr="00134079">
              <w:rPr>
                <w:rFonts w:ascii="Arial Narrow" w:hAnsi="Arial Narrow" w:cs="Arial"/>
                <w:sz w:val="24"/>
                <w:szCs w:val="24"/>
              </w:rPr>
              <w:t>instructing and one instructed counsel on the ordinary scale.</w:t>
            </w:r>
          </w:p>
          <w:p w:rsidR="00FC0889" w:rsidRPr="00791A9A" w:rsidRDefault="00FC0889" w:rsidP="009E6680">
            <w:pPr>
              <w:pStyle w:val="ListParagraph"/>
              <w:numPr>
                <w:ilvl w:val="0"/>
                <w:numId w:val="3"/>
              </w:numPr>
              <w:spacing w:line="360" w:lineRule="auto"/>
              <w:ind w:left="446" w:hanging="426"/>
              <w:rPr>
                <w:rFonts w:ascii="Arial Narrow" w:hAnsi="Arial Narrow" w:cs="Arial"/>
                <w:sz w:val="24"/>
                <w:szCs w:val="24"/>
              </w:rPr>
            </w:pPr>
            <w:r w:rsidRPr="00134079">
              <w:rPr>
                <w:rFonts w:ascii="Arial Narrow" w:hAnsi="Arial Narrow" w:cs="Arial"/>
                <w:sz w:val="24"/>
                <w:szCs w:val="24"/>
              </w:rPr>
              <w:t xml:space="preserve">The amended particulars of claim must </w:t>
            </w:r>
            <w:r w:rsidR="00E17E65" w:rsidRPr="00134079">
              <w:rPr>
                <w:rFonts w:ascii="Arial Narrow" w:hAnsi="Arial Narrow" w:cs="Arial"/>
                <w:sz w:val="24"/>
                <w:szCs w:val="24"/>
              </w:rPr>
              <w:t xml:space="preserve">be filed on or before </w:t>
            </w:r>
            <w:r w:rsidR="00E17E65" w:rsidRPr="00134079">
              <w:rPr>
                <w:rFonts w:ascii="Arial Narrow" w:hAnsi="Arial Narrow" w:cs="Arial"/>
                <w:sz w:val="24"/>
                <w:szCs w:val="24"/>
                <w:u w:val="single"/>
              </w:rPr>
              <w:t>26 June 2019</w:t>
            </w:r>
            <w:r w:rsidR="00E17E65" w:rsidRPr="00791A9A">
              <w:rPr>
                <w:rFonts w:ascii="Arial Narrow" w:hAnsi="Arial Narrow" w:cs="Arial"/>
                <w:sz w:val="24"/>
                <w:szCs w:val="24"/>
              </w:rPr>
              <w:t>.</w:t>
            </w:r>
          </w:p>
          <w:p w:rsidR="00E17E65" w:rsidRPr="00791A9A" w:rsidRDefault="00E17E65" w:rsidP="009E6680">
            <w:pPr>
              <w:pStyle w:val="ListParagraph"/>
              <w:numPr>
                <w:ilvl w:val="0"/>
                <w:numId w:val="3"/>
              </w:numPr>
              <w:spacing w:line="360" w:lineRule="auto"/>
              <w:ind w:left="446" w:hanging="426"/>
              <w:rPr>
                <w:rFonts w:ascii="Arial Narrow" w:hAnsi="Arial Narrow" w:cs="Arial"/>
                <w:sz w:val="24"/>
                <w:szCs w:val="24"/>
              </w:rPr>
            </w:pPr>
            <w:r w:rsidRPr="00791A9A">
              <w:rPr>
                <w:rFonts w:ascii="Arial Narrow" w:hAnsi="Arial Narrow" w:cs="Arial"/>
                <w:sz w:val="24"/>
                <w:szCs w:val="24"/>
              </w:rPr>
              <w:t>The defendant must plead to the amended particulars of cla</w:t>
            </w:r>
            <w:r w:rsidR="00791A9A" w:rsidRPr="00791A9A">
              <w:rPr>
                <w:rFonts w:ascii="Arial Narrow" w:hAnsi="Arial Narrow" w:cs="Arial"/>
                <w:sz w:val="24"/>
                <w:szCs w:val="24"/>
              </w:rPr>
              <w:t xml:space="preserve">im on or before </w:t>
            </w:r>
            <w:r w:rsidR="00791A9A" w:rsidRPr="00D45B0D">
              <w:rPr>
                <w:rFonts w:ascii="Arial Narrow" w:hAnsi="Arial Narrow" w:cs="Arial"/>
                <w:sz w:val="24"/>
                <w:szCs w:val="24"/>
                <w:u w:val="single"/>
              </w:rPr>
              <w:t>17 July 2019</w:t>
            </w:r>
            <w:r w:rsidRPr="00791A9A">
              <w:rPr>
                <w:rFonts w:ascii="Arial Narrow" w:hAnsi="Arial Narrow" w:cs="Arial"/>
                <w:sz w:val="24"/>
                <w:szCs w:val="24"/>
              </w:rPr>
              <w:t>.</w:t>
            </w:r>
          </w:p>
          <w:p w:rsidR="00791A9A" w:rsidRPr="009A64A9" w:rsidRDefault="00791A9A" w:rsidP="009E6680">
            <w:pPr>
              <w:pStyle w:val="ListParagraph"/>
              <w:numPr>
                <w:ilvl w:val="0"/>
                <w:numId w:val="3"/>
              </w:numPr>
              <w:spacing w:line="360" w:lineRule="auto"/>
              <w:ind w:left="446" w:hanging="426"/>
              <w:rPr>
                <w:rFonts w:ascii="Arial Narrow" w:hAnsi="Arial Narrow" w:cs="Arial"/>
                <w:sz w:val="24"/>
                <w:szCs w:val="24"/>
              </w:rPr>
            </w:pPr>
            <w:r w:rsidRPr="00791A9A">
              <w:rPr>
                <w:rFonts w:ascii="Arial Narrow" w:hAnsi="Arial Narrow" w:cs="Arial"/>
                <w:sz w:val="24"/>
                <w:szCs w:val="24"/>
              </w:rPr>
              <w:t xml:space="preserve">The matter is postponed to </w:t>
            </w:r>
            <w:r w:rsidRPr="00D45B0D">
              <w:rPr>
                <w:rFonts w:ascii="Arial Narrow" w:hAnsi="Arial Narrow" w:cs="Arial"/>
                <w:b/>
                <w:sz w:val="24"/>
                <w:szCs w:val="24"/>
              </w:rPr>
              <w:t>25 July 2019</w:t>
            </w:r>
            <w:r w:rsidRPr="00791A9A">
              <w:rPr>
                <w:rFonts w:ascii="Arial Narrow" w:hAnsi="Arial Narrow" w:cs="Arial"/>
                <w:sz w:val="24"/>
                <w:szCs w:val="24"/>
              </w:rPr>
              <w:t xml:space="preserve"> at </w:t>
            </w:r>
            <w:r w:rsidRPr="00D45B0D">
              <w:rPr>
                <w:rFonts w:ascii="Arial Narrow" w:hAnsi="Arial Narrow" w:cs="Arial"/>
                <w:b/>
                <w:sz w:val="24"/>
                <w:szCs w:val="24"/>
              </w:rPr>
              <w:t>15:00</w:t>
            </w:r>
            <w:r w:rsidRPr="00791A9A">
              <w:rPr>
                <w:rFonts w:ascii="Arial Narrow" w:hAnsi="Arial Narrow" w:cs="Arial"/>
                <w:sz w:val="24"/>
                <w:szCs w:val="24"/>
              </w:rPr>
              <w:t xml:space="preserve"> for Status Hearing.</w:t>
            </w:r>
          </w:p>
        </w:tc>
      </w:tr>
      <w:tr w:rsidR="008630BE" w:rsidRPr="00E757E9" w:rsidTr="0004438E">
        <w:tc>
          <w:tcPr>
            <w:tcW w:w="9720" w:type="dxa"/>
            <w:gridSpan w:val="3"/>
          </w:tcPr>
          <w:p w:rsidR="008630BE" w:rsidRPr="00E757E9" w:rsidRDefault="008630BE" w:rsidP="0004438E">
            <w:pPr>
              <w:spacing w:line="360" w:lineRule="auto"/>
              <w:jc w:val="both"/>
              <w:rPr>
                <w:rFonts w:ascii="Arial Narrow" w:hAnsi="Arial Narrow" w:cs="Arial"/>
                <w:b/>
                <w:sz w:val="24"/>
                <w:szCs w:val="24"/>
              </w:rPr>
            </w:pPr>
            <w:r w:rsidRPr="00E757E9">
              <w:rPr>
                <w:rFonts w:ascii="Arial Narrow" w:hAnsi="Arial Narrow" w:cs="Arial"/>
                <w:b/>
                <w:sz w:val="24"/>
                <w:szCs w:val="24"/>
              </w:rPr>
              <w:t>Reasons for orders:</w:t>
            </w:r>
          </w:p>
        </w:tc>
      </w:tr>
      <w:tr w:rsidR="008630BE" w:rsidRPr="00DE5F56" w:rsidTr="0004438E">
        <w:tc>
          <w:tcPr>
            <w:tcW w:w="9720" w:type="dxa"/>
            <w:gridSpan w:val="3"/>
            <w:shd w:val="clear" w:color="auto" w:fill="auto"/>
          </w:tcPr>
          <w:p w:rsidR="008630BE" w:rsidRPr="00DE5F56" w:rsidRDefault="008630BE" w:rsidP="0004438E">
            <w:pPr>
              <w:tabs>
                <w:tab w:val="left" w:pos="1275"/>
              </w:tabs>
              <w:spacing w:line="360" w:lineRule="auto"/>
              <w:jc w:val="both"/>
              <w:rPr>
                <w:rFonts w:ascii="Arial Narrow" w:hAnsi="Arial Narrow" w:cs="Arial"/>
                <w:sz w:val="24"/>
                <w:szCs w:val="24"/>
              </w:rPr>
            </w:pPr>
          </w:p>
          <w:p w:rsidR="008630BE" w:rsidRPr="00F45891" w:rsidRDefault="008630BE" w:rsidP="008630BE">
            <w:pPr>
              <w:tabs>
                <w:tab w:val="left" w:pos="1275"/>
              </w:tabs>
              <w:spacing w:line="360" w:lineRule="auto"/>
              <w:jc w:val="both"/>
              <w:rPr>
                <w:rFonts w:ascii="Arial Narrow" w:hAnsi="Arial Narrow" w:cs="Arial"/>
                <w:sz w:val="24"/>
                <w:szCs w:val="24"/>
                <w:u w:val="single"/>
              </w:rPr>
            </w:pPr>
            <w:r w:rsidRPr="00F45891">
              <w:rPr>
                <w:rFonts w:ascii="Arial Narrow" w:hAnsi="Arial Narrow" w:cs="Arial"/>
                <w:sz w:val="24"/>
                <w:szCs w:val="24"/>
                <w:u w:val="single"/>
              </w:rPr>
              <w:t>Introduction and brief background</w:t>
            </w:r>
          </w:p>
          <w:p w:rsidR="008630BE" w:rsidRPr="00F93242" w:rsidRDefault="008630BE" w:rsidP="008630BE">
            <w:pPr>
              <w:tabs>
                <w:tab w:val="left" w:pos="1275"/>
              </w:tabs>
              <w:spacing w:line="360" w:lineRule="auto"/>
              <w:jc w:val="both"/>
              <w:rPr>
                <w:rFonts w:ascii="Arial" w:hAnsi="Arial" w:cs="Arial"/>
                <w:sz w:val="24"/>
                <w:szCs w:val="24"/>
                <w:u w:val="single"/>
              </w:rPr>
            </w:pPr>
          </w:p>
          <w:p w:rsidR="008630BE" w:rsidRPr="009840E3" w:rsidRDefault="008630BE" w:rsidP="008630BE">
            <w:pPr>
              <w:spacing w:line="360" w:lineRule="auto"/>
              <w:jc w:val="both"/>
              <w:rPr>
                <w:rFonts w:ascii="Arial Narrow" w:hAnsi="Arial Narrow" w:cs="Arial"/>
                <w:sz w:val="24"/>
                <w:szCs w:val="24"/>
              </w:rPr>
            </w:pPr>
            <w:r w:rsidRPr="009840E3">
              <w:rPr>
                <w:rFonts w:ascii="Arial Narrow" w:hAnsi="Arial Narrow" w:cs="Arial"/>
                <w:sz w:val="24"/>
                <w:szCs w:val="24"/>
              </w:rPr>
              <w:lastRenderedPageBreak/>
              <w:t>[1]</w:t>
            </w:r>
            <w:r w:rsidRPr="009840E3">
              <w:rPr>
                <w:rFonts w:ascii="Arial Narrow" w:hAnsi="Arial Narrow" w:cs="Arial"/>
                <w:sz w:val="24"/>
                <w:szCs w:val="24"/>
              </w:rPr>
              <w:tab/>
            </w:r>
            <w:r w:rsidR="00F45891" w:rsidRPr="00F45891">
              <w:rPr>
                <w:rFonts w:ascii="Arial Narrow" w:hAnsi="Arial Narrow" w:cs="Arial"/>
                <w:sz w:val="24"/>
                <w:szCs w:val="24"/>
              </w:rPr>
              <w:t>In th</w:t>
            </w:r>
            <w:r w:rsidR="00F77992">
              <w:rPr>
                <w:rFonts w:ascii="Arial Narrow" w:hAnsi="Arial Narrow" w:cs="Arial"/>
                <w:sz w:val="24"/>
                <w:szCs w:val="24"/>
              </w:rPr>
              <w:t>is</w:t>
            </w:r>
            <w:r w:rsidRPr="00F45891">
              <w:rPr>
                <w:rFonts w:ascii="Arial Narrow" w:hAnsi="Arial Narrow" w:cs="Arial"/>
                <w:sz w:val="24"/>
                <w:szCs w:val="24"/>
              </w:rPr>
              <w:t xml:space="preserve"> application</w:t>
            </w:r>
            <w:r w:rsidR="00F77992">
              <w:rPr>
                <w:rFonts w:ascii="Arial Narrow" w:hAnsi="Arial Narrow" w:cs="Arial"/>
                <w:sz w:val="24"/>
                <w:szCs w:val="24"/>
              </w:rPr>
              <w:t xml:space="preserve"> brought before me the plaintiff</w:t>
            </w:r>
            <w:r w:rsidRPr="00F45891">
              <w:rPr>
                <w:rStyle w:val="FootnoteReference"/>
                <w:rFonts w:ascii="Arial Narrow" w:hAnsi="Arial Narrow" w:cs="Arial"/>
                <w:sz w:val="24"/>
                <w:szCs w:val="24"/>
              </w:rPr>
              <w:t xml:space="preserve"> </w:t>
            </w:r>
            <w:r w:rsidRPr="00F45891">
              <w:rPr>
                <w:rStyle w:val="FootnoteReference"/>
                <w:rFonts w:ascii="Arial Narrow" w:hAnsi="Arial Narrow" w:cs="Arial"/>
                <w:sz w:val="24"/>
                <w:szCs w:val="24"/>
              </w:rPr>
              <w:footnoteReference w:id="1"/>
            </w:r>
            <w:r w:rsidRPr="00F45891">
              <w:rPr>
                <w:rFonts w:ascii="Arial Narrow" w:hAnsi="Arial Narrow" w:cs="Arial"/>
                <w:sz w:val="24"/>
                <w:szCs w:val="24"/>
              </w:rPr>
              <w:t xml:space="preserve"> is seeking an order</w:t>
            </w:r>
            <w:r w:rsidR="00F77992">
              <w:rPr>
                <w:rFonts w:ascii="Arial Narrow" w:hAnsi="Arial Narrow" w:cs="Arial"/>
                <w:sz w:val="24"/>
                <w:szCs w:val="24"/>
              </w:rPr>
              <w:t xml:space="preserve"> </w:t>
            </w:r>
            <w:r w:rsidR="00FB7206">
              <w:rPr>
                <w:rFonts w:ascii="Arial Narrow" w:hAnsi="Arial Narrow" w:cs="Arial"/>
                <w:sz w:val="24"/>
                <w:szCs w:val="24"/>
              </w:rPr>
              <w:t xml:space="preserve"> in terms of which </w:t>
            </w:r>
            <w:r w:rsidR="00F77992">
              <w:rPr>
                <w:rFonts w:ascii="Arial Narrow" w:hAnsi="Arial Narrow" w:cs="Arial"/>
                <w:sz w:val="24"/>
                <w:szCs w:val="24"/>
              </w:rPr>
              <w:t>it</w:t>
            </w:r>
            <w:r w:rsidR="00FB7206">
              <w:rPr>
                <w:rFonts w:ascii="Arial Narrow" w:hAnsi="Arial Narrow" w:cs="Arial"/>
                <w:sz w:val="24"/>
                <w:szCs w:val="24"/>
              </w:rPr>
              <w:t xml:space="preserve"> be granted leave</w:t>
            </w:r>
            <w:r w:rsidR="00F77992">
              <w:rPr>
                <w:rFonts w:ascii="Arial Narrow" w:hAnsi="Arial Narrow" w:cs="Arial"/>
                <w:sz w:val="24"/>
                <w:szCs w:val="24"/>
              </w:rPr>
              <w:t xml:space="preserve"> to amend its amended particulars of claim in terms of Rule 52 of the High Court Rules</w:t>
            </w:r>
            <w:r w:rsidRPr="00F45891">
              <w:rPr>
                <w:rFonts w:ascii="Arial Narrow" w:hAnsi="Arial Narrow" w:cs="Arial"/>
                <w:sz w:val="24"/>
                <w:szCs w:val="24"/>
              </w:rPr>
              <w:t>. The defendant</w:t>
            </w:r>
            <w:r w:rsidR="00F77992">
              <w:rPr>
                <w:rFonts w:ascii="Arial Narrow" w:hAnsi="Arial Narrow" w:cs="Arial"/>
                <w:sz w:val="24"/>
                <w:szCs w:val="24"/>
              </w:rPr>
              <w:t xml:space="preserve"> however objects to the proposed amendments</w:t>
            </w:r>
            <w:r w:rsidR="00761D96">
              <w:rPr>
                <w:rFonts w:ascii="Arial Narrow" w:hAnsi="Arial Narrow" w:cs="Arial"/>
                <w:sz w:val="24"/>
                <w:szCs w:val="24"/>
              </w:rPr>
              <w:t xml:space="preserve"> and prays for the application for amendment to be dismissed with costs</w:t>
            </w:r>
            <w:r w:rsidR="002722C9">
              <w:rPr>
                <w:rFonts w:ascii="Arial Narrow" w:hAnsi="Arial Narrow" w:cs="Arial"/>
                <w:sz w:val="24"/>
                <w:szCs w:val="24"/>
              </w:rPr>
              <w:t>.</w:t>
            </w:r>
            <w:r w:rsidRPr="00F45891">
              <w:rPr>
                <w:rFonts w:ascii="Arial Narrow" w:hAnsi="Arial Narrow" w:cs="Arial"/>
                <w:sz w:val="24"/>
                <w:szCs w:val="24"/>
              </w:rPr>
              <w:t xml:space="preserve"> </w:t>
            </w:r>
          </w:p>
          <w:p w:rsidR="008630BE" w:rsidRPr="009840E3" w:rsidRDefault="008630BE" w:rsidP="008630BE">
            <w:pPr>
              <w:spacing w:line="360" w:lineRule="auto"/>
              <w:jc w:val="both"/>
              <w:rPr>
                <w:rFonts w:ascii="Arial Narrow" w:hAnsi="Arial Narrow" w:cs="Arial"/>
                <w:sz w:val="24"/>
                <w:szCs w:val="24"/>
              </w:rPr>
            </w:pPr>
          </w:p>
          <w:p w:rsidR="005B2055" w:rsidRPr="007D3A83" w:rsidRDefault="005B754B" w:rsidP="007D3A83">
            <w:pPr>
              <w:spacing w:line="360" w:lineRule="auto"/>
              <w:jc w:val="both"/>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t>On 19 January 2017</w:t>
            </w:r>
            <w:r w:rsidR="008630BE" w:rsidRPr="009840E3">
              <w:rPr>
                <w:rFonts w:ascii="Arial Narrow" w:hAnsi="Arial Narrow" w:cs="Arial"/>
                <w:sz w:val="24"/>
                <w:szCs w:val="24"/>
              </w:rPr>
              <w:t xml:space="preserve"> the plaintiff</w:t>
            </w:r>
            <w:r w:rsidR="008630BE" w:rsidRPr="007D0247">
              <w:rPr>
                <w:rFonts w:ascii="Arial Narrow" w:hAnsi="Arial Narrow" w:cs="Arial"/>
                <w:sz w:val="24"/>
                <w:szCs w:val="24"/>
              </w:rPr>
              <w:t xml:space="preserve"> </w:t>
            </w:r>
            <w:r w:rsidR="008630BE" w:rsidRPr="009840E3">
              <w:rPr>
                <w:rFonts w:ascii="Arial Narrow" w:hAnsi="Arial Narrow" w:cs="Arial"/>
                <w:sz w:val="24"/>
                <w:szCs w:val="24"/>
              </w:rPr>
              <w:t>instituted summons against the</w:t>
            </w:r>
            <w:r>
              <w:rPr>
                <w:rFonts w:ascii="Arial Narrow" w:hAnsi="Arial Narrow" w:cs="Arial"/>
                <w:sz w:val="24"/>
                <w:szCs w:val="24"/>
              </w:rPr>
              <w:t xml:space="preserve"> first to fourth</w:t>
            </w:r>
            <w:r w:rsidR="008630BE" w:rsidRPr="009840E3">
              <w:rPr>
                <w:rFonts w:ascii="Arial Narrow" w:hAnsi="Arial Narrow" w:cs="Arial"/>
                <w:sz w:val="24"/>
                <w:szCs w:val="24"/>
              </w:rPr>
              <w:t xml:space="preserve"> defendant</w:t>
            </w:r>
            <w:r w:rsidR="00BB5B42">
              <w:rPr>
                <w:rFonts w:ascii="Arial Narrow" w:hAnsi="Arial Narrow" w:cs="Arial"/>
                <w:sz w:val="24"/>
                <w:szCs w:val="24"/>
              </w:rPr>
              <w:t>s</w:t>
            </w:r>
            <w:r>
              <w:rPr>
                <w:rFonts w:ascii="Arial Narrow" w:hAnsi="Arial Narrow" w:cs="Arial"/>
                <w:sz w:val="24"/>
                <w:szCs w:val="24"/>
              </w:rPr>
              <w:t>, but it</w:t>
            </w:r>
            <w:r w:rsidR="00BB5B42">
              <w:rPr>
                <w:rFonts w:ascii="Arial Narrow" w:hAnsi="Arial Narrow" w:cs="Arial"/>
                <w:sz w:val="24"/>
                <w:szCs w:val="24"/>
              </w:rPr>
              <w:t>’</w:t>
            </w:r>
            <w:r>
              <w:rPr>
                <w:rFonts w:ascii="Arial Narrow" w:hAnsi="Arial Narrow" w:cs="Arial"/>
                <w:sz w:val="24"/>
                <w:szCs w:val="24"/>
              </w:rPr>
              <w:t>s only</w:t>
            </w:r>
            <w:r w:rsidR="00BB5B42">
              <w:rPr>
                <w:rFonts w:ascii="Arial Narrow" w:hAnsi="Arial Narrow" w:cs="Arial"/>
                <w:sz w:val="24"/>
                <w:szCs w:val="24"/>
              </w:rPr>
              <w:t xml:space="preserve"> the</w:t>
            </w:r>
            <w:r>
              <w:rPr>
                <w:rFonts w:ascii="Arial Narrow" w:hAnsi="Arial Narrow" w:cs="Arial"/>
                <w:sz w:val="24"/>
                <w:szCs w:val="24"/>
              </w:rPr>
              <w:t xml:space="preserve"> first defendant that defended the action</w:t>
            </w:r>
            <w:r w:rsidR="008630BE" w:rsidRPr="009840E3">
              <w:rPr>
                <w:rFonts w:ascii="Arial Narrow" w:hAnsi="Arial Narrow" w:cs="Arial"/>
                <w:sz w:val="24"/>
                <w:szCs w:val="24"/>
              </w:rPr>
              <w:t xml:space="preserve">. </w:t>
            </w:r>
            <w:r>
              <w:rPr>
                <w:rFonts w:ascii="Arial Narrow" w:hAnsi="Arial Narrow" w:cs="Arial"/>
                <w:sz w:val="24"/>
                <w:szCs w:val="24"/>
              </w:rPr>
              <w:t xml:space="preserve"> On 12 October 2017 the plaintiff filed its amended particulars of claim. This amendment was initially objected</w:t>
            </w:r>
            <w:r w:rsidR="00821843">
              <w:rPr>
                <w:rFonts w:ascii="Arial Narrow" w:hAnsi="Arial Narrow" w:cs="Arial"/>
                <w:sz w:val="24"/>
                <w:szCs w:val="24"/>
              </w:rPr>
              <w:t xml:space="preserve"> </w:t>
            </w:r>
            <w:r w:rsidR="00290A38">
              <w:rPr>
                <w:rFonts w:ascii="Arial Narrow" w:hAnsi="Arial Narrow" w:cs="Arial"/>
                <w:sz w:val="24"/>
                <w:szCs w:val="24"/>
              </w:rPr>
              <w:t xml:space="preserve">to </w:t>
            </w:r>
            <w:r>
              <w:rPr>
                <w:rFonts w:ascii="Arial Narrow" w:hAnsi="Arial Narrow" w:cs="Arial"/>
                <w:sz w:val="24"/>
                <w:szCs w:val="24"/>
              </w:rPr>
              <w:t xml:space="preserve">by the first defendant, however the objection was later withdrawn. </w:t>
            </w:r>
            <w:r w:rsidR="00821843">
              <w:rPr>
                <w:rFonts w:ascii="Arial Narrow" w:hAnsi="Arial Narrow" w:cs="Arial"/>
                <w:sz w:val="24"/>
                <w:szCs w:val="24"/>
              </w:rPr>
              <w:t>Plaintiff</w:t>
            </w:r>
            <w:r w:rsidR="00434660">
              <w:rPr>
                <w:rFonts w:ascii="Arial Narrow" w:hAnsi="Arial Narrow" w:cs="Arial"/>
                <w:sz w:val="24"/>
                <w:szCs w:val="24"/>
              </w:rPr>
              <w:t>, in a nutshell, seeks payment for the outstanding balance (together with interest and costs as agreed between the parties) of a loan, a mortgage bond and suretyships for the loan. The plaintiff, with its amendment, seeks to clarify and amplify their claim a</w:t>
            </w:r>
            <w:r w:rsidR="0035233F">
              <w:rPr>
                <w:rFonts w:ascii="Arial Narrow" w:hAnsi="Arial Narrow" w:cs="Arial"/>
                <w:sz w:val="24"/>
                <w:szCs w:val="24"/>
              </w:rPr>
              <w:t>n</w:t>
            </w:r>
            <w:r w:rsidR="00434660">
              <w:rPr>
                <w:rFonts w:ascii="Arial Narrow" w:hAnsi="Arial Narrow" w:cs="Arial"/>
                <w:sz w:val="24"/>
                <w:szCs w:val="24"/>
              </w:rPr>
              <w:t xml:space="preserve">d introduce alternative claims for enrichment and damages against the defendants. The latter reliefs were occasioned by the nature of the defence raised by the first defendant. </w:t>
            </w:r>
          </w:p>
          <w:p w:rsidR="008630BE" w:rsidRPr="009840E3" w:rsidRDefault="008630BE" w:rsidP="008630BE">
            <w:pPr>
              <w:spacing w:line="360" w:lineRule="auto"/>
              <w:jc w:val="both"/>
              <w:rPr>
                <w:rFonts w:ascii="Arial Narrow" w:hAnsi="Arial Narrow" w:cs="Arial"/>
                <w:sz w:val="24"/>
                <w:szCs w:val="24"/>
              </w:rPr>
            </w:pPr>
          </w:p>
          <w:p w:rsidR="008630BE" w:rsidRDefault="008630BE" w:rsidP="008630BE">
            <w:pPr>
              <w:spacing w:line="360" w:lineRule="auto"/>
              <w:jc w:val="both"/>
              <w:rPr>
                <w:rFonts w:ascii="Arial Narrow" w:hAnsi="Arial Narrow" w:cs="Arial"/>
                <w:sz w:val="24"/>
                <w:szCs w:val="24"/>
                <w:u w:val="single"/>
              </w:rPr>
            </w:pPr>
            <w:r w:rsidRPr="009840E3">
              <w:rPr>
                <w:rFonts w:ascii="Arial Narrow" w:hAnsi="Arial Narrow" w:cs="Arial"/>
                <w:sz w:val="24"/>
                <w:szCs w:val="24"/>
                <w:u w:val="single"/>
              </w:rPr>
              <w:t>Parties’ submissions</w:t>
            </w:r>
          </w:p>
          <w:p w:rsidR="00A70171" w:rsidRPr="009840E3" w:rsidRDefault="00A70171" w:rsidP="008630BE">
            <w:pPr>
              <w:spacing w:line="360" w:lineRule="auto"/>
              <w:jc w:val="both"/>
              <w:rPr>
                <w:rFonts w:ascii="Arial Narrow" w:hAnsi="Arial Narrow" w:cs="Arial"/>
                <w:sz w:val="24"/>
                <w:szCs w:val="24"/>
                <w:u w:val="single"/>
              </w:rPr>
            </w:pPr>
          </w:p>
          <w:p w:rsidR="008630BE" w:rsidRDefault="00290A38" w:rsidP="008630BE">
            <w:pPr>
              <w:spacing w:line="360" w:lineRule="auto"/>
              <w:jc w:val="both"/>
              <w:rPr>
                <w:rFonts w:ascii="Arial Narrow" w:hAnsi="Arial Narrow" w:cs="Arial"/>
                <w:i/>
                <w:sz w:val="24"/>
                <w:szCs w:val="24"/>
              </w:rPr>
            </w:pPr>
            <w:r>
              <w:rPr>
                <w:rFonts w:ascii="Arial Narrow" w:hAnsi="Arial Narrow" w:cs="Arial"/>
                <w:i/>
                <w:sz w:val="24"/>
                <w:szCs w:val="24"/>
              </w:rPr>
              <w:t>First d</w:t>
            </w:r>
            <w:r w:rsidR="008630BE" w:rsidRPr="00F45891">
              <w:rPr>
                <w:rFonts w:ascii="Arial Narrow" w:hAnsi="Arial Narrow" w:cs="Arial"/>
                <w:i/>
                <w:sz w:val="24"/>
                <w:szCs w:val="24"/>
              </w:rPr>
              <w:t>efendant</w:t>
            </w:r>
          </w:p>
          <w:p w:rsidR="007D3A83" w:rsidRPr="007533F7" w:rsidRDefault="007D3A83" w:rsidP="007533F7">
            <w:pPr>
              <w:spacing w:line="360" w:lineRule="auto"/>
              <w:jc w:val="both"/>
              <w:rPr>
                <w:rFonts w:ascii="Arial Narrow" w:hAnsi="Arial Narrow" w:cs="Arial"/>
                <w:sz w:val="24"/>
                <w:szCs w:val="24"/>
              </w:rPr>
            </w:pPr>
            <w:r>
              <w:rPr>
                <w:rFonts w:ascii="Arial Narrow" w:hAnsi="Arial Narrow" w:cs="Arial"/>
                <w:sz w:val="24"/>
                <w:szCs w:val="24"/>
              </w:rPr>
              <w:t xml:space="preserve">[3]          </w:t>
            </w:r>
            <w:r w:rsidR="00E97AF7">
              <w:rPr>
                <w:rFonts w:ascii="Arial Narrow" w:hAnsi="Arial Narrow" w:cs="Arial"/>
                <w:sz w:val="24"/>
                <w:szCs w:val="24"/>
              </w:rPr>
              <w:t>The first d</w:t>
            </w:r>
            <w:r>
              <w:rPr>
                <w:rFonts w:ascii="Arial Narrow" w:hAnsi="Arial Narrow" w:cs="Arial"/>
                <w:sz w:val="24"/>
                <w:szCs w:val="24"/>
              </w:rPr>
              <w:t>efendant raised nine objections to the proposed amendments, which in summary, are as follows:</w:t>
            </w:r>
            <w:r w:rsidR="00E97AF7">
              <w:rPr>
                <w:rFonts w:ascii="Arial Narrow" w:hAnsi="Arial Narrow" w:cs="Arial"/>
                <w:sz w:val="24"/>
                <w:szCs w:val="24"/>
              </w:rPr>
              <w:t xml:space="preserve"> (a) p</w:t>
            </w:r>
            <w:r w:rsidR="00230285">
              <w:rPr>
                <w:rFonts w:ascii="Arial Narrow" w:hAnsi="Arial Narrow" w:cs="Arial"/>
                <w:sz w:val="24"/>
                <w:szCs w:val="24"/>
              </w:rPr>
              <w:t>laintiff failed to attach</w:t>
            </w:r>
            <w:r w:rsidR="007769F3" w:rsidRPr="00E97AF7">
              <w:rPr>
                <w:rFonts w:ascii="Arial Narrow" w:hAnsi="Arial Narrow" w:cs="Arial"/>
                <w:sz w:val="24"/>
                <w:szCs w:val="24"/>
              </w:rPr>
              <w:t xml:space="preserve"> the standard conditions relied upon by the plaintiff as the written agreement </w:t>
            </w:r>
            <w:r w:rsidR="0089796D">
              <w:rPr>
                <w:rFonts w:ascii="Arial Narrow" w:hAnsi="Arial Narrow" w:cs="Arial"/>
                <w:sz w:val="24"/>
                <w:szCs w:val="24"/>
              </w:rPr>
              <w:t>of the overdraft facilities; (b) p</w:t>
            </w:r>
            <w:r w:rsidRPr="0089796D">
              <w:rPr>
                <w:rFonts w:ascii="Arial Narrow" w:hAnsi="Arial Narrow" w:cs="Arial"/>
                <w:sz w:val="24"/>
                <w:szCs w:val="24"/>
              </w:rPr>
              <w:t xml:space="preserve">laintiff </w:t>
            </w:r>
            <w:r w:rsidR="00852C83">
              <w:rPr>
                <w:rFonts w:ascii="Arial Narrow" w:hAnsi="Arial Narrow" w:cs="Arial"/>
                <w:sz w:val="24"/>
                <w:szCs w:val="24"/>
              </w:rPr>
              <w:t>failed</w:t>
            </w:r>
            <w:r w:rsidR="00E7390B" w:rsidRPr="0089796D">
              <w:rPr>
                <w:rFonts w:ascii="Arial Narrow" w:hAnsi="Arial Narrow" w:cs="Arial"/>
                <w:sz w:val="24"/>
                <w:szCs w:val="24"/>
              </w:rPr>
              <w:t xml:space="preserve"> to plead the name of the person who represented </w:t>
            </w:r>
            <w:r w:rsidR="00852C83">
              <w:rPr>
                <w:rFonts w:ascii="Arial Narrow" w:hAnsi="Arial Narrow" w:cs="Arial"/>
                <w:sz w:val="24"/>
                <w:szCs w:val="24"/>
              </w:rPr>
              <w:t>the first d</w:t>
            </w:r>
            <w:r w:rsidRPr="0089796D">
              <w:rPr>
                <w:rFonts w:ascii="Arial Narrow" w:hAnsi="Arial Narrow" w:cs="Arial"/>
                <w:sz w:val="24"/>
                <w:szCs w:val="24"/>
              </w:rPr>
              <w:t>efen</w:t>
            </w:r>
            <w:r w:rsidR="00E7390B" w:rsidRPr="0089796D">
              <w:rPr>
                <w:rFonts w:ascii="Arial Narrow" w:hAnsi="Arial Narrow" w:cs="Arial"/>
                <w:sz w:val="24"/>
                <w:szCs w:val="24"/>
              </w:rPr>
              <w:t>d</w:t>
            </w:r>
            <w:r w:rsidR="00852C83">
              <w:rPr>
                <w:rFonts w:ascii="Arial Narrow" w:hAnsi="Arial Narrow" w:cs="Arial"/>
                <w:sz w:val="24"/>
                <w:szCs w:val="24"/>
              </w:rPr>
              <w:t>ant in the overdraft agreements; (c) i</w:t>
            </w:r>
            <w:r w:rsidRPr="00852C83">
              <w:rPr>
                <w:rFonts w:ascii="Arial Narrow" w:hAnsi="Arial Narrow" w:cs="Arial"/>
                <w:sz w:val="24"/>
                <w:szCs w:val="24"/>
              </w:rPr>
              <w:t>t is not alleged in terms of what authority (resolution) third defendant was authorised to represent first defendant in concludi</w:t>
            </w:r>
            <w:r w:rsidR="00BF5BC4">
              <w:rPr>
                <w:rFonts w:ascii="Arial Narrow" w:hAnsi="Arial Narrow" w:cs="Arial"/>
                <w:sz w:val="24"/>
                <w:szCs w:val="24"/>
              </w:rPr>
              <w:t>ng the mortgage loan agreement; (d) i</w:t>
            </w:r>
            <w:r w:rsidRPr="00BF5BC4">
              <w:rPr>
                <w:rFonts w:ascii="Arial Narrow" w:hAnsi="Arial Narrow" w:cs="Arial"/>
                <w:sz w:val="24"/>
                <w:szCs w:val="24"/>
              </w:rPr>
              <w:t>t is not alleged in terms of what authority the second and fourth defendants were authorised by first defendant to represent the latter in entering into the first and second commercial loan agreement</w:t>
            </w:r>
            <w:r w:rsidR="00BF5BC4" w:rsidRPr="00BF5BC4">
              <w:rPr>
                <w:rFonts w:ascii="Arial Narrow" w:hAnsi="Arial Narrow" w:cs="Arial"/>
                <w:sz w:val="24"/>
                <w:szCs w:val="24"/>
              </w:rPr>
              <w:t xml:space="preserve"> as</w:t>
            </w:r>
            <w:r w:rsidR="002C3BC6">
              <w:rPr>
                <w:rFonts w:ascii="Arial Narrow" w:hAnsi="Arial Narrow" w:cs="Arial"/>
                <w:sz w:val="24"/>
                <w:szCs w:val="24"/>
              </w:rPr>
              <w:t xml:space="preserve"> well as</w:t>
            </w:r>
            <w:r w:rsidR="00BF5BC4" w:rsidRPr="00BF5BC4">
              <w:rPr>
                <w:rFonts w:ascii="Arial Narrow" w:hAnsi="Arial Narrow" w:cs="Arial"/>
                <w:sz w:val="24"/>
                <w:szCs w:val="24"/>
              </w:rPr>
              <w:t xml:space="preserve"> the </w:t>
            </w:r>
            <w:r w:rsidRPr="00BF5BC4">
              <w:rPr>
                <w:rFonts w:ascii="Arial Narrow" w:hAnsi="Arial Narrow" w:cs="Arial"/>
                <w:sz w:val="24"/>
                <w:szCs w:val="24"/>
              </w:rPr>
              <w:t>second w</w:t>
            </w:r>
            <w:r w:rsidR="002C3BC6">
              <w:rPr>
                <w:rFonts w:ascii="Arial Narrow" w:hAnsi="Arial Narrow" w:cs="Arial"/>
                <w:sz w:val="24"/>
                <w:szCs w:val="24"/>
              </w:rPr>
              <w:t>ritten mortgage loan agreement ; (e) t</w:t>
            </w:r>
            <w:r w:rsidRPr="002C3BC6">
              <w:rPr>
                <w:rFonts w:ascii="Arial Narrow" w:hAnsi="Arial Narrow" w:cs="Arial"/>
                <w:sz w:val="24"/>
                <w:szCs w:val="24"/>
              </w:rPr>
              <w:t>he amounts claimed to be owed</w:t>
            </w:r>
            <w:r w:rsidR="002C3BC6">
              <w:rPr>
                <w:rFonts w:ascii="Arial Narrow" w:hAnsi="Arial Narrow" w:cs="Arial"/>
                <w:sz w:val="24"/>
                <w:szCs w:val="24"/>
              </w:rPr>
              <w:t xml:space="preserve"> as alleged in the proposed amended particulars of claim and the prayers as well as</w:t>
            </w:r>
            <w:r w:rsidRPr="002C3BC6">
              <w:rPr>
                <w:rFonts w:ascii="Arial Narrow" w:hAnsi="Arial Narrow" w:cs="Arial"/>
                <w:sz w:val="24"/>
                <w:szCs w:val="24"/>
              </w:rPr>
              <w:t xml:space="preserve"> the amount of the</w:t>
            </w:r>
            <w:r w:rsidR="002C3BC6">
              <w:rPr>
                <w:rFonts w:ascii="Arial Narrow" w:hAnsi="Arial Narrow" w:cs="Arial"/>
                <w:sz w:val="24"/>
                <w:szCs w:val="24"/>
              </w:rPr>
              <w:t xml:space="preserve"> second mortgage loan </w:t>
            </w:r>
            <w:r w:rsidR="007E1C32">
              <w:rPr>
                <w:rFonts w:ascii="Arial Narrow" w:hAnsi="Arial Narrow" w:cs="Arial"/>
                <w:sz w:val="24"/>
                <w:szCs w:val="24"/>
              </w:rPr>
              <w:t>agreement</w:t>
            </w:r>
            <w:r w:rsidR="007E1C32" w:rsidRPr="002C3BC6">
              <w:rPr>
                <w:rFonts w:ascii="Arial Narrow" w:hAnsi="Arial Narrow" w:cs="Arial"/>
                <w:sz w:val="24"/>
                <w:szCs w:val="24"/>
              </w:rPr>
              <w:t xml:space="preserve"> differs</w:t>
            </w:r>
            <w:r w:rsidR="00466FAF">
              <w:rPr>
                <w:rFonts w:ascii="Arial Narrow" w:hAnsi="Arial Narrow" w:cs="Arial"/>
                <w:sz w:val="24"/>
                <w:szCs w:val="24"/>
              </w:rPr>
              <w:t>; (f) p</w:t>
            </w:r>
            <w:r w:rsidRPr="00466FAF">
              <w:rPr>
                <w:rFonts w:ascii="Arial Narrow" w:hAnsi="Arial Narrow" w:cs="Arial"/>
                <w:sz w:val="24"/>
                <w:szCs w:val="24"/>
              </w:rPr>
              <w:t>laintiff failed to allege precisely what amounts have actually been paid to first defendant and precisely to whom, authorised by first defendant, the</w:t>
            </w:r>
            <w:r w:rsidR="00466FAF">
              <w:rPr>
                <w:rFonts w:ascii="Arial Narrow" w:hAnsi="Arial Narrow" w:cs="Arial"/>
                <w:sz w:val="24"/>
                <w:szCs w:val="24"/>
              </w:rPr>
              <w:t xml:space="preserve"> money was paid to and received; </w:t>
            </w:r>
            <w:r w:rsidR="007533F7">
              <w:rPr>
                <w:rFonts w:ascii="Arial Narrow" w:hAnsi="Arial Narrow" w:cs="Arial"/>
                <w:sz w:val="24"/>
                <w:szCs w:val="24"/>
              </w:rPr>
              <w:t xml:space="preserve">and </w:t>
            </w:r>
            <w:r w:rsidR="00466FAF">
              <w:rPr>
                <w:rFonts w:ascii="Arial Narrow" w:hAnsi="Arial Narrow" w:cs="Arial"/>
                <w:sz w:val="24"/>
                <w:szCs w:val="24"/>
              </w:rPr>
              <w:t>(g) p</w:t>
            </w:r>
            <w:r w:rsidRPr="00466FAF">
              <w:rPr>
                <w:rFonts w:ascii="Arial Narrow" w:hAnsi="Arial Narrow" w:cs="Arial"/>
                <w:sz w:val="24"/>
                <w:szCs w:val="24"/>
              </w:rPr>
              <w:t>laintiff failed to allege who, on behalf of the first defendant, authorised the plaintiff to register the respective bonds against the p</w:t>
            </w:r>
            <w:r w:rsidR="007533F7">
              <w:rPr>
                <w:rFonts w:ascii="Arial Narrow" w:hAnsi="Arial Narrow" w:cs="Arial"/>
                <w:sz w:val="24"/>
                <w:szCs w:val="24"/>
              </w:rPr>
              <w:t>roperty of the first defendant.</w:t>
            </w:r>
          </w:p>
          <w:p w:rsidR="001B0C18" w:rsidRPr="001B0C18" w:rsidRDefault="001B0C18" w:rsidP="001B0C18">
            <w:pPr>
              <w:spacing w:line="360" w:lineRule="auto"/>
              <w:jc w:val="both"/>
              <w:rPr>
                <w:rFonts w:ascii="Arial Narrow" w:hAnsi="Arial Narrow" w:cs="Arial"/>
                <w:sz w:val="24"/>
                <w:szCs w:val="24"/>
              </w:rPr>
            </w:pPr>
          </w:p>
          <w:p w:rsidR="003F6809" w:rsidRDefault="008630BE" w:rsidP="008630BE">
            <w:pPr>
              <w:spacing w:line="360" w:lineRule="auto"/>
              <w:jc w:val="both"/>
              <w:rPr>
                <w:rFonts w:ascii="Arial Narrow" w:hAnsi="Arial Narrow" w:cs="Arial"/>
                <w:sz w:val="24"/>
                <w:szCs w:val="24"/>
              </w:rPr>
            </w:pPr>
            <w:r w:rsidRPr="009840E3">
              <w:rPr>
                <w:rFonts w:ascii="Arial Narrow" w:hAnsi="Arial Narrow" w:cs="Arial"/>
                <w:color w:val="0D0D0D" w:themeColor="text1" w:themeTint="F2"/>
                <w:sz w:val="24"/>
                <w:szCs w:val="24"/>
              </w:rPr>
              <w:t>[</w:t>
            </w:r>
            <w:r w:rsidR="00AD4154">
              <w:rPr>
                <w:rFonts w:ascii="Arial Narrow" w:hAnsi="Arial Narrow" w:cs="Arial"/>
                <w:color w:val="0D0D0D" w:themeColor="text1" w:themeTint="F2"/>
                <w:sz w:val="24"/>
                <w:szCs w:val="24"/>
              </w:rPr>
              <w:t>4</w:t>
            </w:r>
            <w:r w:rsidR="00290A38">
              <w:rPr>
                <w:rFonts w:ascii="Arial Narrow" w:hAnsi="Arial Narrow" w:cs="Arial"/>
                <w:color w:val="0D0D0D" w:themeColor="text1" w:themeTint="F2"/>
                <w:sz w:val="24"/>
                <w:szCs w:val="24"/>
              </w:rPr>
              <w:t>]</w:t>
            </w:r>
            <w:r w:rsidR="00290A38">
              <w:rPr>
                <w:rFonts w:ascii="Arial Narrow" w:hAnsi="Arial Narrow" w:cs="Arial"/>
                <w:color w:val="0D0D0D" w:themeColor="text1" w:themeTint="F2"/>
                <w:sz w:val="24"/>
                <w:szCs w:val="24"/>
              </w:rPr>
              <w:tab/>
            </w:r>
            <w:r w:rsidR="007D3A83">
              <w:rPr>
                <w:rFonts w:ascii="Arial Narrow" w:hAnsi="Arial Narrow" w:cs="Arial"/>
                <w:color w:val="0D0D0D" w:themeColor="text1" w:themeTint="F2"/>
                <w:sz w:val="24"/>
                <w:szCs w:val="24"/>
              </w:rPr>
              <w:t xml:space="preserve">In amplification of the above objections </w:t>
            </w:r>
            <w:r w:rsidR="00290A38">
              <w:rPr>
                <w:rFonts w:ascii="Arial Narrow" w:hAnsi="Arial Narrow" w:cs="Arial"/>
                <w:color w:val="0D0D0D" w:themeColor="text1" w:themeTint="F2"/>
                <w:sz w:val="24"/>
                <w:szCs w:val="24"/>
              </w:rPr>
              <w:t>Mr Vaatz</w:t>
            </w:r>
            <w:r w:rsidRPr="009840E3">
              <w:rPr>
                <w:rFonts w:ascii="Arial Narrow" w:hAnsi="Arial Narrow" w:cs="Arial"/>
                <w:color w:val="0D0D0D" w:themeColor="text1" w:themeTint="F2"/>
                <w:sz w:val="24"/>
                <w:szCs w:val="24"/>
              </w:rPr>
              <w:t xml:space="preserve">, counsel for the </w:t>
            </w:r>
            <w:r w:rsidR="007D3A83">
              <w:rPr>
                <w:rFonts w:ascii="Arial Narrow" w:hAnsi="Arial Narrow" w:cs="Arial"/>
                <w:color w:val="0D0D0D" w:themeColor="text1" w:themeTint="F2"/>
                <w:sz w:val="24"/>
                <w:szCs w:val="24"/>
              </w:rPr>
              <w:t xml:space="preserve">first </w:t>
            </w:r>
            <w:r w:rsidRPr="00F45891">
              <w:rPr>
                <w:rFonts w:ascii="Arial Narrow" w:hAnsi="Arial Narrow" w:cs="Arial"/>
                <w:sz w:val="24"/>
                <w:szCs w:val="24"/>
              </w:rPr>
              <w:t xml:space="preserve">defendant, </w:t>
            </w:r>
            <w:r w:rsidR="00E90B87">
              <w:rPr>
                <w:rFonts w:ascii="Arial Narrow" w:hAnsi="Arial Narrow" w:cs="Arial"/>
                <w:sz w:val="24"/>
                <w:szCs w:val="24"/>
              </w:rPr>
              <w:t>argued</w:t>
            </w:r>
            <w:r w:rsidRPr="00F45891">
              <w:rPr>
                <w:rFonts w:ascii="Arial Narrow" w:hAnsi="Arial Narrow" w:cs="Arial"/>
                <w:sz w:val="24"/>
                <w:szCs w:val="24"/>
              </w:rPr>
              <w:t xml:space="preserve"> that</w:t>
            </w:r>
            <w:r w:rsidR="00E90B87">
              <w:rPr>
                <w:rFonts w:ascii="Arial Narrow" w:hAnsi="Arial Narrow" w:cs="Arial"/>
                <w:sz w:val="24"/>
                <w:szCs w:val="24"/>
              </w:rPr>
              <w:t xml:space="preserve"> </w:t>
            </w:r>
            <w:r w:rsidR="004512F1">
              <w:rPr>
                <w:rFonts w:ascii="Arial Narrow" w:hAnsi="Arial Narrow" w:cs="Arial"/>
                <w:sz w:val="24"/>
                <w:szCs w:val="24"/>
              </w:rPr>
              <w:t>the word ‘</w:t>
            </w:r>
            <w:r w:rsidR="004512F1" w:rsidRPr="004512F1">
              <w:rPr>
                <w:rFonts w:ascii="Arial Narrow" w:hAnsi="Arial Narrow" w:cs="Arial"/>
                <w:i/>
                <w:sz w:val="24"/>
                <w:szCs w:val="24"/>
              </w:rPr>
              <w:t>by whom</w:t>
            </w:r>
            <w:r w:rsidR="004512F1">
              <w:rPr>
                <w:rFonts w:ascii="Arial Narrow" w:hAnsi="Arial Narrow" w:cs="Arial"/>
                <w:sz w:val="24"/>
                <w:szCs w:val="24"/>
              </w:rPr>
              <w:t xml:space="preserve">’ contained in Rule 45(7) require the plaintiff to state the </w:t>
            </w:r>
            <w:r w:rsidR="0086511D">
              <w:rPr>
                <w:rFonts w:ascii="Arial Narrow" w:hAnsi="Arial Narrow" w:cs="Arial"/>
                <w:sz w:val="24"/>
                <w:szCs w:val="24"/>
              </w:rPr>
              <w:t xml:space="preserve">exact </w:t>
            </w:r>
            <w:r w:rsidR="004512F1">
              <w:rPr>
                <w:rFonts w:ascii="Arial Narrow" w:hAnsi="Arial Narrow" w:cs="Arial"/>
                <w:sz w:val="24"/>
                <w:szCs w:val="24"/>
              </w:rPr>
              <w:t>name of the person or his or her status in first defendant’s organisation and not merely stating ‘</w:t>
            </w:r>
            <w:r w:rsidR="004512F1" w:rsidRPr="004512F1">
              <w:rPr>
                <w:rFonts w:ascii="Arial Narrow" w:hAnsi="Arial Narrow" w:cs="Arial"/>
                <w:i/>
                <w:sz w:val="24"/>
                <w:szCs w:val="24"/>
              </w:rPr>
              <w:t>a duly authorised representative</w:t>
            </w:r>
            <w:r w:rsidR="004512F1">
              <w:rPr>
                <w:rFonts w:ascii="Arial Narrow" w:hAnsi="Arial Narrow" w:cs="Arial"/>
                <w:sz w:val="24"/>
                <w:szCs w:val="24"/>
              </w:rPr>
              <w:t xml:space="preserve">’ in its particulars of </w:t>
            </w:r>
            <w:r w:rsidR="004512F1">
              <w:rPr>
                <w:rFonts w:ascii="Arial Narrow" w:hAnsi="Arial Narrow" w:cs="Arial"/>
                <w:sz w:val="24"/>
                <w:szCs w:val="24"/>
              </w:rPr>
              <w:lastRenderedPageBreak/>
              <w:t xml:space="preserve">claim. </w:t>
            </w:r>
            <w:r w:rsidR="00396F09">
              <w:rPr>
                <w:rFonts w:ascii="Arial Narrow" w:hAnsi="Arial Narrow" w:cs="Arial"/>
                <w:sz w:val="24"/>
                <w:szCs w:val="24"/>
              </w:rPr>
              <w:t>In this regard the proposed amended particulars of claim are vague and embarrassing for non-compliance with Rule 45 (7) and also Rule 45 (6) as the above</w:t>
            </w:r>
            <w:r w:rsidR="002E4E97">
              <w:rPr>
                <w:rFonts w:ascii="Arial Narrow" w:hAnsi="Arial Narrow" w:cs="Arial"/>
                <w:sz w:val="24"/>
                <w:szCs w:val="24"/>
              </w:rPr>
              <w:t xml:space="preserve"> averments is </w:t>
            </w:r>
            <w:r w:rsidR="004512F1">
              <w:rPr>
                <w:rFonts w:ascii="Arial Narrow" w:hAnsi="Arial Narrow" w:cs="Arial"/>
                <w:sz w:val="24"/>
                <w:szCs w:val="24"/>
              </w:rPr>
              <w:t xml:space="preserve">evasive and vague. </w:t>
            </w:r>
          </w:p>
          <w:p w:rsidR="003F6809" w:rsidRDefault="003F6809" w:rsidP="008630BE">
            <w:pPr>
              <w:spacing w:line="360" w:lineRule="auto"/>
              <w:jc w:val="both"/>
              <w:rPr>
                <w:rFonts w:ascii="Arial Narrow" w:hAnsi="Arial Narrow" w:cs="Arial"/>
                <w:sz w:val="24"/>
                <w:szCs w:val="24"/>
              </w:rPr>
            </w:pPr>
          </w:p>
          <w:p w:rsidR="00D11C91" w:rsidRDefault="003F6809" w:rsidP="003F6809">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w:t>
            </w:r>
            <w:r w:rsidR="00AC07D5">
              <w:rPr>
                <w:rFonts w:ascii="Arial Narrow" w:hAnsi="Arial Narrow" w:cs="Arial"/>
                <w:sz w:val="24"/>
                <w:szCs w:val="24"/>
              </w:rPr>
              <w:t>5</w:t>
            </w:r>
            <w:r w:rsidR="00CB60EB">
              <w:rPr>
                <w:rFonts w:ascii="Arial Narrow" w:hAnsi="Arial Narrow" w:cs="Arial"/>
                <w:color w:val="0D0D0D" w:themeColor="text1" w:themeTint="F2"/>
                <w:sz w:val="24"/>
                <w:szCs w:val="24"/>
              </w:rPr>
              <w:t xml:space="preserve">]          </w:t>
            </w:r>
            <w:r w:rsidR="00FD6AA0">
              <w:rPr>
                <w:rFonts w:ascii="Arial Narrow" w:hAnsi="Arial Narrow" w:cs="Arial"/>
                <w:color w:val="0D0D0D" w:themeColor="text1" w:themeTint="F2"/>
                <w:sz w:val="24"/>
                <w:szCs w:val="24"/>
              </w:rPr>
              <w:t>Mr Vaatz</w:t>
            </w:r>
            <w:r w:rsidR="00141DDD">
              <w:rPr>
                <w:rFonts w:ascii="Arial Narrow" w:hAnsi="Arial Narrow" w:cs="Arial"/>
                <w:color w:val="0D0D0D" w:themeColor="text1" w:themeTint="F2"/>
                <w:sz w:val="24"/>
                <w:szCs w:val="24"/>
              </w:rPr>
              <w:t xml:space="preserve"> </w:t>
            </w:r>
            <w:r w:rsidR="003B4C7E">
              <w:rPr>
                <w:rFonts w:ascii="Arial Narrow" w:hAnsi="Arial Narrow" w:cs="Arial"/>
                <w:color w:val="0D0D0D" w:themeColor="text1" w:themeTint="F2"/>
                <w:sz w:val="24"/>
                <w:szCs w:val="24"/>
              </w:rPr>
              <w:t>submitted</w:t>
            </w:r>
            <w:r w:rsidR="009E4DBF">
              <w:rPr>
                <w:rFonts w:ascii="Arial Narrow" w:hAnsi="Arial Narrow" w:cs="Arial"/>
                <w:color w:val="0D0D0D" w:themeColor="text1" w:themeTint="F2"/>
                <w:sz w:val="24"/>
                <w:szCs w:val="24"/>
              </w:rPr>
              <w:t xml:space="preserve"> that the standard conditions which are referred to in the overdraft </w:t>
            </w:r>
            <w:r w:rsidR="002E0E05">
              <w:rPr>
                <w:rFonts w:ascii="Arial Narrow" w:hAnsi="Arial Narrow" w:cs="Arial"/>
                <w:color w:val="0D0D0D" w:themeColor="text1" w:themeTint="F2"/>
                <w:sz w:val="24"/>
                <w:szCs w:val="24"/>
              </w:rPr>
              <w:t xml:space="preserve">facility </w:t>
            </w:r>
            <w:r w:rsidR="009E4DBF">
              <w:rPr>
                <w:rFonts w:ascii="Arial Narrow" w:hAnsi="Arial Narrow" w:cs="Arial"/>
                <w:color w:val="0D0D0D" w:themeColor="text1" w:themeTint="F2"/>
                <w:sz w:val="24"/>
                <w:szCs w:val="24"/>
              </w:rPr>
              <w:t>letters</w:t>
            </w:r>
            <w:r w:rsidR="009E4DBF">
              <w:rPr>
                <w:rStyle w:val="FootnoteReference"/>
                <w:rFonts w:ascii="Arial Narrow" w:hAnsi="Arial Narrow" w:cs="Arial"/>
                <w:color w:val="0D0D0D" w:themeColor="text1" w:themeTint="F2"/>
                <w:sz w:val="24"/>
                <w:szCs w:val="24"/>
              </w:rPr>
              <w:footnoteReference w:id="2"/>
            </w:r>
            <w:r w:rsidR="009E4DBF">
              <w:rPr>
                <w:rFonts w:ascii="Arial Narrow" w:hAnsi="Arial Narrow" w:cs="Arial"/>
                <w:color w:val="0D0D0D" w:themeColor="text1" w:themeTint="F2"/>
                <w:sz w:val="24"/>
                <w:szCs w:val="24"/>
              </w:rPr>
              <w:t xml:space="preserve"> have not been annexed to the particulars of claim and doubt whether the first defendant received the</w:t>
            </w:r>
            <w:r w:rsidR="002A0C9B">
              <w:rPr>
                <w:rFonts w:ascii="Arial Narrow" w:hAnsi="Arial Narrow" w:cs="Arial"/>
                <w:color w:val="0D0D0D" w:themeColor="text1" w:themeTint="F2"/>
                <w:sz w:val="24"/>
                <w:szCs w:val="24"/>
              </w:rPr>
              <w:t xml:space="preserve"> said</w:t>
            </w:r>
            <w:r w:rsidR="009E4DBF">
              <w:rPr>
                <w:rFonts w:ascii="Arial Narrow" w:hAnsi="Arial Narrow" w:cs="Arial"/>
                <w:color w:val="0D0D0D" w:themeColor="text1" w:themeTint="F2"/>
                <w:sz w:val="24"/>
                <w:szCs w:val="24"/>
              </w:rPr>
              <w:t xml:space="preserve"> conditions at the time</w:t>
            </w:r>
            <w:r w:rsidR="001B7035">
              <w:rPr>
                <w:rFonts w:ascii="Arial Narrow" w:hAnsi="Arial Narrow" w:cs="Arial"/>
                <w:color w:val="0D0D0D" w:themeColor="text1" w:themeTint="F2"/>
                <w:sz w:val="24"/>
                <w:szCs w:val="24"/>
              </w:rPr>
              <w:t xml:space="preserve"> the alleged overdraft facilities </w:t>
            </w:r>
            <w:r w:rsidR="00295D80">
              <w:rPr>
                <w:rFonts w:ascii="Arial Narrow" w:hAnsi="Arial Narrow" w:cs="Arial"/>
                <w:color w:val="0D0D0D" w:themeColor="text1" w:themeTint="F2"/>
                <w:sz w:val="24"/>
                <w:szCs w:val="24"/>
              </w:rPr>
              <w:t xml:space="preserve">were </w:t>
            </w:r>
            <w:r w:rsidR="001B7035">
              <w:rPr>
                <w:rFonts w:ascii="Arial Narrow" w:hAnsi="Arial Narrow" w:cs="Arial"/>
                <w:color w:val="0D0D0D" w:themeColor="text1" w:themeTint="F2"/>
                <w:sz w:val="24"/>
                <w:szCs w:val="24"/>
              </w:rPr>
              <w:t>granted to the first defendant</w:t>
            </w:r>
            <w:r w:rsidRPr="009840E3">
              <w:rPr>
                <w:rFonts w:ascii="Arial Narrow" w:hAnsi="Arial Narrow" w:cs="Arial"/>
                <w:color w:val="0D0D0D" w:themeColor="text1" w:themeTint="F2"/>
                <w:sz w:val="24"/>
                <w:szCs w:val="24"/>
              </w:rPr>
              <w:t>.</w:t>
            </w:r>
            <w:r w:rsidR="00295D80">
              <w:rPr>
                <w:rFonts w:ascii="Arial Narrow" w:hAnsi="Arial Narrow" w:cs="Arial"/>
                <w:color w:val="0D0D0D" w:themeColor="text1" w:themeTint="F2"/>
                <w:sz w:val="24"/>
                <w:szCs w:val="24"/>
              </w:rPr>
              <w:t xml:space="preserve"> He further submitted that the tacit portion of the agreement referred to in the particulars of claim cannot be seen nor analysed from the letter granting the overdraft facilities</w:t>
            </w:r>
            <w:r w:rsidR="0085663A">
              <w:rPr>
                <w:rFonts w:ascii="Arial Narrow" w:hAnsi="Arial Narrow" w:cs="Arial"/>
                <w:color w:val="0D0D0D" w:themeColor="text1" w:themeTint="F2"/>
                <w:sz w:val="24"/>
                <w:szCs w:val="24"/>
              </w:rPr>
              <w:t>. This makes it impossible f</w:t>
            </w:r>
            <w:r w:rsidR="00A3207E">
              <w:rPr>
                <w:rFonts w:ascii="Arial Narrow" w:hAnsi="Arial Narrow" w:cs="Arial"/>
                <w:color w:val="0D0D0D" w:themeColor="text1" w:themeTint="F2"/>
                <w:sz w:val="24"/>
                <w:szCs w:val="24"/>
              </w:rPr>
              <w:t xml:space="preserve">or the first defendant to plead and therefore prejudicial </w:t>
            </w:r>
            <w:r w:rsidR="005F368E">
              <w:rPr>
                <w:rFonts w:ascii="Arial Narrow" w:hAnsi="Arial Narrow" w:cs="Arial"/>
                <w:color w:val="0D0D0D" w:themeColor="text1" w:themeTint="F2"/>
                <w:sz w:val="24"/>
                <w:szCs w:val="24"/>
              </w:rPr>
              <w:t>in that regard.</w:t>
            </w:r>
            <w:r w:rsidR="00A3207E">
              <w:rPr>
                <w:rFonts w:ascii="Arial Narrow" w:hAnsi="Arial Narrow" w:cs="Arial"/>
                <w:color w:val="0D0D0D" w:themeColor="text1" w:themeTint="F2"/>
                <w:sz w:val="24"/>
                <w:szCs w:val="24"/>
              </w:rPr>
              <w:t xml:space="preserve"> </w:t>
            </w:r>
          </w:p>
          <w:p w:rsidR="00A31538" w:rsidRDefault="00A31538" w:rsidP="003F6809">
            <w:pPr>
              <w:spacing w:line="360" w:lineRule="auto"/>
              <w:jc w:val="both"/>
              <w:rPr>
                <w:rFonts w:ascii="Arial Narrow" w:hAnsi="Arial Narrow" w:cs="Arial"/>
                <w:color w:val="0D0D0D" w:themeColor="text1" w:themeTint="F2"/>
                <w:sz w:val="24"/>
                <w:szCs w:val="24"/>
              </w:rPr>
            </w:pPr>
          </w:p>
          <w:p w:rsidR="00D251E9" w:rsidRPr="007838DA" w:rsidRDefault="00D11C91" w:rsidP="003F6809">
            <w:pPr>
              <w:spacing w:line="360" w:lineRule="auto"/>
              <w:jc w:val="both"/>
              <w:rPr>
                <w:rFonts w:ascii="Arial Narrow" w:hAnsi="Arial Narrow" w:cs="Arial"/>
                <w:sz w:val="24"/>
                <w:szCs w:val="24"/>
              </w:rPr>
            </w:pPr>
            <w:r>
              <w:rPr>
                <w:rFonts w:ascii="Arial Narrow" w:hAnsi="Arial Narrow" w:cs="Arial"/>
                <w:color w:val="0D0D0D" w:themeColor="text1" w:themeTint="F2"/>
                <w:sz w:val="24"/>
                <w:szCs w:val="24"/>
              </w:rPr>
              <w:t>[</w:t>
            </w:r>
            <w:r w:rsidR="00AC07D5">
              <w:rPr>
                <w:rFonts w:ascii="Arial Narrow" w:hAnsi="Arial Narrow" w:cs="Arial"/>
                <w:sz w:val="24"/>
                <w:szCs w:val="24"/>
              </w:rPr>
              <w:t>6</w:t>
            </w:r>
            <w:r w:rsidR="00CB60EB">
              <w:rPr>
                <w:rFonts w:ascii="Arial Narrow" w:hAnsi="Arial Narrow" w:cs="Arial"/>
                <w:color w:val="0D0D0D" w:themeColor="text1" w:themeTint="F2"/>
                <w:sz w:val="24"/>
                <w:szCs w:val="24"/>
              </w:rPr>
              <w:t xml:space="preserve">]          </w:t>
            </w:r>
            <w:r w:rsidR="007838DA">
              <w:rPr>
                <w:rFonts w:ascii="Arial Narrow" w:hAnsi="Arial Narrow" w:cs="Arial"/>
                <w:color w:val="0D0D0D" w:themeColor="text1" w:themeTint="F2"/>
                <w:sz w:val="24"/>
                <w:szCs w:val="24"/>
              </w:rPr>
              <w:t>On the question</w:t>
            </w:r>
            <w:r w:rsidR="001B7891">
              <w:rPr>
                <w:rFonts w:ascii="Arial Narrow" w:hAnsi="Arial Narrow" w:cs="Arial"/>
                <w:color w:val="0D0D0D" w:themeColor="text1" w:themeTint="F2"/>
                <w:sz w:val="24"/>
                <w:szCs w:val="24"/>
              </w:rPr>
              <w:t xml:space="preserve"> of authority, </w:t>
            </w:r>
            <w:r>
              <w:rPr>
                <w:rFonts w:ascii="Arial Narrow" w:hAnsi="Arial Narrow" w:cs="Arial"/>
                <w:color w:val="0D0D0D" w:themeColor="text1" w:themeTint="F2"/>
                <w:sz w:val="24"/>
                <w:szCs w:val="24"/>
              </w:rPr>
              <w:t xml:space="preserve"> </w:t>
            </w:r>
            <w:r w:rsidR="001B7891">
              <w:rPr>
                <w:rFonts w:ascii="Arial Narrow" w:hAnsi="Arial Narrow" w:cs="Arial"/>
                <w:color w:val="0D0D0D" w:themeColor="text1" w:themeTint="F2"/>
                <w:sz w:val="24"/>
                <w:szCs w:val="24"/>
              </w:rPr>
              <w:t xml:space="preserve">Mr Vaatz argued that the </w:t>
            </w:r>
            <w:r w:rsidR="00C57669">
              <w:rPr>
                <w:rFonts w:ascii="Arial Narrow" w:hAnsi="Arial Narrow" w:cs="Arial"/>
                <w:color w:val="0D0D0D" w:themeColor="text1" w:themeTint="F2"/>
                <w:sz w:val="24"/>
                <w:szCs w:val="24"/>
              </w:rPr>
              <w:t xml:space="preserve">proposed </w:t>
            </w:r>
            <w:r w:rsidR="00870304">
              <w:rPr>
                <w:rFonts w:ascii="Arial Narrow" w:hAnsi="Arial Narrow" w:cs="Arial"/>
                <w:color w:val="0D0D0D" w:themeColor="text1" w:themeTint="F2"/>
                <w:sz w:val="24"/>
                <w:szCs w:val="24"/>
              </w:rPr>
              <w:t>amended particulars of claim</w:t>
            </w:r>
            <w:r w:rsidR="001B7891">
              <w:rPr>
                <w:rFonts w:ascii="Arial Narrow" w:hAnsi="Arial Narrow" w:cs="Arial"/>
                <w:color w:val="0D0D0D" w:themeColor="text1" w:themeTint="F2"/>
                <w:sz w:val="24"/>
                <w:szCs w:val="24"/>
              </w:rPr>
              <w:t xml:space="preserve"> and the</w:t>
            </w:r>
            <w:r w:rsidR="00FB043A">
              <w:rPr>
                <w:rFonts w:ascii="Arial Narrow" w:hAnsi="Arial Narrow" w:cs="Arial"/>
                <w:color w:val="0D0D0D" w:themeColor="text1" w:themeTint="F2"/>
                <w:sz w:val="24"/>
                <w:szCs w:val="24"/>
              </w:rPr>
              <w:t xml:space="preserve"> documents attached</w:t>
            </w:r>
            <w:r w:rsidR="001B7891">
              <w:rPr>
                <w:rFonts w:ascii="Arial Narrow" w:hAnsi="Arial Narrow" w:cs="Arial"/>
                <w:color w:val="0D0D0D" w:themeColor="text1" w:themeTint="F2"/>
                <w:sz w:val="24"/>
                <w:szCs w:val="24"/>
              </w:rPr>
              <w:t xml:space="preserve"> to the pleadings ie the mortgage loan agreement, first and second commercial loan agreement and second mortgag</w:t>
            </w:r>
            <w:r w:rsidR="00F80F81">
              <w:rPr>
                <w:rFonts w:ascii="Arial Narrow" w:hAnsi="Arial Narrow" w:cs="Arial"/>
                <w:color w:val="0D0D0D" w:themeColor="text1" w:themeTint="F2"/>
                <w:sz w:val="24"/>
                <w:szCs w:val="24"/>
              </w:rPr>
              <w:t>e loan agreement, do not allege</w:t>
            </w:r>
            <w:r w:rsidR="006E2851">
              <w:rPr>
                <w:rFonts w:ascii="Arial Narrow" w:hAnsi="Arial Narrow" w:cs="Arial"/>
                <w:color w:val="0D0D0D" w:themeColor="text1" w:themeTint="F2"/>
                <w:sz w:val="24"/>
                <w:szCs w:val="24"/>
              </w:rPr>
              <w:t xml:space="preserve"> </w:t>
            </w:r>
            <w:r w:rsidR="001B7891">
              <w:rPr>
                <w:rFonts w:ascii="Arial Narrow" w:hAnsi="Arial Narrow" w:cs="Arial"/>
                <w:color w:val="0D0D0D" w:themeColor="text1" w:themeTint="F2"/>
                <w:sz w:val="24"/>
                <w:szCs w:val="24"/>
              </w:rPr>
              <w:t>in terms of what authority the third defendant (in respect of the mortgage loan agreement) and second and fourth defendants (in respect of the first and second commercial loan agreement and the second mortgage loan agreement ) was authorised to represent the first defendant in concluding these agreements</w:t>
            </w:r>
            <w:r w:rsidRPr="00A31538">
              <w:rPr>
                <w:rFonts w:ascii="Arial Narrow" w:hAnsi="Arial Narrow" w:cs="Arial"/>
                <w:sz w:val="24"/>
                <w:szCs w:val="24"/>
              </w:rPr>
              <w:t>.</w:t>
            </w:r>
            <w:r w:rsidR="007838DA">
              <w:rPr>
                <w:rFonts w:ascii="Arial Narrow" w:hAnsi="Arial Narrow" w:cs="Arial"/>
                <w:sz w:val="24"/>
                <w:szCs w:val="24"/>
              </w:rPr>
              <w:t xml:space="preserve"> </w:t>
            </w:r>
            <w:r w:rsidR="00D251E9">
              <w:rPr>
                <w:rFonts w:ascii="Arial Narrow" w:hAnsi="Arial Narrow" w:cs="Arial"/>
                <w:sz w:val="24"/>
                <w:szCs w:val="24"/>
              </w:rPr>
              <w:t xml:space="preserve">Mr Vaatz further argued that the plaintiff failed to </w:t>
            </w:r>
            <w:r w:rsidR="001452D6">
              <w:rPr>
                <w:rFonts w:ascii="Arial Narrow" w:hAnsi="Arial Narrow" w:cs="Arial"/>
                <w:sz w:val="24"/>
                <w:szCs w:val="24"/>
              </w:rPr>
              <w:t xml:space="preserve">allege and </w:t>
            </w:r>
            <w:r w:rsidR="00D251E9">
              <w:rPr>
                <w:rFonts w:ascii="Arial Narrow" w:hAnsi="Arial Narrow" w:cs="Arial"/>
                <w:sz w:val="24"/>
                <w:szCs w:val="24"/>
              </w:rPr>
              <w:t xml:space="preserve">prove precisely what amounts have actually been paid to first defendant, precisely to whom and when and whether the person to whom payment was made was authorised by first defendant to receive the money on behalf of first defendant. </w:t>
            </w:r>
            <w:r w:rsidR="00080003">
              <w:rPr>
                <w:rFonts w:ascii="Arial Narrow" w:hAnsi="Arial Narrow" w:cs="Arial"/>
                <w:sz w:val="24"/>
                <w:szCs w:val="24"/>
              </w:rPr>
              <w:t>Counsel further argued that the plaintiff makes no allegations as to the existence of a power of attorney authorised by first defendant authorising plaintiff to register the respective bonds and no properly signed power of attorney is annexed to the</w:t>
            </w:r>
            <w:r w:rsidR="004F5167">
              <w:rPr>
                <w:rFonts w:ascii="Arial Narrow" w:hAnsi="Arial Narrow" w:cs="Arial"/>
                <w:sz w:val="24"/>
                <w:szCs w:val="24"/>
              </w:rPr>
              <w:t xml:space="preserve"> proposed amended</w:t>
            </w:r>
            <w:r w:rsidR="00080003">
              <w:rPr>
                <w:rFonts w:ascii="Arial Narrow" w:hAnsi="Arial Narrow" w:cs="Arial"/>
                <w:sz w:val="24"/>
                <w:szCs w:val="24"/>
              </w:rPr>
              <w:t xml:space="preserve"> particulars of claim in respect of the four bonds registered in favour of the plaintiff. </w:t>
            </w:r>
          </w:p>
          <w:p w:rsidR="00A31538" w:rsidRDefault="00A31538" w:rsidP="003F6809">
            <w:pPr>
              <w:spacing w:line="360" w:lineRule="auto"/>
              <w:jc w:val="both"/>
              <w:rPr>
                <w:rFonts w:ascii="Arial Narrow" w:hAnsi="Arial Narrow" w:cs="Arial"/>
                <w:sz w:val="24"/>
                <w:szCs w:val="24"/>
              </w:rPr>
            </w:pPr>
          </w:p>
          <w:p w:rsidR="00A4648D" w:rsidRDefault="00A31538" w:rsidP="00080003">
            <w:pPr>
              <w:spacing w:line="360" w:lineRule="auto"/>
              <w:jc w:val="both"/>
              <w:rPr>
                <w:rFonts w:ascii="Arial Narrow" w:hAnsi="Arial Narrow" w:cs="Arial"/>
                <w:color w:val="0D0D0D" w:themeColor="text1" w:themeTint="F2"/>
                <w:sz w:val="24"/>
                <w:szCs w:val="24"/>
              </w:rPr>
            </w:pPr>
            <w:r>
              <w:rPr>
                <w:rFonts w:ascii="Arial Narrow" w:hAnsi="Arial Narrow" w:cs="Arial"/>
                <w:color w:val="0D0D0D" w:themeColor="text1" w:themeTint="F2"/>
                <w:sz w:val="24"/>
                <w:szCs w:val="24"/>
              </w:rPr>
              <w:t>[</w:t>
            </w:r>
            <w:r w:rsidR="00AC07D5">
              <w:rPr>
                <w:rFonts w:ascii="Arial Narrow" w:hAnsi="Arial Narrow" w:cs="Arial"/>
                <w:sz w:val="24"/>
                <w:szCs w:val="24"/>
              </w:rPr>
              <w:t>7</w:t>
            </w:r>
            <w:r w:rsidR="00CB60EB">
              <w:rPr>
                <w:rFonts w:ascii="Arial Narrow" w:hAnsi="Arial Narrow" w:cs="Arial"/>
                <w:color w:val="0D0D0D" w:themeColor="text1" w:themeTint="F2"/>
                <w:sz w:val="24"/>
                <w:szCs w:val="24"/>
              </w:rPr>
              <w:t xml:space="preserve">]          </w:t>
            </w:r>
            <w:r>
              <w:rPr>
                <w:rFonts w:ascii="Arial Narrow" w:hAnsi="Arial Narrow" w:cs="Arial"/>
                <w:color w:val="0D0D0D" w:themeColor="text1" w:themeTint="F2"/>
                <w:sz w:val="24"/>
                <w:szCs w:val="24"/>
              </w:rPr>
              <w:t>M</w:t>
            </w:r>
            <w:r w:rsidR="000016B8">
              <w:rPr>
                <w:rFonts w:ascii="Arial Narrow" w:hAnsi="Arial Narrow" w:cs="Arial"/>
                <w:color w:val="0D0D0D" w:themeColor="text1" w:themeTint="F2"/>
                <w:sz w:val="24"/>
                <w:szCs w:val="24"/>
              </w:rPr>
              <w:t>r Vaatz further submitted th</w:t>
            </w:r>
            <w:r w:rsidR="00A23F76">
              <w:rPr>
                <w:rFonts w:ascii="Arial Narrow" w:hAnsi="Arial Narrow" w:cs="Arial"/>
                <w:color w:val="0D0D0D" w:themeColor="text1" w:themeTint="F2"/>
                <w:sz w:val="24"/>
                <w:szCs w:val="24"/>
              </w:rPr>
              <w:t>at the</w:t>
            </w:r>
            <w:r w:rsidR="008957FC">
              <w:rPr>
                <w:rFonts w:ascii="Arial Narrow" w:hAnsi="Arial Narrow" w:cs="Arial"/>
                <w:color w:val="0D0D0D" w:themeColor="text1" w:themeTint="F2"/>
                <w:sz w:val="24"/>
                <w:szCs w:val="24"/>
              </w:rPr>
              <w:t xml:space="preserve"> different amounts</w:t>
            </w:r>
            <w:r w:rsidR="000016B8">
              <w:rPr>
                <w:rFonts w:ascii="Arial Narrow" w:hAnsi="Arial Narrow" w:cs="Arial"/>
                <w:color w:val="0D0D0D" w:themeColor="text1" w:themeTint="F2"/>
                <w:sz w:val="24"/>
                <w:szCs w:val="24"/>
              </w:rPr>
              <w:t xml:space="preserve"> claimed by the plaintiff leads to a </w:t>
            </w:r>
            <w:r w:rsidR="00EE0573">
              <w:rPr>
                <w:rFonts w:ascii="Arial Narrow" w:hAnsi="Arial Narrow" w:cs="Arial"/>
                <w:color w:val="0D0D0D" w:themeColor="text1" w:themeTint="F2"/>
                <w:sz w:val="24"/>
                <w:szCs w:val="24"/>
              </w:rPr>
              <w:t>confusion</w:t>
            </w:r>
            <w:r w:rsidR="000016B8">
              <w:rPr>
                <w:rFonts w:ascii="Arial Narrow" w:hAnsi="Arial Narrow" w:cs="Arial"/>
                <w:color w:val="0D0D0D" w:themeColor="text1" w:themeTint="F2"/>
                <w:sz w:val="24"/>
                <w:szCs w:val="24"/>
              </w:rPr>
              <w:t xml:space="preserve"> and prejudices the first defendant </w:t>
            </w:r>
            <w:r w:rsidR="00EE0573">
              <w:rPr>
                <w:rFonts w:ascii="Arial Narrow" w:hAnsi="Arial Narrow" w:cs="Arial"/>
                <w:color w:val="0D0D0D" w:themeColor="text1" w:themeTint="F2"/>
                <w:sz w:val="24"/>
                <w:szCs w:val="24"/>
              </w:rPr>
              <w:t>as it is vague and embarras</w:t>
            </w:r>
            <w:r w:rsidR="007449D3">
              <w:rPr>
                <w:rFonts w:ascii="Arial Narrow" w:hAnsi="Arial Narrow" w:cs="Arial"/>
                <w:color w:val="0D0D0D" w:themeColor="text1" w:themeTint="F2"/>
                <w:sz w:val="24"/>
                <w:szCs w:val="24"/>
              </w:rPr>
              <w:t xml:space="preserve">sing to have to deal with </w:t>
            </w:r>
            <w:r w:rsidR="00EE0573">
              <w:rPr>
                <w:rFonts w:ascii="Arial Narrow" w:hAnsi="Arial Narrow" w:cs="Arial"/>
                <w:color w:val="0D0D0D" w:themeColor="text1" w:themeTint="F2"/>
                <w:sz w:val="24"/>
                <w:szCs w:val="24"/>
              </w:rPr>
              <w:t>different figures</w:t>
            </w:r>
            <w:r w:rsidR="007449D3">
              <w:rPr>
                <w:rFonts w:ascii="Arial Narrow" w:hAnsi="Arial Narrow" w:cs="Arial"/>
                <w:color w:val="0D0D0D" w:themeColor="text1" w:themeTint="F2"/>
                <w:sz w:val="24"/>
                <w:szCs w:val="24"/>
              </w:rPr>
              <w:t xml:space="preserve"> for</w:t>
            </w:r>
            <w:r w:rsidR="005A6102">
              <w:rPr>
                <w:rFonts w:ascii="Arial Narrow" w:hAnsi="Arial Narrow" w:cs="Arial"/>
                <w:color w:val="0D0D0D" w:themeColor="text1" w:themeTint="F2"/>
                <w:sz w:val="24"/>
                <w:szCs w:val="24"/>
              </w:rPr>
              <w:t xml:space="preserve"> the amounts of the loan as well as the claim</w:t>
            </w:r>
            <w:r w:rsidR="002656E5">
              <w:rPr>
                <w:rFonts w:ascii="Arial Narrow" w:hAnsi="Arial Narrow" w:cs="Arial"/>
                <w:color w:val="0D0D0D" w:themeColor="text1" w:themeTint="F2"/>
                <w:sz w:val="24"/>
                <w:szCs w:val="24"/>
              </w:rPr>
              <w:t>s</w:t>
            </w:r>
            <w:r w:rsidR="00EE0573">
              <w:rPr>
                <w:rFonts w:ascii="Arial Narrow" w:hAnsi="Arial Narrow" w:cs="Arial"/>
                <w:color w:val="0D0D0D" w:themeColor="text1" w:themeTint="F2"/>
                <w:sz w:val="24"/>
                <w:szCs w:val="24"/>
              </w:rPr>
              <w:t xml:space="preserve"> by plaintiff against first defendant. </w:t>
            </w:r>
            <w:r>
              <w:rPr>
                <w:rFonts w:ascii="Arial Narrow" w:hAnsi="Arial Narrow" w:cs="Arial"/>
                <w:color w:val="0D0D0D" w:themeColor="text1" w:themeTint="F2"/>
                <w:sz w:val="24"/>
                <w:szCs w:val="24"/>
              </w:rPr>
              <w:t xml:space="preserve"> </w:t>
            </w:r>
          </w:p>
          <w:p w:rsidR="00080003" w:rsidRDefault="00080003" w:rsidP="00080003">
            <w:pPr>
              <w:spacing w:line="360" w:lineRule="auto"/>
              <w:jc w:val="both"/>
              <w:rPr>
                <w:rFonts w:ascii="Arial Narrow" w:hAnsi="Arial Narrow" w:cs="Arial"/>
                <w:color w:val="0D0D0D" w:themeColor="text1" w:themeTint="F2"/>
                <w:sz w:val="24"/>
                <w:szCs w:val="24"/>
              </w:rPr>
            </w:pPr>
          </w:p>
          <w:p w:rsidR="008630BE" w:rsidRPr="00040976" w:rsidRDefault="00080003" w:rsidP="008630BE">
            <w:pPr>
              <w:spacing w:line="360" w:lineRule="auto"/>
              <w:jc w:val="both"/>
              <w:rPr>
                <w:rFonts w:ascii="Arial Narrow" w:hAnsi="Arial Narrow" w:cs="Arial"/>
                <w:strike/>
                <w:color w:val="0D0D0D" w:themeColor="text1" w:themeTint="F2"/>
                <w:sz w:val="24"/>
                <w:szCs w:val="24"/>
              </w:rPr>
            </w:pPr>
            <w:r>
              <w:rPr>
                <w:rFonts w:ascii="Arial Narrow" w:hAnsi="Arial Narrow" w:cs="Arial"/>
                <w:color w:val="0D0D0D" w:themeColor="text1" w:themeTint="F2"/>
                <w:sz w:val="24"/>
                <w:szCs w:val="24"/>
              </w:rPr>
              <w:t>[</w:t>
            </w:r>
            <w:r w:rsidR="00AC07D5">
              <w:rPr>
                <w:rFonts w:ascii="Arial Narrow" w:hAnsi="Arial Narrow" w:cs="Arial"/>
                <w:color w:val="0D0D0D" w:themeColor="text1" w:themeTint="F2"/>
                <w:sz w:val="24"/>
                <w:szCs w:val="24"/>
              </w:rPr>
              <w:t xml:space="preserve">8]         </w:t>
            </w:r>
            <w:r w:rsidR="00625018">
              <w:rPr>
                <w:rFonts w:ascii="Arial Narrow" w:hAnsi="Arial Narrow" w:cs="Arial"/>
                <w:color w:val="0D0D0D" w:themeColor="text1" w:themeTint="F2"/>
                <w:sz w:val="24"/>
                <w:szCs w:val="24"/>
              </w:rPr>
              <w:t>As to costs</w:t>
            </w:r>
            <w:r w:rsidR="00C77F71">
              <w:rPr>
                <w:rFonts w:ascii="Arial Narrow" w:hAnsi="Arial Narrow" w:cs="Arial"/>
                <w:color w:val="0D0D0D" w:themeColor="text1" w:themeTint="F2"/>
                <w:sz w:val="24"/>
                <w:szCs w:val="24"/>
              </w:rPr>
              <w:t>,</w:t>
            </w:r>
            <w:r w:rsidR="00625018">
              <w:rPr>
                <w:rFonts w:ascii="Arial Narrow" w:hAnsi="Arial Narrow" w:cs="Arial"/>
                <w:color w:val="0D0D0D" w:themeColor="text1" w:themeTint="F2"/>
                <w:sz w:val="24"/>
                <w:szCs w:val="24"/>
              </w:rPr>
              <w:t xml:space="preserve"> Mr Vaatz a</w:t>
            </w:r>
            <w:r w:rsidR="00A12871">
              <w:rPr>
                <w:rFonts w:ascii="Arial Narrow" w:hAnsi="Arial Narrow" w:cs="Arial"/>
                <w:color w:val="0D0D0D" w:themeColor="text1" w:themeTint="F2"/>
                <w:sz w:val="24"/>
                <w:szCs w:val="24"/>
              </w:rPr>
              <w:t>rgued that first defendant is</w:t>
            </w:r>
            <w:r w:rsidR="00625018">
              <w:rPr>
                <w:rFonts w:ascii="Arial Narrow" w:hAnsi="Arial Narrow" w:cs="Arial"/>
                <w:color w:val="0D0D0D" w:themeColor="text1" w:themeTint="F2"/>
                <w:sz w:val="24"/>
                <w:szCs w:val="24"/>
              </w:rPr>
              <w:t xml:space="preserve"> entitled to maintain that its objections to the proposed amendments were justified and that costs should thus not be awarded against it.  </w:t>
            </w:r>
            <w:r w:rsidR="00A12871">
              <w:rPr>
                <w:rFonts w:ascii="Arial Narrow" w:hAnsi="Arial Narrow" w:cs="Arial"/>
                <w:color w:val="0D0D0D" w:themeColor="text1" w:themeTint="F2"/>
                <w:sz w:val="24"/>
                <w:szCs w:val="24"/>
              </w:rPr>
              <w:t xml:space="preserve">He further argued that plaintiff is entitled to amend its particulars of claim in order to present the real issues, but that such amendments must not be vague and embarrassing and prejudicial to first defendant. Fist defendant must be informed of all material facts relating to plaintiff’s claim so as to enable first defendant to plead. </w:t>
            </w:r>
            <w:r w:rsidR="008630BE" w:rsidRPr="00EB2CCD">
              <w:rPr>
                <w:rFonts w:ascii="Arial Narrow" w:hAnsi="Arial Narrow" w:cs="Arial"/>
                <w:sz w:val="24"/>
                <w:szCs w:val="24"/>
              </w:rPr>
              <w:t xml:space="preserve"> </w:t>
            </w:r>
          </w:p>
          <w:p w:rsidR="008630BE" w:rsidRPr="009840E3" w:rsidRDefault="008630BE" w:rsidP="008630BE">
            <w:pPr>
              <w:spacing w:line="360" w:lineRule="auto"/>
              <w:jc w:val="both"/>
              <w:rPr>
                <w:rFonts w:ascii="Arial Narrow" w:hAnsi="Arial Narrow" w:cs="Arial"/>
                <w:sz w:val="24"/>
                <w:szCs w:val="24"/>
              </w:rPr>
            </w:pPr>
          </w:p>
          <w:p w:rsidR="008630BE" w:rsidRPr="00EB2CCD" w:rsidRDefault="00290A38" w:rsidP="008630BE">
            <w:pPr>
              <w:spacing w:line="360" w:lineRule="auto"/>
              <w:jc w:val="both"/>
              <w:rPr>
                <w:rFonts w:ascii="Arial Narrow" w:hAnsi="Arial Narrow" w:cs="Arial"/>
                <w:i/>
                <w:sz w:val="24"/>
                <w:szCs w:val="24"/>
              </w:rPr>
            </w:pPr>
            <w:r>
              <w:rPr>
                <w:rFonts w:ascii="Arial Narrow" w:hAnsi="Arial Narrow" w:cs="Arial"/>
                <w:i/>
                <w:sz w:val="24"/>
                <w:szCs w:val="24"/>
              </w:rPr>
              <w:lastRenderedPageBreak/>
              <w:t>Plaintiff</w:t>
            </w:r>
            <w:r w:rsidR="008630BE" w:rsidRPr="00EB2CCD">
              <w:rPr>
                <w:rFonts w:ascii="Arial Narrow" w:hAnsi="Arial Narrow" w:cs="Arial"/>
                <w:i/>
                <w:sz w:val="24"/>
                <w:szCs w:val="24"/>
              </w:rPr>
              <w:t xml:space="preserve"> </w:t>
            </w:r>
          </w:p>
          <w:p w:rsidR="008630BE" w:rsidRPr="009840E3" w:rsidRDefault="008630BE" w:rsidP="008630BE">
            <w:pPr>
              <w:tabs>
                <w:tab w:val="left" w:pos="720"/>
                <w:tab w:val="left" w:pos="810"/>
              </w:tabs>
              <w:spacing w:line="360" w:lineRule="auto"/>
              <w:jc w:val="both"/>
              <w:rPr>
                <w:rFonts w:ascii="Arial Narrow" w:hAnsi="Arial Narrow" w:cs="Arial"/>
                <w:sz w:val="24"/>
                <w:szCs w:val="24"/>
              </w:rPr>
            </w:pPr>
            <w:r w:rsidRPr="009840E3">
              <w:rPr>
                <w:rFonts w:ascii="Arial Narrow" w:hAnsi="Arial Narrow" w:cs="Arial"/>
                <w:sz w:val="24"/>
                <w:szCs w:val="24"/>
              </w:rPr>
              <w:t>[</w:t>
            </w:r>
            <w:r w:rsidR="00521560">
              <w:rPr>
                <w:rFonts w:ascii="Arial Narrow" w:hAnsi="Arial Narrow" w:cs="Arial"/>
                <w:sz w:val="24"/>
                <w:szCs w:val="24"/>
              </w:rPr>
              <w:t>9</w:t>
            </w:r>
            <w:r w:rsidRPr="009840E3">
              <w:rPr>
                <w:rFonts w:ascii="Arial Narrow" w:hAnsi="Arial Narrow" w:cs="Arial"/>
                <w:sz w:val="24"/>
                <w:szCs w:val="24"/>
              </w:rPr>
              <w:t>]</w:t>
            </w:r>
            <w:r w:rsidRPr="009840E3">
              <w:rPr>
                <w:rFonts w:ascii="Arial Narrow" w:hAnsi="Arial Narrow" w:cs="Arial"/>
                <w:sz w:val="24"/>
                <w:szCs w:val="24"/>
              </w:rPr>
              <w:tab/>
            </w:r>
            <w:r w:rsidR="00141242">
              <w:rPr>
                <w:rFonts w:ascii="Arial Narrow" w:hAnsi="Arial Narrow" w:cs="Arial"/>
                <w:sz w:val="24"/>
                <w:szCs w:val="24"/>
              </w:rPr>
              <w:t>Counsel for the plaintiff</w:t>
            </w:r>
            <w:r w:rsidR="00B631C3">
              <w:rPr>
                <w:rFonts w:ascii="Arial Narrow" w:hAnsi="Arial Narrow" w:cs="Arial"/>
                <w:sz w:val="24"/>
                <w:szCs w:val="24"/>
              </w:rPr>
              <w:t>, Adv Tö</w:t>
            </w:r>
            <w:r w:rsidR="00E377A4">
              <w:rPr>
                <w:rFonts w:ascii="Arial Narrow" w:hAnsi="Arial Narrow" w:cs="Arial"/>
                <w:sz w:val="24"/>
                <w:szCs w:val="24"/>
              </w:rPr>
              <w:t>temeyer</w:t>
            </w:r>
            <w:r w:rsidRPr="009840E3">
              <w:rPr>
                <w:rFonts w:ascii="Arial Narrow" w:hAnsi="Arial Narrow" w:cs="Arial"/>
                <w:sz w:val="24"/>
                <w:szCs w:val="24"/>
              </w:rPr>
              <w:t xml:space="preserve">, submitted that </w:t>
            </w:r>
            <w:r w:rsidR="00C514E3">
              <w:rPr>
                <w:rFonts w:ascii="Arial Narrow" w:hAnsi="Arial Narrow" w:cs="Arial"/>
                <w:sz w:val="24"/>
                <w:szCs w:val="24"/>
              </w:rPr>
              <w:t>the standard</w:t>
            </w:r>
            <w:r w:rsidR="00E5053E">
              <w:rPr>
                <w:rFonts w:ascii="Arial Narrow" w:hAnsi="Arial Narrow" w:cs="Arial"/>
                <w:sz w:val="24"/>
                <w:szCs w:val="24"/>
              </w:rPr>
              <w:t xml:space="preserve"> conditions referred to in</w:t>
            </w:r>
            <w:r w:rsidR="00C42E99">
              <w:rPr>
                <w:rFonts w:ascii="Arial Narrow" w:hAnsi="Arial Narrow" w:cs="Arial"/>
                <w:sz w:val="24"/>
                <w:szCs w:val="24"/>
              </w:rPr>
              <w:t xml:space="preserve"> the overdraft facility letters</w:t>
            </w:r>
            <w:r w:rsidR="00267DFF">
              <w:rPr>
                <w:rFonts w:ascii="Arial Narrow" w:hAnsi="Arial Narrow" w:cs="Arial"/>
                <w:sz w:val="24"/>
                <w:szCs w:val="24"/>
              </w:rPr>
              <w:t xml:space="preserve"> are more than 10 years old in some instances and plaintiff cannot locate copies of the said terms and conditions despite a diligent search. It is his argument that the plaintiff may still prove such terms with evidence. </w:t>
            </w:r>
            <w:r w:rsidR="00E5053E">
              <w:rPr>
                <w:rFonts w:ascii="Arial Narrow" w:hAnsi="Arial Narrow" w:cs="Arial"/>
                <w:sz w:val="24"/>
                <w:szCs w:val="24"/>
              </w:rPr>
              <w:t xml:space="preserve"> </w:t>
            </w:r>
            <w:r w:rsidR="00B069AA">
              <w:rPr>
                <w:rFonts w:ascii="Arial Narrow" w:hAnsi="Arial Narrow" w:cs="Arial"/>
                <w:sz w:val="24"/>
                <w:szCs w:val="24"/>
              </w:rPr>
              <w:t xml:space="preserve">It is his submission that the overdraft facilities </w:t>
            </w:r>
            <w:r w:rsidR="00FA6C22">
              <w:rPr>
                <w:rFonts w:ascii="Arial Narrow" w:hAnsi="Arial Narrow" w:cs="Arial"/>
                <w:sz w:val="24"/>
                <w:szCs w:val="24"/>
              </w:rPr>
              <w:t>hav</w:t>
            </w:r>
            <w:r w:rsidR="00844C87">
              <w:rPr>
                <w:rFonts w:ascii="Arial Narrow" w:hAnsi="Arial Narrow" w:cs="Arial"/>
                <w:sz w:val="24"/>
                <w:szCs w:val="24"/>
              </w:rPr>
              <w:t>e been settled however they form</w:t>
            </w:r>
            <w:r w:rsidR="00FA6C22">
              <w:rPr>
                <w:rFonts w:ascii="Arial Narrow" w:hAnsi="Arial Narrow" w:cs="Arial"/>
                <w:sz w:val="24"/>
                <w:szCs w:val="24"/>
              </w:rPr>
              <w:t xml:space="preserve"> part of the background leading to the conclusion of the agreements alleged in the main claim and serve as important material background because the overdraft facilities constituted the causae for the bonds and sureties still in existence.</w:t>
            </w:r>
            <w:r w:rsidR="00B151C4">
              <w:rPr>
                <w:rFonts w:ascii="Arial Narrow" w:hAnsi="Arial Narrow" w:cs="Arial"/>
                <w:sz w:val="24"/>
                <w:szCs w:val="24"/>
              </w:rPr>
              <w:t xml:space="preserve"> The said terms and conditions, he argues, are not part of </w:t>
            </w:r>
            <w:r w:rsidR="00EA38CA">
              <w:rPr>
                <w:rFonts w:ascii="Arial Narrow" w:hAnsi="Arial Narrow" w:cs="Arial"/>
                <w:sz w:val="24"/>
                <w:szCs w:val="24"/>
              </w:rPr>
              <w:t xml:space="preserve">the </w:t>
            </w:r>
            <w:r w:rsidR="00B151C4">
              <w:rPr>
                <w:rFonts w:ascii="Arial Narrow" w:hAnsi="Arial Narrow" w:cs="Arial"/>
                <w:sz w:val="24"/>
                <w:szCs w:val="24"/>
              </w:rPr>
              <w:t>claims of the plaintiff against the defendants and that the terms and conditions relied upon are fully pleaded and the first defendant has an option to admit, deny or confess and avoid such terms and conditions,</w:t>
            </w:r>
          </w:p>
          <w:p w:rsidR="008630BE" w:rsidRPr="00EB2CCD" w:rsidRDefault="008630BE" w:rsidP="008630BE">
            <w:pPr>
              <w:spacing w:line="360" w:lineRule="auto"/>
              <w:jc w:val="both"/>
              <w:rPr>
                <w:rFonts w:ascii="Arial Narrow" w:hAnsi="Arial Narrow" w:cs="Arial"/>
                <w:sz w:val="24"/>
                <w:szCs w:val="24"/>
              </w:rPr>
            </w:pPr>
          </w:p>
          <w:p w:rsidR="00015CFF" w:rsidRDefault="008630BE" w:rsidP="008630BE">
            <w:pPr>
              <w:spacing w:line="360" w:lineRule="auto"/>
              <w:jc w:val="both"/>
              <w:rPr>
                <w:rFonts w:ascii="Arial Narrow" w:hAnsi="Arial Narrow" w:cs="Arial"/>
                <w:sz w:val="24"/>
                <w:szCs w:val="24"/>
              </w:rPr>
            </w:pPr>
            <w:r w:rsidRPr="00EB2CCD">
              <w:rPr>
                <w:rFonts w:ascii="Arial Narrow" w:hAnsi="Arial Narrow" w:cs="Arial"/>
                <w:sz w:val="24"/>
                <w:szCs w:val="24"/>
              </w:rPr>
              <w:t>[</w:t>
            </w:r>
            <w:r w:rsidRPr="007D0247">
              <w:rPr>
                <w:rFonts w:ascii="Arial Narrow" w:hAnsi="Arial Narrow" w:cs="Arial"/>
                <w:sz w:val="24"/>
                <w:szCs w:val="24"/>
              </w:rPr>
              <w:t>1</w:t>
            </w:r>
            <w:r w:rsidR="00521560">
              <w:rPr>
                <w:rFonts w:ascii="Arial Narrow" w:hAnsi="Arial Narrow" w:cs="Arial"/>
                <w:sz w:val="24"/>
                <w:szCs w:val="24"/>
              </w:rPr>
              <w:t>0</w:t>
            </w:r>
            <w:r w:rsidRPr="007D0247">
              <w:rPr>
                <w:rFonts w:ascii="Arial Narrow" w:hAnsi="Arial Narrow" w:cs="Arial"/>
                <w:sz w:val="24"/>
                <w:szCs w:val="24"/>
              </w:rPr>
              <w:t>]</w:t>
            </w:r>
            <w:r w:rsidR="003074BC">
              <w:rPr>
                <w:rFonts w:ascii="Arial Narrow" w:hAnsi="Arial Narrow" w:cs="Arial"/>
                <w:sz w:val="24"/>
                <w:szCs w:val="24"/>
              </w:rPr>
              <w:tab/>
              <w:t>Counsel further submitted</w:t>
            </w:r>
            <w:r w:rsidRPr="00EB2CCD">
              <w:rPr>
                <w:rFonts w:ascii="Arial Narrow" w:hAnsi="Arial Narrow" w:cs="Arial"/>
                <w:sz w:val="24"/>
                <w:szCs w:val="24"/>
              </w:rPr>
              <w:t xml:space="preserve"> that </w:t>
            </w:r>
            <w:r w:rsidR="001B1BAC">
              <w:rPr>
                <w:rFonts w:ascii="Arial Narrow" w:hAnsi="Arial Narrow" w:cs="Arial"/>
                <w:sz w:val="24"/>
                <w:szCs w:val="24"/>
              </w:rPr>
              <w:t xml:space="preserve">the question of </w:t>
            </w:r>
            <w:r w:rsidR="001B1BAC" w:rsidRPr="007B5B8D">
              <w:rPr>
                <w:rFonts w:ascii="Arial Narrow" w:hAnsi="Arial Narrow" w:cs="Arial"/>
                <w:i/>
                <w:sz w:val="24"/>
                <w:szCs w:val="24"/>
              </w:rPr>
              <w:t>‘authority’</w:t>
            </w:r>
            <w:r w:rsidR="001B1BAC">
              <w:rPr>
                <w:rFonts w:ascii="Arial Narrow" w:hAnsi="Arial Narrow" w:cs="Arial"/>
                <w:sz w:val="24"/>
                <w:szCs w:val="24"/>
              </w:rPr>
              <w:t xml:space="preserve"> and whether the first defendant </w:t>
            </w:r>
            <w:r w:rsidR="001B1BAC" w:rsidRPr="006E7C68">
              <w:rPr>
                <w:rFonts w:ascii="Arial Narrow" w:hAnsi="Arial Narrow" w:cs="Arial"/>
                <w:i/>
                <w:sz w:val="24"/>
                <w:szCs w:val="24"/>
              </w:rPr>
              <w:t>‘cannot find out’</w:t>
            </w:r>
            <w:r w:rsidR="001B1BAC">
              <w:rPr>
                <w:rFonts w:ascii="Arial Narrow" w:hAnsi="Arial Narrow" w:cs="Arial"/>
                <w:sz w:val="24"/>
                <w:szCs w:val="24"/>
              </w:rPr>
              <w:t xml:space="preserve"> whether a person, who represented the first defendant in concluding the various agreements, was a representative of the first defendant to an agreement are questions of evidence to be determined by the Court duri</w:t>
            </w:r>
            <w:r w:rsidR="00BF6699">
              <w:rPr>
                <w:rFonts w:ascii="Arial Narrow" w:hAnsi="Arial Narrow" w:cs="Arial"/>
                <w:sz w:val="24"/>
                <w:szCs w:val="24"/>
              </w:rPr>
              <w:t xml:space="preserve">ng the trial. </w:t>
            </w:r>
            <w:r w:rsidR="00B600B5">
              <w:rPr>
                <w:rFonts w:ascii="Arial Narrow" w:hAnsi="Arial Narrow" w:cs="Arial"/>
                <w:sz w:val="24"/>
                <w:szCs w:val="24"/>
              </w:rPr>
              <w:t>He</w:t>
            </w:r>
            <w:r w:rsidR="00BF6699">
              <w:rPr>
                <w:rFonts w:ascii="Arial Narrow" w:hAnsi="Arial Narrow" w:cs="Arial"/>
                <w:sz w:val="24"/>
                <w:szCs w:val="24"/>
              </w:rPr>
              <w:t xml:space="preserve"> submitted</w:t>
            </w:r>
            <w:r w:rsidR="001B1BAC">
              <w:rPr>
                <w:rFonts w:ascii="Arial Narrow" w:hAnsi="Arial Narrow" w:cs="Arial"/>
                <w:sz w:val="24"/>
                <w:szCs w:val="24"/>
              </w:rPr>
              <w:t xml:space="preserve"> that pleadings should contain facts and not evidence required to establish the facts.</w:t>
            </w:r>
            <w:r w:rsidR="003612CF" w:rsidRPr="003612CF">
              <w:rPr>
                <w:rFonts w:ascii="Arial Narrow" w:hAnsi="Arial Narrow" w:cs="Arial"/>
                <w:sz w:val="24"/>
                <w:szCs w:val="24"/>
              </w:rPr>
              <w:t xml:space="preserve"> </w:t>
            </w:r>
            <w:r w:rsidR="00B600B5">
              <w:rPr>
                <w:rFonts w:ascii="Arial Narrow" w:hAnsi="Arial Narrow" w:cs="Arial"/>
                <w:sz w:val="24"/>
                <w:szCs w:val="24"/>
              </w:rPr>
              <w:t xml:space="preserve">He further argued that it is not necessary to plead unnecessary allegations as well as unnecessary </w:t>
            </w:r>
            <w:r w:rsidR="00B600B5" w:rsidRPr="000227BF">
              <w:rPr>
                <w:rFonts w:ascii="Arial Narrow" w:hAnsi="Arial Narrow" w:cs="Arial"/>
                <w:i/>
                <w:sz w:val="24"/>
                <w:szCs w:val="24"/>
              </w:rPr>
              <w:t>facta probantia</w:t>
            </w:r>
            <w:r w:rsidR="00B600B5">
              <w:rPr>
                <w:rFonts w:ascii="Arial Narrow" w:hAnsi="Arial Narrow" w:cs="Arial"/>
                <w:sz w:val="24"/>
                <w:szCs w:val="24"/>
              </w:rPr>
              <w:t xml:space="preserve">. </w:t>
            </w:r>
            <w:r w:rsidR="003612CF">
              <w:rPr>
                <w:rFonts w:ascii="Arial Narrow" w:hAnsi="Arial Narrow" w:cs="Arial"/>
                <w:sz w:val="24"/>
                <w:szCs w:val="24"/>
              </w:rPr>
              <w:t>N</w:t>
            </w:r>
            <w:r w:rsidR="003612CF" w:rsidRPr="003612CF">
              <w:rPr>
                <w:rFonts w:ascii="Arial Narrow" w:hAnsi="Arial Narrow" w:cs="Arial"/>
                <w:sz w:val="24"/>
                <w:szCs w:val="24"/>
              </w:rPr>
              <w:t>o prejudice will be suffered as the first defendant can plead any dispute it believes to exi</w:t>
            </w:r>
            <w:r w:rsidR="00CC1801">
              <w:rPr>
                <w:rFonts w:ascii="Arial Narrow" w:hAnsi="Arial Narrow" w:cs="Arial"/>
                <w:sz w:val="24"/>
                <w:szCs w:val="24"/>
              </w:rPr>
              <w:t>s</w:t>
            </w:r>
            <w:r w:rsidR="003612CF" w:rsidRPr="003612CF">
              <w:rPr>
                <w:rFonts w:ascii="Arial Narrow" w:hAnsi="Arial Narrow" w:cs="Arial"/>
                <w:sz w:val="24"/>
                <w:szCs w:val="24"/>
              </w:rPr>
              <w:t>t</w:t>
            </w:r>
            <w:r w:rsidR="003612CF">
              <w:rPr>
                <w:rFonts w:ascii="Arial Narrow" w:hAnsi="Arial Narrow" w:cs="Arial"/>
                <w:sz w:val="24"/>
                <w:szCs w:val="24"/>
              </w:rPr>
              <w:t xml:space="preserve"> with regard to the authority and address the matter further in evidence during trial</w:t>
            </w:r>
            <w:r w:rsidR="00463F74">
              <w:rPr>
                <w:rFonts w:ascii="Arial Narrow" w:hAnsi="Arial Narrow" w:cs="Arial"/>
                <w:sz w:val="24"/>
                <w:szCs w:val="24"/>
              </w:rPr>
              <w:t xml:space="preserve"> and in any event the nature of the alleged prejudice is not explained by fist defendant.</w:t>
            </w:r>
            <w:r w:rsidR="003612CF" w:rsidRPr="003612CF">
              <w:rPr>
                <w:rFonts w:ascii="Arial Narrow" w:hAnsi="Arial Narrow" w:cs="Arial"/>
                <w:sz w:val="24"/>
                <w:szCs w:val="24"/>
              </w:rPr>
              <w:t xml:space="preserve"> </w:t>
            </w:r>
            <w:r w:rsidR="003612CF">
              <w:rPr>
                <w:rFonts w:ascii="Arial Narrow" w:hAnsi="Arial Narrow" w:cs="Arial"/>
                <w:sz w:val="24"/>
                <w:szCs w:val="24"/>
              </w:rPr>
              <w:t xml:space="preserve"> </w:t>
            </w:r>
            <w:r w:rsidR="001B1BAC">
              <w:rPr>
                <w:rFonts w:ascii="Arial Narrow" w:hAnsi="Arial Narrow" w:cs="Arial"/>
                <w:sz w:val="24"/>
                <w:szCs w:val="24"/>
              </w:rPr>
              <w:t xml:space="preserve">He further submitted that the plaintiff </w:t>
            </w:r>
            <w:r w:rsidR="00050333">
              <w:rPr>
                <w:rFonts w:ascii="Arial Narrow" w:hAnsi="Arial Narrow" w:cs="Arial"/>
                <w:sz w:val="24"/>
                <w:szCs w:val="24"/>
              </w:rPr>
              <w:t xml:space="preserve">complied with Rule 45 (7) in that the rule merely requires the plaintiff to plead who concluded the agreement ie who the parties to the agreement were and not the specific name of </w:t>
            </w:r>
            <w:r w:rsidR="009D37BC">
              <w:rPr>
                <w:rFonts w:ascii="Arial Narrow" w:hAnsi="Arial Narrow" w:cs="Arial"/>
                <w:sz w:val="24"/>
                <w:szCs w:val="24"/>
              </w:rPr>
              <w:t xml:space="preserve">the </w:t>
            </w:r>
            <w:r w:rsidR="00050333">
              <w:rPr>
                <w:rFonts w:ascii="Arial Narrow" w:hAnsi="Arial Narrow" w:cs="Arial"/>
                <w:sz w:val="24"/>
                <w:szCs w:val="24"/>
              </w:rPr>
              <w:t xml:space="preserve">relevant representative </w:t>
            </w:r>
            <w:r w:rsidR="009D37BC">
              <w:rPr>
                <w:rFonts w:ascii="Arial Narrow" w:hAnsi="Arial Narrow" w:cs="Arial"/>
                <w:sz w:val="24"/>
                <w:szCs w:val="24"/>
              </w:rPr>
              <w:t xml:space="preserve">of the </w:t>
            </w:r>
            <w:r w:rsidR="00050333">
              <w:rPr>
                <w:rFonts w:ascii="Arial Narrow" w:hAnsi="Arial Narrow" w:cs="Arial"/>
                <w:sz w:val="24"/>
                <w:szCs w:val="24"/>
              </w:rPr>
              <w:t xml:space="preserve">party. </w:t>
            </w:r>
            <w:r w:rsidR="006325BA">
              <w:rPr>
                <w:rFonts w:ascii="Arial Narrow" w:hAnsi="Arial Narrow" w:cs="Arial"/>
                <w:sz w:val="24"/>
                <w:szCs w:val="24"/>
              </w:rPr>
              <w:t xml:space="preserve">If </w:t>
            </w:r>
            <w:r w:rsidR="002E6D77">
              <w:rPr>
                <w:rFonts w:ascii="Arial Narrow" w:hAnsi="Arial Narrow" w:cs="Arial"/>
                <w:sz w:val="24"/>
                <w:szCs w:val="24"/>
              </w:rPr>
              <w:t>the plai</w:t>
            </w:r>
            <w:r w:rsidR="006325BA">
              <w:rPr>
                <w:rFonts w:ascii="Arial Narrow" w:hAnsi="Arial Narrow" w:cs="Arial"/>
                <w:sz w:val="24"/>
                <w:szCs w:val="24"/>
              </w:rPr>
              <w:t xml:space="preserve">ntiff does </w:t>
            </w:r>
            <w:r w:rsidR="002E6D77">
              <w:rPr>
                <w:rFonts w:ascii="Arial Narrow" w:hAnsi="Arial Narrow" w:cs="Arial"/>
                <w:sz w:val="24"/>
                <w:szCs w:val="24"/>
              </w:rPr>
              <w:t>not specify the exact name of the person does not render the claim vague and embarrassing and does not go to the root of the cause of action</w:t>
            </w:r>
            <w:r w:rsidR="003612CF">
              <w:rPr>
                <w:rFonts w:ascii="Arial Narrow" w:hAnsi="Arial Narrow" w:cs="Arial"/>
                <w:sz w:val="24"/>
                <w:szCs w:val="24"/>
              </w:rPr>
              <w:t xml:space="preserve">. </w:t>
            </w:r>
            <w:r w:rsidR="003C55DA">
              <w:rPr>
                <w:rFonts w:ascii="Arial Narrow" w:hAnsi="Arial Narrow" w:cs="Arial"/>
                <w:sz w:val="24"/>
                <w:szCs w:val="24"/>
              </w:rPr>
              <w:t xml:space="preserve"> </w:t>
            </w:r>
          </w:p>
          <w:p w:rsidR="00D63ED9" w:rsidRPr="00EB2CCD" w:rsidRDefault="00D63ED9" w:rsidP="008630BE">
            <w:pPr>
              <w:spacing w:line="360" w:lineRule="auto"/>
              <w:jc w:val="both"/>
              <w:rPr>
                <w:rFonts w:ascii="Arial Narrow" w:hAnsi="Arial Narrow" w:cs="Arial"/>
                <w:sz w:val="24"/>
                <w:szCs w:val="24"/>
              </w:rPr>
            </w:pPr>
          </w:p>
          <w:p w:rsidR="008630BE" w:rsidRDefault="008630BE" w:rsidP="008630BE">
            <w:pPr>
              <w:spacing w:line="360" w:lineRule="auto"/>
              <w:jc w:val="both"/>
              <w:rPr>
                <w:rFonts w:ascii="Arial Narrow" w:hAnsi="Arial Narrow" w:cs="Arial"/>
                <w:sz w:val="24"/>
                <w:szCs w:val="24"/>
              </w:rPr>
            </w:pPr>
            <w:r w:rsidRPr="007D0247">
              <w:rPr>
                <w:rFonts w:ascii="Arial Narrow" w:hAnsi="Arial Narrow" w:cs="Arial"/>
                <w:sz w:val="24"/>
                <w:szCs w:val="24"/>
              </w:rPr>
              <w:t>[1</w:t>
            </w:r>
            <w:r w:rsidR="00521560">
              <w:rPr>
                <w:rFonts w:ascii="Arial Narrow" w:hAnsi="Arial Narrow" w:cs="Arial"/>
                <w:sz w:val="24"/>
                <w:szCs w:val="24"/>
              </w:rPr>
              <w:t>1</w:t>
            </w:r>
            <w:r w:rsidR="007D0247" w:rsidRPr="007D0247">
              <w:rPr>
                <w:rFonts w:ascii="Arial Narrow" w:hAnsi="Arial Narrow" w:cs="Arial"/>
                <w:sz w:val="24"/>
                <w:szCs w:val="24"/>
              </w:rPr>
              <w:t>]</w:t>
            </w:r>
            <w:r w:rsidRPr="00EB2CCD">
              <w:rPr>
                <w:rFonts w:ascii="Arial Narrow" w:hAnsi="Arial Narrow" w:cs="Arial"/>
                <w:sz w:val="24"/>
                <w:szCs w:val="24"/>
              </w:rPr>
              <w:tab/>
              <w:t xml:space="preserve">Counsel further submits that </w:t>
            </w:r>
            <w:r w:rsidR="00B60932">
              <w:rPr>
                <w:rFonts w:ascii="Arial Narrow" w:hAnsi="Arial Narrow" w:cs="Arial"/>
                <w:sz w:val="24"/>
                <w:szCs w:val="24"/>
              </w:rPr>
              <w:t>a bond may be registered for an amount in excess of the amount borrowed by a client of the plaintiff and that payment made in respect of the mortgage bo</w:t>
            </w:r>
            <w:r w:rsidR="00FB6617">
              <w:rPr>
                <w:rFonts w:ascii="Arial Narrow" w:hAnsi="Arial Narrow" w:cs="Arial"/>
                <w:sz w:val="24"/>
                <w:szCs w:val="24"/>
              </w:rPr>
              <w:t>n</w:t>
            </w:r>
            <w:r w:rsidR="00B60932">
              <w:rPr>
                <w:rFonts w:ascii="Arial Narrow" w:hAnsi="Arial Narrow" w:cs="Arial"/>
                <w:sz w:val="24"/>
                <w:szCs w:val="24"/>
              </w:rPr>
              <w:t xml:space="preserve">d amount would reduce the outstanding balance over time. He therefore submits that the different amounts claimed </w:t>
            </w:r>
            <w:r w:rsidR="00052A20">
              <w:rPr>
                <w:rFonts w:ascii="Arial Narrow" w:hAnsi="Arial Narrow" w:cs="Arial"/>
                <w:sz w:val="24"/>
                <w:szCs w:val="24"/>
              </w:rPr>
              <w:t xml:space="preserve">are in respect of the different claims </w:t>
            </w:r>
            <w:r w:rsidR="00B60932">
              <w:rPr>
                <w:rFonts w:ascii="Arial Narrow" w:hAnsi="Arial Narrow" w:cs="Arial"/>
                <w:sz w:val="24"/>
                <w:szCs w:val="24"/>
              </w:rPr>
              <w:t xml:space="preserve">as well as the amounts claimed </w:t>
            </w:r>
            <w:r w:rsidR="004F5799">
              <w:rPr>
                <w:rFonts w:ascii="Arial Narrow" w:hAnsi="Arial Narrow" w:cs="Arial"/>
                <w:sz w:val="24"/>
                <w:szCs w:val="24"/>
              </w:rPr>
              <w:t>in the alternative and that the difference in the amounts is sufficiently pleaded with particularity to which the first defendant can plead.</w:t>
            </w:r>
            <w:r w:rsidR="001A2569">
              <w:rPr>
                <w:rFonts w:ascii="Arial Narrow" w:hAnsi="Arial Narrow" w:cs="Arial"/>
                <w:sz w:val="24"/>
                <w:szCs w:val="24"/>
              </w:rPr>
              <w:t xml:space="preserve"> </w:t>
            </w:r>
          </w:p>
          <w:p w:rsidR="001A2569" w:rsidRPr="009840E3" w:rsidRDefault="001A2569" w:rsidP="008630BE">
            <w:pPr>
              <w:spacing w:line="360" w:lineRule="auto"/>
              <w:jc w:val="both"/>
              <w:rPr>
                <w:rFonts w:ascii="Arial Narrow" w:hAnsi="Arial Narrow" w:cs="Arial"/>
                <w:sz w:val="24"/>
                <w:szCs w:val="24"/>
              </w:rPr>
            </w:pPr>
          </w:p>
          <w:p w:rsidR="008630BE" w:rsidRPr="003E37CB" w:rsidRDefault="008630BE" w:rsidP="008630BE">
            <w:pPr>
              <w:spacing w:line="360" w:lineRule="auto"/>
              <w:jc w:val="both"/>
              <w:rPr>
                <w:rFonts w:ascii="Arial Narrow" w:hAnsi="Arial Narrow" w:cs="Arial"/>
                <w:sz w:val="24"/>
                <w:szCs w:val="24"/>
              </w:rPr>
            </w:pPr>
            <w:r w:rsidRPr="007D0247">
              <w:rPr>
                <w:rFonts w:ascii="Arial Narrow" w:hAnsi="Arial Narrow" w:cs="Arial"/>
                <w:sz w:val="24"/>
                <w:szCs w:val="24"/>
              </w:rPr>
              <w:t>[1</w:t>
            </w:r>
            <w:r w:rsidR="00521560">
              <w:rPr>
                <w:rFonts w:ascii="Arial Narrow" w:hAnsi="Arial Narrow" w:cs="Arial"/>
                <w:sz w:val="24"/>
                <w:szCs w:val="24"/>
              </w:rPr>
              <w:t>2</w:t>
            </w:r>
            <w:r w:rsidRPr="007D0247">
              <w:rPr>
                <w:rFonts w:ascii="Arial Narrow" w:hAnsi="Arial Narrow" w:cs="Arial"/>
                <w:sz w:val="24"/>
                <w:szCs w:val="24"/>
              </w:rPr>
              <w:t>]</w:t>
            </w:r>
            <w:r w:rsidRPr="009840E3">
              <w:rPr>
                <w:rFonts w:ascii="Arial Narrow" w:hAnsi="Arial Narrow" w:cs="Arial"/>
                <w:sz w:val="24"/>
                <w:szCs w:val="24"/>
              </w:rPr>
              <w:tab/>
            </w:r>
            <w:r w:rsidRPr="003E37CB">
              <w:rPr>
                <w:rFonts w:ascii="Arial Narrow" w:hAnsi="Arial Narrow" w:cs="Arial"/>
                <w:sz w:val="24"/>
                <w:szCs w:val="24"/>
              </w:rPr>
              <w:t xml:space="preserve"> </w:t>
            </w:r>
            <w:r w:rsidR="008D0047">
              <w:rPr>
                <w:rFonts w:ascii="Arial Narrow" w:hAnsi="Arial Narrow" w:cs="Arial"/>
                <w:sz w:val="24"/>
                <w:szCs w:val="24"/>
              </w:rPr>
              <w:t>Adv Tötemeyer further argued that if the first defendant disputes the validity of the relevant mortgage bonds in regard to authority, it is free to plead such defences and which will then ultimately be dealt with in evidence.</w:t>
            </w:r>
          </w:p>
          <w:p w:rsidR="008630BE" w:rsidRPr="009840E3" w:rsidRDefault="008630BE" w:rsidP="008630BE">
            <w:pPr>
              <w:spacing w:line="360" w:lineRule="auto"/>
              <w:jc w:val="both"/>
              <w:rPr>
                <w:rFonts w:ascii="Arial Narrow" w:hAnsi="Arial Narrow" w:cs="Arial"/>
                <w:sz w:val="24"/>
                <w:szCs w:val="24"/>
              </w:rPr>
            </w:pPr>
            <w:r w:rsidRPr="009840E3">
              <w:rPr>
                <w:rFonts w:ascii="Arial Narrow" w:hAnsi="Arial Narrow" w:cs="Arial"/>
                <w:sz w:val="24"/>
                <w:szCs w:val="24"/>
              </w:rPr>
              <w:t xml:space="preserve"> </w:t>
            </w:r>
          </w:p>
          <w:p w:rsidR="008630BE" w:rsidRPr="009840E3" w:rsidRDefault="008630BE" w:rsidP="008630BE">
            <w:pPr>
              <w:spacing w:line="360" w:lineRule="auto"/>
              <w:jc w:val="both"/>
              <w:rPr>
                <w:rFonts w:ascii="Arial Narrow" w:hAnsi="Arial Narrow" w:cs="Arial"/>
                <w:sz w:val="24"/>
                <w:szCs w:val="24"/>
              </w:rPr>
            </w:pPr>
            <w:r w:rsidRPr="007D0247">
              <w:rPr>
                <w:rFonts w:ascii="Arial Narrow" w:hAnsi="Arial Narrow" w:cs="Arial"/>
                <w:sz w:val="24"/>
                <w:szCs w:val="24"/>
              </w:rPr>
              <w:lastRenderedPageBreak/>
              <w:t>[</w:t>
            </w:r>
            <w:r w:rsidR="009F3DAB">
              <w:rPr>
                <w:rFonts w:ascii="Arial Narrow" w:hAnsi="Arial Narrow" w:cs="Arial"/>
                <w:sz w:val="24"/>
                <w:szCs w:val="24"/>
              </w:rPr>
              <w:t>13</w:t>
            </w:r>
            <w:r w:rsidRPr="007D0247">
              <w:rPr>
                <w:rFonts w:ascii="Arial Narrow" w:hAnsi="Arial Narrow" w:cs="Arial"/>
                <w:sz w:val="24"/>
                <w:szCs w:val="24"/>
              </w:rPr>
              <w:t>]</w:t>
            </w:r>
            <w:r w:rsidRPr="009840E3">
              <w:rPr>
                <w:rFonts w:ascii="Arial Narrow" w:hAnsi="Arial Narrow" w:cs="Arial"/>
                <w:sz w:val="24"/>
                <w:szCs w:val="24"/>
              </w:rPr>
              <w:tab/>
            </w:r>
            <w:r w:rsidRPr="003E37CB">
              <w:rPr>
                <w:rFonts w:ascii="Arial Narrow" w:hAnsi="Arial Narrow" w:cs="Arial"/>
                <w:sz w:val="24"/>
                <w:szCs w:val="24"/>
              </w:rPr>
              <w:t xml:space="preserve">In conclusion, counsel submits that </w:t>
            </w:r>
            <w:r w:rsidR="0022144E">
              <w:rPr>
                <w:rFonts w:ascii="Arial Narrow" w:hAnsi="Arial Narrow" w:cs="Arial"/>
                <w:sz w:val="24"/>
                <w:szCs w:val="24"/>
              </w:rPr>
              <w:t xml:space="preserve">as to costs, the matter </w:t>
            </w:r>
            <w:r w:rsidR="00B27973">
              <w:rPr>
                <w:rFonts w:ascii="Arial Narrow" w:hAnsi="Arial Narrow" w:cs="Arial"/>
                <w:sz w:val="24"/>
                <w:szCs w:val="24"/>
              </w:rPr>
              <w:t>is</w:t>
            </w:r>
            <w:r w:rsidR="0022144E">
              <w:rPr>
                <w:rFonts w:ascii="Arial Narrow" w:hAnsi="Arial Narrow" w:cs="Arial"/>
                <w:sz w:val="24"/>
                <w:szCs w:val="24"/>
              </w:rPr>
              <w:t xml:space="preserve"> complex and justified the engaging of counsel.</w:t>
            </w:r>
            <w:r w:rsidR="00B70BC2">
              <w:rPr>
                <w:rFonts w:ascii="Arial Narrow" w:hAnsi="Arial Narrow" w:cs="Arial"/>
                <w:sz w:val="24"/>
                <w:szCs w:val="24"/>
              </w:rPr>
              <w:t xml:space="preserve"> He submitted that the costs should not be capped in terms of Rule 32 (11) and that the plaintiff should recover its full costs.</w:t>
            </w:r>
          </w:p>
          <w:p w:rsidR="008630BE" w:rsidRPr="009840E3" w:rsidRDefault="008630BE" w:rsidP="008630BE">
            <w:pPr>
              <w:spacing w:line="360" w:lineRule="auto"/>
              <w:jc w:val="both"/>
              <w:rPr>
                <w:rFonts w:ascii="Arial Narrow" w:hAnsi="Arial Narrow" w:cs="Arial"/>
                <w:sz w:val="24"/>
                <w:szCs w:val="24"/>
              </w:rPr>
            </w:pPr>
          </w:p>
          <w:p w:rsidR="008630BE" w:rsidRPr="009840E3" w:rsidRDefault="008630BE" w:rsidP="008630BE">
            <w:pPr>
              <w:spacing w:line="360" w:lineRule="auto"/>
              <w:jc w:val="both"/>
              <w:rPr>
                <w:rFonts w:ascii="Arial Narrow" w:hAnsi="Arial Narrow" w:cs="Arial"/>
                <w:sz w:val="24"/>
                <w:szCs w:val="24"/>
                <w:u w:val="single"/>
              </w:rPr>
            </w:pPr>
            <w:r w:rsidRPr="009840E3">
              <w:rPr>
                <w:rFonts w:ascii="Arial Narrow" w:hAnsi="Arial Narrow" w:cs="Arial"/>
                <w:sz w:val="24"/>
                <w:szCs w:val="24"/>
                <w:u w:val="single"/>
              </w:rPr>
              <w:t xml:space="preserve">Applicable law </w:t>
            </w:r>
          </w:p>
          <w:p w:rsidR="008630BE" w:rsidRPr="009840E3" w:rsidRDefault="008630BE" w:rsidP="008630BE">
            <w:pPr>
              <w:spacing w:line="360" w:lineRule="auto"/>
              <w:jc w:val="both"/>
              <w:rPr>
                <w:rFonts w:ascii="Arial Narrow" w:hAnsi="Arial Narrow" w:cs="Arial"/>
                <w:sz w:val="24"/>
                <w:szCs w:val="24"/>
                <w:lang w:val="en-US"/>
              </w:rPr>
            </w:pPr>
          </w:p>
          <w:p w:rsidR="008630BE" w:rsidRPr="009840E3" w:rsidRDefault="008630BE" w:rsidP="008630BE">
            <w:pPr>
              <w:spacing w:line="360" w:lineRule="auto"/>
              <w:jc w:val="both"/>
              <w:rPr>
                <w:rFonts w:ascii="Arial Narrow" w:hAnsi="Arial Narrow" w:cs="Arial"/>
                <w:sz w:val="24"/>
                <w:szCs w:val="24"/>
                <w:lang w:val="en-US"/>
              </w:rPr>
            </w:pPr>
            <w:r w:rsidRPr="007D0247">
              <w:rPr>
                <w:rFonts w:ascii="Arial Narrow" w:hAnsi="Arial Narrow" w:cs="Arial"/>
                <w:sz w:val="24"/>
                <w:szCs w:val="24"/>
                <w:lang w:val="en-US"/>
              </w:rPr>
              <w:t>[</w:t>
            </w:r>
            <w:r w:rsidR="0083205D" w:rsidRPr="007D0247">
              <w:rPr>
                <w:rFonts w:ascii="Arial Narrow" w:hAnsi="Arial Narrow" w:cs="Arial"/>
                <w:sz w:val="24"/>
                <w:szCs w:val="24"/>
                <w:lang w:val="en-US"/>
              </w:rPr>
              <w:t>1</w:t>
            </w:r>
            <w:r w:rsidR="009F3DAB">
              <w:rPr>
                <w:rFonts w:ascii="Arial Narrow" w:hAnsi="Arial Narrow" w:cs="Arial"/>
                <w:sz w:val="24"/>
                <w:szCs w:val="24"/>
                <w:lang w:val="en-US"/>
              </w:rPr>
              <w:t>4</w:t>
            </w:r>
            <w:r w:rsidRPr="009840E3">
              <w:rPr>
                <w:rFonts w:ascii="Arial Narrow" w:hAnsi="Arial Narrow" w:cs="Arial"/>
                <w:sz w:val="24"/>
                <w:szCs w:val="24"/>
                <w:lang w:val="en-US"/>
              </w:rPr>
              <w:t>]</w:t>
            </w:r>
            <w:r w:rsidRPr="009840E3">
              <w:rPr>
                <w:rFonts w:ascii="Arial Narrow" w:hAnsi="Arial Narrow" w:cs="Arial"/>
                <w:sz w:val="24"/>
                <w:szCs w:val="24"/>
                <w:lang w:val="en-US"/>
              </w:rPr>
              <w:tab/>
            </w:r>
            <w:r w:rsidR="005A169A">
              <w:rPr>
                <w:rFonts w:ascii="Arial Narrow" w:hAnsi="Arial Narrow" w:cs="Arial"/>
                <w:sz w:val="24"/>
                <w:szCs w:val="24"/>
                <w:lang w:val="en-US"/>
              </w:rPr>
              <w:t xml:space="preserve">The </w:t>
            </w:r>
            <w:r w:rsidR="00822D38">
              <w:rPr>
                <w:rFonts w:ascii="Arial Narrow" w:hAnsi="Arial Narrow" w:cs="Arial"/>
                <w:sz w:val="24"/>
                <w:szCs w:val="24"/>
                <w:lang w:val="en-US"/>
              </w:rPr>
              <w:t xml:space="preserve">principles of amendments </w:t>
            </w:r>
            <w:r w:rsidRPr="009840E3">
              <w:rPr>
                <w:rFonts w:ascii="Arial Narrow" w:hAnsi="Arial Narrow" w:cs="Arial"/>
                <w:sz w:val="24"/>
                <w:szCs w:val="24"/>
                <w:lang w:val="en-US"/>
              </w:rPr>
              <w:t>have been</w:t>
            </w:r>
            <w:r w:rsidR="005A169A">
              <w:rPr>
                <w:rFonts w:ascii="Arial Narrow" w:hAnsi="Arial Narrow" w:cs="Arial"/>
                <w:sz w:val="24"/>
                <w:szCs w:val="24"/>
                <w:lang w:val="en-US"/>
              </w:rPr>
              <w:t xml:space="preserve"> </w:t>
            </w:r>
            <w:r w:rsidR="006B0D55">
              <w:rPr>
                <w:rFonts w:ascii="Arial Narrow" w:hAnsi="Arial Narrow" w:cs="Arial"/>
                <w:sz w:val="24"/>
                <w:szCs w:val="24"/>
                <w:lang w:val="en-US"/>
              </w:rPr>
              <w:t>considered by our</w:t>
            </w:r>
            <w:r w:rsidRPr="009840E3">
              <w:rPr>
                <w:rFonts w:ascii="Arial Narrow" w:hAnsi="Arial Narrow" w:cs="Arial"/>
                <w:sz w:val="24"/>
                <w:szCs w:val="24"/>
                <w:lang w:val="en-US"/>
              </w:rPr>
              <w:t xml:space="preserve"> court</w:t>
            </w:r>
            <w:r w:rsidR="006B0D55">
              <w:rPr>
                <w:rFonts w:ascii="Arial Narrow" w:hAnsi="Arial Narrow" w:cs="Arial"/>
                <w:sz w:val="24"/>
                <w:szCs w:val="24"/>
                <w:lang w:val="en-US"/>
              </w:rPr>
              <w:t>s</w:t>
            </w:r>
            <w:r w:rsidRPr="009840E3">
              <w:rPr>
                <w:rFonts w:ascii="Arial Narrow" w:hAnsi="Arial Narrow" w:cs="Arial"/>
                <w:sz w:val="24"/>
                <w:szCs w:val="24"/>
                <w:lang w:val="en-US"/>
              </w:rPr>
              <w:t xml:space="preserve"> on numerous occasions. These principles are very clear </w:t>
            </w:r>
            <w:r w:rsidR="00822D38">
              <w:rPr>
                <w:rFonts w:ascii="Arial Narrow" w:hAnsi="Arial Narrow" w:cs="Arial"/>
                <w:sz w:val="24"/>
                <w:szCs w:val="24"/>
                <w:lang w:val="en-US"/>
              </w:rPr>
              <w:t xml:space="preserve">and were summarized in a Supreme Court judgment of </w:t>
            </w:r>
            <w:r w:rsidR="00822D38">
              <w:rPr>
                <w:rFonts w:ascii="Arial Narrow" w:hAnsi="Arial Narrow" w:cs="Arial"/>
                <w:i/>
                <w:sz w:val="24"/>
                <w:szCs w:val="24"/>
                <w:lang w:val="en-US"/>
              </w:rPr>
              <w:t xml:space="preserve">DB Thermal (Pty) Ltd and Another v Council of the </w:t>
            </w:r>
            <w:r w:rsidR="004448D0">
              <w:rPr>
                <w:rFonts w:ascii="Arial Narrow" w:hAnsi="Arial Narrow" w:cs="Arial"/>
                <w:i/>
                <w:sz w:val="24"/>
                <w:szCs w:val="24"/>
                <w:lang w:val="en-US"/>
              </w:rPr>
              <w:t>Municipality</w:t>
            </w:r>
            <w:r w:rsidR="00822D38">
              <w:rPr>
                <w:rFonts w:ascii="Arial Narrow" w:hAnsi="Arial Narrow" w:cs="Arial"/>
                <w:i/>
                <w:sz w:val="24"/>
                <w:szCs w:val="24"/>
                <w:lang w:val="en-US"/>
              </w:rPr>
              <w:t xml:space="preserve"> of City of Windhoek</w:t>
            </w:r>
            <w:r w:rsidRPr="009840E3">
              <w:rPr>
                <w:rStyle w:val="FootnoteReference"/>
                <w:rFonts w:ascii="Arial Narrow" w:hAnsi="Arial Narrow" w:cs="Arial"/>
                <w:sz w:val="24"/>
                <w:szCs w:val="24"/>
                <w:lang w:val="en-US"/>
              </w:rPr>
              <w:footnoteReference w:id="3"/>
            </w:r>
            <w:r w:rsidRPr="009840E3">
              <w:rPr>
                <w:rFonts w:ascii="Arial Narrow" w:hAnsi="Arial Narrow" w:cs="Arial"/>
                <w:sz w:val="24"/>
                <w:szCs w:val="24"/>
                <w:lang w:val="en-US"/>
              </w:rPr>
              <w:t xml:space="preserve"> </w:t>
            </w:r>
            <w:r w:rsidR="004448D0">
              <w:rPr>
                <w:rFonts w:ascii="Arial Narrow" w:hAnsi="Arial Narrow" w:cs="Arial"/>
                <w:sz w:val="24"/>
                <w:szCs w:val="24"/>
                <w:lang w:val="en-US"/>
              </w:rPr>
              <w:t xml:space="preserve">wherein </w:t>
            </w:r>
            <w:r w:rsidR="00822D38" w:rsidRPr="00822D38">
              <w:rPr>
                <w:rFonts w:ascii="Arial Narrow" w:hAnsi="Arial Narrow" w:cs="Arial"/>
                <w:sz w:val="24"/>
                <w:szCs w:val="24"/>
              </w:rPr>
              <w:t>Maritz JA, Strydom AJA and O’Regan AJA</w:t>
            </w:r>
            <w:r w:rsidR="00822D38">
              <w:rPr>
                <w:rFonts w:ascii="Arial Narrow" w:hAnsi="Arial Narrow" w:cs="Arial"/>
                <w:sz w:val="24"/>
                <w:szCs w:val="24"/>
                <w:lang w:val="en-US"/>
              </w:rPr>
              <w:t xml:space="preserve"> stated </w:t>
            </w:r>
            <w:r w:rsidRPr="009840E3">
              <w:rPr>
                <w:rFonts w:ascii="Arial Narrow" w:hAnsi="Arial Narrow" w:cs="Arial"/>
                <w:sz w:val="24"/>
                <w:szCs w:val="24"/>
                <w:lang w:val="en-US"/>
              </w:rPr>
              <w:t xml:space="preserve"> the following: </w:t>
            </w:r>
          </w:p>
          <w:p w:rsidR="008630BE" w:rsidRPr="009840E3" w:rsidRDefault="008630BE" w:rsidP="008630BE">
            <w:pPr>
              <w:spacing w:line="360" w:lineRule="auto"/>
              <w:jc w:val="both"/>
              <w:rPr>
                <w:rFonts w:ascii="Arial Narrow" w:hAnsi="Arial Narrow" w:cs="Arial"/>
                <w:sz w:val="24"/>
                <w:szCs w:val="24"/>
                <w:lang w:val="en-US"/>
              </w:rPr>
            </w:pPr>
          </w:p>
          <w:p w:rsidR="008630BE" w:rsidRDefault="00DF522E" w:rsidP="008630BE">
            <w:pPr>
              <w:spacing w:line="360" w:lineRule="auto"/>
              <w:jc w:val="both"/>
              <w:rPr>
                <w:rFonts w:ascii="Arial Narrow" w:hAnsi="Arial Narrow" w:cs="Arial"/>
              </w:rPr>
            </w:pPr>
            <w:r>
              <w:rPr>
                <w:rFonts w:ascii="Arial Narrow" w:hAnsi="Arial Narrow" w:cs="Arial"/>
              </w:rPr>
              <w:t xml:space="preserve">          </w:t>
            </w:r>
            <w:r w:rsidR="00AA5FAB">
              <w:rPr>
                <w:rFonts w:ascii="Arial Narrow" w:hAnsi="Arial Narrow" w:cs="Arial"/>
              </w:rPr>
              <w:t>‘</w:t>
            </w:r>
            <w:r w:rsidR="00822D38">
              <w:rPr>
                <w:rFonts w:ascii="Arial Narrow" w:hAnsi="Arial Narrow" w:cs="Arial"/>
              </w:rPr>
              <w:t>[38</w:t>
            </w:r>
            <w:r w:rsidR="008630BE" w:rsidRPr="009840E3">
              <w:rPr>
                <w:rFonts w:ascii="Arial Narrow" w:hAnsi="Arial Narrow" w:cs="Arial"/>
              </w:rPr>
              <w:t xml:space="preserve">] </w:t>
            </w:r>
            <w:r w:rsidR="00822D38">
              <w:rPr>
                <w:rFonts w:ascii="Arial Narrow" w:hAnsi="Arial Narrow" w:cs="Arial"/>
              </w:rPr>
              <w:t xml:space="preserve">. . . . </w:t>
            </w:r>
            <w:r w:rsidR="00822D38" w:rsidRPr="00822D38">
              <w:rPr>
                <w:rFonts w:ascii="Arial Narrow" w:hAnsi="Arial Narrow" w:cs="Arial"/>
              </w:rPr>
              <w:t>The established principle that relates to amendments of pleadings is that they should be ‘</w:t>
            </w:r>
            <w:r w:rsidR="002D790B">
              <w:rPr>
                <w:rFonts w:ascii="Arial Narrow" w:hAnsi="Arial Narrow" w:cs="Arial"/>
              </w:rPr>
              <w:t>’</w:t>
            </w:r>
            <w:r w:rsidR="00822D38" w:rsidRPr="00822D38">
              <w:rPr>
                <w:rFonts w:ascii="Arial Narrow" w:hAnsi="Arial Narrow" w:cs="Arial"/>
              </w:rPr>
              <w:t>allowed in order to obtain a proper ventilation of the dispute between the parties … so that justice may be done</w:t>
            </w:r>
            <w:r w:rsidR="002D790B">
              <w:rPr>
                <w:rFonts w:ascii="Arial Narrow" w:hAnsi="Arial Narrow" w:cs="Arial"/>
              </w:rPr>
              <w:t>’</w:t>
            </w:r>
            <w:r w:rsidR="00822D38" w:rsidRPr="00822D38">
              <w:rPr>
                <w:rFonts w:ascii="Arial Narrow" w:hAnsi="Arial Narrow" w:cs="Arial"/>
              </w:rPr>
              <w:t xml:space="preserve">’, subject of course to the principle that the opposing party should not be prejudiced by the amendment if that prejudice cannot be cured by an appropriate costs order, and </w:t>
            </w:r>
            <w:r w:rsidR="00AA5FAB">
              <w:rPr>
                <w:rFonts w:ascii="Arial Narrow" w:hAnsi="Arial Narrow" w:cs="Arial"/>
              </w:rPr>
              <w:t xml:space="preserve">where necessary, a postponement . . . </w:t>
            </w:r>
            <w:r w:rsidR="008630BE" w:rsidRPr="009840E3">
              <w:rPr>
                <w:rFonts w:ascii="Arial Narrow" w:hAnsi="Arial Narrow" w:cs="Arial"/>
              </w:rPr>
              <w:t>.’</w:t>
            </w:r>
          </w:p>
          <w:p w:rsidR="00DF522E" w:rsidRDefault="00DF522E" w:rsidP="008630BE">
            <w:pPr>
              <w:spacing w:line="360" w:lineRule="auto"/>
              <w:jc w:val="both"/>
              <w:rPr>
                <w:rFonts w:ascii="Arial Narrow" w:hAnsi="Arial Narrow" w:cs="Arial"/>
              </w:rPr>
            </w:pPr>
          </w:p>
          <w:p w:rsidR="00DF522E" w:rsidRDefault="009F3DAB" w:rsidP="008630BE">
            <w:pPr>
              <w:spacing w:line="360" w:lineRule="auto"/>
              <w:jc w:val="both"/>
              <w:rPr>
                <w:rFonts w:ascii="Arial Narrow" w:hAnsi="Arial Narrow" w:cs="Arial"/>
              </w:rPr>
            </w:pPr>
            <w:r>
              <w:rPr>
                <w:rFonts w:ascii="Arial Narrow" w:hAnsi="Arial Narrow" w:cs="Arial"/>
              </w:rPr>
              <w:t>[15</w:t>
            </w:r>
            <w:r w:rsidR="00DD7D5D">
              <w:rPr>
                <w:rFonts w:ascii="Arial Narrow" w:hAnsi="Arial Narrow" w:cs="Arial"/>
              </w:rPr>
              <w:t xml:space="preserve">]          </w:t>
            </w:r>
            <w:r w:rsidR="00DF522E">
              <w:rPr>
                <w:rFonts w:ascii="Arial Narrow" w:hAnsi="Arial Narrow" w:cs="Arial"/>
              </w:rPr>
              <w:t xml:space="preserve">And </w:t>
            </w:r>
          </w:p>
          <w:p w:rsidR="00DF522E" w:rsidRDefault="00DF522E" w:rsidP="008630BE">
            <w:pPr>
              <w:spacing w:line="360" w:lineRule="auto"/>
              <w:jc w:val="both"/>
              <w:rPr>
                <w:rFonts w:ascii="Arial Narrow" w:hAnsi="Arial Narrow" w:cs="Arial"/>
              </w:rPr>
            </w:pPr>
          </w:p>
          <w:p w:rsidR="00DF522E" w:rsidRDefault="00DF522E" w:rsidP="008630BE">
            <w:pPr>
              <w:spacing w:line="360" w:lineRule="auto"/>
              <w:jc w:val="both"/>
              <w:rPr>
                <w:rFonts w:ascii="Arial Narrow" w:hAnsi="Arial Narrow" w:cs="Arial"/>
              </w:rPr>
            </w:pPr>
            <w:r>
              <w:rPr>
                <w:rFonts w:ascii="Arial Narrow" w:hAnsi="Arial Narrow" w:cs="Arial"/>
              </w:rPr>
              <w:t xml:space="preserve">          ‘</w:t>
            </w:r>
            <w:r w:rsidRPr="00DF522E">
              <w:rPr>
                <w:rFonts w:ascii="Arial Narrow" w:hAnsi="Arial Narrow" w:cs="Arial"/>
              </w:rPr>
              <w:t>[39] A further principle governing amendments is that a pleading may not be amended if the result would be excipiable on the basis, for example, that the amended pleading would not disclose a cause of action. Again a court may permit an amendment, even if it would render the pleading excipiable, if exceptional circumstances exist. In order for a pleading to disclose a cause of action, it must set out every material fact, which it would be necessary for the plaintiff to provide to support his or her right to the order sought</w:t>
            </w:r>
            <w:r w:rsidR="00462819">
              <w:rPr>
                <w:rFonts w:ascii="Arial Narrow" w:hAnsi="Arial Narrow" w:cs="Arial"/>
              </w:rPr>
              <w:t>.’</w:t>
            </w:r>
          </w:p>
          <w:p w:rsidR="00F41217" w:rsidRDefault="00F41217" w:rsidP="008630BE">
            <w:pPr>
              <w:spacing w:line="360" w:lineRule="auto"/>
              <w:jc w:val="both"/>
              <w:rPr>
                <w:rFonts w:ascii="Arial Narrow" w:hAnsi="Arial Narrow" w:cs="Arial"/>
              </w:rPr>
            </w:pPr>
          </w:p>
          <w:p w:rsidR="003D6120" w:rsidRDefault="00F41217" w:rsidP="008630BE">
            <w:pPr>
              <w:spacing w:line="360" w:lineRule="auto"/>
              <w:jc w:val="both"/>
              <w:rPr>
                <w:rFonts w:ascii="Arial Narrow" w:hAnsi="Arial Narrow" w:cs="Arial"/>
              </w:rPr>
            </w:pPr>
            <w:r>
              <w:rPr>
                <w:rFonts w:ascii="Arial Narrow" w:hAnsi="Arial Narrow" w:cs="Arial"/>
              </w:rPr>
              <w:t>[</w:t>
            </w:r>
            <w:r w:rsidR="009F3DAB">
              <w:rPr>
                <w:rFonts w:ascii="Arial Narrow" w:hAnsi="Arial Narrow" w:cs="Arial"/>
              </w:rPr>
              <w:t>16</w:t>
            </w:r>
            <w:r>
              <w:rPr>
                <w:rFonts w:ascii="Arial Narrow" w:hAnsi="Arial Narrow" w:cs="Arial"/>
              </w:rPr>
              <w:t xml:space="preserve">]          In </w:t>
            </w:r>
            <w:r w:rsidRPr="00F41217">
              <w:rPr>
                <w:rFonts w:ascii="Arial Narrow" w:hAnsi="Arial Narrow" w:cs="Arial"/>
                <w:i/>
              </w:rPr>
              <w:t>I A Bell Equipment Company (Namibia) (Pty) Ltd v Roadstone Quarries CC</w:t>
            </w:r>
            <w:r>
              <w:rPr>
                <w:rStyle w:val="FootnoteReference"/>
                <w:rFonts w:ascii="Arial Narrow" w:hAnsi="Arial Narrow" w:cs="Arial"/>
                <w:i/>
              </w:rPr>
              <w:footnoteReference w:id="4"/>
            </w:r>
            <w:r w:rsidR="005C7665">
              <w:rPr>
                <w:rFonts w:ascii="Arial Narrow" w:hAnsi="Arial Narrow" w:cs="Arial"/>
              </w:rPr>
              <w:t xml:space="preserve"> Dam</w:t>
            </w:r>
            <w:r w:rsidR="003149B4">
              <w:rPr>
                <w:rFonts w:ascii="Arial Narrow" w:hAnsi="Arial Narrow" w:cs="Arial"/>
              </w:rPr>
              <w:t xml:space="preserve">aseb, JP, Hoff, J and Ueitele J, </w:t>
            </w:r>
            <w:r w:rsidR="003D6120">
              <w:rPr>
                <w:rFonts w:ascii="Arial Narrow" w:hAnsi="Arial Narrow" w:cs="Arial"/>
              </w:rPr>
              <w:t>referred to the case of</w:t>
            </w:r>
            <w:r w:rsidR="003149B4">
              <w:rPr>
                <w:rFonts w:ascii="Arial Narrow" w:hAnsi="Arial Narrow" w:cs="Arial"/>
              </w:rPr>
              <w:t xml:space="preserve"> </w:t>
            </w:r>
            <w:r w:rsidR="003149B4" w:rsidRPr="003149B4">
              <w:rPr>
                <w:rFonts w:ascii="Arial Narrow" w:hAnsi="Arial Narrow" w:cs="Arial"/>
                <w:i/>
              </w:rPr>
              <w:t xml:space="preserve">Moolman v Estate Moolman </w:t>
            </w:r>
            <w:r w:rsidR="003D6120">
              <w:rPr>
                <w:rFonts w:ascii="Arial Narrow" w:hAnsi="Arial Narrow" w:cs="Arial"/>
              </w:rPr>
              <w:t>wherein it was held that:</w:t>
            </w:r>
          </w:p>
          <w:p w:rsidR="003D6120" w:rsidRDefault="003D6120" w:rsidP="008630BE">
            <w:pPr>
              <w:spacing w:line="360" w:lineRule="auto"/>
              <w:jc w:val="both"/>
              <w:rPr>
                <w:rFonts w:ascii="Arial Narrow" w:hAnsi="Arial Narrow" w:cs="Arial"/>
              </w:rPr>
            </w:pPr>
          </w:p>
          <w:p w:rsidR="000A5FAE" w:rsidRDefault="003D6120" w:rsidP="008630BE">
            <w:pPr>
              <w:spacing w:line="360" w:lineRule="auto"/>
              <w:jc w:val="both"/>
              <w:rPr>
                <w:rFonts w:ascii="Arial Narrow" w:hAnsi="Arial Narrow" w:cs="Arial"/>
              </w:rPr>
            </w:pPr>
            <w:r>
              <w:rPr>
                <w:rFonts w:ascii="Arial Narrow" w:hAnsi="Arial Narrow" w:cs="Arial"/>
              </w:rPr>
              <w:t xml:space="preserve">     ‘[28</w:t>
            </w:r>
            <w:r w:rsidR="001D5637">
              <w:rPr>
                <w:rFonts w:ascii="Arial Narrow" w:hAnsi="Arial Narrow" w:cs="Arial"/>
              </w:rPr>
              <w:t>] The practical rule adopted seems to be that amendments will always be allowed unless the application to amend is mala fide or unless such amendment would cause an injustice to the other side which cannot be compensated by costs, or in other words unless the parties cannot be put back for the purposes of justice in the same position as they were when the pleading which it is sought to amend was filed.’</w:t>
            </w:r>
          </w:p>
          <w:p w:rsidR="00CF4E80" w:rsidRDefault="00CF4E80" w:rsidP="008630BE">
            <w:pPr>
              <w:spacing w:line="360" w:lineRule="auto"/>
              <w:jc w:val="both"/>
              <w:rPr>
                <w:rFonts w:ascii="Arial Narrow" w:hAnsi="Arial Narrow" w:cs="Arial"/>
              </w:rPr>
            </w:pPr>
          </w:p>
          <w:p w:rsidR="00CF4E80" w:rsidRDefault="00CF4E80" w:rsidP="008630BE">
            <w:pPr>
              <w:spacing w:line="360" w:lineRule="auto"/>
              <w:jc w:val="both"/>
              <w:rPr>
                <w:rFonts w:ascii="Arial Narrow" w:hAnsi="Arial Narrow" w:cs="Arial"/>
              </w:rPr>
            </w:pPr>
            <w:r>
              <w:rPr>
                <w:rFonts w:ascii="Arial Narrow" w:hAnsi="Arial Narrow" w:cs="Arial"/>
              </w:rPr>
              <w:t>[</w:t>
            </w:r>
            <w:r w:rsidR="009F3DAB">
              <w:rPr>
                <w:rFonts w:ascii="Arial Narrow" w:hAnsi="Arial Narrow" w:cs="Arial"/>
              </w:rPr>
              <w:t>17</w:t>
            </w:r>
            <w:r>
              <w:rPr>
                <w:rFonts w:ascii="Arial Narrow" w:hAnsi="Arial Narrow" w:cs="Arial"/>
              </w:rPr>
              <w:t xml:space="preserve">]          </w:t>
            </w:r>
            <w:r w:rsidRPr="00CF4E80">
              <w:rPr>
                <w:rFonts w:ascii="Arial Narrow" w:hAnsi="Arial Narrow" w:cs="Arial"/>
              </w:rPr>
              <w:t>In</w:t>
            </w:r>
            <w:r w:rsidR="00A9347F">
              <w:rPr>
                <w:rFonts w:ascii="Arial Narrow" w:hAnsi="Arial Narrow" w:cs="Arial"/>
              </w:rPr>
              <w:t xml:space="preserve"> the</w:t>
            </w:r>
            <w:r w:rsidRPr="00CF4E80">
              <w:rPr>
                <w:rFonts w:ascii="Arial Narrow" w:hAnsi="Arial Narrow" w:cs="Arial"/>
              </w:rPr>
              <w:t xml:space="preserve"> </w:t>
            </w:r>
            <w:r w:rsidRPr="00CF4E80">
              <w:rPr>
                <w:rFonts w:ascii="Arial Narrow" w:hAnsi="Arial Narrow" w:cs="Arial"/>
                <w:i/>
              </w:rPr>
              <w:t>I A Bell Equipment Company (Namibia) (Pty) Ltd</w:t>
            </w:r>
            <w:r w:rsidR="00A9347F">
              <w:rPr>
                <w:rFonts w:ascii="Arial Narrow" w:hAnsi="Arial Narrow" w:cs="Arial"/>
              </w:rPr>
              <w:t xml:space="preserve"> matter</w:t>
            </w:r>
            <w:r w:rsidRPr="00CF4E80">
              <w:rPr>
                <w:rFonts w:ascii="Arial Narrow" w:hAnsi="Arial Narrow" w:cs="Arial"/>
                <w:i/>
                <w:vertAlign w:val="superscript"/>
              </w:rPr>
              <w:footnoteReference w:id="5"/>
            </w:r>
            <w:r w:rsidRPr="00CF4E80">
              <w:rPr>
                <w:rFonts w:ascii="Arial Narrow" w:hAnsi="Arial Narrow" w:cs="Arial"/>
              </w:rPr>
              <w:t xml:space="preserve"> Damaseb, JP, Hoff</w:t>
            </w:r>
            <w:r>
              <w:rPr>
                <w:rFonts w:ascii="Arial Narrow" w:hAnsi="Arial Narrow" w:cs="Arial"/>
              </w:rPr>
              <w:t xml:space="preserve">, J and Ueitele J, </w:t>
            </w:r>
            <w:r w:rsidRPr="00CF4E80">
              <w:rPr>
                <w:rFonts w:ascii="Arial Narrow" w:hAnsi="Arial Narrow" w:cs="Arial"/>
              </w:rPr>
              <w:t>held that</w:t>
            </w:r>
          </w:p>
          <w:p w:rsidR="00CF4E80" w:rsidRDefault="00CF4E80" w:rsidP="008630BE">
            <w:pPr>
              <w:spacing w:line="360" w:lineRule="auto"/>
              <w:jc w:val="both"/>
              <w:rPr>
                <w:rFonts w:ascii="Arial Narrow" w:hAnsi="Arial Narrow" w:cs="Arial"/>
              </w:rPr>
            </w:pPr>
          </w:p>
          <w:p w:rsidR="00CF4E80" w:rsidRPr="005C7665" w:rsidRDefault="00CF4E80" w:rsidP="008630BE">
            <w:pPr>
              <w:spacing w:line="360" w:lineRule="auto"/>
              <w:jc w:val="both"/>
              <w:rPr>
                <w:rFonts w:ascii="Arial Narrow" w:hAnsi="Arial Narrow" w:cs="Arial"/>
              </w:rPr>
            </w:pPr>
            <w:r>
              <w:rPr>
                <w:rFonts w:ascii="Arial Narrow" w:hAnsi="Arial Narrow" w:cs="Arial"/>
              </w:rPr>
              <w:t xml:space="preserve">          ‘[55] Regardless of the stage of the proceedings where it is brought, the following general principles must guide the amendment of pleadings: Although the court has a discretion to allow or refuse an amendment, the discretion must be exercised judicially</w:t>
            </w:r>
            <w:r w:rsidR="005D0A17">
              <w:rPr>
                <w:rFonts w:ascii="Arial Narrow" w:hAnsi="Arial Narrow" w:cs="Arial"/>
              </w:rPr>
              <w:t xml:space="preserve"> </w:t>
            </w:r>
            <w:r>
              <w:rPr>
                <w:rFonts w:ascii="Arial Narrow" w:hAnsi="Arial Narrow" w:cs="Arial"/>
              </w:rPr>
              <w:t xml:space="preserve">. </w:t>
            </w:r>
            <w:r w:rsidR="005D0A17">
              <w:rPr>
                <w:rFonts w:ascii="Arial Narrow" w:hAnsi="Arial Narrow" w:cs="Arial"/>
              </w:rPr>
              <w:t>. .</w:t>
            </w:r>
            <w:r>
              <w:rPr>
                <w:rFonts w:ascii="Arial Narrow" w:hAnsi="Arial Narrow" w:cs="Arial"/>
              </w:rPr>
              <w:t>The overriding consideration is that the parties, in an adversarial system of justice, decide what their case is; and that includes changing a pleading previously filed to correct what it feels is a mistake made in its pleadings</w:t>
            </w:r>
            <w:r w:rsidR="00746C50">
              <w:rPr>
                <w:rFonts w:ascii="Arial Narrow" w:hAnsi="Arial Narrow" w:cs="Arial"/>
              </w:rPr>
              <w:t xml:space="preserve"> </w:t>
            </w:r>
            <w:r>
              <w:rPr>
                <w:rFonts w:ascii="Arial Narrow" w:hAnsi="Arial Narrow" w:cs="Arial"/>
              </w:rPr>
              <w:t xml:space="preserve">. </w:t>
            </w:r>
            <w:r w:rsidR="00746C50">
              <w:rPr>
                <w:rFonts w:ascii="Arial Narrow" w:hAnsi="Arial Narrow" w:cs="Arial"/>
              </w:rPr>
              <w:t>. . A litigant seeking the amendment is craving an indulgence and therefore must offer some explanation for why the amendment is so</w:t>
            </w:r>
            <w:r w:rsidR="00FD3E21">
              <w:rPr>
                <w:rFonts w:ascii="Arial Narrow" w:hAnsi="Arial Narrow" w:cs="Arial"/>
              </w:rPr>
              <w:t xml:space="preserve">ught </w:t>
            </w:r>
            <w:r w:rsidR="00E720CD">
              <w:rPr>
                <w:rFonts w:ascii="Arial Narrow" w:hAnsi="Arial Narrow" w:cs="Arial"/>
              </w:rPr>
              <w:t xml:space="preserve"> . . . A court cannot compel a party to stick to a version either of fact or law that it says no longer represent its stance. That is so because a litigant must be allowed in our adversarial system to ventilate what they believe to be the real issue(s) between them and the other side.   </w:t>
            </w:r>
            <w:r w:rsidR="00E03A0D">
              <w:rPr>
                <w:rFonts w:ascii="Arial Narrow" w:hAnsi="Arial Narrow" w:cs="Arial"/>
              </w:rPr>
              <w:t xml:space="preserve"> </w:t>
            </w:r>
            <w:r w:rsidR="00746C50">
              <w:rPr>
                <w:rFonts w:ascii="Arial Narrow" w:hAnsi="Arial Narrow" w:cs="Arial"/>
              </w:rPr>
              <w:t xml:space="preserve"> </w:t>
            </w:r>
          </w:p>
          <w:p w:rsidR="008630BE" w:rsidRDefault="008630BE" w:rsidP="008630BE">
            <w:pPr>
              <w:spacing w:line="360" w:lineRule="auto"/>
              <w:jc w:val="both"/>
              <w:rPr>
                <w:rFonts w:ascii="Arial Narrow" w:hAnsi="Arial Narrow" w:cs="Arial"/>
                <w:sz w:val="24"/>
                <w:szCs w:val="24"/>
                <w:lang w:val="en-US"/>
              </w:rPr>
            </w:pPr>
          </w:p>
          <w:p w:rsidR="00DC70C8" w:rsidRPr="00DC70C8" w:rsidRDefault="003629E4" w:rsidP="00DC70C8">
            <w:pPr>
              <w:spacing w:line="360" w:lineRule="auto"/>
              <w:jc w:val="both"/>
              <w:rPr>
                <w:rFonts w:ascii="Arial Narrow" w:hAnsi="Arial Narrow" w:cs="Arial"/>
                <w:sz w:val="24"/>
                <w:szCs w:val="24"/>
                <w:lang w:val="en-GB"/>
              </w:rPr>
            </w:pPr>
            <w:r>
              <w:rPr>
                <w:rFonts w:ascii="Arial Narrow" w:hAnsi="Arial Narrow" w:cs="Arial"/>
                <w:sz w:val="24"/>
                <w:szCs w:val="24"/>
                <w:lang w:val="en-US"/>
              </w:rPr>
              <w:t>[</w:t>
            </w:r>
            <w:r w:rsidR="009F3DAB">
              <w:rPr>
                <w:rFonts w:ascii="Arial Narrow" w:hAnsi="Arial Narrow" w:cs="Arial"/>
                <w:sz w:val="24"/>
                <w:szCs w:val="24"/>
                <w:lang w:val="en-US"/>
              </w:rPr>
              <w:t>18</w:t>
            </w:r>
            <w:r>
              <w:rPr>
                <w:rFonts w:ascii="Arial Narrow" w:hAnsi="Arial Narrow" w:cs="Arial"/>
                <w:sz w:val="24"/>
                <w:szCs w:val="24"/>
                <w:lang w:val="en-US"/>
              </w:rPr>
              <w:t xml:space="preserve">]          </w:t>
            </w:r>
            <w:r w:rsidR="00A322ED">
              <w:rPr>
                <w:rFonts w:ascii="Arial Narrow" w:hAnsi="Arial Narrow" w:cs="Arial"/>
                <w:sz w:val="24"/>
                <w:szCs w:val="24"/>
                <w:lang w:val="en-US"/>
              </w:rPr>
              <w:t xml:space="preserve">On the issue of what should be contained in pleadings, </w:t>
            </w:r>
            <w:r w:rsidR="00DC70C8" w:rsidRPr="00DC70C8">
              <w:rPr>
                <w:rFonts w:ascii="Arial Narrow" w:hAnsi="Arial Narrow" w:cs="Arial"/>
                <w:sz w:val="24"/>
                <w:szCs w:val="24"/>
                <w:lang w:val="en-GB"/>
              </w:rPr>
              <w:t>Rule 45</w:t>
            </w:r>
            <w:r w:rsidR="005D2B41">
              <w:rPr>
                <w:rFonts w:ascii="Arial Narrow" w:hAnsi="Arial Narrow" w:cs="Arial"/>
                <w:sz w:val="24"/>
                <w:szCs w:val="24"/>
                <w:lang w:val="en-GB"/>
              </w:rPr>
              <w:t xml:space="preserve"> </w:t>
            </w:r>
            <w:r w:rsidR="00DC70C8" w:rsidRPr="00DC70C8">
              <w:rPr>
                <w:rFonts w:ascii="Arial Narrow" w:hAnsi="Arial Narrow" w:cs="Arial"/>
                <w:sz w:val="24"/>
                <w:szCs w:val="24"/>
                <w:lang w:val="en-GB"/>
              </w:rPr>
              <w:t xml:space="preserve">(7) </w:t>
            </w:r>
            <w:r w:rsidR="00DB768F">
              <w:rPr>
                <w:rFonts w:ascii="Arial Narrow" w:hAnsi="Arial Narrow" w:cs="Arial"/>
                <w:sz w:val="24"/>
                <w:szCs w:val="24"/>
                <w:lang w:val="en-GB"/>
              </w:rPr>
              <w:t>of the High Court Rules provides that</w:t>
            </w:r>
            <w:r w:rsidR="00DC70C8" w:rsidRPr="00DC70C8">
              <w:rPr>
                <w:rFonts w:ascii="Arial Narrow" w:hAnsi="Arial Narrow" w:cs="Arial"/>
                <w:sz w:val="24"/>
                <w:szCs w:val="24"/>
                <w:lang w:val="en-GB"/>
              </w:rPr>
              <w:t>:</w:t>
            </w:r>
          </w:p>
          <w:p w:rsidR="00DC70C8" w:rsidRPr="00DC70C8" w:rsidRDefault="00DC70C8" w:rsidP="00DC70C8">
            <w:pPr>
              <w:spacing w:line="360" w:lineRule="auto"/>
              <w:jc w:val="both"/>
              <w:rPr>
                <w:rFonts w:ascii="Arial Narrow" w:hAnsi="Arial Narrow" w:cs="Arial"/>
                <w:sz w:val="24"/>
                <w:szCs w:val="24"/>
                <w:lang w:val="en-GB"/>
              </w:rPr>
            </w:pPr>
          </w:p>
          <w:p w:rsidR="00DC70C8" w:rsidRDefault="00DC70C8" w:rsidP="00106D77">
            <w:pPr>
              <w:spacing w:line="360" w:lineRule="auto"/>
              <w:ind w:firstLine="702"/>
              <w:jc w:val="both"/>
              <w:rPr>
                <w:rFonts w:ascii="Arial Narrow" w:hAnsi="Arial Narrow" w:cs="Arial"/>
                <w:lang w:val="en-GB"/>
              </w:rPr>
            </w:pPr>
            <w:r w:rsidRPr="00DC70C8">
              <w:rPr>
                <w:rFonts w:ascii="Arial Narrow" w:hAnsi="Arial Narrow" w:cs="Arial"/>
                <w:lang w:val="en-GB"/>
              </w:rPr>
              <w:t>‘A party who in his or her pleading relies on a contract must state whether the contract is written or oral and when, where and by whom it was concluded and if the contract is written a true copy thereof or the part relied on in the pleading must be annexed to the pleading.’</w:t>
            </w:r>
          </w:p>
          <w:p w:rsidR="005B52DB" w:rsidRDefault="005B52DB" w:rsidP="00DC70C8">
            <w:pPr>
              <w:spacing w:line="360" w:lineRule="auto"/>
              <w:jc w:val="both"/>
              <w:rPr>
                <w:rFonts w:ascii="Arial Narrow" w:hAnsi="Arial Narrow" w:cs="Arial"/>
                <w:lang w:val="en-GB"/>
              </w:rPr>
            </w:pPr>
          </w:p>
          <w:p w:rsidR="00D113E3" w:rsidRPr="00D113E3" w:rsidRDefault="005B52DB" w:rsidP="00D113E3">
            <w:pPr>
              <w:spacing w:line="360" w:lineRule="auto"/>
              <w:jc w:val="both"/>
              <w:rPr>
                <w:rFonts w:ascii="Arial Narrow" w:hAnsi="Arial Narrow" w:cs="Arial"/>
                <w:sz w:val="24"/>
                <w:szCs w:val="24"/>
                <w:lang w:val="en-GB"/>
              </w:rPr>
            </w:pPr>
            <w:r w:rsidRPr="00040EB6">
              <w:rPr>
                <w:rFonts w:ascii="Arial Narrow" w:hAnsi="Arial Narrow" w:cs="Arial"/>
                <w:sz w:val="24"/>
                <w:szCs w:val="24"/>
                <w:lang w:val="en-GB"/>
              </w:rPr>
              <w:t>[</w:t>
            </w:r>
            <w:r w:rsidR="009F3DAB">
              <w:rPr>
                <w:rFonts w:ascii="Arial Narrow" w:hAnsi="Arial Narrow" w:cs="Arial"/>
                <w:sz w:val="24"/>
                <w:szCs w:val="24"/>
                <w:lang w:val="en-GB"/>
              </w:rPr>
              <w:t>19</w:t>
            </w:r>
            <w:r w:rsidRPr="00040EB6">
              <w:rPr>
                <w:rFonts w:ascii="Arial Narrow" w:hAnsi="Arial Narrow" w:cs="Arial"/>
                <w:sz w:val="24"/>
                <w:szCs w:val="24"/>
                <w:lang w:val="en-GB"/>
              </w:rPr>
              <w:t xml:space="preserve">]        </w:t>
            </w:r>
            <w:r w:rsidR="00D113E3" w:rsidRPr="00D113E3">
              <w:rPr>
                <w:rFonts w:ascii="Arial Narrow" w:hAnsi="Arial Narrow" w:cs="Arial"/>
                <w:sz w:val="24"/>
                <w:szCs w:val="24"/>
                <w:lang w:val="en-GB"/>
              </w:rPr>
              <w:t xml:space="preserve">Geier, J in </w:t>
            </w:r>
            <w:r w:rsidR="00D113E3" w:rsidRPr="00D113E3">
              <w:rPr>
                <w:rFonts w:ascii="Arial Narrow" w:hAnsi="Arial Narrow" w:cs="Arial"/>
                <w:i/>
                <w:sz w:val="24"/>
                <w:szCs w:val="24"/>
                <w:lang w:val="en-GB"/>
              </w:rPr>
              <w:t>China Henan International Cooperation (Pty) Ltd v De Klerk and Another</w:t>
            </w:r>
            <w:r w:rsidR="00D113E3">
              <w:rPr>
                <w:rStyle w:val="FootnoteReference"/>
                <w:rFonts w:ascii="Arial Narrow" w:hAnsi="Arial Narrow" w:cs="Arial"/>
                <w:i/>
                <w:sz w:val="24"/>
                <w:szCs w:val="24"/>
                <w:lang w:val="en-GB"/>
              </w:rPr>
              <w:footnoteReference w:id="6"/>
            </w:r>
            <w:r w:rsidR="00D113E3">
              <w:rPr>
                <w:rFonts w:ascii="Arial Narrow" w:hAnsi="Arial Narrow" w:cs="Arial"/>
                <w:sz w:val="24"/>
                <w:szCs w:val="24"/>
                <w:lang w:val="en-GB"/>
              </w:rPr>
              <w:t xml:space="preserve"> </w:t>
            </w:r>
            <w:r w:rsidR="00D113E3" w:rsidRPr="00D113E3">
              <w:rPr>
                <w:rFonts w:ascii="Arial Narrow" w:hAnsi="Arial Narrow" w:cs="Arial"/>
                <w:sz w:val="24"/>
                <w:szCs w:val="24"/>
                <w:lang w:val="en-GB"/>
              </w:rPr>
              <w:t>had the occa</w:t>
            </w:r>
            <w:r w:rsidR="002928C7">
              <w:rPr>
                <w:rFonts w:ascii="Arial Narrow" w:hAnsi="Arial Narrow" w:cs="Arial"/>
                <w:sz w:val="24"/>
                <w:szCs w:val="24"/>
                <w:lang w:val="en-GB"/>
              </w:rPr>
              <w:t>sion to deal with the issue raised in terms of Rule 45(7)</w:t>
            </w:r>
            <w:r w:rsidR="00D113E3" w:rsidRPr="00D113E3">
              <w:rPr>
                <w:rFonts w:ascii="Arial Narrow" w:hAnsi="Arial Narrow" w:cs="Arial"/>
                <w:sz w:val="24"/>
                <w:szCs w:val="24"/>
                <w:lang w:val="en-GB"/>
              </w:rPr>
              <w:t xml:space="preserve">.  </w:t>
            </w:r>
            <w:r w:rsidR="00D113E3">
              <w:rPr>
                <w:rFonts w:ascii="Arial Narrow" w:hAnsi="Arial Narrow" w:cs="Arial"/>
                <w:sz w:val="24"/>
                <w:szCs w:val="24"/>
                <w:lang w:val="en-GB"/>
              </w:rPr>
              <w:t>T</w:t>
            </w:r>
            <w:r w:rsidR="00D113E3" w:rsidRPr="00D113E3">
              <w:rPr>
                <w:rFonts w:ascii="Arial Narrow" w:hAnsi="Arial Narrow" w:cs="Arial"/>
                <w:sz w:val="24"/>
                <w:szCs w:val="24"/>
                <w:lang w:val="en-GB"/>
              </w:rPr>
              <w:t>his case makes reference to rule 18(6) of the</w:t>
            </w:r>
            <w:r w:rsidR="00D113E3">
              <w:rPr>
                <w:rFonts w:ascii="Arial Narrow" w:hAnsi="Arial Narrow" w:cs="Arial"/>
                <w:sz w:val="24"/>
                <w:szCs w:val="24"/>
                <w:lang w:val="en-GB"/>
              </w:rPr>
              <w:t xml:space="preserve"> old rules of the High Court, which</w:t>
            </w:r>
            <w:r w:rsidR="00D113E3" w:rsidRPr="00D113E3">
              <w:rPr>
                <w:rFonts w:ascii="Arial Narrow" w:hAnsi="Arial Narrow" w:cs="Arial"/>
                <w:sz w:val="24"/>
                <w:szCs w:val="24"/>
                <w:lang w:val="en-GB"/>
              </w:rPr>
              <w:t xml:space="preserve"> corresponds with rule 45(7) of t</w:t>
            </w:r>
            <w:r w:rsidR="00D113E3">
              <w:rPr>
                <w:rFonts w:ascii="Arial Narrow" w:hAnsi="Arial Narrow" w:cs="Arial"/>
                <w:sz w:val="24"/>
                <w:szCs w:val="24"/>
                <w:lang w:val="en-GB"/>
              </w:rPr>
              <w:t xml:space="preserve">he new Rules of the High Court. </w:t>
            </w:r>
            <w:r w:rsidR="00D113E3" w:rsidRPr="00D113E3">
              <w:rPr>
                <w:rFonts w:ascii="Arial Narrow" w:hAnsi="Arial Narrow" w:cs="Arial"/>
                <w:sz w:val="24"/>
                <w:szCs w:val="24"/>
                <w:lang w:val="en-GB"/>
              </w:rPr>
              <w:t>The Court held that the non-compliance with rule 18(6) by a plaintiff is not necessarily fatal to a summons and ac</w:t>
            </w:r>
            <w:r w:rsidR="004222E6">
              <w:rPr>
                <w:rFonts w:ascii="Arial Narrow" w:hAnsi="Arial Narrow" w:cs="Arial"/>
                <w:sz w:val="24"/>
                <w:szCs w:val="24"/>
                <w:lang w:val="en-GB"/>
              </w:rPr>
              <w:t xml:space="preserve">cordingly held </w:t>
            </w:r>
            <w:r w:rsidR="00FB5B87">
              <w:rPr>
                <w:rFonts w:ascii="Arial Narrow" w:hAnsi="Arial Narrow" w:cs="Arial"/>
                <w:sz w:val="24"/>
                <w:szCs w:val="24"/>
                <w:lang w:val="en-GB"/>
              </w:rPr>
              <w:t>that:</w:t>
            </w:r>
          </w:p>
          <w:p w:rsidR="00270EBA" w:rsidRDefault="00270EBA" w:rsidP="00270EBA">
            <w:pPr>
              <w:spacing w:line="360" w:lineRule="auto"/>
              <w:jc w:val="both"/>
              <w:rPr>
                <w:rFonts w:ascii="Arial Narrow" w:hAnsi="Arial Narrow" w:cs="Arial"/>
                <w:lang w:val="en-GB"/>
              </w:rPr>
            </w:pPr>
          </w:p>
          <w:p w:rsidR="00270EBA" w:rsidRDefault="00120FD9" w:rsidP="00270EBA">
            <w:pPr>
              <w:spacing w:line="360" w:lineRule="auto"/>
              <w:ind w:firstLine="702"/>
              <w:jc w:val="both"/>
              <w:rPr>
                <w:rFonts w:ascii="Arial Narrow" w:hAnsi="Arial Narrow" w:cs="Arial"/>
                <w:lang w:val="en-GB"/>
              </w:rPr>
            </w:pPr>
            <w:r>
              <w:rPr>
                <w:rFonts w:ascii="Arial Narrow" w:hAnsi="Arial Narrow" w:cs="Arial"/>
                <w:lang w:val="en-GB"/>
              </w:rPr>
              <w:t>‘</w:t>
            </w:r>
            <w:r w:rsidR="00270EBA" w:rsidRPr="00270EBA">
              <w:rPr>
                <w:rFonts w:ascii="Arial Narrow" w:hAnsi="Arial Narrow" w:cs="Arial"/>
                <w:lang w:val="en-GB"/>
              </w:rPr>
              <w:t>[17</w:t>
            </w:r>
            <w:r w:rsidR="00E61144">
              <w:rPr>
                <w:rFonts w:ascii="Arial Narrow" w:hAnsi="Arial Narrow" w:cs="Arial"/>
                <w:lang w:val="en-GB"/>
              </w:rPr>
              <w:t xml:space="preserve">] </w:t>
            </w:r>
            <w:r w:rsidR="00270EBA" w:rsidRPr="00270EBA">
              <w:rPr>
                <w:rFonts w:ascii="Arial Narrow" w:hAnsi="Arial Narrow" w:cs="Arial"/>
                <w:lang w:val="en-GB"/>
              </w:rPr>
              <w:t>Surely the averments relating to - where the contract was concluded – and - who acted on behalf of the parties at the time – must be ancillary to- and do not constitute material facts which a pleader, pleading a cause of action in contract, must necessarily set out in order to generate claim particulars which sustain a valid action based in contract. The material fact, which most certainly has to be pleaded, must, at the very least, be the allegation that a contract was concluded between the parties.</w:t>
            </w:r>
            <w:r>
              <w:rPr>
                <w:rFonts w:ascii="Arial Narrow" w:hAnsi="Arial Narrow" w:cs="Arial"/>
                <w:lang w:val="en-GB"/>
              </w:rPr>
              <w:t>’</w:t>
            </w:r>
          </w:p>
          <w:p w:rsidR="004222E6" w:rsidRDefault="004222E6" w:rsidP="00270EBA">
            <w:pPr>
              <w:spacing w:line="360" w:lineRule="auto"/>
              <w:ind w:firstLine="702"/>
              <w:jc w:val="both"/>
              <w:rPr>
                <w:rFonts w:ascii="Arial Narrow" w:hAnsi="Arial Narrow" w:cs="Arial"/>
                <w:lang w:val="en-GB"/>
              </w:rPr>
            </w:pPr>
          </w:p>
          <w:p w:rsidR="004222E6" w:rsidRDefault="009F3DAB" w:rsidP="004222E6">
            <w:pPr>
              <w:spacing w:line="360" w:lineRule="auto"/>
              <w:ind w:hanging="18"/>
              <w:jc w:val="both"/>
              <w:rPr>
                <w:rFonts w:ascii="Arial Narrow" w:hAnsi="Arial Narrow" w:cs="Arial"/>
                <w:lang w:val="en-GB"/>
              </w:rPr>
            </w:pPr>
            <w:r>
              <w:rPr>
                <w:rFonts w:ascii="Arial Narrow" w:hAnsi="Arial Narrow" w:cs="Arial"/>
                <w:lang w:val="en-GB"/>
              </w:rPr>
              <w:t>[20</w:t>
            </w:r>
            <w:r w:rsidR="004222E6">
              <w:rPr>
                <w:rFonts w:ascii="Arial Narrow" w:hAnsi="Arial Narrow" w:cs="Arial"/>
                <w:lang w:val="en-GB"/>
              </w:rPr>
              <w:t xml:space="preserve">]          And </w:t>
            </w:r>
          </w:p>
          <w:p w:rsidR="004222E6" w:rsidRDefault="004222E6" w:rsidP="004222E6">
            <w:pPr>
              <w:spacing w:line="360" w:lineRule="auto"/>
              <w:ind w:hanging="18"/>
              <w:jc w:val="both"/>
              <w:rPr>
                <w:rFonts w:ascii="Arial Narrow" w:hAnsi="Arial Narrow" w:cs="Arial"/>
                <w:lang w:val="en-GB"/>
              </w:rPr>
            </w:pPr>
          </w:p>
          <w:p w:rsidR="004222E6" w:rsidRPr="004222E6" w:rsidRDefault="004222E6" w:rsidP="004222E6">
            <w:pPr>
              <w:spacing w:line="360" w:lineRule="auto"/>
              <w:ind w:firstLine="702"/>
              <w:jc w:val="both"/>
              <w:rPr>
                <w:rFonts w:ascii="Arial Narrow" w:hAnsi="Arial Narrow" w:cs="Arial"/>
                <w:lang w:val="en-GB"/>
              </w:rPr>
            </w:pPr>
            <w:r w:rsidRPr="004222E6">
              <w:rPr>
                <w:rFonts w:ascii="Arial Narrow" w:hAnsi="Arial Narrow" w:cs="Arial"/>
                <w:lang w:val="en-GB"/>
              </w:rPr>
              <w:t>‘</w:t>
            </w:r>
            <w:r w:rsidR="00E61144">
              <w:rPr>
                <w:rFonts w:ascii="Arial Narrow" w:hAnsi="Arial Narrow" w:cs="Arial"/>
                <w:lang w:val="en-GB"/>
              </w:rPr>
              <w:t xml:space="preserve">[18] </w:t>
            </w:r>
            <w:r w:rsidRPr="004222E6">
              <w:rPr>
                <w:rFonts w:ascii="Arial Narrow" w:hAnsi="Arial Narrow" w:cs="Arial"/>
                <w:lang w:val="en-GB"/>
              </w:rPr>
              <w:t>It surely is the requirements of the substantive law which determine whether or not valid cause of action has been made out and not the particular compliance or non-compliance with the rules of court.’</w:t>
            </w:r>
          </w:p>
          <w:p w:rsidR="004222E6" w:rsidRPr="007A676B" w:rsidRDefault="004222E6" w:rsidP="004222E6">
            <w:pPr>
              <w:spacing w:line="360" w:lineRule="auto"/>
              <w:ind w:hanging="18"/>
              <w:jc w:val="both"/>
              <w:rPr>
                <w:rFonts w:ascii="Arial Narrow" w:hAnsi="Arial Narrow" w:cs="Arial"/>
                <w:lang w:val="en-GB"/>
              </w:rPr>
            </w:pPr>
          </w:p>
          <w:p w:rsidR="003629E4" w:rsidRPr="009840E3" w:rsidRDefault="003629E4" w:rsidP="008630BE">
            <w:pPr>
              <w:spacing w:line="360" w:lineRule="auto"/>
              <w:jc w:val="both"/>
              <w:rPr>
                <w:rFonts w:ascii="Arial Narrow" w:hAnsi="Arial Narrow" w:cs="Arial"/>
                <w:sz w:val="24"/>
                <w:szCs w:val="24"/>
                <w:lang w:val="en-US"/>
              </w:rPr>
            </w:pPr>
          </w:p>
          <w:p w:rsidR="008630BE" w:rsidRDefault="008630BE" w:rsidP="008630BE">
            <w:pPr>
              <w:spacing w:line="360" w:lineRule="auto"/>
              <w:jc w:val="both"/>
              <w:rPr>
                <w:rFonts w:ascii="Arial Narrow" w:hAnsi="Arial Narrow" w:cs="Arial"/>
                <w:sz w:val="24"/>
                <w:szCs w:val="24"/>
                <w:u w:val="single"/>
                <w:lang w:val="en-US"/>
              </w:rPr>
            </w:pPr>
            <w:r w:rsidRPr="009840E3">
              <w:rPr>
                <w:rFonts w:ascii="Arial Narrow" w:hAnsi="Arial Narrow" w:cs="Arial"/>
                <w:sz w:val="24"/>
                <w:szCs w:val="24"/>
                <w:u w:val="single"/>
                <w:lang w:val="en-US"/>
              </w:rPr>
              <w:lastRenderedPageBreak/>
              <w:t>Application of the law to the facts</w:t>
            </w:r>
          </w:p>
          <w:p w:rsidR="002E096F" w:rsidRPr="009840E3" w:rsidRDefault="002E096F" w:rsidP="008630BE">
            <w:pPr>
              <w:spacing w:line="360" w:lineRule="auto"/>
              <w:jc w:val="both"/>
              <w:rPr>
                <w:rFonts w:ascii="Arial Narrow" w:hAnsi="Arial Narrow" w:cs="Arial"/>
                <w:sz w:val="24"/>
                <w:szCs w:val="24"/>
                <w:u w:val="single"/>
                <w:lang w:val="en-US"/>
              </w:rPr>
            </w:pPr>
          </w:p>
          <w:p w:rsidR="00276974" w:rsidRDefault="002E096F" w:rsidP="008630BE">
            <w:pPr>
              <w:spacing w:line="360" w:lineRule="auto"/>
              <w:jc w:val="both"/>
              <w:rPr>
                <w:rFonts w:ascii="Arial Narrow" w:hAnsi="Arial Narrow" w:cs="Arial"/>
                <w:sz w:val="24"/>
                <w:szCs w:val="24"/>
              </w:rPr>
            </w:pPr>
            <w:r>
              <w:rPr>
                <w:rFonts w:ascii="Arial Narrow" w:hAnsi="Arial Narrow" w:cs="Arial"/>
                <w:sz w:val="24"/>
                <w:szCs w:val="24"/>
                <w:lang w:val="en-US"/>
              </w:rPr>
              <w:t>[</w:t>
            </w:r>
            <w:r w:rsidR="009F3DAB">
              <w:rPr>
                <w:rFonts w:ascii="Arial Narrow" w:hAnsi="Arial Narrow" w:cs="Arial"/>
                <w:sz w:val="24"/>
                <w:szCs w:val="24"/>
                <w:lang w:val="en-US"/>
              </w:rPr>
              <w:t>21</w:t>
            </w:r>
            <w:r>
              <w:rPr>
                <w:rFonts w:ascii="Arial Narrow" w:hAnsi="Arial Narrow" w:cs="Arial"/>
                <w:sz w:val="24"/>
                <w:szCs w:val="24"/>
                <w:lang w:val="en-US"/>
              </w:rPr>
              <w:t xml:space="preserve">]          </w:t>
            </w:r>
            <w:r w:rsidR="0030294B">
              <w:rPr>
                <w:rFonts w:ascii="Arial Narrow" w:hAnsi="Arial Narrow" w:cs="Arial"/>
                <w:sz w:val="24"/>
                <w:szCs w:val="24"/>
              </w:rPr>
              <w:t xml:space="preserve">Parties are </w:t>
            </w:r>
            <w:r w:rsidRPr="002E096F">
              <w:rPr>
                <w:rFonts w:ascii="Arial Narrow" w:hAnsi="Arial Narrow" w:cs="Arial"/>
                <w:sz w:val="24"/>
                <w:szCs w:val="24"/>
              </w:rPr>
              <w:t>allowed to amend their pleadings at any stage of the proceedings in order for the real issues between them to be ventilated, however such amendments can only be allowed if: (a) no prejudice is caused to the other party and (b) such prejudice can be cured by an appropriate cost order.  Parties should however note tha</w:t>
            </w:r>
            <w:r w:rsidR="009F780B">
              <w:rPr>
                <w:rFonts w:ascii="Arial Narrow" w:hAnsi="Arial Narrow" w:cs="Arial"/>
                <w:sz w:val="24"/>
                <w:szCs w:val="24"/>
              </w:rPr>
              <w:t>t the courts will not allow a party</w:t>
            </w:r>
            <w:r w:rsidRPr="002E096F">
              <w:rPr>
                <w:rFonts w:ascii="Arial Narrow" w:hAnsi="Arial Narrow" w:cs="Arial"/>
                <w:sz w:val="24"/>
                <w:szCs w:val="24"/>
              </w:rPr>
              <w:t xml:space="preserve"> to amend pleadings without good reasons advanced and for parties to change their positions as they go along and as circumstances suit them. Concrete arguments must be advanced for wanting to amend once pleadings and also the objectives of judicial case management must</w:t>
            </w:r>
            <w:r w:rsidR="000D138E">
              <w:rPr>
                <w:rFonts w:ascii="Arial Narrow" w:hAnsi="Arial Narrow" w:cs="Arial"/>
                <w:sz w:val="24"/>
                <w:szCs w:val="24"/>
              </w:rPr>
              <w:t xml:space="preserve"> be</w:t>
            </w:r>
            <w:r w:rsidRPr="002E096F">
              <w:rPr>
                <w:rFonts w:ascii="Arial Narrow" w:hAnsi="Arial Narrow" w:cs="Arial"/>
                <w:sz w:val="24"/>
                <w:szCs w:val="24"/>
              </w:rPr>
              <w:t xml:space="preserve"> borne in mind ie the speedy and inexpensive disposal of cases before the Court.</w:t>
            </w:r>
          </w:p>
          <w:p w:rsidR="00907995" w:rsidRDefault="00907995" w:rsidP="008630BE">
            <w:pPr>
              <w:spacing w:line="360" w:lineRule="auto"/>
              <w:jc w:val="both"/>
              <w:rPr>
                <w:rFonts w:ascii="Arial Narrow" w:hAnsi="Arial Narrow" w:cs="Arial"/>
                <w:sz w:val="24"/>
                <w:szCs w:val="24"/>
                <w:lang w:val="en-US"/>
              </w:rPr>
            </w:pPr>
          </w:p>
          <w:p w:rsidR="007A676B" w:rsidRDefault="007A676B" w:rsidP="008630BE">
            <w:pPr>
              <w:spacing w:line="360" w:lineRule="auto"/>
              <w:jc w:val="both"/>
              <w:rPr>
                <w:rFonts w:ascii="Arial Narrow" w:hAnsi="Arial Narrow" w:cs="Arial"/>
                <w:sz w:val="24"/>
                <w:szCs w:val="24"/>
                <w:lang w:val="en-US"/>
              </w:rPr>
            </w:pPr>
            <w:r>
              <w:rPr>
                <w:rFonts w:ascii="Arial Narrow" w:hAnsi="Arial Narrow" w:cs="Arial"/>
                <w:sz w:val="24"/>
                <w:szCs w:val="24"/>
                <w:lang w:val="en-GB"/>
              </w:rPr>
              <w:t>[</w:t>
            </w:r>
            <w:r w:rsidR="00D50FD7">
              <w:rPr>
                <w:rFonts w:ascii="Arial Narrow" w:hAnsi="Arial Narrow" w:cs="Arial"/>
                <w:sz w:val="24"/>
                <w:szCs w:val="24"/>
                <w:lang w:val="en-GB"/>
              </w:rPr>
              <w:t>22</w:t>
            </w:r>
            <w:r w:rsidR="001E16C1">
              <w:rPr>
                <w:rFonts w:ascii="Arial Narrow" w:hAnsi="Arial Narrow" w:cs="Arial"/>
                <w:sz w:val="24"/>
                <w:szCs w:val="24"/>
                <w:lang w:val="en-GB"/>
              </w:rPr>
              <w:t xml:space="preserve">]     </w:t>
            </w:r>
            <w:r w:rsidRPr="007A676B">
              <w:rPr>
                <w:rFonts w:ascii="Arial Narrow" w:hAnsi="Arial Narrow" w:cs="Arial"/>
                <w:sz w:val="24"/>
                <w:szCs w:val="24"/>
                <w:lang w:val="en-GB"/>
              </w:rPr>
              <w:t xml:space="preserve">In </w:t>
            </w:r>
            <w:r w:rsidR="00BE4664" w:rsidRPr="00BE4664">
              <w:rPr>
                <w:rFonts w:ascii="Arial Narrow" w:hAnsi="Arial Narrow" w:cs="Arial"/>
                <w:i/>
                <w:sz w:val="24"/>
                <w:szCs w:val="24"/>
                <w:lang w:val="en-GB"/>
              </w:rPr>
              <w:t>China Henan International Cooperation (Pty) Ltd</w:t>
            </w:r>
            <w:r w:rsidRPr="007A676B">
              <w:rPr>
                <w:rFonts w:ascii="Arial Narrow" w:hAnsi="Arial Narrow" w:cs="Arial"/>
                <w:sz w:val="24"/>
                <w:szCs w:val="24"/>
                <w:lang w:val="en-GB"/>
              </w:rPr>
              <w:t xml:space="preserve"> case</w:t>
            </w:r>
            <w:r w:rsidRPr="007A676B">
              <w:rPr>
                <w:rFonts w:ascii="Arial Narrow" w:hAnsi="Arial Narrow" w:cs="Arial"/>
                <w:i/>
                <w:sz w:val="24"/>
                <w:szCs w:val="24"/>
                <w:vertAlign w:val="superscript"/>
                <w:lang w:val="en-GB"/>
              </w:rPr>
              <w:footnoteReference w:id="7"/>
            </w:r>
            <w:r w:rsidRPr="007A676B">
              <w:rPr>
                <w:rFonts w:ascii="Arial Narrow" w:hAnsi="Arial Narrow" w:cs="Arial"/>
                <w:i/>
                <w:sz w:val="24"/>
                <w:szCs w:val="24"/>
                <w:lang w:val="en-GB"/>
              </w:rPr>
              <w:t xml:space="preserve"> </w:t>
            </w:r>
            <w:r w:rsidRPr="007A676B">
              <w:rPr>
                <w:rFonts w:ascii="Arial Narrow" w:hAnsi="Arial Narrow" w:cs="Arial"/>
                <w:sz w:val="24"/>
                <w:szCs w:val="24"/>
                <w:lang w:val="en-GB"/>
              </w:rPr>
              <w:t xml:space="preserve">the particulars of claim was silent as to: (a) where and (b) by whom the agreement was concluded. The particulars of claim however disclosed that: (a) the contract relied on was an oral lease agreement, and (b) disclosed when the agreement was concluded. The court in the </w:t>
            </w:r>
            <w:r w:rsidRPr="007A676B">
              <w:rPr>
                <w:rFonts w:ascii="Arial Narrow" w:hAnsi="Arial Narrow" w:cs="Arial"/>
                <w:i/>
                <w:sz w:val="24"/>
                <w:szCs w:val="24"/>
                <w:lang w:val="en-GB"/>
              </w:rPr>
              <w:t xml:space="preserve">China Henan’s </w:t>
            </w:r>
            <w:r w:rsidRPr="00C977DD">
              <w:rPr>
                <w:rFonts w:ascii="Arial Narrow" w:hAnsi="Arial Narrow" w:cs="Arial"/>
                <w:sz w:val="24"/>
                <w:szCs w:val="24"/>
                <w:lang w:val="en-GB"/>
              </w:rPr>
              <w:t>case</w:t>
            </w:r>
            <w:r w:rsidR="00C977DD">
              <w:rPr>
                <w:rFonts w:ascii="Arial Narrow" w:hAnsi="Arial Narrow" w:cs="Arial"/>
                <w:sz w:val="24"/>
                <w:szCs w:val="24"/>
                <w:lang w:val="en-GB"/>
              </w:rPr>
              <w:t xml:space="preserve"> held</w:t>
            </w:r>
            <w:r w:rsidRPr="007A676B">
              <w:rPr>
                <w:rFonts w:ascii="Arial Narrow" w:hAnsi="Arial Narrow" w:cs="Arial"/>
                <w:sz w:val="24"/>
                <w:szCs w:val="24"/>
                <w:lang w:val="en-GB"/>
              </w:rPr>
              <w:t xml:space="preserve"> correctly that despite the non-disclosed facts, the remainder of the pleaded facts, in the circumstances of that particular case, covered all the material allegations required to make out a cause of action. In that case there was substantial compliance with the provisions of Rule 45(7), which is the same as in the present instant.</w:t>
            </w:r>
            <w:r w:rsidR="00C977DD">
              <w:rPr>
                <w:rFonts w:ascii="Arial Narrow" w:hAnsi="Arial Narrow" w:cs="Arial"/>
                <w:sz w:val="24"/>
                <w:szCs w:val="24"/>
                <w:lang w:val="en-GB"/>
              </w:rPr>
              <w:t xml:space="preserve"> It </w:t>
            </w:r>
            <w:r w:rsidR="002477E7">
              <w:rPr>
                <w:rFonts w:ascii="Arial Narrow" w:hAnsi="Arial Narrow" w:cs="Arial"/>
                <w:sz w:val="24"/>
                <w:szCs w:val="24"/>
                <w:lang w:val="en-GB"/>
              </w:rPr>
              <w:t xml:space="preserve">is therefore </w:t>
            </w:r>
            <w:r w:rsidR="00C977DD">
              <w:rPr>
                <w:rFonts w:ascii="Arial Narrow" w:hAnsi="Arial Narrow" w:cs="Arial"/>
                <w:sz w:val="24"/>
                <w:szCs w:val="24"/>
                <w:lang w:val="en-GB"/>
              </w:rPr>
              <w:t>my considered view</w:t>
            </w:r>
            <w:r w:rsidR="002477E7">
              <w:rPr>
                <w:rFonts w:ascii="Arial Narrow" w:hAnsi="Arial Narrow" w:cs="Arial"/>
                <w:sz w:val="24"/>
                <w:szCs w:val="24"/>
                <w:lang w:val="en-GB"/>
              </w:rPr>
              <w:t xml:space="preserve"> </w:t>
            </w:r>
            <w:r w:rsidR="00C977DD">
              <w:rPr>
                <w:rFonts w:ascii="Arial Narrow" w:hAnsi="Arial Narrow" w:cs="Arial"/>
                <w:sz w:val="24"/>
                <w:szCs w:val="24"/>
                <w:lang w:val="en-GB"/>
              </w:rPr>
              <w:t xml:space="preserve">that substantial none-compliance with rule 45(7) does not render the particulars of claim vague and </w:t>
            </w:r>
            <w:r w:rsidR="00554507">
              <w:rPr>
                <w:rFonts w:ascii="Arial Narrow" w:hAnsi="Arial Narrow" w:cs="Arial"/>
                <w:sz w:val="24"/>
                <w:szCs w:val="24"/>
                <w:lang w:val="en-GB"/>
              </w:rPr>
              <w:t>embarrassing</w:t>
            </w:r>
            <w:r w:rsidR="002477E7">
              <w:rPr>
                <w:rFonts w:ascii="Arial Narrow" w:hAnsi="Arial Narrow" w:cs="Arial"/>
                <w:sz w:val="24"/>
                <w:szCs w:val="24"/>
                <w:lang w:val="en-GB"/>
              </w:rPr>
              <w:t xml:space="preserve"> as long as long as the material facts relied upon has been alleged</w:t>
            </w:r>
            <w:r w:rsidR="00C977DD">
              <w:rPr>
                <w:rFonts w:ascii="Arial Narrow" w:hAnsi="Arial Narrow" w:cs="Arial"/>
                <w:sz w:val="24"/>
                <w:szCs w:val="24"/>
                <w:lang w:val="en-GB"/>
              </w:rPr>
              <w:t>.</w:t>
            </w:r>
          </w:p>
          <w:p w:rsidR="007A676B" w:rsidRPr="00521560" w:rsidRDefault="007A676B" w:rsidP="008630BE">
            <w:pPr>
              <w:spacing w:line="360" w:lineRule="auto"/>
              <w:jc w:val="both"/>
              <w:rPr>
                <w:rFonts w:ascii="Arial Narrow" w:hAnsi="Arial Narrow" w:cs="Arial"/>
                <w:sz w:val="24"/>
                <w:szCs w:val="24"/>
                <w:lang w:val="en-US"/>
              </w:rPr>
            </w:pPr>
          </w:p>
          <w:p w:rsidR="00762C0C" w:rsidRDefault="00B00A97" w:rsidP="007D0247">
            <w:pPr>
              <w:spacing w:line="360" w:lineRule="auto"/>
              <w:jc w:val="both"/>
              <w:rPr>
                <w:rFonts w:ascii="Arial Narrow" w:hAnsi="Arial Narrow" w:cs="Arial"/>
                <w:sz w:val="24"/>
                <w:szCs w:val="24"/>
              </w:rPr>
            </w:pPr>
            <w:r>
              <w:rPr>
                <w:rFonts w:ascii="Arial Narrow" w:hAnsi="Arial Narrow" w:cs="Arial"/>
                <w:sz w:val="24"/>
                <w:szCs w:val="24"/>
              </w:rPr>
              <w:t>[</w:t>
            </w:r>
            <w:r w:rsidR="00D50FD7">
              <w:rPr>
                <w:rFonts w:ascii="Arial Narrow" w:hAnsi="Arial Narrow" w:cs="Arial"/>
                <w:sz w:val="24"/>
                <w:szCs w:val="24"/>
              </w:rPr>
              <w:t>23</w:t>
            </w:r>
            <w:r w:rsidR="005E6357">
              <w:rPr>
                <w:rFonts w:ascii="Arial Narrow" w:hAnsi="Arial Narrow" w:cs="Arial"/>
                <w:sz w:val="24"/>
                <w:szCs w:val="24"/>
              </w:rPr>
              <w:t>]</w:t>
            </w:r>
            <w:r w:rsidR="001E16C1">
              <w:rPr>
                <w:rFonts w:ascii="Arial Narrow" w:hAnsi="Arial Narrow" w:cs="Arial"/>
                <w:sz w:val="24"/>
                <w:szCs w:val="24"/>
              </w:rPr>
              <w:t xml:space="preserve">       </w:t>
            </w:r>
            <w:r w:rsidR="00762C0C">
              <w:rPr>
                <w:rFonts w:ascii="Arial Narrow" w:hAnsi="Arial Narrow" w:cs="Arial"/>
                <w:sz w:val="24"/>
                <w:szCs w:val="24"/>
              </w:rPr>
              <w:t>The process and considerations for an application for leave to amend is provided by Rule 5</w:t>
            </w:r>
            <w:r w:rsidR="00025C66">
              <w:rPr>
                <w:rFonts w:ascii="Arial Narrow" w:hAnsi="Arial Narrow" w:cs="Arial"/>
                <w:sz w:val="24"/>
                <w:szCs w:val="24"/>
              </w:rPr>
              <w:t>2 (9), which provides that</w:t>
            </w:r>
            <w:r w:rsidR="00762C0C">
              <w:rPr>
                <w:rFonts w:ascii="Arial Narrow" w:hAnsi="Arial Narrow" w:cs="Arial"/>
                <w:sz w:val="24"/>
                <w:szCs w:val="24"/>
              </w:rPr>
              <w:t>:</w:t>
            </w:r>
          </w:p>
          <w:p w:rsidR="00762C0C" w:rsidRDefault="00762C0C" w:rsidP="007D0247">
            <w:pPr>
              <w:spacing w:line="360" w:lineRule="auto"/>
              <w:jc w:val="both"/>
              <w:rPr>
                <w:rFonts w:ascii="Arial Narrow" w:hAnsi="Arial Narrow" w:cs="Arial"/>
                <w:sz w:val="24"/>
                <w:szCs w:val="24"/>
              </w:rPr>
            </w:pPr>
          </w:p>
          <w:p w:rsidR="00762C0C" w:rsidRPr="00762C0C" w:rsidRDefault="00762C0C" w:rsidP="00326D42">
            <w:pPr>
              <w:spacing w:line="360" w:lineRule="auto"/>
              <w:ind w:firstLine="702"/>
              <w:jc w:val="both"/>
              <w:rPr>
                <w:rFonts w:ascii="Arial Narrow" w:hAnsi="Arial Narrow" w:cs="Arial"/>
              </w:rPr>
            </w:pPr>
            <w:r w:rsidRPr="00762C0C">
              <w:rPr>
                <w:rFonts w:ascii="Arial Narrow" w:hAnsi="Arial Narrow" w:cs="Arial"/>
              </w:rPr>
              <w:t>‘The court may during the hearing at any stage before judgment, grant leave to amend a pleading or a document on such terms as to costs or otherwise as the court considers suitable or proper.’</w:t>
            </w:r>
          </w:p>
          <w:p w:rsidR="00762C0C" w:rsidRDefault="00762C0C" w:rsidP="007D0247">
            <w:pPr>
              <w:spacing w:line="360" w:lineRule="auto"/>
              <w:jc w:val="both"/>
              <w:rPr>
                <w:rFonts w:ascii="Arial Narrow" w:hAnsi="Arial Narrow" w:cs="Arial"/>
                <w:sz w:val="24"/>
                <w:szCs w:val="24"/>
              </w:rPr>
            </w:pPr>
            <w:r>
              <w:rPr>
                <w:rFonts w:ascii="Arial Narrow" w:hAnsi="Arial Narrow" w:cs="Arial"/>
                <w:sz w:val="24"/>
                <w:szCs w:val="24"/>
              </w:rPr>
              <w:t xml:space="preserve"> </w:t>
            </w:r>
          </w:p>
          <w:p w:rsidR="007D0247" w:rsidRPr="00F54FA2" w:rsidRDefault="00762C0C" w:rsidP="007D0247">
            <w:pPr>
              <w:spacing w:line="360" w:lineRule="auto"/>
              <w:jc w:val="both"/>
              <w:rPr>
                <w:rFonts w:ascii="Arial Narrow" w:hAnsi="Arial Narrow" w:cs="Arial"/>
                <w:sz w:val="24"/>
                <w:szCs w:val="24"/>
                <w:lang w:val="en-GB"/>
              </w:rPr>
            </w:pPr>
            <w:r>
              <w:rPr>
                <w:rFonts w:ascii="Arial Narrow" w:hAnsi="Arial Narrow" w:cs="Arial"/>
                <w:sz w:val="24"/>
                <w:szCs w:val="24"/>
              </w:rPr>
              <w:t>[</w:t>
            </w:r>
            <w:r w:rsidR="003201BD">
              <w:rPr>
                <w:rFonts w:ascii="Arial Narrow" w:hAnsi="Arial Narrow" w:cs="Arial"/>
                <w:sz w:val="24"/>
                <w:szCs w:val="24"/>
              </w:rPr>
              <w:t>24</w:t>
            </w:r>
            <w:r>
              <w:rPr>
                <w:rFonts w:ascii="Arial Narrow" w:hAnsi="Arial Narrow" w:cs="Arial"/>
                <w:sz w:val="24"/>
                <w:szCs w:val="24"/>
              </w:rPr>
              <w:t>]          The principles on amendments</w:t>
            </w:r>
            <w:r w:rsidR="008E55AA">
              <w:rPr>
                <w:rFonts w:ascii="Arial Narrow" w:hAnsi="Arial Narrow" w:cs="Arial"/>
                <w:sz w:val="24"/>
                <w:szCs w:val="24"/>
              </w:rPr>
              <w:t>, as elucidated above,</w:t>
            </w:r>
            <w:r>
              <w:rPr>
                <w:rFonts w:ascii="Arial Narrow" w:hAnsi="Arial Narrow" w:cs="Arial"/>
                <w:sz w:val="24"/>
                <w:szCs w:val="24"/>
              </w:rPr>
              <w:t xml:space="preserve"> are very clear and I see no reason why I should deviate from the said principles. </w:t>
            </w:r>
            <w:r w:rsidR="007D0247" w:rsidRPr="00D34ACC">
              <w:rPr>
                <w:rFonts w:ascii="Arial Narrow" w:hAnsi="Arial Narrow" w:cs="Arial"/>
                <w:sz w:val="24"/>
                <w:szCs w:val="24"/>
              </w:rPr>
              <w:t xml:space="preserve"> </w:t>
            </w:r>
            <w:r>
              <w:rPr>
                <w:rFonts w:ascii="Arial Narrow" w:hAnsi="Arial Narrow" w:cs="Arial"/>
                <w:sz w:val="24"/>
                <w:szCs w:val="24"/>
              </w:rPr>
              <w:t xml:space="preserve">The court, ultimately, has the judicial discretion to uphold or not an application for leave to amend depending on the circumstances of each particular case and that such </w:t>
            </w:r>
            <w:r w:rsidR="008E55AA">
              <w:rPr>
                <w:rFonts w:ascii="Arial Narrow" w:hAnsi="Arial Narrow" w:cs="Arial"/>
                <w:sz w:val="24"/>
                <w:szCs w:val="24"/>
              </w:rPr>
              <w:t xml:space="preserve">amendments should be granted in order for the disputes between the parties to be properly ventilated in order to determine the real issues between them. </w:t>
            </w:r>
            <w:r w:rsidR="008E55AA">
              <w:rPr>
                <w:rFonts w:ascii="Arial Narrow" w:hAnsi="Arial Narrow" w:cs="Arial"/>
                <w:sz w:val="24"/>
                <w:szCs w:val="24"/>
                <w:shd w:val="clear" w:color="auto" w:fill="FFFFFF"/>
                <w:lang w:val="en-GB"/>
              </w:rPr>
              <w:t>Th</w:t>
            </w:r>
            <w:r w:rsidR="00E03E6C">
              <w:rPr>
                <w:rFonts w:ascii="Arial Narrow" w:hAnsi="Arial Narrow" w:cs="Arial"/>
                <w:sz w:val="24"/>
                <w:szCs w:val="24"/>
                <w:shd w:val="clear" w:color="auto" w:fill="FFFFFF"/>
                <w:lang w:val="en-GB"/>
              </w:rPr>
              <w:t>is</w:t>
            </w:r>
            <w:r w:rsidR="007D0247" w:rsidRPr="00952763">
              <w:rPr>
                <w:rFonts w:ascii="Arial Narrow" w:hAnsi="Arial Narrow" w:cs="Arial"/>
                <w:sz w:val="24"/>
                <w:szCs w:val="24"/>
                <w:lang w:val="en-GB"/>
              </w:rPr>
              <w:t xml:space="preserve"> court cannot find that the plaintiff’s </w:t>
            </w:r>
            <w:r w:rsidR="00E03E6C">
              <w:rPr>
                <w:rFonts w:ascii="Arial Narrow" w:hAnsi="Arial Narrow" w:cs="Arial"/>
                <w:sz w:val="24"/>
                <w:szCs w:val="24"/>
                <w:lang w:val="en-GB"/>
              </w:rPr>
              <w:t>application for an amendment was brought mala fide and that such amendments will cause prejudice to the defendant which cannot be cured by an appropriate cost order. I say so because the objections raised by the defendant</w:t>
            </w:r>
            <w:r w:rsidR="00307031">
              <w:rPr>
                <w:rFonts w:ascii="Arial Narrow" w:hAnsi="Arial Narrow" w:cs="Arial"/>
                <w:sz w:val="24"/>
                <w:szCs w:val="24"/>
                <w:lang w:val="en-GB"/>
              </w:rPr>
              <w:t xml:space="preserve"> are objections that can be cured by leading </w:t>
            </w:r>
            <w:r w:rsidR="00307031">
              <w:rPr>
                <w:rFonts w:ascii="Arial Narrow" w:hAnsi="Arial Narrow" w:cs="Arial"/>
                <w:sz w:val="24"/>
                <w:szCs w:val="24"/>
                <w:lang w:val="en-GB"/>
              </w:rPr>
              <w:lastRenderedPageBreak/>
              <w:t>evidence during trial. To require the plaintiff to plead more than what is necessary will ultimately result in pleading evidence, which is not allowed</w:t>
            </w:r>
            <w:r w:rsidR="00F54FA2">
              <w:rPr>
                <w:rFonts w:ascii="Arial Narrow" w:hAnsi="Arial Narrow" w:cs="Arial"/>
                <w:sz w:val="24"/>
                <w:szCs w:val="24"/>
                <w:lang w:val="en-GB"/>
              </w:rPr>
              <w:t xml:space="preserve"> by our courts</w:t>
            </w:r>
            <w:r w:rsidR="00307031">
              <w:rPr>
                <w:rFonts w:ascii="Arial Narrow" w:hAnsi="Arial Narrow" w:cs="Arial"/>
                <w:sz w:val="24"/>
                <w:szCs w:val="24"/>
                <w:lang w:val="en-GB"/>
              </w:rPr>
              <w:t>. What is required is for the plaintiff to plead</w:t>
            </w:r>
            <w:r w:rsidR="00307031" w:rsidRPr="00307031">
              <w:rPr>
                <w:rFonts w:ascii="Arial" w:hAnsi="Arial" w:cs="Arial"/>
                <w:lang w:val="en-GB"/>
              </w:rPr>
              <w:t xml:space="preserve"> </w:t>
            </w:r>
            <w:r w:rsidR="00307031" w:rsidRPr="00307031">
              <w:rPr>
                <w:rFonts w:ascii="Arial Narrow" w:hAnsi="Arial Narrow" w:cs="Arial"/>
                <w:i/>
                <w:sz w:val="24"/>
                <w:szCs w:val="24"/>
                <w:lang w:val="en-GB"/>
              </w:rPr>
              <w:t>facta probanda</w:t>
            </w:r>
            <w:r w:rsidR="00F54FA2">
              <w:rPr>
                <w:rFonts w:ascii="Arial Narrow" w:hAnsi="Arial Narrow" w:cs="Arial"/>
                <w:sz w:val="24"/>
                <w:szCs w:val="24"/>
                <w:lang w:val="en-GB"/>
              </w:rPr>
              <w:t>, which I am satisfied the plaintiff has done</w:t>
            </w:r>
            <w:r w:rsidR="00307031">
              <w:rPr>
                <w:rFonts w:ascii="Arial Narrow" w:hAnsi="Arial Narrow" w:cs="Arial"/>
                <w:sz w:val="24"/>
                <w:szCs w:val="24"/>
                <w:lang w:val="en-GB"/>
              </w:rPr>
              <w:t>.</w:t>
            </w:r>
            <w:r w:rsidR="007D0247">
              <w:rPr>
                <w:rFonts w:ascii="Arial Narrow" w:hAnsi="Arial Narrow" w:cs="Arial"/>
                <w:sz w:val="24"/>
                <w:szCs w:val="24"/>
                <w:lang w:val="en-GB"/>
              </w:rPr>
              <w:t xml:space="preserve"> Should the court refuse the </w:t>
            </w:r>
            <w:r w:rsidR="00146D0C">
              <w:rPr>
                <w:rFonts w:ascii="Arial Narrow" w:hAnsi="Arial Narrow" w:cs="Arial"/>
                <w:sz w:val="24"/>
                <w:szCs w:val="24"/>
                <w:lang w:val="en-GB"/>
              </w:rPr>
              <w:t>application</w:t>
            </w:r>
            <w:r w:rsidR="00307031">
              <w:rPr>
                <w:rFonts w:ascii="Arial Narrow" w:hAnsi="Arial Narrow" w:cs="Arial"/>
                <w:sz w:val="24"/>
                <w:szCs w:val="24"/>
                <w:lang w:val="en-GB"/>
              </w:rPr>
              <w:t xml:space="preserve"> for amendment</w:t>
            </w:r>
            <w:r w:rsidR="007D0247">
              <w:rPr>
                <w:rFonts w:ascii="Arial Narrow" w:hAnsi="Arial Narrow" w:cs="Arial"/>
                <w:sz w:val="24"/>
                <w:szCs w:val="24"/>
                <w:lang w:val="en-GB"/>
              </w:rPr>
              <w:t xml:space="preserve"> it will effective</w:t>
            </w:r>
            <w:r w:rsidR="00D31398">
              <w:rPr>
                <w:rFonts w:ascii="Arial Narrow" w:hAnsi="Arial Narrow" w:cs="Arial"/>
                <w:sz w:val="24"/>
                <w:szCs w:val="24"/>
                <w:lang w:val="en-GB"/>
              </w:rPr>
              <w:t>ly</w:t>
            </w:r>
            <w:r w:rsidR="007D0247">
              <w:rPr>
                <w:rFonts w:ascii="Arial Narrow" w:hAnsi="Arial Narrow" w:cs="Arial"/>
                <w:sz w:val="24"/>
                <w:szCs w:val="24"/>
                <w:lang w:val="en-GB"/>
              </w:rPr>
              <w:t xml:space="preserve"> close the doors of court </w:t>
            </w:r>
            <w:r w:rsidR="00307031">
              <w:rPr>
                <w:rFonts w:ascii="Arial Narrow" w:hAnsi="Arial Narrow" w:cs="Arial"/>
                <w:sz w:val="24"/>
                <w:szCs w:val="24"/>
                <w:lang w:val="en-GB"/>
              </w:rPr>
              <w:t>to the plaintiff to putt proper facts before court and for</w:t>
            </w:r>
            <w:r w:rsidR="007D0247">
              <w:rPr>
                <w:rFonts w:ascii="Arial Narrow" w:hAnsi="Arial Narrow" w:cs="Arial"/>
                <w:sz w:val="24"/>
                <w:szCs w:val="24"/>
                <w:lang w:val="en-GB"/>
              </w:rPr>
              <w:t xml:space="preserve"> </w:t>
            </w:r>
            <w:r w:rsidR="00307031">
              <w:rPr>
                <w:rFonts w:ascii="Arial Narrow" w:hAnsi="Arial Narrow" w:cs="Arial"/>
                <w:sz w:val="24"/>
                <w:szCs w:val="24"/>
                <w:lang w:val="en-GB"/>
              </w:rPr>
              <w:t xml:space="preserve">real issues between the parties to be </w:t>
            </w:r>
            <w:r w:rsidR="005662B6">
              <w:rPr>
                <w:rFonts w:ascii="Arial Narrow" w:hAnsi="Arial Narrow" w:cs="Arial"/>
                <w:sz w:val="24"/>
                <w:szCs w:val="24"/>
                <w:lang w:val="en-GB"/>
              </w:rPr>
              <w:t>established</w:t>
            </w:r>
            <w:r w:rsidR="00F54FA2">
              <w:rPr>
                <w:rFonts w:ascii="Arial Narrow" w:hAnsi="Arial Narrow" w:cs="Arial"/>
                <w:sz w:val="24"/>
                <w:szCs w:val="24"/>
                <w:lang w:val="en-GB"/>
              </w:rPr>
              <w:t xml:space="preserve"> and resolved</w:t>
            </w:r>
            <w:r w:rsidR="005662B6">
              <w:rPr>
                <w:rFonts w:ascii="Arial Narrow" w:hAnsi="Arial Narrow" w:cs="Arial"/>
                <w:sz w:val="24"/>
                <w:szCs w:val="24"/>
                <w:lang w:val="en-GB"/>
              </w:rPr>
              <w:t xml:space="preserve">. </w:t>
            </w:r>
            <w:r w:rsidR="00307031">
              <w:rPr>
                <w:rFonts w:ascii="Arial Narrow" w:hAnsi="Arial Narrow" w:cs="Arial"/>
                <w:sz w:val="24"/>
                <w:szCs w:val="24"/>
                <w:lang w:val="en-GB"/>
              </w:rPr>
              <w:t xml:space="preserve"> </w:t>
            </w:r>
            <w:r w:rsidR="007D0247" w:rsidRPr="002072DD">
              <w:rPr>
                <w:rFonts w:ascii="Arial Narrow" w:hAnsi="Arial Narrow" w:cs="Arial"/>
                <w:sz w:val="24"/>
                <w:szCs w:val="24"/>
              </w:rPr>
              <w:t xml:space="preserve">    </w:t>
            </w:r>
          </w:p>
          <w:p w:rsidR="007D0247" w:rsidRDefault="007D0247" w:rsidP="007D0247">
            <w:pPr>
              <w:spacing w:line="360" w:lineRule="auto"/>
              <w:jc w:val="both"/>
              <w:rPr>
                <w:rFonts w:ascii="Arial Narrow" w:eastAsia="Times New Roman" w:hAnsi="Arial Narrow" w:cs="Arial"/>
                <w:color w:val="0D0D0D" w:themeColor="text1" w:themeTint="F2"/>
                <w:sz w:val="24"/>
                <w:szCs w:val="24"/>
                <w:lang w:val="en-US"/>
              </w:rPr>
            </w:pPr>
            <w:r w:rsidRPr="009840E3">
              <w:rPr>
                <w:rFonts w:ascii="Arial Narrow" w:eastAsia="Times New Roman" w:hAnsi="Arial Narrow" w:cs="Arial"/>
                <w:color w:val="0D0D0D" w:themeColor="text1" w:themeTint="F2"/>
                <w:sz w:val="24"/>
                <w:szCs w:val="24"/>
                <w:lang w:val="en-US"/>
              </w:rPr>
              <w:t xml:space="preserve"> </w:t>
            </w:r>
          </w:p>
          <w:p w:rsidR="007D0247" w:rsidRDefault="007D0247" w:rsidP="007D0247">
            <w:pPr>
              <w:spacing w:line="360" w:lineRule="auto"/>
              <w:jc w:val="both"/>
              <w:rPr>
                <w:rFonts w:ascii="Arial Narrow" w:eastAsia="Times New Roman" w:hAnsi="Arial Narrow" w:cs="Arial"/>
                <w:color w:val="0D0D0D" w:themeColor="text1" w:themeTint="F2"/>
                <w:sz w:val="24"/>
                <w:szCs w:val="24"/>
                <w:lang w:val="en-US"/>
              </w:rPr>
            </w:pPr>
            <w:r w:rsidRPr="009840E3">
              <w:rPr>
                <w:rFonts w:ascii="Arial Narrow" w:eastAsia="Times New Roman" w:hAnsi="Arial Narrow" w:cs="Arial"/>
                <w:color w:val="0D0D0D" w:themeColor="text1" w:themeTint="F2"/>
                <w:sz w:val="24"/>
                <w:szCs w:val="24"/>
                <w:lang w:val="en-US"/>
              </w:rPr>
              <w:t>[2</w:t>
            </w:r>
            <w:r w:rsidR="00F54FA2">
              <w:rPr>
                <w:rFonts w:ascii="Arial Narrow" w:eastAsia="Times New Roman" w:hAnsi="Arial Narrow" w:cs="Arial"/>
                <w:color w:val="0D0D0D" w:themeColor="text1" w:themeTint="F2"/>
                <w:sz w:val="24"/>
                <w:szCs w:val="24"/>
                <w:lang w:val="en-US"/>
              </w:rPr>
              <w:t>5</w:t>
            </w:r>
            <w:r w:rsidR="00CB60EB">
              <w:rPr>
                <w:rFonts w:ascii="Arial Narrow" w:eastAsia="Times New Roman" w:hAnsi="Arial Narrow" w:cs="Arial"/>
                <w:color w:val="0D0D0D" w:themeColor="text1" w:themeTint="F2"/>
                <w:sz w:val="24"/>
                <w:szCs w:val="24"/>
                <w:lang w:val="en-US"/>
              </w:rPr>
              <w:t xml:space="preserve">]          </w:t>
            </w:r>
            <w:r w:rsidRPr="009840E3">
              <w:rPr>
                <w:rFonts w:ascii="Arial Narrow" w:eastAsia="Times New Roman" w:hAnsi="Arial Narrow" w:cs="Arial"/>
                <w:color w:val="0D0D0D" w:themeColor="text1" w:themeTint="F2"/>
                <w:sz w:val="24"/>
                <w:szCs w:val="24"/>
                <w:lang w:val="en-US"/>
              </w:rPr>
              <w:t>This court must make an order that meets the justice of the case and having rega</w:t>
            </w:r>
            <w:r w:rsidR="002E6A69">
              <w:rPr>
                <w:rFonts w:ascii="Arial Narrow" w:eastAsia="Times New Roman" w:hAnsi="Arial Narrow" w:cs="Arial"/>
                <w:color w:val="0D0D0D" w:themeColor="text1" w:themeTint="F2"/>
                <w:sz w:val="24"/>
                <w:szCs w:val="24"/>
                <w:lang w:val="en-US"/>
              </w:rPr>
              <w:t>rd to the submissions made by Adv Totemeyer</w:t>
            </w:r>
            <w:r w:rsidRPr="009840E3">
              <w:rPr>
                <w:rFonts w:ascii="Arial Narrow" w:eastAsia="Times New Roman" w:hAnsi="Arial Narrow" w:cs="Arial"/>
                <w:color w:val="0D0D0D" w:themeColor="text1" w:themeTint="F2"/>
                <w:sz w:val="24"/>
                <w:szCs w:val="24"/>
                <w:lang w:val="en-US"/>
              </w:rPr>
              <w:t xml:space="preserve">, the court is of the view that this is a case where the court will </w:t>
            </w:r>
            <w:r w:rsidR="002E6A69">
              <w:rPr>
                <w:rFonts w:ascii="Arial Narrow" w:eastAsia="Times New Roman" w:hAnsi="Arial Narrow" w:cs="Arial"/>
                <w:color w:val="0D0D0D" w:themeColor="text1" w:themeTint="F2"/>
                <w:sz w:val="24"/>
                <w:szCs w:val="24"/>
                <w:lang w:val="en-US"/>
              </w:rPr>
              <w:t xml:space="preserve">allow the plaintiff to amend its amended particulars of claim as the application is made bona fide </w:t>
            </w:r>
            <w:r w:rsidR="0052245E">
              <w:rPr>
                <w:rFonts w:ascii="Arial Narrow" w:eastAsia="Times New Roman" w:hAnsi="Arial Narrow" w:cs="Arial"/>
                <w:color w:val="0D0D0D" w:themeColor="text1" w:themeTint="F2"/>
                <w:sz w:val="24"/>
                <w:szCs w:val="24"/>
                <w:lang w:val="en-US"/>
              </w:rPr>
              <w:t xml:space="preserve">and that </w:t>
            </w:r>
            <w:r w:rsidR="002E6A69">
              <w:rPr>
                <w:rFonts w:ascii="Arial Narrow" w:eastAsia="Times New Roman" w:hAnsi="Arial Narrow" w:cs="Arial"/>
                <w:color w:val="0D0D0D" w:themeColor="text1" w:themeTint="F2"/>
                <w:sz w:val="24"/>
                <w:szCs w:val="24"/>
                <w:lang w:val="en-US"/>
              </w:rPr>
              <w:t xml:space="preserve">no injustice will be occasioned by the first defendant as the latter can either admit, deny or confess and avoid any allegations advanced in the amended particulars of </w:t>
            </w:r>
            <w:r w:rsidR="0052245E">
              <w:rPr>
                <w:rFonts w:ascii="Arial Narrow" w:eastAsia="Times New Roman" w:hAnsi="Arial Narrow" w:cs="Arial"/>
                <w:color w:val="0D0D0D" w:themeColor="text1" w:themeTint="F2"/>
                <w:sz w:val="24"/>
                <w:szCs w:val="24"/>
                <w:lang w:val="en-US"/>
              </w:rPr>
              <w:t>claim</w:t>
            </w:r>
            <w:r w:rsidRPr="009840E3">
              <w:rPr>
                <w:rFonts w:ascii="Arial Narrow" w:eastAsia="Times New Roman" w:hAnsi="Arial Narrow" w:cs="Arial"/>
                <w:color w:val="0D0D0D" w:themeColor="text1" w:themeTint="F2"/>
                <w:sz w:val="24"/>
                <w:szCs w:val="24"/>
                <w:lang w:val="en-US"/>
              </w:rPr>
              <w:t xml:space="preserve">. </w:t>
            </w:r>
          </w:p>
          <w:p w:rsidR="0023465B" w:rsidRDefault="0023465B" w:rsidP="007D0247">
            <w:pPr>
              <w:spacing w:line="360" w:lineRule="auto"/>
              <w:jc w:val="both"/>
              <w:rPr>
                <w:rFonts w:ascii="Arial Narrow" w:eastAsia="Times New Roman" w:hAnsi="Arial Narrow" w:cs="Arial"/>
                <w:color w:val="0D0D0D" w:themeColor="text1" w:themeTint="F2"/>
                <w:sz w:val="24"/>
                <w:szCs w:val="24"/>
                <w:lang w:val="en-US"/>
              </w:rPr>
            </w:pPr>
          </w:p>
          <w:p w:rsidR="0023465B" w:rsidRPr="009840E3" w:rsidRDefault="0023465B" w:rsidP="007D0247">
            <w:pPr>
              <w:spacing w:line="360" w:lineRule="auto"/>
              <w:jc w:val="both"/>
              <w:rPr>
                <w:rFonts w:ascii="Arial Narrow" w:eastAsia="Times New Roman" w:hAnsi="Arial Narrow" w:cs="Arial"/>
                <w:color w:val="0D0D0D" w:themeColor="text1" w:themeTint="F2"/>
                <w:sz w:val="24"/>
                <w:szCs w:val="24"/>
                <w:lang w:val="en-US"/>
              </w:rPr>
            </w:pPr>
            <w:r>
              <w:rPr>
                <w:rFonts w:ascii="Arial Narrow" w:eastAsia="Times New Roman" w:hAnsi="Arial Narrow" w:cs="Arial"/>
                <w:color w:val="0D0D0D" w:themeColor="text1" w:themeTint="F2"/>
                <w:sz w:val="24"/>
                <w:szCs w:val="24"/>
                <w:lang w:val="en-US"/>
              </w:rPr>
              <w:t xml:space="preserve">[26]          As to the issue of costs I see no reason why the court should deviate from awarding costs capped in terms of Rule 32 (11) as no special circumstances were raised for me to rule otherwise.  </w:t>
            </w:r>
          </w:p>
          <w:p w:rsidR="007D0247" w:rsidRPr="009840E3" w:rsidRDefault="007D0247" w:rsidP="007D0247">
            <w:pPr>
              <w:spacing w:line="360" w:lineRule="auto"/>
              <w:jc w:val="both"/>
              <w:rPr>
                <w:rFonts w:ascii="Arial Narrow" w:eastAsia="Times New Roman" w:hAnsi="Arial Narrow" w:cs="Arial"/>
                <w:color w:val="0D0D0D" w:themeColor="text1" w:themeTint="F2"/>
                <w:sz w:val="24"/>
                <w:szCs w:val="24"/>
                <w:lang w:val="en-US"/>
              </w:rPr>
            </w:pPr>
          </w:p>
          <w:p w:rsidR="007D0247" w:rsidRPr="00FC617F" w:rsidRDefault="00ED4A09" w:rsidP="007D0247">
            <w:pPr>
              <w:spacing w:line="360" w:lineRule="auto"/>
              <w:jc w:val="both"/>
              <w:rPr>
                <w:rFonts w:ascii="Arial Narrow" w:hAnsi="Arial Narrow" w:cs="Arial"/>
                <w:sz w:val="24"/>
                <w:szCs w:val="24"/>
                <w:lang w:val="en-US"/>
              </w:rPr>
            </w:pPr>
            <w:r>
              <w:rPr>
                <w:rFonts w:ascii="Arial Narrow" w:hAnsi="Arial Narrow" w:cs="Arial"/>
                <w:sz w:val="24"/>
                <w:szCs w:val="24"/>
                <w:lang w:val="en-US"/>
              </w:rPr>
              <w:t>[27</w:t>
            </w:r>
            <w:r w:rsidR="00CB60EB">
              <w:rPr>
                <w:rFonts w:ascii="Arial Narrow" w:hAnsi="Arial Narrow" w:cs="Arial"/>
                <w:sz w:val="24"/>
                <w:szCs w:val="24"/>
                <w:lang w:val="en-US"/>
              </w:rPr>
              <w:t xml:space="preserve">]          </w:t>
            </w:r>
            <w:r w:rsidR="007D0247">
              <w:rPr>
                <w:rFonts w:ascii="Arial Narrow" w:hAnsi="Arial Narrow" w:cs="Arial"/>
                <w:sz w:val="24"/>
                <w:szCs w:val="24"/>
                <w:lang w:val="en-US"/>
              </w:rPr>
              <w:t xml:space="preserve">My order is therefor </w:t>
            </w:r>
            <w:r w:rsidR="00D573AB">
              <w:rPr>
                <w:rFonts w:ascii="Arial Narrow" w:hAnsi="Arial Narrow" w:cs="Arial"/>
                <w:sz w:val="24"/>
                <w:szCs w:val="24"/>
                <w:lang w:val="en-US"/>
              </w:rPr>
              <w:t>as set out</w:t>
            </w:r>
            <w:r w:rsidR="007D0247">
              <w:rPr>
                <w:rFonts w:ascii="Arial Narrow" w:hAnsi="Arial Narrow" w:cs="Arial"/>
                <w:sz w:val="24"/>
                <w:szCs w:val="24"/>
                <w:lang w:val="en-US"/>
              </w:rPr>
              <w:t xml:space="preserve"> above.</w:t>
            </w:r>
          </w:p>
          <w:p w:rsidR="008630BE" w:rsidRPr="00DE5F56" w:rsidRDefault="008630BE" w:rsidP="0004438E">
            <w:pPr>
              <w:spacing w:line="360" w:lineRule="auto"/>
              <w:jc w:val="center"/>
              <w:rPr>
                <w:rFonts w:ascii="Arial Narrow" w:hAnsi="Arial Narrow" w:cs="Arial"/>
                <w:sz w:val="24"/>
                <w:szCs w:val="24"/>
              </w:rPr>
            </w:pPr>
          </w:p>
        </w:tc>
      </w:tr>
      <w:tr w:rsidR="008630BE" w:rsidRPr="00E757E9" w:rsidTr="0004438E">
        <w:tc>
          <w:tcPr>
            <w:tcW w:w="4770" w:type="dxa"/>
          </w:tcPr>
          <w:p w:rsidR="008630BE" w:rsidRPr="00E757E9" w:rsidRDefault="008630BE" w:rsidP="00D003EB">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8630BE" w:rsidRPr="00E757E9" w:rsidRDefault="008630BE" w:rsidP="00D003EB">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8630BE" w:rsidRPr="00E757E9" w:rsidTr="0004438E">
        <w:trPr>
          <w:trHeight w:val="1114"/>
        </w:trPr>
        <w:tc>
          <w:tcPr>
            <w:tcW w:w="4770" w:type="dxa"/>
          </w:tcPr>
          <w:p w:rsidR="008630BE" w:rsidRPr="00E757E9" w:rsidRDefault="008630BE" w:rsidP="00C05591">
            <w:pPr>
              <w:jc w:val="both"/>
              <w:rPr>
                <w:rFonts w:ascii="Arial Narrow" w:hAnsi="Arial Narrow" w:cs="Arial"/>
                <w:sz w:val="24"/>
                <w:szCs w:val="24"/>
              </w:rPr>
            </w:pPr>
          </w:p>
          <w:p w:rsidR="008630BE" w:rsidRDefault="008630BE" w:rsidP="00C05591">
            <w:pPr>
              <w:jc w:val="both"/>
              <w:rPr>
                <w:rFonts w:ascii="Arial Narrow" w:hAnsi="Arial Narrow" w:cs="Arial"/>
                <w:sz w:val="24"/>
                <w:szCs w:val="24"/>
              </w:rPr>
            </w:pPr>
          </w:p>
          <w:p w:rsidR="00AE0155" w:rsidRDefault="00AE0155" w:rsidP="00C05591">
            <w:pPr>
              <w:jc w:val="both"/>
              <w:rPr>
                <w:rFonts w:ascii="Arial Narrow" w:hAnsi="Arial Narrow" w:cs="Arial"/>
                <w:sz w:val="24"/>
                <w:szCs w:val="24"/>
              </w:rPr>
            </w:pPr>
          </w:p>
          <w:p w:rsidR="008630BE" w:rsidRPr="00E757E9" w:rsidRDefault="008630BE" w:rsidP="00C05591">
            <w:pPr>
              <w:jc w:val="both"/>
              <w:rPr>
                <w:rFonts w:ascii="Arial Narrow" w:hAnsi="Arial Narrow" w:cs="Arial"/>
                <w:sz w:val="24"/>
                <w:szCs w:val="24"/>
              </w:rPr>
            </w:pPr>
          </w:p>
        </w:tc>
        <w:tc>
          <w:tcPr>
            <w:tcW w:w="4950" w:type="dxa"/>
            <w:gridSpan w:val="2"/>
          </w:tcPr>
          <w:p w:rsidR="008630BE" w:rsidRPr="00E757E9" w:rsidRDefault="008630BE" w:rsidP="00C05591">
            <w:pPr>
              <w:jc w:val="both"/>
              <w:rPr>
                <w:rFonts w:ascii="Arial Narrow" w:hAnsi="Arial Narrow" w:cs="Arial"/>
                <w:sz w:val="24"/>
                <w:szCs w:val="24"/>
              </w:rPr>
            </w:pPr>
            <w:r w:rsidRPr="00E757E9">
              <w:rPr>
                <w:rFonts w:ascii="Arial Narrow" w:hAnsi="Arial Narrow" w:cs="Arial"/>
                <w:sz w:val="24"/>
                <w:szCs w:val="24"/>
              </w:rPr>
              <w:t>Not applicable.</w:t>
            </w:r>
          </w:p>
        </w:tc>
      </w:tr>
      <w:tr w:rsidR="008630BE" w:rsidRPr="00E757E9" w:rsidTr="0004438E">
        <w:tc>
          <w:tcPr>
            <w:tcW w:w="9720" w:type="dxa"/>
            <w:gridSpan w:val="3"/>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8630BE" w:rsidRPr="00E757E9" w:rsidTr="0004438E">
        <w:tc>
          <w:tcPr>
            <w:tcW w:w="4770" w:type="dxa"/>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Applicant</w:t>
            </w:r>
          </w:p>
        </w:tc>
        <w:tc>
          <w:tcPr>
            <w:tcW w:w="4950" w:type="dxa"/>
            <w:gridSpan w:val="2"/>
          </w:tcPr>
          <w:p w:rsidR="008630BE" w:rsidRPr="00E757E9" w:rsidRDefault="008630BE" w:rsidP="00541FB4">
            <w:pPr>
              <w:spacing w:line="360" w:lineRule="auto"/>
              <w:jc w:val="center"/>
              <w:rPr>
                <w:rFonts w:ascii="Arial Narrow" w:hAnsi="Arial Narrow" w:cs="Arial"/>
                <w:b/>
                <w:sz w:val="24"/>
                <w:szCs w:val="24"/>
              </w:rPr>
            </w:pPr>
            <w:r w:rsidRPr="00E757E9">
              <w:rPr>
                <w:rFonts w:ascii="Arial Narrow" w:hAnsi="Arial Narrow" w:cs="Arial"/>
                <w:b/>
                <w:sz w:val="24"/>
                <w:szCs w:val="24"/>
              </w:rPr>
              <w:t>Respondent</w:t>
            </w:r>
          </w:p>
        </w:tc>
      </w:tr>
      <w:tr w:rsidR="008630BE" w:rsidRPr="00E757E9" w:rsidTr="00190A12">
        <w:trPr>
          <w:trHeight w:val="895"/>
        </w:trPr>
        <w:tc>
          <w:tcPr>
            <w:tcW w:w="4770" w:type="dxa"/>
          </w:tcPr>
          <w:p w:rsidR="008630BE" w:rsidRPr="00D5067A" w:rsidRDefault="00331B22" w:rsidP="00C05591">
            <w:pPr>
              <w:jc w:val="center"/>
              <w:rPr>
                <w:rFonts w:ascii="Arial Narrow" w:hAnsi="Arial Narrow" w:cs="Arial"/>
                <w:sz w:val="24"/>
                <w:szCs w:val="24"/>
              </w:rPr>
            </w:pPr>
            <w:r>
              <w:rPr>
                <w:rFonts w:ascii="Arial Narrow" w:hAnsi="Arial Narrow" w:cs="Arial"/>
                <w:sz w:val="24"/>
                <w:szCs w:val="24"/>
              </w:rPr>
              <w:t>Adv Totemeyer</w:t>
            </w:r>
          </w:p>
          <w:p w:rsidR="008630BE" w:rsidRPr="00D5067A" w:rsidRDefault="00331B22" w:rsidP="00C05591">
            <w:pPr>
              <w:jc w:val="center"/>
              <w:rPr>
                <w:rFonts w:ascii="Arial Narrow" w:hAnsi="Arial Narrow" w:cs="Arial"/>
                <w:sz w:val="24"/>
                <w:szCs w:val="24"/>
              </w:rPr>
            </w:pPr>
            <w:r>
              <w:rPr>
                <w:rFonts w:ascii="Arial Narrow" w:hAnsi="Arial Narrow" w:cs="Arial"/>
                <w:sz w:val="24"/>
                <w:szCs w:val="24"/>
              </w:rPr>
              <w:t xml:space="preserve">Instructed by </w:t>
            </w:r>
            <w:r w:rsidR="008630BE" w:rsidRPr="00D5067A">
              <w:rPr>
                <w:rFonts w:ascii="Arial Narrow" w:hAnsi="Arial Narrow" w:cs="Arial"/>
                <w:sz w:val="24"/>
                <w:szCs w:val="24"/>
              </w:rPr>
              <w:t xml:space="preserve"> </w:t>
            </w:r>
          </w:p>
          <w:p w:rsidR="008630BE" w:rsidRPr="00E757E9" w:rsidRDefault="00331B22" w:rsidP="00C05591">
            <w:pPr>
              <w:jc w:val="center"/>
              <w:rPr>
                <w:rFonts w:ascii="Arial Narrow" w:hAnsi="Arial Narrow" w:cs="Arial"/>
                <w:sz w:val="24"/>
                <w:szCs w:val="24"/>
              </w:rPr>
            </w:pPr>
            <w:r>
              <w:rPr>
                <w:rFonts w:ascii="Arial Narrow" w:hAnsi="Arial Narrow" w:cs="Arial"/>
                <w:sz w:val="24"/>
                <w:szCs w:val="24"/>
              </w:rPr>
              <w:t>Dr Weder, Kauta &amp; Hoveka Inc.</w:t>
            </w:r>
          </w:p>
        </w:tc>
        <w:tc>
          <w:tcPr>
            <w:tcW w:w="4950" w:type="dxa"/>
            <w:gridSpan w:val="2"/>
          </w:tcPr>
          <w:p w:rsidR="008630BE" w:rsidRPr="00D5067A" w:rsidRDefault="00331B22" w:rsidP="00C05591">
            <w:pPr>
              <w:jc w:val="center"/>
              <w:rPr>
                <w:rFonts w:ascii="Arial Narrow" w:hAnsi="Arial Narrow" w:cs="Arial"/>
                <w:sz w:val="24"/>
                <w:szCs w:val="24"/>
              </w:rPr>
            </w:pPr>
            <w:r>
              <w:rPr>
                <w:rFonts w:ascii="Arial Narrow" w:hAnsi="Arial Narrow" w:cs="Arial"/>
                <w:sz w:val="24"/>
                <w:szCs w:val="24"/>
              </w:rPr>
              <w:t>Mr A Vaatz</w:t>
            </w:r>
          </w:p>
          <w:p w:rsidR="008630BE" w:rsidRPr="00D5067A" w:rsidRDefault="008630BE" w:rsidP="00C05591">
            <w:pPr>
              <w:jc w:val="center"/>
              <w:rPr>
                <w:rFonts w:ascii="Arial Narrow" w:hAnsi="Arial Narrow" w:cs="Arial"/>
                <w:sz w:val="24"/>
                <w:szCs w:val="24"/>
              </w:rPr>
            </w:pPr>
            <w:r w:rsidRPr="00D5067A">
              <w:rPr>
                <w:rFonts w:ascii="Arial Narrow" w:hAnsi="Arial Narrow" w:cs="Arial"/>
                <w:sz w:val="24"/>
                <w:szCs w:val="24"/>
              </w:rPr>
              <w:t xml:space="preserve">Of </w:t>
            </w:r>
          </w:p>
          <w:p w:rsidR="008630BE" w:rsidRPr="00E757E9" w:rsidRDefault="00331B22" w:rsidP="00C05591">
            <w:pPr>
              <w:jc w:val="center"/>
              <w:rPr>
                <w:rFonts w:ascii="Arial Narrow" w:hAnsi="Arial Narrow" w:cs="Arial"/>
                <w:sz w:val="24"/>
                <w:szCs w:val="24"/>
              </w:rPr>
            </w:pPr>
            <w:r>
              <w:rPr>
                <w:rFonts w:ascii="Arial Narrow" w:hAnsi="Arial Narrow" w:cs="Arial"/>
                <w:sz w:val="24"/>
                <w:szCs w:val="24"/>
              </w:rPr>
              <w:t>Andreas Vaatz &amp; Partners</w:t>
            </w:r>
          </w:p>
        </w:tc>
      </w:tr>
    </w:tbl>
    <w:p w:rsidR="008630BE" w:rsidRPr="00E757E9" w:rsidRDefault="008630BE" w:rsidP="008630BE">
      <w:pPr>
        <w:spacing w:after="0" w:line="360" w:lineRule="auto"/>
        <w:jc w:val="both"/>
        <w:rPr>
          <w:rFonts w:ascii="Arial Narrow" w:hAnsi="Arial Narrow"/>
          <w:sz w:val="24"/>
          <w:szCs w:val="24"/>
        </w:rPr>
      </w:pPr>
    </w:p>
    <w:sectPr w:rsidR="008630BE" w:rsidRPr="00E757E9" w:rsidSect="00290A38">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4F" w:rsidRDefault="000A204F" w:rsidP="008630BE">
      <w:pPr>
        <w:spacing w:after="0" w:line="240" w:lineRule="auto"/>
      </w:pPr>
      <w:r>
        <w:separator/>
      </w:r>
    </w:p>
  </w:endnote>
  <w:endnote w:type="continuationSeparator" w:id="0">
    <w:p w:rsidR="000A204F" w:rsidRDefault="000A204F" w:rsidP="0086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5" w:rsidRDefault="00E17E65">
    <w:pPr>
      <w:pStyle w:val="Footer"/>
      <w:jc w:val="right"/>
    </w:pPr>
  </w:p>
  <w:p w:rsidR="00E17E65" w:rsidRDefault="00E17E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4F" w:rsidRDefault="000A204F" w:rsidP="008630BE">
      <w:pPr>
        <w:spacing w:after="0" w:line="240" w:lineRule="auto"/>
      </w:pPr>
      <w:r>
        <w:separator/>
      </w:r>
    </w:p>
  </w:footnote>
  <w:footnote w:type="continuationSeparator" w:id="0">
    <w:p w:rsidR="000A204F" w:rsidRDefault="000A204F" w:rsidP="008630BE">
      <w:pPr>
        <w:spacing w:after="0" w:line="240" w:lineRule="auto"/>
      </w:pPr>
      <w:r>
        <w:continuationSeparator/>
      </w:r>
    </w:p>
  </w:footnote>
  <w:footnote w:id="1">
    <w:p w:rsidR="00E17E65" w:rsidRPr="00EB724B" w:rsidRDefault="00E17E65" w:rsidP="008630BE">
      <w:pPr>
        <w:pStyle w:val="FootnoteText"/>
        <w:rPr>
          <w:rFonts w:ascii="Arial Narrow" w:hAnsi="Arial Narrow"/>
          <w:lang w:val="af-ZA"/>
        </w:rPr>
      </w:pPr>
      <w:r w:rsidRPr="00EB724B">
        <w:rPr>
          <w:rStyle w:val="FootnoteReference"/>
          <w:rFonts w:ascii="Arial Narrow" w:hAnsi="Arial Narrow"/>
        </w:rPr>
        <w:footnoteRef/>
      </w:r>
      <w:r w:rsidRPr="00EB724B">
        <w:rPr>
          <w:rFonts w:ascii="Arial Narrow" w:hAnsi="Arial Narrow"/>
        </w:rPr>
        <w:t xml:space="preserve"> </w:t>
      </w:r>
      <w:r w:rsidRPr="00EB724B">
        <w:rPr>
          <w:rFonts w:ascii="Arial Narrow" w:hAnsi="Arial Narrow"/>
          <w:lang w:val="af-ZA"/>
        </w:rPr>
        <w:t>Parties are referred to as they are in the main action.</w:t>
      </w:r>
    </w:p>
  </w:footnote>
  <w:footnote w:id="2">
    <w:p w:rsidR="00E17E65" w:rsidRPr="00EB724B" w:rsidRDefault="00E17E65">
      <w:pPr>
        <w:pStyle w:val="FootnoteText"/>
        <w:rPr>
          <w:rFonts w:ascii="Arial Narrow" w:hAnsi="Arial Narrow"/>
          <w:lang w:val="en-US"/>
        </w:rPr>
      </w:pPr>
      <w:r w:rsidRPr="00EB724B">
        <w:rPr>
          <w:rStyle w:val="FootnoteReference"/>
          <w:rFonts w:ascii="Arial Narrow" w:hAnsi="Arial Narrow"/>
        </w:rPr>
        <w:footnoteRef/>
      </w:r>
      <w:r w:rsidRPr="00EB724B">
        <w:rPr>
          <w:rFonts w:ascii="Arial Narrow" w:hAnsi="Arial Narrow"/>
        </w:rPr>
        <w:t xml:space="preserve"> </w:t>
      </w:r>
      <w:r w:rsidRPr="00EB724B">
        <w:rPr>
          <w:rFonts w:ascii="Arial Narrow" w:hAnsi="Arial Narrow"/>
          <w:lang w:val="en-US"/>
        </w:rPr>
        <w:t>Annexure OD1-OD8</w:t>
      </w:r>
      <w:r w:rsidR="002E0E05" w:rsidRPr="00EB724B">
        <w:rPr>
          <w:rFonts w:ascii="Arial Narrow" w:hAnsi="Arial Narrow"/>
          <w:lang w:val="en-US"/>
        </w:rPr>
        <w:t xml:space="preserve"> to the proposed amended particulars of claim</w:t>
      </w:r>
      <w:r w:rsidRPr="00EB724B">
        <w:rPr>
          <w:rFonts w:ascii="Arial Narrow" w:hAnsi="Arial Narrow"/>
          <w:lang w:val="en-US"/>
        </w:rPr>
        <w:t>.</w:t>
      </w:r>
    </w:p>
  </w:footnote>
  <w:footnote w:id="3">
    <w:p w:rsidR="00E17E65" w:rsidRPr="00EB724B" w:rsidRDefault="00E17E65" w:rsidP="008630BE">
      <w:pPr>
        <w:pStyle w:val="FootnoteText"/>
        <w:rPr>
          <w:rFonts w:ascii="Arial Narrow" w:hAnsi="Arial Narrow"/>
          <w:i/>
          <w:lang w:val="en-US"/>
        </w:rPr>
      </w:pPr>
      <w:r w:rsidRPr="00EB724B">
        <w:rPr>
          <w:rStyle w:val="FootnoteReference"/>
          <w:rFonts w:ascii="Arial Narrow" w:hAnsi="Arial Narrow"/>
        </w:rPr>
        <w:footnoteRef/>
      </w:r>
      <w:r w:rsidRPr="00EB724B">
        <w:rPr>
          <w:rFonts w:ascii="Arial Narrow" w:hAnsi="Arial Narrow"/>
        </w:rPr>
        <w:t xml:space="preserve"> (SA 33-2010) [2013] NASC 11 (19 August 2013). See also </w:t>
      </w:r>
      <w:r w:rsidRPr="00EB724B">
        <w:rPr>
          <w:rFonts w:ascii="Arial Narrow" w:hAnsi="Arial Narrow"/>
          <w:i/>
        </w:rPr>
        <w:t xml:space="preserve">I A Bell Equipment Company (Namibia) (Pty) Ltd v Roadstone Quarries CC </w:t>
      </w:r>
      <w:r w:rsidRPr="00EB724B">
        <w:rPr>
          <w:rFonts w:ascii="Arial Narrow" w:hAnsi="Arial Narrow"/>
        </w:rPr>
        <w:t>(I 601-2013 &amp; I 4084 [2014] NAHCMD 306 (17 October 2014).</w:t>
      </w:r>
    </w:p>
  </w:footnote>
  <w:footnote w:id="4">
    <w:p w:rsidR="00E17E65" w:rsidRPr="00EB724B" w:rsidRDefault="00E17E65">
      <w:pPr>
        <w:pStyle w:val="FootnoteText"/>
        <w:rPr>
          <w:rFonts w:ascii="Arial Narrow" w:hAnsi="Arial Narrow"/>
          <w:lang w:val="en-US"/>
        </w:rPr>
      </w:pPr>
      <w:r w:rsidRPr="00EB724B">
        <w:rPr>
          <w:rStyle w:val="FootnoteReference"/>
          <w:rFonts w:ascii="Arial Narrow" w:hAnsi="Arial Narrow"/>
        </w:rPr>
        <w:footnoteRef/>
      </w:r>
      <w:r w:rsidRPr="00EB724B">
        <w:rPr>
          <w:rFonts w:ascii="Arial Narrow" w:hAnsi="Arial Narrow"/>
        </w:rPr>
        <w:t xml:space="preserve"> </w:t>
      </w:r>
      <w:r w:rsidR="00D120A5" w:rsidRPr="00EB724B">
        <w:rPr>
          <w:rFonts w:ascii="Arial Narrow" w:hAnsi="Arial Narrow"/>
          <w:lang w:val="en-US"/>
        </w:rPr>
        <w:t xml:space="preserve">Ibid </w:t>
      </w:r>
      <w:r w:rsidR="00AC7681">
        <w:rPr>
          <w:rFonts w:ascii="Arial Narrow" w:hAnsi="Arial Narrow"/>
          <w:lang w:val="en-US"/>
        </w:rPr>
        <w:t>foot</w:t>
      </w:r>
      <w:r w:rsidR="00D120A5" w:rsidRPr="00EB724B">
        <w:rPr>
          <w:rFonts w:ascii="Arial Narrow" w:hAnsi="Arial Narrow"/>
          <w:lang w:val="en-US"/>
        </w:rPr>
        <w:t>note 3</w:t>
      </w:r>
      <w:r w:rsidRPr="00EB724B">
        <w:rPr>
          <w:rFonts w:ascii="Arial Narrow" w:hAnsi="Arial Narrow"/>
          <w:lang w:val="en-US"/>
        </w:rPr>
        <w:t>.</w:t>
      </w:r>
    </w:p>
  </w:footnote>
  <w:footnote w:id="5">
    <w:p w:rsidR="00E17E65" w:rsidRPr="00EB724B" w:rsidRDefault="00E17E65" w:rsidP="00CF4E80">
      <w:pPr>
        <w:pStyle w:val="FootnoteText"/>
        <w:rPr>
          <w:rFonts w:ascii="Arial Narrow" w:hAnsi="Arial Narrow"/>
          <w:lang w:val="en-US"/>
        </w:rPr>
      </w:pPr>
      <w:r w:rsidRPr="00EB724B">
        <w:rPr>
          <w:rStyle w:val="FootnoteReference"/>
          <w:rFonts w:ascii="Arial Narrow" w:hAnsi="Arial Narrow"/>
        </w:rPr>
        <w:footnoteRef/>
      </w:r>
      <w:r w:rsidRPr="00EB724B">
        <w:rPr>
          <w:rFonts w:ascii="Arial Narrow" w:hAnsi="Arial Narrow"/>
        </w:rPr>
        <w:t xml:space="preserve"> </w:t>
      </w:r>
      <w:r w:rsidR="00D120A5" w:rsidRPr="00EB724B">
        <w:rPr>
          <w:rFonts w:ascii="Arial Narrow" w:hAnsi="Arial Narrow"/>
          <w:lang w:val="en-US"/>
        </w:rPr>
        <w:t xml:space="preserve">Ibid </w:t>
      </w:r>
      <w:r w:rsidR="00AC7681">
        <w:rPr>
          <w:rFonts w:ascii="Arial Narrow" w:hAnsi="Arial Narrow"/>
          <w:lang w:val="en-US"/>
        </w:rPr>
        <w:t>foot</w:t>
      </w:r>
      <w:r w:rsidR="00D120A5" w:rsidRPr="00EB724B">
        <w:rPr>
          <w:rFonts w:ascii="Arial Narrow" w:hAnsi="Arial Narrow"/>
          <w:lang w:val="en-US"/>
        </w:rPr>
        <w:t>note 3</w:t>
      </w:r>
      <w:r w:rsidRPr="00EB724B">
        <w:rPr>
          <w:rFonts w:ascii="Arial Narrow" w:hAnsi="Arial Narrow"/>
          <w:lang w:val="en-US"/>
        </w:rPr>
        <w:t>.</w:t>
      </w:r>
    </w:p>
  </w:footnote>
  <w:footnote w:id="6">
    <w:p w:rsidR="00D113E3" w:rsidRPr="00EB724B" w:rsidRDefault="00D113E3">
      <w:pPr>
        <w:pStyle w:val="FootnoteText"/>
        <w:rPr>
          <w:rFonts w:ascii="Arial Narrow" w:hAnsi="Arial Narrow"/>
          <w:lang w:val="en-US"/>
        </w:rPr>
      </w:pPr>
      <w:r w:rsidRPr="00EB724B">
        <w:rPr>
          <w:rStyle w:val="FootnoteReference"/>
          <w:rFonts w:ascii="Arial Narrow" w:hAnsi="Arial Narrow"/>
        </w:rPr>
        <w:footnoteRef/>
      </w:r>
      <w:r w:rsidRPr="00EB724B">
        <w:rPr>
          <w:rFonts w:ascii="Arial Narrow" w:hAnsi="Arial Narrow"/>
        </w:rPr>
        <w:t xml:space="preserve"> </w:t>
      </w:r>
      <w:r w:rsidR="00D1425D">
        <w:rPr>
          <w:rFonts w:ascii="Arial Narrow" w:hAnsi="Arial Narrow"/>
          <w:lang w:val="en-US"/>
        </w:rPr>
        <w:t xml:space="preserve">2014 (2) NR 517 </w:t>
      </w:r>
      <w:r w:rsidRPr="00EB724B">
        <w:rPr>
          <w:rFonts w:ascii="Arial Narrow" w:hAnsi="Arial Narrow"/>
          <w:lang w:val="en-US"/>
        </w:rPr>
        <w:t>(HC).</w:t>
      </w:r>
    </w:p>
  </w:footnote>
  <w:footnote w:id="7">
    <w:p w:rsidR="007A676B" w:rsidRPr="00EB724B" w:rsidRDefault="007A676B" w:rsidP="007A676B">
      <w:pPr>
        <w:pStyle w:val="FootnoteText"/>
        <w:rPr>
          <w:rFonts w:ascii="Arial Narrow" w:hAnsi="Arial Narrow"/>
          <w:lang w:val="en-US"/>
        </w:rPr>
      </w:pPr>
      <w:r w:rsidRPr="00EB724B">
        <w:rPr>
          <w:rStyle w:val="FootnoteReference"/>
          <w:rFonts w:ascii="Arial Narrow" w:hAnsi="Arial Narrow"/>
        </w:rPr>
        <w:footnoteRef/>
      </w:r>
      <w:r w:rsidRPr="00EB724B">
        <w:rPr>
          <w:rFonts w:ascii="Arial Narrow" w:hAnsi="Arial Narrow"/>
        </w:rPr>
        <w:t xml:space="preserve"> </w:t>
      </w:r>
      <w:r w:rsidR="00D1425D">
        <w:rPr>
          <w:rFonts w:ascii="Arial Narrow" w:hAnsi="Arial Narrow"/>
          <w:lang w:val="en-GB"/>
        </w:rPr>
        <w:t>Supra footnote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395438"/>
      <w:docPartObj>
        <w:docPartGallery w:val="Page Numbers (Top of Page)"/>
        <w:docPartUnique/>
      </w:docPartObj>
    </w:sdtPr>
    <w:sdtEndPr>
      <w:rPr>
        <w:noProof/>
      </w:rPr>
    </w:sdtEndPr>
    <w:sdtContent>
      <w:p w:rsidR="00E17E65" w:rsidRDefault="00E17E65">
        <w:pPr>
          <w:pStyle w:val="Header"/>
          <w:jc w:val="right"/>
        </w:pPr>
        <w:r>
          <w:fldChar w:fldCharType="begin"/>
        </w:r>
        <w:r>
          <w:instrText xml:space="preserve"> PAGE   \* MERGEFORMAT </w:instrText>
        </w:r>
        <w:r>
          <w:fldChar w:fldCharType="separate"/>
        </w:r>
        <w:r w:rsidR="00BB38D9">
          <w:rPr>
            <w:noProof/>
          </w:rPr>
          <w:t>2</w:t>
        </w:r>
        <w:r>
          <w:rPr>
            <w:noProof/>
          </w:rPr>
          <w:fldChar w:fldCharType="end"/>
        </w:r>
      </w:p>
    </w:sdtContent>
  </w:sdt>
  <w:p w:rsidR="00E17E65" w:rsidRDefault="00E1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7D1"/>
    <w:multiLevelType w:val="hybridMultilevel"/>
    <w:tmpl w:val="8EC4892E"/>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15:restartNumberingAfterBreak="0">
    <w:nsid w:val="3C2350F7"/>
    <w:multiLevelType w:val="hybridMultilevel"/>
    <w:tmpl w:val="99E6BB98"/>
    <w:lvl w:ilvl="0" w:tplc="4790DAAA">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BE"/>
    <w:rsid w:val="000016B8"/>
    <w:rsid w:val="00002861"/>
    <w:rsid w:val="00003B7F"/>
    <w:rsid w:val="00012496"/>
    <w:rsid w:val="00015CFF"/>
    <w:rsid w:val="00017D80"/>
    <w:rsid w:val="000227BF"/>
    <w:rsid w:val="00025C66"/>
    <w:rsid w:val="00040976"/>
    <w:rsid w:val="00040EB6"/>
    <w:rsid w:val="0004438E"/>
    <w:rsid w:val="00050333"/>
    <w:rsid w:val="00052A20"/>
    <w:rsid w:val="00055D3F"/>
    <w:rsid w:val="00080003"/>
    <w:rsid w:val="0008561A"/>
    <w:rsid w:val="00086FB3"/>
    <w:rsid w:val="000A204F"/>
    <w:rsid w:val="000A26C7"/>
    <w:rsid w:val="000A5FAE"/>
    <w:rsid w:val="000D138E"/>
    <w:rsid w:val="000D4FA4"/>
    <w:rsid w:val="000E4639"/>
    <w:rsid w:val="00106D77"/>
    <w:rsid w:val="00107B9A"/>
    <w:rsid w:val="00113262"/>
    <w:rsid w:val="0011616B"/>
    <w:rsid w:val="00116170"/>
    <w:rsid w:val="00117A61"/>
    <w:rsid w:val="00120FD9"/>
    <w:rsid w:val="00134079"/>
    <w:rsid w:val="00135B3B"/>
    <w:rsid w:val="00141242"/>
    <w:rsid w:val="00141DDD"/>
    <w:rsid w:val="001452D6"/>
    <w:rsid w:val="00145634"/>
    <w:rsid w:val="00146D0C"/>
    <w:rsid w:val="00164F5B"/>
    <w:rsid w:val="001655B0"/>
    <w:rsid w:val="00190A12"/>
    <w:rsid w:val="001962DA"/>
    <w:rsid w:val="001A2569"/>
    <w:rsid w:val="001B0C18"/>
    <w:rsid w:val="001B1BAC"/>
    <w:rsid w:val="001B376F"/>
    <w:rsid w:val="001B4477"/>
    <w:rsid w:val="001B7035"/>
    <w:rsid w:val="001B7891"/>
    <w:rsid w:val="001D5637"/>
    <w:rsid w:val="001E14F9"/>
    <w:rsid w:val="001E16C1"/>
    <w:rsid w:val="001F404D"/>
    <w:rsid w:val="002064DB"/>
    <w:rsid w:val="002072DD"/>
    <w:rsid w:val="002113C1"/>
    <w:rsid w:val="00217A5D"/>
    <w:rsid w:val="0022144E"/>
    <w:rsid w:val="00223636"/>
    <w:rsid w:val="00225001"/>
    <w:rsid w:val="00230285"/>
    <w:rsid w:val="0023465B"/>
    <w:rsid w:val="002415D9"/>
    <w:rsid w:val="00242A73"/>
    <w:rsid w:val="002477E7"/>
    <w:rsid w:val="00252331"/>
    <w:rsid w:val="002552E9"/>
    <w:rsid w:val="0026193A"/>
    <w:rsid w:val="002656E5"/>
    <w:rsid w:val="00267DFF"/>
    <w:rsid w:val="00270EBA"/>
    <w:rsid w:val="00271482"/>
    <w:rsid w:val="002722C9"/>
    <w:rsid w:val="002762F2"/>
    <w:rsid w:val="00276974"/>
    <w:rsid w:val="00276A7F"/>
    <w:rsid w:val="0028203C"/>
    <w:rsid w:val="00284FFA"/>
    <w:rsid w:val="00290A38"/>
    <w:rsid w:val="002928C7"/>
    <w:rsid w:val="00295D80"/>
    <w:rsid w:val="002A0C9B"/>
    <w:rsid w:val="002A2AC2"/>
    <w:rsid w:val="002A7BCE"/>
    <w:rsid w:val="002C3BC6"/>
    <w:rsid w:val="002D033B"/>
    <w:rsid w:val="002D327F"/>
    <w:rsid w:val="002D790B"/>
    <w:rsid w:val="002E096F"/>
    <w:rsid w:val="002E0E05"/>
    <w:rsid w:val="002E4E97"/>
    <w:rsid w:val="002E6A69"/>
    <w:rsid w:val="002E6D77"/>
    <w:rsid w:val="002E7C6A"/>
    <w:rsid w:val="002F07A6"/>
    <w:rsid w:val="002F278C"/>
    <w:rsid w:val="002F7AA3"/>
    <w:rsid w:val="0030294B"/>
    <w:rsid w:val="00307031"/>
    <w:rsid w:val="003074BC"/>
    <w:rsid w:val="003149B4"/>
    <w:rsid w:val="003201BD"/>
    <w:rsid w:val="00326D42"/>
    <w:rsid w:val="00331B22"/>
    <w:rsid w:val="003408C9"/>
    <w:rsid w:val="0034195B"/>
    <w:rsid w:val="0035233F"/>
    <w:rsid w:val="003612CF"/>
    <w:rsid w:val="003621CB"/>
    <w:rsid w:val="003629E4"/>
    <w:rsid w:val="00367E70"/>
    <w:rsid w:val="00376E2A"/>
    <w:rsid w:val="003845A0"/>
    <w:rsid w:val="00396F09"/>
    <w:rsid w:val="003B4C7E"/>
    <w:rsid w:val="003C55DA"/>
    <w:rsid w:val="003D6120"/>
    <w:rsid w:val="003D6C19"/>
    <w:rsid w:val="003E055C"/>
    <w:rsid w:val="003E24CE"/>
    <w:rsid w:val="003E37CB"/>
    <w:rsid w:val="003E64FC"/>
    <w:rsid w:val="003F6809"/>
    <w:rsid w:val="004222E6"/>
    <w:rsid w:val="00434660"/>
    <w:rsid w:val="00437F8B"/>
    <w:rsid w:val="004431F2"/>
    <w:rsid w:val="004448D0"/>
    <w:rsid w:val="004512F1"/>
    <w:rsid w:val="00462819"/>
    <w:rsid w:val="00463F74"/>
    <w:rsid w:val="00464264"/>
    <w:rsid w:val="00464A1C"/>
    <w:rsid w:val="00466FAF"/>
    <w:rsid w:val="00473B40"/>
    <w:rsid w:val="00477A58"/>
    <w:rsid w:val="004A1E8A"/>
    <w:rsid w:val="004B520E"/>
    <w:rsid w:val="004C44F7"/>
    <w:rsid w:val="004D4C55"/>
    <w:rsid w:val="004F29B0"/>
    <w:rsid w:val="004F5167"/>
    <w:rsid w:val="004F5799"/>
    <w:rsid w:val="0051720B"/>
    <w:rsid w:val="00521560"/>
    <w:rsid w:val="0052245E"/>
    <w:rsid w:val="0052765A"/>
    <w:rsid w:val="00541A83"/>
    <w:rsid w:val="00541E95"/>
    <w:rsid w:val="00541FB4"/>
    <w:rsid w:val="00554507"/>
    <w:rsid w:val="005662B6"/>
    <w:rsid w:val="005778B2"/>
    <w:rsid w:val="005779A5"/>
    <w:rsid w:val="005874A7"/>
    <w:rsid w:val="005952F7"/>
    <w:rsid w:val="005A169A"/>
    <w:rsid w:val="005A6102"/>
    <w:rsid w:val="005B183B"/>
    <w:rsid w:val="005B2055"/>
    <w:rsid w:val="005B52DB"/>
    <w:rsid w:val="005B754B"/>
    <w:rsid w:val="005C6299"/>
    <w:rsid w:val="005C7665"/>
    <w:rsid w:val="005D0A17"/>
    <w:rsid w:val="005D2B41"/>
    <w:rsid w:val="005E6357"/>
    <w:rsid w:val="005F368E"/>
    <w:rsid w:val="005F494A"/>
    <w:rsid w:val="00610E06"/>
    <w:rsid w:val="006149CC"/>
    <w:rsid w:val="00625018"/>
    <w:rsid w:val="006325BA"/>
    <w:rsid w:val="00637857"/>
    <w:rsid w:val="00651817"/>
    <w:rsid w:val="006674DB"/>
    <w:rsid w:val="006A6356"/>
    <w:rsid w:val="006B0D55"/>
    <w:rsid w:val="006E2851"/>
    <w:rsid w:val="006E74E6"/>
    <w:rsid w:val="006E7C68"/>
    <w:rsid w:val="006F1BA5"/>
    <w:rsid w:val="006F4D08"/>
    <w:rsid w:val="006F6AF8"/>
    <w:rsid w:val="007051B9"/>
    <w:rsid w:val="007322A2"/>
    <w:rsid w:val="00737AB4"/>
    <w:rsid w:val="007449D3"/>
    <w:rsid w:val="00746C50"/>
    <w:rsid w:val="007533F7"/>
    <w:rsid w:val="00761D96"/>
    <w:rsid w:val="00762C0C"/>
    <w:rsid w:val="00765B80"/>
    <w:rsid w:val="00771219"/>
    <w:rsid w:val="007769F3"/>
    <w:rsid w:val="007838DA"/>
    <w:rsid w:val="00791A9A"/>
    <w:rsid w:val="0079259C"/>
    <w:rsid w:val="00794DFE"/>
    <w:rsid w:val="007A3DFA"/>
    <w:rsid w:val="007A676B"/>
    <w:rsid w:val="007B53DC"/>
    <w:rsid w:val="007B5B8D"/>
    <w:rsid w:val="007C2795"/>
    <w:rsid w:val="007D0247"/>
    <w:rsid w:val="007D3A83"/>
    <w:rsid w:val="007E1C32"/>
    <w:rsid w:val="007F51D9"/>
    <w:rsid w:val="008001FC"/>
    <w:rsid w:val="00803280"/>
    <w:rsid w:val="008138EF"/>
    <w:rsid w:val="00821843"/>
    <w:rsid w:val="00822D38"/>
    <w:rsid w:val="00831565"/>
    <w:rsid w:val="0083205D"/>
    <w:rsid w:val="00833288"/>
    <w:rsid w:val="00837F76"/>
    <w:rsid w:val="00844C87"/>
    <w:rsid w:val="008450AB"/>
    <w:rsid w:val="00852C83"/>
    <w:rsid w:val="0085663A"/>
    <w:rsid w:val="008630BE"/>
    <w:rsid w:val="0086511D"/>
    <w:rsid w:val="00866959"/>
    <w:rsid w:val="00867DEC"/>
    <w:rsid w:val="00870304"/>
    <w:rsid w:val="00884D40"/>
    <w:rsid w:val="008957FC"/>
    <w:rsid w:val="0089796D"/>
    <w:rsid w:val="008A2B5D"/>
    <w:rsid w:val="008C2A31"/>
    <w:rsid w:val="008D0047"/>
    <w:rsid w:val="008E55AA"/>
    <w:rsid w:val="008F015F"/>
    <w:rsid w:val="008F47DB"/>
    <w:rsid w:val="00901D37"/>
    <w:rsid w:val="009039B0"/>
    <w:rsid w:val="00907995"/>
    <w:rsid w:val="00924CB4"/>
    <w:rsid w:val="009253C9"/>
    <w:rsid w:val="00953BB8"/>
    <w:rsid w:val="00976593"/>
    <w:rsid w:val="009A64A9"/>
    <w:rsid w:val="009D2939"/>
    <w:rsid w:val="009D37BC"/>
    <w:rsid w:val="009E4DBF"/>
    <w:rsid w:val="009E6564"/>
    <w:rsid w:val="009E6680"/>
    <w:rsid w:val="009F1EE3"/>
    <w:rsid w:val="009F387E"/>
    <w:rsid w:val="009F3DAB"/>
    <w:rsid w:val="009F780B"/>
    <w:rsid w:val="00A12871"/>
    <w:rsid w:val="00A13631"/>
    <w:rsid w:val="00A159B0"/>
    <w:rsid w:val="00A21F72"/>
    <w:rsid w:val="00A23F76"/>
    <w:rsid w:val="00A31538"/>
    <w:rsid w:val="00A3207E"/>
    <w:rsid w:val="00A322ED"/>
    <w:rsid w:val="00A341E9"/>
    <w:rsid w:val="00A3605F"/>
    <w:rsid w:val="00A37653"/>
    <w:rsid w:val="00A4384B"/>
    <w:rsid w:val="00A4535A"/>
    <w:rsid w:val="00A4648D"/>
    <w:rsid w:val="00A63B84"/>
    <w:rsid w:val="00A70171"/>
    <w:rsid w:val="00A72120"/>
    <w:rsid w:val="00A774B7"/>
    <w:rsid w:val="00A828C6"/>
    <w:rsid w:val="00A83BFF"/>
    <w:rsid w:val="00A908F9"/>
    <w:rsid w:val="00A9347F"/>
    <w:rsid w:val="00AA5FAB"/>
    <w:rsid w:val="00AC07D5"/>
    <w:rsid w:val="00AC7681"/>
    <w:rsid w:val="00AD4154"/>
    <w:rsid w:val="00AE0155"/>
    <w:rsid w:val="00AE1775"/>
    <w:rsid w:val="00AF2501"/>
    <w:rsid w:val="00AF7D1A"/>
    <w:rsid w:val="00B00A97"/>
    <w:rsid w:val="00B069AA"/>
    <w:rsid w:val="00B144D1"/>
    <w:rsid w:val="00B151C4"/>
    <w:rsid w:val="00B27973"/>
    <w:rsid w:val="00B47C4B"/>
    <w:rsid w:val="00B53BE1"/>
    <w:rsid w:val="00B5451C"/>
    <w:rsid w:val="00B600B5"/>
    <w:rsid w:val="00B60932"/>
    <w:rsid w:val="00B631C3"/>
    <w:rsid w:val="00B70BC2"/>
    <w:rsid w:val="00B93E74"/>
    <w:rsid w:val="00BB38D9"/>
    <w:rsid w:val="00BB5B42"/>
    <w:rsid w:val="00BD6AE6"/>
    <w:rsid w:val="00BE4664"/>
    <w:rsid w:val="00BF5BC4"/>
    <w:rsid w:val="00BF6699"/>
    <w:rsid w:val="00BF7E62"/>
    <w:rsid w:val="00C04F3C"/>
    <w:rsid w:val="00C05591"/>
    <w:rsid w:val="00C0638F"/>
    <w:rsid w:val="00C07FAD"/>
    <w:rsid w:val="00C15467"/>
    <w:rsid w:val="00C1707E"/>
    <w:rsid w:val="00C20104"/>
    <w:rsid w:val="00C37554"/>
    <w:rsid w:val="00C42E99"/>
    <w:rsid w:val="00C514E3"/>
    <w:rsid w:val="00C57669"/>
    <w:rsid w:val="00C62658"/>
    <w:rsid w:val="00C62DB8"/>
    <w:rsid w:val="00C7406C"/>
    <w:rsid w:val="00C748E0"/>
    <w:rsid w:val="00C77F71"/>
    <w:rsid w:val="00C876B6"/>
    <w:rsid w:val="00C92764"/>
    <w:rsid w:val="00C971D3"/>
    <w:rsid w:val="00C977DD"/>
    <w:rsid w:val="00CA2B1A"/>
    <w:rsid w:val="00CB0BD4"/>
    <w:rsid w:val="00CB4CC6"/>
    <w:rsid w:val="00CB60EB"/>
    <w:rsid w:val="00CC1801"/>
    <w:rsid w:val="00CC3ECE"/>
    <w:rsid w:val="00CD1865"/>
    <w:rsid w:val="00CE0B02"/>
    <w:rsid w:val="00CE77C9"/>
    <w:rsid w:val="00CF4E80"/>
    <w:rsid w:val="00D003EB"/>
    <w:rsid w:val="00D01A66"/>
    <w:rsid w:val="00D028A0"/>
    <w:rsid w:val="00D113E3"/>
    <w:rsid w:val="00D11C91"/>
    <w:rsid w:val="00D120A5"/>
    <w:rsid w:val="00D1425D"/>
    <w:rsid w:val="00D251E9"/>
    <w:rsid w:val="00D31398"/>
    <w:rsid w:val="00D34ACC"/>
    <w:rsid w:val="00D45B0D"/>
    <w:rsid w:val="00D5067A"/>
    <w:rsid w:val="00D50FD7"/>
    <w:rsid w:val="00D529CF"/>
    <w:rsid w:val="00D5639A"/>
    <w:rsid w:val="00D573AB"/>
    <w:rsid w:val="00D63ED9"/>
    <w:rsid w:val="00D806CB"/>
    <w:rsid w:val="00D85EF1"/>
    <w:rsid w:val="00D9507C"/>
    <w:rsid w:val="00DA6AD4"/>
    <w:rsid w:val="00DB1DF8"/>
    <w:rsid w:val="00DB768F"/>
    <w:rsid w:val="00DC3BC2"/>
    <w:rsid w:val="00DC70C8"/>
    <w:rsid w:val="00DD1638"/>
    <w:rsid w:val="00DD7D5D"/>
    <w:rsid w:val="00DE79D6"/>
    <w:rsid w:val="00DF1A7D"/>
    <w:rsid w:val="00DF1DCC"/>
    <w:rsid w:val="00DF522E"/>
    <w:rsid w:val="00DF5BC4"/>
    <w:rsid w:val="00DF68AE"/>
    <w:rsid w:val="00E03A0D"/>
    <w:rsid w:val="00E03E6C"/>
    <w:rsid w:val="00E17E65"/>
    <w:rsid w:val="00E31E68"/>
    <w:rsid w:val="00E377A4"/>
    <w:rsid w:val="00E5053E"/>
    <w:rsid w:val="00E61144"/>
    <w:rsid w:val="00E6734D"/>
    <w:rsid w:val="00E720CD"/>
    <w:rsid w:val="00E7390B"/>
    <w:rsid w:val="00E73A60"/>
    <w:rsid w:val="00E7413F"/>
    <w:rsid w:val="00E87207"/>
    <w:rsid w:val="00E90A9A"/>
    <w:rsid w:val="00E90B87"/>
    <w:rsid w:val="00E91352"/>
    <w:rsid w:val="00E97AF7"/>
    <w:rsid w:val="00EA38CA"/>
    <w:rsid w:val="00EA701E"/>
    <w:rsid w:val="00EB2CCD"/>
    <w:rsid w:val="00EB3B54"/>
    <w:rsid w:val="00EB724B"/>
    <w:rsid w:val="00ED4431"/>
    <w:rsid w:val="00ED4A09"/>
    <w:rsid w:val="00EE0573"/>
    <w:rsid w:val="00F04B05"/>
    <w:rsid w:val="00F14CD4"/>
    <w:rsid w:val="00F31D7C"/>
    <w:rsid w:val="00F35897"/>
    <w:rsid w:val="00F401C5"/>
    <w:rsid w:val="00F41217"/>
    <w:rsid w:val="00F43B39"/>
    <w:rsid w:val="00F45891"/>
    <w:rsid w:val="00F54FA2"/>
    <w:rsid w:val="00F60650"/>
    <w:rsid w:val="00F702F6"/>
    <w:rsid w:val="00F726B6"/>
    <w:rsid w:val="00F75429"/>
    <w:rsid w:val="00F77992"/>
    <w:rsid w:val="00F80F81"/>
    <w:rsid w:val="00F87BC1"/>
    <w:rsid w:val="00FA0641"/>
    <w:rsid w:val="00FA34EA"/>
    <w:rsid w:val="00FA3A5F"/>
    <w:rsid w:val="00FA6C22"/>
    <w:rsid w:val="00FB043A"/>
    <w:rsid w:val="00FB1412"/>
    <w:rsid w:val="00FB5B87"/>
    <w:rsid w:val="00FB6617"/>
    <w:rsid w:val="00FB7206"/>
    <w:rsid w:val="00FC0889"/>
    <w:rsid w:val="00FC617F"/>
    <w:rsid w:val="00FD37B0"/>
    <w:rsid w:val="00FD3E21"/>
    <w:rsid w:val="00FD6AA0"/>
    <w:rsid w:val="00FF0E66"/>
    <w:rsid w:val="00FF2CD2"/>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FD71-F7BB-414F-BCB9-FB809ED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B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0B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BE"/>
    <w:rPr>
      <w:lang w:val="en-ZA"/>
    </w:rPr>
  </w:style>
  <w:style w:type="paragraph" w:styleId="ListParagraph">
    <w:name w:val="List Paragraph"/>
    <w:aliases w:val="Bullet Main"/>
    <w:basedOn w:val="Normal"/>
    <w:link w:val="ListParagraphChar"/>
    <w:uiPriority w:val="34"/>
    <w:qFormat/>
    <w:rsid w:val="008630BE"/>
    <w:pPr>
      <w:ind w:left="720"/>
      <w:contextualSpacing/>
    </w:pPr>
  </w:style>
  <w:style w:type="paragraph" w:customStyle="1" w:styleId="form-control-static">
    <w:name w:val="form-control-static"/>
    <w:basedOn w:val="Normal"/>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E"/>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8630BE"/>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630BE"/>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8630BE"/>
    <w:rPr>
      <w:vertAlign w:val="superscript"/>
    </w:rPr>
  </w:style>
  <w:style w:type="character" w:customStyle="1" w:styleId="ListParagraphChar">
    <w:name w:val="List Paragraph Char"/>
    <w:aliases w:val="Bullet Main Char"/>
    <w:link w:val="ListParagraph"/>
    <w:uiPriority w:val="34"/>
    <w:locked/>
    <w:rsid w:val="008630BE"/>
    <w:rPr>
      <w:lang w:val="en-ZA"/>
    </w:rPr>
  </w:style>
  <w:style w:type="paragraph" w:styleId="NormalWeb">
    <w:name w:val="Normal (Web)"/>
    <w:basedOn w:val="Normal"/>
    <w:uiPriority w:val="99"/>
    <w:unhideWhenUsed/>
    <w:rsid w:val="008630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0BE"/>
    <w:rPr>
      <w:i/>
      <w:iCs/>
    </w:rPr>
  </w:style>
  <w:style w:type="character" w:styleId="Strong">
    <w:name w:val="Strong"/>
    <w:basedOn w:val="DefaultParagraphFont"/>
    <w:uiPriority w:val="22"/>
    <w:qFormat/>
    <w:rsid w:val="008630BE"/>
    <w:rPr>
      <w:b/>
      <w:bCs/>
    </w:rPr>
  </w:style>
  <w:style w:type="paragraph" w:styleId="BalloonText">
    <w:name w:val="Balloon Text"/>
    <w:basedOn w:val="Normal"/>
    <w:link w:val="BalloonTextChar"/>
    <w:uiPriority w:val="99"/>
    <w:semiHidden/>
    <w:unhideWhenUsed/>
    <w:rsid w:val="00C0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59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2019-06-18T18:30:00+00:00</Judgment_x0020_Date>
    <Year xmlns="c1afb1bd-f2fb-40fd-9abb-aea55b4d7662">2019</Year>
  </documentManagement>
</p:properties>
</file>

<file path=customXml/itemProps1.xml><?xml version="1.0" encoding="utf-8"?>
<ds:datastoreItem xmlns:ds="http://schemas.openxmlformats.org/officeDocument/2006/customXml" ds:itemID="{35AE6C6A-DF25-4F36-8593-E5AE02EFFC28}"/>
</file>

<file path=customXml/itemProps2.xml><?xml version="1.0" encoding="utf-8"?>
<ds:datastoreItem xmlns:ds="http://schemas.openxmlformats.org/officeDocument/2006/customXml" ds:itemID="{88CDECCD-FC82-4741-8174-3FA42281A66D}"/>
</file>

<file path=customXml/itemProps3.xml><?xml version="1.0" encoding="utf-8"?>
<ds:datastoreItem xmlns:ds="http://schemas.openxmlformats.org/officeDocument/2006/customXml" ds:itemID="{1A192A65-8B00-4231-87D1-0D63E98A9B7F}"/>
</file>

<file path=customXml/itemProps4.xml><?xml version="1.0" encoding="utf-8"?>
<ds:datastoreItem xmlns:ds="http://schemas.openxmlformats.org/officeDocument/2006/customXml" ds:itemID="{8EF56BBA-B6A9-4222-AA84-8D87A2AE9594}"/>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2019-06-19T12:54:00Z</cp:lastPrinted>
  <dcterms:created xsi:type="dcterms:W3CDTF">2019-06-21T12:27:00Z</dcterms:created>
  <dcterms:modified xsi:type="dcterms:W3CDTF">2019-06-21T12:27:00Z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