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B5" w:rsidRPr="00E757E9" w:rsidRDefault="00D26CB5" w:rsidP="00D26CB5">
      <w:pPr>
        <w:spacing w:after="0" w:line="240" w:lineRule="auto"/>
        <w:jc w:val="center"/>
        <w:rPr>
          <w:rFonts w:ascii="Arial Narrow" w:hAnsi="Arial Narrow"/>
          <w:sz w:val="24"/>
          <w:szCs w:val="24"/>
        </w:rPr>
      </w:pPr>
      <w:bookmarkStart w:id="0" w:name="_GoBack"/>
      <w:bookmarkEnd w:id="0"/>
      <w:r w:rsidRPr="00E757E9">
        <w:rPr>
          <w:rFonts w:ascii="Arial Narrow" w:hAnsi="Arial Narrow"/>
          <w:sz w:val="24"/>
          <w:szCs w:val="24"/>
        </w:rPr>
        <w:t>Practice Directive 61</w:t>
      </w:r>
    </w:p>
    <w:p w:rsidR="00D26CB5" w:rsidRPr="00E757E9" w:rsidRDefault="00D26CB5" w:rsidP="00D26CB5">
      <w:pPr>
        <w:spacing w:after="0" w:line="360" w:lineRule="auto"/>
        <w:jc w:val="both"/>
        <w:rPr>
          <w:rFonts w:ascii="Arial Narrow" w:hAnsi="Arial Narrow"/>
          <w:sz w:val="24"/>
          <w:szCs w:val="24"/>
        </w:rPr>
      </w:pPr>
    </w:p>
    <w:p w:rsidR="00D26CB5" w:rsidRPr="00E757E9" w:rsidRDefault="00D26CB5" w:rsidP="00D26CB5">
      <w:pPr>
        <w:spacing w:after="0" w:line="360" w:lineRule="auto"/>
        <w:jc w:val="center"/>
        <w:rPr>
          <w:rFonts w:ascii="Arial Narrow" w:hAnsi="Arial Narrow"/>
          <w:b/>
          <w:sz w:val="24"/>
          <w:szCs w:val="24"/>
        </w:rPr>
      </w:pPr>
      <w:r w:rsidRPr="00E757E9">
        <w:rPr>
          <w:rFonts w:ascii="Arial Narrow" w:hAnsi="Arial Narrow"/>
          <w:b/>
          <w:sz w:val="24"/>
          <w:szCs w:val="24"/>
        </w:rPr>
        <w:t>IN THE HIGH COURT OF NAMIBIA</w:t>
      </w:r>
    </w:p>
    <w:p w:rsidR="00D26CB5" w:rsidRPr="00E757E9" w:rsidRDefault="00D26CB5" w:rsidP="00D26CB5">
      <w:pPr>
        <w:spacing w:after="0" w:line="360" w:lineRule="auto"/>
        <w:jc w:val="both"/>
        <w:rPr>
          <w:rFonts w:ascii="Arial Narrow" w:hAnsi="Arial Narrow"/>
          <w:sz w:val="24"/>
          <w:szCs w:val="24"/>
        </w:rPr>
      </w:pPr>
    </w:p>
    <w:tbl>
      <w:tblPr>
        <w:tblStyle w:val="TableGrid"/>
        <w:tblW w:w="9720" w:type="dxa"/>
        <w:tblInd w:w="-275" w:type="dxa"/>
        <w:tblLook w:val="04A0" w:firstRow="1" w:lastRow="0" w:firstColumn="1" w:lastColumn="0" w:noHBand="0" w:noVBand="1"/>
      </w:tblPr>
      <w:tblGrid>
        <w:gridCol w:w="4770"/>
        <w:gridCol w:w="627"/>
        <w:gridCol w:w="4323"/>
      </w:tblGrid>
      <w:tr w:rsidR="00D26CB5" w:rsidRPr="00E757E9" w:rsidTr="0092129C">
        <w:trPr>
          <w:trHeight w:val="744"/>
        </w:trPr>
        <w:tc>
          <w:tcPr>
            <w:tcW w:w="5397" w:type="dxa"/>
            <w:gridSpan w:val="2"/>
            <w:vMerge w:val="restart"/>
          </w:tcPr>
          <w:p w:rsidR="00D26CB5" w:rsidRPr="00E757E9" w:rsidRDefault="00D26CB5" w:rsidP="0092129C">
            <w:pPr>
              <w:spacing w:line="360" w:lineRule="auto"/>
              <w:jc w:val="both"/>
              <w:rPr>
                <w:rFonts w:ascii="Arial Narrow" w:hAnsi="Arial Narrow" w:cs="Arial"/>
                <w:sz w:val="24"/>
                <w:szCs w:val="24"/>
              </w:rPr>
            </w:pPr>
            <w:r w:rsidRPr="00E757E9">
              <w:rPr>
                <w:rFonts w:ascii="Arial Narrow" w:hAnsi="Arial Narrow" w:cs="Arial"/>
                <w:b/>
                <w:sz w:val="24"/>
                <w:szCs w:val="24"/>
              </w:rPr>
              <w:t>Case Title:</w:t>
            </w:r>
          </w:p>
          <w:p w:rsidR="00D26CB5" w:rsidRPr="00E757E9" w:rsidRDefault="00BE7884" w:rsidP="00BE7884">
            <w:pPr>
              <w:spacing w:line="360" w:lineRule="auto"/>
              <w:jc w:val="both"/>
              <w:rPr>
                <w:rFonts w:ascii="Arial Narrow" w:hAnsi="Arial Narrow" w:cs="Arial"/>
                <w:sz w:val="24"/>
                <w:szCs w:val="24"/>
              </w:rPr>
            </w:pPr>
            <w:r w:rsidRPr="00642ED0">
              <w:rPr>
                <w:rFonts w:ascii="Arial Narrow" w:hAnsi="Arial Narrow" w:cs="Arial"/>
                <w:sz w:val="24"/>
                <w:szCs w:val="24"/>
              </w:rPr>
              <w:t xml:space="preserve">SOPHIA NDESHIPANDA AMADHILA v </w:t>
            </w:r>
            <w:r w:rsidR="0047650B" w:rsidRPr="00642ED0">
              <w:rPr>
                <w:rFonts w:ascii="Arial Narrow" w:hAnsi="Arial Narrow" w:cs="Arial"/>
                <w:sz w:val="24"/>
                <w:szCs w:val="24"/>
              </w:rPr>
              <w:t xml:space="preserve">HAROLD NDEVAMONA AKWENYE </w:t>
            </w:r>
          </w:p>
        </w:tc>
        <w:tc>
          <w:tcPr>
            <w:tcW w:w="4323" w:type="dxa"/>
          </w:tcPr>
          <w:p w:rsidR="00D26CB5" w:rsidRPr="00E757E9" w:rsidRDefault="00D26CB5" w:rsidP="0092129C">
            <w:pPr>
              <w:spacing w:line="360" w:lineRule="auto"/>
              <w:jc w:val="both"/>
              <w:rPr>
                <w:rFonts w:ascii="Arial Narrow" w:hAnsi="Arial Narrow" w:cs="Arial"/>
                <w:sz w:val="24"/>
                <w:szCs w:val="24"/>
              </w:rPr>
            </w:pPr>
            <w:r w:rsidRPr="00E757E9">
              <w:rPr>
                <w:rFonts w:ascii="Arial Narrow" w:hAnsi="Arial Narrow" w:cs="Arial"/>
                <w:b/>
                <w:sz w:val="24"/>
                <w:szCs w:val="24"/>
              </w:rPr>
              <w:t>Case No:</w:t>
            </w:r>
          </w:p>
          <w:p w:rsidR="00D26CB5" w:rsidRPr="00E757E9" w:rsidRDefault="005A43DF" w:rsidP="00A97917">
            <w:pPr>
              <w:spacing w:line="360" w:lineRule="auto"/>
              <w:jc w:val="both"/>
              <w:rPr>
                <w:rFonts w:ascii="Arial Narrow" w:hAnsi="Arial Narrow" w:cs="Arial"/>
                <w:b/>
                <w:sz w:val="24"/>
                <w:szCs w:val="24"/>
              </w:rPr>
            </w:pPr>
            <w:r>
              <w:rPr>
                <w:rFonts w:ascii="Arial Narrow" w:hAnsi="Arial Narrow" w:cs="Arial"/>
                <w:sz w:val="24"/>
                <w:szCs w:val="24"/>
              </w:rPr>
              <w:t>HC-MD-CIV-ACT-</w:t>
            </w:r>
            <w:r w:rsidR="00A97917">
              <w:rPr>
                <w:rFonts w:ascii="Arial Narrow" w:hAnsi="Arial Narrow" w:cs="Arial"/>
                <w:sz w:val="24"/>
                <w:szCs w:val="24"/>
              </w:rPr>
              <w:t>CON</w:t>
            </w:r>
            <w:r>
              <w:rPr>
                <w:rFonts w:ascii="Arial Narrow" w:hAnsi="Arial Narrow" w:cs="Arial"/>
                <w:sz w:val="24"/>
                <w:szCs w:val="24"/>
              </w:rPr>
              <w:t>-</w:t>
            </w:r>
            <w:r w:rsidR="00A97917">
              <w:rPr>
                <w:rFonts w:ascii="Arial Narrow" w:hAnsi="Arial Narrow" w:cs="Arial"/>
                <w:sz w:val="24"/>
                <w:szCs w:val="24"/>
              </w:rPr>
              <w:t>2017/</w:t>
            </w:r>
            <w:r w:rsidR="00642ED0">
              <w:rPr>
                <w:rFonts w:ascii="Arial Narrow" w:hAnsi="Arial Narrow" w:cs="Arial"/>
                <w:sz w:val="24"/>
                <w:szCs w:val="24"/>
              </w:rPr>
              <w:t>0</w:t>
            </w:r>
            <w:r w:rsidR="00A97917">
              <w:rPr>
                <w:rFonts w:ascii="Arial Narrow" w:hAnsi="Arial Narrow" w:cs="Arial"/>
                <w:sz w:val="24"/>
                <w:szCs w:val="24"/>
              </w:rPr>
              <w:t>2946</w:t>
            </w:r>
          </w:p>
        </w:tc>
      </w:tr>
      <w:tr w:rsidR="00D26CB5" w:rsidRPr="00E757E9" w:rsidTr="0092129C">
        <w:trPr>
          <w:trHeight w:val="844"/>
        </w:trPr>
        <w:tc>
          <w:tcPr>
            <w:tcW w:w="5397" w:type="dxa"/>
            <w:gridSpan w:val="2"/>
            <w:vMerge/>
          </w:tcPr>
          <w:p w:rsidR="00D26CB5" w:rsidRPr="00E757E9" w:rsidRDefault="00D26CB5" w:rsidP="0092129C">
            <w:pPr>
              <w:spacing w:line="360" w:lineRule="auto"/>
              <w:jc w:val="both"/>
              <w:rPr>
                <w:rFonts w:ascii="Arial Narrow" w:hAnsi="Arial Narrow" w:cs="Arial"/>
                <w:sz w:val="24"/>
                <w:szCs w:val="24"/>
              </w:rPr>
            </w:pPr>
          </w:p>
        </w:tc>
        <w:tc>
          <w:tcPr>
            <w:tcW w:w="4323" w:type="dxa"/>
          </w:tcPr>
          <w:p w:rsidR="00D26CB5" w:rsidRPr="00E757E9" w:rsidRDefault="00D26CB5" w:rsidP="0092129C">
            <w:pPr>
              <w:spacing w:line="360" w:lineRule="auto"/>
              <w:jc w:val="both"/>
              <w:rPr>
                <w:rFonts w:ascii="Arial Narrow" w:hAnsi="Arial Narrow" w:cs="Arial"/>
                <w:sz w:val="24"/>
                <w:szCs w:val="24"/>
              </w:rPr>
            </w:pPr>
            <w:r w:rsidRPr="00E757E9">
              <w:rPr>
                <w:rFonts w:ascii="Arial Narrow" w:hAnsi="Arial Narrow" w:cs="Arial"/>
                <w:b/>
                <w:sz w:val="24"/>
                <w:szCs w:val="24"/>
              </w:rPr>
              <w:t>Division of Court:</w:t>
            </w:r>
          </w:p>
          <w:p w:rsidR="00D26CB5" w:rsidRPr="00E757E9" w:rsidRDefault="005A43DF" w:rsidP="000A684E">
            <w:pPr>
              <w:spacing w:line="360" w:lineRule="auto"/>
              <w:jc w:val="both"/>
              <w:rPr>
                <w:rFonts w:ascii="Arial Narrow" w:hAnsi="Arial Narrow" w:cs="Arial"/>
                <w:sz w:val="24"/>
                <w:szCs w:val="24"/>
              </w:rPr>
            </w:pPr>
            <w:r>
              <w:rPr>
                <w:rFonts w:ascii="Arial Narrow" w:hAnsi="Arial Narrow" w:cs="Arial"/>
                <w:sz w:val="24"/>
                <w:szCs w:val="24"/>
              </w:rPr>
              <w:t>HIGH COURT</w:t>
            </w:r>
            <w:r w:rsidR="00D26CB5" w:rsidRPr="003F23AF">
              <w:rPr>
                <w:rFonts w:ascii="Arial Narrow" w:hAnsi="Arial Narrow" w:cs="Arial"/>
                <w:sz w:val="24"/>
                <w:szCs w:val="24"/>
              </w:rPr>
              <w:t>(MAIN DIVISION)</w:t>
            </w:r>
          </w:p>
        </w:tc>
      </w:tr>
      <w:tr w:rsidR="00D26CB5" w:rsidRPr="00E757E9" w:rsidTr="0092129C">
        <w:trPr>
          <w:trHeight w:val="645"/>
        </w:trPr>
        <w:tc>
          <w:tcPr>
            <w:tcW w:w="5397" w:type="dxa"/>
            <w:gridSpan w:val="2"/>
            <w:vMerge w:val="restart"/>
          </w:tcPr>
          <w:p w:rsidR="00D26CB5" w:rsidRPr="00E757E9" w:rsidRDefault="00D26CB5" w:rsidP="0092129C">
            <w:pPr>
              <w:spacing w:line="360" w:lineRule="auto"/>
              <w:jc w:val="both"/>
              <w:rPr>
                <w:rFonts w:ascii="Arial Narrow" w:hAnsi="Arial Narrow" w:cs="Arial"/>
                <w:b/>
                <w:sz w:val="24"/>
                <w:szCs w:val="24"/>
              </w:rPr>
            </w:pPr>
            <w:r w:rsidRPr="00E757E9">
              <w:rPr>
                <w:rFonts w:ascii="Arial Narrow" w:hAnsi="Arial Narrow" w:cs="Arial"/>
                <w:b/>
                <w:sz w:val="24"/>
                <w:szCs w:val="24"/>
              </w:rPr>
              <w:t>Heard before:</w:t>
            </w:r>
          </w:p>
          <w:p w:rsidR="00D26CB5" w:rsidRPr="00E757E9" w:rsidRDefault="005A43DF" w:rsidP="0092129C">
            <w:pPr>
              <w:spacing w:line="360" w:lineRule="auto"/>
              <w:jc w:val="both"/>
              <w:rPr>
                <w:rFonts w:ascii="Arial Narrow" w:hAnsi="Arial Narrow" w:cs="Arial"/>
                <w:sz w:val="24"/>
                <w:szCs w:val="24"/>
              </w:rPr>
            </w:pPr>
            <w:r w:rsidRPr="00E757E9">
              <w:rPr>
                <w:rFonts w:ascii="Arial Narrow" w:hAnsi="Arial Narrow" w:cs="Arial"/>
                <w:sz w:val="24"/>
                <w:szCs w:val="24"/>
              </w:rPr>
              <w:t>HONOURA</w:t>
            </w:r>
            <w:r>
              <w:rPr>
                <w:rFonts w:ascii="Arial Narrow" w:hAnsi="Arial Narrow" w:cs="Arial"/>
                <w:sz w:val="24"/>
                <w:szCs w:val="24"/>
              </w:rPr>
              <w:t>BLE LADY JUSTICE PRINSLOO,</w:t>
            </w:r>
            <w:r w:rsidRPr="00E757E9">
              <w:rPr>
                <w:rFonts w:ascii="Arial Narrow" w:hAnsi="Arial Narrow" w:cs="Arial"/>
                <w:sz w:val="24"/>
                <w:szCs w:val="24"/>
              </w:rPr>
              <w:t xml:space="preserve"> JUDGE</w:t>
            </w:r>
          </w:p>
        </w:tc>
        <w:tc>
          <w:tcPr>
            <w:tcW w:w="4323" w:type="dxa"/>
          </w:tcPr>
          <w:p w:rsidR="00D26CB5" w:rsidRPr="00E757E9" w:rsidRDefault="00D26CB5" w:rsidP="0092129C">
            <w:pPr>
              <w:spacing w:line="360" w:lineRule="auto"/>
              <w:jc w:val="both"/>
              <w:rPr>
                <w:rFonts w:ascii="Arial Narrow" w:hAnsi="Arial Narrow" w:cs="Arial"/>
                <w:b/>
                <w:sz w:val="24"/>
                <w:szCs w:val="24"/>
              </w:rPr>
            </w:pPr>
            <w:r w:rsidRPr="00E757E9">
              <w:rPr>
                <w:rFonts w:ascii="Arial Narrow" w:hAnsi="Arial Narrow" w:cs="Arial"/>
                <w:b/>
                <w:sz w:val="24"/>
                <w:szCs w:val="24"/>
              </w:rPr>
              <w:t>Date of hearing:</w:t>
            </w:r>
          </w:p>
          <w:p w:rsidR="00D26CB5" w:rsidRPr="00E757E9" w:rsidRDefault="000501B3" w:rsidP="00A97917">
            <w:pPr>
              <w:spacing w:line="360" w:lineRule="auto"/>
              <w:rPr>
                <w:rFonts w:ascii="Arial Narrow" w:hAnsi="Arial Narrow" w:cs="Arial"/>
                <w:sz w:val="24"/>
                <w:szCs w:val="24"/>
              </w:rPr>
            </w:pPr>
            <w:r w:rsidRPr="000501B3">
              <w:rPr>
                <w:rFonts w:ascii="Arial Narrow" w:hAnsi="Arial Narrow" w:cs="Arial"/>
                <w:sz w:val="24"/>
                <w:szCs w:val="24"/>
              </w:rPr>
              <w:t>1</w:t>
            </w:r>
            <w:r w:rsidR="00A97917">
              <w:rPr>
                <w:rFonts w:ascii="Arial Narrow" w:hAnsi="Arial Narrow" w:cs="Arial"/>
                <w:sz w:val="24"/>
                <w:szCs w:val="24"/>
              </w:rPr>
              <w:t>1</w:t>
            </w:r>
            <w:r w:rsidRPr="000501B3">
              <w:rPr>
                <w:rFonts w:ascii="Arial Narrow" w:hAnsi="Arial Narrow" w:cs="Arial"/>
                <w:sz w:val="24"/>
                <w:szCs w:val="24"/>
              </w:rPr>
              <w:t xml:space="preserve"> MARCH 2019</w:t>
            </w:r>
          </w:p>
        </w:tc>
      </w:tr>
      <w:tr w:rsidR="00D26CB5" w:rsidRPr="00E757E9" w:rsidTr="0092129C">
        <w:trPr>
          <w:trHeight w:val="588"/>
        </w:trPr>
        <w:tc>
          <w:tcPr>
            <w:tcW w:w="5397" w:type="dxa"/>
            <w:gridSpan w:val="2"/>
            <w:vMerge/>
          </w:tcPr>
          <w:p w:rsidR="00D26CB5" w:rsidRPr="00E757E9" w:rsidRDefault="00D26CB5" w:rsidP="0092129C">
            <w:pPr>
              <w:spacing w:line="360" w:lineRule="auto"/>
              <w:jc w:val="both"/>
              <w:rPr>
                <w:rFonts w:ascii="Arial Narrow" w:hAnsi="Arial Narrow" w:cs="Arial"/>
                <w:b/>
                <w:sz w:val="24"/>
                <w:szCs w:val="24"/>
              </w:rPr>
            </w:pPr>
          </w:p>
        </w:tc>
        <w:tc>
          <w:tcPr>
            <w:tcW w:w="4323" w:type="dxa"/>
          </w:tcPr>
          <w:p w:rsidR="00D26CB5" w:rsidRPr="00E757E9" w:rsidRDefault="0042554E" w:rsidP="0092129C">
            <w:pPr>
              <w:spacing w:line="360" w:lineRule="auto"/>
              <w:jc w:val="both"/>
              <w:rPr>
                <w:rFonts w:ascii="Arial Narrow" w:hAnsi="Arial Narrow" w:cs="Arial"/>
                <w:b/>
                <w:sz w:val="24"/>
                <w:szCs w:val="24"/>
              </w:rPr>
            </w:pPr>
            <w:r>
              <w:rPr>
                <w:rFonts w:ascii="Arial Narrow" w:hAnsi="Arial Narrow" w:cs="Arial"/>
                <w:b/>
                <w:sz w:val="24"/>
                <w:szCs w:val="24"/>
              </w:rPr>
              <w:t>Date of order</w:t>
            </w:r>
            <w:r w:rsidR="00D26CB5" w:rsidRPr="00E757E9">
              <w:rPr>
                <w:rFonts w:ascii="Arial Narrow" w:hAnsi="Arial Narrow" w:cs="Arial"/>
                <w:b/>
                <w:sz w:val="24"/>
                <w:szCs w:val="24"/>
              </w:rPr>
              <w:t>:</w:t>
            </w:r>
          </w:p>
          <w:p w:rsidR="00D26CB5" w:rsidRDefault="005A43DF" w:rsidP="0092129C">
            <w:pPr>
              <w:spacing w:line="360" w:lineRule="auto"/>
              <w:jc w:val="both"/>
              <w:rPr>
                <w:rFonts w:ascii="Arial Narrow" w:hAnsi="Arial Narrow" w:cs="Arial"/>
                <w:sz w:val="24"/>
                <w:szCs w:val="24"/>
              </w:rPr>
            </w:pPr>
            <w:r>
              <w:rPr>
                <w:rFonts w:ascii="Arial Narrow" w:hAnsi="Arial Narrow" w:cs="Arial"/>
                <w:sz w:val="24"/>
                <w:szCs w:val="24"/>
              </w:rPr>
              <w:t>2</w:t>
            </w:r>
            <w:r w:rsidR="00A97917">
              <w:rPr>
                <w:rFonts w:ascii="Arial Narrow" w:hAnsi="Arial Narrow" w:cs="Arial"/>
                <w:sz w:val="24"/>
                <w:szCs w:val="24"/>
              </w:rPr>
              <w:t>9</w:t>
            </w:r>
            <w:r>
              <w:rPr>
                <w:rFonts w:ascii="Arial Narrow" w:hAnsi="Arial Narrow" w:cs="Arial"/>
                <w:sz w:val="24"/>
                <w:szCs w:val="24"/>
              </w:rPr>
              <w:t xml:space="preserve"> MARCH 2019</w:t>
            </w:r>
          </w:p>
          <w:p w:rsidR="00890FD4" w:rsidRDefault="00890FD4" w:rsidP="0092129C">
            <w:pPr>
              <w:spacing w:line="360" w:lineRule="auto"/>
              <w:jc w:val="both"/>
              <w:rPr>
                <w:rFonts w:ascii="Arial Narrow" w:hAnsi="Arial Narrow" w:cs="Arial"/>
                <w:b/>
                <w:sz w:val="24"/>
                <w:szCs w:val="24"/>
              </w:rPr>
            </w:pPr>
            <w:r>
              <w:rPr>
                <w:rFonts w:ascii="Arial Narrow" w:hAnsi="Arial Narrow" w:cs="Arial"/>
                <w:b/>
                <w:sz w:val="24"/>
                <w:szCs w:val="24"/>
              </w:rPr>
              <w:t>Reasons delivered on:</w:t>
            </w:r>
          </w:p>
          <w:p w:rsidR="00890FD4" w:rsidRPr="00890FD4" w:rsidRDefault="0047650B" w:rsidP="005A74A7">
            <w:pPr>
              <w:spacing w:line="360" w:lineRule="auto"/>
              <w:jc w:val="both"/>
              <w:rPr>
                <w:rFonts w:ascii="Arial Narrow" w:hAnsi="Arial Narrow" w:cs="Arial"/>
                <w:sz w:val="24"/>
                <w:szCs w:val="24"/>
              </w:rPr>
            </w:pPr>
            <w:r w:rsidRPr="00642ED0">
              <w:rPr>
                <w:rFonts w:ascii="Arial Narrow" w:hAnsi="Arial Narrow" w:cs="Arial"/>
                <w:sz w:val="24"/>
                <w:szCs w:val="24"/>
              </w:rPr>
              <w:t>0</w:t>
            </w:r>
            <w:r w:rsidR="00642ED0" w:rsidRPr="00642ED0">
              <w:rPr>
                <w:rFonts w:ascii="Arial Narrow" w:hAnsi="Arial Narrow" w:cs="Arial"/>
                <w:sz w:val="24"/>
                <w:szCs w:val="24"/>
              </w:rPr>
              <w:t>4</w:t>
            </w:r>
            <w:r w:rsidRPr="00642ED0">
              <w:rPr>
                <w:rFonts w:ascii="Arial Narrow" w:hAnsi="Arial Narrow" w:cs="Arial"/>
                <w:sz w:val="24"/>
                <w:szCs w:val="24"/>
              </w:rPr>
              <w:t xml:space="preserve"> APRIL 2019</w:t>
            </w:r>
          </w:p>
        </w:tc>
      </w:tr>
      <w:tr w:rsidR="00D26CB5" w:rsidRPr="00E757E9" w:rsidTr="0092129C">
        <w:tc>
          <w:tcPr>
            <w:tcW w:w="9720" w:type="dxa"/>
            <w:gridSpan w:val="3"/>
          </w:tcPr>
          <w:p w:rsidR="00D26CB5" w:rsidRPr="00E757E9" w:rsidRDefault="00D26CB5" w:rsidP="00A97917">
            <w:pPr>
              <w:pStyle w:val="form-control-static"/>
              <w:shd w:val="clear" w:color="auto" w:fill="FFFFFF"/>
              <w:spacing w:before="0" w:beforeAutospacing="0" w:after="0" w:afterAutospacing="0"/>
              <w:rPr>
                <w:rFonts w:ascii="Arial Narrow" w:hAnsi="Arial Narrow" w:cs="Arial"/>
                <w:color w:val="333333"/>
              </w:rPr>
            </w:pPr>
            <w:r w:rsidRPr="00E757E9">
              <w:rPr>
                <w:rFonts w:ascii="Arial Narrow" w:hAnsi="Arial Narrow" w:cs="Arial"/>
                <w:b/>
              </w:rPr>
              <w:t xml:space="preserve">Neutral citation: </w:t>
            </w:r>
            <w:r w:rsidR="00A97917">
              <w:rPr>
                <w:rFonts w:ascii="Arial Narrow" w:hAnsi="Arial Narrow" w:cs="Arial"/>
                <w:i/>
              </w:rPr>
              <w:t>A</w:t>
            </w:r>
            <w:r w:rsidR="00577933">
              <w:rPr>
                <w:rFonts w:ascii="Arial Narrow" w:hAnsi="Arial Narrow" w:cs="Arial"/>
                <w:i/>
              </w:rPr>
              <w:t>madhila v</w:t>
            </w:r>
            <w:r w:rsidR="00A97917">
              <w:rPr>
                <w:rFonts w:ascii="Arial Narrow" w:hAnsi="Arial Narrow" w:cs="Arial"/>
                <w:i/>
              </w:rPr>
              <w:t xml:space="preserve"> A</w:t>
            </w:r>
            <w:r w:rsidR="00577933">
              <w:rPr>
                <w:rFonts w:ascii="Arial Narrow" w:hAnsi="Arial Narrow" w:cs="Arial"/>
                <w:i/>
              </w:rPr>
              <w:t>kwenye</w:t>
            </w:r>
            <w:r w:rsidR="00222323">
              <w:rPr>
                <w:rFonts w:ascii="Arial Narrow" w:hAnsi="Arial Narrow" w:cs="Arial"/>
              </w:rPr>
              <w:t xml:space="preserve"> </w:t>
            </w:r>
            <w:r w:rsidR="00237DF6">
              <w:rPr>
                <w:rFonts w:ascii="Arial Narrow" w:hAnsi="Arial Narrow" w:cs="Arial"/>
              </w:rPr>
              <w:t>(</w:t>
            </w:r>
            <w:r w:rsidR="00222323">
              <w:rPr>
                <w:rFonts w:ascii="Arial Narrow" w:hAnsi="Arial Narrow" w:cs="Arial"/>
              </w:rPr>
              <w:t>HC-MD-CIV-ACT-</w:t>
            </w:r>
            <w:r w:rsidR="00A97917">
              <w:rPr>
                <w:rFonts w:ascii="Arial Narrow" w:hAnsi="Arial Narrow" w:cs="Arial"/>
              </w:rPr>
              <w:t>CON</w:t>
            </w:r>
            <w:r w:rsidR="00222323">
              <w:rPr>
                <w:rFonts w:ascii="Arial Narrow" w:hAnsi="Arial Narrow" w:cs="Arial"/>
              </w:rPr>
              <w:t>-201</w:t>
            </w:r>
            <w:r w:rsidR="00A97917">
              <w:rPr>
                <w:rFonts w:ascii="Arial Narrow" w:hAnsi="Arial Narrow" w:cs="Arial"/>
              </w:rPr>
              <w:t>7</w:t>
            </w:r>
            <w:r w:rsidR="00222323">
              <w:rPr>
                <w:rFonts w:ascii="Arial Narrow" w:hAnsi="Arial Narrow" w:cs="Arial"/>
              </w:rPr>
              <w:t>/0</w:t>
            </w:r>
            <w:r w:rsidR="00A97917">
              <w:rPr>
                <w:rFonts w:ascii="Arial Narrow" w:hAnsi="Arial Narrow" w:cs="Arial"/>
              </w:rPr>
              <w:t>2946</w:t>
            </w:r>
            <w:r w:rsidR="00237DF6">
              <w:rPr>
                <w:rFonts w:ascii="Arial Narrow" w:hAnsi="Arial Narrow" w:cs="Arial"/>
              </w:rPr>
              <w:t>) [2019]</w:t>
            </w:r>
            <w:r w:rsidR="00427466" w:rsidRPr="00E757E9">
              <w:rPr>
                <w:rFonts w:ascii="Arial Narrow" w:hAnsi="Arial Narrow" w:cs="Arial"/>
              </w:rPr>
              <w:t xml:space="preserve"> </w:t>
            </w:r>
            <w:r w:rsidR="00222323" w:rsidRPr="00642ED0">
              <w:rPr>
                <w:rFonts w:ascii="Arial Narrow" w:hAnsi="Arial Narrow" w:cs="Arial"/>
              </w:rPr>
              <w:t>NAH</w:t>
            </w:r>
            <w:r w:rsidR="005A43DF" w:rsidRPr="00642ED0">
              <w:rPr>
                <w:rFonts w:ascii="Arial Narrow" w:hAnsi="Arial Narrow" w:cs="Arial"/>
              </w:rPr>
              <w:t xml:space="preserve">CMD </w:t>
            </w:r>
            <w:r w:rsidR="00642ED0" w:rsidRPr="00642ED0">
              <w:rPr>
                <w:rFonts w:ascii="Arial Narrow" w:hAnsi="Arial Narrow" w:cs="Arial"/>
              </w:rPr>
              <w:t>81</w:t>
            </w:r>
            <w:r w:rsidR="00A64DBC" w:rsidRPr="00642ED0">
              <w:rPr>
                <w:rFonts w:ascii="Arial Narrow" w:hAnsi="Arial Narrow" w:cs="Arial"/>
              </w:rPr>
              <w:t xml:space="preserve"> (</w:t>
            </w:r>
            <w:r w:rsidR="00A97917" w:rsidRPr="0047650B">
              <w:rPr>
                <w:rFonts w:ascii="Arial Narrow" w:hAnsi="Arial Narrow" w:cs="Arial"/>
              </w:rPr>
              <w:t>29</w:t>
            </w:r>
            <w:r w:rsidR="000501B3" w:rsidRPr="0047650B">
              <w:rPr>
                <w:rFonts w:ascii="Arial Narrow" w:hAnsi="Arial Narrow" w:cs="Arial"/>
              </w:rPr>
              <w:t xml:space="preserve"> March </w:t>
            </w:r>
            <w:r w:rsidR="00A64DBC" w:rsidRPr="0047650B">
              <w:rPr>
                <w:rFonts w:ascii="Arial Narrow" w:hAnsi="Arial Narrow" w:cs="Arial"/>
              </w:rPr>
              <w:t xml:space="preserve"> </w:t>
            </w:r>
            <w:r w:rsidRPr="0047650B">
              <w:rPr>
                <w:rFonts w:ascii="Arial Narrow" w:hAnsi="Arial Narrow" w:cs="Arial"/>
              </w:rPr>
              <w:t>2019)</w:t>
            </w:r>
          </w:p>
        </w:tc>
      </w:tr>
      <w:tr w:rsidR="00D26CB5" w:rsidRPr="00E757E9" w:rsidTr="0092129C">
        <w:tc>
          <w:tcPr>
            <w:tcW w:w="9720" w:type="dxa"/>
            <w:gridSpan w:val="3"/>
          </w:tcPr>
          <w:p w:rsidR="00D26CB5" w:rsidRPr="00E757E9" w:rsidRDefault="00D26CB5" w:rsidP="0092129C">
            <w:pPr>
              <w:pStyle w:val="form-control-static"/>
              <w:shd w:val="clear" w:color="auto" w:fill="FFFFFF"/>
              <w:spacing w:before="0" w:beforeAutospacing="0" w:after="0" w:afterAutospacing="0"/>
              <w:rPr>
                <w:rFonts w:ascii="Arial Narrow" w:hAnsi="Arial Narrow" w:cs="Arial"/>
                <w:b/>
              </w:rPr>
            </w:pPr>
            <w:r w:rsidRPr="00E757E9">
              <w:rPr>
                <w:rFonts w:ascii="Arial Narrow" w:hAnsi="Arial Narrow" w:cs="Arial"/>
                <w:b/>
              </w:rPr>
              <w:t>Results on merits:</w:t>
            </w:r>
          </w:p>
          <w:p w:rsidR="00D26CB5" w:rsidRPr="00E757E9" w:rsidRDefault="006000CB" w:rsidP="0092129C">
            <w:pPr>
              <w:pStyle w:val="form-control-static"/>
              <w:shd w:val="clear" w:color="auto" w:fill="FFFFFF"/>
              <w:spacing w:before="0" w:beforeAutospacing="0" w:after="0" w:afterAutospacing="0"/>
              <w:rPr>
                <w:rFonts w:ascii="Arial Narrow" w:hAnsi="Arial Narrow" w:cs="Arial"/>
              </w:rPr>
            </w:pPr>
            <w:r>
              <w:rPr>
                <w:rFonts w:ascii="Arial Narrow" w:hAnsi="Arial Narrow" w:cs="Arial"/>
              </w:rPr>
              <w:t>Application for condonation</w:t>
            </w:r>
          </w:p>
        </w:tc>
      </w:tr>
      <w:tr w:rsidR="00D26CB5" w:rsidRPr="00E757E9" w:rsidTr="0092129C">
        <w:tc>
          <w:tcPr>
            <w:tcW w:w="9720" w:type="dxa"/>
            <w:gridSpan w:val="3"/>
          </w:tcPr>
          <w:p w:rsidR="00D26CB5" w:rsidRPr="00E757E9" w:rsidRDefault="00D26CB5" w:rsidP="0092129C">
            <w:pPr>
              <w:spacing w:line="360" w:lineRule="auto"/>
              <w:jc w:val="both"/>
              <w:rPr>
                <w:rFonts w:ascii="Arial Narrow" w:hAnsi="Arial Narrow" w:cs="Arial"/>
                <w:b/>
                <w:sz w:val="24"/>
                <w:szCs w:val="24"/>
              </w:rPr>
            </w:pPr>
            <w:r w:rsidRPr="00E757E9">
              <w:rPr>
                <w:rFonts w:ascii="Arial Narrow" w:hAnsi="Arial Narrow" w:cs="Arial"/>
                <w:b/>
                <w:sz w:val="24"/>
                <w:szCs w:val="24"/>
              </w:rPr>
              <w:t>The order:</w:t>
            </w:r>
          </w:p>
          <w:p w:rsidR="00D26CB5" w:rsidRPr="00E757E9" w:rsidRDefault="00D26CB5" w:rsidP="0092129C">
            <w:pPr>
              <w:spacing w:line="360" w:lineRule="auto"/>
              <w:jc w:val="both"/>
              <w:rPr>
                <w:rFonts w:ascii="Arial Narrow" w:hAnsi="Arial Narrow" w:cs="Arial"/>
                <w:sz w:val="24"/>
                <w:szCs w:val="24"/>
              </w:rPr>
            </w:pPr>
            <w:r w:rsidRPr="00E757E9">
              <w:rPr>
                <w:rFonts w:ascii="Arial Narrow" w:hAnsi="Arial Narrow" w:cs="Arial"/>
                <w:sz w:val="24"/>
                <w:szCs w:val="24"/>
              </w:rPr>
              <w:t xml:space="preserve">Having heard </w:t>
            </w:r>
            <w:r w:rsidR="00A97917">
              <w:rPr>
                <w:rFonts w:ascii="Arial Narrow" w:hAnsi="Arial Narrow" w:cs="Arial"/>
                <w:b/>
                <w:sz w:val="24"/>
                <w:szCs w:val="24"/>
              </w:rPr>
              <w:t xml:space="preserve">ANKIA DELPORT </w:t>
            </w:r>
            <w:r w:rsidR="005A43DF">
              <w:rPr>
                <w:rFonts w:ascii="Arial Narrow" w:hAnsi="Arial Narrow" w:cs="Arial"/>
                <w:sz w:val="24"/>
                <w:szCs w:val="24"/>
              </w:rPr>
              <w:t xml:space="preserve">for the </w:t>
            </w:r>
            <w:r w:rsidR="00A97917">
              <w:rPr>
                <w:rFonts w:ascii="Arial Narrow" w:hAnsi="Arial Narrow" w:cs="Arial"/>
                <w:sz w:val="24"/>
                <w:szCs w:val="24"/>
              </w:rPr>
              <w:t>Applicant</w:t>
            </w:r>
            <w:r w:rsidRPr="00E757E9">
              <w:rPr>
                <w:rFonts w:ascii="Arial Narrow" w:hAnsi="Arial Narrow" w:cs="Arial"/>
                <w:sz w:val="24"/>
                <w:szCs w:val="24"/>
              </w:rPr>
              <w:t xml:space="preserve"> </w:t>
            </w:r>
            <w:r w:rsidRPr="001123FA">
              <w:rPr>
                <w:rFonts w:ascii="Arial Narrow" w:hAnsi="Arial Narrow" w:cs="Arial"/>
                <w:sz w:val="24"/>
                <w:szCs w:val="24"/>
              </w:rPr>
              <w:t xml:space="preserve">and </w:t>
            </w:r>
            <w:r w:rsidR="006000CB" w:rsidRPr="001123FA">
              <w:rPr>
                <w:rFonts w:ascii="Arial Narrow" w:hAnsi="Arial Narrow" w:cs="Arial"/>
                <w:b/>
                <w:sz w:val="24"/>
                <w:szCs w:val="24"/>
                <w:shd w:val="clear" w:color="auto" w:fill="FFFFFF"/>
              </w:rPr>
              <w:t>HENRY SHIMUTWIKENI</w:t>
            </w:r>
            <w:r w:rsidR="005A43DF" w:rsidRPr="001123FA">
              <w:rPr>
                <w:rFonts w:ascii="Arial Narrow" w:hAnsi="Arial Narrow" w:cs="Arial"/>
                <w:sz w:val="24"/>
                <w:szCs w:val="24"/>
              </w:rPr>
              <w:t xml:space="preserve">, for </w:t>
            </w:r>
            <w:r w:rsidR="005A43DF">
              <w:rPr>
                <w:rFonts w:ascii="Arial Narrow" w:hAnsi="Arial Narrow" w:cs="Arial"/>
                <w:sz w:val="24"/>
                <w:szCs w:val="24"/>
              </w:rPr>
              <w:t xml:space="preserve">the </w:t>
            </w:r>
            <w:r w:rsidR="00A97917">
              <w:rPr>
                <w:rFonts w:ascii="Arial Narrow" w:hAnsi="Arial Narrow" w:cs="Arial"/>
                <w:sz w:val="24"/>
                <w:szCs w:val="24"/>
              </w:rPr>
              <w:t>Respondent</w:t>
            </w:r>
            <w:r w:rsidRPr="00E757E9">
              <w:rPr>
                <w:rFonts w:ascii="Arial Narrow" w:hAnsi="Arial Narrow" w:cs="Arial"/>
                <w:sz w:val="24"/>
                <w:szCs w:val="24"/>
              </w:rPr>
              <w:t>, and having read the documents filed of record:</w:t>
            </w:r>
          </w:p>
          <w:p w:rsidR="00D26CB5" w:rsidRPr="00E757E9" w:rsidRDefault="00D26CB5" w:rsidP="0092129C">
            <w:pPr>
              <w:spacing w:line="360" w:lineRule="auto"/>
              <w:jc w:val="both"/>
              <w:rPr>
                <w:rFonts w:ascii="Arial Narrow" w:hAnsi="Arial Narrow" w:cs="Arial"/>
                <w:sz w:val="24"/>
                <w:szCs w:val="24"/>
              </w:rPr>
            </w:pPr>
          </w:p>
          <w:p w:rsidR="00D26CB5" w:rsidRPr="00E757E9" w:rsidRDefault="00D26CB5" w:rsidP="0092129C">
            <w:pPr>
              <w:spacing w:line="360" w:lineRule="auto"/>
              <w:jc w:val="both"/>
              <w:rPr>
                <w:rFonts w:ascii="Arial Narrow" w:hAnsi="Arial Narrow" w:cs="Arial"/>
                <w:b/>
                <w:sz w:val="24"/>
                <w:szCs w:val="24"/>
              </w:rPr>
            </w:pPr>
            <w:r w:rsidRPr="00E757E9">
              <w:rPr>
                <w:rFonts w:ascii="Arial Narrow" w:hAnsi="Arial Narrow" w:cs="Arial"/>
                <w:b/>
                <w:sz w:val="24"/>
                <w:szCs w:val="24"/>
              </w:rPr>
              <w:t xml:space="preserve">IT IS </w:t>
            </w:r>
            <w:r w:rsidR="005A43DF">
              <w:rPr>
                <w:rFonts w:ascii="Arial Narrow" w:hAnsi="Arial Narrow" w:cs="Arial"/>
                <w:b/>
                <w:sz w:val="24"/>
                <w:szCs w:val="24"/>
              </w:rPr>
              <w:t xml:space="preserve">HEREBY </w:t>
            </w:r>
            <w:r w:rsidRPr="00E757E9">
              <w:rPr>
                <w:rFonts w:ascii="Arial Narrow" w:hAnsi="Arial Narrow" w:cs="Arial"/>
                <w:b/>
                <w:sz w:val="24"/>
                <w:szCs w:val="24"/>
              </w:rPr>
              <w:t>ORDERED THAT:</w:t>
            </w:r>
          </w:p>
          <w:p w:rsidR="00AB77A2" w:rsidRPr="00247BE3" w:rsidRDefault="00AB77A2" w:rsidP="0047650B">
            <w:pPr>
              <w:pStyle w:val="NormalWeb"/>
              <w:ind w:left="612" w:hanging="612"/>
              <w:jc w:val="both"/>
              <w:rPr>
                <w:rFonts w:ascii="Arial Narrow" w:hAnsi="Arial Narrow"/>
                <w:color w:val="000000"/>
              </w:rPr>
            </w:pPr>
            <w:r>
              <w:rPr>
                <w:rFonts w:ascii="Arial Narrow" w:hAnsi="Arial Narrow"/>
                <w:color w:val="000000"/>
              </w:rPr>
              <w:t xml:space="preserve">       </w:t>
            </w:r>
            <w:r w:rsidRPr="00247BE3">
              <w:rPr>
                <w:rFonts w:ascii="Arial Narrow" w:hAnsi="Arial Narrow"/>
                <w:color w:val="000000"/>
              </w:rPr>
              <w:t>1. Plaintiff/Respondent's non-compliance with the </w:t>
            </w:r>
            <w:r w:rsidRPr="00247BE3">
              <w:rPr>
                <w:rStyle w:val="Emphasis"/>
                <w:rFonts w:ascii="Arial Narrow" w:hAnsi="Arial Narrow"/>
                <w:color w:val="000000"/>
              </w:rPr>
              <w:t>dies</w:t>
            </w:r>
            <w:r w:rsidRPr="00247BE3">
              <w:rPr>
                <w:rFonts w:ascii="Arial Narrow" w:hAnsi="Arial Narrow"/>
                <w:color w:val="000000"/>
              </w:rPr>
              <w:t xml:space="preserve"> afforded for the filing of the answering affidavit in </w:t>
            </w:r>
            <w:r>
              <w:rPr>
                <w:rFonts w:ascii="Arial Narrow" w:hAnsi="Arial Narrow"/>
                <w:color w:val="000000"/>
              </w:rPr>
              <w:t xml:space="preserve">   </w:t>
            </w:r>
            <w:r w:rsidR="0047650B">
              <w:rPr>
                <w:rFonts w:ascii="Arial Narrow" w:hAnsi="Arial Narrow"/>
                <w:color w:val="000000"/>
              </w:rPr>
              <w:t xml:space="preserve">     </w:t>
            </w:r>
            <w:r w:rsidRPr="00247BE3">
              <w:rPr>
                <w:rFonts w:ascii="Arial Narrow" w:hAnsi="Arial Narrow"/>
                <w:color w:val="000000"/>
              </w:rPr>
              <w:t>the Defendant/Applicant's application for rescission of judgment is hereby condoned. </w:t>
            </w:r>
          </w:p>
          <w:p w:rsidR="00AB77A2" w:rsidRPr="00247BE3" w:rsidRDefault="00AB77A2" w:rsidP="00AB77A2">
            <w:pPr>
              <w:pStyle w:val="NormalWeb"/>
              <w:jc w:val="both"/>
              <w:rPr>
                <w:rFonts w:ascii="Arial Narrow" w:hAnsi="Arial Narrow"/>
                <w:color w:val="000000"/>
              </w:rPr>
            </w:pPr>
            <w:r>
              <w:rPr>
                <w:rFonts w:ascii="Arial Narrow" w:hAnsi="Arial Narrow"/>
                <w:color w:val="000000"/>
              </w:rPr>
              <w:t xml:space="preserve">        </w:t>
            </w:r>
            <w:r w:rsidRPr="00247BE3">
              <w:rPr>
                <w:rFonts w:ascii="Arial Narrow" w:hAnsi="Arial Narrow"/>
                <w:color w:val="000000"/>
              </w:rPr>
              <w:t>2. Costs to follow the event.</w:t>
            </w:r>
          </w:p>
          <w:p w:rsidR="00AB77A2" w:rsidRPr="00247BE3" w:rsidRDefault="00AB77A2" w:rsidP="00AB77A2">
            <w:pPr>
              <w:pStyle w:val="NormalWeb"/>
              <w:jc w:val="both"/>
              <w:rPr>
                <w:rFonts w:ascii="Arial Narrow" w:hAnsi="Arial Narrow"/>
                <w:color w:val="000000"/>
              </w:rPr>
            </w:pPr>
            <w:r w:rsidRPr="00247BE3">
              <w:rPr>
                <w:rStyle w:val="Strong"/>
                <w:rFonts w:ascii="Arial Narrow" w:hAnsi="Arial Narrow"/>
                <w:color w:val="000000"/>
                <w:u w:val="single"/>
              </w:rPr>
              <w:t>Further Conduct of the Matter:</w:t>
            </w:r>
          </w:p>
          <w:p w:rsidR="00AB77A2" w:rsidRPr="00247BE3" w:rsidRDefault="00AB77A2" w:rsidP="0047650B">
            <w:pPr>
              <w:pStyle w:val="NormalWeb"/>
              <w:ind w:left="612" w:hanging="612"/>
              <w:jc w:val="both"/>
              <w:rPr>
                <w:rFonts w:ascii="Arial Narrow" w:hAnsi="Arial Narrow"/>
                <w:color w:val="000000"/>
              </w:rPr>
            </w:pPr>
            <w:r>
              <w:rPr>
                <w:rFonts w:ascii="Arial Narrow" w:hAnsi="Arial Narrow"/>
                <w:color w:val="000000"/>
              </w:rPr>
              <w:t xml:space="preserve">        </w:t>
            </w:r>
            <w:r w:rsidRPr="00247BE3">
              <w:rPr>
                <w:rFonts w:ascii="Arial Narrow" w:hAnsi="Arial Narrow"/>
                <w:color w:val="000000"/>
              </w:rPr>
              <w:t>3. The case is postponed to </w:t>
            </w:r>
            <w:r w:rsidRPr="00247BE3">
              <w:rPr>
                <w:rStyle w:val="Strong"/>
                <w:rFonts w:ascii="Arial Narrow" w:hAnsi="Arial Narrow"/>
                <w:color w:val="000000"/>
              </w:rPr>
              <w:t>11/04/2019</w:t>
            </w:r>
            <w:r w:rsidRPr="00247BE3">
              <w:rPr>
                <w:rFonts w:ascii="Arial Narrow" w:hAnsi="Arial Narrow"/>
                <w:color w:val="000000"/>
              </w:rPr>
              <w:t> at </w:t>
            </w:r>
            <w:r w:rsidRPr="00247BE3">
              <w:rPr>
                <w:rStyle w:val="Strong"/>
                <w:rFonts w:ascii="Arial Narrow" w:hAnsi="Arial Narrow"/>
                <w:color w:val="000000"/>
              </w:rPr>
              <w:t>15:00</w:t>
            </w:r>
            <w:r w:rsidRPr="00247BE3">
              <w:rPr>
                <w:rFonts w:ascii="Arial Narrow" w:hAnsi="Arial Narrow"/>
                <w:color w:val="000000"/>
              </w:rPr>
              <w:t> for Status hearing (Reason: For further directions from the Managing Judge regarding the application for rescission).</w:t>
            </w:r>
          </w:p>
          <w:p w:rsidR="00AB77A2" w:rsidRPr="007B2011" w:rsidRDefault="00AB77A2" w:rsidP="007B2011">
            <w:pPr>
              <w:pStyle w:val="NormalWeb"/>
              <w:spacing w:after="120" w:afterAutospacing="0"/>
              <w:jc w:val="both"/>
              <w:rPr>
                <w:rFonts w:ascii="Arial Narrow" w:hAnsi="Arial Narrow"/>
                <w:color w:val="000000"/>
              </w:rPr>
            </w:pPr>
            <w:r>
              <w:rPr>
                <w:rFonts w:ascii="Arial Narrow" w:hAnsi="Arial Narrow"/>
                <w:color w:val="000000"/>
              </w:rPr>
              <w:t xml:space="preserve">       </w:t>
            </w:r>
            <w:r w:rsidRPr="00247BE3">
              <w:rPr>
                <w:rFonts w:ascii="Arial Narrow" w:hAnsi="Arial Narrow"/>
                <w:color w:val="000000"/>
              </w:rPr>
              <w:t>4. Joint status report must be filed on or before </w:t>
            </w:r>
            <w:r w:rsidRPr="00247BE3">
              <w:rPr>
                <w:rFonts w:ascii="Arial Narrow" w:hAnsi="Arial Narrow"/>
                <w:color w:val="000000"/>
                <w:u w:val="single"/>
              </w:rPr>
              <w:t>08/04/2019</w:t>
            </w:r>
            <w:r w:rsidRPr="00247BE3">
              <w:rPr>
                <w:rFonts w:ascii="Arial Narrow" w:hAnsi="Arial Narrow"/>
                <w:color w:val="000000"/>
              </w:rPr>
              <w:t>.</w:t>
            </w:r>
          </w:p>
        </w:tc>
      </w:tr>
      <w:tr w:rsidR="00D26CB5" w:rsidRPr="00E757E9" w:rsidTr="0092129C">
        <w:tc>
          <w:tcPr>
            <w:tcW w:w="9720" w:type="dxa"/>
            <w:gridSpan w:val="3"/>
          </w:tcPr>
          <w:p w:rsidR="00D26CB5" w:rsidRPr="00E757E9" w:rsidRDefault="00D26CB5" w:rsidP="0092129C">
            <w:pPr>
              <w:spacing w:line="360" w:lineRule="auto"/>
              <w:jc w:val="both"/>
              <w:rPr>
                <w:rFonts w:ascii="Arial Narrow" w:hAnsi="Arial Narrow" w:cs="Arial"/>
                <w:b/>
                <w:sz w:val="24"/>
                <w:szCs w:val="24"/>
              </w:rPr>
            </w:pPr>
            <w:r w:rsidRPr="00E757E9">
              <w:rPr>
                <w:rFonts w:ascii="Arial Narrow" w:hAnsi="Arial Narrow" w:cs="Arial"/>
                <w:b/>
                <w:sz w:val="24"/>
                <w:szCs w:val="24"/>
              </w:rPr>
              <w:t>Reasons for orders:</w:t>
            </w:r>
          </w:p>
        </w:tc>
      </w:tr>
      <w:tr w:rsidR="00D26CB5" w:rsidRPr="00DE5F56" w:rsidTr="00194111">
        <w:tc>
          <w:tcPr>
            <w:tcW w:w="9720" w:type="dxa"/>
            <w:gridSpan w:val="3"/>
            <w:shd w:val="clear" w:color="auto" w:fill="auto"/>
          </w:tcPr>
          <w:p w:rsidR="000B31F0" w:rsidRPr="00DE5F56" w:rsidRDefault="000B31F0" w:rsidP="00010FE7">
            <w:pPr>
              <w:tabs>
                <w:tab w:val="left" w:pos="1275"/>
              </w:tabs>
              <w:spacing w:line="360" w:lineRule="auto"/>
              <w:jc w:val="both"/>
              <w:rPr>
                <w:rFonts w:ascii="Arial Narrow" w:hAnsi="Arial Narrow" w:cs="Arial"/>
                <w:sz w:val="24"/>
                <w:szCs w:val="24"/>
              </w:rPr>
            </w:pPr>
          </w:p>
          <w:p w:rsidR="00010FE7" w:rsidRPr="00DE5F56" w:rsidRDefault="00010FE7" w:rsidP="00010FE7">
            <w:pPr>
              <w:tabs>
                <w:tab w:val="left" w:pos="1275"/>
              </w:tabs>
              <w:spacing w:line="360" w:lineRule="auto"/>
              <w:jc w:val="both"/>
              <w:rPr>
                <w:rFonts w:ascii="Arial Narrow" w:hAnsi="Arial Narrow" w:cs="Arial"/>
                <w:sz w:val="24"/>
                <w:szCs w:val="24"/>
                <w:u w:val="single"/>
              </w:rPr>
            </w:pPr>
            <w:r w:rsidRPr="00DE5F56">
              <w:rPr>
                <w:rFonts w:ascii="Arial Narrow" w:hAnsi="Arial Narrow" w:cs="Arial"/>
                <w:sz w:val="24"/>
                <w:szCs w:val="24"/>
                <w:u w:val="single"/>
              </w:rPr>
              <w:t>Introduction</w:t>
            </w:r>
            <w:r w:rsidR="00C861E1" w:rsidRPr="00DE5F56">
              <w:rPr>
                <w:rFonts w:ascii="Arial Narrow" w:hAnsi="Arial Narrow" w:cs="Arial"/>
                <w:sz w:val="24"/>
                <w:szCs w:val="24"/>
                <w:u w:val="single"/>
              </w:rPr>
              <w:t xml:space="preserve"> and brief background</w:t>
            </w:r>
          </w:p>
          <w:p w:rsidR="00C861E1" w:rsidRPr="00DE5F56" w:rsidRDefault="00C861E1" w:rsidP="00010FE7">
            <w:pPr>
              <w:tabs>
                <w:tab w:val="left" w:pos="1275"/>
              </w:tabs>
              <w:spacing w:line="360" w:lineRule="auto"/>
              <w:jc w:val="both"/>
              <w:rPr>
                <w:rFonts w:ascii="Arial Narrow" w:hAnsi="Arial Narrow" w:cs="Arial"/>
                <w:sz w:val="24"/>
                <w:szCs w:val="24"/>
              </w:rPr>
            </w:pPr>
          </w:p>
          <w:p w:rsidR="00ED4D51" w:rsidRPr="00DE5F56" w:rsidRDefault="00C861E1" w:rsidP="00A873AE">
            <w:pPr>
              <w:spacing w:line="360" w:lineRule="auto"/>
              <w:jc w:val="both"/>
              <w:rPr>
                <w:rFonts w:ascii="Arial Narrow" w:hAnsi="Arial Narrow" w:cs="Arial"/>
                <w:sz w:val="24"/>
                <w:szCs w:val="24"/>
              </w:rPr>
            </w:pPr>
            <w:r w:rsidRPr="00DE5F56">
              <w:rPr>
                <w:rFonts w:ascii="Arial Narrow" w:hAnsi="Arial Narrow" w:cs="Arial"/>
                <w:sz w:val="24"/>
                <w:szCs w:val="24"/>
              </w:rPr>
              <w:lastRenderedPageBreak/>
              <w:t>[1]</w:t>
            </w:r>
            <w:r w:rsidR="00536735">
              <w:rPr>
                <w:rFonts w:ascii="Arial Narrow" w:hAnsi="Arial Narrow" w:cs="Arial"/>
                <w:sz w:val="24"/>
                <w:szCs w:val="24"/>
              </w:rPr>
              <w:t xml:space="preserve">     </w:t>
            </w:r>
            <w:r w:rsidR="002A7603" w:rsidRPr="00DE5F56">
              <w:rPr>
                <w:rFonts w:ascii="Arial Narrow" w:hAnsi="Arial Narrow" w:cs="Arial"/>
                <w:sz w:val="24"/>
                <w:szCs w:val="24"/>
              </w:rPr>
              <w:t>The matter before me has a long and troubled history consisting of a number of applications and the latest in the long line of applications is an application for rescission of judgment which</w:t>
            </w:r>
            <w:r w:rsidR="00BE7884" w:rsidRPr="00071486">
              <w:rPr>
                <w:rFonts w:ascii="Arial Narrow" w:hAnsi="Arial Narrow" w:cs="Arial"/>
                <w:sz w:val="24"/>
                <w:szCs w:val="24"/>
              </w:rPr>
              <w:t xml:space="preserve"> judgment</w:t>
            </w:r>
            <w:r w:rsidR="002A7603" w:rsidRPr="00071486">
              <w:rPr>
                <w:rFonts w:ascii="Arial Narrow" w:hAnsi="Arial Narrow" w:cs="Arial"/>
                <w:sz w:val="24"/>
                <w:szCs w:val="24"/>
              </w:rPr>
              <w:t xml:space="preserve"> </w:t>
            </w:r>
            <w:r w:rsidR="002A7603" w:rsidRPr="00DE5F56">
              <w:rPr>
                <w:rFonts w:ascii="Arial Narrow" w:hAnsi="Arial Narrow" w:cs="Arial"/>
                <w:sz w:val="24"/>
                <w:szCs w:val="24"/>
              </w:rPr>
              <w:t xml:space="preserve">was granted on </w:t>
            </w:r>
            <w:r w:rsidR="00375F61" w:rsidRPr="00DE5F56">
              <w:rPr>
                <w:rFonts w:ascii="Arial Narrow" w:hAnsi="Arial Narrow" w:cs="Arial"/>
                <w:sz w:val="24"/>
                <w:szCs w:val="24"/>
              </w:rPr>
              <w:t>23 August 2018 by default</w:t>
            </w:r>
            <w:r w:rsidR="002A7603" w:rsidRPr="00DE5F56">
              <w:rPr>
                <w:rFonts w:ascii="Arial Narrow" w:hAnsi="Arial Narrow" w:cs="Arial"/>
                <w:sz w:val="24"/>
                <w:szCs w:val="24"/>
              </w:rPr>
              <w:t xml:space="preserve"> under </w:t>
            </w:r>
            <w:r w:rsidR="00552F8B" w:rsidRPr="00DE5F56">
              <w:rPr>
                <w:rFonts w:ascii="Arial Narrow" w:hAnsi="Arial Narrow" w:cs="Arial"/>
                <w:sz w:val="24"/>
                <w:szCs w:val="24"/>
              </w:rPr>
              <w:t>the current case number</w:t>
            </w:r>
            <w:r w:rsidR="002A7603" w:rsidRPr="00DE5F56">
              <w:rPr>
                <w:rFonts w:ascii="Arial Narrow" w:hAnsi="Arial Narrow" w:cs="Arial"/>
                <w:sz w:val="24"/>
                <w:szCs w:val="24"/>
              </w:rPr>
              <w:t xml:space="preserve">. </w:t>
            </w:r>
            <w:r w:rsidR="00536735" w:rsidRPr="00BE7884">
              <w:rPr>
                <w:rFonts w:ascii="Arial Narrow" w:hAnsi="Arial Narrow" w:cs="Arial"/>
                <w:sz w:val="24"/>
                <w:szCs w:val="24"/>
              </w:rPr>
              <w:t>B</w:t>
            </w:r>
            <w:r w:rsidR="00ED4D51" w:rsidRPr="00BE7884">
              <w:rPr>
                <w:rFonts w:ascii="Arial Narrow" w:hAnsi="Arial Narrow" w:cs="Arial"/>
                <w:sz w:val="24"/>
                <w:szCs w:val="24"/>
              </w:rPr>
              <w:t xml:space="preserve">ecause of the history of the matter and in order to avoid any confusion when there is reference to the parties I will refer to them as they are in the rescission application. </w:t>
            </w:r>
            <w:r w:rsidR="00552F8B" w:rsidRPr="00BE7884">
              <w:rPr>
                <w:rFonts w:ascii="Arial Narrow" w:hAnsi="Arial Narrow" w:cs="Arial"/>
                <w:sz w:val="24"/>
                <w:szCs w:val="24"/>
              </w:rPr>
              <w:t xml:space="preserve">The rescission application was brought </w:t>
            </w:r>
            <w:r w:rsidR="00ED4D51" w:rsidRPr="00BE7884">
              <w:rPr>
                <w:rFonts w:ascii="Arial Narrow" w:hAnsi="Arial Narrow" w:cs="Arial"/>
                <w:sz w:val="24"/>
                <w:szCs w:val="24"/>
              </w:rPr>
              <w:t>on 27 September 2018, in terms of which the respondent was required to file his notice to oppose on or before 05 October 2018 and answering affidavit on or before 26 October 2018. The respondent file</w:t>
            </w:r>
            <w:r w:rsidR="00536735" w:rsidRPr="00BE7884">
              <w:rPr>
                <w:rFonts w:ascii="Arial Narrow" w:hAnsi="Arial Narrow" w:cs="Arial"/>
                <w:sz w:val="24"/>
                <w:szCs w:val="24"/>
              </w:rPr>
              <w:t>d</w:t>
            </w:r>
            <w:r w:rsidR="00ED4D51" w:rsidRPr="00DE5F56">
              <w:rPr>
                <w:rFonts w:ascii="Arial Narrow" w:hAnsi="Arial Narrow" w:cs="Arial"/>
                <w:sz w:val="24"/>
                <w:szCs w:val="24"/>
              </w:rPr>
              <w:t xml:space="preserve"> his notice of opposition on 01 October 2018. The applicant however filed a further Notice of Motion on 10 October 2018 praying for </w:t>
            </w:r>
            <w:r w:rsidR="00487D58">
              <w:rPr>
                <w:rFonts w:ascii="Arial Narrow" w:hAnsi="Arial Narrow" w:cs="Arial"/>
                <w:sz w:val="24"/>
                <w:szCs w:val="24"/>
              </w:rPr>
              <w:t xml:space="preserve">similar relief but on an </w:t>
            </w:r>
            <w:r w:rsidR="00487D58" w:rsidRPr="00487D58">
              <w:rPr>
                <w:rFonts w:ascii="Arial Narrow" w:hAnsi="Arial Narrow" w:cs="Arial"/>
                <w:sz w:val="24"/>
                <w:szCs w:val="24"/>
              </w:rPr>
              <w:t>urgent</w:t>
            </w:r>
            <w:r w:rsidR="00ED4D51" w:rsidRPr="00487D58">
              <w:rPr>
                <w:rFonts w:ascii="Arial Narrow" w:hAnsi="Arial Narrow" w:cs="Arial"/>
                <w:sz w:val="24"/>
                <w:szCs w:val="24"/>
              </w:rPr>
              <w:t xml:space="preserve"> </w:t>
            </w:r>
            <w:r w:rsidR="00BE7884" w:rsidRPr="00487D58">
              <w:rPr>
                <w:rFonts w:ascii="Arial Narrow" w:hAnsi="Arial Narrow" w:cs="Arial"/>
                <w:sz w:val="24"/>
                <w:szCs w:val="24"/>
              </w:rPr>
              <w:t xml:space="preserve">basis </w:t>
            </w:r>
            <w:r w:rsidR="00ED4D51" w:rsidRPr="00487D58">
              <w:rPr>
                <w:rFonts w:ascii="Arial Narrow" w:hAnsi="Arial Narrow" w:cs="Arial"/>
                <w:sz w:val="24"/>
                <w:szCs w:val="24"/>
              </w:rPr>
              <w:t xml:space="preserve">as </w:t>
            </w:r>
            <w:r w:rsidR="00ED4D51" w:rsidRPr="00DE5F56">
              <w:rPr>
                <w:rFonts w:ascii="Arial Narrow" w:hAnsi="Arial Narrow" w:cs="Arial"/>
                <w:sz w:val="24"/>
                <w:szCs w:val="24"/>
              </w:rPr>
              <w:t>it would appear that execution of the writ of execution was eminent. The latter application did not proceed as it would appear that the respondent</w:t>
            </w:r>
            <w:r w:rsidR="00536735" w:rsidRPr="00573DD8">
              <w:rPr>
                <w:rFonts w:ascii="Arial Narrow" w:hAnsi="Arial Narrow" w:cs="Arial"/>
                <w:sz w:val="24"/>
                <w:szCs w:val="24"/>
              </w:rPr>
              <w:t>,</w:t>
            </w:r>
            <w:r w:rsidR="00ED4D51" w:rsidRPr="00DE5F56">
              <w:rPr>
                <w:rFonts w:ascii="Arial Narrow" w:hAnsi="Arial Narrow" w:cs="Arial"/>
                <w:sz w:val="24"/>
                <w:szCs w:val="24"/>
              </w:rPr>
              <w:t xml:space="preserve"> through his legal practitioner at the time, Mrs</w:t>
            </w:r>
            <w:r w:rsidR="00BE7884" w:rsidRPr="006D1C3B">
              <w:rPr>
                <w:rFonts w:ascii="Arial Narrow" w:hAnsi="Arial Narrow" w:cs="Arial"/>
                <w:sz w:val="24"/>
                <w:szCs w:val="24"/>
              </w:rPr>
              <w:t xml:space="preserve"> </w:t>
            </w:r>
            <w:r w:rsidR="00ED4D51" w:rsidRPr="006D1C3B">
              <w:rPr>
                <w:rFonts w:ascii="Arial Narrow" w:hAnsi="Arial Narrow" w:cs="Arial"/>
                <w:sz w:val="24"/>
                <w:szCs w:val="24"/>
              </w:rPr>
              <w:t>C</w:t>
            </w:r>
            <w:r w:rsidR="00ED4D51" w:rsidRPr="00DE5F56">
              <w:rPr>
                <w:rFonts w:ascii="Arial Narrow" w:hAnsi="Arial Narrow" w:cs="Arial"/>
                <w:sz w:val="24"/>
                <w:szCs w:val="24"/>
              </w:rPr>
              <w:t xml:space="preserve">elliers, agreed to keep the execution of the writ in abeyance pending the outcome of the application for rescission. </w:t>
            </w:r>
          </w:p>
          <w:p w:rsidR="00ED4D51" w:rsidRPr="00DE5F56" w:rsidRDefault="00ED4D51" w:rsidP="00A873AE">
            <w:pPr>
              <w:spacing w:line="360" w:lineRule="auto"/>
              <w:jc w:val="both"/>
              <w:rPr>
                <w:rFonts w:ascii="Arial Narrow" w:hAnsi="Arial Narrow" w:cs="Arial"/>
                <w:sz w:val="24"/>
                <w:szCs w:val="24"/>
              </w:rPr>
            </w:pPr>
          </w:p>
          <w:p w:rsidR="00ED4D51" w:rsidRPr="00DE5F56" w:rsidRDefault="00536735" w:rsidP="00A873AE">
            <w:pPr>
              <w:spacing w:line="360" w:lineRule="auto"/>
              <w:jc w:val="both"/>
              <w:rPr>
                <w:rFonts w:ascii="Arial Narrow" w:hAnsi="Arial Narrow" w:cs="Arial"/>
                <w:sz w:val="24"/>
                <w:szCs w:val="24"/>
              </w:rPr>
            </w:pPr>
            <w:r>
              <w:rPr>
                <w:rFonts w:ascii="Arial Narrow" w:hAnsi="Arial Narrow" w:cs="Arial"/>
                <w:sz w:val="24"/>
                <w:szCs w:val="24"/>
              </w:rPr>
              <w:t xml:space="preserve">[2]     </w:t>
            </w:r>
            <w:r w:rsidR="00ED4D51" w:rsidRPr="00DE5F56">
              <w:rPr>
                <w:rFonts w:ascii="Arial Narrow" w:hAnsi="Arial Narrow" w:cs="Arial"/>
                <w:sz w:val="24"/>
                <w:szCs w:val="24"/>
              </w:rPr>
              <w:t xml:space="preserve">The legal practitioner of the respondent withdrew as counsel of record as she closed her practice with effect from 18 October 2018. Her formal withdrawal as legal practitioner of record was filed with the assistance of the Law Society of Namibia on 25 October 2018. Mrs. Delport then came on record on the same date as the new legal practitioner on behalf of the respondent. She also filed a status report on even date requesting a chamber meeting and also set out the fact that the respondent is unable to comply with the timeline as set in the Notice of Motion. </w:t>
            </w:r>
          </w:p>
          <w:p w:rsidR="00ED4D51" w:rsidRPr="00DE5F56" w:rsidRDefault="00ED4D51" w:rsidP="00A873AE">
            <w:pPr>
              <w:spacing w:line="360" w:lineRule="auto"/>
              <w:jc w:val="both"/>
              <w:rPr>
                <w:rFonts w:ascii="Arial Narrow" w:hAnsi="Arial Narrow" w:cs="Arial"/>
                <w:sz w:val="24"/>
                <w:szCs w:val="24"/>
              </w:rPr>
            </w:pPr>
          </w:p>
          <w:p w:rsidR="00ED4D51" w:rsidRPr="00DE5F56" w:rsidRDefault="00536735" w:rsidP="00A873AE">
            <w:pPr>
              <w:spacing w:line="360" w:lineRule="auto"/>
              <w:jc w:val="both"/>
              <w:rPr>
                <w:rFonts w:ascii="Arial Narrow" w:hAnsi="Arial Narrow" w:cs="Arial"/>
                <w:sz w:val="24"/>
                <w:szCs w:val="24"/>
              </w:rPr>
            </w:pPr>
            <w:r>
              <w:rPr>
                <w:rFonts w:ascii="Arial Narrow" w:hAnsi="Arial Narrow" w:cs="Arial"/>
                <w:sz w:val="24"/>
                <w:szCs w:val="24"/>
              </w:rPr>
              <w:t xml:space="preserve">[3]     </w:t>
            </w:r>
            <w:r w:rsidR="00ED4D51" w:rsidRPr="00DE5F56">
              <w:rPr>
                <w:rFonts w:ascii="Arial Narrow" w:hAnsi="Arial Narrow" w:cs="Arial"/>
                <w:sz w:val="24"/>
                <w:szCs w:val="24"/>
              </w:rPr>
              <w:t xml:space="preserve">The status report did not come to the attention of the managing judge and the chamber meeting was not scheduled as requested by Mrs. Delport. However, on 16 November 2018 an application for condonation was filed on behalf of the respondent. This application for condonation was opposed by the applicant. </w:t>
            </w:r>
          </w:p>
          <w:p w:rsidR="00ED4D51" w:rsidRPr="00DE5F56" w:rsidRDefault="00ED4D51" w:rsidP="00A873AE">
            <w:pPr>
              <w:spacing w:line="360" w:lineRule="auto"/>
              <w:jc w:val="both"/>
              <w:rPr>
                <w:rFonts w:ascii="Arial Narrow" w:hAnsi="Arial Narrow" w:cs="Arial"/>
                <w:sz w:val="24"/>
                <w:szCs w:val="24"/>
              </w:rPr>
            </w:pPr>
          </w:p>
          <w:p w:rsidR="00ED4D51" w:rsidRPr="00DE5F56" w:rsidRDefault="00536735" w:rsidP="00A873AE">
            <w:pPr>
              <w:spacing w:line="360" w:lineRule="auto"/>
              <w:jc w:val="both"/>
              <w:rPr>
                <w:rFonts w:ascii="Arial Narrow" w:hAnsi="Arial Narrow" w:cs="Arial"/>
                <w:sz w:val="24"/>
                <w:szCs w:val="24"/>
              </w:rPr>
            </w:pPr>
            <w:r>
              <w:rPr>
                <w:rFonts w:ascii="Arial Narrow" w:hAnsi="Arial Narrow" w:cs="Arial"/>
                <w:sz w:val="24"/>
                <w:szCs w:val="24"/>
              </w:rPr>
              <w:t xml:space="preserve">[4]     </w:t>
            </w:r>
            <w:r w:rsidR="00ED4D51" w:rsidRPr="00DE5F56">
              <w:rPr>
                <w:rFonts w:ascii="Arial Narrow" w:hAnsi="Arial Narrow" w:cs="Arial"/>
                <w:sz w:val="24"/>
                <w:szCs w:val="24"/>
              </w:rPr>
              <w:t>The matter was enrolled for 29 November 2018, according to the Notice of Motion, on the judicial case management roll on which date Mrs. Delport indicated that she will withdraw the application due to non-compliance with rule 32(9) and (10</w:t>
            </w:r>
            <w:r w:rsidR="00ED4D51" w:rsidRPr="00BE7884">
              <w:rPr>
                <w:rFonts w:ascii="Arial Narrow" w:hAnsi="Arial Narrow" w:cs="Arial"/>
                <w:sz w:val="24"/>
                <w:szCs w:val="24"/>
              </w:rPr>
              <w:t xml:space="preserve">) </w:t>
            </w:r>
            <w:r w:rsidRPr="00BE7884">
              <w:rPr>
                <w:rFonts w:ascii="Arial Narrow" w:hAnsi="Arial Narrow" w:cs="Arial"/>
                <w:sz w:val="24"/>
                <w:szCs w:val="24"/>
              </w:rPr>
              <w:t xml:space="preserve">she thereafter </w:t>
            </w:r>
            <w:r w:rsidR="00ED4D51" w:rsidRPr="00BE7884">
              <w:rPr>
                <w:rFonts w:ascii="Arial Narrow" w:hAnsi="Arial Narrow" w:cs="Arial"/>
                <w:sz w:val="24"/>
                <w:szCs w:val="24"/>
              </w:rPr>
              <w:t xml:space="preserve">proceeded to file a fresh application that </w:t>
            </w:r>
            <w:r w:rsidRPr="00BE7884">
              <w:rPr>
                <w:rFonts w:ascii="Arial Narrow" w:hAnsi="Arial Narrow" w:cs="Arial"/>
                <w:sz w:val="24"/>
                <w:szCs w:val="24"/>
              </w:rPr>
              <w:t>co</w:t>
            </w:r>
            <w:r w:rsidR="00BE7884" w:rsidRPr="00BE7884">
              <w:rPr>
                <w:rFonts w:ascii="Arial Narrow" w:hAnsi="Arial Narrow" w:cs="Arial"/>
                <w:sz w:val="24"/>
                <w:szCs w:val="24"/>
              </w:rPr>
              <w:t>m</w:t>
            </w:r>
            <w:r w:rsidRPr="00BE7884">
              <w:rPr>
                <w:rFonts w:ascii="Arial Narrow" w:hAnsi="Arial Narrow" w:cs="Arial"/>
                <w:sz w:val="24"/>
                <w:szCs w:val="24"/>
              </w:rPr>
              <w:t xml:space="preserve">plied </w:t>
            </w:r>
            <w:r w:rsidR="00ED4D51" w:rsidRPr="00DE5F56">
              <w:rPr>
                <w:rFonts w:ascii="Arial Narrow" w:hAnsi="Arial Narrow" w:cs="Arial"/>
                <w:sz w:val="24"/>
                <w:szCs w:val="24"/>
              </w:rPr>
              <w:t>with rule 32(9) and (10)</w:t>
            </w:r>
            <w:r>
              <w:rPr>
                <w:rFonts w:ascii="Arial Narrow" w:hAnsi="Arial Narrow" w:cs="Arial"/>
                <w:color w:val="FF0000"/>
                <w:sz w:val="24"/>
                <w:szCs w:val="24"/>
              </w:rPr>
              <w:t>.</w:t>
            </w:r>
            <w:r w:rsidR="00ED4D51" w:rsidRPr="00BE7884">
              <w:rPr>
                <w:rFonts w:ascii="Arial Narrow" w:hAnsi="Arial Narrow" w:cs="Arial"/>
                <w:sz w:val="24"/>
                <w:szCs w:val="24"/>
              </w:rPr>
              <w:t xml:space="preserve"> </w:t>
            </w:r>
          </w:p>
          <w:p w:rsidR="00ED4D51" w:rsidRPr="00DE5F56" w:rsidRDefault="00ED4D51" w:rsidP="00A873AE">
            <w:pPr>
              <w:spacing w:line="360" w:lineRule="auto"/>
              <w:jc w:val="both"/>
              <w:rPr>
                <w:rFonts w:ascii="Arial Narrow" w:hAnsi="Arial Narrow" w:cs="Arial"/>
                <w:sz w:val="24"/>
                <w:szCs w:val="24"/>
              </w:rPr>
            </w:pPr>
          </w:p>
          <w:p w:rsidR="00ED4D51" w:rsidRDefault="00536735" w:rsidP="00A873AE">
            <w:pPr>
              <w:spacing w:line="360" w:lineRule="auto"/>
              <w:jc w:val="both"/>
              <w:rPr>
                <w:rFonts w:ascii="Arial Narrow" w:hAnsi="Arial Narrow" w:cs="Arial"/>
                <w:sz w:val="24"/>
                <w:szCs w:val="24"/>
              </w:rPr>
            </w:pPr>
            <w:r>
              <w:rPr>
                <w:rFonts w:ascii="Arial Narrow" w:hAnsi="Arial Narrow" w:cs="Arial"/>
                <w:sz w:val="24"/>
                <w:szCs w:val="24"/>
              </w:rPr>
              <w:t xml:space="preserve">[5]     </w:t>
            </w:r>
            <w:r w:rsidR="00ED4D51" w:rsidRPr="00DE5F56">
              <w:rPr>
                <w:rFonts w:ascii="Arial Narrow" w:hAnsi="Arial Narrow" w:cs="Arial"/>
                <w:sz w:val="24"/>
                <w:szCs w:val="24"/>
              </w:rPr>
              <w:t xml:space="preserve">In his Notice of Motion the respondent prayed for the following relief: </w:t>
            </w:r>
          </w:p>
          <w:p w:rsidR="00536735" w:rsidRPr="00DE5F56" w:rsidRDefault="00536735" w:rsidP="00A873AE">
            <w:pPr>
              <w:spacing w:line="360" w:lineRule="auto"/>
              <w:jc w:val="both"/>
              <w:rPr>
                <w:rFonts w:ascii="Arial Narrow" w:hAnsi="Arial Narrow" w:cs="Arial"/>
                <w:sz w:val="24"/>
                <w:szCs w:val="24"/>
              </w:rPr>
            </w:pPr>
          </w:p>
          <w:p w:rsidR="006000CB" w:rsidRPr="00DE5F56" w:rsidRDefault="006000CB" w:rsidP="007332A6">
            <w:pPr>
              <w:tabs>
                <w:tab w:val="left" w:pos="2085"/>
              </w:tabs>
              <w:spacing w:line="360" w:lineRule="auto"/>
              <w:ind w:left="792" w:hanging="792"/>
              <w:jc w:val="both"/>
              <w:rPr>
                <w:rFonts w:ascii="Arial Narrow" w:hAnsi="Arial Narrow" w:cs="Arial"/>
                <w:sz w:val="24"/>
                <w:szCs w:val="24"/>
              </w:rPr>
            </w:pPr>
            <w:r w:rsidRPr="00DE5F56">
              <w:rPr>
                <w:rFonts w:ascii="Arial Narrow" w:hAnsi="Arial Narrow" w:cs="Arial"/>
                <w:sz w:val="24"/>
                <w:szCs w:val="24"/>
              </w:rPr>
              <w:t xml:space="preserve">         ‘1. Condoning the respondent’s non-compliance with the dies afforded for the filing of the answering</w:t>
            </w:r>
            <w:r w:rsidR="007332A6">
              <w:rPr>
                <w:rFonts w:ascii="Arial Narrow" w:hAnsi="Arial Narrow" w:cs="Arial"/>
                <w:sz w:val="24"/>
                <w:szCs w:val="24"/>
              </w:rPr>
              <w:t xml:space="preserve"> </w:t>
            </w:r>
            <w:r w:rsidRPr="00DE5F56">
              <w:rPr>
                <w:rFonts w:ascii="Arial Narrow" w:hAnsi="Arial Narrow" w:cs="Arial"/>
                <w:sz w:val="24"/>
                <w:szCs w:val="24"/>
              </w:rPr>
              <w:t xml:space="preserve">affidavit in the applicants application for rescission of judgment. </w:t>
            </w:r>
          </w:p>
          <w:p w:rsidR="006000CB" w:rsidRPr="00DE5F56" w:rsidRDefault="006000CB" w:rsidP="00FA6230">
            <w:pPr>
              <w:tabs>
                <w:tab w:val="left" w:pos="2085"/>
              </w:tabs>
              <w:spacing w:line="360" w:lineRule="auto"/>
              <w:ind w:left="792" w:hanging="792"/>
              <w:jc w:val="both"/>
              <w:rPr>
                <w:rFonts w:ascii="Arial Narrow" w:hAnsi="Arial Narrow" w:cs="Arial"/>
                <w:sz w:val="24"/>
                <w:szCs w:val="24"/>
              </w:rPr>
            </w:pPr>
            <w:r w:rsidRPr="00DE5F56">
              <w:rPr>
                <w:rFonts w:ascii="Arial Narrow" w:hAnsi="Arial Narrow" w:cs="Arial"/>
                <w:sz w:val="24"/>
                <w:szCs w:val="24"/>
              </w:rPr>
              <w:t xml:space="preserve">          2. Extending the time-limits imposed by the said notice of motion to answer thereto on or before 16 November 2018.</w:t>
            </w:r>
          </w:p>
          <w:p w:rsidR="006000CB" w:rsidRPr="00DE5F56" w:rsidRDefault="006000CB" w:rsidP="006000CB">
            <w:pPr>
              <w:pStyle w:val="ListParagraph"/>
              <w:numPr>
                <w:ilvl w:val="0"/>
                <w:numId w:val="8"/>
              </w:numPr>
              <w:tabs>
                <w:tab w:val="left" w:pos="2085"/>
              </w:tabs>
              <w:spacing w:line="360" w:lineRule="auto"/>
              <w:jc w:val="both"/>
              <w:rPr>
                <w:rFonts w:ascii="Arial Narrow" w:hAnsi="Arial Narrow" w:cs="Arial"/>
                <w:sz w:val="24"/>
                <w:szCs w:val="24"/>
              </w:rPr>
            </w:pPr>
            <w:r w:rsidRPr="00DE5F56">
              <w:rPr>
                <w:rFonts w:ascii="Arial Narrow" w:hAnsi="Arial Narrow" w:cs="Arial"/>
                <w:sz w:val="24"/>
                <w:szCs w:val="24"/>
              </w:rPr>
              <w:lastRenderedPageBreak/>
              <w:t>Cost of suit (if opposed);</w:t>
            </w:r>
          </w:p>
          <w:p w:rsidR="006000CB" w:rsidRPr="00DE5F56" w:rsidRDefault="006000CB" w:rsidP="006000CB">
            <w:pPr>
              <w:pStyle w:val="ListParagraph"/>
              <w:numPr>
                <w:ilvl w:val="0"/>
                <w:numId w:val="8"/>
              </w:numPr>
              <w:tabs>
                <w:tab w:val="left" w:pos="2085"/>
              </w:tabs>
              <w:spacing w:line="360" w:lineRule="auto"/>
              <w:jc w:val="both"/>
              <w:rPr>
                <w:rFonts w:ascii="Arial Narrow" w:hAnsi="Arial Narrow" w:cs="Arial"/>
                <w:sz w:val="24"/>
                <w:szCs w:val="24"/>
              </w:rPr>
            </w:pPr>
            <w:r w:rsidRPr="00DE5F56">
              <w:rPr>
                <w:rFonts w:ascii="Arial Narrow" w:hAnsi="Arial Narrow" w:cs="Arial"/>
                <w:sz w:val="24"/>
                <w:szCs w:val="24"/>
              </w:rPr>
              <w:t>Further and/or alternative relief.’</w:t>
            </w:r>
          </w:p>
          <w:p w:rsidR="006000CB" w:rsidRPr="00DE5F56" w:rsidRDefault="006000CB" w:rsidP="006000CB">
            <w:pPr>
              <w:tabs>
                <w:tab w:val="left" w:pos="2085"/>
              </w:tabs>
              <w:spacing w:line="360" w:lineRule="auto"/>
              <w:jc w:val="both"/>
              <w:rPr>
                <w:rFonts w:ascii="Arial Narrow" w:hAnsi="Arial Narrow" w:cs="Arial"/>
                <w:sz w:val="24"/>
                <w:szCs w:val="24"/>
              </w:rPr>
            </w:pPr>
          </w:p>
          <w:p w:rsidR="000B35CE" w:rsidRPr="00DE5F56" w:rsidRDefault="000B35CE" w:rsidP="000E043D">
            <w:pPr>
              <w:spacing w:line="360" w:lineRule="auto"/>
              <w:jc w:val="both"/>
              <w:rPr>
                <w:rFonts w:ascii="Arial Narrow" w:hAnsi="Arial Narrow" w:cs="Arial"/>
                <w:sz w:val="24"/>
                <w:szCs w:val="24"/>
                <w:u w:val="single"/>
              </w:rPr>
            </w:pPr>
            <w:r w:rsidRPr="00DE5F56">
              <w:rPr>
                <w:rFonts w:ascii="Arial Narrow" w:hAnsi="Arial Narrow" w:cs="Arial"/>
                <w:sz w:val="24"/>
                <w:szCs w:val="24"/>
                <w:u w:val="single"/>
              </w:rPr>
              <w:t xml:space="preserve">The issues </w:t>
            </w:r>
          </w:p>
          <w:p w:rsidR="00FF6577" w:rsidRPr="00DE5F56" w:rsidRDefault="00FF6577" w:rsidP="000E043D">
            <w:pPr>
              <w:spacing w:line="360" w:lineRule="auto"/>
              <w:jc w:val="both"/>
              <w:rPr>
                <w:rFonts w:ascii="Arial Narrow" w:hAnsi="Arial Narrow" w:cs="Arial"/>
                <w:sz w:val="24"/>
                <w:szCs w:val="24"/>
                <w:u w:val="single"/>
              </w:rPr>
            </w:pPr>
          </w:p>
          <w:p w:rsidR="000B35CE" w:rsidRPr="00DE5F56" w:rsidRDefault="00ED4D51" w:rsidP="000E043D">
            <w:pPr>
              <w:spacing w:line="360" w:lineRule="auto"/>
              <w:jc w:val="both"/>
              <w:rPr>
                <w:rFonts w:ascii="Arial Narrow" w:hAnsi="Arial Narrow" w:cs="Arial"/>
                <w:sz w:val="24"/>
                <w:szCs w:val="24"/>
              </w:rPr>
            </w:pPr>
            <w:r w:rsidRPr="00DE5F56">
              <w:rPr>
                <w:rFonts w:ascii="Arial Narrow" w:hAnsi="Arial Narrow" w:cs="Arial"/>
                <w:sz w:val="24"/>
                <w:szCs w:val="24"/>
              </w:rPr>
              <w:t xml:space="preserve"> </w:t>
            </w:r>
            <w:r w:rsidR="00F26DA6">
              <w:rPr>
                <w:rFonts w:ascii="Arial Narrow" w:hAnsi="Arial Narrow" w:cs="Arial"/>
                <w:sz w:val="24"/>
                <w:szCs w:val="24"/>
              </w:rPr>
              <w:t xml:space="preserve">[6]     </w:t>
            </w:r>
            <w:r w:rsidRPr="00DE5F56">
              <w:rPr>
                <w:rFonts w:ascii="Arial Narrow" w:hAnsi="Arial Narrow" w:cs="Arial"/>
                <w:sz w:val="24"/>
                <w:szCs w:val="24"/>
              </w:rPr>
              <w:t xml:space="preserve">On behalf of the applicant three points of law </w:t>
            </w:r>
            <w:r w:rsidR="001A3F99" w:rsidRPr="00BE7884">
              <w:rPr>
                <w:rFonts w:ascii="Arial Narrow" w:hAnsi="Arial Narrow" w:cs="Arial"/>
                <w:sz w:val="24"/>
                <w:szCs w:val="24"/>
              </w:rPr>
              <w:t xml:space="preserve">were </w:t>
            </w:r>
            <w:r w:rsidRPr="00BE7884">
              <w:rPr>
                <w:rFonts w:ascii="Arial Narrow" w:hAnsi="Arial Narrow" w:cs="Arial"/>
                <w:sz w:val="24"/>
                <w:szCs w:val="24"/>
              </w:rPr>
              <w:t>raised, i</w:t>
            </w:r>
            <w:r w:rsidR="00BE7884" w:rsidRPr="00BE7884">
              <w:rPr>
                <w:rFonts w:ascii="Arial Narrow" w:hAnsi="Arial Narrow" w:cs="Arial"/>
                <w:sz w:val="24"/>
                <w:szCs w:val="24"/>
              </w:rPr>
              <w:t>.</w:t>
            </w:r>
            <w:r w:rsidRPr="00BE7884">
              <w:rPr>
                <w:rFonts w:ascii="Arial Narrow" w:hAnsi="Arial Narrow" w:cs="Arial"/>
                <w:sz w:val="24"/>
                <w:szCs w:val="24"/>
              </w:rPr>
              <w:t>e.</w:t>
            </w:r>
            <w:r w:rsidR="00BE7884" w:rsidRPr="00BE7884">
              <w:rPr>
                <w:rFonts w:ascii="Arial Narrow" w:hAnsi="Arial Narrow" w:cs="Arial"/>
                <w:sz w:val="24"/>
                <w:szCs w:val="24"/>
              </w:rPr>
              <w:t>:</w:t>
            </w:r>
          </w:p>
          <w:p w:rsidR="00ED4D51" w:rsidRPr="00DE5F56" w:rsidRDefault="00ED4D51" w:rsidP="000E043D">
            <w:pPr>
              <w:spacing w:line="360" w:lineRule="auto"/>
              <w:jc w:val="both"/>
              <w:rPr>
                <w:rFonts w:ascii="Arial Narrow" w:hAnsi="Arial Narrow" w:cs="Arial"/>
                <w:sz w:val="24"/>
                <w:szCs w:val="24"/>
              </w:rPr>
            </w:pPr>
            <w:r w:rsidRPr="00DE5F56">
              <w:rPr>
                <w:rFonts w:ascii="Arial Narrow" w:hAnsi="Arial Narrow" w:cs="Arial"/>
                <w:sz w:val="24"/>
                <w:szCs w:val="24"/>
              </w:rPr>
              <w:t xml:space="preserve">         a. Incompetent relief sought:</w:t>
            </w:r>
          </w:p>
          <w:p w:rsidR="00ED4D51" w:rsidRPr="00DE5F56" w:rsidRDefault="00ED4D51" w:rsidP="000E043D">
            <w:pPr>
              <w:spacing w:line="360" w:lineRule="auto"/>
              <w:jc w:val="both"/>
              <w:rPr>
                <w:rFonts w:ascii="Arial Narrow" w:hAnsi="Arial Narrow" w:cs="Arial"/>
                <w:sz w:val="24"/>
                <w:szCs w:val="24"/>
              </w:rPr>
            </w:pPr>
            <w:r w:rsidRPr="00DE5F56">
              <w:rPr>
                <w:rFonts w:ascii="Arial Narrow" w:hAnsi="Arial Narrow" w:cs="Arial"/>
                <w:sz w:val="24"/>
                <w:szCs w:val="24"/>
              </w:rPr>
              <w:t xml:space="preserve">         b. Absence of </w:t>
            </w:r>
            <w:r w:rsidRPr="00DE5F56">
              <w:rPr>
                <w:rFonts w:ascii="Arial Narrow" w:hAnsi="Arial Narrow" w:cs="Arial"/>
                <w:i/>
                <w:sz w:val="24"/>
                <w:szCs w:val="24"/>
              </w:rPr>
              <w:t>locus standi</w:t>
            </w:r>
            <w:r w:rsidRPr="00DE5F56">
              <w:rPr>
                <w:rFonts w:ascii="Arial Narrow" w:hAnsi="Arial Narrow" w:cs="Arial"/>
                <w:sz w:val="24"/>
                <w:szCs w:val="24"/>
              </w:rPr>
              <w:t xml:space="preserve"> and authority to </w:t>
            </w:r>
            <w:r w:rsidR="00BE7884" w:rsidRPr="003E6198">
              <w:rPr>
                <w:rFonts w:ascii="Arial Narrow" w:hAnsi="Arial Narrow" w:cs="Arial"/>
                <w:sz w:val="24"/>
                <w:szCs w:val="24"/>
              </w:rPr>
              <w:t xml:space="preserve">institute </w:t>
            </w:r>
            <w:r w:rsidRPr="00DE5F56">
              <w:rPr>
                <w:rFonts w:ascii="Arial Narrow" w:hAnsi="Arial Narrow" w:cs="Arial"/>
                <w:sz w:val="24"/>
                <w:szCs w:val="24"/>
              </w:rPr>
              <w:t>application:</w:t>
            </w:r>
          </w:p>
          <w:p w:rsidR="00ED4D51" w:rsidRPr="00DE5F56" w:rsidRDefault="00ED4D51" w:rsidP="00BE7884">
            <w:pPr>
              <w:spacing w:line="360" w:lineRule="auto"/>
              <w:ind w:left="702" w:hanging="702"/>
              <w:jc w:val="both"/>
              <w:rPr>
                <w:rFonts w:ascii="Arial Narrow" w:hAnsi="Arial Narrow" w:cs="Arial"/>
                <w:sz w:val="24"/>
                <w:szCs w:val="24"/>
              </w:rPr>
            </w:pPr>
            <w:r w:rsidRPr="00DE5F56">
              <w:rPr>
                <w:rFonts w:ascii="Arial Narrow" w:hAnsi="Arial Narrow" w:cs="Arial"/>
                <w:sz w:val="24"/>
                <w:szCs w:val="24"/>
              </w:rPr>
              <w:t xml:space="preserve">         c. No case made out entitling the grant of the relief sought:</w:t>
            </w:r>
          </w:p>
          <w:p w:rsidR="00ED4D51" w:rsidRPr="00DE5F56" w:rsidRDefault="00ED4D51" w:rsidP="000E043D">
            <w:pPr>
              <w:spacing w:line="360" w:lineRule="auto"/>
              <w:jc w:val="both"/>
              <w:rPr>
                <w:rFonts w:ascii="Arial Narrow" w:hAnsi="Arial Narrow" w:cs="Arial"/>
                <w:sz w:val="24"/>
                <w:szCs w:val="24"/>
              </w:rPr>
            </w:pPr>
          </w:p>
          <w:p w:rsidR="00295333" w:rsidRDefault="00F26DA6" w:rsidP="000E043D">
            <w:pPr>
              <w:spacing w:line="360" w:lineRule="auto"/>
              <w:jc w:val="both"/>
              <w:rPr>
                <w:rFonts w:ascii="Arial Narrow" w:hAnsi="Arial Narrow" w:cs="Arial"/>
                <w:sz w:val="24"/>
                <w:szCs w:val="24"/>
              </w:rPr>
            </w:pPr>
            <w:r>
              <w:rPr>
                <w:rFonts w:ascii="Arial Narrow" w:hAnsi="Arial Narrow" w:cs="Arial"/>
                <w:sz w:val="24"/>
                <w:szCs w:val="24"/>
              </w:rPr>
              <w:t xml:space="preserve">[7]     </w:t>
            </w:r>
            <w:r w:rsidR="00ED4D51" w:rsidRPr="00DE5F56">
              <w:rPr>
                <w:rFonts w:ascii="Arial Narrow" w:hAnsi="Arial Narrow" w:cs="Arial"/>
                <w:sz w:val="24"/>
                <w:szCs w:val="24"/>
              </w:rPr>
              <w:t>The issue raise</w:t>
            </w:r>
            <w:r w:rsidR="00850262" w:rsidRPr="00BE7884">
              <w:rPr>
                <w:rFonts w:ascii="Arial Narrow" w:hAnsi="Arial Narrow" w:cs="Arial"/>
                <w:sz w:val="24"/>
                <w:szCs w:val="24"/>
              </w:rPr>
              <w:t>d</w:t>
            </w:r>
            <w:r w:rsidR="00ED4D51" w:rsidRPr="00DE5F56">
              <w:rPr>
                <w:rFonts w:ascii="Arial Narrow" w:hAnsi="Arial Narrow" w:cs="Arial"/>
                <w:sz w:val="24"/>
                <w:szCs w:val="24"/>
              </w:rPr>
              <w:t xml:space="preserve"> in respect of incompetency was however not persisted with by the applicant </w:t>
            </w:r>
          </w:p>
          <w:p w:rsidR="00F26DA6" w:rsidRPr="00DE5F56" w:rsidRDefault="00F26DA6" w:rsidP="000E043D">
            <w:pPr>
              <w:spacing w:line="360" w:lineRule="auto"/>
              <w:jc w:val="both"/>
              <w:rPr>
                <w:rFonts w:ascii="Arial Narrow" w:hAnsi="Arial Narrow" w:cs="Arial"/>
                <w:sz w:val="24"/>
                <w:szCs w:val="24"/>
              </w:rPr>
            </w:pPr>
          </w:p>
          <w:p w:rsidR="000B31F0" w:rsidRDefault="000B31F0" w:rsidP="000E043D">
            <w:pPr>
              <w:spacing w:line="360" w:lineRule="auto"/>
              <w:jc w:val="both"/>
              <w:rPr>
                <w:rFonts w:ascii="Arial Narrow" w:hAnsi="Arial Narrow" w:cs="Arial"/>
                <w:sz w:val="24"/>
                <w:szCs w:val="24"/>
                <w:u w:val="single"/>
              </w:rPr>
            </w:pPr>
            <w:r w:rsidRPr="00DE5F56">
              <w:rPr>
                <w:rFonts w:ascii="Arial Narrow" w:hAnsi="Arial Narrow" w:cs="Arial"/>
                <w:sz w:val="24"/>
                <w:szCs w:val="24"/>
                <w:u w:val="single"/>
              </w:rPr>
              <w:t>Parties’ submissions</w:t>
            </w:r>
          </w:p>
          <w:p w:rsidR="00F26DA6" w:rsidRPr="00DE5F56" w:rsidRDefault="00F26DA6" w:rsidP="000E043D">
            <w:pPr>
              <w:spacing w:line="360" w:lineRule="auto"/>
              <w:jc w:val="both"/>
              <w:rPr>
                <w:rFonts w:ascii="Arial Narrow" w:hAnsi="Arial Narrow" w:cs="Arial"/>
                <w:sz w:val="24"/>
                <w:szCs w:val="24"/>
                <w:u w:val="single"/>
              </w:rPr>
            </w:pPr>
          </w:p>
          <w:p w:rsidR="0074354F" w:rsidRDefault="00164DE0" w:rsidP="000E043D">
            <w:pPr>
              <w:spacing w:line="360" w:lineRule="auto"/>
              <w:jc w:val="both"/>
              <w:rPr>
                <w:rFonts w:ascii="Arial Narrow" w:hAnsi="Arial Narrow" w:cs="Arial"/>
                <w:sz w:val="24"/>
                <w:szCs w:val="24"/>
                <w:u w:val="single"/>
              </w:rPr>
            </w:pPr>
            <w:r>
              <w:rPr>
                <w:rFonts w:ascii="Arial Narrow" w:hAnsi="Arial Narrow" w:cs="Arial"/>
                <w:sz w:val="24"/>
                <w:szCs w:val="24"/>
                <w:u w:val="single"/>
              </w:rPr>
              <w:t>Respondent</w:t>
            </w:r>
          </w:p>
          <w:p w:rsidR="00F26DA6" w:rsidRPr="00DE5F56" w:rsidRDefault="00F26DA6" w:rsidP="000E043D">
            <w:pPr>
              <w:spacing w:line="360" w:lineRule="auto"/>
              <w:jc w:val="both"/>
              <w:rPr>
                <w:rFonts w:ascii="Arial Narrow" w:hAnsi="Arial Narrow" w:cs="Arial"/>
                <w:sz w:val="24"/>
                <w:szCs w:val="24"/>
                <w:u w:val="single"/>
              </w:rPr>
            </w:pPr>
          </w:p>
          <w:p w:rsidR="00957A30" w:rsidRPr="00DE5F56" w:rsidRDefault="00F26DA6" w:rsidP="00B50265">
            <w:pPr>
              <w:spacing w:line="360" w:lineRule="auto"/>
              <w:jc w:val="both"/>
              <w:rPr>
                <w:rFonts w:ascii="Arial Narrow" w:hAnsi="Arial Narrow" w:cs="Arial"/>
                <w:color w:val="0D0D0D" w:themeColor="text1" w:themeTint="F2"/>
                <w:sz w:val="24"/>
                <w:szCs w:val="24"/>
              </w:rPr>
            </w:pPr>
            <w:r>
              <w:rPr>
                <w:rFonts w:ascii="Arial Narrow" w:hAnsi="Arial Narrow" w:cs="Arial"/>
                <w:color w:val="0D0D0D" w:themeColor="text1" w:themeTint="F2"/>
                <w:sz w:val="24"/>
                <w:szCs w:val="24"/>
              </w:rPr>
              <w:t xml:space="preserve">[8]     </w:t>
            </w:r>
            <w:r w:rsidR="003C3525" w:rsidRPr="00DE5F56">
              <w:rPr>
                <w:rFonts w:ascii="Arial Narrow" w:hAnsi="Arial Narrow" w:cs="Arial"/>
                <w:color w:val="0D0D0D" w:themeColor="text1" w:themeTint="F2"/>
                <w:sz w:val="24"/>
                <w:szCs w:val="24"/>
              </w:rPr>
              <w:t>On the second point raised it was argued o</w:t>
            </w:r>
            <w:r w:rsidR="00ED4D51" w:rsidRPr="00DE5F56">
              <w:rPr>
                <w:rFonts w:ascii="Arial Narrow" w:hAnsi="Arial Narrow" w:cs="Arial"/>
                <w:color w:val="0D0D0D" w:themeColor="text1" w:themeTint="F2"/>
                <w:sz w:val="24"/>
                <w:szCs w:val="24"/>
              </w:rPr>
              <w:t>n behalf of the respondent (applicant in the condonation application)</w:t>
            </w:r>
            <w:r w:rsidR="00957A30" w:rsidRPr="00DE5F56">
              <w:rPr>
                <w:rFonts w:ascii="Arial Narrow" w:hAnsi="Arial Narrow" w:cs="Arial"/>
                <w:color w:val="0D0D0D" w:themeColor="text1" w:themeTint="F2"/>
                <w:sz w:val="24"/>
                <w:szCs w:val="24"/>
              </w:rPr>
              <w:t xml:space="preserve"> </w:t>
            </w:r>
            <w:r w:rsidR="003C3525" w:rsidRPr="00DE5F56">
              <w:rPr>
                <w:rFonts w:ascii="Arial Narrow" w:hAnsi="Arial Narrow" w:cs="Arial"/>
                <w:color w:val="0D0D0D" w:themeColor="text1" w:themeTint="F2"/>
                <w:sz w:val="24"/>
                <w:szCs w:val="24"/>
              </w:rPr>
              <w:t xml:space="preserve">that it is not necessary for the respondent to file an affidavit as a Notice of Motion can be supported by any person who is in a position to provide the necessary material to support the claim. In this regard it was argued that the delay and the cause for the delay is factual in nature and the respondent is unable to verify or confirm same as it does not fall within his knowledge what transpired prior to the withdrawal of his erstwhile legal practitioner neither could he attest to the steps taken by the newly appointed legal representative.  </w:t>
            </w:r>
          </w:p>
          <w:p w:rsidR="00536426" w:rsidRPr="00DE5F56" w:rsidRDefault="00536426" w:rsidP="00B50265">
            <w:pPr>
              <w:spacing w:line="360" w:lineRule="auto"/>
              <w:jc w:val="both"/>
              <w:rPr>
                <w:rFonts w:ascii="Arial Narrow" w:hAnsi="Arial Narrow" w:cs="Arial"/>
                <w:color w:val="0D0D0D" w:themeColor="text1" w:themeTint="F2"/>
                <w:sz w:val="24"/>
                <w:szCs w:val="24"/>
              </w:rPr>
            </w:pPr>
          </w:p>
          <w:p w:rsidR="0074354F" w:rsidRPr="00DE5F56" w:rsidRDefault="00F26DA6" w:rsidP="00B50265">
            <w:pPr>
              <w:spacing w:line="360" w:lineRule="auto"/>
              <w:jc w:val="both"/>
              <w:rPr>
                <w:rFonts w:ascii="Arial Narrow" w:hAnsi="Arial Narrow" w:cs="Arial"/>
                <w:color w:val="0D0D0D" w:themeColor="text1" w:themeTint="F2"/>
                <w:sz w:val="24"/>
                <w:szCs w:val="24"/>
              </w:rPr>
            </w:pPr>
            <w:r>
              <w:rPr>
                <w:rFonts w:ascii="Arial Narrow" w:hAnsi="Arial Narrow" w:cs="Arial"/>
                <w:color w:val="0D0D0D" w:themeColor="text1" w:themeTint="F2"/>
                <w:sz w:val="24"/>
                <w:szCs w:val="24"/>
              </w:rPr>
              <w:t xml:space="preserve">[9]     </w:t>
            </w:r>
            <w:r w:rsidR="0074354F" w:rsidRPr="00DE5F56">
              <w:rPr>
                <w:rFonts w:ascii="Arial Narrow" w:hAnsi="Arial Narrow" w:cs="Arial"/>
                <w:color w:val="0D0D0D" w:themeColor="text1" w:themeTint="F2"/>
                <w:sz w:val="24"/>
                <w:szCs w:val="24"/>
              </w:rPr>
              <w:t xml:space="preserve">It was further submitted that anything falling outside this scope amounts to a challenge of the legal representative’s mandate to act on behalf of his or her client, with the severe consequences this might entail. </w:t>
            </w:r>
          </w:p>
          <w:p w:rsidR="00536426" w:rsidRPr="00DE5F56" w:rsidRDefault="00536426" w:rsidP="00B50265">
            <w:pPr>
              <w:spacing w:line="360" w:lineRule="auto"/>
              <w:jc w:val="both"/>
              <w:rPr>
                <w:rFonts w:ascii="Arial Narrow" w:hAnsi="Arial Narrow" w:cs="Arial"/>
                <w:color w:val="0D0D0D" w:themeColor="text1" w:themeTint="F2"/>
                <w:sz w:val="24"/>
                <w:szCs w:val="24"/>
              </w:rPr>
            </w:pPr>
          </w:p>
          <w:p w:rsidR="00536426" w:rsidRDefault="00E036D1" w:rsidP="00A05F61">
            <w:pPr>
              <w:tabs>
                <w:tab w:val="left" w:pos="522"/>
              </w:tabs>
              <w:spacing w:line="360" w:lineRule="auto"/>
              <w:jc w:val="both"/>
              <w:rPr>
                <w:rFonts w:ascii="Arial Narrow" w:hAnsi="Arial Narrow" w:cs="Arial"/>
                <w:color w:val="0D0D0D" w:themeColor="text1" w:themeTint="F2"/>
                <w:sz w:val="24"/>
                <w:szCs w:val="24"/>
              </w:rPr>
            </w:pPr>
            <w:r>
              <w:rPr>
                <w:rFonts w:ascii="Arial Narrow" w:hAnsi="Arial Narrow" w:cs="Arial"/>
                <w:color w:val="0D0D0D" w:themeColor="text1" w:themeTint="F2"/>
                <w:sz w:val="24"/>
                <w:szCs w:val="24"/>
              </w:rPr>
              <w:t xml:space="preserve">[10]     </w:t>
            </w:r>
            <w:r w:rsidR="0074354F" w:rsidRPr="00DE5F56">
              <w:rPr>
                <w:rFonts w:ascii="Arial Narrow" w:hAnsi="Arial Narrow" w:cs="Arial"/>
                <w:color w:val="0D0D0D" w:themeColor="text1" w:themeTint="F2"/>
                <w:sz w:val="24"/>
                <w:szCs w:val="24"/>
              </w:rPr>
              <w:t xml:space="preserve">On the </w:t>
            </w:r>
            <w:r w:rsidR="00536426" w:rsidRPr="00DE5F56">
              <w:rPr>
                <w:rFonts w:ascii="Arial Narrow" w:hAnsi="Arial Narrow" w:cs="Arial"/>
                <w:color w:val="0D0D0D" w:themeColor="text1" w:themeTint="F2"/>
                <w:sz w:val="24"/>
                <w:szCs w:val="24"/>
              </w:rPr>
              <w:t>third issue raised by applicant that no case was made out entitling the granting of the relief sought in the Notice of Motion Mrs</w:t>
            </w:r>
            <w:r w:rsidR="00536426" w:rsidRPr="00850262">
              <w:rPr>
                <w:rFonts w:ascii="Arial Narrow" w:hAnsi="Arial Narrow" w:cs="Arial"/>
                <w:strike/>
                <w:color w:val="FF0000"/>
                <w:sz w:val="24"/>
                <w:szCs w:val="24"/>
              </w:rPr>
              <w:t>.</w:t>
            </w:r>
            <w:r w:rsidR="00536426" w:rsidRPr="00DE5F56">
              <w:rPr>
                <w:rFonts w:ascii="Arial Narrow" w:hAnsi="Arial Narrow" w:cs="Arial"/>
                <w:color w:val="0D0D0D" w:themeColor="text1" w:themeTint="F2"/>
                <w:sz w:val="24"/>
                <w:szCs w:val="24"/>
              </w:rPr>
              <w:t xml:space="preserve"> Delport argued that the anticipatory steps taken were fully set out in the founding affidavit and </w:t>
            </w:r>
            <w:r w:rsidR="00850262" w:rsidRPr="00DE5F56">
              <w:rPr>
                <w:rFonts w:ascii="Arial Narrow" w:hAnsi="Arial Narrow" w:cs="Arial"/>
                <w:color w:val="0D0D0D" w:themeColor="text1" w:themeTint="F2"/>
                <w:sz w:val="24"/>
                <w:szCs w:val="24"/>
              </w:rPr>
              <w:t>the requirements</w:t>
            </w:r>
            <w:r w:rsidR="00536426" w:rsidRPr="00DE5F56">
              <w:rPr>
                <w:rFonts w:ascii="Arial Narrow" w:hAnsi="Arial Narrow" w:cs="Arial"/>
                <w:color w:val="0D0D0D" w:themeColor="text1" w:themeTint="F2"/>
                <w:sz w:val="24"/>
                <w:szCs w:val="24"/>
              </w:rPr>
              <w:t xml:space="preserve"> as set out in Rule 56 </w:t>
            </w:r>
            <w:r w:rsidR="00850262" w:rsidRPr="00BE7884">
              <w:rPr>
                <w:rFonts w:ascii="Arial Narrow" w:hAnsi="Arial Narrow" w:cs="Arial"/>
                <w:sz w:val="24"/>
                <w:szCs w:val="24"/>
              </w:rPr>
              <w:t>were</w:t>
            </w:r>
            <w:r w:rsidR="00850262">
              <w:rPr>
                <w:rFonts w:ascii="Arial Narrow" w:hAnsi="Arial Narrow" w:cs="Arial"/>
                <w:color w:val="FF0000"/>
                <w:sz w:val="24"/>
                <w:szCs w:val="24"/>
              </w:rPr>
              <w:t xml:space="preserve"> </w:t>
            </w:r>
            <w:r w:rsidR="00536426" w:rsidRPr="00DE5F56">
              <w:rPr>
                <w:rFonts w:ascii="Arial Narrow" w:hAnsi="Arial Narrow" w:cs="Arial"/>
                <w:color w:val="0D0D0D" w:themeColor="text1" w:themeTint="F2"/>
                <w:sz w:val="24"/>
                <w:szCs w:val="24"/>
              </w:rPr>
              <w:t xml:space="preserve">answered to the point. She argued that a detailed exposition of the time lines were incorporated in the founding affidavit and clear account was given as to the period subsequent to the notice of withdrawal by the erstwhile legal practitioner. </w:t>
            </w:r>
          </w:p>
          <w:p w:rsidR="00DE3F8D" w:rsidRPr="00DE5F56" w:rsidRDefault="00DE3F8D" w:rsidP="00A05F61">
            <w:pPr>
              <w:tabs>
                <w:tab w:val="left" w:pos="522"/>
              </w:tabs>
              <w:spacing w:line="360" w:lineRule="auto"/>
              <w:jc w:val="both"/>
              <w:rPr>
                <w:rFonts w:ascii="Arial Narrow" w:hAnsi="Arial Narrow" w:cs="Arial"/>
                <w:color w:val="0D0D0D" w:themeColor="text1" w:themeTint="F2"/>
                <w:sz w:val="24"/>
                <w:szCs w:val="24"/>
              </w:rPr>
            </w:pPr>
          </w:p>
          <w:p w:rsidR="0074354F" w:rsidRPr="00DE5F56" w:rsidRDefault="00DE3F8D" w:rsidP="00B50265">
            <w:pPr>
              <w:spacing w:line="360" w:lineRule="auto"/>
              <w:jc w:val="both"/>
              <w:rPr>
                <w:rFonts w:ascii="Arial Narrow" w:hAnsi="Arial Narrow" w:cs="Arial"/>
                <w:color w:val="0D0D0D" w:themeColor="text1" w:themeTint="F2"/>
                <w:sz w:val="24"/>
                <w:szCs w:val="24"/>
              </w:rPr>
            </w:pPr>
            <w:r>
              <w:rPr>
                <w:rFonts w:ascii="Arial Narrow" w:hAnsi="Arial Narrow" w:cs="Arial"/>
                <w:color w:val="0D0D0D" w:themeColor="text1" w:themeTint="F2"/>
                <w:sz w:val="24"/>
                <w:szCs w:val="24"/>
              </w:rPr>
              <w:lastRenderedPageBreak/>
              <w:t xml:space="preserve">[11]     </w:t>
            </w:r>
            <w:r w:rsidR="00536426" w:rsidRPr="00DE5F56">
              <w:rPr>
                <w:rFonts w:ascii="Arial Narrow" w:hAnsi="Arial Narrow" w:cs="Arial"/>
                <w:color w:val="0D0D0D" w:themeColor="text1" w:themeTint="F2"/>
                <w:sz w:val="24"/>
                <w:szCs w:val="24"/>
              </w:rPr>
              <w:t>In conclusion it was argued that the prospects of success is dealt with in the founding affidavit and Mrs</w:t>
            </w:r>
            <w:r w:rsidR="00536426" w:rsidRPr="00DE3F8D">
              <w:rPr>
                <w:rFonts w:ascii="Arial Narrow" w:hAnsi="Arial Narrow" w:cs="Arial"/>
                <w:strike/>
                <w:color w:val="FF0000"/>
                <w:sz w:val="24"/>
                <w:szCs w:val="24"/>
              </w:rPr>
              <w:t>.</w:t>
            </w:r>
            <w:r w:rsidR="00536426" w:rsidRPr="00DE5F56">
              <w:rPr>
                <w:rFonts w:ascii="Arial Narrow" w:hAnsi="Arial Narrow" w:cs="Arial"/>
                <w:color w:val="0D0D0D" w:themeColor="text1" w:themeTint="F2"/>
                <w:sz w:val="24"/>
                <w:szCs w:val="24"/>
              </w:rPr>
              <w:t xml:space="preserve"> Delport submitted that </w:t>
            </w:r>
            <w:r w:rsidR="000521B7" w:rsidRPr="00DE5F56">
              <w:rPr>
                <w:rFonts w:ascii="Arial Narrow" w:hAnsi="Arial Narrow" w:cs="Arial"/>
                <w:color w:val="0D0D0D" w:themeColor="text1" w:themeTint="F2"/>
                <w:sz w:val="24"/>
                <w:szCs w:val="24"/>
              </w:rPr>
              <w:t xml:space="preserve">the relief prayed for by the applicant in the main application is incompetent and therefor the element of the prospects of success becomes moot. </w:t>
            </w:r>
          </w:p>
          <w:p w:rsidR="000521B7" w:rsidRPr="00DE5F56" w:rsidRDefault="000521B7" w:rsidP="00B50265">
            <w:pPr>
              <w:spacing w:line="360" w:lineRule="auto"/>
              <w:jc w:val="both"/>
              <w:rPr>
                <w:rFonts w:ascii="Arial Narrow" w:hAnsi="Arial Narrow" w:cs="Arial"/>
                <w:color w:val="0D0D0D" w:themeColor="text1" w:themeTint="F2"/>
                <w:sz w:val="24"/>
                <w:szCs w:val="24"/>
              </w:rPr>
            </w:pPr>
          </w:p>
          <w:p w:rsidR="000521B7" w:rsidRDefault="000521B7" w:rsidP="00B50265">
            <w:pPr>
              <w:spacing w:line="360" w:lineRule="auto"/>
              <w:jc w:val="both"/>
              <w:rPr>
                <w:rFonts w:ascii="Arial Narrow" w:hAnsi="Arial Narrow" w:cs="Arial"/>
                <w:color w:val="0D0D0D" w:themeColor="text1" w:themeTint="F2"/>
                <w:sz w:val="24"/>
                <w:szCs w:val="24"/>
                <w:u w:val="single"/>
              </w:rPr>
            </w:pPr>
            <w:r w:rsidRPr="00DE5F56">
              <w:rPr>
                <w:rFonts w:ascii="Arial Narrow" w:hAnsi="Arial Narrow" w:cs="Arial"/>
                <w:color w:val="0D0D0D" w:themeColor="text1" w:themeTint="F2"/>
                <w:sz w:val="24"/>
                <w:szCs w:val="24"/>
                <w:u w:val="single"/>
              </w:rPr>
              <w:t>Applicant</w:t>
            </w:r>
          </w:p>
          <w:p w:rsidR="00DE3F8D" w:rsidRPr="00DE5F56" w:rsidRDefault="00DE3F8D" w:rsidP="00B50265">
            <w:pPr>
              <w:spacing w:line="360" w:lineRule="auto"/>
              <w:jc w:val="both"/>
              <w:rPr>
                <w:rFonts w:ascii="Arial Narrow" w:hAnsi="Arial Narrow" w:cs="Arial"/>
                <w:color w:val="0D0D0D" w:themeColor="text1" w:themeTint="F2"/>
                <w:sz w:val="24"/>
                <w:szCs w:val="24"/>
                <w:u w:val="single"/>
              </w:rPr>
            </w:pPr>
          </w:p>
          <w:p w:rsidR="00434521" w:rsidRPr="00DE5F56" w:rsidRDefault="00DE3F8D" w:rsidP="00434521">
            <w:pPr>
              <w:spacing w:line="360" w:lineRule="auto"/>
              <w:jc w:val="both"/>
              <w:rPr>
                <w:rFonts w:ascii="Arial Narrow" w:hAnsi="Arial Narrow" w:cs="Arial"/>
                <w:sz w:val="24"/>
                <w:szCs w:val="24"/>
              </w:rPr>
            </w:pPr>
            <w:r>
              <w:rPr>
                <w:rFonts w:ascii="Arial Narrow" w:hAnsi="Arial Narrow" w:cs="Arial"/>
                <w:color w:val="0D0D0D" w:themeColor="text1" w:themeTint="F2"/>
                <w:sz w:val="24"/>
                <w:szCs w:val="24"/>
              </w:rPr>
              <w:t xml:space="preserve">[12]     </w:t>
            </w:r>
            <w:r w:rsidR="000521B7" w:rsidRPr="00BD66A2">
              <w:rPr>
                <w:rFonts w:ascii="Arial Narrow" w:hAnsi="Arial Narrow" w:cs="Arial"/>
                <w:sz w:val="24"/>
                <w:szCs w:val="24"/>
              </w:rPr>
              <w:t>Mr</w:t>
            </w:r>
            <w:r w:rsidR="00BD66A2">
              <w:rPr>
                <w:rFonts w:ascii="Arial Narrow" w:hAnsi="Arial Narrow" w:cs="Arial"/>
                <w:sz w:val="24"/>
                <w:szCs w:val="24"/>
              </w:rPr>
              <w:t xml:space="preserve"> </w:t>
            </w:r>
            <w:r w:rsidR="000521B7" w:rsidRPr="00BD66A2">
              <w:rPr>
                <w:rFonts w:ascii="Arial Narrow" w:hAnsi="Arial Narrow" w:cs="Arial"/>
                <w:sz w:val="24"/>
                <w:szCs w:val="24"/>
              </w:rPr>
              <w:t>Shimutwikeni</w:t>
            </w:r>
            <w:r w:rsidR="000521B7" w:rsidRPr="00DE5F56">
              <w:rPr>
                <w:rFonts w:ascii="Arial Narrow" w:hAnsi="Arial Narrow" w:cs="Arial"/>
                <w:color w:val="0D0D0D" w:themeColor="text1" w:themeTint="F2"/>
                <w:sz w:val="24"/>
                <w:szCs w:val="24"/>
              </w:rPr>
              <w:t xml:space="preserve"> argued on behalf of the applicant that </w:t>
            </w:r>
            <w:r w:rsidR="000521B7" w:rsidRPr="00B17CC0">
              <w:rPr>
                <w:rFonts w:ascii="Arial Narrow" w:hAnsi="Arial Narrow" w:cs="Arial"/>
                <w:i/>
                <w:color w:val="0D0D0D" w:themeColor="text1" w:themeTint="F2"/>
                <w:sz w:val="24"/>
                <w:szCs w:val="24"/>
              </w:rPr>
              <w:t>ex facie</w:t>
            </w:r>
            <w:r w:rsidR="000521B7" w:rsidRPr="00DE5F56">
              <w:rPr>
                <w:rFonts w:ascii="Arial Narrow" w:hAnsi="Arial Narrow" w:cs="Arial"/>
                <w:color w:val="0D0D0D" w:themeColor="text1" w:themeTint="F2"/>
                <w:sz w:val="24"/>
                <w:szCs w:val="24"/>
              </w:rPr>
              <w:t xml:space="preserve"> the founding papers, the institution of the present application has fatally not been authorised by the applicant. In this regard the court was referred to </w:t>
            </w:r>
            <w:r w:rsidR="000521B7" w:rsidRPr="001D0856">
              <w:rPr>
                <w:rFonts w:ascii="Arial Narrow" w:hAnsi="Arial Narrow" w:cs="Arial"/>
                <w:i/>
                <w:color w:val="0D0D0D" w:themeColor="text1" w:themeTint="F2"/>
                <w:sz w:val="24"/>
                <w:szCs w:val="24"/>
              </w:rPr>
              <w:t>JB Cooling and Refrigeration CC v Dean Jaques Willemse t/a Windhoek Armature Winding and Others</w:t>
            </w:r>
            <w:r w:rsidR="000521B7" w:rsidRPr="00DE5F56">
              <w:rPr>
                <w:rStyle w:val="FootnoteReference"/>
                <w:rFonts w:ascii="Arial Narrow" w:hAnsi="Arial Narrow" w:cs="Arial"/>
                <w:color w:val="0D0D0D" w:themeColor="text1" w:themeTint="F2"/>
                <w:sz w:val="24"/>
                <w:szCs w:val="24"/>
              </w:rPr>
              <w:footnoteReference w:id="1"/>
            </w:r>
            <w:r w:rsidR="00434521" w:rsidRPr="00DE5F56">
              <w:rPr>
                <w:rFonts w:ascii="Arial Narrow" w:hAnsi="Arial Narrow" w:cs="Arial"/>
                <w:color w:val="0D0D0D" w:themeColor="text1" w:themeTint="F2"/>
                <w:sz w:val="24"/>
                <w:szCs w:val="24"/>
              </w:rPr>
              <w:t xml:space="preserve"> wherein the court found that the </w:t>
            </w:r>
            <w:r w:rsidR="00434521" w:rsidRPr="00DE5F56">
              <w:rPr>
                <w:rFonts w:ascii="Arial Narrow" w:hAnsi="Arial Narrow" w:cs="Arial"/>
                <w:sz w:val="24"/>
                <w:szCs w:val="24"/>
              </w:rPr>
              <w:t xml:space="preserve">minimum requirement for deponent of founding affidavit is to state authority. </w:t>
            </w:r>
          </w:p>
          <w:p w:rsidR="00434521" w:rsidRPr="00DE5F56" w:rsidRDefault="00434521" w:rsidP="00434521">
            <w:pPr>
              <w:spacing w:line="360" w:lineRule="auto"/>
              <w:jc w:val="both"/>
              <w:rPr>
                <w:rFonts w:ascii="Arial Narrow" w:hAnsi="Arial Narrow" w:cs="Arial"/>
                <w:sz w:val="24"/>
                <w:szCs w:val="24"/>
              </w:rPr>
            </w:pPr>
          </w:p>
          <w:p w:rsidR="00434521" w:rsidRPr="00DE5F56" w:rsidRDefault="00DE3F8D" w:rsidP="00B50265">
            <w:pPr>
              <w:spacing w:line="360" w:lineRule="auto"/>
              <w:jc w:val="both"/>
              <w:rPr>
                <w:rFonts w:ascii="Arial Narrow" w:hAnsi="Arial Narrow" w:cs="Arial"/>
                <w:color w:val="0D0D0D" w:themeColor="text1" w:themeTint="F2"/>
                <w:sz w:val="24"/>
                <w:szCs w:val="24"/>
              </w:rPr>
            </w:pPr>
            <w:r>
              <w:rPr>
                <w:rFonts w:ascii="Arial Narrow" w:hAnsi="Arial Narrow" w:cs="Arial"/>
                <w:sz w:val="24"/>
                <w:szCs w:val="24"/>
              </w:rPr>
              <w:t xml:space="preserve">[13]     </w:t>
            </w:r>
            <w:r w:rsidR="00434521" w:rsidRPr="00DE5F56">
              <w:rPr>
                <w:rFonts w:ascii="Arial Narrow" w:hAnsi="Arial Narrow" w:cs="Arial"/>
                <w:color w:val="0D0D0D" w:themeColor="text1" w:themeTint="F2"/>
                <w:sz w:val="24"/>
                <w:szCs w:val="24"/>
              </w:rPr>
              <w:t>Mr Shimutwikeni submitted that in applying the aforementioned principles</w:t>
            </w:r>
            <w:r>
              <w:rPr>
                <w:rFonts w:ascii="Arial Narrow" w:hAnsi="Arial Narrow" w:cs="Arial"/>
                <w:color w:val="FF0000"/>
                <w:sz w:val="24"/>
                <w:szCs w:val="24"/>
              </w:rPr>
              <w:t>,</w:t>
            </w:r>
            <w:r w:rsidR="00434521" w:rsidRPr="00DE5F56">
              <w:rPr>
                <w:rFonts w:ascii="Arial Narrow" w:hAnsi="Arial Narrow" w:cs="Arial"/>
                <w:color w:val="0D0D0D" w:themeColor="text1" w:themeTint="F2"/>
                <w:sz w:val="24"/>
                <w:szCs w:val="24"/>
              </w:rPr>
              <w:t xml:space="preserve"> that manner </w:t>
            </w:r>
            <w:r w:rsidR="00625C52" w:rsidRPr="00DE5F56">
              <w:rPr>
                <w:rFonts w:ascii="Arial Narrow" w:hAnsi="Arial Narrow" w:cs="Arial"/>
                <w:color w:val="0D0D0D" w:themeColor="text1" w:themeTint="F2"/>
                <w:sz w:val="24"/>
                <w:szCs w:val="24"/>
              </w:rPr>
              <w:t xml:space="preserve">of pleading adopted </w:t>
            </w:r>
            <w:r w:rsidR="00434521" w:rsidRPr="00DE5F56">
              <w:rPr>
                <w:rFonts w:ascii="Arial Narrow" w:hAnsi="Arial Narrow" w:cs="Arial"/>
                <w:color w:val="0D0D0D" w:themeColor="text1" w:themeTint="F2"/>
                <w:sz w:val="24"/>
                <w:szCs w:val="24"/>
              </w:rPr>
              <w:t xml:space="preserve">in the founding affidavit </w:t>
            </w:r>
            <w:r w:rsidR="00625C52" w:rsidRPr="00DE5F56">
              <w:rPr>
                <w:rFonts w:ascii="Arial Narrow" w:hAnsi="Arial Narrow" w:cs="Arial"/>
                <w:color w:val="0D0D0D" w:themeColor="text1" w:themeTint="F2"/>
                <w:sz w:val="24"/>
                <w:szCs w:val="24"/>
              </w:rPr>
              <w:t xml:space="preserve">renders the same liable to be dismissed. </w:t>
            </w:r>
          </w:p>
          <w:p w:rsidR="00625C52" w:rsidRPr="00DE5F56" w:rsidRDefault="00625C52" w:rsidP="00B50265">
            <w:pPr>
              <w:spacing w:line="360" w:lineRule="auto"/>
              <w:jc w:val="both"/>
              <w:rPr>
                <w:rFonts w:ascii="Arial Narrow" w:hAnsi="Arial Narrow" w:cs="Arial"/>
                <w:color w:val="0D0D0D" w:themeColor="text1" w:themeTint="F2"/>
                <w:sz w:val="24"/>
                <w:szCs w:val="24"/>
              </w:rPr>
            </w:pPr>
          </w:p>
          <w:p w:rsidR="00625C52" w:rsidRDefault="00DE3F8D" w:rsidP="00B50265">
            <w:pPr>
              <w:spacing w:line="360" w:lineRule="auto"/>
              <w:jc w:val="both"/>
              <w:rPr>
                <w:rFonts w:ascii="Arial Narrow" w:hAnsi="Arial Narrow" w:cs="Arial"/>
                <w:color w:val="0D0D0D" w:themeColor="text1" w:themeTint="F2"/>
                <w:sz w:val="24"/>
                <w:szCs w:val="24"/>
              </w:rPr>
            </w:pPr>
            <w:r>
              <w:rPr>
                <w:rFonts w:ascii="Arial Narrow" w:hAnsi="Arial Narrow" w:cs="Arial"/>
                <w:color w:val="0D0D0D" w:themeColor="text1" w:themeTint="F2"/>
                <w:sz w:val="24"/>
                <w:szCs w:val="24"/>
              </w:rPr>
              <w:t xml:space="preserve">[14]     </w:t>
            </w:r>
            <w:r w:rsidR="00625C52" w:rsidRPr="00DE5F56">
              <w:rPr>
                <w:rFonts w:ascii="Arial Narrow" w:hAnsi="Arial Narrow" w:cs="Arial"/>
                <w:color w:val="0D0D0D" w:themeColor="text1" w:themeTint="F2"/>
                <w:sz w:val="24"/>
                <w:szCs w:val="24"/>
              </w:rPr>
              <w:t xml:space="preserve">On the argument that the respondent failed to make out a case it was argued that condonation is not just for the asking </w:t>
            </w:r>
            <w:r w:rsidRPr="00B17CC0">
              <w:rPr>
                <w:rFonts w:ascii="Arial Narrow" w:hAnsi="Arial Narrow" w:cs="Arial"/>
                <w:sz w:val="24"/>
                <w:szCs w:val="24"/>
              </w:rPr>
              <w:t>but</w:t>
            </w:r>
            <w:r>
              <w:rPr>
                <w:rFonts w:ascii="Arial Narrow" w:hAnsi="Arial Narrow" w:cs="Arial"/>
                <w:color w:val="FF0000"/>
                <w:sz w:val="24"/>
                <w:szCs w:val="24"/>
              </w:rPr>
              <w:t xml:space="preserve"> </w:t>
            </w:r>
            <w:r w:rsidR="00625C52" w:rsidRPr="00DE5F56">
              <w:rPr>
                <w:rFonts w:ascii="Arial Narrow" w:hAnsi="Arial Narrow" w:cs="Arial"/>
                <w:color w:val="0D0D0D" w:themeColor="text1" w:themeTint="F2"/>
                <w:sz w:val="24"/>
                <w:szCs w:val="24"/>
              </w:rPr>
              <w:t xml:space="preserve">that the party seeking condonation bears the onus to satisfy the court that there is sufficient cause to warrant the grant of condonation. The courts attention was drawn to </w:t>
            </w:r>
            <w:r w:rsidR="00625C52" w:rsidRPr="00DE5F56">
              <w:rPr>
                <w:rFonts w:ascii="Arial Narrow" w:hAnsi="Arial Narrow" w:cs="Arial"/>
                <w:i/>
                <w:color w:val="0D0D0D" w:themeColor="text1" w:themeTint="F2"/>
                <w:sz w:val="24"/>
                <w:szCs w:val="24"/>
              </w:rPr>
              <w:t>Telecom Namibia Ltd v Nangolo and Others</w:t>
            </w:r>
            <w:r w:rsidR="00625C52" w:rsidRPr="00DE5F56">
              <w:rPr>
                <w:rStyle w:val="FootnoteReference"/>
                <w:rFonts w:ascii="Arial Narrow" w:hAnsi="Arial Narrow" w:cs="Arial"/>
                <w:i/>
                <w:color w:val="0D0D0D" w:themeColor="text1" w:themeTint="F2"/>
                <w:sz w:val="24"/>
                <w:szCs w:val="24"/>
              </w:rPr>
              <w:footnoteReference w:id="2"/>
            </w:r>
            <w:r w:rsidR="00625C52" w:rsidRPr="00DE5F56">
              <w:rPr>
                <w:rFonts w:ascii="Arial Narrow" w:hAnsi="Arial Narrow" w:cs="Arial"/>
                <w:i/>
                <w:color w:val="0D0D0D" w:themeColor="text1" w:themeTint="F2"/>
                <w:sz w:val="24"/>
                <w:szCs w:val="24"/>
              </w:rPr>
              <w:t xml:space="preserve"> </w:t>
            </w:r>
            <w:r w:rsidR="00625C52" w:rsidRPr="00DE5F56">
              <w:rPr>
                <w:rFonts w:ascii="Arial Narrow" w:hAnsi="Arial Narrow" w:cs="Arial"/>
                <w:color w:val="0D0D0D" w:themeColor="text1" w:themeTint="F2"/>
                <w:sz w:val="24"/>
                <w:szCs w:val="24"/>
              </w:rPr>
              <w:t xml:space="preserve">and the principles set out therein. </w:t>
            </w:r>
          </w:p>
          <w:p w:rsidR="00DE3F8D" w:rsidRPr="00DE5F56" w:rsidRDefault="00DE3F8D" w:rsidP="00B50265">
            <w:pPr>
              <w:spacing w:line="360" w:lineRule="auto"/>
              <w:jc w:val="both"/>
              <w:rPr>
                <w:rFonts w:ascii="Arial Narrow" w:hAnsi="Arial Narrow" w:cs="Arial"/>
                <w:color w:val="0D0D0D" w:themeColor="text1" w:themeTint="F2"/>
                <w:sz w:val="24"/>
                <w:szCs w:val="24"/>
              </w:rPr>
            </w:pPr>
          </w:p>
          <w:p w:rsidR="00434521" w:rsidRPr="00573DD8" w:rsidRDefault="00DE3F8D" w:rsidP="00B50265">
            <w:pPr>
              <w:spacing w:line="360" w:lineRule="auto"/>
              <w:jc w:val="both"/>
              <w:rPr>
                <w:rFonts w:ascii="Arial Narrow" w:hAnsi="Arial Narrow" w:cs="Arial"/>
                <w:sz w:val="24"/>
                <w:szCs w:val="24"/>
              </w:rPr>
            </w:pPr>
            <w:r>
              <w:rPr>
                <w:rFonts w:ascii="Arial Narrow" w:hAnsi="Arial Narrow" w:cs="Arial"/>
                <w:color w:val="0D0D0D" w:themeColor="text1" w:themeTint="F2"/>
                <w:sz w:val="24"/>
                <w:szCs w:val="24"/>
              </w:rPr>
              <w:t xml:space="preserve">[15]     </w:t>
            </w:r>
            <w:r w:rsidR="006240AB" w:rsidRPr="00DE5F56">
              <w:rPr>
                <w:rFonts w:ascii="Arial Narrow" w:hAnsi="Arial Narrow" w:cs="Arial"/>
                <w:color w:val="0D0D0D" w:themeColor="text1" w:themeTint="F2"/>
                <w:sz w:val="24"/>
                <w:szCs w:val="24"/>
              </w:rPr>
              <w:t>In conclusion it was argued that the basis for the present application, being the closure of the firm of the erstwhile legal practitioner and the schedule of the new legal practitioner are insufficient basis for the granting of condonation</w:t>
            </w:r>
            <w:r w:rsidR="006240AB" w:rsidRPr="002627CF">
              <w:rPr>
                <w:rFonts w:ascii="Arial Narrow" w:hAnsi="Arial Narrow" w:cs="Arial"/>
                <w:sz w:val="24"/>
                <w:szCs w:val="24"/>
              </w:rPr>
              <w:t>.</w:t>
            </w:r>
            <w:r w:rsidR="003223A4" w:rsidRPr="002627CF">
              <w:rPr>
                <w:rFonts w:ascii="Arial Narrow" w:hAnsi="Arial Narrow" w:cs="Arial"/>
                <w:sz w:val="24"/>
                <w:szCs w:val="24"/>
              </w:rPr>
              <w:t xml:space="preserve"> </w:t>
            </w:r>
          </w:p>
          <w:p w:rsidR="006240AB" w:rsidRPr="00DE5F56" w:rsidRDefault="006240AB" w:rsidP="00B50265">
            <w:pPr>
              <w:spacing w:line="360" w:lineRule="auto"/>
              <w:jc w:val="both"/>
              <w:rPr>
                <w:rFonts w:ascii="Arial Narrow" w:hAnsi="Arial Narrow" w:cs="Arial"/>
                <w:color w:val="0D0D0D" w:themeColor="text1" w:themeTint="F2"/>
                <w:sz w:val="24"/>
                <w:szCs w:val="24"/>
              </w:rPr>
            </w:pPr>
          </w:p>
          <w:p w:rsidR="00B50265" w:rsidRDefault="008901AF" w:rsidP="00B50265">
            <w:pPr>
              <w:spacing w:line="360" w:lineRule="auto"/>
              <w:jc w:val="both"/>
              <w:rPr>
                <w:rFonts w:ascii="Arial Narrow" w:hAnsi="Arial Narrow" w:cs="Arial"/>
                <w:sz w:val="24"/>
                <w:szCs w:val="24"/>
                <w:u w:val="single"/>
                <w:lang w:val="en-US"/>
              </w:rPr>
            </w:pPr>
            <w:r w:rsidRPr="00DE5F56">
              <w:rPr>
                <w:rFonts w:ascii="Arial Narrow" w:hAnsi="Arial Narrow" w:cs="Arial"/>
                <w:sz w:val="24"/>
                <w:szCs w:val="24"/>
                <w:u w:val="single"/>
                <w:lang w:val="en-US"/>
              </w:rPr>
              <w:t>A</w:t>
            </w:r>
            <w:r>
              <w:rPr>
                <w:rFonts w:ascii="Arial Narrow" w:hAnsi="Arial Narrow" w:cs="Arial"/>
                <w:sz w:val="24"/>
                <w:szCs w:val="24"/>
                <w:u w:val="single"/>
                <w:lang w:val="en-US"/>
              </w:rPr>
              <w:t>pplicable law and a</w:t>
            </w:r>
            <w:r w:rsidR="00B50265" w:rsidRPr="00DE5F56">
              <w:rPr>
                <w:rFonts w:ascii="Arial Narrow" w:hAnsi="Arial Narrow" w:cs="Arial"/>
                <w:sz w:val="24"/>
                <w:szCs w:val="24"/>
                <w:u w:val="single"/>
                <w:lang w:val="en-US"/>
              </w:rPr>
              <w:t xml:space="preserve">pplication </w:t>
            </w:r>
            <w:r w:rsidR="00A70A19" w:rsidRPr="00DE5F56">
              <w:rPr>
                <w:rFonts w:ascii="Arial Narrow" w:hAnsi="Arial Narrow" w:cs="Arial"/>
                <w:sz w:val="24"/>
                <w:szCs w:val="24"/>
                <w:u w:val="single"/>
                <w:lang w:val="en-US"/>
              </w:rPr>
              <w:t xml:space="preserve">of the law </w:t>
            </w:r>
            <w:r w:rsidR="00B50265" w:rsidRPr="00DE5F56">
              <w:rPr>
                <w:rFonts w:ascii="Arial Narrow" w:hAnsi="Arial Narrow" w:cs="Arial"/>
                <w:sz w:val="24"/>
                <w:szCs w:val="24"/>
                <w:u w:val="single"/>
                <w:lang w:val="en-US"/>
              </w:rPr>
              <w:t>to the facts</w:t>
            </w:r>
          </w:p>
          <w:p w:rsidR="008056E0" w:rsidRPr="00DE5F56" w:rsidRDefault="008056E0" w:rsidP="00B50265">
            <w:pPr>
              <w:spacing w:line="360" w:lineRule="auto"/>
              <w:jc w:val="both"/>
              <w:rPr>
                <w:rFonts w:ascii="Arial Narrow" w:hAnsi="Arial Narrow" w:cs="Arial"/>
                <w:sz w:val="24"/>
                <w:szCs w:val="24"/>
                <w:u w:val="single"/>
                <w:lang w:val="en-US"/>
              </w:rPr>
            </w:pPr>
          </w:p>
          <w:p w:rsidR="00A8443D" w:rsidRDefault="00594D59" w:rsidP="00B50265">
            <w:pPr>
              <w:spacing w:line="360" w:lineRule="auto"/>
              <w:jc w:val="both"/>
              <w:rPr>
                <w:rFonts w:ascii="Arial Narrow" w:hAnsi="Arial Narrow" w:cs="Arial"/>
                <w:color w:val="0D0D0D" w:themeColor="text1" w:themeTint="F2"/>
                <w:sz w:val="24"/>
                <w:szCs w:val="24"/>
              </w:rPr>
            </w:pPr>
            <w:r>
              <w:rPr>
                <w:rFonts w:ascii="Arial Narrow" w:hAnsi="Arial Narrow" w:cs="Arial"/>
                <w:sz w:val="24"/>
                <w:szCs w:val="24"/>
                <w:lang w:val="en-US"/>
              </w:rPr>
              <w:t>[16</w:t>
            </w:r>
            <w:r w:rsidR="00811209">
              <w:rPr>
                <w:rFonts w:ascii="Arial Narrow" w:hAnsi="Arial Narrow" w:cs="Arial"/>
                <w:sz w:val="24"/>
                <w:szCs w:val="24"/>
                <w:lang w:val="en-US"/>
              </w:rPr>
              <w:t xml:space="preserve">]     </w:t>
            </w:r>
            <w:r w:rsidR="003223A4" w:rsidRPr="00DE5F56">
              <w:rPr>
                <w:rFonts w:ascii="Arial Narrow" w:hAnsi="Arial Narrow" w:cs="Arial"/>
                <w:sz w:val="24"/>
                <w:szCs w:val="24"/>
                <w:lang w:val="en-US"/>
              </w:rPr>
              <w:t xml:space="preserve">First and foremost I must remark that I am fully in agreement with </w:t>
            </w:r>
            <w:r w:rsidR="006E7A06" w:rsidRPr="00B17CC0">
              <w:rPr>
                <w:rFonts w:ascii="Arial Narrow" w:hAnsi="Arial Narrow" w:cs="Arial"/>
                <w:sz w:val="24"/>
                <w:szCs w:val="24"/>
                <w:lang w:val="en-US"/>
              </w:rPr>
              <w:t xml:space="preserve">the </w:t>
            </w:r>
            <w:r w:rsidR="003223A4" w:rsidRPr="00DE5F56">
              <w:rPr>
                <w:rFonts w:ascii="Arial Narrow" w:hAnsi="Arial Narrow" w:cs="Arial"/>
                <w:sz w:val="24"/>
                <w:szCs w:val="24"/>
                <w:lang w:val="en-US"/>
              </w:rPr>
              <w:t>legal principles that t</w:t>
            </w:r>
            <w:r w:rsidR="00397C7F">
              <w:rPr>
                <w:rFonts w:ascii="Arial Narrow" w:hAnsi="Arial Narrow" w:cs="Arial"/>
                <w:sz w:val="24"/>
                <w:szCs w:val="24"/>
                <w:lang w:val="en-US"/>
              </w:rPr>
              <w:t>his court was referred to by Mr</w:t>
            </w:r>
            <w:r w:rsidR="003223A4" w:rsidRPr="00DE5F56">
              <w:rPr>
                <w:rFonts w:ascii="Arial Narrow" w:hAnsi="Arial Narrow" w:cs="Arial"/>
                <w:sz w:val="24"/>
                <w:szCs w:val="24"/>
                <w:lang w:val="en-US"/>
              </w:rPr>
              <w:t xml:space="preserve"> </w:t>
            </w:r>
            <w:r w:rsidR="003223A4" w:rsidRPr="00DE5F56">
              <w:rPr>
                <w:rFonts w:ascii="Arial Narrow" w:hAnsi="Arial Narrow" w:cs="Arial"/>
                <w:color w:val="0D0D0D" w:themeColor="text1" w:themeTint="F2"/>
                <w:sz w:val="24"/>
                <w:szCs w:val="24"/>
              </w:rPr>
              <w:t>Shimutwikeni</w:t>
            </w:r>
            <w:r w:rsidR="00A8443D" w:rsidRPr="00DE5F56">
              <w:rPr>
                <w:rFonts w:ascii="Arial Narrow" w:hAnsi="Arial Narrow" w:cs="Arial"/>
                <w:color w:val="0D0D0D" w:themeColor="text1" w:themeTint="F2"/>
                <w:sz w:val="24"/>
                <w:szCs w:val="24"/>
              </w:rPr>
              <w:t xml:space="preserve">, however one must not lose sight of the fact that each application of this nature will be considered on its own merits. </w:t>
            </w:r>
          </w:p>
          <w:p w:rsidR="00811209" w:rsidRPr="00DE5F56" w:rsidRDefault="00811209" w:rsidP="00B50265">
            <w:pPr>
              <w:spacing w:line="360" w:lineRule="auto"/>
              <w:jc w:val="both"/>
              <w:rPr>
                <w:rFonts w:ascii="Arial Narrow" w:hAnsi="Arial Narrow" w:cs="Arial"/>
                <w:color w:val="0D0D0D" w:themeColor="text1" w:themeTint="F2"/>
                <w:sz w:val="24"/>
                <w:szCs w:val="24"/>
              </w:rPr>
            </w:pPr>
          </w:p>
          <w:p w:rsidR="00194111" w:rsidRDefault="00811209" w:rsidP="00B50265">
            <w:pPr>
              <w:spacing w:line="360" w:lineRule="auto"/>
              <w:jc w:val="both"/>
              <w:rPr>
                <w:rFonts w:ascii="Arial Narrow" w:hAnsi="Arial Narrow"/>
                <w:sz w:val="24"/>
                <w:szCs w:val="24"/>
              </w:rPr>
            </w:pPr>
            <w:r>
              <w:rPr>
                <w:rFonts w:ascii="Arial Narrow" w:hAnsi="Arial Narrow" w:cs="Arial"/>
                <w:sz w:val="24"/>
                <w:szCs w:val="24"/>
                <w:lang w:val="en-US"/>
              </w:rPr>
              <w:t xml:space="preserve">[17]     </w:t>
            </w:r>
            <w:r w:rsidR="00194111">
              <w:rPr>
                <w:rFonts w:ascii="Arial Narrow" w:hAnsi="Arial Narrow" w:cs="Arial"/>
                <w:sz w:val="24"/>
                <w:szCs w:val="24"/>
                <w:lang w:val="en-US"/>
              </w:rPr>
              <w:t xml:space="preserve">The principles of condonation </w:t>
            </w:r>
            <w:r w:rsidR="006E7A06">
              <w:rPr>
                <w:rFonts w:ascii="Arial Narrow" w:hAnsi="Arial Narrow" w:cs="Arial"/>
                <w:sz w:val="24"/>
                <w:szCs w:val="24"/>
                <w:lang w:val="en-US"/>
              </w:rPr>
              <w:t xml:space="preserve">were </w:t>
            </w:r>
            <w:r w:rsidR="00194111">
              <w:rPr>
                <w:rFonts w:ascii="Arial Narrow" w:hAnsi="Arial Narrow" w:cs="Arial"/>
                <w:sz w:val="24"/>
                <w:szCs w:val="24"/>
                <w:lang w:val="en-US"/>
              </w:rPr>
              <w:t xml:space="preserve">restated by the Supreme Court in </w:t>
            </w:r>
            <w:r w:rsidR="00194111" w:rsidRPr="00194111">
              <w:rPr>
                <w:rFonts w:ascii="Arial Narrow" w:hAnsi="Arial Narrow"/>
                <w:i/>
                <w:sz w:val="24"/>
                <w:szCs w:val="24"/>
              </w:rPr>
              <w:t>Minister of Health and Social Services v Amakali Matheus</w:t>
            </w:r>
            <w:r w:rsidR="00194111">
              <w:rPr>
                <w:rStyle w:val="FootnoteReference"/>
                <w:rFonts w:ascii="Arial Narrow" w:hAnsi="Arial Narrow"/>
                <w:i/>
                <w:sz w:val="24"/>
                <w:szCs w:val="24"/>
              </w:rPr>
              <w:footnoteReference w:id="3"/>
            </w:r>
            <w:r w:rsidR="00194111" w:rsidRPr="00194111">
              <w:rPr>
                <w:rFonts w:ascii="Arial Narrow" w:hAnsi="Arial Narrow"/>
                <w:sz w:val="24"/>
                <w:szCs w:val="24"/>
              </w:rPr>
              <w:t xml:space="preserve"> </w:t>
            </w:r>
            <w:r w:rsidR="00194111">
              <w:rPr>
                <w:rFonts w:ascii="Arial Narrow" w:hAnsi="Arial Narrow"/>
                <w:sz w:val="24"/>
                <w:szCs w:val="24"/>
              </w:rPr>
              <w:t>as follows:</w:t>
            </w:r>
          </w:p>
          <w:p w:rsidR="006E7A06" w:rsidRDefault="006E7A06" w:rsidP="00B50265">
            <w:pPr>
              <w:spacing w:line="360" w:lineRule="auto"/>
              <w:jc w:val="both"/>
              <w:rPr>
                <w:rFonts w:ascii="Arial Narrow" w:hAnsi="Arial Narrow" w:cs="Arial"/>
              </w:rPr>
            </w:pPr>
          </w:p>
          <w:p w:rsidR="00194111" w:rsidRDefault="00194111" w:rsidP="00194111">
            <w:pPr>
              <w:spacing w:line="360" w:lineRule="auto"/>
              <w:jc w:val="both"/>
              <w:rPr>
                <w:rFonts w:ascii="Arial Narrow" w:hAnsi="Arial Narrow" w:cs="Arial"/>
              </w:rPr>
            </w:pPr>
            <w:r>
              <w:rPr>
                <w:rFonts w:ascii="Arial Narrow" w:hAnsi="Arial Narrow" w:cs="Arial"/>
              </w:rPr>
              <w:lastRenderedPageBreak/>
              <w:t xml:space="preserve">         </w:t>
            </w:r>
            <w:r w:rsidR="004E6E67">
              <w:rPr>
                <w:rFonts w:ascii="Arial Narrow" w:hAnsi="Arial Narrow" w:cs="Arial"/>
              </w:rPr>
              <w:t>‘</w:t>
            </w:r>
            <w:r w:rsidR="001648D8">
              <w:rPr>
                <w:rFonts w:ascii="Arial Narrow" w:hAnsi="Arial Narrow" w:cs="Arial"/>
              </w:rPr>
              <w:t xml:space="preserve">[17] </w:t>
            </w:r>
            <w:r w:rsidRPr="00194111">
              <w:rPr>
                <w:rFonts w:ascii="Arial Narrow" w:hAnsi="Arial Narrow" w:cs="Arial"/>
              </w:rPr>
              <w:t>An applicant seeking condonation must satisfy the following requirements.</w:t>
            </w:r>
            <w:r w:rsidRPr="00194111">
              <w:rPr>
                <w:rStyle w:val="FootnoteReference"/>
                <w:rFonts w:ascii="Arial Narrow" w:hAnsi="Arial Narrow" w:cs="Arial"/>
              </w:rPr>
              <w:footnoteReference w:id="4"/>
            </w:r>
            <w:r w:rsidRPr="00194111">
              <w:rPr>
                <w:rFonts w:ascii="Arial Narrow" w:hAnsi="Arial Narrow" w:cs="Arial"/>
              </w:rPr>
              <w:t xml:space="preserve"> He or she must provide a reasonable, acceptable and bona fide explanation for non-compliance with the rules. The application must be lodged without delay, and must provide a full, detailed and accurate explanation for the entire period of the delay, including the timing of the application for condonation.</w:t>
            </w:r>
            <w:r w:rsidRPr="00194111">
              <w:rPr>
                <w:rStyle w:val="FootnoteReference"/>
                <w:rFonts w:ascii="Arial Narrow" w:hAnsi="Arial Narrow" w:cs="Arial"/>
              </w:rPr>
              <w:footnoteReference w:id="5"/>
            </w:r>
            <w:r w:rsidRPr="00194111">
              <w:rPr>
                <w:rFonts w:ascii="Arial Narrow" w:hAnsi="Arial Narrow" w:cs="Arial"/>
              </w:rPr>
              <w:t xml:space="preserve"> Lastly, the applicant must satisfy the court that there are reasonable prospects of success on appeal</w:t>
            </w:r>
            <w:r>
              <w:rPr>
                <w:rFonts w:ascii="Arial Narrow" w:hAnsi="Arial Narrow" w:cs="Arial"/>
              </w:rPr>
              <w:t>.</w:t>
            </w:r>
            <w:r w:rsidRPr="00194111">
              <w:rPr>
                <w:rFonts w:ascii="Arial Narrow" w:hAnsi="Arial Narrow" w:cs="Arial"/>
              </w:rPr>
              <w:t xml:space="preserve"> </w:t>
            </w:r>
          </w:p>
          <w:p w:rsidR="006E7A06" w:rsidRDefault="006E7A06" w:rsidP="00194111">
            <w:pPr>
              <w:spacing w:line="360" w:lineRule="auto"/>
              <w:jc w:val="both"/>
              <w:rPr>
                <w:rFonts w:ascii="Arial Narrow" w:hAnsi="Arial Narrow" w:cs="Arial"/>
              </w:rPr>
            </w:pPr>
          </w:p>
          <w:p w:rsidR="00194111" w:rsidRPr="00194111" w:rsidRDefault="00194111" w:rsidP="00194111">
            <w:pPr>
              <w:spacing w:line="360" w:lineRule="auto"/>
              <w:jc w:val="both"/>
              <w:rPr>
                <w:rFonts w:ascii="Arial" w:hAnsi="Arial" w:cs="Arial"/>
                <w:sz w:val="24"/>
                <w:szCs w:val="24"/>
              </w:rPr>
            </w:pPr>
            <w:r>
              <w:rPr>
                <w:rFonts w:ascii="Arial Narrow" w:hAnsi="Arial Narrow" w:cs="Arial"/>
              </w:rPr>
              <w:t xml:space="preserve">             [18] </w:t>
            </w:r>
            <w:r w:rsidRPr="00194111">
              <w:rPr>
                <w:rFonts w:ascii="Arial Narrow" w:hAnsi="Arial Narrow" w:cs="Arial"/>
              </w:rPr>
              <w:t>There are a range of factors relevant to determining whether an application for condonation for the late filing of an appeal should be granted.</w:t>
            </w:r>
            <w:r w:rsidRPr="00194111">
              <w:rPr>
                <w:rStyle w:val="FootnoteReference"/>
                <w:rFonts w:ascii="Arial Narrow" w:hAnsi="Arial Narrow" w:cs="Arial"/>
              </w:rPr>
              <w:footnoteReference w:id="6"/>
            </w:r>
            <w:r w:rsidRPr="00194111">
              <w:rPr>
                <w:rFonts w:ascii="Arial Narrow" w:hAnsi="Arial Narrow" w:cs="Arial"/>
              </w:rPr>
              <w:t xml:space="preserve"> These include ‘the extent of the non-compliance with the rule in question, the reasonableness of the explanation offered for the non-compliance, the bona fides of the application, the prospects of success on the merits, the importance of the case, the respondent’s (and where applicable, the public’s interest in the finality of the judgment), the prejudice suffered by the other litigants as a result of the non-compliance, the convenience of the court and the avoidance of unnecessary delay in the administration of justice’. </w:t>
            </w:r>
          </w:p>
          <w:p w:rsidR="00F63CE8" w:rsidRDefault="00F63CE8" w:rsidP="00B50265">
            <w:pPr>
              <w:spacing w:line="360" w:lineRule="auto"/>
              <w:jc w:val="both"/>
              <w:rPr>
                <w:rFonts w:ascii="Arial Narrow" w:hAnsi="Arial Narrow" w:cs="Arial"/>
                <w:sz w:val="24"/>
                <w:szCs w:val="24"/>
                <w:lang w:val="en-US"/>
              </w:rPr>
            </w:pPr>
          </w:p>
          <w:p w:rsidR="00653FB1" w:rsidRDefault="00811209" w:rsidP="00B50265">
            <w:pPr>
              <w:spacing w:line="360" w:lineRule="auto"/>
              <w:jc w:val="both"/>
              <w:rPr>
                <w:rFonts w:ascii="Arial Narrow" w:hAnsi="Arial Narrow"/>
                <w:color w:val="000000"/>
                <w:sz w:val="24"/>
                <w:szCs w:val="24"/>
                <w:shd w:val="clear" w:color="auto" w:fill="FFFFFF"/>
              </w:rPr>
            </w:pPr>
            <w:r>
              <w:rPr>
                <w:rFonts w:ascii="Arial Narrow" w:hAnsi="Arial Narrow" w:cs="Arial"/>
                <w:sz w:val="24"/>
                <w:szCs w:val="24"/>
                <w:lang w:val="en-US"/>
              </w:rPr>
              <w:t>[18</w:t>
            </w:r>
            <w:r w:rsidR="004E6E67">
              <w:rPr>
                <w:rFonts w:ascii="Arial Narrow" w:hAnsi="Arial Narrow" w:cs="Arial"/>
                <w:sz w:val="24"/>
                <w:szCs w:val="24"/>
                <w:lang w:val="en-US"/>
              </w:rPr>
              <w:t xml:space="preserve">]     </w:t>
            </w:r>
            <w:r w:rsidR="00425233" w:rsidRPr="00F63CE8">
              <w:rPr>
                <w:rFonts w:ascii="Arial Narrow" w:hAnsi="Arial Narrow" w:cs="Arial"/>
                <w:i/>
                <w:sz w:val="24"/>
                <w:szCs w:val="24"/>
                <w:lang w:val="en-US"/>
              </w:rPr>
              <w:t>On the issue of absence of locus standi</w:t>
            </w:r>
            <w:r w:rsidR="00653FB1" w:rsidRPr="00DE5F56">
              <w:rPr>
                <w:rFonts w:ascii="Arial Narrow" w:hAnsi="Arial Narrow"/>
                <w:color w:val="000000"/>
                <w:sz w:val="24"/>
                <w:szCs w:val="24"/>
                <w:shd w:val="clear" w:color="auto" w:fill="FFFFFF"/>
              </w:rPr>
              <w:t>:</w:t>
            </w:r>
            <w:r w:rsidR="00DE5F56">
              <w:rPr>
                <w:rFonts w:ascii="Arial Narrow" w:hAnsi="Arial Narrow"/>
                <w:color w:val="000000"/>
                <w:sz w:val="24"/>
                <w:szCs w:val="24"/>
                <w:shd w:val="clear" w:color="auto" w:fill="FFFFFF"/>
              </w:rPr>
              <w:t xml:space="preserve"> This court accepts that the law </w:t>
            </w:r>
            <w:r w:rsidR="00653FB1" w:rsidRPr="00DE5F56">
              <w:rPr>
                <w:rFonts w:ascii="Arial Narrow" w:hAnsi="Arial Narrow"/>
                <w:color w:val="000000"/>
                <w:sz w:val="24"/>
                <w:szCs w:val="24"/>
                <w:shd w:val="clear" w:color="auto" w:fill="FFFFFF"/>
              </w:rPr>
              <w:t>gener</w:t>
            </w:r>
            <w:r w:rsidR="00DE5F56">
              <w:rPr>
                <w:rFonts w:ascii="Arial Narrow" w:hAnsi="Arial Narrow"/>
                <w:color w:val="000000"/>
                <w:sz w:val="24"/>
                <w:szCs w:val="24"/>
                <w:shd w:val="clear" w:color="auto" w:fill="FFFFFF"/>
              </w:rPr>
              <w:t xml:space="preserve">ally is that a legal practitioner </w:t>
            </w:r>
            <w:r w:rsidR="00653FB1" w:rsidRPr="00DE5F56">
              <w:rPr>
                <w:rFonts w:ascii="Arial Narrow" w:hAnsi="Arial Narrow"/>
                <w:color w:val="000000"/>
                <w:sz w:val="24"/>
                <w:szCs w:val="24"/>
                <w:shd w:val="clear" w:color="auto" w:fill="FFFFFF"/>
              </w:rPr>
              <w:t>must not enter the litigation arena as a witness for his client.</w:t>
            </w:r>
            <w:r w:rsidR="00DE5F56">
              <w:rPr>
                <w:rFonts w:ascii="Arial Narrow" w:hAnsi="Arial Narrow"/>
                <w:color w:val="000000"/>
                <w:sz w:val="24"/>
                <w:szCs w:val="24"/>
                <w:shd w:val="clear" w:color="auto" w:fill="FFFFFF"/>
              </w:rPr>
              <w:t xml:space="preserve"> The legal practitioner in the matter </w:t>
            </w:r>
            <w:r w:rsidR="00DE5F56" w:rsidRPr="00B17CC0">
              <w:rPr>
                <w:rFonts w:ascii="Arial Narrow" w:hAnsi="Arial Narrow"/>
                <w:i/>
                <w:color w:val="000000"/>
                <w:sz w:val="24"/>
                <w:szCs w:val="24"/>
                <w:shd w:val="clear" w:color="auto" w:fill="FFFFFF"/>
              </w:rPr>
              <w:t>in casu</w:t>
            </w:r>
            <w:r w:rsidR="00DE5F56">
              <w:rPr>
                <w:rFonts w:ascii="Arial Narrow" w:hAnsi="Arial Narrow"/>
                <w:color w:val="000000"/>
                <w:sz w:val="24"/>
                <w:szCs w:val="24"/>
                <w:shd w:val="clear" w:color="auto" w:fill="FFFFFF"/>
              </w:rPr>
              <w:t xml:space="preserve"> was the deponent to the founding affidavit, wherein she stated the details in support of this application </w:t>
            </w:r>
            <w:r w:rsidR="004E6E67" w:rsidRPr="00B17CC0">
              <w:rPr>
                <w:rFonts w:ascii="Arial Narrow" w:hAnsi="Arial Narrow"/>
                <w:sz w:val="24"/>
                <w:szCs w:val="24"/>
                <w:shd w:val="clear" w:color="auto" w:fill="FFFFFF"/>
              </w:rPr>
              <w:t>which</w:t>
            </w:r>
            <w:r w:rsidR="00DE5F56" w:rsidRPr="00B17CC0">
              <w:rPr>
                <w:rFonts w:ascii="Arial Narrow" w:hAnsi="Arial Narrow"/>
                <w:sz w:val="24"/>
                <w:szCs w:val="24"/>
                <w:shd w:val="clear" w:color="auto" w:fill="FFFFFF"/>
              </w:rPr>
              <w:t xml:space="preserve"> </w:t>
            </w:r>
            <w:r w:rsidR="00DE5F56">
              <w:rPr>
                <w:rFonts w:ascii="Arial Narrow" w:hAnsi="Arial Narrow"/>
                <w:color w:val="000000"/>
                <w:sz w:val="24"/>
                <w:szCs w:val="24"/>
                <w:shd w:val="clear" w:color="auto" w:fill="FFFFFF"/>
              </w:rPr>
              <w:t xml:space="preserve">cannot be within the knowledge of the respondent and where </w:t>
            </w:r>
            <w:r w:rsidR="004E6E67" w:rsidRPr="00B17CC0">
              <w:rPr>
                <w:rFonts w:ascii="Arial Narrow" w:hAnsi="Arial Narrow"/>
                <w:sz w:val="24"/>
                <w:szCs w:val="24"/>
                <w:shd w:val="clear" w:color="auto" w:fill="FFFFFF"/>
              </w:rPr>
              <w:t xml:space="preserve">she was </w:t>
            </w:r>
            <w:r w:rsidR="00DE5F56">
              <w:rPr>
                <w:rFonts w:ascii="Arial Narrow" w:hAnsi="Arial Narrow"/>
                <w:color w:val="000000"/>
                <w:sz w:val="24"/>
                <w:szCs w:val="24"/>
                <w:shd w:val="clear" w:color="auto" w:fill="FFFFFF"/>
              </w:rPr>
              <w:t>privy to the facts which</w:t>
            </w:r>
            <w:r w:rsidR="004E6E67" w:rsidRPr="00B17CC0">
              <w:rPr>
                <w:rFonts w:ascii="Arial Narrow" w:hAnsi="Arial Narrow"/>
                <w:sz w:val="24"/>
                <w:szCs w:val="24"/>
                <w:shd w:val="clear" w:color="auto" w:fill="FFFFFF"/>
              </w:rPr>
              <w:t>,</w:t>
            </w:r>
            <w:r w:rsidR="00DE5F56">
              <w:rPr>
                <w:rFonts w:ascii="Arial Narrow" w:hAnsi="Arial Narrow"/>
                <w:color w:val="000000"/>
                <w:sz w:val="24"/>
                <w:szCs w:val="24"/>
                <w:shd w:val="clear" w:color="auto" w:fill="FFFFFF"/>
              </w:rPr>
              <w:t xml:space="preserve"> in this instance</w:t>
            </w:r>
            <w:r w:rsidR="004E6E67">
              <w:rPr>
                <w:rFonts w:ascii="Arial Narrow" w:hAnsi="Arial Narrow"/>
                <w:color w:val="FF0000"/>
                <w:sz w:val="24"/>
                <w:szCs w:val="24"/>
                <w:shd w:val="clear" w:color="auto" w:fill="FFFFFF"/>
              </w:rPr>
              <w:t>,</w:t>
            </w:r>
            <w:r w:rsidR="00DE5F56">
              <w:rPr>
                <w:rFonts w:ascii="Arial Narrow" w:hAnsi="Arial Narrow"/>
                <w:color w:val="000000"/>
                <w:sz w:val="24"/>
                <w:szCs w:val="24"/>
                <w:shd w:val="clear" w:color="auto" w:fill="FFFFFF"/>
              </w:rPr>
              <w:t xml:space="preserve"> </w:t>
            </w:r>
            <w:r w:rsidR="00214C81">
              <w:rPr>
                <w:rFonts w:ascii="Arial Narrow" w:hAnsi="Arial Narrow"/>
                <w:color w:val="000000"/>
                <w:sz w:val="24"/>
                <w:szCs w:val="24"/>
                <w:shd w:val="clear" w:color="auto" w:fill="FFFFFF"/>
              </w:rPr>
              <w:t xml:space="preserve">occurred in her professional domain. The respondent </w:t>
            </w:r>
            <w:r w:rsidR="004E6E67">
              <w:rPr>
                <w:rFonts w:ascii="Arial Narrow" w:hAnsi="Arial Narrow"/>
                <w:color w:val="000000"/>
                <w:sz w:val="24"/>
                <w:szCs w:val="24"/>
                <w:shd w:val="clear" w:color="auto" w:fill="FFFFFF"/>
              </w:rPr>
              <w:t xml:space="preserve">could not and </w:t>
            </w:r>
            <w:r w:rsidR="00214C81">
              <w:rPr>
                <w:rFonts w:ascii="Arial Narrow" w:hAnsi="Arial Narrow"/>
                <w:color w:val="000000"/>
                <w:sz w:val="24"/>
                <w:szCs w:val="24"/>
                <w:shd w:val="clear" w:color="auto" w:fill="FFFFFF"/>
              </w:rPr>
              <w:t xml:space="preserve">would not </w:t>
            </w:r>
            <w:r w:rsidR="004E6E67">
              <w:rPr>
                <w:rFonts w:ascii="Arial Narrow" w:hAnsi="Arial Narrow"/>
                <w:color w:val="000000"/>
                <w:sz w:val="24"/>
                <w:szCs w:val="24"/>
                <w:shd w:val="clear" w:color="auto" w:fill="FFFFFF"/>
              </w:rPr>
              <w:t xml:space="preserve">have been </w:t>
            </w:r>
            <w:r w:rsidR="00214C81">
              <w:rPr>
                <w:rFonts w:ascii="Arial Narrow" w:hAnsi="Arial Narrow"/>
                <w:color w:val="000000"/>
                <w:sz w:val="24"/>
                <w:szCs w:val="24"/>
                <w:shd w:val="clear" w:color="auto" w:fill="FFFFFF"/>
              </w:rPr>
              <w:t xml:space="preserve">able to depose to such an affidavit. In my considered view this is the type of exceptional circumstances which will dictate that a legal practitioner </w:t>
            </w:r>
            <w:r w:rsidR="004E6E67" w:rsidRPr="00B17CC0">
              <w:rPr>
                <w:rFonts w:ascii="Arial Narrow" w:hAnsi="Arial Narrow"/>
                <w:sz w:val="24"/>
                <w:szCs w:val="24"/>
                <w:shd w:val="clear" w:color="auto" w:fill="FFFFFF"/>
              </w:rPr>
              <w:t xml:space="preserve">can </w:t>
            </w:r>
            <w:r w:rsidR="00214C81">
              <w:rPr>
                <w:rFonts w:ascii="Arial Narrow" w:hAnsi="Arial Narrow"/>
                <w:color w:val="000000"/>
                <w:sz w:val="24"/>
                <w:szCs w:val="24"/>
                <w:shd w:val="clear" w:color="auto" w:fill="FFFFFF"/>
              </w:rPr>
              <w:t xml:space="preserve">depose to an affidavit on behalf of her client, and </w:t>
            </w:r>
            <w:r w:rsidR="004E6E67" w:rsidRPr="00B17CC0">
              <w:rPr>
                <w:rFonts w:ascii="Arial Narrow" w:hAnsi="Arial Narrow"/>
                <w:sz w:val="24"/>
                <w:szCs w:val="24"/>
                <w:shd w:val="clear" w:color="auto" w:fill="FFFFFF"/>
              </w:rPr>
              <w:t>this</w:t>
            </w:r>
            <w:r w:rsidR="004E6E67">
              <w:rPr>
                <w:rFonts w:ascii="Arial Narrow" w:hAnsi="Arial Narrow"/>
                <w:color w:val="FF0000"/>
                <w:sz w:val="24"/>
                <w:szCs w:val="24"/>
                <w:shd w:val="clear" w:color="auto" w:fill="FFFFFF"/>
              </w:rPr>
              <w:t xml:space="preserve"> </w:t>
            </w:r>
            <w:r w:rsidR="00214C81">
              <w:rPr>
                <w:rFonts w:ascii="Arial Narrow" w:hAnsi="Arial Narrow"/>
                <w:color w:val="000000"/>
                <w:sz w:val="24"/>
                <w:szCs w:val="24"/>
                <w:shd w:val="clear" w:color="auto" w:fill="FFFFFF"/>
              </w:rPr>
              <w:t xml:space="preserve">would be primarily in an interlocutory application.   </w:t>
            </w:r>
            <w:r w:rsidR="00653FB1" w:rsidRPr="00DE5F56">
              <w:rPr>
                <w:rFonts w:ascii="Arial Narrow" w:hAnsi="Arial Narrow"/>
                <w:color w:val="000000"/>
                <w:sz w:val="24"/>
                <w:szCs w:val="24"/>
                <w:shd w:val="clear" w:color="auto" w:fill="FFFFFF"/>
              </w:rPr>
              <w:t xml:space="preserve">Only in </w:t>
            </w:r>
            <w:r w:rsidR="00214C81">
              <w:rPr>
                <w:rFonts w:ascii="Arial Narrow" w:hAnsi="Arial Narrow"/>
                <w:color w:val="000000"/>
                <w:sz w:val="24"/>
                <w:szCs w:val="24"/>
                <w:shd w:val="clear" w:color="auto" w:fill="FFFFFF"/>
              </w:rPr>
              <w:t xml:space="preserve">that very limited nature can a legal practitioner </w:t>
            </w:r>
            <w:r w:rsidR="00653FB1" w:rsidRPr="00DE5F56">
              <w:rPr>
                <w:rFonts w:ascii="Arial Narrow" w:hAnsi="Arial Narrow"/>
                <w:color w:val="000000"/>
                <w:sz w:val="24"/>
                <w:szCs w:val="24"/>
                <w:shd w:val="clear" w:color="auto" w:fill="FFFFFF"/>
              </w:rPr>
              <w:t xml:space="preserve">depose to an affidavit in </w:t>
            </w:r>
            <w:r w:rsidR="004E6E67" w:rsidRPr="00B17CC0">
              <w:rPr>
                <w:rFonts w:ascii="Arial Narrow" w:hAnsi="Arial Narrow"/>
                <w:sz w:val="24"/>
                <w:szCs w:val="24"/>
                <w:shd w:val="clear" w:color="auto" w:fill="FFFFFF"/>
              </w:rPr>
              <w:t>such</w:t>
            </w:r>
            <w:r w:rsidR="004E6E67">
              <w:rPr>
                <w:rFonts w:ascii="Arial Narrow" w:hAnsi="Arial Narrow"/>
                <w:color w:val="FF0000"/>
                <w:sz w:val="24"/>
                <w:szCs w:val="24"/>
                <w:shd w:val="clear" w:color="auto" w:fill="FFFFFF"/>
              </w:rPr>
              <w:t xml:space="preserve"> </w:t>
            </w:r>
            <w:r w:rsidR="00653FB1" w:rsidRPr="00DE5F56">
              <w:rPr>
                <w:rFonts w:ascii="Arial Narrow" w:hAnsi="Arial Narrow"/>
                <w:color w:val="000000"/>
                <w:sz w:val="24"/>
                <w:szCs w:val="24"/>
                <w:shd w:val="clear" w:color="auto" w:fill="FFFFFF"/>
              </w:rPr>
              <w:t>an application. </w:t>
            </w:r>
          </w:p>
          <w:p w:rsidR="00070701" w:rsidRDefault="00070701" w:rsidP="00B50265">
            <w:pPr>
              <w:spacing w:line="360" w:lineRule="auto"/>
              <w:jc w:val="both"/>
              <w:rPr>
                <w:rFonts w:ascii="Arial Narrow" w:hAnsi="Arial Narrow"/>
                <w:color w:val="000000"/>
                <w:sz w:val="24"/>
                <w:szCs w:val="24"/>
                <w:shd w:val="clear" w:color="auto" w:fill="FFFFFF"/>
              </w:rPr>
            </w:pPr>
          </w:p>
          <w:p w:rsidR="00070701" w:rsidRDefault="00070701" w:rsidP="00B50265">
            <w:pPr>
              <w:spacing w:line="360" w:lineRule="auto"/>
              <w:jc w:val="both"/>
              <w:rPr>
                <w:rFonts w:ascii="Arial Narrow" w:hAnsi="Arial Narrow"/>
                <w:color w:val="000000"/>
                <w:sz w:val="24"/>
                <w:szCs w:val="24"/>
                <w:shd w:val="clear" w:color="auto" w:fill="FFFFFF"/>
              </w:rPr>
            </w:pPr>
            <w:r>
              <w:rPr>
                <w:rFonts w:ascii="Arial Narrow" w:hAnsi="Arial Narrow"/>
                <w:color w:val="000000"/>
                <w:sz w:val="24"/>
                <w:szCs w:val="24"/>
                <w:shd w:val="clear" w:color="auto" w:fill="FFFFFF"/>
              </w:rPr>
              <w:t>[1</w:t>
            </w:r>
            <w:r w:rsidR="00811209">
              <w:rPr>
                <w:rFonts w:ascii="Arial Narrow" w:hAnsi="Arial Narrow"/>
                <w:color w:val="000000"/>
                <w:sz w:val="24"/>
                <w:szCs w:val="24"/>
                <w:shd w:val="clear" w:color="auto" w:fill="FFFFFF"/>
              </w:rPr>
              <w:t>9</w:t>
            </w:r>
            <w:r w:rsidR="004E6E67">
              <w:rPr>
                <w:rFonts w:ascii="Arial Narrow" w:hAnsi="Arial Narrow"/>
                <w:color w:val="000000"/>
                <w:sz w:val="24"/>
                <w:szCs w:val="24"/>
                <w:shd w:val="clear" w:color="auto" w:fill="FFFFFF"/>
              </w:rPr>
              <w:t xml:space="preserve">]     </w:t>
            </w:r>
            <w:r>
              <w:rPr>
                <w:rFonts w:ascii="Arial Narrow" w:hAnsi="Arial Narrow"/>
                <w:color w:val="000000"/>
                <w:sz w:val="24"/>
                <w:szCs w:val="24"/>
                <w:shd w:val="clear" w:color="auto" w:fill="FFFFFF"/>
              </w:rPr>
              <w:t xml:space="preserve">It is clear from the answering affidavit filed in respect of the main application that the current legal practitioners </w:t>
            </w:r>
            <w:r w:rsidR="004E6E67" w:rsidRPr="00B17CC0">
              <w:rPr>
                <w:rFonts w:ascii="Arial Narrow" w:hAnsi="Arial Narrow"/>
                <w:sz w:val="24"/>
                <w:szCs w:val="24"/>
                <w:shd w:val="clear" w:color="auto" w:fill="FFFFFF"/>
              </w:rPr>
              <w:t xml:space="preserve">for the respondent </w:t>
            </w:r>
            <w:r>
              <w:rPr>
                <w:rFonts w:ascii="Arial Narrow" w:hAnsi="Arial Narrow"/>
                <w:color w:val="000000"/>
                <w:sz w:val="24"/>
                <w:szCs w:val="24"/>
                <w:shd w:val="clear" w:color="auto" w:fill="FFFFFF"/>
              </w:rPr>
              <w:t xml:space="preserve">are appointed to act on his behalf in the current proceedings. </w:t>
            </w:r>
          </w:p>
          <w:p w:rsidR="00B17CC0" w:rsidRDefault="00B17CC0" w:rsidP="00B50265">
            <w:pPr>
              <w:spacing w:line="360" w:lineRule="auto"/>
              <w:jc w:val="both"/>
              <w:rPr>
                <w:rFonts w:ascii="Arial Narrow" w:hAnsi="Arial Narrow"/>
                <w:color w:val="000000"/>
                <w:sz w:val="24"/>
                <w:szCs w:val="24"/>
                <w:shd w:val="clear" w:color="auto" w:fill="FFFFFF"/>
              </w:rPr>
            </w:pPr>
          </w:p>
          <w:p w:rsidR="00A8443D" w:rsidRPr="00DE5F56" w:rsidRDefault="00811209" w:rsidP="00B50265">
            <w:pPr>
              <w:spacing w:line="360" w:lineRule="auto"/>
              <w:jc w:val="both"/>
              <w:rPr>
                <w:rFonts w:ascii="Arial Narrow" w:hAnsi="Arial Narrow" w:cs="Arial"/>
                <w:sz w:val="24"/>
                <w:szCs w:val="24"/>
                <w:lang w:val="en-US"/>
              </w:rPr>
            </w:pPr>
            <w:r>
              <w:rPr>
                <w:rFonts w:ascii="Arial Narrow" w:hAnsi="Arial Narrow"/>
                <w:color w:val="000000"/>
                <w:sz w:val="24"/>
                <w:szCs w:val="24"/>
                <w:shd w:val="clear" w:color="auto" w:fill="FFFFFF"/>
              </w:rPr>
              <w:t>[20</w:t>
            </w:r>
            <w:r w:rsidR="003B4C2A">
              <w:rPr>
                <w:rFonts w:ascii="Arial Narrow" w:hAnsi="Arial Narrow"/>
                <w:color w:val="000000"/>
                <w:sz w:val="24"/>
                <w:szCs w:val="24"/>
                <w:shd w:val="clear" w:color="auto" w:fill="FFFFFF"/>
              </w:rPr>
              <w:t xml:space="preserve">]     </w:t>
            </w:r>
            <w:r w:rsidR="00070701" w:rsidRPr="00F63CE8">
              <w:rPr>
                <w:rFonts w:ascii="Arial Narrow" w:hAnsi="Arial Narrow" w:cs="Arial"/>
                <w:i/>
                <w:sz w:val="24"/>
                <w:szCs w:val="24"/>
                <w:lang w:val="en-US"/>
              </w:rPr>
              <w:t>No case made out entitling respondent the grant of relief sought</w:t>
            </w:r>
            <w:r w:rsidR="00070701">
              <w:rPr>
                <w:rFonts w:ascii="Arial Narrow" w:hAnsi="Arial Narrow" w:cs="Arial"/>
                <w:sz w:val="24"/>
                <w:szCs w:val="24"/>
                <w:lang w:val="en-US"/>
              </w:rPr>
              <w:t xml:space="preserve">: </w:t>
            </w:r>
            <w:r w:rsidR="00A8443D" w:rsidRPr="00DE5F56">
              <w:rPr>
                <w:rFonts w:ascii="Arial Narrow" w:hAnsi="Arial Narrow" w:cs="Arial"/>
                <w:sz w:val="24"/>
                <w:szCs w:val="24"/>
                <w:lang w:val="en-US"/>
              </w:rPr>
              <w:t>From h</w:t>
            </w:r>
            <w:r w:rsidR="00384BFF" w:rsidRPr="00DE5F56">
              <w:rPr>
                <w:rFonts w:ascii="Arial Narrow" w:hAnsi="Arial Narrow" w:cs="Arial"/>
                <w:sz w:val="24"/>
                <w:szCs w:val="24"/>
                <w:lang w:val="en-US"/>
              </w:rPr>
              <w:t>aving conside</w:t>
            </w:r>
            <w:r w:rsidR="0032634A" w:rsidRPr="00DE5F56">
              <w:rPr>
                <w:rFonts w:ascii="Arial Narrow" w:hAnsi="Arial Narrow" w:cs="Arial"/>
                <w:sz w:val="24"/>
                <w:szCs w:val="24"/>
                <w:lang w:val="en-US"/>
              </w:rPr>
              <w:t xml:space="preserve">red the founding affidavit filed read with the status report filed prior to the expiring of the </w:t>
            </w:r>
            <w:r w:rsidR="0032634A" w:rsidRPr="00DE5F56">
              <w:rPr>
                <w:rFonts w:ascii="Arial Narrow" w:hAnsi="Arial Narrow" w:cs="Arial"/>
                <w:i/>
                <w:sz w:val="24"/>
                <w:szCs w:val="24"/>
                <w:lang w:val="en-US"/>
              </w:rPr>
              <w:t>dies</w:t>
            </w:r>
            <w:r w:rsidR="0032634A" w:rsidRPr="00DE5F56">
              <w:rPr>
                <w:rFonts w:ascii="Arial Narrow" w:hAnsi="Arial Narrow" w:cs="Arial"/>
                <w:sz w:val="24"/>
                <w:szCs w:val="24"/>
                <w:lang w:val="en-US"/>
              </w:rPr>
              <w:t xml:space="preserve"> as set out in the Notice of Motion</w:t>
            </w:r>
            <w:r w:rsidR="003B4C2A">
              <w:rPr>
                <w:rFonts w:ascii="Arial Narrow" w:hAnsi="Arial Narrow" w:cs="Arial"/>
                <w:color w:val="FF0000"/>
                <w:sz w:val="24"/>
                <w:szCs w:val="24"/>
                <w:lang w:val="en-US"/>
              </w:rPr>
              <w:t xml:space="preserve">, </w:t>
            </w:r>
            <w:r w:rsidR="003B4C2A" w:rsidRPr="00B17CC0">
              <w:rPr>
                <w:rFonts w:ascii="Arial Narrow" w:hAnsi="Arial Narrow" w:cs="Arial"/>
                <w:sz w:val="24"/>
                <w:szCs w:val="24"/>
                <w:lang w:val="en-US"/>
              </w:rPr>
              <w:t>it</w:t>
            </w:r>
            <w:r w:rsidR="0032634A" w:rsidRPr="00DE5F56">
              <w:rPr>
                <w:rFonts w:ascii="Arial Narrow" w:hAnsi="Arial Narrow" w:cs="Arial"/>
                <w:sz w:val="24"/>
                <w:szCs w:val="24"/>
                <w:lang w:val="en-US"/>
              </w:rPr>
              <w:t xml:space="preserve"> is exceedingly clear that the</w:t>
            </w:r>
            <w:r w:rsidR="00A8443D" w:rsidRPr="00DE5F56">
              <w:rPr>
                <w:rFonts w:ascii="Arial Narrow" w:hAnsi="Arial Narrow" w:cs="Arial"/>
                <w:sz w:val="24"/>
                <w:szCs w:val="24"/>
                <w:lang w:val="en-US"/>
              </w:rPr>
              <w:t xml:space="preserve"> circumstances surrounding the withdrawal as legal practitioner by the </w:t>
            </w:r>
            <w:r w:rsidR="0032634A" w:rsidRPr="00DE5F56">
              <w:rPr>
                <w:rFonts w:ascii="Arial Narrow" w:hAnsi="Arial Narrow" w:cs="Arial"/>
                <w:sz w:val="24"/>
                <w:szCs w:val="24"/>
                <w:lang w:val="en-US"/>
              </w:rPr>
              <w:t xml:space="preserve">erstwhile legal representative of the respondent </w:t>
            </w:r>
            <w:r w:rsidR="00A8443D" w:rsidRPr="00DE5F56">
              <w:rPr>
                <w:rFonts w:ascii="Arial Narrow" w:hAnsi="Arial Narrow" w:cs="Arial"/>
                <w:sz w:val="24"/>
                <w:szCs w:val="24"/>
                <w:lang w:val="en-US"/>
              </w:rPr>
              <w:t xml:space="preserve">is not the usual day to day withdrawal by a legal practitioner. There clearly appears to be extra-ordinary situation that gave rise to this withdrawal and the new legal practitioner coming on record. </w:t>
            </w:r>
          </w:p>
          <w:p w:rsidR="00F63CE8" w:rsidRDefault="00F63CE8" w:rsidP="00B50265">
            <w:pPr>
              <w:spacing w:line="360" w:lineRule="auto"/>
              <w:jc w:val="both"/>
              <w:rPr>
                <w:rFonts w:ascii="Arial Narrow" w:hAnsi="Arial Narrow" w:cs="Arial"/>
                <w:sz w:val="24"/>
                <w:szCs w:val="24"/>
                <w:lang w:val="en-US"/>
              </w:rPr>
            </w:pPr>
          </w:p>
          <w:p w:rsidR="003223A4" w:rsidRPr="00DE5F56" w:rsidRDefault="00A8443D" w:rsidP="00B50265">
            <w:pPr>
              <w:spacing w:line="360" w:lineRule="auto"/>
              <w:jc w:val="both"/>
              <w:rPr>
                <w:rFonts w:ascii="Arial Narrow" w:hAnsi="Arial Narrow" w:cs="Arial"/>
                <w:sz w:val="24"/>
                <w:szCs w:val="24"/>
                <w:lang w:val="en-US"/>
              </w:rPr>
            </w:pPr>
            <w:r w:rsidRPr="00DE5F56">
              <w:rPr>
                <w:rFonts w:ascii="Arial Narrow" w:hAnsi="Arial Narrow" w:cs="Arial"/>
                <w:sz w:val="24"/>
                <w:szCs w:val="24"/>
                <w:lang w:val="en-US"/>
              </w:rPr>
              <w:t>[</w:t>
            </w:r>
            <w:r w:rsidR="00811209">
              <w:rPr>
                <w:rFonts w:ascii="Arial Narrow" w:hAnsi="Arial Narrow" w:cs="Arial"/>
                <w:sz w:val="24"/>
                <w:szCs w:val="24"/>
                <w:lang w:val="en-US"/>
              </w:rPr>
              <w:t>21</w:t>
            </w:r>
            <w:r w:rsidR="003B4C2A">
              <w:rPr>
                <w:rFonts w:ascii="Arial Narrow" w:hAnsi="Arial Narrow" w:cs="Arial"/>
                <w:sz w:val="24"/>
                <w:szCs w:val="24"/>
                <w:lang w:val="en-US"/>
              </w:rPr>
              <w:t xml:space="preserve">]     </w:t>
            </w:r>
            <w:r w:rsidRPr="00DE5F56">
              <w:rPr>
                <w:rFonts w:ascii="Arial Narrow" w:hAnsi="Arial Narrow" w:cs="Arial"/>
                <w:sz w:val="24"/>
                <w:szCs w:val="24"/>
                <w:lang w:val="en-US"/>
              </w:rPr>
              <w:t>I</w:t>
            </w:r>
            <w:r w:rsidR="0032634A" w:rsidRPr="00DE5F56">
              <w:rPr>
                <w:rFonts w:ascii="Arial Narrow" w:hAnsi="Arial Narrow" w:cs="Arial"/>
                <w:sz w:val="24"/>
                <w:szCs w:val="24"/>
                <w:lang w:val="en-US"/>
              </w:rPr>
              <w:t>t is also clear that</w:t>
            </w:r>
            <w:r w:rsidR="0032634A" w:rsidRPr="00B17CC0">
              <w:rPr>
                <w:rFonts w:ascii="Arial Narrow" w:hAnsi="Arial Narrow" w:cs="Arial"/>
                <w:sz w:val="24"/>
                <w:szCs w:val="24"/>
                <w:lang w:val="en-US"/>
              </w:rPr>
              <w:t xml:space="preserve"> th</w:t>
            </w:r>
            <w:r w:rsidR="003B4C2A" w:rsidRPr="00B17CC0">
              <w:rPr>
                <w:rFonts w:ascii="Arial Narrow" w:hAnsi="Arial Narrow" w:cs="Arial"/>
                <w:sz w:val="24"/>
                <w:szCs w:val="24"/>
                <w:lang w:val="en-US"/>
              </w:rPr>
              <w:t>is</w:t>
            </w:r>
            <w:r w:rsidRPr="00B17CC0">
              <w:rPr>
                <w:rFonts w:ascii="Arial Narrow" w:hAnsi="Arial Narrow" w:cs="Arial"/>
                <w:sz w:val="24"/>
                <w:szCs w:val="24"/>
                <w:lang w:val="en-US"/>
              </w:rPr>
              <w:t xml:space="preserve"> </w:t>
            </w:r>
            <w:r w:rsidR="0032634A" w:rsidRPr="00DE5F56">
              <w:rPr>
                <w:rFonts w:ascii="Arial Narrow" w:hAnsi="Arial Narrow" w:cs="Arial"/>
                <w:sz w:val="24"/>
                <w:szCs w:val="24"/>
                <w:lang w:val="en-US"/>
              </w:rPr>
              <w:t xml:space="preserve">event </w:t>
            </w:r>
            <w:r w:rsidR="003B4C2A" w:rsidRPr="00B17CC0">
              <w:rPr>
                <w:rFonts w:ascii="Arial Narrow" w:hAnsi="Arial Narrow" w:cs="Arial"/>
                <w:sz w:val="24"/>
                <w:szCs w:val="24"/>
                <w:lang w:val="en-US"/>
              </w:rPr>
              <w:t>was</w:t>
            </w:r>
            <w:r w:rsidR="003B4C2A">
              <w:rPr>
                <w:rFonts w:ascii="Arial Narrow" w:hAnsi="Arial Narrow" w:cs="Arial"/>
                <w:color w:val="FF0000"/>
                <w:sz w:val="24"/>
                <w:szCs w:val="24"/>
                <w:lang w:val="en-US"/>
              </w:rPr>
              <w:t xml:space="preserve"> </w:t>
            </w:r>
            <w:r w:rsidR="0032634A" w:rsidRPr="00DE5F56">
              <w:rPr>
                <w:rFonts w:ascii="Arial Narrow" w:hAnsi="Arial Narrow" w:cs="Arial"/>
                <w:sz w:val="24"/>
                <w:szCs w:val="24"/>
                <w:lang w:val="en-US"/>
              </w:rPr>
              <w:t xml:space="preserve">not in the control of the respondent. </w:t>
            </w:r>
            <w:r w:rsidRPr="00DE5F56">
              <w:rPr>
                <w:rFonts w:ascii="Arial Narrow" w:hAnsi="Arial Narrow" w:cs="Arial"/>
                <w:sz w:val="24"/>
                <w:szCs w:val="24"/>
                <w:lang w:val="en-US"/>
              </w:rPr>
              <w:t>S</w:t>
            </w:r>
            <w:r w:rsidR="0032634A" w:rsidRPr="00DE5F56">
              <w:rPr>
                <w:rFonts w:ascii="Arial Narrow" w:hAnsi="Arial Narrow" w:cs="Arial"/>
                <w:sz w:val="24"/>
                <w:szCs w:val="24"/>
                <w:lang w:val="en-US"/>
              </w:rPr>
              <w:t xml:space="preserve">teps were immediately taken by the respondent’s current legal practitioner to bring the </w:t>
            </w:r>
            <w:r w:rsidR="003223A4" w:rsidRPr="00DE5F56">
              <w:rPr>
                <w:rFonts w:ascii="Arial Narrow" w:hAnsi="Arial Narrow" w:cs="Arial"/>
                <w:sz w:val="24"/>
                <w:szCs w:val="24"/>
                <w:lang w:val="en-US"/>
              </w:rPr>
              <w:t>extra-ordinary circumstance surrounding this matter to the attention of the court</w:t>
            </w:r>
            <w:r w:rsidRPr="00DE5F56">
              <w:rPr>
                <w:rFonts w:ascii="Arial Narrow" w:hAnsi="Arial Narrow" w:cs="Arial"/>
                <w:sz w:val="24"/>
                <w:szCs w:val="24"/>
                <w:lang w:val="en-US"/>
              </w:rPr>
              <w:t xml:space="preserve"> by virtue of a status report. </w:t>
            </w:r>
            <w:r w:rsidR="003223A4" w:rsidRPr="00DE5F56">
              <w:rPr>
                <w:rFonts w:ascii="Arial Narrow" w:hAnsi="Arial Narrow" w:cs="Arial"/>
                <w:sz w:val="24"/>
                <w:szCs w:val="24"/>
                <w:lang w:val="en-US"/>
              </w:rPr>
              <w:t xml:space="preserve"> </w:t>
            </w:r>
            <w:r w:rsidR="00F63CE8">
              <w:rPr>
                <w:rFonts w:ascii="Arial Narrow" w:hAnsi="Arial Narrow" w:cs="Arial"/>
                <w:sz w:val="24"/>
                <w:szCs w:val="24"/>
                <w:lang w:val="en-US"/>
              </w:rPr>
              <w:t xml:space="preserve">In addition thereto </w:t>
            </w:r>
            <w:r w:rsidR="00F63CE8" w:rsidRPr="003B4C2A">
              <w:rPr>
                <w:rFonts w:ascii="Arial Narrow" w:hAnsi="Arial Narrow" w:cs="Arial"/>
                <w:sz w:val="24"/>
                <w:szCs w:val="24"/>
                <w:lang w:val="en-US"/>
              </w:rPr>
              <w:t>t</w:t>
            </w:r>
            <w:r w:rsidR="003223A4" w:rsidRPr="003B4C2A">
              <w:rPr>
                <w:rFonts w:ascii="Arial Narrow" w:hAnsi="Arial Narrow" w:cs="Arial"/>
                <w:sz w:val="24"/>
                <w:szCs w:val="24"/>
                <w:lang w:val="en-US"/>
              </w:rPr>
              <w:t xml:space="preserve">he </w:t>
            </w:r>
            <w:r w:rsidR="00425233" w:rsidRPr="003B4C2A">
              <w:rPr>
                <w:rFonts w:ascii="Arial Narrow" w:hAnsi="Arial Narrow" w:cs="Arial"/>
                <w:sz w:val="24"/>
                <w:szCs w:val="24"/>
                <w:lang w:val="en-US"/>
              </w:rPr>
              <w:t xml:space="preserve">founding affidavit dealt </w:t>
            </w:r>
            <w:r w:rsidR="003223A4" w:rsidRPr="003B4C2A">
              <w:rPr>
                <w:rFonts w:ascii="Arial Narrow" w:hAnsi="Arial Narrow" w:cs="Arial"/>
                <w:sz w:val="24"/>
                <w:szCs w:val="24"/>
                <w:lang w:val="en-US"/>
              </w:rPr>
              <w:t xml:space="preserve">with rule 56 to the point </w:t>
            </w:r>
            <w:r w:rsidR="00425233" w:rsidRPr="003B4C2A">
              <w:rPr>
                <w:rFonts w:ascii="Arial Narrow" w:hAnsi="Arial Narrow" w:cs="Arial"/>
                <w:sz w:val="24"/>
                <w:szCs w:val="24"/>
                <w:lang w:val="en-US"/>
              </w:rPr>
              <w:t>to the satisfaction of this court</w:t>
            </w:r>
            <w:r w:rsidR="003223A4" w:rsidRPr="003B4C2A">
              <w:rPr>
                <w:rFonts w:ascii="Arial Narrow" w:hAnsi="Arial Narrow" w:cs="Arial"/>
                <w:sz w:val="24"/>
                <w:szCs w:val="24"/>
                <w:lang w:val="en-US"/>
              </w:rPr>
              <w:t>.</w:t>
            </w:r>
            <w:r w:rsidR="006A6F65" w:rsidRPr="003B4C2A">
              <w:rPr>
                <w:rFonts w:ascii="Arial Narrow" w:hAnsi="Arial Narrow" w:cs="Arial"/>
                <w:sz w:val="24"/>
                <w:szCs w:val="24"/>
                <w:lang w:val="en-US"/>
              </w:rPr>
              <w:t xml:space="preserve"> I am satisfied that the respondent provided a</w:t>
            </w:r>
            <w:r w:rsidR="006A6F65" w:rsidRPr="003B4C2A">
              <w:rPr>
                <w:rFonts w:ascii="Arial Narrow" w:hAnsi="Arial Narrow" w:cs="Arial"/>
                <w:sz w:val="24"/>
                <w:szCs w:val="24"/>
              </w:rPr>
              <w:t xml:space="preserve"> full, detailed and accurate explanation for the entire period of the delay, including the timing of the application for condonation.</w:t>
            </w:r>
          </w:p>
          <w:p w:rsidR="006A6F65" w:rsidRDefault="006A6F65" w:rsidP="00B50265">
            <w:pPr>
              <w:spacing w:line="360" w:lineRule="auto"/>
              <w:jc w:val="both"/>
              <w:rPr>
                <w:rFonts w:ascii="Arial Narrow" w:hAnsi="Arial Narrow" w:cs="Arial"/>
                <w:sz w:val="24"/>
                <w:szCs w:val="24"/>
                <w:lang w:val="en-US"/>
              </w:rPr>
            </w:pPr>
          </w:p>
          <w:p w:rsidR="003223A4" w:rsidRDefault="003223A4" w:rsidP="00B50265">
            <w:pPr>
              <w:spacing w:line="360" w:lineRule="auto"/>
              <w:jc w:val="both"/>
              <w:rPr>
                <w:rFonts w:ascii="Arial Narrow" w:hAnsi="Arial Narrow" w:cs="Arial"/>
                <w:sz w:val="24"/>
                <w:szCs w:val="24"/>
                <w:lang w:val="en-US"/>
              </w:rPr>
            </w:pPr>
            <w:r w:rsidRPr="00DE5F56">
              <w:rPr>
                <w:rFonts w:ascii="Arial Narrow" w:hAnsi="Arial Narrow" w:cs="Arial"/>
                <w:sz w:val="24"/>
                <w:szCs w:val="24"/>
                <w:lang w:val="en-US"/>
              </w:rPr>
              <w:t>[</w:t>
            </w:r>
            <w:r w:rsidR="00811209">
              <w:rPr>
                <w:rFonts w:ascii="Arial Narrow" w:hAnsi="Arial Narrow" w:cs="Arial"/>
                <w:sz w:val="24"/>
                <w:szCs w:val="24"/>
                <w:lang w:val="en-US"/>
              </w:rPr>
              <w:t>22</w:t>
            </w:r>
            <w:r w:rsidR="003B4C2A">
              <w:rPr>
                <w:rFonts w:ascii="Arial Narrow" w:hAnsi="Arial Narrow" w:cs="Arial"/>
                <w:sz w:val="24"/>
                <w:szCs w:val="24"/>
                <w:lang w:val="en-US"/>
              </w:rPr>
              <w:t xml:space="preserve">]     </w:t>
            </w:r>
            <w:r w:rsidR="00F63CE8">
              <w:rPr>
                <w:rFonts w:ascii="Arial Narrow" w:hAnsi="Arial Narrow" w:cs="Arial"/>
                <w:sz w:val="24"/>
                <w:szCs w:val="24"/>
                <w:lang w:val="en-US"/>
              </w:rPr>
              <w:t xml:space="preserve">On the </w:t>
            </w:r>
            <w:r w:rsidR="006A6F65">
              <w:rPr>
                <w:rFonts w:ascii="Arial Narrow" w:hAnsi="Arial Narrow" w:cs="Arial"/>
                <w:sz w:val="24"/>
                <w:szCs w:val="24"/>
                <w:lang w:val="en-US"/>
              </w:rPr>
              <w:t>prospect</w:t>
            </w:r>
            <w:r w:rsidR="00F63CE8">
              <w:rPr>
                <w:rFonts w:ascii="Arial Narrow" w:hAnsi="Arial Narrow" w:cs="Arial"/>
                <w:sz w:val="24"/>
                <w:szCs w:val="24"/>
                <w:lang w:val="en-US"/>
              </w:rPr>
              <w:t xml:space="preserve"> of success </w:t>
            </w:r>
            <w:r w:rsidR="006A6F65">
              <w:rPr>
                <w:rFonts w:ascii="Arial Narrow" w:hAnsi="Arial Narrow" w:cs="Arial"/>
                <w:sz w:val="24"/>
                <w:szCs w:val="24"/>
                <w:lang w:val="en-US"/>
              </w:rPr>
              <w:t xml:space="preserve">the issue was raised that the relief prayed for by the applicant in the main application is incompetent. I agree with Mrs Delport that in the event that the court find that the relief prayed for in the main application is incompetent then the issue of success is moot. </w:t>
            </w:r>
          </w:p>
          <w:p w:rsidR="003B4C2A" w:rsidRDefault="003B4C2A" w:rsidP="00B50265">
            <w:pPr>
              <w:spacing w:line="360" w:lineRule="auto"/>
              <w:jc w:val="both"/>
              <w:rPr>
                <w:rFonts w:ascii="Arial Narrow" w:hAnsi="Arial Narrow" w:cs="Arial"/>
                <w:sz w:val="24"/>
                <w:szCs w:val="24"/>
                <w:lang w:val="en-US"/>
              </w:rPr>
            </w:pPr>
          </w:p>
          <w:p w:rsidR="006A6F65" w:rsidRDefault="006E7A06" w:rsidP="00B50265">
            <w:pPr>
              <w:spacing w:line="360" w:lineRule="auto"/>
              <w:jc w:val="both"/>
              <w:rPr>
                <w:rFonts w:ascii="Arial Narrow" w:hAnsi="Arial Narrow" w:cs="Arial"/>
                <w:sz w:val="24"/>
                <w:szCs w:val="24"/>
                <w:lang w:val="en-US"/>
              </w:rPr>
            </w:pPr>
            <w:r>
              <w:rPr>
                <w:rFonts w:ascii="Arial Narrow" w:hAnsi="Arial Narrow" w:cs="Arial"/>
                <w:sz w:val="24"/>
                <w:szCs w:val="24"/>
                <w:lang w:val="en-US"/>
              </w:rPr>
              <w:t>[23</w:t>
            </w:r>
            <w:r w:rsidR="003B4C2A">
              <w:rPr>
                <w:rFonts w:ascii="Arial Narrow" w:hAnsi="Arial Narrow" w:cs="Arial"/>
                <w:sz w:val="24"/>
                <w:szCs w:val="24"/>
                <w:lang w:val="en-US"/>
              </w:rPr>
              <w:t xml:space="preserve">]     </w:t>
            </w:r>
            <w:r w:rsidR="006A6F65">
              <w:rPr>
                <w:rFonts w:ascii="Arial Narrow" w:hAnsi="Arial Narrow" w:cs="Arial"/>
                <w:sz w:val="24"/>
                <w:szCs w:val="24"/>
                <w:lang w:val="en-US"/>
              </w:rPr>
              <w:t xml:space="preserve">My order is therefor </w:t>
            </w:r>
            <w:r w:rsidR="00AB77A2">
              <w:rPr>
                <w:rFonts w:ascii="Arial Narrow" w:hAnsi="Arial Narrow" w:cs="Arial"/>
                <w:sz w:val="24"/>
                <w:szCs w:val="24"/>
                <w:lang w:val="en-US"/>
              </w:rPr>
              <w:t>set out as above.</w:t>
            </w:r>
          </w:p>
          <w:p w:rsidR="006A6F65" w:rsidRPr="00DE5F56" w:rsidRDefault="006A6F65" w:rsidP="00B50265">
            <w:pPr>
              <w:spacing w:line="360" w:lineRule="auto"/>
              <w:jc w:val="both"/>
              <w:rPr>
                <w:rFonts w:ascii="Arial Narrow" w:hAnsi="Arial Narrow" w:cs="Arial"/>
                <w:sz w:val="24"/>
                <w:szCs w:val="24"/>
                <w:lang w:val="en-US"/>
              </w:rPr>
            </w:pPr>
          </w:p>
          <w:p w:rsidR="003223A4" w:rsidRPr="00DE5F56" w:rsidRDefault="003223A4" w:rsidP="00B50265">
            <w:pPr>
              <w:spacing w:line="360" w:lineRule="auto"/>
              <w:jc w:val="both"/>
              <w:rPr>
                <w:rFonts w:ascii="Arial Narrow" w:hAnsi="Arial Narrow" w:cs="Arial"/>
                <w:sz w:val="24"/>
                <w:szCs w:val="24"/>
                <w:lang w:val="en-US"/>
              </w:rPr>
            </w:pPr>
            <w:r w:rsidRPr="00DE5F56">
              <w:rPr>
                <w:rFonts w:ascii="Arial Narrow" w:hAnsi="Arial Narrow" w:cs="Arial"/>
                <w:sz w:val="24"/>
                <w:szCs w:val="24"/>
                <w:lang w:val="en-US"/>
              </w:rPr>
              <w:t xml:space="preserve"> </w:t>
            </w:r>
          </w:p>
          <w:p w:rsidR="005F7D87" w:rsidRPr="00DE5F56" w:rsidRDefault="005F7D87" w:rsidP="00F63CE8">
            <w:pPr>
              <w:spacing w:line="360" w:lineRule="auto"/>
              <w:jc w:val="center"/>
              <w:rPr>
                <w:rFonts w:ascii="Arial Narrow" w:hAnsi="Arial Narrow" w:cs="Arial"/>
                <w:sz w:val="24"/>
                <w:szCs w:val="24"/>
              </w:rPr>
            </w:pPr>
          </w:p>
        </w:tc>
      </w:tr>
      <w:tr w:rsidR="00D26CB5" w:rsidRPr="00E757E9" w:rsidTr="0092129C">
        <w:tc>
          <w:tcPr>
            <w:tcW w:w="4770" w:type="dxa"/>
          </w:tcPr>
          <w:p w:rsidR="00D26CB5" w:rsidRPr="00E757E9" w:rsidRDefault="00A8443D" w:rsidP="002C63DD">
            <w:pPr>
              <w:spacing w:line="360" w:lineRule="auto"/>
              <w:jc w:val="center"/>
              <w:rPr>
                <w:rFonts w:ascii="Arial Narrow" w:hAnsi="Arial Narrow" w:cs="Arial"/>
                <w:b/>
                <w:sz w:val="24"/>
                <w:szCs w:val="24"/>
              </w:rPr>
            </w:pPr>
            <w:r>
              <w:rPr>
                <w:rFonts w:ascii="Arial Narrow" w:hAnsi="Arial Narrow" w:cs="Arial"/>
                <w:b/>
                <w:sz w:val="24"/>
                <w:szCs w:val="24"/>
              </w:rPr>
              <w:lastRenderedPageBreak/>
              <w:t xml:space="preserve"> </w:t>
            </w:r>
            <w:r w:rsidR="00D926C9">
              <w:rPr>
                <w:rFonts w:ascii="Arial Narrow" w:hAnsi="Arial Narrow" w:cs="Arial"/>
                <w:b/>
                <w:sz w:val="24"/>
                <w:szCs w:val="24"/>
              </w:rPr>
              <w:t>Judge’s signature</w:t>
            </w:r>
          </w:p>
        </w:tc>
        <w:tc>
          <w:tcPr>
            <w:tcW w:w="4950" w:type="dxa"/>
            <w:gridSpan w:val="2"/>
          </w:tcPr>
          <w:p w:rsidR="00D26CB5" w:rsidRPr="00E757E9" w:rsidRDefault="00D26CB5" w:rsidP="0092129C">
            <w:pPr>
              <w:spacing w:line="360" w:lineRule="auto"/>
              <w:jc w:val="center"/>
              <w:rPr>
                <w:rFonts w:ascii="Arial Narrow" w:hAnsi="Arial Narrow" w:cs="Arial"/>
                <w:b/>
                <w:sz w:val="24"/>
                <w:szCs w:val="24"/>
              </w:rPr>
            </w:pPr>
            <w:r w:rsidRPr="00E757E9">
              <w:rPr>
                <w:rFonts w:ascii="Arial Narrow" w:hAnsi="Arial Narrow" w:cs="Arial"/>
                <w:b/>
                <w:sz w:val="24"/>
                <w:szCs w:val="24"/>
              </w:rPr>
              <w:t>Note to the parties:</w:t>
            </w:r>
          </w:p>
        </w:tc>
      </w:tr>
      <w:tr w:rsidR="00D26CB5" w:rsidRPr="00E757E9" w:rsidTr="0092129C">
        <w:trPr>
          <w:trHeight w:val="1114"/>
        </w:trPr>
        <w:tc>
          <w:tcPr>
            <w:tcW w:w="4770" w:type="dxa"/>
          </w:tcPr>
          <w:p w:rsidR="00D26CB5" w:rsidRPr="00E757E9" w:rsidRDefault="00D26CB5" w:rsidP="0092129C">
            <w:pPr>
              <w:spacing w:line="360" w:lineRule="auto"/>
              <w:jc w:val="both"/>
              <w:rPr>
                <w:rFonts w:ascii="Arial Narrow" w:hAnsi="Arial Narrow" w:cs="Arial"/>
                <w:sz w:val="24"/>
                <w:szCs w:val="24"/>
              </w:rPr>
            </w:pPr>
          </w:p>
          <w:p w:rsidR="00D26CB5" w:rsidRPr="00E757E9" w:rsidRDefault="00D26CB5" w:rsidP="0092129C">
            <w:pPr>
              <w:spacing w:line="360" w:lineRule="auto"/>
              <w:jc w:val="both"/>
              <w:rPr>
                <w:rFonts w:ascii="Arial Narrow" w:hAnsi="Arial Narrow" w:cs="Arial"/>
                <w:sz w:val="24"/>
                <w:szCs w:val="24"/>
              </w:rPr>
            </w:pPr>
          </w:p>
          <w:p w:rsidR="00D26CB5" w:rsidRPr="00E757E9" w:rsidRDefault="00D26CB5" w:rsidP="0092129C">
            <w:pPr>
              <w:spacing w:line="360" w:lineRule="auto"/>
              <w:jc w:val="both"/>
              <w:rPr>
                <w:rFonts w:ascii="Arial Narrow" w:hAnsi="Arial Narrow" w:cs="Arial"/>
                <w:sz w:val="24"/>
                <w:szCs w:val="24"/>
              </w:rPr>
            </w:pPr>
          </w:p>
        </w:tc>
        <w:tc>
          <w:tcPr>
            <w:tcW w:w="4950" w:type="dxa"/>
            <w:gridSpan w:val="2"/>
          </w:tcPr>
          <w:p w:rsidR="00D26CB5" w:rsidRPr="00E757E9" w:rsidRDefault="00D26CB5" w:rsidP="0092129C">
            <w:pPr>
              <w:spacing w:line="360" w:lineRule="auto"/>
              <w:jc w:val="both"/>
              <w:rPr>
                <w:rFonts w:ascii="Arial Narrow" w:hAnsi="Arial Narrow" w:cs="Arial"/>
                <w:sz w:val="24"/>
                <w:szCs w:val="24"/>
              </w:rPr>
            </w:pPr>
            <w:r w:rsidRPr="00E757E9">
              <w:rPr>
                <w:rFonts w:ascii="Arial Narrow" w:hAnsi="Arial Narrow" w:cs="Arial"/>
                <w:sz w:val="24"/>
                <w:szCs w:val="24"/>
              </w:rPr>
              <w:t>Not applicable.</w:t>
            </w:r>
          </w:p>
        </w:tc>
      </w:tr>
      <w:tr w:rsidR="00D26CB5" w:rsidRPr="00E757E9" w:rsidTr="0092129C">
        <w:tc>
          <w:tcPr>
            <w:tcW w:w="9720" w:type="dxa"/>
            <w:gridSpan w:val="3"/>
          </w:tcPr>
          <w:p w:rsidR="00D26CB5" w:rsidRPr="00E757E9" w:rsidRDefault="00D26CB5" w:rsidP="0092129C">
            <w:pPr>
              <w:spacing w:line="360" w:lineRule="auto"/>
              <w:jc w:val="center"/>
              <w:rPr>
                <w:rFonts w:ascii="Arial Narrow" w:hAnsi="Arial Narrow" w:cs="Arial"/>
                <w:b/>
                <w:sz w:val="24"/>
                <w:szCs w:val="24"/>
              </w:rPr>
            </w:pPr>
            <w:r w:rsidRPr="00E757E9">
              <w:rPr>
                <w:rFonts w:ascii="Arial Narrow" w:hAnsi="Arial Narrow" w:cs="Arial"/>
                <w:b/>
                <w:sz w:val="24"/>
                <w:szCs w:val="24"/>
              </w:rPr>
              <w:t>Counsel:</w:t>
            </w:r>
          </w:p>
        </w:tc>
      </w:tr>
      <w:tr w:rsidR="00D26CB5" w:rsidRPr="00E757E9" w:rsidTr="0092129C">
        <w:tc>
          <w:tcPr>
            <w:tcW w:w="4770" w:type="dxa"/>
          </w:tcPr>
          <w:p w:rsidR="00D26CB5" w:rsidRPr="00E757E9" w:rsidRDefault="00D26CB5" w:rsidP="0092129C">
            <w:pPr>
              <w:spacing w:line="360" w:lineRule="auto"/>
              <w:jc w:val="center"/>
              <w:rPr>
                <w:rFonts w:ascii="Arial Narrow" w:hAnsi="Arial Narrow" w:cs="Arial"/>
                <w:b/>
                <w:sz w:val="24"/>
                <w:szCs w:val="24"/>
              </w:rPr>
            </w:pPr>
            <w:r w:rsidRPr="00E757E9">
              <w:rPr>
                <w:rFonts w:ascii="Arial Narrow" w:hAnsi="Arial Narrow" w:cs="Arial"/>
                <w:b/>
                <w:sz w:val="24"/>
                <w:szCs w:val="24"/>
              </w:rPr>
              <w:t>Applicant</w:t>
            </w:r>
          </w:p>
        </w:tc>
        <w:tc>
          <w:tcPr>
            <w:tcW w:w="4950" w:type="dxa"/>
            <w:gridSpan w:val="2"/>
          </w:tcPr>
          <w:p w:rsidR="00D26CB5" w:rsidRPr="00E757E9" w:rsidRDefault="00D26CB5" w:rsidP="0092129C">
            <w:pPr>
              <w:spacing w:line="360" w:lineRule="auto"/>
              <w:jc w:val="center"/>
              <w:rPr>
                <w:rFonts w:ascii="Arial Narrow" w:hAnsi="Arial Narrow" w:cs="Arial"/>
                <w:b/>
                <w:sz w:val="24"/>
                <w:szCs w:val="24"/>
              </w:rPr>
            </w:pPr>
            <w:r w:rsidRPr="00E757E9">
              <w:rPr>
                <w:rFonts w:ascii="Arial Narrow" w:hAnsi="Arial Narrow" w:cs="Arial"/>
                <w:b/>
                <w:sz w:val="24"/>
                <w:szCs w:val="24"/>
              </w:rPr>
              <w:t xml:space="preserve"> Respondent</w:t>
            </w:r>
          </w:p>
        </w:tc>
      </w:tr>
      <w:tr w:rsidR="00D26CB5" w:rsidRPr="00E757E9" w:rsidTr="0092129C">
        <w:tc>
          <w:tcPr>
            <w:tcW w:w="4770" w:type="dxa"/>
          </w:tcPr>
          <w:p w:rsidR="00D26CB5" w:rsidRDefault="005B3909" w:rsidP="00247BE3">
            <w:pPr>
              <w:spacing w:line="360" w:lineRule="auto"/>
              <w:jc w:val="center"/>
              <w:rPr>
                <w:rFonts w:ascii="Arial Narrow" w:hAnsi="Arial Narrow" w:cs="Arial"/>
                <w:sz w:val="24"/>
                <w:szCs w:val="24"/>
              </w:rPr>
            </w:pPr>
            <w:r>
              <w:rPr>
                <w:rFonts w:ascii="Arial Narrow" w:hAnsi="Arial Narrow" w:cs="Arial"/>
                <w:sz w:val="24"/>
                <w:szCs w:val="24"/>
              </w:rPr>
              <w:t>Ms</w:t>
            </w:r>
            <w:r w:rsidR="00D926C9">
              <w:rPr>
                <w:rFonts w:ascii="Arial Narrow" w:hAnsi="Arial Narrow" w:cs="Arial"/>
                <w:sz w:val="24"/>
                <w:szCs w:val="24"/>
              </w:rPr>
              <w:t xml:space="preserve"> A Delport</w:t>
            </w:r>
          </w:p>
          <w:p w:rsidR="00D926C9" w:rsidRDefault="00D926C9" w:rsidP="00247BE3">
            <w:pPr>
              <w:spacing w:line="360" w:lineRule="auto"/>
              <w:jc w:val="center"/>
              <w:rPr>
                <w:rFonts w:ascii="Arial Narrow" w:hAnsi="Arial Narrow" w:cs="Arial"/>
                <w:sz w:val="24"/>
                <w:szCs w:val="24"/>
              </w:rPr>
            </w:pPr>
            <w:r>
              <w:rPr>
                <w:rFonts w:ascii="Arial Narrow" w:hAnsi="Arial Narrow" w:cs="Arial"/>
                <w:sz w:val="24"/>
                <w:szCs w:val="24"/>
              </w:rPr>
              <w:t xml:space="preserve">Of </w:t>
            </w:r>
          </w:p>
          <w:p w:rsidR="00D926C9" w:rsidRPr="00E757E9" w:rsidRDefault="00D926C9" w:rsidP="00247BE3">
            <w:pPr>
              <w:spacing w:line="360" w:lineRule="auto"/>
              <w:jc w:val="center"/>
              <w:rPr>
                <w:rFonts w:ascii="Arial Narrow" w:hAnsi="Arial Narrow" w:cs="Arial"/>
                <w:sz w:val="24"/>
                <w:szCs w:val="24"/>
              </w:rPr>
            </w:pPr>
            <w:r>
              <w:rPr>
                <w:rFonts w:ascii="Arial Narrow" w:hAnsi="Arial Narrow" w:cs="Arial"/>
                <w:sz w:val="24"/>
                <w:szCs w:val="24"/>
              </w:rPr>
              <w:t>Delport Legal Practitioners</w:t>
            </w:r>
          </w:p>
        </w:tc>
        <w:tc>
          <w:tcPr>
            <w:tcW w:w="4950" w:type="dxa"/>
            <w:gridSpan w:val="2"/>
          </w:tcPr>
          <w:p w:rsidR="00D26CB5" w:rsidRDefault="005B3909" w:rsidP="0092129C">
            <w:pPr>
              <w:spacing w:line="360" w:lineRule="auto"/>
              <w:jc w:val="center"/>
              <w:rPr>
                <w:rFonts w:ascii="Arial Narrow" w:hAnsi="Arial Narrow" w:cs="Arial"/>
                <w:sz w:val="24"/>
                <w:szCs w:val="24"/>
              </w:rPr>
            </w:pPr>
            <w:r>
              <w:rPr>
                <w:rFonts w:ascii="Arial Narrow" w:hAnsi="Arial Narrow" w:cs="Arial"/>
                <w:sz w:val="24"/>
                <w:szCs w:val="24"/>
              </w:rPr>
              <w:t>Mr</w:t>
            </w:r>
            <w:r w:rsidR="00F8299A">
              <w:rPr>
                <w:rFonts w:ascii="Arial Narrow" w:hAnsi="Arial Narrow" w:cs="Arial"/>
                <w:sz w:val="24"/>
                <w:szCs w:val="24"/>
              </w:rPr>
              <w:t xml:space="preserve"> H Shimutwikeni</w:t>
            </w:r>
          </w:p>
          <w:p w:rsidR="00F8299A" w:rsidRDefault="00F8299A" w:rsidP="0092129C">
            <w:pPr>
              <w:spacing w:line="360" w:lineRule="auto"/>
              <w:jc w:val="center"/>
              <w:rPr>
                <w:rFonts w:ascii="Arial Narrow" w:hAnsi="Arial Narrow" w:cs="Arial"/>
                <w:sz w:val="24"/>
                <w:szCs w:val="24"/>
              </w:rPr>
            </w:pPr>
            <w:r>
              <w:rPr>
                <w:rFonts w:ascii="Arial Narrow" w:hAnsi="Arial Narrow" w:cs="Arial"/>
                <w:sz w:val="24"/>
                <w:szCs w:val="24"/>
              </w:rPr>
              <w:t xml:space="preserve">Of </w:t>
            </w:r>
          </w:p>
          <w:p w:rsidR="00F8299A" w:rsidRPr="00E757E9" w:rsidRDefault="00F8299A" w:rsidP="0092129C">
            <w:pPr>
              <w:spacing w:line="360" w:lineRule="auto"/>
              <w:jc w:val="center"/>
              <w:rPr>
                <w:rFonts w:ascii="Arial Narrow" w:hAnsi="Arial Narrow" w:cs="Arial"/>
                <w:sz w:val="24"/>
                <w:szCs w:val="24"/>
              </w:rPr>
            </w:pPr>
            <w:r>
              <w:rPr>
                <w:rFonts w:ascii="Arial Narrow" w:hAnsi="Arial Narrow" w:cs="Arial"/>
                <w:sz w:val="24"/>
                <w:szCs w:val="24"/>
              </w:rPr>
              <w:t>Henry Shimutwikeni &amp; Co Inc</w:t>
            </w:r>
          </w:p>
        </w:tc>
      </w:tr>
    </w:tbl>
    <w:p w:rsidR="00D26CB5" w:rsidRPr="00E757E9" w:rsidRDefault="00D26CB5" w:rsidP="00D26CB5">
      <w:pPr>
        <w:spacing w:after="0" w:line="360" w:lineRule="auto"/>
        <w:jc w:val="both"/>
        <w:rPr>
          <w:rFonts w:ascii="Arial Narrow" w:hAnsi="Arial Narrow"/>
          <w:sz w:val="24"/>
          <w:szCs w:val="24"/>
        </w:rPr>
      </w:pPr>
    </w:p>
    <w:p w:rsidR="00D26CB5" w:rsidRPr="00E757E9" w:rsidRDefault="00D26CB5" w:rsidP="00D26CB5">
      <w:pPr>
        <w:rPr>
          <w:rFonts w:ascii="Arial Narrow" w:hAnsi="Arial Narrow"/>
          <w:sz w:val="24"/>
          <w:szCs w:val="24"/>
        </w:rPr>
      </w:pPr>
    </w:p>
    <w:p w:rsidR="00D26CB5" w:rsidRPr="00E757E9" w:rsidRDefault="00D26CB5" w:rsidP="00D26CB5">
      <w:pPr>
        <w:rPr>
          <w:rFonts w:ascii="Arial Narrow" w:hAnsi="Arial Narrow"/>
          <w:sz w:val="24"/>
          <w:szCs w:val="24"/>
        </w:rPr>
      </w:pPr>
    </w:p>
    <w:sectPr w:rsidR="00D26CB5" w:rsidRPr="00E757E9" w:rsidSect="008901AF">
      <w:headerReference w:type="default" r:id="rId8"/>
      <w:footerReference w:type="default" r:id="rId9"/>
      <w:pgSz w:w="11906" w:h="16838"/>
      <w:pgMar w:top="1080" w:right="1440" w:bottom="1134" w:left="1440" w:header="708" w:footer="7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8E6" w:rsidRDefault="00CA18E6" w:rsidP="00D01890">
      <w:pPr>
        <w:spacing w:after="0" w:line="240" w:lineRule="auto"/>
      </w:pPr>
      <w:r>
        <w:separator/>
      </w:r>
    </w:p>
  </w:endnote>
  <w:endnote w:type="continuationSeparator" w:id="0">
    <w:p w:rsidR="00CA18E6" w:rsidRDefault="00CA18E6" w:rsidP="00D0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51" w:rsidRDefault="00D46451">
    <w:pPr>
      <w:pStyle w:val="Footer"/>
      <w:jc w:val="right"/>
    </w:pPr>
  </w:p>
  <w:p w:rsidR="00D46451" w:rsidRDefault="00D4645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8E6" w:rsidRDefault="00CA18E6" w:rsidP="00D01890">
      <w:pPr>
        <w:spacing w:after="0" w:line="240" w:lineRule="auto"/>
      </w:pPr>
      <w:r>
        <w:separator/>
      </w:r>
    </w:p>
  </w:footnote>
  <w:footnote w:type="continuationSeparator" w:id="0">
    <w:p w:rsidR="00CA18E6" w:rsidRDefault="00CA18E6" w:rsidP="00D01890">
      <w:pPr>
        <w:spacing w:after="0" w:line="240" w:lineRule="auto"/>
      </w:pPr>
      <w:r>
        <w:continuationSeparator/>
      </w:r>
    </w:p>
  </w:footnote>
  <w:footnote w:id="1">
    <w:p w:rsidR="000521B7" w:rsidRPr="00194111" w:rsidRDefault="000521B7" w:rsidP="008901AF">
      <w:pPr>
        <w:spacing w:after="0" w:line="360" w:lineRule="auto"/>
        <w:jc w:val="both"/>
        <w:rPr>
          <w:rFonts w:ascii="Arial Narrow" w:hAnsi="Arial Narrow"/>
          <w:sz w:val="20"/>
          <w:szCs w:val="20"/>
          <w:lang w:val="af-ZA"/>
        </w:rPr>
      </w:pPr>
      <w:r w:rsidRPr="00194111">
        <w:rPr>
          <w:rStyle w:val="FootnoteReference"/>
          <w:rFonts w:ascii="Arial Narrow" w:hAnsi="Arial Narrow"/>
          <w:sz w:val="20"/>
          <w:szCs w:val="20"/>
        </w:rPr>
        <w:footnoteRef/>
      </w:r>
      <w:r w:rsidRPr="00194111">
        <w:rPr>
          <w:rFonts w:ascii="Arial Narrow" w:hAnsi="Arial Narrow"/>
          <w:sz w:val="20"/>
          <w:szCs w:val="20"/>
        </w:rPr>
        <w:t xml:space="preserve"> </w:t>
      </w:r>
      <w:r w:rsidRPr="00194111">
        <w:rPr>
          <w:rFonts w:ascii="Arial Narrow" w:hAnsi="Arial Narrow" w:cs="Arial"/>
          <w:color w:val="0D0D0D" w:themeColor="text1" w:themeTint="F2"/>
          <w:sz w:val="20"/>
          <w:szCs w:val="20"/>
        </w:rPr>
        <w:t>(A 76/2015) [2016] NAHCMD 8 (20 January 2016)</w:t>
      </w:r>
    </w:p>
  </w:footnote>
  <w:footnote w:id="2">
    <w:p w:rsidR="00625C52" w:rsidRPr="00194111" w:rsidRDefault="00625C52" w:rsidP="008901AF">
      <w:pPr>
        <w:pStyle w:val="FootnoteText"/>
        <w:rPr>
          <w:rFonts w:ascii="Arial Narrow" w:hAnsi="Arial Narrow"/>
          <w:lang w:val="af-ZA"/>
        </w:rPr>
      </w:pPr>
      <w:r w:rsidRPr="00194111">
        <w:rPr>
          <w:rStyle w:val="FootnoteReference"/>
          <w:rFonts w:ascii="Arial Narrow" w:hAnsi="Arial Narrow"/>
        </w:rPr>
        <w:footnoteRef/>
      </w:r>
      <w:r w:rsidRPr="00194111">
        <w:rPr>
          <w:rFonts w:ascii="Arial Narrow" w:hAnsi="Arial Narrow"/>
        </w:rPr>
        <w:t xml:space="preserve"> (LC 33/2009) [2012] NALC 15 (28 May 2012)</w:t>
      </w:r>
    </w:p>
  </w:footnote>
  <w:footnote w:id="3">
    <w:p w:rsidR="00194111" w:rsidRPr="00194111" w:rsidRDefault="00194111">
      <w:pPr>
        <w:pStyle w:val="FootnoteText"/>
        <w:rPr>
          <w:lang w:val="af-ZA"/>
        </w:rPr>
      </w:pPr>
      <w:r>
        <w:rPr>
          <w:rStyle w:val="FootnoteReference"/>
        </w:rPr>
        <w:footnoteRef/>
      </w:r>
      <w:r>
        <w:t xml:space="preserve"> </w:t>
      </w:r>
      <w:r w:rsidRPr="00194111">
        <w:rPr>
          <w:rFonts w:ascii="Arial Narrow" w:hAnsi="Arial Narrow"/>
        </w:rPr>
        <w:t>(SA 4 -2017) [2018] NASC (6 December 2018)</w:t>
      </w:r>
      <w:r w:rsidR="00587CA5">
        <w:rPr>
          <w:rFonts w:ascii="Arial Narrow" w:hAnsi="Arial Narrow"/>
        </w:rPr>
        <w:t>.</w:t>
      </w:r>
    </w:p>
  </w:footnote>
  <w:footnote w:id="4">
    <w:p w:rsidR="00194111" w:rsidRPr="00194111" w:rsidRDefault="00194111" w:rsidP="00194111">
      <w:pPr>
        <w:pStyle w:val="FootnoteText"/>
        <w:jc w:val="both"/>
        <w:rPr>
          <w:rFonts w:ascii="Arial Narrow" w:hAnsi="Arial Narrow" w:cs="Arial"/>
        </w:rPr>
      </w:pPr>
      <w:r w:rsidRPr="00194111">
        <w:rPr>
          <w:rStyle w:val="FootnoteReference"/>
          <w:rFonts w:ascii="Arial Narrow" w:hAnsi="Arial Narrow" w:cs="Arial"/>
        </w:rPr>
        <w:footnoteRef/>
      </w:r>
      <w:r w:rsidRPr="00194111">
        <w:rPr>
          <w:rFonts w:ascii="Arial Narrow" w:hAnsi="Arial Narrow" w:cs="Arial"/>
        </w:rPr>
        <w:t xml:space="preserve"> </w:t>
      </w:r>
      <w:r w:rsidRPr="00194111">
        <w:rPr>
          <w:rFonts w:ascii="Arial Narrow" w:hAnsi="Arial Narrow" w:cs="Arial"/>
          <w:i/>
        </w:rPr>
        <w:t>Balzer v Vries</w:t>
      </w:r>
      <w:r w:rsidRPr="00194111">
        <w:rPr>
          <w:rFonts w:ascii="Arial Narrow" w:hAnsi="Arial Narrow" w:cs="Arial"/>
        </w:rPr>
        <w:t xml:space="preserve"> 2015 (2) NR 547 (SC) at 551J-552F and </w:t>
      </w:r>
      <w:r w:rsidRPr="00194111">
        <w:rPr>
          <w:rFonts w:ascii="Arial Narrow" w:hAnsi="Arial Narrow" w:cs="Arial"/>
          <w:i/>
        </w:rPr>
        <w:t>Jossop v The State</w:t>
      </w:r>
      <w:r w:rsidRPr="00194111">
        <w:rPr>
          <w:rFonts w:ascii="Arial Narrow" w:hAnsi="Arial Narrow" w:cs="Arial"/>
        </w:rPr>
        <w:t xml:space="preserve"> (SA 44/2016) NASC (30 August 2017).</w:t>
      </w:r>
    </w:p>
  </w:footnote>
  <w:footnote w:id="5">
    <w:p w:rsidR="00194111" w:rsidRPr="00194111" w:rsidRDefault="00194111" w:rsidP="00194111">
      <w:pPr>
        <w:pStyle w:val="FootnoteText"/>
        <w:jc w:val="both"/>
        <w:rPr>
          <w:rFonts w:ascii="Arial Narrow" w:hAnsi="Arial Narrow" w:cs="Arial"/>
        </w:rPr>
      </w:pPr>
      <w:r w:rsidRPr="00194111">
        <w:rPr>
          <w:rStyle w:val="FootnoteReference"/>
          <w:rFonts w:ascii="Arial Narrow" w:hAnsi="Arial Narrow" w:cs="Arial"/>
        </w:rPr>
        <w:footnoteRef/>
      </w:r>
      <w:r w:rsidRPr="00194111">
        <w:rPr>
          <w:rFonts w:ascii="Arial Narrow" w:hAnsi="Arial Narrow" w:cs="Arial"/>
        </w:rPr>
        <w:t xml:space="preserve"> See </w:t>
      </w:r>
      <w:r w:rsidRPr="00194111">
        <w:rPr>
          <w:rFonts w:ascii="Arial Narrow" w:hAnsi="Arial Narrow" w:cs="Arial"/>
          <w:i/>
        </w:rPr>
        <w:t>Arangies t/a Auto Tech v Quick Build</w:t>
      </w:r>
      <w:r w:rsidRPr="00194111">
        <w:rPr>
          <w:rFonts w:ascii="Arial Narrow" w:hAnsi="Arial Narrow" w:cs="Arial"/>
        </w:rPr>
        <w:t xml:space="preserve"> 2014 (1) NR 187 (SC) para 5; </w:t>
      </w:r>
      <w:r w:rsidRPr="00194111">
        <w:rPr>
          <w:rFonts w:ascii="Arial Narrow" w:hAnsi="Arial Narrow" w:cs="Arial"/>
          <w:i/>
        </w:rPr>
        <w:t>Primedia Outdoor Namibia (Pty) Ltd v Kauluma</w:t>
      </w:r>
      <w:r w:rsidRPr="00194111">
        <w:rPr>
          <w:rFonts w:ascii="Arial Narrow" w:hAnsi="Arial Narrow" w:cs="Arial"/>
        </w:rPr>
        <w:t xml:space="preserve"> (LCA 95-2011) [2014] NALCMD 41 (17 October 2014).</w:t>
      </w:r>
    </w:p>
  </w:footnote>
  <w:footnote w:id="6">
    <w:p w:rsidR="00194111" w:rsidRPr="00731BF5" w:rsidRDefault="00194111" w:rsidP="00194111">
      <w:pPr>
        <w:pStyle w:val="FootnoteText"/>
        <w:jc w:val="both"/>
        <w:rPr>
          <w:rFonts w:ascii="Arial" w:hAnsi="Arial" w:cs="Arial"/>
        </w:rPr>
      </w:pPr>
      <w:r w:rsidRPr="00194111">
        <w:rPr>
          <w:rStyle w:val="FootnoteReference"/>
          <w:rFonts w:ascii="Arial Narrow" w:hAnsi="Arial Narrow" w:cs="Arial"/>
        </w:rPr>
        <w:footnoteRef/>
      </w:r>
      <w:r w:rsidRPr="00194111">
        <w:rPr>
          <w:rFonts w:ascii="Arial Narrow" w:hAnsi="Arial Narrow" w:cs="Arial"/>
        </w:rPr>
        <w:t xml:space="preserve"> </w:t>
      </w:r>
      <w:r w:rsidRPr="00194111">
        <w:rPr>
          <w:rFonts w:ascii="Arial Narrow" w:hAnsi="Arial Narrow" w:cs="Arial"/>
          <w:i/>
        </w:rPr>
        <w:t>Gomes v Meyer</w:t>
      </w:r>
      <w:r w:rsidRPr="00194111">
        <w:rPr>
          <w:rFonts w:ascii="Arial Narrow" w:hAnsi="Arial Narrow" w:cs="Arial"/>
        </w:rPr>
        <w:t xml:space="preserve"> (SA 33/2014) NASC (12 April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267483"/>
      <w:docPartObj>
        <w:docPartGallery w:val="Page Numbers (Top of Page)"/>
        <w:docPartUnique/>
      </w:docPartObj>
    </w:sdtPr>
    <w:sdtEndPr>
      <w:rPr>
        <w:noProof/>
      </w:rPr>
    </w:sdtEndPr>
    <w:sdtContent>
      <w:p w:rsidR="00D46451" w:rsidRDefault="00D46451">
        <w:pPr>
          <w:pStyle w:val="Header"/>
          <w:jc w:val="right"/>
        </w:pPr>
        <w:r>
          <w:fldChar w:fldCharType="begin"/>
        </w:r>
        <w:r>
          <w:instrText xml:space="preserve"> PAGE   \* MERGEFORMAT </w:instrText>
        </w:r>
        <w:r>
          <w:fldChar w:fldCharType="separate"/>
        </w:r>
        <w:r w:rsidR="00AB51C5">
          <w:rPr>
            <w:noProof/>
          </w:rPr>
          <w:t>6</w:t>
        </w:r>
        <w:r>
          <w:rPr>
            <w:noProof/>
          </w:rPr>
          <w:fldChar w:fldCharType="end"/>
        </w:r>
      </w:p>
    </w:sdtContent>
  </w:sdt>
  <w:p w:rsidR="00D46451" w:rsidRDefault="00D464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C1E85"/>
    <w:multiLevelType w:val="hybridMultilevel"/>
    <w:tmpl w:val="18143FE0"/>
    <w:lvl w:ilvl="0" w:tplc="2A6033F8">
      <w:start w:val="3"/>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 w15:restartNumberingAfterBreak="0">
    <w:nsid w:val="230C4E2B"/>
    <w:multiLevelType w:val="hybridMultilevel"/>
    <w:tmpl w:val="CA68A562"/>
    <w:lvl w:ilvl="0" w:tplc="1E26155A">
      <w:start w:val="1"/>
      <w:numFmt w:val="decimal"/>
      <w:lvlText w:val="[%1]"/>
      <w:lvlJc w:val="left"/>
      <w:pPr>
        <w:ind w:left="1495" w:hanging="360"/>
      </w:pPr>
      <w:rPr>
        <w:rFonts w:hint="default"/>
        <w:sz w:val="24"/>
        <w:szCs w:val="24"/>
      </w:rPr>
    </w:lvl>
    <w:lvl w:ilvl="1" w:tplc="1C090019" w:tentative="1">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2" w15:restartNumberingAfterBreak="0">
    <w:nsid w:val="42167CBF"/>
    <w:multiLevelType w:val="hybridMultilevel"/>
    <w:tmpl w:val="B814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B402C4"/>
    <w:multiLevelType w:val="hybridMultilevel"/>
    <w:tmpl w:val="14DCA2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95E367D"/>
    <w:multiLevelType w:val="hybridMultilevel"/>
    <w:tmpl w:val="9E90A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0919A7"/>
    <w:multiLevelType w:val="hybridMultilevel"/>
    <w:tmpl w:val="BCC0AC06"/>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15:restartNumberingAfterBreak="0">
    <w:nsid w:val="6C06708E"/>
    <w:multiLevelType w:val="hybridMultilevel"/>
    <w:tmpl w:val="18FCE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33512E"/>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D3D6625"/>
    <w:multiLevelType w:val="hybridMultilevel"/>
    <w:tmpl w:val="B6AC5C68"/>
    <w:lvl w:ilvl="0" w:tplc="8C5404E0">
      <w:start w:val="1"/>
      <w:numFmt w:val="lowerLetter"/>
      <w:lvlText w:val="(%1)"/>
      <w:lvlJc w:val="left"/>
      <w:pPr>
        <w:ind w:left="108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3"/>
  </w:num>
  <w:num w:numId="5">
    <w:abstractNumId w:val="4"/>
  </w:num>
  <w:num w:numId="6">
    <w:abstractNumId w:val="2"/>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B5"/>
    <w:rsid w:val="00010FE7"/>
    <w:rsid w:val="00012995"/>
    <w:rsid w:val="00013EC0"/>
    <w:rsid w:val="0002555E"/>
    <w:rsid w:val="000309E0"/>
    <w:rsid w:val="00040B97"/>
    <w:rsid w:val="000501B3"/>
    <w:rsid w:val="000521B7"/>
    <w:rsid w:val="00070701"/>
    <w:rsid w:val="00070929"/>
    <w:rsid w:val="00071486"/>
    <w:rsid w:val="000A684E"/>
    <w:rsid w:val="000B31F0"/>
    <w:rsid w:val="000B35CE"/>
    <w:rsid w:val="000D218C"/>
    <w:rsid w:val="000D3044"/>
    <w:rsid w:val="000D70A9"/>
    <w:rsid w:val="000E043D"/>
    <w:rsid w:val="000E6395"/>
    <w:rsid w:val="000F05FE"/>
    <w:rsid w:val="000F1321"/>
    <w:rsid w:val="000F3A0D"/>
    <w:rsid w:val="000F4B68"/>
    <w:rsid w:val="000F7C5C"/>
    <w:rsid w:val="001007FF"/>
    <w:rsid w:val="001068B9"/>
    <w:rsid w:val="001108CF"/>
    <w:rsid w:val="001123FA"/>
    <w:rsid w:val="00113AED"/>
    <w:rsid w:val="00114FF5"/>
    <w:rsid w:val="00142BD3"/>
    <w:rsid w:val="00145ADA"/>
    <w:rsid w:val="00153EFE"/>
    <w:rsid w:val="001648D8"/>
    <w:rsid w:val="00164DE0"/>
    <w:rsid w:val="00165A20"/>
    <w:rsid w:val="0017517E"/>
    <w:rsid w:val="00192E55"/>
    <w:rsid w:val="00194111"/>
    <w:rsid w:val="001A3F99"/>
    <w:rsid w:val="001B7111"/>
    <w:rsid w:val="001D0856"/>
    <w:rsid w:val="001E4FF0"/>
    <w:rsid w:val="001F2AA0"/>
    <w:rsid w:val="001F2E0C"/>
    <w:rsid w:val="001F4781"/>
    <w:rsid w:val="00201138"/>
    <w:rsid w:val="00204929"/>
    <w:rsid w:val="00206E1F"/>
    <w:rsid w:val="00214C81"/>
    <w:rsid w:val="00214E94"/>
    <w:rsid w:val="00216069"/>
    <w:rsid w:val="00222323"/>
    <w:rsid w:val="002246A3"/>
    <w:rsid w:val="00226E2F"/>
    <w:rsid w:val="00237DF6"/>
    <w:rsid w:val="00240526"/>
    <w:rsid w:val="00247BE3"/>
    <w:rsid w:val="002627CF"/>
    <w:rsid w:val="00266084"/>
    <w:rsid w:val="002730BF"/>
    <w:rsid w:val="00280ADC"/>
    <w:rsid w:val="00295333"/>
    <w:rsid w:val="002A699C"/>
    <w:rsid w:val="002A7603"/>
    <w:rsid w:val="002B26C0"/>
    <w:rsid w:val="002C2969"/>
    <w:rsid w:val="002C4E37"/>
    <w:rsid w:val="002C63DD"/>
    <w:rsid w:val="002D78B1"/>
    <w:rsid w:val="002F3704"/>
    <w:rsid w:val="00304CD2"/>
    <w:rsid w:val="0031370C"/>
    <w:rsid w:val="00313CD0"/>
    <w:rsid w:val="00321AA9"/>
    <w:rsid w:val="003221BD"/>
    <w:rsid w:val="003223A4"/>
    <w:rsid w:val="003246A7"/>
    <w:rsid w:val="0032634A"/>
    <w:rsid w:val="00336EA3"/>
    <w:rsid w:val="00346EB8"/>
    <w:rsid w:val="00361EBC"/>
    <w:rsid w:val="00375F61"/>
    <w:rsid w:val="00384BFF"/>
    <w:rsid w:val="00390E41"/>
    <w:rsid w:val="0039465F"/>
    <w:rsid w:val="00394B64"/>
    <w:rsid w:val="00397C7F"/>
    <w:rsid w:val="003A0AED"/>
    <w:rsid w:val="003B4C2A"/>
    <w:rsid w:val="003C2051"/>
    <w:rsid w:val="003C2587"/>
    <w:rsid w:val="003C3525"/>
    <w:rsid w:val="003E0400"/>
    <w:rsid w:val="003E1468"/>
    <w:rsid w:val="003E5C60"/>
    <w:rsid w:val="003E6198"/>
    <w:rsid w:val="003E72CC"/>
    <w:rsid w:val="003F23AF"/>
    <w:rsid w:val="003F40BD"/>
    <w:rsid w:val="003F526F"/>
    <w:rsid w:val="00404EDF"/>
    <w:rsid w:val="00422236"/>
    <w:rsid w:val="00425233"/>
    <w:rsid w:val="0042554E"/>
    <w:rsid w:val="004262E2"/>
    <w:rsid w:val="00427466"/>
    <w:rsid w:val="0043000E"/>
    <w:rsid w:val="00434521"/>
    <w:rsid w:val="004502D1"/>
    <w:rsid w:val="00463102"/>
    <w:rsid w:val="00473CF0"/>
    <w:rsid w:val="0047650B"/>
    <w:rsid w:val="00487D58"/>
    <w:rsid w:val="0049404B"/>
    <w:rsid w:val="004A2CFA"/>
    <w:rsid w:val="004C0404"/>
    <w:rsid w:val="004D313F"/>
    <w:rsid w:val="004E6E67"/>
    <w:rsid w:val="004E7F24"/>
    <w:rsid w:val="004F2D2F"/>
    <w:rsid w:val="00513F10"/>
    <w:rsid w:val="00525292"/>
    <w:rsid w:val="005315E1"/>
    <w:rsid w:val="00535679"/>
    <w:rsid w:val="00536426"/>
    <w:rsid w:val="00536735"/>
    <w:rsid w:val="00543F56"/>
    <w:rsid w:val="00545944"/>
    <w:rsid w:val="00552F8B"/>
    <w:rsid w:val="0055737E"/>
    <w:rsid w:val="00566A0E"/>
    <w:rsid w:val="005732F3"/>
    <w:rsid w:val="00573DD8"/>
    <w:rsid w:val="00576699"/>
    <w:rsid w:val="0057707B"/>
    <w:rsid w:val="00577933"/>
    <w:rsid w:val="00587CA5"/>
    <w:rsid w:val="00590640"/>
    <w:rsid w:val="005932AF"/>
    <w:rsid w:val="00594D59"/>
    <w:rsid w:val="00595557"/>
    <w:rsid w:val="005A43DF"/>
    <w:rsid w:val="005A74A7"/>
    <w:rsid w:val="005A750D"/>
    <w:rsid w:val="005B0C75"/>
    <w:rsid w:val="005B3909"/>
    <w:rsid w:val="005C0368"/>
    <w:rsid w:val="005C749D"/>
    <w:rsid w:val="005D1985"/>
    <w:rsid w:val="005D6F2A"/>
    <w:rsid w:val="005D7EFF"/>
    <w:rsid w:val="005E5886"/>
    <w:rsid w:val="005F0C2B"/>
    <w:rsid w:val="005F365C"/>
    <w:rsid w:val="005F7D87"/>
    <w:rsid w:val="006000CB"/>
    <w:rsid w:val="00603F97"/>
    <w:rsid w:val="00606780"/>
    <w:rsid w:val="00610647"/>
    <w:rsid w:val="00610EC4"/>
    <w:rsid w:val="006117C1"/>
    <w:rsid w:val="006202C8"/>
    <w:rsid w:val="00620752"/>
    <w:rsid w:val="00622002"/>
    <w:rsid w:val="006240AB"/>
    <w:rsid w:val="00625C52"/>
    <w:rsid w:val="00641114"/>
    <w:rsid w:val="00642ED0"/>
    <w:rsid w:val="006479E8"/>
    <w:rsid w:val="00651FBF"/>
    <w:rsid w:val="00653FB1"/>
    <w:rsid w:val="006647DF"/>
    <w:rsid w:val="00691B65"/>
    <w:rsid w:val="006A06C9"/>
    <w:rsid w:val="006A6F65"/>
    <w:rsid w:val="006A782A"/>
    <w:rsid w:val="006D0EF4"/>
    <w:rsid w:val="006D1C3B"/>
    <w:rsid w:val="006D6045"/>
    <w:rsid w:val="006E7A06"/>
    <w:rsid w:val="006F1344"/>
    <w:rsid w:val="007035AE"/>
    <w:rsid w:val="00707D8A"/>
    <w:rsid w:val="00713A59"/>
    <w:rsid w:val="00720794"/>
    <w:rsid w:val="00723332"/>
    <w:rsid w:val="007332A6"/>
    <w:rsid w:val="00735C76"/>
    <w:rsid w:val="0074354F"/>
    <w:rsid w:val="00747312"/>
    <w:rsid w:val="0075709E"/>
    <w:rsid w:val="00760961"/>
    <w:rsid w:val="007777C3"/>
    <w:rsid w:val="007847BA"/>
    <w:rsid w:val="00790373"/>
    <w:rsid w:val="00795299"/>
    <w:rsid w:val="007A6F9E"/>
    <w:rsid w:val="007B2011"/>
    <w:rsid w:val="007B701E"/>
    <w:rsid w:val="007C5F79"/>
    <w:rsid w:val="007C6151"/>
    <w:rsid w:val="007D58A0"/>
    <w:rsid w:val="007D6576"/>
    <w:rsid w:val="007E4BA6"/>
    <w:rsid w:val="008056E0"/>
    <w:rsid w:val="00811209"/>
    <w:rsid w:val="008134FF"/>
    <w:rsid w:val="00821EF2"/>
    <w:rsid w:val="008278F9"/>
    <w:rsid w:val="00836EB8"/>
    <w:rsid w:val="00850262"/>
    <w:rsid w:val="00871FE0"/>
    <w:rsid w:val="00883A84"/>
    <w:rsid w:val="008901AF"/>
    <w:rsid w:val="00890FD4"/>
    <w:rsid w:val="00893C31"/>
    <w:rsid w:val="008A417A"/>
    <w:rsid w:val="008A4A52"/>
    <w:rsid w:val="008A6453"/>
    <w:rsid w:val="008B1C07"/>
    <w:rsid w:val="008B478D"/>
    <w:rsid w:val="008B69F0"/>
    <w:rsid w:val="008D0F38"/>
    <w:rsid w:val="008E0283"/>
    <w:rsid w:val="008E27BA"/>
    <w:rsid w:val="008E4FC0"/>
    <w:rsid w:val="008E6CB8"/>
    <w:rsid w:val="00900EAE"/>
    <w:rsid w:val="00901965"/>
    <w:rsid w:val="00910FCE"/>
    <w:rsid w:val="009114FF"/>
    <w:rsid w:val="00911F3C"/>
    <w:rsid w:val="00913A93"/>
    <w:rsid w:val="00917569"/>
    <w:rsid w:val="0092129C"/>
    <w:rsid w:val="00922148"/>
    <w:rsid w:val="00924D7D"/>
    <w:rsid w:val="009253D3"/>
    <w:rsid w:val="0094348B"/>
    <w:rsid w:val="00944A7A"/>
    <w:rsid w:val="00957A30"/>
    <w:rsid w:val="0096285D"/>
    <w:rsid w:val="00964066"/>
    <w:rsid w:val="009640B8"/>
    <w:rsid w:val="009645D6"/>
    <w:rsid w:val="009677CC"/>
    <w:rsid w:val="009709AB"/>
    <w:rsid w:val="00975C47"/>
    <w:rsid w:val="009776C2"/>
    <w:rsid w:val="00981DE5"/>
    <w:rsid w:val="00985685"/>
    <w:rsid w:val="009C3892"/>
    <w:rsid w:val="009D499A"/>
    <w:rsid w:val="009D5248"/>
    <w:rsid w:val="009E46FB"/>
    <w:rsid w:val="009E4890"/>
    <w:rsid w:val="009E52F8"/>
    <w:rsid w:val="009F78A6"/>
    <w:rsid w:val="00A00282"/>
    <w:rsid w:val="00A00DF2"/>
    <w:rsid w:val="00A05F61"/>
    <w:rsid w:val="00A10933"/>
    <w:rsid w:val="00A13765"/>
    <w:rsid w:val="00A16FA7"/>
    <w:rsid w:val="00A22F11"/>
    <w:rsid w:val="00A268AD"/>
    <w:rsid w:val="00A31967"/>
    <w:rsid w:val="00A32333"/>
    <w:rsid w:val="00A64956"/>
    <w:rsid w:val="00A64DBC"/>
    <w:rsid w:val="00A65679"/>
    <w:rsid w:val="00A66250"/>
    <w:rsid w:val="00A67C5B"/>
    <w:rsid w:val="00A70A19"/>
    <w:rsid w:val="00A70BA9"/>
    <w:rsid w:val="00A71F7B"/>
    <w:rsid w:val="00A81368"/>
    <w:rsid w:val="00A8443D"/>
    <w:rsid w:val="00A873AE"/>
    <w:rsid w:val="00A87A20"/>
    <w:rsid w:val="00A9701C"/>
    <w:rsid w:val="00A97917"/>
    <w:rsid w:val="00AB3DA0"/>
    <w:rsid w:val="00AB51C5"/>
    <w:rsid w:val="00AB77A2"/>
    <w:rsid w:val="00AC3CFB"/>
    <w:rsid w:val="00AD33D9"/>
    <w:rsid w:val="00AD7ED1"/>
    <w:rsid w:val="00AE5601"/>
    <w:rsid w:val="00AE5621"/>
    <w:rsid w:val="00B04C63"/>
    <w:rsid w:val="00B154E7"/>
    <w:rsid w:val="00B15C01"/>
    <w:rsid w:val="00B17CC0"/>
    <w:rsid w:val="00B2168A"/>
    <w:rsid w:val="00B362E7"/>
    <w:rsid w:val="00B412BB"/>
    <w:rsid w:val="00B50265"/>
    <w:rsid w:val="00B52D39"/>
    <w:rsid w:val="00B653A7"/>
    <w:rsid w:val="00B732A0"/>
    <w:rsid w:val="00B7506D"/>
    <w:rsid w:val="00B83727"/>
    <w:rsid w:val="00B8695C"/>
    <w:rsid w:val="00B932B1"/>
    <w:rsid w:val="00B94B61"/>
    <w:rsid w:val="00BB19DE"/>
    <w:rsid w:val="00BC77BD"/>
    <w:rsid w:val="00BD1C0E"/>
    <w:rsid w:val="00BD66A2"/>
    <w:rsid w:val="00BE23FC"/>
    <w:rsid w:val="00BE7884"/>
    <w:rsid w:val="00BF5422"/>
    <w:rsid w:val="00C0102F"/>
    <w:rsid w:val="00C0170E"/>
    <w:rsid w:val="00C027CE"/>
    <w:rsid w:val="00C14459"/>
    <w:rsid w:val="00C15B98"/>
    <w:rsid w:val="00C16F39"/>
    <w:rsid w:val="00C17CA0"/>
    <w:rsid w:val="00C23DA7"/>
    <w:rsid w:val="00C346DC"/>
    <w:rsid w:val="00C50C3B"/>
    <w:rsid w:val="00C547A8"/>
    <w:rsid w:val="00C62D8A"/>
    <w:rsid w:val="00C675C2"/>
    <w:rsid w:val="00C861E1"/>
    <w:rsid w:val="00C86863"/>
    <w:rsid w:val="00C87A3E"/>
    <w:rsid w:val="00C96AC7"/>
    <w:rsid w:val="00CA18E6"/>
    <w:rsid w:val="00CA6DDF"/>
    <w:rsid w:val="00CD4FFF"/>
    <w:rsid w:val="00CE1797"/>
    <w:rsid w:val="00CE30E4"/>
    <w:rsid w:val="00CE48FA"/>
    <w:rsid w:val="00CF6596"/>
    <w:rsid w:val="00D010A9"/>
    <w:rsid w:val="00D01890"/>
    <w:rsid w:val="00D044EC"/>
    <w:rsid w:val="00D125D5"/>
    <w:rsid w:val="00D25575"/>
    <w:rsid w:val="00D26CB5"/>
    <w:rsid w:val="00D307A5"/>
    <w:rsid w:val="00D32037"/>
    <w:rsid w:val="00D373D2"/>
    <w:rsid w:val="00D46451"/>
    <w:rsid w:val="00D506E0"/>
    <w:rsid w:val="00D50D15"/>
    <w:rsid w:val="00D55857"/>
    <w:rsid w:val="00D61E20"/>
    <w:rsid w:val="00D6290A"/>
    <w:rsid w:val="00D82F1D"/>
    <w:rsid w:val="00D926C9"/>
    <w:rsid w:val="00D93DCF"/>
    <w:rsid w:val="00D94440"/>
    <w:rsid w:val="00DA58A6"/>
    <w:rsid w:val="00DC03E6"/>
    <w:rsid w:val="00DD05DC"/>
    <w:rsid w:val="00DE3F8D"/>
    <w:rsid w:val="00DE5F56"/>
    <w:rsid w:val="00DF0655"/>
    <w:rsid w:val="00E0138B"/>
    <w:rsid w:val="00E036D1"/>
    <w:rsid w:val="00E22C6E"/>
    <w:rsid w:val="00E30CB9"/>
    <w:rsid w:val="00E44D0B"/>
    <w:rsid w:val="00E53ED5"/>
    <w:rsid w:val="00E60457"/>
    <w:rsid w:val="00E715CB"/>
    <w:rsid w:val="00E757E9"/>
    <w:rsid w:val="00E80147"/>
    <w:rsid w:val="00E85763"/>
    <w:rsid w:val="00E871C3"/>
    <w:rsid w:val="00E87AB8"/>
    <w:rsid w:val="00EA6E2C"/>
    <w:rsid w:val="00EB45C7"/>
    <w:rsid w:val="00EC71A2"/>
    <w:rsid w:val="00ED4D51"/>
    <w:rsid w:val="00EE498C"/>
    <w:rsid w:val="00EE5019"/>
    <w:rsid w:val="00EF50AC"/>
    <w:rsid w:val="00EF644C"/>
    <w:rsid w:val="00EF66CA"/>
    <w:rsid w:val="00F14916"/>
    <w:rsid w:val="00F26DA6"/>
    <w:rsid w:val="00F35399"/>
    <w:rsid w:val="00F50E63"/>
    <w:rsid w:val="00F51FE0"/>
    <w:rsid w:val="00F520A5"/>
    <w:rsid w:val="00F56E9F"/>
    <w:rsid w:val="00F63CE8"/>
    <w:rsid w:val="00F7462C"/>
    <w:rsid w:val="00F777B3"/>
    <w:rsid w:val="00F77E7C"/>
    <w:rsid w:val="00F8299A"/>
    <w:rsid w:val="00F863A6"/>
    <w:rsid w:val="00F918ED"/>
    <w:rsid w:val="00FA5AA7"/>
    <w:rsid w:val="00FA6230"/>
    <w:rsid w:val="00FA7352"/>
    <w:rsid w:val="00FC1A32"/>
    <w:rsid w:val="00FC49E4"/>
    <w:rsid w:val="00FC5243"/>
    <w:rsid w:val="00FD4687"/>
    <w:rsid w:val="00FD78FF"/>
    <w:rsid w:val="00FE1D6F"/>
    <w:rsid w:val="00FF25F3"/>
    <w:rsid w:val="00FF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060FC8-7221-499A-970B-C171E50D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CB5"/>
    <w:rPr>
      <w:lang w:val="en-ZA"/>
    </w:rPr>
  </w:style>
  <w:style w:type="paragraph" w:styleId="Heading1">
    <w:name w:val="heading 1"/>
    <w:basedOn w:val="Normal"/>
    <w:next w:val="Normal"/>
    <w:link w:val="Heading1Char"/>
    <w:uiPriority w:val="9"/>
    <w:qFormat/>
    <w:rsid w:val="00CD4F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6CB5"/>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26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CB5"/>
    <w:rPr>
      <w:lang w:val="en-ZA"/>
    </w:rPr>
  </w:style>
  <w:style w:type="paragraph" w:styleId="ListParagraph">
    <w:name w:val="List Paragraph"/>
    <w:aliases w:val="Bullet Main"/>
    <w:basedOn w:val="Normal"/>
    <w:link w:val="ListParagraphChar"/>
    <w:uiPriority w:val="34"/>
    <w:qFormat/>
    <w:rsid w:val="00D26CB5"/>
    <w:pPr>
      <w:ind w:left="720"/>
      <w:contextualSpacing/>
    </w:pPr>
  </w:style>
  <w:style w:type="paragraph" w:customStyle="1" w:styleId="form-control-static">
    <w:name w:val="form-control-static"/>
    <w:basedOn w:val="Normal"/>
    <w:rsid w:val="00D26CB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26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CB5"/>
    <w:rPr>
      <w:lang w:val="en-ZA"/>
    </w:rPr>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
    <w:basedOn w:val="Normal"/>
    <w:link w:val="FootnoteTextChar"/>
    <w:uiPriority w:val="99"/>
    <w:unhideWhenUsed/>
    <w:qFormat/>
    <w:rsid w:val="00D01890"/>
    <w:pPr>
      <w:spacing w:after="0" w:line="240" w:lineRule="auto"/>
    </w:pPr>
    <w:rPr>
      <w:sz w:val="20"/>
      <w:szCs w:val="20"/>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rsid w:val="00D01890"/>
    <w:rPr>
      <w:sz w:val="20"/>
      <w:szCs w:val="20"/>
      <w:lang w:val="en-ZA"/>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unhideWhenUsed/>
    <w:qFormat/>
    <w:rsid w:val="00D01890"/>
    <w:rPr>
      <w:vertAlign w:val="superscript"/>
    </w:rPr>
  </w:style>
  <w:style w:type="paragraph" w:styleId="BalloonText">
    <w:name w:val="Balloon Text"/>
    <w:basedOn w:val="Normal"/>
    <w:link w:val="BalloonTextChar"/>
    <w:uiPriority w:val="99"/>
    <w:semiHidden/>
    <w:unhideWhenUsed/>
    <w:rsid w:val="00911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4FF"/>
    <w:rPr>
      <w:rFonts w:ascii="Segoe UI" w:hAnsi="Segoe UI" w:cs="Segoe UI"/>
      <w:sz w:val="18"/>
      <w:szCs w:val="18"/>
      <w:lang w:val="en-ZA"/>
    </w:rPr>
  </w:style>
  <w:style w:type="character" w:customStyle="1" w:styleId="Heading1Char">
    <w:name w:val="Heading 1 Char"/>
    <w:basedOn w:val="DefaultParagraphFont"/>
    <w:link w:val="Heading1"/>
    <w:uiPriority w:val="9"/>
    <w:rsid w:val="00CD4FFF"/>
    <w:rPr>
      <w:rFonts w:asciiTheme="majorHAnsi" w:eastAsiaTheme="majorEastAsia" w:hAnsiTheme="majorHAnsi" w:cstheme="majorBidi"/>
      <w:color w:val="2E74B5" w:themeColor="accent1" w:themeShade="BF"/>
      <w:sz w:val="32"/>
      <w:szCs w:val="32"/>
      <w:lang w:val="en-ZA"/>
    </w:rPr>
  </w:style>
  <w:style w:type="character" w:customStyle="1" w:styleId="ListParagraphChar">
    <w:name w:val="List Paragraph Char"/>
    <w:aliases w:val="Bullet Main Char"/>
    <w:link w:val="ListParagraph"/>
    <w:uiPriority w:val="34"/>
    <w:locked/>
    <w:rsid w:val="00194111"/>
    <w:rPr>
      <w:lang w:val="en-ZA"/>
    </w:rPr>
  </w:style>
  <w:style w:type="paragraph" w:styleId="NormalWeb">
    <w:name w:val="Normal (Web)"/>
    <w:basedOn w:val="Normal"/>
    <w:uiPriority w:val="99"/>
    <w:unhideWhenUsed/>
    <w:rsid w:val="006A6F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A6F65"/>
    <w:rPr>
      <w:i/>
      <w:iCs/>
    </w:rPr>
  </w:style>
  <w:style w:type="character" w:styleId="Strong">
    <w:name w:val="Strong"/>
    <w:basedOn w:val="DefaultParagraphFont"/>
    <w:uiPriority w:val="22"/>
    <w:qFormat/>
    <w:rsid w:val="006A6F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63704">
      <w:bodyDiv w:val="1"/>
      <w:marLeft w:val="0"/>
      <w:marRight w:val="0"/>
      <w:marTop w:val="0"/>
      <w:marBottom w:val="0"/>
      <w:divBdr>
        <w:top w:val="none" w:sz="0" w:space="0" w:color="auto"/>
        <w:left w:val="none" w:sz="0" w:space="0" w:color="auto"/>
        <w:bottom w:val="none" w:sz="0" w:space="0" w:color="auto"/>
        <w:right w:val="none" w:sz="0" w:space="0" w:color="auto"/>
      </w:divBdr>
    </w:div>
    <w:div w:id="649559212">
      <w:bodyDiv w:val="1"/>
      <w:marLeft w:val="0"/>
      <w:marRight w:val="0"/>
      <w:marTop w:val="0"/>
      <w:marBottom w:val="0"/>
      <w:divBdr>
        <w:top w:val="none" w:sz="0" w:space="0" w:color="auto"/>
        <w:left w:val="none" w:sz="0" w:space="0" w:color="auto"/>
        <w:bottom w:val="none" w:sz="0" w:space="0" w:color="auto"/>
        <w:right w:val="none" w:sz="0" w:space="0" w:color="auto"/>
      </w:divBdr>
    </w:div>
    <w:div w:id="807481554">
      <w:bodyDiv w:val="1"/>
      <w:marLeft w:val="0"/>
      <w:marRight w:val="0"/>
      <w:marTop w:val="0"/>
      <w:marBottom w:val="0"/>
      <w:divBdr>
        <w:top w:val="none" w:sz="0" w:space="0" w:color="auto"/>
        <w:left w:val="none" w:sz="0" w:space="0" w:color="auto"/>
        <w:bottom w:val="none" w:sz="0" w:space="0" w:color="auto"/>
        <w:right w:val="none" w:sz="0" w:space="0" w:color="auto"/>
      </w:divBdr>
    </w:div>
    <w:div w:id="209663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2019-03-28T18:30:00+00:00</Judgment_x0020_Date>
    <Year xmlns="c1afb1bd-f2fb-40fd-9abb-aea55b4d7662">2019</Year>
  </documentManagement>
</p:properties>
</file>

<file path=customXml/itemProps1.xml><?xml version="1.0" encoding="utf-8"?>
<ds:datastoreItem xmlns:ds="http://schemas.openxmlformats.org/officeDocument/2006/customXml" ds:itemID="{C666D929-AB84-49DF-85D3-F695CC61928D}"/>
</file>

<file path=customXml/itemProps2.xml><?xml version="1.0" encoding="utf-8"?>
<ds:datastoreItem xmlns:ds="http://schemas.openxmlformats.org/officeDocument/2006/customXml" ds:itemID="{CD78F55D-BE5B-431D-82E5-A7036733974F}"/>
</file>

<file path=customXml/itemProps3.xml><?xml version="1.0" encoding="utf-8"?>
<ds:datastoreItem xmlns:ds="http://schemas.openxmlformats.org/officeDocument/2006/customXml" ds:itemID="{25453759-E7A0-4C18-B627-1A359359D2B2}"/>
</file>

<file path=customXml/itemProps4.xml><?xml version="1.0" encoding="utf-8"?>
<ds:datastoreItem xmlns:ds="http://schemas.openxmlformats.org/officeDocument/2006/customXml" ds:itemID="{12BE4A67-6B87-498E-9B41-DB62F6AE3DA2}"/>
</file>

<file path=docProps/app.xml><?xml version="1.0" encoding="utf-8"?>
<Properties xmlns="http://schemas.openxmlformats.org/officeDocument/2006/extended-properties" xmlns:vt="http://schemas.openxmlformats.org/officeDocument/2006/docPropsVTypes">
  <Template>Normal</Template>
  <TotalTime>0</TotalTime>
  <Pages>6</Pages>
  <Words>1796</Words>
  <Characters>10242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Mbeurora Karamata</dc:creator>
  <cp:keywords/>
  <dc:description/>
  <cp:lastModifiedBy>Lotta N. Ambunda</cp:lastModifiedBy>
  <cp:revision>2</cp:revision>
  <cp:lastPrinted>2019-04-03T07:24:00Z</cp:lastPrinted>
  <dcterms:created xsi:type="dcterms:W3CDTF">2019-04-07T01:31:00Z</dcterms:created>
  <dcterms:modified xsi:type="dcterms:W3CDTF">2019-04-07T01:31:00Z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