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B7295" w14:textId="77777777" w:rsidR="00F0010C" w:rsidRPr="005967D7" w:rsidRDefault="00F0010C" w:rsidP="00F0010C">
      <w:pPr>
        <w:tabs>
          <w:tab w:val="left" w:pos="5670"/>
        </w:tabs>
        <w:spacing w:line="360" w:lineRule="auto"/>
        <w:jc w:val="center"/>
        <w:rPr>
          <w:rFonts w:ascii="Arial" w:hAnsi="Arial"/>
          <w:b/>
          <w:lang w:val="en-US"/>
        </w:rPr>
      </w:pPr>
      <w:r w:rsidRPr="005967D7">
        <w:rPr>
          <w:rFonts w:ascii="Arial" w:hAnsi="Arial"/>
          <w:b/>
          <w:lang w:val="en-US"/>
        </w:rPr>
        <w:t>REPUBLIC OF NAMIBIA</w:t>
      </w:r>
    </w:p>
    <w:p w14:paraId="12E7A6CF" w14:textId="77777777" w:rsidR="00F0010C" w:rsidRPr="005967D7" w:rsidRDefault="00F0010C" w:rsidP="00F0010C">
      <w:pPr>
        <w:tabs>
          <w:tab w:val="left" w:pos="5670"/>
        </w:tabs>
        <w:spacing w:line="360" w:lineRule="auto"/>
        <w:jc w:val="center"/>
        <w:rPr>
          <w:rFonts w:ascii="Arial" w:hAnsi="Arial"/>
          <w:b/>
        </w:rPr>
      </w:pPr>
      <w:r w:rsidRPr="005967D7">
        <w:rPr>
          <w:rFonts w:ascii="Arial" w:hAnsi="Arial"/>
          <w:b/>
          <w:noProof/>
          <w:lang w:val="en-ZA" w:eastAsia="en-ZA"/>
        </w:rPr>
        <w:drawing>
          <wp:inline distT="0" distB="0" distL="0" distR="0" wp14:anchorId="5BF6FD28" wp14:editId="2D5ADCF2">
            <wp:extent cx="1273175" cy="1326515"/>
            <wp:effectExtent l="0" t="0" r="0" b="0"/>
            <wp:docPr id="1" name="Picture 2" descr="Coat of Arm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3175" cy="1326515"/>
                    </a:xfrm>
                    <a:prstGeom prst="rect">
                      <a:avLst/>
                    </a:prstGeom>
                    <a:noFill/>
                    <a:ln>
                      <a:noFill/>
                    </a:ln>
                  </pic:spPr>
                </pic:pic>
              </a:graphicData>
            </a:graphic>
          </wp:inline>
        </w:drawing>
      </w:r>
    </w:p>
    <w:p w14:paraId="0D1A85B8" w14:textId="2E95EBE4" w:rsidR="008C1D85" w:rsidRDefault="008C1D85" w:rsidP="00F0010C">
      <w:pPr>
        <w:spacing w:line="360" w:lineRule="auto"/>
        <w:jc w:val="center"/>
        <w:rPr>
          <w:rFonts w:ascii="Arial" w:hAnsi="Arial"/>
          <w:b/>
        </w:rPr>
      </w:pPr>
      <w:r>
        <w:rPr>
          <w:rFonts w:ascii="Arial" w:hAnsi="Arial"/>
          <w:b/>
        </w:rPr>
        <w:t>HIGH COURT OF NAMIBIA, MAIN DIVISION, WINDHOEK</w:t>
      </w:r>
    </w:p>
    <w:p w14:paraId="4D888B08" w14:textId="77777777" w:rsidR="008C1D85" w:rsidRDefault="008C1D85" w:rsidP="00F0010C">
      <w:pPr>
        <w:spacing w:line="360" w:lineRule="auto"/>
        <w:jc w:val="center"/>
        <w:rPr>
          <w:rFonts w:ascii="Arial" w:hAnsi="Arial"/>
          <w:b/>
        </w:rPr>
      </w:pPr>
      <w:r>
        <w:rPr>
          <w:rFonts w:ascii="Arial" w:hAnsi="Arial"/>
          <w:b/>
        </w:rPr>
        <w:t>RULING</w:t>
      </w:r>
    </w:p>
    <w:p w14:paraId="0A4A8BAD" w14:textId="77777777" w:rsidR="008C1D85" w:rsidRDefault="008C1D85" w:rsidP="00F0010C">
      <w:pPr>
        <w:spacing w:line="360" w:lineRule="auto"/>
        <w:jc w:val="center"/>
        <w:rPr>
          <w:rFonts w:ascii="Arial" w:hAnsi="Arial"/>
          <w:b/>
        </w:rPr>
      </w:pPr>
    </w:p>
    <w:p w14:paraId="68DD1030" w14:textId="77777777" w:rsidR="008C1D85" w:rsidRDefault="008C1D85" w:rsidP="00F0010C">
      <w:pPr>
        <w:spacing w:line="360" w:lineRule="auto"/>
        <w:jc w:val="center"/>
        <w:rPr>
          <w:rFonts w:ascii="Arial" w:hAnsi="Arial"/>
          <w:b/>
        </w:rPr>
      </w:pPr>
    </w:p>
    <w:p w14:paraId="03C2DEF4" w14:textId="0B302F82" w:rsidR="008C1D85" w:rsidRDefault="00767F8A" w:rsidP="00F0010C">
      <w:pPr>
        <w:spacing w:line="360" w:lineRule="auto"/>
        <w:jc w:val="right"/>
        <w:rPr>
          <w:rFonts w:ascii="Arial" w:hAnsi="Arial"/>
        </w:rPr>
      </w:pPr>
      <w:r>
        <w:rPr>
          <w:rFonts w:ascii="Arial" w:hAnsi="Arial"/>
        </w:rPr>
        <w:t>CASE NO: HC-MD-</w:t>
      </w:r>
      <w:r w:rsidRPr="00767F8A">
        <w:rPr>
          <w:rFonts w:ascii="Arial" w:hAnsi="Arial"/>
        </w:rPr>
        <w:t>CIV-MOT-GEN</w:t>
      </w:r>
      <w:r>
        <w:rPr>
          <w:rFonts w:ascii="Arial" w:hAnsi="Arial"/>
        </w:rPr>
        <w:t>-2020/00089</w:t>
      </w:r>
    </w:p>
    <w:p w14:paraId="0153E977" w14:textId="77777777" w:rsidR="00767F8A" w:rsidRDefault="00767F8A" w:rsidP="00F0010C">
      <w:pPr>
        <w:spacing w:line="360" w:lineRule="auto"/>
        <w:jc w:val="right"/>
        <w:rPr>
          <w:rFonts w:ascii="Arial" w:hAnsi="Arial"/>
        </w:rPr>
      </w:pPr>
    </w:p>
    <w:p w14:paraId="529B4753" w14:textId="2AE34930" w:rsidR="00767F8A" w:rsidRDefault="00767F8A" w:rsidP="00F0010C">
      <w:pPr>
        <w:spacing w:line="360" w:lineRule="auto"/>
        <w:rPr>
          <w:rFonts w:ascii="Arial" w:hAnsi="Arial"/>
        </w:rPr>
      </w:pPr>
      <w:r>
        <w:rPr>
          <w:rFonts w:ascii="Arial" w:hAnsi="Arial"/>
        </w:rPr>
        <w:t>In the matter between:</w:t>
      </w:r>
    </w:p>
    <w:p w14:paraId="2A0C09DE" w14:textId="77777777" w:rsidR="00767F8A" w:rsidRDefault="00767F8A" w:rsidP="00F0010C">
      <w:pPr>
        <w:spacing w:line="360" w:lineRule="auto"/>
        <w:rPr>
          <w:rFonts w:ascii="Arial" w:hAnsi="Arial"/>
        </w:rPr>
      </w:pPr>
    </w:p>
    <w:p w14:paraId="6C7B9179" w14:textId="4F05D0F4" w:rsidR="00767F8A" w:rsidRDefault="00767F8A" w:rsidP="00F0010C">
      <w:pPr>
        <w:tabs>
          <w:tab w:val="right" w:pos="8222"/>
        </w:tabs>
        <w:spacing w:line="360" w:lineRule="auto"/>
        <w:rPr>
          <w:rFonts w:ascii="Arial" w:hAnsi="Arial"/>
          <w:b/>
        </w:rPr>
      </w:pPr>
      <w:r>
        <w:rPr>
          <w:rFonts w:ascii="Arial" w:hAnsi="Arial"/>
          <w:b/>
        </w:rPr>
        <w:t xml:space="preserve">STANDARD BANK NAMIBIA LIMITED                             </w:t>
      </w:r>
      <w:r w:rsidR="00F0010C">
        <w:rPr>
          <w:rFonts w:ascii="Arial" w:hAnsi="Arial"/>
          <w:b/>
        </w:rPr>
        <w:tab/>
      </w:r>
      <w:r>
        <w:rPr>
          <w:rFonts w:ascii="Arial" w:hAnsi="Arial"/>
          <w:b/>
        </w:rPr>
        <w:t xml:space="preserve"> APPLICANT</w:t>
      </w:r>
    </w:p>
    <w:p w14:paraId="5B88C365" w14:textId="77777777" w:rsidR="00767F8A" w:rsidRDefault="00767F8A" w:rsidP="00F0010C">
      <w:pPr>
        <w:spacing w:line="360" w:lineRule="auto"/>
        <w:rPr>
          <w:rFonts w:ascii="Arial" w:hAnsi="Arial"/>
          <w:b/>
        </w:rPr>
      </w:pPr>
    </w:p>
    <w:p w14:paraId="709E47F8" w14:textId="545EA457" w:rsidR="00767F8A" w:rsidRDefault="00767F8A" w:rsidP="00F0010C">
      <w:pPr>
        <w:spacing w:line="360" w:lineRule="auto"/>
        <w:rPr>
          <w:rFonts w:ascii="Arial" w:hAnsi="Arial"/>
        </w:rPr>
      </w:pPr>
      <w:proofErr w:type="gramStart"/>
      <w:r>
        <w:rPr>
          <w:rFonts w:ascii="Arial" w:hAnsi="Arial"/>
        </w:rPr>
        <w:t>and</w:t>
      </w:r>
      <w:proofErr w:type="gramEnd"/>
    </w:p>
    <w:p w14:paraId="4DD37D97" w14:textId="77777777" w:rsidR="00767F8A" w:rsidRDefault="00767F8A" w:rsidP="00F0010C">
      <w:pPr>
        <w:spacing w:line="360" w:lineRule="auto"/>
        <w:rPr>
          <w:rFonts w:ascii="Arial" w:hAnsi="Arial"/>
        </w:rPr>
      </w:pPr>
    </w:p>
    <w:p w14:paraId="4585D77B" w14:textId="714D3DBC" w:rsidR="00767F8A" w:rsidRDefault="00767F8A" w:rsidP="00F0010C">
      <w:pPr>
        <w:tabs>
          <w:tab w:val="right" w:pos="8222"/>
        </w:tabs>
        <w:spacing w:line="360" w:lineRule="auto"/>
        <w:rPr>
          <w:rFonts w:ascii="Arial" w:hAnsi="Arial"/>
          <w:b/>
        </w:rPr>
      </w:pPr>
      <w:r>
        <w:rPr>
          <w:rFonts w:ascii="Arial" w:hAnsi="Arial"/>
          <w:b/>
        </w:rPr>
        <w:t xml:space="preserve">SILAS HAFENI NEKWAYA                                            </w:t>
      </w:r>
      <w:r w:rsidR="00F0010C">
        <w:rPr>
          <w:rFonts w:ascii="Arial" w:hAnsi="Arial"/>
          <w:b/>
        </w:rPr>
        <w:tab/>
      </w:r>
      <w:r>
        <w:rPr>
          <w:rFonts w:ascii="Arial" w:hAnsi="Arial"/>
          <w:b/>
        </w:rPr>
        <w:t>1</w:t>
      </w:r>
      <w:r w:rsidRPr="00767F8A">
        <w:rPr>
          <w:rFonts w:ascii="Arial" w:hAnsi="Arial"/>
          <w:b/>
          <w:vertAlign w:val="superscript"/>
        </w:rPr>
        <w:t>ST</w:t>
      </w:r>
      <w:r>
        <w:rPr>
          <w:rFonts w:ascii="Arial" w:hAnsi="Arial"/>
          <w:b/>
        </w:rPr>
        <w:t xml:space="preserve"> RESPONDENT</w:t>
      </w:r>
    </w:p>
    <w:p w14:paraId="2D2E001A" w14:textId="77777777" w:rsidR="00F0010C" w:rsidRDefault="00F0010C" w:rsidP="00F0010C">
      <w:pPr>
        <w:tabs>
          <w:tab w:val="right" w:pos="8222"/>
        </w:tabs>
        <w:spacing w:line="360" w:lineRule="auto"/>
        <w:rPr>
          <w:rFonts w:ascii="Arial" w:hAnsi="Arial"/>
          <w:b/>
        </w:rPr>
      </w:pPr>
      <w:r>
        <w:rPr>
          <w:rFonts w:ascii="Arial" w:hAnsi="Arial"/>
          <w:b/>
        </w:rPr>
        <w:t xml:space="preserve">OWEN LOTTERING </w:t>
      </w:r>
    </w:p>
    <w:p w14:paraId="16FB56F9" w14:textId="58C6A8A8" w:rsidR="00F0010C" w:rsidRDefault="00F0010C" w:rsidP="00F0010C">
      <w:pPr>
        <w:tabs>
          <w:tab w:val="right" w:pos="8222"/>
        </w:tabs>
        <w:spacing w:line="360" w:lineRule="auto"/>
        <w:rPr>
          <w:rFonts w:ascii="Arial" w:hAnsi="Arial"/>
          <w:b/>
        </w:rPr>
      </w:pPr>
      <w:r>
        <w:rPr>
          <w:rFonts w:ascii="Arial" w:hAnsi="Arial"/>
          <w:b/>
        </w:rPr>
        <w:t>(CAPACITY AS TAXING OFFICER)</w:t>
      </w:r>
      <w:r>
        <w:rPr>
          <w:rFonts w:ascii="Arial" w:hAnsi="Arial"/>
          <w:b/>
        </w:rPr>
        <w:tab/>
        <w:t>2</w:t>
      </w:r>
      <w:r w:rsidRPr="00F0010C">
        <w:rPr>
          <w:rFonts w:ascii="Arial" w:hAnsi="Arial"/>
          <w:b/>
          <w:vertAlign w:val="superscript"/>
        </w:rPr>
        <w:t>ND</w:t>
      </w:r>
      <w:r>
        <w:rPr>
          <w:rFonts w:ascii="Arial" w:hAnsi="Arial"/>
          <w:b/>
        </w:rPr>
        <w:t xml:space="preserve"> RESPONDENT</w:t>
      </w:r>
    </w:p>
    <w:p w14:paraId="6A075174" w14:textId="4047669E" w:rsidR="00767F8A" w:rsidRDefault="00F0010C" w:rsidP="00F0010C">
      <w:pPr>
        <w:tabs>
          <w:tab w:val="right" w:pos="8222"/>
        </w:tabs>
        <w:spacing w:line="360" w:lineRule="auto"/>
        <w:rPr>
          <w:rFonts w:ascii="Arial" w:hAnsi="Arial"/>
          <w:b/>
        </w:rPr>
      </w:pPr>
      <w:r>
        <w:rPr>
          <w:rFonts w:ascii="Arial" w:hAnsi="Arial"/>
          <w:b/>
        </w:rPr>
        <w:t>MERIAM CHUKWUNWEOLU (TAXING OFFICER)</w:t>
      </w:r>
      <w:r>
        <w:rPr>
          <w:rFonts w:ascii="Arial" w:hAnsi="Arial"/>
          <w:b/>
        </w:rPr>
        <w:tab/>
        <w:t>3</w:t>
      </w:r>
      <w:r w:rsidRPr="00F0010C">
        <w:rPr>
          <w:rFonts w:ascii="Arial" w:hAnsi="Arial"/>
          <w:b/>
          <w:vertAlign w:val="superscript"/>
        </w:rPr>
        <w:t>RD</w:t>
      </w:r>
      <w:r>
        <w:rPr>
          <w:rFonts w:ascii="Arial" w:hAnsi="Arial"/>
          <w:b/>
        </w:rPr>
        <w:t xml:space="preserve"> RESPONDENT</w:t>
      </w:r>
    </w:p>
    <w:p w14:paraId="2D1957BB" w14:textId="717F0AEC" w:rsidR="00F0010C" w:rsidRDefault="00F0010C" w:rsidP="00F0010C">
      <w:pPr>
        <w:tabs>
          <w:tab w:val="right" w:pos="8222"/>
        </w:tabs>
        <w:spacing w:line="360" w:lineRule="auto"/>
        <w:rPr>
          <w:rFonts w:ascii="Arial" w:hAnsi="Arial"/>
          <w:b/>
        </w:rPr>
      </w:pPr>
      <w:r>
        <w:rPr>
          <w:rFonts w:ascii="Arial" w:hAnsi="Arial"/>
          <w:b/>
        </w:rPr>
        <w:t>THE REGISTRAR OF THE HIGH COURT</w:t>
      </w:r>
      <w:r>
        <w:rPr>
          <w:rFonts w:ascii="Arial" w:hAnsi="Arial"/>
          <w:b/>
        </w:rPr>
        <w:tab/>
        <w:t>4</w:t>
      </w:r>
      <w:r w:rsidRPr="00F0010C">
        <w:rPr>
          <w:rFonts w:ascii="Arial" w:hAnsi="Arial"/>
          <w:b/>
          <w:vertAlign w:val="superscript"/>
        </w:rPr>
        <w:t>TH</w:t>
      </w:r>
      <w:r>
        <w:rPr>
          <w:rFonts w:ascii="Arial" w:hAnsi="Arial"/>
          <w:b/>
        </w:rPr>
        <w:t xml:space="preserve"> RESPONDENT</w:t>
      </w:r>
    </w:p>
    <w:p w14:paraId="02D1B8A1" w14:textId="77777777" w:rsidR="00F0010C" w:rsidRDefault="00F0010C" w:rsidP="00F0010C">
      <w:pPr>
        <w:tabs>
          <w:tab w:val="right" w:pos="8222"/>
        </w:tabs>
        <w:spacing w:line="360" w:lineRule="auto"/>
        <w:rPr>
          <w:rFonts w:ascii="Arial" w:hAnsi="Arial"/>
          <w:b/>
        </w:rPr>
      </w:pPr>
      <w:r>
        <w:rPr>
          <w:rFonts w:ascii="Arial" w:hAnsi="Arial"/>
          <w:b/>
        </w:rPr>
        <w:t xml:space="preserve">THE DEPUTY SHERIFF FOR THE DISTRICT OF </w:t>
      </w:r>
    </w:p>
    <w:p w14:paraId="2B54DBBF" w14:textId="55AB2281" w:rsidR="00F0010C" w:rsidRDefault="00F0010C" w:rsidP="00F0010C">
      <w:pPr>
        <w:tabs>
          <w:tab w:val="right" w:pos="8222"/>
        </w:tabs>
        <w:spacing w:line="360" w:lineRule="auto"/>
        <w:rPr>
          <w:rFonts w:ascii="Arial" w:hAnsi="Arial"/>
          <w:b/>
        </w:rPr>
      </w:pPr>
      <w:r>
        <w:rPr>
          <w:rFonts w:ascii="Arial" w:hAnsi="Arial"/>
          <w:b/>
        </w:rPr>
        <w:t>WINDHOEK</w:t>
      </w:r>
      <w:r>
        <w:rPr>
          <w:rFonts w:ascii="Arial" w:hAnsi="Arial"/>
          <w:b/>
        </w:rPr>
        <w:tab/>
        <w:t>5</w:t>
      </w:r>
      <w:r w:rsidRPr="00F0010C">
        <w:rPr>
          <w:rFonts w:ascii="Arial" w:hAnsi="Arial"/>
          <w:b/>
          <w:vertAlign w:val="superscript"/>
        </w:rPr>
        <w:t>TH</w:t>
      </w:r>
      <w:r>
        <w:rPr>
          <w:rFonts w:ascii="Arial" w:hAnsi="Arial"/>
          <w:b/>
        </w:rPr>
        <w:t xml:space="preserve"> RESPONDENT</w:t>
      </w:r>
    </w:p>
    <w:p w14:paraId="0816AFE0" w14:textId="77777777" w:rsidR="00767F8A" w:rsidRDefault="00767F8A" w:rsidP="00F0010C">
      <w:pPr>
        <w:spacing w:line="360" w:lineRule="auto"/>
        <w:rPr>
          <w:rFonts w:ascii="Arial" w:hAnsi="Arial"/>
          <w:b/>
        </w:rPr>
      </w:pPr>
    </w:p>
    <w:p w14:paraId="6965DF0B" w14:textId="638C7D7B" w:rsidR="00767F8A" w:rsidRDefault="00767F8A" w:rsidP="00F0010C">
      <w:pPr>
        <w:spacing w:line="360" w:lineRule="auto"/>
        <w:rPr>
          <w:rFonts w:ascii="Arial" w:hAnsi="Arial"/>
        </w:rPr>
      </w:pPr>
      <w:r>
        <w:rPr>
          <w:rFonts w:ascii="Arial" w:hAnsi="Arial"/>
          <w:b/>
        </w:rPr>
        <w:t xml:space="preserve">Neutral Citation: </w:t>
      </w:r>
      <w:r>
        <w:rPr>
          <w:rFonts w:ascii="Arial" w:hAnsi="Arial"/>
          <w:i/>
        </w:rPr>
        <w:t xml:space="preserve">Standard Bank Namibia Limited v </w:t>
      </w:r>
      <w:proofErr w:type="spellStart"/>
      <w:r>
        <w:rPr>
          <w:rFonts w:ascii="Arial" w:hAnsi="Arial"/>
          <w:i/>
        </w:rPr>
        <w:t>Nekwaya</w:t>
      </w:r>
      <w:proofErr w:type="spellEnd"/>
      <w:r>
        <w:rPr>
          <w:rFonts w:ascii="Arial" w:hAnsi="Arial"/>
          <w:i/>
        </w:rPr>
        <w:t xml:space="preserve"> </w:t>
      </w:r>
      <w:r>
        <w:rPr>
          <w:rFonts w:ascii="Arial" w:hAnsi="Arial"/>
        </w:rPr>
        <w:t>(HC-MD-CIV-MOT-GEN-2020/00089</w:t>
      </w:r>
      <w:r w:rsidR="00AD6128">
        <w:rPr>
          <w:rFonts w:ascii="Arial" w:hAnsi="Arial"/>
        </w:rPr>
        <w:t>)</w:t>
      </w:r>
      <w:r>
        <w:rPr>
          <w:rFonts w:ascii="Arial" w:hAnsi="Arial"/>
        </w:rPr>
        <w:t xml:space="preserve"> [2020] NAHCMD </w:t>
      </w:r>
      <w:r w:rsidR="00381CB9">
        <w:rPr>
          <w:rFonts w:ascii="Arial" w:hAnsi="Arial"/>
        </w:rPr>
        <w:t>122</w:t>
      </w:r>
      <w:r>
        <w:rPr>
          <w:rFonts w:ascii="Arial" w:hAnsi="Arial"/>
        </w:rPr>
        <w:t xml:space="preserve"> (26 March 2020).</w:t>
      </w:r>
    </w:p>
    <w:p w14:paraId="69CDC0B8" w14:textId="77777777" w:rsidR="00767F8A" w:rsidRDefault="00767F8A" w:rsidP="00F0010C">
      <w:pPr>
        <w:spacing w:line="360" w:lineRule="auto"/>
        <w:rPr>
          <w:rFonts w:ascii="Arial" w:hAnsi="Arial"/>
        </w:rPr>
      </w:pPr>
    </w:p>
    <w:p w14:paraId="068C20C9" w14:textId="43A31C96" w:rsidR="00767F8A" w:rsidRDefault="00767F8A" w:rsidP="00F0010C">
      <w:pPr>
        <w:spacing w:line="360" w:lineRule="auto"/>
        <w:rPr>
          <w:rFonts w:ascii="Arial" w:hAnsi="Arial"/>
          <w:b/>
        </w:rPr>
      </w:pPr>
      <w:r>
        <w:rPr>
          <w:rFonts w:ascii="Arial" w:hAnsi="Arial"/>
          <w:b/>
        </w:rPr>
        <w:t>CORAM:</w:t>
      </w:r>
      <w:r>
        <w:rPr>
          <w:rFonts w:ascii="Arial" w:hAnsi="Arial"/>
          <w:b/>
        </w:rPr>
        <w:tab/>
        <w:t>MASUKU J:</w:t>
      </w:r>
    </w:p>
    <w:p w14:paraId="7A7D27F7" w14:textId="159CC466" w:rsidR="00767F8A" w:rsidRPr="00767F8A" w:rsidRDefault="00767F8A" w:rsidP="00F0010C">
      <w:pPr>
        <w:spacing w:line="360" w:lineRule="auto"/>
        <w:rPr>
          <w:rFonts w:ascii="Arial" w:hAnsi="Arial"/>
        </w:rPr>
      </w:pPr>
      <w:r>
        <w:rPr>
          <w:rFonts w:ascii="Arial" w:hAnsi="Arial"/>
          <w:b/>
        </w:rPr>
        <w:t>Heard:</w:t>
      </w:r>
      <w:r>
        <w:rPr>
          <w:rFonts w:ascii="Arial" w:hAnsi="Arial"/>
          <w:b/>
        </w:rPr>
        <w:tab/>
      </w:r>
      <w:r>
        <w:rPr>
          <w:rFonts w:ascii="Arial" w:hAnsi="Arial"/>
        </w:rPr>
        <w:t>20 March 2020</w:t>
      </w:r>
    </w:p>
    <w:p w14:paraId="033BF35A" w14:textId="6A6B2896" w:rsidR="00767F8A" w:rsidRPr="00767F8A" w:rsidRDefault="00767F8A" w:rsidP="00F0010C">
      <w:pPr>
        <w:spacing w:line="360" w:lineRule="auto"/>
        <w:rPr>
          <w:rFonts w:ascii="Arial" w:hAnsi="Arial"/>
        </w:rPr>
      </w:pPr>
      <w:r>
        <w:rPr>
          <w:rFonts w:ascii="Arial" w:hAnsi="Arial"/>
          <w:b/>
        </w:rPr>
        <w:t>Delivered:</w:t>
      </w:r>
      <w:r>
        <w:rPr>
          <w:rFonts w:ascii="Arial" w:hAnsi="Arial"/>
          <w:b/>
        </w:rPr>
        <w:tab/>
      </w:r>
      <w:r>
        <w:rPr>
          <w:rFonts w:ascii="Arial" w:hAnsi="Arial"/>
        </w:rPr>
        <w:t>26 March 2020</w:t>
      </w:r>
    </w:p>
    <w:p w14:paraId="65EFDE20" w14:textId="77777777" w:rsidR="008C1D85" w:rsidRDefault="008C1D85" w:rsidP="00F0010C">
      <w:pPr>
        <w:spacing w:line="360" w:lineRule="auto"/>
        <w:jc w:val="center"/>
        <w:rPr>
          <w:rFonts w:ascii="Arial" w:hAnsi="Arial"/>
        </w:rPr>
      </w:pPr>
    </w:p>
    <w:p w14:paraId="2C00E82C" w14:textId="77777777" w:rsidR="00767F8A" w:rsidRDefault="00767F8A" w:rsidP="00F0010C">
      <w:pPr>
        <w:spacing w:line="360" w:lineRule="auto"/>
        <w:jc w:val="center"/>
        <w:rPr>
          <w:rFonts w:ascii="Arial" w:hAnsi="Arial"/>
        </w:rPr>
      </w:pPr>
    </w:p>
    <w:p w14:paraId="39D7A61E" w14:textId="21A08AA5" w:rsidR="00767F8A" w:rsidRDefault="00767F8A" w:rsidP="00F0010C">
      <w:pPr>
        <w:spacing w:line="360" w:lineRule="auto"/>
        <w:jc w:val="both"/>
        <w:rPr>
          <w:rFonts w:ascii="Arial" w:hAnsi="Arial"/>
        </w:rPr>
      </w:pPr>
      <w:proofErr w:type="spellStart"/>
      <w:r>
        <w:rPr>
          <w:rFonts w:ascii="Arial" w:hAnsi="Arial"/>
          <w:b/>
        </w:rPr>
        <w:t>Flynote</w:t>
      </w:r>
      <w:proofErr w:type="spellEnd"/>
      <w:r>
        <w:rPr>
          <w:rFonts w:ascii="Arial" w:hAnsi="Arial"/>
          <w:b/>
        </w:rPr>
        <w:t>:</w:t>
      </w:r>
      <w:r>
        <w:rPr>
          <w:rFonts w:ascii="Arial" w:hAnsi="Arial"/>
          <w:b/>
        </w:rPr>
        <w:tab/>
      </w:r>
      <w:r>
        <w:rPr>
          <w:rFonts w:ascii="Arial" w:hAnsi="Arial"/>
        </w:rPr>
        <w:t>Civil Practice – urgent application – Rule 73 – application for stay of warrant of execution by Deputy Sheriff – authority to institute proceedings raised in terms of Rule 66 (1) (</w:t>
      </w:r>
      <w:r>
        <w:rPr>
          <w:rFonts w:ascii="Arial" w:hAnsi="Arial"/>
          <w:i/>
        </w:rPr>
        <w:t>c</w:t>
      </w:r>
      <w:r>
        <w:rPr>
          <w:rFonts w:ascii="Arial" w:hAnsi="Arial"/>
        </w:rPr>
        <w:t xml:space="preserve">) – deponent to applicant’s founding affidavit omitted to state that she had been authorised to lodge the proceedings – effect of failure to state that one is authorised to bring proceedings on behalf of a legal </w:t>
      </w:r>
      <w:r>
        <w:rPr>
          <w:rFonts w:ascii="Arial" w:hAnsi="Arial"/>
          <w:i/>
        </w:rPr>
        <w:t>persona</w:t>
      </w:r>
      <w:r>
        <w:rPr>
          <w:rFonts w:ascii="Arial" w:hAnsi="Arial"/>
        </w:rPr>
        <w:t>.</w:t>
      </w:r>
    </w:p>
    <w:p w14:paraId="7625C26B" w14:textId="77777777" w:rsidR="00767F8A" w:rsidRDefault="00767F8A" w:rsidP="00F0010C">
      <w:pPr>
        <w:spacing w:line="360" w:lineRule="auto"/>
        <w:jc w:val="both"/>
        <w:rPr>
          <w:rFonts w:ascii="Arial" w:hAnsi="Arial"/>
        </w:rPr>
      </w:pPr>
    </w:p>
    <w:p w14:paraId="26F39484" w14:textId="66001437" w:rsidR="00767F8A" w:rsidRDefault="00767F8A" w:rsidP="00F0010C">
      <w:pPr>
        <w:spacing w:line="360" w:lineRule="auto"/>
        <w:jc w:val="both"/>
        <w:rPr>
          <w:rFonts w:ascii="Arial" w:hAnsi="Arial"/>
        </w:rPr>
      </w:pPr>
      <w:r>
        <w:rPr>
          <w:rFonts w:ascii="Arial" w:hAnsi="Arial"/>
          <w:b/>
        </w:rPr>
        <w:t>Summary:</w:t>
      </w:r>
      <w:r>
        <w:rPr>
          <w:rFonts w:ascii="Arial" w:hAnsi="Arial"/>
          <w:b/>
        </w:rPr>
        <w:tab/>
      </w:r>
      <w:r>
        <w:rPr>
          <w:rFonts w:ascii="Arial" w:hAnsi="Arial"/>
        </w:rPr>
        <w:t>The applicant launched an app</w:t>
      </w:r>
      <w:r w:rsidR="00A736F0">
        <w:rPr>
          <w:rFonts w:ascii="Arial" w:hAnsi="Arial"/>
        </w:rPr>
        <w:t>lication on urgency, seeking to</w:t>
      </w:r>
      <w:r>
        <w:rPr>
          <w:rFonts w:ascii="Arial" w:hAnsi="Arial"/>
        </w:rPr>
        <w:t xml:space="preserve"> stay the execution of a warrant of execution by the Deputy Sheriff. The application was based on an affidavit by one of the applicant’s employees who did not state anywhere in the affidavit that she had been properly authorised to bring the proceedings on behalf of the applicant. Once the 1</w:t>
      </w:r>
      <w:r w:rsidRPr="00767F8A">
        <w:rPr>
          <w:rFonts w:ascii="Arial" w:hAnsi="Arial"/>
          <w:vertAlign w:val="superscript"/>
        </w:rPr>
        <w:t>st</w:t>
      </w:r>
      <w:r>
        <w:rPr>
          <w:rFonts w:ascii="Arial" w:hAnsi="Arial"/>
        </w:rPr>
        <w:t xml:space="preserve"> respondent raised that issue in his rule 66 notice, the applicant filed a supplementary affidavit dealing with this issue amongst other things.</w:t>
      </w:r>
    </w:p>
    <w:p w14:paraId="6C1D4ED8" w14:textId="77777777" w:rsidR="00767F8A" w:rsidRDefault="00767F8A" w:rsidP="00F0010C">
      <w:pPr>
        <w:spacing w:line="360" w:lineRule="auto"/>
        <w:jc w:val="both"/>
        <w:rPr>
          <w:rFonts w:ascii="Arial" w:hAnsi="Arial"/>
        </w:rPr>
      </w:pPr>
    </w:p>
    <w:p w14:paraId="6A0F0B9E" w14:textId="235A6BB3" w:rsidR="00767F8A" w:rsidRDefault="00767F8A" w:rsidP="00F0010C">
      <w:pPr>
        <w:spacing w:line="360" w:lineRule="auto"/>
        <w:jc w:val="both"/>
        <w:rPr>
          <w:rFonts w:ascii="Arial" w:hAnsi="Arial"/>
        </w:rPr>
      </w:pPr>
      <w:r>
        <w:rPr>
          <w:rFonts w:ascii="Arial" w:hAnsi="Arial"/>
        </w:rPr>
        <w:t>Held:</w:t>
      </w:r>
      <w:r>
        <w:rPr>
          <w:rFonts w:ascii="Arial" w:hAnsi="Arial"/>
        </w:rPr>
        <w:tab/>
        <w:t>an applicant who brings proceedings on behalf of a juristic person should, in the founding affidavit, state that he or she is duly authorised to bring the proceedings on that legal persona’s behalf, failing which the court will conclude that the proceedings are not authorised and that the deponent is acting on his or her own frolic.</w:t>
      </w:r>
    </w:p>
    <w:p w14:paraId="1FE9F478" w14:textId="77777777" w:rsidR="00767F8A" w:rsidRDefault="00767F8A" w:rsidP="00F0010C">
      <w:pPr>
        <w:spacing w:line="360" w:lineRule="auto"/>
        <w:jc w:val="both"/>
        <w:rPr>
          <w:rFonts w:ascii="Arial" w:hAnsi="Arial"/>
        </w:rPr>
      </w:pPr>
    </w:p>
    <w:p w14:paraId="52652B76" w14:textId="0E578AE6" w:rsidR="00767F8A" w:rsidRDefault="00767F8A" w:rsidP="00F0010C">
      <w:pPr>
        <w:spacing w:line="360" w:lineRule="auto"/>
        <w:jc w:val="both"/>
        <w:rPr>
          <w:rFonts w:ascii="Arial" w:hAnsi="Arial"/>
        </w:rPr>
      </w:pPr>
      <w:r>
        <w:rPr>
          <w:rFonts w:ascii="Arial" w:hAnsi="Arial"/>
        </w:rPr>
        <w:t>Held that:</w:t>
      </w:r>
      <w:r>
        <w:rPr>
          <w:rFonts w:ascii="Arial" w:hAnsi="Arial"/>
        </w:rPr>
        <w:tab/>
        <w:t>an applicant is under an obligation to make his or her own case on the founding affidavit and that it is generally impermissible that a party seeks to make out a case in reply. Such allegation</w:t>
      </w:r>
      <w:r w:rsidR="008617E2">
        <w:rPr>
          <w:rFonts w:ascii="Arial" w:hAnsi="Arial"/>
        </w:rPr>
        <w:t>s</w:t>
      </w:r>
      <w:r>
        <w:rPr>
          <w:rFonts w:ascii="Arial" w:hAnsi="Arial"/>
        </w:rPr>
        <w:t>, if made in reply, are liable to be struck out.</w:t>
      </w:r>
    </w:p>
    <w:p w14:paraId="7699E588" w14:textId="77777777" w:rsidR="00767F8A" w:rsidRDefault="00767F8A" w:rsidP="00F0010C">
      <w:pPr>
        <w:spacing w:line="360" w:lineRule="auto"/>
        <w:jc w:val="both"/>
        <w:rPr>
          <w:rFonts w:ascii="Arial" w:hAnsi="Arial"/>
        </w:rPr>
      </w:pPr>
    </w:p>
    <w:p w14:paraId="59177349" w14:textId="58DA3485" w:rsidR="00767F8A" w:rsidRDefault="00767F8A" w:rsidP="00F0010C">
      <w:pPr>
        <w:spacing w:line="360" w:lineRule="auto"/>
        <w:jc w:val="both"/>
        <w:rPr>
          <w:rFonts w:ascii="Arial" w:hAnsi="Arial"/>
        </w:rPr>
      </w:pPr>
      <w:r>
        <w:rPr>
          <w:rFonts w:ascii="Arial" w:hAnsi="Arial"/>
        </w:rPr>
        <w:t>Held further that:</w:t>
      </w:r>
      <w:r>
        <w:rPr>
          <w:rFonts w:ascii="Arial" w:hAnsi="Arial"/>
        </w:rPr>
        <w:tab/>
        <w:t xml:space="preserve">there are three sets of affidavits that are permitted in application matters, namely, the founding, answering and replying affidavits. In this regard, a party may not, as a matter of right file a supplementary affidavit without seeking and obtaining leave of court, in exceptional circumstances. </w:t>
      </w:r>
    </w:p>
    <w:p w14:paraId="461DB9CB" w14:textId="77777777" w:rsidR="00767F8A" w:rsidRDefault="00767F8A" w:rsidP="00F0010C">
      <w:pPr>
        <w:spacing w:line="360" w:lineRule="auto"/>
        <w:jc w:val="both"/>
        <w:rPr>
          <w:rFonts w:ascii="Arial" w:hAnsi="Arial"/>
        </w:rPr>
      </w:pPr>
    </w:p>
    <w:p w14:paraId="7D6D8BAA" w14:textId="4FA8BDCE" w:rsidR="00767F8A" w:rsidRDefault="00767F8A" w:rsidP="00F0010C">
      <w:pPr>
        <w:spacing w:line="360" w:lineRule="auto"/>
        <w:jc w:val="both"/>
        <w:rPr>
          <w:rFonts w:ascii="Arial" w:hAnsi="Arial"/>
        </w:rPr>
      </w:pPr>
      <w:r>
        <w:rPr>
          <w:rFonts w:ascii="Arial" w:hAnsi="Arial"/>
        </w:rPr>
        <w:t>Held:</w:t>
      </w:r>
      <w:r>
        <w:rPr>
          <w:rFonts w:ascii="Arial" w:hAnsi="Arial"/>
        </w:rPr>
        <w:tab/>
        <w:t xml:space="preserve">that the supplementary affidavit filed by the applicant without having sought and obtained leave of court, attempting to deal with the omission </w:t>
      </w:r>
      <w:r>
        <w:rPr>
          <w:rFonts w:ascii="Arial" w:hAnsi="Arial"/>
        </w:rPr>
        <w:lastRenderedPageBreak/>
        <w:t>regarding the deponent’s authority to bring the proceedings, would not be considered.</w:t>
      </w:r>
    </w:p>
    <w:p w14:paraId="69385D23" w14:textId="77777777" w:rsidR="008617E2" w:rsidRDefault="008617E2" w:rsidP="00F0010C">
      <w:pPr>
        <w:spacing w:line="360" w:lineRule="auto"/>
        <w:jc w:val="both"/>
        <w:rPr>
          <w:rFonts w:ascii="Arial" w:hAnsi="Arial"/>
        </w:rPr>
      </w:pPr>
    </w:p>
    <w:p w14:paraId="3259F137" w14:textId="1039A40F" w:rsidR="008617E2" w:rsidRPr="00767F8A" w:rsidRDefault="008617E2" w:rsidP="00F0010C">
      <w:pPr>
        <w:spacing w:line="360" w:lineRule="auto"/>
        <w:jc w:val="both"/>
        <w:rPr>
          <w:rFonts w:ascii="Arial" w:hAnsi="Arial"/>
        </w:rPr>
      </w:pPr>
      <w:r>
        <w:rPr>
          <w:rFonts w:ascii="Arial" w:hAnsi="Arial"/>
        </w:rPr>
        <w:t>Considering that the on</w:t>
      </w:r>
      <w:bookmarkStart w:id="0" w:name="_GoBack"/>
      <w:bookmarkEnd w:id="0"/>
      <w:r>
        <w:rPr>
          <w:rFonts w:ascii="Arial" w:hAnsi="Arial"/>
        </w:rPr>
        <w:t>ly affidavit properly filed by the applicant did not make the necessary allegation regarding authority, the court concluded that the application was not properly authorised and the application was struck from the roll therefor, with costs.</w:t>
      </w:r>
    </w:p>
    <w:p w14:paraId="3E296743" w14:textId="77777777" w:rsidR="008C1D85" w:rsidRDefault="008C1D85" w:rsidP="00F0010C">
      <w:pPr>
        <w:spacing w:line="360" w:lineRule="auto"/>
        <w:jc w:val="center"/>
        <w:rPr>
          <w:rFonts w:ascii="Arial" w:hAnsi="Arial"/>
          <w:b/>
        </w:rPr>
      </w:pPr>
    </w:p>
    <w:p w14:paraId="556B55EC" w14:textId="77777777" w:rsidR="008C1D85" w:rsidRDefault="008C1D85" w:rsidP="00F0010C">
      <w:pPr>
        <w:pBdr>
          <w:bottom w:val="single" w:sz="6" w:space="1" w:color="auto"/>
        </w:pBdr>
        <w:spacing w:line="360" w:lineRule="auto"/>
        <w:jc w:val="center"/>
        <w:rPr>
          <w:rFonts w:ascii="Arial" w:hAnsi="Arial"/>
          <w:b/>
        </w:rPr>
      </w:pPr>
    </w:p>
    <w:p w14:paraId="11CC1DBF" w14:textId="77777777" w:rsidR="008C1D85" w:rsidRDefault="008C1D85" w:rsidP="00F0010C">
      <w:pPr>
        <w:rPr>
          <w:rFonts w:ascii="Arial" w:hAnsi="Arial"/>
          <w:b/>
        </w:rPr>
      </w:pPr>
    </w:p>
    <w:p w14:paraId="5E9DE826" w14:textId="206C8DA7" w:rsidR="008C1D85" w:rsidRDefault="006E787E" w:rsidP="00F0010C">
      <w:pPr>
        <w:jc w:val="center"/>
        <w:rPr>
          <w:rFonts w:ascii="Arial" w:hAnsi="Arial"/>
          <w:b/>
        </w:rPr>
      </w:pPr>
      <w:r>
        <w:rPr>
          <w:rFonts w:ascii="Arial" w:hAnsi="Arial"/>
          <w:b/>
        </w:rPr>
        <w:t>RULING</w:t>
      </w:r>
    </w:p>
    <w:p w14:paraId="6ADFE9BF" w14:textId="77777777" w:rsidR="008C1D85" w:rsidRDefault="008C1D85" w:rsidP="00F0010C">
      <w:pPr>
        <w:pBdr>
          <w:bottom w:val="single" w:sz="6" w:space="1" w:color="auto"/>
        </w:pBdr>
        <w:jc w:val="center"/>
        <w:rPr>
          <w:rFonts w:ascii="Arial" w:hAnsi="Arial"/>
          <w:b/>
        </w:rPr>
      </w:pPr>
    </w:p>
    <w:p w14:paraId="2B172C77" w14:textId="77777777" w:rsidR="008C1D85" w:rsidRDefault="008C1D85" w:rsidP="00F0010C">
      <w:pPr>
        <w:spacing w:line="360" w:lineRule="auto"/>
        <w:rPr>
          <w:rFonts w:ascii="Arial" w:hAnsi="Arial"/>
        </w:rPr>
      </w:pPr>
    </w:p>
    <w:p w14:paraId="3311903F" w14:textId="77777777" w:rsidR="008C1D85" w:rsidRDefault="008C1D85" w:rsidP="00F0010C">
      <w:pPr>
        <w:spacing w:line="360" w:lineRule="auto"/>
        <w:rPr>
          <w:rFonts w:ascii="Arial" w:hAnsi="Arial"/>
          <w:b/>
        </w:rPr>
      </w:pPr>
      <w:r w:rsidRPr="008C1D85">
        <w:rPr>
          <w:rFonts w:ascii="Arial" w:hAnsi="Arial"/>
          <w:b/>
        </w:rPr>
        <w:t>MASUKU J:</w:t>
      </w:r>
    </w:p>
    <w:p w14:paraId="43D79182" w14:textId="77777777" w:rsidR="008C1D85" w:rsidRDefault="008C1D85" w:rsidP="00F0010C">
      <w:pPr>
        <w:spacing w:line="360" w:lineRule="auto"/>
        <w:rPr>
          <w:rFonts w:ascii="Arial" w:hAnsi="Arial"/>
          <w:b/>
        </w:rPr>
      </w:pPr>
    </w:p>
    <w:p w14:paraId="3FF61326" w14:textId="77777777" w:rsidR="008C1D85" w:rsidRDefault="008C1D85" w:rsidP="00F0010C">
      <w:pPr>
        <w:spacing w:line="360" w:lineRule="auto"/>
        <w:jc w:val="both"/>
        <w:rPr>
          <w:rFonts w:ascii="Arial" w:hAnsi="Arial"/>
        </w:rPr>
      </w:pPr>
      <w:r>
        <w:rPr>
          <w:rFonts w:ascii="Arial" w:hAnsi="Arial"/>
        </w:rPr>
        <w:t>[1]</w:t>
      </w:r>
      <w:r>
        <w:rPr>
          <w:rFonts w:ascii="Arial" w:hAnsi="Arial"/>
        </w:rPr>
        <w:tab/>
        <w:t>Presently serving before court is an application brought on urgency</w:t>
      </w:r>
      <w:r w:rsidR="00D6785A">
        <w:rPr>
          <w:rFonts w:ascii="Arial" w:hAnsi="Arial"/>
        </w:rPr>
        <w:t xml:space="preserve"> and</w:t>
      </w:r>
      <w:r>
        <w:rPr>
          <w:rFonts w:ascii="Arial" w:hAnsi="Arial"/>
        </w:rPr>
        <w:t xml:space="preserve"> in which the applicant, Standard Bank Namibia Limited, seeks the following order:</w:t>
      </w:r>
    </w:p>
    <w:p w14:paraId="5E497A5C" w14:textId="77777777" w:rsidR="008C1D85" w:rsidRDefault="008C1D85" w:rsidP="00F0010C">
      <w:pPr>
        <w:spacing w:line="360" w:lineRule="auto"/>
        <w:jc w:val="both"/>
        <w:rPr>
          <w:rFonts w:ascii="Arial" w:hAnsi="Arial"/>
        </w:rPr>
      </w:pPr>
    </w:p>
    <w:p w14:paraId="43E8084B" w14:textId="77777777" w:rsidR="008C1D85" w:rsidRDefault="008C1D85" w:rsidP="00F0010C">
      <w:pPr>
        <w:spacing w:line="360" w:lineRule="auto"/>
        <w:jc w:val="both"/>
        <w:rPr>
          <w:rFonts w:ascii="Arial" w:hAnsi="Arial"/>
          <w:sz w:val="22"/>
          <w:szCs w:val="22"/>
        </w:rPr>
      </w:pPr>
      <w:r>
        <w:rPr>
          <w:rFonts w:ascii="Arial" w:hAnsi="Arial"/>
        </w:rPr>
        <w:tab/>
        <w:t>‘</w:t>
      </w:r>
      <w:r>
        <w:rPr>
          <w:rFonts w:ascii="Arial" w:hAnsi="Arial"/>
          <w:sz w:val="22"/>
          <w:szCs w:val="22"/>
        </w:rPr>
        <w:t>1. Condoning and dispensing with the non-compliance with the rules of the High Court of Namibia relating to forms and service as is envisaged in the rules of this Court and hearing the matter on an urgent basis as contemplated in rule 73(3) of the rules of this court.</w:t>
      </w:r>
    </w:p>
    <w:p w14:paraId="3792FC2A" w14:textId="77777777" w:rsidR="008C1D85" w:rsidRDefault="008C1D85" w:rsidP="00F0010C">
      <w:pPr>
        <w:spacing w:line="360" w:lineRule="auto"/>
        <w:jc w:val="both"/>
        <w:rPr>
          <w:rFonts w:ascii="Arial" w:hAnsi="Arial"/>
          <w:sz w:val="22"/>
          <w:szCs w:val="22"/>
        </w:rPr>
      </w:pPr>
    </w:p>
    <w:p w14:paraId="1CE0A5B6" w14:textId="77777777" w:rsidR="008C1D85" w:rsidRDefault="00E64230" w:rsidP="00F0010C">
      <w:pPr>
        <w:spacing w:line="360" w:lineRule="auto"/>
        <w:jc w:val="both"/>
        <w:rPr>
          <w:rFonts w:ascii="Arial" w:hAnsi="Arial"/>
          <w:b/>
          <w:sz w:val="22"/>
          <w:szCs w:val="22"/>
        </w:rPr>
      </w:pPr>
      <w:r>
        <w:rPr>
          <w:rFonts w:ascii="Arial" w:hAnsi="Arial"/>
          <w:sz w:val="22"/>
          <w:szCs w:val="22"/>
        </w:rPr>
        <w:t>2. Suspending, pending the outcome of the review application, the execution of the writ of execution obtained by the respondent as the execution debtor issued to him on 24 January 2020. I marked (</w:t>
      </w:r>
      <w:r w:rsidRPr="00E64230">
        <w:rPr>
          <w:rFonts w:ascii="Arial" w:hAnsi="Arial"/>
          <w:i/>
          <w:sz w:val="22"/>
          <w:szCs w:val="22"/>
        </w:rPr>
        <w:t>sic</w:t>
      </w:r>
      <w:r>
        <w:rPr>
          <w:rFonts w:ascii="Arial" w:hAnsi="Arial"/>
          <w:sz w:val="22"/>
          <w:szCs w:val="22"/>
        </w:rPr>
        <w:t xml:space="preserve">) </w:t>
      </w:r>
      <w:r>
        <w:rPr>
          <w:rFonts w:ascii="Arial" w:hAnsi="Arial"/>
          <w:b/>
          <w:sz w:val="22"/>
          <w:szCs w:val="22"/>
        </w:rPr>
        <w:t xml:space="preserve">ST1 </w:t>
      </w:r>
      <w:r>
        <w:rPr>
          <w:rFonts w:ascii="Arial" w:hAnsi="Arial"/>
          <w:sz w:val="22"/>
          <w:szCs w:val="22"/>
        </w:rPr>
        <w:t xml:space="preserve">issued under case number </w:t>
      </w:r>
      <w:r>
        <w:rPr>
          <w:rFonts w:ascii="Arial" w:hAnsi="Arial"/>
          <w:b/>
          <w:sz w:val="22"/>
          <w:szCs w:val="22"/>
        </w:rPr>
        <w:t>HC-MD-CIV-ACT-CON-2017/01164</w:t>
      </w:r>
    </w:p>
    <w:p w14:paraId="7141F169" w14:textId="77777777" w:rsidR="00E64230" w:rsidRDefault="00E64230" w:rsidP="00F0010C">
      <w:pPr>
        <w:spacing w:line="360" w:lineRule="auto"/>
        <w:jc w:val="both"/>
        <w:rPr>
          <w:rFonts w:ascii="Arial" w:hAnsi="Arial"/>
          <w:b/>
          <w:sz w:val="22"/>
          <w:szCs w:val="22"/>
        </w:rPr>
      </w:pPr>
    </w:p>
    <w:p w14:paraId="09D72F20" w14:textId="77777777" w:rsidR="00E64230" w:rsidRDefault="00E64230" w:rsidP="00F0010C">
      <w:pPr>
        <w:spacing w:line="360" w:lineRule="auto"/>
        <w:jc w:val="both"/>
        <w:rPr>
          <w:rFonts w:ascii="Arial" w:hAnsi="Arial"/>
          <w:sz w:val="22"/>
          <w:szCs w:val="22"/>
        </w:rPr>
      </w:pPr>
      <w:r>
        <w:rPr>
          <w:rFonts w:ascii="Arial" w:hAnsi="Arial"/>
          <w:sz w:val="22"/>
          <w:szCs w:val="22"/>
        </w:rPr>
        <w:t>3. Alternatively, setting aside the warrant of execution issued by the 5</w:t>
      </w:r>
      <w:r w:rsidRPr="00E64230">
        <w:rPr>
          <w:rFonts w:ascii="Arial" w:hAnsi="Arial"/>
          <w:sz w:val="22"/>
          <w:szCs w:val="22"/>
          <w:vertAlign w:val="superscript"/>
        </w:rPr>
        <w:t>th</w:t>
      </w:r>
      <w:r>
        <w:rPr>
          <w:rFonts w:ascii="Arial" w:hAnsi="Arial"/>
          <w:sz w:val="22"/>
          <w:szCs w:val="22"/>
        </w:rPr>
        <w:t xml:space="preserve"> respondent on 24 January 2020 in favour of the first respondent against the applicant, marked </w:t>
      </w:r>
      <w:r>
        <w:rPr>
          <w:rFonts w:ascii="Arial" w:hAnsi="Arial"/>
          <w:b/>
          <w:sz w:val="22"/>
          <w:szCs w:val="22"/>
        </w:rPr>
        <w:t xml:space="preserve">ST1 </w:t>
      </w:r>
      <w:r>
        <w:rPr>
          <w:rFonts w:ascii="Arial" w:hAnsi="Arial"/>
          <w:sz w:val="22"/>
          <w:szCs w:val="22"/>
        </w:rPr>
        <w:t>to the founding affidavit.</w:t>
      </w:r>
    </w:p>
    <w:p w14:paraId="1F379A58" w14:textId="77777777" w:rsidR="00E64230" w:rsidRDefault="00E64230" w:rsidP="00F0010C">
      <w:pPr>
        <w:spacing w:line="360" w:lineRule="auto"/>
        <w:jc w:val="both"/>
        <w:rPr>
          <w:rFonts w:ascii="Arial" w:hAnsi="Arial"/>
          <w:sz w:val="22"/>
          <w:szCs w:val="22"/>
        </w:rPr>
      </w:pPr>
    </w:p>
    <w:p w14:paraId="3328F2E4" w14:textId="77777777" w:rsidR="00E64230" w:rsidRDefault="00E64230" w:rsidP="00F0010C">
      <w:pPr>
        <w:spacing w:line="360" w:lineRule="auto"/>
        <w:jc w:val="both"/>
        <w:rPr>
          <w:rFonts w:ascii="Arial" w:hAnsi="Arial"/>
          <w:sz w:val="22"/>
          <w:szCs w:val="22"/>
        </w:rPr>
      </w:pPr>
      <w:r>
        <w:rPr>
          <w:rFonts w:ascii="Arial" w:hAnsi="Arial"/>
          <w:sz w:val="22"/>
          <w:szCs w:val="22"/>
        </w:rPr>
        <w:t>4. Further and alternative relief.’</w:t>
      </w:r>
    </w:p>
    <w:p w14:paraId="44FAF543" w14:textId="77777777" w:rsidR="00E64230" w:rsidRDefault="00E64230" w:rsidP="00F0010C">
      <w:pPr>
        <w:spacing w:line="360" w:lineRule="auto"/>
        <w:jc w:val="both"/>
        <w:rPr>
          <w:rFonts w:ascii="Arial" w:hAnsi="Arial"/>
          <w:sz w:val="22"/>
          <w:szCs w:val="22"/>
        </w:rPr>
      </w:pPr>
    </w:p>
    <w:p w14:paraId="6A9FDC69" w14:textId="2C14749F" w:rsidR="00E64230" w:rsidRDefault="00E64230" w:rsidP="00F0010C">
      <w:pPr>
        <w:spacing w:line="360" w:lineRule="auto"/>
        <w:jc w:val="both"/>
        <w:rPr>
          <w:rFonts w:ascii="Arial" w:hAnsi="Arial"/>
        </w:rPr>
      </w:pPr>
      <w:r>
        <w:rPr>
          <w:rFonts w:ascii="Arial" w:hAnsi="Arial"/>
        </w:rPr>
        <w:lastRenderedPageBreak/>
        <w:t>[2]</w:t>
      </w:r>
      <w:r>
        <w:rPr>
          <w:rFonts w:ascii="Arial" w:hAnsi="Arial"/>
        </w:rPr>
        <w:tab/>
        <w:t>It would ap</w:t>
      </w:r>
      <w:r w:rsidR="00D6785A">
        <w:rPr>
          <w:rFonts w:ascii="Arial" w:hAnsi="Arial"/>
        </w:rPr>
        <w:t>pear that there was an action</w:t>
      </w:r>
      <w:r w:rsidR="00DE696B">
        <w:rPr>
          <w:rFonts w:ascii="Arial" w:hAnsi="Arial"/>
        </w:rPr>
        <w:t>,</w:t>
      </w:r>
      <w:r>
        <w:rPr>
          <w:rFonts w:ascii="Arial" w:hAnsi="Arial"/>
        </w:rPr>
        <w:t xml:space="preserve"> which the applicant instituted against Mr. Silas </w:t>
      </w:r>
      <w:proofErr w:type="spellStart"/>
      <w:r>
        <w:rPr>
          <w:rFonts w:ascii="Arial" w:hAnsi="Arial"/>
        </w:rPr>
        <w:t>Hafeni</w:t>
      </w:r>
      <w:proofErr w:type="spellEnd"/>
      <w:r>
        <w:rPr>
          <w:rFonts w:ascii="Arial" w:hAnsi="Arial"/>
        </w:rPr>
        <w:t xml:space="preserve"> </w:t>
      </w:r>
      <w:proofErr w:type="spellStart"/>
      <w:r>
        <w:rPr>
          <w:rFonts w:ascii="Arial" w:hAnsi="Arial"/>
        </w:rPr>
        <w:t>Nekwaya</w:t>
      </w:r>
      <w:proofErr w:type="spellEnd"/>
      <w:r>
        <w:rPr>
          <w:rFonts w:ascii="Arial" w:hAnsi="Arial"/>
        </w:rPr>
        <w:t>, the 1</w:t>
      </w:r>
      <w:r w:rsidRPr="00E64230">
        <w:rPr>
          <w:rFonts w:ascii="Arial" w:hAnsi="Arial"/>
          <w:vertAlign w:val="superscript"/>
        </w:rPr>
        <w:t>st</w:t>
      </w:r>
      <w:r>
        <w:rPr>
          <w:rFonts w:ascii="Arial" w:hAnsi="Arial"/>
        </w:rPr>
        <w:t xml:space="preserve"> respondent. This action commenced in earnest and ended badly for the applicant when an application for absolution from the instance was granted with costs in the 1</w:t>
      </w:r>
      <w:r w:rsidRPr="00E64230">
        <w:rPr>
          <w:rFonts w:ascii="Arial" w:hAnsi="Arial"/>
          <w:vertAlign w:val="superscript"/>
        </w:rPr>
        <w:t>st</w:t>
      </w:r>
      <w:r>
        <w:rPr>
          <w:rFonts w:ascii="Arial" w:hAnsi="Arial"/>
        </w:rPr>
        <w:t xml:space="preserve"> respondent’s favour by the trial judge.</w:t>
      </w:r>
      <w:r w:rsidR="00EC4C9A">
        <w:rPr>
          <w:rFonts w:ascii="Arial" w:hAnsi="Arial"/>
        </w:rPr>
        <w:t xml:space="preserve"> T</w:t>
      </w:r>
      <w:r w:rsidR="00D6785A">
        <w:rPr>
          <w:rFonts w:ascii="Arial" w:hAnsi="Arial"/>
        </w:rPr>
        <w:t>he 1</w:t>
      </w:r>
      <w:r w:rsidR="00D6785A" w:rsidRPr="00D6785A">
        <w:rPr>
          <w:rFonts w:ascii="Arial" w:hAnsi="Arial"/>
          <w:vertAlign w:val="superscript"/>
        </w:rPr>
        <w:t>st</w:t>
      </w:r>
      <w:r w:rsidR="00D6785A">
        <w:rPr>
          <w:rFonts w:ascii="Arial" w:hAnsi="Arial"/>
        </w:rPr>
        <w:t xml:space="preserve"> respondent</w:t>
      </w:r>
      <w:r w:rsidR="00EC4C9A">
        <w:rPr>
          <w:rFonts w:ascii="Arial" w:hAnsi="Arial"/>
        </w:rPr>
        <w:t xml:space="preserve"> will be referred to as</w:t>
      </w:r>
      <w:r w:rsidR="00D6785A">
        <w:rPr>
          <w:rFonts w:ascii="Arial" w:hAnsi="Arial"/>
        </w:rPr>
        <w:t xml:space="preserve"> the respondent</w:t>
      </w:r>
      <w:r w:rsidR="00EC4C9A">
        <w:rPr>
          <w:rFonts w:ascii="Arial" w:hAnsi="Arial"/>
        </w:rPr>
        <w:t xml:space="preserve"> in this judgment</w:t>
      </w:r>
      <w:r w:rsidR="00D6785A">
        <w:rPr>
          <w:rFonts w:ascii="Arial" w:hAnsi="Arial"/>
        </w:rPr>
        <w:t>, acknowledging that he effectively, is the only respondent opposing the matter.</w:t>
      </w:r>
    </w:p>
    <w:p w14:paraId="11D79684" w14:textId="77777777" w:rsidR="00D6785A" w:rsidRDefault="00D6785A" w:rsidP="00F0010C">
      <w:pPr>
        <w:spacing w:line="360" w:lineRule="auto"/>
        <w:jc w:val="both"/>
        <w:rPr>
          <w:rFonts w:ascii="Arial" w:hAnsi="Arial"/>
        </w:rPr>
      </w:pPr>
    </w:p>
    <w:p w14:paraId="16B60EC9" w14:textId="0B15A1A5" w:rsidR="00E64230" w:rsidRDefault="00D6785A" w:rsidP="00F0010C">
      <w:pPr>
        <w:spacing w:line="360" w:lineRule="auto"/>
        <w:jc w:val="both"/>
        <w:rPr>
          <w:rFonts w:ascii="Arial" w:hAnsi="Arial"/>
        </w:rPr>
      </w:pPr>
      <w:r>
        <w:rPr>
          <w:rFonts w:ascii="Arial" w:hAnsi="Arial"/>
        </w:rPr>
        <w:t>[3]</w:t>
      </w:r>
      <w:r>
        <w:rPr>
          <w:rFonts w:ascii="Arial" w:hAnsi="Arial"/>
        </w:rPr>
        <w:tab/>
        <w:t>Naturally, post-judgment</w:t>
      </w:r>
      <w:r w:rsidR="00E64230">
        <w:rPr>
          <w:rFonts w:ascii="Arial" w:hAnsi="Arial"/>
        </w:rPr>
        <w:t xml:space="preserve"> processes were set in motion, culminating in a tax</w:t>
      </w:r>
      <w:r>
        <w:rPr>
          <w:rFonts w:ascii="Arial" w:hAnsi="Arial"/>
        </w:rPr>
        <w:t>ation before the Taxing Officer. On the date of the taxation, the applicant’s legal practitioner applied for a postponement of the taxation. This application was</w:t>
      </w:r>
      <w:r w:rsidR="00E64230">
        <w:rPr>
          <w:rFonts w:ascii="Arial" w:hAnsi="Arial"/>
        </w:rPr>
        <w:t xml:space="preserve"> refused a</w:t>
      </w:r>
      <w:r>
        <w:rPr>
          <w:rFonts w:ascii="Arial" w:hAnsi="Arial"/>
        </w:rPr>
        <w:t>nd it appears the taxation proceeded in the absence of the applicant’s legal practitioner.</w:t>
      </w:r>
      <w:r w:rsidR="00E64230">
        <w:rPr>
          <w:rFonts w:ascii="Arial" w:hAnsi="Arial"/>
        </w:rPr>
        <w:t xml:space="preserve"> An </w:t>
      </w:r>
      <w:r w:rsidR="00EC4C9A">
        <w:rPr>
          <w:rFonts w:ascii="Arial" w:hAnsi="Arial"/>
        </w:rPr>
        <w:t>allocator</w:t>
      </w:r>
      <w:r w:rsidR="00E64230">
        <w:rPr>
          <w:rFonts w:ascii="Arial" w:hAnsi="Arial"/>
        </w:rPr>
        <w:t xml:space="preserve"> was subsequently issued in the amount of N$ 880</w:t>
      </w:r>
      <w:r w:rsidR="00327433">
        <w:rPr>
          <w:rFonts w:ascii="Arial" w:hAnsi="Arial"/>
        </w:rPr>
        <w:t xml:space="preserve"> 000,</w:t>
      </w:r>
      <w:r w:rsidR="00E64230">
        <w:rPr>
          <w:rFonts w:ascii="Arial" w:hAnsi="Arial"/>
        </w:rPr>
        <w:t xml:space="preserve"> which the applicant seeks to have reviewed and set aside. It would appear that that application </w:t>
      </w:r>
      <w:r>
        <w:rPr>
          <w:rFonts w:ascii="Arial" w:hAnsi="Arial"/>
        </w:rPr>
        <w:t xml:space="preserve">for such review </w:t>
      </w:r>
      <w:r w:rsidR="00E64230">
        <w:rPr>
          <w:rFonts w:ascii="Arial" w:hAnsi="Arial"/>
        </w:rPr>
        <w:t>has been filed.</w:t>
      </w:r>
    </w:p>
    <w:p w14:paraId="6161FDC6" w14:textId="77777777" w:rsidR="00E64230" w:rsidRDefault="00E64230" w:rsidP="00F0010C">
      <w:pPr>
        <w:spacing w:line="360" w:lineRule="auto"/>
        <w:jc w:val="both"/>
        <w:rPr>
          <w:rFonts w:ascii="Arial" w:hAnsi="Arial"/>
        </w:rPr>
      </w:pPr>
    </w:p>
    <w:p w14:paraId="07517D15" w14:textId="77777777" w:rsidR="00E64230" w:rsidRDefault="00E64230" w:rsidP="00F0010C">
      <w:pPr>
        <w:spacing w:line="360" w:lineRule="auto"/>
        <w:jc w:val="both"/>
        <w:rPr>
          <w:rFonts w:ascii="Arial" w:hAnsi="Arial"/>
        </w:rPr>
      </w:pPr>
      <w:r>
        <w:rPr>
          <w:rFonts w:ascii="Arial" w:hAnsi="Arial"/>
        </w:rPr>
        <w:t>[4]</w:t>
      </w:r>
      <w:r>
        <w:rPr>
          <w:rFonts w:ascii="Arial" w:hAnsi="Arial"/>
        </w:rPr>
        <w:tab/>
        <w:t>The present application is hotly contested by the respondent. He raised points of law in terms of rule 66(1</w:t>
      </w:r>
      <w:proofErr w:type="gramStart"/>
      <w:r>
        <w:rPr>
          <w:rFonts w:ascii="Arial" w:hAnsi="Arial"/>
        </w:rPr>
        <w:t>)</w:t>
      </w:r>
      <w:r w:rsidR="00D6785A">
        <w:rPr>
          <w:rFonts w:ascii="Arial" w:hAnsi="Arial"/>
        </w:rPr>
        <w:t>(</w:t>
      </w:r>
      <w:proofErr w:type="gramEnd"/>
      <w:r w:rsidR="00D6785A">
        <w:rPr>
          <w:rFonts w:ascii="Arial" w:hAnsi="Arial"/>
          <w:i/>
        </w:rPr>
        <w:t>c</w:t>
      </w:r>
      <w:r w:rsidR="00D6785A">
        <w:rPr>
          <w:rFonts w:ascii="Arial" w:hAnsi="Arial"/>
        </w:rPr>
        <w:t>)</w:t>
      </w:r>
      <w:r>
        <w:rPr>
          <w:rFonts w:ascii="Arial" w:hAnsi="Arial"/>
        </w:rPr>
        <w:t xml:space="preserve"> and sought to draw blood </w:t>
      </w:r>
      <w:r w:rsidR="00D6785A">
        <w:rPr>
          <w:rFonts w:ascii="Arial" w:hAnsi="Arial"/>
        </w:rPr>
        <w:t>there</w:t>
      </w:r>
      <w:r>
        <w:rPr>
          <w:rFonts w:ascii="Arial" w:hAnsi="Arial"/>
        </w:rPr>
        <w:t>by</w:t>
      </w:r>
      <w:r w:rsidR="00D6785A">
        <w:rPr>
          <w:rFonts w:ascii="Arial" w:hAnsi="Arial"/>
        </w:rPr>
        <w:t>. T</w:t>
      </w:r>
      <w:r>
        <w:rPr>
          <w:rFonts w:ascii="Arial" w:hAnsi="Arial"/>
        </w:rPr>
        <w:t>he following points of law</w:t>
      </w:r>
      <w:r w:rsidR="00D6785A">
        <w:rPr>
          <w:rFonts w:ascii="Arial" w:hAnsi="Arial"/>
        </w:rPr>
        <w:t xml:space="preserve"> were raised in the respondent’s notice, namely,</w:t>
      </w:r>
      <w:r>
        <w:rPr>
          <w:rFonts w:ascii="Arial" w:hAnsi="Arial"/>
        </w:rPr>
        <w:t xml:space="preserve"> that the deponent to the founding affidavit is not authorised to bring the proceedings; the matter is urgent and that the applicant is not entitled to an interim interdict</w:t>
      </w:r>
      <w:r w:rsidR="00D6785A">
        <w:rPr>
          <w:rFonts w:ascii="Arial" w:hAnsi="Arial"/>
        </w:rPr>
        <w:t xml:space="preserve"> that it seeks</w:t>
      </w:r>
      <w:r>
        <w:rPr>
          <w:rFonts w:ascii="Arial" w:hAnsi="Arial"/>
        </w:rPr>
        <w:t>.</w:t>
      </w:r>
    </w:p>
    <w:p w14:paraId="5C385489" w14:textId="77777777" w:rsidR="00621336" w:rsidRDefault="00621336" w:rsidP="00F0010C">
      <w:pPr>
        <w:spacing w:line="360" w:lineRule="auto"/>
        <w:jc w:val="both"/>
        <w:rPr>
          <w:rFonts w:ascii="Arial" w:hAnsi="Arial"/>
        </w:rPr>
      </w:pPr>
    </w:p>
    <w:p w14:paraId="780FF7AA" w14:textId="77777777" w:rsidR="00621336" w:rsidRDefault="00621336" w:rsidP="00F0010C">
      <w:pPr>
        <w:spacing w:line="360" w:lineRule="auto"/>
        <w:jc w:val="both"/>
        <w:rPr>
          <w:rFonts w:ascii="Arial" w:hAnsi="Arial"/>
        </w:rPr>
      </w:pPr>
      <w:r>
        <w:rPr>
          <w:rFonts w:ascii="Arial" w:hAnsi="Arial"/>
        </w:rPr>
        <w:t>[5]</w:t>
      </w:r>
      <w:r>
        <w:rPr>
          <w:rFonts w:ascii="Arial" w:hAnsi="Arial"/>
        </w:rPr>
        <w:tab/>
        <w:t xml:space="preserve">I intend, in the first instance, to deal with the first issue – lack of authority. The deponent to the founding affidavit, Ms. Sigrid </w:t>
      </w:r>
      <w:proofErr w:type="spellStart"/>
      <w:r>
        <w:rPr>
          <w:rFonts w:ascii="Arial" w:hAnsi="Arial"/>
        </w:rPr>
        <w:t>Tjijorokisa</w:t>
      </w:r>
      <w:proofErr w:type="spellEnd"/>
      <w:r>
        <w:rPr>
          <w:rFonts w:ascii="Arial" w:hAnsi="Arial"/>
        </w:rPr>
        <w:t>, the Head: Legal Services of the applicant, states as follows in para 1</w:t>
      </w:r>
      <w:r w:rsidR="00D6785A">
        <w:rPr>
          <w:rFonts w:ascii="Arial" w:hAnsi="Arial"/>
        </w:rPr>
        <w:t xml:space="preserve"> of the founding affidavit</w:t>
      </w:r>
      <w:r>
        <w:rPr>
          <w:rFonts w:ascii="Arial" w:hAnsi="Arial"/>
        </w:rPr>
        <w:t>:</w:t>
      </w:r>
    </w:p>
    <w:p w14:paraId="179D242E" w14:textId="77777777" w:rsidR="00621336" w:rsidRDefault="00621336" w:rsidP="00F0010C">
      <w:pPr>
        <w:spacing w:line="360" w:lineRule="auto"/>
        <w:jc w:val="both"/>
        <w:rPr>
          <w:rFonts w:ascii="Arial" w:hAnsi="Arial"/>
        </w:rPr>
      </w:pPr>
    </w:p>
    <w:p w14:paraId="0281B016" w14:textId="77777777" w:rsidR="00621336" w:rsidRDefault="00621336" w:rsidP="00F0010C">
      <w:pPr>
        <w:spacing w:line="360" w:lineRule="auto"/>
        <w:jc w:val="both"/>
        <w:rPr>
          <w:rFonts w:ascii="Arial" w:hAnsi="Arial"/>
          <w:sz w:val="22"/>
          <w:szCs w:val="22"/>
        </w:rPr>
      </w:pPr>
      <w:r>
        <w:rPr>
          <w:rFonts w:ascii="Arial" w:hAnsi="Arial"/>
        </w:rPr>
        <w:tab/>
        <w:t>‘</w:t>
      </w:r>
      <w:r>
        <w:rPr>
          <w:rFonts w:ascii="Arial" w:hAnsi="Arial"/>
          <w:sz w:val="22"/>
          <w:szCs w:val="22"/>
        </w:rPr>
        <w:t>I am the Head: Legal Services of the Respondent with the main place of business at 5</w:t>
      </w:r>
      <w:r w:rsidRPr="00621336">
        <w:rPr>
          <w:rFonts w:ascii="Arial" w:hAnsi="Arial"/>
          <w:sz w:val="22"/>
          <w:szCs w:val="22"/>
          <w:vertAlign w:val="superscript"/>
        </w:rPr>
        <w:t>th</w:t>
      </w:r>
      <w:r>
        <w:rPr>
          <w:rFonts w:ascii="Arial" w:hAnsi="Arial"/>
          <w:sz w:val="22"/>
          <w:szCs w:val="22"/>
        </w:rPr>
        <w:t xml:space="preserve"> Floor, Standard Bank Centre, Town Square, Windhoek. The contents of this affidavit fall within my personal knowledge or appears from documents in my possession unless the context clearly indicates otherwise. When I make legal submissions, I do so on behalf of the respondent’s legal practitioners whose advice I verily believe. I refer to the pleadings in the matter as they appear on e-justice and incorporate it herein.’</w:t>
      </w:r>
    </w:p>
    <w:p w14:paraId="444CF862" w14:textId="77777777" w:rsidR="00621336" w:rsidRDefault="00621336" w:rsidP="00F0010C">
      <w:pPr>
        <w:spacing w:line="360" w:lineRule="auto"/>
        <w:jc w:val="both"/>
        <w:rPr>
          <w:rFonts w:ascii="Arial" w:hAnsi="Arial"/>
          <w:sz w:val="22"/>
          <w:szCs w:val="22"/>
        </w:rPr>
      </w:pPr>
    </w:p>
    <w:p w14:paraId="57E1B0E1" w14:textId="77777777" w:rsidR="00621336" w:rsidRDefault="00621336" w:rsidP="00F0010C">
      <w:pPr>
        <w:spacing w:line="360" w:lineRule="auto"/>
        <w:jc w:val="both"/>
        <w:rPr>
          <w:rFonts w:ascii="Arial" w:hAnsi="Arial"/>
        </w:rPr>
      </w:pPr>
      <w:r>
        <w:rPr>
          <w:rFonts w:ascii="Arial" w:hAnsi="Arial"/>
        </w:rPr>
        <w:t>[6]</w:t>
      </w:r>
      <w:r>
        <w:rPr>
          <w:rFonts w:ascii="Arial" w:hAnsi="Arial"/>
        </w:rPr>
        <w:tab/>
        <w:t xml:space="preserve">I interpose to observe </w:t>
      </w:r>
      <w:r w:rsidR="00D6785A">
        <w:rPr>
          <w:rFonts w:ascii="Arial" w:hAnsi="Arial"/>
        </w:rPr>
        <w:t xml:space="preserve">from the contents of the above quoted paragraph, </w:t>
      </w:r>
      <w:r>
        <w:rPr>
          <w:rFonts w:ascii="Arial" w:hAnsi="Arial"/>
        </w:rPr>
        <w:t xml:space="preserve">that the deponent makes legal submissions on behalf of the </w:t>
      </w:r>
      <w:r w:rsidR="00D6785A">
        <w:rPr>
          <w:rFonts w:ascii="Arial" w:hAnsi="Arial"/>
        </w:rPr>
        <w:t xml:space="preserve">applicant’s lawyers on the one </w:t>
      </w:r>
      <w:r>
        <w:rPr>
          <w:rFonts w:ascii="Arial" w:hAnsi="Arial"/>
        </w:rPr>
        <w:t xml:space="preserve">hand. On the other, she believes, so she says, the advice that they have given. There is a clear disconnect here but I will not pursue this issue any further, save to mention that it is unusual for clients to make legal submissions on behalf of their legal practitioners. </w:t>
      </w:r>
    </w:p>
    <w:p w14:paraId="084B7A17" w14:textId="77777777" w:rsidR="00621336" w:rsidRDefault="00621336" w:rsidP="00F0010C">
      <w:pPr>
        <w:spacing w:line="360" w:lineRule="auto"/>
        <w:jc w:val="both"/>
        <w:rPr>
          <w:rFonts w:ascii="Arial" w:hAnsi="Arial"/>
        </w:rPr>
      </w:pPr>
    </w:p>
    <w:p w14:paraId="5297695F" w14:textId="77777777" w:rsidR="00621336" w:rsidRDefault="00D6785A" w:rsidP="00F0010C">
      <w:pPr>
        <w:spacing w:line="360" w:lineRule="auto"/>
        <w:jc w:val="both"/>
        <w:rPr>
          <w:rFonts w:ascii="Arial" w:hAnsi="Arial"/>
        </w:rPr>
      </w:pPr>
      <w:r>
        <w:rPr>
          <w:rFonts w:ascii="Arial" w:hAnsi="Arial"/>
        </w:rPr>
        <w:t>[7]</w:t>
      </w:r>
      <w:r>
        <w:rPr>
          <w:rFonts w:ascii="Arial" w:hAnsi="Arial"/>
        </w:rPr>
        <w:tab/>
        <w:t>As indicated, the respondent, i</w:t>
      </w:r>
      <w:r w:rsidR="00621336">
        <w:rPr>
          <w:rFonts w:ascii="Arial" w:hAnsi="Arial"/>
        </w:rPr>
        <w:t>n his rule 66 notice, complained that the proceedings launched by the applicant are not authorised</w:t>
      </w:r>
      <w:r>
        <w:rPr>
          <w:rFonts w:ascii="Arial" w:hAnsi="Arial"/>
        </w:rPr>
        <w:t xml:space="preserve"> by the applicant</w:t>
      </w:r>
      <w:r w:rsidR="00621336">
        <w:rPr>
          <w:rFonts w:ascii="Arial" w:hAnsi="Arial"/>
        </w:rPr>
        <w:t xml:space="preserve"> because there is simply no allegation to that effect in the founding affidavit</w:t>
      </w:r>
      <w:r>
        <w:rPr>
          <w:rFonts w:ascii="Arial" w:hAnsi="Arial"/>
        </w:rPr>
        <w:t xml:space="preserve">, and, if I may add, there is no resolution filed in any event. </w:t>
      </w:r>
    </w:p>
    <w:p w14:paraId="15B23103" w14:textId="77777777" w:rsidR="00D6785A" w:rsidRDefault="00D6785A" w:rsidP="00F0010C">
      <w:pPr>
        <w:spacing w:line="360" w:lineRule="auto"/>
        <w:jc w:val="both"/>
        <w:rPr>
          <w:rFonts w:ascii="Arial" w:hAnsi="Arial"/>
        </w:rPr>
      </w:pPr>
    </w:p>
    <w:p w14:paraId="700F0F36" w14:textId="77777777" w:rsidR="00581ACF" w:rsidRDefault="00581ACF" w:rsidP="00F0010C">
      <w:pPr>
        <w:spacing w:line="360" w:lineRule="auto"/>
        <w:jc w:val="both"/>
        <w:rPr>
          <w:rFonts w:ascii="Arial" w:hAnsi="Arial"/>
        </w:rPr>
      </w:pPr>
      <w:r>
        <w:rPr>
          <w:rFonts w:ascii="Arial" w:hAnsi="Arial"/>
        </w:rPr>
        <w:t>[8]</w:t>
      </w:r>
      <w:r>
        <w:rPr>
          <w:rFonts w:ascii="Arial" w:hAnsi="Arial"/>
        </w:rPr>
        <w:tab/>
        <w:t>In an apparent knee-jerk reaction, the applicant then filed a supplementary affidavit in direct response to the attack launched by the 1</w:t>
      </w:r>
      <w:r w:rsidRPr="00581ACF">
        <w:rPr>
          <w:rFonts w:ascii="Arial" w:hAnsi="Arial"/>
          <w:vertAlign w:val="superscript"/>
        </w:rPr>
        <w:t>st</w:t>
      </w:r>
      <w:r>
        <w:rPr>
          <w:rFonts w:ascii="Arial" w:hAnsi="Arial"/>
        </w:rPr>
        <w:t xml:space="preserve"> respondent on the issue of authority. On a confessional note, the deponent stated on oath that she had filed the </w:t>
      </w:r>
      <w:r w:rsidR="00D6785A">
        <w:rPr>
          <w:rFonts w:ascii="Arial" w:hAnsi="Arial"/>
        </w:rPr>
        <w:t xml:space="preserve">supplementary </w:t>
      </w:r>
      <w:r>
        <w:rPr>
          <w:rFonts w:ascii="Arial" w:hAnsi="Arial"/>
        </w:rPr>
        <w:t xml:space="preserve">affidavit to ‘correct some errors in the main affidavit’. </w:t>
      </w:r>
    </w:p>
    <w:p w14:paraId="0CC783A1" w14:textId="77777777" w:rsidR="00581ACF" w:rsidRDefault="00581ACF" w:rsidP="00F0010C">
      <w:pPr>
        <w:spacing w:line="360" w:lineRule="auto"/>
        <w:jc w:val="both"/>
        <w:rPr>
          <w:rFonts w:ascii="Arial" w:hAnsi="Arial"/>
        </w:rPr>
      </w:pPr>
    </w:p>
    <w:p w14:paraId="5D117873" w14:textId="77777777" w:rsidR="00D6785A" w:rsidRDefault="00581ACF" w:rsidP="00F0010C">
      <w:pPr>
        <w:spacing w:line="360" w:lineRule="auto"/>
        <w:jc w:val="both"/>
        <w:rPr>
          <w:rFonts w:ascii="Arial" w:hAnsi="Arial"/>
        </w:rPr>
      </w:pPr>
      <w:r>
        <w:rPr>
          <w:rFonts w:ascii="Arial" w:hAnsi="Arial"/>
        </w:rPr>
        <w:t>[9]</w:t>
      </w:r>
      <w:r>
        <w:rPr>
          <w:rFonts w:ascii="Arial" w:hAnsi="Arial"/>
        </w:rPr>
        <w:tab/>
        <w:t>In para 3</w:t>
      </w:r>
      <w:r w:rsidR="00D6785A">
        <w:rPr>
          <w:rFonts w:ascii="Arial" w:hAnsi="Arial"/>
        </w:rPr>
        <w:t xml:space="preserve"> of the latter affidavit</w:t>
      </w:r>
      <w:r>
        <w:rPr>
          <w:rFonts w:ascii="Arial" w:hAnsi="Arial"/>
        </w:rPr>
        <w:t xml:space="preserve">, the deponent states, ‘It was also brought under my attention that I did not state that I am duly authorised to bring this urgent application. I am clearly authorised to bring this urgent application and the omission was done in error due to the urgency under which the affidavits were prepared.’ It appears clearly that the applicant admits that it did not make the important allegation in its founding affidavit, hence the need to file the supplementary affidavit. </w:t>
      </w:r>
    </w:p>
    <w:p w14:paraId="0246C021" w14:textId="77777777" w:rsidR="00D6785A" w:rsidRDefault="00D6785A" w:rsidP="00F0010C">
      <w:pPr>
        <w:spacing w:line="360" w:lineRule="auto"/>
        <w:jc w:val="both"/>
        <w:rPr>
          <w:rFonts w:ascii="Arial" w:hAnsi="Arial"/>
        </w:rPr>
      </w:pPr>
    </w:p>
    <w:p w14:paraId="6F455820" w14:textId="77777777" w:rsidR="00581ACF" w:rsidRDefault="00D6785A" w:rsidP="00F0010C">
      <w:pPr>
        <w:spacing w:line="360" w:lineRule="auto"/>
        <w:jc w:val="both"/>
        <w:rPr>
          <w:rFonts w:ascii="Arial" w:hAnsi="Arial"/>
        </w:rPr>
      </w:pPr>
      <w:r>
        <w:rPr>
          <w:rFonts w:ascii="Arial" w:hAnsi="Arial"/>
        </w:rPr>
        <w:t>[10]</w:t>
      </w:r>
      <w:r>
        <w:rPr>
          <w:rFonts w:ascii="Arial" w:hAnsi="Arial"/>
        </w:rPr>
        <w:tab/>
      </w:r>
      <w:r w:rsidR="00581ACF">
        <w:rPr>
          <w:rFonts w:ascii="Arial" w:hAnsi="Arial"/>
        </w:rPr>
        <w:t>The 1</w:t>
      </w:r>
      <w:r w:rsidR="00581ACF" w:rsidRPr="00581ACF">
        <w:rPr>
          <w:rFonts w:ascii="Arial" w:hAnsi="Arial"/>
          <w:vertAlign w:val="superscript"/>
        </w:rPr>
        <w:t>st</w:t>
      </w:r>
      <w:r>
        <w:rPr>
          <w:rFonts w:ascii="Arial" w:hAnsi="Arial"/>
        </w:rPr>
        <w:t xml:space="preserve"> respondent relied for</w:t>
      </w:r>
      <w:r w:rsidR="00581ACF">
        <w:rPr>
          <w:rFonts w:ascii="Arial" w:hAnsi="Arial"/>
        </w:rPr>
        <w:t xml:space="preserve"> its submission on a few cases, including </w:t>
      </w:r>
      <w:r w:rsidR="00581ACF">
        <w:rPr>
          <w:rFonts w:ascii="Arial" w:hAnsi="Arial"/>
          <w:i/>
        </w:rPr>
        <w:t xml:space="preserve">JB Cooling and Refrigeration CC v Dean Jacques </w:t>
      </w:r>
      <w:proofErr w:type="spellStart"/>
      <w:r w:rsidR="00581ACF">
        <w:rPr>
          <w:rFonts w:ascii="Arial" w:hAnsi="Arial"/>
          <w:i/>
        </w:rPr>
        <w:t>Willemse</w:t>
      </w:r>
      <w:proofErr w:type="spellEnd"/>
      <w:r w:rsidR="00581ACF">
        <w:rPr>
          <w:rFonts w:ascii="Arial" w:hAnsi="Arial"/>
          <w:i/>
        </w:rPr>
        <w:t xml:space="preserve"> t/</w:t>
      </w:r>
      <w:proofErr w:type="gramStart"/>
      <w:r w:rsidR="00581ACF">
        <w:rPr>
          <w:rFonts w:ascii="Arial" w:hAnsi="Arial"/>
          <w:i/>
        </w:rPr>
        <w:t>a</w:t>
      </w:r>
      <w:proofErr w:type="gramEnd"/>
      <w:r w:rsidR="00581ACF">
        <w:rPr>
          <w:rFonts w:ascii="Arial" w:hAnsi="Arial"/>
          <w:i/>
        </w:rPr>
        <w:t xml:space="preserve"> Armature Winding and Others</w:t>
      </w:r>
      <w:r w:rsidR="00581ACF">
        <w:rPr>
          <w:rStyle w:val="FootnoteReference"/>
          <w:rFonts w:ascii="Arial" w:hAnsi="Arial"/>
          <w:i/>
        </w:rPr>
        <w:footnoteReference w:id="1"/>
      </w:r>
      <w:r w:rsidR="00581ACF">
        <w:rPr>
          <w:rFonts w:ascii="Arial" w:hAnsi="Arial"/>
        </w:rPr>
        <w:t xml:space="preserve">and </w:t>
      </w:r>
      <w:r w:rsidR="00581ACF">
        <w:rPr>
          <w:rFonts w:ascii="Arial" w:hAnsi="Arial"/>
          <w:i/>
        </w:rPr>
        <w:t>Coin Security Namibia (Pty) Ltd v Jacobs and Another.</w:t>
      </w:r>
      <w:r w:rsidR="00581ACF">
        <w:rPr>
          <w:rStyle w:val="FootnoteReference"/>
          <w:rFonts w:ascii="Arial" w:hAnsi="Arial"/>
          <w:i/>
        </w:rPr>
        <w:footnoteReference w:id="2"/>
      </w:r>
      <w:r w:rsidR="00581ACF">
        <w:rPr>
          <w:rFonts w:ascii="Arial" w:hAnsi="Arial"/>
          <w:i/>
        </w:rPr>
        <w:t xml:space="preserve"> </w:t>
      </w:r>
      <w:r w:rsidR="00581ACF">
        <w:rPr>
          <w:rFonts w:ascii="Arial" w:hAnsi="Arial"/>
        </w:rPr>
        <w:t xml:space="preserve">These cases are authority for the proposition that a party who brings proceedings on behalf of a legal person must state that he </w:t>
      </w:r>
      <w:r>
        <w:rPr>
          <w:rFonts w:ascii="Arial" w:hAnsi="Arial"/>
        </w:rPr>
        <w:t xml:space="preserve">or she </w:t>
      </w:r>
      <w:r w:rsidR="00581ACF">
        <w:rPr>
          <w:rFonts w:ascii="Arial" w:hAnsi="Arial"/>
        </w:rPr>
        <w:t>is authorised to bring the said proceedings</w:t>
      </w:r>
      <w:r w:rsidR="00DE08FD">
        <w:rPr>
          <w:rFonts w:ascii="Arial" w:hAnsi="Arial"/>
        </w:rPr>
        <w:t xml:space="preserve">, which was clearly not done in </w:t>
      </w:r>
      <w:r>
        <w:rPr>
          <w:rFonts w:ascii="Arial" w:hAnsi="Arial"/>
        </w:rPr>
        <w:t xml:space="preserve">the founding affidavit in </w:t>
      </w:r>
      <w:r w:rsidR="00DE08FD">
        <w:rPr>
          <w:rFonts w:ascii="Arial" w:hAnsi="Arial"/>
        </w:rPr>
        <w:t>this matter.</w:t>
      </w:r>
    </w:p>
    <w:p w14:paraId="5252AEED" w14:textId="77777777" w:rsidR="00565A08" w:rsidRDefault="00565A08" w:rsidP="00F0010C">
      <w:pPr>
        <w:spacing w:line="360" w:lineRule="auto"/>
        <w:jc w:val="both"/>
        <w:rPr>
          <w:rFonts w:ascii="Arial" w:hAnsi="Arial"/>
        </w:rPr>
      </w:pPr>
    </w:p>
    <w:p w14:paraId="490D88D9" w14:textId="77777777" w:rsidR="00565A08" w:rsidRDefault="00D6785A" w:rsidP="00F0010C">
      <w:pPr>
        <w:spacing w:line="360" w:lineRule="auto"/>
        <w:jc w:val="both"/>
        <w:rPr>
          <w:rFonts w:ascii="Arial" w:hAnsi="Arial"/>
        </w:rPr>
      </w:pPr>
      <w:r>
        <w:rPr>
          <w:rFonts w:ascii="Arial" w:hAnsi="Arial"/>
        </w:rPr>
        <w:t>[10]</w:t>
      </w:r>
      <w:r>
        <w:rPr>
          <w:rFonts w:ascii="Arial" w:hAnsi="Arial"/>
        </w:rPr>
        <w:tab/>
        <w:t xml:space="preserve">In the </w:t>
      </w:r>
      <w:r>
        <w:rPr>
          <w:rFonts w:ascii="Arial" w:hAnsi="Arial"/>
          <w:i/>
        </w:rPr>
        <w:t>JB Cooling</w:t>
      </w:r>
      <w:r w:rsidR="00565A08">
        <w:rPr>
          <w:rFonts w:ascii="Arial" w:hAnsi="Arial"/>
        </w:rPr>
        <w:t xml:space="preserve"> matter, </w:t>
      </w:r>
      <w:proofErr w:type="spellStart"/>
      <w:r w:rsidR="00565A08">
        <w:rPr>
          <w:rFonts w:ascii="Arial" w:hAnsi="Arial"/>
        </w:rPr>
        <w:t>Ueitele</w:t>
      </w:r>
      <w:proofErr w:type="spellEnd"/>
      <w:r w:rsidR="00565A08">
        <w:rPr>
          <w:rFonts w:ascii="Arial" w:hAnsi="Arial"/>
        </w:rPr>
        <w:t xml:space="preserve"> J referred to </w:t>
      </w:r>
      <w:r w:rsidR="00565A08">
        <w:rPr>
          <w:rFonts w:ascii="Arial" w:hAnsi="Arial"/>
          <w:i/>
        </w:rPr>
        <w:t xml:space="preserve">Purity Manganese (Pty) Ltd v </w:t>
      </w:r>
      <w:proofErr w:type="spellStart"/>
      <w:r w:rsidR="00565A08">
        <w:rPr>
          <w:rFonts w:ascii="Arial" w:hAnsi="Arial"/>
          <w:i/>
        </w:rPr>
        <w:t>Otjozundu</w:t>
      </w:r>
      <w:proofErr w:type="spellEnd"/>
      <w:r w:rsidR="00565A08">
        <w:rPr>
          <w:rFonts w:ascii="Arial" w:hAnsi="Arial"/>
          <w:i/>
        </w:rPr>
        <w:t xml:space="preserve"> Mining </w:t>
      </w:r>
      <w:r w:rsidR="00AE7496">
        <w:rPr>
          <w:rFonts w:ascii="Arial" w:hAnsi="Arial"/>
          <w:i/>
        </w:rPr>
        <w:t>(Pty) Ltd,</w:t>
      </w:r>
      <w:r w:rsidR="00AE7496">
        <w:rPr>
          <w:rStyle w:val="FootnoteReference"/>
          <w:rFonts w:ascii="Arial" w:hAnsi="Arial"/>
          <w:i/>
        </w:rPr>
        <w:footnoteReference w:id="3"/>
      </w:r>
      <w:r w:rsidR="00AE7496">
        <w:rPr>
          <w:rFonts w:ascii="Arial" w:hAnsi="Arial"/>
          <w:i/>
        </w:rPr>
        <w:t xml:space="preserve"> </w:t>
      </w:r>
      <w:r w:rsidR="00AE7496">
        <w:rPr>
          <w:rFonts w:ascii="Arial" w:hAnsi="Arial"/>
        </w:rPr>
        <w:t xml:space="preserve">where </w:t>
      </w:r>
      <w:proofErr w:type="spellStart"/>
      <w:r w:rsidR="00AE7496">
        <w:rPr>
          <w:rFonts w:ascii="Arial" w:hAnsi="Arial"/>
        </w:rPr>
        <w:t>Damaseb</w:t>
      </w:r>
      <w:proofErr w:type="spellEnd"/>
      <w:r w:rsidR="00AE7496">
        <w:rPr>
          <w:rFonts w:ascii="Arial" w:hAnsi="Arial"/>
        </w:rPr>
        <w:t xml:space="preserve"> JP said:</w:t>
      </w:r>
    </w:p>
    <w:p w14:paraId="2747C300" w14:textId="77777777" w:rsidR="00AE7496" w:rsidRDefault="00AE7496" w:rsidP="00F0010C">
      <w:pPr>
        <w:spacing w:line="360" w:lineRule="auto"/>
        <w:jc w:val="both"/>
        <w:rPr>
          <w:rFonts w:ascii="Arial" w:hAnsi="Arial"/>
        </w:rPr>
      </w:pPr>
    </w:p>
    <w:p w14:paraId="0710AC7F" w14:textId="77777777" w:rsidR="00AE7496" w:rsidRDefault="00AE7496" w:rsidP="00F0010C">
      <w:pPr>
        <w:spacing w:line="360" w:lineRule="auto"/>
        <w:jc w:val="both"/>
        <w:rPr>
          <w:rFonts w:ascii="Arial" w:hAnsi="Arial"/>
          <w:sz w:val="22"/>
          <w:szCs w:val="22"/>
        </w:rPr>
      </w:pPr>
      <w:r>
        <w:rPr>
          <w:rFonts w:ascii="Arial" w:hAnsi="Arial"/>
        </w:rPr>
        <w:tab/>
        <w:t>‘</w:t>
      </w:r>
      <w:r>
        <w:rPr>
          <w:rFonts w:ascii="Arial" w:hAnsi="Arial"/>
          <w:sz w:val="22"/>
          <w:szCs w:val="22"/>
        </w:rPr>
        <w:t>It is now trite that the applicant need not do more in the founding affidavit than allege that authorisation has been granted. Where that is alleged, it is open to the respondent to challenge the averments regarding authorisation. When the challenge to the authority is a weak one, a minimum of evidence will suffice to establish such authority’.</w:t>
      </w:r>
    </w:p>
    <w:p w14:paraId="25B64148" w14:textId="77777777" w:rsidR="00AE7496" w:rsidRDefault="00AE7496" w:rsidP="00F0010C">
      <w:pPr>
        <w:spacing w:line="360" w:lineRule="auto"/>
        <w:jc w:val="both"/>
        <w:rPr>
          <w:rFonts w:ascii="Arial" w:hAnsi="Arial"/>
          <w:sz w:val="22"/>
          <w:szCs w:val="22"/>
        </w:rPr>
      </w:pPr>
    </w:p>
    <w:p w14:paraId="5BF32306" w14:textId="77777777" w:rsidR="00DE08FD" w:rsidRPr="00AE7496" w:rsidRDefault="00AE7496" w:rsidP="00F0010C">
      <w:pPr>
        <w:spacing w:line="360" w:lineRule="auto"/>
        <w:jc w:val="both"/>
        <w:rPr>
          <w:rFonts w:ascii="Arial" w:hAnsi="Arial"/>
          <w:sz w:val="22"/>
          <w:szCs w:val="22"/>
        </w:rPr>
      </w:pPr>
      <w:r>
        <w:rPr>
          <w:rFonts w:ascii="Arial" w:hAnsi="Arial"/>
        </w:rPr>
        <w:t>[11]</w:t>
      </w:r>
      <w:r>
        <w:rPr>
          <w:rFonts w:ascii="Arial" w:hAnsi="Arial"/>
        </w:rPr>
        <w:tab/>
        <w:t>It is a matter of note that the applicant did not address this issue at all in its founding affidavit and thus could not, in reply, place proof of the authority as no authority whatsoever, was alleged.</w:t>
      </w:r>
      <w:r>
        <w:rPr>
          <w:rFonts w:ascii="Arial" w:hAnsi="Arial"/>
          <w:sz w:val="22"/>
          <w:szCs w:val="22"/>
        </w:rPr>
        <w:t xml:space="preserve">  </w:t>
      </w:r>
      <w:r w:rsidR="00DE08FD">
        <w:rPr>
          <w:rFonts w:ascii="Arial" w:hAnsi="Arial"/>
        </w:rPr>
        <w:t xml:space="preserve">It is a trite principle of law that a party stands or falls on its founding affidavit. In the instant case, the applicant did not make out a case for the authority in the founding papers, nor did or could it do </w:t>
      </w:r>
      <w:proofErr w:type="gramStart"/>
      <w:r w:rsidR="00DE08FD">
        <w:rPr>
          <w:rFonts w:ascii="Arial" w:hAnsi="Arial"/>
        </w:rPr>
        <w:t>so</w:t>
      </w:r>
      <w:proofErr w:type="gramEnd"/>
      <w:r w:rsidR="00DE08FD">
        <w:rPr>
          <w:rFonts w:ascii="Arial" w:hAnsi="Arial"/>
        </w:rPr>
        <w:t xml:space="preserve"> in reply as that opportunity never came.</w:t>
      </w:r>
    </w:p>
    <w:p w14:paraId="19937C0B" w14:textId="77777777" w:rsidR="00DE08FD" w:rsidRDefault="00DE08FD" w:rsidP="00F0010C">
      <w:pPr>
        <w:spacing w:line="360" w:lineRule="auto"/>
        <w:jc w:val="both"/>
        <w:rPr>
          <w:rFonts w:ascii="Arial" w:hAnsi="Arial"/>
        </w:rPr>
      </w:pPr>
    </w:p>
    <w:p w14:paraId="4A0A63D3" w14:textId="77777777" w:rsidR="00D114C8" w:rsidRDefault="00DE08FD" w:rsidP="00F0010C">
      <w:pPr>
        <w:spacing w:line="360" w:lineRule="auto"/>
        <w:jc w:val="both"/>
        <w:rPr>
          <w:rFonts w:ascii="Arial" w:hAnsi="Arial"/>
        </w:rPr>
      </w:pPr>
      <w:r>
        <w:rPr>
          <w:rFonts w:ascii="Arial" w:hAnsi="Arial"/>
        </w:rPr>
        <w:t>[12]</w:t>
      </w:r>
      <w:r>
        <w:rPr>
          <w:rFonts w:ascii="Arial" w:hAnsi="Arial"/>
        </w:rPr>
        <w:tab/>
        <w:t xml:space="preserve">It is also trite that in application proceedings, three sets of affidavits are permitted – the founding, answering and replying affidavits. </w:t>
      </w:r>
      <w:r w:rsidR="00D6785A">
        <w:rPr>
          <w:rFonts w:ascii="Arial" w:hAnsi="Arial"/>
        </w:rPr>
        <w:t>In this regard, the learned autho</w:t>
      </w:r>
      <w:r w:rsidR="00D114C8">
        <w:rPr>
          <w:rFonts w:ascii="Arial" w:hAnsi="Arial"/>
        </w:rPr>
        <w:t xml:space="preserve">rs, </w:t>
      </w:r>
      <w:proofErr w:type="spellStart"/>
      <w:r w:rsidR="00D6785A">
        <w:rPr>
          <w:rFonts w:ascii="Arial" w:hAnsi="Arial"/>
        </w:rPr>
        <w:t>Herbstein</w:t>
      </w:r>
      <w:proofErr w:type="spellEnd"/>
      <w:r w:rsidR="00D6785A">
        <w:rPr>
          <w:rFonts w:ascii="Arial" w:hAnsi="Arial"/>
        </w:rPr>
        <w:t xml:space="preserve"> &amp; Van </w:t>
      </w:r>
      <w:proofErr w:type="spellStart"/>
      <w:r w:rsidR="00D6785A">
        <w:rPr>
          <w:rFonts w:ascii="Arial" w:hAnsi="Arial"/>
        </w:rPr>
        <w:t>Winsen</w:t>
      </w:r>
      <w:proofErr w:type="spellEnd"/>
      <w:r w:rsidR="00D114C8">
        <w:rPr>
          <w:rFonts w:ascii="Arial" w:hAnsi="Arial"/>
        </w:rPr>
        <w:t>,</w:t>
      </w:r>
      <w:r w:rsidR="00D6785A">
        <w:rPr>
          <w:rStyle w:val="FootnoteReference"/>
          <w:rFonts w:ascii="Arial" w:hAnsi="Arial"/>
        </w:rPr>
        <w:footnoteReference w:id="4"/>
      </w:r>
      <w:r w:rsidR="00D114C8">
        <w:rPr>
          <w:rFonts w:ascii="Arial" w:hAnsi="Arial"/>
        </w:rPr>
        <w:t xml:space="preserve"> say, ‘The ordinary rule is that three sets of affidavits are allowed, i.e. supporting affidavits, answering and replying affidavits. The court may in its discretion permit the filing of further affidavits.’</w:t>
      </w:r>
    </w:p>
    <w:p w14:paraId="0BA4677A" w14:textId="77777777" w:rsidR="00D114C8" w:rsidRDefault="00D114C8" w:rsidP="00F0010C">
      <w:pPr>
        <w:spacing w:line="360" w:lineRule="auto"/>
        <w:jc w:val="both"/>
        <w:rPr>
          <w:rFonts w:ascii="Arial" w:hAnsi="Arial"/>
        </w:rPr>
      </w:pPr>
    </w:p>
    <w:p w14:paraId="3D227449" w14:textId="2A539891" w:rsidR="00D114C8" w:rsidRDefault="00D114C8" w:rsidP="00F0010C">
      <w:pPr>
        <w:spacing w:line="360" w:lineRule="auto"/>
        <w:jc w:val="both"/>
        <w:rPr>
          <w:rFonts w:ascii="Arial" w:hAnsi="Arial"/>
        </w:rPr>
      </w:pPr>
      <w:r>
        <w:rPr>
          <w:rFonts w:ascii="Arial" w:hAnsi="Arial"/>
        </w:rPr>
        <w:t>[13]</w:t>
      </w:r>
      <w:r>
        <w:rPr>
          <w:rFonts w:ascii="Arial" w:hAnsi="Arial"/>
        </w:rPr>
        <w:tab/>
      </w:r>
      <w:r w:rsidR="00DE08FD">
        <w:rPr>
          <w:rFonts w:ascii="Arial" w:hAnsi="Arial"/>
        </w:rPr>
        <w:t xml:space="preserve">There may be </w:t>
      </w:r>
      <w:r w:rsidR="00AE7496">
        <w:rPr>
          <w:rFonts w:ascii="Arial" w:hAnsi="Arial"/>
        </w:rPr>
        <w:t xml:space="preserve">exceptional </w:t>
      </w:r>
      <w:r w:rsidR="00DE08FD">
        <w:rPr>
          <w:rFonts w:ascii="Arial" w:hAnsi="Arial"/>
        </w:rPr>
        <w:t>cases where a party is required for one reason or the other, to file a further affidavit</w:t>
      </w:r>
      <w:r>
        <w:rPr>
          <w:rFonts w:ascii="Arial" w:hAnsi="Arial"/>
        </w:rPr>
        <w:t xml:space="preserve"> in addition to the conventional three sets</w:t>
      </w:r>
      <w:r w:rsidR="00A736F0">
        <w:rPr>
          <w:rFonts w:ascii="Arial" w:hAnsi="Arial"/>
        </w:rPr>
        <w:t>. This may</w:t>
      </w:r>
      <w:r w:rsidR="00DE08FD">
        <w:rPr>
          <w:rFonts w:ascii="Arial" w:hAnsi="Arial"/>
        </w:rPr>
        <w:t xml:space="preserve"> </w:t>
      </w:r>
      <w:r w:rsidR="00AE7496">
        <w:rPr>
          <w:rFonts w:ascii="Arial" w:hAnsi="Arial"/>
        </w:rPr>
        <w:t xml:space="preserve">only be </w:t>
      </w:r>
      <w:r w:rsidR="00DE08FD">
        <w:rPr>
          <w:rFonts w:ascii="Arial" w:hAnsi="Arial"/>
        </w:rPr>
        <w:t xml:space="preserve">done with the leave of court having been sought and obtained. </w:t>
      </w:r>
    </w:p>
    <w:p w14:paraId="6DD3DA80" w14:textId="77777777" w:rsidR="00D114C8" w:rsidRDefault="00D114C8" w:rsidP="00F0010C">
      <w:pPr>
        <w:spacing w:line="360" w:lineRule="auto"/>
        <w:jc w:val="both"/>
        <w:rPr>
          <w:rFonts w:ascii="Arial" w:hAnsi="Arial"/>
        </w:rPr>
      </w:pPr>
    </w:p>
    <w:p w14:paraId="7372535D" w14:textId="77777777" w:rsidR="00DE08FD" w:rsidRDefault="00D114C8" w:rsidP="00F0010C">
      <w:pPr>
        <w:spacing w:line="360" w:lineRule="auto"/>
        <w:jc w:val="both"/>
        <w:rPr>
          <w:rFonts w:ascii="Arial" w:hAnsi="Arial"/>
        </w:rPr>
      </w:pPr>
      <w:r>
        <w:rPr>
          <w:rFonts w:ascii="Arial" w:hAnsi="Arial"/>
        </w:rPr>
        <w:t>[14]</w:t>
      </w:r>
      <w:r>
        <w:rPr>
          <w:rFonts w:ascii="Arial" w:hAnsi="Arial"/>
        </w:rPr>
        <w:tab/>
      </w:r>
      <w:r w:rsidR="00DE08FD">
        <w:rPr>
          <w:rFonts w:ascii="Arial" w:hAnsi="Arial"/>
        </w:rPr>
        <w:t>The applicant</w:t>
      </w:r>
      <w:r>
        <w:rPr>
          <w:rFonts w:ascii="Arial" w:hAnsi="Arial"/>
        </w:rPr>
        <w:t>, in this case,</w:t>
      </w:r>
      <w:r w:rsidR="00DE08FD">
        <w:rPr>
          <w:rFonts w:ascii="Arial" w:hAnsi="Arial"/>
        </w:rPr>
        <w:t xml:space="preserve"> took the bull by the horns, having been made wise that its application was defective and </w:t>
      </w:r>
      <w:r w:rsidR="00AE7496">
        <w:rPr>
          <w:rFonts w:ascii="Arial" w:hAnsi="Arial"/>
        </w:rPr>
        <w:t>instead of withdrawing the proceedings, as they were st</w:t>
      </w:r>
      <w:r>
        <w:rPr>
          <w:rFonts w:ascii="Arial" w:hAnsi="Arial"/>
        </w:rPr>
        <w:t xml:space="preserve">ill-born in the absence of the </w:t>
      </w:r>
      <w:r w:rsidR="00AE7496">
        <w:rPr>
          <w:rFonts w:ascii="Arial" w:hAnsi="Arial"/>
        </w:rPr>
        <w:t>allegation</w:t>
      </w:r>
      <w:r>
        <w:rPr>
          <w:rFonts w:ascii="Arial" w:hAnsi="Arial"/>
        </w:rPr>
        <w:t xml:space="preserve"> of authority</w:t>
      </w:r>
      <w:r w:rsidR="00AE7496">
        <w:rPr>
          <w:rFonts w:ascii="Arial" w:hAnsi="Arial"/>
        </w:rPr>
        <w:t xml:space="preserve">, </w:t>
      </w:r>
      <w:r w:rsidR="00DE08FD">
        <w:rPr>
          <w:rFonts w:ascii="Arial" w:hAnsi="Arial"/>
        </w:rPr>
        <w:t xml:space="preserve">filed an extra affidavit without </w:t>
      </w:r>
      <w:r w:rsidR="00565A08">
        <w:rPr>
          <w:rFonts w:ascii="Arial" w:hAnsi="Arial"/>
        </w:rPr>
        <w:t xml:space="preserve">seeking or obtaining the </w:t>
      </w:r>
      <w:r w:rsidR="00DE08FD">
        <w:rPr>
          <w:rFonts w:ascii="Arial" w:hAnsi="Arial"/>
        </w:rPr>
        <w:t>leave of court.</w:t>
      </w:r>
      <w:r>
        <w:rPr>
          <w:rFonts w:ascii="Arial" w:hAnsi="Arial"/>
        </w:rPr>
        <w:t xml:space="preserve"> This is not permitted and may not be done by a party as of right, as the applicant attempted to do.</w:t>
      </w:r>
    </w:p>
    <w:p w14:paraId="03F50229" w14:textId="77777777" w:rsidR="00DE08FD" w:rsidRDefault="00DE08FD" w:rsidP="00F0010C">
      <w:pPr>
        <w:spacing w:line="360" w:lineRule="auto"/>
        <w:jc w:val="both"/>
        <w:rPr>
          <w:rFonts w:ascii="Arial" w:hAnsi="Arial"/>
        </w:rPr>
      </w:pPr>
    </w:p>
    <w:p w14:paraId="69609D9B" w14:textId="77777777" w:rsidR="00AE7496" w:rsidRDefault="00DE696B" w:rsidP="00F0010C">
      <w:pPr>
        <w:spacing w:line="360" w:lineRule="auto"/>
        <w:jc w:val="both"/>
        <w:rPr>
          <w:rFonts w:ascii="Arial" w:hAnsi="Arial"/>
        </w:rPr>
      </w:pPr>
      <w:r>
        <w:rPr>
          <w:rFonts w:ascii="Arial" w:hAnsi="Arial"/>
        </w:rPr>
        <w:t>[15</w:t>
      </w:r>
      <w:r w:rsidR="00D114C8">
        <w:rPr>
          <w:rFonts w:ascii="Arial" w:hAnsi="Arial"/>
        </w:rPr>
        <w:t>]</w:t>
      </w:r>
      <w:r w:rsidR="00D114C8">
        <w:rPr>
          <w:rFonts w:ascii="Arial" w:hAnsi="Arial"/>
        </w:rPr>
        <w:tab/>
        <w:t>The court is accordingly</w:t>
      </w:r>
      <w:r w:rsidR="00DE08FD">
        <w:rPr>
          <w:rFonts w:ascii="Arial" w:hAnsi="Arial"/>
        </w:rPr>
        <w:t xml:space="preserve"> not entitled</w:t>
      </w:r>
      <w:r w:rsidR="00565A08">
        <w:rPr>
          <w:rFonts w:ascii="Arial" w:hAnsi="Arial"/>
        </w:rPr>
        <w:t>, in the circumstances,</w:t>
      </w:r>
      <w:r w:rsidR="00DE08FD">
        <w:rPr>
          <w:rFonts w:ascii="Arial" w:hAnsi="Arial"/>
        </w:rPr>
        <w:t xml:space="preserve"> to have regard to this</w:t>
      </w:r>
      <w:r w:rsidR="00AE7496">
        <w:rPr>
          <w:rFonts w:ascii="Arial" w:hAnsi="Arial"/>
        </w:rPr>
        <w:t xml:space="preserve"> belated </w:t>
      </w:r>
      <w:r w:rsidR="00D114C8">
        <w:rPr>
          <w:rFonts w:ascii="Arial" w:hAnsi="Arial"/>
        </w:rPr>
        <w:t>supplementary</w:t>
      </w:r>
      <w:r w:rsidR="00DE08FD">
        <w:rPr>
          <w:rFonts w:ascii="Arial" w:hAnsi="Arial"/>
        </w:rPr>
        <w:t xml:space="preserve"> affidavit</w:t>
      </w:r>
      <w:r w:rsidR="00565A08">
        <w:rPr>
          <w:rFonts w:ascii="Arial" w:hAnsi="Arial"/>
        </w:rPr>
        <w:t>,</w:t>
      </w:r>
      <w:r w:rsidR="00DE08FD">
        <w:rPr>
          <w:rFonts w:ascii="Arial" w:hAnsi="Arial"/>
        </w:rPr>
        <w:t xml:space="preserve"> </w:t>
      </w:r>
      <w:r w:rsidR="00AE7496">
        <w:rPr>
          <w:rFonts w:ascii="Arial" w:hAnsi="Arial"/>
        </w:rPr>
        <w:t xml:space="preserve">filed with the object of undoing and circumventing the </w:t>
      </w:r>
      <w:r w:rsidR="00D114C8">
        <w:rPr>
          <w:rFonts w:ascii="Arial" w:hAnsi="Arial"/>
        </w:rPr>
        <w:t xml:space="preserve">very </w:t>
      </w:r>
      <w:r w:rsidR="00AE7496">
        <w:rPr>
          <w:rFonts w:ascii="Arial" w:hAnsi="Arial"/>
        </w:rPr>
        <w:t>point of law properly raised by the 1</w:t>
      </w:r>
      <w:r w:rsidR="00AE7496" w:rsidRPr="00AE7496">
        <w:rPr>
          <w:rFonts w:ascii="Arial" w:hAnsi="Arial"/>
          <w:vertAlign w:val="superscript"/>
        </w:rPr>
        <w:t>st</w:t>
      </w:r>
      <w:r w:rsidR="00AE7496">
        <w:rPr>
          <w:rFonts w:ascii="Arial" w:hAnsi="Arial"/>
        </w:rPr>
        <w:t xml:space="preserve"> respondent</w:t>
      </w:r>
      <w:r w:rsidR="00D114C8">
        <w:rPr>
          <w:rFonts w:ascii="Arial" w:hAnsi="Arial"/>
        </w:rPr>
        <w:t>, amongst other things</w:t>
      </w:r>
      <w:r w:rsidR="00AE7496">
        <w:rPr>
          <w:rFonts w:ascii="Arial" w:hAnsi="Arial"/>
        </w:rPr>
        <w:t>. This must also be so considering that the said affidavit</w:t>
      </w:r>
      <w:r w:rsidR="00DE08FD">
        <w:rPr>
          <w:rFonts w:ascii="Arial" w:hAnsi="Arial"/>
        </w:rPr>
        <w:t xml:space="preserve"> was improperly filed and without leave. </w:t>
      </w:r>
    </w:p>
    <w:p w14:paraId="3A8B44C9" w14:textId="77777777" w:rsidR="00AE7496" w:rsidRDefault="00AE7496" w:rsidP="00F0010C">
      <w:pPr>
        <w:spacing w:line="360" w:lineRule="auto"/>
        <w:jc w:val="both"/>
        <w:rPr>
          <w:rFonts w:ascii="Arial" w:hAnsi="Arial"/>
        </w:rPr>
      </w:pPr>
    </w:p>
    <w:p w14:paraId="0BDAA811" w14:textId="77777777" w:rsidR="00DE08FD" w:rsidRDefault="00DE696B" w:rsidP="00F0010C">
      <w:pPr>
        <w:spacing w:line="360" w:lineRule="auto"/>
        <w:jc w:val="both"/>
        <w:rPr>
          <w:rFonts w:ascii="Arial" w:hAnsi="Arial"/>
        </w:rPr>
      </w:pPr>
      <w:r>
        <w:rPr>
          <w:rFonts w:ascii="Arial" w:hAnsi="Arial"/>
        </w:rPr>
        <w:t>[16</w:t>
      </w:r>
      <w:r w:rsidR="00AE7496">
        <w:rPr>
          <w:rFonts w:ascii="Arial" w:hAnsi="Arial"/>
        </w:rPr>
        <w:t>]</w:t>
      </w:r>
      <w:r w:rsidR="00AE7496">
        <w:rPr>
          <w:rFonts w:ascii="Arial" w:hAnsi="Arial"/>
        </w:rPr>
        <w:tab/>
      </w:r>
      <w:r w:rsidR="00DE08FD">
        <w:rPr>
          <w:rFonts w:ascii="Arial" w:hAnsi="Arial"/>
        </w:rPr>
        <w:t xml:space="preserve">All that remains for the court to consider is whether on the only affidavit properly filed, the applicant has made out a case that the proceedings are authorised and the answer is an </w:t>
      </w:r>
      <w:r w:rsidR="00AE7496">
        <w:rPr>
          <w:rFonts w:ascii="Arial" w:hAnsi="Arial"/>
        </w:rPr>
        <w:t xml:space="preserve">obvious and </w:t>
      </w:r>
      <w:r w:rsidR="00D114C8">
        <w:rPr>
          <w:rFonts w:ascii="Arial" w:hAnsi="Arial"/>
        </w:rPr>
        <w:t>emphatic No! This, I am fortified in saying because it is plain that</w:t>
      </w:r>
      <w:r w:rsidR="00DE08FD">
        <w:rPr>
          <w:rFonts w:ascii="Arial" w:hAnsi="Arial"/>
        </w:rPr>
        <w:t xml:space="preserve"> the applicant readily conceded by attempting to file </w:t>
      </w:r>
      <w:r w:rsidR="00AE7496">
        <w:rPr>
          <w:rFonts w:ascii="Arial" w:hAnsi="Arial"/>
        </w:rPr>
        <w:t xml:space="preserve">albeit </w:t>
      </w:r>
      <w:r w:rsidR="00DE08FD">
        <w:rPr>
          <w:rFonts w:ascii="Arial" w:hAnsi="Arial"/>
        </w:rPr>
        <w:t>impermissibly, a supplementary affidavit</w:t>
      </w:r>
      <w:r w:rsidR="00565A08">
        <w:rPr>
          <w:rFonts w:ascii="Arial" w:hAnsi="Arial"/>
        </w:rPr>
        <w:t xml:space="preserve"> to ‘correct’ the anomaly</w:t>
      </w:r>
      <w:r w:rsidR="00DE08FD">
        <w:rPr>
          <w:rFonts w:ascii="Arial" w:hAnsi="Arial"/>
        </w:rPr>
        <w:t>.</w:t>
      </w:r>
    </w:p>
    <w:p w14:paraId="5E6E4DDE" w14:textId="77777777" w:rsidR="00DE08FD" w:rsidRDefault="00DE08FD" w:rsidP="00F0010C">
      <w:pPr>
        <w:spacing w:line="360" w:lineRule="auto"/>
        <w:jc w:val="both"/>
        <w:rPr>
          <w:rFonts w:ascii="Arial" w:hAnsi="Arial"/>
        </w:rPr>
      </w:pPr>
    </w:p>
    <w:p w14:paraId="48AE389B" w14:textId="77777777" w:rsidR="00D114C8" w:rsidRDefault="00DE696B" w:rsidP="00F0010C">
      <w:pPr>
        <w:spacing w:line="360" w:lineRule="auto"/>
        <w:jc w:val="both"/>
        <w:rPr>
          <w:rFonts w:ascii="Arial" w:hAnsi="Arial"/>
        </w:rPr>
      </w:pPr>
      <w:r>
        <w:rPr>
          <w:rFonts w:ascii="Arial" w:hAnsi="Arial"/>
        </w:rPr>
        <w:t>[17</w:t>
      </w:r>
      <w:r w:rsidR="00DE08FD">
        <w:rPr>
          <w:rFonts w:ascii="Arial" w:hAnsi="Arial"/>
        </w:rPr>
        <w:t>]</w:t>
      </w:r>
      <w:r w:rsidR="00DE08FD">
        <w:rPr>
          <w:rFonts w:ascii="Arial" w:hAnsi="Arial"/>
        </w:rPr>
        <w:tab/>
        <w:t>In the premises, I am of the considered view that the issue of authority is not a minor</w:t>
      </w:r>
      <w:r w:rsidR="00565A08">
        <w:rPr>
          <w:rFonts w:ascii="Arial" w:hAnsi="Arial"/>
        </w:rPr>
        <w:t xml:space="preserve"> issue that may be</w:t>
      </w:r>
      <w:r w:rsidR="00AE7496">
        <w:rPr>
          <w:rFonts w:ascii="Arial" w:hAnsi="Arial"/>
        </w:rPr>
        <w:t xml:space="preserve"> ‘forgotten’ </w:t>
      </w:r>
      <w:r w:rsidR="00D114C8">
        <w:rPr>
          <w:rFonts w:ascii="Arial" w:hAnsi="Arial"/>
        </w:rPr>
        <w:t xml:space="preserve">by a deponent and this is so </w:t>
      </w:r>
      <w:r w:rsidR="00AE7496">
        <w:rPr>
          <w:rFonts w:ascii="Arial" w:hAnsi="Arial"/>
        </w:rPr>
        <w:t>regardless of the urgency alleged to attach to the matter</w:t>
      </w:r>
      <w:r w:rsidR="00DE08FD">
        <w:rPr>
          <w:rFonts w:ascii="Arial" w:hAnsi="Arial"/>
        </w:rPr>
        <w:t xml:space="preserve">. </w:t>
      </w:r>
      <w:r w:rsidR="00565A08">
        <w:rPr>
          <w:rFonts w:ascii="Arial" w:hAnsi="Arial"/>
        </w:rPr>
        <w:t>It is elementary but very important in</w:t>
      </w:r>
      <w:r w:rsidR="00D114C8">
        <w:rPr>
          <w:rFonts w:ascii="Arial" w:hAnsi="Arial"/>
        </w:rPr>
        <w:t xml:space="preserve"> the life of any proceedings. For this reason, it</w:t>
      </w:r>
      <w:r w:rsidR="00565A08">
        <w:rPr>
          <w:rFonts w:ascii="Arial" w:hAnsi="Arial"/>
        </w:rPr>
        <w:t xml:space="preserve"> may not be overlooked without serious consequence. </w:t>
      </w:r>
    </w:p>
    <w:p w14:paraId="5EBE6EEB" w14:textId="77777777" w:rsidR="00D114C8" w:rsidRDefault="00D114C8" w:rsidP="00F0010C">
      <w:pPr>
        <w:spacing w:line="360" w:lineRule="auto"/>
        <w:jc w:val="both"/>
        <w:rPr>
          <w:rFonts w:ascii="Arial" w:hAnsi="Arial"/>
        </w:rPr>
      </w:pPr>
    </w:p>
    <w:p w14:paraId="4AB21AB1" w14:textId="77777777" w:rsidR="00DE08FD" w:rsidRDefault="00D114C8" w:rsidP="00F0010C">
      <w:pPr>
        <w:spacing w:line="360" w:lineRule="auto"/>
        <w:jc w:val="both"/>
        <w:rPr>
          <w:rFonts w:ascii="Arial" w:hAnsi="Arial"/>
        </w:rPr>
      </w:pPr>
      <w:r>
        <w:rPr>
          <w:rFonts w:ascii="Arial" w:hAnsi="Arial"/>
        </w:rPr>
        <w:t>[</w:t>
      </w:r>
      <w:r w:rsidR="00DE696B">
        <w:rPr>
          <w:rFonts w:ascii="Arial" w:hAnsi="Arial"/>
        </w:rPr>
        <w:t>18</w:t>
      </w:r>
      <w:r>
        <w:rPr>
          <w:rFonts w:ascii="Arial" w:hAnsi="Arial"/>
        </w:rPr>
        <w:t>]</w:t>
      </w:r>
      <w:r>
        <w:rPr>
          <w:rFonts w:ascii="Arial" w:hAnsi="Arial"/>
        </w:rPr>
        <w:tab/>
      </w:r>
      <w:r w:rsidR="00DE08FD">
        <w:rPr>
          <w:rFonts w:ascii="Arial" w:hAnsi="Arial"/>
        </w:rPr>
        <w:t>Authorisation of proceedings is a serious matter</w:t>
      </w:r>
      <w:r w:rsidR="00C20A31">
        <w:rPr>
          <w:rFonts w:ascii="Arial" w:hAnsi="Arial"/>
        </w:rPr>
        <w:t>,</w:t>
      </w:r>
      <w:r w:rsidR="00DE08FD">
        <w:rPr>
          <w:rFonts w:ascii="Arial" w:hAnsi="Arial"/>
        </w:rPr>
        <w:t xml:space="preserve"> </w:t>
      </w:r>
      <w:r>
        <w:rPr>
          <w:rFonts w:ascii="Arial" w:hAnsi="Arial"/>
        </w:rPr>
        <w:t>and is not just an idle incantation required for fastidious reasons. The</w:t>
      </w:r>
      <w:r w:rsidR="00DE08FD">
        <w:rPr>
          <w:rFonts w:ascii="Arial" w:hAnsi="Arial"/>
        </w:rPr>
        <w:t xml:space="preserve"> court must know</w:t>
      </w:r>
      <w:r>
        <w:rPr>
          <w:rFonts w:ascii="Arial" w:hAnsi="Arial"/>
        </w:rPr>
        <w:t>,</w:t>
      </w:r>
      <w:r w:rsidR="00DE08FD">
        <w:rPr>
          <w:rFonts w:ascii="Arial" w:hAnsi="Arial"/>
        </w:rPr>
        <w:t xml:space="preserve"> </w:t>
      </w:r>
      <w:r w:rsidR="00C20A31">
        <w:rPr>
          <w:rFonts w:ascii="Arial" w:hAnsi="Arial"/>
        </w:rPr>
        <w:t>before it lends its processes</w:t>
      </w:r>
      <w:r>
        <w:rPr>
          <w:rFonts w:ascii="Arial" w:hAnsi="Arial"/>
        </w:rPr>
        <w:t>,</w:t>
      </w:r>
      <w:r w:rsidR="00C20A31">
        <w:rPr>
          <w:rFonts w:ascii="Arial" w:hAnsi="Arial"/>
        </w:rPr>
        <w:t xml:space="preserve"> that the proceedings </w:t>
      </w:r>
      <w:r>
        <w:rPr>
          <w:rFonts w:ascii="Arial" w:hAnsi="Arial"/>
        </w:rPr>
        <w:t xml:space="preserve">before it </w:t>
      </w:r>
      <w:r w:rsidR="00C20A31">
        <w:rPr>
          <w:rFonts w:ascii="Arial" w:hAnsi="Arial"/>
        </w:rPr>
        <w:t xml:space="preserve">are </w:t>
      </w:r>
      <w:r>
        <w:rPr>
          <w:rFonts w:ascii="Arial" w:hAnsi="Arial"/>
        </w:rPr>
        <w:t xml:space="preserve">properly </w:t>
      </w:r>
      <w:r w:rsidR="00C20A31">
        <w:rPr>
          <w:rFonts w:ascii="Arial" w:hAnsi="Arial"/>
        </w:rPr>
        <w:t xml:space="preserve">authorised. This is done </w:t>
      </w:r>
      <w:r w:rsidR="00DE08FD">
        <w:rPr>
          <w:rFonts w:ascii="Arial" w:hAnsi="Arial"/>
        </w:rPr>
        <w:t xml:space="preserve">by a statement on oath, where applicable, with evidence </w:t>
      </w:r>
      <w:proofErr w:type="gramStart"/>
      <w:r w:rsidR="00DE08FD">
        <w:rPr>
          <w:rFonts w:ascii="Arial" w:hAnsi="Arial"/>
        </w:rPr>
        <w:t>thereof, that</w:t>
      </w:r>
      <w:proofErr w:type="gramEnd"/>
      <w:r w:rsidR="00DE08FD">
        <w:rPr>
          <w:rFonts w:ascii="Arial" w:hAnsi="Arial"/>
        </w:rPr>
        <w:t xml:space="preserve"> the person who institutes or defends the proce</w:t>
      </w:r>
      <w:r w:rsidR="00C20A31">
        <w:rPr>
          <w:rFonts w:ascii="Arial" w:hAnsi="Arial"/>
        </w:rPr>
        <w:t>edings is properly authorised and</w:t>
      </w:r>
      <w:r w:rsidR="00DE08FD">
        <w:rPr>
          <w:rFonts w:ascii="Arial" w:hAnsi="Arial"/>
        </w:rPr>
        <w:t xml:space="preserve"> is not on a </w:t>
      </w:r>
      <w:r w:rsidR="00C20A31">
        <w:rPr>
          <w:rFonts w:ascii="Arial" w:hAnsi="Arial"/>
        </w:rPr>
        <w:t>reckless</w:t>
      </w:r>
      <w:r w:rsidR="00F67140">
        <w:rPr>
          <w:rFonts w:ascii="Arial" w:hAnsi="Arial"/>
        </w:rPr>
        <w:t>, self-serving</w:t>
      </w:r>
      <w:r w:rsidR="00C20A31">
        <w:rPr>
          <w:rFonts w:ascii="Arial" w:hAnsi="Arial"/>
        </w:rPr>
        <w:t xml:space="preserve"> </w:t>
      </w:r>
      <w:r w:rsidR="00DE08FD">
        <w:rPr>
          <w:rFonts w:ascii="Arial" w:hAnsi="Arial"/>
        </w:rPr>
        <w:t xml:space="preserve">frolic of his or her own. </w:t>
      </w:r>
    </w:p>
    <w:p w14:paraId="2DB6D2AA" w14:textId="77777777" w:rsidR="00DE08FD" w:rsidRDefault="00DE08FD" w:rsidP="00F0010C">
      <w:pPr>
        <w:spacing w:line="360" w:lineRule="auto"/>
        <w:jc w:val="both"/>
        <w:rPr>
          <w:rFonts w:ascii="Arial" w:hAnsi="Arial"/>
        </w:rPr>
      </w:pPr>
    </w:p>
    <w:p w14:paraId="59BC9FD8" w14:textId="77777777" w:rsidR="00DE08FD" w:rsidRDefault="00DE696B" w:rsidP="00F0010C">
      <w:pPr>
        <w:spacing w:line="360" w:lineRule="auto"/>
        <w:jc w:val="both"/>
        <w:rPr>
          <w:rFonts w:ascii="Arial" w:hAnsi="Arial"/>
        </w:rPr>
      </w:pPr>
      <w:r>
        <w:rPr>
          <w:rFonts w:ascii="Arial" w:hAnsi="Arial"/>
        </w:rPr>
        <w:t>[19</w:t>
      </w:r>
      <w:r w:rsidR="00DE08FD">
        <w:rPr>
          <w:rFonts w:ascii="Arial" w:hAnsi="Arial"/>
        </w:rPr>
        <w:t>]</w:t>
      </w:r>
      <w:r w:rsidR="00DE08FD">
        <w:rPr>
          <w:rFonts w:ascii="Arial" w:hAnsi="Arial"/>
        </w:rPr>
        <w:tab/>
        <w:t xml:space="preserve">Once this is not stated in the founding affidavit, the only conclusion that may be reached is that the proceedings are not properly authorised and that </w:t>
      </w:r>
      <w:r w:rsidR="00C20A31">
        <w:rPr>
          <w:rFonts w:ascii="Arial" w:hAnsi="Arial"/>
        </w:rPr>
        <w:t xml:space="preserve">inevitably, </w:t>
      </w:r>
      <w:r w:rsidR="00DE08FD">
        <w:rPr>
          <w:rFonts w:ascii="Arial" w:hAnsi="Arial"/>
        </w:rPr>
        <w:t>is the applicant’s fate in these proceedings. It is accordingly unnecessary</w:t>
      </w:r>
      <w:r w:rsidR="00565A08">
        <w:rPr>
          <w:rFonts w:ascii="Arial" w:hAnsi="Arial"/>
        </w:rPr>
        <w:t xml:space="preserve"> to consider the other </w:t>
      </w:r>
      <w:r w:rsidR="00DE08FD">
        <w:rPr>
          <w:rFonts w:ascii="Arial" w:hAnsi="Arial"/>
        </w:rPr>
        <w:t>issues raised by the 1</w:t>
      </w:r>
      <w:r w:rsidR="00DE08FD" w:rsidRPr="00DE08FD">
        <w:rPr>
          <w:rFonts w:ascii="Arial" w:hAnsi="Arial"/>
          <w:vertAlign w:val="superscript"/>
        </w:rPr>
        <w:t>st</w:t>
      </w:r>
      <w:r w:rsidR="00DE08FD">
        <w:rPr>
          <w:rFonts w:ascii="Arial" w:hAnsi="Arial"/>
        </w:rPr>
        <w:t xml:space="preserve"> respondent</w:t>
      </w:r>
      <w:r w:rsidR="00565A08">
        <w:rPr>
          <w:rFonts w:ascii="Arial" w:hAnsi="Arial"/>
        </w:rPr>
        <w:t xml:space="preserve"> in his notice</w:t>
      </w:r>
      <w:r w:rsidR="00DE08FD">
        <w:rPr>
          <w:rFonts w:ascii="Arial" w:hAnsi="Arial"/>
        </w:rPr>
        <w:t>.</w:t>
      </w:r>
    </w:p>
    <w:p w14:paraId="28E29141" w14:textId="77777777" w:rsidR="00F0010C" w:rsidRDefault="00F0010C" w:rsidP="00F0010C">
      <w:pPr>
        <w:spacing w:line="360" w:lineRule="auto"/>
        <w:jc w:val="both"/>
        <w:rPr>
          <w:rFonts w:ascii="Arial" w:hAnsi="Arial"/>
        </w:rPr>
      </w:pPr>
    </w:p>
    <w:p w14:paraId="344D0460" w14:textId="77777777" w:rsidR="00DE696B" w:rsidRDefault="00DE696B" w:rsidP="00F0010C">
      <w:pPr>
        <w:spacing w:line="360" w:lineRule="auto"/>
        <w:jc w:val="both"/>
        <w:rPr>
          <w:rFonts w:ascii="Arial" w:hAnsi="Arial"/>
        </w:rPr>
      </w:pPr>
      <w:r>
        <w:rPr>
          <w:rFonts w:ascii="Arial" w:hAnsi="Arial"/>
        </w:rPr>
        <w:t>[20]</w:t>
      </w:r>
      <w:r>
        <w:rPr>
          <w:rFonts w:ascii="Arial" w:hAnsi="Arial"/>
        </w:rPr>
        <w:tab/>
        <w:t xml:space="preserve">The learned authors </w:t>
      </w:r>
      <w:proofErr w:type="spellStart"/>
      <w:r>
        <w:rPr>
          <w:rFonts w:ascii="Arial" w:hAnsi="Arial"/>
        </w:rPr>
        <w:t>Herbstein</w:t>
      </w:r>
      <w:proofErr w:type="spellEnd"/>
      <w:r>
        <w:rPr>
          <w:rFonts w:ascii="Arial" w:hAnsi="Arial"/>
        </w:rPr>
        <w:t xml:space="preserve"> &amp; Van </w:t>
      </w:r>
      <w:proofErr w:type="spellStart"/>
      <w:r>
        <w:rPr>
          <w:rFonts w:ascii="Arial" w:hAnsi="Arial"/>
        </w:rPr>
        <w:t>Winsen</w:t>
      </w:r>
      <w:proofErr w:type="spellEnd"/>
      <w:r>
        <w:rPr>
          <w:rStyle w:val="FootnoteReference"/>
          <w:rFonts w:ascii="Arial" w:hAnsi="Arial"/>
        </w:rPr>
        <w:footnoteReference w:id="5"/>
      </w:r>
      <w:r>
        <w:rPr>
          <w:rFonts w:ascii="Arial" w:hAnsi="Arial"/>
        </w:rPr>
        <w:t xml:space="preserve"> say, ‘The necessary allegations must appear in the supporting affidavits, for the court will not, save in exceptional circumstances, allow the applicant to make or supplement a case in a replying affidavit and will order any matter appearing in it that should have been in the supporting affidavits to be struck out.’ This is the law even in this Republic as propounded in what has become known as the </w:t>
      </w:r>
      <w:proofErr w:type="spellStart"/>
      <w:r>
        <w:rPr>
          <w:rFonts w:ascii="Arial" w:hAnsi="Arial"/>
          <w:i/>
        </w:rPr>
        <w:t>Stipp</w:t>
      </w:r>
      <w:proofErr w:type="spellEnd"/>
      <w:r>
        <w:rPr>
          <w:rFonts w:ascii="Arial" w:hAnsi="Arial"/>
          <w:i/>
        </w:rPr>
        <w:t xml:space="preserve"> </w:t>
      </w:r>
      <w:r>
        <w:rPr>
          <w:rFonts w:ascii="Arial" w:hAnsi="Arial"/>
        </w:rPr>
        <w:t>principle.</w:t>
      </w:r>
      <w:r>
        <w:rPr>
          <w:rStyle w:val="FootnoteReference"/>
          <w:rFonts w:ascii="Arial" w:hAnsi="Arial"/>
        </w:rPr>
        <w:footnoteReference w:id="6"/>
      </w:r>
    </w:p>
    <w:p w14:paraId="09ADA7BA" w14:textId="77777777" w:rsidR="00DE696B" w:rsidRDefault="00DE696B" w:rsidP="00F0010C">
      <w:pPr>
        <w:spacing w:line="360" w:lineRule="auto"/>
        <w:jc w:val="both"/>
        <w:rPr>
          <w:rFonts w:ascii="Arial" w:hAnsi="Arial"/>
        </w:rPr>
      </w:pPr>
    </w:p>
    <w:p w14:paraId="66083DAB" w14:textId="77777777" w:rsidR="00DE696B" w:rsidRDefault="00DE696B" w:rsidP="00F0010C">
      <w:pPr>
        <w:spacing w:line="360" w:lineRule="auto"/>
        <w:jc w:val="both"/>
        <w:rPr>
          <w:rFonts w:ascii="Arial" w:hAnsi="Arial"/>
          <w:u w:val="single"/>
        </w:rPr>
      </w:pPr>
      <w:r>
        <w:rPr>
          <w:rFonts w:ascii="Arial" w:hAnsi="Arial"/>
          <w:u w:val="single"/>
        </w:rPr>
        <w:t>Conclusion</w:t>
      </w:r>
    </w:p>
    <w:p w14:paraId="6532C4AD" w14:textId="77777777" w:rsidR="00DE696B" w:rsidRDefault="00DE696B" w:rsidP="00F0010C">
      <w:pPr>
        <w:spacing w:line="360" w:lineRule="auto"/>
        <w:jc w:val="both"/>
        <w:rPr>
          <w:rFonts w:ascii="Arial" w:hAnsi="Arial"/>
          <w:u w:val="single"/>
        </w:rPr>
      </w:pPr>
    </w:p>
    <w:p w14:paraId="67B00ED7" w14:textId="77777777" w:rsidR="00DE696B" w:rsidRPr="00DE696B" w:rsidRDefault="00DE696B" w:rsidP="00F0010C">
      <w:pPr>
        <w:spacing w:line="360" w:lineRule="auto"/>
        <w:jc w:val="both"/>
        <w:rPr>
          <w:rFonts w:ascii="Arial" w:hAnsi="Arial"/>
        </w:rPr>
      </w:pPr>
      <w:r>
        <w:rPr>
          <w:rFonts w:ascii="Arial" w:hAnsi="Arial"/>
        </w:rPr>
        <w:t>[21]</w:t>
      </w:r>
      <w:r>
        <w:rPr>
          <w:rFonts w:ascii="Arial" w:hAnsi="Arial"/>
        </w:rPr>
        <w:tab/>
        <w:t>In view of what has been discussed and concluded above, it appears that the applicant has not made the necessary allegations regarding her authority to launch these proceedings. Because there is no allegation that the proceedings are authorised, the proceedings may not be allowed to continue and there is thus no need to consider the other points of law raised by the respondent.</w:t>
      </w:r>
    </w:p>
    <w:p w14:paraId="683640D2" w14:textId="77777777" w:rsidR="00565A08" w:rsidRDefault="00565A08" w:rsidP="00F0010C">
      <w:pPr>
        <w:spacing w:line="360" w:lineRule="auto"/>
        <w:jc w:val="both"/>
        <w:rPr>
          <w:rFonts w:ascii="Arial" w:hAnsi="Arial"/>
        </w:rPr>
      </w:pPr>
    </w:p>
    <w:p w14:paraId="046195A7" w14:textId="77777777" w:rsidR="00565A08" w:rsidRDefault="00565A08" w:rsidP="00F0010C">
      <w:pPr>
        <w:spacing w:line="360" w:lineRule="auto"/>
        <w:jc w:val="both"/>
        <w:rPr>
          <w:rFonts w:ascii="Arial" w:hAnsi="Arial"/>
          <w:u w:val="single"/>
        </w:rPr>
      </w:pPr>
      <w:r>
        <w:rPr>
          <w:rFonts w:ascii="Arial" w:hAnsi="Arial"/>
          <w:u w:val="single"/>
        </w:rPr>
        <w:t>Order</w:t>
      </w:r>
    </w:p>
    <w:p w14:paraId="2EB6E795" w14:textId="77777777" w:rsidR="00565A08" w:rsidRPr="00565A08" w:rsidRDefault="00565A08" w:rsidP="00F0010C">
      <w:pPr>
        <w:spacing w:line="360" w:lineRule="auto"/>
        <w:jc w:val="both"/>
        <w:rPr>
          <w:rFonts w:ascii="Arial" w:hAnsi="Arial"/>
          <w:u w:val="single"/>
        </w:rPr>
      </w:pPr>
    </w:p>
    <w:p w14:paraId="39DF16A5" w14:textId="77777777" w:rsidR="00565A08" w:rsidRDefault="00DE696B" w:rsidP="00F0010C">
      <w:pPr>
        <w:spacing w:line="360" w:lineRule="auto"/>
        <w:jc w:val="both"/>
        <w:rPr>
          <w:rFonts w:ascii="Arial" w:hAnsi="Arial"/>
        </w:rPr>
      </w:pPr>
      <w:r>
        <w:rPr>
          <w:rFonts w:ascii="Arial" w:hAnsi="Arial"/>
        </w:rPr>
        <w:t>[22</w:t>
      </w:r>
      <w:r w:rsidR="00565A08">
        <w:rPr>
          <w:rFonts w:ascii="Arial" w:hAnsi="Arial"/>
        </w:rPr>
        <w:t>]</w:t>
      </w:r>
      <w:r w:rsidR="00565A08">
        <w:rPr>
          <w:rFonts w:ascii="Arial" w:hAnsi="Arial"/>
        </w:rPr>
        <w:tab/>
        <w:t>The proper order, in the premises, is to strike the matter from the roll due to lack of authority to institute the proceedings and I do so accordingly.</w:t>
      </w:r>
      <w:r w:rsidR="00C20A31">
        <w:rPr>
          <w:rFonts w:ascii="Arial" w:hAnsi="Arial"/>
        </w:rPr>
        <w:t xml:space="preserve"> Resultantly I issue the order below:</w:t>
      </w:r>
    </w:p>
    <w:p w14:paraId="3E7497C6" w14:textId="77777777" w:rsidR="00565A08" w:rsidRDefault="00565A08" w:rsidP="00F0010C">
      <w:pPr>
        <w:spacing w:line="360" w:lineRule="auto"/>
        <w:jc w:val="both"/>
        <w:rPr>
          <w:rFonts w:ascii="Arial" w:hAnsi="Arial"/>
        </w:rPr>
      </w:pPr>
    </w:p>
    <w:p w14:paraId="19EF6CFC" w14:textId="77777777" w:rsidR="00565A08" w:rsidRPr="00565A08" w:rsidRDefault="00565A08" w:rsidP="00F0010C">
      <w:pPr>
        <w:pStyle w:val="ListParagraph"/>
        <w:numPr>
          <w:ilvl w:val="0"/>
          <w:numId w:val="1"/>
        </w:numPr>
        <w:spacing w:line="360" w:lineRule="auto"/>
        <w:jc w:val="both"/>
        <w:rPr>
          <w:rFonts w:ascii="Arial" w:hAnsi="Arial"/>
        </w:rPr>
      </w:pPr>
      <w:r w:rsidRPr="00565A08">
        <w:rPr>
          <w:rFonts w:ascii="Arial" w:hAnsi="Arial"/>
        </w:rPr>
        <w:t>The application is struck from the roll.</w:t>
      </w:r>
    </w:p>
    <w:p w14:paraId="5499C2C8" w14:textId="77777777" w:rsidR="00F0010C" w:rsidRDefault="00565A08" w:rsidP="00F0010C">
      <w:pPr>
        <w:pStyle w:val="ListParagraph"/>
        <w:numPr>
          <w:ilvl w:val="0"/>
          <w:numId w:val="1"/>
        </w:numPr>
        <w:spacing w:line="360" w:lineRule="auto"/>
        <w:jc w:val="both"/>
        <w:rPr>
          <w:rFonts w:ascii="Arial" w:hAnsi="Arial"/>
        </w:rPr>
      </w:pPr>
      <w:r>
        <w:rPr>
          <w:rFonts w:ascii="Arial" w:hAnsi="Arial"/>
        </w:rPr>
        <w:t>The applicant is ordered to pay the costs of the application, consequent upon the employment of one instructing and one instructed counsel.</w:t>
      </w:r>
    </w:p>
    <w:p w14:paraId="520724D4" w14:textId="77777777" w:rsidR="00F0010C" w:rsidRDefault="00F0010C" w:rsidP="00F0010C">
      <w:pPr>
        <w:pStyle w:val="ListParagraph"/>
        <w:spacing w:line="360" w:lineRule="auto"/>
        <w:jc w:val="right"/>
        <w:rPr>
          <w:rFonts w:ascii="Arial" w:hAnsi="Arial"/>
        </w:rPr>
      </w:pPr>
    </w:p>
    <w:p w14:paraId="7F854084" w14:textId="40FD5733" w:rsidR="00F0010C" w:rsidRPr="00F0010C" w:rsidRDefault="00F0010C" w:rsidP="00F0010C">
      <w:pPr>
        <w:pStyle w:val="ListParagraph"/>
        <w:spacing w:line="360" w:lineRule="auto"/>
        <w:jc w:val="right"/>
        <w:rPr>
          <w:rFonts w:ascii="Arial" w:hAnsi="Arial"/>
        </w:rPr>
      </w:pPr>
      <w:r w:rsidRPr="00F0010C">
        <w:rPr>
          <w:rFonts w:ascii="Arial" w:hAnsi="Arial"/>
        </w:rPr>
        <w:t>___________</w:t>
      </w:r>
    </w:p>
    <w:p w14:paraId="3608F859" w14:textId="77777777" w:rsidR="00F0010C" w:rsidRPr="00F0010C" w:rsidRDefault="00F0010C" w:rsidP="00F0010C">
      <w:pPr>
        <w:pStyle w:val="ListParagraph"/>
        <w:spacing w:line="360" w:lineRule="auto"/>
        <w:jc w:val="right"/>
        <w:rPr>
          <w:rFonts w:ascii="Arial" w:hAnsi="Arial"/>
        </w:rPr>
      </w:pPr>
      <w:r w:rsidRPr="00F0010C">
        <w:rPr>
          <w:rFonts w:ascii="Arial" w:hAnsi="Arial"/>
        </w:rPr>
        <w:t xml:space="preserve">T. S. </w:t>
      </w:r>
      <w:proofErr w:type="spellStart"/>
      <w:r w:rsidRPr="00F0010C">
        <w:rPr>
          <w:rFonts w:ascii="Arial" w:hAnsi="Arial"/>
        </w:rPr>
        <w:t>Masuku</w:t>
      </w:r>
      <w:proofErr w:type="spellEnd"/>
    </w:p>
    <w:p w14:paraId="112C337E" w14:textId="77777777" w:rsidR="00F0010C" w:rsidRPr="00F0010C" w:rsidRDefault="00F0010C" w:rsidP="00F0010C">
      <w:pPr>
        <w:pStyle w:val="ListParagraph"/>
        <w:spacing w:line="360" w:lineRule="auto"/>
        <w:jc w:val="right"/>
        <w:rPr>
          <w:rFonts w:ascii="Arial" w:hAnsi="Arial"/>
        </w:rPr>
      </w:pPr>
      <w:r w:rsidRPr="00F0010C">
        <w:rPr>
          <w:rFonts w:ascii="Arial" w:hAnsi="Arial"/>
        </w:rPr>
        <w:t>Judge</w:t>
      </w:r>
    </w:p>
    <w:p w14:paraId="1134C229" w14:textId="29D251AB" w:rsidR="00565A08" w:rsidRPr="00F0010C" w:rsidRDefault="00565A08" w:rsidP="00F0010C">
      <w:pPr>
        <w:spacing w:line="360" w:lineRule="auto"/>
        <w:jc w:val="both"/>
        <w:rPr>
          <w:rFonts w:ascii="Arial" w:hAnsi="Arial"/>
        </w:rPr>
      </w:pPr>
      <w:r w:rsidRPr="00F0010C">
        <w:rPr>
          <w:rFonts w:ascii="Arial" w:hAnsi="Arial"/>
        </w:rPr>
        <w:tab/>
      </w:r>
    </w:p>
    <w:p w14:paraId="300964BB" w14:textId="77777777" w:rsidR="00DE08FD" w:rsidRDefault="00DE08FD" w:rsidP="00F0010C">
      <w:pPr>
        <w:spacing w:line="360" w:lineRule="auto"/>
        <w:jc w:val="both"/>
        <w:rPr>
          <w:rFonts w:ascii="Arial" w:hAnsi="Arial"/>
        </w:rPr>
      </w:pPr>
    </w:p>
    <w:p w14:paraId="736A187F" w14:textId="3A7DC02A" w:rsidR="001565AF" w:rsidRDefault="001565AF">
      <w:pPr>
        <w:rPr>
          <w:rFonts w:ascii="Arial" w:hAnsi="Arial"/>
        </w:rPr>
      </w:pPr>
      <w:r>
        <w:rPr>
          <w:rFonts w:ascii="Arial" w:hAnsi="Arial"/>
        </w:rPr>
        <w:br w:type="page"/>
      </w:r>
    </w:p>
    <w:p w14:paraId="0541E4CD" w14:textId="43E25F96" w:rsidR="00DE08FD" w:rsidRDefault="001565AF" w:rsidP="00F0010C">
      <w:pPr>
        <w:spacing w:line="360" w:lineRule="auto"/>
        <w:jc w:val="both"/>
        <w:rPr>
          <w:rFonts w:ascii="Arial" w:hAnsi="Arial"/>
        </w:rPr>
      </w:pPr>
      <w:r>
        <w:rPr>
          <w:rFonts w:ascii="Arial" w:hAnsi="Arial"/>
        </w:rPr>
        <w:t>APPEARANCES:</w:t>
      </w:r>
    </w:p>
    <w:p w14:paraId="4E423AF1" w14:textId="77777777" w:rsidR="001565AF" w:rsidRDefault="001565AF" w:rsidP="00F0010C">
      <w:pPr>
        <w:spacing w:line="360" w:lineRule="auto"/>
        <w:jc w:val="both"/>
        <w:rPr>
          <w:rFonts w:ascii="Arial" w:hAnsi="Arial"/>
        </w:rPr>
      </w:pPr>
    </w:p>
    <w:p w14:paraId="5B6A09A1" w14:textId="77777777" w:rsidR="001565AF" w:rsidRDefault="001565AF" w:rsidP="00F0010C">
      <w:pPr>
        <w:spacing w:line="360" w:lineRule="auto"/>
        <w:jc w:val="both"/>
        <w:rPr>
          <w:rFonts w:ascii="Arial" w:hAnsi="Arial"/>
        </w:rPr>
      </w:pPr>
    </w:p>
    <w:p w14:paraId="0E005D87" w14:textId="5623DEC3" w:rsidR="001565AF" w:rsidRDefault="001565AF" w:rsidP="00F0010C">
      <w:pPr>
        <w:spacing w:line="360" w:lineRule="auto"/>
        <w:jc w:val="both"/>
        <w:rPr>
          <w:rFonts w:ascii="Arial" w:hAnsi="Arial"/>
        </w:rPr>
      </w:pPr>
      <w:r>
        <w:rPr>
          <w:rFonts w:ascii="Arial" w:hAnsi="Arial"/>
        </w:rPr>
        <w:t>APPLICANT:</w:t>
      </w:r>
      <w:r>
        <w:rPr>
          <w:rFonts w:ascii="Arial" w:hAnsi="Arial"/>
        </w:rPr>
        <w:tab/>
      </w:r>
      <w:r>
        <w:rPr>
          <w:rFonts w:ascii="Arial" w:hAnsi="Arial"/>
        </w:rPr>
        <w:tab/>
        <w:t>J. Jacobs</w:t>
      </w:r>
    </w:p>
    <w:p w14:paraId="02857D48" w14:textId="627E2910" w:rsidR="001565AF" w:rsidRDefault="001565AF" w:rsidP="00F0010C">
      <w:pPr>
        <w:spacing w:line="360" w:lineRule="auto"/>
        <w:jc w:val="both"/>
        <w:rPr>
          <w:rFonts w:ascii="Arial" w:hAnsi="Arial"/>
        </w:rPr>
      </w:pPr>
      <w:r>
        <w:rPr>
          <w:rFonts w:ascii="Arial" w:hAnsi="Arial"/>
        </w:rPr>
        <w:t>Instructed by:</w:t>
      </w:r>
      <w:r>
        <w:rPr>
          <w:rFonts w:ascii="Arial" w:hAnsi="Arial"/>
        </w:rPr>
        <w:tab/>
      </w:r>
      <w:proofErr w:type="spellStart"/>
      <w:r>
        <w:rPr>
          <w:rFonts w:ascii="Arial" w:hAnsi="Arial"/>
        </w:rPr>
        <w:t>AngulaCo</w:t>
      </w:r>
      <w:proofErr w:type="spellEnd"/>
      <w:r>
        <w:rPr>
          <w:rFonts w:ascii="Arial" w:hAnsi="Arial"/>
        </w:rPr>
        <w:t>. Inc., Windhoek</w:t>
      </w:r>
    </w:p>
    <w:p w14:paraId="3F10B712" w14:textId="77777777" w:rsidR="001565AF" w:rsidRDefault="001565AF" w:rsidP="00F0010C">
      <w:pPr>
        <w:spacing w:line="360" w:lineRule="auto"/>
        <w:jc w:val="both"/>
        <w:rPr>
          <w:rFonts w:ascii="Arial" w:hAnsi="Arial"/>
        </w:rPr>
      </w:pPr>
    </w:p>
    <w:p w14:paraId="210659F5" w14:textId="77777777" w:rsidR="001565AF" w:rsidRDefault="001565AF" w:rsidP="00F0010C">
      <w:pPr>
        <w:spacing w:line="360" w:lineRule="auto"/>
        <w:jc w:val="both"/>
        <w:rPr>
          <w:rFonts w:ascii="Arial" w:hAnsi="Arial"/>
        </w:rPr>
      </w:pPr>
    </w:p>
    <w:p w14:paraId="0BB5D80F" w14:textId="41276DCB" w:rsidR="001565AF" w:rsidRDefault="001565AF" w:rsidP="00F0010C">
      <w:pPr>
        <w:spacing w:line="360" w:lineRule="auto"/>
        <w:jc w:val="both"/>
        <w:rPr>
          <w:rFonts w:ascii="Arial" w:hAnsi="Arial"/>
        </w:rPr>
      </w:pPr>
      <w:r>
        <w:rPr>
          <w:rFonts w:ascii="Arial" w:hAnsi="Arial"/>
        </w:rPr>
        <w:t>RESPONDENT:</w:t>
      </w:r>
      <w:r>
        <w:rPr>
          <w:rFonts w:ascii="Arial" w:hAnsi="Arial"/>
        </w:rPr>
        <w:tab/>
        <w:t xml:space="preserve">T. </w:t>
      </w:r>
      <w:proofErr w:type="spellStart"/>
      <w:r>
        <w:rPr>
          <w:rFonts w:ascii="Arial" w:hAnsi="Arial"/>
        </w:rPr>
        <w:t>Muhongo</w:t>
      </w:r>
      <w:proofErr w:type="spellEnd"/>
    </w:p>
    <w:p w14:paraId="69BADFC5" w14:textId="5A935DB1" w:rsidR="001565AF" w:rsidRPr="00581ACF" w:rsidRDefault="001565AF" w:rsidP="00F0010C">
      <w:pPr>
        <w:spacing w:line="360" w:lineRule="auto"/>
        <w:jc w:val="both"/>
        <w:rPr>
          <w:rFonts w:ascii="Arial" w:hAnsi="Arial"/>
        </w:rPr>
      </w:pPr>
      <w:r>
        <w:rPr>
          <w:rFonts w:ascii="Arial" w:hAnsi="Arial"/>
        </w:rPr>
        <w:t>Instructed by:</w:t>
      </w:r>
      <w:r>
        <w:rPr>
          <w:rFonts w:ascii="Arial" w:hAnsi="Arial"/>
        </w:rPr>
        <w:tab/>
        <w:t>Tjombe-</w:t>
      </w:r>
      <w:proofErr w:type="spellStart"/>
      <w:r>
        <w:rPr>
          <w:rFonts w:ascii="Arial" w:hAnsi="Arial"/>
        </w:rPr>
        <w:t>Elago</w:t>
      </w:r>
      <w:proofErr w:type="spellEnd"/>
      <w:r>
        <w:rPr>
          <w:rFonts w:ascii="Arial" w:hAnsi="Arial"/>
        </w:rPr>
        <w:t xml:space="preserve"> Inc., Windhoek</w:t>
      </w:r>
    </w:p>
    <w:sectPr w:rsidR="001565AF" w:rsidRPr="00581ACF" w:rsidSect="00F0010C">
      <w:headerReference w:type="even" r:id="rId8"/>
      <w:headerReference w:type="default" r:id="rId9"/>
      <w:pgSz w:w="11900" w:h="16840"/>
      <w:pgMar w:top="1135"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82288" w14:textId="77777777" w:rsidR="008D29CF" w:rsidRDefault="008D29CF" w:rsidP="00581ACF">
      <w:r>
        <w:separator/>
      </w:r>
    </w:p>
  </w:endnote>
  <w:endnote w:type="continuationSeparator" w:id="0">
    <w:p w14:paraId="6D62FDFF" w14:textId="77777777" w:rsidR="008D29CF" w:rsidRDefault="008D29CF" w:rsidP="0058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82928" w14:textId="77777777" w:rsidR="008D29CF" w:rsidRDefault="008D29CF" w:rsidP="00581ACF">
      <w:r>
        <w:separator/>
      </w:r>
    </w:p>
  </w:footnote>
  <w:footnote w:type="continuationSeparator" w:id="0">
    <w:p w14:paraId="7C9423FC" w14:textId="77777777" w:rsidR="008D29CF" w:rsidRDefault="008D29CF" w:rsidP="00581ACF">
      <w:r>
        <w:continuationSeparator/>
      </w:r>
    </w:p>
  </w:footnote>
  <w:footnote w:id="1">
    <w:p w14:paraId="1F4EB1FC" w14:textId="77777777" w:rsidR="00767F8A" w:rsidRPr="00565A08" w:rsidRDefault="00767F8A">
      <w:pPr>
        <w:pStyle w:val="FootnoteText"/>
        <w:rPr>
          <w:rFonts w:ascii="Arial" w:hAnsi="Arial"/>
          <w:sz w:val="20"/>
          <w:szCs w:val="20"/>
          <w:lang w:val="en-US"/>
        </w:rPr>
      </w:pPr>
      <w:r>
        <w:rPr>
          <w:rStyle w:val="FootnoteReference"/>
        </w:rPr>
        <w:footnoteRef/>
      </w:r>
      <w:r>
        <w:t xml:space="preserve"> </w:t>
      </w:r>
      <w:r w:rsidRPr="00565A08">
        <w:rPr>
          <w:rFonts w:ascii="Arial" w:hAnsi="Arial"/>
          <w:sz w:val="20"/>
          <w:szCs w:val="20"/>
          <w:lang w:val="en-US"/>
        </w:rPr>
        <w:t>(A 76/2015) [2016] HAHCMD 8 (20 January 2016).</w:t>
      </w:r>
    </w:p>
  </w:footnote>
  <w:footnote w:id="2">
    <w:p w14:paraId="290EC3E0" w14:textId="77777777" w:rsidR="00767F8A" w:rsidRPr="00565A08" w:rsidRDefault="00767F8A">
      <w:pPr>
        <w:pStyle w:val="FootnoteText"/>
        <w:rPr>
          <w:rFonts w:ascii="Arial" w:hAnsi="Arial"/>
          <w:sz w:val="20"/>
          <w:szCs w:val="20"/>
          <w:lang w:val="en-US"/>
        </w:rPr>
      </w:pPr>
      <w:r w:rsidRPr="00565A08">
        <w:rPr>
          <w:rStyle w:val="FootnoteReference"/>
          <w:rFonts w:ascii="Arial" w:hAnsi="Arial"/>
          <w:sz w:val="20"/>
          <w:szCs w:val="20"/>
        </w:rPr>
        <w:footnoteRef/>
      </w:r>
      <w:r w:rsidRPr="00565A08">
        <w:rPr>
          <w:rFonts w:ascii="Arial" w:hAnsi="Arial"/>
          <w:sz w:val="20"/>
          <w:szCs w:val="20"/>
        </w:rPr>
        <w:t xml:space="preserve"> </w:t>
      </w:r>
      <w:r w:rsidRPr="00565A08">
        <w:rPr>
          <w:rFonts w:ascii="Arial" w:hAnsi="Arial"/>
          <w:sz w:val="20"/>
          <w:szCs w:val="20"/>
          <w:lang w:val="en-US"/>
        </w:rPr>
        <w:t>1996 NR 279 (HC).</w:t>
      </w:r>
    </w:p>
  </w:footnote>
  <w:footnote w:id="3">
    <w:p w14:paraId="367D2C1C" w14:textId="77777777" w:rsidR="00767F8A" w:rsidRPr="00AE7496" w:rsidRDefault="00767F8A">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2011 NR 289 (HC) para…</w:t>
      </w:r>
    </w:p>
  </w:footnote>
  <w:footnote w:id="4">
    <w:p w14:paraId="7B120FCD" w14:textId="77777777" w:rsidR="00767F8A" w:rsidRPr="00D6785A" w:rsidRDefault="00767F8A">
      <w:pPr>
        <w:pStyle w:val="FootnoteText"/>
        <w:rPr>
          <w:rFonts w:ascii="Arial" w:hAnsi="Arial"/>
          <w:sz w:val="20"/>
          <w:szCs w:val="20"/>
          <w:lang w:val="en-US"/>
        </w:rPr>
      </w:pPr>
      <w:r>
        <w:rPr>
          <w:rStyle w:val="FootnoteReference"/>
        </w:rPr>
        <w:footnoteRef/>
      </w:r>
      <w:r>
        <w:t xml:space="preserve"> </w:t>
      </w:r>
      <w:proofErr w:type="spellStart"/>
      <w:r>
        <w:rPr>
          <w:rFonts w:ascii="Arial" w:hAnsi="Arial"/>
          <w:sz w:val="20"/>
          <w:szCs w:val="20"/>
          <w:lang w:val="en-US"/>
        </w:rPr>
        <w:t>Herbstein</w:t>
      </w:r>
      <w:proofErr w:type="spellEnd"/>
      <w:r>
        <w:rPr>
          <w:rFonts w:ascii="Arial" w:hAnsi="Arial"/>
          <w:sz w:val="20"/>
          <w:szCs w:val="20"/>
          <w:lang w:val="en-US"/>
        </w:rPr>
        <w:t xml:space="preserve"> &amp; Van </w:t>
      </w:r>
      <w:proofErr w:type="spellStart"/>
      <w:r>
        <w:rPr>
          <w:rFonts w:ascii="Arial" w:hAnsi="Arial"/>
          <w:sz w:val="20"/>
          <w:szCs w:val="20"/>
          <w:lang w:val="en-US"/>
        </w:rPr>
        <w:t>Winsen</w:t>
      </w:r>
      <w:proofErr w:type="spellEnd"/>
      <w:r>
        <w:rPr>
          <w:rFonts w:ascii="Arial" w:hAnsi="Arial"/>
          <w:sz w:val="20"/>
          <w:szCs w:val="20"/>
          <w:lang w:val="en-US"/>
        </w:rPr>
        <w:t xml:space="preserve">, </w:t>
      </w:r>
      <w:r>
        <w:rPr>
          <w:rFonts w:ascii="Arial" w:hAnsi="Arial"/>
          <w:sz w:val="20"/>
          <w:szCs w:val="20"/>
          <w:u w:val="single"/>
          <w:lang w:val="en-US"/>
        </w:rPr>
        <w:t xml:space="preserve">The Civil Practice of the High Courts of South Africa, </w:t>
      </w:r>
      <w:r>
        <w:rPr>
          <w:rFonts w:ascii="Arial" w:hAnsi="Arial"/>
          <w:sz w:val="20"/>
          <w:szCs w:val="20"/>
          <w:lang w:val="en-US"/>
        </w:rPr>
        <w:t>5</w:t>
      </w:r>
      <w:r w:rsidRPr="00D6785A">
        <w:rPr>
          <w:rFonts w:ascii="Arial" w:hAnsi="Arial"/>
          <w:sz w:val="20"/>
          <w:szCs w:val="20"/>
          <w:vertAlign w:val="superscript"/>
          <w:lang w:val="en-US"/>
        </w:rPr>
        <w:t>th</w:t>
      </w:r>
      <w:r>
        <w:rPr>
          <w:rFonts w:ascii="Arial" w:hAnsi="Arial"/>
          <w:sz w:val="20"/>
          <w:szCs w:val="20"/>
          <w:lang w:val="en-US"/>
        </w:rPr>
        <w:t xml:space="preserve"> </w:t>
      </w:r>
      <w:proofErr w:type="spellStart"/>
      <w:r>
        <w:rPr>
          <w:rFonts w:ascii="Arial" w:hAnsi="Arial"/>
          <w:sz w:val="20"/>
          <w:szCs w:val="20"/>
          <w:lang w:val="en-US"/>
        </w:rPr>
        <w:t>ed</w:t>
      </w:r>
      <w:proofErr w:type="spellEnd"/>
      <w:r>
        <w:rPr>
          <w:rFonts w:ascii="Arial" w:hAnsi="Arial"/>
          <w:sz w:val="20"/>
          <w:szCs w:val="20"/>
          <w:lang w:val="en-US"/>
        </w:rPr>
        <w:t xml:space="preserve">, Vol 1, </w:t>
      </w:r>
      <w:proofErr w:type="spellStart"/>
      <w:r>
        <w:rPr>
          <w:rFonts w:ascii="Arial" w:hAnsi="Arial"/>
          <w:sz w:val="20"/>
          <w:szCs w:val="20"/>
          <w:lang w:val="en-US"/>
        </w:rPr>
        <w:t>Juta</w:t>
      </w:r>
      <w:proofErr w:type="spellEnd"/>
      <w:r>
        <w:rPr>
          <w:rFonts w:ascii="Arial" w:hAnsi="Arial"/>
          <w:sz w:val="20"/>
          <w:szCs w:val="20"/>
          <w:lang w:val="en-US"/>
        </w:rPr>
        <w:t xml:space="preserve"> &amp; Co, 2009, p 433.</w:t>
      </w:r>
    </w:p>
  </w:footnote>
  <w:footnote w:id="5">
    <w:p w14:paraId="7EF51F4F" w14:textId="77777777" w:rsidR="00767F8A" w:rsidRPr="00DE696B" w:rsidRDefault="00767F8A">
      <w:pPr>
        <w:pStyle w:val="FootnoteText"/>
        <w:rPr>
          <w:rFonts w:ascii="Arial" w:hAnsi="Arial"/>
          <w:sz w:val="20"/>
          <w:szCs w:val="20"/>
          <w:lang w:val="en-US"/>
        </w:rPr>
      </w:pPr>
      <w:r>
        <w:rPr>
          <w:rStyle w:val="FootnoteReference"/>
        </w:rPr>
        <w:footnoteRef/>
      </w:r>
      <w:r>
        <w:t xml:space="preserve"> </w:t>
      </w:r>
      <w:r>
        <w:rPr>
          <w:rFonts w:ascii="Arial" w:hAnsi="Arial"/>
          <w:i/>
          <w:sz w:val="20"/>
          <w:szCs w:val="20"/>
          <w:lang w:val="en-US"/>
        </w:rPr>
        <w:t xml:space="preserve">Ibid </w:t>
      </w:r>
      <w:r>
        <w:rPr>
          <w:rFonts w:ascii="Arial" w:hAnsi="Arial"/>
          <w:sz w:val="20"/>
          <w:szCs w:val="20"/>
          <w:lang w:val="en-US"/>
        </w:rPr>
        <w:t>at 439-440.</w:t>
      </w:r>
    </w:p>
  </w:footnote>
  <w:footnote w:id="6">
    <w:p w14:paraId="1CBF1303" w14:textId="77777777" w:rsidR="00767F8A" w:rsidRPr="00DE696B" w:rsidRDefault="00767F8A">
      <w:pPr>
        <w:pStyle w:val="FootnoteText"/>
        <w:rPr>
          <w:rFonts w:ascii="Arial" w:hAnsi="Arial"/>
          <w:sz w:val="20"/>
          <w:szCs w:val="20"/>
          <w:lang w:val="en-US"/>
        </w:rPr>
      </w:pPr>
      <w:r>
        <w:rPr>
          <w:rStyle w:val="FootnoteReference"/>
        </w:rPr>
        <w:footnoteRef/>
      </w:r>
      <w:r>
        <w:t xml:space="preserve"> </w:t>
      </w:r>
      <w:proofErr w:type="spellStart"/>
      <w:r>
        <w:rPr>
          <w:rFonts w:ascii="Arial" w:hAnsi="Arial"/>
          <w:sz w:val="20"/>
          <w:szCs w:val="20"/>
          <w:lang w:val="en-US"/>
        </w:rPr>
        <w:t>Stipp</w:t>
      </w:r>
      <w:proofErr w:type="spellEnd"/>
      <w:r>
        <w:rPr>
          <w:rFonts w:ascii="Arial" w:hAnsi="Arial"/>
          <w:sz w:val="20"/>
          <w:szCs w:val="20"/>
          <w:lang w:val="en-US"/>
        </w:rPr>
        <w:t xml:space="preserve"> and Another v Shade and Others Case 2007 (2) NR 627 (SC) at 634, para 29 - 31.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788E5" w14:textId="77777777" w:rsidR="00767F8A" w:rsidRDefault="00767F8A" w:rsidP="00565A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2B8A57" w14:textId="77777777" w:rsidR="00767F8A" w:rsidRDefault="00767F8A" w:rsidP="00565A0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7EAD6" w14:textId="77777777" w:rsidR="00767F8A" w:rsidRDefault="00767F8A" w:rsidP="00565A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0A04">
      <w:rPr>
        <w:rStyle w:val="PageNumber"/>
        <w:noProof/>
      </w:rPr>
      <w:t>5</w:t>
    </w:r>
    <w:r>
      <w:rPr>
        <w:rStyle w:val="PageNumber"/>
      </w:rPr>
      <w:fldChar w:fldCharType="end"/>
    </w:r>
  </w:p>
  <w:p w14:paraId="74E9033C" w14:textId="77777777" w:rsidR="00767F8A" w:rsidRDefault="00767F8A" w:rsidP="00565A0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162BD"/>
    <w:multiLevelType w:val="hybridMultilevel"/>
    <w:tmpl w:val="50203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D85"/>
    <w:rsid w:val="001565AF"/>
    <w:rsid w:val="00327433"/>
    <w:rsid w:val="00381CB9"/>
    <w:rsid w:val="00383FD8"/>
    <w:rsid w:val="00565A08"/>
    <w:rsid w:val="00581ACF"/>
    <w:rsid w:val="005E0BAF"/>
    <w:rsid w:val="00621336"/>
    <w:rsid w:val="006C3AFD"/>
    <w:rsid w:val="006E486A"/>
    <w:rsid w:val="006E787E"/>
    <w:rsid w:val="00767F8A"/>
    <w:rsid w:val="008617E2"/>
    <w:rsid w:val="008C1D85"/>
    <w:rsid w:val="008D29CF"/>
    <w:rsid w:val="00A40A04"/>
    <w:rsid w:val="00A736F0"/>
    <w:rsid w:val="00A81D4C"/>
    <w:rsid w:val="00AD6128"/>
    <w:rsid w:val="00AE7496"/>
    <w:rsid w:val="00B37F98"/>
    <w:rsid w:val="00C20A31"/>
    <w:rsid w:val="00C55FD9"/>
    <w:rsid w:val="00D114C8"/>
    <w:rsid w:val="00D6785A"/>
    <w:rsid w:val="00DE08FD"/>
    <w:rsid w:val="00DE696B"/>
    <w:rsid w:val="00E64230"/>
    <w:rsid w:val="00EC4C9A"/>
    <w:rsid w:val="00F0010C"/>
    <w:rsid w:val="00F67140"/>
    <w:rsid w:val="00FA24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3CC5A"/>
  <w14:defaultImageDpi w14:val="300"/>
  <w15:docId w15:val="{B7A39DBF-8957-4560-8DA3-4686B58E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81ACF"/>
  </w:style>
  <w:style w:type="character" w:customStyle="1" w:styleId="FootnoteTextChar">
    <w:name w:val="Footnote Text Char"/>
    <w:basedOn w:val="DefaultParagraphFont"/>
    <w:link w:val="FootnoteText"/>
    <w:uiPriority w:val="99"/>
    <w:rsid w:val="00581ACF"/>
  </w:style>
  <w:style w:type="character" w:styleId="FootnoteReference">
    <w:name w:val="footnote reference"/>
    <w:basedOn w:val="DefaultParagraphFont"/>
    <w:uiPriority w:val="99"/>
    <w:unhideWhenUsed/>
    <w:rsid w:val="00581ACF"/>
    <w:rPr>
      <w:vertAlign w:val="superscript"/>
    </w:rPr>
  </w:style>
  <w:style w:type="paragraph" w:styleId="ListParagraph">
    <w:name w:val="List Paragraph"/>
    <w:basedOn w:val="Normal"/>
    <w:uiPriority w:val="34"/>
    <w:qFormat/>
    <w:rsid w:val="00565A08"/>
    <w:pPr>
      <w:ind w:left="720"/>
      <w:contextualSpacing/>
    </w:pPr>
  </w:style>
  <w:style w:type="paragraph" w:styleId="Header">
    <w:name w:val="header"/>
    <w:basedOn w:val="Normal"/>
    <w:link w:val="HeaderChar"/>
    <w:uiPriority w:val="99"/>
    <w:unhideWhenUsed/>
    <w:rsid w:val="00565A08"/>
    <w:pPr>
      <w:tabs>
        <w:tab w:val="center" w:pos="4320"/>
        <w:tab w:val="right" w:pos="8640"/>
      </w:tabs>
    </w:pPr>
  </w:style>
  <w:style w:type="character" w:customStyle="1" w:styleId="HeaderChar">
    <w:name w:val="Header Char"/>
    <w:basedOn w:val="DefaultParagraphFont"/>
    <w:link w:val="Header"/>
    <w:uiPriority w:val="99"/>
    <w:rsid w:val="00565A08"/>
  </w:style>
  <w:style w:type="character" w:styleId="PageNumber">
    <w:name w:val="page number"/>
    <w:basedOn w:val="DefaultParagraphFont"/>
    <w:uiPriority w:val="99"/>
    <w:semiHidden/>
    <w:unhideWhenUsed/>
    <w:rsid w:val="00565A08"/>
  </w:style>
  <w:style w:type="paragraph" w:styleId="Footer">
    <w:name w:val="footer"/>
    <w:basedOn w:val="Normal"/>
    <w:link w:val="FooterChar"/>
    <w:uiPriority w:val="99"/>
    <w:unhideWhenUsed/>
    <w:rsid w:val="00F0010C"/>
    <w:pPr>
      <w:tabs>
        <w:tab w:val="center" w:pos="4513"/>
        <w:tab w:val="right" w:pos="9026"/>
      </w:tabs>
    </w:pPr>
  </w:style>
  <w:style w:type="character" w:customStyle="1" w:styleId="FooterChar">
    <w:name w:val="Footer Char"/>
    <w:basedOn w:val="DefaultParagraphFont"/>
    <w:link w:val="Footer"/>
    <w:uiPriority w:val="99"/>
    <w:rsid w:val="00F0010C"/>
  </w:style>
  <w:style w:type="paragraph" w:styleId="BalloonText">
    <w:name w:val="Balloon Text"/>
    <w:basedOn w:val="Normal"/>
    <w:link w:val="BalloonTextChar"/>
    <w:uiPriority w:val="99"/>
    <w:semiHidden/>
    <w:unhideWhenUsed/>
    <w:rsid w:val="00A736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6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2020-03-25T18:30:00+00:00</Judgment_x0020_Date>
    <Year xmlns="c1afb1bd-f2fb-40fd-9abb-aea55b4d7662">2020</Year>
  </documentManagement>
</p:properties>
</file>

<file path=customXml/itemProps1.xml><?xml version="1.0" encoding="utf-8"?>
<ds:datastoreItem xmlns:ds="http://schemas.openxmlformats.org/officeDocument/2006/customXml" ds:itemID="{FDEAAA62-DC61-4597-ADA4-C83562FB107F}"/>
</file>

<file path=customXml/itemProps2.xml><?xml version="1.0" encoding="utf-8"?>
<ds:datastoreItem xmlns:ds="http://schemas.openxmlformats.org/officeDocument/2006/customXml" ds:itemID="{F44B9004-0800-4C25-B07E-869199A9AB98}"/>
</file>

<file path=customXml/itemProps3.xml><?xml version="1.0" encoding="utf-8"?>
<ds:datastoreItem xmlns:ds="http://schemas.openxmlformats.org/officeDocument/2006/customXml" ds:itemID="{BCE86BD9-DD4A-4AB3-B6FF-0A5F1A95AC0B}"/>
</file>

<file path=docProps/app.xml><?xml version="1.0" encoding="utf-8"?>
<Properties xmlns="http://schemas.openxmlformats.org/officeDocument/2006/extended-properties" xmlns:vt="http://schemas.openxmlformats.org/officeDocument/2006/docPropsVTypes">
  <Template>Normal</Template>
  <TotalTime>0</TotalTime>
  <Pages>9</Pages>
  <Words>2025</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13541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Masuku</dc:creator>
  <cp:keywords/>
  <dc:description/>
  <cp:lastModifiedBy>Lotta N. Ambunda</cp:lastModifiedBy>
  <cp:revision>3</cp:revision>
  <cp:lastPrinted>2020-03-27T12:56:00Z</cp:lastPrinted>
  <dcterms:created xsi:type="dcterms:W3CDTF">2020-03-27T17:09:00Z</dcterms:created>
  <dcterms:modified xsi:type="dcterms:W3CDTF">2020-03-27T17:09:00Z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