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14" w:rsidRPr="003D5FF3" w:rsidRDefault="00045A14" w:rsidP="00045A14">
      <w:pPr>
        <w:spacing w:after="0" w:line="360" w:lineRule="auto"/>
        <w:jc w:val="center"/>
        <w:rPr>
          <w:rFonts w:ascii="Arial Narrow" w:hAnsi="Arial Narrow"/>
          <w:sz w:val="28"/>
          <w:szCs w:val="28"/>
        </w:rPr>
      </w:pPr>
      <w:r>
        <w:rPr>
          <w:rFonts w:ascii="Arial Narrow" w:hAnsi="Arial Narrow"/>
          <w:sz w:val="28"/>
          <w:szCs w:val="28"/>
        </w:rPr>
        <w:t xml:space="preserve">Practice Directive 61 </w:t>
      </w:r>
      <w:r w:rsidRPr="003D5FF3">
        <w:rPr>
          <w:rFonts w:ascii="Arial Narrow" w:hAnsi="Arial Narrow"/>
          <w:sz w:val="28"/>
          <w:szCs w:val="28"/>
        </w:rPr>
        <w:t>“ANNEXURE 11”</w:t>
      </w:r>
    </w:p>
    <w:p w:rsidR="00045A14" w:rsidRPr="003D5FF3" w:rsidRDefault="00045A14" w:rsidP="00045A14">
      <w:pPr>
        <w:spacing w:after="0" w:line="360" w:lineRule="auto"/>
        <w:jc w:val="both"/>
        <w:rPr>
          <w:rFonts w:ascii="Arial Narrow" w:hAnsi="Arial Narrow"/>
          <w:sz w:val="16"/>
          <w:szCs w:val="16"/>
        </w:rPr>
      </w:pPr>
    </w:p>
    <w:p w:rsidR="00045A14" w:rsidRPr="009B096F" w:rsidRDefault="00045A14" w:rsidP="00045A14">
      <w:pPr>
        <w:spacing w:after="0" w:line="360" w:lineRule="auto"/>
        <w:jc w:val="center"/>
        <w:rPr>
          <w:rFonts w:ascii="Arial Narrow" w:hAnsi="Arial Narrow"/>
          <w:b/>
          <w:sz w:val="24"/>
          <w:szCs w:val="24"/>
        </w:rPr>
      </w:pPr>
      <w:r w:rsidRPr="009B096F">
        <w:rPr>
          <w:rFonts w:ascii="Arial Narrow" w:hAnsi="Arial Narrow"/>
          <w:b/>
          <w:sz w:val="24"/>
          <w:szCs w:val="24"/>
        </w:rPr>
        <w:t>IN THE HIGH COURT OF NAMIBIA</w:t>
      </w:r>
    </w:p>
    <w:p w:rsidR="00045A14" w:rsidRPr="006475B1" w:rsidRDefault="00045A14" w:rsidP="00045A14">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045A14" w:rsidRPr="00C73154" w:rsidTr="00551EE4">
        <w:trPr>
          <w:trHeight w:val="744"/>
        </w:trPr>
        <w:tc>
          <w:tcPr>
            <w:tcW w:w="5397" w:type="dxa"/>
            <w:gridSpan w:val="2"/>
            <w:vMerge w:val="restart"/>
          </w:tcPr>
          <w:p w:rsidR="00045A14" w:rsidRPr="00C73154" w:rsidRDefault="00045A14" w:rsidP="00551EE4">
            <w:pPr>
              <w:spacing w:line="360" w:lineRule="auto"/>
              <w:jc w:val="both"/>
              <w:rPr>
                <w:rFonts w:ascii="Arial Narrow" w:hAnsi="Arial Narrow" w:cs="Arial"/>
                <w:sz w:val="24"/>
                <w:szCs w:val="24"/>
              </w:rPr>
            </w:pPr>
            <w:r w:rsidRPr="00C73154">
              <w:rPr>
                <w:rFonts w:ascii="Arial Narrow" w:hAnsi="Arial Narrow" w:cs="Arial"/>
                <w:b/>
                <w:sz w:val="24"/>
                <w:szCs w:val="24"/>
              </w:rPr>
              <w:t>Case Title:</w:t>
            </w:r>
          </w:p>
          <w:p w:rsidR="00045A14" w:rsidRPr="00BF7827" w:rsidRDefault="00C47DBD" w:rsidP="00551EE4">
            <w:pPr>
              <w:spacing w:line="360" w:lineRule="auto"/>
              <w:jc w:val="both"/>
              <w:rPr>
                <w:rFonts w:ascii="Arial Narrow" w:hAnsi="Arial Narrow" w:cs="Arial"/>
                <w:sz w:val="24"/>
                <w:szCs w:val="24"/>
                <w:lang w:val="en-US"/>
              </w:rPr>
            </w:pPr>
            <w:r>
              <w:rPr>
                <w:rFonts w:ascii="Arial Narrow" w:hAnsi="Arial Narrow" w:cs="Arial"/>
                <w:sz w:val="24"/>
                <w:szCs w:val="24"/>
                <w:lang w:val="en-US"/>
              </w:rPr>
              <w:t xml:space="preserve">Alex </w:t>
            </w:r>
            <w:proofErr w:type="spellStart"/>
            <w:r>
              <w:rPr>
                <w:rFonts w:ascii="Arial Narrow" w:hAnsi="Arial Narrow" w:cs="Arial"/>
                <w:sz w:val="24"/>
                <w:szCs w:val="24"/>
                <w:lang w:val="en-US"/>
              </w:rPr>
              <w:t>Mabuku</w:t>
            </w:r>
            <w:proofErr w:type="spellEnd"/>
            <w:r>
              <w:rPr>
                <w:rFonts w:ascii="Arial Narrow" w:hAnsi="Arial Narrow" w:cs="Arial"/>
                <w:sz w:val="24"/>
                <w:szCs w:val="24"/>
                <w:lang w:val="en-US"/>
              </w:rPr>
              <w:t xml:space="preserve"> Kamwi </w:t>
            </w:r>
            <w:proofErr w:type="spellStart"/>
            <w:r>
              <w:rPr>
                <w:rFonts w:ascii="Arial Narrow" w:hAnsi="Arial Narrow" w:cs="Arial"/>
                <w:sz w:val="24"/>
                <w:szCs w:val="24"/>
                <w:lang w:val="en-US"/>
              </w:rPr>
              <w:t>Kamwi</w:t>
            </w:r>
            <w:proofErr w:type="spellEnd"/>
            <w:r>
              <w:rPr>
                <w:rFonts w:ascii="Arial Narrow" w:hAnsi="Arial Narrow" w:cs="Arial"/>
                <w:sz w:val="24"/>
                <w:szCs w:val="24"/>
                <w:lang w:val="en-US"/>
              </w:rPr>
              <w:t xml:space="preserve"> // Law Society of Namibia </w:t>
            </w:r>
          </w:p>
          <w:p w:rsidR="00045A14" w:rsidRPr="00C73154" w:rsidRDefault="00045A14" w:rsidP="00551EE4">
            <w:pPr>
              <w:spacing w:line="360" w:lineRule="auto"/>
              <w:jc w:val="both"/>
              <w:rPr>
                <w:rFonts w:ascii="Arial Narrow" w:hAnsi="Arial Narrow" w:cs="Arial"/>
                <w:sz w:val="24"/>
                <w:szCs w:val="24"/>
              </w:rPr>
            </w:pPr>
          </w:p>
        </w:tc>
        <w:tc>
          <w:tcPr>
            <w:tcW w:w="4323" w:type="dxa"/>
          </w:tcPr>
          <w:p w:rsidR="00045A14" w:rsidRDefault="00045A14" w:rsidP="00551EE4">
            <w:pPr>
              <w:spacing w:line="360" w:lineRule="auto"/>
              <w:jc w:val="both"/>
              <w:rPr>
                <w:rFonts w:ascii="Arial Narrow" w:hAnsi="Arial Narrow"/>
                <w:b/>
                <w:sz w:val="24"/>
                <w:szCs w:val="24"/>
              </w:rPr>
            </w:pPr>
            <w:r w:rsidRPr="00C73154">
              <w:rPr>
                <w:rFonts w:ascii="Arial Narrow" w:hAnsi="Arial Narrow"/>
                <w:b/>
                <w:sz w:val="24"/>
                <w:szCs w:val="24"/>
              </w:rPr>
              <w:t>Case No:</w:t>
            </w:r>
          </w:p>
          <w:p w:rsidR="00045A14" w:rsidRPr="00C73154" w:rsidRDefault="00C47DBD" w:rsidP="00551EE4">
            <w:pPr>
              <w:spacing w:line="360" w:lineRule="auto"/>
              <w:jc w:val="both"/>
              <w:rPr>
                <w:rFonts w:ascii="Arial Narrow" w:hAnsi="Arial Narrow"/>
                <w:sz w:val="24"/>
                <w:szCs w:val="24"/>
              </w:rPr>
            </w:pPr>
            <w:r w:rsidRPr="00C47DBD">
              <w:rPr>
                <w:rFonts w:ascii="Arial Narrow" w:hAnsi="Arial Narrow"/>
                <w:sz w:val="24"/>
                <w:szCs w:val="24"/>
              </w:rPr>
              <w:t>HC-MD-CIV-ACT-DEL-2019/01337</w:t>
            </w:r>
          </w:p>
        </w:tc>
      </w:tr>
      <w:tr w:rsidR="00045A14" w:rsidRPr="00C73154" w:rsidTr="00551EE4">
        <w:trPr>
          <w:trHeight w:val="844"/>
        </w:trPr>
        <w:tc>
          <w:tcPr>
            <w:tcW w:w="5397" w:type="dxa"/>
            <w:gridSpan w:val="2"/>
            <w:vMerge/>
          </w:tcPr>
          <w:p w:rsidR="00045A14" w:rsidRPr="00C73154" w:rsidRDefault="00045A14" w:rsidP="00551EE4">
            <w:pPr>
              <w:spacing w:line="360" w:lineRule="auto"/>
              <w:jc w:val="both"/>
              <w:rPr>
                <w:rFonts w:ascii="Arial Narrow" w:hAnsi="Arial Narrow" w:cs="Arial"/>
                <w:sz w:val="24"/>
                <w:szCs w:val="24"/>
              </w:rPr>
            </w:pPr>
          </w:p>
        </w:tc>
        <w:tc>
          <w:tcPr>
            <w:tcW w:w="4323" w:type="dxa"/>
          </w:tcPr>
          <w:p w:rsidR="00045A14" w:rsidRPr="00C73154" w:rsidRDefault="00045A14" w:rsidP="00551EE4">
            <w:pPr>
              <w:spacing w:line="360" w:lineRule="auto"/>
              <w:jc w:val="both"/>
              <w:rPr>
                <w:rFonts w:ascii="Arial Narrow" w:hAnsi="Arial Narrow"/>
                <w:sz w:val="24"/>
                <w:szCs w:val="24"/>
              </w:rPr>
            </w:pPr>
            <w:r w:rsidRPr="00C73154">
              <w:rPr>
                <w:rFonts w:ascii="Arial Narrow" w:hAnsi="Arial Narrow"/>
                <w:b/>
                <w:sz w:val="24"/>
                <w:szCs w:val="24"/>
              </w:rPr>
              <w:t>Division of Court:</w:t>
            </w:r>
          </w:p>
          <w:p w:rsidR="00045A14" w:rsidRPr="00C73154" w:rsidRDefault="00045A14" w:rsidP="00551EE4">
            <w:pPr>
              <w:spacing w:line="360" w:lineRule="auto"/>
              <w:jc w:val="both"/>
              <w:rPr>
                <w:rFonts w:ascii="Arial Narrow" w:hAnsi="Arial Narrow"/>
                <w:sz w:val="24"/>
                <w:szCs w:val="24"/>
              </w:rPr>
            </w:pPr>
            <w:r w:rsidRPr="00C73154">
              <w:rPr>
                <w:rFonts w:ascii="Arial Narrow" w:hAnsi="Arial Narrow"/>
                <w:sz w:val="24"/>
                <w:szCs w:val="24"/>
              </w:rPr>
              <w:t>High Court</w:t>
            </w:r>
            <w:r>
              <w:rPr>
                <w:rFonts w:ascii="Arial Narrow" w:hAnsi="Arial Narrow"/>
                <w:sz w:val="24"/>
                <w:szCs w:val="24"/>
              </w:rPr>
              <w:t xml:space="preserve"> (Main Division)</w:t>
            </w:r>
          </w:p>
        </w:tc>
      </w:tr>
      <w:tr w:rsidR="00045A14" w:rsidRPr="00C73154" w:rsidTr="00551EE4">
        <w:trPr>
          <w:trHeight w:val="645"/>
        </w:trPr>
        <w:tc>
          <w:tcPr>
            <w:tcW w:w="5397" w:type="dxa"/>
            <w:gridSpan w:val="2"/>
            <w:vMerge w:val="restart"/>
          </w:tcPr>
          <w:p w:rsidR="00045A14" w:rsidRPr="00C73154" w:rsidRDefault="00045A14" w:rsidP="00551EE4">
            <w:pPr>
              <w:spacing w:line="360" w:lineRule="auto"/>
              <w:jc w:val="both"/>
              <w:rPr>
                <w:rFonts w:ascii="Arial Narrow" w:hAnsi="Arial Narrow" w:cs="Arial"/>
                <w:b/>
                <w:sz w:val="24"/>
                <w:szCs w:val="24"/>
              </w:rPr>
            </w:pPr>
            <w:r w:rsidRPr="00C73154">
              <w:rPr>
                <w:rFonts w:ascii="Arial Narrow" w:hAnsi="Arial Narrow" w:cs="Arial"/>
                <w:b/>
                <w:sz w:val="24"/>
                <w:szCs w:val="24"/>
              </w:rPr>
              <w:t>Heard before:</w:t>
            </w:r>
          </w:p>
          <w:p w:rsidR="00045A14" w:rsidRPr="00C73154" w:rsidRDefault="00045A14" w:rsidP="00551EE4">
            <w:pPr>
              <w:spacing w:line="360" w:lineRule="auto"/>
              <w:jc w:val="both"/>
              <w:rPr>
                <w:rFonts w:ascii="Arial Narrow" w:hAnsi="Arial Narrow" w:cs="Arial"/>
                <w:sz w:val="24"/>
                <w:szCs w:val="24"/>
              </w:rPr>
            </w:pPr>
            <w:r w:rsidRPr="00C73154">
              <w:rPr>
                <w:rFonts w:ascii="Arial Narrow" w:hAnsi="Arial Narrow" w:cs="Arial"/>
                <w:sz w:val="24"/>
                <w:szCs w:val="24"/>
              </w:rPr>
              <w:t>Honourable Mr</w:t>
            </w:r>
            <w:r>
              <w:rPr>
                <w:rFonts w:ascii="Arial Narrow" w:hAnsi="Arial Narrow" w:cs="Arial"/>
                <w:sz w:val="24"/>
                <w:szCs w:val="24"/>
              </w:rPr>
              <w:t>s</w:t>
            </w:r>
            <w:r w:rsidRPr="00C73154">
              <w:rPr>
                <w:rFonts w:ascii="Arial Narrow" w:hAnsi="Arial Narrow" w:cs="Arial"/>
                <w:sz w:val="24"/>
                <w:szCs w:val="24"/>
              </w:rPr>
              <w:t xml:space="preserve"> Justice </w:t>
            </w:r>
            <w:proofErr w:type="spellStart"/>
            <w:r>
              <w:rPr>
                <w:rFonts w:ascii="Arial Narrow" w:hAnsi="Arial Narrow" w:cs="Arial"/>
                <w:sz w:val="24"/>
                <w:szCs w:val="24"/>
              </w:rPr>
              <w:t>Tomassi</w:t>
            </w:r>
            <w:proofErr w:type="spellEnd"/>
            <w:r w:rsidRPr="00C73154">
              <w:rPr>
                <w:rFonts w:ascii="Arial Narrow" w:hAnsi="Arial Narrow" w:cs="Arial"/>
                <w:sz w:val="24"/>
                <w:szCs w:val="24"/>
              </w:rPr>
              <w:t xml:space="preserve">, </w:t>
            </w:r>
            <w:r>
              <w:rPr>
                <w:rFonts w:ascii="Arial Narrow" w:hAnsi="Arial Narrow" w:cs="Arial"/>
                <w:sz w:val="24"/>
                <w:szCs w:val="24"/>
              </w:rPr>
              <w:t>J</w:t>
            </w:r>
          </w:p>
        </w:tc>
        <w:tc>
          <w:tcPr>
            <w:tcW w:w="4323" w:type="dxa"/>
          </w:tcPr>
          <w:p w:rsidR="00045A14" w:rsidRPr="00C73154" w:rsidRDefault="00045A14" w:rsidP="00551EE4">
            <w:pPr>
              <w:spacing w:line="360" w:lineRule="auto"/>
              <w:jc w:val="both"/>
              <w:rPr>
                <w:rFonts w:ascii="Arial Narrow" w:hAnsi="Arial Narrow"/>
                <w:b/>
                <w:sz w:val="24"/>
                <w:szCs w:val="24"/>
              </w:rPr>
            </w:pPr>
            <w:r w:rsidRPr="00C73154">
              <w:rPr>
                <w:rFonts w:ascii="Arial Narrow" w:hAnsi="Arial Narrow"/>
                <w:b/>
                <w:sz w:val="24"/>
                <w:szCs w:val="24"/>
              </w:rPr>
              <w:t>Date of hearing:</w:t>
            </w:r>
          </w:p>
          <w:p w:rsidR="00045A14" w:rsidRPr="00C73154" w:rsidRDefault="00C47DBD" w:rsidP="00551EE4">
            <w:pPr>
              <w:spacing w:line="360" w:lineRule="auto"/>
              <w:rPr>
                <w:rFonts w:ascii="Arial Narrow" w:hAnsi="Arial Narrow"/>
                <w:sz w:val="24"/>
                <w:szCs w:val="24"/>
              </w:rPr>
            </w:pPr>
            <w:r>
              <w:rPr>
                <w:rFonts w:ascii="Arial Narrow" w:hAnsi="Arial Narrow"/>
                <w:sz w:val="24"/>
                <w:szCs w:val="24"/>
              </w:rPr>
              <w:t>17</w:t>
            </w:r>
            <w:r w:rsidR="00045A14">
              <w:rPr>
                <w:rFonts w:ascii="Arial Narrow" w:hAnsi="Arial Narrow"/>
                <w:sz w:val="24"/>
                <w:szCs w:val="24"/>
              </w:rPr>
              <w:t xml:space="preserve"> October 2019</w:t>
            </w:r>
          </w:p>
        </w:tc>
      </w:tr>
      <w:tr w:rsidR="00045A14" w:rsidRPr="00C73154" w:rsidTr="00551EE4">
        <w:trPr>
          <w:trHeight w:val="588"/>
        </w:trPr>
        <w:tc>
          <w:tcPr>
            <w:tcW w:w="5397" w:type="dxa"/>
            <w:gridSpan w:val="2"/>
            <w:vMerge/>
          </w:tcPr>
          <w:p w:rsidR="00045A14" w:rsidRPr="00C73154" w:rsidRDefault="00045A14" w:rsidP="00551EE4">
            <w:pPr>
              <w:spacing w:line="360" w:lineRule="auto"/>
              <w:jc w:val="both"/>
              <w:rPr>
                <w:rFonts w:ascii="Arial Narrow" w:hAnsi="Arial Narrow" w:cs="Arial"/>
                <w:b/>
                <w:sz w:val="24"/>
                <w:szCs w:val="24"/>
              </w:rPr>
            </w:pPr>
          </w:p>
        </w:tc>
        <w:tc>
          <w:tcPr>
            <w:tcW w:w="4323" w:type="dxa"/>
          </w:tcPr>
          <w:p w:rsidR="00045A14" w:rsidRPr="00C73154" w:rsidRDefault="00045A14" w:rsidP="00551EE4">
            <w:pPr>
              <w:spacing w:line="360" w:lineRule="auto"/>
              <w:jc w:val="both"/>
              <w:rPr>
                <w:rFonts w:ascii="Arial Narrow" w:hAnsi="Arial Narrow"/>
                <w:b/>
                <w:sz w:val="24"/>
                <w:szCs w:val="24"/>
              </w:rPr>
            </w:pPr>
            <w:r>
              <w:rPr>
                <w:rFonts w:ascii="Arial Narrow" w:hAnsi="Arial Narrow"/>
                <w:b/>
                <w:sz w:val="24"/>
                <w:szCs w:val="24"/>
              </w:rPr>
              <w:t>Delivered on</w:t>
            </w:r>
            <w:r w:rsidRPr="00C73154">
              <w:rPr>
                <w:rFonts w:ascii="Arial Narrow" w:hAnsi="Arial Narrow"/>
                <w:b/>
                <w:sz w:val="24"/>
                <w:szCs w:val="24"/>
              </w:rPr>
              <w:t>:</w:t>
            </w:r>
          </w:p>
          <w:p w:rsidR="00045A14" w:rsidRDefault="00C47DBD" w:rsidP="00551EE4">
            <w:pPr>
              <w:spacing w:line="360" w:lineRule="auto"/>
              <w:jc w:val="both"/>
              <w:rPr>
                <w:rFonts w:ascii="Arial Narrow" w:hAnsi="Arial Narrow"/>
                <w:sz w:val="24"/>
                <w:szCs w:val="24"/>
              </w:rPr>
            </w:pPr>
            <w:r>
              <w:rPr>
                <w:rFonts w:ascii="Arial Narrow" w:hAnsi="Arial Narrow"/>
                <w:sz w:val="24"/>
                <w:szCs w:val="24"/>
              </w:rPr>
              <w:t>31</w:t>
            </w:r>
            <w:r w:rsidR="00045A14">
              <w:rPr>
                <w:rFonts w:ascii="Arial Narrow" w:hAnsi="Arial Narrow"/>
                <w:sz w:val="24"/>
                <w:szCs w:val="24"/>
              </w:rPr>
              <w:t xml:space="preserve"> October</w:t>
            </w:r>
            <w:r w:rsidR="00045A14" w:rsidRPr="00B4625E">
              <w:rPr>
                <w:rFonts w:ascii="Arial Narrow" w:hAnsi="Arial Narrow"/>
                <w:sz w:val="24"/>
                <w:szCs w:val="24"/>
              </w:rPr>
              <w:t xml:space="preserve"> </w:t>
            </w:r>
            <w:r w:rsidR="00045A14">
              <w:rPr>
                <w:rFonts w:ascii="Arial Narrow" w:hAnsi="Arial Narrow"/>
                <w:sz w:val="24"/>
                <w:szCs w:val="24"/>
              </w:rPr>
              <w:t>2019</w:t>
            </w:r>
          </w:p>
          <w:p w:rsidR="00E451AD" w:rsidRDefault="00E451AD" w:rsidP="00551EE4">
            <w:pPr>
              <w:spacing w:line="360" w:lineRule="auto"/>
              <w:jc w:val="both"/>
              <w:rPr>
                <w:rFonts w:ascii="Arial Narrow" w:hAnsi="Arial Narrow"/>
                <w:sz w:val="24"/>
                <w:szCs w:val="24"/>
              </w:rPr>
            </w:pPr>
          </w:p>
          <w:p w:rsidR="00E451AD" w:rsidRPr="00E451AD" w:rsidRDefault="00E451AD" w:rsidP="00551EE4">
            <w:pPr>
              <w:spacing w:line="360" w:lineRule="auto"/>
              <w:jc w:val="both"/>
              <w:rPr>
                <w:rFonts w:ascii="Arial Narrow" w:hAnsi="Arial Narrow"/>
                <w:b/>
                <w:sz w:val="24"/>
                <w:szCs w:val="24"/>
              </w:rPr>
            </w:pPr>
            <w:r w:rsidRPr="00E451AD">
              <w:rPr>
                <w:rFonts w:ascii="Arial Narrow" w:hAnsi="Arial Narrow"/>
                <w:b/>
                <w:sz w:val="24"/>
                <w:szCs w:val="24"/>
              </w:rPr>
              <w:t>Reasons Delivered on:</w:t>
            </w:r>
          </w:p>
          <w:p w:rsidR="00E451AD" w:rsidRPr="00E451AD" w:rsidRDefault="00E451AD" w:rsidP="00551EE4">
            <w:pPr>
              <w:spacing w:line="360" w:lineRule="auto"/>
              <w:jc w:val="both"/>
              <w:rPr>
                <w:rFonts w:ascii="Arial Narrow" w:hAnsi="Arial Narrow"/>
                <w:sz w:val="24"/>
                <w:szCs w:val="24"/>
              </w:rPr>
            </w:pPr>
            <w:r w:rsidRPr="00E451AD">
              <w:rPr>
                <w:rFonts w:ascii="Arial Narrow" w:hAnsi="Arial Narrow"/>
                <w:sz w:val="24"/>
                <w:szCs w:val="24"/>
              </w:rPr>
              <w:t>24 January 2020</w:t>
            </w:r>
          </w:p>
        </w:tc>
      </w:tr>
      <w:tr w:rsidR="00045A14" w:rsidRPr="00C73154" w:rsidTr="00551EE4">
        <w:tc>
          <w:tcPr>
            <w:tcW w:w="9720" w:type="dxa"/>
            <w:gridSpan w:val="3"/>
          </w:tcPr>
          <w:p w:rsidR="00045A14" w:rsidRPr="00890143" w:rsidRDefault="00045A14" w:rsidP="008D19E3">
            <w:pPr>
              <w:spacing w:line="360" w:lineRule="auto"/>
              <w:jc w:val="both"/>
              <w:rPr>
                <w:rFonts w:ascii="Arial Narrow" w:hAnsi="Arial Narrow" w:cs="Arial"/>
                <w:sz w:val="24"/>
                <w:szCs w:val="24"/>
              </w:rPr>
            </w:pPr>
            <w:r w:rsidRPr="005955B1">
              <w:rPr>
                <w:rFonts w:ascii="Arial Narrow" w:hAnsi="Arial Narrow" w:cs="Arial"/>
                <w:b/>
                <w:sz w:val="24"/>
                <w:szCs w:val="24"/>
              </w:rPr>
              <w:t>Neutral citation:</w:t>
            </w:r>
            <w:r>
              <w:rPr>
                <w:rFonts w:ascii="Arial Narrow" w:hAnsi="Arial Narrow" w:cs="Arial"/>
                <w:b/>
                <w:sz w:val="24"/>
                <w:szCs w:val="24"/>
              </w:rPr>
              <w:t xml:space="preserve"> </w:t>
            </w:r>
            <w:r w:rsidR="00C47DBD" w:rsidRPr="00C47DBD">
              <w:rPr>
                <w:rFonts w:ascii="Arial Narrow" w:hAnsi="Arial Narrow" w:cs="Arial"/>
                <w:sz w:val="24"/>
                <w:szCs w:val="24"/>
                <w:lang w:val="en-US"/>
              </w:rPr>
              <w:t xml:space="preserve">Kamwi </w:t>
            </w:r>
            <w:r w:rsidR="003D7886">
              <w:rPr>
                <w:rFonts w:ascii="Arial Narrow" w:hAnsi="Arial Narrow" w:cs="Arial"/>
                <w:sz w:val="24"/>
                <w:szCs w:val="24"/>
                <w:lang w:val="en-US"/>
              </w:rPr>
              <w:t>v</w:t>
            </w:r>
            <w:r w:rsidR="00C47DBD" w:rsidRPr="00C47DBD">
              <w:rPr>
                <w:rFonts w:ascii="Arial Narrow" w:hAnsi="Arial Narrow" w:cs="Arial"/>
                <w:sz w:val="24"/>
                <w:szCs w:val="24"/>
                <w:lang w:val="en-US"/>
              </w:rPr>
              <w:t xml:space="preserve"> Law Society of Namibia </w:t>
            </w:r>
            <w:r w:rsidRPr="00B4625E">
              <w:rPr>
                <w:rFonts w:ascii="Arial Narrow" w:hAnsi="Arial Narrow" w:cs="Arial"/>
                <w:sz w:val="24"/>
                <w:szCs w:val="24"/>
              </w:rPr>
              <w:t>(</w:t>
            </w:r>
            <w:r w:rsidR="00656D4A" w:rsidRPr="00656D4A">
              <w:rPr>
                <w:rFonts w:ascii="Arial Narrow" w:hAnsi="Arial Narrow" w:cs="Arial"/>
                <w:sz w:val="24"/>
                <w:szCs w:val="24"/>
              </w:rPr>
              <w:t>HC-MD-CIV-ACT-DEL-2019/01337</w:t>
            </w:r>
            <w:r w:rsidRPr="00B4625E">
              <w:rPr>
                <w:rFonts w:ascii="Arial Narrow" w:hAnsi="Arial Narrow" w:cs="Arial"/>
                <w:sz w:val="24"/>
                <w:szCs w:val="24"/>
              </w:rPr>
              <w:t>)</w:t>
            </w:r>
            <w:r>
              <w:rPr>
                <w:rFonts w:ascii="Arial Narrow" w:hAnsi="Arial Narrow" w:cs="Arial"/>
                <w:b/>
                <w:sz w:val="24"/>
                <w:szCs w:val="24"/>
              </w:rPr>
              <w:t xml:space="preserve"> </w:t>
            </w:r>
            <w:r w:rsidR="00E451AD">
              <w:rPr>
                <w:rFonts w:ascii="Arial Narrow" w:hAnsi="Arial Narrow" w:cs="Arial"/>
                <w:sz w:val="24"/>
                <w:szCs w:val="24"/>
              </w:rPr>
              <w:t>[2020</w:t>
            </w:r>
            <w:r>
              <w:rPr>
                <w:rFonts w:ascii="Arial Narrow" w:hAnsi="Arial Narrow" w:cs="Arial"/>
                <w:sz w:val="24"/>
                <w:szCs w:val="24"/>
              </w:rPr>
              <w:t xml:space="preserve">] </w:t>
            </w:r>
            <w:r w:rsidRPr="005955B1">
              <w:rPr>
                <w:rFonts w:ascii="Arial Narrow" w:hAnsi="Arial Narrow" w:cs="Arial"/>
                <w:sz w:val="24"/>
                <w:szCs w:val="24"/>
              </w:rPr>
              <w:t xml:space="preserve">NAHCMD </w:t>
            </w:r>
            <w:r w:rsidR="008D19E3">
              <w:rPr>
                <w:rFonts w:ascii="Arial Narrow" w:hAnsi="Arial Narrow" w:cs="Arial"/>
                <w:sz w:val="24"/>
                <w:szCs w:val="24"/>
              </w:rPr>
              <w:t>23</w:t>
            </w:r>
            <w:r w:rsidR="00656D4A">
              <w:rPr>
                <w:rFonts w:ascii="Arial Narrow" w:hAnsi="Arial Narrow" w:cs="Arial"/>
                <w:sz w:val="24"/>
                <w:szCs w:val="24"/>
              </w:rPr>
              <w:t xml:space="preserve"> (</w:t>
            </w:r>
            <w:r w:rsidR="008D19E3" w:rsidRPr="008D19E3">
              <w:rPr>
                <w:rFonts w:ascii="Arial Narrow" w:hAnsi="Arial Narrow" w:cs="Arial"/>
                <w:sz w:val="24"/>
                <w:szCs w:val="24"/>
              </w:rPr>
              <w:t xml:space="preserve">24 January </w:t>
            </w:r>
            <w:r>
              <w:rPr>
                <w:rFonts w:ascii="Arial Narrow" w:hAnsi="Arial Narrow" w:cs="Arial"/>
                <w:sz w:val="24"/>
                <w:szCs w:val="24"/>
              </w:rPr>
              <w:t>2019</w:t>
            </w:r>
            <w:r w:rsidRPr="005955B1">
              <w:rPr>
                <w:rFonts w:ascii="Arial Narrow" w:hAnsi="Arial Narrow" w:cs="Arial"/>
                <w:sz w:val="24"/>
                <w:szCs w:val="24"/>
              </w:rPr>
              <w:t>)</w:t>
            </w:r>
          </w:p>
        </w:tc>
      </w:tr>
      <w:tr w:rsidR="00045A14" w:rsidRPr="00C73154" w:rsidTr="00551EE4">
        <w:tc>
          <w:tcPr>
            <w:tcW w:w="9720" w:type="dxa"/>
            <w:gridSpan w:val="3"/>
          </w:tcPr>
          <w:p w:rsidR="00045A14" w:rsidRPr="00890143" w:rsidRDefault="00045A14" w:rsidP="00551EE4">
            <w:pPr>
              <w:spacing w:line="360" w:lineRule="auto"/>
              <w:jc w:val="both"/>
              <w:rPr>
                <w:rFonts w:ascii="Arial Narrow" w:hAnsi="Arial Narrow" w:cs="Arial"/>
                <w:b/>
                <w:sz w:val="24"/>
                <w:szCs w:val="24"/>
              </w:rPr>
            </w:pPr>
            <w:r w:rsidRPr="00890143">
              <w:rPr>
                <w:rFonts w:ascii="Arial Narrow" w:hAnsi="Arial Narrow" w:cs="Arial"/>
                <w:b/>
                <w:sz w:val="24"/>
                <w:szCs w:val="24"/>
              </w:rPr>
              <w:t>The order:</w:t>
            </w:r>
          </w:p>
          <w:p w:rsidR="00045A14" w:rsidRPr="00890143" w:rsidRDefault="00045A14" w:rsidP="00551EE4">
            <w:pPr>
              <w:spacing w:line="360" w:lineRule="auto"/>
              <w:jc w:val="both"/>
              <w:rPr>
                <w:rFonts w:ascii="Arial Narrow" w:hAnsi="Arial Narrow" w:cs="Arial"/>
                <w:sz w:val="24"/>
                <w:szCs w:val="24"/>
              </w:rPr>
            </w:pPr>
          </w:p>
          <w:p w:rsidR="00045A14" w:rsidRPr="00890143" w:rsidRDefault="00045A14" w:rsidP="00551EE4">
            <w:pPr>
              <w:spacing w:line="360" w:lineRule="auto"/>
              <w:jc w:val="both"/>
              <w:rPr>
                <w:rFonts w:ascii="Arial Narrow" w:hAnsi="Arial Narrow" w:cs="Arial"/>
                <w:sz w:val="24"/>
                <w:szCs w:val="24"/>
              </w:rPr>
            </w:pPr>
            <w:r w:rsidRPr="00890143">
              <w:rPr>
                <w:rFonts w:ascii="Arial Narrow" w:hAnsi="Arial Narrow" w:cs="Arial"/>
                <w:sz w:val="24"/>
                <w:szCs w:val="24"/>
              </w:rPr>
              <w:t xml:space="preserve">Having heard </w:t>
            </w:r>
            <w:r w:rsidR="00E451AD">
              <w:rPr>
                <w:rFonts w:ascii="Arial Narrow" w:hAnsi="Arial Narrow" w:cs="Arial"/>
                <w:b/>
                <w:sz w:val="24"/>
                <w:szCs w:val="24"/>
              </w:rPr>
              <w:t>M</w:t>
            </w:r>
            <w:r w:rsidR="003D7886">
              <w:rPr>
                <w:rFonts w:ascii="Arial Narrow" w:hAnsi="Arial Narrow" w:cs="Arial"/>
                <w:b/>
                <w:sz w:val="24"/>
                <w:szCs w:val="24"/>
              </w:rPr>
              <w:t xml:space="preserve">s </w:t>
            </w:r>
            <w:proofErr w:type="spellStart"/>
            <w:r w:rsidR="003D7886">
              <w:rPr>
                <w:rFonts w:ascii="Arial Narrow" w:hAnsi="Arial Narrow" w:cs="Arial"/>
                <w:b/>
                <w:sz w:val="24"/>
                <w:szCs w:val="24"/>
              </w:rPr>
              <w:t>Grabers</w:t>
            </w:r>
            <w:proofErr w:type="spellEnd"/>
            <w:r w:rsidR="003D7886">
              <w:rPr>
                <w:rFonts w:ascii="Arial Narrow" w:hAnsi="Arial Narrow" w:cs="Arial"/>
                <w:b/>
                <w:sz w:val="24"/>
                <w:szCs w:val="24"/>
              </w:rPr>
              <w:t xml:space="preserve">-Kirsten, </w:t>
            </w:r>
            <w:r w:rsidRPr="00890143">
              <w:rPr>
                <w:rFonts w:ascii="Arial Narrow" w:hAnsi="Arial Narrow" w:cs="Arial"/>
                <w:sz w:val="24"/>
                <w:szCs w:val="24"/>
              </w:rPr>
              <w:t>counsel for the ap</w:t>
            </w:r>
            <w:r>
              <w:rPr>
                <w:rFonts w:ascii="Arial Narrow" w:hAnsi="Arial Narrow" w:cs="Arial"/>
                <w:sz w:val="24"/>
                <w:szCs w:val="24"/>
              </w:rPr>
              <w:t>plicant</w:t>
            </w:r>
            <w:r w:rsidRPr="00890143">
              <w:rPr>
                <w:rFonts w:ascii="Arial Narrow" w:hAnsi="Arial Narrow" w:cs="Arial"/>
                <w:sz w:val="24"/>
                <w:szCs w:val="24"/>
              </w:rPr>
              <w:t xml:space="preserve">, and </w:t>
            </w:r>
            <w:r w:rsidRPr="00890143">
              <w:rPr>
                <w:rFonts w:ascii="Arial Narrow" w:hAnsi="Arial Narrow" w:cs="Arial"/>
                <w:b/>
                <w:sz w:val="24"/>
                <w:szCs w:val="24"/>
              </w:rPr>
              <w:t>M</w:t>
            </w:r>
            <w:r>
              <w:rPr>
                <w:rFonts w:ascii="Arial Narrow" w:hAnsi="Arial Narrow" w:cs="Arial"/>
                <w:b/>
                <w:sz w:val="24"/>
                <w:szCs w:val="24"/>
              </w:rPr>
              <w:t xml:space="preserve">r </w:t>
            </w:r>
            <w:r w:rsidR="003D7886">
              <w:rPr>
                <w:rFonts w:ascii="Arial Narrow" w:hAnsi="Arial Narrow" w:cs="Arial"/>
                <w:b/>
                <w:sz w:val="24"/>
                <w:szCs w:val="24"/>
              </w:rPr>
              <w:t xml:space="preserve">Alex Kamwi </w:t>
            </w:r>
            <w:proofErr w:type="spellStart"/>
            <w:r w:rsidR="003D7886">
              <w:rPr>
                <w:rFonts w:ascii="Arial Narrow" w:hAnsi="Arial Narrow" w:cs="Arial"/>
                <w:b/>
                <w:sz w:val="24"/>
                <w:szCs w:val="24"/>
              </w:rPr>
              <w:t>Kamwi</w:t>
            </w:r>
            <w:proofErr w:type="spellEnd"/>
            <w:r>
              <w:rPr>
                <w:rFonts w:ascii="Arial Narrow" w:hAnsi="Arial Narrow" w:cs="Arial"/>
                <w:b/>
                <w:sz w:val="24"/>
                <w:szCs w:val="24"/>
              </w:rPr>
              <w:t>,</w:t>
            </w:r>
            <w:r w:rsidRPr="00890143">
              <w:rPr>
                <w:rFonts w:ascii="Arial Narrow" w:hAnsi="Arial Narrow" w:cs="Arial"/>
                <w:sz w:val="24"/>
                <w:szCs w:val="24"/>
              </w:rPr>
              <w:t xml:space="preserve"> respondent</w:t>
            </w:r>
            <w:r w:rsidR="003D7886">
              <w:rPr>
                <w:rFonts w:ascii="Arial Narrow" w:hAnsi="Arial Narrow" w:cs="Arial"/>
                <w:sz w:val="24"/>
                <w:szCs w:val="24"/>
              </w:rPr>
              <w:t xml:space="preserve"> In Person</w:t>
            </w:r>
            <w:r w:rsidRPr="00890143">
              <w:rPr>
                <w:rFonts w:ascii="Arial Narrow" w:hAnsi="Arial Narrow" w:cs="Arial"/>
                <w:sz w:val="24"/>
                <w:szCs w:val="24"/>
              </w:rPr>
              <w:t>, and having read the documents filed of record:</w:t>
            </w:r>
          </w:p>
          <w:p w:rsidR="00045A14" w:rsidRPr="00890143" w:rsidRDefault="00045A14" w:rsidP="00551EE4">
            <w:pPr>
              <w:spacing w:line="360" w:lineRule="auto"/>
              <w:jc w:val="both"/>
              <w:rPr>
                <w:rFonts w:ascii="Arial Narrow" w:hAnsi="Arial Narrow" w:cs="Arial"/>
                <w:sz w:val="24"/>
                <w:szCs w:val="24"/>
              </w:rPr>
            </w:pPr>
          </w:p>
          <w:p w:rsidR="00045A14" w:rsidRDefault="00045A14" w:rsidP="00551EE4">
            <w:pPr>
              <w:spacing w:line="360" w:lineRule="auto"/>
              <w:jc w:val="both"/>
              <w:rPr>
                <w:rFonts w:ascii="Arial Narrow" w:hAnsi="Arial Narrow" w:cs="Arial"/>
                <w:b/>
                <w:sz w:val="24"/>
                <w:szCs w:val="24"/>
              </w:rPr>
            </w:pPr>
            <w:r w:rsidRPr="00890143">
              <w:rPr>
                <w:rFonts w:ascii="Arial Narrow" w:hAnsi="Arial Narrow" w:cs="Arial"/>
                <w:b/>
                <w:sz w:val="24"/>
                <w:szCs w:val="24"/>
              </w:rPr>
              <w:t>IT IS ORDERED THAT:</w:t>
            </w:r>
          </w:p>
          <w:p w:rsidR="003D7886" w:rsidRPr="00890143" w:rsidRDefault="003D7886" w:rsidP="00551EE4">
            <w:pPr>
              <w:spacing w:line="360" w:lineRule="auto"/>
              <w:jc w:val="both"/>
              <w:rPr>
                <w:rFonts w:ascii="Arial Narrow" w:hAnsi="Arial Narrow" w:cs="Arial"/>
                <w:b/>
                <w:sz w:val="24"/>
                <w:szCs w:val="24"/>
              </w:rPr>
            </w:pPr>
          </w:p>
          <w:p w:rsidR="00045A14" w:rsidRDefault="00503151" w:rsidP="00503151">
            <w:pPr>
              <w:pStyle w:val="ListParagraph"/>
              <w:numPr>
                <w:ilvl w:val="0"/>
                <w:numId w:val="5"/>
              </w:numPr>
              <w:rPr>
                <w:rFonts w:ascii="Arial Narrow" w:hAnsi="Arial Narrow" w:cs="Arial"/>
                <w:sz w:val="24"/>
                <w:szCs w:val="24"/>
                <w:lang w:val="en-US"/>
              </w:rPr>
            </w:pPr>
            <w:r>
              <w:rPr>
                <w:rFonts w:ascii="Arial Narrow" w:hAnsi="Arial Narrow" w:cs="Arial"/>
                <w:sz w:val="24"/>
                <w:szCs w:val="24"/>
                <w:lang w:val="en-US"/>
              </w:rPr>
              <w:t xml:space="preserve">The </w:t>
            </w:r>
            <w:r w:rsidR="003C3A45">
              <w:rPr>
                <w:rFonts w:ascii="Arial Narrow" w:hAnsi="Arial Narrow" w:cs="Arial"/>
                <w:sz w:val="24"/>
                <w:szCs w:val="24"/>
                <w:lang w:val="en-US"/>
              </w:rPr>
              <w:t xml:space="preserve">First Defendant’s application for security of costs in terms of Rule 59 is </w:t>
            </w:r>
            <w:r>
              <w:rPr>
                <w:rFonts w:ascii="Arial Narrow" w:hAnsi="Arial Narrow" w:cs="Arial"/>
                <w:sz w:val="24"/>
                <w:szCs w:val="24"/>
                <w:lang w:val="en-US"/>
              </w:rPr>
              <w:t>dismissed;</w:t>
            </w:r>
          </w:p>
          <w:p w:rsidR="00503151" w:rsidRPr="00BA1B0A" w:rsidRDefault="00503151" w:rsidP="00503151">
            <w:pPr>
              <w:pStyle w:val="ListParagraph"/>
              <w:numPr>
                <w:ilvl w:val="0"/>
                <w:numId w:val="5"/>
              </w:numPr>
              <w:rPr>
                <w:rFonts w:ascii="Arial Narrow" w:hAnsi="Arial Narrow" w:cs="Arial"/>
                <w:sz w:val="24"/>
                <w:szCs w:val="24"/>
                <w:lang w:val="en-US"/>
              </w:rPr>
            </w:pPr>
            <w:r>
              <w:rPr>
                <w:rFonts w:ascii="Arial Narrow" w:hAnsi="Arial Narrow" w:cs="Arial"/>
                <w:sz w:val="24"/>
                <w:szCs w:val="24"/>
                <w:lang w:val="en-US"/>
              </w:rPr>
              <w:t>No order is made as to costs.</w:t>
            </w:r>
          </w:p>
          <w:p w:rsidR="00045A14" w:rsidRPr="00BA1B0A" w:rsidRDefault="00045A14" w:rsidP="00551EE4">
            <w:pPr>
              <w:spacing w:line="360" w:lineRule="auto"/>
              <w:jc w:val="both"/>
              <w:rPr>
                <w:rFonts w:ascii="Arial Narrow" w:hAnsi="Arial Narrow" w:cs="Arial"/>
                <w:sz w:val="24"/>
                <w:szCs w:val="24"/>
              </w:rPr>
            </w:pPr>
          </w:p>
        </w:tc>
      </w:tr>
      <w:tr w:rsidR="00045A14" w:rsidRPr="00C73154" w:rsidTr="00551EE4">
        <w:tc>
          <w:tcPr>
            <w:tcW w:w="9720" w:type="dxa"/>
            <w:gridSpan w:val="3"/>
          </w:tcPr>
          <w:p w:rsidR="00045A14" w:rsidRPr="00C73154" w:rsidRDefault="00045A14" w:rsidP="00551EE4">
            <w:pPr>
              <w:spacing w:line="360" w:lineRule="auto"/>
              <w:jc w:val="both"/>
              <w:rPr>
                <w:rFonts w:ascii="Arial Narrow" w:hAnsi="Arial Narrow" w:cs="Arial"/>
                <w:b/>
                <w:sz w:val="24"/>
                <w:szCs w:val="24"/>
              </w:rPr>
            </w:pPr>
            <w:r w:rsidRPr="00C73154">
              <w:rPr>
                <w:rFonts w:ascii="Arial Narrow" w:hAnsi="Arial Narrow" w:cs="Arial"/>
                <w:b/>
                <w:sz w:val="24"/>
                <w:szCs w:val="24"/>
              </w:rPr>
              <w:lastRenderedPageBreak/>
              <w:t>Reasons for orders:</w:t>
            </w:r>
          </w:p>
        </w:tc>
      </w:tr>
      <w:tr w:rsidR="00045A14" w:rsidRPr="00C73154" w:rsidTr="00551EE4">
        <w:tc>
          <w:tcPr>
            <w:tcW w:w="9720" w:type="dxa"/>
            <w:gridSpan w:val="3"/>
          </w:tcPr>
          <w:p w:rsidR="00045A14" w:rsidRDefault="00045A14" w:rsidP="00551EE4">
            <w:pPr>
              <w:spacing w:line="360" w:lineRule="auto"/>
              <w:jc w:val="both"/>
              <w:rPr>
                <w:rFonts w:ascii="Arial Narrow" w:hAnsi="Arial Narrow" w:cs="Arial"/>
                <w:sz w:val="24"/>
                <w:szCs w:val="24"/>
              </w:rPr>
            </w:pPr>
          </w:p>
          <w:p w:rsidR="00DC5A65" w:rsidRDefault="00045A14" w:rsidP="00551EE4">
            <w:pPr>
              <w:spacing w:line="360" w:lineRule="auto"/>
              <w:jc w:val="both"/>
              <w:rPr>
                <w:rFonts w:ascii="Arial Narrow" w:hAnsi="Arial Narrow" w:cs="Arial"/>
                <w:sz w:val="24"/>
                <w:szCs w:val="24"/>
              </w:rPr>
            </w:pPr>
            <w:r>
              <w:rPr>
                <w:rFonts w:ascii="Arial Narrow" w:hAnsi="Arial Narrow" w:cs="Arial"/>
                <w:sz w:val="24"/>
                <w:szCs w:val="24"/>
              </w:rPr>
              <w:t xml:space="preserve">[1] </w:t>
            </w:r>
            <w:r w:rsidR="00503151">
              <w:rPr>
                <w:rFonts w:ascii="Arial Narrow" w:hAnsi="Arial Narrow" w:cs="Arial"/>
                <w:sz w:val="24"/>
                <w:szCs w:val="24"/>
              </w:rPr>
              <w:t xml:space="preserve">The </w:t>
            </w:r>
            <w:r w:rsidR="009C68A2">
              <w:rPr>
                <w:rFonts w:ascii="Arial Narrow" w:hAnsi="Arial Narrow" w:cs="Arial"/>
                <w:sz w:val="24"/>
                <w:szCs w:val="24"/>
              </w:rPr>
              <w:t>first d</w:t>
            </w:r>
            <w:r w:rsidR="00503151">
              <w:rPr>
                <w:rFonts w:ascii="Arial Narrow" w:hAnsi="Arial Narrow" w:cs="Arial"/>
                <w:sz w:val="24"/>
                <w:szCs w:val="24"/>
              </w:rPr>
              <w:t>efendan</w:t>
            </w:r>
            <w:bookmarkStart w:id="0" w:name="_GoBack"/>
            <w:bookmarkEnd w:id="0"/>
            <w:r w:rsidR="00503151">
              <w:rPr>
                <w:rFonts w:ascii="Arial Narrow" w:hAnsi="Arial Narrow" w:cs="Arial"/>
                <w:sz w:val="24"/>
                <w:szCs w:val="24"/>
              </w:rPr>
              <w:t xml:space="preserve">t brought an application before this court for plaintiff to provide security in the sum of N$200 000. The application was opposed by </w:t>
            </w:r>
            <w:r w:rsidR="009C68A2">
              <w:rPr>
                <w:rFonts w:ascii="Arial Narrow" w:hAnsi="Arial Narrow" w:cs="Arial"/>
                <w:sz w:val="24"/>
                <w:szCs w:val="24"/>
              </w:rPr>
              <w:t>p</w:t>
            </w:r>
            <w:r w:rsidR="00503151">
              <w:rPr>
                <w:rFonts w:ascii="Arial Narrow" w:hAnsi="Arial Narrow" w:cs="Arial"/>
                <w:sz w:val="24"/>
                <w:szCs w:val="24"/>
              </w:rPr>
              <w:t xml:space="preserve">laintiff. This court gave the above order </w:t>
            </w:r>
            <w:r w:rsidR="00E451AD">
              <w:rPr>
                <w:rFonts w:ascii="Arial Narrow" w:hAnsi="Arial Narrow" w:cs="Arial"/>
                <w:sz w:val="24"/>
                <w:szCs w:val="24"/>
              </w:rPr>
              <w:t>on 14 November 2019 and undertook</w:t>
            </w:r>
            <w:r w:rsidR="003C3A45">
              <w:rPr>
                <w:rFonts w:ascii="Arial Narrow" w:hAnsi="Arial Narrow" w:cs="Arial"/>
                <w:sz w:val="24"/>
                <w:szCs w:val="24"/>
              </w:rPr>
              <w:t xml:space="preserve"> to give reasons.</w:t>
            </w:r>
            <w:r w:rsidR="00503151">
              <w:rPr>
                <w:rFonts w:ascii="Arial Narrow" w:hAnsi="Arial Narrow" w:cs="Arial"/>
                <w:sz w:val="24"/>
                <w:szCs w:val="24"/>
              </w:rPr>
              <w:t xml:space="preserve">   </w:t>
            </w:r>
          </w:p>
          <w:p w:rsidR="003C3A45" w:rsidRDefault="003C3A45" w:rsidP="00551EE4">
            <w:pPr>
              <w:spacing w:line="360" w:lineRule="auto"/>
              <w:jc w:val="both"/>
              <w:rPr>
                <w:rFonts w:ascii="Arial Narrow" w:hAnsi="Arial Narrow" w:cs="Arial"/>
                <w:sz w:val="24"/>
                <w:szCs w:val="24"/>
              </w:rPr>
            </w:pPr>
          </w:p>
          <w:p w:rsidR="00686613" w:rsidRDefault="00DC5A65" w:rsidP="00551EE4">
            <w:pPr>
              <w:spacing w:line="360" w:lineRule="auto"/>
              <w:jc w:val="both"/>
              <w:rPr>
                <w:rFonts w:ascii="Arial Narrow" w:hAnsi="Arial Narrow" w:cs="Arial"/>
                <w:sz w:val="24"/>
                <w:szCs w:val="24"/>
              </w:rPr>
            </w:pPr>
            <w:r>
              <w:rPr>
                <w:rFonts w:ascii="Arial Narrow" w:hAnsi="Arial Narrow" w:cs="Arial"/>
                <w:sz w:val="24"/>
                <w:szCs w:val="24"/>
              </w:rPr>
              <w:t xml:space="preserve">[2] The first </w:t>
            </w:r>
            <w:r w:rsidR="009C68A2">
              <w:rPr>
                <w:rFonts w:ascii="Arial Narrow" w:hAnsi="Arial Narrow" w:cs="Arial"/>
                <w:sz w:val="24"/>
                <w:szCs w:val="24"/>
              </w:rPr>
              <w:t>defendant</w:t>
            </w:r>
            <w:r w:rsidR="000B17D4">
              <w:rPr>
                <w:rFonts w:ascii="Arial Narrow" w:hAnsi="Arial Narrow" w:cs="Arial"/>
                <w:sz w:val="24"/>
                <w:szCs w:val="24"/>
              </w:rPr>
              <w:t>’</w:t>
            </w:r>
            <w:r w:rsidR="009C68A2">
              <w:rPr>
                <w:rFonts w:ascii="Arial Narrow" w:hAnsi="Arial Narrow" w:cs="Arial"/>
                <w:sz w:val="24"/>
                <w:szCs w:val="24"/>
              </w:rPr>
              <w:t xml:space="preserve">s case, in a nutshell, </w:t>
            </w:r>
            <w:r w:rsidR="00503151">
              <w:rPr>
                <w:rFonts w:ascii="Arial Narrow" w:hAnsi="Arial Narrow" w:cs="Arial"/>
                <w:sz w:val="24"/>
                <w:szCs w:val="24"/>
              </w:rPr>
              <w:t>is that plaintiff</w:t>
            </w:r>
            <w:r w:rsidR="009C68A2">
              <w:rPr>
                <w:rFonts w:ascii="Arial Narrow" w:hAnsi="Arial Narrow" w:cs="Arial"/>
                <w:sz w:val="24"/>
                <w:szCs w:val="24"/>
              </w:rPr>
              <w:t>’s</w:t>
            </w:r>
            <w:r w:rsidR="00503151">
              <w:rPr>
                <w:rFonts w:ascii="Arial Narrow" w:hAnsi="Arial Narrow" w:cs="Arial"/>
                <w:sz w:val="24"/>
                <w:szCs w:val="24"/>
              </w:rPr>
              <w:t xml:space="preserve"> particulars of claim is bad in law in that it does not disclose a cause of action against the defendants and</w:t>
            </w:r>
            <w:r w:rsidR="00597909">
              <w:rPr>
                <w:rFonts w:ascii="Arial Narrow" w:hAnsi="Arial Narrow" w:cs="Arial"/>
                <w:sz w:val="24"/>
                <w:szCs w:val="24"/>
              </w:rPr>
              <w:t xml:space="preserve"> that</w:t>
            </w:r>
            <w:r w:rsidR="00503151">
              <w:rPr>
                <w:rFonts w:ascii="Arial Narrow" w:hAnsi="Arial Narrow" w:cs="Arial"/>
                <w:sz w:val="24"/>
                <w:szCs w:val="24"/>
              </w:rPr>
              <w:t xml:space="preserve"> </w:t>
            </w:r>
            <w:r w:rsidR="002541F3">
              <w:rPr>
                <w:rFonts w:ascii="Arial Narrow" w:hAnsi="Arial Narrow" w:cs="Arial"/>
                <w:sz w:val="24"/>
                <w:szCs w:val="24"/>
              </w:rPr>
              <w:t>it is</w:t>
            </w:r>
            <w:r w:rsidR="00503151">
              <w:rPr>
                <w:rFonts w:ascii="Arial Narrow" w:hAnsi="Arial Narrow" w:cs="Arial"/>
                <w:sz w:val="24"/>
                <w:szCs w:val="24"/>
              </w:rPr>
              <w:t xml:space="preserve"> vexatious. </w:t>
            </w:r>
            <w:r w:rsidR="00686613">
              <w:rPr>
                <w:rFonts w:ascii="Arial Narrow" w:hAnsi="Arial Narrow" w:cs="Arial"/>
                <w:sz w:val="24"/>
                <w:szCs w:val="24"/>
              </w:rPr>
              <w:t xml:space="preserve">Ms </w:t>
            </w:r>
            <w:proofErr w:type="spellStart"/>
            <w:r w:rsidR="00686613">
              <w:rPr>
                <w:rFonts w:ascii="Arial Narrow" w:hAnsi="Arial Narrow" w:cs="Arial"/>
                <w:sz w:val="24"/>
                <w:szCs w:val="24"/>
              </w:rPr>
              <w:t>Garbers</w:t>
            </w:r>
            <w:proofErr w:type="spellEnd"/>
            <w:r w:rsidR="00686613">
              <w:rPr>
                <w:rFonts w:ascii="Arial Narrow" w:hAnsi="Arial Narrow" w:cs="Arial"/>
                <w:sz w:val="24"/>
                <w:szCs w:val="24"/>
              </w:rPr>
              <w:t>, counsel for the first defendant</w:t>
            </w:r>
            <w:r w:rsidR="009C68A2">
              <w:rPr>
                <w:rFonts w:ascii="Arial Narrow" w:hAnsi="Arial Narrow" w:cs="Arial"/>
                <w:sz w:val="24"/>
                <w:szCs w:val="24"/>
              </w:rPr>
              <w:t>,</w:t>
            </w:r>
            <w:r w:rsidR="00686613">
              <w:rPr>
                <w:rFonts w:ascii="Arial Narrow" w:hAnsi="Arial Narrow" w:cs="Arial"/>
                <w:sz w:val="24"/>
                <w:szCs w:val="24"/>
              </w:rPr>
              <w:t xml:space="preserve"> </w:t>
            </w:r>
            <w:r w:rsidR="002541F3">
              <w:rPr>
                <w:rFonts w:ascii="Arial Narrow" w:hAnsi="Arial Narrow" w:cs="Arial"/>
                <w:sz w:val="24"/>
                <w:szCs w:val="24"/>
              </w:rPr>
              <w:t>submitted</w:t>
            </w:r>
            <w:r w:rsidR="00686613">
              <w:rPr>
                <w:rFonts w:ascii="Arial Narrow" w:hAnsi="Arial Narrow" w:cs="Arial"/>
                <w:sz w:val="24"/>
                <w:szCs w:val="24"/>
              </w:rPr>
              <w:t xml:space="preserve"> that </w:t>
            </w:r>
            <w:r w:rsidR="002541F3">
              <w:rPr>
                <w:rFonts w:ascii="Arial Narrow" w:hAnsi="Arial Narrow" w:cs="Arial"/>
                <w:sz w:val="24"/>
                <w:szCs w:val="24"/>
              </w:rPr>
              <w:t xml:space="preserve">the </w:t>
            </w:r>
            <w:r w:rsidR="00686613">
              <w:rPr>
                <w:rFonts w:ascii="Arial Narrow" w:hAnsi="Arial Narrow" w:cs="Arial"/>
                <w:sz w:val="24"/>
                <w:szCs w:val="24"/>
              </w:rPr>
              <w:t xml:space="preserve">amended particulars of claim is </w:t>
            </w:r>
            <w:proofErr w:type="spellStart"/>
            <w:r w:rsidR="00686613">
              <w:rPr>
                <w:rFonts w:ascii="Arial Narrow" w:hAnsi="Arial Narrow" w:cs="Arial"/>
                <w:sz w:val="24"/>
                <w:szCs w:val="24"/>
              </w:rPr>
              <w:t>exipiable</w:t>
            </w:r>
            <w:proofErr w:type="spellEnd"/>
            <w:r w:rsidR="00686613">
              <w:rPr>
                <w:rFonts w:ascii="Arial Narrow" w:hAnsi="Arial Narrow" w:cs="Arial"/>
                <w:sz w:val="24"/>
                <w:szCs w:val="24"/>
              </w:rPr>
              <w:t xml:space="preserve"> on 10 grounds </w:t>
            </w:r>
            <w:r w:rsidR="00686613" w:rsidRPr="00686613">
              <w:rPr>
                <w:rFonts w:ascii="Arial Narrow" w:hAnsi="Arial Narrow" w:cs="Arial"/>
                <w:i/>
                <w:sz w:val="24"/>
                <w:szCs w:val="24"/>
              </w:rPr>
              <w:t>inter alia</w:t>
            </w:r>
            <w:r w:rsidR="00686613">
              <w:rPr>
                <w:rFonts w:ascii="Arial Narrow" w:hAnsi="Arial Narrow" w:cs="Arial"/>
                <w:sz w:val="24"/>
                <w:szCs w:val="24"/>
              </w:rPr>
              <w:t xml:space="preserve"> that: there is no </w:t>
            </w:r>
            <w:proofErr w:type="spellStart"/>
            <w:r w:rsidR="00686613" w:rsidRPr="00686613">
              <w:rPr>
                <w:rFonts w:ascii="Arial Narrow" w:hAnsi="Arial Narrow" w:cs="Arial"/>
                <w:i/>
                <w:sz w:val="24"/>
                <w:szCs w:val="24"/>
              </w:rPr>
              <w:t>lis</w:t>
            </w:r>
            <w:proofErr w:type="spellEnd"/>
            <w:r w:rsidR="00686613">
              <w:rPr>
                <w:rFonts w:ascii="Arial Narrow" w:hAnsi="Arial Narrow" w:cs="Arial"/>
                <w:sz w:val="24"/>
                <w:szCs w:val="24"/>
              </w:rPr>
              <w:t xml:space="preserve"> between the plaintiff and the defendants; and the action is brought prematurely </w:t>
            </w:r>
            <w:r w:rsidR="00836CC2">
              <w:rPr>
                <w:rFonts w:ascii="Arial Narrow" w:hAnsi="Arial Narrow" w:cs="Arial"/>
                <w:sz w:val="24"/>
                <w:szCs w:val="24"/>
              </w:rPr>
              <w:t xml:space="preserve">given the fact that the </w:t>
            </w:r>
            <w:r w:rsidR="00686613">
              <w:rPr>
                <w:rFonts w:ascii="Arial Narrow" w:hAnsi="Arial Narrow" w:cs="Arial"/>
                <w:sz w:val="24"/>
                <w:szCs w:val="24"/>
              </w:rPr>
              <w:lastRenderedPageBreak/>
              <w:t xml:space="preserve">prosecution against him is still on-going. She argued that in the circumstances of this case, </w:t>
            </w:r>
            <w:r w:rsidR="00503151">
              <w:rPr>
                <w:rFonts w:ascii="Arial Narrow" w:hAnsi="Arial Narrow" w:cs="Arial"/>
                <w:sz w:val="24"/>
                <w:szCs w:val="24"/>
              </w:rPr>
              <w:t>the court</w:t>
            </w:r>
            <w:r w:rsidR="00836CC2">
              <w:rPr>
                <w:rFonts w:ascii="Arial Narrow" w:hAnsi="Arial Narrow" w:cs="Arial"/>
                <w:sz w:val="24"/>
                <w:szCs w:val="24"/>
              </w:rPr>
              <w:t xml:space="preserve"> has inherent jurisdiction to </w:t>
            </w:r>
            <w:r w:rsidR="00503151">
              <w:rPr>
                <w:rFonts w:ascii="Arial Narrow" w:hAnsi="Arial Narrow" w:cs="Arial"/>
                <w:sz w:val="24"/>
                <w:szCs w:val="24"/>
              </w:rPr>
              <w:t xml:space="preserve">order him to pay </w:t>
            </w:r>
            <w:r w:rsidR="00686613">
              <w:rPr>
                <w:rFonts w:ascii="Arial Narrow" w:hAnsi="Arial Narrow" w:cs="Arial"/>
                <w:sz w:val="24"/>
                <w:szCs w:val="24"/>
              </w:rPr>
              <w:t xml:space="preserve">security for </w:t>
            </w:r>
            <w:r w:rsidR="00503151">
              <w:rPr>
                <w:rFonts w:ascii="Arial Narrow" w:hAnsi="Arial Narrow" w:cs="Arial"/>
                <w:sz w:val="24"/>
                <w:szCs w:val="24"/>
              </w:rPr>
              <w:t>costs.</w:t>
            </w:r>
          </w:p>
          <w:p w:rsidR="002541F3" w:rsidRDefault="002541F3" w:rsidP="00551EE4">
            <w:pPr>
              <w:spacing w:line="360" w:lineRule="auto"/>
              <w:jc w:val="both"/>
              <w:rPr>
                <w:rFonts w:ascii="Arial Narrow" w:hAnsi="Arial Narrow" w:cs="Arial"/>
                <w:sz w:val="24"/>
                <w:szCs w:val="24"/>
              </w:rPr>
            </w:pPr>
          </w:p>
          <w:p w:rsidR="002541F3" w:rsidRDefault="00686613" w:rsidP="00551EE4">
            <w:pPr>
              <w:spacing w:line="360" w:lineRule="auto"/>
              <w:jc w:val="both"/>
              <w:rPr>
                <w:rFonts w:ascii="Arial Narrow" w:hAnsi="Arial Narrow" w:cs="Arial"/>
                <w:sz w:val="24"/>
                <w:szCs w:val="24"/>
              </w:rPr>
            </w:pPr>
            <w:r>
              <w:rPr>
                <w:rFonts w:ascii="Arial Narrow" w:hAnsi="Arial Narrow" w:cs="Arial"/>
                <w:sz w:val="24"/>
                <w:szCs w:val="24"/>
              </w:rPr>
              <w:t>[3]</w:t>
            </w:r>
            <w:r w:rsidR="00503151">
              <w:rPr>
                <w:rFonts w:ascii="Arial Narrow" w:hAnsi="Arial Narrow" w:cs="Arial"/>
                <w:sz w:val="24"/>
                <w:szCs w:val="24"/>
              </w:rPr>
              <w:t xml:space="preserve"> </w:t>
            </w:r>
            <w:r w:rsidR="002541F3">
              <w:rPr>
                <w:rFonts w:ascii="Arial Narrow" w:hAnsi="Arial Narrow" w:cs="Arial"/>
                <w:sz w:val="24"/>
                <w:szCs w:val="24"/>
              </w:rPr>
              <w:t xml:space="preserve">  </w:t>
            </w:r>
            <w:r w:rsidR="00503151">
              <w:rPr>
                <w:rFonts w:ascii="Arial Narrow" w:hAnsi="Arial Narrow" w:cs="Arial"/>
                <w:sz w:val="24"/>
                <w:szCs w:val="24"/>
              </w:rPr>
              <w:t>In support of her submissions she referred this court to</w:t>
            </w:r>
            <w:r w:rsidR="00836CC2">
              <w:rPr>
                <w:rFonts w:ascii="Arial Narrow" w:hAnsi="Arial Narrow" w:cs="Arial"/>
                <w:sz w:val="24"/>
                <w:szCs w:val="24"/>
              </w:rPr>
              <w:t>:</w:t>
            </w:r>
            <w:r w:rsidR="00503151">
              <w:rPr>
                <w:rFonts w:ascii="Arial Narrow" w:hAnsi="Arial Narrow" w:cs="Arial"/>
                <w:sz w:val="24"/>
                <w:szCs w:val="24"/>
              </w:rPr>
              <w:t xml:space="preserve"> Erasmus</w:t>
            </w:r>
            <w:r w:rsidR="00503151">
              <w:rPr>
                <w:rStyle w:val="FootnoteReference"/>
                <w:rFonts w:ascii="Arial Narrow" w:hAnsi="Arial Narrow" w:cs="Arial"/>
                <w:sz w:val="24"/>
                <w:szCs w:val="24"/>
              </w:rPr>
              <w:footnoteReference w:id="1"/>
            </w:r>
            <w:r w:rsidR="00503151">
              <w:rPr>
                <w:rFonts w:ascii="Arial Narrow" w:hAnsi="Arial Narrow" w:cs="Arial"/>
                <w:sz w:val="24"/>
                <w:szCs w:val="24"/>
              </w:rPr>
              <w:t xml:space="preserve"> setting out the categories of litigants who may be ordered to pay security for costs and </w:t>
            </w:r>
            <w:r w:rsidR="00836CC2">
              <w:rPr>
                <w:rFonts w:ascii="Arial Narrow" w:hAnsi="Arial Narrow" w:cs="Arial"/>
                <w:sz w:val="24"/>
                <w:szCs w:val="24"/>
              </w:rPr>
              <w:t xml:space="preserve">also </w:t>
            </w:r>
            <w:r w:rsidR="00503151">
              <w:rPr>
                <w:rFonts w:ascii="Arial Narrow" w:hAnsi="Arial Narrow" w:cs="Arial"/>
                <w:sz w:val="24"/>
                <w:szCs w:val="24"/>
              </w:rPr>
              <w:t xml:space="preserve">defining when an action is vexatious, </w:t>
            </w:r>
            <w:proofErr w:type="spellStart"/>
            <w:r w:rsidR="00503151">
              <w:rPr>
                <w:rFonts w:ascii="Arial Narrow" w:hAnsi="Arial Narrow" w:cs="Arial"/>
                <w:sz w:val="24"/>
                <w:szCs w:val="24"/>
              </w:rPr>
              <w:t>Herbstein</w:t>
            </w:r>
            <w:proofErr w:type="spellEnd"/>
            <w:r w:rsidR="00503151">
              <w:rPr>
                <w:rFonts w:ascii="Arial Narrow" w:hAnsi="Arial Narrow" w:cs="Arial"/>
                <w:sz w:val="24"/>
                <w:szCs w:val="24"/>
              </w:rPr>
              <w:t xml:space="preserve"> and Van </w:t>
            </w:r>
            <w:proofErr w:type="spellStart"/>
            <w:r w:rsidR="00503151">
              <w:rPr>
                <w:rFonts w:ascii="Arial Narrow" w:hAnsi="Arial Narrow" w:cs="Arial"/>
                <w:sz w:val="24"/>
                <w:szCs w:val="24"/>
              </w:rPr>
              <w:t>Winsen</w:t>
            </w:r>
            <w:proofErr w:type="spellEnd"/>
            <w:r w:rsidR="00503151">
              <w:rPr>
                <w:rStyle w:val="FootnoteReference"/>
                <w:rFonts w:ascii="Arial Narrow" w:hAnsi="Arial Narrow" w:cs="Arial"/>
                <w:sz w:val="24"/>
                <w:szCs w:val="24"/>
              </w:rPr>
              <w:footnoteReference w:id="2"/>
            </w:r>
            <w:r w:rsidR="00503151">
              <w:rPr>
                <w:rFonts w:ascii="Arial Narrow" w:hAnsi="Arial Narrow" w:cs="Arial"/>
                <w:sz w:val="24"/>
                <w:szCs w:val="24"/>
              </w:rPr>
              <w:t xml:space="preserve"> on the issue of the court’s inherent jurisdiction to stop or prevent a vexations action. She </w:t>
            </w:r>
            <w:r w:rsidR="00836CC2">
              <w:rPr>
                <w:rFonts w:ascii="Arial Narrow" w:hAnsi="Arial Narrow" w:cs="Arial"/>
                <w:sz w:val="24"/>
                <w:szCs w:val="24"/>
              </w:rPr>
              <w:t xml:space="preserve">referred this court to various </w:t>
            </w:r>
            <w:r w:rsidR="00503151">
              <w:rPr>
                <w:rFonts w:ascii="Arial Narrow" w:hAnsi="Arial Narrow" w:cs="Arial"/>
                <w:sz w:val="24"/>
                <w:szCs w:val="24"/>
              </w:rPr>
              <w:t>cases wh</w:t>
            </w:r>
            <w:r w:rsidR="00EE07FF">
              <w:rPr>
                <w:rFonts w:ascii="Arial Narrow" w:hAnsi="Arial Narrow" w:cs="Arial"/>
                <w:sz w:val="24"/>
                <w:szCs w:val="24"/>
              </w:rPr>
              <w:t xml:space="preserve">ich supports the principle that the court may order an </w:t>
            </w:r>
            <w:proofErr w:type="spellStart"/>
            <w:r w:rsidR="00EE07FF" w:rsidRPr="00EE07FF">
              <w:rPr>
                <w:rFonts w:ascii="Arial Narrow" w:hAnsi="Arial Narrow" w:cs="Arial"/>
                <w:i/>
                <w:sz w:val="24"/>
                <w:szCs w:val="24"/>
              </w:rPr>
              <w:t>incola</w:t>
            </w:r>
            <w:proofErr w:type="spellEnd"/>
            <w:r w:rsidR="00EE07FF">
              <w:rPr>
                <w:rFonts w:ascii="Arial Narrow" w:hAnsi="Arial Narrow" w:cs="Arial"/>
                <w:sz w:val="24"/>
                <w:szCs w:val="24"/>
              </w:rPr>
              <w:t xml:space="preserve"> to pay security for costs to stop or limit a vexatio</w:t>
            </w:r>
            <w:r w:rsidR="002541F3">
              <w:rPr>
                <w:rFonts w:ascii="Arial Narrow" w:hAnsi="Arial Narrow" w:cs="Arial"/>
                <w:sz w:val="24"/>
                <w:szCs w:val="24"/>
              </w:rPr>
              <w:t>us action</w:t>
            </w:r>
            <w:r w:rsidR="00EE07FF">
              <w:rPr>
                <w:rFonts w:ascii="Arial Narrow" w:hAnsi="Arial Narrow" w:cs="Arial"/>
                <w:sz w:val="24"/>
                <w:szCs w:val="24"/>
              </w:rPr>
              <w:t xml:space="preserve"> as being an abuse to courts process.</w:t>
            </w:r>
            <w:r w:rsidR="00503151">
              <w:rPr>
                <w:rStyle w:val="FootnoteReference"/>
                <w:rFonts w:ascii="Arial Narrow" w:hAnsi="Arial Narrow" w:cs="Arial"/>
                <w:sz w:val="24"/>
                <w:szCs w:val="24"/>
              </w:rPr>
              <w:footnoteReference w:id="3"/>
            </w:r>
            <w:r w:rsidR="00AF038D">
              <w:rPr>
                <w:rFonts w:ascii="Arial Narrow" w:hAnsi="Arial Narrow" w:cs="Arial"/>
                <w:sz w:val="24"/>
                <w:szCs w:val="24"/>
              </w:rPr>
              <w:t xml:space="preserve"> </w:t>
            </w:r>
          </w:p>
          <w:p w:rsidR="002541F3" w:rsidRDefault="002541F3" w:rsidP="00551EE4">
            <w:pPr>
              <w:spacing w:line="360" w:lineRule="auto"/>
              <w:jc w:val="both"/>
              <w:rPr>
                <w:rFonts w:ascii="Arial Narrow" w:hAnsi="Arial Narrow" w:cs="Arial"/>
                <w:sz w:val="24"/>
                <w:szCs w:val="24"/>
              </w:rPr>
            </w:pPr>
          </w:p>
          <w:p w:rsidR="000C4B0E" w:rsidRDefault="002541F3" w:rsidP="00551EE4">
            <w:pPr>
              <w:spacing w:line="360" w:lineRule="auto"/>
              <w:jc w:val="both"/>
              <w:rPr>
                <w:rFonts w:ascii="Arial Narrow" w:hAnsi="Arial Narrow" w:cs="Arial"/>
                <w:sz w:val="24"/>
                <w:szCs w:val="24"/>
              </w:rPr>
            </w:pPr>
            <w:r>
              <w:rPr>
                <w:rFonts w:ascii="Arial Narrow" w:hAnsi="Arial Narrow" w:cs="Arial"/>
                <w:sz w:val="24"/>
                <w:szCs w:val="24"/>
              </w:rPr>
              <w:t xml:space="preserve">[4]   </w:t>
            </w:r>
            <w:r w:rsidR="00E14037">
              <w:rPr>
                <w:rFonts w:ascii="Arial Narrow" w:hAnsi="Arial Narrow" w:cs="Arial"/>
                <w:sz w:val="24"/>
                <w:szCs w:val="24"/>
              </w:rPr>
              <w:t xml:space="preserve">Ms </w:t>
            </w:r>
            <w:proofErr w:type="spellStart"/>
            <w:r w:rsidR="00E14037">
              <w:rPr>
                <w:rFonts w:ascii="Arial Narrow" w:hAnsi="Arial Narrow" w:cs="Arial"/>
                <w:sz w:val="24"/>
                <w:szCs w:val="24"/>
              </w:rPr>
              <w:t>Garbers</w:t>
            </w:r>
            <w:proofErr w:type="spellEnd"/>
            <w:r w:rsidR="00E14037">
              <w:rPr>
                <w:rFonts w:ascii="Arial Narrow" w:hAnsi="Arial Narrow" w:cs="Arial"/>
                <w:sz w:val="24"/>
                <w:szCs w:val="24"/>
              </w:rPr>
              <w:t xml:space="preserve"> </w:t>
            </w:r>
            <w:r w:rsidR="00AF038D">
              <w:rPr>
                <w:rFonts w:ascii="Arial Narrow" w:hAnsi="Arial Narrow" w:cs="Arial"/>
                <w:sz w:val="24"/>
                <w:szCs w:val="24"/>
              </w:rPr>
              <w:t>submitted that the plaintiff’s claim is unfounded, vexatious, reckless and hopeless having regard to fact that the plaintiff instituted a similar action with similar allegations in this court against the Prosecutor- General for malicious prosecution</w:t>
            </w:r>
            <w:r>
              <w:rPr>
                <w:rFonts w:ascii="Arial Narrow" w:hAnsi="Arial Narrow" w:cs="Arial"/>
                <w:sz w:val="24"/>
                <w:szCs w:val="24"/>
              </w:rPr>
              <w:t xml:space="preserve">. This </w:t>
            </w:r>
            <w:r w:rsidR="00AF038D">
              <w:rPr>
                <w:rFonts w:ascii="Arial Narrow" w:hAnsi="Arial Narrow" w:cs="Arial"/>
                <w:sz w:val="24"/>
                <w:szCs w:val="24"/>
              </w:rPr>
              <w:t>court</w:t>
            </w:r>
            <w:r>
              <w:rPr>
                <w:rStyle w:val="FootnoteReference"/>
                <w:rFonts w:ascii="Arial Narrow" w:hAnsi="Arial Narrow" w:cs="Arial"/>
                <w:sz w:val="24"/>
                <w:szCs w:val="24"/>
              </w:rPr>
              <w:footnoteReference w:id="4"/>
            </w:r>
            <w:r>
              <w:rPr>
                <w:rFonts w:ascii="Arial Narrow" w:hAnsi="Arial Narrow" w:cs="Arial"/>
                <w:sz w:val="24"/>
                <w:szCs w:val="24"/>
              </w:rPr>
              <w:t xml:space="preserve">, </w:t>
            </w:r>
            <w:r w:rsidR="00E14037">
              <w:rPr>
                <w:rFonts w:ascii="Arial Narrow" w:hAnsi="Arial Narrow" w:cs="Arial"/>
                <w:sz w:val="24"/>
                <w:szCs w:val="24"/>
              </w:rPr>
              <w:t xml:space="preserve">ruled </w:t>
            </w:r>
            <w:r w:rsidR="00AF038D">
              <w:rPr>
                <w:rFonts w:ascii="Arial Narrow" w:hAnsi="Arial Narrow" w:cs="Arial"/>
                <w:sz w:val="24"/>
                <w:szCs w:val="24"/>
              </w:rPr>
              <w:t xml:space="preserve">in favour of the </w:t>
            </w:r>
            <w:r>
              <w:rPr>
                <w:rFonts w:ascii="Arial Narrow" w:hAnsi="Arial Narrow" w:cs="Arial"/>
                <w:sz w:val="24"/>
                <w:szCs w:val="24"/>
              </w:rPr>
              <w:t xml:space="preserve">Prosecutor-General </w:t>
            </w:r>
            <w:r w:rsidR="00E14037">
              <w:rPr>
                <w:rFonts w:ascii="Arial Narrow" w:hAnsi="Arial Narrow" w:cs="Arial"/>
                <w:sz w:val="24"/>
                <w:szCs w:val="24"/>
              </w:rPr>
              <w:t xml:space="preserve">upholding </w:t>
            </w:r>
            <w:r w:rsidR="00E14037">
              <w:rPr>
                <w:rFonts w:ascii="Arial Narrow" w:hAnsi="Arial Narrow" w:cs="Arial"/>
                <w:sz w:val="24"/>
                <w:szCs w:val="24"/>
              </w:rPr>
              <w:lastRenderedPageBreak/>
              <w:t xml:space="preserve">a </w:t>
            </w:r>
            <w:r w:rsidR="00AF038D">
              <w:rPr>
                <w:rFonts w:ascii="Arial Narrow" w:hAnsi="Arial Narrow" w:cs="Arial"/>
                <w:sz w:val="24"/>
                <w:szCs w:val="24"/>
              </w:rPr>
              <w:t>special plea that plaintiff’s claim failed to set out a legal basis. The court concluded that plaintiff’s claim was prematurely filed as the criminal proceedings ha</w:t>
            </w:r>
            <w:r w:rsidR="005D09C1">
              <w:rPr>
                <w:rFonts w:ascii="Arial Narrow" w:hAnsi="Arial Narrow" w:cs="Arial"/>
                <w:sz w:val="24"/>
                <w:szCs w:val="24"/>
              </w:rPr>
              <w:t>ve</w:t>
            </w:r>
            <w:r w:rsidR="00AF038D">
              <w:rPr>
                <w:rFonts w:ascii="Arial Narrow" w:hAnsi="Arial Narrow" w:cs="Arial"/>
                <w:sz w:val="24"/>
                <w:szCs w:val="24"/>
              </w:rPr>
              <w:t xml:space="preserve"> not yet terminated in </w:t>
            </w:r>
            <w:r w:rsidR="00E14037">
              <w:rPr>
                <w:rFonts w:ascii="Arial Narrow" w:hAnsi="Arial Narrow" w:cs="Arial"/>
                <w:sz w:val="24"/>
                <w:szCs w:val="24"/>
              </w:rPr>
              <w:t xml:space="preserve">his </w:t>
            </w:r>
            <w:r w:rsidR="00AF038D">
              <w:rPr>
                <w:rFonts w:ascii="Arial Narrow" w:hAnsi="Arial Narrow" w:cs="Arial"/>
                <w:sz w:val="24"/>
                <w:szCs w:val="24"/>
              </w:rPr>
              <w:t>favour</w:t>
            </w:r>
            <w:r w:rsidR="00E14037">
              <w:rPr>
                <w:rFonts w:ascii="Arial Narrow" w:hAnsi="Arial Narrow" w:cs="Arial"/>
                <w:sz w:val="24"/>
                <w:szCs w:val="24"/>
              </w:rPr>
              <w:t xml:space="preserve">. According to Ms </w:t>
            </w:r>
            <w:proofErr w:type="spellStart"/>
            <w:r w:rsidR="00E14037">
              <w:rPr>
                <w:rFonts w:ascii="Arial Narrow" w:hAnsi="Arial Narrow" w:cs="Arial"/>
                <w:sz w:val="24"/>
                <w:szCs w:val="24"/>
              </w:rPr>
              <w:t>Garbers</w:t>
            </w:r>
            <w:proofErr w:type="spellEnd"/>
            <w:r w:rsidR="00E14037">
              <w:rPr>
                <w:rFonts w:ascii="Arial Narrow" w:hAnsi="Arial Narrow" w:cs="Arial"/>
                <w:sz w:val="24"/>
                <w:szCs w:val="24"/>
              </w:rPr>
              <w:t xml:space="preserve"> th</w:t>
            </w:r>
            <w:r w:rsidR="005D09C1">
              <w:rPr>
                <w:rFonts w:ascii="Arial Narrow" w:hAnsi="Arial Narrow" w:cs="Arial"/>
                <w:sz w:val="24"/>
                <w:szCs w:val="24"/>
              </w:rPr>
              <w:t>e current action is a “dead horse” which cannot be revived in any way.</w:t>
            </w:r>
          </w:p>
          <w:p w:rsidR="00503151" w:rsidRDefault="00AF038D" w:rsidP="00551EE4">
            <w:pPr>
              <w:spacing w:line="360" w:lineRule="auto"/>
              <w:jc w:val="both"/>
              <w:rPr>
                <w:rFonts w:ascii="Arial Narrow" w:hAnsi="Arial Narrow" w:cs="Arial"/>
                <w:sz w:val="24"/>
                <w:szCs w:val="24"/>
              </w:rPr>
            </w:pPr>
            <w:r>
              <w:rPr>
                <w:rFonts w:ascii="Arial Narrow" w:hAnsi="Arial Narrow" w:cs="Arial"/>
                <w:sz w:val="24"/>
                <w:szCs w:val="24"/>
              </w:rPr>
              <w:t xml:space="preserve">  </w:t>
            </w:r>
          </w:p>
          <w:p w:rsidR="00B01B1C" w:rsidRPr="00B01B1C" w:rsidRDefault="00EE07FF" w:rsidP="00B01B1C">
            <w:pPr>
              <w:spacing w:line="360" w:lineRule="auto"/>
              <w:jc w:val="both"/>
              <w:rPr>
                <w:rFonts w:ascii="Arial Narrow" w:hAnsi="Arial Narrow" w:cs="Arial"/>
                <w:sz w:val="24"/>
                <w:szCs w:val="24"/>
                <w:lang w:val="en-US"/>
              </w:rPr>
            </w:pPr>
            <w:r>
              <w:rPr>
                <w:rFonts w:ascii="Arial Narrow" w:hAnsi="Arial Narrow" w:cs="Arial"/>
                <w:sz w:val="24"/>
                <w:szCs w:val="24"/>
              </w:rPr>
              <w:t>[</w:t>
            </w:r>
            <w:r w:rsidR="000C4B0E">
              <w:rPr>
                <w:rFonts w:ascii="Arial Narrow" w:hAnsi="Arial Narrow" w:cs="Arial"/>
                <w:sz w:val="24"/>
                <w:szCs w:val="24"/>
              </w:rPr>
              <w:t>5</w:t>
            </w:r>
            <w:proofErr w:type="gramStart"/>
            <w:r>
              <w:rPr>
                <w:rFonts w:ascii="Arial Narrow" w:hAnsi="Arial Narrow" w:cs="Arial"/>
                <w:sz w:val="24"/>
                <w:szCs w:val="24"/>
              </w:rPr>
              <w:t>]  Mr</w:t>
            </w:r>
            <w:proofErr w:type="gramEnd"/>
            <w:r>
              <w:rPr>
                <w:rFonts w:ascii="Arial Narrow" w:hAnsi="Arial Narrow" w:cs="Arial"/>
                <w:sz w:val="24"/>
                <w:szCs w:val="24"/>
              </w:rPr>
              <w:t xml:space="preserve"> Kamwi</w:t>
            </w:r>
            <w:r w:rsidR="00DB5AC8">
              <w:rPr>
                <w:rFonts w:ascii="Arial Narrow" w:hAnsi="Arial Narrow" w:cs="Arial"/>
                <w:sz w:val="24"/>
                <w:szCs w:val="24"/>
              </w:rPr>
              <w:t xml:space="preserve">, acting in person submitted </w:t>
            </w:r>
            <w:r w:rsidR="00E14037">
              <w:rPr>
                <w:rFonts w:ascii="Arial Narrow" w:hAnsi="Arial Narrow" w:cs="Arial"/>
                <w:sz w:val="24"/>
                <w:szCs w:val="24"/>
              </w:rPr>
              <w:t>that he is a pensioner and he has no other income. He argues however that it would not be in the interest of justice to deny him acces</w:t>
            </w:r>
            <w:r w:rsidR="000C4B0E">
              <w:rPr>
                <w:rFonts w:ascii="Arial Narrow" w:hAnsi="Arial Narrow" w:cs="Arial"/>
                <w:sz w:val="24"/>
                <w:szCs w:val="24"/>
              </w:rPr>
              <w:t>s</w:t>
            </w:r>
            <w:r w:rsidR="00E14037">
              <w:rPr>
                <w:rFonts w:ascii="Arial Narrow" w:hAnsi="Arial Narrow" w:cs="Arial"/>
                <w:sz w:val="24"/>
                <w:szCs w:val="24"/>
              </w:rPr>
              <w:t xml:space="preserve"> to the court merely because he cannot put up security for costs.  </w:t>
            </w:r>
            <w:r w:rsidR="000C4B0E">
              <w:rPr>
                <w:rFonts w:ascii="Arial Narrow" w:hAnsi="Arial Narrow" w:cs="Arial"/>
                <w:sz w:val="24"/>
                <w:szCs w:val="24"/>
              </w:rPr>
              <w:t>He cited a previous order by this court dismissing an application for him to pay security for costs.</w:t>
            </w:r>
            <w:r w:rsidR="000C4B0E">
              <w:rPr>
                <w:rStyle w:val="FootnoteReference"/>
                <w:rFonts w:ascii="Arial Narrow" w:hAnsi="Arial Narrow" w:cs="Arial"/>
                <w:sz w:val="24"/>
                <w:szCs w:val="24"/>
              </w:rPr>
              <w:footnoteReference w:id="5"/>
            </w:r>
            <w:r w:rsidR="000C4B0E">
              <w:rPr>
                <w:rFonts w:ascii="Arial Narrow" w:hAnsi="Arial Narrow" w:cs="Arial"/>
                <w:sz w:val="24"/>
                <w:szCs w:val="24"/>
              </w:rPr>
              <w:t xml:space="preserve"> </w:t>
            </w:r>
            <w:r w:rsidR="00686613">
              <w:rPr>
                <w:rFonts w:ascii="Arial Narrow" w:hAnsi="Arial Narrow" w:cs="Arial"/>
                <w:sz w:val="24"/>
                <w:szCs w:val="24"/>
              </w:rPr>
              <w:t xml:space="preserve"> </w:t>
            </w:r>
            <w:r w:rsidR="000C4B0E">
              <w:rPr>
                <w:rFonts w:ascii="Arial Narrow" w:hAnsi="Arial Narrow" w:cs="Arial"/>
                <w:sz w:val="24"/>
                <w:szCs w:val="24"/>
              </w:rPr>
              <w:t>He argued that it would be necessary for the court to make an announcement on the invalid, illegal and unlawful act and conduct of the defendants who are infringing and threatening his rights.</w:t>
            </w:r>
            <w:r w:rsidR="00C03560">
              <w:rPr>
                <w:rFonts w:ascii="Arial Narrow" w:hAnsi="Arial Narrow" w:cs="Arial"/>
                <w:sz w:val="24"/>
                <w:szCs w:val="24"/>
              </w:rPr>
              <w:t xml:space="preserve"> He argued that he is entitled to a fair trial in terms of article 12(1</w:t>
            </w:r>
            <w:proofErr w:type="gramStart"/>
            <w:r w:rsidR="00C03560">
              <w:rPr>
                <w:rFonts w:ascii="Arial Narrow" w:hAnsi="Arial Narrow" w:cs="Arial"/>
                <w:sz w:val="24"/>
                <w:szCs w:val="24"/>
              </w:rPr>
              <w:t>)(</w:t>
            </w:r>
            <w:proofErr w:type="gramEnd"/>
            <w:r w:rsidR="00C03560">
              <w:rPr>
                <w:rFonts w:ascii="Arial Narrow" w:hAnsi="Arial Narrow" w:cs="Arial"/>
                <w:sz w:val="24"/>
                <w:szCs w:val="24"/>
              </w:rPr>
              <w:t>a) of the constitution and that his right to a spee</w:t>
            </w:r>
            <w:r w:rsidR="00063D95">
              <w:rPr>
                <w:rFonts w:ascii="Arial Narrow" w:hAnsi="Arial Narrow" w:cs="Arial"/>
                <w:sz w:val="24"/>
                <w:szCs w:val="24"/>
              </w:rPr>
              <w:t>dy trial is being threatened and infringed by the delay in finalising the matter.</w:t>
            </w:r>
            <w:r w:rsidR="00B01B1C">
              <w:rPr>
                <w:rFonts w:ascii="Arial Narrow" w:hAnsi="Arial Narrow" w:cs="Arial"/>
                <w:sz w:val="24"/>
                <w:szCs w:val="24"/>
              </w:rPr>
              <w:t xml:space="preserve">  He referred this court to </w:t>
            </w:r>
            <w:r w:rsidR="00B01B1C" w:rsidRPr="009C68A2">
              <w:rPr>
                <w:rFonts w:ascii="Arial Narrow" w:hAnsi="Arial Narrow" w:cs="Arial"/>
                <w:i/>
                <w:sz w:val="24"/>
                <w:szCs w:val="24"/>
              </w:rPr>
              <w:t xml:space="preserve">Alexander v Minister of </w:t>
            </w:r>
            <w:r w:rsidR="00986159" w:rsidRPr="009C68A2">
              <w:rPr>
                <w:rFonts w:ascii="Arial Narrow" w:hAnsi="Arial Narrow" w:cs="Arial"/>
                <w:i/>
                <w:sz w:val="24"/>
                <w:szCs w:val="24"/>
              </w:rPr>
              <w:t xml:space="preserve">Justice </w:t>
            </w:r>
            <w:r w:rsidR="00B01B1C" w:rsidRPr="009C68A2">
              <w:rPr>
                <w:rFonts w:ascii="Arial Narrow" w:hAnsi="Arial Narrow" w:cs="Arial"/>
                <w:i/>
                <w:sz w:val="24"/>
                <w:szCs w:val="24"/>
              </w:rPr>
              <w:t xml:space="preserve"> (</w:t>
            </w:r>
            <w:r w:rsidR="00B01B1C" w:rsidRPr="009C68A2">
              <w:rPr>
                <w:rFonts w:ascii="Arial Narrow" w:hAnsi="Arial Narrow" w:cs="Arial"/>
                <w:i/>
                <w:sz w:val="24"/>
                <w:szCs w:val="24"/>
                <w:lang w:val="en-US"/>
              </w:rPr>
              <w:t>SA 32/2008</w:t>
            </w:r>
            <w:r w:rsidR="00986159" w:rsidRPr="009C68A2">
              <w:rPr>
                <w:rFonts w:ascii="Arial Narrow" w:hAnsi="Arial Narrow" w:cs="Arial"/>
                <w:i/>
                <w:sz w:val="24"/>
                <w:szCs w:val="24"/>
                <w:lang w:val="en-US"/>
              </w:rPr>
              <w:t>) delivered on 9 April 2009</w:t>
            </w:r>
            <w:r w:rsidR="00986159">
              <w:rPr>
                <w:rFonts w:ascii="Arial Narrow" w:hAnsi="Arial Narrow" w:cs="Arial"/>
                <w:sz w:val="24"/>
                <w:szCs w:val="24"/>
                <w:lang w:val="en-US"/>
              </w:rPr>
              <w:t xml:space="preserve"> to support his right to approach this court to protect him from the unlawful interference with his Constitutional rights by the defendants who instigated the prosecutorial authority to revive the prosecution. This court, so he submits</w:t>
            </w:r>
            <w:r w:rsidR="009C68A2">
              <w:rPr>
                <w:rFonts w:ascii="Arial Narrow" w:hAnsi="Arial Narrow" w:cs="Arial"/>
                <w:sz w:val="24"/>
                <w:szCs w:val="24"/>
                <w:lang w:val="en-US"/>
              </w:rPr>
              <w:t>,</w:t>
            </w:r>
            <w:r w:rsidR="00986159">
              <w:rPr>
                <w:rFonts w:ascii="Arial Narrow" w:hAnsi="Arial Narrow" w:cs="Arial"/>
                <w:sz w:val="24"/>
                <w:szCs w:val="24"/>
                <w:lang w:val="en-US"/>
              </w:rPr>
              <w:t xml:space="preserve"> will be wrong to decline to hear the case on the basis that it is not ripe for trial. </w:t>
            </w:r>
          </w:p>
          <w:p w:rsidR="00986159" w:rsidRDefault="00986159" w:rsidP="00B01B1C">
            <w:pPr>
              <w:spacing w:line="360" w:lineRule="auto"/>
              <w:jc w:val="both"/>
              <w:rPr>
                <w:rFonts w:ascii="Arial Narrow" w:hAnsi="Arial Narrow" w:cs="Arial"/>
                <w:sz w:val="24"/>
                <w:szCs w:val="24"/>
              </w:rPr>
            </w:pPr>
          </w:p>
          <w:p w:rsidR="00DB5AC8" w:rsidRDefault="00986159" w:rsidP="00B01B1C">
            <w:pPr>
              <w:spacing w:line="360" w:lineRule="auto"/>
              <w:jc w:val="both"/>
              <w:rPr>
                <w:rFonts w:ascii="Arial Narrow" w:hAnsi="Arial Narrow" w:cs="Arial"/>
                <w:sz w:val="24"/>
                <w:szCs w:val="24"/>
              </w:rPr>
            </w:pPr>
            <w:r>
              <w:rPr>
                <w:rFonts w:ascii="Arial Narrow" w:hAnsi="Arial Narrow" w:cs="Arial"/>
                <w:sz w:val="24"/>
                <w:szCs w:val="24"/>
              </w:rPr>
              <w:t>[6</w:t>
            </w:r>
            <w:proofErr w:type="gramStart"/>
            <w:r>
              <w:rPr>
                <w:rFonts w:ascii="Arial Narrow" w:hAnsi="Arial Narrow" w:cs="Arial"/>
                <w:sz w:val="24"/>
                <w:szCs w:val="24"/>
              </w:rPr>
              <w:t>]  Mr</w:t>
            </w:r>
            <w:proofErr w:type="gramEnd"/>
            <w:r>
              <w:rPr>
                <w:rFonts w:ascii="Arial Narrow" w:hAnsi="Arial Narrow" w:cs="Arial"/>
                <w:sz w:val="24"/>
                <w:szCs w:val="24"/>
              </w:rPr>
              <w:t xml:space="preserve"> Kamwi admits that criminal proceedings were instituted against him during 2004. H</w:t>
            </w:r>
            <w:r w:rsidR="00063D95">
              <w:rPr>
                <w:rFonts w:ascii="Arial Narrow" w:hAnsi="Arial Narrow" w:cs="Arial"/>
                <w:sz w:val="24"/>
                <w:szCs w:val="24"/>
              </w:rPr>
              <w:t>is trial was withdrawn</w:t>
            </w:r>
            <w:r>
              <w:rPr>
                <w:rFonts w:ascii="Arial Narrow" w:hAnsi="Arial Narrow" w:cs="Arial"/>
                <w:sz w:val="24"/>
                <w:szCs w:val="24"/>
              </w:rPr>
              <w:t xml:space="preserve">, according to him, </w:t>
            </w:r>
            <w:r w:rsidR="00063D95">
              <w:rPr>
                <w:rFonts w:ascii="Arial Narrow" w:hAnsi="Arial Narrow" w:cs="Arial"/>
                <w:sz w:val="24"/>
                <w:szCs w:val="24"/>
              </w:rPr>
              <w:t>once and for all on 23 August 2007</w:t>
            </w:r>
            <w:r>
              <w:rPr>
                <w:rFonts w:ascii="Arial Narrow" w:hAnsi="Arial Narrow" w:cs="Arial"/>
                <w:sz w:val="24"/>
                <w:szCs w:val="24"/>
              </w:rPr>
              <w:t xml:space="preserve">. He alleges that on </w:t>
            </w:r>
            <w:r w:rsidR="00063D95">
              <w:rPr>
                <w:rFonts w:ascii="Arial Narrow" w:hAnsi="Arial Narrow" w:cs="Arial"/>
                <w:sz w:val="24"/>
                <w:szCs w:val="24"/>
              </w:rPr>
              <w:t>16 May 20</w:t>
            </w:r>
            <w:r w:rsidR="00836CC2">
              <w:rPr>
                <w:rFonts w:ascii="Arial Narrow" w:hAnsi="Arial Narrow" w:cs="Arial"/>
                <w:sz w:val="24"/>
                <w:szCs w:val="24"/>
              </w:rPr>
              <w:t xml:space="preserve">16 it was </w:t>
            </w:r>
            <w:r w:rsidR="00836CC2">
              <w:rPr>
                <w:rFonts w:ascii="Arial Narrow" w:hAnsi="Arial Narrow" w:cs="Arial"/>
                <w:sz w:val="24"/>
                <w:szCs w:val="24"/>
              </w:rPr>
              <w:lastRenderedPageBreak/>
              <w:t xml:space="preserve">reinstituted </w:t>
            </w:r>
            <w:r w:rsidR="009C68A2">
              <w:rPr>
                <w:rFonts w:ascii="Arial Narrow" w:hAnsi="Arial Narrow" w:cs="Arial"/>
                <w:sz w:val="24"/>
                <w:szCs w:val="24"/>
              </w:rPr>
              <w:t xml:space="preserve">at </w:t>
            </w:r>
            <w:r w:rsidR="00063D95">
              <w:rPr>
                <w:rFonts w:ascii="Arial Narrow" w:hAnsi="Arial Narrow" w:cs="Arial"/>
                <w:sz w:val="24"/>
                <w:szCs w:val="24"/>
              </w:rPr>
              <w:t xml:space="preserve">the instance of the defendants without compliance with procedures required at common law. There was thus a period of 9 years between the initial withdrawal and the recommencement of the criminal </w:t>
            </w:r>
            <w:r w:rsidR="004975E0">
              <w:rPr>
                <w:rFonts w:ascii="Arial Narrow" w:hAnsi="Arial Narrow" w:cs="Arial"/>
                <w:sz w:val="24"/>
                <w:szCs w:val="24"/>
              </w:rPr>
              <w:t>proceedings</w:t>
            </w:r>
            <w:r w:rsidR="00063D95">
              <w:rPr>
                <w:rFonts w:ascii="Arial Narrow" w:hAnsi="Arial Narrow" w:cs="Arial"/>
                <w:sz w:val="24"/>
                <w:szCs w:val="24"/>
              </w:rPr>
              <w:t>.</w:t>
            </w:r>
            <w:r w:rsidR="004975E0">
              <w:rPr>
                <w:rFonts w:ascii="Arial Narrow" w:hAnsi="Arial Narrow" w:cs="Arial"/>
                <w:sz w:val="24"/>
                <w:szCs w:val="24"/>
              </w:rPr>
              <w:t xml:space="preserve"> His argument is that the revival of the criminal proceedings resulted from the defendants actions which was intended to bar him from being admitted and they are accordingly liable. </w:t>
            </w:r>
            <w:r w:rsidR="00DB5AC8">
              <w:rPr>
                <w:rFonts w:ascii="Arial Narrow" w:hAnsi="Arial Narrow" w:cs="Arial"/>
                <w:sz w:val="24"/>
                <w:szCs w:val="24"/>
              </w:rPr>
              <w:t xml:space="preserve"> </w:t>
            </w:r>
          </w:p>
          <w:p w:rsidR="00986159" w:rsidRDefault="00986159" w:rsidP="00B01B1C">
            <w:pPr>
              <w:spacing w:line="360" w:lineRule="auto"/>
              <w:jc w:val="both"/>
              <w:rPr>
                <w:rFonts w:ascii="Arial Narrow" w:hAnsi="Arial Narrow" w:cs="Arial"/>
                <w:sz w:val="24"/>
                <w:szCs w:val="24"/>
              </w:rPr>
            </w:pPr>
          </w:p>
          <w:p w:rsidR="00ED718D" w:rsidRDefault="00DB5AC8" w:rsidP="00551EE4">
            <w:pPr>
              <w:spacing w:line="360" w:lineRule="auto"/>
              <w:jc w:val="both"/>
              <w:rPr>
                <w:rFonts w:ascii="Arial Narrow" w:hAnsi="Arial Narrow" w:cs="Arial"/>
                <w:sz w:val="24"/>
                <w:szCs w:val="24"/>
              </w:rPr>
            </w:pPr>
            <w:r>
              <w:rPr>
                <w:rFonts w:ascii="Arial Narrow" w:hAnsi="Arial Narrow" w:cs="Arial"/>
                <w:sz w:val="24"/>
                <w:szCs w:val="24"/>
              </w:rPr>
              <w:t>[6]   Mr Kamwi relied extensively on the case of</w:t>
            </w:r>
            <w:r>
              <w:t xml:space="preserve"> </w:t>
            </w:r>
            <w:r w:rsidRPr="009C68A2">
              <w:rPr>
                <w:rFonts w:ascii="Arial Narrow" w:hAnsi="Arial Narrow" w:cs="Arial"/>
                <w:i/>
                <w:sz w:val="24"/>
                <w:szCs w:val="24"/>
              </w:rPr>
              <w:t xml:space="preserve">National Director Of Public Prosecutions And Others v </w:t>
            </w:r>
            <w:r w:rsidR="003C3A45" w:rsidRPr="009C68A2">
              <w:rPr>
                <w:rFonts w:ascii="Arial Narrow" w:hAnsi="Arial Narrow" w:cs="Arial"/>
                <w:i/>
                <w:sz w:val="24"/>
                <w:szCs w:val="24"/>
              </w:rPr>
              <w:t>Freedom</w:t>
            </w:r>
            <w:r w:rsidRPr="009C68A2">
              <w:rPr>
                <w:rFonts w:ascii="Arial Narrow" w:hAnsi="Arial Narrow" w:cs="Arial"/>
                <w:i/>
                <w:sz w:val="24"/>
                <w:szCs w:val="24"/>
              </w:rPr>
              <w:t xml:space="preserve"> </w:t>
            </w:r>
            <w:r w:rsidR="003C3A45" w:rsidRPr="009C68A2">
              <w:rPr>
                <w:rFonts w:ascii="Arial Narrow" w:hAnsi="Arial Narrow" w:cs="Arial"/>
                <w:i/>
                <w:sz w:val="24"/>
                <w:szCs w:val="24"/>
              </w:rPr>
              <w:t>U</w:t>
            </w:r>
            <w:r w:rsidRPr="009C68A2">
              <w:rPr>
                <w:rFonts w:ascii="Arial Narrow" w:hAnsi="Arial Narrow" w:cs="Arial"/>
                <w:i/>
                <w:sz w:val="24"/>
                <w:szCs w:val="24"/>
              </w:rPr>
              <w:t>nder Law (67/14) [2014</w:t>
            </w:r>
            <w:r w:rsidR="00C16EA0" w:rsidRPr="009C68A2">
              <w:rPr>
                <w:rFonts w:ascii="Arial Narrow" w:hAnsi="Arial Narrow" w:cs="Arial"/>
                <w:i/>
                <w:sz w:val="24"/>
                <w:szCs w:val="24"/>
              </w:rPr>
              <w:t xml:space="preserve">] </w:t>
            </w:r>
            <w:r w:rsidRPr="009C68A2">
              <w:rPr>
                <w:rFonts w:ascii="Arial Narrow" w:hAnsi="Arial Narrow" w:cs="Arial"/>
                <w:i/>
                <w:sz w:val="24"/>
                <w:szCs w:val="24"/>
              </w:rPr>
              <w:t>ZASCA 58 (17 April 2014)</w:t>
            </w:r>
            <w:r>
              <w:rPr>
                <w:rFonts w:ascii="Arial Narrow" w:hAnsi="Arial Narrow" w:cs="Arial"/>
                <w:sz w:val="24"/>
                <w:szCs w:val="24"/>
              </w:rPr>
              <w:t xml:space="preserve"> to support his argument that the initial withdrawal was a final withdrawal. </w:t>
            </w:r>
            <w:r w:rsidR="003C3A45">
              <w:rPr>
                <w:rFonts w:ascii="Arial Narrow" w:hAnsi="Arial Narrow" w:cs="Arial"/>
                <w:sz w:val="24"/>
                <w:szCs w:val="24"/>
              </w:rPr>
              <w:t>The</w:t>
            </w:r>
            <w:r w:rsidR="00ED718D">
              <w:rPr>
                <w:rFonts w:ascii="Arial Narrow" w:hAnsi="Arial Narrow" w:cs="Arial"/>
                <w:sz w:val="24"/>
                <w:szCs w:val="24"/>
              </w:rPr>
              <w:t xml:space="preserve"> withdrawal of the criminal proceedings</w:t>
            </w:r>
            <w:r w:rsidR="00836CC2">
              <w:rPr>
                <w:rFonts w:ascii="Arial Narrow" w:hAnsi="Arial Narrow" w:cs="Arial"/>
                <w:sz w:val="24"/>
                <w:szCs w:val="24"/>
              </w:rPr>
              <w:t xml:space="preserve">, according to his understanding of this case, </w:t>
            </w:r>
            <w:r w:rsidR="00ED718D">
              <w:rPr>
                <w:rFonts w:ascii="Arial Narrow" w:hAnsi="Arial Narrow" w:cs="Arial"/>
                <w:sz w:val="24"/>
                <w:szCs w:val="24"/>
              </w:rPr>
              <w:t xml:space="preserve">means that the criminal proceedings ended in his favour. </w:t>
            </w:r>
            <w:r w:rsidR="004975E0">
              <w:rPr>
                <w:rFonts w:ascii="Arial Narrow" w:hAnsi="Arial Narrow" w:cs="Arial"/>
                <w:sz w:val="24"/>
                <w:szCs w:val="24"/>
              </w:rPr>
              <w:t xml:space="preserve">He </w:t>
            </w:r>
            <w:r w:rsidR="00ED718D">
              <w:rPr>
                <w:rFonts w:ascii="Arial Narrow" w:hAnsi="Arial Narrow" w:cs="Arial"/>
                <w:sz w:val="24"/>
                <w:szCs w:val="24"/>
              </w:rPr>
              <w:t>argues that the defendants were required</w:t>
            </w:r>
            <w:r w:rsidR="00836CC2">
              <w:rPr>
                <w:rFonts w:ascii="Arial Narrow" w:hAnsi="Arial Narrow" w:cs="Arial"/>
                <w:sz w:val="24"/>
                <w:szCs w:val="24"/>
              </w:rPr>
              <w:t>,</w:t>
            </w:r>
            <w:r w:rsidR="00ED718D">
              <w:rPr>
                <w:rFonts w:ascii="Arial Narrow" w:hAnsi="Arial Narrow" w:cs="Arial"/>
                <w:sz w:val="24"/>
                <w:szCs w:val="24"/>
              </w:rPr>
              <w:t xml:space="preserve"> in terms of </w:t>
            </w:r>
            <w:r w:rsidR="009C68A2">
              <w:rPr>
                <w:rFonts w:ascii="Arial Narrow" w:hAnsi="Arial Narrow" w:cs="Arial"/>
                <w:sz w:val="24"/>
                <w:szCs w:val="24"/>
              </w:rPr>
              <w:t xml:space="preserve">the </w:t>
            </w:r>
            <w:r w:rsidR="00ED718D">
              <w:rPr>
                <w:rFonts w:ascii="Arial Narrow" w:hAnsi="Arial Narrow" w:cs="Arial"/>
                <w:sz w:val="24"/>
                <w:szCs w:val="24"/>
              </w:rPr>
              <w:t>principal of legality</w:t>
            </w:r>
            <w:r w:rsidR="00836CC2">
              <w:rPr>
                <w:rFonts w:ascii="Arial Narrow" w:hAnsi="Arial Narrow" w:cs="Arial"/>
                <w:sz w:val="24"/>
                <w:szCs w:val="24"/>
              </w:rPr>
              <w:t>,</w:t>
            </w:r>
            <w:r w:rsidR="00ED718D">
              <w:rPr>
                <w:rFonts w:ascii="Arial Narrow" w:hAnsi="Arial Narrow" w:cs="Arial"/>
                <w:sz w:val="24"/>
                <w:szCs w:val="24"/>
              </w:rPr>
              <w:t xml:space="preserve"> to have the matter judicially review</w:t>
            </w:r>
            <w:r w:rsidR="00836CC2">
              <w:rPr>
                <w:rFonts w:ascii="Arial Narrow" w:hAnsi="Arial Narrow" w:cs="Arial"/>
                <w:sz w:val="24"/>
                <w:szCs w:val="24"/>
              </w:rPr>
              <w:t>ed</w:t>
            </w:r>
            <w:r w:rsidR="00ED718D">
              <w:rPr>
                <w:rFonts w:ascii="Arial Narrow" w:hAnsi="Arial Narrow" w:cs="Arial"/>
                <w:sz w:val="24"/>
                <w:szCs w:val="24"/>
              </w:rPr>
              <w:t xml:space="preserve"> before they could have instigated the prosecution to revive the matter. </w:t>
            </w:r>
          </w:p>
          <w:p w:rsidR="00ED718D" w:rsidRDefault="00ED718D" w:rsidP="00551EE4">
            <w:pPr>
              <w:spacing w:line="360" w:lineRule="auto"/>
              <w:jc w:val="both"/>
              <w:rPr>
                <w:rFonts w:ascii="Arial Narrow" w:hAnsi="Arial Narrow" w:cs="Arial"/>
                <w:sz w:val="24"/>
                <w:szCs w:val="24"/>
              </w:rPr>
            </w:pPr>
          </w:p>
          <w:p w:rsidR="008B44EC" w:rsidRDefault="00ED718D" w:rsidP="00551EE4">
            <w:pPr>
              <w:spacing w:line="360" w:lineRule="auto"/>
              <w:jc w:val="both"/>
              <w:rPr>
                <w:rFonts w:ascii="Arial Narrow" w:hAnsi="Arial Narrow" w:cs="Arial"/>
                <w:sz w:val="24"/>
                <w:szCs w:val="24"/>
              </w:rPr>
            </w:pPr>
            <w:r>
              <w:rPr>
                <w:rFonts w:ascii="Arial Narrow" w:hAnsi="Arial Narrow" w:cs="Arial"/>
                <w:sz w:val="24"/>
                <w:szCs w:val="24"/>
              </w:rPr>
              <w:t>[7]</w:t>
            </w:r>
            <w:r w:rsidR="00576320">
              <w:rPr>
                <w:rFonts w:ascii="Arial Narrow" w:hAnsi="Arial Narrow" w:cs="Arial"/>
                <w:sz w:val="24"/>
                <w:szCs w:val="24"/>
              </w:rPr>
              <w:t xml:space="preserve"> The law</w:t>
            </w:r>
            <w:r w:rsidR="004160BE">
              <w:rPr>
                <w:rFonts w:ascii="Arial Narrow" w:hAnsi="Arial Narrow" w:cs="Arial"/>
                <w:sz w:val="24"/>
                <w:szCs w:val="24"/>
              </w:rPr>
              <w:t xml:space="preserve"> </w:t>
            </w:r>
            <w:r w:rsidR="00576320">
              <w:rPr>
                <w:rFonts w:ascii="Arial Narrow" w:hAnsi="Arial Narrow" w:cs="Arial"/>
                <w:sz w:val="24"/>
                <w:szCs w:val="24"/>
              </w:rPr>
              <w:t xml:space="preserve">as stated by Ms </w:t>
            </w:r>
            <w:proofErr w:type="spellStart"/>
            <w:r w:rsidR="00576320">
              <w:rPr>
                <w:rFonts w:ascii="Arial Narrow" w:hAnsi="Arial Narrow" w:cs="Arial"/>
                <w:sz w:val="24"/>
                <w:szCs w:val="24"/>
              </w:rPr>
              <w:t>Garbers</w:t>
            </w:r>
            <w:proofErr w:type="spellEnd"/>
            <w:r w:rsidR="00576320">
              <w:rPr>
                <w:rFonts w:ascii="Arial Narrow" w:hAnsi="Arial Narrow" w:cs="Arial"/>
                <w:sz w:val="24"/>
                <w:szCs w:val="24"/>
              </w:rPr>
              <w:t xml:space="preserve"> correctly reflects the considerations which </w:t>
            </w:r>
            <w:r w:rsidR="008B44EC">
              <w:rPr>
                <w:rFonts w:ascii="Arial Narrow" w:hAnsi="Arial Narrow" w:cs="Arial"/>
                <w:sz w:val="24"/>
                <w:szCs w:val="24"/>
              </w:rPr>
              <w:t xml:space="preserve">ought to apply </w:t>
            </w:r>
            <w:r w:rsidR="00576320">
              <w:rPr>
                <w:rFonts w:ascii="Arial Narrow" w:hAnsi="Arial Narrow" w:cs="Arial"/>
                <w:sz w:val="24"/>
                <w:szCs w:val="24"/>
              </w:rPr>
              <w:t xml:space="preserve">when considering the issue of security of costs. The fact that the plaintiff is unable to pay the costs alone does not entitle the opposing parties to demand security of costs but </w:t>
            </w:r>
            <w:r w:rsidR="008B44EC">
              <w:rPr>
                <w:rFonts w:ascii="Arial Narrow" w:hAnsi="Arial Narrow" w:cs="Arial"/>
                <w:sz w:val="24"/>
                <w:szCs w:val="24"/>
              </w:rPr>
              <w:t xml:space="preserve">the court may order an </w:t>
            </w:r>
            <w:proofErr w:type="spellStart"/>
            <w:r w:rsidR="008B44EC" w:rsidRPr="008B44EC">
              <w:rPr>
                <w:rFonts w:ascii="Arial Narrow" w:hAnsi="Arial Narrow" w:cs="Arial"/>
                <w:i/>
                <w:sz w:val="24"/>
                <w:szCs w:val="24"/>
              </w:rPr>
              <w:t>incola</w:t>
            </w:r>
            <w:proofErr w:type="spellEnd"/>
            <w:r w:rsidR="008B44EC">
              <w:rPr>
                <w:rFonts w:ascii="Arial Narrow" w:hAnsi="Arial Narrow" w:cs="Arial"/>
                <w:sz w:val="24"/>
                <w:szCs w:val="24"/>
              </w:rPr>
              <w:t xml:space="preserve"> plaintiff to pay security of costs if the action is </w:t>
            </w:r>
            <w:r w:rsidR="00576320">
              <w:rPr>
                <w:rFonts w:ascii="Arial Narrow" w:hAnsi="Arial Narrow" w:cs="Arial"/>
                <w:sz w:val="24"/>
                <w:szCs w:val="24"/>
              </w:rPr>
              <w:t xml:space="preserve">vexatious. </w:t>
            </w:r>
            <w:r w:rsidR="008B44EC">
              <w:rPr>
                <w:rFonts w:ascii="Arial Narrow" w:hAnsi="Arial Narrow" w:cs="Arial"/>
                <w:sz w:val="24"/>
                <w:szCs w:val="24"/>
              </w:rPr>
              <w:t xml:space="preserve">This is to stop or limit vexatious proceedings. </w:t>
            </w:r>
            <w:r w:rsidR="008B44EC" w:rsidRPr="003C3A45">
              <w:rPr>
                <w:rFonts w:ascii="Arial Narrow" w:hAnsi="Arial Narrow" w:cs="Arial"/>
                <w:i/>
                <w:sz w:val="24"/>
                <w:szCs w:val="24"/>
              </w:rPr>
              <w:t>In Namibia Financial Institutions Supervisory Authority</w:t>
            </w:r>
            <w:r w:rsidR="00E945FA" w:rsidRPr="003C3A45">
              <w:rPr>
                <w:rFonts w:ascii="Arial Narrow" w:hAnsi="Arial Narrow" w:cs="Arial"/>
                <w:i/>
                <w:sz w:val="24"/>
                <w:szCs w:val="24"/>
              </w:rPr>
              <w:t xml:space="preserve"> </w:t>
            </w:r>
            <w:r w:rsidR="008B44EC" w:rsidRPr="003C3A45">
              <w:rPr>
                <w:rFonts w:ascii="Arial Narrow" w:hAnsi="Arial Narrow" w:cs="Arial"/>
                <w:i/>
                <w:sz w:val="24"/>
                <w:szCs w:val="24"/>
              </w:rPr>
              <w:t>v Christian and Another</w:t>
            </w:r>
            <w:r w:rsidR="008B44EC" w:rsidRPr="003C3A45">
              <w:rPr>
                <w:rStyle w:val="FootnoteReference"/>
                <w:rFonts w:ascii="Arial Narrow" w:hAnsi="Arial Narrow" w:cs="Arial"/>
                <w:i/>
                <w:sz w:val="24"/>
                <w:szCs w:val="24"/>
              </w:rPr>
              <w:footnoteReference w:id="6"/>
            </w:r>
            <w:r w:rsidR="00576320">
              <w:rPr>
                <w:rFonts w:ascii="Arial Narrow" w:hAnsi="Arial Narrow" w:cs="Arial"/>
                <w:sz w:val="24"/>
                <w:szCs w:val="24"/>
              </w:rPr>
              <w:t xml:space="preserve"> </w:t>
            </w:r>
            <w:r w:rsidR="008B44EC">
              <w:rPr>
                <w:rFonts w:ascii="Arial Narrow" w:hAnsi="Arial Narrow" w:cs="Arial"/>
                <w:sz w:val="24"/>
                <w:szCs w:val="24"/>
              </w:rPr>
              <w:t>the court held</w:t>
            </w:r>
            <w:r w:rsidR="003C3A45">
              <w:rPr>
                <w:rFonts w:ascii="Arial Narrow" w:hAnsi="Arial Narrow" w:cs="Arial"/>
                <w:sz w:val="24"/>
                <w:szCs w:val="24"/>
              </w:rPr>
              <w:t xml:space="preserve"> that </w:t>
            </w:r>
            <w:r w:rsidR="008B44EC" w:rsidRPr="008B44EC">
              <w:rPr>
                <w:rFonts w:ascii="Arial Narrow" w:hAnsi="Arial Narrow" w:cs="Arial"/>
                <w:sz w:val="24"/>
                <w:szCs w:val="24"/>
              </w:rPr>
              <w:t xml:space="preserve">the courts enjoyed an inherent </w:t>
            </w:r>
            <w:r w:rsidR="008B44EC" w:rsidRPr="008B44EC">
              <w:rPr>
                <w:rFonts w:ascii="Arial Narrow" w:hAnsi="Arial Narrow" w:cs="Arial"/>
                <w:sz w:val="24"/>
                <w:szCs w:val="24"/>
              </w:rPr>
              <w:lastRenderedPageBreak/>
              <w:t>power at common law to strike out (pending) claims that were vexatious</w:t>
            </w:r>
            <w:r w:rsidR="008B44EC">
              <w:rPr>
                <w:rFonts w:ascii="Arial Narrow" w:hAnsi="Arial Narrow" w:cs="Arial"/>
                <w:sz w:val="24"/>
                <w:szCs w:val="24"/>
              </w:rPr>
              <w:t xml:space="preserve"> in the sense that they were  </w:t>
            </w:r>
            <w:r w:rsidR="008B44EC" w:rsidRPr="008B44EC">
              <w:rPr>
                <w:rFonts w:ascii="Arial Narrow" w:hAnsi="Arial Narrow" w:cs="Arial"/>
                <w:sz w:val="24"/>
                <w:szCs w:val="24"/>
              </w:rPr>
              <w:t xml:space="preserve"> 'frivolous, improper, </w:t>
            </w:r>
            <w:r w:rsidR="003C3A45" w:rsidRPr="008B44EC">
              <w:rPr>
                <w:rFonts w:ascii="Arial Narrow" w:hAnsi="Arial Narrow" w:cs="Arial"/>
                <w:sz w:val="24"/>
                <w:szCs w:val="24"/>
              </w:rPr>
              <w:t>and instituted</w:t>
            </w:r>
            <w:r w:rsidR="008B44EC" w:rsidRPr="008B44EC">
              <w:rPr>
                <w:rFonts w:ascii="Arial Narrow" w:hAnsi="Arial Narrow" w:cs="Arial"/>
                <w:sz w:val="24"/>
                <w:szCs w:val="24"/>
              </w:rPr>
              <w:t xml:space="preserve"> without sufficient ground, to serve solely as an annoyance to the defen</w:t>
            </w:r>
            <w:r w:rsidR="003C3A45">
              <w:rPr>
                <w:rFonts w:ascii="Arial Narrow" w:hAnsi="Arial Narrow" w:cs="Arial"/>
                <w:sz w:val="24"/>
                <w:szCs w:val="24"/>
              </w:rPr>
              <w:t>dant</w:t>
            </w:r>
            <w:r w:rsidR="008B44EC" w:rsidRPr="008B44EC">
              <w:rPr>
                <w:rFonts w:ascii="Arial Narrow" w:hAnsi="Arial Narrow" w:cs="Arial"/>
                <w:sz w:val="24"/>
                <w:szCs w:val="24"/>
              </w:rPr>
              <w:t>.</w:t>
            </w:r>
          </w:p>
          <w:p w:rsidR="008B44EC" w:rsidRDefault="008B44EC" w:rsidP="00551EE4">
            <w:pPr>
              <w:spacing w:line="360" w:lineRule="auto"/>
              <w:jc w:val="both"/>
              <w:rPr>
                <w:rFonts w:ascii="Arial Narrow" w:hAnsi="Arial Narrow" w:cs="Arial"/>
                <w:sz w:val="24"/>
                <w:szCs w:val="24"/>
              </w:rPr>
            </w:pPr>
          </w:p>
          <w:p w:rsidR="00790152" w:rsidRDefault="008B44EC" w:rsidP="00E945FA">
            <w:pPr>
              <w:spacing w:line="360" w:lineRule="auto"/>
              <w:jc w:val="both"/>
              <w:rPr>
                <w:rFonts w:ascii="Arial Narrow" w:hAnsi="Arial Narrow" w:cs="Arial"/>
                <w:sz w:val="24"/>
                <w:szCs w:val="24"/>
              </w:rPr>
            </w:pPr>
            <w:r>
              <w:rPr>
                <w:rFonts w:ascii="Arial Narrow" w:hAnsi="Arial Narrow" w:cs="Arial"/>
                <w:sz w:val="24"/>
                <w:szCs w:val="24"/>
              </w:rPr>
              <w:t>[8</w:t>
            </w:r>
            <w:r w:rsidR="00E945FA">
              <w:rPr>
                <w:rFonts w:ascii="Arial Narrow" w:hAnsi="Arial Narrow" w:cs="Arial"/>
                <w:sz w:val="24"/>
                <w:szCs w:val="24"/>
              </w:rPr>
              <w:t xml:space="preserve">]  </w:t>
            </w:r>
            <w:r w:rsidR="00836CC2">
              <w:rPr>
                <w:rFonts w:ascii="Arial Narrow" w:hAnsi="Arial Narrow" w:cs="Arial"/>
                <w:sz w:val="24"/>
                <w:szCs w:val="24"/>
              </w:rPr>
              <w:t xml:space="preserve"> </w:t>
            </w:r>
            <w:r w:rsidR="00E945FA">
              <w:rPr>
                <w:rFonts w:ascii="Arial Narrow" w:hAnsi="Arial Narrow" w:cs="Arial"/>
                <w:sz w:val="24"/>
                <w:szCs w:val="24"/>
              </w:rPr>
              <w:t xml:space="preserve">The action </w:t>
            </w:r>
            <w:r w:rsidR="003C3A45">
              <w:rPr>
                <w:rFonts w:ascii="Arial Narrow" w:hAnsi="Arial Narrow" w:cs="Arial"/>
                <w:sz w:val="24"/>
                <w:szCs w:val="24"/>
              </w:rPr>
              <w:t>of the</w:t>
            </w:r>
            <w:r w:rsidR="00E945FA">
              <w:rPr>
                <w:rFonts w:ascii="Arial Narrow" w:hAnsi="Arial Narrow" w:cs="Arial"/>
                <w:sz w:val="24"/>
                <w:szCs w:val="24"/>
              </w:rPr>
              <w:t xml:space="preserve"> plaintiff is for malicious prosecution. </w:t>
            </w:r>
            <w:r w:rsidR="00836CC2">
              <w:rPr>
                <w:rFonts w:ascii="Arial Narrow" w:hAnsi="Arial Narrow" w:cs="Arial"/>
                <w:sz w:val="24"/>
                <w:szCs w:val="24"/>
              </w:rPr>
              <w:t>It is well established that t</w:t>
            </w:r>
            <w:r w:rsidR="004160BE">
              <w:rPr>
                <w:rFonts w:ascii="Arial Narrow" w:hAnsi="Arial Narrow" w:cs="Arial"/>
                <w:sz w:val="24"/>
                <w:szCs w:val="24"/>
              </w:rPr>
              <w:t>he plaintiff is required to make the factual allegations that the respondents set the law in motion; (instigated or instituted the proceedings</w:t>
            </w:r>
            <w:r w:rsidR="009C68A2">
              <w:rPr>
                <w:rFonts w:ascii="Arial Narrow" w:hAnsi="Arial Narrow" w:cs="Arial"/>
                <w:sz w:val="24"/>
                <w:szCs w:val="24"/>
              </w:rPr>
              <w:t>)</w:t>
            </w:r>
            <w:r w:rsidR="004160BE">
              <w:rPr>
                <w:rFonts w:ascii="Arial Narrow" w:hAnsi="Arial Narrow" w:cs="Arial"/>
                <w:sz w:val="24"/>
                <w:szCs w:val="24"/>
              </w:rPr>
              <w:t>; that it acted without reasonable and probable cause; and that it was actuated by an indirect or improper motive (malice)</w:t>
            </w:r>
            <w:r w:rsidR="00836CC2">
              <w:rPr>
                <w:rFonts w:ascii="Arial Narrow" w:hAnsi="Arial Narrow" w:cs="Arial"/>
                <w:sz w:val="24"/>
                <w:szCs w:val="24"/>
              </w:rPr>
              <w:t xml:space="preserve"> </w:t>
            </w:r>
            <w:r w:rsidR="004160BE">
              <w:t xml:space="preserve"> In </w:t>
            </w:r>
            <w:r w:rsidR="004160BE" w:rsidRPr="003C3A45">
              <w:rPr>
                <w:rFonts w:ascii="Arial Narrow" w:hAnsi="Arial Narrow" w:cs="Arial"/>
                <w:i/>
                <w:sz w:val="24"/>
                <w:szCs w:val="24"/>
              </w:rPr>
              <w:t xml:space="preserve">Lederman v </w:t>
            </w:r>
            <w:proofErr w:type="spellStart"/>
            <w:r w:rsidR="004160BE" w:rsidRPr="003C3A45">
              <w:rPr>
                <w:rFonts w:ascii="Arial Narrow" w:hAnsi="Arial Narrow" w:cs="Arial"/>
                <w:i/>
                <w:sz w:val="24"/>
                <w:szCs w:val="24"/>
              </w:rPr>
              <w:t>Moharal</w:t>
            </w:r>
            <w:proofErr w:type="spellEnd"/>
            <w:r w:rsidR="004160BE" w:rsidRPr="003C3A45">
              <w:rPr>
                <w:rFonts w:ascii="Arial Narrow" w:hAnsi="Arial Narrow" w:cs="Arial"/>
                <w:i/>
                <w:sz w:val="24"/>
                <w:szCs w:val="24"/>
              </w:rPr>
              <w:t xml:space="preserve"> Investments (P</w:t>
            </w:r>
            <w:r w:rsidR="003C3A45">
              <w:rPr>
                <w:rFonts w:ascii="Arial Narrow" w:hAnsi="Arial Narrow" w:cs="Arial"/>
                <w:i/>
                <w:sz w:val="24"/>
                <w:szCs w:val="24"/>
              </w:rPr>
              <w:t>ty</w:t>
            </w:r>
            <w:r w:rsidR="004160BE" w:rsidRPr="003C3A45">
              <w:rPr>
                <w:rFonts w:ascii="Arial Narrow" w:hAnsi="Arial Narrow" w:cs="Arial"/>
                <w:i/>
                <w:sz w:val="24"/>
                <w:szCs w:val="24"/>
              </w:rPr>
              <w:t>) L</w:t>
            </w:r>
            <w:r w:rsidR="003C3A45">
              <w:rPr>
                <w:rFonts w:ascii="Arial Narrow" w:hAnsi="Arial Narrow" w:cs="Arial"/>
                <w:i/>
                <w:sz w:val="24"/>
                <w:szCs w:val="24"/>
              </w:rPr>
              <w:t>td</w:t>
            </w:r>
            <w:r w:rsidR="004160BE" w:rsidRPr="003C3A45">
              <w:rPr>
                <w:rFonts w:ascii="Arial Narrow" w:hAnsi="Arial Narrow" w:cs="Arial"/>
                <w:i/>
                <w:sz w:val="24"/>
                <w:szCs w:val="24"/>
              </w:rPr>
              <w:t xml:space="preserve"> 1969 (1) SA 190 (A</w:t>
            </w:r>
            <w:r w:rsidR="00790152" w:rsidRPr="003C3A45">
              <w:rPr>
                <w:rFonts w:ascii="Arial Narrow" w:hAnsi="Arial Narrow" w:cs="Arial"/>
                <w:i/>
                <w:sz w:val="24"/>
                <w:szCs w:val="24"/>
              </w:rPr>
              <w:t>)</w:t>
            </w:r>
            <w:r w:rsidR="00790152">
              <w:rPr>
                <w:rFonts w:ascii="Arial Narrow" w:hAnsi="Arial Narrow" w:cs="Arial"/>
                <w:sz w:val="24"/>
                <w:szCs w:val="24"/>
              </w:rPr>
              <w:t xml:space="preserve"> at page 197 D – E </w:t>
            </w:r>
            <w:r w:rsidR="00836CC2">
              <w:rPr>
                <w:rFonts w:ascii="Arial Narrow" w:hAnsi="Arial Narrow" w:cs="Arial"/>
                <w:sz w:val="24"/>
                <w:szCs w:val="24"/>
              </w:rPr>
              <w:t xml:space="preserve">Jansen JA stated the following in respect of the first </w:t>
            </w:r>
            <w:r w:rsidR="00A20F52">
              <w:rPr>
                <w:rFonts w:ascii="Arial Narrow" w:hAnsi="Arial Narrow" w:cs="Arial"/>
                <w:sz w:val="24"/>
                <w:szCs w:val="24"/>
              </w:rPr>
              <w:t>requirement</w:t>
            </w:r>
            <w:r w:rsidR="00790152">
              <w:rPr>
                <w:rFonts w:ascii="Arial Narrow" w:hAnsi="Arial Narrow" w:cs="Arial"/>
                <w:sz w:val="24"/>
                <w:szCs w:val="24"/>
              </w:rPr>
              <w:t>:</w:t>
            </w:r>
          </w:p>
          <w:p w:rsidR="00790152" w:rsidRPr="00790152" w:rsidRDefault="00790152" w:rsidP="00790152">
            <w:pPr>
              <w:spacing w:line="360" w:lineRule="auto"/>
              <w:jc w:val="both"/>
              <w:rPr>
                <w:rFonts w:ascii="Arial Narrow" w:hAnsi="Arial Narrow" w:cs="Arial"/>
              </w:rPr>
            </w:pPr>
            <w:r>
              <w:rPr>
                <w:rFonts w:ascii="Arial Narrow" w:hAnsi="Arial Narrow" w:cs="Arial"/>
                <w:sz w:val="24"/>
                <w:szCs w:val="24"/>
              </w:rPr>
              <w:t xml:space="preserve">        ‘</w:t>
            </w:r>
            <w:r w:rsidRPr="00790152">
              <w:rPr>
                <w:rFonts w:ascii="Arial Narrow" w:hAnsi="Arial Narrow" w:cs="Arial"/>
              </w:rPr>
              <w:t>Whatever the underlying principle may be, the following statement by GARDINER, J., in Waterhouse v      Shields, 1924 CPD 155 at p. 160, appears to be a true reflection of the position:</w:t>
            </w:r>
          </w:p>
          <w:p w:rsidR="00790152" w:rsidRPr="00790152" w:rsidRDefault="00790152" w:rsidP="00790152">
            <w:pPr>
              <w:spacing w:line="360" w:lineRule="auto"/>
              <w:jc w:val="both"/>
              <w:rPr>
                <w:rFonts w:ascii="Arial Narrow" w:hAnsi="Arial Narrow" w:cs="Arial"/>
                <w:u w:val="single"/>
              </w:rPr>
            </w:pPr>
            <w:r w:rsidRPr="00790152">
              <w:rPr>
                <w:rFonts w:ascii="Arial Narrow" w:hAnsi="Arial Narrow" w:cs="Arial"/>
              </w:rPr>
              <w:tab/>
              <w:t xml:space="preserve">'The first matter the plaintiff has to prove is that the defendant was actively instrumental in the prosecution </w:t>
            </w:r>
            <w:proofErr w:type="gramStart"/>
            <w:r w:rsidRPr="00790152">
              <w:rPr>
                <w:rFonts w:ascii="Arial Narrow" w:hAnsi="Arial Narrow" w:cs="Arial"/>
              </w:rPr>
              <w:t xml:space="preserve">of </w:t>
            </w:r>
            <w:r w:rsidR="00A20F52">
              <w:rPr>
                <w:rFonts w:ascii="Arial Narrow" w:hAnsi="Arial Narrow" w:cs="Arial"/>
              </w:rPr>
              <w:t xml:space="preserve"> </w:t>
            </w:r>
            <w:r w:rsidRPr="00790152">
              <w:rPr>
                <w:rFonts w:ascii="Arial Narrow" w:hAnsi="Arial Narrow" w:cs="Arial"/>
              </w:rPr>
              <w:t>the</w:t>
            </w:r>
            <w:proofErr w:type="gramEnd"/>
            <w:r w:rsidRPr="00790152">
              <w:rPr>
                <w:rFonts w:ascii="Arial Narrow" w:hAnsi="Arial Narrow" w:cs="Arial"/>
              </w:rPr>
              <w:t xml:space="preserve"> charge. This is a matter more difficult to prove in South Africa, where prosecutions are nearly always conducted by the Crown, than it is in England, where many cases are left to the private prosecutor. Where a person merely gives a fair statement of the facts to the police, and leaves it to the latter to take such steps thereon as they deem fit, and does nothing more to identify himself with the prosecution, he is not responsible, in an action for malicious prosecution, to a person whom the police may charge. But if he goes further, and actively assists and identifies himself with the prosecution, he may be held liable. 'The test,' said BRISTOWE, J., in </w:t>
            </w:r>
            <w:r w:rsidRPr="00A20F52">
              <w:rPr>
                <w:rFonts w:ascii="Arial Narrow" w:hAnsi="Arial Narrow" w:cs="Arial"/>
                <w:i/>
              </w:rPr>
              <w:t>Baker v Christiane, 1920 W.L.D. 14</w:t>
            </w:r>
            <w:r w:rsidRPr="00790152">
              <w:rPr>
                <w:rFonts w:ascii="Arial Narrow" w:hAnsi="Arial Narrow" w:cs="Arial"/>
              </w:rPr>
              <w:t xml:space="preserve">, </w:t>
            </w:r>
            <w:r w:rsidRPr="00790152">
              <w:rPr>
                <w:rFonts w:ascii="Arial Narrow" w:hAnsi="Arial Narrow" w:cs="Arial"/>
                <w:u w:val="single"/>
              </w:rPr>
              <w:t>'is whether the defendant did more than tell the detective the facts and leave him to act on his own judgment'.'</w:t>
            </w:r>
          </w:p>
          <w:p w:rsidR="00C16EA0" w:rsidRDefault="00790152" w:rsidP="00790152">
            <w:pPr>
              <w:spacing w:line="360" w:lineRule="auto"/>
              <w:jc w:val="both"/>
              <w:rPr>
                <w:rFonts w:ascii="Arial Narrow" w:hAnsi="Arial Narrow" w:cs="Arial"/>
                <w:sz w:val="24"/>
                <w:szCs w:val="24"/>
              </w:rPr>
            </w:pPr>
            <w:r>
              <w:rPr>
                <w:rFonts w:ascii="Arial Narrow" w:hAnsi="Arial Narrow" w:cs="Arial"/>
                <w:sz w:val="24"/>
                <w:szCs w:val="24"/>
              </w:rPr>
              <w:lastRenderedPageBreak/>
              <w:t>It is the position of the plaintiff that the Defendant’s did more than tell the detective by</w:t>
            </w:r>
            <w:r w:rsidR="00836CC2">
              <w:rPr>
                <w:rFonts w:ascii="Arial Narrow" w:hAnsi="Arial Narrow" w:cs="Arial"/>
                <w:sz w:val="24"/>
                <w:szCs w:val="24"/>
              </w:rPr>
              <w:t xml:space="preserve"> instigating the </w:t>
            </w:r>
            <w:r>
              <w:rPr>
                <w:rFonts w:ascii="Arial Narrow" w:hAnsi="Arial Narrow" w:cs="Arial"/>
                <w:sz w:val="24"/>
                <w:szCs w:val="24"/>
              </w:rPr>
              <w:t>reviv</w:t>
            </w:r>
            <w:r w:rsidR="00836CC2">
              <w:rPr>
                <w:rFonts w:ascii="Arial Narrow" w:hAnsi="Arial Narrow" w:cs="Arial"/>
                <w:sz w:val="24"/>
                <w:szCs w:val="24"/>
              </w:rPr>
              <w:t xml:space="preserve">al of </w:t>
            </w:r>
            <w:r>
              <w:rPr>
                <w:rFonts w:ascii="Arial Narrow" w:hAnsi="Arial Narrow" w:cs="Arial"/>
                <w:sz w:val="24"/>
                <w:szCs w:val="24"/>
              </w:rPr>
              <w:t>the case after it has been withdrawn</w:t>
            </w:r>
            <w:r w:rsidR="00A20F52">
              <w:rPr>
                <w:rFonts w:ascii="Arial Narrow" w:hAnsi="Arial Narrow" w:cs="Arial"/>
                <w:sz w:val="24"/>
                <w:szCs w:val="24"/>
              </w:rPr>
              <w:t xml:space="preserve">. This he alleged was done </w:t>
            </w:r>
            <w:r>
              <w:rPr>
                <w:rFonts w:ascii="Arial Narrow" w:hAnsi="Arial Narrow" w:cs="Arial"/>
                <w:sz w:val="24"/>
                <w:szCs w:val="24"/>
              </w:rPr>
              <w:t>after the expiry of a period of 9 years</w:t>
            </w:r>
            <w:r w:rsidR="00F85077">
              <w:rPr>
                <w:rFonts w:ascii="Arial Narrow" w:hAnsi="Arial Narrow" w:cs="Arial"/>
                <w:sz w:val="24"/>
                <w:szCs w:val="24"/>
              </w:rPr>
              <w:t>. A</w:t>
            </w:r>
            <w:r w:rsidR="003A131B">
              <w:rPr>
                <w:rFonts w:ascii="Arial Narrow" w:hAnsi="Arial Narrow" w:cs="Arial"/>
                <w:sz w:val="24"/>
                <w:szCs w:val="24"/>
              </w:rPr>
              <w:t xml:space="preserve">ccording to him </w:t>
            </w:r>
            <w:r>
              <w:rPr>
                <w:rFonts w:ascii="Arial Narrow" w:hAnsi="Arial Narrow" w:cs="Arial"/>
                <w:sz w:val="24"/>
                <w:szCs w:val="24"/>
              </w:rPr>
              <w:t>nothing was done by the prosecuting authority</w:t>
            </w:r>
            <w:r w:rsidR="003A131B">
              <w:rPr>
                <w:rFonts w:ascii="Arial Narrow" w:hAnsi="Arial Narrow" w:cs="Arial"/>
                <w:sz w:val="24"/>
                <w:szCs w:val="24"/>
              </w:rPr>
              <w:t xml:space="preserve"> to reinstate the case during this period until he applied to be admitted as a legal practitioner</w:t>
            </w:r>
            <w:r w:rsidR="009C68A2">
              <w:rPr>
                <w:rFonts w:ascii="Arial Narrow" w:hAnsi="Arial Narrow" w:cs="Arial"/>
                <w:sz w:val="24"/>
                <w:szCs w:val="24"/>
              </w:rPr>
              <w:t xml:space="preserve"> thus alleging </w:t>
            </w:r>
            <w:r w:rsidR="00F85077">
              <w:rPr>
                <w:rFonts w:ascii="Arial Narrow" w:hAnsi="Arial Narrow" w:cs="Arial"/>
                <w:sz w:val="24"/>
                <w:szCs w:val="24"/>
              </w:rPr>
              <w:t xml:space="preserve">a </w:t>
            </w:r>
            <w:proofErr w:type="spellStart"/>
            <w:r w:rsidR="00F85077">
              <w:rPr>
                <w:rFonts w:ascii="Arial Narrow" w:hAnsi="Arial Narrow" w:cs="Arial"/>
                <w:sz w:val="24"/>
                <w:szCs w:val="24"/>
              </w:rPr>
              <w:t>lis</w:t>
            </w:r>
            <w:proofErr w:type="spellEnd"/>
            <w:r w:rsidR="00F85077">
              <w:rPr>
                <w:rFonts w:ascii="Arial Narrow" w:hAnsi="Arial Narrow" w:cs="Arial"/>
                <w:sz w:val="24"/>
                <w:szCs w:val="24"/>
              </w:rPr>
              <w:t xml:space="preserve"> between the parties</w:t>
            </w:r>
            <w:r>
              <w:rPr>
                <w:rFonts w:ascii="Arial Narrow" w:hAnsi="Arial Narrow" w:cs="Arial"/>
                <w:sz w:val="24"/>
                <w:szCs w:val="24"/>
              </w:rPr>
              <w:t xml:space="preserve">. </w:t>
            </w:r>
          </w:p>
          <w:p w:rsidR="00623DB0" w:rsidRDefault="00623DB0" w:rsidP="00790152">
            <w:pPr>
              <w:spacing w:line="360" w:lineRule="auto"/>
              <w:jc w:val="both"/>
              <w:rPr>
                <w:rFonts w:ascii="Arial Narrow" w:hAnsi="Arial Narrow" w:cs="Arial"/>
                <w:sz w:val="24"/>
                <w:szCs w:val="24"/>
              </w:rPr>
            </w:pPr>
          </w:p>
          <w:p w:rsidR="00623DB0" w:rsidRDefault="00C16EA0" w:rsidP="00E945FA">
            <w:pPr>
              <w:spacing w:line="360" w:lineRule="auto"/>
              <w:jc w:val="both"/>
              <w:rPr>
                <w:rFonts w:ascii="Arial Narrow" w:hAnsi="Arial Narrow" w:cs="Arial"/>
                <w:sz w:val="24"/>
                <w:szCs w:val="24"/>
              </w:rPr>
            </w:pPr>
            <w:r>
              <w:rPr>
                <w:rFonts w:ascii="Arial Narrow" w:hAnsi="Arial Narrow" w:cs="Arial"/>
                <w:sz w:val="24"/>
                <w:szCs w:val="24"/>
              </w:rPr>
              <w:t xml:space="preserve">[9]   </w:t>
            </w:r>
            <w:r w:rsidR="00790152">
              <w:rPr>
                <w:rFonts w:ascii="Arial Narrow" w:hAnsi="Arial Narrow" w:cs="Arial"/>
                <w:sz w:val="24"/>
                <w:szCs w:val="24"/>
              </w:rPr>
              <w:t xml:space="preserve">This brings me to the requirement that the criminal proceedings must be terminated in favour of the Plaintiff </w:t>
            </w:r>
            <w:proofErr w:type="spellStart"/>
            <w:r w:rsidR="00790152">
              <w:rPr>
                <w:rFonts w:ascii="Arial Narrow" w:hAnsi="Arial Narrow" w:cs="Arial"/>
                <w:sz w:val="24"/>
                <w:szCs w:val="24"/>
              </w:rPr>
              <w:t>i.e</w:t>
            </w:r>
            <w:proofErr w:type="spellEnd"/>
            <w:r w:rsidR="00790152">
              <w:rPr>
                <w:rFonts w:ascii="Arial Narrow" w:hAnsi="Arial Narrow" w:cs="Arial"/>
                <w:sz w:val="24"/>
                <w:szCs w:val="24"/>
              </w:rPr>
              <w:t xml:space="preserve"> a verdict of not guilty or </w:t>
            </w:r>
            <w:r>
              <w:rPr>
                <w:rFonts w:ascii="Arial Narrow" w:hAnsi="Arial Narrow" w:cs="Arial"/>
                <w:sz w:val="24"/>
                <w:szCs w:val="24"/>
              </w:rPr>
              <w:t xml:space="preserve">where the Prosecutor- General has declined to prosecute. </w:t>
            </w:r>
            <w:r w:rsidRPr="003A131B">
              <w:rPr>
                <w:rFonts w:ascii="Arial Narrow" w:hAnsi="Arial Narrow" w:cs="Arial"/>
                <w:i/>
                <w:sz w:val="24"/>
                <w:szCs w:val="24"/>
              </w:rPr>
              <w:t>National Director Of Public Prosecutions And Others v Fre</w:t>
            </w:r>
            <w:r w:rsidR="00350C4E" w:rsidRPr="003A131B">
              <w:rPr>
                <w:rFonts w:ascii="Arial Narrow" w:hAnsi="Arial Narrow" w:cs="Arial"/>
                <w:i/>
                <w:sz w:val="24"/>
                <w:szCs w:val="24"/>
              </w:rPr>
              <w:t>e</w:t>
            </w:r>
            <w:r w:rsidRPr="003A131B">
              <w:rPr>
                <w:rFonts w:ascii="Arial Narrow" w:hAnsi="Arial Narrow" w:cs="Arial"/>
                <w:i/>
                <w:sz w:val="24"/>
                <w:szCs w:val="24"/>
              </w:rPr>
              <w:t>dom under Law, supra</w:t>
            </w:r>
            <w:r>
              <w:rPr>
                <w:rFonts w:ascii="Arial Narrow" w:hAnsi="Arial Narrow" w:cs="Arial"/>
                <w:sz w:val="24"/>
                <w:szCs w:val="24"/>
              </w:rPr>
              <w:t xml:space="preserve"> the case cited and relied upon by the plaintiff does not support the plaintiff’s argument </w:t>
            </w:r>
            <w:r w:rsidR="003A131B">
              <w:rPr>
                <w:rFonts w:ascii="Arial Narrow" w:hAnsi="Arial Narrow" w:cs="Arial"/>
                <w:sz w:val="24"/>
                <w:szCs w:val="24"/>
              </w:rPr>
              <w:t>f</w:t>
            </w:r>
            <w:r>
              <w:rPr>
                <w:rFonts w:ascii="Arial Narrow" w:hAnsi="Arial Narrow" w:cs="Arial"/>
                <w:sz w:val="24"/>
                <w:szCs w:val="24"/>
              </w:rPr>
              <w:t>or purposes of this action. Th</w:t>
            </w:r>
            <w:r w:rsidR="00F85077">
              <w:rPr>
                <w:rFonts w:ascii="Arial Narrow" w:hAnsi="Arial Narrow" w:cs="Arial"/>
                <w:sz w:val="24"/>
                <w:szCs w:val="24"/>
              </w:rPr>
              <w:t>at</w:t>
            </w:r>
            <w:r>
              <w:rPr>
                <w:rFonts w:ascii="Arial Narrow" w:hAnsi="Arial Narrow" w:cs="Arial"/>
                <w:sz w:val="24"/>
                <w:szCs w:val="24"/>
              </w:rPr>
              <w:t xml:space="preserve"> </w:t>
            </w:r>
            <w:r w:rsidR="00350C4E">
              <w:rPr>
                <w:rFonts w:ascii="Arial Narrow" w:hAnsi="Arial Narrow" w:cs="Arial"/>
                <w:sz w:val="24"/>
                <w:szCs w:val="24"/>
              </w:rPr>
              <w:t>court considered an appeal of the high court</w:t>
            </w:r>
            <w:r w:rsidR="003A131B">
              <w:rPr>
                <w:rFonts w:ascii="Arial Narrow" w:hAnsi="Arial Narrow" w:cs="Arial"/>
                <w:sz w:val="24"/>
                <w:szCs w:val="24"/>
              </w:rPr>
              <w:t xml:space="preserve"> which</w:t>
            </w:r>
            <w:r w:rsidR="00F85077">
              <w:rPr>
                <w:rFonts w:ascii="Arial Narrow" w:hAnsi="Arial Narrow" w:cs="Arial"/>
                <w:sz w:val="24"/>
                <w:szCs w:val="24"/>
              </w:rPr>
              <w:t>, inter alia</w:t>
            </w:r>
            <w:r w:rsidR="003A131B">
              <w:rPr>
                <w:rFonts w:ascii="Arial Narrow" w:hAnsi="Arial Narrow" w:cs="Arial"/>
                <w:sz w:val="24"/>
                <w:szCs w:val="24"/>
              </w:rPr>
              <w:t>, set aside a decision to withdraw criminal prosecution.</w:t>
            </w:r>
            <w:r w:rsidR="00350C4E">
              <w:rPr>
                <w:rFonts w:ascii="Arial Narrow" w:hAnsi="Arial Narrow" w:cs="Arial"/>
                <w:sz w:val="24"/>
                <w:szCs w:val="24"/>
              </w:rPr>
              <w:t xml:space="preserve"> Th</w:t>
            </w:r>
            <w:r w:rsidR="003A131B">
              <w:rPr>
                <w:rFonts w:ascii="Arial Narrow" w:hAnsi="Arial Narrow" w:cs="Arial"/>
                <w:sz w:val="24"/>
                <w:szCs w:val="24"/>
              </w:rPr>
              <w:t xml:space="preserve">e appeal court considered </w:t>
            </w:r>
            <w:r w:rsidR="009C6660">
              <w:rPr>
                <w:rFonts w:ascii="Arial Narrow" w:hAnsi="Arial Narrow" w:cs="Arial"/>
                <w:sz w:val="24"/>
                <w:szCs w:val="24"/>
              </w:rPr>
              <w:t>judicial review of a decision to withdraw the charge in terms of 6 (a) (provisional withdrawal)</w:t>
            </w:r>
            <w:r w:rsidR="003A131B">
              <w:rPr>
                <w:rFonts w:ascii="Arial Narrow" w:hAnsi="Arial Narrow" w:cs="Arial"/>
                <w:sz w:val="24"/>
                <w:szCs w:val="24"/>
              </w:rPr>
              <w:t xml:space="preserve">. </w:t>
            </w:r>
            <w:r w:rsidR="00833863">
              <w:rPr>
                <w:rFonts w:ascii="Arial Narrow" w:hAnsi="Arial Narrow" w:cs="Arial"/>
                <w:sz w:val="24"/>
                <w:szCs w:val="24"/>
              </w:rPr>
              <w:t>This</w:t>
            </w:r>
            <w:r w:rsidR="00F85077">
              <w:rPr>
                <w:rFonts w:ascii="Arial Narrow" w:hAnsi="Arial Narrow" w:cs="Arial"/>
                <w:sz w:val="24"/>
                <w:szCs w:val="24"/>
              </w:rPr>
              <w:t xml:space="preserve"> is</w:t>
            </w:r>
            <w:r w:rsidR="00833863">
              <w:rPr>
                <w:rFonts w:ascii="Arial Narrow" w:hAnsi="Arial Narrow" w:cs="Arial"/>
                <w:sz w:val="24"/>
                <w:szCs w:val="24"/>
              </w:rPr>
              <w:t xml:space="preserve"> not a review of the withdraw</w:t>
            </w:r>
            <w:r w:rsidR="003A131B">
              <w:rPr>
                <w:rFonts w:ascii="Arial Narrow" w:hAnsi="Arial Narrow" w:cs="Arial"/>
                <w:sz w:val="24"/>
                <w:szCs w:val="24"/>
              </w:rPr>
              <w:t>al and reinstatement</w:t>
            </w:r>
            <w:r w:rsidR="00833863">
              <w:rPr>
                <w:rFonts w:ascii="Arial Narrow" w:hAnsi="Arial Narrow" w:cs="Arial"/>
                <w:sz w:val="24"/>
                <w:szCs w:val="24"/>
              </w:rPr>
              <w:t xml:space="preserve"> of criminal </w:t>
            </w:r>
            <w:r w:rsidR="00A20F52">
              <w:rPr>
                <w:rFonts w:ascii="Arial Narrow" w:hAnsi="Arial Narrow" w:cs="Arial"/>
                <w:sz w:val="24"/>
                <w:szCs w:val="24"/>
              </w:rPr>
              <w:t>proceedings</w:t>
            </w:r>
            <w:r w:rsidR="00833863">
              <w:rPr>
                <w:rFonts w:ascii="Arial Narrow" w:hAnsi="Arial Narrow" w:cs="Arial"/>
                <w:sz w:val="24"/>
                <w:szCs w:val="24"/>
              </w:rPr>
              <w:t xml:space="preserve"> and there is no need for this court to express itself on this issue.</w:t>
            </w:r>
            <w:r w:rsidR="009C6660">
              <w:rPr>
                <w:rFonts w:ascii="Arial Narrow" w:hAnsi="Arial Narrow" w:cs="Arial"/>
                <w:sz w:val="24"/>
                <w:szCs w:val="24"/>
              </w:rPr>
              <w:t xml:space="preserve"> The Plaintiff’s claim of violations and threats to his constitutional rights in respect of the revival of the matter and the review of the decision to reinstate the prosecution may be considered in a different application </w:t>
            </w:r>
            <w:proofErr w:type="spellStart"/>
            <w:r w:rsidR="00833863">
              <w:rPr>
                <w:rFonts w:ascii="Arial Narrow" w:hAnsi="Arial Narrow" w:cs="Arial"/>
                <w:sz w:val="24"/>
                <w:szCs w:val="24"/>
              </w:rPr>
              <w:t>eg</w:t>
            </w:r>
            <w:proofErr w:type="spellEnd"/>
            <w:r w:rsidR="00833863">
              <w:rPr>
                <w:rFonts w:ascii="Arial Narrow" w:hAnsi="Arial Narrow" w:cs="Arial"/>
                <w:sz w:val="24"/>
                <w:szCs w:val="24"/>
              </w:rPr>
              <w:t xml:space="preserve">. </w:t>
            </w:r>
            <w:proofErr w:type="gramStart"/>
            <w:r w:rsidR="009C6660">
              <w:rPr>
                <w:rFonts w:ascii="Arial Narrow" w:hAnsi="Arial Narrow" w:cs="Arial"/>
                <w:sz w:val="24"/>
                <w:szCs w:val="24"/>
              </w:rPr>
              <w:t>a</w:t>
            </w:r>
            <w:proofErr w:type="gramEnd"/>
            <w:r w:rsidR="009C6660">
              <w:rPr>
                <w:rFonts w:ascii="Arial Narrow" w:hAnsi="Arial Narrow" w:cs="Arial"/>
                <w:sz w:val="24"/>
                <w:szCs w:val="24"/>
              </w:rPr>
              <w:t xml:space="preserve"> permanent stay of prosecution</w:t>
            </w:r>
            <w:r w:rsidR="009C6660">
              <w:rPr>
                <w:rStyle w:val="FootnoteReference"/>
                <w:rFonts w:ascii="Arial Narrow" w:hAnsi="Arial Narrow" w:cs="Arial"/>
                <w:sz w:val="24"/>
                <w:szCs w:val="24"/>
              </w:rPr>
              <w:footnoteReference w:id="7"/>
            </w:r>
            <w:r w:rsidR="009C6660">
              <w:rPr>
                <w:rFonts w:ascii="Arial Narrow" w:hAnsi="Arial Narrow" w:cs="Arial"/>
                <w:sz w:val="24"/>
                <w:szCs w:val="24"/>
              </w:rPr>
              <w:t xml:space="preserve">. It however </w:t>
            </w:r>
            <w:r w:rsidR="00623DB0">
              <w:rPr>
                <w:rFonts w:ascii="Arial Narrow" w:hAnsi="Arial Narrow" w:cs="Arial"/>
                <w:sz w:val="24"/>
                <w:szCs w:val="24"/>
              </w:rPr>
              <w:t xml:space="preserve">is not relevant in the current claim for </w:t>
            </w:r>
            <w:r w:rsidR="009C6660">
              <w:rPr>
                <w:rFonts w:ascii="Arial Narrow" w:hAnsi="Arial Narrow" w:cs="Arial"/>
                <w:sz w:val="24"/>
                <w:szCs w:val="24"/>
              </w:rPr>
              <w:t xml:space="preserve">malicious prosecution </w:t>
            </w:r>
            <w:r w:rsidR="00623DB0">
              <w:rPr>
                <w:rFonts w:ascii="Arial Narrow" w:hAnsi="Arial Narrow" w:cs="Arial"/>
                <w:sz w:val="24"/>
                <w:szCs w:val="24"/>
              </w:rPr>
              <w:t>and neither is it authority for compelling the defendants to take the matter on review. The criminal matter as it stands, remains on</w:t>
            </w:r>
            <w:r w:rsidR="00833863">
              <w:rPr>
                <w:rFonts w:ascii="Arial Narrow" w:hAnsi="Arial Narrow" w:cs="Arial"/>
                <w:sz w:val="24"/>
                <w:szCs w:val="24"/>
              </w:rPr>
              <w:t>-</w:t>
            </w:r>
            <w:r w:rsidR="00623DB0">
              <w:rPr>
                <w:rFonts w:ascii="Arial Narrow" w:hAnsi="Arial Narrow" w:cs="Arial"/>
                <w:sz w:val="24"/>
                <w:szCs w:val="24"/>
              </w:rPr>
              <w:t xml:space="preserve">going. </w:t>
            </w:r>
          </w:p>
          <w:p w:rsidR="009C6660" w:rsidRDefault="009C6660" w:rsidP="00E945FA">
            <w:pPr>
              <w:spacing w:line="360" w:lineRule="auto"/>
              <w:jc w:val="both"/>
              <w:rPr>
                <w:rFonts w:ascii="Arial Narrow" w:hAnsi="Arial Narrow" w:cs="Arial"/>
                <w:sz w:val="24"/>
                <w:szCs w:val="24"/>
              </w:rPr>
            </w:pPr>
            <w:r>
              <w:rPr>
                <w:rFonts w:ascii="Arial Narrow" w:hAnsi="Arial Narrow" w:cs="Arial"/>
                <w:sz w:val="24"/>
                <w:szCs w:val="24"/>
              </w:rPr>
              <w:lastRenderedPageBreak/>
              <w:t xml:space="preserve">  </w:t>
            </w:r>
          </w:p>
          <w:p w:rsidR="00634669" w:rsidRDefault="00623DB0" w:rsidP="00E945FA">
            <w:pPr>
              <w:spacing w:line="360" w:lineRule="auto"/>
              <w:jc w:val="both"/>
              <w:rPr>
                <w:rFonts w:ascii="Arial Narrow" w:hAnsi="Arial Narrow" w:cs="Arial"/>
                <w:sz w:val="24"/>
                <w:szCs w:val="24"/>
              </w:rPr>
            </w:pPr>
            <w:r>
              <w:rPr>
                <w:rFonts w:ascii="Arial Narrow" w:hAnsi="Arial Narrow" w:cs="Arial"/>
                <w:sz w:val="24"/>
                <w:szCs w:val="24"/>
              </w:rPr>
              <w:t>[10</w:t>
            </w:r>
            <w:proofErr w:type="gramStart"/>
            <w:r>
              <w:rPr>
                <w:rFonts w:ascii="Arial Narrow" w:hAnsi="Arial Narrow" w:cs="Arial"/>
                <w:sz w:val="24"/>
                <w:szCs w:val="24"/>
              </w:rPr>
              <w:t xml:space="preserve">]  </w:t>
            </w:r>
            <w:r w:rsidR="00E945FA">
              <w:rPr>
                <w:rFonts w:ascii="Arial Narrow" w:hAnsi="Arial Narrow" w:cs="Arial"/>
                <w:sz w:val="24"/>
                <w:szCs w:val="24"/>
              </w:rPr>
              <w:t>The</w:t>
            </w:r>
            <w:proofErr w:type="gramEnd"/>
            <w:r w:rsidR="00E945FA">
              <w:rPr>
                <w:rFonts w:ascii="Arial Narrow" w:hAnsi="Arial Narrow" w:cs="Arial"/>
                <w:sz w:val="24"/>
                <w:szCs w:val="24"/>
              </w:rPr>
              <w:t xml:space="preserve"> plaintiff already approached this court on the same facts citing the same authorities. The ruling made in that case in my view</w:t>
            </w:r>
            <w:r w:rsidR="00F85077">
              <w:rPr>
                <w:rFonts w:ascii="Arial Narrow" w:hAnsi="Arial Narrow" w:cs="Arial"/>
                <w:sz w:val="24"/>
                <w:szCs w:val="24"/>
              </w:rPr>
              <w:t>,</w:t>
            </w:r>
            <w:r w:rsidR="00E945FA">
              <w:rPr>
                <w:rFonts w:ascii="Arial Narrow" w:hAnsi="Arial Narrow" w:cs="Arial"/>
                <w:sz w:val="24"/>
                <w:szCs w:val="24"/>
              </w:rPr>
              <w:t xml:space="preserve"> </w:t>
            </w:r>
            <w:r w:rsidR="00F85077">
              <w:rPr>
                <w:rFonts w:ascii="Arial Narrow" w:hAnsi="Arial Narrow" w:cs="Arial"/>
                <w:sz w:val="24"/>
                <w:szCs w:val="24"/>
              </w:rPr>
              <w:t>is</w:t>
            </w:r>
            <w:r w:rsidR="00E945FA">
              <w:rPr>
                <w:rFonts w:ascii="Arial Narrow" w:hAnsi="Arial Narrow" w:cs="Arial"/>
                <w:sz w:val="24"/>
                <w:szCs w:val="24"/>
              </w:rPr>
              <w:t xml:space="preserve"> sound.</w:t>
            </w:r>
            <w:r w:rsidR="00C16EA0">
              <w:rPr>
                <w:rFonts w:ascii="Arial Narrow" w:hAnsi="Arial Narrow" w:cs="Arial"/>
                <w:sz w:val="24"/>
                <w:szCs w:val="24"/>
              </w:rPr>
              <w:t xml:space="preserve"> The case cited in support of plaintiff’s submission that the case was withdrawn once and for all </w:t>
            </w:r>
            <w:r>
              <w:rPr>
                <w:rFonts w:ascii="Arial Narrow" w:hAnsi="Arial Narrow" w:cs="Arial"/>
                <w:sz w:val="24"/>
                <w:szCs w:val="24"/>
              </w:rPr>
              <w:t xml:space="preserve">does not support his argument. The fact that the criminal proceedings are still </w:t>
            </w:r>
            <w:r w:rsidR="00597909">
              <w:rPr>
                <w:rFonts w:ascii="Arial Narrow" w:hAnsi="Arial Narrow" w:cs="Arial"/>
                <w:sz w:val="24"/>
                <w:szCs w:val="24"/>
              </w:rPr>
              <w:t>on-going</w:t>
            </w:r>
            <w:r w:rsidR="00634669">
              <w:rPr>
                <w:rFonts w:ascii="Arial Narrow" w:hAnsi="Arial Narrow" w:cs="Arial"/>
                <w:sz w:val="24"/>
                <w:szCs w:val="24"/>
              </w:rPr>
              <w:t xml:space="preserve"> is </w:t>
            </w:r>
            <w:r>
              <w:rPr>
                <w:rFonts w:ascii="Arial Narrow" w:hAnsi="Arial Narrow" w:cs="Arial"/>
                <w:sz w:val="24"/>
                <w:szCs w:val="24"/>
              </w:rPr>
              <w:t>fatal</w:t>
            </w:r>
            <w:r w:rsidR="00634669">
              <w:rPr>
                <w:rFonts w:ascii="Arial Narrow" w:hAnsi="Arial Narrow" w:cs="Arial"/>
                <w:sz w:val="24"/>
                <w:szCs w:val="24"/>
              </w:rPr>
              <w:t xml:space="preserve"> to his claim </w:t>
            </w:r>
            <w:r w:rsidR="00F85077">
              <w:rPr>
                <w:rFonts w:ascii="Arial Narrow" w:hAnsi="Arial Narrow" w:cs="Arial"/>
                <w:sz w:val="24"/>
                <w:szCs w:val="24"/>
              </w:rPr>
              <w:t xml:space="preserve">and </w:t>
            </w:r>
            <w:r w:rsidR="00634669">
              <w:rPr>
                <w:rFonts w:ascii="Arial Narrow" w:hAnsi="Arial Narrow" w:cs="Arial"/>
                <w:sz w:val="24"/>
                <w:szCs w:val="24"/>
              </w:rPr>
              <w:t xml:space="preserve">it renders his </w:t>
            </w:r>
            <w:r w:rsidR="000B17D4">
              <w:rPr>
                <w:rFonts w:ascii="Arial Narrow" w:hAnsi="Arial Narrow" w:cs="Arial"/>
                <w:sz w:val="24"/>
                <w:szCs w:val="24"/>
              </w:rPr>
              <w:t xml:space="preserve">claim </w:t>
            </w:r>
            <w:proofErr w:type="spellStart"/>
            <w:r>
              <w:rPr>
                <w:rFonts w:ascii="Arial Narrow" w:hAnsi="Arial Narrow" w:cs="Arial"/>
                <w:sz w:val="24"/>
                <w:szCs w:val="24"/>
              </w:rPr>
              <w:t>ex</w:t>
            </w:r>
            <w:r w:rsidR="00597909">
              <w:rPr>
                <w:rFonts w:ascii="Arial Narrow" w:hAnsi="Arial Narrow" w:cs="Arial"/>
                <w:sz w:val="24"/>
                <w:szCs w:val="24"/>
              </w:rPr>
              <w:t>c</w:t>
            </w:r>
            <w:r>
              <w:rPr>
                <w:rFonts w:ascii="Arial Narrow" w:hAnsi="Arial Narrow" w:cs="Arial"/>
                <w:sz w:val="24"/>
                <w:szCs w:val="24"/>
              </w:rPr>
              <w:t>ipiable</w:t>
            </w:r>
            <w:proofErr w:type="spellEnd"/>
            <w:r>
              <w:rPr>
                <w:rFonts w:ascii="Arial Narrow" w:hAnsi="Arial Narrow" w:cs="Arial"/>
                <w:sz w:val="24"/>
                <w:szCs w:val="24"/>
              </w:rPr>
              <w:t>.</w:t>
            </w:r>
            <w:r w:rsidR="00634669">
              <w:rPr>
                <w:rFonts w:ascii="Arial Narrow" w:hAnsi="Arial Narrow" w:cs="Arial"/>
                <w:sz w:val="24"/>
                <w:szCs w:val="24"/>
              </w:rPr>
              <w:t xml:space="preserve"> </w:t>
            </w:r>
            <w:r w:rsidR="00E945FA">
              <w:rPr>
                <w:rFonts w:ascii="Arial Narrow" w:hAnsi="Arial Narrow" w:cs="Arial"/>
                <w:sz w:val="24"/>
                <w:szCs w:val="24"/>
              </w:rPr>
              <w:t>It follows then that the outcome of this case would be same</w:t>
            </w:r>
            <w:r w:rsidR="00634669">
              <w:rPr>
                <w:rFonts w:ascii="Arial Narrow" w:hAnsi="Arial Narrow" w:cs="Arial"/>
                <w:sz w:val="24"/>
                <w:szCs w:val="24"/>
              </w:rPr>
              <w:t>. T</w:t>
            </w:r>
            <w:r w:rsidR="00E945FA">
              <w:rPr>
                <w:rFonts w:ascii="Arial Narrow" w:hAnsi="Arial Narrow" w:cs="Arial"/>
                <w:sz w:val="24"/>
                <w:szCs w:val="24"/>
              </w:rPr>
              <w:t xml:space="preserve">he </w:t>
            </w:r>
            <w:r w:rsidR="009E0F52">
              <w:rPr>
                <w:rFonts w:ascii="Arial Narrow" w:hAnsi="Arial Narrow" w:cs="Arial"/>
                <w:sz w:val="24"/>
                <w:szCs w:val="24"/>
              </w:rPr>
              <w:t>plaintiff persisted, without reasonable grounds, with this action against the defendants. The outcome of this case would be no different from the first case</w:t>
            </w:r>
            <w:r w:rsidR="006E1CFC">
              <w:rPr>
                <w:rFonts w:ascii="Arial Narrow" w:hAnsi="Arial Narrow" w:cs="Arial"/>
                <w:sz w:val="24"/>
                <w:szCs w:val="24"/>
              </w:rPr>
              <w:t xml:space="preserve"> and plaintiff’s persistence herein can only be described as vexatious. </w:t>
            </w:r>
            <w:r w:rsidR="00E945FA">
              <w:rPr>
                <w:rFonts w:ascii="Arial Narrow" w:hAnsi="Arial Narrow" w:cs="Arial"/>
                <w:sz w:val="24"/>
                <w:szCs w:val="24"/>
              </w:rPr>
              <w:t xml:space="preserve">  </w:t>
            </w:r>
          </w:p>
          <w:p w:rsidR="00634669" w:rsidRDefault="00634669" w:rsidP="00E945FA">
            <w:pPr>
              <w:spacing w:line="360" w:lineRule="auto"/>
              <w:jc w:val="both"/>
              <w:rPr>
                <w:rFonts w:ascii="Arial Narrow" w:hAnsi="Arial Narrow" w:cs="Arial"/>
                <w:sz w:val="24"/>
                <w:szCs w:val="24"/>
              </w:rPr>
            </w:pPr>
          </w:p>
          <w:p w:rsidR="00281357" w:rsidRPr="00005999" w:rsidRDefault="00634669" w:rsidP="00005999">
            <w:pPr>
              <w:spacing w:line="360" w:lineRule="auto"/>
              <w:jc w:val="both"/>
              <w:rPr>
                <w:rFonts w:ascii="Arial Narrow" w:hAnsi="Arial Narrow" w:cs="Arial"/>
                <w:sz w:val="24"/>
                <w:szCs w:val="24"/>
              </w:rPr>
            </w:pPr>
            <w:r>
              <w:rPr>
                <w:rFonts w:ascii="Arial Narrow" w:hAnsi="Arial Narrow" w:cs="Arial"/>
                <w:sz w:val="24"/>
                <w:szCs w:val="24"/>
              </w:rPr>
              <w:t xml:space="preserve">[11]  </w:t>
            </w:r>
            <w:r w:rsidR="00597909">
              <w:rPr>
                <w:rFonts w:ascii="Arial Narrow" w:hAnsi="Arial Narrow" w:cs="Arial"/>
                <w:sz w:val="24"/>
                <w:szCs w:val="24"/>
              </w:rPr>
              <w:t xml:space="preserve"> I </w:t>
            </w:r>
            <w:r>
              <w:rPr>
                <w:rFonts w:ascii="Arial Narrow" w:hAnsi="Arial Narrow" w:cs="Arial"/>
                <w:sz w:val="24"/>
                <w:szCs w:val="24"/>
              </w:rPr>
              <w:t xml:space="preserve">dismissed the application of the defendants and the rationale for doing so was to afford the plaintiff </w:t>
            </w:r>
            <w:r w:rsidR="00597909">
              <w:rPr>
                <w:rFonts w:ascii="Arial Narrow" w:hAnsi="Arial Narrow" w:cs="Arial"/>
                <w:sz w:val="24"/>
                <w:szCs w:val="24"/>
              </w:rPr>
              <w:t xml:space="preserve">the </w:t>
            </w:r>
            <w:r w:rsidR="006E1CFC">
              <w:rPr>
                <w:rFonts w:ascii="Arial Narrow" w:hAnsi="Arial Narrow" w:cs="Arial"/>
                <w:sz w:val="24"/>
                <w:szCs w:val="24"/>
              </w:rPr>
              <w:t>opportunity to oppose the exception</w:t>
            </w:r>
            <w:r w:rsidR="00597909">
              <w:rPr>
                <w:rFonts w:ascii="Arial Narrow" w:hAnsi="Arial Narrow" w:cs="Arial"/>
                <w:sz w:val="24"/>
                <w:szCs w:val="24"/>
              </w:rPr>
              <w:t xml:space="preserve"> and to fast track the matter without causing further delays in hearing the exception.</w:t>
            </w:r>
            <w:r>
              <w:rPr>
                <w:rFonts w:ascii="Arial Narrow" w:hAnsi="Arial Narrow" w:cs="Arial"/>
                <w:sz w:val="24"/>
                <w:szCs w:val="24"/>
              </w:rPr>
              <w:t xml:space="preserve"> However, having consider</w:t>
            </w:r>
            <w:r w:rsidR="00597909">
              <w:rPr>
                <w:rFonts w:ascii="Arial Narrow" w:hAnsi="Arial Narrow" w:cs="Arial"/>
                <w:sz w:val="24"/>
                <w:szCs w:val="24"/>
              </w:rPr>
              <w:t>ed</w:t>
            </w:r>
            <w:r>
              <w:rPr>
                <w:rFonts w:ascii="Arial Narrow" w:hAnsi="Arial Narrow" w:cs="Arial"/>
                <w:sz w:val="24"/>
                <w:szCs w:val="24"/>
              </w:rPr>
              <w:t xml:space="preserve"> the matter </w:t>
            </w:r>
            <w:r w:rsidR="00A20F52">
              <w:rPr>
                <w:rFonts w:ascii="Arial Narrow" w:hAnsi="Arial Narrow" w:cs="Arial"/>
                <w:sz w:val="24"/>
                <w:szCs w:val="24"/>
              </w:rPr>
              <w:t>carefully, it</w:t>
            </w:r>
            <w:r>
              <w:rPr>
                <w:rFonts w:ascii="Arial Narrow" w:hAnsi="Arial Narrow" w:cs="Arial"/>
                <w:sz w:val="24"/>
                <w:szCs w:val="24"/>
              </w:rPr>
              <w:t xml:space="preserve"> became apparent that </w:t>
            </w:r>
            <w:r w:rsidR="00597909">
              <w:rPr>
                <w:rFonts w:ascii="Arial Narrow" w:hAnsi="Arial Narrow" w:cs="Arial"/>
                <w:sz w:val="24"/>
                <w:szCs w:val="24"/>
              </w:rPr>
              <w:t>I ought to have ordered the Plaintiff to pay security for costs in order to limit the abuse of the court process</w:t>
            </w:r>
            <w:r w:rsidR="00A20F52">
              <w:rPr>
                <w:rFonts w:ascii="Arial Narrow" w:hAnsi="Arial Narrow" w:cs="Arial"/>
                <w:sz w:val="24"/>
                <w:szCs w:val="24"/>
              </w:rPr>
              <w:t xml:space="preserve"> and to avoid the defendants being dragged down a cul-de-sac.</w:t>
            </w:r>
            <w:r w:rsidR="00281357">
              <w:rPr>
                <w:rFonts w:ascii="Arial Narrow" w:hAnsi="Arial Narrow" w:cs="Arial"/>
                <w:sz w:val="24"/>
                <w:szCs w:val="24"/>
              </w:rPr>
              <w:t xml:space="preserve"> </w:t>
            </w:r>
          </w:p>
          <w:p w:rsidR="00597909" w:rsidRDefault="00597909" w:rsidP="00597909">
            <w:pPr>
              <w:spacing w:line="360" w:lineRule="auto"/>
              <w:jc w:val="both"/>
              <w:rPr>
                <w:rFonts w:ascii="Arial Narrow" w:hAnsi="Arial Narrow" w:cs="Arial"/>
                <w:sz w:val="24"/>
                <w:szCs w:val="24"/>
              </w:rPr>
            </w:pPr>
          </w:p>
          <w:p w:rsidR="00962958" w:rsidRPr="00C73154" w:rsidRDefault="007E0C30" w:rsidP="005310D4">
            <w:pPr>
              <w:spacing w:line="360" w:lineRule="auto"/>
              <w:jc w:val="both"/>
              <w:rPr>
                <w:rFonts w:ascii="Arial Narrow" w:hAnsi="Arial Narrow" w:cs="Arial"/>
                <w:sz w:val="24"/>
                <w:szCs w:val="24"/>
              </w:rPr>
            </w:pPr>
            <w:r>
              <w:rPr>
                <w:rFonts w:ascii="Arial Narrow" w:hAnsi="Arial Narrow" w:cs="Arial"/>
                <w:sz w:val="24"/>
                <w:szCs w:val="24"/>
              </w:rPr>
              <w:t xml:space="preserve"> </w:t>
            </w:r>
          </w:p>
        </w:tc>
      </w:tr>
      <w:tr w:rsidR="00045A14" w:rsidRPr="00C73154" w:rsidTr="00551EE4">
        <w:tc>
          <w:tcPr>
            <w:tcW w:w="4770" w:type="dxa"/>
          </w:tcPr>
          <w:p w:rsidR="00045A14" w:rsidRPr="00C73154" w:rsidRDefault="00045A14" w:rsidP="00551EE4">
            <w:pPr>
              <w:spacing w:line="360" w:lineRule="auto"/>
              <w:jc w:val="center"/>
              <w:rPr>
                <w:rFonts w:ascii="Arial Narrow" w:hAnsi="Arial Narrow" w:cs="Arial"/>
                <w:b/>
                <w:sz w:val="24"/>
                <w:szCs w:val="24"/>
              </w:rPr>
            </w:pPr>
            <w:r w:rsidRPr="00C73154">
              <w:rPr>
                <w:rFonts w:ascii="Arial Narrow" w:hAnsi="Arial Narrow" w:cs="Arial"/>
                <w:b/>
                <w:sz w:val="24"/>
                <w:szCs w:val="24"/>
              </w:rPr>
              <w:lastRenderedPageBreak/>
              <w:t>Judge’s signature:</w:t>
            </w:r>
          </w:p>
        </w:tc>
        <w:tc>
          <w:tcPr>
            <w:tcW w:w="4950" w:type="dxa"/>
            <w:gridSpan w:val="2"/>
          </w:tcPr>
          <w:p w:rsidR="00045A14" w:rsidRPr="00C73154" w:rsidRDefault="00045A14" w:rsidP="00551EE4">
            <w:pPr>
              <w:spacing w:line="360" w:lineRule="auto"/>
              <w:jc w:val="center"/>
              <w:rPr>
                <w:rFonts w:ascii="Arial Narrow" w:hAnsi="Arial Narrow" w:cs="Arial"/>
                <w:b/>
                <w:sz w:val="24"/>
                <w:szCs w:val="24"/>
              </w:rPr>
            </w:pPr>
            <w:r w:rsidRPr="00C73154">
              <w:rPr>
                <w:rFonts w:ascii="Arial Narrow" w:hAnsi="Arial Narrow" w:cs="Arial"/>
                <w:b/>
                <w:sz w:val="24"/>
                <w:szCs w:val="24"/>
              </w:rPr>
              <w:t>Note to the parties:</w:t>
            </w:r>
          </w:p>
        </w:tc>
      </w:tr>
      <w:tr w:rsidR="00045A14" w:rsidRPr="00C73154" w:rsidTr="00551EE4">
        <w:trPr>
          <w:trHeight w:val="1114"/>
        </w:trPr>
        <w:tc>
          <w:tcPr>
            <w:tcW w:w="4770" w:type="dxa"/>
          </w:tcPr>
          <w:p w:rsidR="00045A14" w:rsidRPr="00C73154" w:rsidRDefault="00045A14" w:rsidP="00551EE4">
            <w:pPr>
              <w:spacing w:line="360" w:lineRule="auto"/>
              <w:jc w:val="both"/>
              <w:rPr>
                <w:rFonts w:ascii="Arial Narrow" w:hAnsi="Arial Narrow" w:cs="Arial"/>
                <w:sz w:val="24"/>
                <w:szCs w:val="24"/>
              </w:rPr>
            </w:pPr>
          </w:p>
          <w:p w:rsidR="00045A14" w:rsidRPr="00C73154" w:rsidRDefault="00045A14" w:rsidP="00551EE4">
            <w:pPr>
              <w:spacing w:line="360" w:lineRule="auto"/>
              <w:jc w:val="both"/>
              <w:rPr>
                <w:rFonts w:ascii="Arial Narrow" w:hAnsi="Arial Narrow" w:cs="Arial"/>
                <w:sz w:val="24"/>
                <w:szCs w:val="24"/>
              </w:rPr>
            </w:pPr>
          </w:p>
          <w:p w:rsidR="00045A14" w:rsidRPr="00C73154" w:rsidRDefault="00045A14" w:rsidP="00551EE4">
            <w:pPr>
              <w:spacing w:line="360" w:lineRule="auto"/>
              <w:jc w:val="both"/>
              <w:rPr>
                <w:rFonts w:ascii="Arial Narrow" w:hAnsi="Arial Narrow" w:cs="Arial"/>
                <w:sz w:val="24"/>
                <w:szCs w:val="24"/>
              </w:rPr>
            </w:pPr>
          </w:p>
        </w:tc>
        <w:tc>
          <w:tcPr>
            <w:tcW w:w="4950" w:type="dxa"/>
            <w:gridSpan w:val="2"/>
          </w:tcPr>
          <w:p w:rsidR="00045A14" w:rsidRPr="00C73154" w:rsidRDefault="00F310A5" w:rsidP="00F310A5">
            <w:pPr>
              <w:spacing w:line="360" w:lineRule="auto"/>
              <w:jc w:val="center"/>
              <w:rPr>
                <w:rFonts w:ascii="Arial Narrow" w:hAnsi="Arial Narrow" w:cs="Arial"/>
                <w:sz w:val="24"/>
                <w:szCs w:val="24"/>
              </w:rPr>
            </w:pPr>
            <w:r>
              <w:rPr>
                <w:rFonts w:ascii="Arial Narrow" w:hAnsi="Arial Narrow" w:cs="Arial"/>
                <w:sz w:val="24"/>
                <w:szCs w:val="24"/>
              </w:rPr>
              <w:lastRenderedPageBreak/>
              <w:t>None.</w:t>
            </w:r>
          </w:p>
        </w:tc>
      </w:tr>
      <w:tr w:rsidR="00045A14" w:rsidRPr="00C73154" w:rsidTr="00551EE4">
        <w:tc>
          <w:tcPr>
            <w:tcW w:w="9720" w:type="dxa"/>
            <w:gridSpan w:val="3"/>
          </w:tcPr>
          <w:p w:rsidR="00045A14" w:rsidRPr="00C73154" w:rsidRDefault="00045A14" w:rsidP="00551EE4">
            <w:pPr>
              <w:spacing w:line="360" w:lineRule="auto"/>
              <w:jc w:val="center"/>
              <w:rPr>
                <w:rFonts w:ascii="Arial Narrow" w:hAnsi="Arial Narrow" w:cs="Arial"/>
                <w:b/>
                <w:sz w:val="24"/>
                <w:szCs w:val="24"/>
              </w:rPr>
            </w:pPr>
            <w:r w:rsidRPr="00C73154">
              <w:rPr>
                <w:rFonts w:ascii="Arial Narrow" w:hAnsi="Arial Narrow" w:cs="Arial"/>
                <w:b/>
                <w:sz w:val="24"/>
                <w:szCs w:val="24"/>
              </w:rPr>
              <w:t>Counsel:</w:t>
            </w:r>
          </w:p>
        </w:tc>
      </w:tr>
      <w:tr w:rsidR="00045A14" w:rsidRPr="00C73154" w:rsidTr="00551EE4">
        <w:tc>
          <w:tcPr>
            <w:tcW w:w="4770" w:type="dxa"/>
          </w:tcPr>
          <w:p w:rsidR="00045A14" w:rsidRPr="00C73154" w:rsidRDefault="00045A14" w:rsidP="00551EE4">
            <w:pPr>
              <w:spacing w:line="360" w:lineRule="auto"/>
              <w:jc w:val="center"/>
              <w:rPr>
                <w:rFonts w:ascii="Arial Narrow" w:hAnsi="Arial Narrow" w:cs="Arial"/>
                <w:b/>
                <w:sz w:val="24"/>
                <w:szCs w:val="24"/>
              </w:rPr>
            </w:pPr>
            <w:r>
              <w:rPr>
                <w:rFonts w:ascii="Arial Narrow" w:hAnsi="Arial Narrow" w:cs="Arial"/>
                <w:b/>
                <w:sz w:val="24"/>
                <w:szCs w:val="24"/>
              </w:rPr>
              <w:t>Applicants</w:t>
            </w:r>
          </w:p>
        </w:tc>
        <w:tc>
          <w:tcPr>
            <w:tcW w:w="4950" w:type="dxa"/>
            <w:gridSpan w:val="2"/>
          </w:tcPr>
          <w:p w:rsidR="00045A14" w:rsidRPr="00C73154" w:rsidRDefault="00045A14" w:rsidP="00551EE4">
            <w:pPr>
              <w:spacing w:line="360" w:lineRule="auto"/>
              <w:jc w:val="center"/>
              <w:rPr>
                <w:rFonts w:ascii="Arial Narrow" w:hAnsi="Arial Narrow" w:cs="Arial"/>
                <w:b/>
                <w:sz w:val="24"/>
                <w:szCs w:val="24"/>
              </w:rPr>
            </w:pPr>
            <w:r>
              <w:rPr>
                <w:rFonts w:ascii="Arial Narrow" w:hAnsi="Arial Narrow" w:cs="Arial"/>
                <w:b/>
                <w:sz w:val="24"/>
                <w:szCs w:val="24"/>
              </w:rPr>
              <w:t>Respondents</w:t>
            </w:r>
          </w:p>
        </w:tc>
      </w:tr>
      <w:tr w:rsidR="00045A14" w:rsidRPr="00C73154" w:rsidTr="00551EE4">
        <w:tc>
          <w:tcPr>
            <w:tcW w:w="4770" w:type="dxa"/>
          </w:tcPr>
          <w:p w:rsidR="00045A14" w:rsidRDefault="00045A14" w:rsidP="00597909">
            <w:pPr>
              <w:spacing w:line="360" w:lineRule="auto"/>
              <w:jc w:val="center"/>
              <w:rPr>
                <w:rFonts w:ascii="Arial Narrow" w:hAnsi="Arial Narrow" w:cs="Arial"/>
                <w:sz w:val="24"/>
                <w:szCs w:val="24"/>
              </w:rPr>
            </w:pPr>
          </w:p>
          <w:p w:rsidR="001005B7" w:rsidRDefault="001005B7" w:rsidP="00597909">
            <w:pPr>
              <w:spacing w:line="360" w:lineRule="auto"/>
              <w:jc w:val="center"/>
              <w:rPr>
                <w:rFonts w:ascii="Arial Narrow" w:hAnsi="Arial Narrow" w:cs="Arial"/>
                <w:sz w:val="24"/>
                <w:szCs w:val="24"/>
              </w:rPr>
            </w:pPr>
            <w:r>
              <w:rPr>
                <w:rFonts w:ascii="Arial Narrow" w:hAnsi="Arial Narrow" w:cs="Arial"/>
                <w:sz w:val="24"/>
                <w:szCs w:val="24"/>
              </w:rPr>
              <w:t xml:space="preserve">Mr Alex </w:t>
            </w:r>
            <w:proofErr w:type="spellStart"/>
            <w:r>
              <w:rPr>
                <w:rFonts w:ascii="Arial Narrow" w:hAnsi="Arial Narrow" w:cs="Arial"/>
                <w:sz w:val="24"/>
                <w:szCs w:val="24"/>
              </w:rPr>
              <w:t>Mabuku</w:t>
            </w:r>
            <w:proofErr w:type="spellEnd"/>
            <w:r>
              <w:rPr>
                <w:rFonts w:ascii="Arial Narrow" w:hAnsi="Arial Narrow" w:cs="Arial"/>
                <w:sz w:val="24"/>
                <w:szCs w:val="24"/>
              </w:rPr>
              <w:t xml:space="preserve"> Kamwi </w:t>
            </w:r>
            <w:proofErr w:type="spellStart"/>
            <w:r>
              <w:rPr>
                <w:rFonts w:ascii="Arial Narrow" w:hAnsi="Arial Narrow" w:cs="Arial"/>
                <w:sz w:val="24"/>
                <w:szCs w:val="24"/>
              </w:rPr>
              <w:t>Kamwi</w:t>
            </w:r>
            <w:proofErr w:type="spellEnd"/>
          </w:p>
          <w:p w:rsidR="001005B7" w:rsidRPr="00C73154" w:rsidRDefault="001005B7" w:rsidP="00597909">
            <w:pPr>
              <w:spacing w:line="360" w:lineRule="auto"/>
              <w:jc w:val="center"/>
              <w:rPr>
                <w:rFonts w:ascii="Arial Narrow" w:hAnsi="Arial Narrow" w:cs="Arial"/>
                <w:sz w:val="24"/>
                <w:szCs w:val="24"/>
              </w:rPr>
            </w:pPr>
            <w:r>
              <w:rPr>
                <w:rFonts w:ascii="Arial Narrow" w:hAnsi="Arial Narrow" w:cs="Arial"/>
                <w:sz w:val="24"/>
                <w:szCs w:val="24"/>
              </w:rPr>
              <w:t>The Applicant in person</w:t>
            </w:r>
          </w:p>
        </w:tc>
        <w:tc>
          <w:tcPr>
            <w:tcW w:w="4950" w:type="dxa"/>
            <w:gridSpan w:val="2"/>
          </w:tcPr>
          <w:p w:rsidR="00045A14" w:rsidRDefault="00045A14" w:rsidP="00551EE4">
            <w:pPr>
              <w:spacing w:line="360" w:lineRule="auto"/>
              <w:jc w:val="center"/>
              <w:rPr>
                <w:rFonts w:ascii="Arial Narrow" w:hAnsi="Arial Narrow" w:cs="Arial"/>
                <w:sz w:val="24"/>
                <w:szCs w:val="24"/>
                <w:lang w:val="en-US"/>
              </w:rPr>
            </w:pPr>
          </w:p>
          <w:p w:rsidR="001005B7" w:rsidRDefault="001005B7" w:rsidP="00551EE4">
            <w:pPr>
              <w:spacing w:line="360" w:lineRule="auto"/>
              <w:jc w:val="center"/>
              <w:rPr>
                <w:rFonts w:ascii="Arial Narrow" w:hAnsi="Arial Narrow" w:cs="Arial"/>
                <w:sz w:val="24"/>
                <w:szCs w:val="24"/>
                <w:lang w:val="en-US"/>
              </w:rPr>
            </w:pPr>
            <w:proofErr w:type="spellStart"/>
            <w:r>
              <w:rPr>
                <w:rFonts w:ascii="Arial Narrow" w:hAnsi="Arial Narrow" w:cs="Arial"/>
                <w:sz w:val="24"/>
                <w:szCs w:val="24"/>
                <w:lang w:val="en-US"/>
              </w:rPr>
              <w:t>Mr</w:t>
            </w:r>
            <w:proofErr w:type="spellEnd"/>
            <w:r>
              <w:rPr>
                <w:rFonts w:ascii="Arial Narrow" w:hAnsi="Arial Narrow" w:cs="Arial"/>
                <w:sz w:val="24"/>
                <w:szCs w:val="24"/>
                <w:lang w:val="en-US"/>
              </w:rPr>
              <w:t xml:space="preserve"> W Van </w:t>
            </w:r>
            <w:proofErr w:type="spellStart"/>
            <w:r>
              <w:rPr>
                <w:rFonts w:ascii="Arial Narrow" w:hAnsi="Arial Narrow" w:cs="Arial"/>
                <w:sz w:val="24"/>
                <w:szCs w:val="24"/>
                <w:lang w:val="en-US"/>
              </w:rPr>
              <w:t>Greunen</w:t>
            </w:r>
            <w:proofErr w:type="spellEnd"/>
          </w:p>
          <w:p w:rsidR="001005B7" w:rsidRPr="00BA1B0A" w:rsidRDefault="001005B7" w:rsidP="00551EE4">
            <w:pPr>
              <w:spacing w:line="360" w:lineRule="auto"/>
              <w:jc w:val="center"/>
              <w:rPr>
                <w:rFonts w:ascii="Arial Narrow" w:hAnsi="Arial Narrow" w:cs="Arial"/>
                <w:sz w:val="24"/>
                <w:szCs w:val="24"/>
                <w:lang w:val="en-US"/>
              </w:rPr>
            </w:pPr>
            <w:r>
              <w:rPr>
                <w:rFonts w:ascii="Arial Narrow" w:hAnsi="Arial Narrow" w:cs="Arial"/>
                <w:sz w:val="24"/>
                <w:szCs w:val="24"/>
                <w:lang w:val="en-US"/>
              </w:rPr>
              <w:t xml:space="preserve">Of Kopplinger </w:t>
            </w:r>
            <w:proofErr w:type="spellStart"/>
            <w:r>
              <w:rPr>
                <w:rFonts w:ascii="Arial Narrow" w:hAnsi="Arial Narrow" w:cs="Arial"/>
                <w:sz w:val="24"/>
                <w:szCs w:val="24"/>
                <w:lang w:val="en-US"/>
              </w:rPr>
              <w:t>Boltman</w:t>
            </w:r>
            <w:proofErr w:type="spellEnd"/>
          </w:p>
        </w:tc>
      </w:tr>
    </w:tbl>
    <w:p w:rsidR="00045A14" w:rsidRDefault="00045A14" w:rsidP="00045A14">
      <w:pPr>
        <w:spacing w:after="0" w:line="360" w:lineRule="auto"/>
        <w:jc w:val="both"/>
        <w:rPr>
          <w:rFonts w:ascii="Arial Narrow" w:hAnsi="Arial Narrow"/>
          <w:sz w:val="24"/>
          <w:szCs w:val="24"/>
        </w:rPr>
      </w:pPr>
    </w:p>
    <w:p w:rsidR="00306D85" w:rsidRDefault="00306D85"/>
    <w:sectPr w:rsidR="00306D85" w:rsidSect="00BB1DD7">
      <w:headerReference w:type="default" r:id="rId8"/>
      <w:footerReference w:type="default" r:id="rId9"/>
      <w:pgSz w:w="11906" w:h="16838"/>
      <w:pgMar w:top="1080" w:right="1440" w:bottom="1560"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D9B" w:rsidRDefault="00D02D9B" w:rsidP="00045A14">
      <w:pPr>
        <w:spacing w:after="0" w:line="240" w:lineRule="auto"/>
      </w:pPr>
      <w:r>
        <w:separator/>
      </w:r>
    </w:p>
  </w:endnote>
  <w:endnote w:type="continuationSeparator" w:id="0">
    <w:p w:rsidR="00D02D9B" w:rsidRDefault="00D02D9B" w:rsidP="0004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EE4" w:rsidRDefault="00551E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D9B" w:rsidRDefault="00D02D9B" w:rsidP="00045A14">
      <w:pPr>
        <w:spacing w:after="0" w:line="240" w:lineRule="auto"/>
      </w:pPr>
      <w:r>
        <w:separator/>
      </w:r>
    </w:p>
  </w:footnote>
  <w:footnote w:type="continuationSeparator" w:id="0">
    <w:p w:rsidR="00D02D9B" w:rsidRDefault="00D02D9B" w:rsidP="00045A14">
      <w:pPr>
        <w:spacing w:after="0" w:line="240" w:lineRule="auto"/>
      </w:pPr>
      <w:r>
        <w:continuationSeparator/>
      </w:r>
    </w:p>
  </w:footnote>
  <w:footnote w:id="1">
    <w:p w:rsidR="00503151" w:rsidRPr="00503151" w:rsidRDefault="00503151">
      <w:pPr>
        <w:pStyle w:val="FootnoteText"/>
        <w:rPr>
          <w:lang w:val="en-US"/>
        </w:rPr>
      </w:pPr>
      <w:r>
        <w:rPr>
          <w:rStyle w:val="FootnoteReference"/>
        </w:rPr>
        <w:footnoteRef/>
      </w:r>
      <w:r>
        <w:t xml:space="preserve"> </w:t>
      </w:r>
      <w:r w:rsidRPr="00503151">
        <w:rPr>
          <w:u w:val="single"/>
        </w:rPr>
        <w:t>Superior Court Practice</w:t>
      </w:r>
      <w:r w:rsidRPr="00503151">
        <w:t xml:space="preserve"> B1-340 to BI342  </w:t>
      </w:r>
    </w:p>
  </w:footnote>
  <w:footnote w:id="2">
    <w:p w:rsidR="00503151" w:rsidRPr="00503151" w:rsidRDefault="00503151">
      <w:pPr>
        <w:pStyle w:val="FootnoteText"/>
        <w:rPr>
          <w:lang w:val="en-US"/>
        </w:rPr>
      </w:pPr>
      <w:r>
        <w:rPr>
          <w:rStyle w:val="FootnoteReference"/>
        </w:rPr>
        <w:footnoteRef/>
      </w:r>
      <w:r>
        <w:t xml:space="preserve"> </w:t>
      </w:r>
      <w:r w:rsidRPr="00503151">
        <w:rPr>
          <w:u w:val="single"/>
          <w:lang w:val="en-US"/>
        </w:rPr>
        <w:t>Civil Practice of the High court of South Africa</w:t>
      </w:r>
      <w:r>
        <w:rPr>
          <w:lang w:val="en-US"/>
        </w:rPr>
        <w:t xml:space="preserve"> – P410 par (D)</w:t>
      </w:r>
    </w:p>
  </w:footnote>
  <w:footnote w:id="3">
    <w:p w:rsidR="00503151" w:rsidRPr="00503151" w:rsidRDefault="00503151">
      <w:pPr>
        <w:pStyle w:val="FootnoteText"/>
        <w:rPr>
          <w:lang w:val="en-US"/>
        </w:rPr>
      </w:pPr>
      <w:r>
        <w:rPr>
          <w:rStyle w:val="FootnoteReference"/>
        </w:rPr>
        <w:footnoteRef/>
      </w:r>
      <w:r>
        <w:t xml:space="preserve"> </w:t>
      </w:r>
      <w:r w:rsidRPr="009C68A2">
        <w:rPr>
          <w:i/>
        </w:rPr>
        <w:t xml:space="preserve">Crest Enterprises (Pty) Ltd and Another v Barnett and </w:t>
      </w:r>
      <w:proofErr w:type="spellStart"/>
      <w:r w:rsidRPr="009C68A2">
        <w:rPr>
          <w:i/>
        </w:rPr>
        <w:t>Scholberg</w:t>
      </w:r>
      <w:proofErr w:type="spellEnd"/>
      <w:r w:rsidRPr="009C68A2">
        <w:rPr>
          <w:i/>
        </w:rPr>
        <w:t xml:space="preserve"> NNO</w:t>
      </w:r>
      <w:r w:rsidR="009C68A2">
        <w:rPr>
          <w:i/>
        </w:rPr>
        <w:t xml:space="preserve"> 1986 (4) SA </w:t>
      </w:r>
      <w:proofErr w:type="gramStart"/>
      <w:r w:rsidR="009C68A2">
        <w:rPr>
          <w:i/>
        </w:rPr>
        <w:t xml:space="preserve">19 </w:t>
      </w:r>
      <w:r>
        <w:t xml:space="preserve"> (</w:t>
      </w:r>
      <w:proofErr w:type="gramEnd"/>
      <w:r>
        <w:t xml:space="preserve">whether a trust should be required to furnish its opponent with security for costs; </w:t>
      </w:r>
      <w:proofErr w:type="spellStart"/>
      <w:r w:rsidRPr="009C68A2">
        <w:rPr>
          <w:i/>
        </w:rPr>
        <w:t>Fitchet</w:t>
      </w:r>
      <w:proofErr w:type="spellEnd"/>
      <w:r w:rsidRPr="009C68A2">
        <w:rPr>
          <w:i/>
        </w:rPr>
        <w:t xml:space="preserve"> v </w:t>
      </w:r>
      <w:proofErr w:type="spellStart"/>
      <w:r w:rsidRPr="009C68A2">
        <w:rPr>
          <w:i/>
        </w:rPr>
        <w:t>Fitchet</w:t>
      </w:r>
      <w:proofErr w:type="spellEnd"/>
      <w:r w:rsidR="009C68A2">
        <w:t xml:space="preserve">, </w:t>
      </w:r>
      <w:r w:rsidR="009C68A2" w:rsidRPr="009C68A2">
        <w:rPr>
          <w:i/>
        </w:rPr>
        <w:t>1987 (1)</w:t>
      </w:r>
      <w:r w:rsidR="009C68A2">
        <w:rPr>
          <w:i/>
        </w:rPr>
        <w:t xml:space="preserve"> SA</w:t>
      </w:r>
      <w:r w:rsidR="009C68A2" w:rsidRPr="009C68A2">
        <w:rPr>
          <w:i/>
        </w:rPr>
        <w:t xml:space="preserve"> 450</w:t>
      </w:r>
      <w:r w:rsidR="009C68A2">
        <w:t xml:space="preserve"> - </w:t>
      </w:r>
      <w:r w:rsidR="000A3C8F">
        <w:t xml:space="preserve"> Court has an inherent jurisdiction to order Security for costs to stop or limit vexatious action.</w:t>
      </w:r>
      <w:r w:rsidR="003C3A45">
        <w:t xml:space="preserve"> </w:t>
      </w:r>
      <w:r>
        <w:t xml:space="preserve">Financial ability of plaintiff to pay costs, relevant where </w:t>
      </w:r>
      <w:r w:rsidR="00B45E3E">
        <w:t>proceedings</w:t>
      </w:r>
      <w:r>
        <w:t xml:space="preserve"> are vexatious - </w:t>
      </w:r>
      <w:r w:rsidRPr="009C68A2">
        <w:rPr>
          <w:i/>
          <w:lang w:val="en-US"/>
        </w:rPr>
        <w:t>Ecker v Dean</w:t>
      </w:r>
      <w:r w:rsidR="009C68A2">
        <w:rPr>
          <w:i/>
          <w:lang w:val="en-US"/>
        </w:rPr>
        <w:t xml:space="preserve"> </w:t>
      </w:r>
      <w:r w:rsidR="009C68A2" w:rsidRPr="009C68A2">
        <w:rPr>
          <w:i/>
          <w:lang w:val="en-US"/>
        </w:rPr>
        <w:t>1937 AD 254</w:t>
      </w:r>
      <w:r w:rsidR="000A3C8F">
        <w:rPr>
          <w:lang w:val="en-US"/>
        </w:rPr>
        <w:t xml:space="preserve"> – Plaintiff a un</w:t>
      </w:r>
      <w:r w:rsidR="003C3A45">
        <w:rPr>
          <w:lang w:val="en-US"/>
        </w:rPr>
        <w:t>-</w:t>
      </w:r>
      <w:r w:rsidR="000A3C8F">
        <w:rPr>
          <w:lang w:val="en-US"/>
        </w:rPr>
        <w:t xml:space="preserve">rehabilitated insolvent – matter remitted to High Court for a decision on the issue as to whether the action was vexatious and if so for the exercise of that Court’s discretion as to whether security should be ordered. </w:t>
      </w:r>
    </w:p>
  </w:footnote>
  <w:footnote w:id="4">
    <w:p w:rsidR="002541F3" w:rsidRPr="002541F3" w:rsidRDefault="002541F3">
      <w:pPr>
        <w:pStyle w:val="FootnoteText"/>
        <w:rPr>
          <w:lang w:val="en-US"/>
        </w:rPr>
      </w:pPr>
      <w:r>
        <w:rPr>
          <w:rStyle w:val="FootnoteReference"/>
        </w:rPr>
        <w:footnoteRef/>
      </w:r>
      <w:r>
        <w:t xml:space="preserve"> </w:t>
      </w:r>
      <w:r w:rsidRPr="002541F3">
        <w:rPr>
          <w:i/>
        </w:rPr>
        <w:t xml:space="preserve">Alex Kamwi </w:t>
      </w:r>
      <w:proofErr w:type="spellStart"/>
      <w:r w:rsidRPr="002541F3">
        <w:rPr>
          <w:i/>
        </w:rPr>
        <w:t>Kamwi</w:t>
      </w:r>
      <w:proofErr w:type="spellEnd"/>
      <w:r w:rsidRPr="002541F3">
        <w:rPr>
          <w:i/>
        </w:rPr>
        <w:t xml:space="preserve"> v S </w:t>
      </w:r>
      <w:r w:rsidRPr="002541F3">
        <w:t>(HC-MD-CIV-ACT-OTH-2017/01050) [2017] NAHCMD 339 (28 November 2017)</w:t>
      </w:r>
    </w:p>
  </w:footnote>
  <w:footnote w:id="5">
    <w:p w:rsidR="000C4B0E" w:rsidRPr="000C4B0E" w:rsidRDefault="000C4B0E">
      <w:pPr>
        <w:pStyle w:val="FootnoteText"/>
        <w:rPr>
          <w:lang w:val="en-US"/>
        </w:rPr>
      </w:pPr>
      <w:r w:rsidRPr="009C68A2">
        <w:rPr>
          <w:rStyle w:val="FootnoteReference"/>
          <w:i/>
        </w:rPr>
        <w:footnoteRef/>
      </w:r>
      <w:r w:rsidRPr="009C68A2">
        <w:rPr>
          <w:i/>
        </w:rPr>
        <w:t xml:space="preserve"> </w:t>
      </w:r>
      <w:r w:rsidRPr="009C68A2">
        <w:rPr>
          <w:i/>
          <w:lang w:val="en-US"/>
        </w:rPr>
        <w:t>Kamwi v Standard Bank Namibia (Ltd) and 2 Others, Case NO A101/2011 [2019] NAHCMD 113 (17 April 2019</w:t>
      </w:r>
      <w:r>
        <w:rPr>
          <w:lang w:val="en-US"/>
        </w:rPr>
        <w:t>)</w:t>
      </w:r>
    </w:p>
  </w:footnote>
  <w:footnote w:id="6">
    <w:p w:rsidR="008B44EC" w:rsidRPr="008B44EC" w:rsidRDefault="008B44EC">
      <w:pPr>
        <w:pStyle w:val="FootnoteText"/>
        <w:rPr>
          <w:lang w:val="en-US"/>
        </w:rPr>
      </w:pPr>
      <w:r>
        <w:rPr>
          <w:rStyle w:val="FootnoteReference"/>
        </w:rPr>
        <w:footnoteRef/>
      </w:r>
      <w:r>
        <w:t xml:space="preserve"> </w:t>
      </w:r>
      <w:r w:rsidRPr="008B44EC">
        <w:t>2011 (2) NR 537 (HC)</w:t>
      </w:r>
      <w:r>
        <w:t xml:space="preserve"> </w:t>
      </w:r>
    </w:p>
  </w:footnote>
  <w:footnote w:id="7">
    <w:p w:rsidR="009C6660" w:rsidRPr="009C6660" w:rsidRDefault="009C6660">
      <w:pPr>
        <w:pStyle w:val="FootnoteText"/>
        <w:rPr>
          <w:lang w:val="en-US"/>
        </w:rPr>
      </w:pPr>
      <w:r>
        <w:rPr>
          <w:rStyle w:val="FootnoteReference"/>
        </w:rPr>
        <w:footnoteRef/>
      </w:r>
      <w:r>
        <w:t xml:space="preserve"> See </w:t>
      </w:r>
      <w:proofErr w:type="spellStart"/>
      <w:r w:rsidRPr="009C6660">
        <w:rPr>
          <w:i/>
        </w:rPr>
        <w:t>Namoloh</w:t>
      </w:r>
      <w:proofErr w:type="spellEnd"/>
      <w:r w:rsidRPr="009C6660">
        <w:rPr>
          <w:i/>
        </w:rPr>
        <w:t xml:space="preserve"> v Prosecutor-General of Namibia </w:t>
      </w:r>
      <w:r w:rsidRPr="009C6660">
        <w:t>(HC-MD-CIV-MOT-GEN-2017/00404) [2019] NAHCMD 65 (29 January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43230"/>
      <w:docPartObj>
        <w:docPartGallery w:val="Page Numbers (Top of Page)"/>
        <w:docPartUnique/>
      </w:docPartObj>
    </w:sdtPr>
    <w:sdtEndPr>
      <w:rPr>
        <w:noProof/>
      </w:rPr>
    </w:sdtEndPr>
    <w:sdtContent>
      <w:p w:rsidR="00BB1DD7" w:rsidRDefault="00BB1DD7">
        <w:pPr>
          <w:pStyle w:val="Header"/>
          <w:jc w:val="right"/>
        </w:pPr>
        <w:r>
          <w:fldChar w:fldCharType="begin"/>
        </w:r>
        <w:r>
          <w:instrText xml:space="preserve"> PAGE   \* MERGEFORMAT </w:instrText>
        </w:r>
        <w:r>
          <w:fldChar w:fldCharType="separate"/>
        </w:r>
        <w:r w:rsidR="00EF4957">
          <w:rPr>
            <w:noProof/>
          </w:rPr>
          <w:t>2</w:t>
        </w:r>
        <w:r>
          <w:rPr>
            <w:noProof/>
          </w:rPr>
          <w:fldChar w:fldCharType="end"/>
        </w:r>
      </w:p>
    </w:sdtContent>
  </w:sdt>
  <w:p w:rsidR="00BB1DD7" w:rsidRDefault="00BB1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0EA6"/>
    <w:multiLevelType w:val="hybridMultilevel"/>
    <w:tmpl w:val="ADA0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62A97"/>
    <w:multiLevelType w:val="hybridMultilevel"/>
    <w:tmpl w:val="01A0B062"/>
    <w:lvl w:ilvl="0" w:tplc="66984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197EDA"/>
    <w:multiLevelType w:val="hybridMultilevel"/>
    <w:tmpl w:val="6C8E0F76"/>
    <w:lvl w:ilvl="0" w:tplc="25F44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60866"/>
    <w:multiLevelType w:val="hybridMultilevel"/>
    <w:tmpl w:val="F496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14"/>
    <w:rsid w:val="0000081B"/>
    <w:rsid w:val="00005999"/>
    <w:rsid w:val="0001285C"/>
    <w:rsid w:val="00012BE8"/>
    <w:rsid w:val="00016488"/>
    <w:rsid w:val="00045A14"/>
    <w:rsid w:val="00063D95"/>
    <w:rsid w:val="000A3C8F"/>
    <w:rsid w:val="000A4A2C"/>
    <w:rsid w:val="000B17D4"/>
    <w:rsid w:val="000B540D"/>
    <w:rsid w:val="000C4B0E"/>
    <w:rsid w:val="001005B7"/>
    <w:rsid w:val="0019208C"/>
    <w:rsid w:val="001D32EB"/>
    <w:rsid w:val="00205A3D"/>
    <w:rsid w:val="0023295F"/>
    <w:rsid w:val="002541F3"/>
    <w:rsid w:val="00281357"/>
    <w:rsid w:val="00282754"/>
    <w:rsid w:val="002901D9"/>
    <w:rsid w:val="002C373C"/>
    <w:rsid w:val="00303846"/>
    <w:rsid w:val="00306D85"/>
    <w:rsid w:val="00350C4E"/>
    <w:rsid w:val="003A131B"/>
    <w:rsid w:val="003C3A45"/>
    <w:rsid w:val="003D7886"/>
    <w:rsid w:val="003F71B0"/>
    <w:rsid w:val="004160BE"/>
    <w:rsid w:val="0042509F"/>
    <w:rsid w:val="004975E0"/>
    <w:rsid w:val="004B49FF"/>
    <w:rsid w:val="00503151"/>
    <w:rsid w:val="005310D4"/>
    <w:rsid w:val="00551EE4"/>
    <w:rsid w:val="005762A9"/>
    <w:rsid w:val="00576320"/>
    <w:rsid w:val="00597909"/>
    <w:rsid w:val="005D09C1"/>
    <w:rsid w:val="006239EC"/>
    <w:rsid w:val="00623DB0"/>
    <w:rsid w:val="00634669"/>
    <w:rsid w:val="006538AF"/>
    <w:rsid w:val="00656D4A"/>
    <w:rsid w:val="00686613"/>
    <w:rsid w:val="006B77FD"/>
    <w:rsid w:val="006D184B"/>
    <w:rsid w:val="006E1CFC"/>
    <w:rsid w:val="00706900"/>
    <w:rsid w:val="00714AA4"/>
    <w:rsid w:val="00790152"/>
    <w:rsid w:val="007A7A03"/>
    <w:rsid w:val="007B6574"/>
    <w:rsid w:val="007E0C30"/>
    <w:rsid w:val="008226A8"/>
    <w:rsid w:val="00833863"/>
    <w:rsid w:val="00836CC2"/>
    <w:rsid w:val="008714A5"/>
    <w:rsid w:val="008A5BE9"/>
    <w:rsid w:val="008B44EC"/>
    <w:rsid w:val="008D19E3"/>
    <w:rsid w:val="00962958"/>
    <w:rsid w:val="00986159"/>
    <w:rsid w:val="009C5952"/>
    <w:rsid w:val="009C6660"/>
    <w:rsid w:val="009C68A2"/>
    <w:rsid w:val="009E0F52"/>
    <w:rsid w:val="009E15C7"/>
    <w:rsid w:val="00A20F52"/>
    <w:rsid w:val="00AD7758"/>
    <w:rsid w:val="00AE48C0"/>
    <w:rsid w:val="00AF038D"/>
    <w:rsid w:val="00B01B1C"/>
    <w:rsid w:val="00B33A14"/>
    <w:rsid w:val="00B45E3E"/>
    <w:rsid w:val="00BB1DD7"/>
    <w:rsid w:val="00C03560"/>
    <w:rsid w:val="00C16EA0"/>
    <w:rsid w:val="00C44F24"/>
    <w:rsid w:val="00C47DBD"/>
    <w:rsid w:val="00C548D9"/>
    <w:rsid w:val="00CC77BC"/>
    <w:rsid w:val="00CD50B6"/>
    <w:rsid w:val="00D02D9B"/>
    <w:rsid w:val="00DA0D33"/>
    <w:rsid w:val="00DB5AC8"/>
    <w:rsid w:val="00DC0C09"/>
    <w:rsid w:val="00DC5A65"/>
    <w:rsid w:val="00E14037"/>
    <w:rsid w:val="00E307A5"/>
    <w:rsid w:val="00E451AD"/>
    <w:rsid w:val="00E945FA"/>
    <w:rsid w:val="00ED1C4E"/>
    <w:rsid w:val="00ED718D"/>
    <w:rsid w:val="00EE07FF"/>
    <w:rsid w:val="00EF4957"/>
    <w:rsid w:val="00F12941"/>
    <w:rsid w:val="00F310A5"/>
    <w:rsid w:val="00F35977"/>
    <w:rsid w:val="00F7762E"/>
    <w:rsid w:val="00F85077"/>
    <w:rsid w:val="00FB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8268F-8764-4FB1-99CB-AE4F1AE6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A1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5A1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5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14"/>
    <w:rPr>
      <w:lang w:val="en-ZA"/>
    </w:rPr>
  </w:style>
  <w:style w:type="paragraph" w:styleId="ListParagraph">
    <w:name w:val="List Paragraph"/>
    <w:basedOn w:val="Normal"/>
    <w:uiPriority w:val="34"/>
    <w:qFormat/>
    <w:rsid w:val="00045A14"/>
    <w:pPr>
      <w:ind w:left="720"/>
      <w:contextualSpacing/>
    </w:pPr>
  </w:style>
  <w:style w:type="paragraph" w:styleId="FootnoteText">
    <w:name w:val="footnote text"/>
    <w:basedOn w:val="Normal"/>
    <w:link w:val="FootnoteTextChar"/>
    <w:uiPriority w:val="99"/>
    <w:semiHidden/>
    <w:unhideWhenUsed/>
    <w:rsid w:val="00045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A14"/>
    <w:rPr>
      <w:sz w:val="20"/>
      <w:szCs w:val="20"/>
      <w:lang w:val="en-ZA"/>
    </w:rPr>
  </w:style>
  <w:style w:type="character" w:styleId="FootnoteReference">
    <w:name w:val="footnote reference"/>
    <w:basedOn w:val="DefaultParagraphFont"/>
    <w:uiPriority w:val="99"/>
    <w:semiHidden/>
    <w:unhideWhenUsed/>
    <w:rsid w:val="00045A14"/>
    <w:rPr>
      <w:vertAlign w:val="superscript"/>
    </w:rPr>
  </w:style>
  <w:style w:type="paragraph" w:styleId="BalloonText">
    <w:name w:val="Balloon Text"/>
    <w:basedOn w:val="Normal"/>
    <w:link w:val="BalloonTextChar"/>
    <w:uiPriority w:val="99"/>
    <w:semiHidden/>
    <w:unhideWhenUsed/>
    <w:rsid w:val="003C3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45"/>
    <w:rPr>
      <w:rFonts w:ascii="Segoe UI" w:hAnsi="Segoe UI" w:cs="Segoe UI"/>
      <w:sz w:val="18"/>
      <w:szCs w:val="18"/>
      <w:lang w:val="en-ZA"/>
    </w:rPr>
  </w:style>
  <w:style w:type="paragraph" w:styleId="Header">
    <w:name w:val="header"/>
    <w:basedOn w:val="Normal"/>
    <w:link w:val="HeaderChar"/>
    <w:uiPriority w:val="99"/>
    <w:unhideWhenUsed/>
    <w:rsid w:val="00BB1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DD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2020-01-23T18:30:00+00:00</Judgment_x0020_Date>
    <Year xmlns="c1afb1bd-f2fb-40fd-9abb-aea55b4d7662">2020</Year>
  </documentManagement>
</p:properties>
</file>

<file path=customXml/itemProps1.xml><?xml version="1.0" encoding="utf-8"?>
<ds:datastoreItem xmlns:ds="http://schemas.openxmlformats.org/officeDocument/2006/customXml" ds:itemID="{BAD52CB2-5763-4EEF-8892-7EA6469AF24B}"/>
</file>

<file path=customXml/itemProps2.xml><?xml version="1.0" encoding="utf-8"?>
<ds:datastoreItem xmlns:ds="http://schemas.openxmlformats.org/officeDocument/2006/customXml" ds:itemID="{7802D377-2B7C-458A-A8FF-261948CC84AF}"/>
</file>

<file path=customXml/itemProps3.xml><?xml version="1.0" encoding="utf-8"?>
<ds:datastoreItem xmlns:ds="http://schemas.openxmlformats.org/officeDocument/2006/customXml" ds:itemID="{D96C76CD-D400-4D2C-BC4B-56C501DEAA35}"/>
</file>

<file path=customXml/itemProps4.xml><?xml version="1.0" encoding="utf-8"?>
<ds:datastoreItem xmlns:ds="http://schemas.openxmlformats.org/officeDocument/2006/customXml" ds:itemID="{A7F9D44E-EDD6-46BC-B2BA-8F7EBA3D1162}"/>
</file>

<file path=docProps/app.xml><?xml version="1.0" encoding="utf-8"?>
<Properties xmlns="http://schemas.openxmlformats.org/officeDocument/2006/extended-properties" xmlns:vt="http://schemas.openxmlformats.org/officeDocument/2006/docPropsVTypes">
  <Template>Normal</Template>
  <TotalTime>4</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Nambahu</dc:creator>
  <cp:lastModifiedBy>Lotta N. Ambunda</cp:lastModifiedBy>
  <cp:revision>4</cp:revision>
  <cp:lastPrinted>2020-01-28T12:37:00Z</cp:lastPrinted>
  <dcterms:created xsi:type="dcterms:W3CDTF">2020-03-11T12:44:00Z</dcterms:created>
  <dcterms:modified xsi:type="dcterms:W3CDTF">2020-03-11T12:48:00Z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