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B5" w:rsidRPr="008E1E24" w:rsidRDefault="00D26CB5" w:rsidP="00D26CB5">
      <w:pPr>
        <w:spacing w:after="0" w:line="240" w:lineRule="auto"/>
        <w:jc w:val="center"/>
        <w:rPr>
          <w:rFonts w:ascii="Arial Narrow" w:hAnsi="Arial Narrow"/>
          <w:sz w:val="24"/>
          <w:szCs w:val="24"/>
        </w:rPr>
      </w:pPr>
      <w:r w:rsidRPr="008E1E24">
        <w:rPr>
          <w:rFonts w:ascii="Arial Narrow" w:hAnsi="Arial Narrow"/>
          <w:sz w:val="24"/>
          <w:szCs w:val="24"/>
        </w:rPr>
        <w:t>“ANNEXURE 11”</w:t>
      </w:r>
    </w:p>
    <w:p w:rsidR="00D26CB5" w:rsidRPr="008E1E24" w:rsidRDefault="00D26CB5" w:rsidP="00D26CB5">
      <w:pPr>
        <w:spacing w:after="0" w:line="240" w:lineRule="auto"/>
        <w:jc w:val="center"/>
        <w:rPr>
          <w:rFonts w:ascii="Arial Narrow" w:hAnsi="Arial Narrow"/>
          <w:sz w:val="24"/>
          <w:szCs w:val="24"/>
        </w:rPr>
      </w:pPr>
      <w:r w:rsidRPr="008E1E24">
        <w:rPr>
          <w:rFonts w:ascii="Arial Narrow" w:hAnsi="Arial Narrow"/>
          <w:sz w:val="24"/>
          <w:szCs w:val="24"/>
        </w:rPr>
        <w:t>Practice Directive 61</w:t>
      </w:r>
    </w:p>
    <w:p w:rsidR="00D26CB5" w:rsidRPr="008E1E24" w:rsidRDefault="00D26CB5" w:rsidP="00D26CB5">
      <w:pPr>
        <w:spacing w:after="0" w:line="360" w:lineRule="auto"/>
        <w:jc w:val="both"/>
        <w:rPr>
          <w:rFonts w:ascii="Arial Narrow" w:hAnsi="Arial Narrow"/>
          <w:sz w:val="24"/>
          <w:szCs w:val="24"/>
        </w:rPr>
      </w:pPr>
    </w:p>
    <w:p w:rsidR="00D26CB5" w:rsidRPr="008E1E24" w:rsidRDefault="00D26CB5" w:rsidP="00D26CB5">
      <w:pPr>
        <w:spacing w:after="0" w:line="360" w:lineRule="auto"/>
        <w:jc w:val="center"/>
        <w:rPr>
          <w:rFonts w:ascii="Arial Narrow" w:hAnsi="Arial Narrow"/>
          <w:b/>
          <w:sz w:val="24"/>
          <w:szCs w:val="24"/>
        </w:rPr>
      </w:pPr>
      <w:r w:rsidRPr="008E1E24">
        <w:rPr>
          <w:rFonts w:ascii="Arial Narrow" w:hAnsi="Arial Narrow"/>
          <w:b/>
          <w:sz w:val="24"/>
          <w:szCs w:val="24"/>
        </w:rPr>
        <w:t>IN THE HIGH COURT OF NAMIBIA</w:t>
      </w:r>
    </w:p>
    <w:p w:rsidR="00D26CB5" w:rsidRPr="008E1E24" w:rsidRDefault="00D26CB5" w:rsidP="00D26CB5">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D26CB5" w:rsidRPr="008E1E24" w:rsidTr="0092129C">
        <w:trPr>
          <w:trHeight w:val="744"/>
        </w:trPr>
        <w:tc>
          <w:tcPr>
            <w:tcW w:w="5397" w:type="dxa"/>
            <w:gridSpan w:val="2"/>
            <w:vMerge w:val="restart"/>
          </w:tcPr>
          <w:p w:rsidR="00D26CB5" w:rsidRPr="008E1E24" w:rsidRDefault="00D26CB5" w:rsidP="0092129C">
            <w:pPr>
              <w:spacing w:line="360" w:lineRule="auto"/>
              <w:jc w:val="both"/>
              <w:rPr>
                <w:rFonts w:ascii="Arial Narrow" w:hAnsi="Arial Narrow" w:cs="Arial"/>
                <w:sz w:val="24"/>
                <w:szCs w:val="24"/>
              </w:rPr>
            </w:pPr>
            <w:r w:rsidRPr="008E1E24">
              <w:rPr>
                <w:rFonts w:ascii="Arial Narrow" w:hAnsi="Arial Narrow" w:cs="Arial"/>
                <w:b/>
                <w:sz w:val="24"/>
                <w:szCs w:val="24"/>
              </w:rPr>
              <w:t>Case Title:</w:t>
            </w:r>
          </w:p>
          <w:p w:rsidR="00D26CB5" w:rsidRPr="004243C1" w:rsidRDefault="00054111" w:rsidP="00AC02F9">
            <w:pPr>
              <w:spacing w:line="360" w:lineRule="auto"/>
              <w:jc w:val="both"/>
              <w:rPr>
                <w:rFonts w:ascii="Arial Narrow" w:hAnsi="Arial Narrow" w:cs="Arial"/>
                <w:sz w:val="24"/>
                <w:szCs w:val="24"/>
              </w:rPr>
            </w:pPr>
            <w:r w:rsidRPr="004243C1">
              <w:rPr>
                <w:rFonts w:ascii="Arial Narrow" w:hAnsi="Arial Narrow" w:cs="Arial"/>
                <w:sz w:val="24"/>
                <w:szCs w:val="24"/>
              </w:rPr>
              <w:t>WILLEM ABRAHAM FOURIE v MARRELI FOURIE (BORN COCKLIN)</w:t>
            </w:r>
            <w:r w:rsidR="00E1373D">
              <w:rPr>
                <w:rFonts w:ascii="Arial Narrow" w:hAnsi="Arial Narrow" w:cs="Arial"/>
                <w:sz w:val="24"/>
                <w:szCs w:val="24"/>
              </w:rPr>
              <w:t>; ETZ</w:t>
            </w:r>
            <w:r w:rsidR="00893FCC">
              <w:rPr>
                <w:rFonts w:ascii="Arial Narrow" w:hAnsi="Arial Narrow" w:cs="Arial"/>
                <w:sz w:val="24"/>
                <w:szCs w:val="24"/>
              </w:rPr>
              <w:t>OLD-</w:t>
            </w:r>
            <w:r w:rsidR="004B5768" w:rsidRPr="004243C1">
              <w:rPr>
                <w:rFonts w:ascii="Arial Narrow" w:hAnsi="Arial Narrow" w:cs="Arial"/>
                <w:sz w:val="24"/>
                <w:szCs w:val="24"/>
              </w:rPr>
              <w:t xml:space="preserve">DUVENAGE; AND HANELIE DUVENAGE </w:t>
            </w:r>
            <w:r w:rsidR="000131D4" w:rsidRPr="004243C1">
              <w:rPr>
                <w:rFonts w:ascii="Arial Narrow" w:hAnsi="Arial Narrow" w:cs="Arial"/>
                <w:sz w:val="24"/>
                <w:szCs w:val="24"/>
              </w:rPr>
              <w:t xml:space="preserve"> </w:t>
            </w:r>
          </w:p>
        </w:tc>
        <w:tc>
          <w:tcPr>
            <w:tcW w:w="4323" w:type="dxa"/>
          </w:tcPr>
          <w:p w:rsidR="00D26CB5" w:rsidRPr="008E1E24" w:rsidRDefault="00D26CB5" w:rsidP="0092129C">
            <w:pPr>
              <w:spacing w:line="360" w:lineRule="auto"/>
              <w:jc w:val="both"/>
              <w:rPr>
                <w:rFonts w:ascii="Arial Narrow" w:hAnsi="Arial Narrow" w:cs="Arial"/>
                <w:sz w:val="24"/>
                <w:szCs w:val="24"/>
              </w:rPr>
            </w:pPr>
            <w:r w:rsidRPr="008E1E24">
              <w:rPr>
                <w:rFonts w:ascii="Arial Narrow" w:hAnsi="Arial Narrow" w:cs="Arial"/>
                <w:b/>
                <w:sz w:val="24"/>
                <w:szCs w:val="24"/>
              </w:rPr>
              <w:t>Case No:</w:t>
            </w:r>
          </w:p>
          <w:p w:rsidR="00D26CB5" w:rsidRPr="004243C1" w:rsidRDefault="000131D4" w:rsidP="0092129C">
            <w:pPr>
              <w:spacing w:line="360" w:lineRule="auto"/>
              <w:jc w:val="both"/>
              <w:rPr>
                <w:rFonts w:ascii="Arial Narrow" w:hAnsi="Arial Narrow" w:cs="Arial"/>
                <w:b/>
                <w:sz w:val="24"/>
                <w:szCs w:val="24"/>
              </w:rPr>
            </w:pPr>
            <w:r w:rsidRPr="004243C1">
              <w:rPr>
                <w:rFonts w:ascii="Arial Narrow" w:hAnsi="Arial Narrow" w:cs="Arial"/>
                <w:sz w:val="24"/>
                <w:szCs w:val="24"/>
              </w:rPr>
              <w:t>HC-MD-CIV-ACT-OTH-2019/03172</w:t>
            </w:r>
          </w:p>
        </w:tc>
      </w:tr>
      <w:tr w:rsidR="00D26CB5" w:rsidRPr="008E1E24" w:rsidTr="0092129C">
        <w:trPr>
          <w:trHeight w:val="844"/>
        </w:trPr>
        <w:tc>
          <w:tcPr>
            <w:tcW w:w="5397" w:type="dxa"/>
            <w:gridSpan w:val="2"/>
            <w:vMerge/>
          </w:tcPr>
          <w:p w:rsidR="00D26CB5" w:rsidRPr="008E1E24" w:rsidRDefault="00D26CB5" w:rsidP="0092129C">
            <w:pPr>
              <w:spacing w:line="360" w:lineRule="auto"/>
              <w:jc w:val="both"/>
              <w:rPr>
                <w:rFonts w:ascii="Arial Narrow" w:hAnsi="Arial Narrow" w:cs="Arial"/>
                <w:sz w:val="24"/>
                <w:szCs w:val="24"/>
              </w:rPr>
            </w:pPr>
          </w:p>
        </w:tc>
        <w:tc>
          <w:tcPr>
            <w:tcW w:w="4323" w:type="dxa"/>
          </w:tcPr>
          <w:p w:rsidR="00D26CB5" w:rsidRPr="008E1E24" w:rsidRDefault="00D26CB5" w:rsidP="0092129C">
            <w:pPr>
              <w:spacing w:line="360" w:lineRule="auto"/>
              <w:jc w:val="both"/>
              <w:rPr>
                <w:rFonts w:ascii="Arial Narrow" w:hAnsi="Arial Narrow" w:cs="Arial"/>
                <w:sz w:val="24"/>
                <w:szCs w:val="24"/>
              </w:rPr>
            </w:pPr>
            <w:r w:rsidRPr="008E1E24">
              <w:rPr>
                <w:rFonts w:ascii="Arial Narrow" w:hAnsi="Arial Narrow" w:cs="Arial"/>
                <w:b/>
                <w:sz w:val="24"/>
                <w:szCs w:val="24"/>
              </w:rPr>
              <w:t>Division of Court:</w:t>
            </w:r>
          </w:p>
          <w:p w:rsidR="00D26CB5" w:rsidRPr="008E1E24" w:rsidRDefault="00D67EBE" w:rsidP="000A684E">
            <w:pPr>
              <w:spacing w:line="360" w:lineRule="auto"/>
              <w:jc w:val="both"/>
              <w:rPr>
                <w:rFonts w:ascii="Arial Narrow" w:hAnsi="Arial Narrow" w:cs="Arial"/>
                <w:sz w:val="24"/>
                <w:szCs w:val="24"/>
              </w:rPr>
            </w:pPr>
            <w:r w:rsidRPr="008E1E24">
              <w:rPr>
                <w:rFonts w:ascii="Arial Narrow" w:hAnsi="Arial Narrow" w:cs="Arial"/>
                <w:sz w:val="24"/>
                <w:szCs w:val="24"/>
              </w:rPr>
              <w:t>MAIN DIVISION</w:t>
            </w:r>
          </w:p>
        </w:tc>
      </w:tr>
      <w:tr w:rsidR="00D26CB5" w:rsidRPr="008E1E24" w:rsidTr="0092129C">
        <w:trPr>
          <w:trHeight w:val="645"/>
        </w:trPr>
        <w:tc>
          <w:tcPr>
            <w:tcW w:w="5397" w:type="dxa"/>
            <w:gridSpan w:val="2"/>
            <w:vMerge w:val="restart"/>
          </w:tcPr>
          <w:p w:rsidR="00D26CB5" w:rsidRPr="008E1E24" w:rsidRDefault="00371056" w:rsidP="0092129C">
            <w:pPr>
              <w:spacing w:line="360" w:lineRule="auto"/>
              <w:jc w:val="both"/>
              <w:rPr>
                <w:rFonts w:ascii="Arial Narrow" w:hAnsi="Arial Narrow" w:cs="Arial"/>
                <w:b/>
                <w:sz w:val="24"/>
                <w:szCs w:val="24"/>
              </w:rPr>
            </w:pPr>
            <w:r w:rsidRPr="008E1E24">
              <w:rPr>
                <w:rFonts w:ascii="Arial Narrow" w:hAnsi="Arial Narrow" w:cs="Arial"/>
                <w:b/>
                <w:sz w:val="24"/>
                <w:szCs w:val="24"/>
              </w:rPr>
              <w:t>Heard before</w:t>
            </w:r>
          </w:p>
          <w:p w:rsidR="00371056" w:rsidRPr="0047532C" w:rsidRDefault="0086662D" w:rsidP="0092129C">
            <w:pPr>
              <w:spacing w:line="360" w:lineRule="auto"/>
              <w:jc w:val="both"/>
              <w:rPr>
                <w:rFonts w:ascii="Arial Narrow" w:hAnsi="Arial Narrow" w:cs="Arial"/>
                <w:sz w:val="24"/>
                <w:szCs w:val="24"/>
              </w:rPr>
            </w:pPr>
            <w:r>
              <w:rPr>
                <w:rFonts w:ascii="Arial Narrow" w:hAnsi="Arial Narrow" w:cs="Arial"/>
                <w:sz w:val="24"/>
                <w:szCs w:val="24"/>
              </w:rPr>
              <w:t>TOMMASI J</w:t>
            </w:r>
          </w:p>
        </w:tc>
        <w:tc>
          <w:tcPr>
            <w:tcW w:w="4323" w:type="dxa"/>
          </w:tcPr>
          <w:p w:rsidR="00D26CB5" w:rsidRPr="008E1E24" w:rsidRDefault="00D26CB5" w:rsidP="0092129C">
            <w:pPr>
              <w:spacing w:line="360" w:lineRule="auto"/>
              <w:jc w:val="both"/>
              <w:rPr>
                <w:rFonts w:ascii="Arial Narrow" w:hAnsi="Arial Narrow" w:cs="Arial"/>
                <w:b/>
                <w:sz w:val="24"/>
                <w:szCs w:val="24"/>
              </w:rPr>
            </w:pPr>
            <w:r w:rsidRPr="008E1E24">
              <w:rPr>
                <w:rFonts w:ascii="Arial Narrow" w:hAnsi="Arial Narrow" w:cs="Arial"/>
                <w:b/>
                <w:sz w:val="24"/>
                <w:szCs w:val="24"/>
              </w:rPr>
              <w:t>Date of hearing:</w:t>
            </w:r>
          </w:p>
          <w:p w:rsidR="00D26CB5" w:rsidRPr="008E1E24" w:rsidRDefault="00CF1982" w:rsidP="004243C1">
            <w:pPr>
              <w:spacing w:line="360" w:lineRule="auto"/>
              <w:rPr>
                <w:rFonts w:ascii="Arial Narrow" w:hAnsi="Arial Narrow" w:cs="Arial"/>
                <w:sz w:val="24"/>
                <w:szCs w:val="24"/>
              </w:rPr>
            </w:pPr>
            <w:r>
              <w:rPr>
                <w:rFonts w:ascii="Arial Narrow" w:hAnsi="Arial Narrow" w:cs="Arial"/>
                <w:sz w:val="24"/>
                <w:szCs w:val="24"/>
              </w:rPr>
              <w:t>0</w:t>
            </w:r>
            <w:r w:rsidR="000131D4">
              <w:rPr>
                <w:rFonts w:ascii="Arial Narrow" w:hAnsi="Arial Narrow" w:cs="Arial"/>
                <w:sz w:val="24"/>
                <w:szCs w:val="24"/>
              </w:rPr>
              <w:t>4</w:t>
            </w:r>
            <w:r w:rsidR="004243C1">
              <w:rPr>
                <w:rFonts w:ascii="Arial Narrow" w:hAnsi="Arial Narrow" w:cs="Arial"/>
                <w:sz w:val="24"/>
                <w:szCs w:val="24"/>
              </w:rPr>
              <w:t xml:space="preserve"> </w:t>
            </w:r>
            <w:r w:rsidR="000131D4">
              <w:rPr>
                <w:rFonts w:ascii="Arial Narrow" w:hAnsi="Arial Narrow" w:cs="Arial"/>
                <w:sz w:val="24"/>
                <w:szCs w:val="24"/>
              </w:rPr>
              <w:t xml:space="preserve">June </w:t>
            </w:r>
            <w:r>
              <w:rPr>
                <w:rFonts w:ascii="Arial Narrow" w:hAnsi="Arial Narrow" w:cs="Arial"/>
                <w:sz w:val="24"/>
                <w:szCs w:val="24"/>
              </w:rPr>
              <w:t xml:space="preserve"> 2020</w:t>
            </w:r>
          </w:p>
        </w:tc>
      </w:tr>
      <w:tr w:rsidR="00D26CB5" w:rsidRPr="008E1E24" w:rsidTr="0092129C">
        <w:trPr>
          <w:trHeight w:val="588"/>
        </w:trPr>
        <w:tc>
          <w:tcPr>
            <w:tcW w:w="5397" w:type="dxa"/>
            <w:gridSpan w:val="2"/>
            <w:vMerge/>
          </w:tcPr>
          <w:p w:rsidR="00D26CB5" w:rsidRPr="008E1E24" w:rsidRDefault="00D26CB5" w:rsidP="0092129C">
            <w:pPr>
              <w:spacing w:line="360" w:lineRule="auto"/>
              <w:jc w:val="both"/>
              <w:rPr>
                <w:rFonts w:ascii="Arial Narrow" w:hAnsi="Arial Narrow" w:cs="Arial"/>
                <w:b/>
                <w:sz w:val="24"/>
                <w:szCs w:val="24"/>
              </w:rPr>
            </w:pPr>
          </w:p>
        </w:tc>
        <w:tc>
          <w:tcPr>
            <w:tcW w:w="4323" w:type="dxa"/>
          </w:tcPr>
          <w:p w:rsidR="00D26CB5" w:rsidRPr="008E1E24" w:rsidRDefault="00D26CB5" w:rsidP="006C2F1D">
            <w:pPr>
              <w:spacing w:line="360" w:lineRule="auto"/>
              <w:jc w:val="both"/>
              <w:rPr>
                <w:rFonts w:ascii="Arial Narrow" w:hAnsi="Arial Narrow" w:cs="Arial"/>
                <w:b/>
                <w:sz w:val="24"/>
                <w:szCs w:val="24"/>
              </w:rPr>
            </w:pPr>
            <w:r w:rsidRPr="008E1E24">
              <w:rPr>
                <w:rFonts w:ascii="Arial Narrow" w:hAnsi="Arial Narrow" w:cs="Arial"/>
                <w:b/>
                <w:sz w:val="24"/>
                <w:szCs w:val="24"/>
              </w:rPr>
              <w:t>Delivered on:</w:t>
            </w:r>
          </w:p>
          <w:p w:rsidR="00371056" w:rsidRPr="008E1E24" w:rsidRDefault="004243C1" w:rsidP="000131D4">
            <w:pPr>
              <w:spacing w:line="360" w:lineRule="auto"/>
              <w:jc w:val="both"/>
              <w:rPr>
                <w:rFonts w:ascii="Arial Narrow" w:hAnsi="Arial Narrow" w:cs="Arial"/>
                <w:sz w:val="24"/>
                <w:szCs w:val="24"/>
              </w:rPr>
            </w:pPr>
            <w:r>
              <w:rPr>
                <w:rFonts w:ascii="Arial Narrow" w:hAnsi="Arial Narrow" w:cs="Arial"/>
                <w:sz w:val="24"/>
                <w:szCs w:val="24"/>
              </w:rPr>
              <w:t>29</w:t>
            </w:r>
            <w:r w:rsidR="000131D4">
              <w:rPr>
                <w:rFonts w:ascii="Arial Narrow" w:hAnsi="Arial Narrow" w:cs="Arial"/>
                <w:sz w:val="24"/>
                <w:szCs w:val="24"/>
              </w:rPr>
              <w:t xml:space="preserve"> June </w:t>
            </w:r>
            <w:r w:rsidR="00CF1982">
              <w:rPr>
                <w:rFonts w:ascii="Arial Narrow" w:hAnsi="Arial Narrow" w:cs="Arial"/>
                <w:sz w:val="24"/>
                <w:szCs w:val="24"/>
              </w:rPr>
              <w:t>2020</w:t>
            </w:r>
          </w:p>
        </w:tc>
      </w:tr>
      <w:tr w:rsidR="00D26CB5" w:rsidRPr="008E1E24" w:rsidTr="0092129C">
        <w:tc>
          <w:tcPr>
            <w:tcW w:w="9720" w:type="dxa"/>
            <w:gridSpan w:val="3"/>
          </w:tcPr>
          <w:p w:rsidR="00D26CB5" w:rsidRPr="008E1E24" w:rsidRDefault="0093109A" w:rsidP="006C2F1D">
            <w:pPr>
              <w:pStyle w:val="form-control-static"/>
              <w:shd w:val="clear" w:color="auto" w:fill="FFFFFF"/>
              <w:spacing w:before="0" w:beforeAutospacing="0" w:after="0" w:afterAutospacing="0"/>
              <w:rPr>
                <w:rFonts w:ascii="Arial Narrow" w:hAnsi="Arial Narrow" w:cs="Arial"/>
                <w:color w:val="333333"/>
                <w:shd w:val="clear" w:color="auto" w:fill="FFFFFF"/>
              </w:rPr>
            </w:pPr>
            <w:r>
              <w:rPr>
                <w:rFonts w:ascii="Arial Narrow" w:hAnsi="Arial Narrow" w:cs="Arial"/>
                <w:b/>
              </w:rPr>
              <w:t xml:space="preserve">Neutral citation: </w:t>
            </w:r>
            <w:proofErr w:type="spellStart"/>
            <w:r w:rsidR="000131D4">
              <w:rPr>
                <w:rFonts w:ascii="Arial Narrow" w:hAnsi="Arial Narrow" w:cs="Arial"/>
                <w:i/>
              </w:rPr>
              <w:t>Fourie</w:t>
            </w:r>
            <w:proofErr w:type="spellEnd"/>
            <w:r w:rsidR="000131D4">
              <w:rPr>
                <w:rFonts w:ascii="Arial Narrow" w:hAnsi="Arial Narrow" w:cs="Arial"/>
                <w:i/>
              </w:rPr>
              <w:t xml:space="preserve"> </w:t>
            </w:r>
            <w:r w:rsidR="00BB4ACA">
              <w:rPr>
                <w:rFonts w:ascii="Arial Narrow" w:hAnsi="Arial Narrow" w:cs="Arial"/>
                <w:i/>
              </w:rPr>
              <w:t xml:space="preserve">v </w:t>
            </w:r>
            <w:proofErr w:type="spellStart"/>
            <w:r w:rsidR="003509A0">
              <w:rPr>
                <w:rFonts w:ascii="Arial Narrow" w:hAnsi="Arial Narrow" w:cs="Arial"/>
                <w:i/>
              </w:rPr>
              <w:t>Fourie</w:t>
            </w:r>
            <w:proofErr w:type="spellEnd"/>
            <w:r w:rsidR="003509A0">
              <w:rPr>
                <w:rFonts w:ascii="Arial Narrow" w:hAnsi="Arial Narrow" w:cs="Arial"/>
                <w:i/>
              </w:rPr>
              <w:t xml:space="preserve"> </w:t>
            </w:r>
            <w:r w:rsidR="0086662D">
              <w:rPr>
                <w:rFonts w:ascii="Arial Narrow" w:hAnsi="Arial Narrow" w:cs="Arial"/>
                <w:i/>
                <w:lang w:val="en-ZA"/>
              </w:rPr>
              <w:t xml:space="preserve"> </w:t>
            </w:r>
            <w:r w:rsidR="000D7F0F">
              <w:rPr>
                <w:rFonts w:ascii="Arial Narrow" w:hAnsi="Arial Narrow" w:cs="Arial"/>
                <w:lang w:val="en-ZA"/>
              </w:rPr>
              <w:t>(</w:t>
            </w:r>
            <w:r w:rsidR="0086662D" w:rsidRPr="0086662D">
              <w:rPr>
                <w:rFonts w:ascii="Arial Narrow" w:hAnsi="Arial Narrow" w:cs="Arial"/>
                <w:lang w:val="en-ZA"/>
              </w:rPr>
              <w:t>HC-MD-CIV-ACT-</w:t>
            </w:r>
            <w:r w:rsidR="00BB4ACA">
              <w:rPr>
                <w:rFonts w:ascii="Arial Narrow" w:hAnsi="Arial Narrow" w:cs="Arial"/>
                <w:lang w:val="en-ZA"/>
              </w:rPr>
              <w:t>OTH</w:t>
            </w:r>
            <w:r w:rsidR="0086662D" w:rsidRPr="0086662D">
              <w:rPr>
                <w:rFonts w:ascii="Arial Narrow" w:hAnsi="Arial Narrow" w:cs="Arial"/>
                <w:lang w:val="en-ZA"/>
              </w:rPr>
              <w:t>-201</w:t>
            </w:r>
            <w:r w:rsidR="00BB4ACA">
              <w:rPr>
                <w:rFonts w:ascii="Arial Narrow" w:hAnsi="Arial Narrow" w:cs="Arial"/>
                <w:lang w:val="en-ZA"/>
              </w:rPr>
              <w:t>9</w:t>
            </w:r>
            <w:r w:rsidR="0086662D" w:rsidRPr="0086662D">
              <w:rPr>
                <w:rFonts w:ascii="Arial Narrow" w:hAnsi="Arial Narrow" w:cs="Arial"/>
                <w:lang w:val="en-ZA"/>
              </w:rPr>
              <w:t>/</w:t>
            </w:r>
            <w:r w:rsidR="000131D4">
              <w:rPr>
                <w:rFonts w:ascii="Arial Narrow" w:hAnsi="Arial Narrow" w:cs="Arial"/>
                <w:lang w:val="en-ZA"/>
              </w:rPr>
              <w:t>03172</w:t>
            </w:r>
            <w:r w:rsidR="000D7F0F">
              <w:rPr>
                <w:rFonts w:ascii="Arial Narrow" w:hAnsi="Arial Narrow" w:cs="Arial"/>
                <w:lang w:val="en-ZA"/>
              </w:rPr>
              <w:t>)</w:t>
            </w:r>
            <w:r w:rsidR="0086662D" w:rsidRPr="0086662D">
              <w:rPr>
                <w:rFonts w:ascii="Arial Narrow" w:hAnsi="Arial Narrow" w:cs="Arial"/>
                <w:lang w:val="en-ZA"/>
              </w:rPr>
              <w:t xml:space="preserve"> </w:t>
            </w:r>
            <w:r w:rsidR="000131D4">
              <w:rPr>
                <w:rFonts w:ascii="Arial Narrow" w:hAnsi="Arial Narrow" w:cs="Arial"/>
                <w:lang w:val="en-ZA"/>
              </w:rPr>
              <w:t>[2020</w:t>
            </w:r>
            <w:r>
              <w:rPr>
                <w:rFonts w:ascii="Arial Narrow" w:hAnsi="Arial Narrow" w:cs="Arial"/>
                <w:lang w:val="en-ZA"/>
              </w:rPr>
              <w:t xml:space="preserve">] NAHCMD </w:t>
            </w:r>
            <w:r w:rsidR="004D0233">
              <w:rPr>
                <w:rFonts w:ascii="Arial Narrow" w:hAnsi="Arial Narrow" w:cs="Arial"/>
                <w:lang w:val="en-ZA"/>
              </w:rPr>
              <w:t xml:space="preserve">261 </w:t>
            </w:r>
            <w:r w:rsidR="002B3223">
              <w:rPr>
                <w:rFonts w:ascii="Arial Narrow" w:hAnsi="Arial Narrow" w:cs="Arial"/>
                <w:lang w:val="en-ZA"/>
              </w:rPr>
              <w:t>(</w:t>
            </w:r>
            <w:r w:rsidR="004243C1">
              <w:rPr>
                <w:rFonts w:ascii="Arial Narrow" w:hAnsi="Arial Narrow" w:cs="Arial"/>
                <w:lang w:val="en-ZA"/>
              </w:rPr>
              <w:t>29</w:t>
            </w:r>
            <w:r w:rsidR="000131D4">
              <w:rPr>
                <w:rFonts w:ascii="Arial Narrow" w:hAnsi="Arial Narrow" w:cs="Arial"/>
                <w:lang w:val="en-ZA"/>
              </w:rPr>
              <w:t xml:space="preserve"> June </w:t>
            </w:r>
            <w:r w:rsidR="00BB4ACA">
              <w:rPr>
                <w:rFonts w:ascii="Arial Narrow" w:hAnsi="Arial Narrow" w:cs="Arial"/>
                <w:lang w:val="en-ZA"/>
              </w:rPr>
              <w:t>20</w:t>
            </w:r>
            <w:r w:rsidR="000131D4">
              <w:rPr>
                <w:rFonts w:ascii="Arial Narrow" w:hAnsi="Arial Narrow" w:cs="Arial"/>
                <w:lang w:val="en-ZA"/>
              </w:rPr>
              <w:t>20</w:t>
            </w:r>
            <w:r w:rsidR="00294FF2" w:rsidRPr="00294FF2">
              <w:rPr>
                <w:rFonts w:ascii="Arial Narrow" w:hAnsi="Arial Narrow" w:cs="Arial"/>
                <w:lang w:val="en-ZA"/>
              </w:rPr>
              <w:t>)</w:t>
            </w:r>
          </w:p>
          <w:p w:rsidR="00D67EBE" w:rsidRPr="008E1E24" w:rsidRDefault="00D67EBE" w:rsidP="006C2F1D">
            <w:pPr>
              <w:pStyle w:val="form-control-static"/>
              <w:shd w:val="clear" w:color="auto" w:fill="FFFFFF"/>
              <w:spacing w:before="0" w:beforeAutospacing="0" w:after="0" w:afterAutospacing="0"/>
              <w:rPr>
                <w:rFonts w:ascii="Arial Narrow" w:hAnsi="Arial Narrow" w:cs="Arial"/>
                <w:color w:val="333333"/>
              </w:rPr>
            </w:pPr>
          </w:p>
        </w:tc>
      </w:tr>
      <w:tr w:rsidR="00D26CB5" w:rsidRPr="008E1E24" w:rsidTr="0092129C">
        <w:tc>
          <w:tcPr>
            <w:tcW w:w="9720" w:type="dxa"/>
            <w:gridSpan w:val="3"/>
          </w:tcPr>
          <w:p w:rsidR="00D26CB5" w:rsidRPr="008E1E24" w:rsidRDefault="00D26CB5" w:rsidP="0092129C">
            <w:pPr>
              <w:pStyle w:val="form-control-static"/>
              <w:shd w:val="clear" w:color="auto" w:fill="FFFFFF"/>
              <w:spacing w:before="0" w:beforeAutospacing="0" w:after="0" w:afterAutospacing="0"/>
              <w:rPr>
                <w:rFonts w:ascii="Arial Narrow" w:hAnsi="Arial Narrow" w:cs="Arial"/>
                <w:b/>
              </w:rPr>
            </w:pPr>
            <w:r w:rsidRPr="008E1E24">
              <w:rPr>
                <w:rFonts w:ascii="Arial Narrow" w:hAnsi="Arial Narrow" w:cs="Arial"/>
                <w:b/>
              </w:rPr>
              <w:t>Results on merits:</w:t>
            </w:r>
          </w:p>
          <w:p w:rsidR="00D26CB5" w:rsidRDefault="00FE69D0" w:rsidP="0092129C">
            <w:pPr>
              <w:pStyle w:val="form-control-static"/>
              <w:shd w:val="clear" w:color="auto" w:fill="FFFFFF"/>
              <w:spacing w:before="0" w:beforeAutospacing="0" w:after="0" w:afterAutospacing="0"/>
              <w:rPr>
                <w:rFonts w:ascii="Arial Narrow" w:hAnsi="Arial Narrow" w:cs="Arial"/>
              </w:rPr>
            </w:pPr>
            <w:r w:rsidRPr="008E1E24">
              <w:rPr>
                <w:rFonts w:ascii="Arial Narrow" w:hAnsi="Arial Narrow" w:cs="Arial"/>
              </w:rPr>
              <w:t>Not on</w:t>
            </w:r>
            <w:r w:rsidR="00D26CB5" w:rsidRPr="008E1E24">
              <w:rPr>
                <w:rFonts w:ascii="Arial Narrow" w:hAnsi="Arial Narrow" w:cs="Arial"/>
              </w:rPr>
              <w:t xml:space="preserve"> the merits.</w:t>
            </w:r>
          </w:p>
          <w:p w:rsidR="004116E1" w:rsidRPr="008E1E24" w:rsidRDefault="004116E1" w:rsidP="0092129C">
            <w:pPr>
              <w:pStyle w:val="form-control-static"/>
              <w:shd w:val="clear" w:color="auto" w:fill="FFFFFF"/>
              <w:spacing w:before="0" w:beforeAutospacing="0" w:after="0" w:afterAutospacing="0"/>
              <w:rPr>
                <w:rFonts w:ascii="Arial Narrow" w:hAnsi="Arial Narrow" w:cs="Arial"/>
              </w:rPr>
            </w:pPr>
          </w:p>
        </w:tc>
      </w:tr>
      <w:tr w:rsidR="00D26CB5" w:rsidRPr="008E1E24" w:rsidTr="0092129C">
        <w:tc>
          <w:tcPr>
            <w:tcW w:w="9720" w:type="dxa"/>
            <w:gridSpan w:val="3"/>
          </w:tcPr>
          <w:p w:rsidR="00D26CB5" w:rsidRDefault="00D26CB5" w:rsidP="0092129C">
            <w:pPr>
              <w:spacing w:line="360" w:lineRule="auto"/>
              <w:jc w:val="both"/>
              <w:rPr>
                <w:rFonts w:ascii="Arial Narrow" w:hAnsi="Arial Narrow" w:cs="Arial"/>
                <w:b/>
                <w:sz w:val="24"/>
                <w:szCs w:val="24"/>
              </w:rPr>
            </w:pPr>
            <w:r w:rsidRPr="008E1E24">
              <w:rPr>
                <w:rFonts w:ascii="Arial Narrow" w:hAnsi="Arial Narrow" w:cs="Arial"/>
                <w:b/>
                <w:sz w:val="24"/>
                <w:szCs w:val="24"/>
              </w:rPr>
              <w:t>The order:</w:t>
            </w:r>
          </w:p>
          <w:p w:rsidR="00294FF2" w:rsidRDefault="00294FF2" w:rsidP="0092129C">
            <w:pPr>
              <w:spacing w:line="360" w:lineRule="auto"/>
              <w:jc w:val="both"/>
              <w:rPr>
                <w:rFonts w:ascii="Arial Narrow" w:hAnsi="Arial Narrow" w:cs="Arial"/>
                <w:sz w:val="24"/>
                <w:szCs w:val="24"/>
              </w:rPr>
            </w:pPr>
            <w:r>
              <w:rPr>
                <w:rFonts w:ascii="Arial Narrow" w:hAnsi="Arial Narrow" w:cs="Arial"/>
                <w:sz w:val="24"/>
                <w:szCs w:val="24"/>
              </w:rPr>
              <w:t xml:space="preserve">Having heard </w:t>
            </w:r>
            <w:r w:rsidR="000131D4">
              <w:rPr>
                <w:rFonts w:ascii="Arial Narrow" w:hAnsi="Arial Narrow" w:cs="Arial"/>
                <w:b/>
                <w:sz w:val="24"/>
                <w:szCs w:val="24"/>
              </w:rPr>
              <w:t>Ms</w:t>
            </w:r>
            <w:r w:rsidR="00A941CC">
              <w:rPr>
                <w:rFonts w:ascii="Arial Narrow" w:hAnsi="Arial Narrow" w:cs="Arial"/>
                <w:b/>
                <w:sz w:val="24"/>
                <w:szCs w:val="24"/>
              </w:rPr>
              <w:t xml:space="preserve"> Van Der </w:t>
            </w:r>
            <w:proofErr w:type="spellStart"/>
            <w:r w:rsidR="00A941CC">
              <w:rPr>
                <w:rFonts w:ascii="Arial Narrow" w:hAnsi="Arial Narrow" w:cs="Arial"/>
                <w:b/>
                <w:sz w:val="24"/>
                <w:szCs w:val="24"/>
              </w:rPr>
              <w:t>Westhuizen</w:t>
            </w:r>
            <w:proofErr w:type="spellEnd"/>
            <w:r w:rsidR="00BB4ACA" w:rsidRPr="00BB4ACA">
              <w:rPr>
                <w:rFonts w:ascii="Arial Narrow" w:hAnsi="Arial Narrow" w:cs="Arial"/>
                <w:b/>
                <w:sz w:val="24"/>
                <w:szCs w:val="24"/>
              </w:rPr>
              <w:t xml:space="preserve"> </w:t>
            </w:r>
            <w:r>
              <w:rPr>
                <w:rFonts w:ascii="Arial Narrow" w:hAnsi="Arial Narrow" w:cs="Arial"/>
                <w:sz w:val="24"/>
                <w:szCs w:val="24"/>
              </w:rPr>
              <w:t xml:space="preserve">on behalf of the Applicant, and </w:t>
            </w:r>
            <w:r w:rsidR="00BB4ACA" w:rsidRPr="00BB4ACA">
              <w:rPr>
                <w:rFonts w:ascii="Arial Narrow" w:hAnsi="Arial Narrow" w:cs="Arial"/>
                <w:b/>
                <w:sz w:val="24"/>
                <w:szCs w:val="24"/>
              </w:rPr>
              <w:t>M</w:t>
            </w:r>
            <w:r w:rsidR="000131D4">
              <w:rPr>
                <w:rFonts w:ascii="Arial Narrow" w:hAnsi="Arial Narrow" w:cs="Arial"/>
                <w:b/>
                <w:sz w:val="24"/>
                <w:szCs w:val="24"/>
              </w:rPr>
              <w:t xml:space="preserve">r </w:t>
            </w:r>
            <w:proofErr w:type="spellStart"/>
            <w:r w:rsidR="000131D4">
              <w:rPr>
                <w:rFonts w:ascii="Arial Narrow" w:hAnsi="Arial Narrow" w:cs="Arial"/>
                <w:b/>
                <w:sz w:val="24"/>
                <w:szCs w:val="24"/>
              </w:rPr>
              <w:t>Strydom</w:t>
            </w:r>
            <w:proofErr w:type="spellEnd"/>
            <w:r w:rsidR="000131D4">
              <w:rPr>
                <w:rFonts w:ascii="Arial Narrow" w:hAnsi="Arial Narrow" w:cs="Arial"/>
                <w:b/>
                <w:sz w:val="24"/>
                <w:szCs w:val="24"/>
              </w:rPr>
              <w:t xml:space="preserve"> </w:t>
            </w:r>
            <w:r>
              <w:rPr>
                <w:rFonts w:ascii="Arial Narrow" w:hAnsi="Arial Narrow" w:cs="Arial"/>
                <w:sz w:val="24"/>
                <w:szCs w:val="24"/>
              </w:rPr>
              <w:t>on behalf of the Respondent,</w:t>
            </w:r>
            <w:r w:rsidRPr="0006454D">
              <w:rPr>
                <w:rFonts w:ascii="Arial Narrow" w:hAnsi="Arial Narrow" w:cs="Arial"/>
                <w:sz w:val="24"/>
                <w:szCs w:val="24"/>
              </w:rPr>
              <w:t xml:space="preserve"> and having read the documents filed of record:</w:t>
            </w:r>
          </w:p>
          <w:p w:rsidR="00294FF2" w:rsidRPr="00294FF2" w:rsidRDefault="00294FF2" w:rsidP="0092129C">
            <w:pPr>
              <w:spacing w:line="360" w:lineRule="auto"/>
              <w:jc w:val="both"/>
              <w:rPr>
                <w:rFonts w:ascii="Arial Narrow" w:hAnsi="Arial Narrow" w:cs="Arial"/>
                <w:sz w:val="24"/>
                <w:szCs w:val="24"/>
              </w:rPr>
            </w:pPr>
          </w:p>
          <w:p w:rsidR="00D26CB5" w:rsidRPr="008E1E24" w:rsidRDefault="00D26CB5" w:rsidP="0092129C">
            <w:pPr>
              <w:spacing w:line="360" w:lineRule="auto"/>
              <w:jc w:val="both"/>
              <w:rPr>
                <w:rFonts w:ascii="Arial Narrow" w:hAnsi="Arial Narrow" w:cs="Arial"/>
                <w:b/>
                <w:sz w:val="24"/>
                <w:szCs w:val="24"/>
              </w:rPr>
            </w:pPr>
            <w:r w:rsidRPr="008E1E24">
              <w:rPr>
                <w:rFonts w:ascii="Arial Narrow" w:hAnsi="Arial Narrow" w:cs="Arial"/>
                <w:b/>
                <w:sz w:val="24"/>
                <w:szCs w:val="24"/>
              </w:rPr>
              <w:t>IT IS ORDERED THAT:</w:t>
            </w:r>
          </w:p>
          <w:p w:rsidR="00C25598" w:rsidRDefault="004116E1" w:rsidP="00C25598">
            <w:pPr>
              <w:pStyle w:val="BodyText"/>
              <w:numPr>
                <w:ilvl w:val="0"/>
                <w:numId w:val="16"/>
              </w:numPr>
              <w:tabs>
                <w:tab w:val="left" w:pos="720"/>
                <w:tab w:val="left" w:pos="2268"/>
              </w:tabs>
              <w:spacing w:line="360" w:lineRule="auto"/>
              <w:jc w:val="both"/>
              <w:rPr>
                <w:rFonts w:ascii="Arial" w:hAnsi="Arial" w:cs="Arial"/>
              </w:rPr>
            </w:pPr>
            <w:r>
              <w:rPr>
                <w:rFonts w:ascii="Arial" w:hAnsi="Arial" w:cs="Arial"/>
              </w:rPr>
              <w:t xml:space="preserve">The first </w:t>
            </w:r>
            <w:r w:rsidR="00C25598">
              <w:rPr>
                <w:rFonts w:ascii="Arial" w:hAnsi="Arial" w:cs="Arial"/>
              </w:rPr>
              <w:t>and third ground</w:t>
            </w:r>
            <w:r>
              <w:rPr>
                <w:rFonts w:ascii="Arial" w:hAnsi="Arial" w:cs="Arial"/>
              </w:rPr>
              <w:t>s</w:t>
            </w:r>
            <w:r w:rsidR="00C25598">
              <w:rPr>
                <w:rFonts w:ascii="Arial" w:hAnsi="Arial" w:cs="Arial"/>
              </w:rPr>
              <w:t xml:space="preserve"> of the 2</w:t>
            </w:r>
            <w:r w:rsidR="00C25598" w:rsidRPr="0031450A">
              <w:rPr>
                <w:rFonts w:ascii="Arial" w:hAnsi="Arial" w:cs="Arial"/>
                <w:vertAlign w:val="superscript"/>
              </w:rPr>
              <w:t>nd</w:t>
            </w:r>
            <w:r w:rsidR="00C25598">
              <w:rPr>
                <w:rFonts w:ascii="Arial" w:hAnsi="Arial" w:cs="Arial"/>
              </w:rPr>
              <w:t xml:space="preserve"> and 3</w:t>
            </w:r>
            <w:r w:rsidR="00C25598" w:rsidRPr="0031450A">
              <w:rPr>
                <w:rFonts w:ascii="Arial" w:hAnsi="Arial" w:cs="Arial"/>
                <w:vertAlign w:val="superscript"/>
              </w:rPr>
              <w:t>rd</w:t>
            </w:r>
            <w:r>
              <w:rPr>
                <w:rFonts w:ascii="Arial" w:hAnsi="Arial" w:cs="Arial"/>
              </w:rPr>
              <w:t xml:space="preserve"> defendants’ exception are</w:t>
            </w:r>
            <w:r w:rsidR="00C25598">
              <w:rPr>
                <w:rFonts w:ascii="Arial" w:hAnsi="Arial" w:cs="Arial"/>
              </w:rPr>
              <w:t xml:space="preserve"> upheld;</w:t>
            </w:r>
          </w:p>
          <w:p w:rsidR="00C25598" w:rsidRDefault="00C25598" w:rsidP="00C25598">
            <w:pPr>
              <w:pStyle w:val="BodyText"/>
              <w:numPr>
                <w:ilvl w:val="0"/>
                <w:numId w:val="16"/>
              </w:numPr>
              <w:tabs>
                <w:tab w:val="left" w:pos="720"/>
                <w:tab w:val="left" w:pos="2268"/>
              </w:tabs>
              <w:spacing w:line="360" w:lineRule="auto"/>
              <w:jc w:val="both"/>
              <w:rPr>
                <w:rFonts w:ascii="Arial" w:hAnsi="Arial" w:cs="Arial"/>
              </w:rPr>
            </w:pPr>
            <w:r w:rsidRPr="00C25598">
              <w:rPr>
                <w:rFonts w:ascii="Arial" w:hAnsi="Arial" w:cs="Arial"/>
              </w:rPr>
              <w:t>The plaintiff is granted leave to amend his particulars of claim within 15 days of this order;</w:t>
            </w:r>
          </w:p>
          <w:p w:rsidR="00C25598" w:rsidRPr="00C25598" w:rsidRDefault="00C25598" w:rsidP="00C25598">
            <w:pPr>
              <w:pStyle w:val="BodyText"/>
              <w:numPr>
                <w:ilvl w:val="0"/>
                <w:numId w:val="16"/>
              </w:numPr>
              <w:tabs>
                <w:tab w:val="left" w:pos="720"/>
                <w:tab w:val="left" w:pos="2268"/>
              </w:tabs>
              <w:spacing w:line="360" w:lineRule="auto"/>
              <w:jc w:val="both"/>
              <w:rPr>
                <w:rFonts w:ascii="Arial Narrow" w:hAnsi="Arial Narrow" w:cs="Arial"/>
                <w:sz w:val="24"/>
                <w:szCs w:val="24"/>
              </w:rPr>
            </w:pPr>
            <w:r w:rsidRPr="00C25598">
              <w:rPr>
                <w:rFonts w:ascii="Arial" w:hAnsi="Arial" w:cs="Arial"/>
              </w:rPr>
              <w:t>The 2</w:t>
            </w:r>
            <w:r w:rsidRPr="00C25598">
              <w:rPr>
                <w:rFonts w:ascii="Arial" w:hAnsi="Arial" w:cs="Arial"/>
                <w:vertAlign w:val="superscript"/>
              </w:rPr>
              <w:t>nd</w:t>
            </w:r>
            <w:r w:rsidRPr="00C25598">
              <w:rPr>
                <w:rFonts w:ascii="Arial" w:hAnsi="Arial" w:cs="Arial"/>
              </w:rPr>
              <w:t xml:space="preserve"> and 3</w:t>
            </w:r>
            <w:r w:rsidRPr="00C25598">
              <w:rPr>
                <w:rFonts w:ascii="Arial" w:hAnsi="Arial" w:cs="Arial"/>
                <w:vertAlign w:val="superscript"/>
              </w:rPr>
              <w:t>rd</w:t>
            </w:r>
            <w:r w:rsidRPr="00C25598">
              <w:rPr>
                <w:rFonts w:ascii="Arial" w:hAnsi="Arial" w:cs="Arial"/>
              </w:rPr>
              <w:t xml:space="preserve"> defendants are granted costs, the cost to include the costs of one instructing and one instructed counsel and limited in terms of the provisions of Rule 32(11).</w:t>
            </w:r>
          </w:p>
          <w:p w:rsidR="0086662D" w:rsidRPr="00AC02F9" w:rsidRDefault="00C25598" w:rsidP="00AC02F9">
            <w:pPr>
              <w:pStyle w:val="BodyText"/>
              <w:numPr>
                <w:ilvl w:val="0"/>
                <w:numId w:val="16"/>
              </w:numPr>
              <w:tabs>
                <w:tab w:val="left" w:pos="720"/>
                <w:tab w:val="left" w:pos="2268"/>
              </w:tabs>
              <w:spacing w:line="360" w:lineRule="auto"/>
              <w:jc w:val="both"/>
              <w:rPr>
                <w:rFonts w:ascii="Arial Narrow" w:hAnsi="Arial Narrow" w:cs="Arial"/>
                <w:sz w:val="24"/>
                <w:szCs w:val="24"/>
              </w:rPr>
            </w:pPr>
            <w:r w:rsidRPr="00C25598">
              <w:rPr>
                <w:rFonts w:ascii="Arial" w:hAnsi="Arial" w:cs="Arial"/>
              </w:rPr>
              <w:t>The matter is postponed to 29 July 2020</w:t>
            </w:r>
            <w:r w:rsidR="00202FFC">
              <w:rPr>
                <w:rFonts w:ascii="Arial" w:hAnsi="Arial" w:cs="Arial"/>
              </w:rPr>
              <w:t xml:space="preserve"> at 14h15</w:t>
            </w:r>
            <w:r w:rsidRPr="00C25598">
              <w:rPr>
                <w:rFonts w:ascii="Arial" w:hAnsi="Arial" w:cs="Arial"/>
              </w:rPr>
              <w:t xml:space="preserve"> for further conduct of the matter.</w:t>
            </w:r>
          </w:p>
        </w:tc>
      </w:tr>
      <w:tr w:rsidR="00D26CB5" w:rsidRPr="008E1E24" w:rsidTr="0092129C">
        <w:tc>
          <w:tcPr>
            <w:tcW w:w="9720" w:type="dxa"/>
            <w:gridSpan w:val="3"/>
          </w:tcPr>
          <w:p w:rsidR="00D26CB5" w:rsidRPr="008E1E24" w:rsidRDefault="00D26CB5" w:rsidP="0092129C">
            <w:pPr>
              <w:spacing w:line="360" w:lineRule="auto"/>
              <w:jc w:val="both"/>
              <w:rPr>
                <w:rFonts w:ascii="Arial Narrow" w:hAnsi="Arial Narrow" w:cs="Arial"/>
                <w:b/>
                <w:sz w:val="24"/>
                <w:szCs w:val="24"/>
              </w:rPr>
            </w:pPr>
            <w:r w:rsidRPr="008E1E24">
              <w:rPr>
                <w:rFonts w:ascii="Arial Narrow" w:hAnsi="Arial Narrow" w:cs="Arial"/>
                <w:b/>
                <w:sz w:val="24"/>
                <w:szCs w:val="24"/>
              </w:rPr>
              <w:t>Reasons for orders:</w:t>
            </w:r>
          </w:p>
        </w:tc>
      </w:tr>
      <w:tr w:rsidR="00D26CB5" w:rsidRPr="008E1E24" w:rsidTr="0092129C">
        <w:tc>
          <w:tcPr>
            <w:tcW w:w="9720" w:type="dxa"/>
            <w:gridSpan w:val="3"/>
          </w:tcPr>
          <w:p w:rsidR="00A11382" w:rsidRPr="008E1E24" w:rsidRDefault="00A11382" w:rsidP="006C2F1D">
            <w:pPr>
              <w:spacing w:line="360" w:lineRule="auto"/>
              <w:jc w:val="both"/>
              <w:rPr>
                <w:rFonts w:ascii="Arial Narrow" w:hAnsi="Arial Narrow" w:cs="Arial"/>
                <w:sz w:val="24"/>
                <w:szCs w:val="24"/>
              </w:rPr>
            </w:pPr>
          </w:p>
          <w:p w:rsidR="002117A1" w:rsidRDefault="00691B65" w:rsidP="002117A1">
            <w:pPr>
              <w:pStyle w:val="BodyText"/>
              <w:tabs>
                <w:tab w:val="left" w:pos="720"/>
                <w:tab w:val="left" w:pos="2268"/>
              </w:tabs>
              <w:spacing w:line="360" w:lineRule="auto"/>
              <w:jc w:val="both"/>
              <w:rPr>
                <w:rFonts w:ascii="Arial" w:hAnsi="Arial" w:cs="Arial"/>
              </w:rPr>
            </w:pPr>
            <w:r w:rsidRPr="008E1E24">
              <w:rPr>
                <w:rFonts w:ascii="Arial Narrow" w:hAnsi="Arial Narrow" w:cs="Arial"/>
                <w:sz w:val="24"/>
                <w:szCs w:val="24"/>
              </w:rPr>
              <w:t>[</w:t>
            </w:r>
            <w:r w:rsidR="002117A1" w:rsidRPr="00C2360F">
              <w:rPr>
                <w:rFonts w:ascii="Arial" w:hAnsi="Arial" w:cs="Arial"/>
              </w:rPr>
              <w:t>1]</w:t>
            </w:r>
            <w:r w:rsidR="002117A1" w:rsidRPr="00C2360F">
              <w:rPr>
                <w:rFonts w:ascii="Arial" w:hAnsi="Arial" w:cs="Arial"/>
              </w:rPr>
              <w:tab/>
            </w:r>
            <w:r w:rsidR="002117A1" w:rsidRPr="00133191">
              <w:rPr>
                <w:rFonts w:ascii="Arial" w:hAnsi="Arial" w:cs="Arial"/>
              </w:rPr>
              <w:t xml:space="preserve">This is an </w:t>
            </w:r>
            <w:r w:rsidR="000131D4">
              <w:rPr>
                <w:rFonts w:ascii="Arial" w:hAnsi="Arial" w:cs="Arial"/>
              </w:rPr>
              <w:t>exception raised by the defendant in respect of the plaintiff’s particulars of claim.</w:t>
            </w:r>
            <w:r w:rsidR="002117A1" w:rsidRPr="00133191">
              <w:rPr>
                <w:rFonts w:ascii="Arial" w:hAnsi="Arial" w:cs="Arial"/>
              </w:rPr>
              <w:t xml:space="preserve"> The plaintiff oppose</w:t>
            </w:r>
            <w:r w:rsidR="000131D4">
              <w:rPr>
                <w:rFonts w:ascii="Arial" w:hAnsi="Arial" w:cs="Arial"/>
              </w:rPr>
              <w:t>s the exception raised.</w:t>
            </w:r>
            <w:r w:rsidR="002117A1" w:rsidRPr="00133191">
              <w:rPr>
                <w:rFonts w:ascii="Arial" w:hAnsi="Arial" w:cs="Arial"/>
              </w:rPr>
              <w:t xml:space="preserve"> I shall refer to the parties as in the main action</w:t>
            </w:r>
            <w:r w:rsidR="002117A1">
              <w:rPr>
                <w:rFonts w:ascii="Arial" w:hAnsi="Arial" w:cs="Arial"/>
              </w:rPr>
              <w:t>.</w:t>
            </w:r>
          </w:p>
          <w:p w:rsidR="002117A1" w:rsidRPr="00133191" w:rsidRDefault="002117A1" w:rsidP="002117A1">
            <w:pPr>
              <w:pStyle w:val="BodyText"/>
              <w:tabs>
                <w:tab w:val="left" w:pos="720"/>
                <w:tab w:val="left" w:pos="2268"/>
              </w:tabs>
              <w:spacing w:after="0" w:line="360" w:lineRule="auto"/>
              <w:jc w:val="both"/>
              <w:rPr>
                <w:rFonts w:ascii="Arial" w:hAnsi="Arial" w:cs="Arial"/>
              </w:rPr>
            </w:pPr>
          </w:p>
          <w:p w:rsidR="002117A1" w:rsidRDefault="002117A1" w:rsidP="002117A1">
            <w:pPr>
              <w:pStyle w:val="BodyText"/>
              <w:tabs>
                <w:tab w:val="left" w:pos="720"/>
                <w:tab w:val="left" w:pos="2268"/>
              </w:tabs>
              <w:spacing w:after="0" w:line="360" w:lineRule="auto"/>
              <w:jc w:val="both"/>
              <w:rPr>
                <w:rFonts w:ascii="Arial" w:hAnsi="Arial" w:cs="Arial"/>
                <w:b/>
                <w:u w:val="single"/>
              </w:rPr>
            </w:pPr>
            <w:r>
              <w:rPr>
                <w:rFonts w:ascii="Arial" w:hAnsi="Arial" w:cs="Arial"/>
                <w:b/>
                <w:u w:val="single"/>
              </w:rPr>
              <w:lastRenderedPageBreak/>
              <w:t xml:space="preserve">Background </w:t>
            </w:r>
          </w:p>
          <w:p w:rsidR="00AC02F9" w:rsidRPr="00133191" w:rsidRDefault="00AC02F9" w:rsidP="002117A1">
            <w:pPr>
              <w:pStyle w:val="BodyText"/>
              <w:tabs>
                <w:tab w:val="left" w:pos="720"/>
                <w:tab w:val="left" w:pos="2268"/>
              </w:tabs>
              <w:spacing w:after="0" w:line="360" w:lineRule="auto"/>
              <w:jc w:val="both"/>
              <w:rPr>
                <w:rFonts w:ascii="Arial" w:hAnsi="Arial" w:cs="Arial"/>
                <w:b/>
                <w:u w:val="single"/>
              </w:rPr>
            </w:pPr>
          </w:p>
          <w:p w:rsidR="004B5768" w:rsidRDefault="002117A1" w:rsidP="002117A1">
            <w:pPr>
              <w:pStyle w:val="BodyText"/>
              <w:tabs>
                <w:tab w:val="left" w:pos="720"/>
                <w:tab w:val="left" w:pos="2268"/>
              </w:tabs>
              <w:spacing w:line="360" w:lineRule="auto"/>
              <w:jc w:val="both"/>
              <w:rPr>
                <w:rFonts w:ascii="Arial" w:hAnsi="Arial" w:cs="Arial"/>
              </w:rPr>
            </w:pPr>
            <w:r w:rsidRPr="00133191">
              <w:rPr>
                <w:rFonts w:ascii="Arial" w:hAnsi="Arial" w:cs="Arial"/>
              </w:rPr>
              <w:t>[2]</w:t>
            </w:r>
            <w:r w:rsidRPr="00133191">
              <w:rPr>
                <w:rFonts w:ascii="Arial" w:hAnsi="Arial" w:cs="Arial"/>
              </w:rPr>
              <w:tab/>
            </w:r>
            <w:r w:rsidR="000131D4">
              <w:rPr>
                <w:rFonts w:ascii="Arial" w:hAnsi="Arial" w:cs="Arial"/>
              </w:rPr>
              <w:t>The plaintiff and the first defendant were married to each other</w:t>
            </w:r>
            <w:r w:rsidR="00915D92">
              <w:rPr>
                <w:rFonts w:ascii="Arial" w:hAnsi="Arial" w:cs="Arial"/>
              </w:rPr>
              <w:t xml:space="preserve"> out of community of property</w:t>
            </w:r>
            <w:r w:rsidR="000131D4">
              <w:rPr>
                <w:rFonts w:ascii="Arial" w:hAnsi="Arial" w:cs="Arial"/>
              </w:rPr>
              <w:t xml:space="preserve">. </w:t>
            </w:r>
            <w:r w:rsidR="004B5768">
              <w:rPr>
                <w:rFonts w:ascii="Arial" w:hAnsi="Arial" w:cs="Arial"/>
              </w:rPr>
              <w:t>The plaintiff instituted divorce action and same was finalised incorporating a settlement agreement which was signed on 12 July 2016</w:t>
            </w:r>
            <w:r w:rsidR="00915D92">
              <w:rPr>
                <w:rFonts w:ascii="Arial" w:hAnsi="Arial" w:cs="Arial"/>
              </w:rPr>
              <w:t xml:space="preserve"> and made an order of court</w:t>
            </w:r>
            <w:r w:rsidR="004B5768">
              <w:rPr>
                <w:rFonts w:ascii="Arial" w:hAnsi="Arial" w:cs="Arial"/>
              </w:rPr>
              <w:t xml:space="preserve">. </w:t>
            </w:r>
            <w:r w:rsidR="00915D92">
              <w:rPr>
                <w:rFonts w:ascii="Arial" w:hAnsi="Arial" w:cs="Arial"/>
              </w:rPr>
              <w:t>In terms of the agreement (clause 5 thereof), the plaintiff recorded that he will give transfer of his immovable property situate</w:t>
            </w:r>
            <w:r w:rsidR="0055325D">
              <w:rPr>
                <w:rFonts w:ascii="Arial" w:hAnsi="Arial" w:cs="Arial"/>
              </w:rPr>
              <w:t>d</w:t>
            </w:r>
            <w:r w:rsidR="00915D92">
              <w:rPr>
                <w:rFonts w:ascii="Arial" w:hAnsi="Arial" w:cs="Arial"/>
              </w:rPr>
              <w:t xml:space="preserve"> at </w:t>
            </w:r>
            <w:proofErr w:type="spellStart"/>
            <w:r w:rsidR="00915D92">
              <w:rPr>
                <w:rFonts w:ascii="Arial" w:hAnsi="Arial" w:cs="Arial"/>
              </w:rPr>
              <w:t>Riethaan</w:t>
            </w:r>
            <w:proofErr w:type="spellEnd"/>
            <w:r w:rsidR="00915D92">
              <w:rPr>
                <w:rFonts w:ascii="Arial" w:hAnsi="Arial" w:cs="Arial"/>
              </w:rPr>
              <w:t xml:space="preserve"> Street </w:t>
            </w:r>
            <w:r w:rsidR="00CF38A2">
              <w:rPr>
                <w:rFonts w:ascii="Arial" w:hAnsi="Arial" w:cs="Arial"/>
              </w:rPr>
              <w:t xml:space="preserve">within 36 months of the final divorce order </w:t>
            </w:r>
            <w:r w:rsidR="00915D92">
              <w:rPr>
                <w:rFonts w:ascii="Arial" w:hAnsi="Arial" w:cs="Arial"/>
              </w:rPr>
              <w:t>so that 1</w:t>
            </w:r>
            <w:r w:rsidR="00915D92" w:rsidRPr="00915D92">
              <w:rPr>
                <w:rFonts w:ascii="Arial" w:hAnsi="Arial" w:cs="Arial"/>
                <w:vertAlign w:val="superscript"/>
              </w:rPr>
              <w:t>st</w:t>
            </w:r>
            <w:r w:rsidR="00915D92">
              <w:rPr>
                <w:rFonts w:ascii="Arial" w:hAnsi="Arial" w:cs="Arial"/>
              </w:rPr>
              <w:t xml:space="preserve"> defendant may become the ben</w:t>
            </w:r>
            <w:r w:rsidR="00CF38A2">
              <w:rPr>
                <w:rFonts w:ascii="Arial" w:hAnsi="Arial" w:cs="Arial"/>
              </w:rPr>
              <w:t>eficial owner. Three years after the final order of divorce the plaintiff transferred the property to the 1</w:t>
            </w:r>
            <w:r w:rsidR="00CF38A2" w:rsidRPr="00CF38A2">
              <w:rPr>
                <w:rFonts w:ascii="Arial" w:hAnsi="Arial" w:cs="Arial"/>
                <w:vertAlign w:val="superscript"/>
              </w:rPr>
              <w:t>st</w:t>
            </w:r>
            <w:r w:rsidR="00CF38A2">
              <w:rPr>
                <w:rFonts w:ascii="Arial" w:hAnsi="Arial" w:cs="Arial"/>
              </w:rPr>
              <w:t xml:space="preserve"> Defendant.</w:t>
            </w:r>
            <w:r w:rsidR="00915D92">
              <w:rPr>
                <w:rFonts w:ascii="Arial" w:hAnsi="Arial" w:cs="Arial"/>
              </w:rPr>
              <w:t xml:space="preserve"> </w:t>
            </w:r>
            <w:r w:rsidR="00CF38A2">
              <w:rPr>
                <w:rFonts w:ascii="Arial" w:hAnsi="Arial" w:cs="Arial"/>
              </w:rPr>
              <w:t xml:space="preserve">The plaintiff at all material times </w:t>
            </w:r>
            <w:r w:rsidR="004B5768">
              <w:rPr>
                <w:rFonts w:ascii="Arial" w:hAnsi="Arial" w:cs="Arial"/>
              </w:rPr>
              <w:t>was represented by 3</w:t>
            </w:r>
            <w:r w:rsidR="004B5768" w:rsidRPr="004B5768">
              <w:rPr>
                <w:rFonts w:ascii="Arial" w:hAnsi="Arial" w:cs="Arial"/>
                <w:vertAlign w:val="superscript"/>
              </w:rPr>
              <w:t>rd</w:t>
            </w:r>
            <w:r w:rsidR="004B5768">
              <w:rPr>
                <w:rFonts w:ascii="Arial" w:hAnsi="Arial" w:cs="Arial"/>
              </w:rPr>
              <w:t xml:space="preserve"> defendant</w:t>
            </w:r>
            <w:r w:rsidR="00CF38A2">
              <w:rPr>
                <w:rFonts w:ascii="Arial" w:hAnsi="Arial" w:cs="Arial"/>
              </w:rPr>
              <w:t xml:space="preserve"> </w:t>
            </w:r>
            <w:r w:rsidR="004B5768">
              <w:rPr>
                <w:rFonts w:ascii="Arial" w:hAnsi="Arial" w:cs="Arial"/>
              </w:rPr>
              <w:t>who is a legal practitioner and partner/director of 2</w:t>
            </w:r>
            <w:r w:rsidR="004B5768" w:rsidRPr="004B5768">
              <w:rPr>
                <w:rFonts w:ascii="Arial" w:hAnsi="Arial" w:cs="Arial"/>
                <w:vertAlign w:val="superscript"/>
              </w:rPr>
              <w:t>nd</w:t>
            </w:r>
            <w:r w:rsidR="004B5768">
              <w:rPr>
                <w:rFonts w:ascii="Arial" w:hAnsi="Arial" w:cs="Arial"/>
              </w:rPr>
              <w:t xml:space="preserve"> Defendant. </w:t>
            </w:r>
          </w:p>
          <w:p w:rsidR="0055325D" w:rsidRDefault="0055325D" w:rsidP="002117A1">
            <w:pPr>
              <w:pStyle w:val="BodyText"/>
              <w:tabs>
                <w:tab w:val="left" w:pos="720"/>
                <w:tab w:val="left" w:pos="2268"/>
              </w:tabs>
              <w:spacing w:line="360" w:lineRule="auto"/>
              <w:jc w:val="both"/>
              <w:rPr>
                <w:rFonts w:ascii="Arial" w:hAnsi="Arial" w:cs="Arial"/>
              </w:rPr>
            </w:pPr>
          </w:p>
          <w:p w:rsidR="00ED72BE" w:rsidRPr="004B5768" w:rsidRDefault="00EB501D" w:rsidP="002117A1">
            <w:pPr>
              <w:pStyle w:val="BodyText"/>
              <w:tabs>
                <w:tab w:val="left" w:pos="720"/>
                <w:tab w:val="left" w:pos="2268"/>
              </w:tabs>
              <w:spacing w:line="360" w:lineRule="auto"/>
              <w:jc w:val="both"/>
              <w:rPr>
                <w:rFonts w:ascii="Arial" w:hAnsi="Arial" w:cs="Arial"/>
                <w:u w:val="single"/>
              </w:rPr>
            </w:pPr>
            <w:r>
              <w:rPr>
                <w:rFonts w:ascii="Arial" w:hAnsi="Arial" w:cs="Arial"/>
              </w:rPr>
              <w:t xml:space="preserve">[3]    </w:t>
            </w:r>
            <w:r w:rsidR="00AC02F9">
              <w:rPr>
                <w:rFonts w:ascii="Arial" w:hAnsi="Arial" w:cs="Arial"/>
              </w:rPr>
              <w:t xml:space="preserve">  </w:t>
            </w:r>
            <w:r w:rsidR="000131D4">
              <w:rPr>
                <w:rFonts w:ascii="Arial" w:hAnsi="Arial" w:cs="Arial"/>
              </w:rPr>
              <w:t>The plaintiff now institutes an action for relief in the following terms</w:t>
            </w:r>
            <w:r w:rsidR="00CB7C22">
              <w:rPr>
                <w:rFonts w:ascii="Arial" w:hAnsi="Arial" w:cs="Arial"/>
              </w:rPr>
              <w:t xml:space="preserve"> in respect of the </w:t>
            </w:r>
            <w:r w:rsidR="00CB7C22" w:rsidRPr="004B5768">
              <w:rPr>
                <w:rFonts w:ascii="Arial" w:hAnsi="Arial" w:cs="Arial"/>
                <w:u w:val="single"/>
              </w:rPr>
              <w:t>principal claim</w:t>
            </w:r>
            <w:r w:rsidR="000131D4" w:rsidRPr="004B5768">
              <w:rPr>
                <w:rFonts w:ascii="Arial" w:hAnsi="Arial" w:cs="Arial"/>
                <w:u w:val="single"/>
              </w:rPr>
              <w:t xml:space="preserve">: </w:t>
            </w:r>
          </w:p>
          <w:p w:rsidR="00ED72BE" w:rsidRDefault="000131D4" w:rsidP="00ED72BE">
            <w:pPr>
              <w:pStyle w:val="BodyText"/>
              <w:numPr>
                <w:ilvl w:val="0"/>
                <w:numId w:val="7"/>
              </w:numPr>
              <w:tabs>
                <w:tab w:val="left" w:pos="720"/>
                <w:tab w:val="left" w:pos="2268"/>
              </w:tabs>
              <w:spacing w:line="360" w:lineRule="auto"/>
              <w:jc w:val="both"/>
              <w:rPr>
                <w:rFonts w:ascii="Arial" w:hAnsi="Arial" w:cs="Arial"/>
              </w:rPr>
            </w:pPr>
            <w:r>
              <w:rPr>
                <w:rFonts w:ascii="Arial" w:hAnsi="Arial" w:cs="Arial"/>
              </w:rPr>
              <w:t>The setting aside of the settlement agreement</w:t>
            </w:r>
            <w:r w:rsidR="004B5768">
              <w:rPr>
                <w:rFonts w:ascii="Arial" w:hAnsi="Arial" w:cs="Arial"/>
              </w:rPr>
              <w:t xml:space="preserve"> signed on 12 July 2016</w:t>
            </w:r>
            <w:r w:rsidR="00CB7C22">
              <w:rPr>
                <w:rFonts w:ascii="Arial" w:hAnsi="Arial" w:cs="Arial"/>
              </w:rPr>
              <w:t xml:space="preserve">; alternatively </w:t>
            </w:r>
          </w:p>
          <w:p w:rsidR="00ED72BE" w:rsidRDefault="00CB7C22" w:rsidP="00ED72BE">
            <w:pPr>
              <w:pStyle w:val="BodyText"/>
              <w:numPr>
                <w:ilvl w:val="0"/>
                <w:numId w:val="7"/>
              </w:numPr>
              <w:tabs>
                <w:tab w:val="left" w:pos="720"/>
                <w:tab w:val="left" w:pos="2268"/>
              </w:tabs>
              <w:spacing w:line="360" w:lineRule="auto"/>
              <w:jc w:val="both"/>
              <w:rPr>
                <w:rFonts w:ascii="Arial" w:hAnsi="Arial" w:cs="Arial"/>
              </w:rPr>
            </w:pPr>
            <w:r>
              <w:rPr>
                <w:rFonts w:ascii="Arial" w:hAnsi="Arial" w:cs="Arial"/>
              </w:rPr>
              <w:t xml:space="preserve">setting aside clause 5 of the agreement; </w:t>
            </w:r>
          </w:p>
          <w:p w:rsidR="00ED72BE" w:rsidRDefault="00CB7C22" w:rsidP="00ED72BE">
            <w:pPr>
              <w:pStyle w:val="BodyText"/>
              <w:numPr>
                <w:ilvl w:val="0"/>
                <w:numId w:val="7"/>
              </w:numPr>
              <w:tabs>
                <w:tab w:val="left" w:pos="720"/>
                <w:tab w:val="left" w:pos="2268"/>
              </w:tabs>
              <w:spacing w:line="360" w:lineRule="auto"/>
              <w:jc w:val="both"/>
              <w:rPr>
                <w:rFonts w:ascii="Arial" w:hAnsi="Arial" w:cs="Arial"/>
              </w:rPr>
            </w:pPr>
            <w:r>
              <w:rPr>
                <w:rFonts w:ascii="Arial" w:hAnsi="Arial" w:cs="Arial"/>
              </w:rPr>
              <w:t>the restoration of possession of the immovable property</w:t>
            </w:r>
            <w:r w:rsidR="00ED72BE">
              <w:rPr>
                <w:rFonts w:ascii="Arial" w:hAnsi="Arial" w:cs="Arial"/>
              </w:rPr>
              <w:t xml:space="preserve">; and </w:t>
            </w:r>
          </w:p>
          <w:p w:rsidR="00ED72BE" w:rsidRDefault="00CB7C22" w:rsidP="00ED72BE">
            <w:pPr>
              <w:pStyle w:val="BodyText"/>
              <w:numPr>
                <w:ilvl w:val="0"/>
                <w:numId w:val="7"/>
              </w:numPr>
              <w:tabs>
                <w:tab w:val="left" w:pos="720"/>
                <w:tab w:val="left" w:pos="2268"/>
              </w:tabs>
              <w:spacing w:line="360" w:lineRule="auto"/>
              <w:jc w:val="both"/>
              <w:rPr>
                <w:rFonts w:ascii="Arial" w:hAnsi="Arial" w:cs="Arial"/>
              </w:rPr>
            </w:pPr>
            <w:proofErr w:type="gramStart"/>
            <w:r>
              <w:rPr>
                <w:rFonts w:ascii="Arial" w:hAnsi="Arial" w:cs="Arial"/>
              </w:rPr>
              <w:t>cost</w:t>
            </w:r>
            <w:proofErr w:type="gramEnd"/>
            <w:r>
              <w:rPr>
                <w:rFonts w:ascii="Arial" w:hAnsi="Arial" w:cs="Arial"/>
              </w:rPr>
              <w:t xml:space="preserve"> of suit. </w:t>
            </w:r>
          </w:p>
          <w:p w:rsidR="004B5768" w:rsidRDefault="00CB7C22" w:rsidP="00ED72BE">
            <w:pPr>
              <w:pStyle w:val="BodyText"/>
              <w:tabs>
                <w:tab w:val="left" w:pos="720"/>
                <w:tab w:val="left" w:pos="2268"/>
              </w:tabs>
              <w:spacing w:line="360" w:lineRule="auto"/>
              <w:ind w:left="360"/>
              <w:jc w:val="both"/>
              <w:rPr>
                <w:rFonts w:ascii="Arial" w:hAnsi="Arial" w:cs="Arial"/>
              </w:rPr>
            </w:pPr>
            <w:r>
              <w:rPr>
                <w:rFonts w:ascii="Arial" w:hAnsi="Arial" w:cs="Arial"/>
              </w:rPr>
              <w:t xml:space="preserve">In respect to the </w:t>
            </w:r>
            <w:r w:rsidRPr="004B5768">
              <w:rPr>
                <w:rFonts w:ascii="Arial" w:hAnsi="Arial" w:cs="Arial"/>
                <w:u w:val="single"/>
              </w:rPr>
              <w:t>alternative claim</w:t>
            </w:r>
            <w:r>
              <w:rPr>
                <w:rFonts w:ascii="Arial" w:hAnsi="Arial" w:cs="Arial"/>
              </w:rPr>
              <w:t>, the plaintiff is cla</w:t>
            </w:r>
            <w:r w:rsidR="00ED72BE">
              <w:rPr>
                <w:rFonts w:ascii="Arial" w:hAnsi="Arial" w:cs="Arial"/>
              </w:rPr>
              <w:t>iming</w:t>
            </w:r>
            <w:r w:rsidR="004B5768">
              <w:rPr>
                <w:rFonts w:ascii="Arial" w:hAnsi="Arial" w:cs="Arial"/>
              </w:rPr>
              <w:t xml:space="preserve"> the following from 2</w:t>
            </w:r>
            <w:r w:rsidR="004B5768" w:rsidRPr="004B5768">
              <w:rPr>
                <w:rFonts w:ascii="Arial" w:hAnsi="Arial" w:cs="Arial"/>
                <w:vertAlign w:val="superscript"/>
              </w:rPr>
              <w:t>nd</w:t>
            </w:r>
            <w:r w:rsidR="004B5768">
              <w:rPr>
                <w:rFonts w:ascii="Arial" w:hAnsi="Arial" w:cs="Arial"/>
              </w:rPr>
              <w:t xml:space="preserve"> and 3</w:t>
            </w:r>
            <w:r w:rsidR="004B5768" w:rsidRPr="004B5768">
              <w:rPr>
                <w:rFonts w:ascii="Arial" w:hAnsi="Arial" w:cs="Arial"/>
                <w:vertAlign w:val="superscript"/>
              </w:rPr>
              <w:t>rd</w:t>
            </w:r>
            <w:r w:rsidR="004B5768">
              <w:rPr>
                <w:rFonts w:ascii="Arial" w:hAnsi="Arial" w:cs="Arial"/>
              </w:rPr>
              <w:t xml:space="preserve"> defendant jointly and severally the one paying, the other to be absolved:</w:t>
            </w:r>
          </w:p>
          <w:p w:rsidR="004B5768" w:rsidRDefault="004B5768" w:rsidP="004B5768">
            <w:pPr>
              <w:pStyle w:val="BodyText"/>
              <w:numPr>
                <w:ilvl w:val="0"/>
                <w:numId w:val="8"/>
              </w:numPr>
              <w:tabs>
                <w:tab w:val="left" w:pos="720"/>
                <w:tab w:val="left" w:pos="2268"/>
              </w:tabs>
              <w:spacing w:line="360" w:lineRule="auto"/>
              <w:jc w:val="both"/>
              <w:rPr>
                <w:rFonts w:ascii="Arial" w:hAnsi="Arial" w:cs="Arial"/>
              </w:rPr>
            </w:pPr>
            <w:proofErr w:type="gramStart"/>
            <w:r>
              <w:rPr>
                <w:rFonts w:ascii="Arial" w:hAnsi="Arial" w:cs="Arial"/>
              </w:rPr>
              <w:t>the</w:t>
            </w:r>
            <w:proofErr w:type="gramEnd"/>
            <w:r>
              <w:rPr>
                <w:rFonts w:ascii="Arial" w:hAnsi="Arial" w:cs="Arial"/>
              </w:rPr>
              <w:t xml:space="preserve"> amount of N$4 000 000</w:t>
            </w:r>
            <w:r w:rsidR="00F20BD6">
              <w:rPr>
                <w:rFonts w:ascii="Arial" w:hAnsi="Arial" w:cs="Arial"/>
              </w:rPr>
              <w:t>.</w:t>
            </w:r>
          </w:p>
          <w:p w:rsidR="004B5768" w:rsidRDefault="00ED72BE" w:rsidP="004B5768">
            <w:pPr>
              <w:pStyle w:val="BodyText"/>
              <w:numPr>
                <w:ilvl w:val="0"/>
                <w:numId w:val="8"/>
              </w:numPr>
              <w:tabs>
                <w:tab w:val="left" w:pos="720"/>
                <w:tab w:val="left" w:pos="2268"/>
              </w:tabs>
              <w:spacing w:line="360" w:lineRule="auto"/>
              <w:jc w:val="both"/>
              <w:rPr>
                <w:rFonts w:ascii="Arial" w:hAnsi="Arial" w:cs="Arial"/>
              </w:rPr>
            </w:pPr>
            <w:r>
              <w:rPr>
                <w:rFonts w:ascii="Arial" w:hAnsi="Arial" w:cs="Arial"/>
              </w:rPr>
              <w:t xml:space="preserve"> interest at the rate of 20% from date of judgment to date of payment; </w:t>
            </w:r>
            <w:r w:rsidR="00CB7C22">
              <w:rPr>
                <w:rFonts w:ascii="Arial" w:hAnsi="Arial" w:cs="Arial"/>
              </w:rPr>
              <w:t>and</w:t>
            </w:r>
          </w:p>
          <w:p w:rsidR="0055325D" w:rsidRPr="0055325D" w:rsidRDefault="00CB7C22" w:rsidP="0055325D">
            <w:pPr>
              <w:pStyle w:val="BodyText"/>
              <w:numPr>
                <w:ilvl w:val="0"/>
                <w:numId w:val="8"/>
              </w:numPr>
              <w:tabs>
                <w:tab w:val="left" w:pos="720"/>
                <w:tab w:val="left" w:pos="2268"/>
              </w:tabs>
              <w:spacing w:line="360" w:lineRule="auto"/>
              <w:jc w:val="both"/>
              <w:rPr>
                <w:rFonts w:ascii="Arial" w:hAnsi="Arial" w:cs="Arial"/>
              </w:rPr>
            </w:pPr>
            <w:r>
              <w:rPr>
                <w:rFonts w:ascii="Arial" w:hAnsi="Arial" w:cs="Arial"/>
              </w:rPr>
              <w:t xml:space="preserve"> </w:t>
            </w:r>
            <w:proofErr w:type="gramStart"/>
            <w:r>
              <w:rPr>
                <w:rFonts w:ascii="Arial" w:hAnsi="Arial" w:cs="Arial"/>
              </w:rPr>
              <w:t>cost</w:t>
            </w:r>
            <w:proofErr w:type="gramEnd"/>
            <w:r>
              <w:rPr>
                <w:rFonts w:ascii="Arial" w:hAnsi="Arial" w:cs="Arial"/>
              </w:rPr>
              <w:t xml:space="preserve"> of suit. </w:t>
            </w:r>
          </w:p>
          <w:p w:rsidR="002117A1" w:rsidRDefault="00E42D5C" w:rsidP="002117A1">
            <w:pPr>
              <w:pStyle w:val="BodyText"/>
              <w:tabs>
                <w:tab w:val="left" w:pos="720"/>
                <w:tab w:val="left" w:pos="2268"/>
              </w:tabs>
              <w:spacing w:line="360" w:lineRule="auto"/>
              <w:jc w:val="both"/>
              <w:rPr>
                <w:rFonts w:ascii="Arial" w:hAnsi="Arial" w:cs="Arial"/>
              </w:rPr>
            </w:pPr>
            <w:r>
              <w:rPr>
                <w:rFonts w:ascii="Arial" w:hAnsi="Arial" w:cs="Arial"/>
              </w:rPr>
              <w:t>[4</w:t>
            </w:r>
            <w:r w:rsidR="004B2C8C">
              <w:rPr>
                <w:rFonts w:ascii="Arial" w:hAnsi="Arial" w:cs="Arial"/>
              </w:rPr>
              <w:t>]</w:t>
            </w:r>
            <w:r w:rsidR="00CB7C22">
              <w:rPr>
                <w:rFonts w:ascii="Arial" w:hAnsi="Arial" w:cs="Arial"/>
              </w:rPr>
              <w:t xml:space="preserve"> </w:t>
            </w:r>
            <w:r w:rsidR="004B2C8C">
              <w:rPr>
                <w:rFonts w:ascii="Arial" w:hAnsi="Arial" w:cs="Arial"/>
              </w:rPr>
              <w:t xml:space="preserve">     </w:t>
            </w:r>
            <w:r w:rsidR="00CB7C22">
              <w:rPr>
                <w:rFonts w:ascii="Arial" w:hAnsi="Arial" w:cs="Arial"/>
              </w:rPr>
              <w:t xml:space="preserve">The </w:t>
            </w:r>
            <w:r w:rsidR="00915D92">
              <w:rPr>
                <w:rFonts w:ascii="Arial" w:hAnsi="Arial" w:cs="Arial"/>
              </w:rPr>
              <w:t>plaintiff</w:t>
            </w:r>
            <w:r w:rsidR="00CF38A2">
              <w:rPr>
                <w:rFonts w:ascii="Arial" w:hAnsi="Arial" w:cs="Arial"/>
              </w:rPr>
              <w:t xml:space="preserve">’s </w:t>
            </w:r>
            <w:r w:rsidR="00CB7C22">
              <w:rPr>
                <w:rFonts w:ascii="Arial" w:hAnsi="Arial" w:cs="Arial"/>
              </w:rPr>
              <w:t>principal</w:t>
            </w:r>
            <w:r w:rsidR="00CF38A2">
              <w:rPr>
                <w:rFonts w:ascii="Arial" w:hAnsi="Arial" w:cs="Arial"/>
              </w:rPr>
              <w:t xml:space="preserve"> claim</w:t>
            </w:r>
            <w:r w:rsidR="00915D92">
              <w:rPr>
                <w:rFonts w:ascii="Arial" w:hAnsi="Arial" w:cs="Arial"/>
              </w:rPr>
              <w:t xml:space="preserve">s that </w:t>
            </w:r>
            <w:r w:rsidR="00CF38A2">
              <w:rPr>
                <w:rFonts w:ascii="Arial" w:hAnsi="Arial" w:cs="Arial"/>
              </w:rPr>
              <w:t>the 1</w:t>
            </w:r>
            <w:r w:rsidR="00CF38A2" w:rsidRPr="00CF38A2">
              <w:rPr>
                <w:rFonts w:ascii="Arial" w:hAnsi="Arial" w:cs="Arial"/>
                <w:vertAlign w:val="superscript"/>
              </w:rPr>
              <w:t>st</w:t>
            </w:r>
            <w:r w:rsidR="00CF38A2">
              <w:rPr>
                <w:rFonts w:ascii="Arial" w:hAnsi="Arial" w:cs="Arial"/>
              </w:rPr>
              <w:t xml:space="preserve"> defendant and 3</w:t>
            </w:r>
            <w:r w:rsidR="00CF38A2" w:rsidRPr="00CF38A2">
              <w:rPr>
                <w:rFonts w:ascii="Arial" w:hAnsi="Arial" w:cs="Arial"/>
                <w:vertAlign w:val="superscript"/>
              </w:rPr>
              <w:t>rd</w:t>
            </w:r>
            <w:r w:rsidR="00CF38A2">
              <w:rPr>
                <w:rFonts w:ascii="Arial" w:hAnsi="Arial" w:cs="Arial"/>
              </w:rPr>
              <w:t xml:space="preserve"> defendant (and by necessary implication the 2</w:t>
            </w:r>
            <w:r w:rsidR="00CF38A2" w:rsidRPr="00CF38A2">
              <w:rPr>
                <w:rFonts w:ascii="Arial" w:hAnsi="Arial" w:cs="Arial"/>
                <w:vertAlign w:val="superscript"/>
              </w:rPr>
              <w:t>nd</w:t>
            </w:r>
            <w:r w:rsidR="00CF38A2">
              <w:rPr>
                <w:rFonts w:ascii="Arial" w:hAnsi="Arial" w:cs="Arial"/>
              </w:rPr>
              <w:t xml:space="preserve"> defendant) unduly influenced him to enter into the se</w:t>
            </w:r>
            <w:r w:rsidR="00EB501D">
              <w:rPr>
                <w:rFonts w:ascii="Arial" w:hAnsi="Arial" w:cs="Arial"/>
              </w:rPr>
              <w:t xml:space="preserve">ttlement </w:t>
            </w:r>
            <w:r w:rsidR="00CF38A2">
              <w:rPr>
                <w:rFonts w:ascii="Arial" w:hAnsi="Arial" w:cs="Arial"/>
              </w:rPr>
              <w:t xml:space="preserve">agreement. The alternative claim is for </w:t>
            </w:r>
            <w:r w:rsidR="00EB501D">
              <w:rPr>
                <w:rFonts w:ascii="Arial" w:hAnsi="Arial" w:cs="Arial"/>
              </w:rPr>
              <w:t>damages arising from the 3</w:t>
            </w:r>
            <w:r w:rsidR="00EB501D" w:rsidRPr="00EB501D">
              <w:rPr>
                <w:rFonts w:ascii="Arial" w:hAnsi="Arial" w:cs="Arial"/>
                <w:vertAlign w:val="superscript"/>
              </w:rPr>
              <w:t>rd</w:t>
            </w:r>
            <w:r w:rsidR="00EB501D">
              <w:rPr>
                <w:rFonts w:ascii="Arial" w:hAnsi="Arial" w:cs="Arial"/>
              </w:rPr>
              <w:t xml:space="preserve"> and by implication 2</w:t>
            </w:r>
            <w:r w:rsidR="00EB501D" w:rsidRPr="00EB501D">
              <w:rPr>
                <w:rFonts w:ascii="Arial" w:hAnsi="Arial" w:cs="Arial"/>
                <w:vertAlign w:val="superscript"/>
              </w:rPr>
              <w:t>nd</w:t>
            </w:r>
            <w:r w:rsidR="00EB501D">
              <w:rPr>
                <w:rFonts w:ascii="Arial" w:hAnsi="Arial" w:cs="Arial"/>
              </w:rPr>
              <w:t xml:space="preserve"> defendant’s breach of</w:t>
            </w:r>
            <w:r w:rsidR="00CF38A2">
              <w:rPr>
                <w:rFonts w:ascii="Arial" w:hAnsi="Arial" w:cs="Arial"/>
              </w:rPr>
              <w:t xml:space="preserve"> contract by providing incorrect and negligent advice </w:t>
            </w:r>
            <w:proofErr w:type="spellStart"/>
            <w:r w:rsidR="00EB501D">
              <w:rPr>
                <w:rFonts w:ascii="Arial" w:hAnsi="Arial" w:cs="Arial"/>
              </w:rPr>
              <w:t>i.e</w:t>
            </w:r>
            <w:proofErr w:type="spellEnd"/>
            <w:r w:rsidR="00EB501D">
              <w:rPr>
                <w:rFonts w:ascii="Arial" w:hAnsi="Arial" w:cs="Arial"/>
              </w:rPr>
              <w:t xml:space="preserve"> professional negligence. </w:t>
            </w:r>
          </w:p>
          <w:p w:rsidR="0055325D" w:rsidRDefault="0055325D" w:rsidP="002117A1">
            <w:pPr>
              <w:pStyle w:val="BodyText"/>
              <w:tabs>
                <w:tab w:val="left" w:pos="720"/>
                <w:tab w:val="left" w:pos="2268"/>
              </w:tabs>
              <w:spacing w:line="360" w:lineRule="auto"/>
              <w:jc w:val="both"/>
              <w:rPr>
                <w:rFonts w:ascii="Arial" w:hAnsi="Arial" w:cs="Arial"/>
              </w:rPr>
            </w:pPr>
          </w:p>
          <w:p w:rsidR="00EB501D" w:rsidRPr="00EB501D" w:rsidRDefault="00EB501D" w:rsidP="002117A1">
            <w:pPr>
              <w:pStyle w:val="BodyText"/>
              <w:tabs>
                <w:tab w:val="left" w:pos="720"/>
                <w:tab w:val="left" w:pos="2268"/>
              </w:tabs>
              <w:spacing w:line="360" w:lineRule="auto"/>
              <w:jc w:val="both"/>
              <w:rPr>
                <w:rFonts w:ascii="Arial" w:hAnsi="Arial" w:cs="Arial"/>
                <w:b/>
                <w:u w:val="single"/>
              </w:rPr>
            </w:pPr>
            <w:r w:rsidRPr="00EB501D">
              <w:rPr>
                <w:rFonts w:ascii="Arial" w:hAnsi="Arial" w:cs="Arial"/>
                <w:b/>
                <w:u w:val="single"/>
              </w:rPr>
              <w:t>The exception</w:t>
            </w:r>
          </w:p>
          <w:p w:rsidR="00B268E9" w:rsidRDefault="002117A1" w:rsidP="000131D4">
            <w:pPr>
              <w:pStyle w:val="BodyText"/>
              <w:tabs>
                <w:tab w:val="left" w:pos="720"/>
                <w:tab w:val="left" w:pos="2268"/>
              </w:tabs>
              <w:spacing w:line="360" w:lineRule="auto"/>
              <w:jc w:val="both"/>
              <w:rPr>
                <w:rFonts w:ascii="Arial" w:hAnsi="Arial" w:cs="Arial"/>
              </w:rPr>
            </w:pPr>
            <w:r w:rsidRPr="00133191">
              <w:rPr>
                <w:rFonts w:ascii="Arial" w:hAnsi="Arial" w:cs="Arial"/>
              </w:rPr>
              <w:t>[</w:t>
            </w:r>
            <w:r w:rsidR="00E42D5C">
              <w:rPr>
                <w:rFonts w:ascii="Arial" w:hAnsi="Arial" w:cs="Arial"/>
              </w:rPr>
              <w:t>5</w:t>
            </w:r>
            <w:r w:rsidRPr="00133191">
              <w:rPr>
                <w:rFonts w:ascii="Arial" w:hAnsi="Arial" w:cs="Arial"/>
              </w:rPr>
              <w:t>]</w:t>
            </w:r>
            <w:r w:rsidR="004B2C8C">
              <w:rPr>
                <w:rFonts w:ascii="Arial" w:hAnsi="Arial" w:cs="Arial"/>
              </w:rPr>
              <w:t xml:space="preserve">   </w:t>
            </w:r>
            <w:r w:rsidR="0055325D">
              <w:rPr>
                <w:rFonts w:ascii="Arial" w:hAnsi="Arial" w:cs="Arial"/>
              </w:rPr>
              <w:t xml:space="preserve">   </w:t>
            </w:r>
            <w:r w:rsidR="00E4540B">
              <w:rPr>
                <w:rFonts w:ascii="Arial" w:hAnsi="Arial" w:cs="Arial"/>
              </w:rPr>
              <w:t xml:space="preserve">The </w:t>
            </w:r>
            <w:r w:rsidR="00B268E9">
              <w:rPr>
                <w:rFonts w:ascii="Arial" w:hAnsi="Arial" w:cs="Arial"/>
              </w:rPr>
              <w:t>2</w:t>
            </w:r>
            <w:r w:rsidR="00B268E9" w:rsidRPr="00B268E9">
              <w:rPr>
                <w:rFonts w:ascii="Arial" w:hAnsi="Arial" w:cs="Arial"/>
                <w:vertAlign w:val="superscript"/>
              </w:rPr>
              <w:t>nd</w:t>
            </w:r>
            <w:r w:rsidR="00B268E9">
              <w:rPr>
                <w:rFonts w:ascii="Arial" w:hAnsi="Arial" w:cs="Arial"/>
              </w:rPr>
              <w:t xml:space="preserve"> and 3</w:t>
            </w:r>
            <w:r w:rsidR="00B268E9" w:rsidRPr="00B268E9">
              <w:rPr>
                <w:rFonts w:ascii="Arial" w:hAnsi="Arial" w:cs="Arial"/>
                <w:vertAlign w:val="superscript"/>
              </w:rPr>
              <w:t>rd</w:t>
            </w:r>
            <w:r w:rsidR="00B268E9">
              <w:rPr>
                <w:rFonts w:ascii="Arial" w:hAnsi="Arial" w:cs="Arial"/>
              </w:rPr>
              <w:t xml:space="preserve"> defendants initially raised 3 ground</w:t>
            </w:r>
            <w:r w:rsidR="000B6B59">
              <w:rPr>
                <w:rFonts w:ascii="Arial" w:hAnsi="Arial" w:cs="Arial"/>
              </w:rPr>
              <w:t>s</w:t>
            </w:r>
            <w:r w:rsidR="00B268E9">
              <w:rPr>
                <w:rFonts w:ascii="Arial" w:hAnsi="Arial" w:cs="Arial"/>
              </w:rPr>
              <w:t xml:space="preserve"> of exception but abandoned the 2</w:t>
            </w:r>
            <w:r w:rsidR="00B268E9" w:rsidRPr="00B268E9">
              <w:rPr>
                <w:rFonts w:ascii="Arial" w:hAnsi="Arial" w:cs="Arial"/>
                <w:vertAlign w:val="superscript"/>
              </w:rPr>
              <w:t>nd</w:t>
            </w:r>
            <w:r w:rsidR="00B268E9">
              <w:rPr>
                <w:rFonts w:ascii="Arial" w:hAnsi="Arial" w:cs="Arial"/>
              </w:rPr>
              <w:t xml:space="preserve"> ground. The remaining 2 grounds are as follow:</w:t>
            </w:r>
          </w:p>
          <w:p w:rsidR="00E26C89" w:rsidRDefault="00B268E9" w:rsidP="000131D4">
            <w:pPr>
              <w:pStyle w:val="BodyText"/>
              <w:tabs>
                <w:tab w:val="left" w:pos="720"/>
                <w:tab w:val="left" w:pos="2268"/>
              </w:tabs>
              <w:spacing w:line="360" w:lineRule="auto"/>
              <w:jc w:val="both"/>
              <w:rPr>
                <w:rFonts w:ascii="Arial" w:hAnsi="Arial" w:cs="Arial"/>
              </w:rPr>
            </w:pPr>
            <w:r>
              <w:rPr>
                <w:rFonts w:ascii="Arial" w:hAnsi="Arial" w:cs="Arial"/>
              </w:rPr>
              <w:t>(a) T</w:t>
            </w:r>
            <w:r w:rsidR="00E4540B">
              <w:rPr>
                <w:rFonts w:ascii="Arial" w:hAnsi="Arial" w:cs="Arial"/>
              </w:rPr>
              <w:t xml:space="preserve">he plaintiff’s principle claim does not disclose a cause of action </w:t>
            </w:r>
            <w:r w:rsidR="005B7E51">
              <w:rPr>
                <w:rFonts w:ascii="Arial" w:hAnsi="Arial" w:cs="Arial"/>
              </w:rPr>
              <w:t>against the 2</w:t>
            </w:r>
            <w:r w:rsidR="005B7E51" w:rsidRPr="005B7E51">
              <w:rPr>
                <w:rFonts w:ascii="Arial" w:hAnsi="Arial" w:cs="Arial"/>
                <w:vertAlign w:val="superscript"/>
              </w:rPr>
              <w:t>nd</w:t>
            </w:r>
            <w:r w:rsidR="005B7E51">
              <w:rPr>
                <w:rFonts w:ascii="Arial" w:hAnsi="Arial" w:cs="Arial"/>
              </w:rPr>
              <w:t xml:space="preserve"> and 3</w:t>
            </w:r>
            <w:r w:rsidR="005B7E51" w:rsidRPr="005B7E51">
              <w:rPr>
                <w:rFonts w:ascii="Arial" w:hAnsi="Arial" w:cs="Arial"/>
                <w:vertAlign w:val="superscript"/>
              </w:rPr>
              <w:t>rd</w:t>
            </w:r>
            <w:r w:rsidR="005B7E51">
              <w:rPr>
                <w:rFonts w:ascii="Arial" w:hAnsi="Arial" w:cs="Arial"/>
              </w:rPr>
              <w:t xml:space="preserve"> Defendant</w:t>
            </w:r>
            <w:r>
              <w:rPr>
                <w:rFonts w:ascii="Arial" w:hAnsi="Arial" w:cs="Arial"/>
              </w:rPr>
              <w:t xml:space="preserve"> alternatively is vague and embarrassing</w:t>
            </w:r>
            <w:r w:rsidR="00E26C89">
              <w:rPr>
                <w:rFonts w:ascii="Arial" w:hAnsi="Arial" w:cs="Arial"/>
              </w:rPr>
              <w:t xml:space="preserve"> for the following reasons:</w:t>
            </w:r>
          </w:p>
          <w:p w:rsidR="00E26C89" w:rsidRDefault="00EC1363" w:rsidP="00E26C89">
            <w:pPr>
              <w:pStyle w:val="BodyText"/>
              <w:numPr>
                <w:ilvl w:val="0"/>
                <w:numId w:val="9"/>
              </w:numPr>
              <w:tabs>
                <w:tab w:val="left" w:pos="720"/>
                <w:tab w:val="left" w:pos="2268"/>
              </w:tabs>
              <w:spacing w:line="360" w:lineRule="auto"/>
              <w:jc w:val="both"/>
              <w:rPr>
                <w:rFonts w:ascii="Arial" w:hAnsi="Arial" w:cs="Arial"/>
              </w:rPr>
            </w:pPr>
            <w:r>
              <w:rPr>
                <w:rFonts w:ascii="Arial" w:hAnsi="Arial" w:cs="Arial"/>
              </w:rPr>
              <w:lastRenderedPageBreak/>
              <w:t xml:space="preserve">The allegations made in support of the claim of </w:t>
            </w:r>
            <w:r w:rsidR="000B6B59">
              <w:rPr>
                <w:rFonts w:ascii="Arial" w:hAnsi="Arial" w:cs="Arial"/>
              </w:rPr>
              <w:t xml:space="preserve">undue influence in paragraph 11, </w:t>
            </w:r>
            <w:r>
              <w:rPr>
                <w:rFonts w:ascii="Arial" w:hAnsi="Arial" w:cs="Arial"/>
              </w:rPr>
              <w:t xml:space="preserve">12 and 13 of the plaintiff’s particulars of claim relies on advice given (which is not specified) and a special relationship. These allegations </w:t>
            </w:r>
            <w:r w:rsidR="00E26C89">
              <w:rPr>
                <w:rFonts w:ascii="Arial" w:hAnsi="Arial" w:cs="Arial"/>
              </w:rPr>
              <w:t>do not</w:t>
            </w:r>
            <w:r>
              <w:rPr>
                <w:rFonts w:ascii="Arial" w:hAnsi="Arial" w:cs="Arial"/>
              </w:rPr>
              <w:t xml:space="preserve"> establish a claim based on undue influence.</w:t>
            </w:r>
          </w:p>
          <w:p w:rsidR="00E26C89" w:rsidRDefault="00E26C89" w:rsidP="00E26C89">
            <w:pPr>
              <w:pStyle w:val="BodyText"/>
              <w:numPr>
                <w:ilvl w:val="0"/>
                <w:numId w:val="9"/>
              </w:numPr>
              <w:tabs>
                <w:tab w:val="left" w:pos="720"/>
                <w:tab w:val="left" w:pos="2268"/>
              </w:tabs>
              <w:spacing w:line="360" w:lineRule="auto"/>
              <w:jc w:val="both"/>
              <w:rPr>
                <w:rFonts w:ascii="Arial" w:hAnsi="Arial" w:cs="Arial"/>
              </w:rPr>
            </w:pPr>
            <w:r>
              <w:rPr>
                <w:rFonts w:ascii="Arial" w:hAnsi="Arial" w:cs="Arial"/>
              </w:rPr>
              <w:t>N</w:t>
            </w:r>
            <w:r w:rsidR="00EC1363">
              <w:rPr>
                <w:rFonts w:ascii="Arial" w:hAnsi="Arial" w:cs="Arial"/>
              </w:rPr>
              <w:t>o allegation is made that the undue influence was contra bones mores; and</w:t>
            </w:r>
          </w:p>
          <w:p w:rsidR="00EC1363" w:rsidRDefault="000B6B59" w:rsidP="00E26C89">
            <w:pPr>
              <w:pStyle w:val="BodyText"/>
              <w:numPr>
                <w:ilvl w:val="0"/>
                <w:numId w:val="9"/>
              </w:numPr>
              <w:tabs>
                <w:tab w:val="left" w:pos="720"/>
                <w:tab w:val="left" w:pos="2268"/>
              </w:tabs>
              <w:spacing w:line="360" w:lineRule="auto"/>
              <w:jc w:val="both"/>
              <w:rPr>
                <w:rFonts w:ascii="Arial" w:hAnsi="Arial" w:cs="Arial"/>
              </w:rPr>
            </w:pPr>
            <w:r>
              <w:rPr>
                <w:rFonts w:ascii="Arial" w:hAnsi="Arial" w:cs="Arial"/>
              </w:rPr>
              <w:t>The</w:t>
            </w:r>
            <w:r w:rsidR="00EC1363">
              <w:rPr>
                <w:rFonts w:ascii="Arial" w:hAnsi="Arial" w:cs="Arial"/>
              </w:rPr>
              <w:t xml:space="preserve"> plaintiff does not allege that he did not enter into the agreement out of his own free will. </w:t>
            </w:r>
          </w:p>
          <w:p w:rsidR="00E26C89" w:rsidRDefault="00B268E9" w:rsidP="000131D4">
            <w:pPr>
              <w:pStyle w:val="BodyText"/>
              <w:tabs>
                <w:tab w:val="left" w:pos="720"/>
                <w:tab w:val="left" w:pos="2268"/>
              </w:tabs>
              <w:spacing w:line="360" w:lineRule="auto"/>
              <w:jc w:val="both"/>
              <w:rPr>
                <w:rFonts w:ascii="Arial" w:hAnsi="Arial" w:cs="Arial"/>
              </w:rPr>
            </w:pPr>
            <w:r>
              <w:rPr>
                <w:rFonts w:ascii="Arial" w:hAnsi="Arial" w:cs="Arial"/>
              </w:rPr>
              <w:t xml:space="preserve">(b) </w:t>
            </w:r>
            <w:r w:rsidR="00192D87">
              <w:rPr>
                <w:rFonts w:ascii="Arial" w:hAnsi="Arial" w:cs="Arial"/>
              </w:rPr>
              <w:t xml:space="preserve">The </w:t>
            </w:r>
            <w:r w:rsidR="00E26C89">
              <w:rPr>
                <w:rFonts w:ascii="Arial" w:hAnsi="Arial" w:cs="Arial"/>
              </w:rPr>
              <w:t xml:space="preserve">last </w:t>
            </w:r>
            <w:r w:rsidR="00192D87">
              <w:rPr>
                <w:rFonts w:ascii="Arial" w:hAnsi="Arial" w:cs="Arial"/>
              </w:rPr>
              <w:t>ground relate</w:t>
            </w:r>
            <w:r w:rsidR="000B6B59">
              <w:rPr>
                <w:rFonts w:ascii="Arial" w:hAnsi="Arial" w:cs="Arial"/>
              </w:rPr>
              <w:t>s</w:t>
            </w:r>
            <w:r w:rsidR="00192D87">
              <w:rPr>
                <w:rFonts w:ascii="Arial" w:hAnsi="Arial" w:cs="Arial"/>
              </w:rPr>
              <w:t xml:space="preserve"> to the alternative claim. The 2</w:t>
            </w:r>
            <w:r w:rsidR="00192D87" w:rsidRPr="00192D87">
              <w:rPr>
                <w:rFonts w:ascii="Arial" w:hAnsi="Arial" w:cs="Arial"/>
                <w:vertAlign w:val="superscript"/>
              </w:rPr>
              <w:t>nd</w:t>
            </w:r>
            <w:r w:rsidR="00192D87">
              <w:rPr>
                <w:rFonts w:ascii="Arial" w:hAnsi="Arial" w:cs="Arial"/>
              </w:rPr>
              <w:t xml:space="preserve"> and 3</w:t>
            </w:r>
            <w:r w:rsidR="00192D87" w:rsidRPr="00192D87">
              <w:rPr>
                <w:rFonts w:ascii="Arial" w:hAnsi="Arial" w:cs="Arial"/>
                <w:vertAlign w:val="superscript"/>
              </w:rPr>
              <w:t>rd</w:t>
            </w:r>
            <w:r w:rsidR="000B6B59">
              <w:rPr>
                <w:rFonts w:ascii="Arial" w:hAnsi="Arial" w:cs="Arial"/>
              </w:rPr>
              <w:t xml:space="preserve"> defendants maintain</w:t>
            </w:r>
            <w:r w:rsidR="00192D87">
              <w:rPr>
                <w:rFonts w:ascii="Arial" w:hAnsi="Arial" w:cs="Arial"/>
              </w:rPr>
              <w:t xml:space="preserve"> that the alternative claim does not contain the necessary averments to disclose a cause of action</w:t>
            </w:r>
            <w:r>
              <w:rPr>
                <w:rFonts w:ascii="Arial" w:hAnsi="Arial" w:cs="Arial"/>
              </w:rPr>
              <w:t xml:space="preserve"> alternatively are vague and embarrassing</w:t>
            </w:r>
            <w:r w:rsidR="00192D87">
              <w:rPr>
                <w:rFonts w:ascii="Arial" w:hAnsi="Arial" w:cs="Arial"/>
              </w:rPr>
              <w:t xml:space="preserve"> in that: </w:t>
            </w:r>
          </w:p>
          <w:p w:rsidR="00E26C89" w:rsidRPr="000B6B59" w:rsidRDefault="00192D87" w:rsidP="000B6B59">
            <w:pPr>
              <w:pStyle w:val="BodyText"/>
              <w:numPr>
                <w:ilvl w:val="0"/>
                <w:numId w:val="10"/>
              </w:numPr>
              <w:tabs>
                <w:tab w:val="left" w:pos="720"/>
                <w:tab w:val="left" w:pos="2268"/>
              </w:tabs>
              <w:spacing w:line="360" w:lineRule="auto"/>
              <w:jc w:val="both"/>
              <w:rPr>
                <w:rFonts w:ascii="Arial" w:hAnsi="Arial" w:cs="Arial"/>
              </w:rPr>
            </w:pPr>
            <w:r>
              <w:rPr>
                <w:rFonts w:ascii="Arial" w:hAnsi="Arial" w:cs="Arial"/>
              </w:rPr>
              <w:t>the plaintiff does not show how the amount of the N$</w:t>
            </w:r>
            <w:r w:rsidR="000B6B59" w:rsidRPr="000B6B59">
              <w:rPr>
                <w:rFonts w:ascii="Arial" w:hAnsi="Arial" w:cs="Arial"/>
              </w:rPr>
              <w:t>4 000 000</w:t>
            </w:r>
            <w:r w:rsidR="00204048">
              <w:rPr>
                <w:rFonts w:ascii="Arial" w:hAnsi="Arial" w:cs="Arial"/>
              </w:rPr>
              <w:t>.00</w:t>
            </w:r>
            <w:r w:rsidRPr="000B6B59">
              <w:rPr>
                <w:rFonts w:ascii="Arial" w:hAnsi="Arial" w:cs="Arial"/>
              </w:rPr>
              <w:t xml:space="preserve"> is calculated and arrived at; </w:t>
            </w:r>
          </w:p>
          <w:p w:rsidR="00192D87" w:rsidRDefault="00192D87" w:rsidP="00E26C89">
            <w:pPr>
              <w:pStyle w:val="BodyText"/>
              <w:numPr>
                <w:ilvl w:val="0"/>
                <w:numId w:val="10"/>
              </w:numPr>
              <w:tabs>
                <w:tab w:val="left" w:pos="720"/>
                <w:tab w:val="left" w:pos="2268"/>
              </w:tabs>
              <w:spacing w:line="360" w:lineRule="auto"/>
              <w:jc w:val="both"/>
              <w:rPr>
                <w:rFonts w:ascii="Arial" w:hAnsi="Arial" w:cs="Arial"/>
              </w:rPr>
            </w:pPr>
            <w:proofErr w:type="gramStart"/>
            <w:r>
              <w:rPr>
                <w:rFonts w:ascii="Arial" w:hAnsi="Arial" w:cs="Arial"/>
              </w:rPr>
              <w:t>and</w:t>
            </w:r>
            <w:proofErr w:type="gramEnd"/>
            <w:r w:rsidR="000B6B59">
              <w:rPr>
                <w:rFonts w:ascii="Arial" w:hAnsi="Arial" w:cs="Arial"/>
              </w:rPr>
              <w:t xml:space="preserve"> that</w:t>
            </w:r>
            <w:r>
              <w:rPr>
                <w:rFonts w:ascii="Arial" w:hAnsi="Arial" w:cs="Arial"/>
              </w:rPr>
              <w:t xml:space="preserve"> the plaintiff</w:t>
            </w:r>
            <w:r w:rsidR="00B268E9">
              <w:rPr>
                <w:rFonts w:ascii="Arial" w:hAnsi="Arial" w:cs="Arial"/>
              </w:rPr>
              <w:t xml:space="preserve"> fail</w:t>
            </w:r>
            <w:r>
              <w:rPr>
                <w:rFonts w:ascii="Arial" w:hAnsi="Arial" w:cs="Arial"/>
              </w:rPr>
              <w:t xml:space="preserve">s to aver that the damages were within the contemplation of the parties when they entered the agreement. </w:t>
            </w:r>
          </w:p>
          <w:p w:rsidR="000B6B59" w:rsidRDefault="000B6B59" w:rsidP="000B6B59">
            <w:pPr>
              <w:pStyle w:val="BodyText"/>
              <w:tabs>
                <w:tab w:val="left" w:pos="720"/>
                <w:tab w:val="left" w:pos="2268"/>
              </w:tabs>
              <w:spacing w:line="360" w:lineRule="auto"/>
              <w:jc w:val="both"/>
              <w:rPr>
                <w:rFonts w:ascii="Arial" w:hAnsi="Arial" w:cs="Arial"/>
              </w:rPr>
            </w:pPr>
          </w:p>
          <w:p w:rsidR="005C6912" w:rsidRPr="005C6912" w:rsidRDefault="005C6912" w:rsidP="005C6912">
            <w:pPr>
              <w:pStyle w:val="BodyText"/>
              <w:tabs>
                <w:tab w:val="left" w:pos="720"/>
                <w:tab w:val="left" w:pos="2268"/>
              </w:tabs>
              <w:spacing w:line="360" w:lineRule="auto"/>
              <w:jc w:val="both"/>
              <w:rPr>
                <w:rFonts w:ascii="Arial" w:hAnsi="Arial" w:cs="Arial"/>
                <w:u w:val="single"/>
              </w:rPr>
            </w:pPr>
            <w:r w:rsidRPr="005C6912">
              <w:rPr>
                <w:rFonts w:ascii="Arial" w:hAnsi="Arial" w:cs="Arial"/>
                <w:u w:val="single"/>
              </w:rPr>
              <w:t>Exception not rule-compliant</w:t>
            </w:r>
          </w:p>
          <w:p w:rsidR="00BC336E" w:rsidRDefault="002117A1" w:rsidP="000131D4">
            <w:pPr>
              <w:pStyle w:val="BodyText"/>
              <w:tabs>
                <w:tab w:val="left" w:pos="720"/>
                <w:tab w:val="left" w:pos="2268"/>
              </w:tabs>
              <w:spacing w:line="360" w:lineRule="auto"/>
              <w:jc w:val="both"/>
              <w:rPr>
                <w:rFonts w:ascii="Arial" w:hAnsi="Arial" w:cs="Arial"/>
              </w:rPr>
            </w:pPr>
            <w:r w:rsidRPr="00133191">
              <w:rPr>
                <w:rFonts w:ascii="Arial" w:hAnsi="Arial" w:cs="Arial"/>
              </w:rPr>
              <w:t>[</w:t>
            </w:r>
            <w:r w:rsidR="00E42D5C">
              <w:rPr>
                <w:rFonts w:ascii="Arial" w:hAnsi="Arial" w:cs="Arial"/>
              </w:rPr>
              <w:t>6</w:t>
            </w:r>
            <w:r w:rsidRPr="00133191">
              <w:rPr>
                <w:rFonts w:ascii="Arial" w:hAnsi="Arial" w:cs="Arial"/>
              </w:rPr>
              <w:t>]</w:t>
            </w:r>
            <w:r w:rsidRPr="00133191">
              <w:rPr>
                <w:rFonts w:ascii="Arial" w:hAnsi="Arial" w:cs="Arial"/>
              </w:rPr>
              <w:tab/>
            </w:r>
            <w:r w:rsidR="009D38BB">
              <w:rPr>
                <w:rFonts w:ascii="Arial" w:hAnsi="Arial" w:cs="Arial"/>
              </w:rPr>
              <w:t xml:space="preserve">Mr </w:t>
            </w:r>
            <w:proofErr w:type="spellStart"/>
            <w:r w:rsidR="009D38BB">
              <w:rPr>
                <w:rFonts w:ascii="Arial" w:hAnsi="Arial" w:cs="Arial"/>
              </w:rPr>
              <w:t>Strydom</w:t>
            </w:r>
            <w:proofErr w:type="spellEnd"/>
            <w:r w:rsidR="009D38BB">
              <w:rPr>
                <w:rFonts w:ascii="Arial" w:hAnsi="Arial" w:cs="Arial"/>
              </w:rPr>
              <w:t>, counsel for the Plaintiff</w:t>
            </w:r>
            <w:r w:rsidR="00E26C89">
              <w:rPr>
                <w:rFonts w:ascii="Arial" w:hAnsi="Arial" w:cs="Arial"/>
              </w:rPr>
              <w:t xml:space="preserve"> during argument raised the point that </w:t>
            </w:r>
            <w:r w:rsidR="009D38BB">
              <w:rPr>
                <w:rFonts w:ascii="Arial" w:hAnsi="Arial" w:cs="Arial"/>
              </w:rPr>
              <w:t>no notice of exception was filed</w:t>
            </w:r>
            <w:r w:rsidR="007F1E9B">
              <w:rPr>
                <w:rFonts w:ascii="Arial" w:hAnsi="Arial" w:cs="Arial"/>
              </w:rPr>
              <w:t xml:space="preserve"> and the procedure adopted by the defendants are</w:t>
            </w:r>
            <w:r w:rsidR="00E26C89">
              <w:rPr>
                <w:rFonts w:ascii="Arial" w:hAnsi="Arial" w:cs="Arial"/>
              </w:rPr>
              <w:t xml:space="preserve"> thus </w:t>
            </w:r>
            <w:r w:rsidR="007F1E9B">
              <w:rPr>
                <w:rFonts w:ascii="Arial" w:hAnsi="Arial" w:cs="Arial"/>
              </w:rPr>
              <w:t xml:space="preserve">flawed. Ms Van Der </w:t>
            </w:r>
            <w:proofErr w:type="spellStart"/>
            <w:r w:rsidR="007F1E9B">
              <w:rPr>
                <w:rFonts w:ascii="Arial" w:hAnsi="Arial" w:cs="Arial"/>
              </w:rPr>
              <w:t>Westhuizen</w:t>
            </w:r>
            <w:proofErr w:type="spellEnd"/>
            <w:r w:rsidR="007F1E9B">
              <w:rPr>
                <w:rFonts w:ascii="Arial" w:hAnsi="Arial" w:cs="Arial"/>
              </w:rPr>
              <w:t xml:space="preserve"> referred the court to a Joint Status report dated 16 October 2019 wherein the parties indicated that counsel met in terms of Rule 32 (9) in order to determine whether the exception cannot be </w:t>
            </w:r>
            <w:r w:rsidR="00BC336E">
              <w:rPr>
                <w:rFonts w:ascii="Arial" w:hAnsi="Arial" w:cs="Arial"/>
              </w:rPr>
              <w:t>amicably</w:t>
            </w:r>
            <w:r w:rsidR="007F1E9B">
              <w:rPr>
                <w:rFonts w:ascii="Arial" w:hAnsi="Arial" w:cs="Arial"/>
              </w:rPr>
              <w:t xml:space="preserve"> resolved. The </w:t>
            </w:r>
            <w:r w:rsidR="00E42D5C">
              <w:rPr>
                <w:rFonts w:ascii="Arial" w:hAnsi="Arial" w:cs="Arial"/>
              </w:rPr>
              <w:t>s</w:t>
            </w:r>
            <w:r w:rsidR="00E26C89">
              <w:rPr>
                <w:rFonts w:ascii="Arial" w:hAnsi="Arial" w:cs="Arial"/>
              </w:rPr>
              <w:t xml:space="preserve">tatus report reflects that the </w:t>
            </w:r>
            <w:r w:rsidR="007F1E9B">
              <w:rPr>
                <w:rFonts w:ascii="Arial" w:hAnsi="Arial" w:cs="Arial"/>
              </w:rPr>
              <w:t>g</w:t>
            </w:r>
            <w:r w:rsidR="00E26C89">
              <w:rPr>
                <w:rFonts w:ascii="Arial" w:hAnsi="Arial" w:cs="Arial"/>
              </w:rPr>
              <w:t>r</w:t>
            </w:r>
            <w:r w:rsidR="007F1E9B">
              <w:rPr>
                <w:rFonts w:ascii="Arial" w:hAnsi="Arial" w:cs="Arial"/>
              </w:rPr>
              <w:t>oun</w:t>
            </w:r>
            <w:r w:rsidR="00E26C89">
              <w:rPr>
                <w:rFonts w:ascii="Arial" w:hAnsi="Arial" w:cs="Arial"/>
              </w:rPr>
              <w:t>ds for the intended exception were</w:t>
            </w:r>
            <w:r w:rsidR="007F1E9B">
              <w:rPr>
                <w:rFonts w:ascii="Arial" w:hAnsi="Arial" w:cs="Arial"/>
              </w:rPr>
              <w:t xml:space="preserve"> disclosed to </w:t>
            </w:r>
            <w:r w:rsidR="00E26C89">
              <w:rPr>
                <w:rFonts w:ascii="Arial" w:hAnsi="Arial" w:cs="Arial"/>
              </w:rPr>
              <w:t>p</w:t>
            </w:r>
            <w:r w:rsidR="007F1E9B">
              <w:rPr>
                <w:rFonts w:ascii="Arial" w:hAnsi="Arial" w:cs="Arial"/>
              </w:rPr>
              <w:t xml:space="preserve">laintiff and the parties agreed that </w:t>
            </w:r>
            <w:r w:rsidR="00E26C89">
              <w:rPr>
                <w:rFonts w:ascii="Arial" w:hAnsi="Arial" w:cs="Arial"/>
              </w:rPr>
              <w:t>p</w:t>
            </w:r>
            <w:r w:rsidR="007F1E9B">
              <w:rPr>
                <w:rFonts w:ascii="Arial" w:hAnsi="Arial" w:cs="Arial"/>
              </w:rPr>
              <w:t>laintiff would file amended particulars of claim on or before 1 November 2020. No notice</w:t>
            </w:r>
            <w:r w:rsidR="00E26C89">
              <w:rPr>
                <w:rFonts w:ascii="Arial" w:hAnsi="Arial" w:cs="Arial"/>
              </w:rPr>
              <w:t xml:space="preserve"> of </w:t>
            </w:r>
            <w:r w:rsidR="007F1E9B">
              <w:rPr>
                <w:rFonts w:ascii="Arial" w:hAnsi="Arial" w:cs="Arial"/>
              </w:rPr>
              <w:t xml:space="preserve">amendment was filed and the defendant proceeded to file the Exception. She submitted that this afforded the plaintiff the opportunity to remove the cause of complaint and the Plaintiff in any event did not object to the irregular step </w:t>
            </w:r>
            <w:r w:rsidR="00BC336E">
              <w:rPr>
                <w:rFonts w:ascii="Arial" w:hAnsi="Arial" w:cs="Arial"/>
              </w:rPr>
              <w:t xml:space="preserve">and in fact </w:t>
            </w:r>
            <w:r w:rsidR="007F1E9B">
              <w:rPr>
                <w:rFonts w:ascii="Arial" w:hAnsi="Arial" w:cs="Arial"/>
              </w:rPr>
              <w:t>took a further step</w:t>
            </w:r>
            <w:r w:rsidR="00BC336E">
              <w:rPr>
                <w:rFonts w:ascii="Arial" w:hAnsi="Arial" w:cs="Arial"/>
              </w:rPr>
              <w:t xml:space="preserve"> in the proceedings.</w:t>
            </w:r>
          </w:p>
          <w:p w:rsidR="000B6B59" w:rsidRDefault="000B6B59" w:rsidP="000131D4">
            <w:pPr>
              <w:pStyle w:val="BodyText"/>
              <w:tabs>
                <w:tab w:val="left" w:pos="720"/>
                <w:tab w:val="left" w:pos="2268"/>
              </w:tabs>
              <w:spacing w:line="360" w:lineRule="auto"/>
              <w:jc w:val="both"/>
              <w:rPr>
                <w:rFonts w:ascii="Arial" w:hAnsi="Arial" w:cs="Arial"/>
              </w:rPr>
            </w:pPr>
          </w:p>
          <w:p w:rsidR="00BC336E" w:rsidRDefault="00E42D5C" w:rsidP="005C5432">
            <w:pPr>
              <w:pStyle w:val="BodyText"/>
              <w:tabs>
                <w:tab w:val="left" w:pos="720"/>
                <w:tab w:val="left" w:pos="2268"/>
              </w:tabs>
              <w:spacing w:line="360" w:lineRule="auto"/>
              <w:jc w:val="both"/>
              <w:rPr>
                <w:rFonts w:ascii="Arial" w:hAnsi="Arial" w:cs="Arial"/>
              </w:rPr>
            </w:pPr>
            <w:r>
              <w:rPr>
                <w:rFonts w:ascii="Arial" w:hAnsi="Arial" w:cs="Arial"/>
              </w:rPr>
              <w:t>[7</w:t>
            </w:r>
            <w:r w:rsidR="00106D30">
              <w:rPr>
                <w:rFonts w:ascii="Arial" w:hAnsi="Arial" w:cs="Arial"/>
              </w:rPr>
              <w:t xml:space="preserve">]       </w:t>
            </w:r>
            <w:r w:rsidR="00BC336E">
              <w:rPr>
                <w:rFonts w:ascii="Arial" w:hAnsi="Arial" w:cs="Arial"/>
              </w:rPr>
              <w:t xml:space="preserve">In </w:t>
            </w:r>
            <w:r w:rsidR="00106D30" w:rsidRPr="00E26C89">
              <w:rPr>
                <w:rFonts w:ascii="Arial" w:hAnsi="Arial" w:cs="Arial"/>
                <w:i/>
              </w:rPr>
              <w:t>Hayley Fay</w:t>
            </w:r>
            <w:r w:rsidR="00BC336E" w:rsidRPr="00E26C89">
              <w:rPr>
                <w:rFonts w:ascii="Arial" w:hAnsi="Arial" w:cs="Arial"/>
                <w:i/>
              </w:rPr>
              <w:t xml:space="preserve"> t/a H</w:t>
            </w:r>
            <w:r w:rsidR="00106D30" w:rsidRPr="00E26C89">
              <w:rPr>
                <w:rFonts w:ascii="Arial" w:hAnsi="Arial" w:cs="Arial"/>
                <w:i/>
              </w:rPr>
              <w:t xml:space="preserve">ayley </w:t>
            </w:r>
            <w:r w:rsidR="00BC336E" w:rsidRPr="00E26C89">
              <w:rPr>
                <w:rFonts w:ascii="Arial" w:hAnsi="Arial" w:cs="Arial"/>
                <w:i/>
              </w:rPr>
              <w:t>F</w:t>
            </w:r>
            <w:r w:rsidR="00106D30" w:rsidRPr="00E26C89">
              <w:rPr>
                <w:rFonts w:ascii="Arial" w:hAnsi="Arial" w:cs="Arial"/>
                <w:i/>
              </w:rPr>
              <w:t>ay</w:t>
            </w:r>
            <w:r w:rsidR="00BC336E" w:rsidRPr="00E26C89">
              <w:rPr>
                <w:rFonts w:ascii="Arial" w:hAnsi="Arial" w:cs="Arial"/>
                <w:i/>
              </w:rPr>
              <w:t xml:space="preserve"> P</w:t>
            </w:r>
            <w:r w:rsidR="00106D30" w:rsidRPr="00E26C89">
              <w:rPr>
                <w:rFonts w:ascii="Arial" w:hAnsi="Arial" w:cs="Arial"/>
                <w:i/>
              </w:rPr>
              <w:t>roperties</w:t>
            </w:r>
            <w:r w:rsidR="00BC336E" w:rsidRPr="00E26C89">
              <w:rPr>
                <w:rFonts w:ascii="Arial" w:hAnsi="Arial" w:cs="Arial"/>
                <w:i/>
              </w:rPr>
              <w:t xml:space="preserve"> v U</w:t>
            </w:r>
            <w:r w:rsidR="00106D30" w:rsidRPr="00E26C89">
              <w:rPr>
                <w:rFonts w:ascii="Arial" w:hAnsi="Arial" w:cs="Arial"/>
                <w:i/>
              </w:rPr>
              <w:t xml:space="preserve">ptown Property Investment </w:t>
            </w:r>
            <w:r w:rsidR="00BC336E" w:rsidRPr="00E26C89">
              <w:rPr>
                <w:rFonts w:ascii="Arial" w:hAnsi="Arial" w:cs="Arial"/>
                <w:i/>
              </w:rPr>
              <w:t xml:space="preserve">CC </w:t>
            </w:r>
            <w:r w:rsidR="00106D30" w:rsidRPr="00E26C89">
              <w:rPr>
                <w:rFonts w:ascii="Arial" w:hAnsi="Arial" w:cs="Arial"/>
                <w:i/>
              </w:rPr>
              <w:t xml:space="preserve">and others </w:t>
            </w:r>
            <w:r w:rsidR="00BC336E" w:rsidRPr="00E42D5C">
              <w:rPr>
                <w:rFonts w:ascii="Arial" w:hAnsi="Arial" w:cs="Arial"/>
              </w:rPr>
              <w:t>2016 (3) NR 893 (HC)</w:t>
            </w:r>
            <w:r>
              <w:rPr>
                <w:rFonts w:ascii="Arial" w:hAnsi="Arial" w:cs="Arial"/>
              </w:rPr>
              <w:t xml:space="preserve"> </w:t>
            </w:r>
            <w:proofErr w:type="spellStart"/>
            <w:r>
              <w:rPr>
                <w:rFonts w:ascii="Arial" w:hAnsi="Arial" w:cs="Arial"/>
              </w:rPr>
              <w:t>Ma</w:t>
            </w:r>
            <w:r w:rsidR="00BC336E">
              <w:rPr>
                <w:rFonts w:ascii="Arial" w:hAnsi="Arial" w:cs="Arial"/>
              </w:rPr>
              <w:t>suku</w:t>
            </w:r>
            <w:proofErr w:type="spellEnd"/>
            <w:r w:rsidR="00BC336E">
              <w:rPr>
                <w:rFonts w:ascii="Arial" w:hAnsi="Arial" w:cs="Arial"/>
              </w:rPr>
              <w:t xml:space="preserve"> J </w:t>
            </w:r>
            <w:r w:rsidR="005C5432">
              <w:rPr>
                <w:rFonts w:ascii="Arial" w:hAnsi="Arial" w:cs="Arial"/>
              </w:rPr>
              <w:t>held t</w:t>
            </w:r>
            <w:r w:rsidR="005C5432" w:rsidRPr="005C5432">
              <w:rPr>
                <w:rFonts w:ascii="Arial" w:hAnsi="Arial" w:cs="Arial"/>
              </w:rPr>
              <w:t>hat where a pleading was alleged to be vague and embarrassing, there were two different documents that had to be issued by the excipient. The first was a notice, which served to alert the other party of the fact and basis for claiming that the pleading in question was v</w:t>
            </w:r>
            <w:r w:rsidR="005C5432">
              <w:rPr>
                <w:rFonts w:ascii="Arial" w:hAnsi="Arial" w:cs="Arial"/>
              </w:rPr>
              <w:t xml:space="preserve">ague and embarrassing. If that </w:t>
            </w:r>
            <w:r w:rsidR="005C5432" w:rsidRPr="005C5432">
              <w:rPr>
                <w:rFonts w:ascii="Arial" w:hAnsi="Arial" w:cs="Arial"/>
              </w:rPr>
              <w:t xml:space="preserve">notice was not heeded within the period of ten days afforded then the excipient was at liberty to deliver the exception proper which would then serve before court for determination. </w:t>
            </w:r>
          </w:p>
          <w:p w:rsidR="00E42D5C" w:rsidRDefault="00E42D5C" w:rsidP="005C5432">
            <w:pPr>
              <w:pStyle w:val="BodyText"/>
              <w:tabs>
                <w:tab w:val="left" w:pos="720"/>
                <w:tab w:val="left" w:pos="2268"/>
              </w:tabs>
              <w:spacing w:line="360" w:lineRule="auto"/>
              <w:jc w:val="both"/>
              <w:rPr>
                <w:rFonts w:ascii="Arial" w:hAnsi="Arial" w:cs="Arial"/>
              </w:rPr>
            </w:pPr>
          </w:p>
          <w:p w:rsidR="000F2923" w:rsidRDefault="00E42D5C" w:rsidP="005C5432">
            <w:pPr>
              <w:pStyle w:val="BodyText"/>
              <w:tabs>
                <w:tab w:val="left" w:pos="720"/>
                <w:tab w:val="left" w:pos="2268"/>
              </w:tabs>
              <w:spacing w:line="360" w:lineRule="auto"/>
              <w:jc w:val="both"/>
              <w:rPr>
                <w:rFonts w:ascii="Arial" w:hAnsi="Arial" w:cs="Arial"/>
              </w:rPr>
            </w:pPr>
            <w:r>
              <w:rPr>
                <w:rFonts w:ascii="Arial" w:hAnsi="Arial" w:cs="Arial"/>
              </w:rPr>
              <w:lastRenderedPageBreak/>
              <w:t>[8</w:t>
            </w:r>
            <w:r w:rsidR="00106D30">
              <w:rPr>
                <w:rFonts w:ascii="Arial" w:hAnsi="Arial" w:cs="Arial"/>
              </w:rPr>
              <w:t xml:space="preserve">]    </w:t>
            </w:r>
            <w:r>
              <w:rPr>
                <w:rFonts w:ascii="Arial" w:hAnsi="Arial" w:cs="Arial"/>
              </w:rPr>
              <w:t xml:space="preserve">   </w:t>
            </w:r>
            <w:r w:rsidR="004C7CFB">
              <w:rPr>
                <w:rFonts w:ascii="Arial" w:hAnsi="Arial" w:cs="Arial"/>
              </w:rPr>
              <w:t>The court indeed afforded the plaintiff on 28 October 2019 the opportunity to file an amended plea. I hold the view that the plaintiff was aware of the grounds of ex</w:t>
            </w:r>
            <w:r w:rsidR="00106D30">
              <w:rPr>
                <w:rFonts w:ascii="Arial" w:hAnsi="Arial" w:cs="Arial"/>
              </w:rPr>
              <w:t>c</w:t>
            </w:r>
            <w:r w:rsidR="004C7CFB">
              <w:rPr>
                <w:rFonts w:ascii="Arial" w:hAnsi="Arial" w:cs="Arial"/>
              </w:rPr>
              <w:t xml:space="preserve">eption and was given opportunity to amend and to remove the cause of complaint which the plaintiff declined to </w:t>
            </w:r>
            <w:r w:rsidR="00247BD7">
              <w:rPr>
                <w:rFonts w:ascii="Arial" w:hAnsi="Arial" w:cs="Arial"/>
              </w:rPr>
              <w:t xml:space="preserve">do. There has not been strict compliance with the rules but there has been and informal procedure adopted that served the same purpose as a notice in terms of 57(2) and there has thus been no prejudice to the plaintiff. I am of the view that an over fastidious approach </w:t>
            </w:r>
            <w:r w:rsidR="00106D30">
              <w:rPr>
                <w:rFonts w:ascii="Arial" w:hAnsi="Arial" w:cs="Arial"/>
              </w:rPr>
              <w:t xml:space="preserve">in this </w:t>
            </w:r>
            <w:r w:rsidR="00247BD7">
              <w:rPr>
                <w:rFonts w:ascii="Arial" w:hAnsi="Arial" w:cs="Arial"/>
              </w:rPr>
              <w:t xml:space="preserve">would unduly delay the matter defeating the overriding objectives of case management. This by no means sets a precedent for </w:t>
            </w:r>
            <w:r w:rsidR="00106D30">
              <w:rPr>
                <w:rFonts w:ascii="Arial" w:hAnsi="Arial" w:cs="Arial"/>
              </w:rPr>
              <w:t xml:space="preserve">non-compliance </w:t>
            </w:r>
            <w:r w:rsidR="000F2923">
              <w:rPr>
                <w:rFonts w:ascii="Arial" w:hAnsi="Arial" w:cs="Arial"/>
              </w:rPr>
              <w:t>with the provisions of rule 5</w:t>
            </w:r>
            <w:r w:rsidR="00247BD7">
              <w:rPr>
                <w:rFonts w:ascii="Arial" w:hAnsi="Arial" w:cs="Arial"/>
              </w:rPr>
              <w:t>7. (See paragraph 13-16 of the Haley Fay</w:t>
            </w:r>
            <w:r w:rsidR="00106D30">
              <w:rPr>
                <w:rFonts w:ascii="Arial" w:hAnsi="Arial" w:cs="Arial"/>
              </w:rPr>
              <w:t xml:space="preserve"> case, supra)</w:t>
            </w:r>
            <w:r w:rsidR="00E26C89">
              <w:rPr>
                <w:rFonts w:ascii="Arial" w:hAnsi="Arial" w:cs="Arial"/>
              </w:rPr>
              <w:t xml:space="preserve">. </w:t>
            </w:r>
            <w:r w:rsidR="000F2923">
              <w:rPr>
                <w:rFonts w:ascii="Arial" w:hAnsi="Arial" w:cs="Arial"/>
              </w:rPr>
              <w:t xml:space="preserve">It is further debatable whether rule 57 (2) requires such notice if the exception is raised on the ground that the pleading lacks the averments which are necessary to sustain a cause of action. </w:t>
            </w:r>
          </w:p>
          <w:p w:rsidR="00E42D5C" w:rsidRDefault="00E42D5C" w:rsidP="005C5432">
            <w:pPr>
              <w:pStyle w:val="BodyText"/>
              <w:tabs>
                <w:tab w:val="left" w:pos="720"/>
                <w:tab w:val="left" w:pos="2268"/>
              </w:tabs>
              <w:spacing w:line="360" w:lineRule="auto"/>
              <w:jc w:val="both"/>
              <w:rPr>
                <w:rFonts w:ascii="Arial" w:hAnsi="Arial" w:cs="Arial"/>
              </w:rPr>
            </w:pPr>
          </w:p>
          <w:p w:rsidR="005C6912" w:rsidRDefault="000F2923" w:rsidP="005C5432">
            <w:pPr>
              <w:pStyle w:val="BodyText"/>
              <w:tabs>
                <w:tab w:val="left" w:pos="720"/>
                <w:tab w:val="left" w:pos="2268"/>
              </w:tabs>
              <w:spacing w:line="360" w:lineRule="auto"/>
              <w:jc w:val="both"/>
              <w:rPr>
                <w:rFonts w:ascii="Arial" w:hAnsi="Arial" w:cs="Arial"/>
                <w:u w:val="single"/>
              </w:rPr>
            </w:pPr>
            <w:r w:rsidRPr="005C6912">
              <w:rPr>
                <w:rFonts w:ascii="Arial" w:hAnsi="Arial" w:cs="Arial"/>
                <w:u w:val="single"/>
              </w:rPr>
              <w:t>The law</w:t>
            </w:r>
            <w:r w:rsidR="005C6912">
              <w:rPr>
                <w:rFonts w:ascii="Arial" w:hAnsi="Arial" w:cs="Arial"/>
                <w:u w:val="single"/>
              </w:rPr>
              <w:t xml:space="preserve"> </w:t>
            </w:r>
          </w:p>
          <w:p w:rsidR="000F2923" w:rsidRPr="005C6912" w:rsidRDefault="005C6912" w:rsidP="005C5432">
            <w:pPr>
              <w:pStyle w:val="BodyText"/>
              <w:tabs>
                <w:tab w:val="left" w:pos="720"/>
                <w:tab w:val="left" w:pos="2268"/>
              </w:tabs>
              <w:spacing w:line="360" w:lineRule="auto"/>
              <w:jc w:val="both"/>
              <w:rPr>
                <w:rFonts w:ascii="Arial" w:hAnsi="Arial" w:cs="Arial"/>
                <w:u w:val="single"/>
              </w:rPr>
            </w:pPr>
            <w:r>
              <w:rPr>
                <w:rFonts w:ascii="Arial" w:hAnsi="Arial" w:cs="Arial"/>
                <w:u w:val="single"/>
              </w:rPr>
              <w:t>Exceptions</w:t>
            </w:r>
            <w:r w:rsidR="000F2923" w:rsidRPr="005C6912">
              <w:rPr>
                <w:rFonts w:ascii="Arial" w:hAnsi="Arial" w:cs="Arial"/>
                <w:u w:val="single"/>
              </w:rPr>
              <w:t xml:space="preserve"> </w:t>
            </w:r>
          </w:p>
          <w:p w:rsidR="00432AD9" w:rsidRDefault="00106D30" w:rsidP="004E6CCB">
            <w:pPr>
              <w:pStyle w:val="BodyText"/>
              <w:tabs>
                <w:tab w:val="left" w:pos="720"/>
                <w:tab w:val="left" w:pos="2268"/>
              </w:tabs>
              <w:spacing w:line="360" w:lineRule="auto"/>
              <w:jc w:val="both"/>
              <w:rPr>
                <w:rFonts w:ascii="Arial" w:hAnsi="Arial" w:cs="Arial"/>
                <w:lang w:val="en-US"/>
              </w:rPr>
            </w:pPr>
            <w:r>
              <w:rPr>
                <w:rFonts w:ascii="Arial" w:hAnsi="Arial" w:cs="Arial"/>
              </w:rPr>
              <w:t>[</w:t>
            </w:r>
            <w:r w:rsidR="002732FA">
              <w:rPr>
                <w:rFonts w:ascii="Arial" w:hAnsi="Arial" w:cs="Arial"/>
              </w:rPr>
              <w:t>9</w:t>
            </w:r>
            <w:r>
              <w:rPr>
                <w:rFonts w:ascii="Arial" w:hAnsi="Arial" w:cs="Arial"/>
              </w:rPr>
              <w:t xml:space="preserve">]     </w:t>
            </w:r>
            <w:r w:rsidR="000F2923">
              <w:rPr>
                <w:rFonts w:ascii="Arial" w:hAnsi="Arial" w:cs="Arial"/>
              </w:rPr>
              <w:t xml:space="preserve">Both parties are </w:t>
            </w:r>
            <w:r w:rsidR="003021DE">
              <w:rPr>
                <w:rFonts w:ascii="Arial" w:hAnsi="Arial" w:cs="Arial"/>
              </w:rPr>
              <w:t>ad idem in respect of the law applicable to</w:t>
            </w:r>
            <w:r w:rsidR="000F2923">
              <w:rPr>
                <w:rFonts w:ascii="Arial" w:hAnsi="Arial" w:cs="Arial"/>
              </w:rPr>
              <w:t xml:space="preserve"> exceptions</w:t>
            </w:r>
            <w:r w:rsidR="003021DE">
              <w:rPr>
                <w:rFonts w:ascii="Arial" w:hAnsi="Arial" w:cs="Arial"/>
              </w:rPr>
              <w:t xml:space="preserve"> (See</w:t>
            </w:r>
            <w:r w:rsidR="000F2923">
              <w:rPr>
                <w:rFonts w:ascii="Arial" w:hAnsi="Arial" w:cs="Arial"/>
              </w:rPr>
              <w:t xml:space="preserve"> </w:t>
            </w:r>
            <w:r w:rsidR="00432AD9">
              <w:rPr>
                <w:rFonts w:ascii="Arial" w:hAnsi="Arial" w:cs="Arial"/>
              </w:rPr>
              <w:t xml:space="preserve">the provisions of Rule 45; </w:t>
            </w:r>
            <w:r w:rsidR="003021DE" w:rsidRPr="003021DE">
              <w:rPr>
                <w:rFonts w:ascii="Arial" w:hAnsi="Arial" w:cs="Arial"/>
                <w:i/>
              </w:rPr>
              <w:t xml:space="preserve">Van </w:t>
            </w:r>
            <w:proofErr w:type="spellStart"/>
            <w:r w:rsidR="003021DE" w:rsidRPr="003021DE">
              <w:rPr>
                <w:rFonts w:ascii="Arial" w:hAnsi="Arial" w:cs="Arial"/>
                <w:i/>
              </w:rPr>
              <w:t>Straten</w:t>
            </w:r>
            <w:proofErr w:type="spellEnd"/>
            <w:r w:rsidR="003021DE" w:rsidRPr="003021DE">
              <w:rPr>
                <w:rFonts w:ascii="Arial" w:hAnsi="Arial" w:cs="Arial"/>
                <w:i/>
              </w:rPr>
              <w:t xml:space="preserve"> NO and Another v Namibia Financial Institutions Supervisory Authority and Another 2016 (3) NR 747 (SC)</w:t>
            </w:r>
            <w:r w:rsidR="003021DE">
              <w:rPr>
                <w:rFonts w:ascii="Arial" w:hAnsi="Arial" w:cs="Arial"/>
              </w:rPr>
              <w:t xml:space="preserve"> </w:t>
            </w:r>
            <w:r w:rsidR="003021DE" w:rsidRPr="004E6CCB">
              <w:rPr>
                <w:rFonts w:ascii="Arial" w:hAnsi="Arial" w:cs="Arial"/>
                <w:i/>
              </w:rPr>
              <w:t>J</w:t>
            </w:r>
            <w:r w:rsidR="004E6CCB" w:rsidRPr="004E6CCB">
              <w:rPr>
                <w:rFonts w:ascii="Arial" w:hAnsi="Arial" w:cs="Arial"/>
                <w:i/>
              </w:rPr>
              <w:t xml:space="preserve">uly </w:t>
            </w:r>
            <w:r w:rsidR="003021DE" w:rsidRPr="004E6CCB">
              <w:rPr>
                <w:rFonts w:ascii="Arial" w:hAnsi="Arial" w:cs="Arial"/>
                <w:i/>
              </w:rPr>
              <w:t>v M</w:t>
            </w:r>
            <w:r w:rsidR="004E6CCB" w:rsidRPr="004E6CCB">
              <w:rPr>
                <w:rFonts w:ascii="Arial" w:hAnsi="Arial" w:cs="Arial"/>
                <w:i/>
              </w:rPr>
              <w:t xml:space="preserve">otor Vehicle Accident Fund </w:t>
            </w:r>
            <w:r w:rsidR="003021DE" w:rsidRPr="004E6CCB">
              <w:rPr>
                <w:rFonts w:ascii="Arial" w:hAnsi="Arial" w:cs="Arial"/>
                <w:i/>
              </w:rPr>
              <w:t xml:space="preserve"> 2010 (1) NR 368 (HC</w:t>
            </w:r>
            <w:r w:rsidR="003021DE" w:rsidRPr="003021DE">
              <w:rPr>
                <w:rFonts w:ascii="Arial" w:hAnsi="Arial" w:cs="Arial"/>
              </w:rPr>
              <w:t>)</w:t>
            </w:r>
            <w:r w:rsidR="00432AD9">
              <w:t xml:space="preserve"> </w:t>
            </w:r>
            <w:r w:rsidR="00432AD9" w:rsidRPr="00432AD9">
              <w:rPr>
                <w:rFonts w:ascii="Arial" w:hAnsi="Arial" w:cs="Arial"/>
                <w:i/>
              </w:rPr>
              <w:t>Trope v South African Reserve Bank and Another and Two Other Cases 1992 (3) SA 208 (T)</w:t>
            </w:r>
            <w:r w:rsidR="00432AD9">
              <w:rPr>
                <w:rFonts w:ascii="Arial" w:hAnsi="Arial" w:cs="Arial"/>
              </w:rPr>
              <w:t>;</w:t>
            </w:r>
            <w:r w:rsidR="00432AD9" w:rsidRPr="00432AD9">
              <w:rPr>
                <w:rFonts w:ascii="Arial" w:hAnsi="Arial" w:cs="Arial"/>
                <w:i/>
                <w:iCs/>
                <w:color w:val="000000"/>
                <w:sz w:val="20"/>
                <w:szCs w:val="20"/>
                <w:lang w:val="en-US"/>
              </w:rPr>
              <w:t xml:space="preserve"> </w:t>
            </w:r>
            <w:proofErr w:type="spellStart"/>
            <w:r w:rsidR="00432AD9" w:rsidRPr="00432AD9">
              <w:rPr>
                <w:rFonts w:ascii="Arial" w:hAnsi="Arial" w:cs="Arial"/>
                <w:i/>
                <w:iCs/>
                <w:lang w:val="en-US"/>
              </w:rPr>
              <w:t>Nasionale</w:t>
            </w:r>
            <w:proofErr w:type="spellEnd"/>
            <w:r w:rsidR="00432AD9" w:rsidRPr="00432AD9">
              <w:rPr>
                <w:rFonts w:ascii="Arial" w:hAnsi="Arial" w:cs="Arial"/>
                <w:i/>
                <w:iCs/>
                <w:lang w:val="en-US"/>
              </w:rPr>
              <w:t xml:space="preserve"> </w:t>
            </w:r>
            <w:proofErr w:type="spellStart"/>
            <w:r w:rsidR="00432AD9" w:rsidRPr="00432AD9">
              <w:rPr>
                <w:rFonts w:ascii="Arial" w:hAnsi="Arial" w:cs="Arial"/>
                <w:i/>
                <w:iCs/>
                <w:lang w:val="en-US"/>
              </w:rPr>
              <w:t>Aartappel</w:t>
            </w:r>
            <w:proofErr w:type="spellEnd"/>
            <w:r w:rsidR="00432AD9" w:rsidRPr="00432AD9">
              <w:rPr>
                <w:rFonts w:ascii="Arial" w:hAnsi="Arial" w:cs="Arial"/>
                <w:i/>
                <w:iCs/>
                <w:lang w:val="en-US"/>
              </w:rPr>
              <w:t xml:space="preserve"> </w:t>
            </w:r>
            <w:proofErr w:type="spellStart"/>
            <w:r w:rsidR="00432AD9" w:rsidRPr="00432AD9">
              <w:rPr>
                <w:rFonts w:ascii="Arial" w:hAnsi="Arial" w:cs="Arial"/>
                <w:i/>
                <w:iCs/>
                <w:lang w:val="en-US"/>
              </w:rPr>
              <w:t>Kooperasie</w:t>
            </w:r>
            <w:proofErr w:type="spellEnd"/>
            <w:r w:rsidR="00432AD9" w:rsidRPr="00432AD9">
              <w:rPr>
                <w:rFonts w:ascii="Arial" w:hAnsi="Arial" w:cs="Arial"/>
                <w:i/>
                <w:iCs/>
                <w:lang w:val="en-US"/>
              </w:rPr>
              <w:t xml:space="preserve"> </w:t>
            </w:r>
            <w:proofErr w:type="spellStart"/>
            <w:r w:rsidR="00432AD9" w:rsidRPr="00432AD9">
              <w:rPr>
                <w:rFonts w:ascii="Arial" w:hAnsi="Arial" w:cs="Arial"/>
                <w:i/>
                <w:iCs/>
                <w:lang w:val="en-US"/>
              </w:rPr>
              <w:t>Bpk</w:t>
            </w:r>
            <w:proofErr w:type="spellEnd"/>
            <w:r w:rsidR="00432AD9" w:rsidRPr="00432AD9">
              <w:rPr>
                <w:rFonts w:ascii="Arial" w:hAnsi="Arial" w:cs="Arial"/>
                <w:i/>
                <w:iCs/>
                <w:lang w:val="en-US"/>
              </w:rPr>
              <w:t xml:space="preserve"> v Price Waterhouse Coopers </w:t>
            </w:r>
            <w:proofErr w:type="spellStart"/>
            <w:r w:rsidR="00432AD9" w:rsidRPr="00432AD9">
              <w:rPr>
                <w:rFonts w:ascii="Arial" w:hAnsi="Arial" w:cs="Arial"/>
                <w:i/>
                <w:iCs/>
                <w:lang w:val="en-US"/>
              </w:rPr>
              <w:t>Ing</w:t>
            </w:r>
            <w:proofErr w:type="spellEnd"/>
            <w:r w:rsidR="00432AD9" w:rsidRPr="00432AD9">
              <w:rPr>
                <w:rFonts w:ascii="Arial" w:hAnsi="Arial" w:cs="Arial"/>
                <w:i/>
                <w:iCs/>
                <w:lang w:val="en-US"/>
              </w:rPr>
              <w:t xml:space="preserve"> </w:t>
            </w:r>
            <w:r w:rsidR="00432AD9">
              <w:rPr>
                <w:rFonts w:ascii="Arial" w:hAnsi="Arial" w:cs="Arial"/>
                <w:lang w:val="en-US"/>
              </w:rPr>
              <w:t>2001 (2) SA 790 (T))</w:t>
            </w:r>
            <w:r w:rsidR="00E73979">
              <w:rPr>
                <w:rFonts w:ascii="Arial" w:hAnsi="Arial" w:cs="Arial"/>
                <w:lang w:val="en-US"/>
              </w:rPr>
              <w:t>.</w:t>
            </w:r>
          </w:p>
          <w:p w:rsidR="00E73979" w:rsidRDefault="00E73979" w:rsidP="004E6CCB">
            <w:pPr>
              <w:pStyle w:val="BodyText"/>
              <w:tabs>
                <w:tab w:val="left" w:pos="720"/>
                <w:tab w:val="left" w:pos="2268"/>
              </w:tabs>
              <w:spacing w:line="360" w:lineRule="auto"/>
              <w:jc w:val="both"/>
              <w:rPr>
                <w:rFonts w:ascii="Arial" w:hAnsi="Arial" w:cs="Arial"/>
                <w:lang w:val="en-US"/>
              </w:rPr>
            </w:pPr>
          </w:p>
          <w:p w:rsidR="005C6912" w:rsidRPr="005C6912" w:rsidRDefault="005C6912" w:rsidP="004E6CCB">
            <w:pPr>
              <w:pStyle w:val="BodyText"/>
              <w:tabs>
                <w:tab w:val="left" w:pos="720"/>
                <w:tab w:val="left" w:pos="2268"/>
              </w:tabs>
              <w:spacing w:line="360" w:lineRule="auto"/>
              <w:jc w:val="both"/>
              <w:rPr>
                <w:rFonts w:ascii="Arial" w:hAnsi="Arial" w:cs="Arial"/>
                <w:u w:val="single"/>
                <w:lang w:val="en-US"/>
              </w:rPr>
            </w:pPr>
            <w:r w:rsidRPr="005C6912">
              <w:rPr>
                <w:rFonts w:ascii="Arial" w:hAnsi="Arial" w:cs="Arial"/>
                <w:u w:val="single"/>
                <w:lang w:val="en-US"/>
              </w:rPr>
              <w:t>Requirements for claim of undue influence</w:t>
            </w:r>
          </w:p>
          <w:p w:rsidR="00432AD9" w:rsidRDefault="002732FA" w:rsidP="00432AD9">
            <w:pPr>
              <w:pStyle w:val="BodyText"/>
              <w:tabs>
                <w:tab w:val="left" w:pos="720"/>
                <w:tab w:val="left" w:pos="2268"/>
              </w:tabs>
              <w:spacing w:line="360" w:lineRule="auto"/>
              <w:jc w:val="both"/>
              <w:rPr>
                <w:rFonts w:ascii="Arial" w:hAnsi="Arial" w:cs="Arial"/>
                <w:lang w:val="en-US"/>
              </w:rPr>
            </w:pPr>
            <w:r>
              <w:rPr>
                <w:rFonts w:ascii="Arial" w:hAnsi="Arial" w:cs="Arial"/>
              </w:rPr>
              <w:t>[10</w:t>
            </w:r>
            <w:r w:rsidR="00432AD9">
              <w:rPr>
                <w:rFonts w:ascii="Arial" w:hAnsi="Arial" w:cs="Arial"/>
              </w:rPr>
              <w:t xml:space="preserve">]  </w:t>
            </w:r>
            <w:r w:rsidR="00E73979">
              <w:rPr>
                <w:rFonts w:ascii="Arial" w:hAnsi="Arial" w:cs="Arial"/>
              </w:rPr>
              <w:t xml:space="preserve"> </w:t>
            </w:r>
            <w:r w:rsidR="00432AD9">
              <w:rPr>
                <w:rFonts w:ascii="Arial" w:hAnsi="Arial" w:cs="Arial"/>
              </w:rPr>
              <w:t xml:space="preserve"> Both parties are further ad idem in respect o</w:t>
            </w:r>
            <w:r w:rsidR="005C6912">
              <w:rPr>
                <w:rFonts w:ascii="Arial" w:hAnsi="Arial" w:cs="Arial"/>
              </w:rPr>
              <w:t xml:space="preserve">f the legal requirements for a claim </w:t>
            </w:r>
            <w:r w:rsidR="00432AD9">
              <w:rPr>
                <w:rFonts w:ascii="Arial" w:hAnsi="Arial" w:cs="Arial"/>
                <w:lang w:val="en-US"/>
              </w:rPr>
              <w:t xml:space="preserve">which </w:t>
            </w:r>
            <w:r w:rsidR="00432AD9" w:rsidRPr="00432AD9">
              <w:rPr>
                <w:rFonts w:ascii="Arial" w:hAnsi="Arial" w:cs="Arial"/>
                <w:lang w:val="en-US"/>
              </w:rPr>
              <w:t xml:space="preserve">is premised on undue influence </w:t>
            </w:r>
            <w:proofErr w:type="spellStart"/>
            <w:r w:rsidR="00432AD9">
              <w:rPr>
                <w:rFonts w:ascii="Arial" w:hAnsi="Arial" w:cs="Arial"/>
                <w:lang w:val="en-US"/>
              </w:rPr>
              <w:t>i.e</w:t>
            </w:r>
            <w:proofErr w:type="spellEnd"/>
            <w:r w:rsidR="00432AD9">
              <w:rPr>
                <w:rFonts w:ascii="Arial" w:hAnsi="Arial" w:cs="Arial"/>
                <w:lang w:val="en-US"/>
              </w:rPr>
              <w:t xml:space="preserve"> </w:t>
            </w:r>
          </w:p>
          <w:p w:rsidR="00432AD9" w:rsidRDefault="00432AD9" w:rsidP="00432AD9">
            <w:pPr>
              <w:pStyle w:val="BodyText"/>
              <w:numPr>
                <w:ilvl w:val="0"/>
                <w:numId w:val="14"/>
              </w:numPr>
              <w:tabs>
                <w:tab w:val="left" w:pos="720"/>
                <w:tab w:val="left" w:pos="2268"/>
              </w:tabs>
              <w:spacing w:line="360" w:lineRule="auto"/>
              <w:jc w:val="both"/>
              <w:rPr>
                <w:rFonts w:ascii="Arial" w:hAnsi="Arial" w:cs="Arial"/>
                <w:lang w:val="en-US"/>
              </w:rPr>
            </w:pPr>
            <w:r w:rsidRPr="00432AD9">
              <w:rPr>
                <w:rFonts w:ascii="Arial" w:hAnsi="Arial" w:cs="Arial"/>
                <w:lang w:val="en-US"/>
              </w:rPr>
              <w:t xml:space="preserve">That the other party had an influence over the plaintiff; </w:t>
            </w:r>
          </w:p>
          <w:p w:rsidR="00432AD9" w:rsidRDefault="00432AD9" w:rsidP="00432AD9">
            <w:pPr>
              <w:pStyle w:val="BodyText"/>
              <w:numPr>
                <w:ilvl w:val="0"/>
                <w:numId w:val="14"/>
              </w:numPr>
              <w:tabs>
                <w:tab w:val="left" w:pos="720"/>
                <w:tab w:val="left" w:pos="2268"/>
              </w:tabs>
              <w:spacing w:line="360" w:lineRule="auto"/>
              <w:jc w:val="both"/>
              <w:rPr>
                <w:rFonts w:ascii="Arial" w:hAnsi="Arial" w:cs="Arial"/>
                <w:lang w:val="en-US"/>
              </w:rPr>
            </w:pPr>
            <w:r w:rsidRPr="00432AD9">
              <w:rPr>
                <w:rFonts w:ascii="Arial" w:hAnsi="Arial" w:cs="Arial"/>
                <w:lang w:val="en-US"/>
              </w:rPr>
              <w:t xml:space="preserve">That the other party’s influence weakened the plaintiff’s resistance and made his will pliable; </w:t>
            </w:r>
          </w:p>
          <w:p w:rsidR="00432AD9" w:rsidRDefault="00432AD9" w:rsidP="00432AD9">
            <w:pPr>
              <w:pStyle w:val="BodyText"/>
              <w:numPr>
                <w:ilvl w:val="0"/>
                <w:numId w:val="14"/>
              </w:numPr>
              <w:tabs>
                <w:tab w:val="left" w:pos="720"/>
                <w:tab w:val="left" w:pos="2268"/>
              </w:tabs>
              <w:spacing w:line="360" w:lineRule="auto"/>
              <w:jc w:val="both"/>
              <w:rPr>
                <w:rFonts w:ascii="Arial" w:hAnsi="Arial" w:cs="Arial"/>
                <w:lang w:val="en-US"/>
              </w:rPr>
            </w:pPr>
            <w:r w:rsidRPr="00432AD9">
              <w:rPr>
                <w:rFonts w:ascii="Arial" w:hAnsi="Arial" w:cs="Arial"/>
                <w:lang w:val="en-US"/>
              </w:rPr>
              <w:t xml:space="preserve">That the other party used this influence unscrupulously </w:t>
            </w:r>
            <w:r w:rsidR="009A48B7">
              <w:rPr>
                <w:rFonts w:ascii="Arial" w:hAnsi="Arial" w:cs="Arial"/>
                <w:lang w:val="en-US"/>
              </w:rPr>
              <w:t xml:space="preserve">or unconscionably </w:t>
            </w:r>
            <w:r w:rsidRPr="00432AD9">
              <w:rPr>
                <w:rFonts w:ascii="Arial" w:hAnsi="Arial" w:cs="Arial"/>
                <w:lang w:val="en-US"/>
              </w:rPr>
              <w:t xml:space="preserve">to prevail upon the plaintiff to agree to the transaction; </w:t>
            </w:r>
          </w:p>
          <w:p w:rsidR="009A48B7" w:rsidRDefault="00432AD9" w:rsidP="00432AD9">
            <w:pPr>
              <w:pStyle w:val="BodyText"/>
              <w:numPr>
                <w:ilvl w:val="0"/>
                <w:numId w:val="14"/>
              </w:numPr>
              <w:tabs>
                <w:tab w:val="left" w:pos="720"/>
                <w:tab w:val="left" w:pos="2268"/>
              </w:tabs>
              <w:spacing w:line="360" w:lineRule="auto"/>
              <w:jc w:val="both"/>
              <w:rPr>
                <w:rFonts w:ascii="Arial" w:hAnsi="Arial" w:cs="Arial"/>
                <w:lang w:val="en-US"/>
              </w:rPr>
            </w:pPr>
            <w:r w:rsidRPr="00432AD9">
              <w:rPr>
                <w:rFonts w:ascii="Arial" w:hAnsi="Arial" w:cs="Arial"/>
                <w:lang w:val="en-US"/>
              </w:rPr>
              <w:t xml:space="preserve">That the transaction is prejudicial; </w:t>
            </w:r>
          </w:p>
          <w:p w:rsidR="00432AD9" w:rsidRDefault="00432AD9" w:rsidP="00432AD9">
            <w:pPr>
              <w:pStyle w:val="BodyText"/>
              <w:numPr>
                <w:ilvl w:val="0"/>
                <w:numId w:val="14"/>
              </w:numPr>
              <w:tabs>
                <w:tab w:val="left" w:pos="720"/>
                <w:tab w:val="left" w:pos="2268"/>
              </w:tabs>
              <w:spacing w:line="360" w:lineRule="auto"/>
              <w:jc w:val="both"/>
              <w:rPr>
                <w:rFonts w:ascii="Arial" w:hAnsi="Arial" w:cs="Arial"/>
                <w:lang w:val="en-US"/>
              </w:rPr>
            </w:pPr>
            <w:r w:rsidRPr="00432AD9">
              <w:rPr>
                <w:rFonts w:ascii="Arial" w:hAnsi="Arial" w:cs="Arial"/>
                <w:lang w:val="en-US"/>
              </w:rPr>
              <w:t>That in the exercise of a normal free will the plain</w:t>
            </w:r>
            <w:r>
              <w:rPr>
                <w:rFonts w:ascii="Arial" w:hAnsi="Arial" w:cs="Arial"/>
                <w:lang w:val="en-US"/>
              </w:rPr>
              <w:t>tiff would not have concluded the transaction</w:t>
            </w:r>
            <w:r w:rsidR="009A48B7">
              <w:rPr>
                <w:rFonts w:ascii="Arial" w:hAnsi="Arial" w:cs="Arial"/>
                <w:lang w:val="en-US"/>
              </w:rPr>
              <w:t>.</w:t>
            </w:r>
          </w:p>
          <w:p w:rsidR="002732FA" w:rsidRDefault="002732FA" w:rsidP="002732FA">
            <w:pPr>
              <w:pStyle w:val="BodyText"/>
              <w:tabs>
                <w:tab w:val="left" w:pos="720"/>
                <w:tab w:val="left" w:pos="2268"/>
              </w:tabs>
              <w:spacing w:line="360" w:lineRule="auto"/>
              <w:jc w:val="both"/>
              <w:rPr>
                <w:rFonts w:ascii="Arial" w:hAnsi="Arial" w:cs="Arial"/>
                <w:lang w:val="en-US"/>
              </w:rPr>
            </w:pPr>
          </w:p>
          <w:p w:rsidR="009A48B7" w:rsidRPr="005C6912" w:rsidRDefault="009A48B7" w:rsidP="005C6912">
            <w:pPr>
              <w:pStyle w:val="BodyText"/>
              <w:tabs>
                <w:tab w:val="left" w:pos="720"/>
                <w:tab w:val="left" w:pos="2268"/>
              </w:tabs>
              <w:spacing w:line="360" w:lineRule="auto"/>
              <w:jc w:val="both"/>
              <w:rPr>
                <w:rFonts w:ascii="Arial" w:hAnsi="Arial" w:cs="Arial"/>
                <w:u w:val="single"/>
                <w:lang w:val="en-US"/>
              </w:rPr>
            </w:pPr>
            <w:r w:rsidRPr="005C6912">
              <w:rPr>
                <w:rFonts w:ascii="Arial" w:hAnsi="Arial" w:cs="Arial"/>
                <w:u w:val="single"/>
                <w:lang w:val="en-US"/>
              </w:rPr>
              <w:t>Case for the 2</w:t>
            </w:r>
            <w:r w:rsidRPr="005C6912">
              <w:rPr>
                <w:rFonts w:ascii="Arial" w:hAnsi="Arial" w:cs="Arial"/>
                <w:u w:val="single"/>
                <w:vertAlign w:val="superscript"/>
                <w:lang w:val="en-US"/>
              </w:rPr>
              <w:t>nd</w:t>
            </w:r>
            <w:r w:rsidRPr="005C6912">
              <w:rPr>
                <w:rFonts w:ascii="Arial" w:hAnsi="Arial" w:cs="Arial"/>
                <w:u w:val="single"/>
                <w:lang w:val="en-US"/>
              </w:rPr>
              <w:t xml:space="preserve"> and 3</w:t>
            </w:r>
            <w:r w:rsidRPr="005C6912">
              <w:rPr>
                <w:rFonts w:ascii="Arial" w:hAnsi="Arial" w:cs="Arial"/>
                <w:u w:val="single"/>
                <w:vertAlign w:val="superscript"/>
                <w:lang w:val="en-US"/>
              </w:rPr>
              <w:t>rd</w:t>
            </w:r>
            <w:r w:rsidRPr="005C6912">
              <w:rPr>
                <w:rFonts w:ascii="Arial" w:hAnsi="Arial" w:cs="Arial"/>
                <w:u w:val="single"/>
                <w:lang w:val="en-US"/>
              </w:rPr>
              <w:t xml:space="preserve"> Defendants</w:t>
            </w:r>
          </w:p>
          <w:p w:rsidR="006E7CED" w:rsidRDefault="002732FA" w:rsidP="009A48B7">
            <w:pPr>
              <w:pStyle w:val="BodyText"/>
              <w:tabs>
                <w:tab w:val="left" w:pos="720"/>
                <w:tab w:val="left" w:pos="2268"/>
              </w:tabs>
              <w:spacing w:line="360" w:lineRule="auto"/>
              <w:jc w:val="both"/>
              <w:rPr>
                <w:rFonts w:ascii="Arial" w:hAnsi="Arial" w:cs="Arial"/>
                <w:lang w:val="en-US"/>
              </w:rPr>
            </w:pPr>
            <w:r>
              <w:rPr>
                <w:rFonts w:ascii="Arial" w:hAnsi="Arial" w:cs="Arial"/>
                <w:lang w:val="en-US"/>
              </w:rPr>
              <w:lastRenderedPageBreak/>
              <w:t>[11</w:t>
            </w:r>
            <w:r w:rsidR="009A48B7">
              <w:rPr>
                <w:rFonts w:ascii="Arial" w:hAnsi="Arial" w:cs="Arial"/>
                <w:lang w:val="en-US"/>
              </w:rPr>
              <w:t xml:space="preserve">]    </w:t>
            </w:r>
            <w:proofErr w:type="spellStart"/>
            <w:r w:rsidR="009A48B7">
              <w:rPr>
                <w:rFonts w:ascii="Arial" w:hAnsi="Arial" w:cs="Arial"/>
                <w:lang w:val="en-US"/>
              </w:rPr>
              <w:t>Ms</w:t>
            </w:r>
            <w:proofErr w:type="spellEnd"/>
            <w:r w:rsidR="009A48B7">
              <w:rPr>
                <w:rFonts w:ascii="Arial" w:hAnsi="Arial" w:cs="Arial"/>
                <w:lang w:val="en-US"/>
              </w:rPr>
              <w:t xml:space="preserve"> Van </w:t>
            </w:r>
            <w:proofErr w:type="spellStart"/>
            <w:r w:rsidR="009A48B7">
              <w:rPr>
                <w:rFonts w:ascii="Arial" w:hAnsi="Arial" w:cs="Arial"/>
                <w:lang w:val="en-US"/>
              </w:rPr>
              <w:t>Westhuizen</w:t>
            </w:r>
            <w:proofErr w:type="spellEnd"/>
            <w:r w:rsidR="009A48B7">
              <w:rPr>
                <w:rFonts w:ascii="Arial" w:hAnsi="Arial" w:cs="Arial"/>
                <w:lang w:val="en-US"/>
              </w:rPr>
              <w:t xml:space="preserve"> submitted that the court held in </w:t>
            </w:r>
            <w:r w:rsidR="009A48B7" w:rsidRPr="002732FA">
              <w:rPr>
                <w:rFonts w:ascii="Arial" w:hAnsi="Arial" w:cs="Arial"/>
                <w:i/>
                <w:lang w:val="en-US"/>
              </w:rPr>
              <w:t xml:space="preserve">MB De Klerk &amp; Associates v </w:t>
            </w:r>
            <w:proofErr w:type="spellStart"/>
            <w:r w:rsidR="009A48B7" w:rsidRPr="002732FA">
              <w:rPr>
                <w:rFonts w:ascii="Arial" w:hAnsi="Arial" w:cs="Arial"/>
                <w:i/>
                <w:lang w:val="en-US"/>
              </w:rPr>
              <w:t>Eggerschweiler</w:t>
            </w:r>
            <w:proofErr w:type="spellEnd"/>
            <w:r w:rsidR="009A48B7" w:rsidRPr="002732FA">
              <w:rPr>
                <w:rFonts w:ascii="Arial" w:hAnsi="Arial" w:cs="Arial"/>
                <w:i/>
                <w:lang w:val="en-US"/>
              </w:rPr>
              <w:t xml:space="preserve"> and Another</w:t>
            </w:r>
            <w:r w:rsidR="009A48B7">
              <w:rPr>
                <w:rFonts w:ascii="Arial" w:hAnsi="Arial" w:cs="Arial"/>
                <w:lang w:val="en-US"/>
              </w:rPr>
              <w:t xml:space="preserve"> 2014 (3) NR </w:t>
            </w:r>
            <w:r w:rsidR="009A48B7" w:rsidRPr="009A48B7">
              <w:rPr>
                <w:rFonts w:ascii="Arial" w:hAnsi="Arial" w:cs="Arial"/>
                <w:lang w:val="en-US"/>
              </w:rPr>
              <w:t>609 (H</w:t>
            </w:r>
            <w:r w:rsidR="009A48B7">
              <w:rPr>
                <w:rFonts w:ascii="Arial" w:hAnsi="Arial" w:cs="Arial"/>
                <w:lang w:val="en-US"/>
              </w:rPr>
              <w:t>C</w:t>
            </w:r>
            <w:r w:rsidR="009A48B7" w:rsidRPr="009A48B7">
              <w:rPr>
                <w:rFonts w:ascii="Arial" w:hAnsi="Arial" w:cs="Arial"/>
                <w:lang w:val="en-US"/>
              </w:rPr>
              <w:t>)</w:t>
            </w:r>
            <w:r w:rsidR="009A48B7">
              <w:rPr>
                <w:rFonts w:ascii="Arial" w:hAnsi="Arial" w:cs="Arial"/>
                <w:lang w:val="en-US"/>
              </w:rPr>
              <w:t xml:space="preserve"> at </w:t>
            </w:r>
            <w:r w:rsidR="009A48B7" w:rsidRPr="009A48B7">
              <w:rPr>
                <w:rFonts w:ascii="Arial" w:hAnsi="Arial" w:cs="Arial"/>
                <w:lang w:val="en-US"/>
              </w:rPr>
              <w:t>p</w:t>
            </w:r>
            <w:r w:rsidR="009A48B7">
              <w:rPr>
                <w:rFonts w:ascii="Arial" w:hAnsi="Arial" w:cs="Arial"/>
                <w:lang w:val="en-US"/>
              </w:rPr>
              <w:t xml:space="preserve"> </w:t>
            </w:r>
            <w:r w:rsidR="009A48B7" w:rsidRPr="009A48B7">
              <w:rPr>
                <w:rFonts w:ascii="Arial" w:hAnsi="Arial" w:cs="Arial"/>
                <w:lang w:val="en-US"/>
              </w:rPr>
              <w:t>624</w:t>
            </w:r>
            <w:r w:rsidR="009A48B7">
              <w:rPr>
                <w:rFonts w:ascii="Arial" w:hAnsi="Arial" w:cs="Arial"/>
                <w:lang w:val="en-US"/>
              </w:rPr>
              <w:t xml:space="preserve">, 52 that </w:t>
            </w:r>
            <w:r w:rsidR="009A48B7" w:rsidRPr="009A48B7">
              <w:rPr>
                <w:rFonts w:ascii="Arial" w:hAnsi="Arial" w:cs="Arial"/>
                <w:lang w:val="en-US"/>
              </w:rPr>
              <w:t>the relationship of client and legal practitioner does not constitute a special relationship from which undue pressure can be presumed</w:t>
            </w:r>
            <w:r w:rsidR="009A48B7">
              <w:rPr>
                <w:rFonts w:ascii="Arial" w:hAnsi="Arial" w:cs="Arial"/>
                <w:lang w:val="en-US"/>
              </w:rPr>
              <w:t xml:space="preserve"> and the plaintiff must thus make the averments as stated above to sustain a cause of action of undue influence. </w:t>
            </w:r>
            <w:r w:rsidR="006E7CED">
              <w:rPr>
                <w:rFonts w:ascii="Arial" w:hAnsi="Arial" w:cs="Arial"/>
                <w:lang w:val="en-US"/>
              </w:rPr>
              <w:t>The submits that the averments made are that:</w:t>
            </w:r>
          </w:p>
          <w:p w:rsidR="006E7CED" w:rsidRDefault="002732FA" w:rsidP="006E7CED">
            <w:pPr>
              <w:pStyle w:val="BodyText"/>
              <w:numPr>
                <w:ilvl w:val="0"/>
                <w:numId w:val="15"/>
              </w:numPr>
              <w:tabs>
                <w:tab w:val="left" w:pos="720"/>
                <w:tab w:val="left" w:pos="2268"/>
              </w:tabs>
              <w:spacing w:line="360" w:lineRule="auto"/>
              <w:jc w:val="both"/>
              <w:rPr>
                <w:rFonts w:ascii="Arial" w:hAnsi="Arial" w:cs="Arial"/>
                <w:lang w:val="en-US"/>
              </w:rPr>
            </w:pPr>
            <w:proofErr w:type="spellStart"/>
            <w:r>
              <w:rPr>
                <w:rFonts w:ascii="Arial" w:hAnsi="Arial" w:cs="Arial"/>
                <w:lang w:val="en-US"/>
              </w:rPr>
              <w:t>Ms</w:t>
            </w:r>
            <w:proofErr w:type="spellEnd"/>
            <w:r>
              <w:rPr>
                <w:rFonts w:ascii="Arial" w:hAnsi="Arial" w:cs="Arial"/>
                <w:lang w:val="en-US"/>
              </w:rPr>
              <w:t xml:space="preserve"> </w:t>
            </w:r>
            <w:proofErr w:type="spellStart"/>
            <w:r>
              <w:rPr>
                <w:rFonts w:ascii="Arial" w:hAnsi="Arial" w:cs="Arial"/>
                <w:lang w:val="en-US"/>
              </w:rPr>
              <w:t>Duvenage’</w:t>
            </w:r>
            <w:r w:rsidR="006E7CED">
              <w:rPr>
                <w:rFonts w:ascii="Arial" w:hAnsi="Arial" w:cs="Arial"/>
                <w:lang w:val="en-US"/>
              </w:rPr>
              <w:t>s</w:t>
            </w:r>
            <w:proofErr w:type="spellEnd"/>
            <w:r w:rsidR="006E7CED">
              <w:rPr>
                <w:rFonts w:ascii="Arial" w:hAnsi="Arial" w:cs="Arial"/>
                <w:lang w:val="en-US"/>
              </w:rPr>
              <w:t xml:space="preserve"> advice aggravated the undue influence exerted by his wife;</w:t>
            </w:r>
          </w:p>
          <w:p w:rsidR="006E7CED" w:rsidRDefault="006E7CED" w:rsidP="006E7CED">
            <w:pPr>
              <w:pStyle w:val="BodyText"/>
              <w:numPr>
                <w:ilvl w:val="0"/>
                <w:numId w:val="15"/>
              </w:numPr>
              <w:tabs>
                <w:tab w:val="left" w:pos="720"/>
                <w:tab w:val="left" w:pos="2268"/>
              </w:tabs>
              <w:spacing w:line="360" w:lineRule="auto"/>
              <w:jc w:val="both"/>
              <w:rPr>
                <w:rFonts w:ascii="Arial" w:hAnsi="Arial" w:cs="Arial"/>
                <w:lang w:val="en-US"/>
              </w:rPr>
            </w:pPr>
            <w:proofErr w:type="spellStart"/>
            <w:r>
              <w:rPr>
                <w:rFonts w:ascii="Arial" w:hAnsi="Arial" w:cs="Arial"/>
                <w:lang w:val="en-US"/>
              </w:rPr>
              <w:t>Ms</w:t>
            </w:r>
            <w:proofErr w:type="spellEnd"/>
            <w:r>
              <w:rPr>
                <w:rFonts w:ascii="Arial" w:hAnsi="Arial" w:cs="Arial"/>
                <w:lang w:val="en-US"/>
              </w:rPr>
              <w:t xml:space="preserve"> </w:t>
            </w:r>
            <w:proofErr w:type="spellStart"/>
            <w:r>
              <w:rPr>
                <w:rFonts w:ascii="Arial" w:hAnsi="Arial" w:cs="Arial"/>
                <w:lang w:val="en-US"/>
              </w:rPr>
              <w:t>Duvenage</w:t>
            </w:r>
            <w:proofErr w:type="spellEnd"/>
            <w:r>
              <w:rPr>
                <w:rFonts w:ascii="Arial" w:hAnsi="Arial" w:cs="Arial"/>
                <w:lang w:val="en-US"/>
              </w:rPr>
              <w:t xml:space="preserve"> was assisted in negotiating and drafting of the agreement in question;</w:t>
            </w:r>
          </w:p>
          <w:p w:rsidR="00B05DD1" w:rsidRDefault="00B05DD1" w:rsidP="006E7CED">
            <w:pPr>
              <w:pStyle w:val="BodyText"/>
              <w:numPr>
                <w:ilvl w:val="0"/>
                <w:numId w:val="15"/>
              </w:numPr>
              <w:tabs>
                <w:tab w:val="left" w:pos="720"/>
                <w:tab w:val="left" w:pos="2268"/>
              </w:tabs>
              <w:spacing w:line="360" w:lineRule="auto"/>
              <w:jc w:val="both"/>
              <w:rPr>
                <w:rFonts w:ascii="Arial" w:hAnsi="Arial" w:cs="Arial"/>
                <w:lang w:val="en-US"/>
              </w:rPr>
            </w:pPr>
            <w:proofErr w:type="spellStart"/>
            <w:r>
              <w:rPr>
                <w:rFonts w:ascii="Arial" w:hAnsi="Arial" w:cs="Arial"/>
                <w:lang w:val="en-US"/>
              </w:rPr>
              <w:t>Ms</w:t>
            </w:r>
            <w:proofErr w:type="spellEnd"/>
            <w:r>
              <w:rPr>
                <w:rFonts w:ascii="Arial" w:hAnsi="Arial" w:cs="Arial"/>
                <w:lang w:val="en-US"/>
              </w:rPr>
              <w:t xml:space="preserve"> </w:t>
            </w:r>
            <w:proofErr w:type="spellStart"/>
            <w:r>
              <w:rPr>
                <w:rFonts w:ascii="Arial" w:hAnsi="Arial" w:cs="Arial"/>
                <w:lang w:val="en-US"/>
              </w:rPr>
              <w:t>Duvenage</w:t>
            </w:r>
            <w:proofErr w:type="spellEnd"/>
            <w:r>
              <w:rPr>
                <w:rFonts w:ascii="Arial" w:hAnsi="Arial" w:cs="Arial"/>
                <w:lang w:val="en-US"/>
              </w:rPr>
              <w:t xml:space="preserve"> advised him to transfer the property after 3 years</w:t>
            </w:r>
            <w:r w:rsidR="00826C0C">
              <w:rPr>
                <w:rFonts w:ascii="Arial" w:hAnsi="Arial" w:cs="Arial"/>
                <w:lang w:val="en-US"/>
              </w:rPr>
              <w:t xml:space="preserve"> after the final decree of divorce whist the parties were married out of community of property</w:t>
            </w:r>
            <w:r>
              <w:rPr>
                <w:rFonts w:ascii="Arial" w:hAnsi="Arial" w:cs="Arial"/>
                <w:lang w:val="en-US"/>
              </w:rPr>
              <w:t>;</w:t>
            </w:r>
          </w:p>
          <w:p w:rsidR="005C6912" w:rsidRDefault="000248EF" w:rsidP="006E7CED">
            <w:pPr>
              <w:pStyle w:val="BodyText"/>
              <w:numPr>
                <w:ilvl w:val="0"/>
                <w:numId w:val="15"/>
              </w:numPr>
              <w:tabs>
                <w:tab w:val="left" w:pos="720"/>
                <w:tab w:val="left" w:pos="2268"/>
              </w:tabs>
              <w:spacing w:line="360" w:lineRule="auto"/>
              <w:jc w:val="both"/>
              <w:rPr>
                <w:rFonts w:ascii="Arial" w:hAnsi="Arial" w:cs="Arial"/>
                <w:lang w:val="en-US"/>
              </w:rPr>
            </w:pPr>
            <w:r>
              <w:rPr>
                <w:rFonts w:ascii="Arial" w:hAnsi="Arial" w:cs="Arial"/>
                <w:lang w:val="en-US"/>
              </w:rPr>
              <w:t>The p</w:t>
            </w:r>
            <w:r w:rsidR="005C6912">
              <w:rPr>
                <w:rFonts w:ascii="Arial" w:hAnsi="Arial" w:cs="Arial"/>
                <w:lang w:val="en-US"/>
              </w:rPr>
              <w:t xml:space="preserve">laintiff had a special relationship with </w:t>
            </w:r>
            <w:proofErr w:type="spellStart"/>
            <w:r w:rsidR="005C6912">
              <w:rPr>
                <w:rFonts w:ascii="Arial" w:hAnsi="Arial" w:cs="Arial"/>
                <w:lang w:val="en-US"/>
              </w:rPr>
              <w:t>Ms</w:t>
            </w:r>
            <w:proofErr w:type="spellEnd"/>
            <w:r w:rsidR="005C6912">
              <w:rPr>
                <w:rFonts w:ascii="Arial" w:hAnsi="Arial" w:cs="Arial"/>
                <w:lang w:val="en-US"/>
              </w:rPr>
              <w:t xml:space="preserve"> </w:t>
            </w:r>
            <w:proofErr w:type="spellStart"/>
            <w:r w:rsidR="005C6912">
              <w:rPr>
                <w:rFonts w:ascii="Arial" w:hAnsi="Arial" w:cs="Arial"/>
                <w:lang w:val="en-US"/>
              </w:rPr>
              <w:t>Duvenage</w:t>
            </w:r>
            <w:proofErr w:type="spellEnd"/>
            <w:r w:rsidR="005C6912">
              <w:rPr>
                <w:rFonts w:ascii="Arial" w:hAnsi="Arial" w:cs="Arial"/>
                <w:lang w:val="en-US"/>
              </w:rPr>
              <w:t>;</w:t>
            </w:r>
          </w:p>
          <w:p w:rsidR="005C6912" w:rsidRDefault="005C6912" w:rsidP="006E7CED">
            <w:pPr>
              <w:pStyle w:val="BodyText"/>
              <w:numPr>
                <w:ilvl w:val="0"/>
                <w:numId w:val="15"/>
              </w:numPr>
              <w:tabs>
                <w:tab w:val="left" w:pos="720"/>
                <w:tab w:val="left" w:pos="2268"/>
              </w:tabs>
              <w:spacing w:line="360" w:lineRule="auto"/>
              <w:jc w:val="both"/>
              <w:rPr>
                <w:rFonts w:ascii="Arial" w:hAnsi="Arial" w:cs="Arial"/>
                <w:lang w:val="en-US"/>
              </w:rPr>
            </w:pPr>
            <w:proofErr w:type="spellStart"/>
            <w:r>
              <w:rPr>
                <w:rFonts w:ascii="Arial" w:hAnsi="Arial" w:cs="Arial"/>
                <w:lang w:val="en-US"/>
              </w:rPr>
              <w:t>Ms</w:t>
            </w:r>
            <w:proofErr w:type="spellEnd"/>
            <w:r>
              <w:rPr>
                <w:rFonts w:ascii="Arial" w:hAnsi="Arial" w:cs="Arial"/>
                <w:lang w:val="en-US"/>
              </w:rPr>
              <w:t xml:space="preserve"> </w:t>
            </w:r>
            <w:proofErr w:type="spellStart"/>
            <w:r>
              <w:rPr>
                <w:rFonts w:ascii="Arial" w:hAnsi="Arial" w:cs="Arial"/>
                <w:lang w:val="en-US"/>
              </w:rPr>
              <w:t>Duvenhage</w:t>
            </w:r>
            <w:proofErr w:type="spellEnd"/>
            <w:r>
              <w:rPr>
                <w:rFonts w:ascii="Arial" w:hAnsi="Arial" w:cs="Arial"/>
                <w:lang w:val="en-US"/>
              </w:rPr>
              <w:t xml:space="preserve"> exerted pressure through her advice to the plaintiff;</w:t>
            </w:r>
          </w:p>
          <w:p w:rsidR="009A48B7" w:rsidRDefault="005C6912" w:rsidP="006E7CED">
            <w:pPr>
              <w:pStyle w:val="BodyText"/>
              <w:numPr>
                <w:ilvl w:val="0"/>
                <w:numId w:val="15"/>
              </w:numPr>
              <w:tabs>
                <w:tab w:val="left" w:pos="720"/>
                <w:tab w:val="left" w:pos="2268"/>
              </w:tabs>
              <w:spacing w:line="360" w:lineRule="auto"/>
              <w:jc w:val="both"/>
              <w:rPr>
                <w:rFonts w:ascii="Arial" w:hAnsi="Arial" w:cs="Arial"/>
                <w:lang w:val="en-US"/>
              </w:rPr>
            </w:pPr>
            <w:r>
              <w:rPr>
                <w:rFonts w:ascii="Arial" w:hAnsi="Arial" w:cs="Arial"/>
                <w:lang w:val="en-US"/>
              </w:rPr>
              <w:t xml:space="preserve">The plaintiff was dependent on the advice of </w:t>
            </w:r>
            <w:proofErr w:type="spellStart"/>
            <w:r>
              <w:rPr>
                <w:rFonts w:ascii="Arial" w:hAnsi="Arial" w:cs="Arial"/>
                <w:lang w:val="en-US"/>
              </w:rPr>
              <w:t>Ms</w:t>
            </w:r>
            <w:proofErr w:type="spellEnd"/>
            <w:r>
              <w:rPr>
                <w:rFonts w:ascii="Arial" w:hAnsi="Arial" w:cs="Arial"/>
                <w:lang w:val="en-US"/>
              </w:rPr>
              <w:t xml:space="preserve"> </w:t>
            </w:r>
            <w:proofErr w:type="spellStart"/>
            <w:r>
              <w:rPr>
                <w:rFonts w:ascii="Arial" w:hAnsi="Arial" w:cs="Arial"/>
                <w:lang w:val="en-US"/>
              </w:rPr>
              <w:t>Duvenhage</w:t>
            </w:r>
            <w:proofErr w:type="spellEnd"/>
            <w:r w:rsidR="000248EF">
              <w:rPr>
                <w:rFonts w:ascii="Arial" w:hAnsi="Arial" w:cs="Arial"/>
                <w:lang w:val="en-US"/>
              </w:rPr>
              <w:t>.</w:t>
            </w:r>
          </w:p>
          <w:p w:rsidR="000248EF" w:rsidRDefault="000248EF" w:rsidP="000248EF">
            <w:pPr>
              <w:pStyle w:val="BodyText"/>
              <w:tabs>
                <w:tab w:val="left" w:pos="720"/>
                <w:tab w:val="left" w:pos="2268"/>
              </w:tabs>
              <w:spacing w:line="360" w:lineRule="auto"/>
              <w:jc w:val="both"/>
              <w:rPr>
                <w:rFonts w:ascii="Arial" w:hAnsi="Arial" w:cs="Arial"/>
                <w:lang w:val="en-US"/>
              </w:rPr>
            </w:pPr>
          </w:p>
          <w:p w:rsidR="005C6912" w:rsidRDefault="000248EF" w:rsidP="005C6912">
            <w:pPr>
              <w:pStyle w:val="BodyText"/>
              <w:tabs>
                <w:tab w:val="left" w:pos="720"/>
                <w:tab w:val="left" w:pos="2268"/>
              </w:tabs>
              <w:spacing w:line="360" w:lineRule="auto"/>
              <w:jc w:val="both"/>
              <w:rPr>
                <w:rFonts w:ascii="Arial" w:hAnsi="Arial" w:cs="Arial"/>
                <w:lang w:val="en-US"/>
              </w:rPr>
            </w:pPr>
            <w:r>
              <w:rPr>
                <w:rFonts w:ascii="Arial" w:hAnsi="Arial" w:cs="Arial"/>
                <w:lang w:val="en-US"/>
              </w:rPr>
              <w:t>[12</w:t>
            </w:r>
            <w:r w:rsidR="005C6912">
              <w:rPr>
                <w:rFonts w:ascii="Arial" w:hAnsi="Arial" w:cs="Arial"/>
                <w:lang w:val="en-US"/>
              </w:rPr>
              <w:t xml:space="preserve">]   </w:t>
            </w:r>
            <w:r>
              <w:rPr>
                <w:rFonts w:ascii="Arial" w:hAnsi="Arial" w:cs="Arial"/>
                <w:lang w:val="en-US"/>
              </w:rPr>
              <w:t xml:space="preserve">    </w:t>
            </w:r>
            <w:proofErr w:type="spellStart"/>
            <w:r w:rsidR="005C6912">
              <w:rPr>
                <w:rFonts w:ascii="Arial" w:hAnsi="Arial" w:cs="Arial"/>
                <w:lang w:val="en-US"/>
              </w:rPr>
              <w:t>Ms</w:t>
            </w:r>
            <w:proofErr w:type="spellEnd"/>
            <w:r w:rsidR="005C6912">
              <w:rPr>
                <w:rFonts w:ascii="Arial" w:hAnsi="Arial" w:cs="Arial"/>
                <w:lang w:val="en-US"/>
              </w:rPr>
              <w:t xml:space="preserve"> Van Der </w:t>
            </w:r>
            <w:proofErr w:type="spellStart"/>
            <w:r w:rsidR="005C6912">
              <w:rPr>
                <w:rFonts w:ascii="Arial" w:hAnsi="Arial" w:cs="Arial"/>
                <w:lang w:val="en-US"/>
              </w:rPr>
              <w:t>Westhuize</w:t>
            </w:r>
            <w:r w:rsidR="0081141F">
              <w:rPr>
                <w:rFonts w:ascii="Arial" w:hAnsi="Arial" w:cs="Arial"/>
                <w:lang w:val="en-US"/>
              </w:rPr>
              <w:t>n</w:t>
            </w:r>
            <w:proofErr w:type="spellEnd"/>
            <w:r w:rsidR="0081141F">
              <w:rPr>
                <w:rFonts w:ascii="Arial" w:hAnsi="Arial" w:cs="Arial"/>
                <w:lang w:val="en-US"/>
              </w:rPr>
              <w:t xml:space="preserve"> argued that even if the above is proven it will not sustain a cause of action against the defendant. No allegation is made as to the influence </w:t>
            </w:r>
            <w:proofErr w:type="spellStart"/>
            <w:r w:rsidR="0081141F">
              <w:rPr>
                <w:rFonts w:ascii="Arial" w:hAnsi="Arial" w:cs="Arial"/>
                <w:lang w:val="en-US"/>
              </w:rPr>
              <w:t>Ms</w:t>
            </w:r>
            <w:proofErr w:type="spellEnd"/>
            <w:r w:rsidR="0081141F">
              <w:rPr>
                <w:rFonts w:ascii="Arial" w:hAnsi="Arial" w:cs="Arial"/>
                <w:lang w:val="en-US"/>
              </w:rPr>
              <w:t xml:space="preserve"> </w:t>
            </w:r>
            <w:proofErr w:type="spellStart"/>
            <w:r w:rsidR="0081141F">
              <w:rPr>
                <w:rFonts w:ascii="Arial" w:hAnsi="Arial" w:cs="Arial"/>
                <w:lang w:val="en-US"/>
              </w:rPr>
              <w:t>Duvenhage</w:t>
            </w:r>
            <w:proofErr w:type="spellEnd"/>
            <w:r w:rsidR="0081141F">
              <w:rPr>
                <w:rFonts w:ascii="Arial" w:hAnsi="Arial" w:cs="Arial"/>
                <w:lang w:val="en-US"/>
              </w:rPr>
              <w:t xml:space="preserve"> exerted over the defendant, the effect thereof and lastly that it was unlawful or contra bones mores in a situation where 2</w:t>
            </w:r>
            <w:r w:rsidR="0081141F" w:rsidRPr="0081141F">
              <w:rPr>
                <w:rFonts w:ascii="Arial" w:hAnsi="Arial" w:cs="Arial"/>
                <w:vertAlign w:val="superscript"/>
                <w:lang w:val="en-US"/>
              </w:rPr>
              <w:t>nd</w:t>
            </w:r>
            <w:r w:rsidR="0081141F">
              <w:rPr>
                <w:rFonts w:ascii="Arial" w:hAnsi="Arial" w:cs="Arial"/>
                <w:lang w:val="en-US"/>
              </w:rPr>
              <w:t xml:space="preserve"> and 3</w:t>
            </w:r>
            <w:r w:rsidR="0081141F" w:rsidRPr="0081141F">
              <w:rPr>
                <w:rFonts w:ascii="Arial" w:hAnsi="Arial" w:cs="Arial"/>
                <w:vertAlign w:val="superscript"/>
                <w:lang w:val="en-US"/>
              </w:rPr>
              <w:t>rd</w:t>
            </w:r>
            <w:r w:rsidR="0081141F">
              <w:rPr>
                <w:rFonts w:ascii="Arial" w:hAnsi="Arial" w:cs="Arial"/>
                <w:lang w:val="en-US"/>
              </w:rPr>
              <w:t xml:space="preserve"> defendant derived no benefits from the agreement entered into. She further submitted that the advice given by </w:t>
            </w:r>
            <w:proofErr w:type="spellStart"/>
            <w:r w:rsidR="0081141F">
              <w:rPr>
                <w:rFonts w:ascii="Arial" w:hAnsi="Arial" w:cs="Arial"/>
                <w:lang w:val="en-US"/>
              </w:rPr>
              <w:t>Ms</w:t>
            </w:r>
            <w:proofErr w:type="spellEnd"/>
            <w:r w:rsidR="0081141F">
              <w:rPr>
                <w:rFonts w:ascii="Arial" w:hAnsi="Arial" w:cs="Arial"/>
                <w:lang w:val="en-US"/>
              </w:rPr>
              <w:t xml:space="preserve"> </w:t>
            </w:r>
            <w:proofErr w:type="spellStart"/>
            <w:r w:rsidR="0081141F">
              <w:rPr>
                <w:rFonts w:ascii="Arial" w:hAnsi="Arial" w:cs="Arial"/>
                <w:lang w:val="en-US"/>
              </w:rPr>
              <w:t>Duvenhage</w:t>
            </w:r>
            <w:proofErr w:type="spellEnd"/>
            <w:r w:rsidR="0081141F">
              <w:rPr>
                <w:rFonts w:ascii="Arial" w:hAnsi="Arial" w:cs="Arial"/>
                <w:lang w:val="en-US"/>
              </w:rPr>
              <w:t xml:space="preserve"> cannot be relied on as there is no law prohibiting parties who are married out of community of property to enter into an agreement along the lines of the settlement agreement to settle their proprietary claims and as such the advice was not unlawful or contra bones mores.</w:t>
            </w:r>
          </w:p>
          <w:p w:rsidR="000248EF" w:rsidRDefault="000248EF" w:rsidP="005C6912">
            <w:pPr>
              <w:pStyle w:val="BodyText"/>
              <w:tabs>
                <w:tab w:val="left" w:pos="720"/>
                <w:tab w:val="left" w:pos="2268"/>
              </w:tabs>
              <w:spacing w:line="360" w:lineRule="auto"/>
              <w:jc w:val="both"/>
              <w:rPr>
                <w:rFonts w:ascii="Arial" w:hAnsi="Arial" w:cs="Arial"/>
                <w:lang w:val="en-US"/>
              </w:rPr>
            </w:pPr>
          </w:p>
          <w:p w:rsidR="00343FA7" w:rsidRPr="00343FA7" w:rsidRDefault="00343FA7" w:rsidP="005C6912">
            <w:pPr>
              <w:pStyle w:val="BodyText"/>
              <w:tabs>
                <w:tab w:val="left" w:pos="720"/>
                <w:tab w:val="left" w:pos="2268"/>
              </w:tabs>
              <w:spacing w:line="360" w:lineRule="auto"/>
              <w:jc w:val="both"/>
              <w:rPr>
                <w:rFonts w:ascii="Arial" w:hAnsi="Arial" w:cs="Arial"/>
                <w:u w:val="single"/>
                <w:lang w:val="en-US"/>
              </w:rPr>
            </w:pPr>
            <w:r w:rsidRPr="00343FA7">
              <w:rPr>
                <w:rFonts w:ascii="Arial" w:hAnsi="Arial" w:cs="Arial"/>
                <w:u w:val="single"/>
                <w:lang w:val="en-US"/>
              </w:rPr>
              <w:t>Plaintiff’s position</w:t>
            </w:r>
          </w:p>
          <w:p w:rsidR="00343FA7" w:rsidRDefault="00343FA7" w:rsidP="00343FA7">
            <w:pPr>
              <w:pStyle w:val="BodyText"/>
              <w:tabs>
                <w:tab w:val="left" w:pos="720"/>
                <w:tab w:val="left" w:pos="2268"/>
              </w:tabs>
              <w:spacing w:line="360" w:lineRule="auto"/>
              <w:jc w:val="both"/>
              <w:rPr>
                <w:rFonts w:ascii="Arial" w:hAnsi="Arial" w:cs="Arial"/>
                <w:lang w:val="en-US"/>
              </w:rPr>
            </w:pPr>
            <w:r>
              <w:rPr>
                <w:rFonts w:ascii="Arial" w:hAnsi="Arial" w:cs="Arial"/>
                <w:lang w:val="en-US"/>
              </w:rPr>
              <w:t>[1</w:t>
            </w:r>
            <w:r w:rsidR="000248EF">
              <w:rPr>
                <w:rFonts w:ascii="Arial" w:hAnsi="Arial" w:cs="Arial"/>
                <w:lang w:val="en-US"/>
              </w:rPr>
              <w:t>3</w:t>
            </w:r>
            <w:r>
              <w:rPr>
                <w:rFonts w:ascii="Arial" w:hAnsi="Arial" w:cs="Arial"/>
                <w:lang w:val="en-US"/>
              </w:rPr>
              <w:t xml:space="preserve">]     </w:t>
            </w:r>
            <w:proofErr w:type="spellStart"/>
            <w:r>
              <w:rPr>
                <w:rFonts w:ascii="Arial" w:hAnsi="Arial" w:cs="Arial"/>
                <w:lang w:val="en-US"/>
              </w:rPr>
              <w:t>Mr</w:t>
            </w:r>
            <w:proofErr w:type="spellEnd"/>
            <w:r>
              <w:rPr>
                <w:rFonts w:ascii="Arial" w:hAnsi="Arial" w:cs="Arial"/>
                <w:lang w:val="en-US"/>
              </w:rPr>
              <w:t xml:space="preserve"> </w:t>
            </w:r>
            <w:proofErr w:type="spellStart"/>
            <w:r>
              <w:rPr>
                <w:rFonts w:ascii="Arial" w:hAnsi="Arial" w:cs="Arial"/>
                <w:lang w:val="en-US"/>
              </w:rPr>
              <w:t>Strydom</w:t>
            </w:r>
            <w:proofErr w:type="spellEnd"/>
            <w:r>
              <w:rPr>
                <w:rFonts w:ascii="Arial" w:hAnsi="Arial" w:cs="Arial"/>
                <w:lang w:val="en-US"/>
              </w:rPr>
              <w:t xml:space="preserve">, counsel for the </w:t>
            </w:r>
            <w:r w:rsidR="007B2887">
              <w:rPr>
                <w:rFonts w:ascii="Arial" w:hAnsi="Arial" w:cs="Arial"/>
                <w:lang w:val="en-US"/>
              </w:rPr>
              <w:t>plaintiff</w:t>
            </w:r>
            <w:r>
              <w:rPr>
                <w:rFonts w:ascii="Arial" w:hAnsi="Arial" w:cs="Arial"/>
                <w:lang w:val="en-US"/>
              </w:rPr>
              <w:t xml:space="preserve"> </w:t>
            </w:r>
            <w:r w:rsidRPr="00343FA7">
              <w:rPr>
                <w:rFonts w:ascii="Arial" w:hAnsi="Arial" w:cs="Arial"/>
                <w:lang w:val="en-US"/>
              </w:rPr>
              <w:t>submitted that plaintiff’s cause of action, with clarity, deals with the issue of a special relationship which</w:t>
            </w:r>
            <w:r w:rsidR="001B0019">
              <w:rPr>
                <w:rFonts w:ascii="Arial" w:hAnsi="Arial" w:cs="Arial"/>
                <w:lang w:val="en-US"/>
              </w:rPr>
              <w:t xml:space="preserve"> existed between him and the 1</w:t>
            </w:r>
            <w:r w:rsidR="001B0019" w:rsidRPr="001B0019">
              <w:rPr>
                <w:rFonts w:ascii="Arial" w:hAnsi="Arial" w:cs="Arial"/>
                <w:vertAlign w:val="superscript"/>
                <w:lang w:val="en-US"/>
              </w:rPr>
              <w:t>st</w:t>
            </w:r>
            <w:r w:rsidRPr="00343FA7">
              <w:rPr>
                <w:rFonts w:ascii="Arial" w:hAnsi="Arial" w:cs="Arial"/>
                <w:lang w:val="en-US"/>
              </w:rPr>
              <w:t xml:space="preserve"> defendant as well as</w:t>
            </w:r>
            <w:r>
              <w:rPr>
                <w:rFonts w:ascii="Arial" w:hAnsi="Arial" w:cs="Arial"/>
                <w:lang w:val="en-US"/>
              </w:rPr>
              <w:t xml:space="preserve"> between him and the 3</w:t>
            </w:r>
            <w:r w:rsidRPr="00343FA7">
              <w:rPr>
                <w:rFonts w:ascii="Arial" w:hAnsi="Arial" w:cs="Arial"/>
                <w:vertAlign w:val="superscript"/>
                <w:lang w:val="en-US"/>
              </w:rPr>
              <w:t>rd</w:t>
            </w:r>
            <w:r>
              <w:rPr>
                <w:rFonts w:ascii="Arial" w:hAnsi="Arial" w:cs="Arial"/>
                <w:lang w:val="en-US"/>
              </w:rPr>
              <w:t xml:space="preserve"> defendant </w:t>
            </w:r>
            <w:r w:rsidRPr="00343FA7">
              <w:rPr>
                <w:rFonts w:ascii="Arial" w:hAnsi="Arial" w:cs="Arial"/>
                <w:lang w:val="en-US"/>
              </w:rPr>
              <w:t xml:space="preserve">and how this relationship was used in order to exert </w:t>
            </w:r>
            <w:r>
              <w:rPr>
                <w:rFonts w:ascii="Arial" w:hAnsi="Arial" w:cs="Arial"/>
                <w:lang w:val="en-US"/>
              </w:rPr>
              <w:t xml:space="preserve">undue </w:t>
            </w:r>
            <w:r w:rsidRPr="00343FA7">
              <w:rPr>
                <w:rFonts w:ascii="Arial" w:hAnsi="Arial" w:cs="Arial"/>
                <w:lang w:val="en-US"/>
              </w:rPr>
              <w:t xml:space="preserve">influence upon the plaintiff to eventually agree to the transaction </w:t>
            </w:r>
            <w:r w:rsidR="001969E1">
              <w:rPr>
                <w:rFonts w:ascii="Arial" w:hAnsi="Arial" w:cs="Arial"/>
                <w:lang w:val="en-US"/>
              </w:rPr>
              <w:t xml:space="preserve">that </w:t>
            </w:r>
            <w:r w:rsidRPr="00343FA7">
              <w:rPr>
                <w:rFonts w:ascii="Arial" w:hAnsi="Arial" w:cs="Arial"/>
                <w:lang w:val="en-US"/>
              </w:rPr>
              <w:t>he now wish</w:t>
            </w:r>
            <w:r w:rsidR="001969E1">
              <w:rPr>
                <w:rFonts w:ascii="Arial" w:hAnsi="Arial" w:cs="Arial"/>
                <w:lang w:val="en-US"/>
              </w:rPr>
              <w:t>es</w:t>
            </w:r>
            <w:r w:rsidRPr="00343FA7">
              <w:rPr>
                <w:rFonts w:ascii="Arial" w:hAnsi="Arial" w:cs="Arial"/>
                <w:lang w:val="en-US"/>
              </w:rPr>
              <w:t xml:space="preserve"> to set aside</w:t>
            </w:r>
            <w:r>
              <w:rPr>
                <w:rFonts w:ascii="Arial" w:hAnsi="Arial" w:cs="Arial"/>
                <w:lang w:val="en-US"/>
              </w:rPr>
              <w:t>.</w:t>
            </w:r>
            <w:r w:rsidRPr="00343FA7">
              <w:rPr>
                <w:rFonts w:ascii="Arial" w:hAnsi="Arial" w:cs="Arial"/>
                <w:lang w:val="en-US"/>
              </w:rPr>
              <w:t xml:space="preserve"> </w:t>
            </w:r>
            <w:r>
              <w:rPr>
                <w:rFonts w:ascii="Arial" w:hAnsi="Arial" w:cs="Arial"/>
                <w:lang w:val="en-US"/>
              </w:rPr>
              <w:t xml:space="preserve">He refers to examples where the courts have found that </w:t>
            </w:r>
            <w:r w:rsidR="007B2887">
              <w:rPr>
                <w:rFonts w:ascii="Arial" w:hAnsi="Arial" w:cs="Arial"/>
                <w:lang w:val="en-US"/>
              </w:rPr>
              <w:t xml:space="preserve">where </w:t>
            </w:r>
            <w:r>
              <w:rPr>
                <w:rFonts w:ascii="Arial" w:hAnsi="Arial" w:cs="Arial"/>
                <w:lang w:val="en-US"/>
              </w:rPr>
              <w:t xml:space="preserve">a </w:t>
            </w:r>
            <w:r w:rsidR="007B2887">
              <w:rPr>
                <w:rFonts w:ascii="Arial" w:hAnsi="Arial" w:cs="Arial"/>
                <w:lang w:val="en-US"/>
              </w:rPr>
              <w:t xml:space="preserve">special </w:t>
            </w:r>
            <w:r>
              <w:rPr>
                <w:rFonts w:ascii="Arial" w:hAnsi="Arial" w:cs="Arial"/>
                <w:lang w:val="en-US"/>
              </w:rPr>
              <w:t xml:space="preserve">relationship </w:t>
            </w:r>
            <w:r w:rsidRPr="00343FA7">
              <w:rPr>
                <w:rFonts w:ascii="Arial" w:hAnsi="Arial" w:cs="Arial"/>
                <w:lang w:val="en-US"/>
              </w:rPr>
              <w:t>for instance an attorney and client</w:t>
            </w:r>
            <w:r w:rsidR="007B2887">
              <w:rPr>
                <w:rFonts w:ascii="Arial" w:hAnsi="Arial" w:cs="Arial"/>
                <w:lang w:val="en-US"/>
              </w:rPr>
              <w:t xml:space="preserve"> exists a party would </w:t>
            </w:r>
            <w:r w:rsidR="007B2887" w:rsidRPr="007B2887">
              <w:rPr>
                <w:rFonts w:ascii="Arial" w:hAnsi="Arial" w:cs="Arial"/>
                <w:lang w:val="en-US"/>
              </w:rPr>
              <w:t>be susceptible for the exercise of undue influence</w:t>
            </w:r>
            <w:r w:rsidR="007B2887">
              <w:rPr>
                <w:rFonts w:ascii="Arial" w:hAnsi="Arial" w:cs="Arial"/>
                <w:lang w:val="en-US"/>
              </w:rPr>
              <w:t>.</w:t>
            </w:r>
            <w:r w:rsidR="00A941CC">
              <w:rPr>
                <w:rFonts w:ascii="Arial" w:hAnsi="Arial" w:cs="Arial"/>
                <w:lang w:val="en-US"/>
              </w:rPr>
              <w:t xml:space="preserve"> </w:t>
            </w:r>
            <w:r>
              <w:rPr>
                <w:rFonts w:ascii="Arial" w:hAnsi="Arial" w:cs="Arial"/>
                <w:lang w:val="en-US"/>
              </w:rPr>
              <w:t xml:space="preserve"> </w:t>
            </w:r>
          </w:p>
          <w:p w:rsidR="00161384" w:rsidRDefault="00161384" w:rsidP="00343FA7">
            <w:pPr>
              <w:pStyle w:val="BodyText"/>
              <w:tabs>
                <w:tab w:val="left" w:pos="720"/>
                <w:tab w:val="left" w:pos="2268"/>
              </w:tabs>
              <w:spacing w:line="360" w:lineRule="auto"/>
              <w:jc w:val="both"/>
              <w:rPr>
                <w:rFonts w:ascii="Arial" w:hAnsi="Arial" w:cs="Arial"/>
                <w:lang w:val="en-US"/>
              </w:rPr>
            </w:pPr>
          </w:p>
          <w:p w:rsidR="00343FA7" w:rsidRDefault="00343FA7" w:rsidP="00343FA7">
            <w:pPr>
              <w:pStyle w:val="BodyText"/>
              <w:tabs>
                <w:tab w:val="left" w:pos="720"/>
                <w:tab w:val="left" w:pos="2268"/>
              </w:tabs>
              <w:spacing w:line="360" w:lineRule="auto"/>
              <w:jc w:val="both"/>
              <w:rPr>
                <w:rFonts w:ascii="Arial" w:hAnsi="Arial" w:cs="Arial"/>
                <w:u w:val="single"/>
                <w:lang w:val="en-US"/>
              </w:rPr>
            </w:pPr>
            <w:r w:rsidRPr="00343FA7">
              <w:rPr>
                <w:rFonts w:ascii="Arial" w:hAnsi="Arial" w:cs="Arial"/>
                <w:u w:val="single"/>
                <w:lang w:val="en-US"/>
              </w:rPr>
              <w:t>Application of the law to the facts</w:t>
            </w:r>
          </w:p>
          <w:p w:rsidR="003703BC" w:rsidRPr="00343FA7" w:rsidRDefault="003703BC" w:rsidP="00343FA7">
            <w:pPr>
              <w:pStyle w:val="BodyText"/>
              <w:tabs>
                <w:tab w:val="left" w:pos="720"/>
                <w:tab w:val="left" w:pos="2268"/>
              </w:tabs>
              <w:spacing w:line="360" w:lineRule="auto"/>
              <w:jc w:val="both"/>
              <w:rPr>
                <w:rFonts w:ascii="Arial" w:hAnsi="Arial" w:cs="Arial"/>
                <w:u w:val="single"/>
                <w:lang w:val="en-US"/>
              </w:rPr>
            </w:pPr>
            <w:r>
              <w:rPr>
                <w:rFonts w:ascii="Arial" w:hAnsi="Arial" w:cs="Arial"/>
                <w:u w:val="single"/>
                <w:lang w:val="en-US"/>
              </w:rPr>
              <w:lastRenderedPageBreak/>
              <w:t>First ground</w:t>
            </w:r>
            <w:r w:rsidR="00BA03FC">
              <w:rPr>
                <w:rFonts w:ascii="Arial" w:hAnsi="Arial" w:cs="Arial"/>
                <w:u w:val="single"/>
                <w:lang w:val="en-US"/>
              </w:rPr>
              <w:t xml:space="preserve"> – Principle claim</w:t>
            </w:r>
          </w:p>
          <w:p w:rsidR="00343FA7" w:rsidRDefault="00343FA7" w:rsidP="005C6912">
            <w:pPr>
              <w:pStyle w:val="BodyText"/>
              <w:tabs>
                <w:tab w:val="left" w:pos="720"/>
                <w:tab w:val="left" w:pos="2268"/>
              </w:tabs>
              <w:spacing w:line="360" w:lineRule="auto"/>
              <w:jc w:val="both"/>
              <w:rPr>
                <w:rFonts w:ascii="Arial" w:hAnsi="Arial" w:cs="Arial"/>
                <w:lang w:val="en-US"/>
              </w:rPr>
            </w:pPr>
            <w:r>
              <w:rPr>
                <w:rFonts w:ascii="Arial" w:hAnsi="Arial" w:cs="Arial"/>
                <w:lang w:val="en-US"/>
              </w:rPr>
              <w:t>[1</w:t>
            </w:r>
            <w:r w:rsidR="00812483">
              <w:rPr>
                <w:rFonts w:ascii="Arial" w:hAnsi="Arial" w:cs="Arial"/>
                <w:lang w:val="en-US"/>
              </w:rPr>
              <w:t>4</w:t>
            </w:r>
            <w:r>
              <w:rPr>
                <w:rFonts w:ascii="Arial" w:hAnsi="Arial" w:cs="Arial"/>
                <w:lang w:val="en-US"/>
              </w:rPr>
              <w:t xml:space="preserve">]    </w:t>
            </w:r>
            <w:r w:rsidR="001969E1">
              <w:rPr>
                <w:rFonts w:ascii="Arial" w:hAnsi="Arial" w:cs="Arial"/>
                <w:lang w:val="en-US"/>
              </w:rPr>
              <w:t xml:space="preserve">  </w:t>
            </w:r>
            <w:r w:rsidR="00446076" w:rsidRPr="00446076">
              <w:rPr>
                <w:rFonts w:ascii="Arial" w:hAnsi="Arial" w:cs="Arial"/>
                <w:i/>
                <w:iCs/>
                <w:lang w:val="en-US"/>
              </w:rPr>
              <w:t xml:space="preserve">Christie, The Law of Contract in South Africa, </w:t>
            </w:r>
            <w:r w:rsidR="00446076" w:rsidRPr="001969E1">
              <w:rPr>
                <w:rFonts w:ascii="Arial" w:hAnsi="Arial" w:cs="Arial"/>
                <w:iCs/>
                <w:lang w:val="en-US"/>
              </w:rPr>
              <w:t xml:space="preserve">5th edition </w:t>
            </w:r>
            <w:r w:rsidR="00446076" w:rsidRPr="001969E1">
              <w:rPr>
                <w:rFonts w:ascii="Arial" w:hAnsi="Arial" w:cs="Arial"/>
                <w:lang w:val="en-US"/>
              </w:rPr>
              <w:t>at 310</w:t>
            </w:r>
            <w:r w:rsidR="00446076" w:rsidRPr="00446076">
              <w:rPr>
                <w:rFonts w:ascii="Arial" w:hAnsi="Arial" w:cs="Arial"/>
                <w:lang w:val="en-US"/>
              </w:rPr>
              <w:t xml:space="preserve">, </w:t>
            </w:r>
            <w:r w:rsidR="00446076">
              <w:rPr>
                <w:rFonts w:ascii="Arial" w:hAnsi="Arial" w:cs="Arial"/>
                <w:lang w:val="en-US"/>
              </w:rPr>
              <w:t xml:space="preserve">states </w:t>
            </w:r>
            <w:r w:rsidR="00CF23D5">
              <w:rPr>
                <w:rFonts w:ascii="Arial" w:hAnsi="Arial" w:cs="Arial"/>
                <w:lang w:val="en-US"/>
              </w:rPr>
              <w:t>that</w:t>
            </w:r>
            <w:r w:rsidR="00446076">
              <w:rPr>
                <w:rFonts w:ascii="Arial" w:hAnsi="Arial" w:cs="Arial"/>
                <w:lang w:val="en-US"/>
              </w:rPr>
              <w:t>: “</w:t>
            </w:r>
            <w:r w:rsidR="00CF23D5">
              <w:rPr>
                <w:rFonts w:ascii="Arial" w:hAnsi="Arial" w:cs="Arial"/>
                <w:lang w:val="en-US"/>
              </w:rPr>
              <w:t xml:space="preserve">a confidential relationship </w:t>
            </w:r>
            <w:r w:rsidR="00446076">
              <w:rPr>
                <w:rFonts w:ascii="Arial" w:hAnsi="Arial" w:cs="Arial"/>
                <w:lang w:val="en-US"/>
              </w:rPr>
              <w:t xml:space="preserve">between persons such as might give rise </w:t>
            </w:r>
            <w:r w:rsidR="00CF23D5">
              <w:rPr>
                <w:rFonts w:ascii="Arial" w:hAnsi="Arial" w:cs="Arial"/>
                <w:lang w:val="en-US"/>
              </w:rPr>
              <w:t xml:space="preserve">to a </w:t>
            </w:r>
            <w:proofErr w:type="spellStart"/>
            <w:r w:rsidR="00CF23D5" w:rsidRPr="00446076">
              <w:rPr>
                <w:rFonts w:ascii="Arial" w:hAnsi="Arial" w:cs="Arial"/>
                <w:i/>
                <w:lang w:val="en-US"/>
              </w:rPr>
              <w:t>metus</w:t>
            </w:r>
            <w:proofErr w:type="spellEnd"/>
            <w:r w:rsidR="00CF23D5" w:rsidRPr="00446076">
              <w:rPr>
                <w:rFonts w:ascii="Arial" w:hAnsi="Arial" w:cs="Arial"/>
                <w:i/>
                <w:lang w:val="en-US"/>
              </w:rPr>
              <w:t xml:space="preserve"> </w:t>
            </w:r>
            <w:proofErr w:type="spellStart"/>
            <w:r w:rsidR="00CF23D5" w:rsidRPr="00446076">
              <w:rPr>
                <w:rFonts w:ascii="Arial" w:hAnsi="Arial" w:cs="Arial"/>
                <w:i/>
                <w:lang w:val="en-US"/>
              </w:rPr>
              <w:t>reverentialis</w:t>
            </w:r>
            <w:proofErr w:type="spellEnd"/>
            <w:r w:rsidR="00CF23D5">
              <w:rPr>
                <w:rFonts w:ascii="Arial" w:hAnsi="Arial" w:cs="Arial"/>
                <w:lang w:val="en-US"/>
              </w:rPr>
              <w:t>, t</w:t>
            </w:r>
            <w:r w:rsidR="001969E1">
              <w:rPr>
                <w:rFonts w:ascii="Arial" w:hAnsi="Arial" w:cs="Arial"/>
                <w:lang w:val="en-US"/>
              </w:rPr>
              <w:t>h</w:t>
            </w:r>
            <w:r w:rsidR="00CF23D5">
              <w:rPr>
                <w:rFonts w:ascii="Arial" w:hAnsi="Arial" w:cs="Arial"/>
                <w:lang w:val="en-US"/>
              </w:rPr>
              <w:t>ough relevant, does not create a</w:t>
            </w:r>
            <w:r w:rsidR="00446076">
              <w:rPr>
                <w:rFonts w:ascii="Arial" w:hAnsi="Arial" w:cs="Arial"/>
                <w:lang w:val="en-US"/>
              </w:rPr>
              <w:t xml:space="preserve"> presumption of undue influence” </w:t>
            </w:r>
            <w:r w:rsidR="00CF23D5">
              <w:rPr>
                <w:rFonts w:ascii="Arial" w:hAnsi="Arial" w:cs="Arial"/>
                <w:lang w:val="en-US"/>
              </w:rPr>
              <w:t>(</w:t>
            </w:r>
            <w:r w:rsidR="00446076">
              <w:rPr>
                <w:rFonts w:ascii="Arial" w:hAnsi="Arial" w:cs="Arial"/>
                <w:lang w:val="en-US"/>
              </w:rPr>
              <w:t xml:space="preserve">See </w:t>
            </w:r>
            <w:r w:rsidR="00446076" w:rsidRPr="00446076">
              <w:rPr>
                <w:rFonts w:ascii="Arial" w:hAnsi="Arial" w:cs="Arial"/>
                <w:i/>
                <w:lang w:val="en-US"/>
              </w:rPr>
              <w:t xml:space="preserve">MB De Klerk &amp; Associates v </w:t>
            </w:r>
            <w:proofErr w:type="spellStart"/>
            <w:r w:rsidR="00446076" w:rsidRPr="00446076">
              <w:rPr>
                <w:rFonts w:ascii="Arial" w:hAnsi="Arial" w:cs="Arial"/>
                <w:i/>
                <w:lang w:val="en-US"/>
              </w:rPr>
              <w:t>Eggerschweiler</w:t>
            </w:r>
            <w:proofErr w:type="spellEnd"/>
            <w:r w:rsidR="00446076" w:rsidRPr="00446076">
              <w:rPr>
                <w:rFonts w:ascii="Arial" w:hAnsi="Arial" w:cs="Arial"/>
                <w:i/>
                <w:lang w:val="en-US"/>
              </w:rPr>
              <w:t xml:space="preserve"> and Another, supra</w:t>
            </w:r>
            <w:r w:rsidR="00446076">
              <w:rPr>
                <w:rFonts w:ascii="Arial" w:hAnsi="Arial" w:cs="Arial"/>
                <w:lang w:val="en-US"/>
              </w:rPr>
              <w:t>). The allegation of a special relationship betwe</w:t>
            </w:r>
            <w:r w:rsidR="001969E1">
              <w:rPr>
                <w:rFonts w:ascii="Arial" w:hAnsi="Arial" w:cs="Arial"/>
                <w:lang w:val="en-US"/>
              </w:rPr>
              <w:t>en the plaintiff and the third defendant</w:t>
            </w:r>
            <w:r w:rsidR="00446076">
              <w:rPr>
                <w:rFonts w:ascii="Arial" w:hAnsi="Arial" w:cs="Arial"/>
                <w:lang w:val="en-US"/>
              </w:rPr>
              <w:t xml:space="preserve"> having given the plaintiff advice is not sufficient to establish undue influence as a cause of action. The plaintiff concludes that the influence is undue and unlawful but no averment is made to support such a conclusion. </w:t>
            </w:r>
            <w:r w:rsidR="001D4238">
              <w:rPr>
                <w:rFonts w:ascii="Arial" w:hAnsi="Arial" w:cs="Arial"/>
                <w:lang w:val="en-US"/>
              </w:rPr>
              <w:t xml:space="preserve">No averment is made to indicate in what manner the assistance rendered in drafting and negotiating the settlement agreement amounted to </w:t>
            </w:r>
            <w:r w:rsidR="001D4238" w:rsidRPr="001D4238">
              <w:rPr>
                <w:rFonts w:ascii="Arial" w:hAnsi="Arial" w:cs="Arial"/>
                <w:lang w:val="en-US"/>
              </w:rPr>
              <w:t xml:space="preserve">influence </w:t>
            </w:r>
            <w:r w:rsidR="001D4238">
              <w:rPr>
                <w:rFonts w:ascii="Arial" w:hAnsi="Arial" w:cs="Arial"/>
                <w:lang w:val="en-US"/>
              </w:rPr>
              <w:t xml:space="preserve">which was </w:t>
            </w:r>
            <w:r w:rsidR="001D4238" w:rsidRPr="001D4238">
              <w:rPr>
                <w:rFonts w:ascii="Arial" w:hAnsi="Arial" w:cs="Arial"/>
                <w:lang w:val="en-US"/>
              </w:rPr>
              <w:t>exercised in an unscrupulous</w:t>
            </w:r>
            <w:r w:rsidR="001D4238">
              <w:rPr>
                <w:rFonts w:ascii="Arial" w:hAnsi="Arial" w:cs="Arial"/>
                <w:lang w:val="en-US"/>
              </w:rPr>
              <w:t xml:space="preserve"> manner or contra bones mores. </w:t>
            </w:r>
            <w:r w:rsidR="001D4238" w:rsidRPr="001D4238">
              <w:rPr>
                <w:rFonts w:ascii="Arial" w:hAnsi="Arial" w:cs="Arial"/>
                <w:lang w:val="en-US"/>
              </w:rPr>
              <w:t xml:space="preserve"> </w:t>
            </w:r>
          </w:p>
          <w:p w:rsidR="00812483" w:rsidRDefault="00812483" w:rsidP="005C6912">
            <w:pPr>
              <w:pStyle w:val="BodyText"/>
              <w:tabs>
                <w:tab w:val="left" w:pos="720"/>
                <w:tab w:val="left" w:pos="2268"/>
              </w:tabs>
              <w:spacing w:line="360" w:lineRule="auto"/>
              <w:jc w:val="both"/>
              <w:rPr>
                <w:rFonts w:ascii="Arial" w:hAnsi="Arial" w:cs="Arial"/>
                <w:lang w:val="en-US"/>
              </w:rPr>
            </w:pPr>
          </w:p>
          <w:p w:rsidR="00452DB9" w:rsidRPr="00521AE6" w:rsidRDefault="001D4238" w:rsidP="00452DB9">
            <w:pPr>
              <w:pStyle w:val="BodyText"/>
              <w:tabs>
                <w:tab w:val="left" w:pos="720"/>
                <w:tab w:val="left" w:pos="2268"/>
              </w:tabs>
              <w:spacing w:line="360" w:lineRule="auto"/>
              <w:jc w:val="both"/>
              <w:rPr>
                <w:rFonts w:ascii="Arial" w:hAnsi="Arial" w:cs="Arial"/>
                <w:lang w:val="en-US"/>
              </w:rPr>
            </w:pPr>
            <w:r>
              <w:rPr>
                <w:rFonts w:ascii="Arial" w:hAnsi="Arial" w:cs="Arial"/>
                <w:lang w:val="en-US"/>
              </w:rPr>
              <w:t>[1</w:t>
            </w:r>
            <w:r w:rsidR="00812483">
              <w:rPr>
                <w:rFonts w:ascii="Arial" w:hAnsi="Arial" w:cs="Arial"/>
                <w:lang w:val="en-US"/>
              </w:rPr>
              <w:t>5</w:t>
            </w:r>
            <w:r>
              <w:rPr>
                <w:rFonts w:ascii="Arial" w:hAnsi="Arial" w:cs="Arial"/>
                <w:lang w:val="en-US"/>
              </w:rPr>
              <w:t xml:space="preserve">]  </w:t>
            </w:r>
            <w:r w:rsidR="001969E1">
              <w:rPr>
                <w:rFonts w:ascii="Arial" w:hAnsi="Arial" w:cs="Arial"/>
                <w:lang w:val="en-US"/>
              </w:rPr>
              <w:t xml:space="preserve">    </w:t>
            </w:r>
            <w:r w:rsidR="00521AE6">
              <w:rPr>
                <w:rFonts w:ascii="Arial" w:hAnsi="Arial" w:cs="Arial"/>
                <w:lang w:val="en-US"/>
              </w:rPr>
              <w:t xml:space="preserve">In </w:t>
            </w:r>
            <w:r w:rsidR="003703BC" w:rsidRPr="001969E1">
              <w:rPr>
                <w:rFonts w:ascii="Arial" w:hAnsi="Arial" w:cs="Arial"/>
                <w:i/>
                <w:lang w:val="en-US"/>
              </w:rPr>
              <w:t>Namibia Broadcasting Corporation v Kruger and Others</w:t>
            </w:r>
            <w:r w:rsidR="003703BC" w:rsidRPr="00521AE6">
              <w:rPr>
                <w:rFonts w:ascii="Arial" w:hAnsi="Arial" w:cs="Arial"/>
                <w:lang w:val="en-US"/>
              </w:rPr>
              <w:t xml:space="preserve"> 2009 (1) N</w:t>
            </w:r>
            <w:r w:rsidR="003703BC">
              <w:rPr>
                <w:rFonts w:ascii="Arial" w:hAnsi="Arial" w:cs="Arial"/>
                <w:lang w:val="en-US"/>
              </w:rPr>
              <w:t>R</w:t>
            </w:r>
            <w:r w:rsidR="003703BC" w:rsidRPr="00521AE6">
              <w:rPr>
                <w:rFonts w:ascii="Arial" w:hAnsi="Arial" w:cs="Arial"/>
                <w:lang w:val="en-US"/>
              </w:rPr>
              <w:t xml:space="preserve"> 196 (S</w:t>
            </w:r>
            <w:r w:rsidR="003703BC">
              <w:rPr>
                <w:rFonts w:ascii="Arial" w:hAnsi="Arial" w:cs="Arial"/>
                <w:lang w:val="en-US"/>
              </w:rPr>
              <w:t>C</w:t>
            </w:r>
            <w:r w:rsidR="003703BC" w:rsidRPr="00521AE6">
              <w:rPr>
                <w:rFonts w:ascii="Arial" w:hAnsi="Arial" w:cs="Arial"/>
                <w:lang w:val="en-US"/>
              </w:rPr>
              <w:t>)</w:t>
            </w:r>
            <w:r w:rsidR="00521AE6">
              <w:rPr>
                <w:rFonts w:ascii="Arial" w:hAnsi="Arial" w:cs="Arial"/>
                <w:lang w:val="en-US"/>
              </w:rPr>
              <w:t xml:space="preserve">, </w:t>
            </w:r>
            <w:r w:rsidR="00452DB9">
              <w:rPr>
                <w:rFonts w:ascii="Arial" w:hAnsi="Arial" w:cs="Arial"/>
                <w:lang w:val="en-US"/>
              </w:rPr>
              <w:t xml:space="preserve">page 209, para 21 </w:t>
            </w:r>
            <w:proofErr w:type="spellStart"/>
            <w:r w:rsidR="00452DB9">
              <w:rPr>
                <w:rFonts w:ascii="Arial" w:hAnsi="Arial" w:cs="Arial"/>
                <w:lang w:val="en-US"/>
              </w:rPr>
              <w:t>Chomba</w:t>
            </w:r>
            <w:proofErr w:type="spellEnd"/>
            <w:r w:rsidR="00452DB9">
              <w:rPr>
                <w:rFonts w:ascii="Arial" w:hAnsi="Arial" w:cs="Arial"/>
                <w:lang w:val="en-US"/>
              </w:rPr>
              <w:t xml:space="preserve"> AJA states as follow:</w:t>
            </w:r>
          </w:p>
          <w:p w:rsidR="00452DB9" w:rsidRPr="00510E71" w:rsidRDefault="00510E71" w:rsidP="00452DB9">
            <w:pPr>
              <w:pStyle w:val="BodyText"/>
              <w:tabs>
                <w:tab w:val="left" w:pos="720"/>
                <w:tab w:val="left" w:pos="2268"/>
              </w:tabs>
              <w:spacing w:line="360" w:lineRule="auto"/>
              <w:jc w:val="both"/>
              <w:rPr>
                <w:rFonts w:ascii="Arial Narrow" w:hAnsi="Arial Narrow" w:cs="Arial"/>
                <w:lang w:val="en-US"/>
              </w:rPr>
            </w:pPr>
            <w:r>
              <w:rPr>
                <w:rFonts w:ascii="Arial Narrow" w:hAnsi="Arial Narrow" w:cs="Arial"/>
                <w:lang w:val="en-US"/>
              </w:rPr>
              <w:t xml:space="preserve">  </w:t>
            </w:r>
            <w:r w:rsidR="00452DB9" w:rsidRPr="00510E71">
              <w:rPr>
                <w:rFonts w:ascii="Arial Narrow" w:hAnsi="Arial Narrow" w:cs="Arial"/>
                <w:lang w:val="en-US"/>
              </w:rPr>
              <w:t xml:space="preserve">   </w:t>
            </w:r>
            <w:r w:rsidR="00521AE6" w:rsidRPr="00510E71">
              <w:rPr>
                <w:rFonts w:ascii="Arial Narrow" w:hAnsi="Arial Narrow" w:cs="Arial"/>
                <w:lang w:val="en-US"/>
              </w:rPr>
              <w:t xml:space="preserve">'In its contractual concept, duress is raised where the alleger is seeking to rescind a contract on the ground that there was </w:t>
            </w:r>
            <w:r w:rsidR="00521AE6" w:rsidRPr="00510E71">
              <w:rPr>
                <w:rFonts w:ascii="Arial Narrow" w:hAnsi="Arial Narrow" w:cs="Arial"/>
                <w:u w:val="single"/>
                <w:lang w:val="en-US"/>
              </w:rPr>
              <w:t>no consensus</w:t>
            </w:r>
            <w:r w:rsidR="00521AE6" w:rsidRPr="00510E71">
              <w:rPr>
                <w:rFonts w:ascii="Arial Narrow" w:hAnsi="Arial Narrow" w:cs="Arial"/>
                <w:lang w:val="en-US"/>
              </w:rPr>
              <w:t xml:space="preserve"> ad idem as a prelude to the consummation of the contract, and that </w:t>
            </w:r>
            <w:r w:rsidR="00521AE6" w:rsidRPr="00510E71">
              <w:rPr>
                <w:rFonts w:ascii="Arial Narrow" w:hAnsi="Arial Narrow" w:cs="Arial"/>
                <w:u w:val="single"/>
                <w:lang w:val="en-US"/>
              </w:rPr>
              <w:t>what is presented by his opponent as consent to contract was actually induced by some illicit threat.</w:t>
            </w:r>
            <w:r w:rsidR="00521AE6" w:rsidRPr="00510E71">
              <w:rPr>
                <w:rFonts w:ascii="Arial Narrow" w:hAnsi="Arial Narrow" w:cs="Arial"/>
                <w:lang w:val="en-US"/>
              </w:rPr>
              <w:t xml:space="preserve"> Implicit in the foregoing statement is that the perpetrator of the duress is the other party to the contract or his/her agent who was involved in the negotiations leading to the contract</w:t>
            </w:r>
            <w:r w:rsidR="00F20BD6">
              <w:rPr>
                <w:rFonts w:ascii="Arial Narrow" w:hAnsi="Arial Narrow" w:cs="Arial"/>
                <w:lang w:val="en-US"/>
              </w:rPr>
              <w:t>’.</w:t>
            </w:r>
            <w:r w:rsidR="00452DB9" w:rsidRPr="00510E71">
              <w:rPr>
                <w:rFonts w:ascii="Arial Narrow" w:hAnsi="Arial Narrow" w:cs="Arial"/>
                <w:lang w:val="en-US"/>
              </w:rPr>
              <w:t xml:space="preserve"> [my emphasis]</w:t>
            </w:r>
          </w:p>
          <w:p w:rsidR="003703BC" w:rsidRDefault="005540C9" w:rsidP="00452DB9">
            <w:pPr>
              <w:pStyle w:val="BodyText"/>
              <w:tabs>
                <w:tab w:val="left" w:pos="720"/>
                <w:tab w:val="left" w:pos="2268"/>
              </w:tabs>
              <w:spacing w:line="360" w:lineRule="auto"/>
              <w:jc w:val="both"/>
              <w:rPr>
                <w:rFonts w:ascii="Arial" w:hAnsi="Arial" w:cs="Arial"/>
                <w:lang w:val="en-US"/>
              </w:rPr>
            </w:pPr>
            <w:r>
              <w:rPr>
                <w:rFonts w:ascii="Arial" w:hAnsi="Arial" w:cs="Arial"/>
                <w:lang w:val="en-US"/>
              </w:rPr>
              <w:t xml:space="preserve">The </w:t>
            </w:r>
            <w:r w:rsidRPr="00432AD9">
              <w:rPr>
                <w:rFonts w:ascii="Arial" w:hAnsi="Arial" w:cs="Arial"/>
                <w:lang w:val="en-US"/>
              </w:rPr>
              <w:t xml:space="preserve">other party’s influence </w:t>
            </w:r>
            <w:r>
              <w:rPr>
                <w:rFonts w:ascii="Arial" w:hAnsi="Arial" w:cs="Arial"/>
                <w:lang w:val="en-US"/>
              </w:rPr>
              <w:t xml:space="preserve">must have </w:t>
            </w:r>
            <w:r w:rsidRPr="00432AD9">
              <w:rPr>
                <w:rFonts w:ascii="Arial" w:hAnsi="Arial" w:cs="Arial"/>
                <w:lang w:val="en-US"/>
              </w:rPr>
              <w:t xml:space="preserve">weakened the plaintiff’s resistance and made his will pliable; </w:t>
            </w:r>
            <w:r>
              <w:rPr>
                <w:rFonts w:ascii="Arial" w:hAnsi="Arial" w:cs="Arial"/>
                <w:lang w:val="en-US"/>
              </w:rPr>
              <w:t>thus no true consensus is reached. The defendants aver in its ex</w:t>
            </w:r>
            <w:r w:rsidR="003703BC">
              <w:rPr>
                <w:rFonts w:ascii="Arial" w:hAnsi="Arial" w:cs="Arial"/>
                <w:lang w:val="en-US"/>
              </w:rPr>
              <w:t>c</w:t>
            </w:r>
            <w:r>
              <w:rPr>
                <w:rFonts w:ascii="Arial" w:hAnsi="Arial" w:cs="Arial"/>
                <w:lang w:val="en-US"/>
              </w:rPr>
              <w:t xml:space="preserve">eption that this allegation has not been made and as such the pleading expiable. The impact of the undue influence </w:t>
            </w:r>
            <w:r w:rsidR="003703BC">
              <w:rPr>
                <w:rFonts w:ascii="Arial" w:hAnsi="Arial" w:cs="Arial"/>
                <w:lang w:val="en-US"/>
              </w:rPr>
              <w:t xml:space="preserve">on the will of the innocent party </w:t>
            </w:r>
            <w:r>
              <w:rPr>
                <w:rFonts w:ascii="Arial" w:hAnsi="Arial" w:cs="Arial"/>
                <w:lang w:val="en-US"/>
              </w:rPr>
              <w:t xml:space="preserve">is a necessary averment in light of the fact that </w:t>
            </w:r>
            <w:r w:rsidR="003703BC">
              <w:rPr>
                <w:rFonts w:ascii="Arial" w:hAnsi="Arial" w:cs="Arial"/>
                <w:lang w:val="en-US"/>
              </w:rPr>
              <w:t xml:space="preserve">it </w:t>
            </w:r>
            <w:r>
              <w:rPr>
                <w:rFonts w:ascii="Arial" w:hAnsi="Arial" w:cs="Arial"/>
                <w:lang w:val="en-US"/>
              </w:rPr>
              <w:t xml:space="preserve">establishes the absence of </w:t>
            </w:r>
            <w:r w:rsidR="00A941CC">
              <w:rPr>
                <w:rFonts w:ascii="Arial" w:hAnsi="Arial" w:cs="Arial"/>
                <w:lang w:val="en-US"/>
              </w:rPr>
              <w:t xml:space="preserve">voluntary </w:t>
            </w:r>
            <w:r>
              <w:rPr>
                <w:rFonts w:ascii="Arial" w:hAnsi="Arial" w:cs="Arial"/>
                <w:lang w:val="en-US"/>
              </w:rPr>
              <w:t xml:space="preserve">consensus. </w:t>
            </w:r>
          </w:p>
          <w:p w:rsidR="00812483" w:rsidRDefault="00812483" w:rsidP="00452DB9">
            <w:pPr>
              <w:pStyle w:val="BodyText"/>
              <w:tabs>
                <w:tab w:val="left" w:pos="720"/>
                <w:tab w:val="left" w:pos="2268"/>
              </w:tabs>
              <w:spacing w:line="360" w:lineRule="auto"/>
              <w:jc w:val="both"/>
              <w:rPr>
                <w:rFonts w:ascii="Arial" w:hAnsi="Arial" w:cs="Arial"/>
                <w:lang w:val="en-US"/>
              </w:rPr>
            </w:pPr>
          </w:p>
          <w:p w:rsidR="00BA03FC" w:rsidRDefault="00F20BD6" w:rsidP="00452DB9">
            <w:pPr>
              <w:pStyle w:val="BodyText"/>
              <w:tabs>
                <w:tab w:val="left" w:pos="720"/>
                <w:tab w:val="left" w:pos="2268"/>
              </w:tabs>
              <w:spacing w:line="360" w:lineRule="auto"/>
              <w:jc w:val="both"/>
              <w:rPr>
                <w:rFonts w:ascii="Arial" w:hAnsi="Arial" w:cs="Arial"/>
                <w:lang w:val="en-US"/>
              </w:rPr>
            </w:pPr>
            <w:r>
              <w:rPr>
                <w:rFonts w:ascii="Arial" w:hAnsi="Arial" w:cs="Arial"/>
                <w:lang w:val="en-US"/>
              </w:rPr>
              <w:t>[16]</w:t>
            </w:r>
            <w:bookmarkStart w:id="0" w:name="_GoBack"/>
            <w:bookmarkEnd w:id="0"/>
            <w:r w:rsidR="005540C9">
              <w:rPr>
                <w:rFonts w:ascii="Arial" w:hAnsi="Arial" w:cs="Arial"/>
                <w:lang w:val="en-US"/>
              </w:rPr>
              <w:t xml:space="preserve">   </w:t>
            </w:r>
            <w:r w:rsidR="00812483">
              <w:rPr>
                <w:rFonts w:ascii="Arial" w:hAnsi="Arial" w:cs="Arial"/>
                <w:lang w:val="en-US"/>
              </w:rPr>
              <w:t xml:space="preserve">  </w:t>
            </w:r>
            <w:r w:rsidR="00A941CC">
              <w:rPr>
                <w:rFonts w:ascii="Arial" w:hAnsi="Arial" w:cs="Arial"/>
                <w:lang w:val="en-US"/>
              </w:rPr>
              <w:t>T</w:t>
            </w:r>
            <w:r w:rsidR="003703BC">
              <w:rPr>
                <w:rFonts w:ascii="Arial" w:hAnsi="Arial" w:cs="Arial"/>
                <w:lang w:val="en-US"/>
              </w:rPr>
              <w:t xml:space="preserve">he </w:t>
            </w:r>
            <w:r w:rsidR="00BA03FC">
              <w:rPr>
                <w:rFonts w:ascii="Arial" w:hAnsi="Arial" w:cs="Arial"/>
                <w:lang w:val="en-US"/>
              </w:rPr>
              <w:t>defendant’s</w:t>
            </w:r>
            <w:r w:rsidR="003703BC">
              <w:rPr>
                <w:rFonts w:ascii="Arial" w:hAnsi="Arial" w:cs="Arial"/>
                <w:lang w:val="en-US"/>
              </w:rPr>
              <w:t xml:space="preserve"> exception </w:t>
            </w:r>
            <w:r w:rsidR="00BA03FC">
              <w:rPr>
                <w:rFonts w:ascii="Arial" w:hAnsi="Arial" w:cs="Arial"/>
                <w:lang w:val="en-US"/>
              </w:rPr>
              <w:t xml:space="preserve">in respect of this ground must, </w:t>
            </w:r>
            <w:r w:rsidR="003703BC">
              <w:rPr>
                <w:rFonts w:ascii="Arial" w:hAnsi="Arial" w:cs="Arial"/>
                <w:lang w:val="en-US"/>
              </w:rPr>
              <w:t>in the circumstances</w:t>
            </w:r>
            <w:r w:rsidR="00BA03FC">
              <w:rPr>
                <w:rFonts w:ascii="Arial" w:hAnsi="Arial" w:cs="Arial"/>
                <w:lang w:val="en-US"/>
              </w:rPr>
              <w:t>,</w:t>
            </w:r>
            <w:r w:rsidR="003703BC">
              <w:rPr>
                <w:rFonts w:ascii="Arial" w:hAnsi="Arial" w:cs="Arial"/>
                <w:lang w:val="en-US"/>
              </w:rPr>
              <w:t xml:space="preserve"> </w:t>
            </w:r>
            <w:r w:rsidR="00BA03FC">
              <w:rPr>
                <w:rFonts w:ascii="Arial" w:hAnsi="Arial" w:cs="Arial"/>
                <w:lang w:val="en-US"/>
              </w:rPr>
              <w:t>be upheld.</w:t>
            </w:r>
          </w:p>
          <w:p w:rsidR="00812483" w:rsidRDefault="00812483" w:rsidP="00452DB9">
            <w:pPr>
              <w:pStyle w:val="BodyText"/>
              <w:tabs>
                <w:tab w:val="left" w:pos="720"/>
                <w:tab w:val="left" w:pos="2268"/>
              </w:tabs>
              <w:spacing w:line="360" w:lineRule="auto"/>
              <w:jc w:val="both"/>
              <w:rPr>
                <w:rFonts w:ascii="Arial" w:hAnsi="Arial" w:cs="Arial"/>
                <w:lang w:val="en-US"/>
              </w:rPr>
            </w:pPr>
          </w:p>
          <w:p w:rsidR="00BA03FC" w:rsidRDefault="00BA03FC" w:rsidP="00452DB9">
            <w:pPr>
              <w:pStyle w:val="BodyText"/>
              <w:tabs>
                <w:tab w:val="left" w:pos="720"/>
                <w:tab w:val="left" w:pos="2268"/>
              </w:tabs>
              <w:spacing w:line="360" w:lineRule="auto"/>
              <w:jc w:val="both"/>
              <w:rPr>
                <w:rFonts w:ascii="Arial" w:hAnsi="Arial" w:cs="Arial"/>
                <w:lang w:val="en-US"/>
              </w:rPr>
            </w:pPr>
            <w:r w:rsidRPr="00BA03FC">
              <w:rPr>
                <w:rFonts w:ascii="Arial" w:hAnsi="Arial" w:cs="Arial"/>
                <w:u w:val="single"/>
                <w:lang w:val="en-US"/>
              </w:rPr>
              <w:t>Third Ground</w:t>
            </w:r>
            <w:r>
              <w:rPr>
                <w:rFonts w:ascii="Arial" w:hAnsi="Arial" w:cs="Arial"/>
                <w:u w:val="single"/>
                <w:lang w:val="en-US"/>
              </w:rPr>
              <w:t xml:space="preserve">  - </w:t>
            </w:r>
            <w:r w:rsidR="00812483">
              <w:rPr>
                <w:rFonts w:ascii="Arial" w:hAnsi="Arial" w:cs="Arial"/>
                <w:u w:val="single"/>
                <w:lang w:val="en-US"/>
              </w:rPr>
              <w:t>(</w:t>
            </w:r>
            <w:r w:rsidRPr="00BA03FC">
              <w:rPr>
                <w:rFonts w:ascii="Arial" w:hAnsi="Arial" w:cs="Arial"/>
                <w:u w:val="single"/>
                <w:lang w:val="en-US"/>
              </w:rPr>
              <w:t>Alternative claim</w:t>
            </w:r>
            <w:r>
              <w:rPr>
                <w:rFonts w:ascii="Arial" w:hAnsi="Arial" w:cs="Arial"/>
                <w:lang w:val="en-US"/>
              </w:rPr>
              <w:t>)</w:t>
            </w:r>
          </w:p>
          <w:p w:rsidR="00801AE8" w:rsidRDefault="00812483" w:rsidP="00452DB9">
            <w:pPr>
              <w:pStyle w:val="BodyText"/>
              <w:tabs>
                <w:tab w:val="left" w:pos="720"/>
                <w:tab w:val="left" w:pos="2268"/>
              </w:tabs>
              <w:spacing w:line="360" w:lineRule="auto"/>
              <w:jc w:val="both"/>
              <w:rPr>
                <w:rFonts w:ascii="Arial" w:hAnsi="Arial" w:cs="Arial"/>
                <w:lang w:val="en-US"/>
              </w:rPr>
            </w:pPr>
            <w:r>
              <w:rPr>
                <w:rFonts w:ascii="Arial" w:hAnsi="Arial" w:cs="Arial"/>
                <w:lang w:val="en-US"/>
              </w:rPr>
              <w:t>[17</w:t>
            </w:r>
            <w:r w:rsidR="00FA285E">
              <w:rPr>
                <w:rFonts w:ascii="Arial" w:hAnsi="Arial" w:cs="Arial"/>
                <w:lang w:val="en-US"/>
              </w:rPr>
              <w:t xml:space="preserve">] </w:t>
            </w:r>
            <w:r>
              <w:rPr>
                <w:rFonts w:ascii="Arial" w:hAnsi="Arial" w:cs="Arial"/>
                <w:lang w:val="en-US"/>
              </w:rPr>
              <w:t xml:space="preserve">    </w:t>
            </w:r>
            <w:r w:rsidR="00BA03FC">
              <w:rPr>
                <w:rFonts w:ascii="Arial" w:hAnsi="Arial" w:cs="Arial"/>
                <w:lang w:val="en-US"/>
              </w:rPr>
              <w:t xml:space="preserve">The damages claimed flows from the relationship between an attorney and client which in turn is contractual in nature. </w:t>
            </w:r>
            <w:proofErr w:type="spellStart"/>
            <w:r w:rsidR="00BA03FC">
              <w:rPr>
                <w:rFonts w:ascii="Arial" w:hAnsi="Arial" w:cs="Arial"/>
                <w:lang w:val="en-US"/>
              </w:rPr>
              <w:t>Ms</w:t>
            </w:r>
            <w:proofErr w:type="spellEnd"/>
            <w:r w:rsidR="00BA03FC">
              <w:rPr>
                <w:rFonts w:ascii="Arial" w:hAnsi="Arial" w:cs="Arial"/>
                <w:lang w:val="en-US"/>
              </w:rPr>
              <w:t xml:space="preserve"> Van </w:t>
            </w:r>
            <w:proofErr w:type="spellStart"/>
            <w:r w:rsidR="00BA03FC">
              <w:rPr>
                <w:rFonts w:ascii="Arial" w:hAnsi="Arial" w:cs="Arial"/>
                <w:lang w:val="en-US"/>
              </w:rPr>
              <w:t>Westhuizen</w:t>
            </w:r>
            <w:proofErr w:type="spellEnd"/>
            <w:r w:rsidR="00BA03FC">
              <w:rPr>
                <w:rFonts w:ascii="Arial" w:hAnsi="Arial" w:cs="Arial"/>
                <w:lang w:val="en-US"/>
              </w:rPr>
              <w:t xml:space="preserve"> argued that the relief claimed is contractual damages. The damages claimed are not general damages and it does not flow naturally from the agreement between the parties. She submitted that, given the special </w:t>
            </w:r>
            <w:r w:rsidR="00801AE8">
              <w:rPr>
                <w:rFonts w:ascii="Arial" w:hAnsi="Arial" w:cs="Arial"/>
                <w:lang w:val="en-US"/>
              </w:rPr>
              <w:t>circumstances, such damages can only be claimed where, at the conclusion of the agreement, the parties presumptively contemplated that such damages would probably arise from the breach relied on by the plaintiff</w:t>
            </w:r>
          </w:p>
          <w:p w:rsidR="00801AE8" w:rsidRDefault="00812483" w:rsidP="00452DB9">
            <w:pPr>
              <w:pStyle w:val="BodyText"/>
              <w:tabs>
                <w:tab w:val="left" w:pos="720"/>
                <w:tab w:val="left" w:pos="2268"/>
              </w:tabs>
              <w:spacing w:line="360" w:lineRule="auto"/>
              <w:jc w:val="both"/>
              <w:rPr>
                <w:rFonts w:ascii="Arial" w:hAnsi="Arial" w:cs="Arial"/>
                <w:lang w:val="en-US"/>
              </w:rPr>
            </w:pPr>
            <w:r>
              <w:rPr>
                <w:rFonts w:ascii="Arial" w:hAnsi="Arial" w:cs="Arial"/>
                <w:lang w:val="en-US"/>
              </w:rPr>
              <w:lastRenderedPageBreak/>
              <w:t>[18</w:t>
            </w:r>
            <w:r w:rsidR="00801AE8">
              <w:rPr>
                <w:rFonts w:ascii="Arial" w:hAnsi="Arial" w:cs="Arial"/>
                <w:lang w:val="en-US"/>
              </w:rPr>
              <w:t xml:space="preserve">] </w:t>
            </w:r>
            <w:r>
              <w:rPr>
                <w:rFonts w:ascii="Arial" w:hAnsi="Arial" w:cs="Arial"/>
                <w:lang w:val="en-US"/>
              </w:rPr>
              <w:t xml:space="preserve">      </w:t>
            </w:r>
            <w:r w:rsidR="00801AE8">
              <w:rPr>
                <w:rFonts w:ascii="Arial" w:hAnsi="Arial" w:cs="Arial"/>
                <w:lang w:val="en-US"/>
              </w:rPr>
              <w:t xml:space="preserve">It is further her submission that no allegation is made of the remoteness of damages and causation upon which he would be entitled to claim should he succeed in his claim for breach he relies on. </w:t>
            </w:r>
          </w:p>
          <w:p w:rsidR="00812483" w:rsidRDefault="00812483" w:rsidP="00452DB9">
            <w:pPr>
              <w:pStyle w:val="BodyText"/>
              <w:tabs>
                <w:tab w:val="left" w:pos="720"/>
                <w:tab w:val="left" w:pos="2268"/>
              </w:tabs>
              <w:spacing w:line="360" w:lineRule="auto"/>
              <w:jc w:val="both"/>
              <w:rPr>
                <w:rFonts w:ascii="Arial" w:hAnsi="Arial" w:cs="Arial"/>
                <w:lang w:val="en-US"/>
              </w:rPr>
            </w:pPr>
          </w:p>
          <w:p w:rsidR="00663E8D" w:rsidRDefault="00801AE8" w:rsidP="00452DB9">
            <w:pPr>
              <w:pStyle w:val="BodyText"/>
              <w:tabs>
                <w:tab w:val="left" w:pos="720"/>
                <w:tab w:val="left" w:pos="2268"/>
              </w:tabs>
              <w:spacing w:line="360" w:lineRule="auto"/>
              <w:jc w:val="both"/>
              <w:rPr>
                <w:rFonts w:ascii="Arial" w:hAnsi="Arial" w:cs="Arial"/>
                <w:lang w:val="en-US"/>
              </w:rPr>
            </w:pPr>
            <w:r>
              <w:rPr>
                <w:rFonts w:ascii="Arial" w:hAnsi="Arial" w:cs="Arial"/>
                <w:lang w:val="en-US"/>
              </w:rPr>
              <w:t>[1</w:t>
            </w:r>
            <w:r w:rsidR="00812483">
              <w:rPr>
                <w:rFonts w:ascii="Arial" w:hAnsi="Arial" w:cs="Arial"/>
                <w:lang w:val="en-US"/>
              </w:rPr>
              <w:t>9</w:t>
            </w:r>
            <w:r>
              <w:rPr>
                <w:rFonts w:ascii="Arial" w:hAnsi="Arial" w:cs="Arial"/>
                <w:lang w:val="en-US"/>
              </w:rPr>
              <w:t>]</w:t>
            </w:r>
            <w:r w:rsidR="00812483">
              <w:rPr>
                <w:rFonts w:ascii="Arial" w:hAnsi="Arial" w:cs="Arial"/>
                <w:lang w:val="en-US"/>
              </w:rPr>
              <w:t xml:space="preserve">    </w:t>
            </w:r>
            <w:r>
              <w:rPr>
                <w:rFonts w:ascii="Arial" w:hAnsi="Arial" w:cs="Arial"/>
                <w:lang w:val="en-US"/>
              </w:rPr>
              <w:t xml:space="preserve"> She submits that the particulars of claim does not set the damages in such manner as to enable the</w:t>
            </w:r>
            <w:r w:rsidR="00663E8D">
              <w:rPr>
                <w:rFonts w:ascii="Arial" w:hAnsi="Arial" w:cs="Arial"/>
                <w:lang w:val="en-US"/>
              </w:rPr>
              <w:t xml:space="preserve"> defendants reasonabl</w:t>
            </w:r>
            <w:r w:rsidR="00812483">
              <w:rPr>
                <w:rFonts w:ascii="Arial" w:hAnsi="Arial" w:cs="Arial"/>
                <w:lang w:val="en-US"/>
              </w:rPr>
              <w:t>y to assess the quantum thereof.</w:t>
            </w:r>
          </w:p>
          <w:p w:rsidR="00812483" w:rsidRDefault="00812483" w:rsidP="00452DB9">
            <w:pPr>
              <w:pStyle w:val="BodyText"/>
              <w:tabs>
                <w:tab w:val="left" w:pos="720"/>
                <w:tab w:val="left" w:pos="2268"/>
              </w:tabs>
              <w:spacing w:line="360" w:lineRule="auto"/>
              <w:jc w:val="both"/>
              <w:rPr>
                <w:rFonts w:ascii="Arial" w:hAnsi="Arial" w:cs="Arial"/>
                <w:lang w:val="en-US"/>
              </w:rPr>
            </w:pPr>
          </w:p>
          <w:p w:rsidR="00663E8D" w:rsidRDefault="00812483" w:rsidP="00452DB9">
            <w:pPr>
              <w:pStyle w:val="BodyText"/>
              <w:tabs>
                <w:tab w:val="left" w:pos="720"/>
                <w:tab w:val="left" w:pos="2268"/>
              </w:tabs>
              <w:spacing w:line="360" w:lineRule="auto"/>
              <w:jc w:val="both"/>
              <w:rPr>
                <w:rFonts w:ascii="Arial" w:hAnsi="Arial" w:cs="Arial"/>
                <w:lang w:val="en-US"/>
              </w:rPr>
            </w:pPr>
            <w:r>
              <w:rPr>
                <w:rFonts w:ascii="Arial" w:hAnsi="Arial" w:cs="Arial"/>
                <w:lang w:val="en-US"/>
              </w:rPr>
              <w:t>[20</w:t>
            </w:r>
            <w:r w:rsidR="00663E8D">
              <w:rPr>
                <w:rFonts w:ascii="Arial" w:hAnsi="Arial" w:cs="Arial"/>
                <w:lang w:val="en-US"/>
              </w:rPr>
              <w:t xml:space="preserve">]  </w:t>
            </w:r>
            <w:r>
              <w:rPr>
                <w:rFonts w:ascii="Arial" w:hAnsi="Arial" w:cs="Arial"/>
                <w:lang w:val="en-US"/>
              </w:rPr>
              <w:t xml:space="preserve">   </w:t>
            </w:r>
            <w:r w:rsidR="00663E8D">
              <w:rPr>
                <w:rFonts w:ascii="Arial" w:hAnsi="Arial" w:cs="Arial"/>
                <w:lang w:val="en-US"/>
              </w:rPr>
              <w:t xml:space="preserve"> In the result, she submitted, the plaintiff’s alternative </w:t>
            </w:r>
            <w:r w:rsidR="00C25598">
              <w:rPr>
                <w:rFonts w:ascii="Arial" w:hAnsi="Arial" w:cs="Arial"/>
                <w:lang w:val="en-US"/>
              </w:rPr>
              <w:t>claim is vague and embarrassing.</w:t>
            </w:r>
          </w:p>
          <w:p w:rsidR="00812483" w:rsidRDefault="00812483" w:rsidP="00452DB9">
            <w:pPr>
              <w:pStyle w:val="BodyText"/>
              <w:tabs>
                <w:tab w:val="left" w:pos="720"/>
                <w:tab w:val="left" w:pos="2268"/>
              </w:tabs>
              <w:spacing w:line="360" w:lineRule="auto"/>
              <w:jc w:val="both"/>
              <w:rPr>
                <w:rFonts w:ascii="Arial" w:hAnsi="Arial" w:cs="Arial"/>
                <w:lang w:val="en-US"/>
              </w:rPr>
            </w:pPr>
          </w:p>
          <w:p w:rsidR="00663E8D" w:rsidRDefault="00812483" w:rsidP="00663E8D">
            <w:pPr>
              <w:pStyle w:val="BodyText"/>
              <w:tabs>
                <w:tab w:val="left" w:pos="720"/>
                <w:tab w:val="left" w:pos="2268"/>
              </w:tabs>
              <w:spacing w:line="360" w:lineRule="auto"/>
              <w:jc w:val="both"/>
              <w:rPr>
                <w:rFonts w:ascii="Arial" w:hAnsi="Arial" w:cs="Arial"/>
                <w:lang w:val="en-US"/>
              </w:rPr>
            </w:pPr>
            <w:r>
              <w:rPr>
                <w:rFonts w:ascii="Arial" w:hAnsi="Arial" w:cs="Arial"/>
                <w:lang w:val="en-US"/>
              </w:rPr>
              <w:t>[21</w:t>
            </w:r>
            <w:r w:rsidR="00663E8D">
              <w:rPr>
                <w:rFonts w:ascii="Arial" w:hAnsi="Arial" w:cs="Arial"/>
                <w:lang w:val="en-US"/>
              </w:rPr>
              <w:t xml:space="preserve">] </w:t>
            </w:r>
            <w:r>
              <w:rPr>
                <w:rFonts w:ascii="Arial" w:hAnsi="Arial" w:cs="Arial"/>
                <w:lang w:val="en-US"/>
              </w:rPr>
              <w:t xml:space="preserve">     </w:t>
            </w:r>
            <w:r w:rsidR="00663E8D">
              <w:rPr>
                <w:rFonts w:ascii="Arial" w:hAnsi="Arial" w:cs="Arial"/>
                <w:lang w:val="en-US"/>
              </w:rPr>
              <w:t xml:space="preserve"> </w:t>
            </w:r>
            <w:proofErr w:type="spellStart"/>
            <w:r w:rsidR="00663E8D">
              <w:rPr>
                <w:rFonts w:ascii="Arial" w:hAnsi="Arial" w:cs="Arial"/>
                <w:lang w:val="en-US"/>
              </w:rPr>
              <w:t>Mr</w:t>
            </w:r>
            <w:proofErr w:type="spellEnd"/>
            <w:r w:rsidR="00663E8D">
              <w:rPr>
                <w:rFonts w:ascii="Arial" w:hAnsi="Arial" w:cs="Arial"/>
                <w:lang w:val="en-US"/>
              </w:rPr>
              <w:t xml:space="preserve"> </w:t>
            </w:r>
            <w:proofErr w:type="spellStart"/>
            <w:r w:rsidR="00663E8D">
              <w:rPr>
                <w:rFonts w:ascii="Arial" w:hAnsi="Arial" w:cs="Arial"/>
                <w:lang w:val="en-US"/>
              </w:rPr>
              <w:t>Strydom</w:t>
            </w:r>
            <w:proofErr w:type="spellEnd"/>
            <w:r w:rsidR="00663E8D">
              <w:rPr>
                <w:rFonts w:ascii="Arial" w:hAnsi="Arial" w:cs="Arial"/>
                <w:lang w:val="en-US"/>
              </w:rPr>
              <w:t xml:space="preserve"> submitted that </w:t>
            </w:r>
            <w:r w:rsidR="00663E8D" w:rsidRPr="00663E8D">
              <w:rPr>
                <w:rFonts w:ascii="Arial" w:hAnsi="Arial" w:cs="Arial"/>
                <w:lang w:val="en-US"/>
              </w:rPr>
              <w:t>it is evident that the plaintiff unequivocally state</w:t>
            </w:r>
            <w:r>
              <w:rPr>
                <w:rFonts w:ascii="Arial" w:hAnsi="Arial" w:cs="Arial"/>
                <w:lang w:val="en-US"/>
              </w:rPr>
              <w:t>d</w:t>
            </w:r>
            <w:r w:rsidR="00663E8D" w:rsidRPr="00663E8D">
              <w:rPr>
                <w:rFonts w:ascii="Arial" w:hAnsi="Arial" w:cs="Arial"/>
                <w:lang w:val="en-US"/>
              </w:rPr>
              <w:t xml:space="preserve"> in his particulars of claim </w:t>
            </w:r>
            <w:r w:rsidR="00663E8D">
              <w:rPr>
                <w:rFonts w:ascii="Arial" w:hAnsi="Arial" w:cs="Arial"/>
                <w:lang w:val="en-US"/>
              </w:rPr>
              <w:t>that the amount of N$4 000 000</w:t>
            </w:r>
            <w:r>
              <w:rPr>
                <w:rFonts w:ascii="Arial" w:hAnsi="Arial" w:cs="Arial"/>
                <w:lang w:val="en-US"/>
              </w:rPr>
              <w:t>.00</w:t>
            </w:r>
            <w:r w:rsidR="00663E8D">
              <w:rPr>
                <w:rFonts w:ascii="Arial" w:hAnsi="Arial" w:cs="Arial"/>
                <w:lang w:val="en-US"/>
              </w:rPr>
              <w:t xml:space="preserve"> </w:t>
            </w:r>
            <w:r w:rsidR="00663E8D" w:rsidRPr="00663E8D">
              <w:rPr>
                <w:rFonts w:ascii="Arial" w:hAnsi="Arial" w:cs="Arial"/>
                <w:lang w:val="en-US"/>
              </w:rPr>
              <w:t>represents the value of the loss sustained by the plaintiff in him losing his immovable property situate</w:t>
            </w:r>
            <w:r>
              <w:rPr>
                <w:rFonts w:ascii="Arial" w:hAnsi="Arial" w:cs="Arial"/>
                <w:lang w:val="en-US"/>
              </w:rPr>
              <w:t>d</w:t>
            </w:r>
            <w:r w:rsidR="00663E8D" w:rsidRPr="00663E8D">
              <w:rPr>
                <w:rFonts w:ascii="Arial" w:hAnsi="Arial" w:cs="Arial"/>
                <w:lang w:val="en-US"/>
              </w:rPr>
              <w:t xml:space="preserve"> at 6 </w:t>
            </w:r>
            <w:proofErr w:type="spellStart"/>
            <w:r w:rsidR="00663E8D" w:rsidRPr="00663E8D">
              <w:rPr>
                <w:rFonts w:ascii="Arial" w:hAnsi="Arial" w:cs="Arial"/>
                <w:lang w:val="en-US"/>
              </w:rPr>
              <w:t>Riethaan</w:t>
            </w:r>
            <w:proofErr w:type="spellEnd"/>
            <w:r w:rsidR="00663E8D">
              <w:rPr>
                <w:rFonts w:ascii="Arial" w:hAnsi="Arial" w:cs="Arial"/>
                <w:lang w:val="en-US"/>
              </w:rPr>
              <w:t xml:space="preserve"> Street, </w:t>
            </w:r>
            <w:proofErr w:type="spellStart"/>
            <w:r w:rsidR="00663E8D">
              <w:rPr>
                <w:rFonts w:ascii="Arial" w:hAnsi="Arial" w:cs="Arial"/>
                <w:lang w:val="en-US"/>
              </w:rPr>
              <w:t>Hochlandpark</w:t>
            </w:r>
            <w:proofErr w:type="spellEnd"/>
            <w:r w:rsidR="00663E8D">
              <w:rPr>
                <w:rFonts w:ascii="Arial" w:hAnsi="Arial" w:cs="Arial"/>
                <w:lang w:val="en-US"/>
              </w:rPr>
              <w:t>, Windhoek.</w:t>
            </w:r>
          </w:p>
          <w:p w:rsidR="00812483" w:rsidRDefault="00812483" w:rsidP="00663E8D">
            <w:pPr>
              <w:pStyle w:val="BodyText"/>
              <w:tabs>
                <w:tab w:val="left" w:pos="720"/>
                <w:tab w:val="left" w:pos="2268"/>
              </w:tabs>
              <w:spacing w:line="360" w:lineRule="auto"/>
              <w:jc w:val="both"/>
              <w:rPr>
                <w:rFonts w:ascii="Arial" w:hAnsi="Arial" w:cs="Arial"/>
                <w:lang w:val="en-US"/>
              </w:rPr>
            </w:pPr>
          </w:p>
          <w:p w:rsidR="00C25598" w:rsidRDefault="00745980" w:rsidP="00663E8D">
            <w:pPr>
              <w:pStyle w:val="BodyText"/>
              <w:tabs>
                <w:tab w:val="left" w:pos="720"/>
                <w:tab w:val="left" w:pos="2268"/>
              </w:tabs>
              <w:spacing w:line="360" w:lineRule="auto"/>
              <w:jc w:val="both"/>
              <w:rPr>
                <w:rFonts w:ascii="Arial" w:hAnsi="Arial" w:cs="Arial"/>
                <w:lang w:val="en-US"/>
              </w:rPr>
            </w:pPr>
            <w:r>
              <w:rPr>
                <w:rFonts w:ascii="Arial" w:hAnsi="Arial" w:cs="Arial"/>
                <w:lang w:val="en-US"/>
              </w:rPr>
              <w:t>[2</w:t>
            </w:r>
            <w:r w:rsidR="00812483">
              <w:rPr>
                <w:rFonts w:ascii="Arial" w:hAnsi="Arial" w:cs="Arial"/>
                <w:lang w:val="en-US"/>
              </w:rPr>
              <w:t>2</w:t>
            </w:r>
            <w:r>
              <w:rPr>
                <w:rFonts w:ascii="Arial" w:hAnsi="Arial" w:cs="Arial"/>
                <w:lang w:val="en-US"/>
              </w:rPr>
              <w:t xml:space="preserve">] </w:t>
            </w:r>
            <w:r w:rsidR="00812483">
              <w:rPr>
                <w:rFonts w:ascii="Arial" w:hAnsi="Arial" w:cs="Arial"/>
                <w:lang w:val="en-US"/>
              </w:rPr>
              <w:t xml:space="preserve">    </w:t>
            </w:r>
            <w:r w:rsidR="00B92411">
              <w:rPr>
                <w:rFonts w:ascii="Arial" w:hAnsi="Arial" w:cs="Arial"/>
                <w:lang w:val="en-US"/>
              </w:rPr>
              <w:t>Rule 45 provides that a party suing for damages must set it out in such a manner that will enable the defendant reasonably to assess the quantum thereof.</w:t>
            </w:r>
            <w:r>
              <w:rPr>
                <w:rFonts w:ascii="Arial" w:hAnsi="Arial" w:cs="Arial"/>
                <w:lang w:val="en-US"/>
              </w:rPr>
              <w:t xml:space="preserve"> Plaintiff’s particulars of claim states that:  “the plaintiff suffered dam</w:t>
            </w:r>
            <w:r w:rsidR="00812483">
              <w:rPr>
                <w:rFonts w:ascii="Arial" w:hAnsi="Arial" w:cs="Arial"/>
                <w:lang w:val="en-US"/>
              </w:rPr>
              <w:t>ages in the amount of N$4 000 000.00</w:t>
            </w:r>
            <w:r>
              <w:rPr>
                <w:rFonts w:ascii="Arial" w:hAnsi="Arial" w:cs="Arial"/>
                <w:lang w:val="en-US"/>
              </w:rPr>
              <w:t xml:space="preserve"> for the reason that plaintiff lost his immovable property…” </w:t>
            </w:r>
          </w:p>
          <w:p w:rsidR="00812483" w:rsidRDefault="00812483" w:rsidP="00663E8D">
            <w:pPr>
              <w:pStyle w:val="BodyText"/>
              <w:tabs>
                <w:tab w:val="left" w:pos="720"/>
                <w:tab w:val="left" w:pos="2268"/>
              </w:tabs>
              <w:spacing w:line="360" w:lineRule="auto"/>
              <w:jc w:val="both"/>
              <w:rPr>
                <w:rFonts w:ascii="Arial" w:hAnsi="Arial" w:cs="Arial"/>
                <w:lang w:val="en-US"/>
              </w:rPr>
            </w:pPr>
          </w:p>
          <w:p w:rsidR="004625A8" w:rsidRDefault="00C25598" w:rsidP="00663E8D">
            <w:pPr>
              <w:pStyle w:val="BodyText"/>
              <w:tabs>
                <w:tab w:val="left" w:pos="720"/>
                <w:tab w:val="left" w:pos="2268"/>
              </w:tabs>
              <w:spacing w:line="360" w:lineRule="auto"/>
              <w:jc w:val="both"/>
              <w:rPr>
                <w:rFonts w:ascii="Arial" w:hAnsi="Arial" w:cs="Arial"/>
                <w:lang w:val="en-US"/>
              </w:rPr>
            </w:pPr>
            <w:r>
              <w:rPr>
                <w:rFonts w:ascii="Arial" w:hAnsi="Arial" w:cs="Arial"/>
                <w:lang w:val="en-US"/>
              </w:rPr>
              <w:t>[2</w:t>
            </w:r>
            <w:r w:rsidR="00C67C98">
              <w:rPr>
                <w:rFonts w:ascii="Arial" w:hAnsi="Arial" w:cs="Arial"/>
                <w:lang w:val="en-US"/>
              </w:rPr>
              <w:t>3</w:t>
            </w:r>
            <w:r>
              <w:rPr>
                <w:rFonts w:ascii="Arial" w:hAnsi="Arial" w:cs="Arial"/>
                <w:lang w:val="en-US"/>
              </w:rPr>
              <w:t xml:space="preserve">]  </w:t>
            </w:r>
            <w:r w:rsidR="00C67C98">
              <w:rPr>
                <w:rFonts w:ascii="Arial" w:hAnsi="Arial" w:cs="Arial"/>
                <w:lang w:val="en-US"/>
              </w:rPr>
              <w:t xml:space="preserve"> </w:t>
            </w:r>
            <w:r>
              <w:rPr>
                <w:rFonts w:ascii="Arial" w:hAnsi="Arial" w:cs="Arial"/>
                <w:lang w:val="en-US"/>
              </w:rPr>
              <w:t xml:space="preserve"> T</w:t>
            </w:r>
            <w:r w:rsidR="00C67C98">
              <w:rPr>
                <w:rFonts w:ascii="Arial" w:hAnsi="Arial" w:cs="Arial"/>
                <w:lang w:val="en-US"/>
              </w:rPr>
              <w:t xml:space="preserve"> </w:t>
            </w:r>
            <w:r w:rsidR="00C55441">
              <w:rPr>
                <w:rFonts w:ascii="Arial" w:hAnsi="Arial" w:cs="Arial"/>
                <w:lang w:val="en-US"/>
              </w:rPr>
              <w:t xml:space="preserve">he wording of this paragraph </w:t>
            </w:r>
            <w:r>
              <w:rPr>
                <w:rFonts w:ascii="Arial" w:hAnsi="Arial" w:cs="Arial"/>
                <w:lang w:val="en-US"/>
              </w:rPr>
              <w:t>contains the allegation t</w:t>
            </w:r>
            <w:r w:rsidR="00C55441">
              <w:rPr>
                <w:rFonts w:ascii="Arial" w:hAnsi="Arial" w:cs="Arial"/>
                <w:lang w:val="en-US"/>
              </w:rPr>
              <w:t xml:space="preserve">hat </w:t>
            </w:r>
            <w:r w:rsidR="00C67C98">
              <w:rPr>
                <w:rFonts w:ascii="Arial" w:hAnsi="Arial" w:cs="Arial"/>
                <w:lang w:val="en-US"/>
              </w:rPr>
              <w:t>p</w:t>
            </w:r>
            <w:r>
              <w:rPr>
                <w:rFonts w:ascii="Arial" w:hAnsi="Arial" w:cs="Arial"/>
                <w:lang w:val="en-US"/>
              </w:rPr>
              <w:t xml:space="preserve">laintiff </w:t>
            </w:r>
            <w:r w:rsidR="00C55441">
              <w:rPr>
                <w:rFonts w:ascii="Arial" w:hAnsi="Arial" w:cs="Arial"/>
                <w:lang w:val="en-US"/>
              </w:rPr>
              <w:t xml:space="preserve">suffered damages </w:t>
            </w:r>
            <w:r>
              <w:rPr>
                <w:rFonts w:ascii="Arial" w:hAnsi="Arial" w:cs="Arial"/>
                <w:lang w:val="en-US"/>
              </w:rPr>
              <w:t>and</w:t>
            </w:r>
            <w:r w:rsidR="00BC3264">
              <w:rPr>
                <w:rFonts w:ascii="Arial" w:hAnsi="Arial" w:cs="Arial"/>
                <w:lang w:val="en-US"/>
              </w:rPr>
              <w:t xml:space="preserve"> stipulates the factual cause of the damages suffered. No factual averments are made however </w:t>
            </w:r>
            <w:r w:rsidR="00101F10">
              <w:rPr>
                <w:rFonts w:ascii="Arial" w:hAnsi="Arial" w:cs="Arial"/>
                <w:lang w:val="en-US"/>
              </w:rPr>
              <w:t xml:space="preserve">to indicate </w:t>
            </w:r>
            <w:r>
              <w:rPr>
                <w:rFonts w:ascii="Arial" w:hAnsi="Arial" w:cs="Arial"/>
                <w:lang w:val="en-US"/>
              </w:rPr>
              <w:t xml:space="preserve">what </w:t>
            </w:r>
            <w:r w:rsidR="00C67C98">
              <w:rPr>
                <w:rFonts w:ascii="Arial" w:hAnsi="Arial" w:cs="Arial"/>
                <w:lang w:val="en-US"/>
              </w:rPr>
              <w:t>the amount of N$</w:t>
            </w:r>
            <w:r w:rsidR="00C67C98" w:rsidRPr="00C67C98">
              <w:rPr>
                <w:rFonts w:ascii="Arial" w:hAnsi="Arial" w:cs="Arial"/>
                <w:lang w:val="en-US"/>
              </w:rPr>
              <w:t xml:space="preserve">4 000 000.00 </w:t>
            </w:r>
            <w:r w:rsidR="00101F10">
              <w:rPr>
                <w:rFonts w:ascii="Arial" w:hAnsi="Arial" w:cs="Arial"/>
                <w:lang w:val="en-US"/>
              </w:rPr>
              <w:t>represents</w:t>
            </w:r>
            <w:r w:rsidR="00BC3264">
              <w:rPr>
                <w:rFonts w:ascii="Arial" w:hAnsi="Arial" w:cs="Arial"/>
                <w:lang w:val="en-US"/>
              </w:rPr>
              <w:t>.</w:t>
            </w:r>
            <w:r w:rsidR="00101F10">
              <w:rPr>
                <w:rFonts w:ascii="Arial" w:hAnsi="Arial" w:cs="Arial"/>
                <w:lang w:val="en-US"/>
              </w:rPr>
              <w:t xml:space="preserve"> The plaintiff is re</w:t>
            </w:r>
            <w:r w:rsidR="00C67C98">
              <w:rPr>
                <w:rFonts w:ascii="Arial" w:hAnsi="Arial" w:cs="Arial"/>
                <w:lang w:val="en-US"/>
              </w:rPr>
              <w:t xml:space="preserve">quired to specify the damages. </w:t>
            </w:r>
            <w:r w:rsidR="00101F10">
              <w:rPr>
                <w:rFonts w:ascii="Arial" w:hAnsi="Arial" w:cs="Arial"/>
                <w:lang w:val="en-US"/>
              </w:rPr>
              <w:t xml:space="preserve">In this instance there is no indication whether </w:t>
            </w:r>
            <w:r w:rsidR="00BC3264">
              <w:rPr>
                <w:rFonts w:ascii="Arial" w:hAnsi="Arial" w:cs="Arial"/>
                <w:lang w:val="en-US"/>
              </w:rPr>
              <w:t xml:space="preserve">it represents </w:t>
            </w:r>
            <w:r>
              <w:rPr>
                <w:rFonts w:ascii="Arial" w:hAnsi="Arial" w:cs="Arial"/>
                <w:lang w:val="en-US"/>
              </w:rPr>
              <w:t xml:space="preserve">the value </w:t>
            </w:r>
            <w:r w:rsidR="004625A8">
              <w:rPr>
                <w:rFonts w:ascii="Arial" w:hAnsi="Arial" w:cs="Arial"/>
                <w:lang w:val="en-US"/>
              </w:rPr>
              <w:t xml:space="preserve">of the property </w:t>
            </w:r>
            <w:r w:rsidR="00BC3264">
              <w:rPr>
                <w:rFonts w:ascii="Arial" w:hAnsi="Arial" w:cs="Arial"/>
                <w:lang w:val="en-US"/>
              </w:rPr>
              <w:t xml:space="preserve">and if so how </w:t>
            </w:r>
            <w:r w:rsidR="00101F10">
              <w:rPr>
                <w:rFonts w:ascii="Arial" w:hAnsi="Arial" w:cs="Arial"/>
                <w:lang w:val="en-US"/>
              </w:rPr>
              <w:t xml:space="preserve">and when </w:t>
            </w:r>
            <w:r>
              <w:rPr>
                <w:rFonts w:ascii="Arial" w:hAnsi="Arial" w:cs="Arial"/>
                <w:lang w:val="en-US"/>
              </w:rPr>
              <w:t xml:space="preserve">the value </w:t>
            </w:r>
            <w:r w:rsidR="00BC3264">
              <w:rPr>
                <w:rFonts w:ascii="Arial" w:hAnsi="Arial" w:cs="Arial"/>
                <w:lang w:val="en-US"/>
              </w:rPr>
              <w:t xml:space="preserve">was </w:t>
            </w:r>
            <w:r>
              <w:rPr>
                <w:rFonts w:ascii="Arial" w:hAnsi="Arial" w:cs="Arial"/>
                <w:lang w:val="en-US"/>
              </w:rPr>
              <w:t>determined</w:t>
            </w:r>
            <w:r w:rsidR="00BC3264">
              <w:rPr>
                <w:rFonts w:ascii="Arial" w:hAnsi="Arial" w:cs="Arial"/>
                <w:lang w:val="en-US"/>
              </w:rPr>
              <w:t xml:space="preserve">. </w:t>
            </w:r>
            <w:r w:rsidR="00101F10">
              <w:rPr>
                <w:rFonts w:ascii="Arial" w:hAnsi="Arial" w:cs="Arial"/>
                <w:lang w:val="en-US"/>
              </w:rPr>
              <w:t>T</w:t>
            </w:r>
            <w:r w:rsidR="004625A8">
              <w:rPr>
                <w:rFonts w:ascii="Arial" w:hAnsi="Arial" w:cs="Arial"/>
                <w:lang w:val="en-US"/>
              </w:rPr>
              <w:t>he defendants</w:t>
            </w:r>
            <w:r w:rsidR="00101F10">
              <w:rPr>
                <w:rFonts w:ascii="Arial" w:hAnsi="Arial" w:cs="Arial"/>
                <w:lang w:val="en-US"/>
              </w:rPr>
              <w:t xml:space="preserve">, under these circumstances </w:t>
            </w:r>
            <w:r w:rsidR="004625A8">
              <w:rPr>
                <w:rFonts w:ascii="Arial" w:hAnsi="Arial" w:cs="Arial"/>
                <w:lang w:val="en-US"/>
              </w:rPr>
              <w:t xml:space="preserve">would not be in a position to reasonably assess the quantum of damages. </w:t>
            </w:r>
            <w:r w:rsidR="000E5347">
              <w:rPr>
                <w:rFonts w:ascii="Arial" w:hAnsi="Arial" w:cs="Arial"/>
                <w:lang w:val="en-US"/>
              </w:rPr>
              <w:t xml:space="preserve">The plaintiff, as correctly pointed out by </w:t>
            </w:r>
            <w:proofErr w:type="spellStart"/>
            <w:r w:rsidR="000E5347">
              <w:rPr>
                <w:rFonts w:ascii="Arial" w:hAnsi="Arial" w:cs="Arial"/>
                <w:lang w:val="en-US"/>
              </w:rPr>
              <w:t>Ms</w:t>
            </w:r>
            <w:proofErr w:type="spellEnd"/>
            <w:r w:rsidR="000E5347">
              <w:rPr>
                <w:rFonts w:ascii="Arial" w:hAnsi="Arial" w:cs="Arial"/>
                <w:lang w:val="en-US"/>
              </w:rPr>
              <w:t xml:space="preserve"> Van </w:t>
            </w:r>
            <w:proofErr w:type="spellStart"/>
            <w:r w:rsidR="000E5347">
              <w:rPr>
                <w:rFonts w:ascii="Arial" w:hAnsi="Arial" w:cs="Arial"/>
                <w:lang w:val="en-US"/>
              </w:rPr>
              <w:t>Westhuizen</w:t>
            </w:r>
            <w:proofErr w:type="spellEnd"/>
            <w:r w:rsidR="000E5347">
              <w:rPr>
                <w:rFonts w:ascii="Arial" w:hAnsi="Arial" w:cs="Arial"/>
                <w:lang w:val="en-US"/>
              </w:rPr>
              <w:t xml:space="preserve">, </w:t>
            </w:r>
            <w:r w:rsidR="00101F10">
              <w:rPr>
                <w:rFonts w:ascii="Arial" w:hAnsi="Arial" w:cs="Arial"/>
                <w:lang w:val="en-US"/>
              </w:rPr>
              <w:t>is also required to satisfy the second leg of causation to establish legal liability i</w:t>
            </w:r>
            <w:r w:rsidR="004D0233">
              <w:rPr>
                <w:rFonts w:ascii="Arial" w:hAnsi="Arial" w:cs="Arial"/>
                <w:lang w:val="en-US"/>
              </w:rPr>
              <w:t>.</w:t>
            </w:r>
            <w:r w:rsidR="00101F10">
              <w:rPr>
                <w:rFonts w:ascii="Arial" w:hAnsi="Arial" w:cs="Arial"/>
                <w:lang w:val="en-US"/>
              </w:rPr>
              <w:t>e. w</w:t>
            </w:r>
            <w:r w:rsidR="00101F10" w:rsidRPr="00101F10">
              <w:rPr>
                <w:rFonts w:ascii="Arial" w:hAnsi="Arial" w:cs="Arial"/>
                <w:lang w:val="en-US"/>
              </w:rPr>
              <w:t>hether the wrongful act is linked sufficiently closely or directly to the loss</w:t>
            </w:r>
            <w:r w:rsidR="00101F10">
              <w:rPr>
                <w:rFonts w:ascii="Arial" w:hAnsi="Arial" w:cs="Arial"/>
                <w:lang w:val="en-US"/>
              </w:rPr>
              <w:t>.</w:t>
            </w:r>
            <w:r w:rsidR="005B57B0">
              <w:rPr>
                <w:rFonts w:ascii="Arial" w:hAnsi="Arial" w:cs="Arial"/>
                <w:lang w:val="en-US"/>
              </w:rPr>
              <w:t xml:space="preserve">(See </w:t>
            </w:r>
            <w:r w:rsidR="005B57B0" w:rsidRPr="00C67C98">
              <w:rPr>
                <w:rFonts w:ascii="Arial" w:hAnsi="Arial" w:cs="Arial"/>
                <w:i/>
                <w:lang w:val="en-US"/>
              </w:rPr>
              <w:t xml:space="preserve">FS v </w:t>
            </w:r>
            <w:r w:rsidR="00C67C98" w:rsidRPr="00C67C98">
              <w:rPr>
                <w:rFonts w:ascii="Arial" w:hAnsi="Arial" w:cs="Arial"/>
                <w:i/>
                <w:lang w:val="en-US"/>
              </w:rPr>
              <w:t>Minister Of Safety And Security</w:t>
            </w:r>
            <w:r w:rsidR="00C67C98" w:rsidRPr="005B57B0">
              <w:rPr>
                <w:rFonts w:ascii="Arial" w:hAnsi="Arial" w:cs="Arial"/>
                <w:lang w:val="en-US"/>
              </w:rPr>
              <w:t xml:space="preserve"> </w:t>
            </w:r>
            <w:r w:rsidR="005B57B0" w:rsidRPr="005B57B0">
              <w:rPr>
                <w:rFonts w:ascii="Arial" w:hAnsi="Arial" w:cs="Arial"/>
                <w:lang w:val="en-US"/>
              </w:rPr>
              <w:t>2009 (2) NR 417 (SC)</w:t>
            </w:r>
            <w:r w:rsidR="005B57B0">
              <w:rPr>
                <w:rFonts w:ascii="Arial" w:hAnsi="Arial" w:cs="Arial"/>
                <w:lang w:val="en-US"/>
              </w:rPr>
              <w:t xml:space="preserve"> at page 424, para 28).  </w:t>
            </w:r>
            <w:r w:rsidR="00101F10">
              <w:rPr>
                <w:rFonts w:ascii="Arial" w:hAnsi="Arial" w:cs="Arial"/>
                <w:lang w:val="en-US"/>
              </w:rPr>
              <w:t xml:space="preserve"> </w:t>
            </w:r>
          </w:p>
          <w:p w:rsidR="00C67C98" w:rsidRDefault="00C67C98" w:rsidP="00663E8D">
            <w:pPr>
              <w:pStyle w:val="BodyText"/>
              <w:tabs>
                <w:tab w:val="left" w:pos="720"/>
                <w:tab w:val="left" w:pos="2268"/>
              </w:tabs>
              <w:spacing w:line="360" w:lineRule="auto"/>
              <w:jc w:val="both"/>
              <w:rPr>
                <w:rFonts w:ascii="Arial" w:hAnsi="Arial" w:cs="Arial"/>
                <w:lang w:val="en-US"/>
              </w:rPr>
            </w:pPr>
          </w:p>
          <w:p w:rsidR="00745980" w:rsidRDefault="00B92411" w:rsidP="00663E8D">
            <w:pPr>
              <w:pStyle w:val="BodyText"/>
              <w:tabs>
                <w:tab w:val="left" w:pos="720"/>
                <w:tab w:val="left" w:pos="2268"/>
              </w:tabs>
              <w:spacing w:line="360" w:lineRule="auto"/>
              <w:jc w:val="both"/>
              <w:rPr>
                <w:rFonts w:ascii="Arial" w:hAnsi="Arial" w:cs="Arial"/>
                <w:lang w:val="en-US"/>
              </w:rPr>
            </w:pPr>
            <w:r>
              <w:rPr>
                <w:rFonts w:ascii="Arial" w:hAnsi="Arial" w:cs="Arial"/>
                <w:lang w:val="en-US"/>
              </w:rPr>
              <w:t>[2</w:t>
            </w:r>
            <w:r w:rsidR="00C67C98">
              <w:rPr>
                <w:rFonts w:ascii="Arial" w:hAnsi="Arial" w:cs="Arial"/>
                <w:lang w:val="en-US"/>
              </w:rPr>
              <w:t>4</w:t>
            </w:r>
            <w:r>
              <w:rPr>
                <w:rFonts w:ascii="Arial" w:hAnsi="Arial" w:cs="Arial"/>
                <w:lang w:val="en-US"/>
              </w:rPr>
              <w:t>]</w:t>
            </w:r>
            <w:r w:rsidR="00745980">
              <w:rPr>
                <w:rFonts w:ascii="Arial" w:hAnsi="Arial" w:cs="Arial"/>
                <w:lang w:val="en-US"/>
              </w:rPr>
              <w:t xml:space="preserve"> </w:t>
            </w:r>
            <w:r>
              <w:rPr>
                <w:rFonts w:ascii="Arial" w:hAnsi="Arial" w:cs="Arial"/>
                <w:lang w:val="en-US"/>
              </w:rPr>
              <w:t xml:space="preserve"> </w:t>
            </w:r>
            <w:r w:rsidR="00C67C98">
              <w:rPr>
                <w:rFonts w:ascii="Arial" w:hAnsi="Arial" w:cs="Arial"/>
                <w:lang w:val="en-US"/>
              </w:rPr>
              <w:t xml:space="preserve">  </w:t>
            </w:r>
            <w:r>
              <w:rPr>
                <w:rFonts w:ascii="Arial" w:hAnsi="Arial" w:cs="Arial"/>
                <w:lang w:val="en-US"/>
              </w:rPr>
              <w:t xml:space="preserve"> </w:t>
            </w:r>
            <w:r w:rsidR="004060ED">
              <w:rPr>
                <w:rFonts w:ascii="Arial" w:hAnsi="Arial" w:cs="Arial"/>
                <w:lang w:val="en-US"/>
              </w:rPr>
              <w:t xml:space="preserve">In light of this conclusion this ground of exception </w:t>
            </w:r>
            <w:r w:rsidR="005B57B0">
              <w:rPr>
                <w:rFonts w:ascii="Arial" w:hAnsi="Arial" w:cs="Arial"/>
                <w:lang w:val="en-US"/>
              </w:rPr>
              <w:t>must also be upheld</w:t>
            </w:r>
            <w:r w:rsidR="00C67C98">
              <w:rPr>
                <w:rFonts w:ascii="Arial" w:hAnsi="Arial" w:cs="Arial"/>
                <w:lang w:val="en-US"/>
              </w:rPr>
              <w:t>.</w:t>
            </w:r>
          </w:p>
          <w:p w:rsidR="00C67C98" w:rsidRDefault="00C67C98" w:rsidP="00663E8D">
            <w:pPr>
              <w:pStyle w:val="BodyText"/>
              <w:tabs>
                <w:tab w:val="left" w:pos="720"/>
                <w:tab w:val="left" w:pos="2268"/>
              </w:tabs>
              <w:spacing w:line="360" w:lineRule="auto"/>
              <w:jc w:val="both"/>
              <w:rPr>
                <w:rFonts w:ascii="Arial" w:hAnsi="Arial" w:cs="Arial"/>
                <w:lang w:val="en-US"/>
              </w:rPr>
            </w:pPr>
          </w:p>
          <w:p w:rsidR="004060ED" w:rsidRDefault="004060ED" w:rsidP="00663E8D">
            <w:pPr>
              <w:pStyle w:val="BodyText"/>
              <w:tabs>
                <w:tab w:val="left" w:pos="720"/>
                <w:tab w:val="left" w:pos="2268"/>
              </w:tabs>
              <w:spacing w:line="360" w:lineRule="auto"/>
              <w:jc w:val="both"/>
              <w:rPr>
                <w:rFonts w:ascii="Arial" w:hAnsi="Arial" w:cs="Arial"/>
                <w:lang w:val="en-US"/>
              </w:rPr>
            </w:pPr>
            <w:r>
              <w:rPr>
                <w:rFonts w:ascii="Arial" w:hAnsi="Arial" w:cs="Arial"/>
                <w:lang w:val="en-US"/>
              </w:rPr>
              <w:t>[2</w:t>
            </w:r>
            <w:r w:rsidR="00C67C98">
              <w:rPr>
                <w:rFonts w:ascii="Arial" w:hAnsi="Arial" w:cs="Arial"/>
                <w:lang w:val="en-US"/>
              </w:rPr>
              <w:t>5</w:t>
            </w:r>
            <w:r>
              <w:rPr>
                <w:rFonts w:ascii="Arial" w:hAnsi="Arial" w:cs="Arial"/>
                <w:lang w:val="en-US"/>
              </w:rPr>
              <w:t xml:space="preserve">]   </w:t>
            </w:r>
            <w:r w:rsidR="00C67C98">
              <w:rPr>
                <w:rFonts w:ascii="Arial" w:hAnsi="Arial" w:cs="Arial"/>
                <w:lang w:val="en-US"/>
              </w:rPr>
              <w:t xml:space="preserve"> </w:t>
            </w:r>
            <w:r w:rsidR="00D66D1D">
              <w:rPr>
                <w:rFonts w:ascii="Arial" w:hAnsi="Arial" w:cs="Arial"/>
                <w:lang w:val="en-US"/>
              </w:rPr>
              <w:t xml:space="preserve"> </w:t>
            </w:r>
            <w:r w:rsidR="00C67C98">
              <w:rPr>
                <w:rFonts w:ascii="Arial" w:hAnsi="Arial" w:cs="Arial"/>
                <w:lang w:val="en-US"/>
              </w:rPr>
              <w:t xml:space="preserve"> </w:t>
            </w:r>
            <w:r>
              <w:rPr>
                <w:rFonts w:ascii="Arial" w:hAnsi="Arial" w:cs="Arial"/>
                <w:lang w:val="en-US"/>
              </w:rPr>
              <w:t xml:space="preserve">Both parties were ad idem that the court ought if the exception is upheld to allow the plaintiff the opportunity to amend its particulars of claim and the court will therefore make such an order. </w:t>
            </w:r>
            <w:r>
              <w:rPr>
                <w:rFonts w:ascii="Arial" w:hAnsi="Arial" w:cs="Arial"/>
                <w:lang w:val="en-US"/>
              </w:rPr>
              <w:lastRenderedPageBreak/>
              <w:t xml:space="preserve">(See </w:t>
            </w:r>
            <w:r w:rsidRPr="004060ED">
              <w:rPr>
                <w:rFonts w:ascii="Arial" w:hAnsi="Arial" w:cs="Arial"/>
                <w:i/>
                <w:lang w:val="en-US"/>
              </w:rPr>
              <w:t xml:space="preserve">Hallie Investment 142 CC t/a Wimpy </w:t>
            </w:r>
            <w:proofErr w:type="spellStart"/>
            <w:r w:rsidRPr="004060ED">
              <w:rPr>
                <w:rFonts w:ascii="Arial" w:hAnsi="Arial" w:cs="Arial"/>
                <w:i/>
                <w:lang w:val="en-US"/>
              </w:rPr>
              <w:t>Maerua</w:t>
            </w:r>
            <w:proofErr w:type="spellEnd"/>
            <w:r w:rsidRPr="004060ED">
              <w:rPr>
                <w:rFonts w:ascii="Arial" w:hAnsi="Arial" w:cs="Arial"/>
                <w:i/>
                <w:lang w:val="en-US"/>
              </w:rPr>
              <w:t xml:space="preserve"> and Another v </w:t>
            </w:r>
            <w:proofErr w:type="spellStart"/>
            <w:r w:rsidRPr="004060ED">
              <w:rPr>
                <w:rFonts w:ascii="Arial" w:hAnsi="Arial" w:cs="Arial"/>
                <w:i/>
                <w:lang w:val="en-US"/>
              </w:rPr>
              <w:t>Caterplus</w:t>
            </w:r>
            <w:proofErr w:type="spellEnd"/>
            <w:r w:rsidRPr="004060ED">
              <w:rPr>
                <w:rFonts w:ascii="Arial" w:hAnsi="Arial" w:cs="Arial"/>
                <w:i/>
                <w:lang w:val="en-US"/>
              </w:rPr>
              <w:t xml:space="preserve"> Namibia (Pty) Ltd T/A Blue Marine </w:t>
            </w:r>
            <w:proofErr w:type="spellStart"/>
            <w:r w:rsidRPr="004060ED">
              <w:rPr>
                <w:rFonts w:ascii="Arial" w:hAnsi="Arial" w:cs="Arial"/>
                <w:i/>
                <w:lang w:val="en-US"/>
              </w:rPr>
              <w:t>Interfish</w:t>
            </w:r>
            <w:proofErr w:type="spellEnd"/>
            <w:r w:rsidRPr="004060ED">
              <w:rPr>
                <w:rFonts w:ascii="Arial" w:hAnsi="Arial" w:cs="Arial"/>
                <w:i/>
                <w:lang w:val="en-US"/>
              </w:rPr>
              <w:t xml:space="preserve"> </w:t>
            </w:r>
            <w:r w:rsidRPr="00D66D1D">
              <w:rPr>
                <w:rFonts w:ascii="Arial" w:hAnsi="Arial" w:cs="Arial"/>
                <w:lang w:val="en-US"/>
              </w:rPr>
              <w:t>2016 (1) NR 291 (SC)</w:t>
            </w:r>
            <w:r w:rsidR="00D66D1D" w:rsidRPr="00D66D1D">
              <w:rPr>
                <w:rFonts w:ascii="Arial" w:hAnsi="Arial" w:cs="Arial"/>
                <w:lang w:val="en-US"/>
              </w:rPr>
              <w:t>.</w:t>
            </w:r>
          </w:p>
          <w:p w:rsidR="00D66D1D" w:rsidRDefault="00D66D1D" w:rsidP="00663E8D">
            <w:pPr>
              <w:pStyle w:val="BodyText"/>
              <w:tabs>
                <w:tab w:val="left" w:pos="720"/>
                <w:tab w:val="left" w:pos="2268"/>
              </w:tabs>
              <w:spacing w:line="360" w:lineRule="auto"/>
              <w:jc w:val="both"/>
              <w:rPr>
                <w:rFonts w:ascii="Arial" w:hAnsi="Arial" w:cs="Arial"/>
                <w:lang w:val="en-US"/>
              </w:rPr>
            </w:pPr>
          </w:p>
          <w:p w:rsidR="004060ED" w:rsidRDefault="004060ED" w:rsidP="00663E8D">
            <w:pPr>
              <w:pStyle w:val="BodyText"/>
              <w:tabs>
                <w:tab w:val="left" w:pos="720"/>
                <w:tab w:val="left" w:pos="2268"/>
              </w:tabs>
              <w:spacing w:line="360" w:lineRule="auto"/>
              <w:jc w:val="both"/>
              <w:rPr>
                <w:rFonts w:ascii="Arial" w:hAnsi="Arial" w:cs="Arial"/>
                <w:lang w:val="en-US"/>
              </w:rPr>
            </w:pPr>
            <w:r>
              <w:rPr>
                <w:rFonts w:ascii="Arial" w:hAnsi="Arial" w:cs="Arial"/>
                <w:lang w:val="en-US"/>
              </w:rPr>
              <w:t>[2</w:t>
            </w:r>
            <w:r w:rsidR="00D66D1D">
              <w:rPr>
                <w:rFonts w:ascii="Arial" w:hAnsi="Arial" w:cs="Arial"/>
                <w:lang w:val="en-US"/>
              </w:rPr>
              <w:t>6</w:t>
            </w:r>
            <w:r>
              <w:rPr>
                <w:rFonts w:ascii="Arial" w:hAnsi="Arial" w:cs="Arial"/>
                <w:lang w:val="en-US"/>
              </w:rPr>
              <w:t xml:space="preserve">]  </w:t>
            </w:r>
            <w:r w:rsidR="0031450A">
              <w:rPr>
                <w:rFonts w:ascii="Arial" w:hAnsi="Arial" w:cs="Arial"/>
                <w:lang w:val="en-US"/>
              </w:rPr>
              <w:t xml:space="preserve"> </w:t>
            </w:r>
            <w:r w:rsidR="00041A10">
              <w:rPr>
                <w:rFonts w:ascii="Arial" w:hAnsi="Arial" w:cs="Arial"/>
                <w:lang w:val="en-US"/>
              </w:rPr>
              <w:t xml:space="preserve">  </w:t>
            </w:r>
            <w:r w:rsidR="0031450A">
              <w:rPr>
                <w:rFonts w:ascii="Arial" w:hAnsi="Arial" w:cs="Arial"/>
                <w:lang w:val="en-US"/>
              </w:rPr>
              <w:t xml:space="preserve">The defendants herein succeeded with </w:t>
            </w:r>
            <w:r w:rsidR="002743C1">
              <w:rPr>
                <w:rFonts w:ascii="Arial" w:hAnsi="Arial" w:cs="Arial"/>
                <w:lang w:val="en-US"/>
              </w:rPr>
              <w:t xml:space="preserve">two </w:t>
            </w:r>
            <w:r w:rsidR="00041A10">
              <w:rPr>
                <w:rFonts w:ascii="Arial" w:hAnsi="Arial" w:cs="Arial"/>
                <w:lang w:val="en-US"/>
              </w:rPr>
              <w:t xml:space="preserve">of the </w:t>
            </w:r>
            <w:r w:rsidR="002743C1">
              <w:rPr>
                <w:rFonts w:ascii="Arial" w:hAnsi="Arial" w:cs="Arial"/>
                <w:lang w:val="en-US"/>
              </w:rPr>
              <w:t xml:space="preserve">grounds raised in </w:t>
            </w:r>
            <w:r w:rsidR="0031450A">
              <w:rPr>
                <w:rFonts w:ascii="Arial" w:hAnsi="Arial" w:cs="Arial"/>
                <w:lang w:val="en-US"/>
              </w:rPr>
              <w:t>their</w:t>
            </w:r>
            <w:r w:rsidR="002743C1">
              <w:rPr>
                <w:rFonts w:ascii="Arial" w:hAnsi="Arial" w:cs="Arial"/>
                <w:lang w:val="en-US"/>
              </w:rPr>
              <w:t xml:space="preserve"> </w:t>
            </w:r>
            <w:r w:rsidR="00041A10">
              <w:rPr>
                <w:rFonts w:ascii="Arial" w:hAnsi="Arial" w:cs="Arial"/>
                <w:lang w:val="en-US"/>
              </w:rPr>
              <w:t>exception and are</w:t>
            </w:r>
            <w:r w:rsidR="0031450A">
              <w:rPr>
                <w:rFonts w:ascii="Arial" w:hAnsi="Arial" w:cs="Arial"/>
                <w:lang w:val="en-US"/>
              </w:rPr>
              <w:t xml:space="preserve"> therefore entitled to costs herein. I am however not persuaded that the cost hereof should exceed the limit provided for in Rule 132 (11). </w:t>
            </w:r>
          </w:p>
          <w:p w:rsidR="00041A10" w:rsidRDefault="00041A10" w:rsidP="00663E8D">
            <w:pPr>
              <w:pStyle w:val="BodyText"/>
              <w:tabs>
                <w:tab w:val="left" w:pos="720"/>
                <w:tab w:val="left" w:pos="2268"/>
              </w:tabs>
              <w:spacing w:line="360" w:lineRule="auto"/>
              <w:jc w:val="both"/>
              <w:rPr>
                <w:rFonts w:ascii="Arial" w:hAnsi="Arial" w:cs="Arial"/>
                <w:lang w:val="en-US"/>
              </w:rPr>
            </w:pPr>
          </w:p>
          <w:p w:rsidR="00041A10" w:rsidRDefault="0031450A" w:rsidP="0031450A">
            <w:pPr>
              <w:pStyle w:val="BodyText"/>
              <w:tabs>
                <w:tab w:val="left" w:pos="720"/>
                <w:tab w:val="left" w:pos="2268"/>
              </w:tabs>
              <w:spacing w:line="360" w:lineRule="auto"/>
              <w:jc w:val="both"/>
              <w:rPr>
                <w:rFonts w:ascii="Arial" w:hAnsi="Arial" w:cs="Arial"/>
              </w:rPr>
            </w:pPr>
            <w:r>
              <w:rPr>
                <w:rFonts w:ascii="Arial" w:hAnsi="Arial" w:cs="Arial"/>
                <w:lang w:val="en-US"/>
              </w:rPr>
              <w:t>[2</w:t>
            </w:r>
            <w:r w:rsidR="00F20BD6">
              <w:rPr>
                <w:rFonts w:ascii="Arial" w:hAnsi="Arial" w:cs="Arial"/>
                <w:lang w:val="en-US"/>
              </w:rPr>
              <w:t>7</w:t>
            </w:r>
            <w:r>
              <w:rPr>
                <w:rFonts w:ascii="Arial" w:hAnsi="Arial" w:cs="Arial"/>
                <w:lang w:val="en-US"/>
              </w:rPr>
              <w:t xml:space="preserve">] </w:t>
            </w:r>
            <w:r w:rsidR="00041A10">
              <w:rPr>
                <w:rFonts w:ascii="Arial" w:hAnsi="Arial" w:cs="Arial"/>
                <w:lang w:val="en-US"/>
              </w:rPr>
              <w:t xml:space="preserve"> </w:t>
            </w:r>
            <w:r>
              <w:rPr>
                <w:rFonts w:ascii="Arial" w:hAnsi="Arial" w:cs="Arial"/>
                <w:lang w:val="en-US"/>
              </w:rPr>
              <w:t xml:space="preserve"> </w:t>
            </w:r>
            <w:r w:rsidR="002117A1" w:rsidRPr="00133191">
              <w:rPr>
                <w:rFonts w:ascii="Arial" w:hAnsi="Arial" w:cs="Arial"/>
              </w:rPr>
              <w:t xml:space="preserve">In the result the </w:t>
            </w:r>
            <w:r w:rsidR="00CF1982">
              <w:rPr>
                <w:rFonts w:ascii="Arial" w:hAnsi="Arial" w:cs="Arial"/>
              </w:rPr>
              <w:t xml:space="preserve">above order </w:t>
            </w:r>
            <w:r>
              <w:rPr>
                <w:rFonts w:ascii="Arial" w:hAnsi="Arial" w:cs="Arial"/>
              </w:rPr>
              <w:t xml:space="preserve">is </w:t>
            </w:r>
            <w:r w:rsidR="00041A10">
              <w:rPr>
                <w:rFonts w:ascii="Arial" w:hAnsi="Arial" w:cs="Arial"/>
              </w:rPr>
              <w:t>made:</w:t>
            </w:r>
          </w:p>
          <w:p w:rsidR="0031450A" w:rsidRDefault="00041A10" w:rsidP="0031450A">
            <w:pPr>
              <w:pStyle w:val="BodyText"/>
              <w:tabs>
                <w:tab w:val="left" w:pos="720"/>
                <w:tab w:val="left" w:pos="2268"/>
              </w:tabs>
              <w:spacing w:line="360" w:lineRule="auto"/>
              <w:jc w:val="both"/>
              <w:rPr>
                <w:rFonts w:ascii="Arial" w:hAnsi="Arial" w:cs="Arial"/>
              </w:rPr>
            </w:pPr>
            <w:r>
              <w:rPr>
                <w:rFonts w:ascii="Arial" w:hAnsi="Arial" w:cs="Arial"/>
              </w:rPr>
              <w:t>1. The first</w:t>
            </w:r>
            <w:r w:rsidR="00C25598">
              <w:rPr>
                <w:rFonts w:ascii="Arial" w:hAnsi="Arial" w:cs="Arial"/>
              </w:rPr>
              <w:t xml:space="preserve"> and third </w:t>
            </w:r>
            <w:r>
              <w:rPr>
                <w:rFonts w:ascii="Arial" w:hAnsi="Arial" w:cs="Arial"/>
              </w:rPr>
              <w:t xml:space="preserve">grounds </w:t>
            </w:r>
            <w:r w:rsidR="0031450A">
              <w:rPr>
                <w:rFonts w:ascii="Arial" w:hAnsi="Arial" w:cs="Arial"/>
              </w:rPr>
              <w:t>of the 2</w:t>
            </w:r>
            <w:r w:rsidR="0031450A" w:rsidRPr="0031450A">
              <w:rPr>
                <w:rFonts w:ascii="Arial" w:hAnsi="Arial" w:cs="Arial"/>
                <w:vertAlign w:val="superscript"/>
              </w:rPr>
              <w:t>nd</w:t>
            </w:r>
            <w:r w:rsidR="0031450A">
              <w:rPr>
                <w:rFonts w:ascii="Arial" w:hAnsi="Arial" w:cs="Arial"/>
              </w:rPr>
              <w:t xml:space="preserve"> and 3</w:t>
            </w:r>
            <w:r w:rsidR="0031450A" w:rsidRPr="0031450A">
              <w:rPr>
                <w:rFonts w:ascii="Arial" w:hAnsi="Arial" w:cs="Arial"/>
                <w:vertAlign w:val="superscript"/>
              </w:rPr>
              <w:t>rd</w:t>
            </w:r>
            <w:r w:rsidR="0031450A">
              <w:rPr>
                <w:rFonts w:ascii="Arial" w:hAnsi="Arial" w:cs="Arial"/>
              </w:rPr>
              <w:t xml:space="preserve"> def</w:t>
            </w:r>
            <w:r>
              <w:rPr>
                <w:rFonts w:ascii="Arial" w:hAnsi="Arial" w:cs="Arial"/>
              </w:rPr>
              <w:t>endant’s exception are</w:t>
            </w:r>
            <w:r w:rsidR="0031450A">
              <w:rPr>
                <w:rFonts w:ascii="Arial" w:hAnsi="Arial" w:cs="Arial"/>
              </w:rPr>
              <w:t xml:space="preserve"> upheld</w:t>
            </w:r>
            <w:r w:rsidR="00C25598">
              <w:rPr>
                <w:rFonts w:ascii="Arial" w:hAnsi="Arial" w:cs="Arial"/>
              </w:rPr>
              <w:t>;</w:t>
            </w:r>
          </w:p>
          <w:p w:rsidR="0031450A" w:rsidRDefault="0031450A" w:rsidP="0031450A">
            <w:pPr>
              <w:pStyle w:val="BodyText"/>
              <w:tabs>
                <w:tab w:val="left" w:pos="720"/>
                <w:tab w:val="left" w:pos="2268"/>
              </w:tabs>
              <w:spacing w:line="360" w:lineRule="auto"/>
              <w:jc w:val="both"/>
              <w:rPr>
                <w:rFonts w:ascii="Arial" w:hAnsi="Arial" w:cs="Arial"/>
              </w:rPr>
            </w:pPr>
            <w:r>
              <w:rPr>
                <w:rFonts w:ascii="Arial" w:hAnsi="Arial" w:cs="Arial"/>
              </w:rPr>
              <w:t>2. The plaintiff is granted leave to amend his particulars of claim within 15 days of this order;</w:t>
            </w:r>
          </w:p>
          <w:p w:rsidR="0031450A" w:rsidRDefault="00C25598" w:rsidP="0031450A">
            <w:pPr>
              <w:pStyle w:val="BodyText"/>
              <w:tabs>
                <w:tab w:val="left" w:pos="720"/>
                <w:tab w:val="left" w:pos="2268"/>
              </w:tabs>
              <w:spacing w:line="360" w:lineRule="auto"/>
              <w:jc w:val="both"/>
              <w:rPr>
                <w:rFonts w:ascii="Arial" w:hAnsi="Arial" w:cs="Arial"/>
              </w:rPr>
            </w:pPr>
            <w:r>
              <w:rPr>
                <w:rFonts w:ascii="Arial" w:hAnsi="Arial" w:cs="Arial"/>
              </w:rPr>
              <w:t>3</w:t>
            </w:r>
            <w:r w:rsidR="0031450A">
              <w:rPr>
                <w:rFonts w:ascii="Arial" w:hAnsi="Arial" w:cs="Arial"/>
              </w:rPr>
              <w:t>. The 2</w:t>
            </w:r>
            <w:r w:rsidR="0031450A" w:rsidRPr="0031450A">
              <w:rPr>
                <w:rFonts w:ascii="Arial" w:hAnsi="Arial" w:cs="Arial"/>
                <w:vertAlign w:val="superscript"/>
              </w:rPr>
              <w:t>nd</w:t>
            </w:r>
            <w:r w:rsidR="0031450A">
              <w:rPr>
                <w:rFonts w:ascii="Arial" w:hAnsi="Arial" w:cs="Arial"/>
              </w:rPr>
              <w:t xml:space="preserve"> and 3</w:t>
            </w:r>
            <w:r w:rsidR="0031450A" w:rsidRPr="0031450A">
              <w:rPr>
                <w:rFonts w:ascii="Arial" w:hAnsi="Arial" w:cs="Arial"/>
                <w:vertAlign w:val="superscript"/>
              </w:rPr>
              <w:t>rd</w:t>
            </w:r>
            <w:r w:rsidR="00A941CC">
              <w:rPr>
                <w:rFonts w:ascii="Arial" w:hAnsi="Arial" w:cs="Arial"/>
              </w:rPr>
              <w:t xml:space="preserve"> defendants are granted costs</w:t>
            </w:r>
            <w:r w:rsidR="00041A10">
              <w:rPr>
                <w:rFonts w:ascii="Arial" w:hAnsi="Arial" w:cs="Arial"/>
              </w:rPr>
              <w:t>,</w:t>
            </w:r>
            <w:r w:rsidR="00A941CC">
              <w:rPr>
                <w:rFonts w:ascii="Arial" w:hAnsi="Arial" w:cs="Arial"/>
              </w:rPr>
              <w:t xml:space="preserve"> </w:t>
            </w:r>
            <w:r w:rsidR="0031450A">
              <w:rPr>
                <w:rFonts w:ascii="Arial" w:hAnsi="Arial" w:cs="Arial"/>
              </w:rPr>
              <w:t xml:space="preserve">the cost </w:t>
            </w:r>
            <w:r w:rsidR="00A941CC" w:rsidRPr="00A941CC">
              <w:rPr>
                <w:rFonts w:ascii="Arial" w:hAnsi="Arial" w:cs="Arial"/>
              </w:rPr>
              <w:t xml:space="preserve">to include the costs of one instructing and </w:t>
            </w:r>
            <w:r w:rsidR="00A941CC">
              <w:rPr>
                <w:rFonts w:ascii="Arial" w:hAnsi="Arial" w:cs="Arial"/>
              </w:rPr>
              <w:t xml:space="preserve">one </w:t>
            </w:r>
            <w:r w:rsidR="00A941CC" w:rsidRPr="00A941CC">
              <w:rPr>
                <w:rFonts w:ascii="Arial" w:hAnsi="Arial" w:cs="Arial"/>
              </w:rPr>
              <w:t>instructed counsel</w:t>
            </w:r>
            <w:r w:rsidR="00A941CC">
              <w:rPr>
                <w:rFonts w:ascii="Arial" w:hAnsi="Arial" w:cs="Arial"/>
              </w:rPr>
              <w:t xml:space="preserve"> and limited in terms of the provisions of Rule 32(11)</w:t>
            </w:r>
            <w:r w:rsidR="00A941CC" w:rsidRPr="00A941CC">
              <w:rPr>
                <w:rFonts w:ascii="Arial" w:hAnsi="Arial" w:cs="Arial"/>
              </w:rPr>
              <w:t>.</w:t>
            </w:r>
          </w:p>
          <w:p w:rsidR="00A941CC" w:rsidRPr="008E1E24" w:rsidRDefault="00C25598" w:rsidP="0031450A">
            <w:pPr>
              <w:pStyle w:val="BodyText"/>
              <w:tabs>
                <w:tab w:val="left" w:pos="720"/>
                <w:tab w:val="left" w:pos="2268"/>
              </w:tabs>
              <w:spacing w:line="360" w:lineRule="auto"/>
              <w:jc w:val="both"/>
              <w:rPr>
                <w:rFonts w:ascii="Arial Narrow" w:hAnsi="Arial Narrow" w:cs="Arial"/>
                <w:sz w:val="24"/>
                <w:szCs w:val="24"/>
              </w:rPr>
            </w:pPr>
            <w:r>
              <w:rPr>
                <w:rFonts w:ascii="Arial" w:hAnsi="Arial" w:cs="Arial"/>
              </w:rPr>
              <w:t>4</w:t>
            </w:r>
            <w:r w:rsidR="00A941CC">
              <w:rPr>
                <w:rFonts w:ascii="Arial" w:hAnsi="Arial" w:cs="Arial"/>
              </w:rPr>
              <w:t xml:space="preserve">.  The matter is postponed to 29 July 2020 </w:t>
            </w:r>
            <w:r w:rsidR="00202FFC">
              <w:rPr>
                <w:rFonts w:ascii="Arial" w:hAnsi="Arial" w:cs="Arial"/>
              </w:rPr>
              <w:t xml:space="preserve">at 14h15 </w:t>
            </w:r>
            <w:r w:rsidR="00A941CC">
              <w:rPr>
                <w:rFonts w:ascii="Arial" w:hAnsi="Arial" w:cs="Arial"/>
              </w:rPr>
              <w:t>for further conduct of the matter.</w:t>
            </w:r>
          </w:p>
          <w:p w:rsidR="00226AF8" w:rsidRPr="008E1E24" w:rsidRDefault="00226AF8" w:rsidP="002117A1">
            <w:pPr>
              <w:spacing w:line="360" w:lineRule="auto"/>
              <w:jc w:val="both"/>
              <w:rPr>
                <w:rFonts w:ascii="Arial Narrow" w:hAnsi="Arial Narrow" w:cs="Arial"/>
                <w:sz w:val="24"/>
                <w:szCs w:val="24"/>
              </w:rPr>
            </w:pPr>
          </w:p>
        </w:tc>
      </w:tr>
      <w:tr w:rsidR="00D26CB5" w:rsidRPr="008E1E24" w:rsidTr="0092129C">
        <w:tc>
          <w:tcPr>
            <w:tcW w:w="4770" w:type="dxa"/>
          </w:tcPr>
          <w:p w:rsidR="00D26CB5" w:rsidRPr="008E1E24" w:rsidRDefault="00D26CB5" w:rsidP="003875C3">
            <w:pPr>
              <w:spacing w:line="360" w:lineRule="auto"/>
              <w:jc w:val="center"/>
              <w:rPr>
                <w:rFonts w:ascii="Arial Narrow" w:hAnsi="Arial Narrow" w:cs="Arial"/>
                <w:b/>
                <w:sz w:val="24"/>
                <w:szCs w:val="24"/>
              </w:rPr>
            </w:pPr>
          </w:p>
        </w:tc>
        <w:tc>
          <w:tcPr>
            <w:tcW w:w="4950" w:type="dxa"/>
            <w:gridSpan w:val="2"/>
          </w:tcPr>
          <w:p w:rsidR="00D26CB5" w:rsidRPr="008E1E24" w:rsidRDefault="00D26CB5" w:rsidP="0092129C">
            <w:pPr>
              <w:spacing w:line="360" w:lineRule="auto"/>
              <w:jc w:val="center"/>
              <w:rPr>
                <w:rFonts w:ascii="Arial Narrow" w:hAnsi="Arial Narrow" w:cs="Arial"/>
                <w:b/>
                <w:sz w:val="24"/>
                <w:szCs w:val="24"/>
              </w:rPr>
            </w:pPr>
            <w:r w:rsidRPr="008E1E24">
              <w:rPr>
                <w:rFonts w:ascii="Arial Narrow" w:hAnsi="Arial Narrow" w:cs="Arial"/>
                <w:b/>
                <w:sz w:val="24"/>
                <w:szCs w:val="24"/>
              </w:rPr>
              <w:t>Note to the parties:</w:t>
            </w:r>
          </w:p>
        </w:tc>
      </w:tr>
      <w:tr w:rsidR="00D26CB5" w:rsidRPr="008E1E24" w:rsidTr="0092129C">
        <w:trPr>
          <w:trHeight w:val="1114"/>
        </w:trPr>
        <w:tc>
          <w:tcPr>
            <w:tcW w:w="4770" w:type="dxa"/>
          </w:tcPr>
          <w:p w:rsidR="00D26CB5" w:rsidRPr="008E1E24" w:rsidRDefault="00D26CB5" w:rsidP="0092129C">
            <w:pPr>
              <w:spacing w:line="360" w:lineRule="auto"/>
              <w:jc w:val="both"/>
              <w:rPr>
                <w:rFonts w:ascii="Arial Narrow" w:hAnsi="Arial Narrow" w:cs="Arial"/>
                <w:sz w:val="24"/>
                <w:szCs w:val="24"/>
              </w:rPr>
            </w:pPr>
          </w:p>
          <w:p w:rsidR="00D26CB5" w:rsidRPr="008E1E24" w:rsidRDefault="00D26CB5" w:rsidP="0092129C">
            <w:pPr>
              <w:spacing w:line="360" w:lineRule="auto"/>
              <w:jc w:val="both"/>
              <w:rPr>
                <w:rFonts w:ascii="Arial Narrow" w:hAnsi="Arial Narrow" w:cs="Arial"/>
                <w:sz w:val="24"/>
                <w:szCs w:val="24"/>
              </w:rPr>
            </w:pPr>
          </w:p>
          <w:p w:rsidR="00D26CB5" w:rsidRPr="008E1E24" w:rsidRDefault="00D26CB5" w:rsidP="0092129C">
            <w:pPr>
              <w:spacing w:line="360" w:lineRule="auto"/>
              <w:jc w:val="both"/>
              <w:rPr>
                <w:rFonts w:ascii="Arial Narrow" w:hAnsi="Arial Narrow" w:cs="Arial"/>
                <w:sz w:val="24"/>
                <w:szCs w:val="24"/>
              </w:rPr>
            </w:pPr>
          </w:p>
        </w:tc>
        <w:tc>
          <w:tcPr>
            <w:tcW w:w="4950" w:type="dxa"/>
            <w:gridSpan w:val="2"/>
          </w:tcPr>
          <w:p w:rsidR="00D26CB5" w:rsidRPr="008E1E24" w:rsidRDefault="00D26CB5" w:rsidP="0092129C">
            <w:pPr>
              <w:spacing w:line="360" w:lineRule="auto"/>
              <w:jc w:val="both"/>
              <w:rPr>
                <w:rFonts w:ascii="Arial Narrow" w:hAnsi="Arial Narrow" w:cs="Arial"/>
                <w:sz w:val="24"/>
                <w:szCs w:val="24"/>
              </w:rPr>
            </w:pPr>
            <w:r w:rsidRPr="008E1E24">
              <w:rPr>
                <w:rFonts w:ascii="Arial Narrow" w:hAnsi="Arial Narrow" w:cs="Arial"/>
                <w:sz w:val="24"/>
                <w:szCs w:val="24"/>
              </w:rPr>
              <w:t>Not applicable.</w:t>
            </w:r>
          </w:p>
        </w:tc>
      </w:tr>
      <w:tr w:rsidR="00D26CB5" w:rsidRPr="008E1E24" w:rsidTr="0092129C">
        <w:tc>
          <w:tcPr>
            <w:tcW w:w="9720" w:type="dxa"/>
            <w:gridSpan w:val="3"/>
          </w:tcPr>
          <w:p w:rsidR="00D26CB5" w:rsidRPr="008E1E24" w:rsidRDefault="00D26CB5" w:rsidP="0092129C">
            <w:pPr>
              <w:spacing w:line="360" w:lineRule="auto"/>
              <w:jc w:val="center"/>
              <w:rPr>
                <w:rFonts w:ascii="Arial Narrow" w:hAnsi="Arial Narrow" w:cs="Arial"/>
                <w:b/>
                <w:sz w:val="24"/>
                <w:szCs w:val="24"/>
              </w:rPr>
            </w:pPr>
            <w:r w:rsidRPr="008E1E24">
              <w:rPr>
                <w:rFonts w:ascii="Arial Narrow" w:hAnsi="Arial Narrow" w:cs="Arial"/>
                <w:b/>
                <w:sz w:val="24"/>
                <w:szCs w:val="24"/>
              </w:rPr>
              <w:t>Counsel:</w:t>
            </w:r>
          </w:p>
        </w:tc>
      </w:tr>
      <w:tr w:rsidR="00D26CB5" w:rsidRPr="008E1E24" w:rsidTr="0092129C">
        <w:tc>
          <w:tcPr>
            <w:tcW w:w="4770" w:type="dxa"/>
          </w:tcPr>
          <w:p w:rsidR="00D26CB5" w:rsidRPr="008E1E24" w:rsidRDefault="00D26CB5" w:rsidP="0092129C">
            <w:pPr>
              <w:spacing w:line="360" w:lineRule="auto"/>
              <w:jc w:val="center"/>
              <w:rPr>
                <w:rFonts w:ascii="Arial Narrow" w:hAnsi="Arial Narrow" w:cs="Arial"/>
                <w:b/>
                <w:sz w:val="24"/>
                <w:szCs w:val="24"/>
              </w:rPr>
            </w:pPr>
            <w:r w:rsidRPr="008E1E24">
              <w:rPr>
                <w:rFonts w:ascii="Arial Narrow" w:hAnsi="Arial Narrow" w:cs="Arial"/>
                <w:b/>
                <w:sz w:val="24"/>
                <w:szCs w:val="24"/>
              </w:rPr>
              <w:t>Applicant</w:t>
            </w:r>
          </w:p>
        </w:tc>
        <w:tc>
          <w:tcPr>
            <w:tcW w:w="4950" w:type="dxa"/>
            <w:gridSpan w:val="2"/>
          </w:tcPr>
          <w:p w:rsidR="00D26CB5" w:rsidRPr="008E1E24" w:rsidRDefault="00D26CB5" w:rsidP="0092129C">
            <w:pPr>
              <w:spacing w:line="360" w:lineRule="auto"/>
              <w:jc w:val="center"/>
              <w:rPr>
                <w:rFonts w:ascii="Arial Narrow" w:hAnsi="Arial Narrow" w:cs="Arial"/>
                <w:b/>
                <w:sz w:val="24"/>
                <w:szCs w:val="24"/>
              </w:rPr>
            </w:pPr>
            <w:r w:rsidRPr="008E1E24">
              <w:rPr>
                <w:rFonts w:ascii="Arial Narrow" w:hAnsi="Arial Narrow" w:cs="Arial"/>
                <w:b/>
                <w:sz w:val="24"/>
                <w:szCs w:val="24"/>
              </w:rPr>
              <w:t>Respondent</w:t>
            </w:r>
          </w:p>
        </w:tc>
      </w:tr>
      <w:tr w:rsidR="00D26CB5" w:rsidRPr="008E1E24" w:rsidTr="0092129C">
        <w:tc>
          <w:tcPr>
            <w:tcW w:w="4770" w:type="dxa"/>
          </w:tcPr>
          <w:p w:rsidR="00A941CC" w:rsidRPr="00041A10" w:rsidRDefault="00041A10" w:rsidP="00A941CC">
            <w:pPr>
              <w:spacing w:line="360" w:lineRule="auto"/>
              <w:jc w:val="center"/>
              <w:rPr>
                <w:rFonts w:ascii="Arial Narrow" w:hAnsi="Arial Narrow" w:cs="Arial"/>
                <w:sz w:val="24"/>
                <w:szCs w:val="24"/>
              </w:rPr>
            </w:pPr>
            <w:proofErr w:type="spellStart"/>
            <w:r w:rsidRPr="00041A10">
              <w:rPr>
                <w:rFonts w:ascii="Arial Narrow" w:hAnsi="Arial Narrow" w:cs="Arial"/>
                <w:sz w:val="24"/>
                <w:szCs w:val="24"/>
              </w:rPr>
              <w:t>Adv</w:t>
            </w:r>
            <w:proofErr w:type="spellEnd"/>
            <w:r w:rsidR="00A941CC" w:rsidRPr="00041A10">
              <w:rPr>
                <w:rFonts w:ascii="Arial Narrow" w:hAnsi="Arial Narrow" w:cs="Arial"/>
                <w:sz w:val="24"/>
                <w:szCs w:val="24"/>
              </w:rPr>
              <w:t xml:space="preserve"> Van Der </w:t>
            </w:r>
            <w:proofErr w:type="spellStart"/>
            <w:r w:rsidR="00A941CC" w:rsidRPr="00041A10">
              <w:rPr>
                <w:rFonts w:ascii="Arial Narrow" w:hAnsi="Arial Narrow" w:cs="Arial"/>
                <w:sz w:val="24"/>
                <w:szCs w:val="24"/>
              </w:rPr>
              <w:t>Westhuizen</w:t>
            </w:r>
            <w:proofErr w:type="spellEnd"/>
            <w:r w:rsidR="00A941CC" w:rsidRPr="00041A10">
              <w:rPr>
                <w:rFonts w:ascii="Arial Narrow" w:hAnsi="Arial Narrow" w:cs="Arial"/>
                <w:sz w:val="24"/>
                <w:szCs w:val="24"/>
              </w:rPr>
              <w:t xml:space="preserve"> </w:t>
            </w:r>
          </w:p>
          <w:p w:rsidR="006003C6" w:rsidRPr="008E1E24" w:rsidRDefault="006003C6" w:rsidP="00A941CC">
            <w:pPr>
              <w:spacing w:line="360" w:lineRule="auto"/>
              <w:jc w:val="center"/>
              <w:rPr>
                <w:rFonts w:ascii="Arial Narrow" w:hAnsi="Arial Narrow" w:cs="Arial"/>
                <w:sz w:val="24"/>
                <w:szCs w:val="24"/>
              </w:rPr>
            </w:pPr>
            <w:r w:rsidRPr="00041A10">
              <w:rPr>
                <w:rFonts w:ascii="Arial Narrow" w:hAnsi="Arial Narrow"/>
                <w:sz w:val="24"/>
                <w:szCs w:val="24"/>
              </w:rPr>
              <w:t>O</w:t>
            </w:r>
            <w:r w:rsidR="00A941CC" w:rsidRPr="00041A10">
              <w:rPr>
                <w:rFonts w:ascii="Arial Narrow" w:hAnsi="Arial Narrow"/>
                <w:sz w:val="24"/>
                <w:szCs w:val="24"/>
              </w:rPr>
              <w:t>n behalf of 2</w:t>
            </w:r>
            <w:r w:rsidR="00A941CC" w:rsidRPr="00041A10">
              <w:rPr>
                <w:rFonts w:ascii="Arial Narrow" w:hAnsi="Arial Narrow"/>
                <w:sz w:val="24"/>
                <w:szCs w:val="24"/>
                <w:vertAlign w:val="superscript"/>
              </w:rPr>
              <w:t>nd</w:t>
            </w:r>
            <w:r w:rsidR="00A941CC" w:rsidRPr="00041A10">
              <w:rPr>
                <w:rFonts w:ascii="Arial Narrow" w:hAnsi="Arial Narrow"/>
                <w:sz w:val="24"/>
                <w:szCs w:val="24"/>
              </w:rPr>
              <w:t xml:space="preserve"> and 3</w:t>
            </w:r>
            <w:r w:rsidR="00A941CC" w:rsidRPr="00041A10">
              <w:rPr>
                <w:rFonts w:ascii="Arial Narrow" w:hAnsi="Arial Narrow"/>
                <w:sz w:val="24"/>
                <w:szCs w:val="24"/>
                <w:vertAlign w:val="superscript"/>
              </w:rPr>
              <w:t>rd</w:t>
            </w:r>
            <w:r w:rsidR="00A941CC" w:rsidRPr="00041A10">
              <w:rPr>
                <w:rFonts w:ascii="Arial Narrow" w:hAnsi="Arial Narrow"/>
                <w:sz w:val="24"/>
                <w:szCs w:val="24"/>
              </w:rPr>
              <w:t xml:space="preserve"> Defendants – </w:t>
            </w:r>
            <w:proofErr w:type="spellStart"/>
            <w:r w:rsidR="00A941CC" w:rsidRPr="00041A10">
              <w:rPr>
                <w:rFonts w:ascii="Arial Narrow" w:hAnsi="Arial Narrow"/>
                <w:sz w:val="24"/>
                <w:szCs w:val="24"/>
              </w:rPr>
              <w:t>Koep</w:t>
            </w:r>
            <w:proofErr w:type="spellEnd"/>
            <w:r w:rsidR="00A941CC" w:rsidRPr="00041A10">
              <w:rPr>
                <w:rFonts w:ascii="Arial Narrow" w:hAnsi="Arial Narrow"/>
                <w:sz w:val="24"/>
                <w:szCs w:val="24"/>
              </w:rPr>
              <w:t xml:space="preserve"> &amp; Partners</w:t>
            </w:r>
          </w:p>
        </w:tc>
        <w:tc>
          <w:tcPr>
            <w:tcW w:w="4950" w:type="dxa"/>
            <w:gridSpan w:val="2"/>
          </w:tcPr>
          <w:p w:rsidR="00D26CB5" w:rsidRPr="00041A10" w:rsidRDefault="00041A10" w:rsidP="0092129C">
            <w:pPr>
              <w:spacing w:line="360" w:lineRule="auto"/>
              <w:jc w:val="center"/>
              <w:rPr>
                <w:rFonts w:ascii="Arial Narrow" w:hAnsi="Arial Narrow" w:cs="Arial"/>
                <w:sz w:val="24"/>
                <w:szCs w:val="24"/>
              </w:rPr>
            </w:pPr>
            <w:proofErr w:type="spellStart"/>
            <w:r w:rsidRPr="00041A10">
              <w:rPr>
                <w:rFonts w:ascii="Arial Narrow" w:hAnsi="Arial Narrow" w:cs="Arial"/>
                <w:sz w:val="24"/>
                <w:szCs w:val="24"/>
              </w:rPr>
              <w:t>Adv</w:t>
            </w:r>
            <w:proofErr w:type="spellEnd"/>
            <w:r w:rsidR="006003C6" w:rsidRPr="00041A10">
              <w:rPr>
                <w:rFonts w:ascii="Arial Narrow" w:hAnsi="Arial Narrow" w:cs="Arial"/>
                <w:sz w:val="24"/>
                <w:szCs w:val="24"/>
              </w:rPr>
              <w:t xml:space="preserve"> </w:t>
            </w:r>
            <w:proofErr w:type="spellStart"/>
            <w:r w:rsidR="00135E6C" w:rsidRPr="00041A10">
              <w:rPr>
                <w:rFonts w:ascii="Arial Narrow" w:hAnsi="Arial Narrow" w:cs="Arial"/>
                <w:sz w:val="24"/>
                <w:szCs w:val="24"/>
              </w:rPr>
              <w:t>Strydom</w:t>
            </w:r>
            <w:proofErr w:type="spellEnd"/>
            <w:r w:rsidR="00135E6C" w:rsidRPr="00041A10">
              <w:rPr>
                <w:rFonts w:ascii="Arial Narrow" w:hAnsi="Arial Narrow" w:cs="Arial"/>
                <w:sz w:val="24"/>
                <w:szCs w:val="24"/>
              </w:rPr>
              <w:t xml:space="preserve"> </w:t>
            </w:r>
          </w:p>
          <w:p w:rsidR="00D67EBE" w:rsidRPr="008E1E24" w:rsidRDefault="00135E6C" w:rsidP="00135E6C">
            <w:pPr>
              <w:spacing w:line="360" w:lineRule="auto"/>
              <w:jc w:val="center"/>
              <w:rPr>
                <w:rFonts w:ascii="Arial Narrow" w:hAnsi="Arial Narrow" w:cs="Arial"/>
                <w:sz w:val="24"/>
                <w:szCs w:val="24"/>
              </w:rPr>
            </w:pPr>
            <w:r w:rsidRPr="00041A10">
              <w:rPr>
                <w:rFonts w:ascii="Arial Narrow" w:hAnsi="Arial Narrow"/>
                <w:sz w:val="24"/>
                <w:szCs w:val="24"/>
                <w:lang w:val="en-US"/>
              </w:rPr>
              <w:t xml:space="preserve"> On behalf of Plaintiff - </w:t>
            </w:r>
            <w:proofErr w:type="spellStart"/>
            <w:r w:rsidRPr="00041A10">
              <w:rPr>
                <w:rFonts w:ascii="Arial Narrow" w:hAnsi="Arial Narrow"/>
                <w:sz w:val="24"/>
                <w:szCs w:val="24"/>
                <w:lang w:val="en-US"/>
              </w:rPr>
              <w:t>Dr</w:t>
            </w:r>
            <w:proofErr w:type="spellEnd"/>
            <w:r w:rsidRPr="00041A10">
              <w:rPr>
                <w:rFonts w:ascii="Arial Narrow" w:hAnsi="Arial Narrow"/>
                <w:sz w:val="24"/>
                <w:szCs w:val="24"/>
                <w:lang w:val="en-US"/>
              </w:rPr>
              <w:t xml:space="preserve"> </w:t>
            </w:r>
            <w:proofErr w:type="spellStart"/>
            <w:r w:rsidRPr="00041A10">
              <w:rPr>
                <w:rFonts w:ascii="Arial Narrow" w:hAnsi="Arial Narrow"/>
                <w:sz w:val="24"/>
                <w:szCs w:val="24"/>
                <w:lang w:val="en-US"/>
              </w:rPr>
              <w:t>Weder</w:t>
            </w:r>
            <w:proofErr w:type="spellEnd"/>
            <w:r w:rsidRPr="00041A10">
              <w:rPr>
                <w:rFonts w:ascii="Arial Narrow" w:hAnsi="Arial Narrow"/>
                <w:sz w:val="24"/>
                <w:szCs w:val="24"/>
                <w:lang w:val="en-US"/>
              </w:rPr>
              <w:t xml:space="preserve">, </w:t>
            </w:r>
            <w:proofErr w:type="spellStart"/>
            <w:r w:rsidRPr="00041A10">
              <w:rPr>
                <w:rFonts w:ascii="Arial Narrow" w:hAnsi="Arial Narrow"/>
                <w:sz w:val="24"/>
                <w:szCs w:val="24"/>
                <w:lang w:val="en-US"/>
              </w:rPr>
              <w:t>Kauta</w:t>
            </w:r>
            <w:proofErr w:type="spellEnd"/>
            <w:r w:rsidRPr="00041A10">
              <w:rPr>
                <w:rFonts w:ascii="Arial Narrow" w:hAnsi="Arial Narrow"/>
                <w:sz w:val="24"/>
                <w:szCs w:val="24"/>
                <w:lang w:val="en-US"/>
              </w:rPr>
              <w:t xml:space="preserve"> &amp; </w:t>
            </w:r>
            <w:proofErr w:type="spellStart"/>
            <w:r w:rsidRPr="00041A10">
              <w:rPr>
                <w:rFonts w:ascii="Arial Narrow" w:hAnsi="Arial Narrow"/>
                <w:sz w:val="24"/>
                <w:szCs w:val="24"/>
                <w:lang w:val="en-US"/>
              </w:rPr>
              <w:t>Hoveka</w:t>
            </w:r>
            <w:proofErr w:type="spellEnd"/>
            <w:r w:rsidRPr="00041A10">
              <w:rPr>
                <w:rFonts w:ascii="Arial Narrow" w:hAnsi="Arial Narrow"/>
                <w:sz w:val="24"/>
                <w:szCs w:val="24"/>
                <w:lang w:val="en-US"/>
              </w:rPr>
              <w:t xml:space="preserve"> Inc.</w:t>
            </w:r>
            <w:r w:rsidRPr="00135E6C">
              <w:rPr>
                <w:lang w:val="en-US"/>
              </w:rPr>
              <w:t xml:space="preserve"> </w:t>
            </w:r>
          </w:p>
        </w:tc>
      </w:tr>
    </w:tbl>
    <w:p w:rsidR="00D26CB5" w:rsidRPr="008E1E24" w:rsidRDefault="00D26CB5" w:rsidP="00D26CB5">
      <w:pPr>
        <w:spacing w:after="0" w:line="360" w:lineRule="auto"/>
        <w:jc w:val="both"/>
        <w:rPr>
          <w:rFonts w:ascii="Arial Narrow" w:hAnsi="Arial Narrow"/>
          <w:sz w:val="24"/>
          <w:szCs w:val="24"/>
        </w:rPr>
      </w:pPr>
    </w:p>
    <w:p w:rsidR="00D26CB5" w:rsidRPr="008E1E24" w:rsidRDefault="00D26CB5" w:rsidP="00D26CB5">
      <w:pPr>
        <w:rPr>
          <w:rFonts w:ascii="Arial Narrow" w:hAnsi="Arial Narrow"/>
          <w:sz w:val="24"/>
          <w:szCs w:val="24"/>
        </w:rPr>
      </w:pPr>
    </w:p>
    <w:p w:rsidR="00D26CB5" w:rsidRPr="008E1E24" w:rsidRDefault="00D26CB5" w:rsidP="00D26CB5">
      <w:pPr>
        <w:rPr>
          <w:rFonts w:ascii="Arial Narrow" w:hAnsi="Arial Narrow"/>
          <w:sz w:val="24"/>
          <w:szCs w:val="24"/>
        </w:rPr>
      </w:pPr>
    </w:p>
    <w:p w:rsidR="00012995" w:rsidRPr="008E1E24" w:rsidRDefault="00012995">
      <w:pPr>
        <w:rPr>
          <w:rFonts w:ascii="Arial Narrow" w:hAnsi="Arial Narrow"/>
          <w:sz w:val="24"/>
          <w:szCs w:val="24"/>
        </w:rPr>
      </w:pPr>
    </w:p>
    <w:sectPr w:rsidR="00012995" w:rsidRPr="008E1E24" w:rsidSect="0041481F">
      <w:headerReference w:type="default" r:id="rId8"/>
      <w:footerReference w:type="default" r:id="rId9"/>
      <w:pgSz w:w="11906" w:h="16838"/>
      <w:pgMar w:top="1080" w:right="1440" w:bottom="1134" w:left="1440" w:header="708" w:footer="75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E6B" w:rsidRDefault="00994E6B" w:rsidP="00D01890">
      <w:pPr>
        <w:spacing w:after="0" w:line="240" w:lineRule="auto"/>
      </w:pPr>
      <w:r>
        <w:separator/>
      </w:r>
    </w:p>
  </w:endnote>
  <w:endnote w:type="continuationSeparator" w:id="0">
    <w:p w:rsidR="00994E6B" w:rsidRDefault="00994E6B"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3F" w:rsidRDefault="00352B3F">
    <w:pPr>
      <w:pStyle w:val="Footer"/>
      <w:jc w:val="right"/>
    </w:pPr>
  </w:p>
  <w:p w:rsidR="00352B3F" w:rsidRDefault="00352B3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E6B" w:rsidRDefault="00994E6B" w:rsidP="00D01890">
      <w:pPr>
        <w:spacing w:after="0" w:line="240" w:lineRule="auto"/>
      </w:pPr>
      <w:r>
        <w:separator/>
      </w:r>
    </w:p>
  </w:footnote>
  <w:footnote w:type="continuationSeparator" w:id="0">
    <w:p w:rsidR="00994E6B" w:rsidRDefault="00994E6B" w:rsidP="00D01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81F" w:rsidRDefault="0041481F">
    <w:pPr>
      <w:pStyle w:val="Header"/>
      <w:jc w:val="right"/>
    </w:pPr>
  </w:p>
  <w:p w:rsidR="00352B3F" w:rsidRDefault="00352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7C0EED"/>
    <w:multiLevelType w:val="hybridMultilevel"/>
    <w:tmpl w:val="6E3EA200"/>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FF67C5"/>
    <w:multiLevelType w:val="hybridMultilevel"/>
    <w:tmpl w:val="665A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95823"/>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2BF41CA"/>
    <w:multiLevelType w:val="hybridMultilevel"/>
    <w:tmpl w:val="3D0E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912F0"/>
    <w:multiLevelType w:val="hybridMultilevel"/>
    <w:tmpl w:val="8984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E3FF5"/>
    <w:multiLevelType w:val="hybridMultilevel"/>
    <w:tmpl w:val="C8C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55FD4"/>
    <w:multiLevelType w:val="hybridMultilevel"/>
    <w:tmpl w:val="3D4A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D09F4"/>
    <w:multiLevelType w:val="hybridMultilevel"/>
    <w:tmpl w:val="0908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DE75459"/>
    <w:multiLevelType w:val="hybridMultilevel"/>
    <w:tmpl w:val="0FAEE4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E4779"/>
    <w:multiLevelType w:val="hybridMultilevel"/>
    <w:tmpl w:val="829AE2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4D00238"/>
    <w:multiLevelType w:val="hybridMultilevel"/>
    <w:tmpl w:val="BB0AE32E"/>
    <w:lvl w:ilvl="0" w:tplc="1BE22744">
      <w:start w:val="1"/>
      <w:numFmt w:val="decimal"/>
      <w:lvlText w:val="%1."/>
      <w:lvlJc w:val="left"/>
      <w:pPr>
        <w:ind w:left="1350" w:hanging="39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9B60911"/>
    <w:multiLevelType w:val="hybridMultilevel"/>
    <w:tmpl w:val="DFE635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2"/>
  </w:num>
  <w:num w:numId="4">
    <w:abstractNumId w:val="8"/>
  </w:num>
  <w:num w:numId="5">
    <w:abstractNumId w:val="2"/>
  </w:num>
  <w:num w:numId="6">
    <w:abstractNumId w:val="9"/>
  </w:num>
  <w:num w:numId="7">
    <w:abstractNumId w:val="4"/>
  </w:num>
  <w:num w:numId="8">
    <w:abstractNumId w:val="14"/>
  </w:num>
  <w:num w:numId="9">
    <w:abstractNumId w:val="5"/>
  </w:num>
  <w:num w:numId="10">
    <w:abstractNumId w:val="1"/>
  </w:num>
  <w:num w:numId="11">
    <w:abstractNumId w:val="6"/>
  </w:num>
  <w:num w:numId="12">
    <w:abstractNumId w:val="0"/>
  </w:num>
  <w:num w:numId="13">
    <w:abstractNumId w:val="3"/>
  </w:num>
  <w:num w:numId="14">
    <w:abstractNumId w:val="7"/>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063EF"/>
    <w:rsid w:val="00010FE7"/>
    <w:rsid w:val="00012995"/>
    <w:rsid w:val="000131D4"/>
    <w:rsid w:val="00013EC0"/>
    <w:rsid w:val="000155A5"/>
    <w:rsid w:val="000248EF"/>
    <w:rsid w:val="0002555E"/>
    <w:rsid w:val="000309E0"/>
    <w:rsid w:val="00041A10"/>
    <w:rsid w:val="00054111"/>
    <w:rsid w:val="00055FA9"/>
    <w:rsid w:val="00057DE9"/>
    <w:rsid w:val="00070929"/>
    <w:rsid w:val="00084E58"/>
    <w:rsid w:val="000A29F1"/>
    <w:rsid w:val="000A684E"/>
    <w:rsid w:val="000A6CDD"/>
    <w:rsid w:val="000B31F0"/>
    <w:rsid w:val="000B6B59"/>
    <w:rsid w:val="000D2DE9"/>
    <w:rsid w:val="000D3044"/>
    <w:rsid w:val="000D70A9"/>
    <w:rsid w:val="000D7380"/>
    <w:rsid w:val="000D7F0F"/>
    <w:rsid w:val="000E043D"/>
    <w:rsid w:val="000E5347"/>
    <w:rsid w:val="000E6395"/>
    <w:rsid w:val="000F2923"/>
    <w:rsid w:val="000F3A0D"/>
    <w:rsid w:val="001007FF"/>
    <w:rsid w:val="00101F10"/>
    <w:rsid w:val="001068B9"/>
    <w:rsid w:val="00106D30"/>
    <w:rsid w:val="001108CF"/>
    <w:rsid w:val="0011103C"/>
    <w:rsid w:val="00135E6C"/>
    <w:rsid w:val="00142BD3"/>
    <w:rsid w:val="00145ADA"/>
    <w:rsid w:val="00161384"/>
    <w:rsid w:val="00165A20"/>
    <w:rsid w:val="0017517E"/>
    <w:rsid w:val="0017642B"/>
    <w:rsid w:val="001773C4"/>
    <w:rsid w:val="00192D87"/>
    <w:rsid w:val="001969E1"/>
    <w:rsid w:val="001B0019"/>
    <w:rsid w:val="001B15C5"/>
    <w:rsid w:val="001B7111"/>
    <w:rsid w:val="001C1356"/>
    <w:rsid w:val="001D4238"/>
    <w:rsid w:val="001E4FF0"/>
    <w:rsid w:val="001E6283"/>
    <w:rsid w:val="00202FFC"/>
    <w:rsid w:val="00204048"/>
    <w:rsid w:val="002044D7"/>
    <w:rsid w:val="002117A1"/>
    <w:rsid w:val="00214E94"/>
    <w:rsid w:val="00216EE4"/>
    <w:rsid w:val="00226AF8"/>
    <w:rsid w:val="00233466"/>
    <w:rsid w:val="00240526"/>
    <w:rsid w:val="00247BD7"/>
    <w:rsid w:val="002510D0"/>
    <w:rsid w:val="002557A7"/>
    <w:rsid w:val="00267D07"/>
    <w:rsid w:val="0027100A"/>
    <w:rsid w:val="002732FA"/>
    <w:rsid w:val="00273C50"/>
    <w:rsid w:val="002743C1"/>
    <w:rsid w:val="002779F2"/>
    <w:rsid w:val="00277FD7"/>
    <w:rsid w:val="00280ADC"/>
    <w:rsid w:val="00285E54"/>
    <w:rsid w:val="00294FF2"/>
    <w:rsid w:val="002A3123"/>
    <w:rsid w:val="002B3223"/>
    <w:rsid w:val="002B7A85"/>
    <w:rsid w:val="002C3B08"/>
    <w:rsid w:val="002C4E37"/>
    <w:rsid w:val="002D78B1"/>
    <w:rsid w:val="003021DE"/>
    <w:rsid w:val="00304CD2"/>
    <w:rsid w:val="00312048"/>
    <w:rsid w:val="00313CD0"/>
    <w:rsid w:val="0031450A"/>
    <w:rsid w:val="00321AA9"/>
    <w:rsid w:val="00343FA7"/>
    <w:rsid w:val="00344481"/>
    <w:rsid w:val="00347D01"/>
    <w:rsid w:val="003509A0"/>
    <w:rsid w:val="00352B3F"/>
    <w:rsid w:val="003703BC"/>
    <w:rsid w:val="00371056"/>
    <w:rsid w:val="003875C3"/>
    <w:rsid w:val="00390E41"/>
    <w:rsid w:val="003A5397"/>
    <w:rsid w:val="003C2051"/>
    <w:rsid w:val="003C7179"/>
    <w:rsid w:val="003E0400"/>
    <w:rsid w:val="003E1468"/>
    <w:rsid w:val="003E5C60"/>
    <w:rsid w:val="003E72CC"/>
    <w:rsid w:val="003F40BD"/>
    <w:rsid w:val="003F526F"/>
    <w:rsid w:val="0040115B"/>
    <w:rsid w:val="00404EDF"/>
    <w:rsid w:val="004060ED"/>
    <w:rsid w:val="004116E1"/>
    <w:rsid w:val="0041481F"/>
    <w:rsid w:val="00422236"/>
    <w:rsid w:val="004243C1"/>
    <w:rsid w:val="004262E2"/>
    <w:rsid w:val="00427466"/>
    <w:rsid w:val="0043000E"/>
    <w:rsid w:val="00432AD9"/>
    <w:rsid w:val="00443598"/>
    <w:rsid w:val="00446076"/>
    <w:rsid w:val="00447408"/>
    <w:rsid w:val="004502D1"/>
    <w:rsid w:val="00452DB9"/>
    <w:rsid w:val="004625A8"/>
    <w:rsid w:val="00463102"/>
    <w:rsid w:val="00471607"/>
    <w:rsid w:val="0047342A"/>
    <w:rsid w:val="0047532C"/>
    <w:rsid w:val="004879DF"/>
    <w:rsid w:val="0049404B"/>
    <w:rsid w:val="004B2C8C"/>
    <w:rsid w:val="004B5768"/>
    <w:rsid w:val="004C0404"/>
    <w:rsid w:val="004C7CFB"/>
    <w:rsid w:val="004D0233"/>
    <w:rsid w:val="004D7E1C"/>
    <w:rsid w:val="004E3863"/>
    <w:rsid w:val="004E6CCB"/>
    <w:rsid w:val="004E7F24"/>
    <w:rsid w:val="004F2D2F"/>
    <w:rsid w:val="00510E71"/>
    <w:rsid w:val="00521AE6"/>
    <w:rsid w:val="00543F56"/>
    <w:rsid w:val="0055325D"/>
    <w:rsid w:val="005540C9"/>
    <w:rsid w:val="0055737E"/>
    <w:rsid w:val="0056075D"/>
    <w:rsid w:val="00566A0E"/>
    <w:rsid w:val="005732F3"/>
    <w:rsid w:val="0057469F"/>
    <w:rsid w:val="00576699"/>
    <w:rsid w:val="0057707B"/>
    <w:rsid w:val="00590640"/>
    <w:rsid w:val="005932AF"/>
    <w:rsid w:val="005946B3"/>
    <w:rsid w:val="005A25A5"/>
    <w:rsid w:val="005B57B0"/>
    <w:rsid w:val="005B670D"/>
    <w:rsid w:val="005B7E51"/>
    <w:rsid w:val="005C5432"/>
    <w:rsid w:val="005C6912"/>
    <w:rsid w:val="005D1663"/>
    <w:rsid w:val="005D1985"/>
    <w:rsid w:val="005D6F2A"/>
    <w:rsid w:val="005D7122"/>
    <w:rsid w:val="005E2B65"/>
    <w:rsid w:val="005E5886"/>
    <w:rsid w:val="005F365C"/>
    <w:rsid w:val="00600394"/>
    <w:rsid w:val="006003C6"/>
    <w:rsid w:val="00606780"/>
    <w:rsid w:val="006202C8"/>
    <w:rsid w:val="00641114"/>
    <w:rsid w:val="006449FD"/>
    <w:rsid w:val="0064775D"/>
    <w:rsid w:val="006508F8"/>
    <w:rsid w:val="00651FBF"/>
    <w:rsid w:val="00663E8D"/>
    <w:rsid w:val="00691B65"/>
    <w:rsid w:val="006A4EF2"/>
    <w:rsid w:val="006A782A"/>
    <w:rsid w:val="006C16F7"/>
    <w:rsid w:val="006C2F1D"/>
    <w:rsid w:val="006C6427"/>
    <w:rsid w:val="006D0903"/>
    <w:rsid w:val="006D0EF4"/>
    <w:rsid w:val="006D5B5A"/>
    <w:rsid w:val="006E7CED"/>
    <w:rsid w:val="006F1344"/>
    <w:rsid w:val="006F3863"/>
    <w:rsid w:val="00706660"/>
    <w:rsid w:val="00737315"/>
    <w:rsid w:val="00745980"/>
    <w:rsid w:val="00752ACC"/>
    <w:rsid w:val="00775A21"/>
    <w:rsid w:val="007777C3"/>
    <w:rsid w:val="00790373"/>
    <w:rsid w:val="007A6F9E"/>
    <w:rsid w:val="007A7C33"/>
    <w:rsid w:val="007B2887"/>
    <w:rsid w:val="007C5F79"/>
    <w:rsid w:val="007C6151"/>
    <w:rsid w:val="007D58A0"/>
    <w:rsid w:val="007F1E9B"/>
    <w:rsid w:val="00801AE8"/>
    <w:rsid w:val="0081141F"/>
    <w:rsid w:val="00812483"/>
    <w:rsid w:val="00826C0C"/>
    <w:rsid w:val="008278F9"/>
    <w:rsid w:val="00834111"/>
    <w:rsid w:val="00845463"/>
    <w:rsid w:val="008553F1"/>
    <w:rsid w:val="0086662D"/>
    <w:rsid w:val="008714DD"/>
    <w:rsid w:val="00871FE0"/>
    <w:rsid w:val="00883A84"/>
    <w:rsid w:val="0089129E"/>
    <w:rsid w:val="00893FCC"/>
    <w:rsid w:val="0089511B"/>
    <w:rsid w:val="008A417A"/>
    <w:rsid w:val="008A4A52"/>
    <w:rsid w:val="008B478D"/>
    <w:rsid w:val="008D0F38"/>
    <w:rsid w:val="008D563B"/>
    <w:rsid w:val="008E1E24"/>
    <w:rsid w:val="008F2B9B"/>
    <w:rsid w:val="009114FF"/>
    <w:rsid w:val="00911F3C"/>
    <w:rsid w:val="00913A93"/>
    <w:rsid w:val="00915D92"/>
    <w:rsid w:val="00917569"/>
    <w:rsid w:val="0092129C"/>
    <w:rsid w:val="00924891"/>
    <w:rsid w:val="009253D3"/>
    <w:rsid w:val="0093109A"/>
    <w:rsid w:val="00944A7A"/>
    <w:rsid w:val="00944D2F"/>
    <w:rsid w:val="009615E3"/>
    <w:rsid w:val="00964066"/>
    <w:rsid w:val="00966FC8"/>
    <w:rsid w:val="009709AB"/>
    <w:rsid w:val="0098303D"/>
    <w:rsid w:val="00985685"/>
    <w:rsid w:val="00992E76"/>
    <w:rsid w:val="00994E6B"/>
    <w:rsid w:val="009A48B7"/>
    <w:rsid w:val="009B10A0"/>
    <w:rsid w:val="009B657F"/>
    <w:rsid w:val="009C3892"/>
    <w:rsid w:val="009C7405"/>
    <w:rsid w:val="009D34D8"/>
    <w:rsid w:val="009D38BB"/>
    <w:rsid w:val="009D499A"/>
    <w:rsid w:val="009E1C5A"/>
    <w:rsid w:val="009E4890"/>
    <w:rsid w:val="009F78A6"/>
    <w:rsid w:val="00A00DF2"/>
    <w:rsid w:val="00A10933"/>
    <w:rsid w:val="00A11382"/>
    <w:rsid w:val="00A13765"/>
    <w:rsid w:val="00A22F11"/>
    <w:rsid w:val="00A32333"/>
    <w:rsid w:val="00A41D49"/>
    <w:rsid w:val="00A5051A"/>
    <w:rsid w:val="00A63B44"/>
    <w:rsid w:val="00A64DBC"/>
    <w:rsid w:val="00A70BA9"/>
    <w:rsid w:val="00A71F7B"/>
    <w:rsid w:val="00A853A6"/>
    <w:rsid w:val="00A873AE"/>
    <w:rsid w:val="00A87A20"/>
    <w:rsid w:val="00A941CC"/>
    <w:rsid w:val="00A9701C"/>
    <w:rsid w:val="00AB2C0C"/>
    <w:rsid w:val="00AC02F9"/>
    <w:rsid w:val="00AC3CFB"/>
    <w:rsid w:val="00AD33D9"/>
    <w:rsid w:val="00AD6118"/>
    <w:rsid w:val="00AE5621"/>
    <w:rsid w:val="00B01172"/>
    <w:rsid w:val="00B04C63"/>
    <w:rsid w:val="00B05DD1"/>
    <w:rsid w:val="00B122D7"/>
    <w:rsid w:val="00B268E9"/>
    <w:rsid w:val="00B362E7"/>
    <w:rsid w:val="00B50265"/>
    <w:rsid w:val="00B52D39"/>
    <w:rsid w:val="00B727CB"/>
    <w:rsid w:val="00B7506D"/>
    <w:rsid w:val="00B75CEF"/>
    <w:rsid w:val="00B76EB9"/>
    <w:rsid w:val="00B92411"/>
    <w:rsid w:val="00B94B61"/>
    <w:rsid w:val="00BA03FC"/>
    <w:rsid w:val="00BA32A0"/>
    <w:rsid w:val="00BA33A1"/>
    <w:rsid w:val="00BA57B1"/>
    <w:rsid w:val="00BB19DE"/>
    <w:rsid w:val="00BB206A"/>
    <w:rsid w:val="00BB4ACA"/>
    <w:rsid w:val="00BC2915"/>
    <w:rsid w:val="00BC3264"/>
    <w:rsid w:val="00BC336E"/>
    <w:rsid w:val="00BD4A1A"/>
    <w:rsid w:val="00BE23FC"/>
    <w:rsid w:val="00BF3A70"/>
    <w:rsid w:val="00BF5422"/>
    <w:rsid w:val="00C0102F"/>
    <w:rsid w:val="00C0170E"/>
    <w:rsid w:val="00C03A12"/>
    <w:rsid w:val="00C14459"/>
    <w:rsid w:val="00C17CA0"/>
    <w:rsid w:val="00C23DA7"/>
    <w:rsid w:val="00C25598"/>
    <w:rsid w:val="00C346DC"/>
    <w:rsid w:val="00C55441"/>
    <w:rsid w:val="00C63A2E"/>
    <w:rsid w:val="00C675C2"/>
    <w:rsid w:val="00C67C98"/>
    <w:rsid w:val="00C95A42"/>
    <w:rsid w:val="00CB1E13"/>
    <w:rsid w:val="00CB7C22"/>
    <w:rsid w:val="00CE1797"/>
    <w:rsid w:val="00CE30E4"/>
    <w:rsid w:val="00CE48FA"/>
    <w:rsid w:val="00CF1982"/>
    <w:rsid w:val="00CF23D5"/>
    <w:rsid w:val="00CF38A2"/>
    <w:rsid w:val="00CF4819"/>
    <w:rsid w:val="00CF6596"/>
    <w:rsid w:val="00D010A9"/>
    <w:rsid w:val="00D01890"/>
    <w:rsid w:val="00D044EC"/>
    <w:rsid w:val="00D25575"/>
    <w:rsid w:val="00D26CB5"/>
    <w:rsid w:val="00D33AAF"/>
    <w:rsid w:val="00D506E0"/>
    <w:rsid w:val="00D61E20"/>
    <w:rsid w:val="00D66D1D"/>
    <w:rsid w:val="00D67EBE"/>
    <w:rsid w:val="00D72AB0"/>
    <w:rsid w:val="00D83684"/>
    <w:rsid w:val="00DA58A6"/>
    <w:rsid w:val="00DB62C9"/>
    <w:rsid w:val="00DC03E6"/>
    <w:rsid w:val="00DD05DC"/>
    <w:rsid w:val="00E0138B"/>
    <w:rsid w:val="00E05FFE"/>
    <w:rsid w:val="00E1373D"/>
    <w:rsid w:val="00E26C89"/>
    <w:rsid w:val="00E30CB9"/>
    <w:rsid w:val="00E42D5C"/>
    <w:rsid w:val="00E4540B"/>
    <w:rsid w:val="00E469C9"/>
    <w:rsid w:val="00E51B4A"/>
    <w:rsid w:val="00E60457"/>
    <w:rsid w:val="00E611DA"/>
    <w:rsid w:val="00E73979"/>
    <w:rsid w:val="00E7485A"/>
    <w:rsid w:val="00E757E9"/>
    <w:rsid w:val="00E80D91"/>
    <w:rsid w:val="00E85252"/>
    <w:rsid w:val="00E85763"/>
    <w:rsid w:val="00E87AB8"/>
    <w:rsid w:val="00EA35A4"/>
    <w:rsid w:val="00EB45C7"/>
    <w:rsid w:val="00EB501D"/>
    <w:rsid w:val="00EB5767"/>
    <w:rsid w:val="00EC065F"/>
    <w:rsid w:val="00EC1363"/>
    <w:rsid w:val="00ED72BE"/>
    <w:rsid w:val="00EE498C"/>
    <w:rsid w:val="00EE5019"/>
    <w:rsid w:val="00EF50AC"/>
    <w:rsid w:val="00F20BD6"/>
    <w:rsid w:val="00F44023"/>
    <w:rsid w:val="00F46595"/>
    <w:rsid w:val="00F51FE0"/>
    <w:rsid w:val="00F520A5"/>
    <w:rsid w:val="00F55380"/>
    <w:rsid w:val="00F56E9F"/>
    <w:rsid w:val="00F77E7C"/>
    <w:rsid w:val="00F95F03"/>
    <w:rsid w:val="00FA285E"/>
    <w:rsid w:val="00FA7352"/>
    <w:rsid w:val="00FC49E4"/>
    <w:rsid w:val="00FD29D0"/>
    <w:rsid w:val="00FD459F"/>
    <w:rsid w:val="00FD4687"/>
    <w:rsid w:val="00FD78FF"/>
    <w:rsid w:val="00FE1D6F"/>
    <w:rsid w:val="00FE67C8"/>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C4981-0796-4E9B-BAE8-F6A4323C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B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basedOn w:val="Normal"/>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basedOn w:val="Normal"/>
    <w:link w:val="FootnoteTextChar"/>
    <w:uiPriority w:val="99"/>
    <w:semiHidden/>
    <w:unhideWhenUsed/>
    <w:rsid w:val="00D018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890"/>
    <w:rPr>
      <w:sz w:val="20"/>
      <w:szCs w:val="20"/>
      <w:lang w:val="en-ZA"/>
    </w:rPr>
  </w:style>
  <w:style w:type="character" w:styleId="FootnoteReference">
    <w:name w:val="footnote reference"/>
    <w:basedOn w:val="DefaultParagraphFont"/>
    <w:uiPriority w:val="99"/>
    <w:semiHidden/>
    <w:unhideWhenUsed/>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 w:type="paragraph" w:styleId="BodyText">
    <w:name w:val="Body Text"/>
    <w:basedOn w:val="Normal"/>
    <w:link w:val="BodyTextChar"/>
    <w:uiPriority w:val="99"/>
    <w:unhideWhenUsed/>
    <w:rsid w:val="00BB4ACA"/>
    <w:pPr>
      <w:spacing w:after="120"/>
    </w:pPr>
  </w:style>
  <w:style w:type="character" w:customStyle="1" w:styleId="BodyTextChar">
    <w:name w:val="Body Text Char"/>
    <w:basedOn w:val="DefaultParagraphFont"/>
    <w:link w:val="BodyText"/>
    <w:uiPriority w:val="99"/>
    <w:rsid w:val="00BB4ACA"/>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2020-06-28T18:30:00+00:00</Judgment_x0020_Date>
    <Year xmlns="c1afb1bd-f2fb-40fd-9abb-aea55b4d7662">2020</Year>
  </documentManagement>
</p:properties>
</file>

<file path=customXml/itemProps1.xml><?xml version="1.0" encoding="utf-8"?>
<ds:datastoreItem xmlns:ds="http://schemas.openxmlformats.org/officeDocument/2006/customXml" ds:itemID="{8A546431-B2FA-4025-B09A-D80E2287ACA9}"/>
</file>

<file path=customXml/itemProps2.xml><?xml version="1.0" encoding="utf-8"?>
<ds:datastoreItem xmlns:ds="http://schemas.openxmlformats.org/officeDocument/2006/customXml" ds:itemID="{5BE0C982-19EF-489C-81E0-33A5E85F6CC1}"/>
</file>

<file path=customXml/itemProps3.xml><?xml version="1.0" encoding="utf-8"?>
<ds:datastoreItem xmlns:ds="http://schemas.openxmlformats.org/officeDocument/2006/customXml" ds:itemID="{66B70A2E-443C-47E1-BD43-DF72BFB59B17}"/>
</file>

<file path=customXml/itemProps4.xml><?xml version="1.0" encoding="utf-8"?>
<ds:datastoreItem xmlns:ds="http://schemas.openxmlformats.org/officeDocument/2006/customXml" ds:itemID="{1674A03D-225F-4520-BE89-3F5A3C8CB7DA}"/>
</file>

<file path=docProps/app.xml><?xml version="1.0" encoding="utf-8"?>
<Properties xmlns="http://schemas.openxmlformats.org/officeDocument/2006/extended-properties" xmlns:vt="http://schemas.openxmlformats.org/officeDocument/2006/docPropsVTypes">
  <Template>Normal</Template>
  <TotalTime>3</TotalTime>
  <Pages>8</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Fourie v Fourie  (HC-MD-CIV-ACT-OTH-2019-03172) [2020] NAHCMD 261 (29 June 2020)</dc:title>
  <dc:creator>Mbeurora Karamata</dc:creator>
  <cp:lastModifiedBy>Administrator</cp:lastModifiedBy>
  <cp:revision>3</cp:revision>
  <cp:lastPrinted>2019-05-02T13:52:00Z</cp:lastPrinted>
  <dcterms:created xsi:type="dcterms:W3CDTF">2020-06-30T13:37:00Z</dcterms:created>
  <dcterms:modified xsi:type="dcterms:W3CDTF">2020-06-30T13:39:00Z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