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B6" w:rsidRPr="00E24883" w:rsidRDefault="00E24883" w:rsidP="00BB5F70">
      <w:pPr>
        <w:spacing w:line="360" w:lineRule="auto"/>
        <w:jc w:val="right"/>
        <w:rPr>
          <w:rFonts w:ascii="Arial" w:hAnsi="Arial" w:cs="Arial"/>
          <w:sz w:val="24"/>
          <w:szCs w:val="24"/>
        </w:rPr>
      </w:pPr>
      <w:r w:rsidRPr="00E24883">
        <w:rPr>
          <w:rFonts w:ascii="Arial" w:hAnsi="Arial" w:cs="Arial"/>
          <w:sz w:val="24"/>
          <w:szCs w:val="24"/>
        </w:rPr>
        <w:t>Reportable</w:t>
      </w:r>
    </w:p>
    <w:p w:rsidR="005A03B6" w:rsidRDefault="005A03B6" w:rsidP="00BB5F70">
      <w:pPr>
        <w:spacing w:line="360" w:lineRule="auto"/>
        <w:jc w:val="center"/>
        <w:rPr>
          <w:rFonts w:ascii="Arial" w:hAnsi="Arial" w:cs="Arial"/>
          <w:b/>
          <w:sz w:val="24"/>
          <w:szCs w:val="24"/>
        </w:rPr>
      </w:pPr>
      <w:r>
        <w:rPr>
          <w:rFonts w:ascii="Arial" w:hAnsi="Arial" w:cs="Arial"/>
          <w:b/>
          <w:sz w:val="24"/>
          <w:szCs w:val="24"/>
        </w:rPr>
        <w:t>REPUBLIC OF NAMIBIA</w:t>
      </w:r>
    </w:p>
    <w:p w:rsidR="005A03B6" w:rsidRDefault="005A03B6" w:rsidP="00BB5F70">
      <w:pPr>
        <w:spacing w:line="360" w:lineRule="auto"/>
        <w:jc w:val="center"/>
        <w:rPr>
          <w:rFonts w:ascii="Arial" w:hAnsi="Arial" w:cs="Arial"/>
          <w:b/>
          <w:sz w:val="24"/>
          <w:szCs w:val="24"/>
        </w:rPr>
      </w:pPr>
      <w:r>
        <w:rPr>
          <w:rFonts w:ascii="Arial" w:hAnsi="Arial" w:cs="Arial"/>
          <w:noProof/>
          <w:sz w:val="24"/>
          <w:szCs w:val="24"/>
          <w:lang w:val="en-ZA" w:eastAsia="en-ZA"/>
        </w:rPr>
        <w:drawing>
          <wp:inline distT="0" distB="0" distL="0" distR="0" wp14:anchorId="10C8D8DC" wp14:editId="0434317D">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5A03B6" w:rsidRDefault="005A03B6" w:rsidP="00BB5F70">
      <w:pPr>
        <w:spacing w:line="360" w:lineRule="auto"/>
        <w:jc w:val="center"/>
        <w:rPr>
          <w:rFonts w:ascii="Arial" w:hAnsi="Arial" w:cs="Arial"/>
          <w:b/>
          <w:sz w:val="24"/>
          <w:szCs w:val="24"/>
        </w:rPr>
      </w:pPr>
      <w:r>
        <w:rPr>
          <w:rFonts w:ascii="Arial" w:hAnsi="Arial" w:cs="Arial"/>
          <w:b/>
          <w:sz w:val="24"/>
          <w:szCs w:val="24"/>
        </w:rPr>
        <w:t>HIGH COURT OF NAMIBIA MAIN DIVISION, WINDHOEK</w:t>
      </w:r>
    </w:p>
    <w:p w:rsidR="005A03B6" w:rsidRDefault="005A03B6" w:rsidP="00BB5F70">
      <w:pPr>
        <w:spacing w:line="360" w:lineRule="auto"/>
        <w:jc w:val="center"/>
        <w:rPr>
          <w:rFonts w:ascii="Arial" w:hAnsi="Arial" w:cs="Arial"/>
          <w:b/>
          <w:sz w:val="24"/>
          <w:szCs w:val="24"/>
        </w:rPr>
      </w:pPr>
    </w:p>
    <w:p w:rsidR="005A03B6" w:rsidRDefault="0063704A" w:rsidP="00BB5F70">
      <w:pPr>
        <w:spacing w:line="360" w:lineRule="auto"/>
        <w:jc w:val="center"/>
        <w:rPr>
          <w:rFonts w:ascii="Arial" w:hAnsi="Arial" w:cs="Arial"/>
          <w:b/>
          <w:sz w:val="24"/>
          <w:szCs w:val="24"/>
        </w:rPr>
      </w:pPr>
      <w:r>
        <w:rPr>
          <w:rFonts w:ascii="Arial" w:hAnsi="Arial" w:cs="Arial"/>
          <w:b/>
          <w:sz w:val="24"/>
          <w:szCs w:val="24"/>
        </w:rPr>
        <w:t>Judgement</w:t>
      </w:r>
      <w:r w:rsidR="004F51D8">
        <w:rPr>
          <w:rFonts w:ascii="Arial" w:hAnsi="Arial" w:cs="Arial"/>
          <w:b/>
          <w:sz w:val="24"/>
          <w:szCs w:val="24"/>
        </w:rPr>
        <w:t xml:space="preserve"> in terms of Rule 108</w:t>
      </w:r>
      <w:r w:rsidR="00654602">
        <w:rPr>
          <w:rFonts w:ascii="Arial" w:hAnsi="Arial" w:cs="Arial"/>
          <w:b/>
          <w:sz w:val="24"/>
          <w:szCs w:val="24"/>
        </w:rPr>
        <w:t xml:space="preserve"> of the rules of court</w:t>
      </w:r>
    </w:p>
    <w:p w:rsidR="005A03B6" w:rsidRDefault="005A03B6" w:rsidP="00BB5F70">
      <w:pPr>
        <w:spacing w:line="360" w:lineRule="auto"/>
        <w:jc w:val="right"/>
        <w:rPr>
          <w:rFonts w:ascii="Arial" w:hAnsi="Arial" w:cs="Arial"/>
          <w:sz w:val="24"/>
          <w:szCs w:val="24"/>
        </w:rPr>
      </w:pPr>
      <w:r>
        <w:rPr>
          <w:rFonts w:ascii="Arial" w:hAnsi="Arial" w:cs="Arial"/>
          <w:sz w:val="24"/>
          <w:szCs w:val="24"/>
        </w:rPr>
        <w:t xml:space="preserve">Case No: </w:t>
      </w:r>
      <w:r w:rsidR="00C8316C">
        <w:rPr>
          <w:rFonts w:ascii="Arial" w:hAnsi="Arial" w:cs="Arial"/>
          <w:sz w:val="24"/>
          <w:szCs w:val="24"/>
        </w:rPr>
        <w:t>HC-MD-CIV-ACT-CON-201</w:t>
      </w:r>
      <w:r w:rsidR="00051AA9">
        <w:rPr>
          <w:rFonts w:ascii="Arial" w:hAnsi="Arial" w:cs="Arial"/>
          <w:sz w:val="24"/>
          <w:szCs w:val="24"/>
        </w:rPr>
        <w:t>8/00405</w:t>
      </w:r>
    </w:p>
    <w:p w:rsidR="005A03B6" w:rsidRDefault="005A03B6" w:rsidP="00BB5F70">
      <w:pPr>
        <w:spacing w:line="360" w:lineRule="auto"/>
        <w:jc w:val="right"/>
        <w:rPr>
          <w:rFonts w:ascii="Arial" w:hAnsi="Arial" w:cs="Arial"/>
          <w:sz w:val="24"/>
          <w:szCs w:val="24"/>
        </w:rPr>
      </w:pPr>
    </w:p>
    <w:p w:rsidR="005A03B6" w:rsidRDefault="005A03B6" w:rsidP="00BB5F70">
      <w:pPr>
        <w:spacing w:line="360" w:lineRule="auto"/>
        <w:jc w:val="left"/>
        <w:rPr>
          <w:rFonts w:ascii="Arial" w:hAnsi="Arial" w:cs="Arial"/>
          <w:sz w:val="24"/>
          <w:szCs w:val="24"/>
        </w:rPr>
      </w:pPr>
      <w:r>
        <w:rPr>
          <w:rFonts w:ascii="Arial" w:hAnsi="Arial" w:cs="Arial"/>
          <w:sz w:val="24"/>
          <w:szCs w:val="24"/>
        </w:rPr>
        <w:t>In the matter between:</w:t>
      </w:r>
    </w:p>
    <w:p w:rsidR="005A03B6" w:rsidRDefault="005A03B6" w:rsidP="00BB5F70">
      <w:pPr>
        <w:spacing w:line="360" w:lineRule="auto"/>
        <w:rPr>
          <w:rFonts w:ascii="Arial" w:hAnsi="Arial" w:cs="Arial"/>
          <w:b/>
          <w:sz w:val="24"/>
          <w:szCs w:val="24"/>
        </w:rPr>
      </w:pPr>
    </w:p>
    <w:p w:rsidR="00C8316C" w:rsidRDefault="00051AA9" w:rsidP="00BB5F70">
      <w:pPr>
        <w:tabs>
          <w:tab w:val="right" w:pos="9026"/>
        </w:tabs>
        <w:spacing w:line="360" w:lineRule="auto"/>
        <w:rPr>
          <w:rFonts w:ascii="Arial" w:hAnsi="Arial" w:cs="Arial"/>
          <w:b/>
          <w:sz w:val="24"/>
          <w:szCs w:val="24"/>
        </w:rPr>
      </w:pPr>
      <w:r>
        <w:rPr>
          <w:rFonts w:ascii="Arial" w:hAnsi="Arial" w:cs="Arial"/>
          <w:b/>
          <w:sz w:val="24"/>
          <w:szCs w:val="24"/>
        </w:rPr>
        <w:t>STANDARD BANK NAMIBIA LIMITED</w:t>
      </w:r>
      <w:r w:rsidR="00C8316C">
        <w:rPr>
          <w:rFonts w:ascii="Arial" w:hAnsi="Arial" w:cs="Arial"/>
          <w:b/>
          <w:sz w:val="24"/>
          <w:szCs w:val="24"/>
        </w:rPr>
        <w:tab/>
      </w:r>
      <w:r>
        <w:rPr>
          <w:rFonts w:ascii="Arial" w:hAnsi="Arial" w:cs="Arial"/>
          <w:b/>
          <w:sz w:val="24"/>
          <w:szCs w:val="24"/>
        </w:rPr>
        <w:t>APPLICANT</w:t>
      </w:r>
    </w:p>
    <w:p w:rsidR="00C8316C" w:rsidRDefault="00C8316C" w:rsidP="00BB5F70">
      <w:pPr>
        <w:spacing w:line="360" w:lineRule="auto"/>
        <w:rPr>
          <w:rFonts w:ascii="Arial" w:hAnsi="Arial" w:cs="Arial"/>
          <w:sz w:val="24"/>
          <w:szCs w:val="24"/>
        </w:rPr>
      </w:pPr>
    </w:p>
    <w:p w:rsidR="00C8316C" w:rsidRDefault="00C8316C" w:rsidP="00BB5F70">
      <w:pPr>
        <w:spacing w:line="360" w:lineRule="auto"/>
        <w:rPr>
          <w:rFonts w:ascii="Arial" w:hAnsi="Arial" w:cs="Arial"/>
          <w:sz w:val="24"/>
          <w:szCs w:val="24"/>
        </w:rPr>
      </w:pPr>
      <w:r>
        <w:rPr>
          <w:rFonts w:ascii="Arial" w:hAnsi="Arial" w:cs="Arial"/>
          <w:sz w:val="24"/>
          <w:szCs w:val="24"/>
        </w:rPr>
        <w:t>and</w:t>
      </w:r>
    </w:p>
    <w:p w:rsidR="00C8316C" w:rsidRPr="00C8316C" w:rsidRDefault="00C8316C" w:rsidP="00BB5F70">
      <w:pPr>
        <w:spacing w:line="360" w:lineRule="auto"/>
        <w:rPr>
          <w:rFonts w:ascii="Arial" w:hAnsi="Arial" w:cs="Arial"/>
          <w:sz w:val="24"/>
          <w:szCs w:val="24"/>
        </w:rPr>
      </w:pPr>
    </w:p>
    <w:p w:rsidR="005A03B6" w:rsidRDefault="00051AA9" w:rsidP="00BB5F70">
      <w:pPr>
        <w:tabs>
          <w:tab w:val="right" w:pos="9026"/>
        </w:tabs>
        <w:spacing w:line="360" w:lineRule="auto"/>
        <w:rPr>
          <w:rFonts w:ascii="Arial" w:hAnsi="Arial" w:cs="Arial"/>
          <w:b/>
          <w:sz w:val="24"/>
          <w:szCs w:val="24"/>
        </w:rPr>
      </w:pPr>
      <w:r>
        <w:rPr>
          <w:rFonts w:ascii="Arial" w:hAnsi="Arial" w:cs="Arial"/>
          <w:b/>
          <w:sz w:val="24"/>
          <w:szCs w:val="24"/>
        </w:rPr>
        <w:t>MGM PROPERTIES CC</w:t>
      </w:r>
      <w:r w:rsidR="000A5C45">
        <w:rPr>
          <w:rFonts w:ascii="Arial" w:hAnsi="Arial" w:cs="Arial"/>
          <w:b/>
          <w:sz w:val="24"/>
          <w:szCs w:val="24"/>
        </w:rPr>
        <w:tab/>
      </w:r>
      <w:r>
        <w:rPr>
          <w:rFonts w:ascii="Arial" w:hAnsi="Arial" w:cs="Arial"/>
          <w:b/>
          <w:sz w:val="24"/>
          <w:szCs w:val="24"/>
        </w:rPr>
        <w:t>1</w:t>
      </w:r>
      <w:r w:rsidRPr="00051AA9">
        <w:rPr>
          <w:rFonts w:ascii="Arial" w:hAnsi="Arial" w:cs="Arial"/>
          <w:b/>
          <w:sz w:val="24"/>
          <w:szCs w:val="24"/>
          <w:vertAlign w:val="superscript"/>
        </w:rPr>
        <w:t>ST</w:t>
      </w:r>
      <w:r>
        <w:rPr>
          <w:rFonts w:ascii="Arial" w:hAnsi="Arial" w:cs="Arial"/>
          <w:b/>
          <w:sz w:val="24"/>
          <w:szCs w:val="24"/>
        </w:rPr>
        <w:t xml:space="preserve"> RESPONDENT</w:t>
      </w:r>
    </w:p>
    <w:p w:rsidR="00051AA9" w:rsidRDefault="00051AA9" w:rsidP="00BB5F70">
      <w:pPr>
        <w:tabs>
          <w:tab w:val="right" w:pos="9026"/>
        </w:tabs>
        <w:spacing w:line="360" w:lineRule="auto"/>
        <w:rPr>
          <w:rFonts w:ascii="Arial" w:hAnsi="Arial" w:cs="Arial"/>
          <w:b/>
          <w:sz w:val="24"/>
          <w:szCs w:val="24"/>
        </w:rPr>
      </w:pPr>
      <w:r>
        <w:rPr>
          <w:rFonts w:ascii="Arial" w:hAnsi="Arial" w:cs="Arial"/>
          <w:b/>
          <w:sz w:val="24"/>
          <w:szCs w:val="24"/>
        </w:rPr>
        <w:t>MADELINE MBUTU</w:t>
      </w:r>
      <w:r>
        <w:rPr>
          <w:rFonts w:ascii="Arial" w:hAnsi="Arial" w:cs="Arial"/>
          <w:b/>
          <w:sz w:val="24"/>
          <w:szCs w:val="24"/>
        </w:rPr>
        <w:tab/>
        <w:t>2</w:t>
      </w:r>
      <w:r w:rsidRPr="00051AA9">
        <w:rPr>
          <w:rFonts w:ascii="Arial" w:hAnsi="Arial" w:cs="Arial"/>
          <w:b/>
          <w:sz w:val="24"/>
          <w:szCs w:val="24"/>
          <w:vertAlign w:val="superscript"/>
        </w:rPr>
        <w:t>ND</w:t>
      </w:r>
      <w:r>
        <w:rPr>
          <w:rFonts w:ascii="Arial" w:hAnsi="Arial" w:cs="Arial"/>
          <w:b/>
          <w:sz w:val="24"/>
          <w:szCs w:val="24"/>
        </w:rPr>
        <w:t xml:space="preserve"> RESPONDENT</w:t>
      </w:r>
    </w:p>
    <w:p w:rsidR="00051AA9" w:rsidRPr="000A5C45" w:rsidRDefault="00051AA9" w:rsidP="00BB5F70">
      <w:pPr>
        <w:tabs>
          <w:tab w:val="right" w:pos="9026"/>
        </w:tabs>
        <w:spacing w:line="360" w:lineRule="auto"/>
        <w:rPr>
          <w:rFonts w:ascii="Arial" w:hAnsi="Arial" w:cs="Arial"/>
          <w:b/>
          <w:sz w:val="24"/>
          <w:szCs w:val="24"/>
        </w:rPr>
      </w:pPr>
      <w:r>
        <w:rPr>
          <w:rFonts w:ascii="Arial" w:hAnsi="Arial" w:cs="Arial"/>
          <w:b/>
          <w:sz w:val="24"/>
          <w:szCs w:val="24"/>
        </w:rPr>
        <w:t>NATHAN PIETER MBUTU</w:t>
      </w:r>
      <w:r>
        <w:rPr>
          <w:rFonts w:ascii="Arial" w:hAnsi="Arial" w:cs="Arial"/>
          <w:b/>
          <w:sz w:val="24"/>
          <w:szCs w:val="24"/>
        </w:rPr>
        <w:tab/>
        <w:t>3</w:t>
      </w:r>
      <w:r w:rsidRPr="00051AA9">
        <w:rPr>
          <w:rFonts w:ascii="Arial" w:hAnsi="Arial" w:cs="Arial"/>
          <w:b/>
          <w:sz w:val="24"/>
          <w:szCs w:val="24"/>
          <w:vertAlign w:val="superscript"/>
        </w:rPr>
        <w:t>RD</w:t>
      </w:r>
      <w:r>
        <w:rPr>
          <w:rFonts w:ascii="Arial" w:hAnsi="Arial" w:cs="Arial"/>
          <w:b/>
          <w:sz w:val="24"/>
          <w:szCs w:val="24"/>
        </w:rPr>
        <w:t xml:space="preserve"> RESPONDENT</w:t>
      </w:r>
    </w:p>
    <w:p w:rsidR="000A5C45" w:rsidRDefault="000A5C45" w:rsidP="00BB5F70">
      <w:pPr>
        <w:spacing w:line="360" w:lineRule="auto"/>
        <w:rPr>
          <w:rFonts w:ascii="Arial" w:hAnsi="Arial" w:cs="Arial"/>
          <w:sz w:val="24"/>
          <w:szCs w:val="24"/>
        </w:rPr>
      </w:pPr>
    </w:p>
    <w:p w:rsidR="005A03B6" w:rsidRDefault="005A03B6" w:rsidP="00BB5F70">
      <w:pPr>
        <w:spacing w:line="360" w:lineRule="auto"/>
        <w:ind w:left="2160" w:hanging="2160"/>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051AA9">
        <w:rPr>
          <w:rFonts w:ascii="Arial" w:hAnsi="Arial" w:cs="Arial"/>
          <w:i/>
          <w:sz w:val="24"/>
          <w:szCs w:val="24"/>
        </w:rPr>
        <w:t>Standard Bank Namibia Limited</w:t>
      </w:r>
      <w:r w:rsidR="00C8316C" w:rsidRPr="00C8316C">
        <w:rPr>
          <w:rFonts w:ascii="Arial" w:hAnsi="Arial" w:cs="Arial"/>
          <w:i/>
          <w:sz w:val="24"/>
          <w:szCs w:val="24"/>
        </w:rPr>
        <w:t xml:space="preserve"> v</w:t>
      </w:r>
      <w:r w:rsidR="00C8316C" w:rsidRPr="00C8316C">
        <w:rPr>
          <w:rFonts w:ascii="Arial" w:hAnsi="Arial" w:cs="Arial"/>
          <w:b/>
          <w:i/>
          <w:sz w:val="24"/>
          <w:szCs w:val="24"/>
        </w:rPr>
        <w:t xml:space="preserve"> </w:t>
      </w:r>
      <w:r w:rsidR="00051AA9" w:rsidRPr="002331ED">
        <w:rPr>
          <w:rFonts w:ascii="Arial" w:hAnsi="Arial" w:cs="Arial"/>
          <w:i/>
          <w:sz w:val="24"/>
          <w:szCs w:val="24"/>
        </w:rPr>
        <w:t xml:space="preserve">MGM Properties CC </w:t>
      </w:r>
      <w:r>
        <w:rPr>
          <w:rFonts w:ascii="Arial" w:hAnsi="Arial" w:cs="Arial"/>
          <w:sz w:val="24"/>
          <w:szCs w:val="24"/>
        </w:rPr>
        <w:t>(</w:t>
      </w:r>
      <w:r w:rsidR="00C8316C">
        <w:rPr>
          <w:rFonts w:ascii="Arial" w:hAnsi="Arial" w:cs="Arial"/>
          <w:sz w:val="24"/>
          <w:szCs w:val="24"/>
        </w:rPr>
        <w:t>HC-MD-CIV-ACT-CON-201</w:t>
      </w:r>
      <w:r w:rsidR="00051AA9">
        <w:rPr>
          <w:rFonts w:ascii="Arial" w:hAnsi="Arial" w:cs="Arial"/>
          <w:sz w:val="24"/>
          <w:szCs w:val="24"/>
        </w:rPr>
        <w:t>8-00405) [2020</w:t>
      </w:r>
      <w:r>
        <w:rPr>
          <w:rFonts w:ascii="Arial" w:hAnsi="Arial" w:cs="Arial"/>
          <w:sz w:val="24"/>
          <w:szCs w:val="24"/>
        </w:rPr>
        <w:t>] NAHCMD</w:t>
      </w:r>
      <w:r w:rsidR="00A65E1A">
        <w:rPr>
          <w:rFonts w:ascii="Arial" w:hAnsi="Arial" w:cs="Arial"/>
          <w:sz w:val="24"/>
          <w:szCs w:val="24"/>
        </w:rPr>
        <w:t xml:space="preserve"> </w:t>
      </w:r>
      <w:r w:rsidR="00905593">
        <w:rPr>
          <w:rFonts w:ascii="Arial" w:hAnsi="Arial" w:cs="Arial"/>
          <w:sz w:val="24"/>
          <w:szCs w:val="24"/>
        </w:rPr>
        <w:t>28</w:t>
      </w:r>
      <w:r w:rsidR="00C8316C">
        <w:rPr>
          <w:rFonts w:ascii="Arial" w:hAnsi="Arial" w:cs="Arial"/>
          <w:sz w:val="24"/>
          <w:szCs w:val="24"/>
        </w:rPr>
        <w:t xml:space="preserve"> </w:t>
      </w:r>
      <w:r>
        <w:rPr>
          <w:rFonts w:ascii="Arial" w:hAnsi="Arial" w:cs="Arial"/>
          <w:sz w:val="24"/>
          <w:szCs w:val="24"/>
        </w:rPr>
        <w:t>(</w:t>
      </w:r>
      <w:r w:rsidR="00051AA9">
        <w:rPr>
          <w:rFonts w:ascii="Arial" w:hAnsi="Arial" w:cs="Arial"/>
          <w:sz w:val="24"/>
          <w:szCs w:val="24"/>
        </w:rPr>
        <w:t>30 January 2020</w:t>
      </w:r>
      <w:r>
        <w:rPr>
          <w:rFonts w:ascii="Arial" w:hAnsi="Arial" w:cs="Arial"/>
          <w:sz w:val="24"/>
          <w:szCs w:val="24"/>
        </w:rPr>
        <w:t>)</w:t>
      </w:r>
    </w:p>
    <w:p w:rsidR="00F3273F" w:rsidRDefault="00F3273F" w:rsidP="00BB5F70">
      <w:pPr>
        <w:spacing w:line="360" w:lineRule="auto"/>
        <w:ind w:left="2160" w:hanging="2160"/>
        <w:rPr>
          <w:rFonts w:ascii="Arial" w:hAnsi="Arial" w:cs="Arial"/>
          <w:sz w:val="24"/>
          <w:szCs w:val="24"/>
        </w:rPr>
      </w:pPr>
    </w:p>
    <w:p w:rsidR="005A03B6" w:rsidRDefault="005A03B6" w:rsidP="00BB5F70">
      <w:pPr>
        <w:spacing w:line="360" w:lineRule="auto"/>
        <w:rPr>
          <w:rFonts w:ascii="Arial" w:hAnsi="Arial" w:cs="Arial"/>
          <w:b/>
          <w:sz w:val="24"/>
          <w:szCs w:val="24"/>
        </w:rPr>
      </w:pPr>
      <w:r>
        <w:rPr>
          <w:rFonts w:ascii="Arial" w:hAnsi="Arial" w:cs="Arial"/>
          <w:b/>
          <w:sz w:val="24"/>
          <w:szCs w:val="24"/>
        </w:rPr>
        <w:t>CORAM:</w:t>
      </w:r>
      <w:r w:rsidRPr="00F64CAD">
        <w:rPr>
          <w:rFonts w:ascii="Arial" w:hAnsi="Arial" w:cs="Arial"/>
          <w:sz w:val="24"/>
          <w:szCs w:val="24"/>
        </w:rPr>
        <w:tab/>
      </w:r>
      <w:r w:rsidR="00DA6E57">
        <w:rPr>
          <w:rFonts w:ascii="Arial" w:hAnsi="Arial" w:cs="Arial"/>
          <w:sz w:val="24"/>
          <w:szCs w:val="24"/>
        </w:rPr>
        <w:t>NDAUENDAPO</w:t>
      </w:r>
      <w:r w:rsidR="00160ACA">
        <w:rPr>
          <w:rFonts w:ascii="Arial" w:hAnsi="Arial" w:cs="Arial"/>
          <w:sz w:val="24"/>
          <w:szCs w:val="24"/>
        </w:rPr>
        <w:t>, J</w:t>
      </w:r>
      <w:bookmarkStart w:id="0" w:name="_GoBack"/>
      <w:bookmarkEnd w:id="0"/>
    </w:p>
    <w:p w:rsidR="005A03B6" w:rsidRPr="008D2E13" w:rsidRDefault="005A03B6" w:rsidP="00BB5F70">
      <w:pPr>
        <w:spacing w:line="360" w:lineRule="auto"/>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051AA9">
        <w:rPr>
          <w:rFonts w:ascii="Arial" w:hAnsi="Arial" w:cs="Arial"/>
          <w:sz w:val="24"/>
          <w:szCs w:val="24"/>
        </w:rPr>
        <w:t>8 November</w:t>
      </w:r>
      <w:r w:rsidR="005B36BE">
        <w:rPr>
          <w:rFonts w:ascii="Arial" w:hAnsi="Arial" w:cs="Arial"/>
          <w:sz w:val="24"/>
          <w:szCs w:val="24"/>
        </w:rPr>
        <w:t xml:space="preserve"> </w:t>
      </w:r>
      <w:r w:rsidR="005516FE">
        <w:rPr>
          <w:rFonts w:ascii="Arial" w:hAnsi="Arial" w:cs="Arial"/>
          <w:sz w:val="24"/>
          <w:szCs w:val="24"/>
        </w:rPr>
        <w:t>201</w:t>
      </w:r>
      <w:r w:rsidR="00DA6E57">
        <w:rPr>
          <w:rFonts w:ascii="Arial" w:hAnsi="Arial" w:cs="Arial"/>
          <w:sz w:val="24"/>
          <w:szCs w:val="24"/>
        </w:rPr>
        <w:t>9</w:t>
      </w:r>
    </w:p>
    <w:p w:rsidR="005A03B6" w:rsidRPr="008D2E13" w:rsidRDefault="005A03B6" w:rsidP="00BB5F70">
      <w:pPr>
        <w:spacing w:line="360" w:lineRule="auto"/>
        <w:rPr>
          <w:rFonts w:ascii="Arial" w:hAnsi="Arial" w:cs="Arial"/>
          <w:b/>
          <w:sz w:val="24"/>
          <w:szCs w:val="24"/>
        </w:rPr>
      </w:pPr>
      <w:r w:rsidRPr="008D2E13">
        <w:rPr>
          <w:rFonts w:ascii="Arial" w:hAnsi="Arial" w:cs="Arial"/>
          <w:b/>
          <w:bCs/>
          <w:sz w:val="24"/>
          <w:szCs w:val="24"/>
        </w:rPr>
        <w:t>Delivered</w:t>
      </w:r>
      <w:r w:rsidRPr="008D2E13">
        <w:rPr>
          <w:rFonts w:ascii="Arial" w:hAnsi="Arial" w:cs="Arial"/>
          <w:b/>
          <w:sz w:val="24"/>
          <w:szCs w:val="24"/>
        </w:rPr>
        <w:t>:</w:t>
      </w:r>
      <w:r w:rsidRPr="008D2E13">
        <w:rPr>
          <w:rFonts w:ascii="Arial" w:hAnsi="Arial" w:cs="Arial"/>
          <w:b/>
          <w:sz w:val="24"/>
          <w:szCs w:val="24"/>
        </w:rPr>
        <w:tab/>
      </w:r>
      <w:r w:rsidR="00051AA9">
        <w:rPr>
          <w:rFonts w:ascii="Arial" w:hAnsi="Arial" w:cs="Arial"/>
          <w:sz w:val="24"/>
          <w:szCs w:val="24"/>
        </w:rPr>
        <w:t>30 January 2020</w:t>
      </w:r>
    </w:p>
    <w:p w:rsidR="00051AA9" w:rsidRDefault="00051AA9" w:rsidP="00BB5F70">
      <w:pPr>
        <w:spacing w:line="360" w:lineRule="auto"/>
        <w:rPr>
          <w:rFonts w:ascii="Arial" w:hAnsi="Arial" w:cs="Arial"/>
          <w:sz w:val="24"/>
          <w:szCs w:val="24"/>
        </w:rPr>
      </w:pPr>
    </w:p>
    <w:p w:rsidR="00B72ECF" w:rsidRDefault="00B72ECF" w:rsidP="00BB5F70">
      <w:pPr>
        <w:spacing w:line="360" w:lineRule="auto"/>
        <w:rPr>
          <w:rFonts w:ascii="Arial" w:hAnsi="Arial" w:cs="Arial"/>
          <w:sz w:val="24"/>
          <w:szCs w:val="24"/>
        </w:rPr>
      </w:pPr>
      <w:r w:rsidRPr="00AC543B">
        <w:rPr>
          <w:rFonts w:ascii="Arial" w:hAnsi="Arial" w:cs="Arial"/>
          <w:b/>
          <w:sz w:val="24"/>
          <w:szCs w:val="24"/>
        </w:rPr>
        <w:t>Flynote</w:t>
      </w:r>
      <w:r>
        <w:rPr>
          <w:rFonts w:ascii="Arial" w:hAnsi="Arial" w:cs="Arial"/>
          <w:sz w:val="24"/>
          <w:szCs w:val="24"/>
        </w:rPr>
        <w:t>:</w:t>
      </w:r>
      <w:r>
        <w:rPr>
          <w:rFonts w:ascii="Arial" w:hAnsi="Arial" w:cs="Arial"/>
          <w:sz w:val="24"/>
          <w:szCs w:val="24"/>
        </w:rPr>
        <w:tab/>
        <w:t>Practice- Rule 108 application</w:t>
      </w:r>
      <w:r w:rsidR="00644A26">
        <w:rPr>
          <w:rFonts w:ascii="Arial" w:hAnsi="Arial" w:cs="Arial"/>
          <w:sz w:val="24"/>
          <w:szCs w:val="24"/>
        </w:rPr>
        <w:t xml:space="preserve"> - W</w:t>
      </w:r>
      <w:r>
        <w:rPr>
          <w:rFonts w:ascii="Arial" w:hAnsi="Arial" w:cs="Arial"/>
          <w:sz w:val="24"/>
          <w:szCs w:val="24"/>
        </w:rPr>
        <w:t xml:space="preserve">here the property sought to be specially declared executable is the primary home of the judgment </w:t>
      </w:r>
      <w:r w:rsidR="00644A26">
        <w:rPr>
          <w:rFonts w:ascii="Arial" w:hAnsi="Arial" w:cs="Arial"/>
          <w:sz w:val="24"/>
          <w:szCs w:val="24"/>
        </w:rPr>
        <w:t>debtor -</w:t>
      </w:r>
      <w:r>
        <w:rPr>
          <w:rFonts w:ascii="Arial" w:hAnsi="Arial" w:cs="Arial"/>
          <w:sz w:val="24"/>
          <w:szCs w:val="24"/>
        </w:rPr>
        <w:t xml:space="preserve"> </w:t>
      </w:r>
      <w:r w:rsidR="00644A26">
        <w:rPr>
          <w:rFonts w:ascii="Arial" w:hAnsi="Arial" w:cs="Arial"/>
          <w:sz w:val="24"/>
          <w:szCs w:val="24"/>
        </w:rPr>
        <w:t>T</w:t>
      </w:r>
      <w:r>
        <w:rPr>
          <w:rFonts w:ascii="Arial" w:hAnsi="Arial" w:cs="Arial"/>
          <w:sz w:val="24"/>
          <w:szCs w:val="24"/>
        </w:rPr>
        <w:t>he court must consider less drastic measures including the sale of an alternative property</w:t>
      </w:r>
      <w:r w:rsidR="00644A26">
        <w:rPr>
          <w:rFonts w:ascii="Arial" w:hAnsi="Arial" w:cs="Arial"/>
          <w:sz w:val="24"/>
          <w:szCs w:val="24"/>
        </w:rPr>
        <w:t xml:space="preserve"> -</w:t>
      </w:r>
      <w:r>
        <w:rPr>
          <w:rFonts w:ascii="Arial" w:hAnsi="Arial" w:cs="Arial"/>
          <w:sz w:val="24"/>
          <w:szCs w:val="24"/>
        </w:rPr>
        <w:t xml:space="preserve"> </w:t>
      </w:r>
      <w:r w:rsidR="00644A26">
        <w:rPr>
          <w:rFonts w:ascii="Arial" w:hAnsi="Arial" w:cs="Arial"/>
          <w:sz w:val="24"/>
          <w:szCs w:val="24"/>
        </w:rPr>
        <w:t>A</w:t>
      </w:r>
      <w:r>
        <w:rPr>
          <w:rFonts w:ascii="Arial" w:hAnsi="Arial" w:cs="Arial"/>
          <w:sz w:val="24"/>
          <w:szCs w:val="24"/>
        </w:rPr>
        <w:t xml:space="preserve">nd </w:t>
      </w:r>
      <w:r>
        <w:rPr>
          <w:rFonts w:ascii="Arial" w:hAnsi="Arial" w:cs="Arial"/>
          <w:sz w:val="24"/>
          <w:szCs w:val="24"/>
        </w:rPr>
        <w:lastRenderedPageBreak/>
        <w:t>where there are none and</w:t>
      </w:r>
      <w:r w:rsidR="00C84FE8">
        <w:rPr>
          <w:rFonts w:ascii="Arial" w:hAnsi="Arial" w:cs="Arial"/>
          <w:sz w:val="24"/>
          <w:szCs w:val="24"/>
        </w:rPr>
        <w:t xml:space="preserve"> the judgment debtor unreasonable delays the gra</w:t>
      </w:r>
      <w:r w:rsidR="00DC4DD6">
        <w:rPr>
          <w:rFonts w:ascii="Arial" w:hAnsi="Arial" w:cs="Arial"/>
          <w:sz w:val="24"/>
          <w:szCs w:val="24"/>
        </w:rPr>
        <w:t>nting of the order in terms of R</w:t>
      </w:r>
      <w:r w:rsidR="00C84FE8">
        <w:rPr>
          <w:rFonts w:ascii="Arial" w:hAnsi="Arial" w:cs="Arial"/>
          <w:sz w:val="24"/>
          <w:szCs w:val="24"/>
        </w:rPr>
        <w:t>ule 108</w:t>
      </w:r>
      <w:r w:rsidR="00DC4DD6">
        <w:rPr>
          <w:rFonts w:ascii="Arial" w:hAnsi="Arial" w:cs="Arial"/>
          <w:sz w:val="24"/>
          <w:szCs w:val="24"/>
        </w:rPr>
        <w:t xml:space="preserve"> the</w:t>
      </w:r>
      <w:r w:rsidR="00C84FE8">
        <w:rPr>
          <w:rFonts w:ascii="Arial" w:hAnsi="Arial" w:cs="Arial"/>
          <w:sz w:val="24"/>
          <w:szCs w:val="24"/>
        </w:rPr>
        <w:t xml:space="preserve"> </w:t>
      </w:r>
      <w:r w:rsidR="009C1759">
        <w:rPr>
          <w:rFonts w:ascii="Arial" w:hAnsi="Arial" w:cs="Arial"/>
          <w:sz w:val="24"/>
          <w:szCs w:val="24"/>
        </w:rPr>
        <w:t>c</w:t>
      </w:r>
      <w:r w:rsidR="00DC4DD6">
        <w:rPr>
          <w:rFonts w:ascii="Arial" w:hAnsi="Arial" w:cs="Arial"/>
          <w:sz w:val="24"/>
          <w:szCs w:val="24"/>
        </w:rPr>
        <w:t>ourt may</w:t>
      </w:r>
      <w:r w:rsidR="00C84FE8">
        <w:rPr>
          <w:rFonts w:ascii="Arial" w:hAnsi="Arial" w:cs="Arial"/>
          <w:sz w:val="24"/>
          <w:szCs w:val="24"/>
        </w:rPr>
        <w:t xml:space="preserve"> grant such an orde</w:t>
      </w:r>
      <w:r w:rsidR="00644A26">
        <w:rPr>
          <w:rFonts w:ascii="Arial" w:hAnsi="Arial" w:cs="Arial"/>
          <w:sz w:val="24"/>
          <w:szCs w:val="24"/>
        </w:rPr>
        <w:t>r.</w:t>
      </w:r>
    </w:p>
    <w:p w:rsidR="00B72ECF" w:rsidRDefault="00B72ECF" w:rsidP="00BB5F70">
      <w:pPr>
        <w:spacing w:line="360" w:lineRule="auto"/>
        <w:rPr>
          <w:rFonts w:ascii="Arial" w:hAnsi="Arial" w:cs="Arial"/>
          <w:sz w:val="24"/>
          <w:szCs w:val="24"/>
        </w:rPr>
      </w:pPr>
    </w:p>
    <w:p w:rsidR="00B72ECF" w:rsidRDefault="00B72ECF" w:rsidP="00BB5F70">
      <w:pPr>
        <w:spacing w:line="360" w:lineRule="auto"/>
        <w:rPr>
          <w:rFonts w:ascii="Arial" w:hAnsi="Arial" w:cs="Arial"/>
          <w:sz w:val="24"/>
          <w:szCs w:val="24"/>
        </w:rPr>
      </w:pPr>
      <w:r w:rsidRPr="00AC543B">
        <w:rPr>
          <w:rFonts w:ascii="Arial" w:hAnsi="Arial" w:cs="Arial"/>
          <w:b/>
          <w:sz w:val="24"/>
          <w:szCs w:val="24"/>
        </w:rPr>
        <w:t>Summary</w:t>
      </w:r>
      <w:r>
        <w:rPr>
          <w:rFonts w:ascii="Arial" w:hAnsi="Arial" w:cs="Arial"/>
          <w:sz w:val="24"/>
          <w:szCs w:val="24"/>
        </w:rPr>
        <w:t>:</w:t>
      </w:r>
      <w:r>
        <w:rPr>
          <w:rFonts w:ascii="Arial" w:hAnsi="Arial" w:cs="Arial"/>
          <w:sz w:val="24"/>
          <w:szCs w:val="24"/>
        </w:rPr>
        <w:tab/>
        <w:t>The applicant obtained a default judgment in the amount of N$</w:t>
      </w:r>
      <w:r w:rsidR="00DC4DD6">
        <w:rPr>
          <w:rFonts w:ascii="Arial" w:hAnsi="Arial" w:cs="Arial"/>
          <w:sz w:val="24"/>
          <w:szCs w:val="24"/>
        </w:rPr>
        <w:t>2 429 098.31 plus interest</w:t>
      </w:r>
      <w:r>
        <w:rPr>
          <w:rFonts w:ascii="Arial" w:hAnsi="Arial" w:cs="Arial"/>
          <w:sz w:val="24"/>
          <w:szCs w:val="24"/>
        </w:rPr>
        <w:t xml:space="preserve"> against the respondents. The default judgment was granted pursuant to a loan granted by the applicant to the respon</w:t>
      </w:r>
      <w:r w:rsidR="00DC4DD6">
        <w:rPr>
          <w:rFonts w:ascii="Arial" w:hAnsi="Arial" w:cs="Arial"/>
          <w:sz w:val="24"/>
          <w:szCs w:val="24"/>
        </w:rPr>
        <w:t>dents which they failed to repay</w:t>
      </w:r>
      <w:r>
        <w:rPr>
          <w:rFonts w:ascii="Arial" w:hAnsi="Arial" w:cs="Arial"/>
          <w:sz w:val="24"/>
          <w:szCs w:val="24"/>
        </w:rPr>
        <w:t xml:space="preserve">. </w:t>
      </w:r>
      <w:r w:rsidR="00644A26">
        <w:rPr>
          <w:rFonts w:ascii="Arial" w:hAnsi="Arial" w:cs="Arial"/>
          <w:sz w:val="24"/>
          <w:szCs w:val="24"/>
        </w:rPr>
        <w:t xml:space="preserve">As security for the loan a bond was registered over the property. </w:t>
      </w:r>
      <w:r>
        <w:rPr>
          <w:rFonts w:ascii="Arial" w:hAnsi="Arial" w:cs="Arial"/>
          <w:sz w:val="24"/>
          <w:szCs w:val="24"/>
        </w:rPr>
        <w:t>The applicant launched a</w:t>
      </w:r>
      <w:r w:rsidR="00644A26">
        <w:rPr>
          <w:rFonts w:ascii="Arial" w:hAnsi="Arial" w:cs="Arial"/>
          <w:sz w:val="24"/>
          <w:szCs w:val="24"/>
        </w:rPr>
        <w:t>n application in terms of Rule 1</w:t>
      </w:r>
      <w:r>
        <w:rPr>
          <w:rFonts w:ascii="Arial" w:hAnsi="Arial" w:cs="Arial"/>
          <w:sz w:val="24"/>
          <w:szCs w:val="24"/>
        </w:rPr>
        <w:t>08 to have the property specially declared executable. The respondents opposed the application on the basis that the property is their primary home, it is more valuable than the amount owed, the respondents had a partnership agreement with the applicant from which they unjustifiably withdrew and the respondents are suing them for breach and the proceeds from that case will be used to settle the debt.</w:t>
      </w:r>
    </w:p>
    <w:p w:rsidR="00B72ECF" w:rsidRDefault="00B72ECF" w:rsidP="00BB5F70">
      <w:pPr>
        <w:spacing w:line="360" w:lineRule="auto"/>
        <w:rPr>
          <w:rFonts w:ascii="Arial" w:hAnsi="Arial" w:cs="Arial"/>
          <w:sz w:val="24"/>
          <w:szCs w:val="24"/>
        </w:rPr>
      </w:pPr>
    </w:p>
    <w:p w:rsidR="00B72ECF" w:rsidRDefault="00B72ECF" w:rsidP="00BB5F70">
      <w:pPr>
        <w:spacing w:line="360" w:lineRule="auto"/>
        <w:rPr>
          <w:rFonts w:ascii="Arial" w:hAnsi="Arial" w:cs="Arial"/>
          <w:sz w:val="24"/>
          <w:szCs w:val="24"/>
        </w:rPr>
      </w:pPr>
      <w:r w:rsidRPr="0041754C">
        <w:rPr>
          <w:rFonts w:ascii="Arial" w:hAnsi="Arial" w:cs="Arial"/>
          <w:i/>
          <w:sz w:val="24"/>
          <w:szCs w:val="24"/>
        </w:rPr>
        <w:t>Held</w:t>
      </w:r>
      <w:r w:rsidR="0041754C">
        <w:rPr>
          <w:rFonts w:ascii="Arial" w:hAnsi="Arial" w:cs="Arial"/>
          <w:sz w:val="24"/>
          <w:szCs w:val="24"/>
        </w:rPr>
        <w:t>,</w:t>
      </w:r>
      <w:r>
        <w:rPr>
          <w:rFonts w:ascii="Arial" w:hAnsi="Arial" w:cs="Arial"/>
          <w:sz w:val="24"/>
          <w:szCs w:val="24"/>
        </w:rPr>
        <w:t xml:space="preserve"> </w:t>
      </w:r>
      <w:r w:rsidR="00644A26">
        <w:rPr>
          <w:rFonts w:ascii="Arial" w:hAnsi="Arial" w:cs="Arial"/>
          <w:sz w:val="24"/>
          <w:szCs w:val="24"/>
        </w:rPr>
        <w:t>that where the property sought to be specially</w:t>
      </w:r>
      <w:r w:rsidR="00DC4DD6">
        <w:rPr>
          <w:rFonts w:ascii="Arial" w:hAnsi="Arial" w:cs="Arial"/>
          <w:sz w:val="24"/>
          <w:szCs w:val="24"/>
        </w:rPr>
        <w:t xml:space="preserve"> executable is the private home</w:t>
      </w:r>
      <w:r w:rsidR="00644A26">
        <w:rPr>
          <w:rFonts w:ascii="Arial" w:hAnsi="Arial" w:cs="Arial"/>
          <w:sz w:val="24"/>
          <w:szCs w:val="24"/>
        </w:rPr>
        <w:t xml:space="preserve"> of the respondents, court must consider less drastic measure including the sale of an alternat</w:t>
      </w:r>
      <w:r w:rsidR="00DC4DD6">
        <w:rPr>
          <w:rFonts w:ascii="Arial" w:hAnsi="Arial" w:cs="Arial"/>
          <w:sz w:val="24"/>
          <w:szCs w:val="24"/>
        </w:rPr>
        <w:t>ive</w:t>
      </w:r>
      <w:r w:rsidR="00644A26">
        <w:rPr>
          <w:rFonts w:ascii="Arial" w:hAnsi="Arial" w:cs="Arial"/>
          <w:sz w:val="24"/>
          <w:szCs w:val="24"/>
        </w:rPr>
        <w:t xml:space="preserve"> property.</w:t>
      </w:r>
    </w:p>
    <w:p w:rsidR="00644A26" w:rsidRDefault="00644A26" w:rsidP="00BB5F70">
      <w:pPr>
        <w:spacing w:line="360" w:lineRule="auto"/>
        <w:rPr>
          <w:rFonts w:ascii="Arial" w:hAnsi="Arial" w:cs="Arial"/>
          <w:sz w:val="24"/>
          <w:szCs w:val="24"/>
        </w:rPr>
      </w:pPr>
      <w:r w:rsidRPr="0041754C">
        <w:rPr>
          <w:rFonts w:ascii="Arial" w:hAnsi="Arial" w:cs="Arial"/>
          <w:i/>
          <w:sz w:val="24"/>
          <w:szCs w:val="24"/>
        </w:rPr>
        <w:t>Held</w:t>
      </w:r>
      <w:r w:rsidR="0041754C">
        <w:rPr>
          <w:rFonts w:ascii="Arial" w:hAnsi="Arial" w:cs="Arial"/>
          <w:i/>
          <w:sz w:val="24"/>
          <w:szCs w:val="24"/>
        </w:rPr>
        <w:t>,</w:t>
      </w:r>
      <w:r w:rsidRPr="0041754C">
        <w:rPr>
          <w:rFonts w:ascii="Arial" w:hAnsi="Arial" w:cs="Arial"/>
          <w:i/>
          <w:sz w:val="24"/>
          <w:szCs w:val="24"/>
        </w:rPr>
        <w:t xml:space="preserve"> further</w:t>
      </w:r>
      <w:r w:rsidR="0041754C">
        <w:rPr>
          <w:rFonts w:ascii="Arial" w:hAnsi="Arial" w:cs="Arial"/>
          <w:i/>
          <w:sz w:val="24"/>
          <w:szCs w:val="24"/>
        </w:rPr>
        <w:t>,</w:t>
      </w:r>
      <w:r>
        <w:rPr>
          <w:rFonts w:ascii="Arial" w:hAnsi="Arial" w:cs="Arial"/>
          <w:sz w:val="24"/>
          <w:szCs w:val="24"/>
        </w:rPr>
        <w:t xml:space="preserve"> that where there are no other</w:t>
      </w:r>
      <w:r w:rsidR="002521B7">
        <w:rPr>
          <w:rFonts w:ascii="Arial" w:hAnsi="Arial" w:cs="Arial"/>
          <w:sz w:val="24"/>
          <w:szCs w:val="24"/>
        </w:rPr>
        <w:t xml:space="preserve"> less</w:t>
      </w:r>
      <w:r>
        <w:rPr>
          <w:rFonts w:ascii="Arial" w:hAnsi="Arial" w:cs="Arial"/>
          <w:sz w:val="24"/>
          <w:szCs w:val="24"/>
        </w:rPr>
        <w:t xml:space="preserve"> drastic measures and the respondents </w:t>
      </w:r>
      <w:r w:rsidR="002521B7">
        <w:rPr>
          <w:rFonts w:ascii="Arial" w:hAnsi="Arial" w:cs="Arial"/>
          <w:sz w:val="24"/>
          <w:szCs w:val="24"/>
        </w:rPr>
        <w:t>offer no alternative property and unreasonably delay</w:t>
      </w:r>
      <w:r>
        <w:rPr>
          <w:rFonts w:ascii="Arial" w:hAnsi="Arial" w:cs="Arial"/>
          <w:sz w:val="24"/>
          <w:szCs w:val="24"/>
        </w:rPr>
        <w:t xml:space="preserve"> the gran</w:t>
      </w:r>
      <w:r w:rsidR="00DC4DD6">
        <w:rPr>
          <w:rFonts w:ascii="Arial" w:hAnsi="Arial" w:cs="Arial"/>
          <w:sz w:val="24"/>
          <w:szCs w:val="24"/>
        </w:rPr>
        <w:t>ting of the order, the court may</w:t>
      </w:r>
      <w:r>
        <w:rPr>
          <w:rFonts w:ascii="Arial" w:hAnsi="Arial" w:cs="Arial"/>
          <w:sz w:val="24"/>
          <w:szCs w:val="24"/>
        </w:rPr>
        <w:t xml:space="preserve"> grant such an order.</w:t>
      </w:r>
    </w:p>
    <w:p w:rsidR="00644A26" w:rsidRDefault="00644A26" w:rsidP="00BB5F70">
      <w:pPr>
        <w:spacing w:line="360" w:lineRule="auto"/>
        <w:rPr>
          <w:rFonts w:ascii="Arial" w:hAnsi="Arial" w:cs="Arial"/>
          <w:sz w:val="24"/>
          <w:szCs w:val="24"/>
        </w:rPr>
      </w:pPr>
      <w:r w:rsidRPr="0041754C">
        <w:rPr>
          <w:rFonts w:ascii="Arial" w:hAnsi="Arial" w:cs="Arial"/>
          <w:i/>
          <w:sz w:val="24"/>
          <w:szCs w:val="24"/>
        </w:rPr>
        <w:t>Held</w:t>
      </w:r>
      <w:r w:rsidR="0041754C">
        <w:rPr>
          <w:rFonts w:ascii="Arial" w:hAnsi="Arial" w:cs="Arial"/>
          <w:i/>
          <w:sz w:val="24"/>
          <w:szCs w:val="24"/>
        </w:rPr>
        <w:t>,</w:t>
      </w:r>
      <w:r w:rsidRPr="0041754C">
        <w:rPr>
          <w:rFonts w:ascii="Arial" w:hAnsi="Arial" w:cs="Arial"/>
          <w:i/>
          <w:sz w:val="24"/>
          <w:szCs w:val="24"/>
        </w:rPr>
        <w:t xml:space="preserve"> further</w:t>
      </w:r>
      <w:r w:rsidR="0041754C">
        <w:rPr>
          <w:rFonts w:ascii="Arial" w:hAnsi="Arial" w:cs="Arial"/>
          <w:i/>
          <w:sz w:val="24"/>
          <w:szCs w:val="24"/>
        </w:rPr>
        <w:t>,</w:t>
      </w:r>
      <w:r>
        <w:rPr>
          <w:rFonts w:ascii="Arial" w:hAnsi="Arial" w:cs="Arial"/>
          <w:sz w:val="24"/>
          <w:szCs w:val="24"/>
        </w:rPr>
        <w:t xml:space="preserve"> that the </w:t>
      </w:r>
      <w:r w:rsidR="00144455">
        <w:rPr>
          <w:rFonts w:ascii="Arial" w:hAnsi="Arial" w:cs="Arial"/>
          <w:sz w:val="24"/>
          <w:szCs w:val="24"/>
        </w:rPr>
        <w:t>business</w:t>
      </w:r>
      <w:r>
        <w:rPr>
          <w:rFonts w:ascii="Arial" w:hAnsi="Arial" w:cs="Arial"/>
          <w:sz w:val="24"/>
          <w:szCs w:val="24"/>
        </w:rPr>
        <w:t xml:space="preserve"> of property financing is based on the assurance that the lender will</w:t>
      </w:r>
      <w:r w:rsidR="00DC4DD6">
        <w:rPr>
          <w:rFonts w:ascii="Arial" w:hAnsi="Arial" w:cs="Arial"/>
          <w:sz w:val="24"/>
          <w:szCs w:val="24"/>
        </w:rPr>
        <w:t>,</w:t>
      </w:r>
      <w:r>
        <w:rPr>
          <w:rFonts w:ascii="Arial" w:hAnsi="Arial" w:cs="Arial"/>
          <w:sz w:val="24"/>
          <w:szCs w:val="24"/>
        </w:rPr>
        <w:t xml:space="preserve"> without unreasonable delay</w:t>
      </w:r>
      <w:r w:rsidR="00DC4DD6">
        <w:rPr>
          <w:rFonts w:ascii="Arial" w:hAnsi="Arial" w:cs="Arial"/>
          <w:sz w:val="24"/>
          <w:szCs w:val="24"/>
        </w:rPr>
        <w:t>,</w:t>
      </w:r>
      <w:r w:rsidR="00237777">
        <w:rPr>
          <w:rFonts w:ascii="Arial" w:hAnsi="Arial" w:cs="Arial"/>
          <w:sz w:val="24"/>
          <w:szCs w:val="24"/>
        </w:rPr>
        <w:t xml:space="preserve"> </w:t>
      </w:r>
      <w:r>
        <w:rPr>
          <w:rFonts w:ascii="Arial" w:hAnsi="Arial" w:cs="Arial"/>
          <w:sz w:val="24"/>
          <w:szCs w:val="24"/>
        </w:rPr>
        <w:t>recoup its money</w:t>
      </w:r>
      <w:r w:rsidR="009C1759">
        <w:rPr>
          <w:rFonts w:ascii="Arial" w:hAnsi="Arial" w:cs="Arial"/>
          <w:sz w:val="24"/>
          <w:szCs w:val="24"/>
        </w:rPr>
        <w:t>s</w:t>
      </w:r>
      <w:r>
        <w:rPr>
          <w:rFonts w:ascii="Arial" w:hAnsi="Arial" w:cs="Arial"/>
          <w:sz w:val="24"/>
          <w:szCs w:val="24"/>
        </w:rPr>
        <w:t xml:space="preserve"> from the judgment debtor who defaulted</w:t>
      </w:r>
      <w:r w:rsidR="009C1759">
        <w:rPr>
          <w:rFonts w:ascii="Arial" w:hAnsi="Arial" w:cs="Arial"/>
          <w:sz w:val="24"/>
          <w:szCs w:val="24"/>
        </w:rPr>
        <w:t xml:space="preserve"> by selling the bonded property.</w:t>
      </w:r>
    </w:p>
    <w:p w:rsidR="00644A26" w:rsidRDefault="00644A26" w:rsidP="00BB5F70">
      <w:pPr>
        <w:spacing w:line="360" w:lineRule="auto"/>
        <w:rPr>
          <w:rFonts w:ascii="Arial" w:hAnsi="Arial" w:cs="Arial"/>
          <w:sz w:val="24"/>
          <w:szCs w:val="24"/>
        </w:rPr>
      </w:pPr>
      <w:r w:rsidRPr="0041754C">
        <w:rPr>
          <w:rFonts w:ascii="Arial" w:hAnsi="Arial" w:cs="Arial"/>
          <w:i/>
          <w:sz w:val="24"/>
          <w:szCs w:val="24"/>
        </w:rPr>
        <w:t>Held</w:t>
      </w:r>
      <w:r w:rsidR="0041754C">
        <w:rPr>
          <w:rFonts w:ascii="Arial" w:hAnsi="Arial" w:cs="Arial"/>
          <w:i/>
          <w:sz w:val="24"/>
          <w:szCs w:val="24"/>
        </w:rPr>
        <w:t>,</w:t>
      </w:r>
      <w:r w:rsidRPr="0041754C">
        <w:rPr>
          <w:rFonts w:ascii="Arial" w:hAnsi="Arial" w:cs="Arial"/>
          <w:i/>
          <w:sz w:val="24"/>
          <w:szCs w:val="24"/>
        </w:rPr>
        <w:t xml:space="preserve"> further</w:t>
      </w:r>
      <w:r w:rsidR="0041754C">
        <w:rPr>
          <w:rFonts w:ascii="Arial" w:hAnsi="Arial" w:cs="Arial"/>
          <w:i/>
          <w:sz w:val="24"/>
          <w:szCs w:val="24"/>
        </w:rPr>
        <w:t>,</w:t>
      </w:r>
      <w:r>
        <w:rPr>
          <w:rFonts w:ascii="Arial" w:hAnsi="Arial" w:cs="Arial"/>
          <w:sz w:val="24"/>
          <w:szCs w:val="24"/>
        </w:rPr>
        <w:t xml:space="preserve"> that applicant made out a case for the </w:t>
      </w:r>
      <w:r w:rsidR="00DC4DD6">
        <w:rPr>
          <w:rFonts w:ascii="Arial" w:hAnsi="Arial" w:cs="Arial"/>
          <w:sz w:val="24"/>
          <w:szCs w:val="24"/>
        </w:rPr>
        <w:t>relief sought.</w:t>
      </w:r>
    </w:p>
    <w:p w:rsidR="005A03B6" w:rsidRPr="001A6087" w:rsidRDefault="005A03B6" w:rsidP="00BB5F70">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5A03B6" w:rsidRDefault="005A03B6" w:rsidP="00BB5F70">
      <w:pPr>
        <w:spacing w:line="360" w:lineRule="auto"/>
        <w:jc w:val="center"/>
        <w:rPr>
          <w:rFonts w:ascii="Arial" w:hAnsi="Arial" w:cs="Arial"/>
          <w:b/>
          <w:sz w:val="24"/>
          <w:szCs w:val="24"/>
        </w:rPr>
      </w:pPr>
      <w:r>
        <w:rPr>
          <w:rFonts w:ascii="Arial" w:hAnsi="Arial" w:cs="Arial"/>
          <w:b/>
          <w:sz w:val="24"/>
          <w:szCs w:val="24"/>
        </w:rPr>
        <w:t>ORDER</w:t>
      </w:r>
    </w:p>
    <w:p w:rsidR="00557391" w:rsidRPr="00557391" w:rsidRDefault="005A03B6" w:rsidP="00BB5F70">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557391" w:rsidRDefault="00557391" w:rsidP="00BB5F70">
      <w:pPr>
        <w:spacing w:line="360" w:lineRule="auto"/>
        <w:rPr>
          <w:rFonts w:ascii="Arial" w:eastAsia="Calibri" w:hAnsi="Arial" w:cs="Arial"/>
          <w:sz w:val="24"/>
          <w:szCs w:val="24"/>
        </w:rPr>
      </w:pPr>
      <w:r>
        <w:rPr>
          <w:rFonts w:ascii="Arial" w:eastAsia="Calibri" w:hAnsi="Arial" w:cs="Arial"/>
          <w:sz w:val="24"/>
          <w:szCs w:val="24"/>
        </w:rPr>
        <w:t>The following immovable property, namely:</w:t>
      </w:r>
    </w:p>
    <w:p w:rsidR="00557391" w:rsidRDefault="00557391" w:rsidP="00BB5F70">
      <w:pPr>
        <w:spacing w:line="360" w:lineRule="auto"/>
        <w:rPr>
          <w:rFonts w:ascii="Arial" w:eastAsia="Calibri" w:hAnsi="Arial" w:cs="Arial"/>
          <w:sz w:val="24"/>
          <w:szCs w:val="24"/>
        </w:rPr>
      </w:pPr>
      <w:r>
        <w:rPr>
          <w:rFonts w:ascii="Arial" w:eastAsia="Calibri" w:hAnsi="Arial" w:cs="Arial"/>
          <w:sz w:val="24"/>
          <w:szCs w:val="24"/>
        </w:rPr>
        <w:t>CERTAIN</w:t>
      </w:r>
      <w:r>
        <w:rPr>
          <w:rFonts w:ascii="Arial" w:eastAsia="Calibri" w:hAnsi="Arial" w:cs="Arial"/>
          <w:sz w:val="24"/>
          <w:szCs w:val="24"/>
        </w:rPr>
        <w:tab/>
      </w:r>
      <w:r>
        <w:rPr>
          <w:rFonts w:ascii="Arial" w:eastAsia="Calibri" w:hAnsi="Arial" w:cs="Arial"/>
          <w:sz w:val="24"/>
          <w:szCs w:val="24"/>
        </w:rPr>
        <w:tab/>
        <w:t>Portion 36 (A portion of portion 4) of the farm Nubuamis No. 37</w:t>
      </w:r>
    </w:p>
    <w:p w:rsidR="00557391" w:rsidRDefault="00557391" w:rsidP="00BB5F70">
      <w:pPr>
        <w:spacing w:line="360" w:lineRule="auto"/>
        <w:rPr>
          <w:rFonts w:ascii="Arial" w:eastAsia="Calibri" w:hAnsi="Arial" w:cs="Arial"/>
          <w:sz w:val="24"/>
          <w:szCs w:val="24"/>
        </w:rPr>
      </w:pPr>
      <w:r>
        <w:rPr>
          <w:rFonts w:ascii="Arial" w:eastAsia="Calibri" w:hAnsi="Arial" w:cs="Arial"/>
          <w:sz w:val="24"/>
          <w:szCs w:val="24"/>
        </w:rPr>
        <w:t>SITUATED</w:t>
      </w:r>
      <w:r>
        <w:rPr>
          <w:rFonts w:ascii="Arial" w:eastAsia="Calibri" w:hAnsi="Arial" w:cs="Arial"/>
          <w:sz w:val="24"/>
          <w:szCs w:val="24"/>
        </w:rPr>
        <w:tab/>
      </w:r>
      <w:r>
        <w:rPr>
          <w:rFonts w:ascii="Arial" w:eastAsia="Calibri" w:hAnsi="Arial" w:cs="Arial"/>
          <w:sz w:val="24"/>
          <w:szCs w:val="24"/>
        </w:rPr>
        <w:tab/>
        <w:t>In the Municipality of Windhoek</w:t>
      </w:r>
    </w:p>
    <w:p w:rsidR="00557391" w:rsidRDefault="00557391" w:rsidP="00BB5F70">
      <w:pPr>
        <w:spacing w:line="360" w:lineRule="auto"/>
        <w:rPr>
          <w:rFonts w:ascii="Arial" w:eastAsia="Calibri" w:hAnsi="Arial" w:cs="Arial"/>
          <w:sz w:val="24"/>
          <w:szCs w:val="24"/>
        </w:rPr>
      </w:pPr>
      <w:r>
        <w:rPr>
          <w:rFonts w:ascii="Arial" w:eastAsia="Calibri" w:hAnsi="Arial" w:cs="Arial"/>
          <w:sz w:val="24"/>
          <w:szCs w:val="24"/>
        </w:rPr>
        <w:t>MEASURING</w:t>
      </w:r>
      <w:r>
        <w:rPr>
          <w:rFonts w:ascii="Arial" w:eastAsia="Calibri" w:hAnsi="Arial" w:cs="Arial"/>
          <w:sz w:val="24"/>
          <w:szCs w:val="24"/>
        </w:rPr>
        <w:tab/>
        <w:t xml:space="preserve">50,0324 (FIVE ZERO COMMA ZERO THREE TWO FOUR)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hectares </w:t>
      </w:r>
    </w:p>
    <w:p w:rsidR="00557391" w:rsidRDefault="00557391" w:rsidP="00BB5F70">
      <w:pPr>
        <w:spacing w:line="360" w:lineRule="auto"/>
        <w:rPr>
          <w:rFonts w:ascii="Arial" w:eastAsia="Calibri" w:hAnsi="Arial" w:cs="Arial"/>
          <w:sz w:val="24"/>
          <w:szCs w:val="24"/>
        </w:rPr>
      </w:pPr>
      <w:r>
        <w:rPr>
          <w:rFonts w:ascii="Arial" w:eastAsia="Calibri" w:hAnsi="Arial" w:cs="Arial"/>
          <w:sz w:val="24"/>
          <w:szCs w:val="24"/>
        </w:rPr>
        <w:t>HELD BY</w:t>
      </w:r>
      <w:r>
        <w:rPr>
          <w:rFonts w:ascii="Arial" w:eastAsia="Calibri" w:hAnsi="Arial" w:cs="Arial"/>
          <w:sz w:val="24"/>
          <w:szCs w:val="24"/>
        </w:rPr>
        <w:tab/>
      </w:r>
      <w:r>
        <w:rPr>
          <w:rFonts w:ascii="Arial" w:eastAsia="Calibri" w:hAnsi="Arial" w:cs="Arial"/>
          <w:sz w:val="24"/>
          <w:szCs w:val="24"/>
        </w:rPr>
        <w:tab/>
        <w:t>Deed of Transfer No. T4426/2007</w:t>
      </w:r>
    </w:p>
    <w:p w:rsidR="00557391" w:rsidRDefault="00557391" w:rsidP="00BB5F70">
      <w:pPr>
        <w:spacing w:line="360" w:lineRule="auto"/>
        <w:rPr>
          <w:rFonts w:ascii="Arial" w:eastAsia="Calibri" w:hAnsi="Arial" w:cs="Arial"/>
          <w:sz w:val="24"/>
          <w:szCs w:val="24"/>
        </w:rPr>
      </w:pPr>
      <w:r>
        <w:rPr>
          <w:rFonts w:ascii="Arial" w:eastAsia="Calibri" w:hAnsi="Arial" w:cs="Arial"/>
          <w:sz w:val="24"/>
          <w:szCs w:val="24"/>
        </w:rPr>
        <w:lastRenderedPageBreak/>
        <w:t>Is declared specially executable</w:t>
      </w:r>
    </w:p>
    <w:p w:rsidR="008E2BA3" w:rsidRDefault="008E2BA3" w:rsidP="008E2BA3">
      <w:pPr>
        <w:spacing w:line="360" w:lineRule="auto"/>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The respondents must, jointly and severally the one paying the other to be absolved, pay the applicant’s costs in respect of the Rule108 application. The costs are on the scale as between attorney and own client.</w:t>
      </w:r>
    </w:p>
    <w:p w:rsidR="008E2BA3" w:rsidRDefault="008E2BA3" w:rsidP="00BB5F70">
      <w:pPr>
        <w:spacing w:line="360" w:lineRule="auto"/>
        <w:rPr>
          <w:rFonts w:ascii="Arial" w:hAnsi="Arial" w:cs="Arial"/>
          <w:sz w:val="24"/>
          <w:szCs w:val="24"/>
          <w:u w:val="single"/>
        </w:rPr>
      </w:pPr>
    </w:p>
    <w:p w:rsidR="005A03B6" w:rsidRPr="004C026A" w:rsidRDefault="005A03B6" w:rsidP="00BB5F70">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t>__</w:t>
      </w:r>
    </w:p>
    <w:p w:rsidR="00BE27C1" w:rsidRDefault="00557391" w:rsidP="00BB5F70">
      <w:pPr>
        <w:spacing w:line="360" w:lineRule="auto"/>
        <w:jc w:val="center"/>
        <w:rPr>
          <w:rFonts w:ascii="Arial" w:hAnsi="Arial" w:cs="Arial"/>
          <w:b/>
          <w:sz w:val="24"/>
          <w:szCs w:val="24"/>
        </w:rPr>
      </w:pPr>
      <w:r>
        <w:rPr>
          <w:rFonts w:ascii="Arial" w:hAnsi="Arial" w:cs="Arial"/>
          <w:b/>
          <w:sz w:val="24"/>
          <w:szCs w:val="24"/>
        </w:rPr>
        <w:t>JUDGMENT</w:t>
      </w:r>
    </w:p>
    <w:p w:rsidR="005A03B6" w:rsidRPr="004C026A" w:rsidRDefault="00555872" w:rsidP="00BB5F70">
      <w:pPr>
        <w:spacing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__</w:t>
      </w:r>
    </w:p>
    <w:p w:rsidR="005A03B6" w:rsidRDefault="005A03B6" w:rsidP="00BB5F70">
      <w:pPr>
        <w:spacing w:line="360" w:lineRule="auto"/>
        <w:rPr>
          <w:rFonts w:ascii="Arial" w:hAnsi="Arial" w:cs="Arial"/>
          <w:sz w:val="24"/>
          <w:szCs w:val="24"/>
        </w:rPr>
      </w:pPr>
    </w:p>
    <w:p w:rsidR="005A03B6" w:rsidRDefault="005A03B6" w:rsidP="00BB5F70">
      <w:pPr>
        <w:spacing w:line="360" w:lineRule="auto"/>
        <w:rPr>
          <w:rFonts w:ascii="Arial" w:hAnsi="Arial" w:cs="Arial"/>
          <w:sz w:val="24"/>
          <w:szCs w:val="24"/>
        </w:rPr>
      </w:pPr>
      <w:r w:rsidRPr="0004570C">
        <w:rPr>
          <w:rFonts w:ascii="Arial" w:hAnsi="Arial" w:cs="Arial"/>
          <w:sz w:val="24"/>
          <w:szCs w:val="24"/>
        </w:rPr>
        <w:t>NDAUENDAPO, J</w:t>
      </w:r>
    </w:p>
    <w:p w:rsidR="00555872" w:rsidRDefault="00555872" w:rsidP="00BB5F70">
      <w:pPr>
        <w:spacing w:line="360" w:lineRule="auto"/>
        <w:rPr>
          <w:rFonts w:ascii="Arial" w:hAnsi="Arial" w:cs="Arial"/>
          <w:sz w:val="24"/>
          <w:szCs w:val="24"/>
        </w:rPr>
      </w:pPr>
    </w:p>
    <w:p w:rsidR="00555872" w:rsidRPr="00555872" w:rsidRDefault="005516FE" w:rsidP="00BB5F70">
      <w:pPr>
        <w:spacing w:line="360" w:lineRule="auto"/>
        <w:rPr>
          <w:rFonts w:ascii="Arial" w:hAnsi="Arial" w:cs="Arial"/>
          <w:sz w:val="24"/>
          <w:szCs w:val="24"/>
          <w:u w:val="single"/>
        </w:rPr>
      </w:pPr>
      <w:r>
        <w:rPr>
          <w:rFonts w:ascii="Arial" w:hAnsi="Arial" w:cs="Arial"/>
          <w:sz w:val="24"/>
          <w:szCs w:val="24"/>
          <w:u w:val="single"/>
        </w:rPr>
        <w:t>Introduction</w:t>
      </w:r>
    </w:p>
    <w:p w:rsidR="00A84923" w:rsidRDefault="00DA6E57" w:rsidP="00BB5F70">
      <w:pPr>
        <w:spacing w:line="360" w:lineRule="auto"/>
        <w:rPr>
          <w:rFonts w:ascii="Arial" w:hAnsi="Arial" w:cs="Arial"/>
          <w:sz w:val="24"/>
          <w:szCs w:val="24"/>
        </w:rPr>
      </w:pPr>
      <w:r>
        <w:rPr>
          <w:rFonts w:ascii="Arial" w:hAnsi="Arial" w:cs="Arial"/>
          <w:sz w:val="24"/>
          <w:szCs w:val="24"/>
        </w:rPr>
        <w:t>[1]</w:t>
      </w:r>
      <w:r w:rsidR="00C8316C">
        <w:rPr>
          <w:rFonts w:ascii="Arial" w:hAnsi="Arial" w:cs="Arial"/>
          <w:sz w:val="24"/>
          <w:szCs w:val="24"/>
        </w:rPr>
        <w:tab/>
      </w:r>
      <w:r w:rsidR="00012CD9">
        <w:rPr>
          <w:rFonts w:ascii="Arial" w:hAnsi="Arial" w:cs="Arial"/>
          <w:sz w:val="24"/>
          <w:szCs w:val="24"/>
        </w:rPr>
        <w:t xml:space="preserve">Before me is an application </w:t>
      </w:r>
      <w:r w:rsidR="00BE27C1">
        <w:rPr>
          <w:rFonts w:ascii="Arial" w:hAnsi="Arial" w:cs="Arial"/>
          <w:sz w:val="24"/>
          <w:szCs w:val="24"/>
        </w:rPr>
        <w:t>in terms of Rule 108</w:t>
      </w:r>
      <w:r w:rsidR="009C1759">
        <w:rPr>
          <w:rFonts w:ascii="Arial" w:hAnsi="Arial" w:cs="Arial"/>
          <w:sz w:val="24"/>
          <w:szCs w:val="24"/>
        </w:rPr>
        <w:t xml:space="preserve"> of this c</w:t>
      </w:r>
      <w:r w:rsidR="00C32858">
        <w:rPr>
          <w:rFonts w:ascii="Arial" w:hAnsi="Arial" w:cs="Arial"/>
          <w:sz w:val="24"/>
          <w:szCs w:val="24"/>
        </w:rPr>
        <w:t>ourt’s rules</w:t>
      </w:r>
      <w:r w:rsidR="00BE27C1">
        <w:rPr>
          <w:rFonts w:ascii="Arial" w:hAnsi="Arial" w:cs="Arial"/>
          <w:sz w:val="24"/>
          <w:szCs w:val="24"/>
        </w:rPr>
        <w:t xml:space="preserve"> in which the applicant seek</w:t>
      </w:r>
      <w:r w:rsidR="00C32858">
        <w:rPr>
          <w:rFonts w:ascii="Arial" w:hAnsi="Arial" w:cs="Arial"/>
          <w:sz w:val="24"/>
          <w:szCs w:val="24"/>
        </w:rPr>
        <w:t>s</w:t>
      </w:r>
      <w:r w:rsidR="00BE27C1">
        <w:rPr>
          <w:rFonts w:ascii="Arial" w:hAnsi="Arial" w:cs="Arial"/>
          <w:sz w:val="24"/>
          <w:szCs w:val="24"/>
        </w:rPr>
        <w:t xml:space="preserve"> an order declaring the</w:t>
      </w:r>
      <w:r w:rsidR="00C32858">
        <w:rPr>
          <w:rFonts w:ascii="Arial" w:hAnsi="Arial" w:cs="Arial"/>
          <w:sz w:val="24"/>
          <w:szCs w:val="24"/>
        </w:rPr>
        <w:t xml:space="preserve"> </w:t>
      </w:r>
      <w:r w:rsidR="009D2EE5">
        <w:rPr>
          <w:rFonts w:ascii="Arial" w:hAnsi="Arial" w:cs="Arial"/>
          <w:sz w:val="24"/>
          <w:szCs w:val="24"/>
        </w:rPr>
        <w:t>respondent</w:t>
      </w:r>
      <w:r w:rsidR="00C32858">
        <w:rPr>
          <w:rFonts w:ascii="Arial" w:hAnsi="Arial" w:cs="Arial"/>
          <w:sz w:val="24"/>
          <w:szCs w:val="24"/>
        </w:rPr>
        <w:t>s</w:t>
      </w:r>
      <w:r w:rsidR="009D2EE5">
        <w:rPr>
          <w:rFonts w:ascii="Arial" w:hAnsi="Arial" w:cs="Arial"/>
          <w:sz w:val="24"/>
          <w:szCs w:val="24"/>
        </w:rPr>
        <w:t>’</w:t>
      </w:r>
      <w:r w:rsidR="00BE27C1">
        <w:rPr>
          <w:rFonts w:ascii="Arial" w:hAnsi="Arial" w:cs="Arial"/>
          <w:sz w:val="24"/>
          <w:szCs w:val="24"/>
        </w:rPr>
        <w:t xml:space="preserve"> immovable property specifically </w:t>
      </w:r>
      <w:r w:rsidR="00090975">
        <w:rPr>
          <w:rFonts w:ascii="Arial" w:hAnsi="Arial" w:cs="Arial"/>
          <w:sz w:val="24"/>
          <w:szCs w:val="24"/>
        </w:rPr>
        <w:t>executable.</w:t>
      </w:r>
      <w:r w:rsidR="00BE27C1">
        <w:rPr>
          <w:rFonts w:ascii="Arial" w:hAnsi="Arial" w:cs="Arial"/>
          <w:sz w:val="24"/>
          <w:szCs w:val="24"/>
        </w:rPr>
        <w:t xml:space="preserve"> The application is opposed by the respondents.</w:t>
      </w:r>
      <w:r w:rsidR="009D2EE5">
        <w:rPr>
          <w:rFonts w:ascii="Arial" w:hAnsi="Arial" w:cs="Arial"/>
          <w:sz w:val="24"/>
          <w:szCs w:val="24"/>
        </w:rPr>
        <w:t xml:space="preserve"> </w:t>
      </w:r>
      <w:r w:rsidR="00DC550B">
        <w:rPr>
          <w:rFonts w:ascii="Arial" w:hAnsi="Arial" w:cs="Arial"/>
          <w:sz w:val="24"/>
          <w:szCs w:val="24"/>
        </w:rPr>
        <w:t>They filed an answering affidavit in which they set out the reasons why the property should not b</w:t>
      </w:r>
      <w:r w:rsidR="004F51D8">
        <w:rPr>
          <w:rFonts w:ascii="Arial" w:hAnsi="Arial" w:cs="Arial"/>
          <w:sz w:val="24"/>
          <w:szCs w:val="24"/>
        </w:rPr>
        <w:t>e declared specially executable.</w:t>
      </w:r>
    </w:p>
    <w:p w:rsidR="00231751" w:rsidRDefault="00231751" w:rsidP="00BB5F70">
      <w:pPr>
        <w:spacing w:line="360" w:lineRule="auto"/>
        <w:rPr>
          <w:rFonts w:ascii="Arial" w:hAnsi="Arial" w:cs="Arial"/>
          <w:sz w:val="24"/>
          <w:szCs w:val="24"/>
        </w:rPr>
      </w:pPr>
    </w:p>
    <w:p w:rsidR="004F51D8" w:rsidRPr="004F51D8" w:rsidRDefault="00ED68DD" w:rsidP="00BB5F70">
      <w:pPr>
        <w:spacing w:line="360" w:lineRule="auto"/>
        <w:rPr>
          <w:rFonts w:ascii="Arial" w:hAnsi="Arial" w:cs="Arial"/>
          <w:i/>
          <w:sz w:val="24"/>
          <w:szCs w:val="24"/>
          <w:u w:val="single"/>
        </w:rPr>
      </w:pPr>
      <w:r>
        <w:rPr>
          <w:rFonts w:ascii="Arial" w:hAnsi="Arial" w:cs="Arial"/>
          <w:sz w:val="24"/>
          <w:szCs w:val="24"/>
          <w:u w:val="single"/>
        </w:rPr>
        <w:t>Factual background</w:t>
      </w:r>
    </w:p>
    <w:p w:rsidR="00ED68DD" w:rsidRDefault="00ED68DD" w:rsidP="00BB5F70">
      <w:pPr>
        <w:spacing w:line="360" w:lineRule="auto"/>
        <w:rPr>
          <w:rFonts w:ascii="Arial" w:hAnsi="Arial" w:cs="Arial"/>
          <w:sz w:val="24"/>
          <w:szCs w:val="24"/>
          <w:u w:val="single"/>
        </w:rPr>
      </w:pPr>
    </w:p>
    <w:p w:rsidR="004F51D8" w:rsidRPr="004F51D8" w:rsidRDefault="004F51D8" w:rsidP="00BB5F70">
      <w:pPr>
        <w:spacing w:line="360" w:lineRule="auto"/>
        <w:rPr>
          <w:rFonts w:ascii="Arial" w:hAnsi="Arial" w:cs="Arial"/>
          <w:b/>
          <w:sz w:val="24"/>
          <w:szCs w:val="24"/>
        </w:rPr>
      </w:pPr>
      <w:r>
        <w:rPr>
          <w:rFonts w:ascii="Arial" w:hAnsi="Arial" w:cs="Arial"/>
          <w:sz w:val="24"/>
          <w:szCs w:val="24"/>
          <w:u w:val="single"/>
        </w:rPr>
        <w:t>The parties</w:t>
      </w:r>
    </w:p>
    <w:p w:rsidR="00A84923" w:rsidRDefault="000204F0" w:rsidP="00BB5F70">
      <w:pPr>
        <w:spacing w:line="360" w:lineRule="auto"/>
        <w:rPr>
          <w:rFonts w:ascii="Arial" w:hAnsi="Arial" w:cs="Arial"/>
          <w:sz w:val="24"/>
          <w:szCs w:val="24"/>
        </w:rPr>
      </w:pPr>
      <w:r>
        <w:rPr>
          <w:rFonts w:ascii="Arial" w:hAnsi="Arial" w:cs="Arial"/>
          <w:sz w:val="24"/>
          <w:szCs w:val="24"/>
        </w:rPr>
        <w:t>[</w:t>
      </w:r>
      <w:r w:rsidR="00BE27C1" w:rsidRPr="00BE27C1">
        <w:rPr>
          <w:rFonts w:ascii="Arial" w:hAnsi="Arial" w:cs="Arial"/>
          <w:sz w:val="24"/>
          <w:szCs w:val="24"/>
        </w:rPr>
        <w:t>2</w:t>
      </w:r>
      <w:r>
        <w:rPr>
          <w:rFonts w:ascii="Arial" w:hAnsi="Arial" w:cs="Arial"/>
          <w:sz w:val="24"/>
          <w:szCs w:val="24"/>
        </w:rPr>
        <w:t>]</w:t>
      </w:r>
      <w:r w:rsidR="00A84923" w:rsidRPr="00BE27C1">
        <w:rPr>
          <w:rFonts w:ascii="Arial" w:hAnsi="Arial" w:cs="Arial"/>
          <w:sz w:val="24"/>
          <w:szCs w:val="24"/>
        </w:rPr>
        <w:tab/>
      </w:r>
      <w:r w:rsidR="00E74820">
        <w:rPr>
          <w:rFonts w:ascii="Arial" w:hAnsi="Arial" w:cs="Arial"/>
          <w:sz w:val="24"/>
          <w:szCs w:val="24"/>
        </w:rPr>
        <w:t>The applicant is Standard Bank Namibia Limited, a</w:t>
      </w:r>
      <w:r w:rsidR="00861929">
        <w:rPr>
          <w:rFonts w:ascii="Arial" w:hAnsi="Arial" w:cs="Arial"/>
          <w:sz w:val="24"/>
          <w:szCs w:val="24"/>
        </w:rPr>
        <w:t xml:space="preserve"> registered</w:t>
      </w:r>
      <w:r w:rsidR="00E74820">
        <w:rPr>
          <w:rFonts w:ascii="Arial" w:hAnsi="Arial" w:cs="Arial"/>
          <w:sz w:val="24"/>
          <w:szCs w:val="24"/>
        </w:rPr>
        <w:t xml:space="preserve"> commercial bank</w:t>
      </w:r>
      <w:r w:rsidR="00861929">
        <w:rPr>
          <w:rFonts w:ascii="Arial" w:hAnsi="Arial" w:cs="Arial"/>
          <w:sz w:val="24"/>
          <w:szCs w:val="24"/>
        </w:rPr>
        <w:t>,</w:t>
      </w:r>
      <w:r w:rsidR="00C81A37">
        <w:rPr>
          <w:rFonts w:ascii="Arial" w:hAnsi="Arial" w:cs="Arial"/>
          <w:sz w:val="24"/>
          <w:szCs w:val="24"/>
        </w:rPr>
        <w:t xml:space="preserve"> </w:t>
      </w:r>
      <w:r w:rsidR="00861929">
        <w:rPr>
          <w:rFonts w:ascii="Arial" w:hAnsi="Arial" w:cs="Arial"/>
          <w:sz w:val="24"/>
          <w:szCs w:val="24"/>
        </w:rPr>
        <w:t xml:space="preserve">duly </w:t>
      </w:r>
      <w:r w:rsidR="00C81A37">
        <w:rPr>
          <w:rFonts w:ascii="Arial" w:hAnsi="Arial" w:cs="Arial"/>
          <w:sz w:val="24"/>
          <w:szCs w:val="24"/>
        </w:rPr>
        <w:t>registered</w:t>
      </w:r>
      <w:r w:rsidR="00861929">
        <w:rPr>
          <w:rFonts w:ascii="Arial" w:hAnsi="Arial" w:cs="Arial"/>
          <w:sz w:val="24"/>
          <w:szCs w:val="24"/>
        </w:rPr>
        <w:t xml:space="preserve"> in accordance with the company laws applicable in the Republic of </w:t>
      </w:r>
      <w:r w:rsidR="00C81A37">
        <w:rPr>
          <w:rFonts w:ascii="Arial" w:hAnsi="Arial" w:cs="Arial"/>
          <w:sz w:val="24"/>
          <w:szCs w:val="24"/>
        </w:rPr>
        <w:t>Namibia</w:t>
      </w:r>
      <w:r w:rsidR="00861929">
        <w:rPr>
          <w:rFonts w:ascii="Arial" w:hAnsi="Arial" w:cs="Arial"/>
          <w:sz w:val="24"/>
          <w:szCs w:val="24"/>
        </w:rPr>
        <w:t>,</w:t>
      </w:r>
      <w:r w:rsidR="00C81A37">
        <w:rPr>
          <w:rFonts w:ascii="Arial" w:hAnsi="Arial" w:cs="Arial"/>
          <w:sz w:val="24"/>
          <w:szCs w:val="24"/>
        </w:rPr>
        <w:t xml:space="preserve"> </w:t>
      </w:r>
      <w:r w:rsidR="00861929">
        <w:rPr>
          <w:rFonts w:ascii="Arial" w:hAnsi="Arial" w:cs="Arial"/>
          <w:sz w:val="24"/>
          <w:szCs w:val="24"/>
        </w:rPr>
        <w:t>having its principal place of business at 5</w:t>
      </w:r>
      <w:r w:rsidR="00861929" w:rsidRPr="00861929">
        <w:rPr>
          <w:rFonts w:ascii="Arial" w:hAnsi="Arial" w:cs="Arial"/>
          <w:sz w:val="24"/>
          <w:szCs w:val="24"/>
          <w:vertAlign w:val="superscript"/>
        </w:rPr>
        <w:t>th</w:t>
      </w:r>
      <w:r w:rsidR="00861929">
        <w:rPr>
          <w:rFonts w:ascii="Arial" w:hAnsi="Arial" w:cs="Arial"/>
          <w:sz w:val="24"/>
          <w:szCs w:val="24"/>
        </w:rPr>
        <w:t xml:space="preserve"> floor c/o Werner List and Post Street Mall </w:t>
      </w:r>
      <w:r w:rsidR="00C81A37">
        <w:rPr>
          <w:rFonts w:ascii="Arial" w:hAnsi="Arial" w:cs="Arial"/>
          <w:sz w:val="24"/>
          <w:szCs w:val="24"/>
        </w:rPr>
        <w:t>Street</w:t>
      </w:r>
      <w:r w:rsidR="00861929">
        <w:rPr>
          <w:rFonts w:ascii="Arial" w:hAnsi="Arial" w:cs="Arial"/>
          <w:sz w:val="24"/>
          <w:szCs w:val="24"/>
        </w:rPr>
        <w:t xml:space="preserve">, Windhoek. </w:t>
      </w:r>
      <w:r w:rsidR="00E74820">
        <w:rPr>
          <w:rFonts w:ascii="Arial" w:hAnsi="Arial" w:cs="Arial"/>
          <w:sz w:val="24"/>
          <w:szCs w:val="24"/>
        </w:rPr>
        <w:t xml:space="preserve"> The first respondent is MGM Properties</w:t>
      </w:r>
      <w:r w:rsidR="00545430">
        <w:rPr>
          <w:rFonts w:ascii="Arial" w:hAnsi="Arial" w:cs="Arial"/>
          <w:sz w:val="24"/>
          <w:szCs w:val="24"/>
        </w:rPr>
        <w:t xml:space="preserve"> CC, </w:t>
      </w:r>
      <w:r w:rsidR="00E74820">
        <w:rPr>
          <w:rFonts w:ascii="Arial" w:hAnsi="Arial" w:cs="Arial"/>
          <w:sz w:val="24"/>
          <w:szCs w:val="24"/>
        </w:rPr>
        <w:t>a close corporation</w:t>
      </w:r>
      <w:r w:rsidR="00861929">
        <w:rPr>
          <w:rFonts w:ascii="Arial" w:hAnsi="Arial" w:cs="Arial"/>
          <w:sz w:val="24"/>
          <w:szCs w:val="24"/>
        </w:rPr>
        <w:t xml:space="preserve"> incorporated as such in accordance with the close corporation Act,</w:t>
      </w:r>
      <w:r w:rsidR="00231751">
        <w:rPr>
          <w:rFonts w:ascii="Arial" w:hAnsi="Arial" w:cs="Arial"/>
          <w:sz w:val="24"/>
          <w:szCs w:val="24"/>
        </w:rPr>
        <w:t xml:space="preserve"> </w:t>
      </w:r>
      <w:r w:rsidR="00861929">
        <w:rPr>
          <w:rFonts w:ascii="Arial" w:hAnsi="Arial" w:cs="Arial"/>
          <w:sz w:val="24"/>
          <w:szCs w:val="24"/>
        </w:rPr>
        <w:t xml:space="preserve">1988 </w:t>
      </w:r>
      <w:r w:rsidR="00231751">
        <w:rPr>
          <w:rFonts w:ascii="Arial" w:hAnsi="Arial" w:cs="Arial"/>
          <w:sz w:val="24"/>
          <w:szCs w:val="24"/>
        </w:rPr>
        <w:t>o</w:t>
      </w:r>
      <w:r w:rsidR="00861929">
        <w:rPr>
          <w:rFonts w:ascii="Arial" w:hAnsi="Arial" w:cs="Arial"/>
          <w:sz w:val="24"/>
          <w:szCs w:val="24"/>
        </w:rPr>
        <w:t>f the Republic of Namibia,</w:t>
      </w:r>
      <w:r w:rsidR="00C81A37">
        <w:rPr>
          <w:rFonts w:ascii="Arial" w:hAnsi="Arial" w:cs="Arial"/>
          <w:sz w:val="24"/>
          <w:szCs w:val="24"/>
        </w:rPr>
        <w:t xml:space="preserve"> </w:t>
      </w:r>
      <w:r w:rsidR="00E45077">
        <w:rPr>
          <w:rFonts w:ascii="Arial" w:hAnsi="Arial" w:cs="Arial"/>
          <w:sz w:val="24"/>
          <w:szCs w:val="24"/>
        </w:rPr>
        <w:t>R</w:t>
      </w:r>
      <w:r w:rsidR="00861929">
        <w:rPr>
          <w:rFonts w:ascii="Arial" w:hAnsi="Arial" w:cs="Arial"/>
          <w:sz w:val="24"/>
          <w:szCs w:val="24"/>
        </w:rPr>
        <w:t>eg</w:t>
      </w:r>
      <w:r w:rsidR="00E8564B">
        <w:rPr>
          <w:rFonts w:ascii="Arial" w:hAnsi="Arial" w:cs="Arial"/>
          <w:sz w:val="24"/>
          <w:szCs w:val="24"/>
        </w:rPr>
        <w:t>.</w:t>
      </w:r>
      <w:r w:rsidR="00861929">
        <w:rPr>
          <w:rFonts w:ascii="Arial" w:hAnsi="Arial" w:cs="Arial"/>
          <w:sz w:val="24"/>
          <w:szCs w:val="24"/>
        </w:rPr>
        <w:t xml:space="preserve"> no cc/2005/1171 with principal place of business at portion 36 of farm Nubuamis no 37 Windhoek. </w:t>
      </w:r>
      <w:r w:rsidR="00E74820">
        <w:rPr>
          <w:rFonts w:ascii="Arial" w:hAnsi="Arial" w:cs="Arial"/>
          <w:sz w:val="24"/>
          <w:szCs w:val="24"/>
        </w:rPr>
        <w:t xml:space="preserve"> The second respondent is Madeline Mbutu, an adult</w:t>
      </w:r>
      <w:r w:rsidR="00861929">
        <w:rPr>
          <w:rFonts w:ascii="Arial" w:hAnsi="Arial" w:cs="Arial"/>
          <w:sz w:val="24"/>
          <w:szCs w:val="24"/>
        </w:rPr>
        <w:t xml:space="preserve"> businesswoman with chosen </w:t>
      </w:r>
      <w:r w:rsidR="00861929" w:rsidRPr="00C81A37">
        <w:rPr>
          <w:rFonts w:ascii="Arial" w:hAnsi="Arial" w:cs="Arial"/>
          <w:i/>
          <w:sz w:val="24"/>
          <w:szCs w:val="24"/>
        </w:rPr>
        <w:t>domicillium et exutandi</w:t>
      </w:r>
      <w:r w:rsidR="001E04A3">
        <w:rPr>
          <w:rFonts w:ascii="Arial" w:hAnsi="Arial" w:cs="Arial"/>
          <w:sz w:val="24"/>
          <w:szCs w:val="24"/>
        </w:rPr>
        <w:t xml:space="preserve"> at portion 36 of farm Nubuamis no 37 Windhoek.</w:t>
      </w:r>
      <w:r w:rsidR="00E74820">
        <w:rPr>
          <w:rFonts w:ascii="Arial" w:hAnsi="Arial" w:cs="Arial"/>
          <w:sz w:val="24"/>
          <w:szCs w:val="24"/>
        </w:rPr>
        <w:t xml:space="preserve"> The third responden</w:t>
      </w:r>
      <w:r w:rsidR="001E04A3">
        <w:rPr>
          <w:rFonts w:ascii="Arial" w:hAnsi="Arial" w:cs="Arial"/>
          <w:sz w:val="24"/>
          <w:szCs w:val="24"/>
        </w:rPr>
        <w:t xml:space="preserve">t is Nathan Mbutu an adult businessman with chosen </w:t>
      </w:r>
      <w:r w:rsidR="001E04A3" w:rsidRPr="00C81A37">
        <w:rPr>
          <w:rFonts w:ascii="Arial" w:hAnsi="Arial" w:cs="Arial"/>
          <w:i/>
          <w:sz w:val="24"/>
          <w:szCs w:val="24"/>
        </w:rPr>
        <w:t>domicillium et exutandi</w:t>
      </w:r>
      <w:r w:rsidR="001E04A3">
        <w:rPr>
          <w:rFonts w:ascii="Arial" w:hAnsi="Arial" w:cs="Arial"/>
          <w:sz w:val="24"/>
          <w:szCs w:val="24"/>
        </w:rPr>
        <w:t xml:space="preserve"> at portion 36 of farm Nubuamis no 37 Windhoek.</w:t>
      </w:r>
    </w:p>
    <w:p w:rsidR="000204F0" w:rsidRDefault="000204F0" w:rsidP="00BB5F70">
      <w:pPr>
        <w:spacing w:line="360" w:lineRule="auto"/>
        <w:rPr>
          <w:rFonts w:ascii="Arial" w:hAnsi="Arial" w:cs="Arial"/>
          <w:sz w:val="24"/>
          <w:szCs w:val="24"/>
        </w:rPr>
      </w:pPr>
    </w:p>
    <w:p w:rsidR="00E74820" w:rsidRDefault="000204F0" w:rsidP="00BB5F70">
      <w:pPr>
        <w:spacing w:line="360" w:lineRule="auto"/>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E74820">
        <w:rPr>
          <w:rFonts w:ascii="Arial" w:hAnsi="Arial" w:cs="Arial"/>
          <w:sz w:val="24"/>
          <w:szCs w:val="24"/>
        </w:rPr>
        <w:t>On 11 April 2018 the applicant obtained a default judgment against the respondents jointly and severally the one paying the other to be absolved, for</w:t>
      </w:r>
      <w:r w:rsidR="0014788D">
        <w:rPr>
          <w:rFonts w:ascii="Arial" w:hAnsi="Arial" w:cs="Arial"/>
          <w:sz w:val="24"/>
          <w:szCs w:val="24"/>
        </w:rPr>
        <w:t>:</w:t>
      </w:r>
    </w:p>
    <w:p w:rsidR="00E74820" w:rsidRPr="00BE27C1" w:rsidRDefault="006A39B5" w:rsidP="00BB5F70">
      <w:pPr>
        <w:spacing w:line="360" w:lineRule="auto"/>
        <w:rPr>
          <w:rFonts w:ascii="Arial" w:hAnsi="Arial" w:cs="Arial"/>
          <w:sz w:val="24"/>
          <w:szCs w:val="24"/>
        </w:rPr>
      </w:pPr>
      <w:r>
        <w:rPr>
          <w:rFonts w:ascii="Arial" w:hAnsi="Arial" w:cs="Arial"/>
          <w:sz w:val="24"/>
          <w:szCs w:val="24"/>
        </w:rPr>
        <w:t>Payment</w:t>
      </w:r>
      <w:r w:rsidR="00E74820">
        <w:rPr>
          <w:rFonts w:ascii="Arial" w:hAnsi="Arial" w:cs="Arial"/>
          <w:sz w:val="24"/>
          <w:szCs w:val="24"/>
        </w:rPr>
        <w:t xml:space="preserve"> in the amount of N$2 429 298.31 together with interest at the rate of 12.50% calculated daily and capitalized monthly on the said amount.</w:t>
      </w:r>
      <w:r w:rsidR="001E04A3">
        <w:rPr>
          <w:rFonts w:ascii="Arial" w:hAnsi="Arial" w:cs="Arial"/>
          <w:sz w:val="24"/>
          <w:szCs w:val="24"/>
        </w:rPr>
        <w:t xml:space="preserve"> </w:t>
      </w:r>
      <w:r w:rsidR="0049277B">
        <w:rPr>
          <w:rFonts w:ascii="Arial" w:hAnsi="Arial" w:cs="Arial"/>
          <w:sz w:val="24"/>
          <w:szCs w:val="24"/>
        </w:rPr>
        <w:t xml:space="preserve">The judgement arose out of a loan </w:t>
      </w:r>
      <w:r w:rsidR="00090975">
        <w:rPr>
          <w:rFonts w:ascii="Arial" w:hAnsi="Arial" w:cs="Arial"/>
          <w:sz w:val="24"/>
          <w:szCs w:val="24"/>
        </w:rPr>
        <w:t>granted</w:t>
      </w:r>
      <w:r w:rsidR="0049277B">
        <w:rPr>
          <w:rFonts w:ascii="Arial" w:hAnsi="Arial" w:cs="Arial"/>
          <w:sz w:val="24"/>
          <w:szCs w:val="24"/>
        </w:rPr>
        <w:t xml:space="preserve"> by the applicant to the respondents</w:t>
      </w:r>
      <w:r w:rsidR="00461857">
        <w:rPr>
          <w:rFonts w:ascii="Arial" w:hAnsi="Arial" w:cs="Arial"/>
          <w:sz w:val="24"/>
          <w:szCs w:val="24"/>
        </w:rPr>
        <w:t xml:space="preserve"> which respondents failed to repay</w:t>
      </w:r>
      <w:r w:rsidR="0049277B">
        <w:rPr>
          <w:rFonts w:ascii="Arial" w:hAnsi="Arial" w:cs="Arial"/>
          <w:sz w:val="24"/>
          <w:szCs w:val="24"/>
        </w:rPr>
        <w:t>.</w:t>
      </w:r>
      <w:r w:rsidR="00461857">
        <w:rPr>
          <w:rFonts w:ascii="Arial" w:hAnsi="Arial" w:cs="Arial"/>
          <w:sz w:val="24"/>
          <w:szCs w:val="24"/>
        </w:rPr>
        <w:t xml:space="preserve"> As</w:t>
      </w:r>
      <w:r w:rsidR="0049277B">
        <w:rPr>
          <w:rFonts w:ascii="Arial" w:hAnsi="Arial" w:cs="Arial"/>
          <w:sz w:val="24"/>
          <w:szCs w:val="24"/>
        </w:rPr>
        <w:t xml:space="preserve"> security for the loan</w:t>
      </w:r>
      <w:r w:rsidR="00090975">
        <w:rPr>
          <w:rFonts w:ascii="Arial" w:hAnsi="Arial" w:cs="Arial"/>
          <w:sz w:val="24"/>
          <w:szCs w:val="24"/>
        </w:rPr>
        <w:t>,</w:t>
      </w:r>
      <w:r w:rsidR="0049277B">
        <w:rPr>
          <w:rFonts w:ascii="Arial" w:hAnsi="Arial" w:cs="Arial"/>
          <w:sz w:val="24"/>
          <w:szCs w:val="24"/>
        </w:rPr>
        <w:t xml:space="preserve"> a mortgage bond was registered over the property which is the subject matter of the Rule 108 application.</w:t>
      </w:r>
    </w:p>
    <w:p w:rsidR="001E04A3" w:rsidRDefault="002521B7" w:rsidP="00BB5F70">
      <w:pPr>
        <w:spacing w:line="360" w:lineRule="auto"/>
        <w:rPr>
          <w:rFonts w:ascii="Arial" w:hAnsi="Arial" w:cs="Arial"/>
          <w:sz w:val="24"/>
          <w:szCs w:val="24"/>
        </w:rPr>
      </w:pPr>
      <w:r>
        <w:rPr>
          <w:rFonts w:ascii="Arial" w:hAnsi="Arial" w:cs="Arial"/>
          <w:sz w:val="24"/>
          <w:szCs w:val="24"/>
        </w:rPr>
        <w:t>On 14 June 2019</w:t>
      </w:r>
      <w:r w:rsidR="00F15241">
        <w:rPr>
          <w:rFonts w:ascii="Arial" w:hAnsi="Arial" w:cs="Arial"/>
          <w:sz w:val="24"/>
          <w:szCs w:val="24"/>
        </w:rPr>
        <w:t xml:space="preserve"> the applicant launched an application in</w:t>
      </w:r>
      <w:r w:rsidR="00545430">
        <w:rPr>
          <w:rFonts w:ascii="Arial" w:hAnsi="Arial" w:cs="Arial"/>
          <w:sz w:val="24"/>
          <w:szCs w:val="24"/>
        </w:rPr>
        <w:t xml:space="preserve"> </w:t>
      </w:r>
      <w:r w:rsidR="001E04A3">
        <w:rPr>
          <w:rFonts w:ascii="Arial" w:hAnsi="Arial" w:cs="Arial"/>
          <w:sz w:val="24"/>
          <w:szCs w:val="24"/>
        </w:rPr>
        <w:t xml:space="preserve">terms of Rule 108 seeking an order to have the following property declared </w:t>
      </w:r>
      <w:r w:rsidR="00461857">
        <w:rPr>
          <w:rFonts w:ascii="Arial" w:hAnsi="Arial" w:cs="Arial"/>
          <w:sz w:val="24"/>
          <w:szCs w:val="24"/>
        </w:rPr>
        <w:t>specially</w:t>
      </w:r>
      <w:r w:rsidR="0014788D">
        <w:rPr>
          <w:rFonts w:ascii="Arial" w:hAnsi="Arial" w:cs="Arial"/>
          <w:sz w:val="24"/>
          <w:szCs w:val="24"/>
        </w:rPr>
        <w:t xml:space="preserve"> executable:</w:t>
      </w:r>
    </w:p>
    <w:p w:rsidR="00DA6E57" w:rsidRDefault="0014788D" w:rsidP="00BB5F70">
      <w:pPr>
        <w:spacing w:line="360" w:lineRule="auto"/>
        <w:rPr>
          <w:rFonts w:ascii="Arial" w:hAnsi="Arial" w:cs="Arial"/>
          <w:sz w:val="24"/>
          <w:szCs w:val="24"/>
        </w:rPr>
      </w:pPr>
      <w:r>
        <w:rPr>
          <w:rFonts w:ascii="Arial" w:hAnsi="Arial" w:cs="Arial"/>
          <w:sz w:val="24"/>
          <w:szCs w:val="24"/>
        </w:rPr>
        <w:t>N</w:t>
      </w:r>
      <w:r w:rsidR="00461857">
        <w:rPr>
          <w:rFonts w:ascii="Arial" w:hAnsi="Arial" w:cs="Arial"/>
          <w:sz w:val="24"/>
          <w:szCs w:val="24"/>
        </w:rPr>
        <w:t>amely</w:t>
      </w:r>
      <w:r>
        <w:rPr>
          <w:rFonts w:ascii="Arial" w:hAnsi="Arial" w:cs="Arial"/>
          <w:sz w:val="24"/>
          <w:szCs w:val="24"/>
        </w:rPr>
        <w:t>;</w:t>
      </w:r>
      <w:r w:rsidR="00636297">
        <w:rPr>
          <w:rFonts w:ascii="Arial" w:hAnsi="Arial" w:cs="Arial"/>
          <w:sz w:val="24"/>
          <w:szCs w:val="24"/>
        </w:rPr>
        <w:t xml:space="preserve"> Portion 36 (</w:t>
      </w:r>
      <w:r w:rsidR="001E04A3">
        <w:rPr>
          <w:rFonts w:ascii="Arial" w:hAnsi="Arial" w:cs="Arial"/>
          <w:sz w:val="24"/>
          <w:szCs w:val="24"/>
        </w:rPr>
        <w:t>A portion of portion 4) of the farm Nubuamis No. 37, in the municipality of Windhoek,</w:t>
      </w:r>
      <w:r w:rsidR="00237777">
        <w:rPr>
          <w:rFonts w:ascii="Arial" w:hAnsi="Arial" w:cs="Arial"/>
          <w:sz w:val="24"/>
          <w:szCs w:val="24"/>
        </w:rPr>
        <w:t xml:space="preserve"> </w:t>
      </w:r>
      <w:r w:rsidR="001E04A3">
        <w:rPr>
          <w:rFonts w:ascii="Arial" w:hAnsi="Arial" w:cs="Arial"/>
          <w:sz w:val="24"/>
          <w:szCs w:val="24"/>
        </w:rPr>
        <w:t>measuring 50,0324 hectares</w:t>
      </w:r>
      <w:r w:rsidR="00231751">
        <w:rPr>
          <w:rFonts w:ascii="Arial" w:hAnsi="Arial" w:cs="Arial"/>
          <w:sz w:val="24"/>
          <w:szCs w:val="24"/>
        </w:rPr>
        <w:t xml:space="preserve"> (the property)</w:t>
      </w:r>
      <w:r w:rsidR="001E04A3">
        <w:rPr>
          <w:rFonts w:ascii="Arial" w:hAnsi="Arial" w:cs="Arial"/>
          <w:sz w:val="24"/>
          <w:szCs w:val="24"/>
        </w:rPr>
        <w:t>.</w:t>
      </w:r>
    </w:p>
    <w:p w:rsidR="006957C1" w:rsidRDefault="0049277B" w:rsidP="00BB5F70">
      <w:pPr>
        <w:spacing w:line="360" w:lineRule="auto"/>
        <w:rPr>
          <w:rFonts w:ascii="Arial" w:hAnsi="Arial" w:cs="Arial"/>
          <w:sz w:val="24"/>
          <w:szCs w:val="24"/>
        </w:rPr>
      </w:pPr>
      <w:r>
        <w:rPr>
          <w:rFonts w:ascii="Arial" w:hAnsi="Arial" w:cs="Arial"/>
          <w:sz w:val="24"/>
          <w:szCs w:val="24"/>
        </w:rPr>
        <w:t>Rule 108</w:t>
      </w:r>
      <w:r w:rsidR="0014788D">
        <w:rPr>
          <w:rFonts w:ascii="Arial" w:hAnsi="Arial" w:cs="Arial"/>
          <w:sz w:val="24"/>
          <w:szCs w:val="24"/>
        </w:rPr>
        <w:t>(2)</w:t>
      </w:r>
      <w:r>
        <w:rPr>
          <w:rFonts w:ascii="Arial" w:hAnsi="Arial" w:cs="Arial"/>
          <w:sz w:val="24"/>
          <w:szCs w:val="24"/>
        </w:rPr>
        <w:t xml:space="preserve"> provides:</w:t>
      </w:r>
      <w:r w:rsidR="00461857">
        <w:rPr>
          <w:rFonts w:ascii="Arial" w:hAnsi="Arial" w:cs="Arial"/>
          <w:sz w:val="24"/>
          <w:szCs w:val="24"/>
        </w:rPr>
        <w:t xml:space="preserve"> </w:t>
      </w:r>
      <w:r w:rsidR="006957C1">
        <w:rPr>
          <w:rFonts w:ascii="Arial" w:hAnsi="Arial" w:cs="Arial"/>
          <w:sz w:val="24"/>
          <w:szCs w:val="24"/>
        </w:rPr>
        <w:t>“If the immovable property sought to be attached is the primary home of the execution debtor or is leased to a third part</w:t>
      </w:r>
      <w:r w:rsidR="009D2EE5">
        <w:rPr>
          <w:rFonts w:ascii="Arial" w:hAnsi="Arial" w:cs="Arial"/>
          <w:sz w:val="24"/>
          <w:szCs w:val="24"/>
        </w:rPr>
        <w:t>y</w:t>
      </w:r>
      <w:r w:rsidR="006957C1">
        <w:rPr>
          <w:rFonts w:ascii="Arial" w:hAnsi="Arial" w:cs="Arial"/>
          <w:sz w:val="24"/>
          <w:szCs w:val="24"/>
        </w:rPr>
        <w:t xml:space="preserve"> as home the court may not declare that property to be specially executable unless-</w:t>
      </w:r>
    </w:p>
    <w:p w:rsidR="006957C1" w:rsidRDefault="006957C1" w:rsidP="00BB5F70">
      <w:pPr>
        <w:spacing w:line="360" w:lineRule="auto"/>
        <w:ind w:left="720" w:hanging="720"/>
        <w:rPr>
          <w:rFonts w:ascii="Arial" w:hAnsi="Arial" w:cs="Arial"/>
          <w:sz w:val="24"/>
          <w:szCs w:val="24"/>
        </w:rPr>
      </w:pPr>
      <w:r>
        <w:rPr>
          <w:rFonts w:ascii="Arial" w:hAnsi="Arial" w:cs="Arial"/>
          <w:sz w:val="24"/>
          <w:szCs w:val="24"/>
        </w:rPr>
        <w:t>(a)</w:t>
      </w:r>
      <w:r>
        <w:rPr>
          <w:rFonts w:ascii="Arial" w:hAnsi="Arial" w:cs="Arial"/>
          <w:sz w:val="24"/>
          <w:szCs w:val="24"/>
        </w:rPr>
        <w:tab/>
        <w:t>the execution creditor has by means of persona</w:t>
      </w:r>
      <w:r w:rsidR="0014788D">
        <w:rPr>
          <w:rFonts w:ascii="Arial" w:hAnsi="Arial" w:cs="Arial"/>
          <w:sz w:val="24"/>
          <w:szCs w:val="24"/>
        </w:rPr>
        <w:t>l</w:t>
      </w:r>
      <w:r>
        <w:rPr>
          <w:rFonts w:ascii="Arial" w:hAnsi="Arial" w:cs="Arial"/>
          <w:sz w:val="24"/>
          <w:szCs w:val="24"/>
        </w:rPr>
        <w:t xml:space="preserve"> service effected by the deputy-sheriff given notice on Form 24 to the execution debtor that application will be made to the court for an order declaring the property executable and calling on the execution debtor to provide reasons to the court why such an order should not be granted;</w:t>
      </w:r>
    </w:p>
    <w:p w:rsidR="006957C1" w:rsidRDefault="006957C1" w:rsidP="00BB5F70">
      <w:pPr>
        <w:spacing w:line="360" w:lineRule="auto"/>
        <w:ind w:left="720" w:hanging="720"/>
        <w:rPr>
          <w:rFonts w:ascii="Arial" w:hAnsi="Arial" w:cs="Arial"/>
          <w:sz w:val="24"/>
          <w:szCs w:val="24"/>
        </w:rPr>
      </w:pPr>
      <w:r>
        <w:rPr>
          <w:rFonts w:ascii="Arial" w:hAnsi="Arial" w:cs="Arial"/>
          <w:sz w:val="24"/>
          <w:szCs w:val="24"/>
        </w:rPr>
        <w:t>(b)</w:t>
      </w:r>
      <w:r>
        <w:rPr>
          <w:rFonts w:ascii="Arial" w:hAnsi="Arial" w:cs="Arial"/>
          <w:sz w:val="24"/>
          <w:szCs w:val="24"/>
        </w:rPr>
        <w:tab/>
        <w:t>the execution creditor has caused the notice referred to in paragraph (a) to be served personally on any lessee of the property so sought to be declared executable; and</w:t>
      </w:r>
    </w:p>
    <w:p w:rsidR="006957C1" w:rsidRDefault="006957C1" w:rsidP="00BB5F70">
      <w:pPr>
        <w:spacing w:line="360" w:lineRule="auto"/>
        <w:ind w:left="720" w:hanging="720"/>
        <w:rPr>
          <w:rFonts w:ascii="Arial" w:hAnsi="Arial" w:cs="Arial"/>
          <w:sz w:val="24"/>
          <w:szCs w:val="24"/>
        </w:rPr>
      </w:pPr>
      <w:r>
        <w:rPr>
          <w:rFonts w:ascii="Arial" w:hAnsi="Arial" w:cs="Arial"/>
          <w:sz w:val="24"/>
          <w:szCs w:val="24"/>
        </w:rPr>
        <w:t>(c)</w:t>
      </w:r>
      <w:r>
        <w:rPr>
          <w:rFonts w:ascii="Arial" w:hAnsi="Arial" w:cs="Arial"/>
          <w:sz w:val="24"/>
          <w:szCs w:val="24"/>
        </w:rPr>
        <w:tab/>
        <w:t>the court so orders, having considered all the relevant circumstances with specific reference to less drastic measures than sale in execution of the primary home under attachment, which measures may include attachment of an alternative immovable property to the immovable property serving as the primary home of the execution debtor or any third party making claim thereto.”</w:t>
      </w:r>
    </w:p>
    <w:p w:rsidR="00E63B36" w:rsidRDefault="00E63B36" w:rsidP="00BB5F70">
      <w:pPr>
        <w:spacing w:line="360" w:lineRule="auto"/>
        <w:rPr>
          <w:rFonts w:ascii="Arial" w:hAnsi="Arial" w:cs="Arial"/>
          <w:sz w:val="24"/>
          <w:szCs w:val="24"/>
          <w:u w:val="single"/>
        </w:rPr>
      </w:pPr>
    </w:p>
    <w:p w:rsidR="00E37061" w:rsidRDefault="00DA6E57" w:rsidP="00BB5F70">
      <w:pPr>
        <w:spacing w:line="360" w:lineRule="auto"/>
        <w:rPr>
          <w:rFonts w:ascii="Arial" w:hAnsi="Arial" w:cs="Arial"/>
          <w:sz w:val="24"/>
          <w:szCs w:val="24"/>
        </w:rPr>
      </w:pPr>
      <w:r>
        <w:rPr>
          <w:rFonts w:ascii="Arial" w:hAnsi="Arial" w:cs="Arial"/>
          <w:sz w:val="24"/>
          <w:szCs w:val="24"/>
        </w:rPr>
        <w:t>[</w:t>
      </w:r>
      <w:r w:rsidR="000204F0">
        <w:rPr>
          <w:rFonts w:ascii="Arial" w:hAnsi="Arial" w:cs="Arial"/>
          <w:sz w:val="24"/>
          <w:szCs w:val="24"/>
        </w:rPr>
        <w:t>4</w:t>
      </w:r>
      <w:r>
        <w:rPr>
          <w:rFonts w:ascii="Arial" w:hAnsi="Arial" w:cs="Arial"/>
          <w:sz w:val="24"/>
          <w:szCs w:val="24"/>
        </w:rPr>
        <w:t>]</w:t>
      </w:r>
      <w:r>
        <w:rPr>
          <w:rFonts w:ascii="Arial" w:hAnsi="Arial" w:cs="Arial"/>
          <w:sz w:val="24"/>
          <w:szCs w:val="24"/>
        </w:rPr>
        <w:tab/>
      </w:r>
      <w:r w:rsidR="0049277B">
        <w:rPr>
          <w:rFonts w:ascii="Arial" w:hAnsi="Arial" w:cs="Arial"/>
          <w:sz w:val="24"/>
          <w:szCs w:val="24"/>
        </w:rPr>
        <w:t xml:space="preserve">The applicant </w:t>
      </w:r>
      <w:r w:rsidR="00E63B36">
        <w:rPr>
          <w:rFonts w:ascii="Arial" w:hAnsi="Arial" w:cs="Arial"/>
          <w:sz w:val="24"/>
          <w:szCs w:val="24"/>
        </w:rPr>
        <w:t>complied with</w:t>
      </w:r>
      <w:r w:rsidR="0014788D">
        <w:rPr>
          <w:rFonts w:ascii="Arial" w:hAnsi="Arial" w:cs="Arial"/>
          <w:sz w:val="24"/>
          <w:szCs w:val="24"/>
        </w:rPr>
        <w:t xml:space="preserve"> the</w:t>
      </w:r>
      <w:r w:rsidR="00E63B36">
        <w:rPr>
          <w:rFonts w:ascii="Arial" w:hAnsi="Arial" w:cs="Arial"/>
          <w:sz w:val="24"/>
          <w:szCs w:val="24"/>
        </w:rPr>
        <w:t xml:space="preserve"> </w:t>
      </w:r>
      <w:r w:rsidR="0014788D">
        <w:rPr>
          <w:rFonts w:ascii="Arial" w:hAnsi="Arial" w:cs="Arial"/>
          <w:sz w:val="24"/>
          <w:szCs w:val="24"/>
        </w:rPr>
        <w:t>procedural</w:t>
      </w:r>
      <w:r w:rsidR="006957C1">
        <w:rPr>
          <w:rFonts w:ascii="Arial" w:hAnsi="Arial" w:cs="Arial"/>
          <w:sz w:val="24"/>
          <w:szCs w:val="24"/>
        </w:rPr>
        <w:t xml:space="preserve"> aspects</w:t>
      </w:r>
      <w:r w:rsidR="0014788D">
        <w:rPr>
          <w:rFonts w:ascii="Arial" w:hAnsi="Arial" w:cs="Arial"/>
          <w:sz w:val="24"/>
          <w:szCs w:val="24"/>
        </w:rPr>
        <w:t xml:space="preserve"> of</w:t>
      </w:r>
      <w:r w:rsidR="006957C1">
        <w:rPr>
          <w:rFonts w:ascii="Arial" w:hAnsi="Arial" w:cs="Arial"/>
          <w:sz w:val="24"/>
          <w:szCs w:val="24"/>
        </w:rPr>
        <w:t xml:space="preserve"> </w:t>
      </w:r>
      <w:r w:rsidR="00461857">
        <w:rPr>
          <w:rFonts w:ascii="Arial" w:hAnsi="Arial" w:cs="Arial"/>
          <w:sz w:val="24"/>
          <w:szCs w:val="24"/>
        </w:rPr>
        <w:t>R</w:t>
      </w:r>
      <w:r w:rsidR="00E63B36">
        <w:rPr>
          <w:rFonts w:ascii="Arial" w:hAnsi="Arial" w:cs="Arial"/>
          <w:sz w:val="24"/>
          <w:szCs w:val="24"/>
        </w:rPr>
        <w:t xml:space="preserve">ule 108(1)(a). </w:t>
      </w:r>
      <w:r w:rsidR="006957C1">
        <w:rPr>
          <w:rFonts w:ascii="Arial" w:hAnsi="Arial" w:cs="Arial"/>
          <w:sz w:val="24"/>
          <w:szCs w:val="24"/>
        </w:rPr>
        <w:t>After</w:t>
      </w:r>
      <w:r w:rsidR="00E63B36">
        <w:rPr>
          <w:rFonts w:ascii="Arial" w:hAnsi="Arial" w:cs="Arial"/>
          <w:sz w:val="24"/>
          <w:szCs w:val="24"/>
        </w:rPr>
        <w:t xml:space="preserve"> </w:t>
      </w:r>
      <w:r w:rsidR="00461857">
        <w:rPr>
          <w:rFonts w:ascii="Arial" w:hAnsi="Arial" w:cs="Arial"/>
          <w:sz w:val="24"/>
          <w:szCs w:val="24"/>
        </w:rPr>
        <w:t>obtaining the default judgment</w:t>
      </w:r>
      <w:r w:rsidR="00E63B36">
        <w:rPr>
          <w:rFonts w:ascii="Arial" w:hAnsi="Arial" w:cs="Arial"/>
          <w:sz w:val="24"/>
          <w:szCs w:val="24"/>
        </w:rPr>
        <w:t xml:space="preserve"> order dated 11 April 2018, the applicant proceeded to cause a writ of execution against movables to be issued and to be served and executed on the respondents which resulted in </w:t>
      </w:r>
      <w:r w:rsidR="00E63B36" w:rsidRPr="00E63B36">
        <w:rPr>
          <w:rFonts w:ascii="Arial" w:hAnsi="Arial" w:cs="Arial"/>
          <w:i/>
          <w:sz w:val="24"/>
          <w:szCs w:val="24"/>
        </w:rPr>
        <w:t>nulla bona</w:t>
      </w:r>
      <w:r w:rsidR="00E63B36">
        <w:rPr>
          <w:rFonts w:ascii="Arial" w:hAnsi="Arial" w:cs="Arial"/>
          <w:sz w:val="24"/>
          <w:szCs w:val="24"/>
        </w:rPr>
        <w:t xml:space="preserve"> returns of service dated 11 July 2018.</w:t>
      </w:r>
    </w:p>
    <w:p w:rsidR="00A81E59" w:rsidRDefault="0014788D" w:rsidP="00BB5F70">
      <w:pPr>
        <w:spacing w:line="360" w:lineRule="auto"/>
        <w:rPr>
          <w:rFonts w:ascii="Arial" w:hAnsi="Arial" w:cs="Arial"/>
          <w:sz w:val="24"/>
          <w:szCs w:val="24"/>
        </w:rPr>
      </w:pPr>
      <w:r>
        <w:rPr>
          <w:rFonts w:ascii="Arial" w:hAnsi="Arial" w:cs="Arial"/>
          <w:sz w:val="24"/>
          <w:szCs w:val="24"/>
        </w:rPr>
        <w:lastRenderedPageBreak/>
        <w:t>As far as the relevant circumstances</w:t>
      </w:r>
      <w:r w:rsidR="00143E50">
        <w:rPr>
          <w:rFonts w:ascii="Arial" w:hAnsi="Arial" w:cs="Arial"/>
          <w:sz w:val="24"/>
          <w:szCs w:val="24"/>
        </w:rPr>
        <w:t>,</w:t>
      </w:r>
      <w:r>
        <w:rPr>
          <w:rFonts w:ascii="Arial" w:hAnsi="Arial" w:cs="Arial"/>
          <w:sz w:val="24"/>
          <w:szCs w:val="24"/>
        </w:rPr>
        <w:t xml:space="preserve"> the court has to t</w:t>
      </w:r>
      <w:r w:rsidR="00AA6163">
        <w:rPr>
          <w:rFonts w:ascii="Arial" w:hAnsi="Arial" w:cs="Arial"/>
          <w:sz w:val="24"/>
          <w:szCs w:val="24"/>
        </w:rPr>
        <w:t>ake into account</w:t>
      </w:r>
      <w:r w:rsidR="00143E50">
        <w:rPr>
          <w:rFonts w:ascii="Arial" w:hAnsi="Arial" w:cs="Arial"/>
          <w:sz w:val="24"/>
          <w:szCs w:val="24"/>
        </w:rPr>
        <w:t xml:space="preserve"> in terms of rule 108(2)(c)</w:t>
      </w:r>
      <w:r w:rsidR="00AA6163">
        <w:rPr>
          <w:rFonts w:ascii="Arial" w:hAnsi="Arial" w:cs="Arial"/>
          <w:sz w:val="24"/>
          <w:szCs w:val="24"/>
        </w:rPr>
        <w:t xml:space="preserve"> before  declaring</w:t>
      </w:r>
      <w:r>
        <w:rPr>
          <w:rFonts w:ascii="Arial" w:hAnsi="Arial" w:cs="Arial"/>
          <w:sz w:val="24"/>
          <w:szCs w:val="24"/>
        </w:rPr>
        <w:t xml:space="preserve"> a primary home specially executable are concerned </w:t>
      </w:r>
      <w:r w:rsidR="00143E50">
        <w:rPr>
          <w:rFonts w:ascii="Arial" w:hAnsi="Arial" w:cs="Arial"/>
          <w:sz w:val="24"/>
          <w:szCs w:val="24"/>
        </w:rPr>
        <w:t>,</w:t>
      </w:r>
      <w:r w:rsidR="00AA6163">
        <w:rPr>
          <w:rFonts w:ascii="Arial" w:hAnsi="Arial" w:cs="Arial"/>
          <w:sz w:val="24"/>
          <w:szCs w:val="24"/>
        </w:rPr>
        <w:t>the court in</w:t>
      </w:r>
    </w:p>
    <w:p w:rsidR="005308A1" w:rsidRDefault="005308A1" w:rsidP="00BB5F70">
      <w:pPr>
        <w:spacing w:line="360" w:lineRule="auto"/>
        <w:rPr>
          <w:rFonts w:ascii="Arial" w:hAnsi="Arial" w:cs="Arial"/>
          <w:sz w:val="24"/>
          <w:szCs w:val="24"/>
        </w:rPr>
      </w:pPr>
      <w:r>
        <w:rPr>
          <w:rFonts w:ascii="Arial" w:hAnsi="Arial" w:cs="Arial"/>
          <w:sz w:val="24"/>
          <w:szCs w:val="24"/>
        </w:rPr>
        <w:t xml:space="preserve"> </w:t>
      </w:r>
      <w:r w:rsidRPr="00A16463">
        <w:rPr>
          <w:rFonts w:ascii="Arial" w:hAnsi="Arial" w:cs="Arial"/>
          <w:i/>
          <w:sz w:val="24"/>
          <w:szCs w:val="24"/>
        </w:rPr>
        <w:t>Roman Catholic Church v Phill</w:t>
      </w:r>
      <w:r w:rsidR="00AA6163" w:rsidRPr="00A16463">
        <w:rPr>
          <w:rFonts w:ascii="Arial" w:hAnsi="Arial" w:cs="Arial"/>
          <w:i/>
          <w:sz w:val="24"/>
          <w:szCs w:val="24"/>
        </w:rPr>
        <w:t>epus Lombeleni Thomas</w:t>
      </w:r>
      <w:r w:rsidR="00ED68DD">
        <w:rPr>
          <w:rFonts w:ascii="Arial" w:hAnsi="Arial" w:cs="Arial"/>
          <w:i/>
          <w:sz w:val="24"/>
          <w:szCs w:val="24"/>
        </w:rPr>
        <w:t xml:space="preserve"> &amp; 2 others</w:t>
      </w:r>
      <w:r w:rsidR="0051218B">
        <w:rPr>
          <w:rStyle w:val="FootnoteReference"/>
          <w:rFonts w:ascii="Arial" w:hAnsi="Arial" w:cs="Arial"/>
          <w:i/>
          <w:sz w:val="24"/>
          <w:szCs w:val="24"/>
        </w:rPr>
        <w:footnoteReference w:id="1"/>
      </w:r>
      <w:r w:rsidR="00AA6163">
        <w:rPr>
          <w:rFonts w:ascii="Arial" w:hAnsi="Arial" w:cs="Arial"/>
          <w:sz w:val="24"/>
          <w:szCs w:val="24"/>
        </w:rPr>
        <w:t xml:space="preserve"> </w:t>
      </w:r>
      <w:r>
        <w:rPr>
          <w:rFonts w:ascii="Arial" w:hAnsi="Arial" w:cs="Arial"/>
          <w:sz w:val="24"/>
          <w:szCs w:val="24"/>
        </w:rPr>
        <w:t>held that:</w:t>
      </w:r>
    </w:p>
    <w:p w:rsidR="005308A1" w:rsidRDefault="005308A1" w:rsidP="00BB5F70">
      <w:pPr>
        <w:spacing w:line="360" w:lineRule="auto"/>
        <w:rPr>
          <w:rFonts w:ascii="Arial" w:hAnsi="Arial" w:cs="Arial"/>
          <w:sz w:val="24"/>
          <w:szCs w:val="24"/>
        </w:rPr>
      </w:pPr>
    </w:p>
    <w:p w:rsidR="000B0427" w:rsidRPr="000B0427" w:rsidRDefault="000B0427" w:rsidP="00BB5F70">
      <w:pPr>
        <w:spacing w:line="360" w:lineRule="auto"/>
        <w:ind w:left="720"/>
        <w:rPr>
          <w:rFonts w:ascii="Arial" w:eastAsia="Calibri" w:hAnsi="Arial" w:cs="Arial"/>
          <w:i/>
          <w:sz w:val="24"/>
          <w:szCs w:val="24"/>
        </w:rPr>
      </w:pPr>
      <w:r>
        <w:rPr>
          <w:rFonts w:ascii="Arial" w:eastAsia="Calibri" w:hAnsi="Arial" w:cs="Arial"/>
          <w:sz w:val="24"/>
          <w:szCs w:val="24"/>
        </w:rPr>
        <w:t>“</w:t>
      </w:r>
      <w:r w:rsidRPr="000B0427">
        <w:rPr>
          <w:rFonts w:ascii="Arial" w:eastAsia="Calibri" w:hAnsi="Arial" w:cs="Arial"/>
          <w:i/>
          <w:sz w:val="24"/>
          <w:szCs w:val="24"/>
        </w:rPr>
        <w:t xml:space="preserve">Rule 108(2) enjoins a court to consider all the circumstances before it makes an order to declare an immovable property executable or not executable. Justice Mokgoro in the South African case of Jaftha v Schoeman and </w:t>
      </w:r>
      <w:r w:rsidR="00636297" w:rsidRPr="000B0427">
        <w:rPr>
          <w:rFonts w:ascii="Arial" w:eastAsia="Calibri" w:hAnsi="Arial" w:cs="Arial"/>
          <w:i/>
          <w:sz w:val="24"/>
          <w:szCs w:val="24"/>
        </w:rPr>
        <w:t>Others</w:t>
      </w:r>
      <w:r w:rsidRPr="000B0427">
        <w:rPr>
          <w:rFonts w:ascii="Arial" w:eastAsia="Calibri" w:hAnsi="Arial" w:cs="Arial"/>
          <w:i/>
          <w:sz w:val="24"/>
          <w:szCs w:val="24"/>
        </w:rPr>
        <w:t>; Van Rooyen v Stoltz and Others warned that it would be unwise to set out all the circumstances that would be relevant to consider when considering whether or not to declare immovable property executable, but nonetheless gave some guidance.</w:t>
      </w:r>
    </w:p>
    <w:p w:rsidR="000B0427" w:rsidRPr="000B0427" w:rsidRDefault="000B0427" w:rsidP="00BB5F70">
      <w:pPr>
        <w:spacing w:line="360" w:lineRule="auto"/>
        <w:rPr>
          <w:rFonts w:ascii="Arial" w:eastAsia="Calibri" w:hAnsi="Arial" w:cs="Arial"/>
          <w:i/>
          <w:sz w:val="24"/>
          <w:szCs w:val="24"/>
        </w:rPr>
      </w:pPr>
    </w:p>
    <w:p w:rsidR="000B0427" w:rsidRDefault="000B0427" w:rsidP="00BB5F70">
      <w:pPr>
        <w:spacing w:line="360" w:lineRule="auto"/>
        <w:ind w:left="720"/>
        <w:rPr>
          <w:rFonts w:ascii="Arial" w:eastAsia="Calibri" w:hAnsi="Arial" w:cs="Arial"/>
          <w:sz w:val="24"/>
          <w:szCs w:val="24"/>
        </w:rPr>
      </w:pPr>
      <w:r w:rsidRPr="000B0427">
        <w:rPr>
          <w:rFonts w:ascii="Arial" w:eastAsia="Calibri" w:hAnsi="Arial" w:cs="Arial"/>
          <w:i/>
          <w:sz w:val="24"/>
          <w:szCs w:val="24"/>
        </w:rPr>
        <w:t xml:space="preserve">The learned judge mentioned the following factors as guiding factors; </w:t>
      </w:r>
      <w:r w:rsidR="00E31A03" w:rsidRPr="000B0427">
        <w:rPr>
          <w:rFonts w:ascii="Arial" w:eastAsia="Calibri" w:hAnsi="Arial" w:cs="Arial"/>
          <w:i/>
          <w:sz w:val="24"/>
          <w:szCs w:val="24"/>
        </w:rPr>
        <w:t>whether</w:t>
      </w:r>
      <w:r w:rsidRPr="000B0427">
        <w:rPr>
          <w:rFonts w:ascii="Arial" w:eastAsia="Calibri" w:hAnsi="Arial" w:cs="Arial"/>
          <w:i/>
          <w:sz w:val="24"/>
          <w:szCs w:val="24"/>
        </w:rPr>
        <w:t xml:space="preserve"> the procedure prescribed by the Rules have been complied with. Whether there are other reasonable ways in which the debt can be paid. Whether ordering of a sale in execution would be grossly disproportionate to other means of satisfying the judgment. Another factor of great importance will be the circumstances in which the debt arose. The learned Judge furthermore remarked that the question whether or not the judgment creditor is abusing the Court process and is acting in bad faith is equally relevant. A final consideration will be the availability of alternatives which might allow for the recovery of the debt but not require the sale in execut</w:t>
      </w:r>
      <w:r w:rsidR="00AB055B">
        <w:rPr>
          <w:rFonts w:ascii="Arial" w:eastAsia="Calibri" w:hAnsi="Arial" w:cs="Arial"/>
          <w:i/>
          <w:sz w:val="24"/>
          <w:szCs w:val="24"/>
        </w:rPr>
        <w:t>ion</w:t>
      </w:r>
      <w:r w:rsidRPr="000B0427">
        <w:rPr>
          <w:rFonts w:ascii="Arial" w:eastAsia="Calibri" w:hAnsi="Arial" w:cs="Arial"/>
          <w:i/>
          <w:sz w:val="24"/>
          <w:szCs w:val="24"/>
        </w:rPr>
        <w:t xml:space="preserve"> of the debtor’s home</w:t>
      </w:r>
      <w:r>
        <w:rPr>
          <w:rFonts w:ascii="Arial" w:eastAsia="Calibri" w:hAnsi="Arial" w:cs="Arial"/>
          <w:sz w:val="24"/>
          <w:szCs w:val="24"/>
        </w:rPr>
        <w:t>.”</w:t>
      </w:r>
    </w:p>
    <w:p w:rsidR="005308A1" w:rsidRDefault="005308A1" w:rsidP="00BB5F70">
      <w:pPr>
        <w:spacing w:line="360" w:lineRule="auto"/>
        <w:rPr>
          <w:rFonts w:ascii="Arial" w:hAnsi="Arial" w:cs="Arial"/>
          <w:sz w:val="24"/>
          <w:szCs w:val="24"/>
        </w:rPr>
      </w:pPr>
    </w:p>
    <w:p w:rsidR="00BE0EFF" w:rsidRDefault="00A81E59" w:rsidP="00BB5F70">
      <w:pPr>
        <w:spacing w:line="360" w:lineRule="auto"/>
        <w:rPr>
          <w:rFonts w:ascii="Arial" w:hAnsi="Arial" w:cs="Arial"/>
          <w:sz w:val="24"/>
          <w:szCs w:val="24"/>
        </w:rPr>
      </w:pPr>
      <w:r>
        <w:rPr>
          <w:rFonts w:ascii="Arial" w:hAnsi="Arial" w:cs="Arial"/>
          <w:sz w:val="24"/>
          <w:szCs w:val="24"/>
        </w:rPr>
        <w:t>[</w:t>
      </w:r>
      <w:r w:rsidR="000A3E1A">
        <w:rPr>
          <w:rFonts w:ascii="Arial" w:hAnsi="Arial" w:cs="Arial"/>
          <w:sz w:val="24"/>
          <w:szCs w:val="24"/>
        </w:rPr>
        <w:t>5</w:t>
      </w:r>
      <w:r>
        <w:rPr>
          <w:rFonts w:ascii="Arial" w:hAnsi="Arial" w:cs="Arial"/>
          <w:sz w:val="24"/>
          <w:szCs w:val="24"/>
        </w:rPr>
        <w:t>]</w:t>
      </w:r>
      <w:r>
        <w:rPr>
          <w:rFonts w:ascii="Arial" w:hAnsi="Arial" w:cs="Arial"/>
          <w:sz w:val="24"/>
          <w:szCs w:val="24"/>
        </w:rPr>
        <w:tab/>
      </w:r>
      <w:r w:rsidR="00250101">
        <w:rPr>
          <w:rFonts w:ascii="Arial" w:hAnsi="Arial" w:cs="Arial"/>
          <w:sz w:val="24"/>
          <w:szCs w:val="24"/>
        </w:rPr>
        <w:t xml:space="preserve">The applicant </w:t>
      </w:r>
      <w:r w:rsidR="00461857">
        <w:rPr>
          <w:rFonts w:ascii="Arial" w:hAnsi="Arial" w:cs="Arial"/>
          <w:sz w:val="24"/>
          <w:szCs w:val="24"/>
        </w:rPr>
        <w:t>submits that to date the respondents have</w:t>
      </w:r>
      <w:r w:rsidR="00E63B36">
        <w:rPr>
          <w:rFonts w:ascii="Arial" w:hAnsi="Arial" w:cs="Arial"/>
          <w:sz w:val="24"/>
          <w:szCs w:val="24"/>
        </w:rPr>
        <w:t xml:space="preserve"> not shown that they have sufficient movable disposable assets to satisfy the judgment debt</w:t>
      </w:r>
      <w:r w:rsidR="00461857">
        <w:rPr>
          <w:rFonts w:ascii="Arial" w:hAnsi="Arial" w:cs="Arial"/>
          <w:sz w:val="24"/>
          <w:szCs w:val="24"/>
        </w:rPr>
        <w:t>, hence the Rule 108 application.</w:t>
      </w:r>
      <w:r w:rsidR="004E4F70">
        <w:rPr>
          <w:rFonts w:ascii="Arial" w:hAnsi="Arial" w:cs="Arial"/>
          <w:sz w:val="24"/>
          <w:szCs w:val="24"/>
        </w:rPr>
        <w:t xml:space="preserve"> </w:t>
      </w:r>
      <w:r w:rsidR="00571DC4">
        <w:rPr>
          <w:rFonts w:ascii="Arial" w:hAnsi="Arial" w:cs="Arial"/>
          <w:sz w:val="24"/>
          <w:szCs w:val="24"/>
        </w:rPr>
        <w:t>The</w:t>
      </w:r>
      <w:r w:rsidR="00250101">
        <w:rPr>
          <w:rFonts w:ascii="Arial" w:hAnsi="Arial" w:cs="Arial"/>
          <w:sz w:val="24"/>
          <w:szCs w:val="24"/>
        </w:rPr>
        <w:t xml:space="preserve"> applicant further submits that the reliance by the respondents on a breach of an oral agreement by the</w:t>
      </w:r>
      <w:r w:rsidR="00571DC4">
        <w:rPr>
          <w:rFonts w:ascii="Arial" w:hAnsi="Arial" w:cs="Arial"/>
          <w:sz w:val="24"/>
          <w:szCs w:val="24"/>
        </w:rPr>
        <w:t xml:space="preserve"> </w:t>
      </w:r>
      <w:r w:rsidR="00250101">
        <w:rPr>
          <w:rFonts w:ascii="Arial" w:hAnsi="Arial" w:cs="Arial"/>
          <w:sz w:val="24"/>
          <w:szCs w:val="24"/>
        </w:rPr>
        <w:t xml:space="preserve">applicant </w:t>
      </w:r>
      <w:r w:rsidR="000A3E1A">
        <w:rPr>
          <w:rFonts w:ascii="Arial" w:hAnsi="Arial" w:cs="Arial"/>
          <w:sz w:val="24"/>
          <w:szCs w:val="24"/>
        </w:rPr>
        <w:t>relating to another property and the issuance of summons for that breach</w:t>
      </w:r>
      <w:r w:rsidR="00250101">
        <w:rPr>
          <w:rFonts w:ascii="Arial" w:hAnsi="Arial" w:cs="Arial"/>
          <w:sz w:val="24"/>
          <w:szCs w:val="24"/>
        </w:rPr>
        <w:t xml:space="preserve"> is of no force or effect as it was not reduced to writing and signed by both parties.</w:t>
      </w:r>
      <w:r w:rsidR="00571DC4">
        <w:rPr>
          <w:rFonts w:ascii="Arial" w:hAnsi="Arial" w:cs="Arial"/>
          <w:sz w:val="24"/>
          <w:szCs w:val="24"/>
        </w:rPr>
        <w:t xml:space="preserve"> Applicant</w:t>
      </w:r>
      <w:r w:rsidR="00250101">
        <w:rPr>
          <w:rFonts w:ascii="Arial" w:hAnsi="Arial" w:cs="Arial"/>
          <w:sz w:val="24"/>
          <w:szCs w:val="24"/>
        </w:rPr>
        <w:t xml:space="preserve"> argues that the provisions of rule 108 are not a means to obtain extension of time to pay.</w:t>
      </w:r>
    </w:p>
    <w:p w:rsidR="00250101" w:rsidRDefault="00250101" w:rsidP="00BB5F70">
      <w:pPr>
        <w:spacing w:line="360" w:lineRule="auto"/>
        <w:rPr>
          <w:rFonts w:ascii="Arial" w:hAnsi="Arial" w:cs="Arial"/>
          <w:sz w:val="24"/>
          <w:szCs w:val="24"/>
        </w:rPr>
      </w:pPr>
      <w:r>
        <w:rPr>
          <w:rFonts w:ascii="Arial" w:hAnsi="Arial" w:cs="Arial"/>
          <w:sz w:val="24"/>
          <w:szCs w:val="24"/>
        </w:rPr>
        <w:lastRenderedPageBreak/>
        <w:t xml:space="preserve">Applicant contends </w:t>
      </w:r>
      <w:r w:rsidR="00571DC4">
        <w:rPr>
          <w:rFonts w:ascii="Arial" w:hAnsi="Arial" w:cs="Arial"/>
          <w:sz w:val="24"/>
          <w:szCs w:val="24"/>
        </w:rPr>
        <w:t xml:space="preserve">furthermore </w:t>
      </w:r>
      <w:r>
        <w:rPr>
          <w:rFonts w:ascii="Arial" w:hAnsi="Arial" w:cs="Arial"/>
          <w:sz w:val="24"/>
          <w:szCs w:val="24"/>
        </w:rPr>
        <w:t xml:space="preserve">that respondents were unable and remain unable to satisfy </w:t>
      </w:r>
      <w:r w:rsidR="001045BC">
        <w:rPr>
          <w:rFonts w:ascii="Arial" w:hAnsi="Arial" w:cs="Arial"/>
          <w:sz w:val="24"/>
          <w:szCs w:val="24"/>
        </w:rPr>
        <w:t>the judgement debt and more than a year has passed since the applicant obtained judgement against the respondents</w:t>
      </w:r>
      <w:r w:rsidR="00571DC4">
        <w:rPr>
          <w:rFonts w:ascii="Arial" w:hAnsi="Arial" w:cs="Arial"/>
          <w:sz w:val="24"/>
          <w:szCs w:val="24"/>
        </w:rPr>
        <w:t xml:space="preserve"> </w:t>
      </w:r>
      <w:r w:rsidR="001045BC">
        <w:rPr>
          <w:rFonts w:ascii="Arial" w:hAnsi="Arial" w:cs="Arial"/>
          <w:sz w:val="24"/>
          <w:szCs w:val="24"/>
        </w:rPr>
        <w:t>and the only option is to declare the property specially ex</w:t>
      </w:r>
      <w:r w:rsidR="00571DC4">
        <w:rPr>
          <w:rFonts w:ascii="Arial" w:hAnsi="Arial" w:cs="Arial"/>
          <w:sz w:val="24"/>
          <w:szCs w:val="24"/>
        </w:rPr>
        <w:t>ec</w:t>
      </w:r>
      <w:r w:rsidR="001045BC">
        <w:rPr>
          <w:rFonts w:ascii="Arial" w:hAnsi="Arial" w:cs="Arial"/>
          <w:sz w:val="24"/>
          <w:szCs w:val="24"/>
        </w:rPr>
        <w:t>utable.</w:t>
      </w:r>
    </w:p>
    <w:p w:rsidR="00BE0EFF" w:rsidRDefault="00BE0EFF" w:rsidP="00BB5F70">
      <w:pPr>
        <w:spacing w:line="360" w:lineRule="auto"/>
        <w:rPr>
          <w:rFonts w:ascii="Arial" w:hAnsi="Arial" w:cs="Arial"/>
          <w:sz w:val="24"/>
          <w:szCs w:val="24"/>
        </w:rPr>
      </w:pPr>
    </w:p>
    <w:p w:rsidR="00EC6880" w:rsidRDefault="00461857" w:rsidP="00BB5F70">
      <w:pPr>
        <w:spacing w:line="360" w:lineRule="auto"/>
        <w:rPr>
          <w:rFonts w:ascii="Arial" w:hAnsi="Arial" w:cs="Arial"/>
          <w:sz w:val="24"/>
          <w:szCs w:val="24"/>
        </w:rPr>
      </w:pPr>
      <w:r>
        <w:rPr>
          <w:rFonts w:ascii="Arial" w:hAnsi="Arial" w:cs="Arial"/>
          <w:sz w:val="24"/>
          <w:szCs w:val="24"/>
        </w:rPr>
        <w:t>[</w:t>
      </w:r>
      <w:r w:rsidR="003D4993">
        <w:rPr>
          <w:rFonts w:ascii="Arial" w:hAnsi="Arial" w:cs="Arial"/>
          <w:sz w:val="24"/>
          <w:szCs w:val="24"/>
        </w:rPr>
        <w:t>6</w:t>
      </w:r>
      <w:r w:rsidR="00BE0EFF">
        <w:rPr>
          <w:rFonts w:ascii="Arial" w:hAnsi="Arial" w:cs="Arial"/>
          <w:sz w:val="24"/>
          <w:szCs w:val="24"/>
        </w:rPr>
        <w:t>]</w:t>
      </w:r>
      <w:r>
        <w:rPr>
          <w:rFonts w:ascii="Arial" w:hAnsi="Arial" w:cs="Arial"/>
          <w:sz w:val="24"/>
          <w:szCs w:val="24"/>
        </w:rPr>
        <w:tab/>
      </w:r>
      <w:r w:rsidR="0049277B">
        <w:rPr>
          <w:rFonts w:ascii="Arial" w:hAnsi="Arial" w:cs="Arial"/>
          <w:sz w:val="24"/>
          <w:szCs w:val="24"/>
        </w:rPr>
        <w:t xml:space="preserve">The </w:t>
      </w:r>
      <w:r>
        <w:rPr>
          <w:rFonts w:ascii="Arial" w:hAnsi="Arial" w:cs="Arial"/>
          <w:sz w:val="24"/>
          <w:szCs w:val="24"/>
        </w:rPr>
        <w:t>respondents</w:t>
      </w:r>
      <w:r w:rsidR="00143E50">
        <w:rPr>
          <w:rFonts w:ascii="Arial" w:hAnsi="Arial" w:cs="Arial"/>
          <w:sz w:val="24"/>
          <w:szCs w:val="24"/>
        </w:rPr>
        <w:t xml:space="preserve"> however,</w:t>
      </w:r>
      <w:r w:rsidR="0049277B">
        <w:rPr>
          <w:rFonts w:ascii="Arial" w:hAnsi="Arial" w:cs="Arial"/>
          <w:sz w:val="24"/>
          <w:szCs w:val="24"/>
        </w:rPr>
        <w:t xml:space="preserve"> submit that the property sought to be declared specially ex</w:t>
      </w:r>
      <w:r>
        <w:rPr>
          <w:rFonts w:ascii="Arial" w:hAnsi="Arial" w:cs="Arial"/>
          <w:sz w:val="24"/>
          <w:szCs w:val="24"/>
        </w:rPr>
        <w:t>ec</w:t>
      </w:r>
      <w:r w:rsidR="0049277B">
        <w:rPr>
          <w:rFonts w:ascii="Arial" w:hAnsi="Arial" w:cs="Arial"/>
          <w:sz w:val="24"/>
          <w:szCs w:val="24"/>
        </w:rPr>
        <w:t>utable is their primary home and that</w:t>
      </w:r>
      <w:r w:rsidR="00E63B36">
        <w:rPr>
          <w:rFonts w:ascii="Arial" w:hAnsi="Arial" w:cs="Arial"/>
          <w:sz w:val="24"/>
          <w:szCs w:val="24"/>
        </w:rPr>
        <w:t xml:space="preserve"> there are less drastic measures </w:t>
      </w:r>
      <w:r w:rsidR="0049277B">
        <w:rPr>
          <w:rFonts w:ascii="Arial" w:hAnsi="Arial" w:cs="Arial"/>
          <w:sz w:val="24"/>
          <w:szCs w:val="24"/>
        </w:rPr>
        <w:t>than a sale in execution of their</w:t>
      </w:r>
      <w:r w:rsidR="00E63B36">
        <w:rPr>
          <w:rFonts w:ascii="Arial" w:hAnsi="Arial" w:cs="Arial"/>
          <w:sz w:val="24"/>
          <w:szCs w:val="24"/>
        </w:rPr>
        <w:t xml:space="preserve"> primary home and provide the fac</w:t>
      </w:r>
      <w:r w:rsidR="006957C1">
        <w:rPr>
          <w:rFonts w:ascii="Arial" w:hAnsi="Arial" w:cs="Arial"/>
          <w:sz w:val="24"/>
          <w:szCs w:val="24"/>
        </w:rPr>
        <w:t>t that the property is valued fa</w:t>
      </w:r>
      <w:r w:rsidR="00E63B36">
        <w:rPr>
          <w:rFonts w:ascii="Arial" w:hAnsi="Arial" w:cs="Arial"/>
          <w:sz w:val="24"/>
          <w:szCs w:val="24"/>
        </w:rPr>
        <w:t>r more than the loan amount.</w:t>
      </w:r>
    </w:p>
    <w:p w:rsidR="003D3882" w:rsidRDefault="003D3882" w:rsidP="00BB5F70">
      <w:pPr>
        <w:spacing w:line="360" w:lineRule="auto"/>
        <w:rPr>
          <w:rFonts w:ascii="Arial" w:hAnsi="Arial" w:cs="Arial"/>
          <w:sz w:val="24"/>
          <w:szCs w:val="24"/>
        </w:rPr>
      </w:pPr>
    </w:p>
    <w:p w:rsidR="003D3882" w:rsidRDefault="003D3882" w:rsidP="00BB5F70">
      <w:pPr>
        <w:spacing w:line="360" w:lineRule="auto"/>
        <w:rPr>
          <w:rFonts w:ascii="Arial" w:hAnsi="Arial" w:cs="Arial"/>
          <w:sz w:val="24"/>
          <w:szCs w:val="24"/>
        </w:rPr>
      </w:pPr>
      <w:r>
        <w:rPr>
          <w:rFonts w:ascii="Arial" w:hAnsi="Arial" w:cs="Arial"/>
          <w:sz w:val="24"/>
          <w:szCs w:val="24"/>
        </w:rPr>
        <w:t>[</w:t>
      </w:r>
      <w:r w:rsidR="003D4993">
        <w:rPr>
          <w:rFonts w:ascii="Arial" w:hAnsi="Arial" w:cs="Arial"/>
          <w:sz w:val="24"/>
          <w:szCs w:val="24"/>
        </w:rPr>
        <w:t>7</w:t>
      </w:r>
      <w:r>
        <w:rPr>
          <w:rFonts w:ascii="Arial" w:hAnsi="Arial" w:cs="Arial"/>
          <w:sz w:val="24"/>
          <w:szCs w:val="24"/>
        </w:rPr>
        <w:t>]</w:t>
      </w:r>
      <w:r w:rsidR="00461857">
        <w:rPr>
          <w:rFonts w:ascii="Arial" w:hAnsi="Arial" w:cs="Arial"/>
          <w:sz w:val="24"/>
          <w:szCs w:val="24"/>
        </w:rPr>
        <w:tab/>
      </w:r>
      <w:r w:rsidR="007E0270">
        <w:rPr>
          <w:rFonts w:ascii="Arial" w:hAnsi="Arial" w:cs="Arial"/>
          <w:sz w:val="24"/>
          <w:szCs w:val="24"/>
        </w:rPr>
        <w:t xml:space="preserve">The respondents in their written heads </w:t>
      </w:r>
      <w:r w:rsidR="00A158D0">
        <w:rPr>
          <w:rFonts w:ascii="Arial" w:hAnsi="Arial" w:cs="Arial"/>
          <w:sz w:val="24"/>
          <w:szCs w:val="24"/>
        </w:rPr>
        <w:t>further</w:t>
      </w:r>
      <w:r w:rsidR="007E0270">
        <w:rPr>
          <w:rFonts w:ascii="Arial" w:hAnsi="Arial" w:cs="Arial"/>
          <w:sz w:val="24"/>
          <w:szCs w:val="24"/>
        </w:rPr>
        <w:t xml:space="preserve"> submit that:</w:t>
      </w:r>
      <w:r>
        <w:rPr>
          <w:rFonts w:ascii="Arial" w:hAnsi="Arial" w:cs="Arial"/>
          <w:sz w:val="24"/>
          <w:szCs w:val="24"/>
        </w:rPr>
        <w:tab/>
      </w:r>
      <w:r w:rsidR="007E0270">
        <w:rPr>
          <w:rFonts w:ascii="Arial" w:hAnsi="Arial" w:cs="Arial"/>
          <w:sz w:val="24"/>
          <w:szCs w:val="24"/>
        </w:rPr>
        <w:t>‘</w:t>
      </w:r>
      <w:r>
        <w:rPr>
          <w:rFonts w:ascii="Arial" w:hAnsi="Arial" w:cs="Arial"/>
          <w:sz w:val="24"/>
          <w:szCs w:val="24"/>
        </w:rPr>
        <w:t xml:space="preserve">In a nutshell, respondents’ opposition to the instant application is mainly that applicant’s conduct in its dealings with respondents is unreasonable, </w:t>
      </w:r>
      <w:r w:rsidRPr="00AE3C14">
        <w:rPr>
          <w:rFonts w:ascii="Arial" w:hAnsi="Arial" w:cs="Arial"/>
          <w:i/>
          <w:sz w:val="24"/>
          <w:szCs w:val="24"/>
        </w:rPr>
        <w:t>mala fide</w:t>
      </w:r>
      <w:r>
        <w:rPr>
          <w:rFonts w:ascii="Arial" w:hAnsi="Arial" w:cs="Arial"/>
          <w:sz w:val="24"/>
          <w:szCs w:val="24"/>
        </w:rPr>
        <w:t xml:space="preserve"> and </w:t>
      </w:r>
      <w:r w:rsidRPr="00AE3C14">
        <w:rPr>
          <w:rFonts w:ascii="Arial" w:hAnsi="Arial" w:cs="Arial"/>
          <w:i/>
          <w:sz w:val="24"/>
          <w:szCs w:val="24"/>
        </w:rPr>
        <w:t>prejudicial</w:t>
      </w:r>
      <w:r>
        <w:rPr>
          <w:rFonts w:ascii="Arial" w:hAnsi="Arial" w:cs="Arial"/>
          <w:sz w:val="24"/>
          <w:szCs w:val="24"/>
        </w:rPr>
        <w:t xml:space="preserve"> to their business relationship</w:t>
      </w:r>
      <w:r w:rsidR="00A158D0">
        <w:rPr>
          <w:rFonts w:ascii="Arial" w:hAnsi="Arial" w:cs="Arial"/>
          <w:sz w:val="24"/>
          <w:szCs w:val="24"/>
        </w:rPr>
        <w:t>. Further, it is the respondent</w:t>
      </w:r>
      <w:r>
        <w:rPr>
          <w:rFonts w:ascii="Arial" w:hAnsi="Arial" w:cs="Arial"/>
          <w:sz w:val="24"/>
          <w:szCs w:val="24"/>
        </w:rPr>
        <w:t>s</w:t>
      </w:r>
      <w:r w:rsidR="00A158D0">
        <w:rPr>
          <w:rFonts w:ascii="Arial" w:hAnsi="Arial" w:cs="Arial"/>
          <w:sz w:val="24"/>
          <w:szCs w:val="24"/>
        </w:rPr>
        <w:t>’</w:t>
      </w:r>
      <w:r>
        <w:rPr>
          <w:rFonts w:ascii="Arial" w:hAnsi="Arial" w:cs="Arial"/>
          <w:sz w:val="24"/>
          <w:szCs w:val="24"/>
        </w:rPr>
        <w:t xml:space="preserve"> case that their inability to service the home-loan facility was due to the applicant’s unjustified breach of contract between the parties. In this respect, this court is referred to para. 6.1 to 6.9 of respondents’ answering papers which are not refuted by the applicant. In addition, respondents contend that presently, the same parties are embroiled in a legal battle involving a commercial property loan in respect of Erf 1449, under case number: 2018</w:t>
      </w:r>
      <w:r w:rsidR="00143E50">
        <w:rPr>
          <w:rFonts w:ascii="Arial" w:hAnsi="Arial" w:cs="Arial"/>
          <w:sz w:val="24"/>
          <w:szCs w:val="24"/>
        </w:rPr>
        <w:t xml:space="preserve">/01218. </w:t>
      </w:r>
    </w:p>
    <w:p w:rsidR="003D3882" w:rsidRDefault="003D3882" w:rsidP="00BB5F70">
      <w:pPr>
        <w:spacing w:line="360" w:lineRule="auto"/>
        <w:rPr>
          <w:rFonts w:ascii="Arial" w:hAnsi="Arial" w:cs="Arial"/>
          <w:sz w:val="24"/>
          <w:szCs w:val="24"/>
        </w:rPr>
      </w:pPr>
    </w:p>
    <w:p w:rsidR="00D92601" w:rsidRDefault="003D3882" w:rsidP="00BB5F70">
      <w:pPr>
        <w:spacing w:line="360" w:lineRule="auto"/>
        <w:rPr>
          <w:rFonts w:ascii="Arial" w:hAnsi="Arial" w:cs="Arial"/>
          <w:sz w:val="24"/>
          <w:szCs w:val="24"/>
        </w:rPr>
      </w:pPr>
      <w:r>
        <w:rPr>
          <w:rFonts w:ascii="Arial" w:hAnsi="Arial" w:cs="Arial"/>
          <w:sz w:val="24"/>
          <w:szCs w:val="24"/>
        </w:rPr>
        <w:t>[</w:t>
      </w:r>
      <w:r w:rsidR="003921CF">
        <w:rPr>
          <w:rFonts w:ascii="Arial" w:hAnsi="Arial" w:cs="Arial"/>
          <w:sz w:val="24"/>
          <w:szCs w:val="24"/>
        </w:rPr>
        <w:t>8</w:t>
      </w:r>
      <w:r>
        <w:rPr>
          <w:rFonts w:ascii="Arial" w:hAnsi="Arial" w:cs="Arial"/>
          <w:sz w:val="24"/>
          <w:szCs w:val="24"/>
        </w:rPr>
        <w:t>]</w:t>
      </w:r>
      <w:r>
        <w:rPr>
          <w:rFonts w:ascii="Arial" w:hAnsi="Arial" w:cs="Arial"/>
          <w:sz w:val="24"/>
          <w:szCs w:val="24"/>
        </w:rPr>
        <w:tab/>
        <w:t>Further</w:t>
      </w:r>
      <w:r w:rsidR="00174D07">
        <w:rPr>
          <w:rFonts w:ascii="Arial" w:hAnsi="Arial" w:cs="Arial"/>
          <w:sz w:val="24"/>
          <w:szCs w:val="24"/>
        </w:rPr>
        <w:t>more</w:t>
      </w:r>
      <w:r>
        <w:rPr>
          <w:rFonts w:ascii="Arial" w:hAnsi="Arial" w:cs="Arial"/>
          <w:sz w:val="24"/>
          <w:szCs w:val="24"/>
        </w:rPr>
        <w:t>, the respondents</w:t>
      </w:r>
      <w:r w:rsidR="00143E50">
        <w:rPr>
          <w:rFonts w:ascii="Arial" w:hAnsi="Arial" w:cs="Arial"/>
          <w:sz w:val="24"/>
          <w:szCs w:val="24"/>
        </w:rPr>
        <w:t xml:space="preserve"> allege</w:t>
      </w:r>
      <w:r>
        <w:rPr>
          <w:rFonts w:ascii="Arial" w:hAnsi="Arial" w:cs="Arial"/>
          <w:sz w:val="24"/>
          <w:szCs w:val="24"/>
        </w:rPr>
        <w:t xml:space="preserve"> that there was an oral agreement between the parties in terms of which all other loan facilities granted by the applicant to the respondents shall be consolidated into the CPL</w:t>
      </w:r>
      <w:r w:rsidR="003130E5">
        <w:rPr>
          <w:rFonts w:ascii="Arial" w:hAnsi="Arial" w:cs="Arial"/>
          <w:sz w:val="24"/>
          <w:szCs w:val="24"/>
        </w:rPr>
        <w:t xml:space="preserve"> (Commercial property loan)</w:t>
      </w:r>
      <w:r w:rsidR="00143E50">
        <w:rPr>
          <w:rFonts w:ascii="Arial" w:hAnsi="Arial" w:cs="Arial"/>
          <w:sz w:val="24"/>
          <w:szCs w:val="24"/>
        </w:rPr>
        <w:t xml:space="preserve">. </w:t>
      </w:r>
    </w:p>
    <w:p w:rsidR="003D3882" w:rsidRDefault="006A011A" w:rsidP="00BB5F70">
      <w:pPr>
        <w:spacing w:line="360" w:lineRule="auto"/>
        <w:rPr>
          <w:rFonts w:ascii="Arial" w:hAnsi="Arial" w:cs="Arial"/>
          <w:sz w:val="24"/>
          <w:szCs w:val="24"/>
        </w:rPr>
      </w:pPr>
      <w:r>
        <w:rPr>
          <w:rFonts w:ascii="Arial" w:hAnsi="Arial" w:cs="Arial"/>
          <w:sz w:val="24"/>
          <w:szCs w:val="24"/>
        </w:rPr>
        <w:t xml:space="preserve"> </w:t>
      </w:r>
      <w:r w:rsidR="004B5A58">
        <w:rPr>
          <w:rFonts w:ascii="Arial" w:hAnsi="Arial" w:cs="Arial"/>
          <w:sz w:val="24"/>
          <w:szCs w:val="24"/>
        </w:rPr>
        <w:t>From the reading of para 6.3 of the respondents answering affidavit only”</w:t>
      </w:r>
      <w:r w:rsidR="00774356">
        <w:rPr>
          <w:rFonts w:ascii="Arial" w:hAnsi="Arial" w:cs="Arial"/>
          <w:sz w:val="24"/>
          <w:szCs w:val="24"/>
        </w:rPr>
        <w:t xml:space="preserve"> </w:t>
      </w:r>
      <w:r w:rsidR="004B5A58">
        <w:rPr>
          <w:rFonts w:ascii="Arial" w:hAnsi="Arial" w:cs="Arial"/>
          <w:sz w:val="24"/>
          <w:szCs w:val="24"/>
        </w:rPr>
        <w:t>other loan facilities that the 2</w:t>
      </w:r>
      <w:r w:rsidR="004B5A58" w:rsidRPr="004B5A58">
        <w:rPr>
          <w:rFonts w:ascii="Arial" w:hAnsi="Arial" w:cs="Arial"/>
          <w:sz w:val="24"/>
          <w:szCs w:val="24"/>
          <w:vertAlign w:val="superscript"/>
        </w:rPr>
        <w:t>nd</w:t>
      </w:r>
      <w:r w:rsidR="004B5A58">
        <w:rPr>
          <w:rFonts w:ascii="Arial" w:hAnsi="Arial" w:cs="Arial"/>
          <w:sz w:val="24"/>
          <w:szCs w:val="24"/>
        </w:rPr>
        <w:t xml:space="preserve"> and 3</w:t>
      </w:r>
      <w:r w:rsidR="004B5A58" w:rsidRPr="004B5A58">
        <w:rPr>
          <w:rFonts w:ascii="Arial" w:hAnsi="Arial" w:cs="Arial"/>
          <w:sz w:val="24"/>
          <w:szCs w:val="24"/>
          <w:vertAlign w:val="superscript"/>
        </w:rPr>
        <w:t>rd</w:t>
      </w:r>
      <w:r w:rsidR="004B5A58">
        <w:rPr>
          <w:rFonts w:ascii="Arial" w:hAnsi="Arial" w:cs="Arial"/>
          <w:sz w:val="24"/>
          <w:szCs w:val="24"/>
        </w:rPr>
        <w:t xml:space="preserve"> respondents have with the applicant will be consolidated in the CPL” the loan which resulted in the </w:t>
      </w:r>
      <w:r w:rsidR="00774356">
        <w:rPr>
          <w:rFonts w:ascii="Arial" w:hAnsi="Arial" w:cs="Arial"/>
          <w:sz w:val="24"/>
          <w:szCs w:val="24"/>
        </w:rPr>
        <w:t xml:space="preserve">default </w:t>
      </w:r>
      <w:r w:rsidR="004B5A58">
        <w:rPr>
          <w:rFonts w:ascii="Arial" w:hAnsi="Arial" w:cs="Arial"/>
          <w:sz w:val="24"/>
          <w:szCs w:val="24"/>
        </w:rPr>
        <w:t xml:space="preserve">judgement and the rule 108 application was only </w:t>
      </w:r>
      <w:r w:rsidR="00D92601">
        <w:rPr>
          <w:rFonts w:ascii="Arial" w:hAnsi="Arial" w:cs="Arial"/>
          <w:sz w:val="24"/>
          <w:szCs w:val="24"/>
        </w:rPr>
        <w:t xml:space="preserve">granted to first respondent </w:t>
      </w:r>
      <w:r w:rsidR="004B5A58">
        <w:rPr>
          <w:rFonts w:ascii="Arial" w:hAnsi="Arial" w:cs="Arial"/>
          <w:sz w:val="24"/>
          <w:szCs w:val="24"/>
        </w:rPr>
        <w:t xml:space="preserve"> </w:t>
      </w:r>
      <w:r w:rsidR="00774356">
        <w:rPr>
          <w:rFonts w:ascii="Arial" w:hAnsi="Arial" w:cs="Arial"/>
          <w:sz w:val="24"/>
          <w:szCs w:val="24"/>
        </w:rPr>
        <w:t xml:space="preserve">and </w:t>
      </w:r>
      <w:r w:rsidR="004B5A58">
        <w:rPr>
          <w:rFonts w:ascii="Arial" w:hAnsi="Arial" w:cs="Arial"/>
          <w:sz w:val="24"/>
          <w:szCs w:val="24"/>
        </w:rPr>
        <w:t>2</w:t>
      </w:r>
      <w:r w:rsidR="004B5A58" w:rsidRPr="004B5A58">
        <w:rPr>
          <w:rFonts w:ascii="Arial" w:hAnsi="Arial" w:cs="Arial"/>
          <w:sz w:val="24"/>
          <w:szCs w:val="24"/>
          <w:vertAlign w:val="superscript"/>
        </w:rPr>
        <w:t>nd</w:t>
      </w:r>
      <w:r w:rsidR="004B5A58">
        <w:rPr>
          <w:rFonts w:ascii="Arial" w:hAnsi="Arial" w:cs="Arial"/>
          <w:sz w:val="24"/>
          <w:szCs w:val="24"/>
        </w:rPr>
        <w:t xml:space="preserve"> and 3</w:t>
      </w:r>
      <w:r w:rsidR="004B5A58" w:rsidRPr="004B5A58">
        <w:rPr>
          <w:rFonts w:ascii="Arial" w:hAnsi="Arial" w:cs="Arial"/>
          <w:sz w:val="24"/>
          <w:szCs w:val="24"/>
          <w:vertAlign w:val="superscript"/>
        </w:rPr>
        <w:t>rd</w:t>
      </w:r>
      <w:r w:rsidR="004B5A58">
        <w:rPr>
          <w:rFonts w:ascii="Arial" w:hAnsi="Arial" w:cs="Arial"/>
          <w:sz w:val="24"/>
          <w:szCs w:val="24"/>
        </w:rPr>
        <w:t xml:space="preserve"> respondents only signed suretyships, and therefore that loan was not consolidated in the CPL</w:t>
      </w:r>
      <w:r w:rsidR="00E83C63">
        <w:rPr>
          <w:rFonts w:ascii="Arial" w:hAnsi="Arial" w:cs="Arial"/>
          <w:sz w:val="24"/>
          <w:szCs w:val="24"/>
        </w:rPr>
        <w:t xml:space="preserve">. Furthermore </w:t>
      </w:r>
      <w:r w:rsidR="00D92601">
        <w:rPr>
          <w:rFonts w:ascii="Arial" w:hAnsi="Arial" w:cs="Arial"/>
          <w:sz w:val="24"/>
          <w:szCs w:val="24"/>
        </w:rPr>
        <w:t xml:space="preserve"> all the loan facilities between the parties were reduced to writing and there are standard non variation clauses </w:t>
      </w:r>
      <w:r w:rsidR="00E83C63">
        <w:rPr>
          <w:rFonts w:ascii="Arial" w:hAnsi="Arial" w:cs="Arial"/>
          <w:sz w:val="24"/>
          <w:szCs w:val="24"/>
        </w:rPr>
        <w:t>in all those agreements and any variation to those loan agreements have to be reduced to writing and signed by both parties and the submission that there was an oral agreement is highly doubtful.</w:t>
      </w:r>
      <w:r w:rsidR="00D92601">
        <w:rPr>
          <w:rFonts w:ascii="Arial" w:hAnsi="Arial" w:cs="Arial"/>
          <w:sz w:val="24"/>
          <w:szCs w:val="24"/>
        </w:rPr>
        <w:t xml:space="preserve"> </w:t>
      </w:r>
    </w:p>
    <w:p w:rsidR="003D3882" w:rsidRDefault="003D3882" w:rsidP="00BB5F70">
      <w:pPr>
        <w:spacing w:line="360" w:lineRule="auto"/>
        <w:rPr>
          <w:rFonts w:ascii="Arial" w:hAnsi="Arial" w:cs="Arial"/>
          <w:sz w:val="24"/>
          <w:szCs w:val="24"/>
        </w:rPr>
      </w:pPr>
    </w:p>
    <w:p w:rsidR="00B14348" w:rsidRDefault="003D3882" w:rsidP="00BB5F70">
      <w:pPr>
        <w:spacing w:line="360" w:lineRule="auto"/>
        <w:rPr>
          <w:rFonts w:ascii="Arial" w:hAnsi="Arial" w:cs="Arial"/>
          <w:sz w:val="24"/>
          <w:szCs w:val="24"/>
        </w:rPr>
      </w:pPr>
      <w:r>
        <w:rPr>
          <w:rFonts w:ascii="Arial" w:hAnsi="Arial" w:cs="Arial"/>
          <w:sz w:val="24"/>
          <w:szCs w:val="24"/>
        </w:rPr>
        <w:lastRenderedPageBreak/>
        <w:t>[</w:t>
      </w:r>
      <w:r w:rsidR="003921CF">
        <w:rPr>
          <w:rFonts w:ascii="Arial" w:hAnsi="Arial" w:cs="Arial"/>
          <w:sz w:val="24"/>
          <w:szCs w:val="24"/>
        </w:rPr>
        <w:t>9</w:t>
      </w:r>
      <w:r>
        <w:rPr>
          <w:rFonts w:ascii="Arial" w:hAnsi="Arial" w:cs="Arial"/>
          <w:sz w:val="24"/>
          <w:szCs w:val="24"/>
        </w:rPr>
        <w:t>]</w:t>
      </w:r>
      <w:r w:rsidR="00237777">
        <w:rPr>
          <w:rFonts w:ascii="Arial" w:hAnsi="Arial" w:cs="Arial"/>
          <w:sz w:val="24"/>
          <w:szCs w:val="24"/>
        </w:rPr>
        <w:tab/>
      </w:r>
      <w:r w:rsidR="002521B7">
        <w:rPr>
          <w:rFonts w:ascii="Arial" w:hAnsi="Arial" w:cs="Arial"/>
          <w:sz w:val="24"/>
          <w:szCs w:val="24"/>
        </w:rPr>
        <w:t>Respondents</w:t>
      </w:r>
      <w:r>
        <w:rPr>
          <w:rFonts w:ascii="Arial" w:hAnsi="Arial" w:cs="Arial"/>
          <w:sz w:val="24"/>
          <w:szCs w:val="24"/>
        </w:rPr>
        <w:t xml:space="preserve"> </w:t>
      </w:r>
      <w:r w:rsidR="00143E50">
        <w:rPr>
          <w:rFonts w:ascii="Arial" w:hAnsi="Arial" w:cs="Arial"/>
          <w:sz w:val="24"/>
          <w:szCs w:val="24"/>
        </w:rPr>
        <w:t>further submit that the</w:t>
      </w:r>
      <w:r>
        <w:rPr>
          <w:rFonts w:ascii="Arial" w:hAnsi="Arial" w:cs="Arial"/>
          <w:sz w:val="24"/>
          <w:szCs w:val="24"/>
        </w:rPr>
        <w:t xml:space="preserve"> parties entered into and concluded a partnership agreement. In terms of the said agreement, the a</w:t>
      </w:r>
      <w:r w:rsidR="002521B7">
        <w:rPr>
          <w:rFonts w:ascii="Arial" w:hAnsi="Arial" w:cs="Arial"/>
          <w:sz w:val="24"/>
          <w:szCs w:val="24"/>
        </w:rPr>
        <w:t>pplicant undertook to grant a C</w:t>
      </w:r>
      <w:r>
        <w:rPr>
          <w:rFonts w:ascii="Arial" w:hAnsi="Arial" w:cs="Arial"/>
          <w:sz w:val="24"/>
          <w:szCs w:val="24"/>
        </w:rPr>
        <w:t>P</w:t>
      </w:r>
      <w:r w:rsidR="002521B7">
        <w:rPr>
          <w:rFonts w:ascii="Arial" w:hAnsi="Arial" w:cs="Arial"/>
          <w:sz w:val="24"/>
          <w:szCs w:val="24"/>
        </w:rPr>
        <w:t>L</w:t>
      </w:r>
      <w:r>
        <w:rPr>
          <w:rFonts w:ascii="Arial" w:hAnsi="Arial" w:cs="Arial"/>
          <w:sz w:val="24"/>
          <w:szCs w:val="24"/>
        </w:rPr>
        <w:t xml:space="preserve"> to the 1</w:t>
      </w:r>
      <w:r w:rsidRPr="0005246E">
        <w:rPr>
          <w:rFonts w:ascii="Arial" w:hAnsi="Arial" w:cs="Arial"/>
          <w:sz w:val="24"/>
          <w:szCs w:val="24"/>
          <w:vertAlign w:val="superscript"/>
        </w:rPr>
        <w:t>st</w:t>
      </w:r>
      <w:r>
        <w:rPr>
          <w:rFonts w:ascii="Arial" w:hAnsi="Arial" w:cs="Arial"/>
          <w:sz w:val="24"/>
          <w:szCs w:val="24"/>
        </w:rPr>
        <w:t xml:space="preserve"> respondent to build 107 two bedroom apartment</w:t>
      </w:r>
      <w:r w:rsidR="009056EA">
        <w:rPr>
          <w:rFonts w:ascii="Arial" w:hAnsi="Arial" w:cs="Arial"/>
          <w:sz w:val="24"/>
          <w:szCs w:val="24"/>
        </w:rPr>
        <w:t>s</w:t>
      </w:r>
      <w:r>
        <w:rPr>
          <w:rFonts w:ascii="Arial" w:hAnsi="Arial" w:cs="Arial"/>
          <w:sz w:val="24"/>
          <w:szCs w:val="24"/>
        </w:rPr>
        <w:t xml:space="preserve"> at the cost of N$860 000.00 each and 86 one bedroom apartments at the cost</w:t>
      </w:r>
      <w:r w:rsidR="009056EA">
        <w:rPr>
          <w:rFonts w:ascii="Arial" w:hAnsi="Arial" w:cs="Arial"/>
          <w:sz w:val="24"/>
          <w:szCs w:val="24"/>
        </w:rPr>
        <w:t xml:space="preserve"> of N$760 000 and after completion of the apartments, the applicant’s employees will purchase same with home loans from the applicant. The income and profit would have been used to pay off the CP</w:t>
      </w:r>
      <w:r w:rsidR="00774356">
        <w:rPr>
          <w:rFonts w:ascii="Arial" w:hAnsi="Arial" w:cs="Arial"/>
          <w:sz w:val="24"/>
          <w:szCs w:val="24"/>
        </w:rPr>
        <w:t>L</w:t>
      </w:r>
      <w:r w:rsidR="009056EA">
        <w:rPr>
          <w:rFonts w:ascii="Arial" w:hAnsi="Arial" w:cs="Arial"/>
          <w:sz w:val="24"/>
          <w:szCs w:val="24"/>
        </w:rPr>
        <w:t>. The applicant breached the agreement by pulling out of the partnership and the respondents were unable to service the CPL including the loan facilities which are the subject of this application</w:t>
      </w:r>
      <w:r w:rsidR="006D3B03">
        <w:rPr>
          <w:rFonts w:ascii="Arial" w:hAnsi="Arial" w:cs="Arial"/>
          <w:sz w:val="24"/>
          <w:szCs w:val="24"/>
        </w:rPr>
        <w:t>.</w:t>
      </w:r>
      <w:r w:rsidR="00774356">
        <w:rPr>
          <w:rFonts w:ascii="Arial" w:hAnsi="Arial" w:cs="Arial"/>
          <w:sz w:val="24"/>
          <w:szCs w:val="24"/>
        </w:rPr>
        <w:t xml:space="preserve"> The applicant is partly </w:t>
      </w:r>
      <w:r w:rsidR="003921CF">
        <w:rPr>
          <w:rFonts w:ascii="Arial" w:hAnsi="Arial" w:cs="Arial"/>
          <w:sz w:val="24"/>
          <w:szCs w:val="24"/>
        </w:rPr>
        <w:t>blameworthy</w:t>
      </w:r>
      <w:r w:rsidR="00774356">
        <w:rPr>
          <w:rFonts w:ascii="Arial" w:hAnsi="Arial" w:cs="Arial"/>
          <w:sz w:val="24"/>
          <w:szCs w:val="24"/>
        </w:rPr>
        <w:t xml:space="preserve"> in the respondents’</w:t>
      </w:r>
      <w:r w:rsidR="00D337C9">
        <w:rPr>
          <w:rFonts w:ascii="Arial" w:hAnsi="Arial" w:cs="Arial"/>
          <w:sz w:val="24"/>
          <w:szCs w:val="24"/>
        </w:rPr>
        <w:t xml:space="preserve"> to pay the CPL as agreed.</w:t>
      </w:r>
    </w:p>
    <w:p w:rsidR="006D3B03" w:rsidRDefault="006D3B03" w:rsidP="00BB5F70">
      <w:pPr>
        <w:spacing w:line="360" w:lineRule="auto"/>
        <w:rPr>
          <w:rFonts w:ascii="Arial" w:hAnsi="Arial" w:cs="Arial"/>
          <w:sz w:val="24"/>
          <w:szCs w:val="24"/>
        </w:rPr>
      </w:pPr>
    </w:p>
    <w:p w:rsidR="00392BD7" w:rsidRPr="006C3B2A" w:rsidRDefault="006D3B03" w:rsidP="00BB5F70">
      <w:pPr>
        <w:spacing w:line="360" w:lineRule="auto"/>
        <w:rPr>
          <w:rFonts w:ascii="Arial" w:hAnsi="Arial" w:cs="Arial"/>
          <w:b/>
          <w:sz w:val="24"/>
          <w:szCs w:val="24"/>
        </w:rPr>
      </w:pPr>
      <w:r>
        <w:rPr>
          <w:rFonts w:ascii="Arial" w:eastAsia="Calibri" w:hAnsi="Arial" w:cs="Arial"/>
          <w:sz w:val="24"/>
          <w:szCs w:val="24"/>
        </w:rPr>
        <w:t>[</w:t>
      </w:r>
      <w:r w:rsidR="000204F0">
        <w:rPr>
          <w:rFonts w:ascii="Arial" w:eastAsia="Calibri" w:hAnsi="Arial" w:cs="Arial"/>
          <w:sz w:val="24"/>
          <w:szCs w:val="24"/>
        </w:rPr>
        <w:t>1</w:t>
      </w:r>
      <w:r w:rsidR="003921CF">
        <w:rPr>
          <w:rFonts w:ascii="Arial" w:eastAsia="Calibri" w:hAnsi="Arial" w:cs="Arial"/>
          <w:sz w:val="24"/>
          <w:szCs w:val="24"/>
        </w:rPr>
        <w:t>0</w:t>
      </w:r>
      <w:r>
        <w:rPr>
          <w:rFonts w:ascii="Arial" w:eastAsia="Calibri" w:hAnsi="Arial" w:cs="Arial"/>
          <w:sz w:val="24"/>
          <w:szCs w:val="24"/>
        </w:rPr>
        <w:t>]</w:t>
      </w:r>
      <w:r w:rsidR="00237777">
        <w:rPr>
          <w:rFonts w:ascii="Arial" w:eastAsia="Calibri" w:hAnsi="Arial" w:cs="Arial"/>
          <w:sz w:val="24"/>
          <w:szCs w:val="24"/>
        </w:rPr>
        <w:tab/>
        <w:t>In</w:t>
      </w:r>
      <w:r w:rsidR="00143E50">
        <w:rPr>
          <w:rFonts w:ascii="Arial" w:eastAsia="Calibri" w:hAnsi="Arial" w:cs="Arial"/>
          <w:sz w:val="24"/>
          <w:szCs w:val="24"/>
        </w:rPr>
        <w:t xml:space="preserve"> the court’s view</w:t>
      </w:r>
      <w:r w:rsidR="00CB0B2C">
        <w:rPr>
          <w:rFonts w:ascii="Arial" w:eastAsia="Calibri" w:hAnsi="Arial" w:cs="Arial"/>
          <w:sz w:val="24"/>
          <w:szCs w:val="24"/>
        </w:rPr>
        <w:t>s</w:t>
      </w:r>
      <w:r w:rsidR="00143E50">
        <w:rPr>
          <w:rFonts w:ascii="Arial" w:eastAsia="Calibri" w:hAnsi="Arial" w:cs="Arial"/>
          <w:sz w:val="24"/>
          <w:szCs w:val="24"/>
        </w:rPr>
        <w:t>,</w:t>
      </w:r>
      <w:r w:rsidR="00CB0B2C">
        <w:rPr>
          <w:rFonts w:ascii="Arial" w:eastAsia="Calibri" w:hAnsi="Arial" w:cs="Arial"/>
          <w:sz w:val="24"/>
          <w:szCs w:val="24"/>
        </w:rPr>
        <w:t xml:space="preserve"> </w:t>
      </w:r>
      <w:r w:rsidR="00143E50">
        <w:rPr>
          <w:rFonts w:ascii="Arial" w:eastAsia="Calibri" w:hAnsi="Arial" w:cs="Arial"/>
          <w:sz w:val="24"/>
          <w:szCs w:val="24"/>
        </w:rPr>
        <w:t>a</w:t>
      </w:r>
      <w:r w:rsidR="00D337C9">
        <w:rPr>
          <w:rFonts w:ascii="Arial" w:eastAsia="Calibri" w:hAnsi="Arial" w:cs="Arial"/>
          <w:sz w:val="24"/>
          <w:szCs w:val="24"/>
        </w:rPr>
        <w:t>s far as the alleged partnership agreement is concerned</w:t>
      </w:r>
      <w:r w:rsidR="006E3822">
        <w:rPr>
          <w:rFonts w:ascii="Arial" w:eastAsia="Calibri" w:hAnsi="Arial" w:cs="Arial"/>
          <w:sz w:val="24"/>
          <w:szCs w:val="24"/>
        </w:rPr>
        <w:t>,</w:t>
      </w:r>
      <w:r w:rsidR="00D337C9">
        <w:rPr>
          <w:rFonts w:ascii="Arial" w:eastAsia="Calibri" w:hAnsi="Arial" w:cs="Arial"/>
          <w:sz w:val="24"/>
          <w:szCs w:val="24"/>
        </w:rPr>
        <w:t xml:space="preserve"> it appears that i</w:t>
      </w:r>
      <w:r w:rsidR="00392BD7">
        <w:rPr>
          <w:rFonts w:ascii="Arial" w:eastAsia="Calibri" w:hAnsi="Arial" w:cs="Arial"/>
          <w:sz w:val="24"/>
          <w:szCs w:val="24"/>
        </w:rPr>
        <w:t>n terms of ‘annexure 2’</w:t>
      </w:r>
      <w:r w:rsidR="00CB0B2C">
        <w:rPr>
          <w:rStyle w:val="FootnoteReference"/>
          <w:rFonts w:ascii="Arial" w:eastAsia="Calibri" w:hAnsi="Arial" w:cs="Arial"/>
          <w:sz w:val="24"/>
          <w:szCs w:val="24"/>
        </w:rPr>
        <w:footnoteReference w:id="2"/>
      </w:r>
      <w:r w:rsidR="00536D0C">
        <w:rPr>
          <w:rFonts w:ascii="Arial" w:eastAsia="Calibri" w:hAnsi="Arial" w:cs="Arial"/>
          <w:sz w:val="24"/>
          <w:szCs w:val="24"/>
        </w:rPr>
        <w:t xml:space="preserve"> </w:t>
      </w:r>
      <w:r w:rsidR="00CB0B2C">
        <w:rPr>
          <w:rFonts w:ascii="Arial" w:eastAsia="Calibri" w:hAnsi="Arial" w:cs="Arial"/>
          <w:sz w:val="24"/>
          <w:szCs w:val="24"/>
        </w:rPr>
        <w:t>(</w:t>
      </w:r>
      <w:r w:rsidR="00392BD7">
        <w:rPr>
          <w:rFonts w:ascii="Arial" w:eastAsia="Calibri" w:hAnsi="Arial" w:cs="Arial"/>
          <w:sz w:val="24"/>
          <w:szCs w:val="24"/>
        </w:rPr>
        <w:t>the respondent</w:t>
      </w:r>
      <w:r w:rsidR="00D337C9">
        <w:rPr>
          <w:rFonts w:ascii="Arial" w:eastAsia="Calibri" w:hAnsi="Arial" w:cs="Arial"/>
          <w:sz w:val="24"/>
          <w:szCs w:val="24"/>
        </w:rPr>
        <w:t>s</w:t>
      </w:r>
      <w:r w:rsidR="00392BD7">
        <w:rPr>
          <w:rFonts w:ascii="Arial" w:eastAsia="Calibri" w:hAnsi="Arial" w:cs="Arial"/>
          <w:sz w:val="24"/>
          <w:szCs w:val="24"/>
        </w:rPr>
        <w:t xml:space="preserve"> addressed a letter to the applicant in which </w:t>
      </w:r>
      <w:r w:rsidR="006E3822">
        <w:rPr>
          <w:rFonts w:ascii="Arial" w:eastAsia="Calibri" w:hAnsi="Arial" w:cs="Arial"/>
          <w:sz w:val="24"/>
          <w:szCs w:val="24"/>
        </w:rPr>
        <w:t xml:space="preserve">they </w:t>
      </w:r>
      <w:r w:rsidR="003921CF">
        <w:rPr>
          <w:rFonts w:ascii="Arial" w:eastAsia="Calibri" w:hAnsi="Arial" w:cs="Arial"/>
          <w:sz w:val="24"/>
          <w:szCs w:val="24"/>
        </w:rPr>
        <w:t>propose the formation of a partnership with the applicant to provide affordable housing to Namibians. The respondents will make erf 1448 available for developm</w:t>
      </w:r>
      <w:r w:rsidR="00B1196D">
        <w:rPr>
          <w:rFonts w:ascii="Arial" w:eastAsia="Calibri" w:hAnsi="Arial" w:cs="Arial"/>
          <w:sz w:val="24"/>
          <w:szCs w:val="24"/>
        </w:rPr>
        <w:t>ent and they further proposed:</w:t>
      </w:r>
      <w:r w:rsidR="00392BD7">
        <w:rPr>
          <w:rFonts w:ascii="Arial" w:eastAsia="Calibri" w:hAnsi="Arial" w:cs="Arial"/>
          <w:sz w:val="24"/>
          <w:szCs w:val="24"/>
        </w:rPr>
        <w:t xml:space="preserve"> ‘We propose to Standard Bank </w:t>
      </w:r>
      <w:r>
        <w:rPr>
          <w:rFonts w:ascii="Arial" w:eastAsia="Calibri" w:hAnsi="Arial" w:cs="Arial"/>
          <w:sz w:val="24"/>
          <w:szCs w:val="24"/>
        </w:rPr>
        <w:t xml:space="preserve">to </w:t>
      </w:r>
      <w:r w:rsidR="00392BD7">
        <w:rPr>
          <w:rFonts w:ascii="Arial" w:eastAsia="Calibri" w:hAnsi="Arial" w:cs="Arial"/>
          <w:sz w:val="24"/>
          <w:szCs w:val="24"/>
        </w:rPr>
        <w:t xml:space="preserve">consolidate all the above outstanding amounts together with a small profit margin for MGM properties for the sale of the land to Standard Bank for N$50 250 000.00.’ </w:t>
      </w:r>
      <w:r w:rsidR="003921CF">
        <w:rPr>
          <w:rFonts w:ascii="Arial" w:eastAsia="Calibri" w:hAnsi="Arial" w:cs="Arial"/>
          <w:sz w:val="24"/>
          <w:szCs w:val="24"/>
        </w:rPr>
        <w:t>The applicant rejected that proposal on 14 December 2018 and there is n</w:t>
      </w:r>
      <w:r w:rsidR="00392BD7">
        <w:rPr>
          <w:rFonts w:ascii="Arial" w:eastAsia="Calibri" w:hAnsi="Arial" w:cs="Arial"/>
          <w:sz w:val="24"/>
          <w:szCs w:val="24"/>
        </w:rPr>
        <w:t>o evidence presented that the applicant accepted that prop</w:t>
      </w:r>
      <w:r w:rsidR="00536D0C">
        <w:rPr>
          <w:rFonts w:ascii="Arial" w:eastAsia="Calibri" w:hAnsi="Arial" w:cs="Arial"/>
          <w:sz w:val="24"/>
          <w:szCs w:val="24"/>
        </w:rPr>
        <w:t xml:space="preserve">osal and signed a sale </w:t>
      </w:r>
      <w:r w:rsidR="00CB0B2C">
        <w:rPr>
          <w:rFonts w:ascii="Arial" w:eastAsia="Calibri" w:hAnsi="Arial" w:cs="Arial"/>
          <w:sz w:val="24"/>
          <w:szCs w:val="24"/>
        </w:rPr>
        <w:t>agreement</w:t>
      </w:r>
      <w:r w:rsidR="00536D0C">
        <w:rPr>
          <w:rFonts w:ascii="Arial" w:eastAsia="Calibri" w:hAnsi="Arial" w:cs="Arial"/>
          <w:sz w:val="24"/>
          <w:szCs w:val="24"/>
        </w:rPr>
        <w:t>.</w:t>
      </w:r>
    </w:p>
    <w:p w:rsidR="00F62FEA" w:rsidRDefault="00F62FEA" w:rsidP="00BB5F70">
      <w:pPr>
        <w:spacing w:line="360" w:lineRule="auto"/>
        <w:rPr>
          <w:rFonts w:ascii="Arial" w:hAnsi="Arial" w:cs="Arial"/>
          <w:sz w:val="24"/>
          <w:szCs w:val="24"/>
        </w:rPr>
      </w:pPr>
    </w:p>
    <w:p w:rsidR="00757BAF" w:rsidRDefault="009056EA" w:rsidP="00BB5F70">
      <w:pPr>
        <w:spacing w:line="360" w:lineRule="auto"/>
        <w:rPr>
          <w:rFonts w:ascii="Arial" w:hAnsi="Arial" w:cs="Arial"/>
          <w:sz w:val="24"/>
          <w:szCs w:val="24"/>
        </w:rPr>
      </w:pPr>
      <w:r>
        <w:rPr>
          <w:rFonts w:ascii="Arial" w:hAnsi="Arial" w:cs="Arial"/>
          <w:sz w:val="24"/>
          <w:szCs w:val="24"/>
        </w:rPr>
        <w:t>[</w:t>
      </w:r>
      <w:r w:rsidR="000204F0">
        <w:rPr>
          <w:rFonts w:ascii="Arial" w:hAnsi="Arial" w:cs="Arial"/>
          <w:sz w:val="24"/>
          <w:szCs w:val="24"/>
        </w:rPr>
        <w:t>1</w:t>
      </w:r>
      <w:r w:rsidR="00536D0C">
        <w:rPr>
          <w:rFonts w:ascii="Arial" w:hAnsi="Arial" w:cs="Arial"/>
          <w:sz w:val="24"/>
          <w:szCs w:val="24"/>
        </w:rPr>
        <w:t>1]</w:t>
      </w:r>
      <w:r w:rsidR="00237777">
        <w:rPr>
          <w:rFonts w:ascii="Arial" w:hAnsi="Arial" w:cs="Arial"/>
          <w:sz w:val="24"/>
          <w:szCs w:val="24"/>
        </w:rPr>
        <w:tab/>
      </w:r>
      <w:r w:rsidR="00536D0C">
        <w:rPr>
          <w:rFonts w:ascii="Arial" w:hAnsi="Arial" w:cs="Arial"/>
          <w:sz w:val="24"/>
          <w:szCs w:val="24"/>
        </w:rPr>
        <w:t>T</w:t>
      </w:r>
      <w:r>
        <w:rPr>
          <w:rFonts w:ascii="Arial" w:hAnsi="Arial" w:cs="Arial"/>
          <w:sz w:val="24"/>
          <w:szCs w:val="24"/>
        </w:rPr>
        <w:t>he mere fact that the respondents</w:t>
      </w:r>
      <w:r w:rsidR="009958CD">
        <w:rPr>
          <w:rFonts w:ascii="Arial" w:hAnsi="Arial" w:cs="Arial"/>
          <w:sz w:val="24"/>
          <w:szCs w:val="24"/>
        </w:rPr>
        <w:t xml:space="preserve"> and the applicant</w:t>
      </w:r>
      <w:r>
        <w:rPr>
          <w:rFonts w:ascii="Arial" w:hAnsi="Arial" w:cs="Arial"/>
          <w:sz w:val="24"/>
          <w:szCs w:val="24"/>
        </w:rPr>
        <w:t xml:space="preserve"> are involved in a legal </w:t>
      </w:r>
      <w:r w:rsidR="002A45BF">
        <w:rPr>
          <w:rFonts w:ascii="Arial" w:hAnsi="Arial" w:cs="Arial"/>
          <w:sz w:val="24"/>
          <w:szCs w:val="24"/>
        </w:rPr>
        <w:t>battle</w:t>
      </w:r>
      <w:r>
        <w:rPr>
          <w:rFonts w:ascii="Arial" w:hAnsi="Arial" w:cs="Arial"/>
          <w:sz w:val="24"/>
          <w:szCs w:val="24"/>
        </w:rPr>
        <w:t xml:space="preserve"> for breach of contract</w:t>
      </w:r>
      <w:r w:rsidR="00C13B2B">
        <w:rPr>
          <w:rFonts w:ascii="Arial" w:hAnsi="Arial" w:cs="Arial"/>
          <w:sz w:val="24"/>
          <w:szCs w:val="24"/>
        </w:rPr>
        <w:t xml:space="preserve"> by the applicant</w:t>
      </w:r>
      <w:r>
        <w:rPr>
          <w:rFonts w:ascii="Arial" w:hAnsi="Arial" w:cs="Arial"/>
          <w:sz w:val="24"/>
          <w:szCs w:val="24"/>
        </w:rPr>
        <w:t xml:space="preserve"> unrelated to the loan which was granted in this case and which respondents failed to honor, should in my view not stan</w:t>
      </w:r>
      <w:r w:rsidR="007E76BC">
        <w:rPr>
          <w:rFonts w:ascii="Arial" w:hAnsi="Arial" w:cs="Arial"/>
          <w:sz w:val="24"/>
          <w:szCs w:val="24"/>
        </w:rPr>
        <w:t>d in the way of the applicant</w:t>
      </w:r>
      <w:r>
        <w:rPr>
          <w:rFonts w:ascii="Arial" w:hAnsi="Arial" w:cs="Arial"/>
          <w:sz w:val="24"/>
          <w:szCs w:val="24"/>
        </w:rPr>
        <w:t xml:space="preserve"> </w:t>
      </w:r>
      <w:r w:rsidR="002A45BF">
        <w:rPr>
          <w:rFonts w:ascii="Arial" w:hAnsi="Arial" w:cs="Arial"/>
          <w:sz w:val="24"/>
          <w:szCs w:val="24"/>
        </w:rPr>
        <w:t>obtaining</w:t>
      </w:r>
      <w:r>
        <w:rPr>
          <w:rFonts w:ascii="Arial" w:hAnsi="Arial" w:cs="Arial"/>
          <w:sz w:val="24"/>
          <w:szCs w:val="24"/>
        </w:rPr>
        <w:t xml:space="preserve"> the relief sought.</w:t>
      </w:r>
      <w:r w:rsidR="004A6767">
        <w:rPr>
          <w:rFonts w:ascii="Arial" w:hAnsi="Arial" w:cs="Arial"/>
          <w:sz w:val="24"/>
          <w:szCs w:val="24"/>
        </w:rPr>
        <w:t xml:space="preserve"> </w:t>
      </w:r>
      <w:r w:rsidR="00D717BF">
        <w:rPr>
          <w:rFonts w:ascii="Arial" w:hAnsi="Arial" w:cs="Arial"/>
          <w:sz w:val="24"/>
          <w:szCs w:val="24"/>
        </w:rPr>
        <w:t>The applicant has a default judgement in its favour.</w:t>
      </w:r>
      <w:r>
        <w:rPr>
          <w:rFonts w:ascii="Arial" w:hAnsi="Arial" w:cs="Arial"/>
          <w:sz w:val="24"/>
          <w:szCs w:val="24"/>
        </w:rPr>
        <w:t xml:space="preserve"> H</w:t>
      </w:r>
      <w:r w:rsidR="00B1196D">
        <w:rPr>
          <w:rFonts w:ascii="Arial" w:hAnsi="Arial" w:cs="Arial"/>
          <w:sz w:val="24"/>
          <w:szCs w:val="24"/>
        </w:rPr>
        <w:t>ow long will it take before</w:t>
      </w:r>
      <w:r w:rsidR="009C1759">
        <w:rPr>
          <w:rFonts w:ascii="Arial" w:hAnsi="Arial" w:cs="Arial"/>
          <w:sz w:val="24"/>
          <w:szCs w:val="24"/>
        </w:rPr>
        <w:t xml:space="preserve"> the</w:t>
      </w:r>
      <w:r w:rsidR="00B1196D">
        <w:rPr>
          <w:rFonts w:ascii="Arial" w:hAnsi="Arial" w:cs="Arial"/>
          <w:sz w:val="24"/>
          <w:szCs w:val="24"/>
        </w:rPr>
        <w:t xml:space="preserve"> legal</w:t>
      </w:r>
      <w:r>
        <w:rPr>
          <w:rFonts w:ascii="Arial" w:hAnsi="Arial" w:cs="Arial"/>
          <w:sz w:val="24"/>
          <w:szCs w:val="24"/>
        </w:rPr>
        <w:t xml:space="preserve"> </w:t>
      </w:r>
      <w:r w:rsidR="002A45BF">
        <w:rPr>
          <w:rFonts w:ascii="Arial" w:hAnsi="Arial" w:cs="Arial"/>
          <w:sz w:val="24"/>
          <w:szCs w:val="24"/>
        </w:rPr>
        <w:t>battle</w:t>
      </w:r>
      <w:r>
        <w:rPr>
          <w:rFonts w:ascii="Arial" w:hAnsi="Arial" w:cs="Arial"/>
          <w:sz w:val="24"/>
          <w:szCs w:val="24"/>
        </w:rPr>
        <w:t xml:space="preserve"> is resolved? What guarantee is there that the respondents will emerge victorious? Is it fair</w:t>
      </w:r>
      <w:r w:rsidR="00D717BF">
        <w:rPr>
          <w:rFonts w:ascii="Arial" w:hAnsi="Arial" w:cs="Arial"/>
          <w:sz w:val="24"/>
          <w:szCs w:val="24"/>
        </w:rPr>
        <w:t xml:space="preserve"> and reasonable</w:t>
      </w:r>
      <w:r>
        <w:rPr>
          <w:rFonts w:ascii="Arial" w:hAnsi="Arial" w:cs="Arial"/>
          <w:sz w:val="24"/>
          <w:szCs w:val="24"/>
        </w:rPr>
        <w:t xml:space="preserve"> for the applicant to</w:t>
      </w:r>
      <w:r w:rsidR="00536D0C">
        <w:rPr>
          <w:rFonts w:ascii="Arial" w:hAnsi="Arial" w:cs="Arial"/>
          <w:sz w:val="24"/>
          <w:szCs w:val="24"/>
        </w:rPr>
        <w:t xml:space="preserve"> endure s</w:t>
      </w:r>
      <w:r w:rsidR="002521B7">
        <w:rPr>
          <w:rFonts w:ascii="Arial" w:hAnsi="Arial" w:cs="Arial"/>
          <w:sz w:val="24"/>
          <w:szCs w:val="24"/>
        </w:rPr>
        <w:t>uch a lengthy wait</w:t>
      </w:r>
      <w:r>
        <w:rPr>
          <w:rFonts w:ascii="Arial" w:hAnsi="Arial" w:cs="Arial"/>
          <w:sz w:val="24"/>
          <w:szCs w:val="24"/>
        </w:rPr>
        <w:t>? I think not.</w:t>
      </w:r>
      <w:r w:rsidR="00C13B2B">
        <w:rPr>
          <w:rFonts w:ascii="Arial" w:hAnsi="Arial" w:cs="Arial"/>
          <w:sz w:val="24"/>
          <w:szCs w:val="24"/>
        </w:rPr>
        <w:t xml:space="preserve"> The default </w:t>
      </w:r>
      <w:r w:rsidR="007E76BC">
        <w:rPr>
          <w:rFonts w:ascii="Arial" w:hAnsi="Arial" w:cs="Arial"/>
          <w:sz w:val="24"/>
          <w:szCs w:val="24"/>
        </w:rPr>
        <w:t xml:space="preserve">judgement was obtained </w:t>
      </w:r>
      <w:r w:rsidR="00866BEA">
        <w:rPr>
          <w:rFonts w:ascii="Arial" w:hAnsi="Arial" w:cs="Arial"/>
          <w:sz w:val="24"/>
          <w:szCs w:val="24"/>
        </w:rPr>
        <w:t xml:space="preserve">on </w:t>
      </w:r>
      <w:r w:rsidR="007E76BC">
        <w:rPr>
          <w:rFonts w:ascii="Arial" w:hAnsi="Arial" w:cs="Arial"/>
          <w:sz w:val="24"/>
          <w:szCs w:val="24"/>
        </w:rPr>
        <w:t>11 April 2018</w:t>
      </w:r>
      <w:r w:rsidR="00D717BF">
        <w:rPr>
          <w:rFonts w:ascii="Arial" w:hAnsi="Arial" w:cs="Arial"/>
          <w:sz w:val="24"/>
          <w:szCs w:val="24"/>
        </w:rPr>
        <w:t xml:space="preserve"> and </w:t>
      </w:r>
      <w:r w:rsidR="00C13B2B">
        <w:rPr>
          <w:rFonts w:ascii="Arial" w:hAnsi="Arial" w:cs="Arial"/>
          <w:sz w:val="24"/>
          <w:szCs w:val="24"/>
        </w:rPr>
        <w:t>more than eighteen months have passed since</w:t>
      </w:r>
      <w:r w:rsidR="00D717BF">
        <w:rPr>
          <w:rFonts w:ascii="Arial" w:hAnsi="Arial" w:cs="Arial"/>
          <w:sz w:val="24"/>
          <w:szCs w:val="24"/>
        </w:rPr>
        <w:t xml:space="preserve"> the</w:t>
      </w:r>
      <w:r w:rsidR="00C13B2B">
        <w:rPr>
          <w:rFonts w:ascii="Arial" w:hAnsi="Arial" w:cs="Arial"/>
          <w:sz w:val="24"/>
          <w:szCs w:val="24"/>
        </w:rPr>
        <w:t xml:space="preserve"> default ju</w:t>
      </w:r>
      <w:r w:rsidR="00D717BF">
        <w:rPr>
          <w:rFonts w:ascii="Arial" w:hAnsi="Arial" w:cs="Arial"/>
          <w:sz w:val="24"/>
          <w:szCs w:val="24"/>
        </w:rPr>
        <w:t>d</w:t>
      </w:r>
      <w:r w:rsidR="00C13B2B">
        <w:rPr>
          <w:rFonts w:ascii="Arial" w:hAnsi="Arial" w:cs="Arial"/>
          <w:sz w:val="24"/>
          <w:szCs w:val="24"/>
        </w:rPr>
        <w:t>gement was obtained and the judgement debt remained unsatisfied</w:t>
      </w:r>
      <w:r w:rsidR="00D717BF">
        <w:rPr>
          <w:rFonts w:ascii="Arial" w:hAnsi="Arial" w:cs="Arial"/>
          <w:sz w:val="24"/>
          <w:szCs w:val="24"/>
        </w:rPr>
        <w:t xml:space="preserve"> </w:t>
      </w:r>
      <w:r w:rsidR="00C13B2B">
        <w:rPr>
          <w:rFonts w:ascii="Arial" w:hAnsi="Arial" w:cs="Arial"/>
          <w:sz w:val="24"/>
          <w:szCs w:val="24"/>
        </w:rPr>
        <w:t>.</w:t>
      </w:r>
      <w:r w:rsidR="00757BAF">
        <w:rPr>
          <w:rFonts w:ascii="Arial" w:hAnsi="Arial" w:cs="Arial"/>
          <w:sz w:val="24"/>
          <w:szCs w:val="24"/>
        </w:rPr>
        <w:t>This court has n</w:t>
      </w:r>
      <w:r w:rsidR="00D717BF">
        <w:rPr>
          <w:rFonts w:ascii="Arial" w:hAnsi="Arial" w:cs="Arial"/>
          <w:sz w:val="24"/>
          <w:szCs w:val="24"/>
        </w:rPr>
        <w:t>ot been informed of any attempt</w:t>
      </w:r>
      <w:r w:rsidR="00757BAF">
        <w:rPr>
          <w:rFonts w:ascii="Arial" w:hAnsi="Arial" w:cs="Arial"/>
          <w:sz w:val="24"/>
          <w:szCs w:val="24"/>
        </w:rPr>
        <w:t xml:space="preserve"> by the respondents</w:t>
      </w:r>
      <w:r w:rsidR="00D717BF">
        <w:rPr>
          <w:rFonts w:ascii="Arial" w:hAnsi="Arial" w:cs="Arial"/>
          <w:sz w:val="24"/>
          <w:szCs w:val="24"/>
        </w:rPr>
        <w:t xml:space="preserve"> </w:t>
      </w:r>
      <w:r w:rsidR="00757BAF">
        <w:rPr>
          <w:rFonts w:ascii="Arial" w:hAnsi="Arial" w:cs="Arial"/>
          <w:sz w:val="24"/>
          <w:szCs w:val="24"/>
        </w:rPr>
        <w:t>to sell the property for a better price than what the applican</w:t>
      </w:r>
      <w:r w:rsidR="00D717BF">
        <w:rPr>
          <w:rFonts w:ascii="Arial" w:hAnsi="Arial" w:cs="Arial"/>
          <w:sz w:val="24"/>
          <w:szCs w:val="24"/>
        </w:rPr>
        <w:t xml:space="preserve">t is demanding </w:t>
      </w:r>
      <w:r w:rsidR="00757BAF">
        <w:rPr>
          <w:rFonts w:ascii="Arial" w:hAnsi="Arial" w:cs="Arial"/>
          <w:sz w:val="24"/>
          <w:szCs w:val="24"/>
        </w:rPr>
        <w:t>nor has the respondents offer</w:t>
      </w:r>
      <w:r w:rsidR="00B1196D">
        <w:rPr>
          <w:rFonts w:ascii="Arial" w:hAnsi="Arial" w:cs="Arial"/>
          <w:sz w:val="24"/>
          <w:szCs w:val="24"/>
        </w:rPr>
        <w:t>ed</w:t>
      </w:r>
      <w:r w:rsidR="00757BAF">
        <w:rPr>
          <w:rFonts w:ascii="Arial" w:hAnsi="Arial" w:cs="Arial"/>
          <w:sz w:val="24"/>
          <w:szCs w:val="24"/>
        </w:rPr>
        <w:t xml:space="preserve"> </w:t>
      </w:r>
      <w:r w:rsidR="00757BAF">
        <w:rPr>
          <w:rFonts w:ascii="Arial" w:hAnsi="Arial" w:cs="Arial"/>
          <w:sz w:val="24"/>
          <w:szCs w:val="24"/>
        </w:rPr>
        <w:lastRenderedPageBreak/>
        <w:t>any alternative property to be attached</w:t>
      </w:r>
      <w:r w:rsidR="00D717BF">
        <w:rPr>
          <w:rFonts w:ascii="Arial" w:hAnsi="Arial" w:cs="Arial"/>
          <w:sz w:val="24"/>
          <w:szCs w:val="24"/>
        </w:rPr>
        <w:t xml:space="preserve"> and</w:t>
      </w:r>
      <w:r w:rsidR="00B1196D">
        <w:rPr>
          <w:rFonts w:ascii="Arial" w:hAnsi="Arial" w:cs="Arial"/>
          <w:sz w:val="24"/>
          <w:szCs w:val="24"/>
        </w:rPr>
        <w:t xml:space="preserve"> to be</w:t>
      </w:r>
      <w:r w:rsidR="00D717BF">
        <w:rPr>
          <w:rFonts w:ascii="Arial" w:hAnsi="Arial" w:cs="Arial"/>
          <w:sz w:val="24"/>
          <w:szCs w:val="24"/>
        </w:rPr>
        <w:t xml:space="preserve"> sold</w:t>
      </w:r>
      <w:r w:rsidR="00B1196D">
        <w:rPr>
          <w:rFonts w:ascii="Arial" w:hAnsi="Arial" w:cs="Arial"/>
          <w:sz w:val="24"/>
          <w:szCs w:val="24"/>
        </w:rPr>
        <w:t xml:space="preserve"> in execution.</w:t>
      </w:r>
      <w:r w:rsidR="00AA6977">
        <w:rPr>
          <w:rFonts w:ascii="Arial" w:hAnsi="Arial" w:cs="Arial"/>
          <w:sz w:val="24"/>
          <w:szCs w:val="24"/>
        </w:rPr>
        <w:t xml:space="preserve"> The </w:t>
      </w:r>
      <w:r w:rsidR="006C6375">
        <w:rPr>
          <w:rFonts w:ascii="Arial" w:hAnsi="Arial" w:cs="Arial"/>
          <w:sz w:val="24"/>
          <w:szCs w:val="24"/>
        </w:rPr>
        <w:t>business</w:t>
      </w:r>
      <w:r w:rsidR="00AA6977">
        <w:rPr>
          <w:rFonts w:ascii="Arial" w:hAnsi="Arial" w:cs="Arial"/>
          <w:sz w:val="24"/>
          <w:szCs w:val="24"/>
        </w:rPr>
        <w:t xml:space="preserve"> of </w:t>
      </w:r>
      <w:r w:rsidR="006C6375">
        <w:rPr>
          <w:rFonts w:ascii="Arial" w:hAnsi="Arial" w:cs="Arial"/>
          <w:sz w:val="24"/>
          <w:szCs w:val="24"/>
        </w:rPr>
        <w:t>property</w:t>
      </w:r>
      <w:r w:rsidR="004F51D8">
        <w:rPr>
          <w:rFonts w:ascii="Arial" w:hAnsi="Arial" w:cs="Arial"/>
          <w:sz w:val="24"/>
          <w:szCs w:val="24"/>
        </w:rPr>
        <w:t xml:space="preserve"> financing is based on the assurance</w:t>
      </w:r>
      <w:r w:rsidR="002B1014">
        <w:rPr>
          <w:rFonts w:ascii="Arial" w:hAnsi="Arial" w:cs="Arial"/>
          <w:sz w:val="24"/>
          <w:szCs w:val="24"/>
        </w:rPr>
        <w:t xml:space="preserve"> that those who lend money</w:t>
      </w:r>
      <w:r w:rsidR="009C1759">
        <w:rPr>
          <w:rFonts w:ascii="Arial" w:hAnsi="Arial" w:cs="Arial"/>
          <w:sz w:val="24"/>
          <w:szCs w:val="24"/>
        </w:rPr>
        <w:t>s</w:t>
      </w:r>
      <w:r w:rsidR="00AA6977">
        <w:rPr>
          <w:rFonts w:ascii="Arial" w:hAnsi="Arial" w:cs="Arial"/>
          <w:sz w:val="24"/>
          <w:szCs w:val="24"/>
        </w:rPr>
        <w:t xml:space="preserve"> to</w:t>
      </w:r>
      <w:r w:rsidR="004F51D8">
        <w:rPr>
          <w:rFonts w:ascii="Arial" w:hAnsi="Arial" w:cs="Arial"/>
          <w:sz w:val="24"/>
          <w:szCs w:val="24"/>
        </w:rPr>
        <w:t xml:space="preserve"> others to</w:t>
      </w:r>
      <w:r w:rsidR="00AA6977">
        <w:rPr>
          <w:rFonts w:ascii="Arial" w:hAnsi="Arial" w:cs="Arial"/>
          <w:sz w:val="24"/>
          <w:szCs w:val="24"/>
        </w:rPr>
        <w:t xml:space="preserve"> buy property</w:t>
      </w:r>
      <w:r w:rsidR="002B1014">
        <w:rPr>
          <w:rFonts w:ascii="Arial" w:hAnsi="Arial" w:cs="Arial"/>
          <w:sz w:val="24"/>
          <w:szCs w:val="24"/>
        </w:rPr>
        <w:t xml:space="preserve"> and have mortgage bonds registered over</w:t>
      </w:r>
      <w:r w:rsidR="004F51D8">
        <w:rPr>
          <w:rFonts w:ascii="Arial" w:hAnsi="Arial" w:cs="Arial"/>
          <w:sz w:val="24"/>
          <w:szCs w:val="24"/>
        </w:rPr>
        <w:t xml:space="preserve"> those</w:t>
      </w:r>
      <w:r w:rsidR="002B1014">
        <w:rPr>
          <w:rFonts w:ascii="Arial" w:hAnsi="Arial" w:cs="Arial"/>
          <w:sz w:val="24"/>
          <w:szCs w:val="24"/>
        </w:rPr>
        <w:t xml:space="preserve"> property as security </w:t>
      </w:r>
      <w:r w:rsidR="00AA6977">
        <w:rPr>
          <w:rFonts w:ascii="Arial" w:hAnsi="Arial" w:cs="Arial"/>
          <w:sz w:val="24"/>
          <w:szCs w:val="24"/>
        </w:rPr>
        <w:t xml:space="preserve"> can sell the bonded property in case the debtor default</w:t>
      </w:r>
      <w:r w:rsidR="009C1759">
        <w:rPr>
          <w:rFonts w:ascii="Arial" w:hAnsi="Arial" w:cs="Arial"/>
          <w:sz w:val="24"/>
          <w:szCs w:val="24"/>
        </w:rPr>
        <w:t>(ed)</w:t>
      </w:r>
      <w:r w:rsidR="004F51D8">
        <w:rPr>
          <w:rFonts w:ascii="Arial" w:hAnsi="Arial" w:cs="Arial"/>
          <w:sz w:val="24"/>
          <w:szCs w:val="24"/>
        </w:rPr>
        <w:t xml:space="preserve"> to recoup their money</w:t>
      </w:r>
      <w:r w:rsidR="009C1759">
        <w:rPr>
          <w:rFonts w:ascii="Arial" w:hAnsi="Arial" w:cs="Arial"/>
          <w:sz w:val="24"/>
          <w:szCs w:val="24"/>
        </w:rPr>
        <w:t>s</w:t>
      </w:r>
      <w:r w:rsidR="00AA6977">
        <w:rPr>
          <w:rFonts w:ascii="Arial" w:hAnsi="Arial" w:cs="Arial"/>
          <w:sz w:val="24"/>
          <w:szCs w:val="24"/>
        </w:rPr>
        <w:t xml:space="preserve"> subject to the provisions of rule 108 </w:t>
      </w:r>
      <w:r w:rsidR="004F51D8">
        <w:rPr>
          <w:rFonts w:ascii="Arial" w:hAnsi="Arial" w:cs="Arial"/>
          <w:sz w:val="24"/>
          <w:szCs w:val="24"/>
        </w:rPr>
        <w:t>and without unreasonable delay.</w:t>
      </w:r>
      <w:r w:rsidR="00D717BF">
        <w:rPr>
          <w:rFonts w:ascii="Arial" w:hAnsi="Arial" w:cs="Arial"/>
          <w:sz w:val="24"/>
          <w:szCs w:val="24"/>
        </w:rPr>
        <w:t xml:space="preserve"> </w:t>
      </w:r>
      <w:r w:rsidR="001806AB">
        <w:rPr>
          <w:rFonts w:ascii="Arial" w:hAnsi="Arial" w:cs="Arial"/>
          <w:sz w:val="24"/>
          <w:szCs w:val="24"/>
        </w:rPr>
        <w:t>That is the corne</w:t>
      </w:r>
      <w:r w:rsidR="00C32858">
        <w:rPr>
          <w:rFonts w:ascii="Arial" w:hAnsi="Arial" w:cs="Arial"/>
          <w:sz w:val="24"/>
          <w:szCs w:val="24"/>
        </w:rPr>
        <w:t>rstone of real estate financing and the court must give effect to it.</w:t>
      </w:r>
      <w:r w:rsidR="00D717BF">
        <w:rPr>
          <w:rFonts w:ascii="Arial" w:hAnsi="Arial" w:cs="Arial"/>
          <w:sz w:val="24"/>
          <w:szCs w:val="24"/>
        </w:rPr>
        <w:t xml:space="preserve"> Those sentiments were </w:t>
      </w:r>
      <w:r w:rsidR="005035D7">
        <w:rPr>
          <w:rFonts w:ascii="Arial" w:hAnsi="Arial" w:cs="Arial"/>
          <w:sz w:val="24"/>
          <w:szCs w:val="24"/>
        </w:rPr>
        <w:t>eloquently</w:t>
      </w:r>
      <w:r w:rsidR="00D717BF">
        <w:rPr>
          <w:rFonts w:ascii="Arial" w:hAnsi="Arial" w:cs="Arial"/>
          <w:sz w:val="24"/>
          <w:szCs w:val="24"/>
        </w:rPr>
        <w:t xml:space="preserve"> and cohe</w:t>
      </w:r>
      <w:r w:rsidR="004F51D8">
        <w:rPr>
          <w:rFonts w:ascii="Arial" w:hAnsi="Arial" w:cs="Arial"/>
          <w:sz w:val="24"/>
          <w:szCs w:val="24"/>
        </w:rPr>
        <w:t>sively</w:t>
      </w:r>
      <w:r w:rsidR="001806AB">
        <w:rPr>
          <w:rFonts w:ascii="Arial" w:hAnsi="Arial" w:cs="Arial"/>
          <w:sz w:val="24"/>
          <w:szCs w:val="24"/>
        </w:rPr>
        <w:t xml:space="preserve"> echoed</w:t>
      </w:r>
      <w:r w:rsidR="003D6E52">
        <w:rPr>
          <w:rFonts w:ascii="Arial" w:hAnsi="Arial" w:cs="Arial"/>
          <w:sz w:val="24"/>
          <w:szCs w:val="24"/>
        </w:rPr>
        <w:t xml:space="preserve"> i</w:t>
      </w:r>
      <w:r w:rsidR="00214F80">
        <w:rPr>
          <w:rFonts w:ascii="Arial" w:hAnsi="Arial" w:cs="Arial"/>
          <w:sz w:val="24"/>
          <w:szCs w:val="24"/>
        </w:rPr>
        <w:t>n</w:t>
      </w:r>
      <w:r w:rsidR="007E76BC">
        <w:rPr>
          <w:rFonts w:ascii="Arial" w:hAnsi="Arial" w:cs="Arial"/>
          <w:sz w:val="24"/>
          <w:szCs w:val="24"/>
        </w:rPr>
        <w:t xml:space="preserve"> </w:t>
      </w:r>
      <w:r w:rsidR="007E76BC" w:rsidRPr="005035D7">
        <w:rPr>
          <w:rFonts w:ascii="Arial" w:hAnsi="Arial" w:cs="Arial"/>
          <w:i/>
          <w:sz w:val="24"/>
          <w:szCs w:val="24"/>
        </w:rPr>
        <w:t>Baretzky and Anothe</w:t>
      </w:r>
      <w:r w:rsidR="005035D7">
        <w:rPr>
          <w:rFonts w:ascii="Arial" w:hAnsi="Arial" w:cs="Arial"/>
          <w:i/>
          <w:sz w:val="24"/>
          <w:szCs w:val="24"/>
        </w:rPr>
        <w:t>r v Standard Bank of South Afric</w:t>
      </w:r>
      <w:r w:rsidR="007E76BC" w:rsidRPr="005035D7">
        <w:rPr>
          <w:rFonts w:ascii="Arial" w:hAnsi="Arial" w:cs="Arial"/>
          <w:i/>
          <w:sz w:val="24"/>
          <w:szCs w:val="24"/>
        </w:rPr>
        <w:t>a</w:t>
      </w:r>
      <w:r w:rsidR="005035D7">
        <w:rPr>
          <w:rStyle w:val="FootnoteReference"/>
          <w:rFonts w:ascii="Arial" w:hAnsi="Arial" w:cs="Arial"/>
          <w:i/>
          <w:sz w:val="24"/>
          <w:szCs w:val="24"/>
        </w:rPr>
        <w:footnoteReference w:id="3"/>
      </w:r>
      <w:r w:rsidR="005035D7">
        <w:rPr>
          <w:rFonts w:ascii="Arial" w:hAnsi="Arial" w:cs="Arial"/>
          <w:sz w:val="24"/>
          <w:szCs w:val="24"/>
        </w:rPr>
        <w:t xml:space="preserve"> </w:t>
      </w:r>
      <w:r w:rsidR="0000111F">
        <w:rPr>
          <w:rFonts w:ascii="Arial" w:hAnsi="Arial" w:cs="Arial"/>
          <w:sz w:val="24"/>
          <w:szCs w:val="24"/>
        </w:rPr>
        <w:t>w</w:t>
      </w:r>
      <w:r w:rsidR="00A214C9">
        <w:rPr>
          <w:rFonts w:ascii="Arial" w:hAnsi="Arial" w:cs="Arial"/>
          <w:sz w:val="24"/>
          <w:szCs w:val="24"/>
        </w:rPr>
        <w:t>here the court held that</w:t>
      </w:r>
      <w:r w:rsidR="003D6E52">
        <w:rPr>
          <w:rFonts w:ascii="Arial" w:hAnsi="Arial" w:cs="Arial"/>
          <w:sz w:val="24"/>
          <w:szCs w:val="24"/>
        </w:rPr>
        <w:t>:</w:t>
      </w:r>
      <w:r w:rsidR="004E6CA8">
        <w:rPr>
          <w:rFonts w:ascii="Arial" w:hAnsi="Arial" w:cs="Arial"/>
          <w:sz w:val="24"/>
          <w:szCs w:val="24"/>
        </w:rPr>
        <w:t xml:space="preserve"> </w:t>
      </w:r>
      <w:r w:rsidR="009C1759">
        <w:rPr>
          <w:rFonts w:ascii="Arial" w:hAnsi="Arial" w:cs="Arial"/>
          <w:sz w:val="24"/>
          <w:szCs w:val="24"/>
        </w:rPr>
        <w:t>‘</w:t>
      </w:r>
      <w:r w:rsidR="00A214C9">
        <w:rPr>
          <w:rFonts w:ascii="Arial" w:hAnsi="Arial" w:cs="Arial"/>
          <w:sz w:val="24"/>
          <w:szCs w:val="24"/>
        </w:rPr>
        <w:t>th</w:t>
      </w:r>
      <w:r w:rsidR="004E6CA8">
        <w:rPr>
          <w:rFonts w:ascii="Arial" w:hAnsi="Arial" w:cs="Arial"/>
          <w:sz w:val="24"/>
          <w:szCs w:val="24"/>
        </w:rPr>
        <w:t>ere is a public interest in the eligibility of judgments sounding in money. That creditors should obtain the authorization of a court to exact payment from their debtors is a fundamental aspect of the rule of law. The alternative would be the chaos and lawlessness of a regime of self-help, in which the most vulnerable in society would be the most exposed to abuse. A court regulated system of debt recovery must be effective, however, if it is to command respect. There would be no point in creditors having to obtain judgments for the purposes of exacting recovery from the</w:t>
      </w:r>
      <w:r w:rsidR="005035D7">
        <w:rPr>
          <w:rFonts w:ascii="Arial" w:hAnsi="Arial" w:cs="Arial"/>
          <w:sz w:val="24"/>
          <w:szCs w:val="24"/>
        </w:rPr>
        <w:t>ir debtors if there was no law in</w:t>
      </w:r>
      <w:r w:rsidR="004E6CA8">
        <w:rPr>
          <w:rFonts w:ascii="Arial" w:hAnsi="Arial" w:cs="Arial"/>
          <w:sz w:val="24"/>
          <w:szCs w:val="24"/>
        </w:rPr>
        <w:t xml:space="preserve"> place to lend force to the judgments and provide for their execution. The rules of court governing execution against a judgment debtor’s property afford such law.</w:t>
      </w:r>
      <w:r w:rsidR="005035D7">
        <w:rPr>
          <w:rFonts w:ascii="Arial" w:hAnsi="Arial" w:cs="Arial"/>
          <w:sz w:val="24"/>
          <w:szCs w:val="24"/>
        </w:rPr>
        <w:t xml:space="preserve"> </w:t>
      </w:r>
      <w:r w:rsidR="004E6CA8">
        <w:rPr>
          <w:rFonts w:ascii="Arial" w:hAnsi="Arial" w:cs="Arial"/>
          <w:sz w:val="24"/>
          <w:szCs w:val="24"/>
        </w:rPr>
        <w:t>The notion that a debtor’s property should be available to satisfy is universally accepted. Execution does not occur arbitrarily. It takes place only after a court has by its judgment confirmed the existence of the obligation and authorized enforcement of compliance with it. Thereafter, a number of prescribed procedures have to be complied with before execution of the judgment is actually</w:t>
      </w:r>
      <w:r w:rsidR="009C1759">
        <w:rPr>
          <w:rFonts w:ascii="Arial" w:hAnsi="Arial" w:cs="Arial"/>
          <w:sz w:val="24"/>
          <w:szCs w:val="24"/>
        </w:rPr>
        <w:t xml:space="preserve"> carried out…’</w:t>
      </w:r>
    </w:p>
    <w:p w:rsidR="00757BAF" w:rsidRDefault="00757BAF" w:rsidP="00BB5F70">
      <w:pPr>
        <w:spacing w:line="360" w:lineRule="auto"/>
        <w:rPr>
          <w:rFonts w:ascii="Arial" w:hAnsi="Arial" w:cs="Arial"/>
          <w:sz w:val="24"/>
          <w:szCs w:val="24"/>
        </w:rPr>
      </w:pPr>
    </w:p>
    <w:p w:rsidR="00376B1E" w:rsidRDefault="000204F0" w:rsidP="00BB5F70">
      <w:pPr>
        <w:spacing w:line="360" w:lineRule="auto"/>
        <w:rPr>
          <w:rFonts w:ascii="Arial" w:eastAsia="Calibri" w:hAnsi="Arial" w:cs="Arial"/>
          <w:sz w:val="24"/>
          <w:szCs w:val="24"/>
        </w:rPr>
      </w:pPr>
      <w:r>
        <w:rPr>
          <w:rFonts w:ascii="Arial" w:eastAsia="Calibri" w:hAnsi="Arial" w:cs="Arial"/>
          <w:sz w:val="24"/>
          <w:szCs w:val="24"/>
        </w:rPr>
        <w:t>[</w:t>
      </w:r>
      <w:r w:rsidR="0013500D">
        <w:rPr>
          <w:rFonts w:ascii="Arial" w:eastAsia="Calibri" w:hAnsi="Arial" w:cs="Arial"/>
          <w:sz w:val="24"/>
          <w:szCs w:val="24"/>
        </w:rPr>
        <w:t>11</w:t>
      </w:r>
      <w:r w:rsidR="00106FBF">
        <w:rPr>
          <w:rFonts w:ascii="Arial" w:eastAsia="Calibri" w:hAnsi="Arial" w:cs="Arial"/>
          <w:sz w:val="24"/>
          <w:szCs w:val="24"/>
        </w:rPr>
        <w:t>]</w:t>
      </w:r>
      <w:r w:rsidR="00106FBF">
        <w:rPr>
          <w:rFonts w:ascii="Arial" w:eastAsia="Calibri" w:hAnsi="Arial" w:cs="Arial"/>
          <w:sz w:val="24"/>
          <w:szCs w:val="24"/>
        </w:rPr>
        <w:tab/>
      </w:r>
      <w:r w:rsidR="00194135">
        <w:rPr>
          <w:rFonts w:ascii="Arial" w:eastAsia="Calibri" w:hAnsi="Arial" w:cs="Arial"/>
          <w:sz w:val="24"/>
          <w:szCs w:val="24"/>
        </w:rPr>
        <w:t>In this case the</w:t>
      </w:r>
      <w:r w:rsidR="00106FBF">
        <w:rPr>
          <w:rFonts w:ascii="Arial" w:eastAsia="Calibri" w:hAnsi="Arial" w:cs="Arial"/>
          <w:sz w:val="24"/>
          <w:szCs w:val="24"/>
        </w:rPr>
        <w:t xml:space="preserve"> applicant is the holder of a judgment debt and it has a substantive right t</w:t>
      </w:r>
      <w:r w:rsidR="00D717BF">
        <w:rPr>
          <w:rFonts w:ascii="Arial" w:eastAsia="Calibri" w:hAnsi="Arial" w:cs="Arial"/>
          <w:sz w:val="24"/>
          <w:szCs w:val="24"/>
        </w:rPr>
        <w:t>o execute against the property</w:t>
      </w:r>
      <w:r w:rsidR="00106FBF">
        <w:rPr>
          <w:rFonts w:ascii="Arial" w:eastAsia="Calibri" w:hAnsi="Arial" w:cs="Arial"/>
          <w:sz w:val="24"/>
          <w:szCs w:val="24"/>
        </w:rPr>
        <w:t>.</w:t>
      </w:r>
      <w:r w:rsidR="00214F80">
        <w:rPr>
          <w:rFonts w:ascii="Arial" w:eastAsia="Calibri" w:hAnsi="Arial" w:cs="Arial"/>
          <w:sz w:val="24"/>
          <w:szCs w:val="24"/>
        </w:rPr>
        <w:t xml:space="preserve"> </w:t>
      </w:r>
      <w:r w:rsidR="00B1196D">
        <w:rPr>
          <w:rFonts w:ascii="Arial" w:eastAsia="Calibri" w:hAnsi="Arial" w:cs="Arial"/>
          <w:sz w:val="24"/>
          <w:szCs w:val="24"/>
        </w:rPr>
        <w:t>To unreasonably delay the execution against the property is unfair and unjust.</w:t>
      </w:r>
      <w:r w:rsidR="009C1759">
        <w:rPr>
          <w:rFonts w:ascii="Arial" w:eastAsia="Calibri" w:hAnsi="Arial" w:cs="Arial"/>
          <w:sz w:val="24"/>
          <w:szCs w:val="24"/>
        </w:rPr>
        <w:t xml:space="preserve"> In</w:t>
      </w:r>
      <w:r w:rsidR="00106FBF">
        <w:rPr>
          <w:rFonts w:ascii="Arial" w:eastAsia="Calibri" w:hAnsi="Arial" w:cs="Arial"/>
          <w:sz w:val="24"/>
          <w:szCs w:val="24"/>
        </w:rPr>
        <w:t xml:space="preserve"> </w:t>
      </w:r>
      <w:r w:rsidR="00106FBF" w:rsidRPr="00106FBF">
        <w:rPr>
          <w:rFonts w:ascii="Arial" w:eastAsia="Calibri" w:hAnsi="Arial" w:cs="Arial"/>
          <w:i/>
          <w:sz w:val="24"/>
          <w:szCs w:val="24"/>
        </w:rPr>
        <w:t>Standard Bank Namibia Limited v Magdalena Shipila and Others</w:t>
      </w:r>
      <w:r w:rsidR="006339CB">
        <w:rPr>
          <w:rStyle w:val="FootnoteReference"/>
          <w:rFonts w:ascii="Arial" w:eastAsia="Calibri" w:hAnsi="Arial" w:cs="Arial"/>
          <w:i/>
          <w:sz w:val="24"/>
          <w:szCs w:val="24"/>
        </w:rPr>
        <w:footnoteReference w:id="4"/>
      </w:r>
      <w:r w:rsidR="00106FBF">
        <w:rPr>
          <w:rFonts w:ascii="Arial" w:eastAsia="Calibri" w:hAnsi="Arial" w:cs="Arial"/>
          <w:i/>
          <w:sz w:val="24"/>
          <w:szCs w:val="24"/>
        </w:rPr>
        <w:t>,</w:t>
      </w:r>
      <w:r w:rsidR="00106FBF">
        <w:rPr>
          <w:rFonts w:ascii="Arial" w:eastAsia="Calibri" w:hAnsi="Arial" w:cs="Arial"/>
          <w:sz w:val="24"/>
          <w:szCs w:val="24"/>
        </w:rPr>
        <w:t xml:space="preserve"> the</w:t>
      </w:r>
      <w:r w:rsidR="00D717BF">
        <w:rPr>
          <w:rFonts w:ascii="Arial" w:eastAsia="Calibri" w:hAnsi="Arial" w:cs="Arial"/>
          <w:sz w:val="24"/>
          <w:szCs w:val="24"/>
        </w:rPr>
        <w:t xml:space="preserve"> Supreme Court of Namibia held</w:t>
      </w:r>
      <w:r w:rsidR="00106FBF">
        <w:rPr>
          <w:rFonts w:ascii="Arial" w:eastAsia="Calibri" w:hAnsi="Arial" w:cs="Arial"/>
          <w:sz w:val="24"/>
          <w:szCs w:val="24"/>
        </w:rPr>
        <w:t xml:space="preserve"> that:</w:t>
      </w:r>
    </w:p>
    <w:p w:rsidR="00106FBF" w:rsidRDefault="00106FBF" w:rsidP="00BB5F70">
      <w:pPr>
        <w:spacing w:line="360" w:lineRule="auto"/>
        <w:rPr>
          <w:rFonts w:ascii="Arial" w:eastAsia="Calibri" w:hAnsi="Arial" w:cs="Arial"/>
          <w:sz w:val="24"/>
          <w:szCs w:val="24"/>
        </w:rPr>
      </w:pPr>
    </w:p>
    <w:p w:rsidR="00106FBF" w:rsidRDefault="009C1759" w:rsidP="00BB5F70">
      <w:pPr>
        <w:spacing w:line="360" w:lineRule="auto"/>
        <w:ind w:left="720"/>
        <w:rPr>
          <w:rFonts w:ascii="Arial" w:eastAsia="Calibri" w:hAnsi="Arial" w:cs="Arial"/>
          <w:sz w:val="24"/>
          <w:szCs w:val="24"/>
        </w:rPr>
      </w:pPr>
      <w:r>
        <w:rPr>
          <w:rFonts w:ascii="Arial" w:eastAsia="Calibri" w:hAnsi="Arial" w:cs="Arial"/>
          <w:sz w:val="24"/>
          <w:szCs w:val="24"/>
        </w:rPr>
        <w:t>‘</w:t>
      </w:r>
      <w:r w:rsidR="00106FBF">
        <w:rPr>
          <w:rFonts w:ascii="Arial" w:eastAsia="Calibri" w:hAnsi="Arial" w:cs="Arial"/>
          <w:sz w:val="24"/>
          <w:szCs w:val="24"/>
        </w:rPr>
        <w:t xml:space="preserve">The term “mortgage”, in the narrow sense of the word refers to a real right of security in an immovable asset or immovable assets of another, which is created by registration in the deed registry pursuant to an agreement between </w:t>
      </w:r>
      <w:r w:rsidR="00106FBF">
        <w:rPr>
          <w:rFonts w:ascii="Arial" w:eastAsia="Calibri" w:hAnsi="Arial" w:cs="Arial"/>
          <w:sz w:val="24"/>
          <w:szCs w:val="24"/>
        </w:rPr>
        <w:lastRenderedPageBreak/>
        <w:t>the parties, and the object of a mortgage bond is to give notice to the world in general that a particular property of a debtor is the subject of a charge in favour of a particular credit…</w:t>
      </w:r>
    </w:p>
    <w:p w:rsidR="00106FBF" w:rsidRDefault="00106FBF" w:rsidP="00BB5F70">
      <w:pPr>
        <w:spacing w:line="360" w:lineRule="auto"/>
        <w:rPr>
          <w:rFonts w:ascii="Arial" w:eastAsia="Calibri" w:hAnsi="Arial" w:cs="Arial"/>
          <w:sz w:val="24"/>
          <w:szCs w:val="24"/>
        </w:rPr>
      </w:pPr>
    </w:p>
    <w:p w:rsidR="00106FBF" w:rsidRDefault="00F9197A" w:rsidP="00BB5F70">
      <w:pPr>
        <w:spacing w:line="360" w:lineRule="auto"/>
        <w:ind w:left="720"/>
        <w:rPr>
          <w:rFonts w:ascii="Arial" w:eastAsia="Calibri" w:hAnsi="Arial" w:cs="Arial"/>
          <w:sz w:val="24"/>
          <w:szCs w:val="24"/>
        </w:rPr>
      </w:pPr>
      <w:r>
        <w:rPr>
          <w:rFonts w:ascii="Arial" w:eastAsia="Calibri" w:hAnsi="Arial" w:cs="Arial"/>
          <w:sz w:val="24"/>
          <w:szCs w:val="24"/>
        </w:rPr>
        <w:t>The principle distilled from the aforementioned cases is that a court will normally only decline a writ of execution in circumstances which would render the enforcement of a judgment debt an abuse of process or where the exercise of the mortgagee’s right is in bad faith…</w:t>
      </w:r>
    </w:p>
    <w:p w:rsidR="00F9197A" w:rsidRDefault="00F9197A" w:rsidP="00BB5F70">
      <w:pPr>
        <w:spacing w:line="360" w:lineRule="auto"/>
        <w:rPr>
          <w:rFonts w:ascii="Arial" w:eastAsia="Calibri" w:hAnsi="Arial" w:cs="Arial"/>
          <w:sz w:val="24"/>
          <w:szCs w:val="24"/>
        </w:rPr>
      </w:pPr>
    </w:p>
    <w:p w:rsidR="00F9197A" w:rsidRDefault="00F9197A" w:rsidP="00BB5F70">
      <w:pPr>
        <w:spacing w:line="360" w:lineRule="auto"/>
        <w:ind w:left="720"/>
        <w:rPr>
          <w:rFonts w:ascii="Arial" w:eastAsia="Calibri" w:hAnsi="Arial" w:cs="Arial"/>
          <w:sz w:val="24"/>
          <w:szCs w:val="24"/>
        </w:rPr>
      </w:pPr>
      <w:r>
        <w:rPr>
          <w:rFonts w:ascii="Arial" w:eastAsia="Calibri" w:hAnsi="Arial" w:cs="Arial"/>
          <w:sz w:val="24"/>
          <w:szCs w:val="24"/>
        </w:rPr>
        <w:t>The appellant has a substantive right to foreclosure subject to a court order having been obtained and Rule 108 being procedural in nature should not be read to take away that right.</w:t>
      </w:r>
      <w:r w:rsidR="009C1759">
        <w:rPr>
          <w:rFonts w:ascii="Arial" w:eastAsia="Calibri" w:hAnsi="Arial" w:cs="Arial"/>
          <w:sz w:val="24"/>
          <w:szCs w:val="24"/>
        </w:rPr>
        <w:t>’</w:t>
      </w:r>
    </w:p>
    <w:p w:rsidR="00376B1E" w:rsidRDefault="00376B1E" w:rsidP="00BB5F70">
      <w:pPr>
        <w:spacing w:line="360" w:lineRule="auto"/>
        <w:rPr>
          <w:rFonts w:ascii="Arial" w:eastAsia="Calibri" w:hAnsi="Arial" w:cs="Arial"/>
          <w:sz w:val="24"/>
          <w:szCs w:val="24"/>
        </w:rPr>
      </w:pPr>
    </w:p>
    <w:p w:rsidR="002521B7" w:rsidRDefault="00557391" w:rsidP="00BB5F70">
      <w:pPr>
        <w:spacing w:line="360" w:lineRule="auto"/>
        <w:rPr>
          <w:rFonts w:ascii="Arial" w:eastAsia="Calibri" w:hAnsi="Arial" w:cs="Arial"/>
          <w:sz w:val="24"/>
          <w:szCs w:val="24"/>
        </w:rPr>
      </w:pPr>
      <w:r>
        <w:rPr>
          <w:rFonts w:ascii="Arial" w:eastAsia="Calibri" w:hAnsi="Arial" w:cs="Arial"/>
          <w:sz w:val="24"/>
          <w:szCs w:val="24"/>
        </w:rPr>
        <w:t xml:space="preserve">In </w:t>
      </w:r>
      <w:r w:rsidR="0054765C" w:rsidRPr="00B1196D">
        <w:rPr>
          <w:rFonts w:ascii="Arial" w:eastAsia="Calibri" w:hAnsi="Arial" w:cs="Arial"/>
          <w:i/>
          <w:sz w:val="24"/>
          <w:szCs w:val="24"/>
        </w:rPr>
        <w:t>casu</w:t>
      </w:r>
      <w:r>
        <w:rPr>
          <w:rFonts w:ascii="Arial" w:eastAsia="Calibri" w:hAnsi="Arial" w:cs="Arial"/>
          <w:sz w:val="24"/>
          <w:szCs w:val="24"/>
        </w:rPr>
        <w:t>, there is no evidence that the applicant is acting in bad faith</w:t>
      </w:r>
      <w:r w:rsidR="009C1759">
        <w:rPr>
          <w:rFonts w:ascii="Arial" w:eastAsia="Calibri" w:hAnsi="Arial" w:cs="Arial"/>
          <w:sz w:val="24"/>
          <w:szCs w:val="24"/>
        </w:rPr>
        <w:t xml:space="preserve">; abusing the </w:t>
      </w:r>
      <w:r w:rsidR="00F73BA8">
        <w:rPr>
          <w:rFonts w:ascii="Arial" w:eastAsia="Calibri" w:hAnsi="Arial" w:cs="Arial"/>
          <w:sz w:val="24"/>
          <w:szCs w:val="24"/>
        </w:rPr>
        <w:t xml:space="preserve">court </w:t>
      </w:r>
      <w:r w:rsidR="009C1759">
        <w:rPr>
          <w:rFonts w:ascii="Arial" w:eastAsia="Calibri" w:hAnsi="Arial" w:cs="Arial"/>
          <w:sz w:val="24"/>
          <w:szCs w:val="24"/>
        </w:rPr>
        <w:t>process</w:t>
      </w:r>
      <w:r>
        <w:rPr>
          <w:rFonts w:ascii="Arial" w:eastAsia="Calibri" w:hAnsi="Arial" w:cs="Arial"/>
          <w:sz w:val="24"/>
          <w:szCs w:val="24"/>
        </w:rPr>
        <w:t xml:space="preserve"> or is unreasonable</w:t>
      </w:r>
      <w:r w:rsidR="006E7FD5">
        <w:rPr>
          <w:rFonts w:ascii="Arial" w:eastAsia="Calibri" w:hAnsi="Arial" w:cs="Arial"/>
          <w:sz w:val="24"/>
          <w:szCs w:val="24"/>
        </w:rPr>
        <w:t xml:space="preserve"> in its dealings with the respondents </w:t>
      </w:r>
      <w:r w:rsidR="002521B7">
        <w:rPr>
          <w:rFonts w:ascii="Arial" w:eastAsia="Calibri" w:hAnsi="Arial" w:cs="Arial"/>
          <w:sz w:val="24"/>
          <w:szCs w:val="24"/>
        </w:rPr>
        <w:t>.</w:t>
      </w:r>
      <w:r>
        <w:rPr>
          <w:rFonts w:ascii="Arial" w:eastAsia="Calibri" w:hAnsi="Arial" w:cs="Arial"/>
          <w:sz w:val="24"/>
          <w:szCs w:val="24"/>
        </w:rPr>
        <w:t>The applicant is merely seeking an order to recoup its money</w:t>
      </w:r>
      <w:r w:rsidR="009C1759">
        <w:rPr>
          <w:rFonts w:ascii="Arial" w:eastAsia="Calibri" w:hAnsi="Arial" w:cs="Arial"/>
          <w:sz w:val="24"/>
          <w:szCs w:val="24"/>
        </w:rPr>
        <w:t>s</w:t>
      </w:r>
      <w:r>
        <w:rPr>
          <w:rFonts w:ascii="Arial" w:eastAsia="Calibri" w:hAnsi="Arial" w:cs="Arial"/>
          <w:sz w:val="24"/>
          <w:szCs w:val="24"/>
        </w:rPr>
        <w:t xml:space="preserve"> by selling the property over which a bond was registered as security for the loan granted. </w:t>
      </w:r>
      <w:r w:rsidR="0054765C">
        <w:rPr>
          <w:rFonts w:ascii="Arial" w:eastAsia="Calibri" w:hAnsi="Arial" w:cs="Arial"/>
          <w:sz w:val="24"/>
          <w:szCs w:val="24"/>
        </w:rPr>
        <w:t xml:space="preserve">The respondents are unable to pay the debt and have not offered any other property to the applicant for sale in execution. Under those circumstances the relief sought is unavoidable. </w:t>
      </w:r>
      <w:r w:rsidR="00463F54">
        <w:rPr>
          <w:rFonts w:ascii="Arial" w:eastAsia="Calibri" w:hAnsi="Arial" w:cs="Arial"/>
          <w:sz w:val="24"/>
          <w:szCs w:val="24"/>
        </w:rPr>
        <w:t>H</w:t>
      </w:r>
      <w:r w:rsidR="00001B6F">
        <w:rPr>
          <w:rFonts w:ascii="Arial" w:eastAsia="Calibri" w:hAnsi="Arial" w:cs="Arial"/>
          <w:sz w:val="24"/>
          <w:szCs w:val="24"/>
        </w:rPr>
        <w:t>aving considered all</w:t>
      </w:r>
      <w:r w:rsidR="00463F54">
        <w:rPr>
          <w:rFonts w:ascii="Arial" w:eastAsia="Calibri" w:hAnsi="Arial" w:cs="Arial"/>
          <w:sz w:val="24"/>
          <w:szCs w:val="24"/>
        </w:rPr>
        <w:t xml:space="preserve"> the facts and</w:t>
      </w:r>
      <w:r w:rsidR="009C1759">
        <w:rPr>
          <w:rFonts w:ascii="Arial" w:eastAsia="Calibri" w:hAnsi="Arial" w:cs="Arial"/>
          <w:sz w:val="24"/>
          <w:szCs w:val="24"/>
        </w:rPr>
        <w:t xml:space="preserve"> the relevant circumstances </w:t>
      </w:r>
    </w:p>
    <w:p w:rsidR="00123009" w:rsidRDefault="00237777" w:rsidP="00BB5F70">
      <w:pPr>
        <w:spacing w:line="360" w:lineRule="auto"/>
        <w:rPr>
          <w:rFonts w:ascii="Arial" w:eastAsia="Calibri" w:hAnsi="Arial" w:cs="Arial"/>
          <w:sz w:val="24"/>
          <w:szCs w:val="24"/>
        </w:rPr>
      </w:pPr>
      <w:r>
        <w:rPr>
          <w:rFonts w:ascii="Arial" w:eastAsia="Calibri" w:hAnsi="Arial" w:cs="Arial"/>
          <w:sz w:val="24"/>
          <w:szCs w:val="24"/>
        </w:rPr>
        <w:t>I</w:t>
      </w:r>
      <w:r w:rsidR="00001B6F">
        <w:rPr>
          <w:rFonts w:ascii="Arial" w:eastAsia="Calibri" w:hAnsi="Arial" w:cs="Arial"/>
          <w:sz w:val="24"/>
          <w:szCs w:val="24"/>
        </w:rPr>
        <w:t>ncluding less drastic measu</w:t>
      </w:r>
      <w:r w:rsidR="00463F54">
        <w:rPr>
          <w:rFonts w:ascii="Arial" w:eastAsia="Calibri" w:hAnsi="Arial" w:cs="Arial"/>
          <w:sz w:val="24"/>
          <w:szCs w:val="24"/>
        </w:rPr>
        <w:t>res than a sale in execution, I am satisfied that the applicant has made out a case for the relief sought.</w:t>
      </w:r>
    </w:p>
    <w:p w:rsidR="00463F54" w:rsidRDefault="00463F54" w:rsidP="00BB5F70">
      <w:pPr>
        <w:spacing w:line="360" w:lineRule="auto"/>
        <w:ind w:left="720"/>
        <w:rPr>
          <w:rFonts w:ascii="Arial" w:eastAsia="Calibri" w:hAnsi="Arial" w:cs="Arial"/>
          <w:sz w:val="24"/>
          <w:szCs w:val="24"/>
        </w:rPr>
      </w:pPr>
    </w:p>
    <w:p w:rsidR="00F9197A" w:rsidRDefault="00463F54" w:rsidP="00BB5F70">
      <w:pPr>
        <w:spacing w:line="360" w:lineRule="auto"/>
        <w:rPr>
          <w:rFonts w:ascii="Arial" w:eastAsia="Calibri" w:hAnsi="Arial" w:cs="Arial"/>
          <w:sz w:val="24"/>
          <w:szCs w:val="24"/>
        </w:rPr>
      </w:pPr>
      <w:r>
        <w:rPr>
          <w:rFonts w:ascii="Arial" w:eastAsia="Calibri" w:hAnsi="Arial" w:cs="Arial"/>
          <w:sz w:val="24"/>
          <w:szCs w:val="24"/>
        </w:rPr>
        <w:t>Order</w:t>
      </w:r>
    </w:p>
    <w:p w:rsidR="00B03F28" w:rsidRDefault="00463F54" w:rsidP="00BB5F70">
      <w:pPr>
        <w:spacing w:line="360" w:lineRule="auto"/>
        <w:rPr>
          <w:rFonts w:ascii="Arial" w:eastAsia="Calibri" w:hAnsi="Arial" w:cs="Arial"/>
          <w:sz w:val="24"/>
          <w:szCs w:val="24"/>
        </w:rPr>
      </w:pPr>
      <w:r>
        <w:rPr>
          <w:rFonts w:ascii="Arial" w:eastAsia="Calibri" w:hAnsi="Arial" w:cs="Arial"/>
          <w:sz w:val="24"/>
          <w:szCs w:val="24"/>
        </w:rPr>
        <w:t>1.</w:t>
      </w:r>
      <w:r w:rsidR="00172DB2">
        <w:rPr>
          <w:rFonts w:ascii="Arial" w:eastAsia="Calibri" w:hAnsi="Arial" w:cs="Arial"/>
          <w:sz w:val="24"/>
          <w:szCs w:val="24"/>
        </w:rPr>
        <w:tab/>
      </w:r>
      <w:r>
        <w:rPr>
          <w:rFonts w:ascii="Arial" w:eastAsia="Calibri" w:hAnsi="Arial" w:cs="Arial"/>
          <w:sz w:val="24"/>
          <w:szCs w:val="24"/>
        </w:rPr>
        <w:t>The following immovable property, namely:</w:t>
      </w:r>
    </w:p>
    <w:p w:rsidR="00463F54" w:rsidRDefault="00463F54" w:rsidP="00BB5F70">
      <w:pPr>
        <w:spacing w:line="360" w:lineRule="auto"/>
        <w:rPr>
          <w:rFonts w:ascii="Arial" w:eastAsia="Calibri" w:hAnsi="Arial" w:cs="Arial"/>
          <w:sz w:val="24"/>
          <w:szCs w:val="24"/>
        </w:rPr>
      </w:pPr>
      <w:r>
        <w:rPr>
          <w:rFonts w:ascii="Arial" w:eastAsia="Calibri" w:hAnsi="Arial" w:cs="Arial"/>
          <w:sz w:val="24"/>
          <w:szCs w:val="24"/>
        </w:rPr>
        <w:t>CERTAIN</w:t>
      </w:r>
      <w:r w:rsidR="00711718">
        <w:rPr>
          <w:rFonts w:ascii="Arial" w:eastAsia="Calibri" w:hAnsi="Arial" w:cs="Arial"/>
          <w:sz w:val="24"/>
          <w:szCs w:val="24"/>
        </w:rPr>
        <w:tab/>
      </w:r>
      <w:r w:rsidR="00711718">
        <w:rPr>
          <w:rFonts w:ascii="Arial" w:eastAsia="Calibri" w:hAnsi="Arial" w:cs="Arial"/>
          <w:sz w:val="24"/>
          <w:szCs w:val="24"/>
        </w:rPr>
        <w:tab/>
      </w:r>
      <w:r>
        <w:rPr>
          <w:rFonts w:ascii="Arial" w:eastAsia="Calibri" w:hAnsi="Arial" w:cs="Arial"/>
          <w:sz w:val="24"/>
          <w:szCs w:val="24"/>
        </w:rPr>
        <w:t xml:space="preserve">Portion 36 (A portion of portion 4) </w:t>
      </w:r>
      <w:r w:rsidR="00054A4C">
        <w:rPr>
          <w:rFonts w:ascii="Arial" w:eastAsia="Calibri" w:hAnsi="Arial" w:cs="Arial"/>
          <w:sz w:val="24"/>
          <w:szCs w:val="24"/>
        </w:rPr>
        <w:t>of the farm Nubuamis No. 37</w:t>
      </w:r>
    </w:p>
    <w:p w:rsidR="00054A4C" w:rsidRDefault="00054A4C" w:rsidP="00BB5F70">
      <w:pPr>
        <w:spacing w:line="360" w:lineRule="auto"/>
        <w:rPr>
          <w:rFonts w:ascii="Arial" w:eastAsia="Calibri" w:hAnsi="Arial" w:cs="Arial"/>
          <w:sz w:val="24"/>
          <w:szCs w:val="24"/>
        </w:rPr>
      </w:pPr>
      <w:r>
        <w:rPr>
          <w:rFonts w:ascii="Arial" w:eastAsia="Calibri" w:hAnsi="Arial" w:cs="Arial"/>
          <w:sz w:val="24"/>
          <w:szCs w:val="24"/>
        </w:rPr>
        <w:t>SITUATED</w:t>
      </w:r>
      <w:r w:rsidR="00711718">
        <w:rPr>
          <w:rFonts w:ascii="Arial" w:eastAsia="Calibri" w:hAnsi="Arial" w:cs="Arial"/>
          <w:sz w:val="24"/>
          <w:szCs w:val="24"/>
        </w:rPr>
        <w:tab/>
      </w:r>
      <w:r w:rsidR="00711718">
        <w:rPr>
          <w:rFonts w:ascii="Arial" w:eastAsia="Calibri" w:hAnsi="Arial" w:cs="Arial"/>
          <w:sz w:val="24"/>
          <w:szCs w:val="24"/>
        </w:rPr>
        <w:tab/>
      </w:r>
      <w:r>
        <w:rPr>
          <w:rFonts w:ascii="Arial" w:eastAsia="Calibri" w:hAnsi="Arial" w:cs="Arial"/>
          <w:sz w:val="24"/>
          <w:szCs w:val="24"/>
        </w:rPr>
        <w:t>In the Municipality of Windhoek</w:t>
      </w:r>
    </w:p>
    <w:p w:rsidR="00054A4C" w:rsidRDefault="00711718" w:rsidP="00BB5F70">
      <w:pPr>
        <w:spacing w:line="360" w:lineRule="auto"/>
        <w:rPr>
          <w:rFonts w:ascii="Arial" w:eastAsia="Calibri" w:hAnsi="Arial" w:cs="Arial"/>
          <w:sz w:val="24"/>
          <w:szCs w:val="24"/>
        </w:rPr>
      </w:pPr>
      <w:r>
        <w:rPr>
          <w:rFonts w:ascii="Arial" w:eastAsia="Calibri" w:hAnsi="Arial" w:cs="Arial"/>
          <w:sz w:val="24"/>
          <w:szCs w:val="24"/>
        </w:rPr>
        <w:t>MEASURING</w:t>
      </w:r>
      <w:r>
        <w:rPr>
          <w:rFonts w:ascii="Arial" w:eastAsia="Calibri" w:hAnsi="Arial" w:cs="Arial"/>
          <w:sz w:val="24"/>
          <w:szCs w:val="24"/>
        </w:rPr>
        <w:tab/>
      </w:r>
      <w:r w:rsidR="00054A4C">
        <w:rPr>
          <w:rFonts w:ascii="Arial" w:eastAsia="Calibri" w:hAnsi="Arial" w:cs="Arial"/>
          <w:sz w:val="24"/>
          <w:szCs w:val="24"/>
        </w:rPr>
        <w:t>50,0324 (</w:t>
      </w:r>
      <w:r>
        <w:rPr>
          <w:rFonts w:ascii="Arial" w:eastAsia="Calibri" w:hAnsi="Arial" w:cs="Arial"/>
          <w:sz w:val="24"/>
          <w:szCs w:val="24"/>
        </w:rPr>
        <w:t>FIVE ZERO COMMA ZERO THREE TWO FOUR</w:t>
      </w:r>
      <w:r w:rsidR="00054A4C">
        <w:rPr>
          <w:rFonts w:ascii="Arial" w:eastAsia="Calibri" w:hAnsi="Arial" w:cs="Arial"/>
          <w:sz w:val="24"/>
          <w:szCs w:val="24"/>
        </w:rPr>
        <w:t xml:space="preserve">)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054A4C">
        <w:rPr>
          <w:rFonts w:ascii="Arial" w:eastAsia="Calibri" w:hAnsi="Arial" w:cs="Arial"/>
          <w:sz w:val="24"/>
          <w:szCs w:val="24"/>
        </w:rPr>
        <w:t xml:space="preserve">hectares </w:t>
      </w:r>
    </w:p>
    <w:p w:rsidR="00054A4C" w:rsidRDefault="00054A4C" w:rsidP="00BB5F70">
      <w:pPr>
        <w:spacing w:line="360" w:lineRule="auto"/>
        <w:rPr>
          <w:rFonts w:ascii="Arial" w:eastAsia="Calibri" w:hAnsi="Arial" w:cs="Arial"/>
          <w:sz w:val="24"/>
          <w:szCs w:val="24"/>
        </w:rPr>
      </w:pPr>
      <w:r>
        <w:rPr>
          <w:rFonts w:ascii="Arial" w:eastAsia="Calibri" w:hAnsi="Arial" w:cs="Arial"/>
          <w:sz w:val="24"/>
          <w:szCs w:val="24"/>
        </w:rPr>
        <w:t>HELD BY</w:t>
      </w:r>
      <w:r w:rsidR="00711718">
        <w:rPr>
          <w:rFonts w:ascii="Arial" w:eastAsia="Calibri" w:hAnsi="Arial" w:cs="Arial"/>
          <w:sz w:val="24"/>
          <w:szCs w:val="24"/>
        </w:rPr>
        <w:tab/>
      </w:r>
      <w:r w:rsidR="00711718">
        <w:rPr>
          <w:rFonts w:ascii="Arial" w:eastAsia="Calibri" w:hAnsi="Arial" w:cs="Arial"/>
          <w:sz w:val="24"/>
          <w:szCs w:val="24"/>
        </w:rPr>
        <w:tab/>
      </w:r>
      <w:r w:rsidR="00744D73">
        <w:rPr>
          <w:rFonts w:ascii="Arial" w:eastAsia="Calibri" w:hAnsi="Arial" w:cs="Arial"/>
          <w:sz w:val="24"/>
          <w:szCs w:val="24"/>
        </w:rPr>
        <w:t>Deed of Transfer No. T4426/2007</w:t>
      </w:r>
    </w:p>
    <w:p w:rsidR="00054A4C" w:rsidRDefault="00054A4C" w:rsidP="00BB5F70">
      <w:pPr>
        <w:spacing w:line="360" w:lineRule="auto"/>
        <w:rPr>
          <w:rFonts w:ascii="Arial" w:eastAsia="Calibri" w:hAnsi="Arial" w:cs="Arial"/>
          <w:sz w:val="24"/>
          <w:szCs w:val="24"/>
        </w:rPr>
      </w:pPr>
      <w:r>
        <w:rPr>
          <w:rFonts w:ascii="Arial" w:eastAsia="Calibri" w:hAnsi="Arial" w:cs="Arial"/>
          <w:sz w:val="24"/>
          <w:szCs w:val="24"/>
        </w:rPr>
        <w:t>Is declared specially executable</w:t>
      </w:r>
    </w:p>
    <w:p w:rsidR="00054A4C" w:rsidRDefault="00054A4C" w:rsidP="00BB5F70">
      <w:pPr>
        <w:spacing w:line="360" w:lineRule="auto"/>
        <w:rPr>
          <w:rFonts w:ascii="Arial" w:eastAsia="Calibri" w:hAnsi="Arial" w:cs="Arial"/>
          <w:sz w:val="24"/>
          <w:szCs w:val="24"/>
        </w:rPr>
      </w:pPr>
    </w:p>
    <w:p w:rsidR="00054A4C" w:rsidRDefault="00172DB2" w:rsidP="00BB5F70">
      <w:pPr>
        <w:spacing w:line="360" w:lineRule="auto"/>
        <w:rPr>
          <w:rFonts w:ascii="Arial" w:eastAsia="Calibri" w:hAnsi="Arial" w:cs="Arial"/>
          <w:sz w:val="24"/>
          <w:szCs w:val="24"/>
        </w:rPr>
      </w:pPr>
      <w:r>
        <w:rPr>
          <w:rFonts w:ascii="Arial" w:eastAsia="Calibri" w:hAnsi="Arial" w:cs="Arial"/>
          <w:sz w:val="24"/>
          <w:szCs w:val="24"/>
        </w:rPr>
        <w:lastRenderedPageBreak/>
        <w:t>2.</w:t>
      </w:r>
      <w:r>
        <w:rPr>
          <w:rFonts w:ascii="Arial" w:eastAsia="Calibri" w:hAnsi="Arial" w:cs="Arial"/>
          <w:sz w:val="24"/>
          <w:szCs w:val="24"/>
        </w:rPr>
        <w:tab/>
      </w:r>
      <w:r w:rsidR="00C5019B">
        <w:rPr>
          <w:rFonts w:ascii="Arial" w:eastAsia="Calibri" w:hAnsi="Arial" w:cs="Arial"/>
          <w:sz w:val="24"/>
          <w:szCs w:val="24"/>
        </w:rPr>
        <w:t>The respondents must</w:t>
      </w:r>
      <w:r w:rsidR="00054A4C">
        <w:rPr>
          <w:rFonts w:ascii="Arial" w:eastAsia="Calibri" w:hAnsi="Arial" w:cs="Arial"/>
          <w:sz w:val="24"/>
          <w:szCs w:val="24"/>
        </w:rPr>
        <w:t xml:space="preserve">, jointly and </w:t>
      </w:r>
      <w:r w:rsidR="000E7EF2">
        <w:rPr>
          <w:rFonts w:ascii="Arial" w:eastAsia="Calibri" w:hAnsi="Arial" w:cs="Arial"/>
          <w:sz w:val="24"/>
          <w:szCs w:val="24"/>
        </w:rPr>
        <w:t>severally</w:t>
      </w:r>
      <w:r w:rsidR="00054A4C">
        <w:rPr>
          <w:rFonts w:ascii="Arial" w:eastAsia="Calibri" w:hAnsi="Arial" w:cs="Arial"/>
          <w:sz w:val="24"/>
          <w:szCs w:val="24"/>
        </w:rPr>
        <w:t xml:space="preserve"> the one p</w:t>
      </w:r>
      <w:r w:rsidR="009C1759">
        <w:rPr>
          <w:rFonts w:ascii="Arial" w:eastAsia="Calibri" w:hAnsi="Arial" w:cs="Arial"/>
          <w:sz w:val="24"/>
          <w:szCs w:val="24"/>
        </w:rPr>
        <w:t>aying the other to be absolved,</w:t>
      </w:r>
      <w:r w:rsidR="00054A4C">
        <w:rPr>
          <w:rFonts w:ascii="Arial" w:eastAsia="Calibri" w:hAnsi="Arial" w:cs="Arial"/>
          <w:sz w:val="24"/>
          <w:szCs w:val="24"/>
        </w:rPr>
        <w:t xml:space="preserve"> pay the applicant’s costs in respect of the Rule108 application.</w:t>
      </w:r>
      <w:r>
        <w:rPr>
          <w:rFonts w:ascii="Arial" w:eastAsia="Calibri" w:hAnsi="Arial" w:cs="Arial"/>
          <w:sz w:val="24"/>
          <w:szCs w:val="24"/>
        </w:rPr>
        <w:t xml:space="preserve"> </w:t>
      </w:r>
      <w:r w:rsidR="00054A4C">
        <w:rPr>
          <w:rFonts w:ascii="Arial" w:eastAsia="Calibri" w:hAnsi="Arial" w:cs="Arial"/>
          <w:sz w:val="24"/>
          <w:szCs w:val="24"/>
        </w:rPr>
        <w:t>The costs a</w:t>
      </w:r>
      <w:r w:rsidR="00744D73">
        <w:rPr>
          <w:rFonts w:ascii="Arial" w:eastAsia="Calibri" w:hAnsi="Arial" w:cs="Arial"/>
          <w:sz w:val="24"/>
          <w:szCs w:val="24"/>
        </w:rPr>
        <w:t>re on the scale as between attorney and own client.</w:t>
      </w:r>
    </w:p>
    <w:p w:rsidR="00054A4C" w:rsidRDefault="00054A4C" w:rsidP="00BB5F70">
      <w:pPr>
        <w:spacing w:line="360" w:lineRule="auto"/>
        <w:rPr>
          <w:rFonts w:ascii="Arial" w:eastAsia="Calibri" w:hAnsi="Arial" w:cs="Arial"/>
          <w:sz w:val="24"/>
          <w:szCs w:val="24"/>
        </w:rPr>
      </w:pPr>
    </w:p>
    <w:p w:rsidR="00232664" w:rsidRPr="0013018B" w:rsidRDefault="00232664" w:rsidP="00BB5F70">
      <w:pPr>
        <w:spacing w:line="360" w:lineRule="auto"/>
        <w:rPr>
          <w:rFonts w:ascii="Arial" w:eastAsia="Calibri" w:hAnsi="Arial" w:cs="Arial"/>
          <w:sz w:val="24"/>
          <w:szCs w:val="24"/>
        </w:rPr>
      </w:pPr>
    </w:p>
    <w:p w:rsidR="0013018B" w:rsidRPr="0013018B" w:rsidRDefault="0013018B" w:rsidP="00BB5F70">
      <w:pPr>
        <w:spacing w:line="360" w:lineRule="auto"/>
        <w:contextualSpacing/>
        <w:jc w:val="right"/>
        <w:rPr>
          <w:rFonts w:ascii="Arial" w:eastAsia="Calibri" w:hAnsi="Arial" w:cs="Arial"/>
          <w:sz w:val="24"/>
          <w:szCs w:val="24"/>
          <w:u w:val="single"/>
        </w:rPr>
      </w:pPr>
      <w:r w:rsidRPr="0013018B">
        <w:rPr>
          <w:rFonts w:ascii="Arial" w:eastAsia="Calibri" w:hAnsi="Arial" w:cs="Arial"/>
          <w:sz w:val="24"/>
          <w:szCs w:val="24"/>
        </w:rPr>
        <w:t>______________________</w:t>
      </w:r>
    </w:p>
    <w:p w:rsidR="0013018B" w:rsidRPr="0013018B" w:rsidRDefault="0013018B" w:rsidP="00BB5F70">
      <w:pPr>
        <w:spacing w:line="360" w:lineRule="auto"/>
        <w:contextualSpacing/>
        <w:jc w:val="right"/>
        <w:rPr>
          <w:rFonts w:ascii="Arial" w:eastAsia="Calibri" w:hAnsi="Arial" w:cs="Arial"/>
          <w:b/>
          <w:sz w:val="24"/>
          <w:szCs w:val="24"/>
        </w:rPr>
      </w:pPr>
      <w:r w:rsidRPr="0013018B">
        <w:rPr>
          <w:rFonts w:ascii="Arial" w:eastAsia="Calibri" w:hAnsi="Arial" w:cs="Arial"/>
          <w:b/>
          <w:sz w:val="24"/>
          <w:szCs w:val="24"/>
        </w:rPr>
        <w:t>G N NDAUENDAPO</w:t>
      </w:r>
    </w:p>
    <w:p w:rsidR="0013018B" w:rsidRPr="0013018B" w:rsidRDefault="0013018B" w:rsidP="00BB5F70">
      <w:pPr>
        <w:spacing w:line="360" w:lineRule="auto"/>
        <w:contextualSpacing/>
        <w:jc w:val="right"/>
        <w:rPr>
          <w:rFonts w:ascii="Arial" w:eastAsia="Calibri" w:hAnsi="Arial" w:cs="Arial"/>
          <w:b/>
          <w:sz w:val="24"/>
          <w:szCs w:val="24"/>
        </w:rPr>
      </w:pPr>
      <w:r w:rsidRPr="0013018B">
        <w:rPr>
          <w:rFonts w:ascii="Arial" w:eastAsia="Calibri" w:hAnsi="Arial" w:cs="Arial"/>
          <w:b/>
          <w:sz w:val="24"/>
          <w:szCs w:val="24"/>
        </w:rPr>
        <w:tab/>
        <w:t>Judge</w:t>
      </w:r>
    </w:p>
    <w:p w:rsidR="0013018B" w:rsidRPr="0013018B" w:rsidRDefault="0013018B" w:rsidP="00BB5F70">
      <w:pPr>
        <w:spacing w:line="360" w:lineRule="auto"/>
        <w:jc w:val="left"/>
        <w:rPr>
          <w:rFonts w:ascii="Arial" w:eastAsia="Calibri" w:hAnsi="Arial" w:cs="Arial"/>
          <w:sz w:val="24"/>
          <w:szCs w:val="24"/>
        </w:rPr>
      </w:pPr>
      <w:r w:rsidRPr="0013018B">
        <w:rPr>
          <w:rFonts w:ascii="Arial" w:eastAsia="Calibri" w:hAnsi="Arial" w:cs="Arial"/>
          <w:sz w:val="24"/>
          <w:szCs w:val="24"/>
        </w:rPr>
        <w:br w:type="page"/>
      </w:r>
    </w:p>
    <w:p w:rsidR="0013018B" w:rsidRPr="0013018B" w:rsidRDefault="0013018B" w:rsidP="00BB5F70">
      <w:pPr>
        <w:spacing w:line="360" w:lineRule="auto"/>
        <w:contextualSpacing/>
        <w:rPr>
          <w:rFonts w:ascii="Arial" w:eastAsia="Calibri" w:hAnsi="Arial" w:cs="Arial"/>
          <w:sz w:val="24"/>
          <w:szCs w:val="24"/>
        </w:rPr>
      </w:pPr>
    </w:p>
    <w:p w:rsidR="0013018B" w:rsidRPr="0013018B" w:rsidRDefault="0013018B" w:rsidP="00BB5F70">
      <w:pPr>
        <w:spacing w:line="360" w:lineRule="auto"/>
        <w:contextualSpacing/>
        <w:rPr>
          <w:rFonts w:ascii="Arial" w:eastAsia="Calibri" w:hAnsi="Arial" w:cs="Arial"/>
          <w:b/>
          <w:sz w:val="24"/>
          <w:szCs w:val="24"/>
        </w:rPr>
      </w:pPr>
      <w:r w:rsidRPr="0013018B">
        <w:rPr>
          <w:rFonts w:ascii="Arial" w:eastAsia="Calibri" w:hAnsi="Arial" w:cs="Arial"/>
          <w:b/>
          <w:sz w:val="24"/>
          <w:szCs w:val="24"/>
        </w:rPr>
        <w:t>APPEARANCES</w:t>
      </w:r>
    </w:p>
    <w:p w:rsidR="0013018B" w:rsidRPr="0013018B" w:rsidRDefault="0013018B" w:rsidP="00BB5F70">
      <w:pPr>
        <w:spacing w:line="360" w:lineRule="auto"/>
        <w:contextualSpacing/>
        <w:rPr>
          <w:rFonts w:ascii="Arial" w:eastAsia="Calibri" w:hAnsi="Arial" w:cs="Arial"/>
          <w:b/>
          <w:sz w:val="24"/>
          <w:szCs w:val="24"/>
        </w:rPr>
      </w:pPr>
    </w:p>
    <w:p w:rsidR="0013018B" w:rsidRDefault="0013018B" w:rsidP="00BB5F70">
      <w:pPr>
        <w:spacing w:line="360" w:lineRule="auto"/>
        <w:contextualSpacing/>
        <w:rPr>
          <w:rFonts w:ascii="Arial" w:eastAsia="Calibri" w:hAnsi="Arial" w:cs="Arial"/>
          <w:sz w:val="24"/>
          <w:szCs w:val="24"/>
        </w:rPr>
      </w:pPr>
      <w:r w:rsidRPr="0013018B">
        <w:rPr>
          <w:rFonts w:ascii="Arial" w:eastAsia="Calibri" w:hAnsi="Arial" w:cs="Arial"/>
          <w:b/>
          <w:sz w:val="24"/>
          <w:szCs w:val="24"/>
        </w:rPr>
        <w:t xml:space="preserve">FOR THE </w:t>
      </w:r>
      <w:r w:rsidR="009470D5">
        <w:rPr>
          <w:rFonts w:ascii="Arial" w:eastAsia="Calibri" w:hAnsi="Arial" w:cs="Arial"/>
          <w:b/>
          <w:sz w:val="24"/>
          <w:szCs w:val="24"/>
        </w:rPr>
        <w:t>PLAINTIFF</w:t>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009470D5">
        <w:rPr>
          <w:rFonts w:ascii="Arial" w:eastAsia="Calibri" w:hAnsi="Arial" w:cs="Arial"/>
          <w:sz w:val="24"/>
          <w:szCs w:val="24"/>
        </w:rPr>
        <w:t>Mr. Patrick Kauta</w:t>
      </w:r>
    </w:p>
    <w:p w:rsidR="009470D5" w:rsidRPr="0013018B" w:rsidRDefault="009470D5" w:rsidP="00BB5F70">
      <w:pPr>
        <w:spacing w:line="360" w:lineRule="auto"/>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Of Dr Weder, Kauta &amp; Hoveka Inc.</w:t>
      </w:r>
    </w:p>
    <w:p w:rsidR="0013018B" w:rsidRPr="0013018B" w:rsidRDefault="0013018B" w:rsidP="00BB5F70">
      <w:pPr>
        <w:spacing w:line="360" w:lineRule="auto"/>
        <w:contextualSpacing/>
        <w:rPr>
          <w:rFonts w:ascii="Arial" w:eastAsia="Calibri" w:hAnsi="Arial" w:cs="Arial"/>
          <w:b/>
          <w:sz w:val="24"/>
          <w:szCs w:val="24"/>
        </w:rPr>
      </w:pPr>
    </w:p>
    <w:p w:rsidR="0013018B" w:rsidRDefault="0013018B" w:rsidP="00BB5F70">
      <w:pPr>
        <w:spacing w:line="360" w:lineRule="auto"/>
        <w:contextualSpacing/>
        <w:rPr>
          <w:rFonts w:ascii="Arial" w:eastAsia="Calibri" w:hAnsi="Arial" w:cs="Arial"/>
          <w:sz w:val="24"/>
          <w:szCs w:val="24"/>
        </w:rPr>
      </w:pPr>
      <w:r w:rsidRPr="0013018B">
        <w:rPr>
          <w:rFonts w:ascii="Arial" w:eastAsia="Calibri" w:hAnsi="Arial" w:cs="Arial"/>
          <w:b/>
          <w:sz w:val="24"/>
          <w:szCs w:val="24"/>
        </w:rPr>
        <w:t xml:space="preserve">FOR </w:t>
      </w:r>
      <w:r w:rsidR="00A51D27">
        <w:rPr>
          <w:rFonts w:ascii="Arial" w:eastAsia="Calibri" w:hAnsi="Arial" w:cs="Arial"/>
          <w:b/>
          <w:sz w:val="24"/>
          <w:szCs w:val="24"/>
        </w:rPr>
        <w:t xml:space="preserve">THE </w:t>
      </w:r>
      <w:r w:rsidR="009470D5">
        <w:rPr>
          <w:rFonts w:ascii="Arial" w:eastAsia="Calibri" w:hAnsi="Arial" w:cs="Arial"/>
          <w:b/>
          <w:sz w:val="24"/>
          <w:szCs w:val="24"/>
        </w:rPr>
        <w:t>1</w:t>
      </w:r>
      <w:r w:rsidR="009470D5" w:rsidRPr="009470D5">
        <w:rPr>
          <w:rFonts w:ascii="Arial" w:eastAsia="Calibri" w:hAnsi="Arial" w:cs="Arial"/>
          <w:b/>
          <w:sz w:val="24"/>
          <w:szCs w:val="24"/>
          <w:vertAlign w:val="superscript"/>
        </w:rPr>
        <w:t>st</w:t>
      </w:r>
      <w:r w:rsidR="009470D5">
        <w:rPr>
          <w:rFonts w:ascii="Arial" w:eastAsia="Calibri" w:hAnsi="Arial" w:cs="Arial"/>
          <w:b/>
          <w:sz w:val="24"/>
          <w:szCs w:val="24"/>
        </w:rPr>
        <w:t>, 2</w:t>
      </w:r>
      <w:r w:rsidR="009470D5" w:rsidRPr="009470D5">
        <w:rPr>
          <w:rFonts w:ascii="Arial" w:eastAsia="Calibri" w:hAnsi="Arial" w:cs="Arial"/>
          <w:b/>
          <w:sz w:val="24"/>
          <w:szCs w:val="24"/>
          <w:vertAlign w:val="superscript"/>
        </w:rPr>
        <w:t>nd</w:t>
      </w:r>
      <w:r w:rsidR="009470D5">
        <w:rPr>
          <w:rFonts w:ascii="Arial" w:eastAsia="Calibri" w:hAnsi="Arial" w:cs="Arial"/>
          <w:b/>
          <w:sz w:val="24"/>
          <w:szCs w:val="24"/>
        </w:rPr>
        <w:t xml:space="preserve"> and 3</w:t>
      </w:r>
      <w:r w:rsidR="009470D5" w:rsidRPr="009470D5">
        <w:rPr>
          <w:rFonts w:ascii="Arial" w:eastAsia="Calibri" w:hAnsi="Arial" w:cs="Arial"/>
          <w:b/>
          <w:sz w:val="24"/>
          <w:szCs w:val="24"/>
          <w:vertAlign w:val="superscript"/>
        </w:rPr>
        <w:t>rd</w:t>
      </w:r>
      <w:r w:rsidR="009470D5">
        <w:rPr>
          <w:rFonts w:ascii="Arial" w:eastAsia="Calibri" w:hAnsi="Arial" w:cs="Arial"/>
          <w:b/>
          <w:sz w:val="24"/>
          <w:szCs w:val="24"/>
        </w:rPr>
        <w:t xml:space="preserve"> DEFENDANT</w:t>
      </w:r>
      <w:r w:rsidRPr="0013018B">
        <w:rPr>
          <w:rFonts w:ascii="Arial" w:eastAsia="Calibri" w:hAnsi="Arial" w:cs="Arial"/>
          <w:b/>
          <w:sz w:val="24"/>
          <w:szCs w:val="24"/>
        </w:rPr>
        <w:tab/>
      </w:r>
      <w:r w:rsidR="009470D5" w:rsidRPr="009470D5">
        <w:rPr>
          <w:rFonts w:ascii="Arial" w:eastAsia="Calibri" w:hAnsi="Arial" w:cs="Arial"/>
          <w:sz w:val="24"/>
          <w:szCs w:val="24"/>
        </w:rPr>
        <w:t>Mr.</w:t>
      </w:r>
      <w:r w:rsidR="009470D5">
        <w:rPr>
          <w:rFonts w:ascii="Arial" w:eastAsia="Calibri" w:hAnsi="Arial" w:cs="Arial"/>
          <w:sz w:val="24"/>
          <w:szCs w:val="24"/>
        </w:rPr>
        <w:t xml:space="preserve"> Francois Bangamwabo</w:t>
      </w:r>
    </w:p>
    <w:p w:rsidR="009470D5" w:rsidRPr="009470D5" w:rsidRDefault="009470D5" w:rsidP="00BB5F70">
      <w:pPr>
        <w:spacing w:line="360" w:lineRule="auto"/>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Of FB Law Chambers</w:t>
      </w:r>
    </w:p>
    <w:p w:rsidR="0013018B" w:rsidRPr="0013018B" w:rsidRDefault="0013018B" w:rsidP="00BB5F70">
      <w:pPr>
        <w:spacing w:line="360" w:lineRule="auto"/>
        <w:rPr>
          <w:rFonts w:ascii="Arial" w:eastAsia="Calibri" w:hAnsi="Arial" w:cs="Arial"/>
          <w:sz w:val="24"/>
          <w:szCs w:val="24"/>
        </w:rPr>
      </w:pPr>
    </w:p>
    <w:sectPr w:rsidR="0013018B" w:rsidRPr="0013018B" w:rsidSect="00B101EF">
      <w:headerReference w:type="default" r:id="rId9"/>
      <w:pgSz w:w="11906" w:h="16838"/>
      <w:pgMar w:top="1134"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223" w:rsidRDefault="003D0223" w:rsidP="00BC6EFF">
      <w:pPr>
        <w:spacing w:line="240" w:lineRule="auto"/>
      </w:pPr>
      <w:r>
        <w:separator/>
      </w:r>
    </w:p>
  </w:endnote>
  <w:endnote w:type="continuationSeparator" w:id="0">
    <w:p w:rsidR="003D0223" w:rsidRDefault="003D0223" w:rsidP="00BC6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223" w:rsidRDefault="003D0223" w:rsidP="00BC6EFF">
      <w:pPr>
        <w:spacing w:line="240" w:lineRule="auto"/>
      </w:pPr>
      <w:r>
        <w:separator/>
      </w:r>
    </w:p>
  </w:footnote>
  <w:footnote w:type="continuationSeparator" w:id="0">
    <w:p w:rsidR="003D0223" w:rsidRDefault="003D0223" w:rsidP="00BC6EFF">
      <w:pPr>
        <w:spacing w:line="240" w:lineRule="auto"/>
      </w:pPr>
      <w:r>
        <w:continuationSeparator/>
      </w:r>
    </w:p>
  </w:footnote>
  <w:footnote w:id="1">
    <w:p w:rsidR="0051218B" w:rsidRPr="0051218B" w:rsidRDefault="0051218B">
      <w:pPr>
        <w:pStyle w:val="FootnoteText"/>
        <w:rPr>
          <w:lang w:val="en-ZA"/>
        </w:rPr>
      </w:pPr>
      <w:r>
        <w:rPr>
          <w:rStyle w:val="FootnoteReference"/>
        </w:rPr>
        <w:footnoteRef/>
      </w:r>
      <w:r>
        <w:t xml:space="preserve"> </w:t>
      </w:r>
      <w:r w:rsidRPr="0051218B">
        <w:rPr>
          <w:rFonts w:ascii="Arial" w:hAnsi="Arial" w:cs="Arial"/>
          <w:sz w:val="24"/>
          <w:szCs w:val="24"/>
        </w:rPr>
        <w:t>Roman Catholic Church v Phillepus Lombeleni Thomas</w:t>
      </w:r>
      <w:r w:rsidR="00ED68DD">
        <w:rPr>
          <w:rFonts w:ascii="Arial" w:hAnsi="Arial" w:cs="Arial"/>
          <w:sz w:val="24"/>
          <w:szCs w:val="24"/>
        </w:rPr>
        <w:t xml:space="preserve"> &amp; 2 others case No. 2017/04548 delivered on 12 April 2019.</w:t>
      </w:r>
    </w:p>
  </w:footnote>
  <w:footnote w:id="2">
    <w:p w:rsidR="00CB0B2C" w:rsidRDefault="00CB0B2C">
      <w:pPr>
        <w:pStyle w:val="FootnoteText"/>
      </w:pPr>
      <w:r>
        <w:rPr>
          <w:rStyle w:val="FootnoteReference"/>
        </w:rPr>
        <w:footnoteRef/>
      </w:r>
      <w:r>
        <w:t xml:space="preserve"> A</w:t>
      </w:r>
      <w:r w:rsidRPr="00CB0B2C">
        <w:rPr>
          <w:rFonts w:ascii="Arial" w:eastAsia="Calibri" w:hAnsi="Arial" w:cs="Arial"/>
        </w:rPr>
        <w:t>nnexed to the answering affidavit) (dated 28 November 2017)</w:t>
      </w:r>
    </w:p>
  </w:footnote>
  <w:footnote w:id="3">
    <w:p w:rsidR="005035D7" w:rsidRPr="005035D7" w:rsidRDefault="005035D7">
      <w:pPr>
        <w:pStyle w:val="FootnoteText"/>
        <w:rPr>
          <w:lang w:val="en-ZA"/>
        </w:rPr>
      </w:pPr>
      <w:r>
        <w:rPr>
          <w:rStyle w:val="FootnoteReference"/>
        </w:rPr>
        <w:footnoteRef/>
      </w:r>
      <w:r>
        <w:t xml:space="preserve"> </w:t>
      </w:r>
      <w:r w:rsidRPr="005035D7">
        <w:rPr>
          <w:rFonts w:ascii="Arial" w:hAnsi="Arial" w:cs="Arial"/>
        </w:rPr>
        <w:t>Baretzky and Another v Standard Bank of South Africa ( Western Cape Division, Cape Town case no.13668/2016 delivered on 17 February 2016)</w:t>
      </w:r>
    </w:p>
  </w:footnote>
  <w:footnote w:id="4">
    <w:p w:rsidR="006339CB" w:rsidRPr="006339CB" w:rsidRDefault="006339CB">
      <w:pPr>
        <w:pStyle w:val="FootnoteText"/>
        <w:rPr>
          <w:lang w:val="en-ZA"/>
        </w:rPr>
      </w:pPr>
      <w:r>
        <w:rPr>
          <w:rStyle w:val="FootnoteReference"/>
        </w:rPr>
        <w:footnoteRef/>
      </w:r>
      <w:r>
        <w:t xml:space="preserve"> </w:t>
      </w:r>
      <w:r w:rsidRPr="006339CB">
        <w:rPr>
          <w:rFonts w:ascii="Arial" w:eastAsia="Calibri" w:hAnsi="Arial" w:cs="Arial"/>
        </w:rPr>
        <w:t>Standard Bank Namibia Limited v Magdalena Shipila and Others</w:t>
      </w:r>
      <w:r w:rsidR="00480866">
        <w:rPr>
          <w:rFonts w:ascii="Arial" w:eastAsia="Calibri" w:hAnsi="Arial" w:cs="Arial"/>
        </w:rPr>
        <w:t xml:space="preserve"> 2018(3) NR 849(SC)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80010"/>
      <w:docPartObj>
        <w:docPartGallery w:val="Page Numbers (Top of Page)"/>
        <w:docPartUnique/>
      </w:docPartObj>
    </w:sdtPr>
    <w:sdtEndPr>
      <w:rPr>
        <w:noProof/>
      </w:rPr>
    </w:sdtEndPr>
    <w:sdtContent>
      <w:p w:rsidR="00EB21F4" w:rsidRDefault="00EB21F4">
        <w:pPr>
          <w:pStyle w:val="Header"/>
          <w:jc w:val="right"/>
        </w:pPr>
        <w:r>
          <w:fldChar w:fldCharType="begin"/>
        </w:r>
        <w:r>
          <w:instrText xml:space="preserve"> PAGE   \* MERGEFORMAT </w:instrText>
        </w:r>
        <w:r>
          <w:fldChar w:fldCharType="separate"/>
        </w:r>
        <w:r w:rsidR="00160ACA">
          <w:rPr>
            <w:noProof/>
          </w:rPr>
          <w:t>11</w:t>
        </w:r>
        <w:r>
          <w:rPr>
            <w:noProof/>
          </w:rPr>
          <w:fldChar w:fldCharType="end"/>
        </w:r>
      </w:p>
    </w:sdtContent>
  </w:sdt>
  <w:p w:rsidR="00EB21F4" w:rsidRDefault="00EB2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302A"/>
    <w:multiLevelType w:val="hybridMultilevel"/>
    <w:tmpl w:val="E6D65152"/>
    <w:lvl w:ilvl="0" w:tplc="B300B276">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35F28E5"/>
    <w:multiLevelType w:val="hybridMultilevel"/>
    <w:tmpl w:val="14BCD600"/>
    <w:lvl w:ilvl="0" w:tplc="9CB2E3AE">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04619B"/>
    <w:multiLevelType w:val="multilevel"/>
    <w:tmpl w:val="AB6489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044A7E"/>
    <w:multiLevelType w:val="hybridMultilevel"/>
    <w:tmpl w:val="B0542AAC"/>
    <w:lvl w:ilvl="0" w:tplc="C6FC25A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EDB2438"/>
    <w:multiLevelType w:val="hybridMultilevel"/>
    <w:tmpl w:val="BF8E1CF4"/>
    <w:lvl w:ilvl="0" w:tplc="4F20F8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F431C4E"/>
    <w:multiLevelType w:val="hybridMultilevel"/>
    <w:tmpl w:val="E9586272"/>
    <w:lvl w:ilvl="0" w:tplc="5D6C6DE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15:restartNumberingAfterBreak="0">
    <w:nsid w:val="48D316D9"/>
    <w:multiLevelType w:val="hybridMultilevel"/>
    <w:tmpl w:val="39CEE9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1D92C1E"/>
    <w:multiLevelType w:val="hybridMultilevel"/>
    <w:tmpl w:val="0254955A"/>
    <w:lvl w:ilvl="0" w:tplc="D6343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6260AB3"/>
    <w:multiLevelType w:val="multilevel"/>
    <w:tmpl w:val="A5A65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DC033AD"/>
    <w:multiLevelType w:val="hybridMultilevel"/>
    <w:tmpl w:val="5638F7B6"/>
    <w:lvl w:ilvl="0" w:tplc="9B82340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22F4A32"/>
    <w:multiLevelType w:val="multilevel"/>
    <w:tmpl w:val="5250555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837387D"/>
    <w:multiLevelType w:val="hybridMultilevel"/>
    <w:tmpl w:val="E4CC0644"/>
    <w:lvl w:ilvl="0" w:tplc="B004F84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8"/>
  </w:num>
  <w:num w:numId="5">
    <w:abstractNumId w:val="7"/>
  </w:num>
  <w:num w:numId="6">
    <w:abstractNumId w:val="2"/>
  </w:num>
  <w:num w:numId="7">
    <w:abstractNumId w:val="10"/>
  </w:num>
  <w:num w:numId="8">
    <w:abstractNumId w:val="6"/>
  </w:num>
  <w:num w:numId="9">
    <w:abstractNumId w:val="0"/>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6"/>
    <w:rsid w:val="00000574"/>
    <w:rsid w:val="0000111F"/>
    <w:rsid w:val="00001B6F"/>
    <w:rsid w:val="00003606"/>
    <w:rsid w:val="000041B4"/>
    <w:rsid w:val="0000472C"/>
    <w:rsid w:val="000100CC"/>
    <w:rsid w:val="00012CD9"/>
    <w:rsid w:val="00013058"/>
    <w:rsid w:val="000137E3"/>
    <w:rsid w:val="00013BD9"/>
    <w:rsid w:val="0001627A"/>
    <w:rsid w:val="0001641C"/>
    <w:rsid w:val="000204F0"/>
    <w:rsid w:val="000214CF"/>
    <w:rsid w:val="000215B6"/>
    <w:rsid w:val="00021B18"/>
    <w:rsid w:val="0002220A"/>
    <w:rsid w:val="000245B4"/>
    <w:rsid w:val="00024C6E"/>
    <w:rsid w:val="00025648"/>
    <w:rsid w:val="000270ED"/>
    <w:rsid w:val="000303A7"/>
    <w:rsid w:val="00031817"/>
    <w:rsid w:val="00036AE3"/>
    <w:rsid w:val="00037316"/>
    <w:rsid w:val="00037718"/>
    <w:rsid w:val="00037E3C"/>
    <w:rsid w:val="00042EE9"/>
    <w:rsid w:val="00042F8E"/>
    <w:rsid w:val="00043CD4"/>
    <w:rsid w:val="00043D7C"/>
    <w:rsid w:val="00043FA3"/>
    <w:rsid w:val="000502F5"/>
    <w:rsid w:val="00050362"/>
    <w:rsid w:val="00050BFD"/>
    <w:rsid w:val="00051AA9"/>
    <w:rsid w:val="00051BCD"/>
    <w:rsid w:val="0005246E"/>
    <w:rsid w:val="00054A4C"/>
    <w:rsid w:val="0005530C"/>
    <w:rsid w:val="00056C32"/>
    <w:rsid w:val="00057083"/>
    <w:rsid w:val="00057242"/>
    <w:rsid w:val="00057C73"/>
    <w:rsid w:val="000645FE"/>
    <w:rsid w:val="00066621"/>
    <w:rsid w:val="000678F6"/>
    <w:rsid w:val="000708EB"/>
    <w:rsid w:val="00071D83"/>
    <w:rsid w:val="00072C33"/>
    <w:rsid w:val="00074952"/>
    <w:rsid w:val="00074E35"/>
    <w:rsid w:val="00076A70"/>
    <w:rsid w:val="0007743D"/>
    <w:rsid w:val="00077A38"/>
    <w:rsid w:val="000827DD"/>
    <w:rsid w:val="00082B17"/>
    <w:rsid w:val="00082F98"/>
    <w:rsid w:val="00085126"/>
    <w:rsid w:val="0008620B"/>
    <w:rsid w:val="000900BD"/>
    <w:rsid w:val="00090975"/>
    <w:rsid w:val="00090976"/>
    <w:rsid w:val="0009111B"/>
    <w:rsid w:val="0009338E"/>
    <w:rsid w:val="00095D33"/>
    <w:rsid w:val="00096A84"/>
    <w:rsid w:val="000A28FA"/>
    <w:rsid w:val="000A2D2B"/>
    <w:rsid w:val="000A3E1A"/>
    <w:rsid w:val="000A5202"/>
    <w:rsid w:val="000A5C45"/>
    <w:rsid w:val="000A7F47"/>
    <w:rsid w:val="000B0427"/>
    <w:rsid w:val="000B0943"/>
    <w:rsid w:val="000B660A"/>
    <w:rsid w:val="000B6FBE"/>
    <w:rsid w:val="000B78B1"/>
    <w:rsid w:val="000B7AF7"/>
    <w:rsid w:val="000C0127"/>
    <w:rsid w:val="000C070F"/>
    <w:rsid w:val="000C2898"/>
    <w:rsid w:val="000C3BD5"/>
    <w:rsid w:val="000C5B58"/>
    <w:rsid w:val="000C6907"/>
    <w:rsid w:val="000C71C4"/>
    <w:rsid w:val="000D22CE"/>
    <w:rsid w:val="000D2A62"/>
    <w:rsid w:val="000D39C9"/>
    <w:rsid w:val="000D596D"/>
    <w:rsid w:val="000D7179"/>
    <w:rsid w:val="000E12C8"/>
    <w:rsid w:val="000E6B0A"/>
    <w:rsid w:val="000E7EF2"/>
    <w:rsid w:val="000F04F1"/>
    <w:rsid w:val="000F0F0B"/>
    <w:rsid w:val="000F2161"/>
    <w:rsid w:val="000F2EA2"/>
    <w:rsid w:val="000F45A9"/>
    <w:rsid w:val="000F577F"/>
    <w:rsid w:val="000F5AA2"/>
    <w:rsid w:val="00101AE0"/>
    <w:rsid w:val="001045BC"/>
    <w:rsid w:val="00105D5A"/>
    <w:rsid w:val="00105D97"/>
    <w:rsid w:val="00106FBF"/>
    <w:rsid w:val="001075C6"/>
    <w:rsid w:val="00107BC9"/>
    <w:rsid w:val="001108A5"/>
    <w:rsid w:val="0011146D"/>
    <w:rsid w:val="00111488"/>
    <w:rsid w:val="00114E65"/>
    <w:rsid w:val="001157B1"/>
    <w:rsid w:val="00120DC8"/>
    <w:rsid w:val="001223E6"/>
    <w:rsid w:val="00123009"/>
    <w:rsid w:val="001237C3"/>
    <w:rsid w:val="0012479A"/>
    <w:rsid w:val="00125714"/>
    <w:rsid w:val="00125D38"/>
    <w:rsid w:val="00126236"/>
    <w:rsid w:val="00126BFF"/>
    <w:rsid w:val="0013018B"/>
    <w:rsid w:val="0013112B"/>
    <w:rsid w:val="00133482"/>
    <w:rsid w:val="001335E1"/>
    <w:rsid w:val="001339C4"/>
    <w:rsid w:val="0013500D"/>
    <w:rsid w:val="0014348B"/>
    <w:rsid w:val="00143A7D"/>
    <w:rsid w:val="00143E50"/>
    <w:rsid w:val="00144262"/>
    <w:rsid w:val="00144455"/>
    <w:rsid w:val="00145783"/>
    <w:rsid w:val="001463BE"/>
    <w:rsid w:val="00146FEB"/>
    <w:rsid w:val="0014788D"/>
    <w:rsid w:val="0015119C"/>
    <w:rsid w:val="00151B4D"/>
    <w:rsid w:val="0015265F"/>
    <w:rsid w:val="00152F29"/>
    <w:rsid w:val="0015390A"/>
    <w:rsid w:val="00160ACA"/>
    <w:rsid w:val="00161DBB"/>
    <w:rsid w:val="0016321E"/>
    <w:rsid w:val="0016330E"/>
    <w:rsid w:val="00163B21"/>
    <w:rsid w:val="00165ED3"/>
    <w:rsid w:val="00166274"/>
    <w:rsid w:val="00167861"/>
    <w:rsid w:val="00170692"/>
    <w:rsid w:val="00171A6C"/>
    <w:rsid w:val="00172239"/>
    <w:rsid w:val="00172DB2"/>
    <w:rsid w:val="00173515"/>
    <w:rsid w:val="00174D07"/>
    <w:rsid w:val="00176698"/>
    <w:rsid w:val="00176BCC"/>
    <w:rsid w:val="00180435"/>
    <w:rsid w:val="001806AB"/>
    <w:rsid w:val="001810FC"/>
    <w:rsid w:val="00181CF2"/>
    <w:rsid w:val="00182B19"/>
    <w:rsid w:val="00186463"/>
    <w:rsid w:val="001923F8"/>
    <w:rsid w:val="00192629"/>
    <w:rsid w:val="00192EF8"/>
    <w:rsid w:val="00194135"/>
    <w:rsid w:val="0019587E"/>
    <w:rsid w:val="00196482"/>
    <w:rsid w:val="001A00F5"/>
    <w:rsid w:val="001A0A9D"/>
    <w:rsid w:val="001A1A24"/>
    <w:rsid w:val="001A1EDC"/>
    <w:rsid w:val="001B266F"/>
    <w:rsid w:val="001B2CC6"/>
    <w:rsid w:val="001B5102"/>
    <w:rsid w:val="001C03C9"/>
    <w:rsid w:val="001C0403"/>
    <w:rsid w:val="001C056A"/>
    <w:rsid w:val="001C0F77"/>
    <w:rsid w:val="001C2025"/>
    <w:rsid w:val="001C42C4"/>
    <w:rsid w:val="001C53A8"/>
    <w:rsid w:val="001C5649"/>
    <w:rsid w:val="001C5A92"/>
    <w:rsid w:val="001C6F72"/>
    <w:rsid w:val="001D0832"/>
    <w:rsid w:val="001D22ED"/>
    <w:rsid w:val="001D2A65"/>
    <w:rsid w:val="001D4993"/>
    <w:rsid w:val="001E04A3"/>
    <w:rsid w:val="001E449D"/>
    <w:rsid w:val="001E6E8A"/>
    <w:rsid w:val="001E7340"/>
    <w:rsid w:val="001E77DF"/>
    <w:rsid w:val="001E7C05"/>
    <w:rsid w:val="001F2CA2"/>
    <w:rsid w:val="001F2FF6"/>
    <w:rsid w:val="001F3FDE"/>
    <w:rsid w:val="00202596"/>
    <w:rsid w:val="00206AAF"/>
    <w:rsid w:val="0020781F"/>
    <w:rsid w:val="00213120"/>
    <w:rsid w:val="00214EE9"/>
    <w:rsid w:val="00214F80"/>
    <w:rsid w:val="0021557B"/>
    <w:rsid w:val="00215BE9"/>
    <w:rsid w:val="00215F45"/>
    <w:rsid w:val="0021661A"/>
    <w:rsid w:val="00231751"/>
    <w:rsid w:val="002320D7"/>
    <w:rsid w:val="00232664"/>
    <w:rsid w:val="002331ED"/>
    <w:rsid w:val="00233973"/>
    <w:rsid w:val="002359C9"/>
    <w:rsid w:val="00237777"/>
    <w:rsid w:val="00237E62"/>
    <w:rsid w:val="002413EC"/>
    <w:rsid w:val="00242FE4"/>
    <w:rsid w:val="0024522A"/>
    <w:rsid w:val="002456A5"/>
    <w:rsid w:val="00245DDA"/>
    <w:rsid w:val="00246DD7"/>
    <w:rsid w:val="00250101"/>
    <w:rsid w:val="0025048C"/>
    <w:rsid w:val="00250F2E"/>
    <w:rsid w:val="002521B7"/>
    <w:rsid w:val="0025370F"/>
    <w:rsid w:val="0025372E"/>
    <w:rsid w:val="00254E40"/>
    <w:rsid w:val="00255101"/>
    <w:rsid w:val="00255F81"/>
    <w:rsid w:val="0025662C"/>
    <w:rsid w:val="0025726B"/>
    <w:rsid w:val="00257457"/>
    <w:rsid w:val="002608C5"/>
    <w:rsid w:val="00260F89"/>
    <w:rsid w:val="0026226F"/>
    <w:rsid w:val="00262B61"/>
    <w:rsid w:val="002642B3"/>
    <w:rsid w:val="00270CA1"/>
    <w:rsid w:val="002726CB"/>
    <w:rsid w:val="002733C2"/>
    <w:rsid w:val="002735AF"/>
    <w:rsid w:val="00273ADC"/>
    <w:rsid w:val="00274390"/>
    <w:rsid w:val="00275742"/>
    <w:rsid w:val="00275A0E"/>
    <w:rsid w:val="00277807"/>
    <w:rsid w:val="00277E11"/>
    <w:rsid w:val="00282E6C"/>
    <w:rsid w:val="0028476A"/>
    <w:rsid w:val="002856DA"/>
    <w:rsid w:val="002863B0"/>
    <w:rsid w:val="0028667C"/>
    <w:rsid w:val="00291E7D"/>
    <w:rsid w:val="00292D2B"/>
    <w:rsid w:val="002930FD"/>
    <w:rsid w:val="00296A3B"/>
    <w:rsid w:val="00296FEB"/>
    <w:rsid w:val="002A45BF"/>
    <w:rsid w:val="002A5257"/>
    <w:rsid w:val="002A580B"/>
    <w:rsid w:val="002A617B"/>
    <w:rsid w:val="002A63CF"/>
    <w:rsid w:val="002A6F8F"/>
    <w:rsid w:val="002B0240"/>
    <w:rsid w:val="002B1014"/>
    <w:rsid w:val="002B24CF"/>
    <w:rsid w:val="002B2C20"/>
    <w:rsid w:val="002B4086"/>
    <w:rsid w:val="002B5FB5"/>
    <w:rsid w:val="002B659F"/>
    <w:rsid w:val="002B7DA2"/>
    <w:rsid w:val="002C3802"/>
    <w:rsid w:val="002C45AB"/>
    <w:rsid w:val="002C4EFB"/>
    <w:rsid w:val="002C55FA"/>
    <w:rsid w:val="002C5FF0"/>
    <w:rsid w:val="002C6523"/>
    <w:rsid w:val="002D0D8D"/>
    <w:rsid w:val="002D415F"/>
    <w:rsid w:val="002D57D5"/>
    <w:rsid w:val="002D5930"/>
    <w:rsid w:val="002D6132"/>
    <w:rsid w:val="002D6503"/>
    <w:rsid w:val="002D6DBA"/>
    <w:rsid w:val="002E23EB"/>
    <w:rsid w:val="002E2CE2"/>
    <w:rsid w:val="002E2D4D"/>
    <w:rsid w:val="002E420B"/>
    <w:rsid w:val="002E4A5F"/>
    <w:rsid w:val="002E6639"/>
    <w:rsid w:val="002E69CC"/>
    <w:rsid w:val="002F1EDC"/>
    <w:rsid w:val="002F3655"/>
    <w:rsid w:val="002F3D2F"/>
    <w:rsid w:val="002F6057"/>
    <w:rsid w:val="00300D5F"/>
    <w:rsid w:val="00306C63"/>
    <w:rsid w:val="003130E5"/>
    <w:rsid w:val="00314EB2"/>
    <w:rsid w:val="00315BE0"/>
    <w:rsid w:val="00315F08"/>
    <w:rsid w:val="003163B9"/>
    <w:rsid w:val="003170FC"/>
    <w:rsid w:val="0031729E"/>
    <w:rsid w:val="00317D02"/>
    <w:rsid w:val="003205E5"/>
    <w:rsid w:val="0032109B"/>
    <w:rsid w:val="0032495B"/>
    <w:rsid w:val="00324F2D"/>
    <w:rsid w:val="003265C7"/>
    <w:rsid w:val="00326D06"/>
    <w:rsid w:val="00335425"/>
    <w:rsid w:val="00337CCA"/>
    <w:rsid w:val="00340698"/>
    <w:rsid w:val="00342CB1"/>
    <w:rsid w:val="00343CA2"/>
    <w:rsid w:val="0034547B"/>
    <w:rsid w:val="00350E21"/>
    <w:rsid w:val="00353C40"/>
    <w:rsid w:val="003548B0"/>
    <w:rsid w:val="00357B27"/>
    <w:rsid w:val="00360B48"/>
    <w:rsid w:val="003612A2"/>
    <w:rsid w:val="003620E2"/>
    <w:rsid w:val="00366753"/>
    <w:rsid w:val="00367834"/>
    <w:rsid w:val="00370816"/>
    <w:rsid w:val="00371FCD"/>
    <w:rsid w:val="00373874"/>
    <w:rsid w:val="00376B1E"/>
    <w:rsid w:val="0038104D"/>
    <w:rsid w:val="00382665"/>
    <w:rsid w:val="0038302C"/>
    <w:rsid w:val="00385C49"/>
    <w:rsid w:val="00391048"/>
    <w:rsid w:val="003912AA"/>
    <w:rsid w:val="003921CF"/>
    <w:rsid w:val="00392BD7"/>
    <w:rsid w:val="00393B91"/>
    <w:rsid w:val="00393E35"/>
    <w:rsid w:val="003A1B55"/>
    <w:rsid w:val="003A3120"/>
    <w:rsid w:val="003B1746"/>
    <w:rsid w:val="003B2422"/>
    <w:rsid w:val="003B2604"/>
    <w:rsid w:val="003B2773"/>
    <w:rsid w:val="003B2CC7"/>
    <w:rsid w:val="003B4268"/>
    <w:rsid w:val="003B47FE"/>
    <w:rsid w:val="003B73B0"/>
    <w:rsid w:val="003B7AB3"/>
    <w:rsid w:val="003C0128"/>
    <w:rsid w:val="003C17C8"/>
    <w:rsid w:val="003C203B"/>
    <w:rsid w:val="003C59BC"/>
    <w:rsid w:val="003C7AE3"/>
    <w:rsid w:val="003D0223"/>
    <w:rsid w:val="003D22B1"/>
    <w:rsid w:val="003D3882"/>
    <w:rsid w:val="003D4993"/>
    <w:rsid w:val="003D6E52"/>
    <w:rsid w:val="003E1308"/>
    <w:rsid w:val="003E4F32"/>
    <w:rsid w:val="003F261F"/>
    <w:rsid w:val="003F2DF5"/>
    <w:rsid w:val="003F3AF1"/>
    <w:rsid w:val="003F429C"/>
    <w:rsid w:val="003F4A47"/>
    <w:rsid w:val="003F5479"/>
    <w:rsid w:val="003F5790"/>
    <w:rsid w:val="003F6982"/>
    <w:rsid w:val="003F7E38"/>
    <w:rsid w:val="0040012E"/>
    <w:rsid w:val="00403050"/>
    <w:rsid w:val="00406DF1"/>
    <w:rsid w:val="004126BE"/>
    <w:rsid w:val="00414352"/>
    <w:rsid w:val="00414AA8"/>
    <w:rsid w:val="004165DC"/>
    <w:rsid w:val="004172C3"/>
    <w:rsid w:val="0041754C"/>
    <w:rsid w:val="004177C1"/>
    <w:rsid w:val="00417D1B"/>
    <w:rsid w:val="0042068E"/>
    <w:rsid w:val="00423413"/>
    <w:rsid w:val="00423EF5"/>
    <w:rsid w:val="0042460C"/>
    <w:rsid w:val="00426463"/>
    <w:rsid w:val="0042677E"/>
    <w:rsid w:val="00427AB0"/>
    <w:rsid w:val="004320FB"/>
    <w:rsid w:val="0043247C"/>
    <w:rsid w:val="00440983"/>
    <w:rsid w:val="004410F5"/>
    <w:rsid w:val="00441AE4"/>
    <w:rsid w:val="00441D15"/>
    <w:rsid w:val="00442868"/>
    <w:rsid w:val="00442A04"/>
    <w:rsid w:val="0044642D"/>
    <w:rsid w:val="00447DF8"/>
    <w:rsid w:val="004502A2"/>
    <w:rsid w:val="00451648"/>
    <w:rsid w:val="00451DA8"/>
    <w:rsid w:val="0045389C"/>
    <w:rsid w:val="0045417D"/>
    <w:rsid w:val="00454574"/>
    <w:rsid w:val="004545DF"/>
    <w:rsid w:val="00454781"/>
    <w:rsid w:val="00461857"/>
    <w:rsid w:val="00463CE0"/>
    <w:rsid w:val="00463E72"/>
    <w:rsid w:val="00463F54"/>
    <w:rsid w:val="0046422B"/>
    <w:rsid w:val="00465ECF"/>
    <w:rsid w:val="00467967"/>
    <w:rsid w:val="00471747"/>
    <w:rsid w:val="00473F15"/>
    <w:rsid w:val="004745B1"/>
    <w:rsid w:val="0047638E"/>
    <w:rsid w:val="00480866"/>
    <w:rsid w:val="0048360C"/>
    <w:rsid w:val="0048425A"/>
    <w:rsid w:val="00485846"/>
    <w:rsid w:val="0048671E"/>
    <w:rsid w:val="00487685"/>
    <w:rsid w:val="00487C30"/>
    <w:rsid w:val="00487EC9"/>
    <w:rsid w:val="0049198B"/>
    <w:rsid w:val="0049234F"/>
    <w:rsid w:val="0049277B"/>
    <w:rsid w:val="004928EB"/>
    <w:rsid w:val="00493C0D"/>
    <w:rsid w:val="00495D10"/>
    <w:rsid w:val="004A02EC"/>
    <w:rsid w:val="004A08B1"/>
    <w:rsid w:val="004A10B0"/>
    <w:rsid w:val="004A4754"/>
    <w:rsid w:val="004A4D0B"/>
    <w:rsid w:val="004A512C"/>
    <w:rsid w:val="004A57EF"/>
    <w:rsid w:val="004A6767"/>
    <w:rsid w:val="004A7627"/>
    <w:rsid w:val="004B0965"/>
    <w:rsid w:val="004B0BC3"/>
    <w:rsid w:val="004B0DEB"/>
    <w:rsid w:val="004B13EB"/>
    <w:rsid w:val="004B32C7"/>
    <w:rsid w:val="004B332E"/>
    <w:rsid w:val="004B5A58"/>
    <w:rsid w:val="004B5E45"/>
    <w:rsid w:val="004C31AF"/>
    <w:rsid w:val="004C404B"/>
    <w:rsid w:val="004C4E12"/>
    <w:rsid w:val="004C6064"/>
    <w:rsid w:val="004C66C3"/>
    <w:rsid w:val="004C69F0"/>
    <w:rsid w:val="004D03A4"/>
    <w:rsid w:val="004D3718"/>
    <w:rsid w:val="004D6316"/>
    <w:rsid w:val="004D7DB6"/>
    <w:rsid w:val="004E284F"/>
    <w:rsid w:val="004E2B40"/>
    <w:rsid w:val="004E2F3D"/>
    <w:rsid w:val="004E4F70"/>
    <w:rsid w:val="004E6AD9"/>
    <w:rsid w:val="004E6CA8"/>
    <w:rsid w:val="004E6F91"/>
    <w:rsid w:val="004F08E8"/>
    <w:rsid w:val="004F1AD9"/>
    <w:rsid w:val="004F1B14"/>
    <w:rsid w:val="004F3951"/>
    <w:rsid w:val="004F50F9"/>
    <w:rsid w:val="004F51D8"/>
    <w:rsid w:val="004F662F"/>
    <w:rsid w:val="004F79EF"/>
    <w:rsid w:val="004F7E63"/>
    <w:rsid w:val="0050229A"/>
    <w:rsid w:val="005025CF"/>
    <w:rsid w:val="00503097"/>
    <w:rsid w:val="005035D7"/>
    <w:rsid w:val="00504E0D"/>
    <w:rsid w:val="005068A3"/>
    <w:rsid w:val="00510369"/>
    <w:rsid w:val="0051218B"/>
    <w:rsid w:val="00512C49"/>
    <w:rsid w:val="0051407C"/>
    <w:rsid w:val="0051717A"/>
    <w:rsid w:val="0052085D"/>
    <w:rsid w:val="00521880"/>
    <w:rsid w:val="0052546E"/>
    <w:rsid w:val="005308A1"/>
    <w:rsid w:val="00531CA6"/>
    <w:rsid w:val="00536794"/>
    <w:rsid w:val="00536D0C"/>
    <w:rsid w:val="00543FC9"/>
    <w:rsid w:val="00545430"/>
    <w:rsid w:val="0054765C"/>
    <w:rsid w:val="005510E0"/>
    <w:rsid w:val="005516B2"/>
    <w:rsid w:val="005516FE"/>
    <w:rsid w:val="00553614"/>
    <w:rsid w:val="0055421A"/>
    <w:rsid w:val="005544AA"/>
    <w:rsid w:val="00555872"/>
    <w:rsid w:val="00557391"/>
    <w:rsid w:val="00562B96"/>
    <w:rsid w:val="005654CE"/>
    <w:rsid w:val="00566809"/>
    <w:rsid w:val="00571DC4"/>
    <w:rsid w:val="005739A7"/>
    <w:rsid w:val="00573C4C"/>
    <w:rsid w:val="00575B78"/>
    <w:rsid w:val="00576AEE"/>
    <w:rsid w:val="00580C24"/>
    <w:rsid w:val="00584929"/>
    <w:rsid w:val="005879CA"/>
    <w:rsid w:val="00593CB7"/>
    <w:rsid w:val="00594179"/>
    <w:rsid w:val="00594D54"/>
    <w:rsid w:val="00595767"/>
    <w:rsid w:val="005960DB"/>
    <w:rsid w:val="005A03B6"/>
    <w:rsid w:val="005A05E5"/>
    <w:rsid w:val="005A0F0C"/>
    <w:rsid w:val="005A1059"/>
    <w:rsid w:val="005A1C92"/>
    <w:rsid w:val="005A2CA6"/>
    <w:rsid w:val="005A4978"/>
    <w:rsid w:val="005B050A"/>
    <w:rsid w:val="005B08EF"/>
    <w:rsid w:val="005B36BE"/>
    <w:rsid w:val="005B4CD6"/>
    <w:rsid w:val="005B5BC9"/>
    <w:rsid w:val="005C4BEB"/>
    <w:rsid w:val="005C530C"/>
    <w:rsid w:val="005C5A33"/>
    <w:rsid w:val="005C635F"/>
    <w:rsid w:val="005C6920"/>
    <w:rsid w:val="005D0FA2"/>
    <w:rsid w:val="005D1A50"/>
    <w:rsid w:val="005D4BC7"/>
    <w:rsid w:val="005D5B34"/>
    <w:rsid w:val="005D7724"/>
    <w:rsid w:val="005E0CAA"/>
    <w:rsid w:val="005E1109"/>
    <w:rsid w:val="005E1573"/>
    <w:rsid w:val="005E68B1"/>
    <w:rsid w:val="005E774A"/>
    <w:rsid w:val="005F051A"/>
    <w:rsid w:val="005F243D"/>
    <w:rsid w:val="005F637B"/>
    <w:rsid w:val="0060092C"/>
    <w:rsid w:val="006016DB"/>
    <w:rsid w:val="006033DF"/>
    <w:rsid w:val="00603CEB"/>
    <w:rsid w:val="00604298"/>
    <w:rsid w:val="006074A7"/>
    <w:rsid w:val="0061048C"/>
    <w:rsid w:val="00610FDB"/>
    <w:rsid w:val="006115D8"/>
    <w:rsid w:val="00611E8C"/>
    <w:rsid w:val="006135EE"/>
    <w:rsid w:val="00614E71"/>
    <w:rsid w:val="006154A1"/>
    <w:rsid w:val="006156D9"/>
    <w:rsid w:val="006160E7"/>
    <w:rsid w:val="00616792"/>
    <w:rsid w:val="00623276"/>
    <w:rsid w:val="006238A4"/>
    <w:rsid w:val="00625D0E"/>
    <w:rsid w:val="00626D9A"/>
    <w:rsid w:val="0063058E"/>
    <w:rsid w:val="00632304"/>
    <w:rsid w:val="00632AFB"/>
    <w:rsid w:val="006339CB"/>
    <w:rsid w:val="00636080"/>
    <w:rsid w:val="006360AD"/>
    <w:rsid w:val="00636297"/>
    <w:rsid w:val="006366DE"/>
    <w:rsid w:val="0063704A"/>
    <w:rsid w:val="00640041"/>
    <w:rsid w:val="006410FC"/>
    <w:rsid w:val="00643CCD"/>
    <w:rsid w:val="006449B2"/>
    <w:rsid w:val="00644A26"/>
    <w:rsid w:val="006453DD"/>
    <w:rsid w:val="00646095"/>
    <w:rsid w:val="00646AB5"/>
    <w:rsid w:val="00646DB0"/>
    <w:rsid w:val="00647E59"/>
    <w:rsid w:val="00650726"/>
    <w:rsid w:val="00650CF8"/>
    <w:rsid w:val="00650DA8"/>
    <w:rsid w:val="006511C0"/>
    <w:rsid w:val="0065265C"/>
    <w:rsid w:val="00654602"/>
    <w:rsid w:val="0065499B"/>
    <w:rsid w:val="006572D6"/>
    <w:rsid w:val="00657680"/>
    <w:rsid w:val="00657940"/>
    <w:rsid w:val="00657FE7"/>
    <w:rsid w:val="00662BA7"/>
    <w:rsid w:val="006650FD"/>
    <w:rsid w:val="006655CD"/>
    <w:rsid w:val="00666520"/>
    <w:rsid w:val="0066753C"/>
    <w:rsid w:val="00667CD0"/>
    <w:rsid w:val="00670153"/>
    <w:rsid w:val="0067049D"/>
    <w:rsid w:val="006707D7"/>
    <w:rsid w:val="00674F1D"/>
    <w:rsid w:val="0067662E"/>
    <w:rsid w:val="00676984"/>
    <w:rsid w:val="006773F8"/>
    <w:rsid w:val="006830E1"/>
    <w:rsid w:val="006855BB"/>
    <w:rsid w:val="006876CF"/>
    <w:rsid w:val="006907CC"/>
    <w:rsid w:val="00693781"/>
    <w:rsid w:val="006957C1"/>
    <w:rsid w:val="00696D04"/>
    <w:rsid w:val="00697C60"/>
    <w:rsid w:val="00697E62"/>
    <w:rsid w:val="006A011A"/>
    <w:rsid w:val="006A201C"/>
    <w:rsid w:val="006A2929"/>
    <w:rsid w:val="006A3183"/>
    <w:rsid w:val="006A39B5"/>
    <w:rsid w:val="006A4CBB"/>
    <w:rsid w:val="006A611C"/>
    <w:rsid w:val="006A6B92"/>
    <w:rsid w:val="006B0E70"/>
    <w:rsid w:val="006B2F2C"/>
    <w:rsid w:val="006B6C7D"/>
    <w:rsid w:val="006B766C"/>
    <w:rsid w:val="006C3B2A"/>
    <w:rsid w:val="006C473E"/>
    <w:rsid w:val="006C4BEF"/>
    <w:rsid w:val="006C4F13"/>
    <w:rsid w:val="006C6375"/>
    <w:rsid w:val="006C6985"/>
    <w:rsid w:val="006C6C6C"/>
    <w:rsid w:val="006C6DA2"/>
    <w:rsid w:val="006C70AB"/>
    <w:rsid w:val="006D137F"/>
    <w:rsid w:val="006D138C"/>
    <w:rsid w:val="006D1DEC"/>
    <w:rsid w:val="006D3B03"/>
    <w:rsid w:val="006D4864"/>
    <w:rsid w:val="006D5BC8"/>
    <w:rsid w:val="006D6C0F"/>
    <w:rsid w:val="006D7008"/>
    <w:rsid w:val="006E0C7D"/>
    <w:rsid w:val="006E3822"/>
    <w:rsid w:val="006E5227"/>
    <w:rsid w:val="006E7B38"/>
    <w:rsid w:val="006E7FD5"/>
    <w:rsid w:val="006F125A"/>
    <w:rsid w:val="006F1E41"/>
    <w:rsid w:val="006F20B2"/>
    <w:rsid w:val="006F367F"/>
    <w:rsid w:val="006F41D1"/>
    <w:rsid w:val="006F6148"/>
    <w:rsid w:val="006F6831"/>
    <w:rsid w:val="006F716C"/>
    <w:rsid w:val="00701BF9"/>
    <w:rsid w:val="00702947"/>
    <w:rsid w:val="00703EEC"/>
    <w:rsid w:val="00704D4B"/>
    <w:rsid w:val="0070628F"/>
    <w:rsid w:val="0071059E"/>
    <w:rsid w:val="00710B9B"/>
    <w:rsid w:val="00711718"/>
    <w:rsid w:val="00712ADD"/>
    <w:rsid w:val="00712B88"/>
    <w:rsid w:val="007142A4"/>
    <w:rsid w:val="00715420"/>
    <w:rsid w:val="0072123C"/>
    <w:rsid w:val="00724238"/>
    <w:rsid w:val="0072492A"/>
    <w:rsid w:val="00725CA0"/>
    <w:rsid w:val="00726A1A"/>
    <w:rsid w:val="007308FA"/>
    <w:rsid w:val="0073440D"/>
    <w:rsid w:val="00735209"/>
    <w:rsid w:val="00737402"/>
    <w:rsid w:val="007406D6"/>
    <w:rsid w:val="00741F18"/>
    <w:rsid w:val="00744D73"/>
    <w:rsid w:val="007455B3"/>
    <w:rsid w:val="0074588D"/>
    <w:rsid w:val="00745B32"/>
    <w:rsid w:val="007464EC"/>
    <w:rsid w:val="00751693"/>
    <w:rsid w:val="007548E6"/>
    <w:rsid w:val="0075741E"/>
    <w:rsid w:val="00757BAF"/>
    <w:rsid w:val="00761EFC"/>
    <w:rsid w:val="0076348B"/>
    <w:rsid w:val="0076454F"/>
    <w:rsid w:val="007676CD"/>
    <w:rsid w:val="0076781B"/>
    <w:rsid w:val="00771BDF"/>
    <w:rsid w:val="00774356"/>
    <w:rsid w:val="00774905"/>
    <w:rsid w:val="00775E31"/>
    <w:rsid w:val="00777828"/>
    <w:rsid w:val="00777BF4"/>
    <w:rsid w:val="00782F95"/>
    <w:rsid w:val="007843B1"/>
    <w:rsid w:val="00785933"/>
    <w:rsid w:val="00785EA6"/>
    <w:rsid w:val="00790EEC"/>
    <w:rsid w:val="00792DEE"/>
    <w:rsid w:val="00796050"/>
    <w:rsid w:val="00797783"/>
    <w:rsid w:val="00797DCC"/>
    <w:rsid w:val="007A1125"/>
    <w:rsid w:val="007A424B"/>
    <w:rsid w:val="007A42CF"/>
    <w:rsid w:val="007A4578"/>
    <w:rsid w:val="007A57D4"/>
    <w:rsid w:val="007A5CB1"/>
    <w:rsid w:val="007A6FC7"/>
    <w:rsid w:val="007A7ACC"/>
    <w:rsid w:val="007B1369"/>
    <w:rsid w:val="007B53A5"/>
    <w:rsid w:val="007B5D08"/>
    <w:rsid w:val="007B6EFA"/>
    <w:rsid w:val="007C4B43"/>
    <w:rsid w:val="007C555F"/>
    <w:rsid w:val="007C6C08"/>
    <w:rsid w:val="007D1F18"/>
    <w:rsid w:val="007D26BD"/>
    <w:rsid w:val="007D2C59"/>
    <w:rsid w:val="007D6CBC"/>
    <w:rsid w:val="007D719B"/>
    <w:rsid w:val="007D7FCD"/>
    <w:rsid w:val="007E0270"/>
    <w:rsid w:val="007E3C68"/>
    <w:rsid w:val="007E44F9"/>
    <w:rsid w:val="007E6051"/>
    <w:rsid w:val="007E62A0"/>
    <w:rsid w:val="007E76BC"/>
    <w:rsid w:val="007F0772"/>
    <w:rsid w:val="007F0A11"/>
    <w:rsid w:val="007F26DE"/>
    <w:rsid w:val="007F5A42"/>
    <w:rsid w:val="007F7A2B"/>
    <w:rsid w:val="00802A19"/>
    <w:rsid w:val="00803116"/>
    <w:rsid w:val="00804240"/>
    <w:rsid w:val="00804C2E"/>
    <w:rsid w:val="00811CE2"/>
    <w:rsid w:val="0081304C"/>
    <w:rsid w:val="00813507"/>
    <w:rsid w:val="00813C1F"/>
    <w:rsid w:val="008155F6"/>
    <w:rsid w:val="008168F2"/>
    <w:rsid w:val="00820D24"/>
    <w:rsid w:val="00823A7A"/>
    <w:rsid w:val="00823E42"/>
    <w:rsid w:val="00825BD3"/>
    <w:rsid w:val="00832EC6"/>
    <w:rsid w:val="008334E7"/>
    <w:rsid w:val="00840435"/>
    <w:rsid w:val="00840B8C"/>
    <w:rsid w:val="008412FF"/>
    <w:rsid w:val="008422E4"/>
    <w:rsid w:val="008423D9"/>
    <w:rsid w:val="00845F0A"/>
    <w:rsid w:val="008473C7"/>
    <w:rsid w:val="00847562"/>
    <w:rsid w:val="00847A29"/>
    <w:rsid w:val="00850010"/>
    <w:rsid w:val="00850886"/>
    <w:rsid w:val="00851688"/>
    <w:rsid w:val="0085482E"/>
    <w:rsid w:val="00856263"/>
    <w:rsid w:val="00860816"/>
    <w:rsid w:val="00861929"/>
    <w:rsid w:val="008635C5"/>
    <w:rsid w:val="008652D0"/>
    <w:rsid w:val="00865D89"/>
    <w:rsid w:val="00866BEA"/>
    <w:rsid w:val="00871C13"/>
    <w:rsid w:val="008725B4"/>
    <w:rsid w:val="0087368F"/>
    <w:rsid w:val="00874380"/>
    <w:rsid w:val="0088369F"/>
    <w:rsid w:val="008853F4"/>
    <w:rsid w:val="00885B40"/>
    <w:rsid w:val="00886811"/>
    <w:rsid w:val="00887AAC"/>
    <w:rsid w:val="00887C62"/>
    <w:rsid w:val="00891665"/>
    <w:rsid w:val="00891699"/>
    <w:rsid w:val="00895722"/>
    <w:rsid w:val="00897B75"/>
    <w:rsid w:val="008A0E52"/>
    <w:rsid w:val="008A197F"/>
    <w:rsid w:val="008A23D8"/>
    <w:rsid w:val="008A76A1"/>
    <w:rsid w:val="008B06E6"/>
    <w:rsid w:val="008B1CC0"/>
    <w:rsid w:val="008B2563"/>
    <w:rsid w:val="008B3F88"/>
    <w:rsid w:val="008B5A18"/>
    <w:rsid w:val="008B7832"/>
    <w:rsid w:val="008C2C46"/>
    <w:rsid w:val="008C31BB"/>
    <w:rsid w:val="008C33FA"/>
    <w:rsid w:val="008C4970"/>
    <w:rsid w:val="008C5043"/>
    <w:rsid w:val="008C6DA3"/>
    <w:rsid w:val="008C74BC"/>
    <w:rsid w:val="008C74C1"/>
    <w:rsid w:val="008C7953"/>
    <w:rsid w:val="008D040A"/>
    <w:rsid w:val="008D11CA"/>
    <w:rsid w:val="008D1A36"/>
    <w:rsid w:val="008D204C"/>
    <w:rsid w:val="008D2F8E"/>
    <w:rsid w:val="008D33A7"/>
    <w:rsid w:val="008D51C5"/>
    <w:rsid w:val="008E2BA3"/>
    <w:rsid w:val="008E2BAC"/>
    <w:rsid w:val="008E57E9"/>
    <w:rsid w:val="008E5FA5"/>
    <w:rsid w:val="008E6F87"/>
    <w:rsid w:val="008F2C8E"/>
    <w:rsid w:val="008F4776"/>
    <w:rsid w:val="008F6131"/>
    <w:rsid w:val="0090054A"/>
    <w:rsid w:val="00903121"/>
    <w:rsid w:val="00905593"/>
    <w:rsid w:val="009056EA"/>
    <w:rsid w:val="00911DD3"/>
    <w:rsid w:val="00916834"/>
    <w:rsid w:val="00917BA8"/>
    <w:rsid w:val="009200BC"/>
    <w:rsid w:val="0092233B"/>
    <w:rsid w:val="00922462"/>
    <w:rsid w:val="009227E6"/>
    <w:rsid w:val="009235F7"/>
    <w:rsid w:val="0092412D"/>
    <w:rsid w:val="0092576B"/>
    <w:rsid w:val="00925F7E"/>
    <w:rsid w:val="00931209"/>
    <w:rsid w:val="00932EF8"/>
    <w:rsid w:val="0093307D"/>
    <w:rsid w:val="00934FE6"/>
    <w:rsid w:val="00935137"/>
    <w:rsid w:val="00936BEB"/>
    <w:rsid w:val="009379F9"/>
    <w:rsid w:val="009412C6"/>
    <w:rsid w:val="00941910"/>
    <w:rsid w:val="00942606"/>
    <w:rsid w:val="00942F66"/>
    <w:rsid w:val="00945654"/>
    <w:rsid w:val="0094570D"/>
    <w:rsid w:val="009470D5"/>
    <w:rsid w:val="00952733"/>
    <w:rsid w:val="00953B00"/>
    <w:rsid w:val="0095549E"/>
    <w:rsid w:val="00955BA7"/>
    <w:rsid w:val="0095603D"/>
    <w:rsid w:val="0096091F"/>
    <w:rsid w:val="0096117B"/>
    <w:rsid w:val="009635C3"/>
    <w:rsid w:val="00967F09"/>
    <w:rsid w:val="00976F0E"/>
    <w:rsid w:val="00982A65"/>
    <w:rsid w:val="00982A75"/>
    <w:rsid w:val="00986529"/>
    <w:rsid w:val="009865AE"/>
    <w:rsid w:val="009870DD"/>
    <w:rsid w:val="00991BDC"/>
    <w:rsid w:val="00991DB3"/>
    <w:rsid w:val="009920CA"/>
    <w:rsid w:val="00992E8A"/>
    <w:rsid w:val="00993016"/>
    <w:rsid w:val="0099547A"/>
    <w:rsid w:val="00995650"/>
    <w:rsid w:val="009958CD"/>
    <w:rsid w:val="00996B05"/>
    <w:rsid w:val="009A056A"/>
    <w:rsid w:val="009A072C"/>
    <w:rsid w:val="009A2506"/>
    <w:rsid w:val="009A2DC4"/>
    <w:rsid w:val="009A4080"/>
    <w:rsid w:val="009A4729"/>
    <w:rsid w:val="009B10A7"/>
    <w:rsid w:val="009B7AB1"/>
    <w:rsid w:val="009B7EA1"/>
    <w:rsid w:val="009C0174"/>
    <w:rsid w:val="009C0B31"/>
    <w:rsid w:val="009C163A"/>
    <w:rsid w:val="009C1759"/>
    <w:rsid w:val="009C7667"/>
    <w:rsid w:val="009C7927"/>
    <w:rsid w:val="009D031B"/>
    <w:rsid w:val="009D2154"/>
    <w:rsid w:val="009D2EE5"/>
    <w:rsid w:val="009D481F"/>
    <w:rsid w:val="009D5DF3"/>
    <w:rsid w:val="009E03DC"/>
    <w:rsid w:val="009E14BA"/>
    <w:rsid w:val="009E59DA"/>
    <w:rsid w:val="009E6C2B"/>
    <w:rsid w:val="009E6E2B"/>
    <w:rsid w:val="009F1E4E"/>
    <w:rsid w:val="009F551E"/>
    <w:rsid w:val="009F578D"/>
    <w:rsid w:val="00A00D92"/>
    <w:rsid w:val="00A01F21"/>
    <w:rsid w:val="00A04143"/>
    <w:rsid w:val="00A0462B"/>
    <w:rsid w:val="00A05ACF"/>
    <w:rsid w:val="00A05F99"/>
    <w:rsid w:val="00A07AD1"/>
    <w:rsid w:val="00A107DC"/>
    <w:rsid w:val="00A158D0"/>
    <w:rsid w:val="00A16463"/>
    <w:rsid w:val="00A168FB"/>
    <w:rsid w:val="00A214C9"/>
    <w:rsid w:val="00A215C8"/>
    <w:rsid w:val="00A231E2"/>
    <w:rsid w:val="00A23683"/>
    <w:rsid w:val="00A24A80"/>
    <w:rsid w:val="00A24B77"/>
    <w:rsid w:val="00A24F30"/>
    <w:rsid w:val="00A25847"/>
    <w:rsid w:val="00A30480"/>
    <w:rsid w:val="00A361C4"/>
    <w:rsid w:val="00A40232"/>
    <w:rsid w:val="00A40308"/>
    <w:rsid w:val="00A4074A"/>
    <w:rsid w:val="00A41558"/>
    <w:rsid w:val="00A41846"/>
    <w:rsid w:val="00A43DEB"/>
    <w:rsid w:val="00A44B39"/>
    <w:rsid w:val="00A46583"/>
    <w:rsid w:val="00A46AA3"/>
    <w:rsid w:val="00A46D3C"/>
    <w:rsid w:val="00A5020E"/>
    <w:rsid w:val="00A51D27"/>
    <w:rsid w:val="00A51D61"/>
    <w:rsid w:val="00A558FD"/>
    <w:rsid w:val="00A61490"/>
    <w:rsid w:val="00A623A5"/>
    <w:rsid w:val="00A65E1A"/>
    <w:rsid w:val="00A668B9"/>
    <w:rsid w:val="00A700CA"/>
    <w:rsid w:val="00A70AA6"/>
    <w:rsid w:val="00A718C4"/>
    <w:rsid w:val="00A729E4"/>
    <w:rsid w:val="00A72F01"/>
    <w:rsid w:val="00A72F02"/>
    <w:rsid w:val="00A75905"/>
    <w:rsid w:val="00A81E59"/>
    <w:rsid w:val="00A82268"/>
    <w:rsid w:val="00A83330"/>
    <w:rsid w:val="00A833F6"/>
    <w:rsid w:val="00A834D6"/>
    <w:rsid w:val="00A84263"/>
    <w:rsid w:val="00A84923"/>
    <w:rsid w:val="00A86D28"/>
    <w:rsid w:val="00A9084A"/>
    <w:rsid w:val="00A91BC3"/>
    <w:rsid w:val="00A92238"/>
    <w:rsid w:val="00A92BE8"/>
    <w:rsid w:val="00A94A3C"/>
    <w:rsid w:val="00A94F8A"/>
    <w:rsid w:val="00A95943"/>
    <w:rsid w:val="00AA3B43"/>
    <w:rsid w:val="00AA5B8C"/>
    <w:rsid w:val="00AA6163"/>
    <w:rsid w:val="00AA6977"/>
    <w:rsid w:val="00AB0177"/>
    <w:rsid w:val="00AB0454"/>
    <w:rsid w:val="00AB051A"/>
    <w:rsid w:val="00AB055B"/>
    <w:rsid w:val="00AB214C"/>
    <w:rsid w:val="00AB4275"/>
    <w:rsid w:val="00AB5848"/>
    <w:rsid w:val="00AC1696"/>
    <w:rsid w:val="00AC1782"/>
    <w:rsid w:val="00AC3374"/>
    <w:rsid w:val="00AC543B"/>
    <w:rsid w:val="00AC730D"/>
    <w:rsid w:val="00AC7F5A"/>
    <w:rsid w:val="00AD07FC"/>
    <w:rsid w:val="00AD38C6"/>
    <w:rsid w:val="00AD42FD"/>
    <w:rsid w:val="00AD4C0B"/>
    <w:rsid w:val="00AD62F7"/>
    <w:rsid w:val="00AD78BA"/>
    <w:rsid w:val="00AE0AEB"/>
    <w:rsid w:val="00AE3C14"/>
    <w:rsid w:val="00AE3EC5"/>
    <w:rsid w:val="00AE4CC4"/>
    <w:rsid w:val="00AE5360"/>
    <w:rsid w:val="00AE7EB3"/>
    <w:rsid w:val="00AF0A47"/>
    <w:rsid w:val="00AF1DB7"/>
    <w:rsid w:val="00AF2373"/>
    <w:rsid w:val="00AF3F8F"/>
    <w:rsid w:val="00AF6553"/>
    <w:rsid w:val="00B0127F"/>
    <w:rsid w:val="00B026CE"/>
    <w:rsid w:val="00B03F28"/>
    <w:rsid w:val="00B101EF"/>
    <w:rsid w:val="00B1196D"/>
    <w:rsid w:val="00B11C54"/>
    <w:rsid w:val="00B14348"/>
    <w:rsid w:val="00B14878"/>
    <w:rsid w:val="00B20CB9"/>
    <w:rsid w:val="00B223A9"/>
    <w:rsid w:val="00B237B5"/>
    <w:rsid w:val="00B237C9"/>
    <w:rsid w:val="00B31568"/>
    <w:rsid w:val="00B31E80"/>
    <w:rsid w:val="00B31FB1"/>
    <w:rsid w:val="00B32254"/>
    <w:rsid w:val="00B3527C"/>
    <w:rsid w:val="00B36FF3"/>
    <w:rsid w:val="00B40A43"/>
    <w:rsid w:val="00B459A8"/>
    <w:rsid w:val="00B519A7"/>
    <w:rsid w:val="00B530C2"/>
    <w:rsid w:val="00B533A5"/>
    <w:rsid w:val="00B54655"/>
    <w:rsid w:val="00B573BB"/>
    <w:rsid w:val="00B6100A"/>
    <w:rsid w:val="00B61EAA"/>
    <w:rsid w:val="00B62C07"/>
    <w:rsid w:val="00B64525"/>
    <w:rsid w:val="00B718AC"/>
    <w:rsid w:val="00B71A00"/>
    <w:rsid w:val="00B71AC9"/>
    <w:rsid w:val="00B72059"/>
    <w:rsid w:val="00B721EE"/>
    <w:rsid w:val="00B72ECF"/>
    <w:rsid w:val="00B73BD1"/>
    <w:rsid w:val="00B7409D"/>
    <w:rsid w:val="00B75CDE"/>
    <w:rsid w:val="00B762B9"/>
    <w:rsid w:val="00B839C5"/>
    <w:rsid w:val="00B83EE4"/>
    <w:rsid w:val="00B93CF0"/>
    <w:rsid w:val="00B95CD1"/>
    <w:rsid w:val="00BA029A"/>
    <w:rsid w:val="00BA0AD6"/>
    <w:rsid w:val="00BA22C9"/>
    <w:rsid w:val="00BA247A"/>
    <w:rsid w:val="00BA3D3F"/>
    <w:rsid w:val="00BA5FEC"/>
    <w:rsid w:val="00BA6262"/>
    <w:rsid w:val="00BB4951"/>
    <w:rsid w:val="00BB5F70"/>
    <w:rsid w:val="00BB6974"/>
    <w:rsid w:val="00BB6A71"/>
    <w:rsid w:val="00BB6CBE"/>
    <w:rsid w:val="00BB6D96"/>
    <w:rsid w:val="00BB6F77"/>
    <w:rsid w:val="00BB70C9"/>
    <w:rsid w:val="00BC2D6E"/>
    <w:rsid w:val="00BC527B"/>
    <w:rsid w:val="00BC63BD"/>
    <w:rsid w:val="00BC654E"/>
    <w:rsid w:val="00BC6EFF"/>
    <w:rsid w:val="00BC7403"/>
    <w:rsid w:val="00BC7BD8"/>
    <w:rsid w:val="00BD3F9D"/>
    <w:rsid w:val="00BD4527"/>
    <w:rsid w:val="00BD5285"/>
    <w:rsid w:val="00BD5EA5"/>
    <w:rsid w:val="00BD7C2E"/>
    <w:rsid w:val="00BE0EFF"/>
    <w:rsid w:val="00BE27C1"/>
    <w:rsid w:val="00BE4259"/>
    <w:rsid w:val="00BE43AE"/>
    <w:rsid w:val="00BE4F01"/>
    <w:rsid w:val="00BE63D4"/>
    <w:rsid w:val="00BF0437"/>
    <w:rsid w:val="00BF0885"/>
    <w:rsid w:val="00BF11BF"/>
    <w:rsid w:val="00BF194A"/>
    <w:rsid w:val="00BF27F8"/>
    <w:rsid w:val="00BF31CD"/>
    <w:rsid w:val="00BF57B2"/>
    <w:rsid w:val="00BF5D35"/>
    <w:rsid w:val="00BF6D18"/>
    <w:rsid w:val="00C00A23"/>
    <w:rsid w:val="00C00A5B"/>
    <w:rsid w:val="00C01A00"/>
    <w:rsid w:val="00C02097"/>
    <w:rsid w:val="00C06362"/>
    <w:rsid w:val="00C10366"/>
    <w:rsid w:val="00C10A97"/>
    <w:rsid w:val="00C120C1"/>
    <w:rsid w:val="00C13B2B"/>
    <w:rsid w:val="00C1424A"/>
    <w:rsid w:val="00C15C12"/>
    <w:rsid w:val="00C20F0F"/>
    <w:rsid w:val="00C2447A"/>
    <w:rsid w:val="00C302E4"/>
    <w:rsid w:val="00C32858"/>
    <w:rsid w:val="00C33B5A"/>
    <w:rsid w:val="00C34369"/>
    <w:rsid w:val="00C34AEC"/>
    <w:rsid w:val="00C4257D"/>
    <w:rsid w:val="00C42896"/>
    <w:rsid w:val="00C44D94"/>
    <w:rsid w:val="00C46593"/>
    <w:rsid w:val="00C4699B"/>
    <w:rsid w:val="00C4727E"/>
    <w:rsid w:val="00C5019B"/>
    <w:rsid w:val="00C50640"/>
    <w:rsid w:val="00C52845"/>
    <w:rsid w:val="00C5402A"/>
    <w:rsid w:val="00C553D5"/>
    <w:rsid w:val="00C57EB1"/>
    <w:rsid w:val="00C60FCB"/>
    <w:rsid w:val="00C622C0"/>
    <w:rsid w:val="00C6429D"/>
    <w:rsid w:val="00C6542B"/>
    <w:rsid w:val="00C74A86"/>
    <w:rsid w:val="00C75BCC"/>
    <w:rsid w:val="00C7657D"/>
    <w:rsid w:val="00C77560"/>
    <w:rsid w:val="00C777B8"/>
    <w:rsid w:val="00C81424"/>
    <w:rsid w:val="00C81A37"/>
    <w:rsid w:val="00C8316C"/>
    <w:rsid w:val="00C84F46"/>
    <w:rsid w:val="00C84FE8"/>
    <w:rsid w:val="00C861CD"/>
    <w:rsid w:val="00C863BF"/>
    <w:rsid w:val="00C92FD0"/>
    <w:rsid w:val="00C93583"/>
    <w:rsid w:val="00C95973"/>
    <w:rsid w:val="00CA09DD"/>
    <w:rsid w:val="00CA31C4"/>
    <w:rsid w:val="00CA6E93"/>
    <w:rsid w:val="00CA7614"/>
    <w:rsid w:val="00CB03CE"/>
    <w:rsid w:val="00CB05AA"/>
    <w:rsid w:val="00CB0B2C"/>
    <w:rsid w:val="00CB0FEC"/>
    <w:rsid w:val="00CB1F4A"/>
    <w:rsid w:val="00CB2860"/>
    <w:rsid w:val="00CB2ACF"/>
    <w:rsid w:val="00CB2D44"/>
    <w:rsid w:val="00CB347B"/>
    <w:rsid w:val="00CB3A2D"/>
    <w:rsid w:val="00CB5FF6"/>
    <w:rsid w:val="00CB615B"/>
    <w:rsid w:val="00CB749A"/>
    <w:rsid w:val="00CB78CB"/>
    <w:rsid w:val="00CC19C9"/>
    <w:rsid w:val="00CC39BC"/>
    <w:rsid w:val="00CC3C23"/>
    <w:rsid w:val="00CC546E"/>
    <w:rsid w:val="00CC764F"/>
    <w:rsid w:val="00CD1EED"/>
    <w:rsid w:val="00CD2675"/>
    <w:rsid w:val="00CD4BC0"/>
    <w:rsid w:val="00CD577E"/>
    <w:rsid w:val="00CD5F6A"/>
    <w:rsid w:val="00CD6691"/>
    <w:rsid w:val="00CE1766"/>
    <w:rsid w:val="00CE63A9"/>
    <w:rsid w:val="00CE7CEC"/>
    <w:rsid w:val="00CF1F8B"/>
    <w:rsid w:val="00CF38D8"/>
    <w:rsid w:val="00CF7663"/>
    <w:rsid w:val="00D00F9D"/>
    <w:rsid w:val="00D02E2A"/>
    <w:rsid w:val="00D11F68"/>
    <w:rsid w:val="00D15694"/>
    <w:rsid w:val="00D162F0"/>
    <w:rsid w:val="00D16A79"/>
    <w:rsid w:val="00D17477"/>
    <w:rsid w:val="00D175B2"/>
    <w:rsid w:val="00D2121A"/>
    <w:rsid w:val="00D21412"/>
    <w:rsid w:val="00D22390"/>
    <w:rsid w:val="00D22E85"/>
    <w:rsid w:val="00D22FCE"/>
    <w:rsid w:val="00D247EA"/>
    <w:rsid w:val="00D26A76"/>
    <w:rsid w:val="00D3036A"/>
    <w:rsid w:val="00D32E3B"/>
    <w:rsid w:val="00D337C9"/>
    <w:rsid w:val="00D41DAE"/>
    <w:rsid w:val="00D431B3"/>
    <w:rsid w:val="00D43ABF"/>
    <w:rsid w:val="00D477C5"/>
    <w:rsid w:val="00D51502"/>
    <w:rsid w:val="00D518A5"/>
    <w:rsid w:val="00D51B5B"/>
    <w:rsid w:val="00D537FA"/>
    <w:rsid w:val="00D5779D"/>
    <w:rsid w:val="00D62685"/>
    <w:rsid w:val="00D63D2D"/>
    <w:rsid w:val="00D664FE"/>
    <w:rsid w:val="00D6798F"/>
    <w:rsid w:val="00D679D6"/>
    <w:rsid w:val="00D708FA"/>
    <w:rsid w:val="00D70B44"/>
    <w:rsid w:val="00D717BF"/>
    <w:rsid w:val="00D7239F"/>
    <w:rsid w:val="00D731B8"/>
    <w:rsid w:val="00D7350D"/>
    <w:rsid w:val="00D764BB"/>
    <w:rsid w:val="00D7739E"/>
    <w:rsid w:val="00D849C2"/>
    <w:rsid w:val="00D85F34"/>
    <w:rsid w:val="00D870A4"/>
    <w:rsid w:val="00D903B9"/>
    <w:rsid w:val="00D92208"/>
    <w:rsid w:val="00D92601"/>
    <w:rsid w:val="00D930C7"/>
    <w:rsid w:val="00D95E8F"/>
    <w:rsid w:val="00D97D13"/>
    <w:rsid w:val="00D97DEE"/>
    <w:rsid w:val="00DA0B2A"/>
    <w:rsid w:val="00DA1471"/>
    <w:rsid w:val="00DA286F"/>
    <w:rsid w:val="00DA2C6C"/>
    <w:rsid w:val="00DA39FA"/>
    <w:rsid w:val="00DA45A3"/>
    <w:rsid w:val="00DA5C87"/>
    <w:rsid w:val="00DA6E57"/>
    <w:rsid w:val="00DB0274"/>
    <w:rsid w:val="00DB0C90"/>
    <w:rsid w:val="00DB2F15"/>
    <w:rsid w:val="00DB4C39"/>
    <w:rsid w:val="00DC16C4"/>
    <w:rsid w:val="00DC4DD6"/>
    <w:rsid w:val="00DC550B"/>
    <w:rsid w:val="00DC636A"/>
    <w:rsid w:val="00DC7397"/>
    <w:rsid w:val="00DD1F50"/>
    <w:rsid w:val="00DD24DB"/>
    <w:rsid w:val="00DD2C12"/>
    <w:rsid w:val="00DD4D31"/>
    <w:rsid w:val="00DD5B18"/>
    <w:rsid w:val="00DD6A0D"/>
    <w:rsid w:val="00DE4A23"/>
    <w:rsid w:val="00DE62B5"/>
    <w:rsid w:val="00DF0B87"/>
    <w:rsid w:val="00DF1713"/>
    <w:rsid w:val="00DF31D0"/>
    <w:rsid w:val="00DF326E"/>
    <w:rsid w:val="00DF3F8E"/>
    <w:rsid w:val="00DF4B53"/>
    <w:rsid w:val="00DF54AF"/>
    <w:rsid w:val="00DF59BA"/>
    <w:rsid w:val="00E00E23"/>
    <w:rsid w:val="00E023F6"/>
    <w:rsid w:val="00E03599"/>
    <w:rsid w:val="00E03921"/>
    <w:rsid w:val="00E05D8F"/>
    <w:rsid w:val="00E10EBD"/>
    <w:rsid w:val="00E1195A"/>
    <w:rsid w:val="00E130EF"/>
    <w:rsid w:val="00E153DE"/>
    <w:rsid w:val="00E204D3"/>
    <w:rsid w:val="00E20B7A"/>
    <w:rsid w:val="00E211F4"/>
    <w:rsid w:val="00E21C10"/>
    <w:rsid w:val="00E21CCB"/>
    <w:rsid w:val="00E22596"/>
    <w:rsid w:val="00E22651"/>
    <w:rsid w:val="00E22C4B"/>
    <w:rsid w:val="00E2348E"/>
    <w:rsid w:val="00E24883"/>
    <w:rsid w:val="00E25387"/>
    <w:rsid w:val="00E314A7"/>
    <w:rsid w:val="00E31A03"/>
    <w:rsid w:val="00E31A08"/>
    <w:rsid w:val="00E31C99"/>
    <w:rsid w:val="00E330CB"/>
    <w:rsid w:val="00E336D7"/>
    <w:rsid w:val="00E37061"/>
    <w:rsid w:val="00E4006D"/>
    <w:rsid w:val="00E4210E"/>
    <w:rsid w:val="00E43D5D"/>
    <w:rsid w:val="00E44DA4"/>
    <w:rsid w:val="00E45077"/>
    <w:rsid w:val="00E462D0"/>
    <w:rsid w:val="00E471DE"/>
    <w:rsid w:val="00E5094B"/>
    <w:rsid w:val="00E52E07"/>
    <w:rsid w:val="00E533E1"/>
    <w:rsid w:val="00E54456"/>
    <w:rsid w:val="00E636DE"/>
    <w:rsid w:val="00E63966"/>
    <w:rsid w:val="00E63B36"/>
    <w:rsid w:val="00E64063"/>
    <w:rsid w:val="00E6700F"/>
    <w:rsid w:val="00E676EB"/>
    <w:rsid w:val="00E74820"/>
    <w:rsid w:val="00E80AD7"/>
    <w:rsid w:val="00E81802"/>
    <w:rsid w:val="00E81BC3"/>
    <w:rsid w:val="00E83C63"/>
    <w:rsid w:val="00E84AA9"/>
    <w:rsid w:val="00E85309"/>
    <w:rsid w:val="00E8564B"/>
    <w:rsid w:val="00E8739C"/>
    <w:rsid w:val="00E87B07"/>
    <w:rsid w:val="00E9370B"/>
    <w:rsid w:val="00E944B1"/>
    <w:rsid w:val="00E953E2"/>
    <w:rsid w:val="00E9711B"/>
    <w:rsid w:val="00EA3873"/>
    <w:rsid w:val="00EA4510"/>
    <w:rsid w:val="00EA5DA2"/>
    <w:rsid w:val="00EB21F4"/>
    <w:rsid w:val="00EB282A"/>
    <w:rsid w:val="00EB2945"/>
    <w:rsid w:val="00EB31EA"/>
    <w:rsid w:val="00EB3797"/>
    <w:rsid w:val="00EB6AF1"/>
    <w:rsid w:val="00EC1542"/>
    <w:rsid w:val="00EC32DB"/>
    <w:rsid w:val="00EC6880"/>
    <w:rsid w:val="00ED0303"/>
    <w:rsid w:val="00ED0EB0"/>
    <w:rsid w:val="00ED56E0"/>
    <w:rsid w:val="00ED6196"/>
    <w:rsid w:val="00ED68DD"/>
    <w:rsid w:val="00EE36BA"/>
    <w:rsid w:val="00EE5FC1"/>
    <w:rsid w:val="00EE74B7"/>
    <w:rsid w:val="00EF42B1"/>
    <w:rsid w:val="00EF4339"/>
    <w:rsid w:val="00EF64D9"/>
    <w:rsid w:val="00EF7376"/>
    <w:rsid w:val="00EF739E"/>
    <w:rsid w:val="00F007A0"/>
    <w:rsid w:val="00F02E01"/>
    <w:rsid w:val="00F05A4A"/>
    <w:rsid w:val="00F07030"/>
    <w:rsid w:val="00F13D5B"/>
    <w:rsid w:val="00F15241"/>
    <w:rsid w:val="00F176F5"/>
    <w:rsid w:val="00F200DA"/>
    <w:rsid w:val="00F2052A"/>
    <w:rsid w:val="00F2128E"/>
    <w:rsid w:val="00F23D76"/>
    <w:rsid w:val="00F24837"/>
    <w:rsid w:val="00F25FAD"/>
    <w:rsid w:val="00F2736F"/>
    <w:rsid w:val="00F3171C"/>
    <w:rsid w:val="00F3273F"/>
    <w:rsid w:val="00F345D0"/>
    <w:rsid w:val="00F37DBA"/>
    <w:rsid w:val="00F449A6"/>
    <w:rsid w:val="00F4638B"/>
    <w:rsid w:val="00F4656F"/>
    <w:rsid w:val="00F46673"/>
    <w:rsid w:val="00F5079D"/>
    <w:rsid w:val="00F53105"/>
    <w:rsid w:val="00F55528"/>
    <w:rsid w:val="00F56165"/>
    <w:rsid w:val="00F605D3"/>
    <w:rsid w:val="00F60AC4"/>
    <w:rsid w:val="00F624EE"/>
    <w:rsid w:val="00F62FEA"/>
    <w:rsid w:val="00F641D0"/>
    <w:rsid w:val="00F64BEF"/>
    <w:rsid w:val="00F64CAD"/>
    <w:rsid w:val="00F64FC5"/>
    <w:rsid w:val="00F655DE"/>
    <w:rsid w:val="00F66CF5"/>
    <w:rsid w:val="00F7221B"/>
    <w:rsid w:val="00F722D2"/>
    <w:rsid w:val="00F73BA8"/>
    <w:rsid w:val="00F74B7F"/>
    <w:rsid w:val="00F74DFA"/>
    <w:rsid w:val="00F7500B"/>
    <w:rsid w:val="00F7698C"/>
    <w:rsid w:val="00F77946"/>
    <w:rsid w:val="00F8230D"/>
    <w:rsid w:val="00F82C10"/>
    <w:rsid w:val="00F835B8"/>
    <w:rsid w:val="00F8380F"/>
    <w:rsid w:val="00F86107"/>
    <w:rsid w:val="00F8727B"/>
    <w:rsid w:val="00F9197A"/>
    <w:rsid w:val="00F92BFD"/>
    <w:rsid w:val="00F93757"/>
    <w:rsid w:val="00F94CDE"/>
    <w:rsid w:val="00F95223"/>
    <w:rsid w:val="00F95235"/>
    <w:rsid w:val="00F952D8"/>
    <w:rsid w:val="00F957F8"/>
    <w:rsid w:val="00FA2FE5"/>
    <w:rsid w:val="00FA3812"/>
    <w:rsid w:val="00FA53DC"/>
    <w:rsid w:val="00FA7055"/>
    <w:rsid w:val="00FA7A2E"/>
    <w:rsid w:val="00FB0142"/>
    <w:rsid w:val="00FB1051"/>
    <w:rsid w:val="00FB2CCB"/>
    <w:rsid w:val="00FB4014"/>
    <w:rsid w:val="00FB4044"/>
    <w:rsid w:val="00FB48EC"/>
    <w:rsid w:val="00FB7E5F"/>
    <w:rsid w:val="00FC3883"/>
    <w:rsid w:val="00FC46F5"/>
    <w:rsid w:val="00FC6CCF"/>
    <w:rsid w:val="00FC6D3A"/>
    <w:rsid w:val="00FC759F"/>
    <w:rsid w:val="00FC7995"/>
    <w:rsid w:val="00FC7AA7"/>
    <w:rsid w:val="00FD06B2"/>
    <w:rsid w:val="00FD26D1"/>
    <w:rsid w:val="00FD358D"/>
    <w:rsid w:val="00FD4190"/>
    <w:rsid w:val="00FE0189"/>
    <w:rsid w:val="00FE052E"/>
    <w:rsid w:val="00FE4914"/>
    <w:rsid w:val="00FE5858"/>
    <w:rsid w:val="00FE6BE5"/>
    <w:rsid w:val="00FF0792"/>
    <w:rsid w:val="00FF1666"/>
    <w:rsid w:val="00FF425E"/>
    <w:rsid w:val="00FF5869"/>
    <w:rsid w:val="00FF5BA4"/>
    <w:rsid w:val="00FF5D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2B72-7475-4934-8C36-6CB399E1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B6"/>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8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64"/>
    <w:rPr>
      <w:rFonts w:ascii="Segoe UI" w:hAnsi="Segoe UI" w:cs="Segoe UI"/>
      <w:sz w:val="18"/>
      <w:szCs w:val="18"/>
      <w:lang w:val="en-US"/>
    </w:rPr>
  </w:style>
  <w:style w:type="paragraph" w:styleId="Header">
    <w:name w:val="header"/>
    <w:basedOn w:val="Normal"/>
    <w:link w:val="HeaderChar"/>
    <w:uiPriority w:val="99"/>
    <w:unhideWhenUsed/>
    <w:rsid w:val="00BC6EFF"/>
    <w:pPr>
      <w:tabs>
        <w:tab w:val="center" w:pos="4513"/>
        <w:tab w:val="right" w:pos="9026"/>
      </w:tabs>
      <w:spacing w:line="240" w:lineRule="auto"/>
    </w:pPr>
  </w:style>
  <w:style w:type="character" w:customStyle="1" w:styleId="HeaderChar">
    <w:name w:val="Header Char"/>
    <w:basedOn w:val="DefaultParagraphFont"/>
    <w:link w:val="Header"/>
    <w:uiPriority w:val="99"/>
    <w:rsid w:val="00BC6EFF"/>
    <w:rPr>
      <w:lang w:val="en-US"/>
    </w:rPr>
  </w:style>
  <w:style w:type="paragraph" w:styleId="Footer">
    <w:name w:val="footer"/>
    <w:basedOn w:val="Normal"/>
    <w:link w:val="FooterChar"/>
    <w:uiPriority w:val="99"/>
    <w:unhideWhenUsed/>
    <w:rsid w:val="00BC6EFF"/>
    <w:pPr>
      <w:tabs>
        <w:tab w:val="center" w:pos="4513"/>
        <w:tab w:val="right" w:pos="9026"/>
      </w:tabs>
      <w:spacing w:line="240" w:lineRule="auto"/>
    </w:pPr>
  </w:style>
  <w:style w:type="character" w:customStyle="1" w:styleId="FooterChar">
    <w:name w:val="Footer Char"/>
    <w:basedOn w:val="DefaultParagraphFont"/>
    <w:link w:val="Footer"/>
    <w:uiPriority w:val="99"/>
    <w:rsid w:val="00BC6EFF"/>
    <w:rPr>
      <w:lang w:val="en-US"/>
    </w:rPr>
  </w:style>
  <w:style w:type="paragraph" w:styleId="ListParagraph">
    <w:name w:val="List Paragraph"/>
    <w:basedOn w:val="Normal"/>
    <w:uiPriority w:val="34"/>
    <w:qFormat/>
    <w:rsid w:val="00625D0E"/>
    <w:pPr>
      <w:ind w:left="720"/>
      <w:contextualSpacing/>
    </w:pPr>
  </w:style>
  <w:style w:type="paragraph" w:styleId="FootnoteText">
    <w:name w:val="footnote text"/>
    <w:basedOn w:val="Normal"/>
    <w:link w:val="FootnoteTextChar"/>
    <w:uiPriority w:val="99"/>
    <w:semiHidden/>
    <w:unhideWhenUsed/>
    <w:rsid w:val="00936BEB"/>
    <w:pPr>
      <w:spacing w:line="240" w:lineRule="auto"/>
    </w:pPr>
    <w:rPr>
      <w:sz w:val="20"/>
      <w:szCs w:val="20"/>
    </w:rPr>
  </w:style>
  <w:style w:type="character" w:customStyle="1" w:styleId="FootnoteTextChar">
    <w:name w:val="Footnote Text Char"/>
    <w:basedOn w:val="DefaultParagraphFont"/>
    <w:link w:val="FootnoteText"/>
    <w:uiPriority w:val="99"/>
    <w:semiHidden/>
    <w:rsid w:val="00936BEB"/>
    <w:rPr>
      <w:sz w:val="20"/>
      <w:szCs w:val="20"/>
      <w:lang w:val="en-US"/>
    </w:rPr>
  </w:style>
  <w:style w:type="character" w:styleId="FootnoteReference">
    <w:name w:val="footnote reference"/>
    <w:basedOn w:val="DefaultParagraphFont"/>
    <w:uiPriority w:val="99"/>
    <w:semiHidden/>
    <w:unhideWhenUsed/>
    <w:rsid w:val="00936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2020-01-30T18:30:00+00:00</Judgment_x0020_Date>
    <Year xmlns="c1afb1bd-f2fb-40fd-9abb-aea55b4d7662">2020</Year>
  </documentManagement>
</p:properties>
</file>

<file path=customXml/itemProps1.xml><?xml version="1.0" encoding="utf-8"?>
<ds:datastoreItem xmlns:ds="http://schemas.openxmlformats.org/officeDocument/2006/customXml" ds:itemID="{5469E2BF-780A-4581-87C5-FC28C3FAF7CD}"/>
</file>

<file path=customXml/itemProps2.xml><?xml version="1.0" encoding="utf-8"?>
<ds:datastoreItem xmlns:ds="http://schemas.openxmlformats.org/officeDocument/2006/customXml" ds:itemID="{FD95872B-2907-4587-9274-C3D50D734B28}"/>
</file>

<file path=customXml/itemProps3.xml><?xml version="1.0" encoding="utf-8"?>
<ds:datastoreItem xmlns:ds="http://schemas.openxmlformats.org/officeDocument/2006/customXml" ds:itemID="{944AD6EC-605E-4DC3-9FDB-7E0D27559D57}"/>
</file>

<file path=customXml/itemProps4.xml><?xml version="1.0" encoding="utf-8"?>
<ds:datastoreItem xmlns:ds="http://schemas.openxmlformats.org/officeDocument/2006/customXml" ds:itemID="{33FBF696-2923-40E8-9952-49994B03784B}"/>
</file>

<file path=docProps/app.xml><?xml version="1.0" encoding="utf-8"?>
<Properties xmlns="http://schemas.openxmlformats.org/officeDocument/2006/extended-properties" xmlns:vt="http://schemas.openxmlformats.org/officeDocument/2006/docPropsVTypes">
  <Template>Normal</Template>
  <TotalTime>1</TotalTime>
  <Pages>11</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Engelbrecht</dc:creator>
  <cp:keywords/>
  <dc:description/>
  <cp:lastModifiedBy>Lotta N. Ambunda</cp:lastModifiedBy>
  <cp:revision>3</cp:revision>
  <cp:lastPrinted>2020-01-30T10:53:00Z</cp:lastPrinted>
  <dcterms:created xsi:type="dcterms:W3CDTF">2020-02-03T17:05:00Z</dcterms:created>
  <dcterms:modified xsi:type="dcterms:W3CDTF">2020-02-03T17:06:00Z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