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E6" w:rsidRDefault="00390CE6" w:rsidP="00CE5713">
      <w:pPr>
        <w:jc w:val="center"/>
        <w:rPr>
          <w:b/>
          <w:sz w:val="24"/>
          <w:szCs w:val="24"/>
        </w:rPr>
      </w:pPr>
    </w:p>
    <w:p w:rsidR="00390CE6" w:rsidRDefault="00CE5713" w:rsidP="00390CE6">
      <w:pPr>
        <w:jc w:val="center"/>
        <w:rPr>
          <w:b/>
          <w:sz w:val="24"/>
          <w:szCs w:val="24"/>
        </w:rPr>
      </w:pPr>
      <w:r w:rsidRPr="00CE5713">
        <w:rPr>
          <w:b/>
          <w:sz w:val="24"/>
          <w:szCs w:val="24"/>
        </w:rPr>
        <w:t>P</w:t>
      </w:r>
      <w:r w:rsidR="00390CE6">
        <w:rPr>
          <w:b/>
          <w:sz w:val="24"/>
          <w:szCs w:val="24"/>
        </w:rPr>
        <w:t xml:space="preserve">RACTICE </w:t>
      </w:r>
      <w:r w:rsidRPr="00CE5713">
        <w:rPr>
          <w:b/>
          <w:sz w:val="24"/>
          <w:szCs w:val="24"/>
        </w:rPr>
        <w:t>D</w:t>
      </w:r>
      <w:r w:rsidR="00390CE6">
        <w:rPr>
          <w:b/>
          <w:sz w:val="24"/>
          <w:szCs w:val="24"/>
        </w:rPr>
        <w:t>IRECTION</w:t>
      </w:r>
      <w:r w:rsidRPr="00CE5713">
        <w:rPr>
          <w:b/>
          <w:sz w:val="24"/>
          <w:szCs w:val="24"/>
        </w:rPr>
        <w:t xml:space="preserve"> 61</w:t>
      </w:r>
    </w:p>
    <w:p w:rsidR="00CE5713" w:rsidRPr="00CE5713" w:rsidRDefault="00CE5713" w:rsidP="00CE5713">
      <w:pPr>
        <w:jc w:val="center"/>
        <w:rPr>
          <w:b/>
          <w:sz w:val="24"/>
          <w:szCs w:val="24"/>
        </w:rPr>
      </w:pPr>
      <w:r w:rsidRPr="00CE5713">
        <w:rPr>
          <w:b/>
          <w:sz w:val="24"/>
          <w:szCs w:val="24"/>
        </w:rPr>
        <w:t>“ANNEXURE 11”</w:t>
      </w:r>
    </w:p>
    <w:tbl>
      <w:tblPr>
        <w:tblStyle w:val="TableGrid"/>
        <w:tblpPr w:leftFromText="180" w:rightFromText="180" w:vertAnchor="page" w:horzAnchor="margin" w:tblpY="3601"/>
        <w:tblW w:w="9720" w:type="dxa"/>
        <w:tblLook w:val="04A0" w:firstRow="1" w:lastRow="0" w:firstColumn="1" w:lastColumn="0" w:noHBand="0" w:noVBand="1"/>
      </w:tblPr>
      <w:tblGrid>
        <w:gridCol w:w="4770"/>
        <w:gridCol w:w="627"/>
        <w:gridCol w:w="4323"/>
      </w:tblGrid>
      <w:tr w:rsidR="00CE5713" w:rsidRPr="001B0FDD" w:rsidTr="00F82492">
        <w:trPr>
          <w:trHeight w:val="744"/>
        </w:trPr>
        <w:tc>
          <w:tcPr>
            <w:tcW w:w="5397" w:type="dxa"/>
            <w:gridSpan w:val="2"/>
          </w:tcPr>
          <w:p w:rsidR="00CE5713" w:rsidRPr="00D13760" w:rsidRDefault="00CE5713" w:rsidP="00F82492">
            <w:pPr>
              <w:spacing w:line="360" w:lineRule="auto"/>
              <w:jc w:val="both"/>
              <w:rPr>
                <w:rFonts w:ascii="Arial Narrow" w:hAnsi="Arial Narrow" w:cs="Arial"/>
                <w:color w:val="171717" w:themeColor="background2" w:themeShade="1A"/>
                <w:sz w:val="24"/>
                <w:szCs w:val="24"/>
              </w:rPr>
            </w:pPr>
            <w:r w:rsidRPr="00D13760">
              <w:rPr>
                <w:rFonts w:ascii="Arial Narrow" w:hAnsi="Arial Narrow" w:cs="Arial"/>
                <w:b/>
                <w:color w:val="171717" w:themeColor="background2" w:themeShade="1A"/>
                <w:sz w:val="24"/>
                <w:szCs w:val="24"/>
              </w:rPr>
              <w:t>Case Title:</w:t>
            </w:r>
          </w:p>
          <w:p w:rsidR="00CE5713" w:rsidRDefault="00CE5713" w:rsidP="00F82492">
            <w:pPr>
              <w:spacing w:line="360" w:lineRule="auto"/>
              <w:jc w:val="both"/>
              <w:rPr>
                <w:rFonts w:ascii="Arial Narrow" w:hAnsi="Arial Narrow" w:cs="Arial"/>
                <w:i/>
                <w:color w:val="171717" w:themeColor="background2" w:themeShade="1A"/>
                <w:sz w:val="24"/>
                <w:szCs w:val="24"/>
              </w:rPr>
            </w:pPr>
            <w:r>
              <w:rPr>
                <w:rFonts w:ascii="Arial Narrow" w:hAnsi="Arial Narrow" w:cs="Arial"/>
                <w:i/>
                <w:color w:val="171717" w:themeColor="background2" w:themeShade="1A"/>
                <w:sz w:val="24"/>
                <w:szCs w:val="24"/>
              </w:rPr>
              <w:t xml:space="preserve">The State v </w:t>
            </w:r>
            <w:proofErr w:type="spellStart"/>
            <w:r>
              <w:rPr>
                <w:rFonts w:ascii="Arial Narrow" w:hAnsi="Arial Narrow" w:cs="Arial"/>
                <w:i/>
                <w:color w:val="171717" w:themeColor="background2" w:themeShade="1A"/>
                <w:sz w:val="24"/>
                <w:szCs w:val="24"/>
              </w:rPr>
              <w:t>Arrie</w:t>
            </w:r>
            <w:proofErr w:type="spellEnd"/>
            <w:r>
              <w:rPr>
                <w:rFonts w:ascii="Arial Narrow" w:hAnsi="Arial Narrow" w:cs="Arial"/>
                <w:i/>
                <w:color w:val="171717" w:themeColor="background2" w:themeShade="1A"/>
                <w:sz w:val="24"/>
                <w:szCs w:val="24"/>
              </w:rPr>
              <w:t xml:space="preserve"> Bock and Martin </w:t>
            </w:r>
            <w:proofErr w:type="spellStart"/>
            <w:r>
              <w:rPr>
                <w:rFonts w:ascii="Arial Narrow" w:hAnsi="Arial Narrow" w:cs="Arial"/>
                <w:i/>
                <w:color w:val="171717" w:themeColor="background2" w:themeShade="1A"/>
                <w:sz w:val="24"/>
                <w:szCs w:val="24"/>
              </w:rPr>
              <w:t>Lukoro</w:t>
            </w:r>
            <w:proofErr w:type="spellEnd"/>
          </w:p>
          <w:p w:rsidR="00CE5713" w:rsidRPr="00D13760" w:rsidRDefault="00CE5713" w:rsidP="00F82492">
            <w:pPr>
              <w:spacing w:line="360" w:lineRule="auto"/>
              <w:jc w:val="both"/>
              <w:rPr>
                <w:rFonts w:ascii="Arial Narrow" w:hAnsi="Arial Narrow" w:cs="Arial"/>
                <w:i/>
                <w:color w:val="171717" w:themeColor="background2" w:themeShade="1A"/>
                <w:sz w:val="24"/>
                <w:szCs w:val="24"/>
              </w:rPr>
            </w:pPr>
          </w:p>
        </w:tc>
        <w:tc>
          <w:tcPr>
            <w:tcW w:w="4323" w:type="dxa"/>
          </w:tcPr>
          <w:p w:rsidR="00CE5713" w:rsidRPr="00D13760" w:rsidRDefault="00CE5713" w:rsidP="00F82492">
            <w:pPr>
              <w:spacing w:line="360" w:lineRule="auto"/>
              <w:jc w:val="both"/>
              <w:rPr>
                <w:rFonts w:ascii="Arial Narrow" w:hAnsi="Arial Narrow" w:cs="Arial"/>
                <w:b/>
                <w:color w:val="171717" w:themeColor="background2" w:themeShade="1A"/>
                <w:sz w:val="24"/>
                <w:szCs w:val="24"/>
              </w:rPr>
            </w:pPr>
            <w:r w:rsidRPr="00D13760">
              <w:rPr>
                <w:rFonts w:ascii="Arial Narrow" w:hAnsi="Arial Narrow" w:cs="Arial"/>
                <w:b/>
                <w:color w:val="171717" w:themeColor="background2" w:themeShade="1A"/>
                <w:sz w:val="24"/>
                <w:szCs w:val="24"/>
              </w:rPr>
              <w:t>Case No:</w:t>
            </w:r>
          </w:p>
          <w:p w:rsidR="00CE5713" w:rsidRPr="00D13760" w:rsidRDefault="00CE5713" w:rsidP="00F82492">
            <w:pPr>
              <w:spacing w:line="360" w:lineRule="auto"/>
              <w:jc w:val="both"/>
              <w:rPr>
                <w:rFonts w:ascii="Arial Narrow" w:hAnsi="Arial Narrow" w:cs="Arial"/>
                <w:color w:val="171717" w:themeColor="background2" w:themeShade="1A"/>
                <w:sz w:val="24"/>
                <w:szCs w:val="24"/>
              </w:rPr>
            </w:pPr>
            <w:r w:rsidRPr="00D13760">
              <w:rPr>
                <w:rFonts w:ascii="Arial Narrow" w:hAnsi="Arial Narrow" w:cs="Arial"/>
                <w:color w:val="171717" w:themeColor="background2" w:themeShade="1A"/>
                <w:sz w:val="24"/>
                <w:szCs w:val="24"/>
              </w:rPr>
              <w:t xml:space="preserve">CR </w:t>
            </w:r>
            <w:r>
              <w:rPr>
                <w:rFonts w:ascii="Arial Narrow" w:hAnsi="Arial Narrow" w:cs="Arial"/>
                <w:color w:val="171717" w:themeColor="background2" w:themeShade="1A"/>
                <w:sz w:val="24"/>
                <w:szCs w:val="24"/>
              </w:rPr>
              <w:t>46</w:t>
            </w:r>
            <w:r w:rsidRPr="00D13760">
              <w:rPr>
                <w:rFonts w:ascii="Arial Narrow" w:hAnsi="Arial Narrow" w:cs="Arial"/>
                <w:color w:val="171717" w:themeColor="background2" w:themeShade="1A"/>
                <w:sz w:val="24"/>
                <w:szCs w:val="24"/>
              </w:rPr>
              <w:t>/20</w:t>
            </w:r>
            <w:r>
              <w:rPr>
                <w:rFonts w:ascii="Arial Narrow" w:hAnsi="Arial Narrow" w:cs="Arial"/>
                <w:color w:val="171717" w:themeColor="background2" w:themeShade="1A"/>
                <w:sz w:val="24"/>
                <w:szCs w:val="24"/>
              </w:rPr>
              <w:t>20</w:t>
            </w:r>
            <w:r w:rsidRPr="00D13760">
              <w:rPr>
                <w:rFonts w:ascii="Arial Narrow" w:hAnsi="Arial Narrow" w:cs="Arial"/>
                <w:color w:val="171717" w:themeColor="background2" w:themeShade="1A"/>
                <w:sz w:val="24"/>
                <w:szCs w:val="24"/>
              </w:rPr>
              <w:t xml:space="preserve"> </w:t>
            </w:r>
          </w:p>
        </w:tc>
      </w:tr>
      <w:tr w:rsidR="00CE5713" w:rsidRPr="001B0FDD" w:rsidTr="00F82492">
        <w:trPr>
          <w:trHeight w:val="844"/>
        </w:trPr>
        <w:tc>
          <w:tcPr>
            <w:tcW w:w="5397" w:type="dxa"/>
            <w:gridSpan w:val="2"/>
          </w:tcPr>
          <w:p w:rsidR="00CE5713" w:rsidRDefault="00CE5713" w:rsidP="00F82492">
            <w:pPr>
              <w:spacing w:line="360" w:lineRule="auto"/>
              <w:jc w:val="both"/>
              <w:rPr>
                <w:rFonts w:ascii="Arial Narrow" w:hAnsi="Arial Narrow" w:cs="Arial"/>
                <w:b/>
                <w:sz w:val="24"/>
                <w:szCs w:val="24"/>
              </w:rPr>
            </w:pPr>
            <w:r w:rsidRPr="00B13BE8">
              <w:rPr>
                <w:rFonts w:ascii="Arial Narrow" w:hAnsi="Arial Narrow" w:cs="Arial"/>
                <w:b/>
                <w:sz w:val="24"/>
                <w:szCs w:val="24"/>
              </w:rPr>
              <w:t>High Court MD Review No:</w:t>
            </w:r>
          </w:p>
          <w:p w:rsidR="00CE5713" w:rsidRPr="00B13BE8" w:rsidRDefault="00CE5713" w:rsidP="00F82492">
            <w:pPr>
              <w:spacing w:line="360" w:lineRule="auto"/>
              <w:jc w:val="both"/>
              <w:rPr>
                <w:rFonts w:ascii="Arial Narrow" w:hAnsi="Arial Narrow" w:cs="Arial"/>
                <w:sz w:val="24"/>
                <w:szCs w:val="24"/>
              </w:rPr>
            </w:pPr>
            <w:r>
              <w:rPr>
                <w:rFonts w:ascii="Arial Narrow" w:hAnsi="Arial Narrow" w:cs="Arial"/>
                <w:sz w:val="24"/>
                <w:szCs w:val="24"/>
              </w:rPr>
              <w:t>2161/2019</w:t>
            </w:r>
          </w:p>
        </w:tc>
        <w:tc>
          <w:tcPr>
            <w:tcW w:w="4323" w:type="dxa"/>
          </w:tcPr>
          <w:p w:rsidR="00CE5713" w:rsidRPr="001B0FDD" w:rsidRDefault="00CE5713" w:rsidP="00F82492">
            <w:pPr>
              <w:spacing w:line="360" w:lineRule="auto"/>
              <w:jc w:val="both"/>
              <w:rPr>
                <w:rFonts w:ascii="Arial Narrow" w:hAnsi="Arial Narrow" w:cs="Arial"/>
                <w:sz w:val="24"/>
                <w:szCs w:val="24"/>
              </w:rPr>
            </w:pPr>
            <w:r w:rsidRPr="001B0FDD">
              <w:rPr>
                <w:rFonts w:ascii="Arial Narrow" w:hAnsi="Arial Narrow" w:cs="Arial"/>
                <w:b/>
                <w:sz w:val="24"/>
                <w:szCs w:val="24"/>
              </w:rPr>
              <w:t>Division of Court:</w:t>
            </w:r>
          </w:p>
          <w:p w:rsidR="00CE5713" w:rsidRPr="001B0FDD" w:rsidRDefault="00CE5713" w:rsidP="00F82492">
            <w:pPr>
              <w:spacing w:line="360" w:lineRule="auto"/>
              <w:jc w:val="both"/>
              <w:rPr>
                <w:rFonts w:ascii="Arial Narrow" w:hAnsi="Arial Narrow" w:cs="Arial"/>
                <w:sz w:val="24"/>
                <w:szCs w:val="24"/>
              </w:rPr>
            </w:pPr>
            <w:r w:rsidRPr="001B0FDD">
              <w:rPr>
                <w:rFonts w:ascii="Arial Narrow" w:hAnsi="Arial Narrow" w:cs="Arial"/>
                <w:sz w:val="24"/>
                <w:szCs w:val="24"/>
              </w:rPr>
              <w:t>Main Division</w:t>
            </w:r>
          </w:p>
        </w:tc>
      </w:tr>
      <w:tr w:rsidR="00CE5713" w:rsidRPr="001B0FDD" w:rsidTr="00F82492">
        <w:trPr>
          <w:trHeight w:val="1662"/>
        </w:trPr>
        <w:tc>
          <w:tcPr>
            <w:tcW w:w="5397" w:type="dxa"/>
            <w:gridSpan w:val="2"/>
          </w:tcPr>
          <w:p w:rsidR="00CE5713" w:rsidRPr="00603358" w:rsidRDefault="00CE5713" w:rsidP="00F82492">
            <w:pPr>
              <w:spacing w:line="360" w:lineRule="auto"/>
              <w:jc w:val="both"/>
              <w:rPr>
                <w:rFonts w:ascii="Arial Narrow" w:hAnsi="Arial Narrow" w:cs="Arial"/>
                <w:b/>
                <w:sz w:val="24"/>
                <w:szCs w:val="24"/>
              </w:rPr>
            </w:pPr>
            <w:r w:rsidRPr="001B0FDD">
              <w:rPr>
                <w:rFonts w:ascii="Arial Narrow" w:hAnsi="Arial Narrow" w:cs="Arial"/>
                <w:b/>
                <w:sz w:val="24"/>
                <w:szCs w:val="24"/>
              </w:rPr>
              <w:t>Heard before:</w:t>
            </w:r>
          </w:p>
          <w:p w:rsidR="00CE5713" w:rsidRDefault="00CE5713" w:rsidP="00F82492">
            <w:pPr>
              <w:spacing w:line="360" w:lineRule="auto"/>
              <w:jc w:val="both"/>
              <w:rPr>
                <w:rFonts w:ascii="Arial Narrow" w:hAnsi="Arial Narrow" w:cs="Arial"/>
                <w:sz w:val="24"/>
                <w:szCs w:val="24"/>
              </w:rPr>
            </w:pPr>
            <w:r>
              <w:rPr>
                <w:rFonts w:ascii="Arial Narrow" w:hAnsi="Arial Narrow" w:cs="Arial"/>
                <w:sz w:val="24"/>
                <w:szCs w:val="24"/>
              </w:rPr>
              <w:t xml:space="preserve">Judge </w:t>
            </w:r>
            <w:proofErr w:type="spellStart"/>
            <w:r>
              <w:rPr>
                <w:rFonts w:ascii="Arial Narrow" w:hAnsi="Arial Narrow" w:cs="Arial"/>
                <w:sz w:val="24"/>
                <w:szCs w:val="24"/>
              </w:rPr>
              <w:t>Claasen</w:t>
            </w:r>
            <w:proofErr w:type="spellEnd"/>
            <w:r>
              <w:rPr>
                <w:rFonts w:ascii="Arial Narrow" w:hAnsi="Arial Narrow" w:cs="Arial"/>
                <w:sz w:val="24"/>
                <w:szCs w:val="24"/>
              </w:rPr>
              <w:t xml:space="preserve"> </w:t>
            </w:r>
            <w:r w:rsidRPr="00603358">
              <w:rPr>
                <w:rFonts w:ascii="Arial Narrow" w:hAnsi="Arial Narrow" w:cs="Arial"/>
                <w:i/>
                <w:sz w:val="24"/>
                <w:szCs w:val="24"/>
              </w:rPr>
              <w:t>et</w:t>
            </w:r>
          </w:p>
          <w:p w:rsidR="00CE5713" w:rsidRPr="00D7551F" w:rsidRDefault="00CE5713" w:rsidP="00F82492">
            <w:pPr>
              <w:spacing w:line="360" w:lineRule="auto"/>
              <w:jc w:val="both"/>
              <w:rPr>
                <w:rFonts w:ascii="Arial Narrow" w:hAnsi="Arial Narrow" w:cs="Arial"/>
                <w:sz w:val="24"/>
                <w:szCs w:val="24"/>
              </w:rPr>
            </w:pPr>
            <w:r w:rsidRPr="00D7551F">
              <w:rPr>
                <w:rFonts w:ascii="Arial Narrow" w:hAnsi="Arial Narrow" w:cs="Arial"/>
                <w:sz w:val="24"/>
                <w:szCs w:val="24"/>
              </w:rPr>
              <w:t xml:space="preserve">Acting Judge </w:t>
            </w:r>
            <w:proofErr w:type="spellStart"/>
            <w:r w:rsidRPr="00D7551F">
              <w:rPr>
                <w:rFonts w:ascii="Arial Narrow" w:hAnsi="Arial Narrow" w:cs="Arial"/>
                <w:sz w:val="24"/>
                <w:szCs w:val="24"/>
              </w:rPr>
              <w:t>Sibeya</w:t>
            </w:r>
            <w:proofErr w:type="spellEnd"/>
          </w:p>
        </w:tc>
        <w:tc>
          <w:tcPr>
            <w:tcW w:w="4323" w:type="dxa"/>
          </w:tcPr>
          <w:p w:rsidR="00CE5713" w:rsidRPr="001B0FDD" w:rsidRDefault="00CE5713" w:rsidP="00F82492">
            <w:pPr>
              <w:spacing w:line="360" w:lineRule="auto"/>
              <w:jc w:val="both"/>
              <w:rPr>
                <w:rFonts w:ascii="Arial Narrow" w:hAnsi="Arial Narrow" w:cs="Arial"/>
                <w:b/>
                <w:sz w:val="24"/>
                <w:szCs w:val="24"/>
              </w:rPr>
            </w:pPr>
            <w:r w:rsidRPr="001B0FDD">
              <w:rPr>
                <w:rFonts w:ascii="Arial Narrow" w:hAnsi="Arial Narrow" w:cs="Arial"/>
                <w:b/>
                <w:sz w:val="24"/>
                <w:szCs w:val="24"/>
              </w:rPr>
              <w:t>Delivered on:</w:t>
            </w:r>
          </w:p>
          <w:p w:rsidR="00CE5713" w:rsidRPr="001B0FDD" w:rsidRDefault="00CE5713" w:rsidP="00F82492">
            <w:pPr>
              <w:spacing w:line="360" w:lineRule="auto"/>
              <w:jc w:val="both"/>
              <w:rPr>
                <w:rFonts w:ascii="Arial Narrow" w:hAnsi="Arial Narrow" w:cs="Arial"/>
                <w:sz w:val="24"/>
                <w:szCs w:val="24"/>
              </w:rPr>
            </w:pPr>
            <w:r>
              <w:rPr>
                <w:rFonts w:ascii="Arial Narrow" w:hAnsi="Arial Narrow" w:cs="Arial"/>
                <w:sz w:val="24"/>
                <w:szCs w:val="24"/>
              </w:rPr>
              <w:t>13 July 2020</w:t>
            </w:r>
          </w:p>
        </w:tc>
      </w:tr>
      <w:tr w:rsidR="00CE5713" w:rsidRPr="001B0FDD" w:rsidTr="00F82492">
        <w:tc>
          <w:tcPr>
            <w:tcW w:w="9720" w:type="dxa"/>
            <w:gridSpan w:val="3"/>
          </w:tcPr>
          <w:p w:rsidR="00CE5713" w:rsidRPr="00D13760" w:rsidRDefault="00CE5713" w:rsidP="00F82492">
            <w:pPr>
              <w:spacing w:line="360" w:lineRule="auto"/>
              <w:jc w:val="both"/>
              <w:rPr>
                <w:rFonts w:ascii="Arial Narrow" w:hAnsi="Arial Narrow" w:cs="Arial"/>
                <w:color w:val="0D0D0D" w:themeColor="text1" w:themeTint="F2"/>
                <w:sz w:val="24"/>
                <w:szCs w:val="24"/>
              </w:rPr>
            </w:pPr>
            <w:r w:rsidRPr="00D13760">
              <w:rPr>
                <w:rFonts w:ascii="Arial Narrow" w:hAnsi="Arial Narrow" w:cs="Arial"/>
                <w:b/>
                <w:color w:val="0D0D0D" w:themeColor="text1" w:themeTint="F2"/>
                <w:sz w:val="24"/>
                <w:szCs w:val="24"/>
              </w:rPr>
              <w:t xml:space="preserve">Neutral citation: </w:t>
            </w:r>
            <w:r w:rsidRPr="00D13760">
              <w:rPr>
                <w:rFonts w:ascii="Arial Narrow" w:hAnsi="Arial Narrow" w:cs="Arial"/>
                <w:i/>
                <w:color w:val="0D0D0D" w:themeColor="text1" w:themeTint="F2"/>
                <w:sz w:val="24"/>
                <w:szCs w:val="24"/>
              </w:rPr>
              <w:t xml:space="preserve">S v </w:t>
            </w:r>
            <w:r>
              <w:rPr>
                <w:rFonts w:ascii="Arial Narrow" w:hAnsi="Arial Narrow" w:cs="Arial"/>
                <w:i/>
                <w:color w:val="0D0D0D" w:themeColor="text1" w:themeTint="F2"/>
                <w:sz w:val="24"/>
                <w:szCs w:val="24"/>
              </w:rPr>
              <w:t xml:space="preserve">Bock </w:t>
            </w:r>
            <w:r w:rsidRPr="00D13760">
              <w:rPr>
                <w:rFonts w:ascii="Arial Narrow" w:hAnsi="Arial Narrow" w:cs="Arial"/>
                <w:color w:val="0D0D0D" w:themeColor="text1" w:themeTint="F2"/>
                <w:sz w:val="24"/>
                <w:szCs w:val="24"/>
              </w:rPr>
              <w:t xml:space="preserve">(CR </w:t>
            </w:r>
            <w:r>
              <w:rPr>
                <w:rFonts w:ascii="Arial Narrow" w:hAnsi="Arial Narrow" w:cs="Arial"/>
                <w:color w:val="0D0D0D" w:themeColor="text1" w:themeTint="F2"/>
                <w:sz w:val="24"/>
                <w:szCs w:val="24"/>
              </w:rPr>
              <w:t>44/2020) [2020</w:t>
            </w:r>
            <w:r w:rsidRPr="00D13760">
              <w:rPr>
                <w:rFonts w:ascii="Arial Narrow" w:hAnsi="Arial Narrow" w:cs="Arial"/>
                <w:color w:val="0D0D0D" w:themeColor="text1" w:themeTint="F2"/>
                <w:sz w:val="24"/>
                <w:szCs w:val="24"/>
              </w:rPr>
              <w:t xml:space="preserve">] NAHCMD </w:t>
            </w:r>
            <w:r>
              <w:rPr>
                <w:rFonts w:ascii="Arial Narrow" w:hAnsi="Arial Narrow" w:cs="Arial"/>
                <w:color w:val="0D0D0D" w:themeColor="text1" w:themeTint="F2"/>
                <w:sz w:val="24"/>
                <w:szCs w:val="24"/>
              </w:rPr>
              <w:t xml:space="preserve">282 </w:t>
            </w:r>
            <w:r w:rsidRPr="00D13760">
              <w:rPr>
                <w:rFonts w:ascii="Arial Narrow" w:hAnsi="Arial Narrow" w:cs="Arial"/>
                <w:color w:val="0D0D0D" w:themeColor="text1" w:themeTint="F2"/>
                <w:sz w:val="24"/>
                <w:szCs w:val="24"/>
              </w:rPr>
              <w:t>(</w:t>
            </w:r>
            <w:r>
              <w:rPr>
                <w:rFonts w:ascii="Arial Narrow" w:hAnsi="Arial Narrow" w:cs="Arial"/>
                <w:color w:val="0D0D0D" w:themeColor="text1" w:themeTint="F2"/>
                <w:sz w:val="24"/>
                <w:szCs w:val="24"/>
              </w:rPr>
              <w:t>13 July 2020</w:t>
            </w:r>
            <w:r w:rsidRPr="00D13760">
              <w:rPr>
                <w:rFonts w:ascii="Arial Narrow" w:hAnsi="Arial Narrow" w:cs="Arial"/>
                <w:color w:val="0D0D0D" w:themeColor="text1" w:themeTint="F2"/>
                <w:sz w:val="24"/>
                <w:szCs w:val="24"/>
              </w:rPr>
              <w:t>)</w:t>
            </w:r>
          </w:p>
          <w:p w:rsidR="00CE5713" w:rsidRPr="001B0FDD" w:rsidRDefault="00CE5713" w:rsidP="00F82492">
            <w:pPr>
              <w:spacing w:line="360" w:lineRule="auto"/>
              <w:jc w:val="both"/>
              <w:rPr>
                <w:rFonts w:ascii="Arial Narrow" w:hAnsi="Arial Narrow" w:cs="Arial"/>
                <w:b/>
                <w:sz w:val="24"/>
                <w:szCs w:val="24"/>
              </w:rPr>
            </w:pPr>
          </w:p>
        </w:tc>
      </w:tr>
      <w:tr w:rsidR="00CE5713" w:rsidRPr="00ED330E" w:rsidTr="00F82492">
        <w:tc>
          <w:tcPr>
            <w:tcW w:w="9720" w:type="dxa"/>
            <w:gridSpan w:val="3"/>
          </w:tcPr>
          <w:p w:rsidR="00CE5713" w:rsidRDefault="00CE5713" w:rsidP="00F82492">
            <w:pPr>
              <w:spacing w:line="360" w:lineRule="auto"/>
              <w:jc w:val="both"/>
              <w:rPr>
                <w:rFonts w:ascii="Arial Narrow" w:hAnsi="Arial Narrow" w:cs="Arial"/>
                <w:b/>
                <w:sz w:val="24"/>
                <w:szCs w:val="24"/>
              </w:rPr>
            </w:pPr>
            <w:r w:rsidRPr="001B0FDD">
              <w:rPr>
                <w:rFonts w:ascii="Arial Narrow" w:hAnsi="Arial Narrow" w:cs="Arial"/>
                <w:b/>
                <w:sz w:val="24"/>
                <w:szCs w:val="24"/>
              </w:rPr>
              <w:t>The order:</w:t>
            </w:r>
          </w:p>
          <w:p w:rsidR="00CE5713" w:rsidRPr="004957CC" w:rsidRDefault="00CE5713" w:rsidP="00CE5713">
            <w:pPr>
              <w:pStyle w:val="ListParagraph"/>
              <w:numPr>
                <w:ilvl w:val="0"/>
                <w:numId w:val="2"/>
              </w:numPr>
              <w:spacing w:line="360" w:lineRule="auto"/>
              <w:jc w:val="both"/>
              <w:rPr>
                <w:rFonts w:ascii="Arial Narrow" w:hAnsi="Arial Narrow" w:cs="Arial"/>
                <w:sz w:val="24"/>
                <w:szCs w:val="24"/>
                <w:lang w:val="en-US"/>
              </w:rPr>
            </w:pPr>
            <w:r w:rsidRPr="004957CC">
              <w:rPr>
                <w:rFonts w:ascii="Arial Narrow" w:hAnsi="Arial Narrow" w:cs="Arial"/>
                <w:sz w:val="24"/>
                <w:szCs w:val="24"/>
                <w:lang w:val="en-US"/>
              </w:rPr>
              <w:t>The conviction and sentence o</w:t>
            </w:r>
            <w:r>
              <w:rPr>
                <w:rFonts w:ascii="Arial Narrow" w:hAnsi="Arial Narrow" w:cs="Arial"/>
                <w:sz w:val="24"/>
                <w:szCs w:val="24"/>
                <w:lang w:val="en-US"/>
              </w:rPr>
              <w:t xml:space="preserve">f both accused in respect of count 1 are confirmed </w:t>
            </w:r>
          </w:p>
          <w:p w:rsidR="00CE5713" w:rsidRPr="004957CC" w:rsidRDefault="00CE5713" w:rsidP="00CE5713">
            <w:pPr>
              <w:pStyle w:val="ListParagraph"/>
              <w:numPr>
                <w:ilvl w:val="0"/>
                <w:numId w:val="2"/>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The conviction and sentence of both accused in respect of count 2 are set aside. </w:t>
            </w:r>
          </w:p>
          <w:p w:rsidR="00CE5713" w:rsidRPr="00ED330E" w:rsidRDefault="00CE5713" w:rsidP="00F82492">
            <w:pPr>
              <w:spacing w:line="360" w:lineRule="auto"/>
              <w:ind w:left="720"/>
              <w:jc w:val="both"/>
              <w:rPr>
                <w:rFonts w:ascii="Arial Narrow" w:hAnsi="Arial Narrow" w:cs="Arial"/>
                <w:sz w:val="24"/>
                <w:szCs w:val="24"/>
              </w:rPr>
            </w:pPr>
          </w:p>
        </w:tc>
      </w:tr>
      <w:tr w:rsidR="00CE5713" w:rsidRPr="001B0FDD" w:rsidTr="00F82492">
        <w:tc>
          <w:tcPr>
            <w:tcW w:w="9720" w:type="dxa"/>
            <w:gridSpan w:val="3"/>
          </w:tcPr>
          <w:p w:rsidR="00CE5713" w:rsidRPr="001B0FDD" w:rsidRDefault="00CE5713" w:rsidP="00F82492">
            <w:pPr>
              <w:spacing w:line="360" w:lineRule="auto"/>
              <w:jc w:val="both"/>
              <w:rPr>
                <w:rFonts w:ascii="Arial Narrow" w:hAnsi="Arial Narrow" w:cs="Arial"/>
                <w:b/>
                <w:sz w:val="24"/>
                <w:szCs w:val="24"/>
              </w:rPr>
            </w:pPr>
            <w:r w:rsidRPr="001B0FDD">
              <w:rPr>
                <w:rFonts w:ascii="Arial Narrow" w:hAnsi="Arial Narrow" w:cs="Arial"/>
                <w:b/>
                <w:sz w:val="24"/>
                <w:szCs w:val="24"/>
              </w:rPr>
              <w:t>Reasons for order:</w:t>
            </w:r>
          </w:p>
        </w:tc>
      </w:tr>
      <w:tr w:rsidR="00CE5713" w:rsidRPr="00FE65E1" w:rsidTr="00F82492">
        <w:tc>
          <w:tcPr>
            <w:tcW w:w="9720" w:type="dxa"/>
            <w:gridSpan w:val="3"/>
          </w:tcPr>
          <w:p w:rsidR="00CE5713" w:rsidRDefault="00CE5713" w:rsidP="00F82492">
            <w:pPr>
              <w:spacing w:line="360" w:lineRule="auto"/>
              <w:jc w:val="both"/>
              <w:rPr>
                <w:rFonts w:ascii="Arial Narrow" w:hAnsi="Arial Narrow" w:cs="Arial"/>
                <w:sz w:val="24"/>
                <w:szCs w:val="24"/>
              </w:rPr>
            </w:pPr>
          </w:p>
          <w:p w:rsidR="00CE5713" w:rsidRPr="001B0FDD" w:rsidRDefault="00CE5713" w:rsidP="00F82492">
            <w:pPr>
              <w:spacing w:line="360" w:lineRule="auto"/>
              <w:jc w:val="both"/>
              <w:rPr>
                <w:rFonts w:ascii="Arial Narrow" w:hAnsi="Arial Narrow" w:cs="Arial"/>
                <w:sz w:val="24"/>
                <w:szCs w:val="24"/>
              </w:rPr>
            </w:pPr>
            <w:proofErr w:type="spellStart"/>
            <w:r>
              <w:rPr>
                <w:rFonts w:ascii="Arial Narrow" w:hAnsi="Arial Narrow" w:cs="Arial"/>
                <w:sz w:val="24"/>
                <w:szCs w:val="24"/>
              </w:rPr>
              <w:t>Claasen</w:t>
            </w:r>
            <w:proofErr w:type="spellEnd"/>
            <w:r>
              <w:rPr>
                <w:rFonts w:ascii="Arial Narrow" w:hAnsi="Arial Narrow" w:cs="Arial"/>
                <w:sz w:val="24"/>
                <w:szCs w:val="24"/>
              </w:rPr>
              <w:t xml:space="preserve"> J (concurring </w:t>
            </w:r>
            <w:proofErr w:type="spellStart"/>
            <w:r>
              <w:rPr>
                <w:rFonts w:ascii="Arial Narrow" w:hAnsi="Arial Narrow" w:cs="Arial"/>
                <w:sz w:val="24"/>
                <w:szCs w:val="24"/>
              </w:rPr>
              <w:t>Sibeya</w:t>
            </w:r>
            <w:proofErr w:type="spellEnd"/>
            <w:r>
              <w:rPr>
                <w:rFonts w:ascii="Arial Narrow" w:hAnsi="Arial Narrow" w:cs="Arial"/>
                <w:sz w:val="24"/>
                <w:szCs w:val="24"/>
              </w:rPr>
              <w:t xml:space="preserve"> AJ</w:t>
            </w:r>
            <w:r w:rsidRPr="001B0FDD">
              <w:rPr>
                <w:rFonts w:ascii="Arial Narrow" w:hAnsi="Arial Narrow" w:cs="Arial"/>
                <w:sz w:val="24"/>
                <w:szCs w:val="24"/>
              </w:rPr>
              <w:t>)</w:t>
            </w:r>
          </w:p>
          <w:p w:rsidR="00CE5713" w:rsidRPr="001B0FDD" w:rsidRDefault="00CE5713" w:rsidP="00F82492">
            <w:pPr>
              <w:spacing w:line="360" w:lineRule="auto"/>
              <w:jc w:val="both"/>
              <w:rPr>
                <w:rFonts w:ascii="Arial Narrow" w:hAnsi="Arial Narrow" w:cs="Arial"/>
                <w:sz w:val="24"/>
                <w:szCs w:val="24"/>
              </w:rPr>
            </w:pPr>
          </w:p>
          <w:p w:rsidR="00CE5713" w:rsidRPr="005345F6" w:rsidRDefault="00CE5713" w:rsidP="00F82492">
            <w:pPr>
              <w:pStyle w:val="ListParagraph"/>
              <w:numPr>
                <w:ilvl w:val="0"/>
                <w:numId w:val="1"/>
              </w:numPr>
              <w:spacing w:line="360" w:lineRule="auto"/>
              <w:jc w:val="both"/>
              <w:rPr>
                <w:rFonts w:ascii="Arial Narrow" w:hAnsi="Arial Narrow" w:cs="Arial"/>
                <w:sz w:val="24"/>
                <w:szCs w:val="24"/>
                <w:lang w:val="en-GB"/>
              </w:rPr>
            </w:pPr>
            <w:r w:rsidRPr="005345F6">
              <w:rPr>
                <w:rFonts w:ascii="Arial Narrow" w:hAnsi="Arial Narrow" w:cs="Arial"/>
                <w:sz w:val="24"/>
                <w:szCs w:val="24"/>
                <w:lang w:val="en-GB"/>
              </w:rPr>
              <w:t>This is a re</w:t>
            </w:r>
            <w:r>
              <w:rPr>
                <w:rFonts w:ascii="Arial Narrow" w:hAnsi="Arial Narrow" w:cs="Arial"/>
                <w:sz w:val="24"/>
                <w:szCs w:val="24"/>
                <w:lang w:val="en-GB"/>
              </w:rPr>
              <w:t xml:space="preserve">view in terms of section 302(1) </w:t>
            </w:r>
            <w:r w:rsidRPr="005345F6">
              <w:rPr>
                <w:rFonts w:ascii="Arial Narrow" w:hAnsi="Arial Narrow" w:cs="Arial"/>
                <w:sz w:val="24"/>
                <w:szCs w:val="24"/>
                <w:lang w:val="en-GB"/>
              </w:rPr>
              <w:t>of the Criminal Procedure Act 51 of 1977</w:t>
            </w:r>
            <w:r>
              <w:rPr>
                <w:rFonts w:ascii="Arial Narrow" w:hAnsi="Arial Narrow" w:cs="Arial"/>
                <w:sz w:val="24"/>
                <w:szCs w:val="24"/>
                <w:lang w:val="en-GB"/>
              </w:rPr>
              <w:t xml:space="preserve"> as amended, (hereinafter referred to as the CPA).</w:t>
            </w:r>
          </w:p>
          <w:p w:rsidR="00CE5713" w:rsidRPr="005345F6" w:rsidRDefault="00CE5713" w:rsidP="00F82492">
            <w:pPr>
              <w:spacing w:line="360" w:lineRule="auto"/>
              <w:jc w:val="both"/>
              <w:rPr>
                <w:rFonts w:ascii="Arial Narrow" w:hAnsi="Arial Narrow" w:cs="Arial"/>
                <w:sz w:val="24"/>
                <w:szCs w:val="24"/>
                <w:lang w:val="en-GB"/>
              </w:rPr>
            </w:pPr>
          </w:p>
          <w:p w:rsidR="00CE5713" w:rsidRPr="00563448"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rPr>
              <w:t>T</w:t>
            </w:r>
            <w:r w:rsidRPr="00494D1D">
              <w:rPr>
                <w:rFonts w:ascii="Arial Narrow" w:hAnsi="Arial Narrow" w:cs="Arial"/>
                <w:sz w:val="24"/>
                <w:szCs w:val="24"/>
              </w:rPr>
              <w:t xml:space="preserve">he accused persons were charged on count 1 with the predicate offence </w:t>
            </w:r>
            <w:r>
              <w:rPr>
                <w:rFonts w:ascii="Arial Narrow" w:hAnsi="Arial Narrow" w:cs="Arial"/>
                <w:sz w:val="24"/>
                <w:szCs w:val="24"/>
              </w:rPr>
              <w:t>of stock theft</w:t>
            </w:r>
            <w:r w:rsidRPr="00494D1D">
              <w:rPr>
                <w:rFonts w:ascii="Arial Narrow" w:hAnsi="Arial Narrow" w:cs="Arial"/>
                <w:sz w:val="24"/>
                <w:szCs w:val="24"/>
              </w:rPr>
              <w:t xml:space="preserve"> and on count 2 with money-laundering</w:t>
            </w:r>
            <w:r>
              <w:rPr>
                <w:rFonts w:ascii="Arial Narrow" w:hAnsi="Arial Narrow" w:cs="Arial"/>
                <w:sz w:val="24"/>
                <w:szCs w:val="24"/>
              </w:rPr>
              <w:t xml:space="preserve"> namely the acquisition, possession or use of proceeds of unlawful activities</w:t>
            </w:r>
            <w:r w:rsidRPr="00494D1D">
              <w:rPr>
                <w:rFonts w:ascii="Arial Narrow" w:hAnsi="Arial Narrow" w:cs="Arial"/>
                <w:sz w:val="24"/>
                <w:szCs w:val="24"/>
              </w:rPr>
              <w:t>.</w:t>
            </w:r>
          </w:p>
          <w:p w:rsidR="00CE5713" w:rsidRPr="00BB4885" w:rsidRDefault="00CE5713" w:rsidP="00F82492">
            <w:pPr>
              <w:pStyle w:val="ListParagrap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lastRenderedPageBreak/>
              <w:t>Both accused pleaded guilty in terms of section 112(1</w:t>
            </w:r>
            <w:proofErr w:type="gramStart"/>
            <w:r>
              <w:rPr>
                <w:rFonts w:ascii="Arial Narrow" w:hAnsi="Arial Narrow" w:cs="Arial"/>
                <w:sz w:val="24"/>
                <w:szCs w:val="24"/>
                <w:lang w:val="en-US"/>
              </w:rPr>
              <w:t>)(</w:t>
            </w:r>
            <w:proofErr w:type="gramEnd"/>
            <w:r>
              <w:rPr>
                <w:rFonts w:ascii="Arial Narrow" w:hAnsi="Arial Narrow" w:cs="Arial"/>
                <w:sz w:val="24"/>
                <w:szCs w:val="24"/>
                <w:lang w:val="en-US"/>
              </w:rPr>
              <w:t>b) of the CPA. They were convicted as charged and sentenced to 36 months imprisonment on count 1 and to 6 months imprisonment on count 2.</w:t>
            </w:r>
          </w:p>
          <w:p w:rsidR="00CE5713" w:rsidRPr="007A2F4D" w:rsidRDefault="00CE5713" w:rsidP="00F82492">
            <w:pPr>
              <w:pStyle w:val="ListParagrap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The reviewing court addressed a twofold query that pertains to the charge and conviction of the second count. Firstly it was pointed out that the charge does not contain any reference to a contravention of any section of the Prevention of Organized Crime Act 29 of 2004 (hereinafter referred to as POCA).  Secondly it was pointed out that the body of the charge was phrased along the lines of section 6 of POCA. The magistrate was asked whether a charge and conviction in terms of section 6 of POCA was appropriate in view of the full bench decision of </w:t>
            </w:r>
            <w:r w:rsidRPr="00074926">
              <w:rPr>
                <w:rFonts w:ascii="Arial Narrow" w:hAnsi="Arial Narrow" w:cs="Arial"/>
                <w:i/>
                <w:sz w:val="24"/>
                <w:szCs w:val="24"/>
                <w:lang w:val="en-US"/>
              </w:rPr>
              <w:t xml:space="preserve">S v </w:t>
            </w:r>
            <w:proofErr w:type="spellStart"/>
            <w:r w:rsidRPr="00074926">
              <w:rPr>
                <w:rFonts w:ascii="Arial Narrow" w:hAnsi="Arial Narrow" w:cs="Arial"/>
                <w:i/>
                <w:sz w:val="24"/>
                <w:szCs w:val="24"/>
                <w:lang w:val="en-US"/>
              </w:rPr>
              <w:t>Henock</w:t>
            </w:r>
            <w:proofErr w:type="spellEnd"/>
            <w:r w:rsidRPr="00074926">
              <w:rPr>
                <w:rFonts w:ascii="Arial Narrow" w:hAnsi="Arial Narrow" w:cs="Arial"/>
                <w:i/>
                <w:sz w:val="24"/>
                <w:szCs w:val="24"/>
                <w:lang w:val="en-US"/>
              </w:rPr>
              <w:t xml:space="preserve"> and others</w:t>
            </w:r>
            <w:r>
              <w:rPr>
                <w:rStyle w:val="FootnoteReference"/>
                <w:rFonts w:ascii="Arial Narrow" w:hAnsi="Arial Narrow" w:cs="Arial"/>
                <w:sz w:val="24"/>
                <w:szCs w:val="24"/>
                <w:lang w:val="en-US"/>
              </w:rPr>
              <w:footnoteReference w:id="1"/>
            </w:r>
          </w:p>
          <w:p w:rsidR="00CE5713" w:rsidRPr="008C75B3" w:rsidRDefault="00CE5713" w:rsidP="00F82492">
            <w:pPr>
              <w:pStyle w:val="ListParagrap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In her reply the magistrate conceded that section 6 of POCA was not appropriate and that it amounts to duplication of convictions. She requested the court to set aside the conviction and sentence. </w:t>
            </w:r>
          </w:p>
          <w:p w:rsidR="00CE5713" w:rsidRPr="008C75B3" w:rsidRDefault="00CE5713" w:rsidP="00F82492">
            <w:pPr>
              <w:pStyle w:val="ListParagraph"/>
              <w:rPr>
                <w:rFonts w:ascii="Arial Narrow" w:hAnsi="Arial Narrow" w:cs="Arial"/>
                <w:sz w:val="24"/>
                <w:szCs w:val="24"/>
                <w:lang w:val="en-US"/>
              </w:rPr>
            </w:pPr>
          </w:p>
          <w:p w:rsidR="00CE5713" w:rsidRPr="00975BFF" w:rsidRDefault="00CE5713" w:rsidP="00F82492">
            <w:pPr>
              <w:pStyle w:val="ListParagraph"/>
              <w:numPr>
                <w:ilvl w:val="0"/>
                <w:numId w:val="1"/>
              </w:numPr>
              <w:spacing w:line="360" w:lineRule="auto"/>
              <w:rPr>
                <w:rFonts w:ascii="Arial Narrow" w:hAnsi="Arial Narrow" w:cs="Arial"/>
                <w:sz w:val="24"/>
                <w:szCs w:val="24"/>
                <w:lang w:val="en-US"/>
              </w:rPr>
            </w:pPr>
            <w:r w:rsidRPr="00975BFF">
              <w:rPr>
                <w:rFonts w:ascii="Arial Narrow" w:hAnsi="Arial Narrow" w:cs="Arial"/>
                <w:sz w:val="24"/>
                <w:szCs w:val="24"/>
                <w:lang w:val="en-US"/>
              </w:rPr>
              <w:t xml:space="preserve">No issue arises in respect of the conviction and sentence on the first count herein and I turn to </w:t>
            </w:r>
            <w:r>
              <w:rPr>
                <w:rFonts w:ascii="Arial Narrow" w:hAnsi="Arial Narrow" w:cs="Arial"/>
                <w:sz w:val="24"/>
                <w:szCs w:val="24"/>
                <w:lang w:val="en-US"/>
              </w:rPr>
              <w:t xml:space="preserve">the germane issue. For that, </w:t>
            </w:r>
            <w:r w:rsidRPr="00975BFF">
              <w:rPr>
                <w:rFonts w:ascii="Arial Narrow" w:hAnsi="Arial Narrow" w:cs="Arial"/>
                <w:sz w:val="24"/>
                <w:szCs w:val="24"/>
                <w:lang w:val="en-US"/>
              </w:rPr>
              <w:t xml:space="preserve">it is necessary to set out the charge of count two. It reads as follows: </w:t>
            </w:r>
          </w:p>
          <w:p w:rsidR="00CE5713" w:rsidRPr="001A5FFA" w:rsidRDefault="00CE5713" w:rsidP="00F82492">
            <w:pPr>
              <w:pStyle w:val="ListParagraph"/>
              <w:rPr>
                <w:rFonts w:ascii="Arial Narrow" w:hAnsi="Arial Narrow" w:cs="Arial"/>
                <w:sz w:val="24"/>
                <w:szCs w:val="24"/>
                <w:lang w:val="en-US"/>
              </w:rPr>
            </w:pPr>
          </w:p>
          <w:p w:rsidR="00CE5713" w:rsidRPr="00DC006A" w:rsidRDefault="00CE5713" w:rsidP="00F82492">
            <w:pPr>
              <w:pStyle w:val="ListParagraph"/>
              <w:spacing w:line="360" w:lineRule="auto"/>
              <w:rPr>
                <w:rFonts w:ascii="Arial Narrow" w:hAnsi="Arial Narrow" w:cs="Arial"/>
                <w:lang w:val="en-US"/>
              </w:rPr>
            </w:pPr>
            <w:r w:rsidRPr="00DC006A">
              <w:rPr>
                <w:rFonts w:ascii="Arial Narrow" w:hAnsi="Arial Narrow" w:cs="Arial"/>
                <w:lang w:val="en-US"/>
              </w:rPr>
              <w:t>‘ Count 2  ( in respect of accused 1 and  2)</w:t>
            </w:r>
          </w:p>
          <w:p w:rsidR="00CE5713" w:rsidRPr="00DC006A" w:rsidRDefault="00CE5713" w:rsidP="00F82492">
            <w:pPr>
              <w:pStyle w:val="ListParagraph"/>
              <w:spacing w:line="360" w:lineRule="auto"/>
              <w:rPr>
                <w:rFonts w:ascii="Arial Narrow" w:hAnsi="Arial Narrow" w:cs="Arial"/>
                <w:lang w:val="en-US"/>
              </w:rPr>
            </w:pPr>
            <w:r w:rsidRPr="00DC006A">
              <w:rPr>
                <w:rFonts w:ascii="Arial Narrow" w:hAnsi="Arial Narrow" w:cs="Arial"/>
                <w:lang w:val="en-US"/>
              </w:rPr>
              <w:t xml:space="preserve"> Money laundering – Acquisition, possession or use of proceeds of unlawful activities.</w:t>
            </w:r>
          </w:p>
          <w:p w:rsidR="00CE5713" w:rsidRPr="00DC006A" w:rsidRDefault="00CE5713" w:rsidP="00F82492">
            <w:pPr>
              <w:pStyle w:val="ListParagraph"/>
              <w:spacing w:line="360" w:lineRule="auto"/>
              <w:rPr>
                <w:rFonts w:ascii="Arial Narrow" w:hAnsi="Arial Narrow" w:cs="Arial"/>
                <w:lang w:val="en-US"/>
              </w:rPr>
            </w:pPr>
            <w:r w:rsidRPr="00DC006A">
              <w:rPr>
                <w:rFonts w:ascii="Arial Narrow" w:hAnsi="Arial Narrow" w:cs="Arial"/>
                <w:lang w:val="en-US"/>
              </w:rPr>
              <w:t xml:space="preserve"> </w:t>
            </w:r>
          </w:p>
          <w:p w:rsidR="00CE5713" w:rsidRPr="00563448" w:rsidRDefault="00CE5713" w:rsidP="00F82492">
            <w:pPr>
              <w:pStyle w:val="ListParagraph"/>
              <w:spacing w:line="360" w:lineRule="auto"/>
              <w:rPr>
                <w:rFonts w:ascii="Arial Narrow" w:hAnsi="Arial Narrow" w:cs="Arial"/>
                <w:sz w:val="24"/>
                <w:szCs w:val="24"/>
                <w:lang w:val="en-US"/>
              </w:rPr>
            </w:pPr>
            <w:r w:rsidRPr="00DC006A">
              <w:rPr>
                <w:rFonts w:ascii="Arial Narrow" w:hAnsi="Arial Narrow" w:cs="Arial"/>
                <w:lang w:val="en-US"/>
              </w:rPr>
              <w:t xml:space="preserve">In that upon or about 19 April 2019, and at or near  farm </w:t>
            </w:r>
            <w:proofErr w:type="spellStart"/>
            <w:r w:rsidRPr="00DC006A">
              <w:rPr>
                <w:rFonts w:ascii="Arial Narrow" w:hAnsi="Arial Narrow" w:cs="Arial"/>
                <w:lang w:val="en-US"/>
              </w:rPr>
              <w:t>Auheib</w:t>
            </w:r>
            <w:proofErr w:type="spellEnd"/>
            <w:r w:rsidRPr="00DC006A">
              <w:rPr>
                <w:rFonts w:ascii="Arial Narrow" w:hAnsi="Arial Narrow" w:cs="Arial"/>
                <w:lang w:val="en-US"/>
              </w:rPr>
              <w:t xml:space="preserve">, in the district of Gobabis, the said accused, acting in concert, did wrongfully, unlawfully and intentionally acquire, possess or use proceeds of unlawful activities to wit money in the amount of N$ 600.00 which they knew or ought to reasonably have known that it is or form part of the proceeds of unlawful activities to wit: they obtained money from selling a stolen sheep, the property of or in the possession of </w:t>
            </w:r>
            <w:proofErr w:type="spellStart"/>
            <w:r w:rsidRPr="00DC006A">
              <w:rPr>
                <w:rFonts w:ascii="Arial Narrow" w:hAnsi="Arial Narrow" w:cs="Arial"/>
                <w:lang w:val="en-US"/>
              </w:rPr>
              <w:t>Bohitile</w:t>
            </w:r>
            <w:proofErr w:type="spellEnd"/>
            <w:r w:rsidRPr="00DC006A">
              <w:rPr>
                <w:rFonts w:ascii="Arial Narrow" w:hAnsi="Arial Narrow" w:cs="Arial"/>
                <w:lang w:val="en-US"/>
              </w:rPr>
              <w:t xml:space="preserve"> Gerhard</w:t>
            </w:r>
            <w:r>
              <w:rPr>
                <w:rFonts w:ascii="Arial Narrow" w:hAnsi="Arial Narrow" w:cs="Arial"/>
                <w:sz w:val="24"/>
                <w:szCs w:val="24"/>
                <w:lang w:val="en-US"/>
              </w:rPr>
              <w:t>.’</w:t>
            </w:r>
          </w:p>
          <w:p w:rsidR="00CE5713" w:rsidRPr="00563448" w:rsidRDefault="00CE5713" w:rsidP="00F82492">
            <w:pPr>
              <w:pStyle w:val="ListParagraph"/>
              <w:spacing w:line="360" w:lineRule="auto"/>
              <w:jc w:val="both"/>
              <w:rPr>
                <w:rFonts w:ascii="Arial Narrow" w:hAnsi="Arial Narrow" w:cs="Arial"/>
                <w:sz w:val="24"/>
                <w:szCs w:val="24"/>
                <w:lang w:val="en-US"/>
              </w:rPr>
            </w:pPr>
          </w:p>
          <w:p w:rsidR="00CE5713" w:rsidRPr="008B2551" w:rsidRDefault="00CE5713" w:rsidP="00F82492">
            <w:pPr>
              <w:pStyle w:val="ListParagraph"/>
              <w:numPr>
                <w:ilvl w:val="0"/>
                <w:numId w:val="1"/>
              </w:numPr>
              <w:spacing w:line="360" w:lineRule="auto"/>
              <w:jc w:val="both"/>
              <w:rPr>
                <w:rFonts w:ascii="Arial Narrow" w:hAnsi="Arial Narrow" w:cs="Arial"/>
                <w:sz w:val="24"/>
                <w:szCs w:val="24"/>
                <w:lang w:val="en-US"/>
              </w:rPr>
            </w:pPr>
            <w:r w:rsidRPr="008B2551">
              <w:rPr>
                <w:rFonts w:ascii="Arial Narrow" w:hAnsi="Arial Narrow" w:cs="Arial"/>
                <w:color w:val="0D0D0D" w:themeColor="text1" w:themeTint="F2"/>
                <w:sz w:val="24"/>
                <w:szCs w:val="24"/>
                <w:lang w:val="en-US"/>
              </w:rPr>
              <w:t xml:space="preserve"> </w:t>
            </w:r>
            <w:r>
              <w:rPr>
                <w:rFonts w:ascii="Arial Narrow" w:hAnsi="Arial Narrow" w:cs="Arial"/>
                <w:color w:val="0D0D0D" w:themeColor="text1" w:themeTint="F2"/>
                <w:sz w:val="24"/>
                <w:szCs w:val="24"/>
                <w:lang w:val="en-US"/>
              </w:rPr>
              <w:t xml:space="preserve">In looking at the charge, it is clear that the accused persons were </w:t>
            </w:r>
            <w:r w:rsidRPr="008B2551">
              <w:rPr>
                <w:rFonts w:ascii="Arial Narrow" w:hAnsi="Arial Narrow" w:cs="Arial"/>
                <w:color w:val="0D0D0D" w:themeColor="text1" w:themeTint="F2"/>
                <w:sz w:val="24"/>
                <w:szCs w:val="24"/>
                <w:lang w:val="en-US"/>
              </w:rPr>
              <w:t xml:space="preserve">not charged with a contravention of any statute at all, which according to </w:t>
            </w:r>
            <w:r w:rsidRPr="008B2551">
              <w:rPr>
                <w:rFonts w:ascii="Arial Narrow" w:hAnsi="Arial Narrow" w:cs="Arial"/>
                <w:i/>
                <w:color w:val="0D0D0D" w:themeColor="text1" w:themeTint="F2"/>
                <w:sz w:val="24"/>
                <w:szCs w:val="24"/>
                <w:lang w:val="en-US"/>
              </w:rPr>
              <w:t xml:space="preserve">S v </w:t>
            </w:r>
            <w:proofErr w:type="spellStart"/>
            <w:r w:rsidRPr="008B2551">
              <w:rPr>
                <w:rFonts w:ascii="Arial Narrow" w:hAnsi="Arial Narrow" w:cs="Arial"/>
                <w:i/>
                <w:color w:val="0D0D0D" w:themeColor="text1" w:themeTint="F2"/>
                <w:sz w:val="24"/>
                <w:szCs w:val="24"/>
                <w:lang w:val="en-US"/>
              </w:rPr>
              <w:t>Mariu</w:t>
            </w:r>
            <w:proofErr w:type="spellEnd"/>
            <w:r>
              <w:rPr>
                <w:rStyle w:val="FootnoteReference"/>
                <w:rFonts w:ascii="Arial Narrow" w:hAnsi="Arial Narrow" w:cs="Arial"/>
                <w:color w:val="0D0D0D" w:themeColor="text1" w:themeTint="F2"/>
                <w:sz w:val="24"/>
                <w:szCs w:val="24"/>
                <w:lang w:val="en-US"/>
              </w:rPr>
              <w:footnoteReference w:id="2"/>
            </w:r>
            <w:r w:rsidRPr="008B2551">
              <w:rPr>
                <w:rFonts w:ascii="Arial Narrow" w:hAnsi="Arial Narrow" w:cs="Arial"/>
                <w:color w:val="0D0D0D" w:themeColor="text1" w:themeTint="F2"/>
                <w:sz w:val="24"/>
                <w:szCs w:val="24"/>
                <w:lang w:val="en-US"/>
              </w:rPr>
              <w:t xml:space="preserve"> constitutes a defect. In this matter</w:t>
            </w:r>
            <w:r>
              <w:rPr>
                <w:rFonts w:ascii="Arial Narrow" w:hAnsi="Arial Narrow" w:cs="Arial"/>
                <w:color w:val="0D0D0D" w:themeColor="text1" w:themeTint="F2"/>
                <w:sz w:val="24"/>
                <w:szCs w:val="24"/>
                <w:lang w:val="en-US"/>
              </w:rPr>
              <w:t xml:space="preserve"> which involved drugs</w:t>
            </w:r>
            <w:r w:rsidRPr="008B2551">
              <w:rPr>
                <w:rFonts w:ascii="Arial Narrow" w:hAnsi="Arial Narrow" w:cs="Arial"/>
                <w:color w:val="0D0D0D" w:themeColor="text1" w:themeTint="F2"/>
                <w:sz w:val="24"/>
                <w:szCs w:val="24"/>
                <w:lang w:val="en-US"/>
              </w:rPr>
              <w:t xml:space="preserve"> the charge was held to be defective because dealing in dagga is not a crime under the common law but it was an offen</w:t>
            </w:r>
            <w:r>
              <w:rPr>
                <w:rFonts w:ascii="Arial Narrow" w:hAnsi="Arial Narrow" w:cs="Arial"/>
                <w:color w:val="0D0D0D" w:themeColor="text1" w:themeTint="F2"/>
                <w:sz w:val="24"/>
                <w:szCs w:val="24"/>
                <w:lang w:val="en-US"/>
              </w:rPr>
              <w:t>c</w:t>
            </w:r>
            <w:r w:rsidRPr="008B2551">
              <w:rPr>
                <w:rFonts w:ascii="Arial Narrow" w:hAnsi="Arial Narrow" w:cs="Arial"/>
                <w:color w:val="0D0D0D" w:themeColor="text1" w:themeTint="F2"/>
                <w:sz w:val="24"/>
                <w:szCs w:val="24"/>
                <w:lang w:val="en-US"/>
              </w:rPr>
              <w:t xml:space="preserve">e created in terms of a statute. </w:t>
            </w:r>
            <w:r>
              <w:rPr>
                <w:rFonts w:ascii="Arial Narrow" w:hAnsi="Arial Narrow" w:cs="Arial"/>
                <w:color w:val="0D0D0D" w:themeColor="text1" w:themeTint="F2"/>
                <w:sz w:val="24"/>
                <w:szCs w:val="24"/>
                <w:lang w:val="en-US"/>
              </w:rPr>
              <w:t>In a similar vein in the matter at hand the offenc</w:t>
            </w:r>
            <w:r w:rsidRPr="008B2551">
              <w:rPr>
                <w:rFonts w:ascii="Arial Narrow" w:hAnsi="Arial Narrow" w:cs="Arial"/>
                <w:color w:val="0D0D0D" w:themeColor="text1" w:themeTint="F2"/>
                <w:sz w:val="24"/>
                <w:szCs w:val="24"/>
                <w:lang w:val="en-US"/>
              </w:rPr>
              <w:t xml:space="preserve">e that appears to have been contemplated is that of section 6 of POCA as the charge </w:t>
            </w:r>
            <w:r w:rsidRPr="008B2551">
              <w:rPr>
                <w:rFonts w:ascii="Arial Narrow" w:hAnsi="Arial Narrow" w:cs="Arial"/>
                <w:sz w:val="24"/>
                <w:szCs w:val="24"/>
                <w:lang w:val="en-US"/>
              </w:rPr>
              <w:t xml:space="preserve">particulars take </w:t>
            </w:r>
            <w:r w:rsidRPr="008B2551">
              <w:rPr>
                <w:rFonts w:ascii="Arial Narrow" w:hAnsi="Arial Narrow" w:cs="Arial"/>
                <w:sz w:val="24"/>
                <w:szCs w:val="24"/>
                <w:lang w:val="en-US"/>
              </w:rPr>
              <w:lastRenderedPageBreak/>
              <w:t>after section 6 of POCA</w:t>
            </w:r>
            <w:r>
              <w:rPr>
                <w:rFonts w:ascii="Arial Narrow" w:hAnsi="Arial Narrow" w:cs="Arial"/>
                <w:sz w:val="24"/>
                <w:szCs w:val="24"/>
                <w:lang w:val="en-US"/>
              </w:rPr>
              <w:t>,</w:t>
            </w:r>
            <w:r w:rsidRPr="008B2551">
              <w:rPr>
                <w:rFonts w:ascii="Arial Narrow" w:hAnsi="Arial Narrow" w:cs="Arial"/>
                <w:sz w:val="24"/>
                <w:szCs w:val="24"/>
                <w:lang w:val="en-US"/>
              </w:rPr>
              <w:t xml:space="preserve"> but there </w:t>
            </w:r>
            <w:r>
              <w:rPr>
                <w:rFonts w:ascii="Arial Narrow" w:hAnsi="Arial Narrow" w:cs="Arial"/>
                <w:sz w:val="24"/>
                <w:szCs w:val="24"/>
                <w:lang w:val="en-US"/>
              </w:rPr>
              <w:t>w</w:t>
            </w:r>
            <w:r w:rsidRPr="008B2551">
              <w:rPr>
                <w:rFonts w:ascii="Arial Narrow" w:hAnsi="Arial Narrow" w:cs="Arial"/>
                <w:color w:val="0D0D0D" w:themeColor="text1" w:themeTint="F2"/>
                <w:sz w:val="24"/>
                <w:szCs w:val="24"/>
                <w:lang w:val="en-US"/>
              </w:rPr>
              <w:t xml:space="preserve">as no reference </w:t>
            </w:r>
            <w:r>
              <w:rPr>
                <w:rFonts w:ascii="Arial Narrow" w:hAnsi="Arial Narrow" w:cs="Arial"/>
                <w:color w:val="0D0D0D" w:themeColor="text1" w:themeTint="F2"/>
                <w:sz w:val="24"/>
                <w:szCs w:val="24"/>
                <w:lang w:val="en-US"/>
              </w:rPr>
              <w:t xml:space="preserve">to </w:t>
            </w:r>
            <w:r w:rsidRPr="008B2551">
              <w:rPr>
                <w:rFonts w:ascii="Arial Narrow" w:hAnsi="Arial Narrow" w:cs="Arial"/>
                <w:color w:val="0D0D0D" w:themeColor="text1" w:themeTint="F2"/>
                <w:sz w:val="24"/>
                <w:szCs w:val="24"/>
                <w:lang w:val="en-US"/>
              </w:rPr>
              <w:t xml:space="preserve">POCA or a contravention of any section of POCA. </w:t>
            </w:r>
          </w:p>
          <w:p w:rsidR="00CE5713" w:rsidRPr="0033417B" w:rsidRDefault="00CE5713" w:rsidP="00F82492">
            <w:pPr>
              <w:pStyle w:val="ListParagraph"/>
              <w:spacing w:line="360" w:lineRule="auto"/>
              <w:jc w:val="bot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 I move to the second issue namely whether a charge and conviction in respect of count 2 herein was feasible in the circumstances?</w:t>
            </w:r>
          </w:p>
          <w:p w:rsidR="00CE5713" w:rsidRPr="006241DB" w:rsidRDefault="00CE5713" w:rsidP="00F82492">
            <w:pPr>
              <w:pStyle w:val="ListParagrap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Again it is prudent to return to the record. In respect of this count the magistrate questioned the accused persons as to what led to their arrest. Accused 1’s reply was that: </w:t>
            </w:r>
            <w:proofErr w:type="gramStart"/>
            <w:r w:rsidRPr="0030661A">
              <w:rPr>
                <w:rFonts w:ascii="Arial Narrow" w:hAnsi="Arial Narrow" w:cs="Arial"/>
                <w:lang w:val="en-US"/>
              </w:rPr>
              <w:t>‘ Me</w:t>
            </w:r>
            <w:proofErr w:type="gramEnd"/>
            <w:r w:rsidRPr="0030661A">
              <w:rPr>
                <w:rFonts w:ascii="Arial Narrow" w:hAnsi="Arial Narrow" w:cs="Arial"/>
                <w:lang w:val="en-US"/>
              </w:rPr>
              <w:t xml:space="preserve"> and accused 2 sold the sheep we stole for N$ 600 and used up the proceeds’ </w:t>
            </w:r>
            <w:r>
              <w:rPr>
                <w:rFonts w:ascii="Arial Narrow" w:hAnsi="Arial Narrow" w:cs="Arial"/>
                <w:sz w:val="24"/>
                <w:szCs w:val="24"/>
                <w:lang w:val="en-US"/>
              </w:rPr>
              <w:t>(sic).  Accused 2 answered in similar terms referring back to the other accused.</w:t>
            </w:r>
          </w:p>
          <w:p w:rsidR="00CE5713" w:rsidRPr="005409D7" w:rsidRDefault="00CE5713" w:rsidP="00F82492">
            <w:pPr>
              <w:pStyle w:val="ListParagrap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sidRPr="008B2551">
              <w:rPr>
                <w:rFonts w:ascii="Arial Narrow" w:hAnsi="Arial Narrow" w:cs="Arial"/>
                <w:sz w:val="24"/>
                <w:szCs w:val="24"/>
                <w:lang w:val="en-US"/>
              </w:rPr>
              <w:t>The issue that arises is whether the accused persons who were involved in the predicate offen</w:t>
            </w:r>
            <w:r>
              <w:rPr>
                <w:rFonts w:ascii="Arial Narrow" w:hAnsi="Arial Narrow" w:cs="Arial"/>
                <w:sz w:val="24"/>
                <w:szCs w:val="24"/>
                <w:lang w:val="en-US"/>
              </w:rPr>
              <w:t>c</w:t>
            </w:r>
            <w:r w:rsidRPr="008B2551">
              <w:rPr>
                <w:rFonts w:ascii="Arial Narrow" w:hAnsi="Arial Narrow" w:cs="Arial"/>
                <w:sz w:val="24"/>
                <w:szCs w:val="24"/>
                <w:lang w:val="en-US"/>
              </w:rPr>
              <w:t xml:space="preserve">e which in this case was </w:t>
            </w:r>
            <w:proofErr w:type="spellStart"/>
            <w:r w:rsidRPr="008B2551">
              <w:rPr>
                <w:rFonts w:ascii="Arial Narrow" w:hAnsi="Arial Narrow" w:cs="Arial"/>
                <w:sz w:val="24"/>
                <w:szCs w:val="24"/>
                <w:lang w:val="en-US"/>
              </w:rPr>
              <w:t>stocktheft</w:t>
            </w:r>
            <w:proofErr w:type="spellEnd"/>
            <w:r w:rsidRPr="008B2551">
              <w:rPr>
                <w:rFonts w:ascii="Arial Narrow" w:hAnsi="Arial Narrow" w:cs="Arial"/>
                <w:sz w:val="24"/>
                <w:szCs w:val="24"/>
                <w:lang w:val="en-US"/>
              </w:rPr>
              <w:t xml:space="preserve">, could also be charged and convicted under section 6 of POCA? </w:t>
            </w:r>
          </w:p>
          <w:p w:rsidR="00CE5713" w:rsidRPr="008B2551" w:rsidRDefault="00CE5713" w:rsidP="00F82492">
            <w:pPr>
              <w:pStyle w:val="ListParagrap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sidRPr="00FE7667">
              <w:rPr>
                <w:rFonts w:ascii="Arial Narrow" w:hAnsi="Arial Narrow" w:cs="Arial"/>
                <w:sz w:val="24"/>
                <w:szCs w:val="24"/>
                <w:lang w:val="en-US"/>
              </w:rPr>
              <w:t xml:space="preserve">The full bench decision of </w:t>
            </w:r>
            <w:r>
              <w:rPr>
                <w:rFonts w:ascii="Arial Narrow" w:hAnsi="Arial Narrow" w:cs="Arial"/>
                <w:i/>
                <w:sz w:val="24"/>
                <w:szCs w:val="24"/>
                <w:lang w:val="en-US"/>
              </w:rPr>
              <w:t xml:space="preserve">S v </w:t>
            </w:r>
            <w:proofErr w:type="spellStart"/>
            <w:r>
              <w:rPr>
                <w:rFonts w:ascii="Arial Narrow" w:hAnsi="Arial Narrow" w:cs="Arial"/>
                <w:i/>
                <w:sz w:val="24"/>
                <w:szCs w:val="24"/>
                <w:lang w:val="en-US"/>
              </w:rPr>
              <w:t>Henock</w:t>
            </w:r>
            <w:proofErr w:type="spellEnd"/>
            <w:r>
              <w:rPr>
                <w:rFonts w:ascii="Arial Narrow" w:hAnsi="Arial Narrow" w:cs="Arial"/>
                <w:i/>
                <w:sz w:val="24"/>
                <w:szCs w:val="24"/>
                <w:lang w:val="en-US"/>
              </w:rPr>
              <w:t xml:space="preserve"> </w:t>
            </w:r>
            <w:r w:rsidRPr="00FE7667">
              <w:rPr>
                <w:rFonts w:ascii="Arial Narrow" w:hAnsi="Arial Narrow" w:cs="Arial"/>
                <w:i/>
                <w:sz w:val="24"/>
                <w:szCs w:val="24"/>
                <w:lang w:val="en-US"/>
              </w:rPr>
              <w:t>Others</w:t>
            </w:r>
            <w:r w:rsidRPr="00FE7667">
              <w:rPr>
                <w:rFonts w:ascii="Arial Narrow" w:hAnsi="Arial Narrow" w:cs="Arial"/>
                <w:sz w:val="24"/>
                <w:szCs w:val="24"/>
                <w:lang w:val="en-US"/>
              </w:rPr>
              <w:t xml:space="preserve"> supra suc</w:t>
            </w:r>
            <w:r>
              <w:rPr>
                <w:rFonts w:ascii="Arial Narrow" w:hAnsi="Arial Narrow" w:cs="Arial"/>
                <w:sz w:val="24"/>
                <w:szCs w:val="24"/>
                <w:lang w:val="en-US"/>
              </w:rPr>
              <w:t>cinctly crystalized the applicable</w:t>
            </w:r>
            <w:r w:rsidRPr="00FE7667">
              <w:rPr>
                <w:rFonts w:ascii="Arial Narrow" w:hAnsi="Arial Narrow" w:cs="Arial"/>
                <w:sz w:val="24"/>
                <w:szCs w:val="24"/>
                <w:lang w:val="en-US"/>
              </w:rPr>
              <w:t xml:space="preserve"> principle</w:t>
            </w:r>
            <w:r>
              <w:rPr>
                <w:rFonts w:ascii="Arial Narrow" w:hAnsi="Arial Narrow" w:cs="Arial"/>
                <w:sz w:val="24"/>
                <w:szCs w:val="24"/>
                <w:lang w:val="en-US"/>
              </w:rPr>
              <w:t>s</w:t>
            </w:r>
            <w:r w:rsidRPr="00FE7667">
              <w:rPr>
                <w:rFonts w:ascii="Arial Narrow" w:hAnsi="Arial Narrow" w:cs="Arial"/>
                <w:sz w:val="24"/>
                <w:szCs w:val="24"/>
                <w:lang w:val="en-US"/>
              </w:rPr>
              <w:t xml:space="preserve"> at para 47: </w:t>
            </w:r>
          </w:p>
          <w:p w:rsidR="00CE5713" w:rsidRPr="00DC006A" w:rsidRDefault="00390CE6" w:rsidP="00F82492">
            <w:pPr>
              <w:pStyle w:val="ListParagraph"/>
              <w:spacing w:line="360" w:lineRule="auto"/>
              <w:jc w:val="both"/>
              <w:rPr>
                <w:rFonts w:ascii="Arial Narrow" w:hAnsi="Arial Narrow" w:cs="Arial"/>
                <w:lang w:val="en-US"/>
              </w:rPr>
            </w:pPr>
            <w:r>
              <w:rPr>
                <w:rFonts w:ascii="Arial Narrow" w:hAnsi="Arial Narrow" w:cs="Arial"/>
                <w:lang w:val="en-US"/>
              </w:rPr>
              <w:t>‘</w:t>
            </w:r>
            <w:r w:rsidR="00CE5713" w:rsidRPr="00DC006A">
              <w:rPr>
                <w:rFonts w:ascii="Arial Narrow" w:hAnsi="Arial Narrow" w:cs="Arial"/>
                <w:lang w:val="en-US"/>
              </w:rPr>
              <w:t>However as regards section 6, th</w:t>
            </w:r>
            <w:r w:rsidR="00CE5713">
              <w:rPr>
                <w:rFonts w:ascii="Arial Narrow" w:hAnsi="Arial Narrow" w:cs="Arial"/>
                <w:lang w:val="en-US"/>
              </w:rPr>
              <w:t>e author of the predicate offenc</w:t>
            </w:r>
            <w:r w:rsidR="00CE5713" w:rsidRPr="00DC006A">
              <w:rPr>
                <w:rFonts w:ascii="Arial Narrow" w:hAnsi="Arial Narrow" w:cs="Arial"/>
                <w:lang w:val="en-US"/>
              </w:rPr>
              <w:t>e and the money-launderer cannot be t</w:t>
            </w:r>
            <w:r w:rsidR="00CE5713">
              <w:rPr>
                <w:rFonts w:ascii="Arial Narrow" w:hAnsi="Arial Narrow" w:cs="Arial"/>
                <w:lang w:val="en-US"/>
              </w:rPr>
              <w:t>he same person. Though an offenc</w:t>
            </w:r>
            <w:r w:rsidR="00CE5713" w:rsidRPr="00DC006A">
              <w:rPr>
                <w:rFonts w:ascii="Arial Narrow" w:hAnsi="Arial Narrow" w:cs="Arial"/>
                <w:lang w:val="en-US"/>
              </w:rPr>
              <w:t>e of money laundering is equally created under section 6, it only applies to a person other than the on</w:t>
            </w:r>
            <w:bookmarkStart w:id="0" w:name="_GoBack"/>
            <w:bookmarkEnd w:id="0"/>
            <w:r w:rsidR="00CE5713" w:rsidRPr="00DC006A">
              <w:rPr>
                <w:rFonts w:ascii="Arial Narrow" w:hAnsi="Arial Narrow" w:cs="Arial"/>
                <w:lang w:val="en-US"/>
              </w:rPr>
              <w:t>e who committed the predica</w:t>
            </w:r>
            <w:r w:rsidR="00CE5713">
              <w:rPr>
                <w:rFonts w:ascii="Arial Narrow" w:hAnsi="Arial Narrow" w:cs="Arial"/>
                <w:lang w:val="en-US"/>
              </w:rPr>
              <w:t>te offenc</w:t>
            </w:r>
            <w:r w:rsidR="00CE5713" w:rsidRPr="00DC006A">
              <w:rPr>
                <w:rFonts w:ascii="Arial Narrow" w:hAnsi="Arial Narrow" w:cs="Arial"/>
                <w:lang w:val="en-US"/>
              </w:rPr>
              <w:t>e. Where the state prosecutes a person under the predicate offen</w:t>
            </w:r>
            <w:r w:rsidR="00CE5713">
              <w:rPr>
                <w:rFonts w:ascii="Arial Narrow" w:hAnsi="Arial Narrow" w:cs="Arial"/>
                <w:lang w:val="en-US"/>
              </w:rPr>
              <w:t>c</w:t>
            </w:r>
            <w:r w:rsidR="00CE5713" w:rsidRPr="00DC006A">
              <w:rPr>
                <w:rFonts w:ascii="Arial Narrow" w:hAnsi="Arial Narrow" w:cs="Arial"/>
                <w:lang w:val="en-US"/>
              </w:rPr>
              <w:t>e and the money laundering offense, this is likely to constitute a duplication of convictions.’</w:t>
            </w:r>
          </w:p>
          <w:p w:rsidR="00CE5713" w:rsidRPr="00DC006A" w:rsidRDefault="00CE5713" w:rsidP="00F82492">
            <w:pPr>
              <w:pStyle w:val="ListParagraph"/>
              <w:rPr>
                <w:rFonts w:ascii="Arial Narrow" w:hAnsi="Arial Narrow" w:cs="Arial"/>
                <w:lang w:val="en-US"/>
              </w:rPr>
            </w:pPr>
          </w:p>
          <w:p w:rsidR="00CE5713" w:rsidRPr="002B12FC" w:rsidRDefault="00CE5713" w:rsidP="00F82492">
            <w:pPr>
              <w:pStyle w:val="ListParagraph"/>
              <w:numPr>
                <w:ilvl w:val="0"/>
                <w:numId w:val="1"/>
              </w:numPr>
              <w:spacing w:line="360" w:lineRule="auto"/>
              <w:jc w:val="both"/>
              <w:rPr>
                <w:rFonts w:ascii="Arial Narrow" w:hAnsi="Arial Narrow" w:cs="Arial"/>
                <w:sz w:val="24"/>
                <w:szCs w:val="24"/>
              </w:rPr>
            </w:pPr>
            <w:r w:rsidRPr="0040535D">
              <w:rPr>
                <w:rFonts w:ascii="Arial Narrow" w:hAnsi="Arial Narrow" w:cs="Arial"/>
                <w:sz w:val="24"/>
                <w:szCs w:val="24"/>
                <w:lang w:val="en-US"/>
              </w:rPr>
              <w:t xml:space="preserve"> </w:t>
            </w:r>
            <w:r>
              <w:rPr>
                <w:rFonts w:ascii="Arial Narrow" w:hAnsi="Arial Narrow" w:cs="Arial"/>
                <w:sz w:val="24"/>
                <w:szCs w:val="24"/>
                <w:lang w:val="en-US"/>
              </w:rPr>
              <w:t xml:space="preserve">In applying this to the matter at hand, it is apparent that the accused persons, being the same persons who committed the predicate offence were wrongly charged. Furthermore, the act of being in possession of N$ 600-00 as proceeds is a consequence of their unlawful act of stealing the sheep which is not sustainable as it amounts to a duplication of convictions. </w:t>
            </w:r>
          </w:p>
          <w:p w:rsidR="00CE5713" w:rsidRPr="002B12FC" w:rsidRDefault="00CE5713" w:rsidP="00F82492">
            <w:pPr>
              <w:pStyle w:val="ListParagraph"/>
              <w:spacing w:line="360" w:lineRule="auto"/>
              <w:jc w:val="both"/>
              <w:rPr>
                <w:rFonts w:ascii="Arial Narrow" w:hAnsi="Arial Narrow" w:cs="Arial"/>
                <w:sz w:val="24"/>
                <w:szCs w:val="24"/>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 </w:t>
            </w:r>
            <w:r w:rsidRPr="002B12FC">
              <w:rPr>
                <w:rFonts w:ascii="Arial Narrow" w:hAnsi="Arial Narrow" w:cs="Arial"/>
                <w:sz w:val="24"/>
                <w:szCs w:val="24"/>
                <w:lang w:val="en-US"/>
              </w:rPr>
              <w:t xml:space="preserve"> Therefore the conviction and sentence </w:t>
            </w:r>
            <w:r>
              <w:rPr>
                <w:rFonts w:ascii="Arial Narrow" w:hAnsi="Arial Narrow" w:cs="Arial"/>
                <w:sz w:val="24"/>
                <w:szCs w:val="24"/>
                <w:lang w:val="en-US"/>
              </w:rPr>
              <w:t xml:space="preserve">in respect of count two stands to be set aside. </w:t>
            </w:r>
          </w:p>
          <w:p w:rsidR="00CE5713" w:rsidRPr="002B12FC" w:rsidRDefault="00CE5713" w:rsidP="00F82492">
            <w:pPr>
              <w:pStyle w:val="ListParagraph"/>
              <w:rPr>
                <w:rFonts w:ascii="Arial Narrow" w:hAnsi="Arial Narrow" w:cs="Arial"/>
                <w:sz w:val="24"/>
                <w:szCs w:val="24"/>
                <w:lang w:val="en-US"/>
              </w:rPr>
            </w:pPr>
          </w:p>
          <w:p w:rsidR="00CE5713"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In conclusion an aspect that needs to be addressed is the careless manner in which the clerk of court mistakenly filed the magistrate’s reply dated 19 February 2020 instead of forwarding it to the High Court. It appears that at some point after the matter was sent on review during November 2019, the magistrate was transferred to another station and forwarded her reply to the District Court of Gobabis from where the matter emanated. Suffice it to say, had the reviewing judge’s chamber not followed on </w:t>
            </w:r>
            <w:r>
              <w:rPr>
                <w:rFonts w:ascii="Arial Narrow" w:hAnsi="Arial Narrow" w:cs="Arial"/>
                <w:sz w:val="24"/>
                <w:szCs w:val="24"/>
                <w:lang w:val="en-US"/>
              </w:rPr>
              <w:lastRenderedPageBreak/>
              <w:t xml:space="preserve">the query, the matter may have slipped through the cracks resulting in the accused remaining in prison for the term imposed on count 2.  The Director of Lower Courts is directed to address anomalies such this, which may result in grave consequence for the affected accused. </w:t>
            </w:r>
          </w:p>
          <w:p w:rsidR="00CE5713" w:rsidRDefault="00CE5713" w:rsidP="00F82492">
            <w:pPr>
              <w:pStyle w:val="ListParagraph"/>
              <w:rPr>
                <w:rFonts w:ascii="Arial Narrow" w:hAnsi="Arial Narrow" w:cs="Arial"/>
                <w:sz w:val="24"/>
                <w:szCs w:val="24"/>
                <w:lang w:val="en-US"/>
              </w:rPr>
            </w:pPr>
          </w:p>
          <w:p w:rsidR="00CE5713" w:rsidRDefault="00CE5713" w:rsidP="00F82492">
            <w:pPr>
              <w:pStyle w:val="ListParagraph"/>
              <w:rPr>
                <w:rFonts w:ascii="Arial Narrow" w:hAnsi="Arial Narrow" w:cs="Arial"/>
                <w:sz w:val="24"/>
                <w:szCs w:val="24"/>
                <w:lang w:val="en-US"/>
              </w:rPr>
            </w:pPr>
          </w:p>
          <w:p w:rsidR="00CE5713" w:rsidRPr="004957CC" w:rsidRDefault="00CE5713" w:rsidP="00F82492">
            <w:pPr>
              <w:pStyle w:val="ListParagraph"/>
              <w:numPr>
                <w:ilvl w:val="0"/>
                <w:numId w:val="1"/>
              </w:numPr>
              <w:spacing w:line="360" w:lineRule="auto"/>
              <w:jc w:val="both"/>
              <w:rPr>
                <w:rFonts w:ascii="Arial Narrow" w:hAnsi="Arial Narrow" w:cs="Arial"/>
                <w:sz w:val="24"/>
                <w:szCs w:val="24"/>
                <w:lang w:val="en-US"/>
              </w:rPr>
            </w:pPr>
            <w:r>
              <w:rPr>
                <w:rFonts w:ascii="Arial Narrow" w:hAnsi="Arial Narrow" w:cs="Arial"/>
                <w:sz w:val="24"/>
                <w:szCs w:val="24"/>
                <w:lang w:val="en-US"/>
              </w:rPr>
              <w:t>In the result the order is as follows:</w:t>
            </w:r>
            <w:r w:rsidRPr="004957CC">
              <w:rPr>
                <w:rFonts w:ascii="Arial Narrow" w:hAnsi="Arial Narrow" w:cs="Arial"/>
                <w:sz w:val="24"/>
                <w:szCs w:val="24"/>
                <w:lang w:val="en-US"/>
              </w:rPr>
              <w:t xml:space="preserve"> </w:t>
            </w:r>
          </w:p>
          <w:p w:rsidR="00CE5713" w:rsidRPr="004957CC" w:rsidRDefault="00CE5713" w:rsidP="00CE5713">
            <w:pPr>
              <w:pStyle w:val="ListParagraph"/>
              <w:numPr>
                <w:ilvl w:val="0"/>
                <w:numId w:val="3"/>
              </w:numPr>
              <w:spacing w:line="360" w:lineRule="auto"/>
              <w:jc w:val="both"/>
              <w:rPr>
                <w:rFonts w:ascii="Arial Narrow" w:hAnsi="Arial Narrow" w:cs="Arial"/>
                <w:sz w:val="24"/>
                <w:szCs w:val="24"/>
                <w:lang w:val="en-US"/>
              </w:rPr>
            </w:pPr>
            <w:r w:rsidRPr="004957CC">
              <w:rPr>
                <w:rFonts w:ascii="Arial Narrow" w:hAnsi="Arial Narrow" w:cs="Arial"/>
                <w:sz w:val="24"/>
                <w:szCs w:val="24"/>
                <w:lang w:val="en-US"/>
              </w:rPr>
              <w:t>The conviction and sentence o</w:t>
            </w:r>
            <w:r>
              <w:rPr>
                <w:rFonts w:ascii="Arial Narrow" w:hAnsi="Arial Narrow" w:cs="Arial"/>
                <w:sz w:val="24"/>
                <w:szCs w:val="24"/>
                <w:lang w:val="en-US"/>
              </w:rPr>
              <w:t xml:space="preserve">f both accused in respect of count 1 are confirmed </w:t>
            </w:r>
          </w:p>
          <w:p w:rsidR="00CE5713" w:rsidRPr="004957CC" w:rsidRDefault="00CE5713" w:rsidP="00CE5713">
            <w:pPr>
              <w:pStyle w:val="ListParagraph"/>
              <w:numPr>
                <w:ilvl w:val="0"/>
                <w:numId w:val="3"/>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The conviction and sentence </w:t>
            </w:r>
            <w:r w:rsidRPr="004957CC">
              <w:rPr>
                <w:rFonts w:ascii="Arial Narrow" w:hAnsi="Arial Narrow" w:cs="Arial"/>
                <w:sz w:val="24"/>
                <w:szCs w:val="24"/>
                <w:lang w:val="en-US"/>
              </w:rPr>
              <w:t xml:space="preserve">of </w:t>
            </w:r>
            <w:r>
              <w:rPr>
                <w:rFonts w:ascii="Arial Narrow" w:hAnsi="Arial Narrow" w:cs="Arial"/>
                <w:sz w:val="24"/>
                <w:szCs w:val="24"/>
                <w:lang w:val="en-US"/>
              </w:rPr>
              <w:t xml:space="preserve">both accused in respect of count 2 are set aside. </w:t>
            </w:r>
          </w:p>
          <w:p w:rsidR="00CE5713" w:rsidRPr="004957CC" w:rsidRDefault="00CE5713" w:rsidP="00F82492">
            <w:pPr>
              <w:spacing w:line="360" w:lineRule="auto"/>
              <w:ind w:left="720"/>
              <w:jc w:val="both"/>
              <w:rPr>
                <w:rFonts w:ascii="Arial Narrow" w:hAnsi="Arial Narrow" w:cs="Arial"/>
                <w:sz w:val="24"/>
                <w:szCs w:val="24"/>
                <w:lang w:val="en-US"/>
              </w:rPr>
            </w:pPr>
          </w:p>
        </w:tc>
      </w:tr>
      <w:tr w:rsidR="00CE5713" w:rsidRPr="001B0FDD" w:rsidTr="00F82492">
        <w:tc>
          <w:tcPr>
            <w:tcW w:w="4770" w:type="dxa"/>
          </w:tcPr>
          <w:p w:rsidR="00CE5713" w:rsidRPr="001B0FDD" w:rsidRDefault="00CE5713" w:rsidP="00F82492">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 </w:t>
            </w:r>
          </w:p>
        </w:tc>
        <w:tc>
          <w:tcPr>
            <w:tcW w:w="4950" w:type="dxa"/>
            <w:gridSpan w:val="2"/>
          </w:tcPr>
          <w:p w:rsidR="00CE5713" w:rsidRPr="001B0FDD" w:rsidRDefault="00CE5713" w:rsidP="00F82492">
            <w:pPr>
              <w:spacing w:line="360" w:lineRule="auto"/>
              <w:jc w:val="center"/>
              <w:rPr>
                <w:rFonts w:ascii="Arial Narrow" w:hAnsi="Arial Narrow" w:cs="Arial"/>
                <w:b/>
                <w:sz w:val="24"/>
                <w:szCs w:val="24"/>
              </w:rPr>
            </w:pPr>
          </w:p>
          <w:p w:rsidR="00CE5713" w:rsidRPr="001B0FDD" w:rsidRDefault="00CE5713" w:rsidP="00F82492">
            <w:pPr>
              <w:spacing w:line="360" w:lineRule="auto"/>
              <w:rPr>
                <w:rFonts w:ascii="Arial Narrow" w:hAnsi="Arial Narrow" w:cs="Arial"/>
                <w:b/>
                <w:sz w:val="24"/>
                <w:szCs w:val="24"/>
              </w:rPr>
            </w:pPr>
          </w:p>
        </w:tc>
      </w:tr>
      <w:tr w:rsidR="00CE5713" w:rsidRPr="001B0FDD" w:rsidTr="00F82492">
        <w:trPr>
          <w:trHeight w:val="827"/>
        </w:trPr>
        <w:tc>
          <w:tcPr>
            <w:tcW w:w="4770" w:type="dxa"/>
          </w:tcPr>
          <w:p w:rsidR="00CE5713" w:rsidRPr="001B0FDD" w:rsidRDefault="00CE5713" w:rsidP="00F82492">
            <w:pPr>
              <w:spacing w:line="360" w:lineRule="auto"/>
              <w:jc w:val="center"/>
              <w:rPr>
                <w:rFonts w:ascii="Arial Narrow" w:hAnsi="Arial Narrow" w:cs="Arial"/>
                <w:b/>
                <w:sz w:val="24"/>
                <w:szCs w:val="24"/>
              </w:rPr>
            </w:pPr>
            <w:r>
              <w:rPr>
                <w:rFonts w:ascii="Arial Narrow" w:hAnsi="Arial Narrow" w:cs="Arial"/>
                <w:b/>
                <w:sz w:val="24"/>
                <w:szCs w:val="24"/>
              </w:rPr>
              <w:t>C CLAASEN</w:t>
            </w:r>
          </w:p>
          <w:p w:rsidR="00CE5713" w:rsidRPr="001B0FDD" w:rsidRDefault="00CE5713" w:rsidP="00F82492">
            <w:pPr>
              <w:spacing w:line="360" w:lineRule="auto"/>
              <w:jc w:val="center"/>
              <w:rPr>
                <w:rFonts w:ascii="Arial Narrow" w:hAnsi="Arial Narrow" w:cs="Arial"/>
                <w:b/>
                <w:sz w:val="24"/>
                <w:szCs w:val="24"/>
              </w:rPr>
            </w:pPr>
            <w:r w:rsidRPr="001B0FDD">
              <w:rPr>
                <w:rFonts w:ascii="Arial Narrow" w:hAnsi="Arial Narrow" w:cs="Arial"/>
                <w:b/>
                <w:sz w:val="24"/>
                <w:szCs w:val="24"/>
              </w:rPr>
              <w:t>JUDGE</w:t>
            </w:r>
          </w:p>
        </w:tc>
        <w:tc>
          <w:tcPr>
            <w:tcW w:w="4950" w:type="dxa"/>
            <w:gridSpan w:val="2"/>
          </w:tcPr>
          <w:p w:rsidR="00CE5713" w:rsidRDefault="00CE5713" w:rsidP="00F82492">
            <w:pPr>
              <w:spacing w:line="360" w:lineRule="auto"/>
              <w:jc w:val="center"/>
              <w:rPr>
                <w:rFonts w:ascii="Arial Narrow" w:hAnsi="Arial Narrow" w:cs="Arial"/>
                <w:b/>
                <w:sz w:val="24"/>
                <w:szCs w:val="24"/>
              </w:rPr>
            </w:pPr>
            <w:r>
              <w:rPr>
                <w:rFonts w:ascii="Arial Narrow" w:hAnsi="Arial Narrow" w:cs="Arial"/>
                <w:b/>
                <w:sz w:val="24"/>
                <w:szCs w:val="24"/>
              </w:rPr>
              <w:t>O S SIBEYA</w:t>
            </w:r>
          </w:p>
          <w:p w:rsidR="00CE5713" w:rsidRPr="001B0FDD" w:rsidRDefault="00CE5713" w:rsidP="00F82492">
            <w:pPr>
              <w:spacing w:line="360" w:lineRule="auto"/>
              <w:jc w:val="center"/>
              <w:rPr>
                <w:rFonts w:ascii="Arial Narrow" w:hAnsi="Arial Narrow" w:cs="Arial"/>
                <w:sz w:val="24"/>
                <w:szCs w:val="24"/>
              </w:rPr>
            </w:pPr>
            <w:r>
              <w:rPr>
                <w:rFonts w:ascii="Arial Narrow" w:hAnsi="Arial Narrow" w:cs="Arial"/>
                <w:b/>
                <w:sz w:val="24"/>
                <w:szCs w:val="24"/>
              </w:rPr>
              <w:t xml:space="preserve">ACTING </w:t>
            </w:r>
            <w:r w:rsidRPr="001B0FDD">
              <w:rPr>
                <w:rFonts w:ascii="Arial Narrow" w:hAnsi="Arial Narrow" w:cs="Arial"/>
                <w:b/>
                <w:sz w:val="24"/>
                <w:szCs w:val="24"/>
              </w:rPr>
              <w:t>JUDGE</w:t>
            </w:r>
          </w:p>
        </w:tc>
      </w:tr>
    </w:tbl>
    <w:p w:rsidR="00CE5713" w:rsidRDefault="00CE5713" w:rsidP="00CE5713"/>
    <w:p w:rsidR="00CE5713" w:rsidRDefault="00CE5713"/>
    <w:p w:rsidR="00CE5713" w:rsidRDefault="00CE5713"/>
    <w:sectPr w:rsidR="00CE57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25" w:rsidRDefault="00D87325" w:rsidP="00CE5713">
      <w:pPr>
        <w:spacing w:after="0" w:line="240" w:lineRule="auto"/>
      </w:pPr>
      <w:r>
        <w:separator/>
      </w:r>
    </w:p>
  </w:endnote>
  <w:endnote w:type="continuationSeparator" w:id="0">
    <w:p w:rsidR="00D87325" w:rsidRDefault="00D87325" w:rsidP="00CE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25" w:rsidRDefault="00D87325" w:rsidP="00CE5713">
      <w:pPr>
        <w:spacing w:after="0" w:line="240" w:lineRule="auto"/>
      </w:pPr>
      <w:r>
        <w:separator/>
      </w:r>
    </w:p>
  </w:footnote>
  <w:footnote w:type="continuationSeparator" w:id="0">
    <w:p w:rsidR="00D87325" w:rsidRDefault="00D87325" w:rsidP="00CE5713">
      <w:pPr>
        <w:spacing w:after="0" w:line="240" w:lineRule="auto"/>
      </w:pPr>
      <w:r>
        <w:continuationSeparator/>
      </w:r>
    </w:p>
  </w:footnote>
  <w:footnote w:id="1">
    <w:p w:rsidR="00CE5713" w:rsidRDefault="00CE5713" w:rsidP="00CE5713">
      <w:pPr>
        <w:pStyle w:val="FootnoteText"/>
      </w:pPr>
      <w:r>
        <w:rPr>
          <w:rStyle w:val="FootnoteReference"/>
        </w:rPr>
        <w:footnoteRef/>
      </w:r>
      <w:r>
        <w:t xml:space="preserve"> CR 86/2019 [2019] NAHCMD 466 (11 November 2019)</w:t>
      </w:r>
      <w:r>
        <w:t>.</w:t>
      </w:r>
    </w:p>
  </w:footnote>
  <w:footnote w:id="2">
    <w:p w:rsidR="00CE5713" w:rsidRDefault="00CE5713" w:rsidP="00CE5713">
      <w:pPr>
        <w:pStyle w:val="FootnoteText"/>
      </w:pPr>
      <w:r>
        <w:rPr>
          <w:rStyle w:val="FootnoteReference"/>
        </w:rPr>
        <w:footnoteRef/>
      </w:r>
      <w:r>
        <w:t xml:space="preserve"> 1991 NR 149 HC.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6CF5"/>
    <w:multiLevelType w:val="hybridMultilevel"/>
    <w:tmpl w:val="672C9092"/>
    <w:lvl w:ilvl="0" w:tplc="8284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A1BC2"/>
    <w:multiLevelType w:val="hybridMultilevel"/>
    <w:tmpl w:val="8C74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C1C09"/>
    <w:multiLevelType w:val="hybridMultilevel"/>
    <w:tmpl w:val="9C5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13"/>
    <w:rsid w:val="00390CE6"/>
    <w:rsid w:val="003B0004"/>
    <w:rsid w:val="00961932"/>
    <w:rsid w:val="00CE5713"/>
    <w:rsid w:val="00D8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13EDC-430F-431B-AEF4-C6121801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71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713"/>
    <w:pPr>
      <w:ind w:left="720"/>
      <w:contextualSpacing/>
    </w:pPr>
  </w:style>
  <w:style w:type="paragraph" w:styleId="FootnoteText">
    <w:name w:val="footnote text"/>
    <w:basedOn w:val="Normal"/>
    <w:link w:val="FootnoteTextChar"/>
    <w:uiPriority w:val="99"/>
    <w:semiHidden/>
    <w:unhideWhenUsed/>
    <w:rsid w:val="00CE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13"/>
    <w:rPr>
      <w:sz w:val="20"/>
      <w:szCs w:val="20"/>
    </w:rPr>
  </w:style>
  <w:style w:type="character" w:styleId="FootnoteReference">
    <w:name w:val="footnote reference"/>
    <w:basedOn w:val="DefaultParagraphFont"/>
    <w:uiPriority w:val="99"/>
    <w:semiHidden/>
    <w:unhideWhenUsed/>
    <w:rsid w:val="00CE5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2020-07-12T18:30:00+00:00</Judgment_x0020_Date>
  </documentManagement>
</p:properties>
</file>

<file path=customXml/itemProps1.xml><?xml version="1.0" encoding="utf-8"?>
<ds:datastoreItem xmlns:ds="http://schemas.openxmlformats.org/officeDocument/2006/customXml" ds:itemID="{B6C2BC42-7123-45D9-B643-6F255D652D87}"/>
</file>

<file path=customXml/itemProps2.xml><?xml version="1.0" encoding="utf-8"?>
<ds:datastoreItem xmlns:ds="http://schemas.openxmlformats.org/officeDocument/2006/customXml" ds:itemID="{5A0E3588-3EB2-42A4-B9B9-AD93C15AF504}"/>
</file>

<file path=customXml/itemProps3.xml><?xml version="1.0" encoding="utf-8"?>
<ds:datastoreItem xmlns:ds="http://schemas.openxmlformats.org/officeDocument/2006/customXml" ds:itemID="{64426DE3-9E87-4C8A-BBE7-0E3E873AE0C5}"/>
</file>

<file path=docProps/app.xml><?xml version="1.0" encoding="utf-8"?>
<Properties xmlns="http://schemas.openxmlformats.org/officeDocument/2006/extended-properties" xmlns:vt="http://schemas.openxmlformats.org/officeDocument/2006/docPropsVTypes">
  <Template>Normal</Template>
  <TotalTime>9</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Bock (CR 44-2020) [2020] NAHCMD 282 (13 July 2020)</dc:title>
  <dc:subject/>
  <dc:creator>Administrator</dc:creator>
  <cp:keywords/>
  <dc:description/>
  <cp:lastModifiedBy>Administrator</cp:lastModifiedBy>
  <cp:revision>2</cp:revision>
  <dcterms:created xsi:type="dcterms:W3CDTF">2020-07-16T13:45:00Z</dcterms:created>
  <dcterms:modified xsi:type="dcterms:W3CDTF">2020-07-16T13:54:00Z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