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7C" w:rsidRPr="009C5F4D" w:rsidRDefault="00A1597C" w:rsidP="00A1597C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GB"/>
        </w:rPr>
      </w:pPr>
      <w:r w:rsidRPr="009C5F4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GB"/>
        </w:rPr>
        <w:t>REPUBLIC OF NAMIBIA</w:t>
      </w:r>
    </w:p>
    <w:p w:rsidR="00A1597C" w:rsidRPr="0037590F" w:rsidRDefault="00A1597C" w:rsidP="00A1597C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04040" w:themeColor="text1" w:themeTint="BF"/>
          <w:lang w:val="en-GB"/>
        </w:rPr>
      </w:pPr>
      <w:r w:rsidRPr="0037590F">
        <w:rPr>
          <w:rFonts w:ascii="Bookman Old Style" w:eastAsia="Times New Roman" w:hAnsi="Bookman Old Style" w:cs="Times New Roman"/>
          <w:noProof/>
          <w:color w:val="404040" w:themeColor="text1" w:themeTint="BF"/>
          <w:sz w:val="24"/>
          <w:szCs w:val="24"/>
          <w:lang w:val="en-US"/>
        </w:rPr>
        <w:drawing>
          <wp:inline distT="0" distB="0" distL="0" distR="0" wp14:anchorId="289D7928" wp14:editId="3C3DB88A">
            <wp:extent cx="809625" cy="819150"/>
            <wp:effectExtent l="0" t="0" r="9525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7C" w:rsidRPr="0037590F" w:rsidRDefault="00A1597C" w:rsidP="00A1597C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04040" w:themeColor="text1" w:themeTint="BF"/>
          <w:lang w:val="en-GB"/>
        </w:rPr>
      </w:pPr>
    </w:p>
    <w:p w:rsidR="00A1597C" w:rsidRPr="009C5F4D" w:rsidRDefault="00A1597C" w:rsidP="00A1597C">
      <w:pPr>
        <w:spacing w:after="0" w:line="360" w:lineRule="auto"/>
        <w:jc w:val="center"/>
        <w:rPr>
          <w:rFonts w:ascii="Arial" w:eastAsia="Times New Roman" w:hAnsi="Arial" w:cs="Arial"/>
          <w:b/>
          <w:color w:val="404040" w:themeColor="text1" w:themeTint="BF"/>
          <w:lang w:val="en-GB"/>
        </w:rPr>
      </w:pPr>
      <w:r w:rsidRPr="009C5F4D">
        <w:rPr>
          <w:rFonts w:ascii="Arial" w:eastAsia="Times New Roman" w:hAnsi="Arial" w:cs="Arial"/>
          <w:b/>
          <w:color w:val="404040" w:themeColor="text1" w:themeTint="BF"/>
          <w:lang w:val="en-GB"/>
        </w:rPr>
        <w:t>IN THE HIGH COURT OF NAMIBIA, MAIN DIVISION, WINDHOEK</w:t>
      </w:r>
    </w:p>
    <w:p w:rsidR="00A1597C" w:rsidRPr="009C5F4D" w:rsidRDefault="00A1597C" w:rsidP="00A1597C">
      <w:pPr>
        <w:spacing w:after="0" w:line="360" w:lineRule="auto"/>
        <w:jc w:val="center"/>
        <w:rPr>
          <w:rFonts w:ascii="Arial" w:eastAsia="Times New Roman" w:hAnsi="Arial" w:cs="Arial"/>
          <w:b/>
          <w:color w:val="404040" w:themeColor="text1" w:themeTint="BF"/>
          <w:lang w:val="en-GB"/>
        </w:rPr>
      </w:pPr>
      <w:r w:rsidRPr="009C5F4D">
        <w:rPr>
          <w:rFonts w:ascii="Arial" w:eastAsia="Times New Roman" w:hAnsi="Arial" w:cs="Arial"/>
          <w:b/>
          <w:color w:val="404040" w:themeColor="text1" w:themeTint="BF"/>
          <w:lang w:val="en-GB"/>
        </w:rPr>
        <w:t>REVIEW JUDGMENT</w:t>
      </w:r>
    </w:p>
    <w:p w:rsidR="009C5F4D" w:rsidRDefault="009C5F4D" w:rsidP="00A1597C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404040" w:themeColor="text1" w:themeTint="BF"/>
          <w:lang w:val="en-GB"/>
        </w:rPr>
      </w:pPr>
    </w:p>
    <w:p w:rsidR="009C5F4D" w:rsidRPr="009C5F4D" w:rsidRDefault="009C5F4D" w:rsidP="00A1597C">
      <w:pPr>
        <w:spacing w:after="0" w:line="360" w:lineRule="auto"/>
        <w:jc w:val="center"/>
        <w:rPr>
          <w:rFonts w:ascii="Arial" w:eastAsia="Times New Roman" w:hAnsi="Arial" w:cs="Arial"/>
          <w:b/>
          <w:color w:val="404040" w:themeColor="text1" w:themeTint="BF"/>
          <w:lang w:val="en-GB"/>
        </w:rPr>
      </w:pPr>
      <w:r w:rsidRPr="009C5F4D">
        <w:rPr>
          <w:rFonts w:ascii="Arial" w:eastAsia="Times New Roman" w:hAnsi="Arial" w:cs="Arial"/>
          <w:b/>
          <w:color w:val="404040" w:themeColor="text1" w:themeTint="BF"/>
          <w:lang w:val="en-GB"/>
        </w:rPr>
        <w:t>“ANNEXURE 11”</w:t>
      </w:r>
    </w:p>
    <w:p w:rsidR="00E34F30" w:rsidRPr="0037590F" w:rsidRDefault="00E34F30" w:rsidP="00A1597C">
      <w:pPr>
        <w:spacing w:after="0" w:line="360" w:lineRule="auto"/>
        <w:jc w:val="center"/>
        <w:rPr>
          <w:rFonts w:ascii="Bookman Old Style" w:eastAsia="Times New Roman" w:hAnsi="Bookman Old Style" w:cs="Times New Roman"/>
          <w:color w:val="404040" w:themeColor="text1" w:themeTint="BF"/>
          <w:lang w:val="en-GB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37590F" w:rsidRPr="0037590F" w:rsidTr="00332372">
        <w:trPr>
          <w:trHeight w:val="744"/>
        </w:trPr>
        <w:tc>
          <w:tcPr>
            <w:tcW w:w="5397" w:type="dxa"/>
            <w:gridSpan w:val="2"/>
          </w:tcPr>
          <w:p w:rsidR="00A1597C" w:rsidRPr="0037590F" w:rsidRDefault="00A1597C" w:rsidP="00A1597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Case Title:</w:t>
            </w:r>
          </w:p>
          <w:p w:rsidR="00A1597C" w:rsidRPr="0037590F" w:rsidRDefault="00A1597C" w:rsidP="00A1597C">
            <w:pPr>
              <w:spacing w:line="360" w:lineRule="auto"/>
              <w:jc w:val="both"/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 xml:space="preserve">The State v </w:t>
            </w:r>
            <w:r w:rsidR="0066015C" w:rsidRPr="0037590F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 xml:space="preserve">Benedictus </w:t>
            </w:r>
            <w:proofErr w:type="spellStart"/>
            <w:r w:rsidR="0066015C" w:rsidRPr="0037590F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>Plaaitjie</w:t>
            </w:r>
            <w:proofErr w:type="spellEnd"/>
          </w:p>
          <w:p w:rsidR="0066015C" w:rsidRPr="0037590F" w:rsidRDefault="0066015C" w:rsidP="00A1597C">
            <w:pPr>
              <w:spacing w:line="360" w:lineRule="auto"/>
              <w:jc w:val="both"/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 xml:space="preserve">The State v Sidney </w:t>
            </w:r>
            <w:proofErr w:type="spellStart"/>
            <w:r w:rsidRPr="0037590F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>Kahure</w:t>
            </w:r>
            <w:proofErr w:type="spellEnd"/>
            <w:r w:rsidRPr="0037590F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="00B754B8" w:rsidRPr="0037590F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 xml:space="preserve">and Eduard </w:t>
            </w:r>
            <w:proofErr w:type="spellStart"/>
            <w:r w:rsidR="00B754B8" w:rsidRPr="0037590F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>Hangue</w:t>
            </w:r>
            <w:proofErr w:type="spellEnd"/>
          </w:p>
          <w:p w:rsidR="00A1597C" w:rsidRPr="0037590F" w:rsidRDefault="00A1597C" w:rsidP="00A1597C">
            <w:pPr>
              <w:spacing w:line="360" w:lineRule="auto"/>
              <w:jc w:val="both"/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23" w:type="dxa"/>
          </w:tcPr>
          <w:p w:rsidR="00A1597C" w:rsidRPr="0037590F" w:rsidRDefault="00A1597C" w:rsidP="00A1597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Case No:</w:t>
            </w:r>
          </w:p>
          <w:p w:rsidR="00D420B7" w:rsidRPr="0037590F" w:rsidRDefault="00D420B7" w:rsidP="00A1597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</w:p>
          <w:p w:rsidR="00A1597C" w:rsidRPr="0037590F" w:rsidRDefault="00292716" w:rsidP="00A1597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CR 58/2020</w:t>
            </w:r>
          </w:p>
        </w:tc>
      </w:tr>
      <w:tr w:rsidR="0037590F" w:rsidRPr="0037590F" w:rsidTr="00332372">
        <w:trPr>
          <w:trHeight w:val="844"/>
        </w:trPr>
        <w:tc>
          <w:tcPr>
            <w:tcW w:w="5397" w:type="dxa"/>
            <w:gridSpan w:val="2"/>
          </w:tcPr>
          <w:p w:rsidR="00A1597C" w:rsidRPr="0037590F" w:rsidRDefault="00A1597C" w:rsidP="00A1597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High Court MD Review No:</w:t>
            </w:r>
          </w:p>
          <w:p w:rsidR="00A1597C" w:rsidRPr="0037590F" w:rsidRDefault="00A1597C" w:rsidP="00A1597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8</w:t>
            </w:r>
            <w:r w:rsidR="00D420B7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63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/2020</w:t>
            </w:r>
          </w:p>
          <w:p w:rsidR="0066015C" w:rsidRPr="0037590F" w:rsidRDefault="00D420B7" w:rsidP="00A1597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862</w:t>
            </w:r>
            <w:r w:rsidR="0066015C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/2020</w:t>
            </w:r>
          </w:p>
          <w:p w:rsidR="00E34F30" w:rsidRPr="0037590F" w:rsidRDefault="00E34F30" w:rsidP="00A1597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23" w:type="dxa"/>
          </w:tcPr>
          <w:p w:rsidR="00A1597C" w:rsidRPr="0037590F" w:rsidRDefault="00A1597C" w:rsidP="00A1597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Division of Court:</w:t>
            </w:r>
          </w:p>
          <w:p w:rsidR="00E34F30" w:rsidRPr="0037590F" w:rsidRDefault="00E34F30" w:rsidP="00A1597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</w:p>
          <w:p w:rsidR="00A1597C" w:rsidRPr="0037590F" w:rsidRDefault="00A1597C" w:rsidP="00A1597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Main Division</w:t>
            </w:r>
          </w:p>
        </w:tc>
      </w:tr>
      <w:tr w:rsidR="0037590F" w:rsidRPr="0037590F" w:rsidTr="00332372">
        <w:trPr>
          <w:trHeight w:val="1662"/>
        </w:trPr>
        <w:tc>
          <w:tcPr>
            <w:tcW w:w="5397" w:type="dxa"/>
            <w:gridSpan w:val="2"/>
          </w:tcPr>
          <w:p w:rsidR="00D83289" w:rsidRDefault="00A1597C" w:rsidP="00A1597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Heard before:</w:t>
            </w:r>
          </w:p>
          <w:p w:rsidR="00A1597C" w:rsidRPr="0037590F" w:rsidRDefault="00A1597C" w:rsidP="00A1597C">
            <w:pPr>
              <w:spacing w:line="360" w:lineRule="auto"/>
              <w:jc w:val="both"/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Judge </w:t>
            </w:r>
            <w:proofErr w:type="spellStart"/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Claasen</w:t>
            </w:r>
            <w:proofErr w:type="spellEnd"/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37590F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>et</w:t>
            </w:r>
          </w:p>
          <w:p w:rsidR="00E34F30" w:rsidRPr="0037590F" w:rsidRDefault="00E34F30" w:rsidP="0066015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Judge </w:t>
            </w:r>
            <w:r w:rsidR="0066015C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Parker </w:t>
            </w:r>
          </w:p>
        </w:tc>
        <w:tc>
          <w:tcPr>
            <w:tcW w:w="4323" w:type="dxa"/>
          </w:tcPr>
          <w:p w:rsidR="00A1597C" w:rsidRPr="0037590F" w:rsidRDefault="00A1597C" w:rsidP="00A1597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Delivered on:</w:t>
            </w:r>
          </w:p>
          <w:p w:rsidR="00A1597C" w:rsidRPr="0037590F" w:rsidRDefault="00A1597C" w:rsidP="00A1597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</w:p>
          <w:p w:rsidR="00E34F30" w:rsidRPr="0037590F" w:rsidRDefault="003F3591" w:rsidP="00D83289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18</w:t>
            </w:r>
            <w:r w:rsidR="009C5F4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66015C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August 2020</w:t>
            </w:r>
          </w:p>
        </w:tc>
      </w:tr>
      <w:tr w:rsidR="0037590F" w:rsidRPr="0037590F" w:rsidTr="00332372">
        <w:tc>
          <w:tcPr>
            <w:tcW w:w="9720" w:type="dxa"/>
            <w:gridSpan w:val="3"/>
          </w:tcPr>
          <w:p w:rsidR="00E34F30" w:rsidRPr="0037590F" w:rsidRDefault="00E34F30" w:rsidP="00A1597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</w:pPr>
          </w:p>
          <w:p w:rsidR="00A1597C" w:rsidRPr="0037590F" w:rsidRDefault="00A1597C" w:rsidP="00A1597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 xml:space="preserve">Neutral citation: </w:t>
            </w:r>
            <w:r w:rsidRPr="0037590F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 xml:space="preserve">S v </w:t>
            </w:r>
            <w:proofErr w:type="spellStart"/>
            <w:r w:rsidR="0066015C" w:rsidRPr="0037590F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>Plaaitjie</w:t>
            </w:r>
            <w:proofErr w:type="spellEnd"/>
            <w:r w:rsidRPr="0037590F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(CR</w:t>
            </w:r>
            <w:r w:rsidR="00E34F30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292716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58/2020</w:t>
            </w:r>
            <w:r w:rsidR="00603073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)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[2020] NAHCMD</w:t>
            </w:r>
            <w:r w:rsidR="00947C7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131036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362</w:t>
            </w:r>
            <w:r w:rsidR="00947C7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(</w:t>
            </w:r>
            <w:r w:rsidR="00D83289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1</w:t>
            </w:r>
            <w:r w:rsidR="00947C7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8</w:t>
            </w:r>
            <w:r w:rsidR="00D83289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66015C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August 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2020)</w:t>
            </w:r>
            <w:bookmarkStart w:id="0" w:name="_GoBack"/>
            <w:bookmarkEnd w:id="0"/>
          </w:p>
          <w:p w:rsidR="00A1597C" w:rsidRPr="0037590F" w:rsidRDefault="00A1597C" w:rsidP="00A1597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7590F" w:rsidRPr="0037590F" w:rsidTr="00332372">
        <w:tc>
          <w:tcPr>
            <w:tcW w:w="9720" w:type="dxa"/>
            <w:gridSpan w:val="3"/>
          </w:tcPr>
          <w:p w:rsidR="00A1597C" w:rsidRPr="0037590F" w:rsidRDefault="00A1597C" w:rsidP="00A1597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The order:</w:t>
            </w:r>
          </w:p>
          <w:p w:rsidR="00E34F30" w:rsidRPr="0037590F" w:rsidRDefault="0066015C" w:rsidP="0066015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            </w:t>
            </w:r>
            <w:r w:rsidR="00B754B8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In both cases the respective sentences are set aside and 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replaced as follows:</w:t>
            </w:r>
          </w:p>
          <w:p w:rsidR="0066015C" w:rsidRPr="006E4947" w:rsidRDefault="0066015C" w:rsidP="0066015C">
            <w:pPr>
              <w:spacing w:line="360" w:lineRule="auto"/>
              <w:jc w:val="both"/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</w:pPr>
            <w:r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 xml:space="preserve">             The State v Benedictus </w:t>
            </w:r>
            <w:proofErr w:type="spellStart"/>
            <w:r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>Plaaitjie</w:t>
            </w:r>
            <w:proofErr w:type="spellEnd"/>
            <w:r w:rsidR="00B754B8"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>:</w:t>
            </w:r>
          </w:p>
          <w:p w:rsidR="00B754B8" w:rsidRPr="0037590F" w:rsidRDefault="00B754B8" w:rsidP="0066015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            Count 1: Accused to pay a fine of N$ 1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500 or 4 months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’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imprisonment</w:t>
            </w:r>
            <w:r w:rsidR="00D420B7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.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B754B8" w:rsidRPr="0037590F" w:rsidRDefault="00B754B8" w:rsidP="0066015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            Count 2: Accused to pay a fine of N$ 1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000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or 3 months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’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imprisonment</w:t>
            </w:r>
            <w:r w:rsidR="00D420B7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.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CF220A" w:rsidRPr="0037590F" w:rsidRDefault="00CF220A" w:rsidP="0066015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          </w:t>
            </w:r>
            <w:r w:rsidR="00913C40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  The sentences are antedated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to </w:t>
            </w:r>
            <w:r w:rsidR="00913C40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13 May 2020.</w:t>
            </w:r>
          </w:p>
          <w:p w:rsidR="00B754B8" w:rsidRPr="0037590F" w:rsidRDefault="00B754B8" w:rsidP="0066015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           </w:t>
            </w:r>
          </w:p>
          <w:p w:rsidR="00B754B8" w:rsidRPr="006E4947" w:rsidRDefault="00B754B8" w:rsidP="0066015C">
            <w:pPr>
              <w:spacing w:line="360" w:lineRule="auto"/>
              <w:jc w:val="both"/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</w:pPr>
            <w:r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 xml:space="preserve">             The State v Sidney </w:t>
            </w:r>
            <w:proofErr w:type="spellStart"/>
            <w:r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>Kahure</w:t>
            </w:r>
            <w:proofErr w:type="spellEnd"/>
            <w:r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 xml:space="preserve"> and Eduard </w:t>
            </w:r>
            <w:proofErr w:type="spellStart"/>
            <w:r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>Hangue</w:t>
            </w:r>
            <w:proofErr w:type="spellEnd"/>
            <w:r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>:</w:t>
            </w:r>
          </w:p>
          <w:p w:rsidR="00CF220A" w:rsidRPr="0037590F" w:rsidRDefault="00B754B8" w:rsidP="0066015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             Each accused to pay a fine of N$ 1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500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or 4 months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’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imprisonment.</w:t>
            </w:r>
            <w:r w:rsidR="00CF220A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    </w:t>
            </w:r>
          </w:p>
          <w:p w:rsidR="00B754B8" w:rsidRPr="0037590F" w:rsidRDefault="00D420B7" w:rsidP="0066015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lastRenderedPageBreak/>
              <w:t xml:space="preserve">              </w:t>
            </w:r>
            <w:r w:rsidR="00913C40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The sentences are antedated to 15 May 2020.</w:t>
            </w:r>
          </w:p>
          <w:p w:rsidR="00A1597C" w:rsidRPr="0037590F" w:rsidRDefault="00A1597C" w:rsidP="0066015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7590F" w:rsidRPr="0037590F" w:rsidTr="00332372">
        <w:tc>
          <w:tcPr>
            <w:tcW w:w="9720" w:type="dxa"/>
            <w:gridSpan w:val="3"/>
          </w:tcPr>
          <w:p w:rsidR="00A1597C" w:rsidRPr="0037590F" w:rsidRDefault="00A1597C" w:rsidP="00A1597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lastRenderedPageBreak/>
              <w:t>Reasons for order:</w:t>
            </w:r>
          </w:p>
          <w:p w:rsidR="00E34F30" w:rsidRPr="0037590F" w:rsidRDefault="00E34F30" w:rsidP="00A1597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7590F" w:rsidRPr="0037590F" w:rsidTr="00332372">
        <w:tc>
          <w:tcPr>
            <w:tcW w:w="9720" w:type="dxa"/>
            <w:gridSpan w:val="3"/>
          </w:tcPr>
          <w:p w:rsidR="00A1597C" w:rsidRPr="0037590F" w:rsidRDefault="006C2B83" w:rsidP="00A1597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="00A1597C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Claasen</w:t>
            </w:r>
            <w:proofErr w:type="spellEnd"/>
            <w:r w:rsidR="00A1597C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584F67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J</w:t>
            </w:r>
            <w:r w:rsidR="00E34F30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( concurring </w:t>
            </w:r>
            <w:r w:rsidR="009C5F4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Parker J</w:t>
            </w:r>
            <w:r w:rsidR="00E34F30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)</w:t>
            </w:r>
          </w:p>
          <w:p w:rsidR="00784E5B" w:rsidRPr="0037590F" w:rsidRDefault="00784E5B" w:rsidP="00A1597C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</w:p>
          <w:p w:rsidR="00CF220A" w:rsidRPr="0037590F" w:rsidRDefault="00B754B8" w:rsidP="00440FB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Both the matters were brought before the High Court on automatic review in terms of s 302(1) of the Criminal Procedure Act 51 of 1977 (the CPA).</w:t>
            </w:r>
            <w:r w:rsidR="00CF220A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I deal with them together as it turns on the same principle 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of law </w:t>
            </w:r>
            <w:r w:rsidR="00CF220A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and emanate from the same court.</w:t>
            </w:r>
          </w:p>
          <w:p w:rsidR="00CF220A" w:rsidRPr="0037590F" w:rsidRDefault="00CF220A" w:rsidP="00CF220A">
            <w:pPr>
              <w:spacing w:line="360" w:lineRule="auto"/>
              <w:ind w:left="720"/>
              <w:contextualSpacing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CD33BF" w:rsidRPr="00DE7BEC" w:rsidRDefault="00CF220A" w:rsidP="00EC716C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</w:pPr>
            <w:r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In </w:t>
            </w:r>
            <w:r w:rsidR="009C5F4D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the first matter </w:t>
            </w:r>
            <w:r w:rsidR="00DE7BEC"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  <w:lang w:val="en-GB"/>
              </w:rPr>
              <w:t xml:space="preserve">S v </w:t>
            </w:r>
            <w:proofErr w:type="spellStart"/>
            <w:r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  <w:lang w:val="en-GB"/>
              </w:rPr>
              <w:t>Plaaitjie</w:t>
            </w:r>
            <w:proofErr w:type="spellEnd"/>
            <w:r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the accused faced two charges in the District C</w:t>
            </w:r>
            <w:r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ourt of </w:t>
            </w:r>
            <w:proofErr w:type="spellStart"/>
            <w:r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Keetman</w:t>
            </w:r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s</w:t>
            </w:r>
            <w:r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hoop</w:t>
            </w:r>
            <w:proofErr w:type="spellEnd"/>
            <w:r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. Count </w:t>
            </w:r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1 comprised of a c</w:t>
            </w:r>
            <w:r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harge of theft of a jack, a wheel spanner and a spanner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. T</w:t>
            </w:r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he value </w:t>
            </w:r>
            <w:r w:rsidR="00DE7BEC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of the items was</w:t>
            </w:r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not </w:t>
            </w:r>
            <w:r w:rsidR="00DE7BEC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stated</w:t>
            </w:r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in the charge 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sheet.</w:t>
            </w:r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Count 2 was a charge of trespassing on land or a building situated at the Magistrates Court Offices at </w:t>
            </w:r>
            <w:proofErr w:type="spellStart"/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Keetmanshoop</w:t>
            </w:r>
            <w:proofErr w:type="spellEnd"/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, without permission from the owner or lawful occupier. </w:t>
            </w:r>
            <w:r w:rsid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T</w:t>
            </w:r>
            <w:r w:rsidR="00A13DF3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he accused decided to plead</w:t>
            </w:r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r w:rsidR="006C2B83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guilty </w:t>
            </w:r>
            <w:r w:rsidR="00A13DF3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on both counts </w:t>
            </w:r>
            <w:r w:rsid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at his first appearance at court. He </w:t>
            </w:r>
            <w:r w:rsidR="00A13DF3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was convicted </w:t>
            </w:r>
            <w:r w:rsid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on his own admissions </w:t>
            </w:r>
            <w:r w:rsidR="009C5F4D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in terms of </w:t>
            </w:r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s 112(1</w:t>
            </w:r>
            <w:proofErr w:type="gramStart"/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)(</w:t>
            </w:r>
            <w:proofErr w:type="gramEnd"/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a) of the CPA.  In respect of count 1 </w:t>
            </w:r>
            <w:r w:rsid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he was </w:t>
            </w:r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sentenced to a fine of N$ 1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500 or 12 months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’</w:t>
            </w:r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imprisonment and in respect of count 2 the sentence was a fine of N$ 1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000 or 12 months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’</w:t>
            </w:r>
            <w:r w:rsidR="00244829" w:rsidRPr="00DE7B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imprisonment. </w:t>
            </w:r>
          </w:p>
          <w:p w:rsidR="00DE7BEC" w:rsidRDefault="00DE7BEC" w:rsidP="00DE7BEC">
            <w:pPr>
              <w:pStyle w:val="ListParagrap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A84996" w:rsidRPr="0037590F" w:rsidRDefault="00DE7BEC" w:rsidP="006D6AB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In the second matter of </w:t>
            </w:r>
            <w:r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  <w:lang w:val="en-GB"/>
              </w:rPr>
              <w:t xml:space="preserve">S v </w:t>
            </w:r>
            <w:proofErr w:type="spellStart"/>
            <w:r w:rsidR="00D420B7"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  <w:lang w:val="en-GB"/>
              </w:rPr>
              <w:t>Kahure</w:t>
            </w:r>
            <w:proofErr w:type="spellEnd"/>
            <w:r w:rsidR="00D420B7"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  <w:lang w:val="en-GB"/>
              </w:rPr>
              <w:t xml:space="preserve"> and</w:t>
            </w:r>
            <w:r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r w:rsid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  <w:lang w:val="en-GB"/>
              </w:rPr>
              <w:t>another</w:t>
            </w:r>
            <w:r w:rsidR="009C5F4D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r w:rsidR="00D420B7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charge was that of possession </w:t>
            </w:r>
            <w:r w:rsidR="00D420B7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of a dependence producing drug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,</w:t>
            </w:r>
            <w:r w:rsidR="00D420B7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to wit</w:t>
            </w:r>
            <w:r w:rsidR="0039723A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:</w:t>
            </w:r>
            <w:r w:rsidR="00D420B7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4 bales of cannabis to the value of N$ 70. 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At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the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ir 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first appearance 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the accused </w:t>
            </w:r>
            <w:r w:rsidR="0039723A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persons 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pleaded guilty and we</w:t>
            </w:r>
            <w:r w:rsidR="00A7467D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re </w:t>
            </w:r>
            <w:r w:rsidR="00D420B7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convicted in terms of s 112(1</w:t>
            </w:r>
            <w:proofErr w:type="gramStart"/>
            <w:r w:rsidR="00D420B7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)(</w:t>
            </w:r>
            <w:proofErr w:type="gramEnd"/>
            <w:r w:rsidR="00D420B7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a) of the CPA.  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Each accused were given a fine of</w:t>
            </w:r>
            <w:r w:rsidR="00A84996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N$ </w:t>
            </w:r>
            <w:r w:rsidR="00D420B7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1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r w:rsidR="00D420B7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000 or </w:t>
            </w:r>
            <w:r w:rsidR="00A84996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9 months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’</w:t>
            </w:r>
            <w:r w:rsidR="00A84996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 xml:space="preserve"> imprisonment</w:t>
            </w:r>
            <w:r w:rsidR="00A7467D"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GB"/>
              </w:rPr>
              <w:t>.</w:t>
            </w:r>
          </w:p>
          <w:p w:rsidR="00A7467D" w:rsidRPr="0037590F" w:rsidRDefault="00A7467D" w:rsidP="00A7467D">
            <w:pPr>
              <w:pStyle w:val="ListParagrap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CD33BF" w:rsidRDefault="006E63B7" w:rsidP="00A00041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A query that pertains to sentencing was addressed to the magistrate in each of the matters. </w:t>
            </w:r>
            <w:r w:rsidR="0039723A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The question was posed along the line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s</w:t>
            </w:r>
            <w:r w:rsidR="0039723A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 that considering 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that the</w:t>
            </w:r>
            <w:r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 accused </w:t>
            </w:r>
            <w:r w:rsidR="00A13DF3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were convicted in terms of 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             s </w:t>
            </w:r>
            <w:r w:rsidR="00A13DF3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112(1</w:t>
            </w:r>
            <w:proofErr w:type="gramStart"/>
            <w:r w:rsidR="00A13DF3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)(</w:t>
            </w:r>
            <w:proofErr w:type="gramEnd"/>
            <w:r w:rsidR="00A13DF3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a) of the CPA whether </w:t>
            </w:r>
            <w:r w:rsidR="006E494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the </w:t>
            </w:r>
            <w:r w:rsidR="0039723A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respective terms of </w:t>
            </w:r>
            <w:r w:rsidR="00A13DF3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imprisonment were not disproportionately heavy</w:t>
            </w:r>
            <w:r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?</w:t>
            </w:r>
            <w:r w:rsidR="00A13DF3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</w:p>
          <w:p w:rsidR="006E63B7" w:rsidRDefault="006E63B7" w:rsidP="006E63B7">
            <w:pPr>
              <w:pStyle w:val="ListParagrap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637265" w:rsidRDefault="003B10E6" w:rsidP="00F3409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</w:pPr>
            <w:r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In </w:t>
            </w:r>
            <w:r w:rsidR="00A13DF3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her replies the magistrate </w:t>
            </w:r>
            <w:r w:rsidR="006E63B7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stated that she considered the offen</w:t>
            </w:r>
            <w:r w:rsidR="00E61B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c</w:t>
            </w:r>
            <w:r w:rsidR="006E63B7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e, the personal circumstances and interest of the community and</w:t>
            </w:r>
            <w:r w:rsidR="00E61B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 concluded th</w:t>
            </w:r>
            <w:r w:rsidR="006E63B7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at the imprisonment terms were suitable.  </w:t>
            </w:r>
            <w:r w:rsidR="00A7467D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S</w:t>
            </w:r>
            <w:r w:rsidR="00A13DF3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he </w:t>
            </w:r>
            <w:r w:rsidR="00A7467D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pointed out that s 112(1</w:t>
            </w:r>
            <w:proofErr w:type="gramStart"/>
            <w:r w:rsidR="00A7467D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)(</w:t>
            </w:r>
            <w:proofErr w:type="gramEnd"/>
            <w:r w:rsidR="00A7467D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a) of the CPA does not limit </w:t>
            </w:r>
            <w:r w:rsidR="00E61B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the powers of a </w:t>
            </w:r>
            <w:r w:rsidR="00A7467D" w:rsidRPr="006E63B7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court in respect of the custodial part of a sentence. </w:t>
            </w:r>
          </w:p>
          <w:p w:rsidR="00E46142" w:rsidRPr="00E46142" w:rsidRDefault="00E46142" w:rsidP="00E46142">
            <w:pPr>
              <w:pStyle w:val="ListParagrap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F6125B" w:rsidRPr="00E61BB7" w:rsidRDefault="0084215B" w:rsidP="006F3221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 Narrow" w:hAnsi="Arial Narrow" w:cs="Arial"/>
                <w:color w:val="404040" w:themeColor="text1" w:themeTint="BF"/>
              </w:rPr>
            </w:pPr>
            <w:r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lastRenderedPageBreak/>
              <w:t xml:space="preserve">The </w:t>
            </w:r>
            <w:r w:rsidR="000331D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court </w:t>
            </w:r>
            <w:r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>rightfully referred to t</w:t>
            </w:r>
            <w:r w:rsidR="00913C4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he </w:t>
            </w:r>
            <w:r w:rsidR="002F4B78" w:rsidRPr="00E61BB7">
              <w:rPr>
                <w:rFonts w:ascii="Arial Narrow" w:hAnsi="Arial Narrow" w:cs="Arial"/>
                <w:i/>
                <w:color w:val="404040" w:themeColor="text1" w:themeTint="BF"/>
                <w:lang w:val="en-ZW"/>
              </w:rPr>
              <w:t>Zinn</w:t>
            </w:r>
            <w:r w:rsidR="002F4B78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 </w:t>
            </w:r>
            <w:r w:rsidR="00F6125B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>principles</w:t>
            </w:r>
            <w:r w:rsidR="00E61BB7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 (see </w:t>
            </w:r>
            <w:r w:rsidR="00E61BB7" w:rsidRPr="00E61BB7">
              <w:rPr>
                <w:rFonts w:ascii="Arial Narrow" w:hAnsi="Arial Narrow" w:cs="Arial"/>
                <w:i/>
                <w:color w:val="404040" w:themeColor="text1" w:themeTint="BF"/>
                <w:lang w:val="en-ZW"/>
              </w:rPr>
              <w:t>S v Zinn</w:t>
            </w:r>
            <w:r w:rsidR="00E61BB7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 1969(2) SA 537 (A)</w:t>
            </w:r>
            <w:r w:rsidR="003F3591">
              <w:rPr>
                <w:rFonts w:ascii="Arial Narrow" w:hAnsi="Arial Narrow" w:cs="Arial"/>
                <w:color w:val="404040" w:themeColor="text1" w:themeTint="BF"/>
                <w:lang w:val="en-ZW"/>
              </w:rPr>
              <w:t>)</w:t>
            </w:r>
            <w:r w:rsidR="000331D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 to guide her in sentencing</w:t>
            </w:r>
            <w:r w:rsidR="00E61BB7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. </w:t>
            </w:r>
            <w:r w:rsidR="000331D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>I have no qualm</w:t>
            </w:r>
            <w:r w:rsidR="00E46142">
              <w:rPr>
                <w:rFonts w:ascii="Arial Narrow" w:hAnsi="Arial Narrow" w:cs="Arial"/>
                <w:color w:val="404040" w:themeColor="text1" w:themeTint="BF"/>
                <w:lang w:val="en-ZW"/>
              </w:rPr>
              <w:t>s</w:t>
            </w:r>
            <w:r w:rsidR="000331D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 with the general sentencing discretion </w:t>
            </w:r>
            <w:r w:rsidR="00E46142">
              <w:rPr>
                <w:rFonts w:ascii="Arial Narrow" w:hAnsi="Arial Narrow" w:cs="Arial"/>
                <w:color w:val="404040" w:themeColor="text1" w:themeTint="BF"/>
                <w:lang w:val="en-ZW"/>
              </w:rPr>
              <w:t>of a</w:t>
            </w:r>
            <w:r w:rsidR="000331D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 court. </w:t>
            </w:r>
            <w:r w:rsidR="00AD5862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 </w:t>
            </w:r>
            <w:r w:rsidR="000331D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>She</w:t>
            </w:r>
            <w:r w:rsidR="00E61BB7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>,</w:t>
            </w:r>
            <w:r w:rsidR="000331D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 </w:t>
            </w:r>
            <w:r w:rsidR="00AD5862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>however</w:t>
            </w:r>
            <w:r w:rsidR="00E61BB7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>,</w:t>
            </w:r>
            <w:r w:rsidR="000331D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 </w:t>
            </w:r>
            <w:r w:rsidR="00913C4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appears to </w:t>
            </w:r>
            <w:r w:rsidR="00FC4B4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have missed </w:t>
            </w:r>
            <w:r w:rsidR="00913C4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the </w:t>
            </w:r>
            <w:r w:rsidR="00AD5862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crux of the </w:t>
            </w:r>
            <w:r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>queries</w:t>
            </w:r>
            <w:r w:rsidR="000331D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, which </w:t>
            </w:r>
            <w:r w:rsid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>were</w:t>
            </w:r>
            <w:r w:rsidR="000331D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 about </w:t>
            </w:r>
            <w:r w:rsidR="00913C4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the principle of proportionality between </w:t>
            </w:r>
            <w:r w:rsidR="00AD5862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>a fine and a</w:t>
            </w:r>
            <w:r w:rsidR="00913C4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 custodial sentence and </w:t>
            </w:r>
            <w:r w:rsidR="002F4B78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the </w:t>
            </w:r>
            <w:r w:rsidR="00AD5862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appropriateness of a severe custodial </w:t>
            </w:r>
            <w:r w:rsidR="00F6125B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>sentence for a conviction under s</w:t>
            </w:r>
            <w:r w:rsidR="00913C4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 xml:space="preserve"> 112(1</w:t>
            </w:r>
            <w:proofErr w:type="gramStart"/>
            <w:r w:rsidR="00913C4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>)(</w:t>
            </w:r>
            <w:proofErr w:type="gramEnd"/>
            <w:r w:rsidR="00913C40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>a) of the CPA</w:t>
            </w:r>
            <w:r w:rsidR="00F6125B" w:rsidRPr="00E61BB7">
              <w:rPr>
                <w:rFonts w:ascii="Arial Narrow" w:hAnsi="Arial Narrow" w:cs="Arial"/>
                <w:color w:val="404040" w:themeColor="text1" w:themeTint="BF"/>
                <w:lang w:val="en-ZW"/>
              </w:rPr>
              <w:t>.</w:t>
            </w:r>
          </w:p>
          <w:p w:rsidR="00F6125B" w:rsidRPr="0037590F" w:rsidRDefault="00F6125B" w:rsidP="00F6125B">
            <w:pPr>
              <w:pStyle w:val="ListParagraph"/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</w:pPr>
          </w:p>
          <w:p w:rsidR="000D5F18" w:rsidRPr="0037590F" w:rsidRDefault="002F4B78" w:rsidP="001322BF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 Narrow" w:hAnsi="Arial Narrow" w:cs="Arial"/>
                <w:color w:val="404040" w:themeColor="text1" w:themeTint="BF"/>
              </w:rPr>
            </w:pPr>
            <w:r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The</w:t>
            </w:r>
            <w:r w:rsidR="0084215B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 applicable </w:t>
            </w:r>
            <w:r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legal principles </w:t>
            </w:r>
            <w:r w:rsidR="0084215B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were</w:t>
            </w:r>
            <w:r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 </w:t>
            </w:r>
            <w:r w:rsidR="00FC4B40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articulated </w:t>
            </w:r>
            <w:r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in </w:t>
            </w:r>
            <w:r w:rsidRPr="0037590F">
              <w:rPr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t xml:space="preserve">S v </w:t>
            </w:r>
            <w:proofErr w:type="spellStart"/>
            <w:r w:rsidRPr="0037590F">
              <w:rPr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t>Onesmus</w:t>
            </w:r>
            <w:proofErr w:type="spellEnd"/>
            <w:r w:rsidRPr="0037590F">
              <w:rPr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t xml:space="preserve">, S v </w:t>
            </w:r>
            <w:proofErr w:type="spellStart"/>
            <w:r w:rsidRPr="0037590F">
              <w:rPr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t>Amukoto</w:t>
            </w:r>
            <w:proofErr w:type="spellEnd"/>
            <w:r w:rsidRPr="0037590F">
              <w:rPr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t xml:space="preserve">, S v </w:t>
            </w:r>
            <w:proofErr w:type="spellStart"/>
            <w:r w:rsidRPr="0037590F">
              <w:rPr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t>Shipange</w:t>
            </w:r>
            <w:proofErr w:type="spellEnd"/>
            <w:r w:rsidRPr="0037590F">
              <w:rPr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t>.</w:t>
            </w:r>
            <w:r w:rsidRPr="0037590F">
              <w:rPr>
                <w:rStyle w:val="FootnoteReference"/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footnoteReference w:id="1"/>
            </w:r>
            <w:r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 </w:t>
            </w:r>
            <w:r w:rsid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It </w:t>
            </w:r>
            <w:r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re</w:t>
            </w:r>
            <w:r w:rsidR="00AD5862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-</w:t>
            </w:r>
            <w:r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iterated the renowned principle that </w:t>
            </w:r>
            <w:proofErr w:type="gramStart"/>
            <w:r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s112(</w:t>
            </w:r>
            <w:proofErr w:type="gramEnd"/>
            <w:r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1)(a) of the C</w:t>
            </w:r>
            <w:r w:rsidR="00344817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PA is intended only for cases that are considered minor, trivial or not serious</w:t>
            </w:r>
            <w:r w:rsidR="00FC4B40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. Th</w:t>
            </w:r>
            <w:r w:rsidR="00E61BB7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is case </w:t>
            </w:r>
            <w:r w:rsidR="004B2A88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also </w:t>
            </w:r>
            <w:r w:rsidR="00E61BB7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concerns </w:t>
            </w:r>
            <w:r w:rsidR="00304317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the sentencing regime before the amendment</w:t>
            </w:r>
            <w:r w:rsidR="00FC4B40" w:rsidRPr="0037590F">
              <w:rPr>
                <w:rStyle w:val="FootnoteReference"/>
                <w:rFonts w:ascii="Arial Narrow" w:hAnsi="Arial Narrow" w:cs="Arial"/>
                <w:iCs/>
                <w:color w:val="404040" w:themeColor="text1" w:themeTint="BF"/>
                <w:lang w:val="en-ZW"/>
              </w:rPr>
              <w:footnoteReference w:id="2"/>
            </w:r>
            <w:r w:rsidR="00AD5862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.</w:t>
            </w:r>
            <w:r w:rsidR="0085654A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 Before the amendment, </w:t>
            </w:r>
            <w:r w:rsidR="00AD5862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where an accused was convicted under that provision, he/she was not </w:t>
            </w:r>
            <w:r w:rsidR="00304317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at risk of severe punishment</w:t>
            </w:r>
            <w:r w:rsidR="0037590F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. </w:t>
            </w:r>
            <w:r w:rsidR="000D5F18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That position</w:t>
            </w:r>
            <w:r w:rsidR="00304317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 </w:t>
            </w:r>
            <w:r w:rsidR="0037590F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has now somewhat changed, which nuance is expressed </w:t>
            </w:r>
            <w:r w:rsidR="00304317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at para </w:t>
            </w:r>
            <w:r w:rsidR="000D5F18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8</w:t>
            </w:r>
            <w:r w:rsidR="0037590F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 of the same judgment</w:t>
            </w:r>
            <w:r w:rsidR="000D5F18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: </w:t>
            </w:r>
          </w:p>
          <w:p w:rsidR="009C5F4D" w:rsidRDefault="009C5F4D" w:rsidP="009C5F4D">
            <w:pPr>
              <w:pStyle w:val="ListParagraph"/>
              <w:tabs>
                <w:tab w:val="left" w:pos="2820"/>
              </w:tabs>
              <w:spacing w:line="360" w:lineRule="auto"/>
              <w:jc w:val="both"/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</w:pPr>
          </w:p>
          <w:p w:rsidR="00FC4B40" w:rsidRDefault="009C5F4D" w:rsidP="009C5F4D">
            <w:pPr>
              <w:pStyle w:val="ListParagraph"/>
              <w:tabs>
                <w:tab w:val="left" w:pos="2820"/>
              </w:tabs>
              <w:spacing w:line="360" w:lineRule="auto"/>
              <w:jc w:val="both"/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</w:pPr>
            <w:r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‘</w:t>
            </w:r>
            <w:r w:rsidR="00FC4B40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At present, because of the amendment of s 112 of the Act, this is no longer the case, for the </w:t>
            </w:r>
            <w:r w:rsidR="000D5F18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maximum fine has been increased to N$ 6000-00 This ultimately brought about an increased risk that an accused could now be fined far beyond his means, resulting in him having to serve the alternative of imprisonment; which often are lengthy terms. The reason for this is because of the legal principle that there should be a relation between the fine imposed an</w:t>
            </w:r>
            <w:r w:rsidR="00A14E15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d the alternative imprisonment.’</w:t>
            </w:r>
          </w:p>
          <w:p w:rsidR="0085654A" w:rsidRDefault="0085654A" w:rsidP="006E7626">
            <w:pPr>
              <w:pStyle w:val="ListParagraph"/>
              <w:tabs>
                <w:tab w:val="left" w:pos="2820"/>
              </w:tabs>
              <w:spacing w:line="360" w:lineRule="auto"/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</w:pPr>
          </w:p>
          <w:p w:rsidR="0085654A" w:rsidRPr="00947C7F" w:rsidRDefault="00E61BB7" w:rsidP="0085654A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360" w:lineRule="auto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</w:pPr>
            <w:r w:rsidRPr="00947C7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What was not changed, </w:t>
            </w:r>
            <w:r w:rsidR="002A66D4" w:rsidRPr="00947C7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however</w:t>
            </w:r>
            <w:r w:rsidRPr="00947C7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="002A66D4" w:rsidRPr="00947C7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is the particular </w:t>
            </w:r>
            <w:r w:rsidR="0085654A" w:rsidRPr="00947C7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purpose of s 112(1</w:t>
            </w:r>
            <w:proofErr w:type="gramStart"/>
            <w:r w:rsidR="0085654A" w:rsidRPr="00947C7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)(</w:t>
            </w:r>
            <w:proofErr w:type="gramEnd"/>
            <w:r w:rsidR="0085654A" w:rsidRPr="00947C7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a) of the CPA, namely </w:t>
            </w:r>
            <w:r w:rsidR="002A66D4" w:rsidRPr="00947C7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>t</w:t>
            </w:r>
            <w:r w:rsidRPr="00947C7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hat it concerns </w:t>
            </w:r>
            <w:r w:rsidR="002A66D4" w:rsidRPr="00947C7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 minor criminal </w:t>
            </w:r>
            <w:r w:rsidR="0085654A" w:rsidRPr="00947C7F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n-US"/>
              </w:rPr>
              <w:t xml:space="preserve">offenses. </w:t>
            </w:r>
          </w:p>
          <w:p w:rsidR="00FC4B40" w:rsidRPr="0037590F" w:rsidRDefault="00FC4B40" w:rsidP="00FC4B40">
            <w:pPr>
              <w:pStyle w:val="ListParagraph"/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</w:pPr>
          </w:p>
          <w:p w:rsidR="004D0742" w:rsidRPr="0037590F" w:rsidRDefault="00E61BB7" w:rsidP="00730455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 Narrow" w:hAnsi="Arial Narrow" w:cs="Arial"/>
                <w:color w:val="404040" w:themeColor="text1" w:themeTint="BF"/>
              </w:rPr>
            </w:pPr>
            <w:r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Regarding </w:t>
            </w:r>
            <w:r w:rsidR="00014377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the issue at hand, in </w:t>
            </w:r>
            <w:r w:rsidR="00014377" w:rsidRPr="0037590F">
              <w:rPr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t xml:space="preserve">S v </w:t>
            </w:r>
            <w:proofErr w:type="spellStart"/>
            <w:r w:rsidR="00014377" w:rsidRPr="0037590F">
              <w:rPr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t>Nuyumba</w:t>
            </w:r>
            <w:proofErr w:type="spellEnd"/>
            <w:r w:rsidR="004D0742" w:rsidRPr="0037590F">
              <w:rPr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t>,</w:t>
            </w:r>
            <w:r w:rsidR="004D0742" w:rsidRPr="0037590F">
              <w:rPr>
                <w:rStyle w:val="FootnoteReference"/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footnoteReference w:id="3"/>
            </w:r>
            <w:r w:rsidR="004D0742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 it was held that excessive fines or lengthy custodial sentences are not appropriate </w:t>
            </w:r>
            <w:r w:rsidR="00014377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for convictions </w:t>
            </w:r>
            <w:r w:rsidR="004D0742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under s 112(1</w:t>
            </w:r>
            <w:proofErr w:type="gramStart"/>
            <w:r w:rsidR="004D0742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)(</w:t>
            </w:r>
            <w:proofErr w:type="gramEnd"/>
            <w:r w:rsidR="004D0742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a) </w:t>
            </w:r>
            <w:r w:rsidR="00014377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of the CPA, as the </w:t>
            </w:r>
            <w:r w:rsidR="004D0742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provision is for minor offen</w:t>
            </w:r>
            <w:r w:rsidR="000C125E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c</w:t>
            </w:r>
            <w:r w:rsidR="004D0742" w:rsidRPr="0037590F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es only. </w:t>
            </w:r>
            <w:r w:rsidR="000C125E" w:rsidRPr="00E46142">
              <w:rPr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t xml:space="preserve">S v </w:t>
            </w:r>
            <w:proofErr w:type="spellStart"/>
            <w:r w:rsidR="000C125E" w:rsidRPr="00E46142">
              <w:rPr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t>Mynhard</w:t>
            </w:r>
            <w:proofErr w:type="spellEnd"/>
            <w:r w:rsidR="000C125E" w:rsidRPr="00E46142">
              <w:rPr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t>; S</w:t>
            </w:r>
            <w:r w:rsidR="00E46142" w:rsidRPr="00E46142">
              <w:rPr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t xml:space="preserve"> </w:t>
            </w:r>
            <w:r w:rsidR="000C125E" w:rsidRPr="00E46142">
              <w:rPr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t xml:space="preserve">v </w:t>
            </w:r>
            <w:proofErr w:type="spellStart"/>
            <w:r w:rsidR="000C125E" w:rsidRPr="00E46142">
              <w:rPr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t>Kuinab</w:t>
            </w:r>
            <w:proofErr w:type="spellEnd"/>
            <w:r w:rsidR="00E46142">
              <w:rPr>
                <w:rStyle w:val="FootnoteReference"/>
                <w:rFonts w:ascii="Arial Narrow" w:hAnsi="Arial Narrow" w:cs="Arial"/>
                <w:i/>
                <w:iCs/>
                <w:color w:val="404040" w:themeColor="text1" w:themeTint="BF"/>
                <w:lang w:val="en-ZW"/>
              </w:rPr>
              <w:footnoteReference w:id="4"/>
            </w:r>
            <w:r w:rsidR="000C125E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 xml:space="preserve"> tells us that generally, a fine should serve as a punishment for lesser offenses and alternative to imprisonment; and more importantly fines should not be so high that the amount to direct imprisonment </w:t>
            </w:r>
            <w:r w:rsidR="00E46142">
              <w:rPr>
                <w:rFonts w:ascii="Arial Narrow" w:hAnsi="Arial Narrow" w:cs="Arial"/>
                <w:iCs/>
                <w:color w:val="404040" w:themeColor="text1" w:themeTint="BF"/>
                <w:lang w:val="en-ZW"/>
              </w:rPr>
              <w:t>in the guise of a fine. In that regard the magistrate ought to take into account the accused’s ability to pay.</w:t>
            </w:r>
          </w:p>
          <w:p w:rsidR="000A71E4" w:rsidRPr="0037590F" w:rsidRDefault="000A71E4" w:rsidP="00622498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720"/>
              <w:jc w:val="both"/>
              <w:rPr>
                <w:rFonts w:ascii="Arial Narrow" w:hAnsi="Arial Narrow" w:cs="Arial"/>
                <w:color w:val="404040" w:themeColor="text1" w:themeTint="BF"/>
              </w:rPr>
            </w:pPr>
          </w:p>
          <w:p w:rsidR="0084215B" w:rsidRPr="0037590F" w:rsidRDefault="00F958E4" w:rsidP="0084215B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 Narrow" w:hAnsi="Arial Narrow" w:cs="Arial"/>
                <w:color w:val="404040" w:themeColor="text1" w:themeTint="BF"/>
                <w:lang w:val="en-GB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In both matters </w:t>
            </w:r>
            <w:r w:rsidR="0085654A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before me </w:t>
            </w:r>
            <w:r w:rsidRPr="0037590F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the </w:t>
            </w:r>
            <w:r w:rsidRPr="00DD658D">
              <w:rPr>
                <w:rFonts w:ascii="Arial Narrow" w:hAnsi="Arial Narrow" w:cs="Arial"/>
                <w:i/>
                <w:color w:val="404040" w:themeColor="text1" w:themeTint="BF"/>
                <w:lang w:val="en-GB"/>
              </w:rPr>
              <w:t xml:space="preserve">court </w:t>
            </w:r>
            <w:r w:rsidR="00AD5862" w:rsidRPr="00DD658D">
              <w:rPr>
                <w:rFonts w:ascii="Arial Narrow" w:hAnsi="Arial Narrow" w:cs="Arial"/>
                <w:i/>
                <w:color w:val="404040" w:themeColor="text1" w:themeTint="BF"/>
                <w:lang w:val="en-GB"/>
              </w:rPr>
              <w:t>a quo</w:t>
            </w:r>
            <w:r w:rsidR="00E46142">
              <w:rPr>
                <w:rFonts w:ascii="Arial Narrow" w:hAnsi="Arial Narrow" w:cs="Arial"/>
                <w:i/>
                <w:color w:val="404040" w:themeColor="text1" w:themeTint="BF"/>
                <w:lang w:val="en-GB"/>
              </w:rPr>
              <w:t xml:space="preserve"> </w:t>
            </w:r>
            <w:r w:rsidR="00E46142">
              <w:rPr>
                <w:rFonts w:ascii="Arial Narrow" w:hAnsi="Arial Narrow" w:cs="Arial"/>
                <w:color w:val="404040" w:themeColor="text1" w:themeTint="BF"/>
                <w:lang w:val="en-GB"/>
              </w:rPr>
              <w:t>considered</w:t>
            </w:r>
            <w:r w:rsidRPr="0037590F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 it appropriate t</w:t>
            </w:r>
            <w:r w:rsidR="00AD5862">
              <w:rPr>
                <w:rFonts w:ascii="Arial Narrow" w:hAnsi="Arial Narrow" w:cs="Arial"/>
                <w:color w:val="404040" w:themeColor="text1" w:themeTint="BF"/>
                <w:lang w:val="en-GB"/>
              </w:rPr>
              <w:t>o dispose of the cases under a</w:t>
            </w:r>
            <w:r w:rsidRPr="0037590F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 provision</w:t>
            </w:r>
            <w:r w:rsidR="00DD658D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 </w:t>
            </w:r>
            <w:r w:rsidR="006E756D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established for </w:t>
            </w:r>
            <w:r w:rsidR="00DD658D">
              <w:rPr>
                <w:rFonts w:ascii="Arial Narrow" w:hAnsi="Arial Narrow" w:cs="Arial"/>
                <w:color w:val="404040" w:themeColor="text1" w:themeTint="BF"/>
                <w:lang w:val="en-GB"/>
              </w:rPr>
              <w:t>t</w:t>
            </w:r>
            <w:r w:rsidR="00B71CE9">
              <w:rPr>
                <w:rFonts w:ascii="Arial Narrow" w:hAnsi="Arial Narrow" w:cs="Arial"/>
                <w:color w:val="404040" w:themeColor="text1" w:themeTint="BF"/>
                <w:lang w:val="en-GB"/>
              </w:rPr>
              <w:t>rivial offenc</w:t>
            </w:r>
            <w:r w:rsidR="00AD5862">
              <w:rPr>
                <w:rFonts w:ascii="Arial Narrow" w:hAnsi="Arial Narrow" w:cs="Arial"/>
                <w:color w:val="404040" w:themeColor="text1" w:themeTint="BF"/>
                <w:lang w:val="en-GB"/>
              </w:rPr>
              <w:t>es,</w:t>
            </w:r>
            <w:r w:rsidR="00DD658D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 </w:t>
            </w:r>
            <w:r w:rsidRPr="0037590F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but </w:t>
            </w:r>
            <w:r w:rsidR="006E7626">
              <w:rPr>
                <w:rFonts w:ascii="Arial Narrow" w:hAnsi="Arial Narrow" w:cs="Arial"/>
                <w:color w:val="404040" w:themeColor="text1" w:themeTint="BF"/>
                <w:lang w:val="en-GB"/>
              </w:rPr>
              <w:t>gave</w:t>
            </w:r>
            <w:r w:rsidRPr="0037590F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 </w:t>
            </w:r>
            <w:r w:rsidR="00DD658D">
              <w:rPr>
                <w:rFonts w:ascii="Arial Narrow" w:hAnsi="Arial Narrow" w:cs="Arial"/>
                <w:color w:val="404040" w:themeColor="text1" w:themeTint="BF"/>
                <w:lang w:val="en-GB"/>
              </w:rPr>
              <w:t>heavy custodial sentences</w:t>
            </w:r>
            <w:r w:rsidR="006E7626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 as </w:t>
            </w:r>
            <w:r w:rsidR="00DD658D">
              <w:rPr>
                <w:rFonts w:ascii="Arial Narrow" w:hAnsi="Arial Narrow" w:cs="Arial"/>
                <w:color w:val="404040" w:themeColor="text1" w:themeTint="BF"/>
                <w:lang w:val="en-GB"/>
              </w:rPr>
              <w:t>alternative</w:t>
            </w:r>
            <w:r w:rsidR="006E7626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 to</w:t>
            </w:r>
            <w:r w:rsidR="00DD658D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 </w:t>
            </w:r>
            <w:r w:rsidRPr="0037590F">
              <w:rPr>
                <w:rFonts w:ascii="Arial Narrow" w:hAnsi="Arial Narrow" w:cs="Arial"/>
                <w:color w:val="404040" w:themeColor="text1" w:themeTint="BF"/>
                <w:lang w:val="en-GB"/>
              </w:rPr>
              <w:t>the fines.</w:t>
            </w:r>
            <w:r w:rsidR="00AD5862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 The </w:t>
            </w:r>
            <w:r w:rsidR="00DD658D">
              <w:rPr>
                <w:rFonts w:ascii="Arial Narrow" w:hAnsi="Arial Narrow" w:cs="Arial"/>
                <w:color w:val="404040" w:themeColor="text1" w:themeTint="BF"/>
                <w:lang w:val="en-GB"/>
              </w:rPr>
              <w:t>inability to pay the court fines means</w:t>
            </w:r>
            <w:r w:rsidR="00AD5862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 that the accused in </w:t>
            </w:r>
            <w:r w:rsidR="00AD5862" w:rsidRPr="006E7626">
              <w:rPr>
                <w:rFonts w:ascii="Arial Narrow" w:hAnsi="Arial Narrow" w:cs="Arial"/>
                <w:i/>
                <w:color w:val="404040" w:themeColor="text1" w:themeTint="BF"/>
                <w:lang w:val="en-GB"/>
              </w:rPr>
              <w:t xml:space="preserve">S </w:t>
            </w:r>
            <w:r w:rsidRPr="006E7626">
              <w:rPr>
                <w:rFonts w:ascii="Arial Narrow" w:hAnsi="Arial Narrow" w:cs="Arial"/>
                <w:i/>
                <w:color w:val="404040" w:themeColor="text1" w:themeTint="BF"/>
                <w:lang w:val="en-GB"/>
              </w:rPr>
              <w:t xml:space="preserve">v </w:t>
            </w:r>
            <w:proofErr w:type="spellStart"/>
            <w:r w:rsidRPr="006E7626">
              <w:rPr>
                <w:rFonts w:ascii="Arial Narrow" w:hAnsi="Arial Narrow" w:cs="Arial"/>
                <w:i/>
                <w:color w:val="404040" w:themeColor="text1" w:themeTint="BF"/>
                <w:lang w:val="en-GB"/>
              </w:rPr>
              <w:t>Plaaitjie</w:t>
            </w:r>
            <w:proofErr w:type="spellEnd"/>
            <w:r w:rsidR="00AD5862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 is </w:t>
            </w:r>
            <w:r w:rsidR="00B71CE9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to serve </w:t>
            </w:r>
            <w:r w:rsidR="00AD5862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24 </w:t>
            </w:r>
            <w:r w:rsidR="0084215B" w:rsidRPr="0037590F">
              <w:rPr>
                <w:rFonts w:ascii="Arial Narrow" w:hAnsi="Arial Narrow" w:cs="Arial"/>
                <w:color w:val="404040" w:themeColor="text1" w:themeTint="BF"/>
                <w:lang w:val="en-GB"/>
              </w:rPr>
              <w:t>months</w:t>
            </w:r>
            <w:r w:rsidR="00B71CE9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’ </w:t>
            </w:r>
            <w:r w:rsidR="00B71CE9">
              <w:rPr>
                <w:rFonts w:ascii="Arial Narrow" w:hAnsi="Arial Narrow" w:cs="Arial"/>
                <w:color w:val="404040" w:themeColor="text1" w:themeTint="BF"/>
                <w:lang w:val="en-GB"/>
              </w:rPr>
              <w:lastRenderedPageBreak/>
              <w:t xml:space="preserve">imprisonment, </w:t>
            </w:r>
            <w:r w:rsidR="0084215B" w:rsidRPr="0037590F">
              <w:rPr>
                <w:rFonts w:ascii="Arial Narrow" w:hAnsi="Arial Narrow" w:cs="Arial"/>
                <w:color w:val="404040" w:themeColor="text1" w:themeTint="BF"/>
                <w:lang w:val="en-GB"/>
              </w:rPr>
              <w:t>and</w:t>
            </w:r>
            <w:r w:rsidR="006E7626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 9 months</w:t>
            </w:r>
            <w:r w:rsidR="00B71CE9">
              <w:rPr>
                <w:rFonts w:ascii="Arial Narrow" w:hAnsi="Arial Narrow" w:cs="Arial"/>
                <w:color w:val="404040" w:themeColor="text1" w:themeTint="BF"/>
                <w:lang w:val="en-GB"/>
              </w:rPr>
              <w:t>’</w:t>
            </w:r>
            <w:r w:rsidR="006E7626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 imprisonment </w:t>
            </w:r>
            <w:r w:rsidR="002A66D4">
              <w:rPr>
                <w:rFonts w:ascii="Arial Narrow" w:hAnsi="Arial Narrow" w:cs="Arial"/>
                <w:color w:val="404040" w:themeColor="text1" w:themeTint="BF"/>
                <w:lang w:val="en-GB"/>
              </w:rPr>
              <w:t>in</w:t>
            </w:r>
            <w:r w:rsidR="00DD658D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 </w:t>
            </w:r>
            <w:r w:rsidR="00DD658D" w:rsidRPr="006E7626">
              <w:rPr>
                <w:rFonts w:ascii="Arial Narrow" w:hAnsi="Arial Narrow" w:cs="Arial"/>
                <w:i/>
                <w:color w:val="404040" w:themeColor="text1" w:themeTint="BF"/>
                <w:lang w:val="en-GB"/>
              </w:rPr>
              <w:t xml:space="preserve">S v </w:t>
            </w:r>
            <w:proofErr w:type="spellStart"/>
            <w:r w:rsidR="00DD658D" w:rsidRPr="006E7626">
              <w:rPr>
                <w:rFonts w:ascii="Arial Narrow" w:hAnsi="Arial Narrow" w:cs="Arial"/>
                <w:i/>
                <w:color w:val="404040" w:themeColor="text1" w:themeTint="BF"/>
              </w:rPr>
              <w:t>Kahure</w:t>
            </w:r>
            <w:proofErr w:type="spellEnd"/>
            <w:r w:rsidR="00DD658D" w:rsidRPr="006E7626">
              <w:rPr>
                <w:rFonts w:ascii="Arial Narrow" w:hAnsi="Arial Narrow" w:cs="Arial"/>
                <w:i/>
                <w:color w:val="404040" w:themeColor="text1" w:themeTint="BF"/>
              </w:rPr>
              <w:t xml:space="preserve"> and </w:t>
            </w:r>
            <w:r w:rsidR="00B71CE9">
              <w:rPr>
                <w:rFonts w:ascii="Arial Narrow" w:hAnsi="Arial Narrow" w:cs="Arial"/>
                <w:i/>
                <w:color w:val="404040" w:themeColor="text1" w:themeTint="BF"/>
              </w:rPr>
              <w:t>another</w:t>
            </w:r>
            <w:r w:rsidR="006E7626">
              <w:rPr>
                <w:rFonts w:ascii="Arial Narrow" w:hAnsi="Arial Narrow" w:cs="Arial"/>
                <w:i/>
                <w:color w:val="404040" w:themeColor="text1" w:themeTint="BF"/>
              </w:rPr>
              <w:t>.</w:t>
            </w:r>
            <w:r w:rsidR="00DD658D">
              <w:rPr>
                <w:rFonts w:ascii="Arial Narrow" w:hAnsi="Arial Narrow" w:cs="Arial"/>
                <w:color w:val="404040" w:themeColor="text1" w:themeTint="BF"/>
              </w:rPr>
              <w:t xml:space="preserve"> </w:t>
            </w:r>
            <w:r w:rsidR="0084215B" w:rsidRPr="0037590F">
              <w:rPr>
                <w:rFonts w:ascii="Arial Narrow" w:hAnsi="Arial Narrow" w:cs="Arial"/>
                <w:color w:val="404040" w:themeColor="text1" w:themeTint="BF"/>
                <w:lang w:val="en-GB"/>
              </w:rPr>
              <w:t>The respective custodial terms struck me as inappropriate for conviction</w:t>
            </w:r>
            <w:r w:rsidR="006E756D">
              <w:rPr>
                <w:rFonts w:ascii="Arial Narrow" w:hAnsi="Arial Narrow" w:cs="Arial"/>
                <w:color w:val="404040" w:themeColor="text1" w:themeTint="BF"/>
                <w:lang w:val="en-GB"/>
              </w:rPr>
              <w:t>s</w:t>
            </w:r>
            <w:r w:rsidR="0084215B" w:rsidRPr="0037590F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 under s 112(1</w:t>
            </w:r>
            <w:proofErr w:type="gramStart"/>
            <w:r w:rsidR="0084215B" w:rsidRPr="0037590F">
              <w:rPr>
                <w:rFonts w:ascii="Arial Narrow" w:hAnsi="Arial Narrow" w:cs="Arial"/>
                <w:color w:val="404040" w:themeColor="text1" w:themeTint="BF"/>
                <w:lang w:val="en-GB"/>
              </w:rPr>
              <w:t>)(</w:t>
            </w:r>
            <w:proofErr w:type="gramEnd"/>
            <w:r w:rsidR="0084215B" w:rsidRPr="0037590F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a) </w:t>
            </w:r>
            <w:r w:rsidR="006E756D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of the CPA </w:t>
            </w:r>
            <w:r w:rsidR="0084215B" w:rsidRPr="0037590F">
              <w:rPr>
                <w:rFonts w:ascii="Arial Narrow" w:hAnsi="Arial Narrow" w:cs="Arial"/>
                <w:color w:val="404040" w:themeColor="text1" w:themeTint="BF"/>
                <w:lang w:val="en-GB"/>
              </w:rPr>
              <w:t>and disproportionate</w:t>
            </w:r>
            <w:r w:rsidR="002C73CD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ly severe in relation to </w:t>
            </w:r>
            <w:r w:rsidR="0084215B" w:rsidRPr="0037590F">
              <w:rPr>
                <w:rFonts w:ascii="Arial Narrow" w:hAnsi="Arial Narrow" w:cs="Arial"/>
                <w:color w:val="404040" w:themeColor="text1" w:themeTint="BF"/>
                <w:lang w:val="en-GB"/>
              </w:rPr>
              <w:t xml:space="preserve">the fines. </w:t>
            </w:r>
          </w:p>
          <w:p w:rsidR="0084215B" w:rsidRPr="0037590F" w:rsidRDefault="0084215B" w:rsidP="0084215B">
            <w:pPr>
              <w:pStyle w:val="ListParagraph"/>
              <w:rPr>
                <w:rFonts w:ascii="Arial Narrow" w:hAnsi="Arial Narrow" w:cs="Arial"/>
                <w:color w:val="404040" w:themeColor="text1" w:themeTint="BF"/>
                <w:lang w:val="en-GB"/>
              </w:rPr>
            </w:pPr>
          </w:p>
          <w:p w:rsidR="004B2A88" w:rsidRPr="00947C7F" w:rsidRDefault="00014377" w:rsidP="004B2A8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</w:pPr>
            <w:r w:rsidRPr="00947C7F">
              <w:rPr>
                <w:rFonts w:ascii="Arial Narrow" w:hAnsi="Arial Narrow" w:cs="Arial"/>
                <w:iCs/>
                <w:color w:val="404040" w:themeColor="text1" w:themeTint="BF"/>
                <w:sz w:val="24"/>
                <w:szCs w:val="24"/>
                <w:lang w:val="en-ZW"/>
              </w:rPr>
              <w:t>For these reasons</w:t>
            </w:r>
            <w:r w:rsidR="00DD658D" w:rsidRPr="00947C7F">
              <w:rPr>
                <w:rFonts w:ascii="Arial Narrow" w:hAnsi="Arial Narrow" w:cs="Arial"/>
                <w:iCs/>
                <w:color w:val="404040" w:themeColor="text1" w:themeTint="BF"/>
                <w:sz w:val="24"/>
                <w:szCs w:val="24"/>
                <w:lang w:val="en-ZW"/>
              </w:rPr>
              <w:t>,</w:t>
            </w:r>
            <w:r w:rsidRPr="00947C7F">
              <w:rPr>
                <w:rFonts w:ascii="Arial Narrow" w:hAnsi="Arial Narrow" w:cs="Arial"/>
                <w:iCs/>
                <w:color w:val="404040" w:themeColor="text1" w:themeTint="BF"/>
                <w:sz w:val="24"/>
                <w:szCs w:val="24"/>
                <w:lang w:val="en-ZW"/>
              </w:rPr>
              <w:t xml:space="preserve"> </w:t>
            </w:r>
            <w:r w:rsidR="002C73CD" w:rsidRPr="00947C7F">
              <w:rPr>
                <w:rFonts w:ascii="Arial Narrow" w:hAnsi="Arial Narrow" w:cs="Arial"/>
                <w:iCs/>
                <w:color w:val="404040" w:themeColor="text1" w:themeTint="BF"/>
                <w:sz w:val="24"/>
                <w:szCs w:val="24"/>
                <w:lang w:val="en-ZW"/>
              </w:rPr>
              <w:t xml:space="preserve">the respective sentences are set aside and </w:t>
            </w:r>
            <w:r w:rsidR="006F078F" w:rsidRPr="00947C7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replaced as follows:</w:t>
            </w:r>
            <w:r w:rsidR="004B2A88" w:rsidRPr="00947C7F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 xml:space="preserve">         </w:t>
            </w:r>
          </w:p>
          <w:p w:rsidR="004B2A88" w:rsidRPr="004B2A88" w:rsidRDefault="004B2A88" w:rsidP="004B2A88">
            <w:pPr>
              <w:pStyle w:val="ListParagraph"/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</w:pPr>
          </w:p>
          <w:p w:rsidR="004B2A88" w:rsidRPr="004B2A88" w:rsidRDefault="004B2A88" w:rsidP="004B2A88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</w:pPr>
            <w:r w:rsidRPr="004B2A88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 xml:space="preserve">The State v Benedictus </w:t>
            </w:r>
            <w:proofErr w:type="spellStart"/>
            <w:r w:rsidRPr="004B2A88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>Plaaitjie</w:t>
            </w:r>
            <w:proofErr w:type="spellEnd"/>
            <w:r w:rsidRPr="004B2A88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>:</w:t>
            </w:r>
          </w:p>
          <w:p w:rsidR="004B2A88" w:rsidRPr="0037590F" w:rsidRDefault="004B2A88" w:rsidP="004B2A88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            Count 1: Accused to pay a fine of N$ 1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500 or 4 months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’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imprisonment. </w:t>
            </w:r>
          </w:p>
          <w:p w:rsidR="004B2A88" w:rsidRPr="0037590F" w:rsidRDefault="004B2A88" w:rsidP="004B2A88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            Count 2: Accused to pay a fine of N$ 1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000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or 3 months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’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imprisonment. </w:t>
            </w:r>
          </w:p>
          <w:p w:rsidR="004B2A88" w:rsidRPr="0037590F" w:rsidRDefault="004B2A88" w:rsidP="004B2A88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             The sentences are antedated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to 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13 May 2020.</w:t>
            </w:r>
          </w:p>
          <w:p w:rsidR="004B2A88" w:rsidRPr="0037590F" w:rsidRDefault="004B2A88" w:rsidP="004B2A88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           </w:t>
            </w:r>
          </w:p>
          <w:p w:rsidR="004B2A88" w:rsidRPr="006E4947" w:rsidRDefault="004B2A88" w:rsidP="004B2A88">
            <w:pPr>
              <w:spacing w:line="360" w:lineRule="auto"/>
              <w:jc w:val="both"/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</w:pPr>
            <w:r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 xml:space="preserve">             The State v Sidney </w:t>
            </w:r>
            <w:proofErr w:type="spellStart"/>
            <w:r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>Kahure</w:t>
            </w:r>
            <w:proofErr w:type="spellEnd"/>
            <w:r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 xml:space="preserve"> and Eduard </w:t>
            </w:r>
            <w:proofErr w:type="spellStart"/>
            <w:r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>Hangue</w:t>
            </w:r>
            <w:proofErr w:type="spellEnd"/>
            <w:r w:rsidRPr="006E4947">
              <w:rPr>
                <w:rFonts w:ascii="Arial Narrow" w:hAnsi="Arial Narrow" w:cs="Arial"/>
                <w:i/>
                <w:color w:val="404040" w:themeColor="text1" w:themeTint="BF"/>
                <w:sz w:val="24"/>
                <w:szCs w:val="24"/>
              </w:rPr>
              <w:t>:</w:t>
            </w:r>
          </w:p>
          <w:p w:rsidR="004B2A88" w:rsidRPr="0037590F" w:rsidRDefault="004B2A88" w:rsidP="004B2A88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             Each accused to pay a fine of N$ 1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500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or 4 months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’</w:t>
            </w: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imprisonment.     </w:t>
            </w:r>
          </w:p>
          <w:p w:rsidR="00874DD1" w:rsidRPr="009C5F4D" w:rsidRDefault="004B2A88" w:rsidP="004B2A88">
            <w:pPr>
              <w:spacing w:line="36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             The sentences are antedated to 15 May 2020.</w:t>
            </w:r>
          </w:p>
        </w:tc>
      </w:tr>
      <w:tr w:rsidR="0037590F" w:rsidRPr="0037590F" w:rsidTr="00332372">
        <w:tc>
          <w:tcPr>
            <w:tcW w:w="4770" w:type="dxa"/>
          </w:tcPr>
          <w:p w:rsidR="00A1597C" w:rsidRPr="0037590F" w:rsidRDefault="00A1597C" w:rsidP="004B2A88">
            <w:pPr>
              <w:spacing w:line="360" w:lineRule="auto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A1597C" w:rsidRPr="0037590F" w:rsidRDefault="00A1597C" w:rsidP="00A1597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</w:pPr>
          </w:p>
          <w:p w:rsidR="00A1597C" w:rsidRPr="0037590F" w:rsidRDefault="00A1597C" w:rsidP="00A1597C">
            <w:pPr>
              <w:spacing w:line="360" w:lineRule="auto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7590F" w:rsidRPr="0037590F" w:rsidTr="00332372">
        <w:trPr>
          <w:trHeight w:val="827"/>
        </w:trPr>
        <w:tc>
          <w:tcPr>
            <w:tcW w:w="4770" w:type="dxa"/>
          </w:tcPr>
          <w:p w:rsidR="00A1597C" w:rsidRPr="0037590F" w:rsidRDefault="00A1597C" w:rsidP="00A1597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C CLAASEN</w:t>
            </w:r>
          </w:p>
          <w:p w:rsidR="00A1597C" w:rsidRPr="0037590F" w:rsidRDefault="00A1597C" w:rsidP="00A1597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</w:tcPr>
          <w:p w:rsidR="00A1597C" w:rsidRPr="0037590F" w:rsidRDefault="000A71E4" w:rsidP="00A1597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C PARKER</w:t>
            </w:r>
          </w:p>
          <w:p w:rsidR="00A1597C" w:rsidRPr="0037590F" w:rsidRDefault="00A1597C" w:rsidP="00A1597C">
            <w:pPr>
              <w:spacing w:line="360" w:lineRule="auto"/>
              <w:jc w:val="center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37590F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JUDGE</w:t>
            </w:r>
          </w:p>
        </w:tc>
      </w:tr>
    </w:tbl>
    <w:p w:rsidR="00A1597C" w:rsidRPr="0037590F" w:rsidRDefault="00A1597C">
      <w:pPr>
        <w:rPr>
          <w:color w:val="404040" w:themeColor="text1" w:themeTint="BF"/>
        </w:rPr>
      </w:pPr>
    </w:p>
    <w:sectPr w:rsidR="00A1597C" w:rsidRPr="00375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1D" w:rsidRDefault="003D0A1D" w:rsidP="00A1597C">
      <w:pPr>
        <w:spacing w:after="0" w:line="240" w:lineRule="auto"/>
      </w:pPr>
      <w:r>
        <w:separator/>
      </w:r>
    </w:p>
  </w:endnote>
  <w:endnote w:type="continuationSeparator" w:id="0">
    <w:p w:rsidR="003D0A1D" w:rsidRDefault="003D0A1D" w:rsidP="00A1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1D" w:rsidRDefault="003D0A1D" w:rsidP="00A1597C">
      <w:pPr>
        <w:spacing w:after="0" w:line="240" w:lineRule="auto"/>
      </w:pPr>
      <w:r>
        <w:separator/>
      </w:r>
    </w:p>
  </w:footnote>
  <w:footnote w:type="continuationSeparator" w:id="0">
    <w:p w:rsidR="003D0A1D" w:rsidRDefault="003D0A1D" w:rsidP="00A1597C">
      <w:pPr>
        <w:spacing w:after="0" w:line="240" w:lineRule="auto"/>
      </w:pPr>
      <w:r>
        <w:continuationSeparator/>
      </w:r>
    </w:p>
  </w:footnote>
  <w:footnote w:id="1">
    <w:p w:rsidR="002F4B78" w:rsidRPr="009C5F4D" w:rsidRDefault="002F4B78">
      <w:pPr>
        <w:pStyle w:val="FootnoteText"/>
        <w:rPr>
          <w:rFonts w:ascii="Arial" w:hAnsi="Arial" w:cs="Arial"/>
          <w:color w:val="404040" w:themeColor="text1" w:themeTint="BF"/>
        </w:rPr>
      </w:pPr>
      <w:r w:rsidRPr="003F3591">
        <w:rPr>
          <w:rStyle w:val="FootnoteReference"/>
          <w:color w:val="404040" w:themeColor="text1" w:themeTint="BF"/>
        </w:rPr>
        <w:footnoteRef/>
      </w:r>
      <w:r w:rsidRPr="003F3591">
        <w:rPr>
          <w:color w:val="404040" w:themeColor="text1" w:themeTint="BF"/>
        </w:rPr>
        <w:t xml:space="preserve"> </w:t>
      </w:r>
      <w:r w:rsidRPr="009C5F4D">
        <w:rPr>
          <w:rFonts w:ascii="Arial" w:hAnsi="Arial" w:cs="Arial"/>
          <w:color w:val="404040" w:themeColor="text1" w:themeTint="BF"/>
        </w:rPr>
        <w:t>2011 (2) NR 461</w:t>
      </w:r>
      <w:r w:rsidR="009C5F4D" w:rsidRPr="009C5F4D">
        <w:rPr>
          <w:rFonts w:ascii="Arial" w:hAnsi="Arial" w:cs="Arial"/>
          <w:color w:val="404040" w:themeColor="text1" w:themeTint="BF"/>
        </w:rPr>
        <w:t>.</w:t>
      </w:r>
    </w:p>
  </w:footnote>
  <w:footnote w:id="2">
    <w:p w:rsidR="00FC4B40" w:rsidRPr="009C5F4D" w:rsidRDefault="00FC4B40">
      <w:pPr>
        <w:pStyle w:val="FootnoteText"/>
        <w:rPr>
          <w:rFonts w:ascii="Arial" w:hAnsi="Arial" w:cs="Arial"/>
          <w:color w:val="404040" w:themeColor="text1" w:themeTint="BF"/>
        </w:rPr>
      </w:pPr>
      <w:r w:rsidRPr="009C5F4D">
        <w:rPr>
          <w:rStyle w:val="FootnoteReference"/>
          <w:rFonts w:ascii="Arial" w:hAnsi="Arial" w:cs="Arial"/>
          <w:color w:val="404040" w:themeColor="text1" w:themeTint="BF"/>
        </w:rPr>
        <w:footnoteRef/>
      </w:r>
      <w:r w:rsidRPr="009C5F4D">
        <w:rPr>
          <w:rFonts w:ascii="Arial" w:hAnsi="Arial" w:cs="Arial"/>
          <w:color w:val="404040" w:themeColor="text1" w:themeTint="BF"/>
        </w:rPr>
        <w:t xml:space="preserve"> Criminal Procedure Act 13 of 2010</w:t>
      </w:r>
      <w:r w:rsidR="00E61BB7" w:rsidRPr="009C5F4D">
        <w:rPr>
          <w:rFonts w:ascii="Arial" w:hAnsi="Arial" w:cs="Arial"/>
          <w:color w:val="404040" w:themeColor="text1" w:themeTint="BF"/>
        </w:rPr>
        <w:t xml:space="preserve"> as amended</w:t>
      </w:r>
      <w:r w:rsidR="009C5F4D" w:rsidRPr="009C5F4D">
        <w:rPr>
          <w:rFonts w:ascii="Arial" w:hAnsi="Arial" w:cs="Arial"/>
          <w:color w:val="404040" w:themeColor="text1" w:themeTint="BF"/>
        </w:rPr>
        <w:t>.</w:t>
      </w:r>
    </w:p>
  </w:footnote>
  <w:footnote w:id="3">
    <w:p w:rsidR="004D0742" w:rsidRPr="009C5F4D" w:rsidRDefault="004D0742">
      <w:pPr>
        <w:pStyle w:val="FootnoteText"/>
        <w:rPr>
          <w:rFonts w:ascii="Arial" w:hAnsi="Arial" w:cs="Arial"/>
        </w:rPr>
      </w:pPr>
      <w:r w:rsidRPr="009C5F4D">
        <w:rPr>
          <w:rStyle w:val="FootnoteReference"/>
          <w:rFonts w:ascii="Arial" w:hAnsi="Arial" w:cs="Arial"/>
          <w:color w:val="404040" w:themeColor="text1" w:themeTint="BF"/>
        </w:rPr>
        <w:footnoteRef/>
      </w:r>
      <w:r w:rsidRPr="009C5F4D">
        <w:rPr>
          <w:rFonts w:ascii="Arial" w:hAnsi="Arial" w:cs="Arial"/>
          <w:color w:val="404040" w:themeColor="text1" w:themeTint="BF"/>
        </w:rPr>
        <w:t xml:space="preserve"> (CR 31/2019) [2019] NAHCMD 97 (12 April 2019)</w:t>
      </w:r>
      <w:r w:rsidR="00D11F7C">
        <w:rPr>
          <w:rFonts w:ascii="Arial" w:hAnsi="Arial" w:cs="Arial"/>
          <w:color w:val="404040" w:themeColor="text1" w:themeTint="BF"/>
        </w:rPr>
        <w:t>.</w:t>
      </w:r>
    </w:p>
  </w:footnote>
  <w:footnote w:id="4">
    <w:p w:rsidR="00E46142" w:rsidRPr="009C5F4D" w:rsidRDefault="00E46142">
      <w:pPr>
        <w:pStyle w:val="FootnoteText"/>
        <w:rPr>
          <w:rFonts w:ascii="Arial" w:hAnsi="Arial" w:cs="Arial"/>
        </w:rPr>
      </w:pPr>
      <w:r w:rsidRPr="009C5F4D">
        <w:rPr>
          <w:rStyle w:val="FootnoteReference"/>
          <w:rFonts w:ascii="Arial" w:hAnsi="Arial" w:cs="Arial"/>
        </w:rPr>
        <w:footnoteRef/>
      </w:r>
      <w:r w:rsidRPr="009C5F4D">
        <w:rPr>
          <w:rFonts w:ascii="Arial" w:hAnsi="Arial" w:cs="Arial"/>
        </w:rPr>
        <w:t xml:space="preserve"> </w:t>
      </w:r>
      <w:r w:rsidRPr="009C5F4D">
        <w:rPr>
          <w:rFonts w:ascii="Arial" w:hAnsi="Arial" w:cs="Arial"/>
          <w:iCs/>
          <w:color w:val="404040" w:themeColor="text1" w:themeTint="BF"/>
          <w:lang w:val="en-ZW"/>
        </w:rPr>
        <w:t>1991 NR 336 (HC)</w:t>
      </w:r>
      <w:r w:rsidR="009C5F4D" w:rsidRPr="009C5F4D">
        <w:rPr>
          <w:rFonts w:ascii="Arial" w:hAnsi="Arial" w:cs="Arial"/>
          <w:iCs/>
          <w:color w:val="404040" w:themeColor="text1" w:themeTint="BF"/>
          <w:lang w:val="en-ZW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6CF5"/>
    <w:multiLevelType w:val="hybridMultilevel"/>
    <w:tmpl w:val="672C9092"/>
    <w:lvl w:ilvl="0" w:tplc="8284A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C71EF"/>
    <w:multiLevelType w:val="hybridMultilevel"/>
    <w:tmpl w:val="8C74C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65C1"/>
    <w:multiLevelType w:val="hybridMultilevel"/>
    <w:tmpl w:val="F40044B6"/>
    <w:lvl w:ilvl="0" w:tplc="5CF825A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A523A"/>
    <w:multiLevelType w:val="multilevel"/>
    <w:tmpl w:val="76341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 w15:restartNumberingAfterBreak="0">
    <w:nsid w:val="412A1BC2"/>
    <w:multiLevelType w:val="hybridMultilevel"/>
    <w:tmpl w:val="F4F61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82D01"/>
    <w:multiLevelType w:val="hybridMultilevel"/>
    <w:tmpl w:val="2AAC7D08"/>
    <w:lvl w:ilvl="0" w:tplc="B5D0856C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C1C09"/>
    <w:multiLevelType w:val="hybridMultilevel"/>
    <w:tmpl w:val="9C58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B4B8C"/>
    <w:multiLevelType w:val="hybridMultilevel"/>
    <w:tmpl w:val="EF10E2D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971166"/>
    <w:multiLevelType w:val="hybridMultilevel"/>
    <w:tmpl w:val="4CA4A966"/>
    <w:lvl w:ilvl="0" w:tplc="429A7518">
      <w:start w:val="1"/>
      <w:numFmt w:val="lowerLetter"/>
      <w:lvlText w:val="(%1)"/>
      <w:lvlJc w:val="left"/>
      <w:pPr>
        <w:ind w:left="1800" w:hanging="360"/>
      </w:pPr>
      <w:rPr>
        <w:rFonts w:hint="default"/>
        <w:sz w:val="24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7C"/>
    <w:rsid w:val="00014377"/>
    <w:rsid w:val="000331D0"/>
    <w:rsid w:val="000A71E4"/>
    <w:rsid w:val="000B615B"/>
    <w:rsid w:val="000C125E"/>
    <w:rsid w:val="000D5F18"/>
    <w:rsid w:val="00131036"/>
    <w:rsid w:val="00147C86"/>
    <w:rsid w:val="00164FF7"/>
    <w:rsid w:val="00167FC0"/>
    <w:rsid w:val="00244829"/>
    <w:rsid w:val="0027270D"/>
    <w:rsid w:val="00292716"/>
    <w:rsid w:val="002A66D4"/>
    <w:rsid w:val="002C73CD"/>
    <w:rsid w:val="002F4B78"/>
    <w:rsid w:val="002F7ED3"/>
    <w:rsid w:val="00304317"/>
    <w:rsid w:val="00344817"/>
    <w:rsid w:val="0037590F"/>
    <w:rsid w:val="003865D3"/>
    <w:rsid w:val="0039723A"/>
    <w:rsid w:val="003B10E6"/>
    <w:rsid w:val="003D0A1D"/>
    <w:rsid w:val="003F3591"/>
    <w:rsid w:val="0046542A"/>
    <w:rsid w:val="004B2A88"/>
    <w:rsid w:val="004D0742"/>
    <w:rsid w:val="00584F67"/>
    <w:rsid w:val="005945D4"/>
    <w:rsid w:val="00603073"/>
    <w:rsid w:val="00622498"/>
    <w:rsid w:val="00637265"/>
    <w:rsid w:val="0066015C"/>
    <w:rsid w:val="00697AA8"/>
    <w:rsid w:val="006B6EC8"/>
    <w:rsid w:val="006C2B83"/>
    <w:rsid w:val="006C609B"/>
    <w:rsid w:val="006D213E"/>
    <w:rsid w:val="006E4947"/>
    <w:rsid w:val="006E63B7"/>
    <w:rsid w:val="006E756D"/>
    <w:rsid w:val="006E7626"/>
    <w:rsid w:val="006F078F"/>
    <w:rsid w:val="00705948"/>
    <w:rsid w:val="00730455"/>
    <w:rsid w:val="007540CE"/>
    <w:rsid w:val="00784E5B"/>
    <w:rsid w:val="007B17E6"/>
    <w:rsid w:val="008137E5"/>
    <w:rsid w:val="00835605"/>
    <w:rsid w:val="0084215B"/>
    <w:rsid w:val="0085654A"/>
    <w:rsid w:val="00874DD1"/>
    <w:rsid w:val="008D261F"/>
    <w:rsid w:val="00913C40"/>
    <w:rsid w:val="00947C7F"/>
    <w:rsid w:val="00981734"/>
    <w:rsid w:val="009C5F4D"/>
    <w:rsid w:val="009C6EA4"/>
    <w:rsid w:val="00A13DF3"/>
    <w:rsid w:val="00A14E15"/>
    <w:rsid w:val="00A1597C"/>
    <w:rsid w:val="00A3713B"/>
    <w:rsid w:val="00A7467D"/>
    <w:rsid w:val="00A84996"/>
    <w:rsid w:val="00A91870"/>
    <w:rsid w:val="00AD5862"/>
    <w:rsid w:val="00B11B34"/>
    <w:rsid w:val="00B71CE9"/>
    <w:rsid w:val="00B754B8"/>
    <w:rsid w:val="00BC53C0"/>
    <w:rsid w:val="00C21C7B"/>
    <w:rsid w:val="00C31A09"/>
    <w:rsid w:val="00C53A5F"/>
    <w:rsid w:val="00C67F6E"/>
    <w:rsid w:val="00CA097A"/>
    <w:rsid w:val="00CA1AF6"/>
    <w:rsid w:val="00CA738C"/>
    <w:rsid w:val="00CD33BF"/>
    <w:rsid w:val="00CF220A"/>
    <w:rsid w:val="00D11F7C"/>
    <w:rsid w:val="00D30054"/>
    <w:rsid w:val="00D420B7"/>
    <w:rsid w:val="00D57480"/>
    <w:rsid w:val="00D812AA"/>
    <w:rsid w:val="00D83289"/>
    <w:rsid w:val="00D85CC4"/>
    <w:rsid w:val="00DB0586"/>
    <w:rsid w:val="00DB0A02"/>
    <w:rsid w:val="00DB1660"/>
    <w:rsid w:val="00DD649C"/>
    <w:rsid w:val="00DD658D"/>
    <w:rsid w:val="00DE5981"/>
    <w:rsid w:val="00DE7BEC"/>
    <w:rsid w:val="00E34F30"/>
    <w:rsid w:val="00E46142"/>
    <w:rsid w:val="00E61BB7"/>
    <w:rsid w:val="00F6125B"/>
    <w:rsid w:val="00F6748C"/>
    <w:rsid w:val="00F94ABC"/>
    <w:rsid w:val="00F958E4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7FECB-DAA8-49F6-BA40-6F0D10D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597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97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59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649C"/>
    <w:pPr>
      <w:ind w:left="720"/>
      <w:contextualSpacing/>
    </w:pPr>
  </w:style>
  <w:style w:type="paragraph" w:customStyle="1" w:styleId="western">
    <w:name w:val="western"/>
    <w:basedOn w:val="Normal"/>
    <w:rsid w:val="006C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1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2020-08-17T18:30:00+00:00</Judgment_x0020_Date>
  </documentManagement>
</p:properties>
</file>

<file path=customXml/itemProps1.xml><?xml version="1.0" encoding="utf-8"?>
<ds:datastoreItem xmlns:ds="http://schemas.openxmlformats.org/officeDocument/2006/customXml" ds:itemID="{2E4E3960-B56E-42E8-BFBA-78501FBF77BC}"/>
</file>

<file path=customXml/itemProps2.xml><?xml version="1.0" encoding="utf-8"?>
<ds:datastoreItem xmlns:ds="http://schemas.openxmlformats.org/officeDocument/2006/customXml" ds:itemID="{E8C59311-8D6C-4FBF-8FFA-6D182AF008E1}"/>
</file>

<file path=customXml/itemProps3.xml><?xml version="1.0" encoding="utf-8"?>
<ds:datastoreItem xmlns:ds="http://schemas.openxmlformats.org/officeDocument/2006/customXml" ds:itemID="{A7E795E5-BD63-4584-B3C8-56370A4510A2}"/>
</file>

<file path=customXml/itemProps4.xml><?xml version="1.0" encoding="utf-8"?>
<ds:datastoreItem xmlns:ds="http://schemas.openxmlformats.org/officeDocument/2006/customXml" ds:itemID="{5EE18823-209A-49BD-892A-A00CAD1FC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Plaaitjie (CR 58-2020) [2020] NAHCMD 362 (18 August 2020)</dc:title>
  <dc:subject/>
  <dc:creator>Iyaloo Haimbodi</dc:creator>
  <cp:keywords/>
  <dc:description/>
  <cp:lastModifiedBy>Administrator</cp:lastModifiedBy>
  <cp:revision>2</cp:revision>
  <cp:lastPrinted>2020-08-18T12:30:00Z</cp:lastPrinted>
  <dcterms:created xsi:type="dcterms:W3CDTF">2020-08-19T06:55:00Z</dcterms:created>
  <dcterms:modified xsi:type="dcterms:W3CDTF">2020-08-19T06:55:00Z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