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AB" w:rsidRPr="004B5E3E" w:rsidRDefault="00B713AB" w:rsidP="004A7C1D">
      <w:pPr>
        <w:spacing w:after="0" w:line="360" w:lineRule="auto"/>
        <w:jc w:val="center"/>
        <w:rPr>
          <w:rFonts w:ascii="Arial" w:hAnsi="Arial" w:cs="Arial"/>
          <w:b/>
          <w:sz w:val="24"/>
          <w:szCs w:val="24"/>
        </w:rPr>
      </w:pPr>
      <w:r w:rsidRPr="004B5E3E">
        <w:rPr>
          <w:rFonts w:ascii="Arial" w:hAnsi="Arial" w:cs="Arial"/>
          <w:b/>
          <w:sz w:val="24"/>
          <w:szCs w:val="24"/>
        </w:rPr>
        <w:t>REPUBLIC OF NAMIBIA</w:t>
      </w:r>
    </w:p>
    <w:p w:rsidR="00B713AB" w:rsidRPr="004B5E3E" w:rsidRDefault="00B713AB" w:rsidP="004A7C1D">
      <w:pPr>
        <w:spacing w:after="0" w:line="360" w:lineRule="auto"/>
        <w:jc w:val="both"/>
        <w:rPr>
          <w:rFonts w:ascii="Arial" w:hAnsi="Arial" w:cs="Arial"/>
          <w:b/>
          <w:sz w:val="24"/>
          <w:szCs w:val="24"/>
        </w:rPr>
      </w:pPr>
      <w:r w:rsidRPr="004B5E3E">
        <w:rPr>
          <w:rFonts w:ascii="Arial" w:hAnsi="Arial" w:cs="Arial"/>
          <w:b/>
          <w:noProof/>
          <w:sz w:val="24"/>
          <w:szCs w:val="24"/>
          <w:lang w:eastAsia="en-ZA"/>
        </w:rPr>
        <w:drawing>
          <wp:anchor distT="0" distB="0" distL="114300" distR="114300" simplePos="0" relativeHeight="251659264" behindDoc="0" locked="0" layoutInCell="1" allowOverlap="1" wp14:anchorId="2153D646" wp14:editId="284FF6B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center"/>
        <w:rPr>
          <w:rFonts w:ascii="Arial" w:hAnsi="Arial" w:cs="Arial"/>
          <w:b/>
          <w:sz w:val="24"/>
          <w:szCs w:val="24"/>
        </w:rPr>
      </w:pPr>
      <w:r w:rsidRPr="004B5E3E">
        <w:rPr>
          <w:rFonts w:ascii="Arial" w:hAnsi="Arial" w:cs="Arial"/>
          <w:b/>
          <w:sz w:val="24"/>
          <w:szCs w:val="24"/>
        </w:rPr>
        <w:t>HIGH COURT OF NAMIBIA, MAIN DIVISION, WINDHOEK</w:t>
      </w:r>
    </w:p>
    <w:p w:rsidR="00B713AB" w:rsidRPr="004B5E3E" w:rsidRDefault="00B713AB" w:rsidP="004A7C1D">
      <w:pPr>
        <w:spacing w:after="0" w:line="360" w:lineRule="auto"/>
        <w:jc w:val="center"/>
        <w:rPr>
          <w:rFonts w:ascii="Arial" w:hAnsi="Arial" w:cs="Arial"/>
          <w:b/>
          <w:sz w:val="24"/>
          <w:szCs w:val="24"/>
        </w:rPr>
      </w:pPr>
    </w:p>
    <w:p w:rsidR="00B713AB" w:rsidRPr="004B5E3E" w:rsidRDefault="00B713AB" w:rsidP="004A7C1D">
      <w:pPr>
        <w:spacing w:after="0" w:line="360" w:lineRule="auto"/>
        <w:jc w:val="center"/>
        <w:rPr>
          <w:rFonts w:ascii="Arial" w:hAnsi="Arial" w:cs="Arial"/>
          <w:b/>
          <w:sz w:val="24"/>
          <w:szCs w:val="24"/>
        </w:rPr>
      </w:pPr>
      <w:r w:rsidRPr="004B5E3E">
        <w:rPr>
          <w:rFonts w:ascii="Arial" w:hAnsi="Arial" w:cs="Arial"/>
          <w:b/>
          <w:sz w:val="24"/>
          <w:szCs w:val="24"/>
        </w:rPr>
        <w:t>RULING ON EXCEPTION</w:t>
      </w:r>
    </w:p>
    <w:p w:rsidR="00B713AB" w:rsidRPr="004B5E3E" w:rsidRDefault="00B713AB" w:rsidP="004A7C1D">
      <w:pPr>
        <w:spacing w:after="0" w:line="360" w:lineRule="auto"/>
        <w:jc w:val="center"/>
        <w:rPr>
          <w:rFonts w:ascii="Arial" w:hAnsi="Arial" w:cs="Arial"/>
          <w:b/>
          <w:sz w:val="24"/>
          <w:szCs w:val="24"/>
        </w:rPr>
      </w:pPr>
    </w:p>
    <w:p w:rsidR="00B713AB" w:rsidRPr="004B5E3E" w:rsidRDefault="00B713AB" w:rsidP="004A7C1D">
      <w:pPr>
        <w:spacing w:after="0" w:line="360" w:lineRule="auto"/>
        <w:jc w:val="right"/>
        <w:rPr>
          <w:rFonts w:ascii="Arial" w:hAnsi="Arial" w:cs="Arial"/>
          <w:sz w:val="24"/>
          <w:szCs w:val="24"/>
        </w:rPr>
      </w:pPr>
      <w:r w:rsidRPr="00D91E1E">
        <w:rPr>
          <w:rFonts w:ascii="Arial" w:hAnsi="Arial" w:cs="Arial"/>
          <w:sz w:val="24"/>
          <w:szCs w:val="24"/>
        </w:rPr>
        <w:t xml:space="preserve">Case No.: </w:t>
      </w:r>
      <w:r w:rsidRPr="00B713AB">
        <w:rPr>
          <w:rFonts w:ascii="Arial" w:hAnsi="Arial" w:cs="Arial"/>
          <w:b/>
          <w:color w:val="333333"/>
          <w:sz w:val="24"/>
          <w:szCs w:val="24"/>
          <w:shd w:val="clear" w:color="auto" w:fill="FFFFFF"/>
        </w:rPr>
        <w:t>HC-MD-CIV-ACT-DEL-2020/02891</w:t>
      </w:r>
    </w:p>
    <w:p w:rsidR="00B713AB" w:rsidRPr="004B5E3E" w:rsidRDefault="00B713AB" w:rsidP="004A7C1D">
      <w:pPr>
        <w:spacing w:after="0" w:line="360" w:lineRule="auto"/>
        <w:jc w:val="both"/>
        <w:rPr>
          <w:rFonts w:ascii="Arial" w:hAnsi="Arial" w:cs="Arial"/>
          <w:sz w:val="24"/>
          <w:szCs w:val="24"/>
        </w:rPr>
      </w:pPr>
    </w:p>
    <w:p w:rsidR="00B713AB" w:rsidRPr="004B5E3E" w:rsidRDefault="00B713AB" w:rsidP="004A7C1D">
      <w:pPr>
        <w:spacing w:after="0" w:line="360" w:lineRule="auto"/>
        <w:jc w:val="both"/>
        <w:rPr>
          <w:rFonts w:ascii="Arial" w:hAnsi="Arial" w:cs="Arial"/>
          <w:sz w:val="24"/>
          <w:szCs w:val="24"/>
        </w:rPr>
      </w:pPr>
      <w:r w:rsidRPr="004B5E3E">
        <w:rPr>
          <w:rFonts w:ascii="Arial" w:hAnsi="Arial" w:cs="Arial"/>
          <w:sz w:val="24"/>
          <w:szCs w:val="24"/>
        </w:rPr>
        <w:t>In the matter between:</w:t>
      </w:r>
    </w:p>
    <w:p w:rsidR="00B713AB" w:rsidRPr="004B5E3E" w:rsidRDefault="00B713AB" w:rsidP="004A7C1D">
      <w:pPr>
        <w:spacing w:after="0" w:line="360" w:lineRule="auto"/>
        <w:jc w:val="both"/>
        <w:rPr>
          <w:rFonts w:ascii="Arial" w:hAnsi="Arial" w:cs="Arial"/>
          <w:sz w:val="24"/>
          <w:szCs w:val="24"/>
          <w:shd w:val="clear" w:color="auto" w:fill="FFFFFF"/>
        </w:rPr>
      </w:pPr>
    </w:p>
    <w:p w:rsidR="00B713AB" w:rsidRPr="009076E8" w:rsidRDefault="00B713AB" w:rsidP="004A7C1D">
      <w:pPr>
        <w:spacing w:after="0" w:line="360" w:lineRule="auto"/>
        <w:jc w:val="both"/>
        <w:rPr>
          <w:rFonts w:ascii="Arial" w:hAnsi="Arial" w:cs="Arial"/>
          <w:b/>
          <w:sz w:val="24"/>
          <w:szCs w:val="24"/>
        </w:rPr>
      </w:pPr>
      <w:r w:rsidRPr="009076E8">
        <w:rPr>
          <w:rFonts w:ascii="Arial" w:hAnsi="Arial" w:cs="Arial"/>
          <w:b/>
          <w:sz w:val="24"/>
          <w:szCs w:val="24"/>
          <w:shd w:val="clear" w:color="auto" w:fill="FFFFFF"/>
        </w:rPr>
        <w:t>PAMO TRADING ENTERPRISES CC</w:t>
      </w:r>
      <w:r w:rsidRPr="00B713AB">
        <w:rPr>
          <w:rFonts w:ascii="Arial" w:hAnsi="Arial" w:cs="Arial"/>
          <w:b/>
          <w:sz w:val="24"/>
          <w:szCs w:val="24"/>
          <w:shd w:val="clear" w:color="auto" w:fill="FFFFFF"/>
        </w:rPr>
        <w:tab/>
      </w:r>
      <w:r w:rsidRPr="009076E8">
        <w:rPr>
          <w:rFonts w:ascii="Arial" w:hAnsi="Arial" w:cs="Arial"/>
          <w:b/>
          <w:sz w:val="24"/>
          <w:szCs w:val="24"/>
          <w:shd w:val="clear" w:color="auto" w:fill="FFFFFF"/>
        </w:rPr>
        <w:tab/>
      </w:r>
      <w:r w:rsidRPr="009076E8">
        <w:rPr>
          <w:rFonts w:ascii="Arial" w:hAnsi="Arial" w:cs="Arial"/>
          <w:b/>
          <w:sz w:val="24"/>
          <w:szCs w:val="24"/>
        </w:rPr>
        <w:t xml:space="preserve">     </w:t>
      </w:r>
      <w:r w:rsidRPr="009076E8">
        <w:rPr>
          <w:rFonts w:ascii="Arial" w:hAnsi="Arial" w:cs="Arial"/>
          <w:b/>
          <w:sz w:val="24"/>
          <w:szCs w:val="24"/>
        </w:rPr>
        <w:tab/>
      </w:r>
      <w:r w:rsidRPr="009076E8">
        <w:rPr>
          <w:rFonts w:ascii="Arial" w:hAnsi="Arial" w:cs="Arial"/>
          <w:b/>
          <w:sz w:val="24"/>
          <w:szCs w:val="24"/>
        </w:rPr>
        <w:tab/>
        <w:t xml:space="preserve">           1</w:t>
      </w:r>
      <w:r w:rsidRPr="009076E8">
        <w:rPr>
          <w:rFonts w:ascii="Arial" w:hAnsi="Arial" w:cs="Arial"/>
          <w:b/>
          <w:sz w:val="24"/>
          <w:szCs w:val="24"/>
          <w:vertAlign w:val="superscript"/>
        </w:rPr>
        <w:t>ST</w:t>
      </w:r>
      <w:r w:rsidRPr="009076E8">
        <w:rPr>
          <w:rFonts w:ascii="Arial" w:hAnsi="Arial" w:cs="Arial"/>
          <w:b/>
          <w:sz w:val="24"/>
          <w:szCs w:val="24"/>
        </w:rPr>
        <w:t xml:space="preserve"> PLAINTIFF      </w:t>
      </w:r>
    </w:p>
    <w:p w:rsidR="00B713AB" w:rsidRPr="00B713AB" w:rsidRDefault="00B713AB" w:rsidP="004A7C1D">
      <w:pPr>
        <w:spacing w:after="0" w:line="360" w:lineRule="auto"/>
        <w:jc w:val="both"/>
        <w:rPr>
          <w:rFonts w:ascii="Arial" w:hAnsi="Arial" w:cs="Arial"/>
          <w:b/>
          <w:sz w:val="24"/>
          <w:szCs w:val="24"/>
        </w:rPr>
      </w:pPr>
      <w:r w:rsidRPr="009076E8">
        <w:rPr>
          <w:rFonts w:ascii="Arial" w:hAnsi="Arial" w:cs="Arial"/>
          <w:b/>
          <w:sz w:val="24"/>
          <w:szCs w:val="24"/>
        </w:rPr>
        <w:t>CI</w:t>
      </w:r>
      <w:r w:rsidRPr="00B713AB">
        <w:rPr>
          <w:rFonts w:ascii="Arial" w:hAnsi="Arial" w:cs="Arial"/>
          <w:b/>
          <w:sz w:val="24"/>
          <w:szCs w:val="24"/>
        </w:rPr>
        <w:t xml:space="preserve">RCLE HOSPITALITY SERVICES (PTY) LTD </w:t>
      </w:r>
      <w:r w:rsidRPr="00B713AB">
        <w:rPr>
          <w:rFonts w:ascii="Arial" w:hAnsi="Arial" w:cs="Arial"/>
          <w:b/>
          <w:sz w:val="24"/>
          <w:szCs w:val="24"/>
        </w:rPr>
        <w:tab/>
      </w:r>
      <w:r w:rsidRPr="00B713AB">
        <w:rPr>
          <w:rFonts w:ascii="Arial" w:hAnsi="Arial" w:cs="Arial"/>
          <w:b/>
          <w:sz w:val="24"/>
          <w:szCs w:val="24"/>
        </w:rPr>
        <w:tab/>
      </w:r>
      <w:r w:rsidRPr="00B713AB">
        <w:rPr>
          <w:rFonts w:ascii="Arial" w:hAnsi="Arial" w:cs="Arial"/>
          <w:b/>
          <w:sz w:val="24"/>
          <w:szCs w:val="24"/>
        </w:rPr>
        <w:tab/>
        <w:t>2</w:t>
      </w:r>
      <w:r w:rsidRPr="00B713AB">
        <w:rPr>
          <w:rFonts w:ascii="Arial" w:hAnsi="Arial" w:cs="Arial"/>
          <w:b/>
          <w:sz w:val="24"/>
          <w:szCs w:val="24"/>
          <w:vertAlign w:val="superscript"/>
        </w:rPr>
        <w:t>ND</w:t>
      </w:r>
      <w:r w:rsidRPr="00B713AB">
        <w:rPr>
          <w:rFonts w:ascii="Arial" w:hAnsi="Arial" w:cs="Arial"/>
          <w:b/>
          <w:sz w:val="24"/>
          <w:szCs w:val="24"/>
        </w:rPr>
        <w:t xml:space="preserve"> PLAINTIFF </w:t>
      </w:r>
    </w:p>
    <w:p w:rsidR="00B713AB" w:rsidRPr="004B5E3E" w:rsidRDefault="00B713AB" w:rsidP="004A7C1D">
      <w:pPr>
        <w:spacing w:after="0" w:line="360" w:lineRule="auto"/>
        <w:jc w:val="both"/>
        <w:rPr>
          <w:rFonts w:ascii="Arial" w:hAnsi="Arial" w:cs="Arial"/>
          <w:b/>
          <w:sz w:val="24"/>
          <w:szCs w:val="24"/>
        </w:rPr>
      </w:pPr>
      <w:r w:rsidRPr="00B713AB">
        <w:rPr>
          <w:rFonts w:ascii="Arial" w:hAnsi="Arial" w:cs="Arial"/>
          <w:b/>
          <w:sz w:val="24"/>
          <w:szCs w:val="24"/>
        </w:rPr>
        <w:t xml:space="preserve"> PISCES I</w:t>
      </w:r>
      <w:r w:rsidR="00931C29">
        <w:rPr>
          <w:rFonts w:ascii="Arial" w:hAnsi="Arial" w:cs="Arial"/>
          <w:b/>
          <w:sz w:val="24"/>
          <w:szCs w:val="24"/>
        </w:rPr>
        <w:t>NVESTMENT HOLDINGS NO. 32 CC</w:t>
      </w:r>
      <w:r w:rsidR="00931C29">
        <w:rPr>
          <w:rFonts w:ascii="Arial" w:hAnsi="Arial" w:cs="Arial"/>
          <w:b/>
          <w:sz w:val="24"/>
          <w:szCs w:val="24"/>
        </w:rPr>
        <w:tab/>
      </w:r>
      <w:r w:rsidR="00931C29">
        <w:rPr>
          <w:rFonts w:ascii="Arial" w:hAnsi="Arial" w:cs="Arial"/>
          <w:b/>
          <w:sz w:val="24"/>
          <w:szCs w:val="24"/>
        </w:rPr>
        <w:tab/>
      </w:r>
      <w:r w:rsidR="00931C29">
        <w:rPr>
          <w:rFonts w:ascii="Arial" w:hAnsi="Arial" w:cs="Arial"/>
          <w:b/>
          <w:sz w:val="24"/>
          <w:szCs w:val="24"/>
        </w:rPr>
        <w:tab/>
      </w:r>
      <w:r w:rsidRPr="00B713AB">
        <w:rPr>
          <w:rFonts w:ascii="Arial" w:hAnsi="Arial" w:cs="Arial"/>
          <w:b/>
          <w:sz w:val="24"/>
          <w:szCs w:val="24"/>
        </w:rPr>
        <w:t>3</w:t>
      </w:r>
      <w:r w:rsidRPr="00B713AB">
        <w:rPr>
          <w:rFonts w:ascii="Arial" w:hAnsi="Arial" w:cs="Arial"/>
          <w:b/>
          <w:sz w:val="24"/>
          <w:szCs w:val="24"/>
          <w:vertAlign w:val="superscript"/>
        </w:rPr>
        <w:t>RD</w:t>
      </w:r>
      <w:r w:rsidRPr="00B713AB">
        <w:rPr>
          <w:rFonts w:ascii="Arial" w:hAnsi="Arial" w:cs="Arial"/>
          <w:b/>
          <w:sz w:val="24"/>
          <w:szCs w:val="24"/>
        </w:rPr>
        <w:t xml:space="preserve"> PLAINTIFF      </w:t>
      </w:r>
      <w:r w:rsidRPr="004B5E3E">
        <w:rPr>
          <w:rFonts w:ascii="Arial" w:hAnsi="Arial" w:cs="Arial"/>
          <w:b/>
          <w:sz w:val="24"/>
          <w:szCs w:val="24"/>
        </w:rPr>
        <w:t xml:space="preserve">                        </w:t>
      </w:r>
    </w:p>
    <w:p w:rsidR="00B713AB" w:rsidRDefault="00B713AB" w:rsidP="004A7C1D">
      <w:pPr>
        <w:spacing w:after="0" w:line="360" w:lineRule="auto"/>
        <w:jc w:val="both"/>
        <w:rPr>
          <w:rFonts w:ascii="Arial" w:hAnsi="Arial" w:cs="Arial"/>
          <w:sz w:val="24"/>
          <w:szCs w:val="24"/>
        </w:rPr>
      </w:pPr>
    </w:p>
    <w:p w:rsidR="00B713AB" w:rsidRPr="004B5E3E" w:rsidRDefault="00B713AB" w:rsidP="004A7C1D">
      <w:pPr>
        <w:spacing w:after="0" w:line="360" w:lineRule="auto"/>
        <w:jc w:val="both"/>
        <w:rPr>
          <w:rFonts w:ascii="Arial" w:hAnsi="Arial" w:cs="Arial"/>
          <w:sz w:val="24"/>
          <w:szCs w:val="24"/>
        </w:rPr>
      </w:pPr>
      <w:r w:rsidRPr="004B5E3E">
        <w:rPr>
          <w:rFonts w:ascii="Arial" w:hAnsi="Arial" w:cs="Arial"/>
          <w:sz w:val="24"/>
          <w:szCs w:val="24"/>
        </w:rPr>
        <w:t>and</w:t>
      </w:r>
    </w:p>
    <w:p w:rsidR="00B713AB" w:rsidRPr="004B5E3E" w:rsidRDefault="00B713AB" w:rsidP="004A7C1D">
      <w:pPr>
        <w:spacing w:after="0" w:line="360" w:lineRule="auto"/>
        <w:jc w:val="both"/>
        <w:rPr>
          <w:rFonts w:ascii="Arial" w:hAnsi="Arial" w:cs="Arial"/>
          <w:b/>
          <w:sz w:val="24"/>
          <w:szCs w:val="24"/>
        </w:rPr>
      </w:pPr>
    </w:p>
    <w:p w:rsidR="00B713AB" w:rsidRPr="00B713AB" w:rsidRDefault="00B713AB" w:rsidP="004A7C1D">
      <w:pPr>
        <w:spacing w:after="0" w:line="360" w:lineRule="auto"/>
        <w:jc w:val="both"/>
        <w:rPr>
          <w:rFonts w:ascii="Arial" w:hAnsi="Arial" w:cs="Arial"/>
          <w:b/>
          <w:sz w:val="24"/>
          <w:szCs w:val="24"/>
        </w:rPr>
      </w:pPr>
      <w:r w:rsidRPr="00B713AB">
        <w:rPr>
          <w:rFonts w:ascii="Arial" w:hAnsi="Arial" w:cs="Arial"/>
          <w:b/>
          <w:sz w:val="24"/>
          <w:szCs w:val="24"/>
        </w:rPr>
        <w:t>TENDER BOARD OF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sidRPr="00B713AB">
        <w:rPr>
          <w:rFonts w:ascii="Arial" w:hAnsi="Arial" w:cs="Arial"/>
          <w:b/>
          <w:sz w:val="24"/>
          <w:szCs w:val="24"/>
          <w:vertAlign w:val="superscript"/>
        </w:rPr>
        <w:t>ST</w:t>
      </w:r>
      <w:r w:rsidRPr="00B713AB">
        <w:rPr>
          <w:rFonts w:ascii="Arial" w:hAnsi="Arial" w:cs="Arial"/>
          <w:b/>
          <w:sz w:val="24"/>
          <w:szCs w:val="24"/>
        </w:rPr>
        <w:t xml:space="preserve"> DEFENDANT</w:t>
      </w:r>
    </w:p>
    <w:p w:rsidR="00B713AB" w:rsidRPr="00B713AB" w:rsidRDefault="00B713AB" w:rsidP="004A7C1D">
      <w:pPr>
        <w:spacing w:after="0" w:line="360" w:lineRule="auto"/>
        <w:jc w:val="both"/>
        <w:rPr>
          <w:rFonts w:ascii="Arial" w:hAnsi="Arial" w:cs="Arial"/>
          <w:b/>
          <w:sz w:val="24"/>
          <w:szCs w:val="24"/>
        </w:rPr>
      </w:pPr>
      <w:r w:rsidRPr="00B713AB">
        <w:rPr>
          <w:rFonts w:ascii="Arial" w:hAnsi="Arial" w:cs="Arial"/>
          <w:b/>
          <w:sz w:val="24"/>
          <w:szCs w:val="24"/>
        </w:rPr>
        <w:t xml:space="preserve"> PERMANENT SECRE</w:t>
      </w:r>
      <w:r w:rsidR="00665ABD">
        <w:rPr>
          <w:rFonts w:ascii="Arial" w:hAnsi="Arial" w:cs="Arial"/>
          <w:b/>
          <w:sz w:val="24"/>
          <w:szCs w:val="24"/>
        </w:rPr>
        <w:t>TARY OF THE MINISTRY OF FINANCE</w:t>
      </w:r>
      <w:r w:rsidR="00931C29">
        <w:rPr>
          <w:rFonts w:ascii="Arial" w:hAnsi="Arial" w:cs="Arial"/>
          <w:b/>
          <w:sz w:val="24"/>
          <w:szCs w:val="24"/>
        </w:rPr>
        <w:t xml:space="preserve"> </w:t>
      </w:r>
      <w:r>
        <w:rPr>
          <w:rFonts w:ascii="Arial" w:hAnsi="Arial" w:cs="Arial"/>
          <w:b/>
          <w:sz w:val="24"/>
          <w:szCs w:val="24"/>
        </w:rPr>
        <w:t>2</w:t>
      </w:r>
      <w:r w:rsidRPr="00B713AB">
        <w:rPr>
          <w:rFonts w:ascii="Arial" w:hAnsi="Arial" w:cs="Arial"/>
          <w:b/>
          <w:sz w:val="24"/>
          <w:szCs w:val="24"/>
          <w:vertAlign w:val="superscript"/>
        </w:rPr>
        <w:t>ND</w:t>
      </w:r>
      <w:r>
        <w:rPr>
          <w:rFonts w:ascii="Arial" w:hAnsi="Arial" w:cs="Arial"/>
          <w:b/>
          <w:sz w:val="24"/>
          <w:szCs w:val="24"/>
        </w:rPr>
        <w:t xml:space="preserve"> </w:t>
      </w:r>
      <w:r w:rsidRPr="00B713AB">
        <w:rPr>
          <w:rFonts w:ascii="Arial" w:hAnsi="Arial" w:cs="Arial"/>
          <w:b/>
          <w:sz w:val="24"/>
          <w:szCs w:val="24"/>
        </w:rPr>
        <w:t>DEFENDANT</w:t>
      </w:r>
    </w:p>
    <w:p w:rsidR="00B713AB" w:rsidRPr="00B713AB" w:rsidRDefault="00B713AB" w:rsidP="004A7C1D">
      <w:pPr>
        <w:spacing w:after="0" w:line="360" w:lineRule="auto"/>
        <w:jc w:val="both"/>
        <w:rPr>
          <w:rFonts w:ascii="Arial" w:hAnsi="Arial" w:cs="Arial"/>
          <w:b/>
          <w:sz w:val="24"/>
          <w:szCs w:val="24"/>
        </w:rPr>
      </w:pPr>
      <w:r w:rsidRPr="00B713AB">
        <w:rPr>
          <w:rFonts w:ascii="Arial" w:hAnsi="Arial" w:cs="Arial"/>
          <w:b/>
          <w:sz w:val="24"/>
          <w:szCs w:val="24"/>
        </w:rPr>
        <w:t>THE MINISTER OF FINANCE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B713AB">
        <w:rPr>
          <w:rFonts w:ascii="Arial" w:hAnsi="Arial" w:cs="Arial"/>
          <w:b/>
          <w:sz w:val="24"/>
          <w:szCs w:val="24"/>
        </w:rPr>
        <w:t xml:space="preserve"> </w:t>
      </w:r>
      <w:r>
        <w:rPr>
          <w:rFonts w:ascii="Arial" w:hAnsi="Arial" w:cs="Arial"/>
          <w:b/>
          <w:sz w:val="24"/>
          <w:szCs w:val="24"/>
        </w:rPr>
        <w:t>3</w:t>
      </w:r>
      <w:r w:rsidRPr="00B713AB">
        <w:rPr>
          <w:rFonts w:ascii="Arial" w:hAnsi="Arial" w:cs="Arial"/>
          <w:b/>
          <w:sz w:val="24"/>
          <w:szCs w:val="24"/>
          <w:vertAlign w:val="superscript"/>
        </w:rPr>
        <w:t>RD</w:t>
      </w:r>
      <w:r w:rsidRPr="00B713AB">
        <w:rPr>
          <w:rFonts w:ascii="Arial" w:hAnsi="Arial" w:cs="Arial"/>
          <w:b/>
          <w:sz w:val="24"/>
          <w:szCs w:val="24"/>
        </w:rPr>
        <w:t xml:space="preserve"> DEFENDANT </w:t>
      </w:r>
    </w:p>
    <w:p w:rsidR="00B713AB" w:rsidRPr="00B713AB" w:rsidRDefault="00B713AB" w:rsidP="004A7C1D">
      <w:pPr>
        <w:spacing w:after="0" w:line="360" w:lineRule="auto"/>
        <w:jc w:val="both"/>
        <w:rPr>
          <w:rFonts w:ascii="Arial" w:hAnsi="Arial" w:cs="Arial"/>
          <w:b/>
          <w:sz w:val="24"/>
          <w:szCs w:val="24"/>
        </w:rPr>
      </w:pPr>
      <w:r w:rsidRPr="00B713AB">
        <w:rPr>
          <w:rFonts w:ascii="Arial" w:hAnsi="Arial" w:cs="Arial"/>
          <w:b/>
          <w:sz w:val="24"/>
          <w:szCs w:val="24"/>
        </w:rPr>
        <w:t xml:space="preserve">THE MINISTER OF EDUCATION </w:t>
      </w:r>
      <w:r>
        <w:rPr>
          <w:rFonts w:ascii="Arial" w:hAnsi="Arial" w:cs="Arial"/>
          <w:b/>
          <w:sz w:val="24"/>
          <w:szCs w:val="24"/>
        </w:rPr>
        <w:t xml:space="preserve">                                                 4</w:t>
      </w:r>
      <w:r w:rsidRPr="00B713AB">
        <w:rPr>
          <w:rFonts w:ascii="Arial" w:hAnsi="Arial" w:cs="Arial"/>
          <w:b/>
          <w:sz w:val="24"/>
          <w:szCs w:val="24"/>
          <w:vertAlign w:val="superscript"/>
        </w:rPr>
        <w:t>TH</w:t>
      </w:r>
      <w:r>
        <w:rPr>
          <w:rFonts w:ascii="Arial" w:hAnsi="Arial" w:cs="Arial"/>
          <w:b/>
          <w:sz w:val="24"/>
          <w:szCs w:val="24"/>
        </w:rPr>
        <w:t xml:space="preserve"> </w:t>
      </w:r>
      <w:r w:rsidRPr="00B713AB">
        <w:rPr>
          <w:rFonts w:ascii="Arial" w:hAnsi="Arial" w:cs="Arial"/>
          <w:b/>
          <w:sz w:val="24"/>
          <w:szCs w:val="24"/>
        </w:rPr>
        <w:t xml:space="preserve">DEFENDANT </w:t>
      </w:r>
    </w:p>
    <w:p w:rsidR="00B713AB" w:rsidRPr="00B713AB" w:rsidRDefault="00B713AB" w:rsidP="004A7C1D">
      <w:pPr>
        <w:spacing w:after="0" w:line="360" w:lineRule="auto"/>
        <w:jc w:val="both"/>
        <w:rPr>
          <w:rFonts w:ascii="Arial" w:hAnsi="Arial" w:cs="Arial"/>
          <w:b/>
          <w:sz w:val="24"/>
          <w:szCs w:val="24"/>
        </w:rPr>
      </w:pPr>
      <w:r w:rsidRPr="00B713AB">
        <w:rPr>
          <w:rFonts w:ascii="Arial" w:hAnsi="Arial" w:cs="Arial"/>
          <w:b/>
          <w:sz w:val="24"/>
          <w:szCs w:val="24"/>
        </w:rPr>
        <w:t>THE PRIME MINISTER OF THE REPUBLIC OF NAMIBIA</w:t>
      </w:r>
      <w:r>
        <w:rPr>
          <w:rFonts w:ascii="Arial" w:hAnsi="Arial" w:cs="Arial"/>
          <w:b/>
          <w:sz w:val="24"/>
          <w:szCs w:val="24"/>
        </w:rPr>
        <w:t xml:space="preserve">         </w:t>
      </w:r>
      <w:r w:rsidRPr="00B713AB">
        <w:rPr>
          <w:rFonts w:ascii="Arial" w:hAnsi="Arial" w:cs="Arial"/>
          <w:b/>
          <w:sz w:val="24"/>
          <w:szCs w:val="24"/>
        </w:rPr>
        <w:t xml:space="preserve"> </w:t>
      </w:r>
      <w:r>
        <w:rPr>
          <w:rFonts w:ascii="Arial" w:hAnsi="Arial" w:cs="Arial"/>
          <w:b/>
          <w:sz w:val="24"/>
          <w:szCs w:val="24"/>
        </w:rPr>
        <w:t>5</w:t>
      </w:r>
      <w:r w:rsidRPr="00B713AB">
        <w:rPr>
          <w:rFonts w:ascii="Arial" w:hAnsi="Arial" w:cs="Arial"/>
          <w:b/>
          <w:sz w:val="24"/>
          <w:szCs w:val="24"/>
          <w:vertAlign w:val="superscript"/>
        </w:rPr>
        <w:t>TH</w:t>
      </w:r>
      <w:r w:rsidRPr="00B713AB">
        <w:rPr>
          <w:rFonts w:ascii="Arial" w:hAnsi="Arial" w:cs="Arial"/>
          <w:b/>
          <w:sz w:val="24"/>
          <w:szCs w:val="24"/>
        </w:rPr>
        <w:t xml:space="preserve"> DEFENDANT</w:t>
      </w:r>
    </w:p>
    <w:p w:rsidR="00B713AB"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sz w:val="24"/>
          <w:szCs w:val="24"/>
        </w:rPr>
      </w:pPr>
      <w:r w:rsidRPr="004B5E3E">
        <w:rPr>
          <w:rFonts w:ascii="Arial" w:hAnsi="Arial" w:cs="Arial"/>
          <w:b/>
          <w:sz w:val="24"/>
          <w:szCs w:val="24"/>
        </w:rPr>
        <w:t xml:space="preserve">Neutral Citation: </w:t>
      </w:r>
      <w:r w:rsidRPr="009076E8">
        <w:rPr>
          <w:rFonts w:ascii="Arial" w:hAnsi="Arial" w:cs="Arial"/>
          <w:i/>
          <w:sz w:val="24"/>
          <w:szCs w:val="24"/>
          <w:shd w:val="clear" w:color="auto" w:fill="FFFFFF"/>
        </w:rPr>
        <w:t>Pamo Trading Enterprises CC v</w:t>
      </w:r>
      <w:r w:rsidRPr="009076E8">
        <w:rPr>
          <w:rFonts w:ascii="Arial" w:hAnsi="Arial" w:cs="Arial"/>
          <w:i/>
          <w:sz w:val="24"/>
          <w:szCs w:val="24"/>
        </w:rPr>
        <w:t xml:space="preserve"> Tender </w:t>
      </w:r>
      <w:r w:rsidRPr="00B713AB">
        <w:rPr>
          <w:rFonts w:ascii="Arial" w:hAnsi="Arial" w:cs="Arial"/>
          <w:i/>
          <w:sz w:val="24"/>
          <w:szCs w:val="24"/>
        </w:rPr>
        <w:t xml:space="preserve">Board </w:t>
      </w:r>
      <w:r>
        <w:rPr>
          <w:rFonts w:ascii="Arial" w:hAnsi="Arial" w:cs="Arial"/>
          <w:i/>
          <w:sz w:val="24"/>
          <w:szCs w:val="24"/>
        </w:rPr>
        <w:t>of</w:t>
      </w:r>
      <w:r w:rsidRPr="00B713AB">
        <w:rPr>
          <w:rFonts w:ascii="Arial" w:hAnsi="Arial" w:cs="Arial"/>
          <w:i/>
          <w:sz w:val="24"/>
          <w:szCs w:val="24"/>
        </w:rPr>
        <w:t xml:space="preserve"> Namibia</w:t>
      </w:r>
      <w:r w:rsidRPr="004B5E3E">
        <w:rPr>
          <w:rFonts w:ascii="Arial" w:hAnsi="Arial" w:cs="Arial"/>
          <w:i/>
          <w:sz w:val="24"/>
          <w:szCs w:val="24"/>
        </w:rPr>
        <w:t xml:space="preserve"> </w:t>
      </w:r>
      <w:r w:rsidRPr="004B5E3E">
        <w:rPr>
          <w:rFonts w:ascii="Arial" w:hAnsi="Arial" w:cs="Arial"/>
          <w:sz w:val="24"/>
          <w:szCs w:val="24"/>
        </w:rPr>
        <w:t>(HC-MD-CIV-ACT-DEL-20</w:t>
      </w:r>
      <w:r>
        <w:rPr>
          <w:rFonts w:ascii="Arial" w:hAnsi="Arial" w:cs="Arial"/>
          <w:sz w:val="24"/>
          <w:szCs w:val="24"/>
        </w:rPr>
        <w:t>20</w:t>
      </w:r>
      <w:r w:rsidRPr="004B5E3E">
        <w:rPr>
          <w:rFonts w:ascii="Arial" w:hAnsi="Arial" w:cs="Arial"/>
          <w:sz w:val="24"/>
          <w:szCs w:val="24"/>
        </w:rPr>
        <w:t>/0</w:t>
      </w:r>
      <w:r>
        <w:rPr>
          <w:rFonts w:ascii="Arial" w:hAnsi="Arial" w:cs="Arial"/>
          <w:sz w:val="24"/>
          <w:szCs w:val="24"/>
        </w:rPr>
        <w:t>2891</w:t>
      </w:r>
      <w:r w:rsidRPr="004B5E3E">
        <w:rPr>
          <w:rFonts w:ascii="Arial" w:hAnsi="Arial" w:cs="Arial"/>
          <w:sz w:val="24"/>
          <w:szCs w:val="24"/>
        </w:rPr>
        <w:t>) [2020] NAHCMD</w:t>
      </w:r>
      <w:bookmarkStart w:id="0" w:name="_GoBack"/>
      <w:r w:rsidRPr="004B5E3E">
        <w:rPr>
          <w:rFonts w:ascii="Arial" w:hAnsi="Arial" w:cs="Arial"/>
          <w:sz w:val="24"/>
          <w:szCs w:val="24"/>
        </w:rPr>
        <w:t xml:space="preserve"> </w:t>
      </w:r>
      <w:r w:rsidR="00665ABD">
        <w:rPr>
          <w:rFonts w:ascii="Arial" w:hAnsi="Arial" w:cs="Arial"/>
          <w:sz w:val="24"/>
          <w:szCs w:val="24"/>
        </w:rPr>
        <w:t>599</w:t>
      </w:r>
      <w:r>
        <w:rPr>
          <w:rFonts w:ascii="Arial" w:hAnsi="Arial" w:cs="Arial"/>
          <w:color w:val="FF0000"/>
          <w:sz w:val="24"/>
          <w:szCs w:val="24"/>
        </w:rPr>
        <w:t xml:space="preserve"> </w:t>
      </w:r>
      <w:bookmarkEnd w:id="0"/>
      <w:r w:rsidRPr="004B5E3E">
        <w:rPr>
          <w:rFonts w:ascii="Arial" w:hAnsi="Arial" w:cs="Arial"/>
          <w:sz w:val="24"/>
          <w:szCs w:val="24"/>
        </w:rPr>
        <w:t>(</w:t>
      </w:r>
      <w:r w:rsidR="00D02A99">
        <w:rPr>
          <w:rFonts w:ascii="Arial" w:hAnsi="Arial" w:cs="Arial"/>
          <w:sz w:val="24"/>
          <w:szCs w:val="24"/>
        </w:rPr>
        <w:t>09</w:t>
      </w:r>
      <w:r>
        <w:rPr>
          <w:rFonts w:ascii="Arial" w:hAnsi="Arial" w:cs="Arial"/>
          <w:sz w:val="24"/>
          <w:szCs w:val="24"/>
        </w:rPr>
        <w:t xml:space="preserve"> December</w:t>
      </w:r>
      <w:r w:rsidRPr="004B5E3E">
        <w:rPr>
          <w:rFonts w:ascii="Arial" w:hAnsi="Arial" w:cs="Arial"/>
          <w:sz w:val="24"/>
          <w:szCs w:val="24"/>
        </w:rPr>
        <w:t xml:space="preserve"> 2020) </w:t>
      </w:r>
    </w:p>
    <w:p w:rsidR="00B713AB" w:rsidRPr="004B5E3E" w:rsidRDefault="00B713AB" w:rsidP="004A7C1D">
      <w:pPr>
        <w:spacing w:after="0" w:line="360" w:lineRule="auto"/>
        <w:jc w:val="both"/>
        <w:rPr>
          <w:rFonts w:ascii="Arial" w:hAnsi="Arial" w:cs="Arial"/>
          <w:b/>
          <w:sz w:val="24"/>
          <w:szCs w:val="24"/>
        </w:rPr>
      </w:pPr>
    </w:p>
    <w:p w:rsidR="00B713AB" w:rsidRPr="004B5E3E" w:rsidRDefault="00B713AB" w:rsidP="004A7C1D">
      <w:pPr>
        <w:spacing w:after="0" w:line="360" w:lineRule="auto"/>
        <w:jc w:val="both"/>
        <w:rPr>
          <w:rFonts w:ascii="Arial" w:hAnsi="Arial" w:cs="Arial"/>
          <w:b/>
          <w:sz w:val="24"/>
          <w:szCs w:val="24"/>
        </w:rPr>
      </w:pPr>
      <w:r w:rsidRPr="004B5E3E">
        <w:rPr>
          <w:rFonts w:ascii="Arial" w:hAnsi="Arial" w:cs="Arial"/>
          <w:sz w:val="24"/>
          <w:szCs w:val="24"/>
        </w:rPr>
        <w:t>Coram:</w:t>
      </w:r>
      <w:r w:rsidRPr="004B5E3E">
        <w:rPr>
          <w:rFonts w:ascii="Arial" w:hAnsi="Arial" w:cs="Arial"/>
          <w:b/>
          <w:sz w:val="24"/>
          <w:szCs w:val="24"/>
        </w:rPr>
        <w:tab/>
        <w:t>PRINSLOO J</w:t>
      </w:r>
    </w:p>
    <w:p w:rsidR="00B713AB" w:rsidRPr="004B5E3E" w:rsidRDefault="00B713AB" w:rsidP="004A7C1D">
      <w:pPr>
        <w:spacing w:after="0" w:line="360" w:lineRule="auto"/>
        <w:ind w:left="1440" w:hanging="1440"/>
        <w:jc w:val="both"/>
        <w:rPr>
          <w:rFonts w:ascii="Arial" w:hAnsi="Arial" w:cs="Arial"/>
          <w:sz w:val="24"/>
          <w:szCs w:val="24"/>
        </w:rPr>
      </w:pPr>
      <w:r>
        <w:rPr>
          <w:rFonts w:ascii="Arial" w:hAnsi="Arial" w:cs="Arial"/>
          <w:sz w:val="24"/>
          <w:szCs w:val="24"/>
        </w:rPr>
        <w:t>Heard:</w:t>
      </w:r>
      <w:r>
        <w:rPr>
          <w:rFonts w:ascii="Arial" w:hAnsi="Arial" w:cs="Arial"/>
          <w:sz w:val="24"/>
          <w:szCs w:val="24"/>
        </w:rPr>
        <w:tab/>
      </w:r>
      <w:r w:rsidR="00452897">
        <w:rPr>
          <w:rFonts w:ascii="Arial" w:hAnsi="Arial" w:cs="Arial"/>
          <w:sz w:val="24"/>
          <w:szCs w:val="24"/>
        </w:rPr>
        <w:t xml:space="preserve">18 November </w:t>
      </w:r>
      <w:r w:rsidRPr="004B5E3E">
        <w:rPr>
          <w:rFonts w:ascii="Arial" w:hAnsi="Arial" w:cs="Arial"/>
          <w:sz w:val="24"/>
          <w:szCs w:val="24"/>
        </w:rPr>
        <w:t>2020</w:t>
      </w:r>
    </w:p>
    <w:p w:rsidR="00B713AB" w:rsidRPr="004B5E3E" w:rsidRDefault="00B713AB" w:rsidP="004A7C1D">
      <w:pPr>
        <w:spacing w:after="0" w:line="360" w:lineRule="auto"/>
        <w:jc w:val="both"/>
        <w:rPr>
          <w:rFonts w:ascii="Arial" w:hAnsi="Arial" w:cs="Arial"/>
          <w:sz w:val="24"/>
          <w:szCs w:val="24"/>
        </w:rPr>
      </w:pPr>
      <w:r>
        <w:rPr>
          <w:rFonts w:ascii="Arial" w:hAnsi="Arial" w:cs="Arial"/>
          <w:sz w:val="24"/>
          <w:szCs w:val="24"/>
        </w:rPr>
        <w:t>Delivered:</w:t>
      </w:r>
      <w:r>
        <w:rPr>
          <w:rFonts w:ascii="Arial" w:hAnsi="Arial" w:cs="Arial"/>
          <w:sz w:val="24"/>
          <w:szCs w:val="24"/>
        </w:rPr>
        <w:tab/>
      </w:r>
      <w:r w:rsidR="00452897">
        <w:rPr>
          <w:rFonts w:ascii="Arial" w:hAnsi="Arial" w:cs="Arial"/>
          <w:sz w:val="24"/>
          <w:szCs w:val="24"/>
        </w:rPr>
        <w:t>9 December</w:t>
      </w:r>
      <w:r w:rsidRPr="004B5E3E">
        <w:rPr>
          <w:rFonts w:ascii="Arial" w:hAnsi="Arial" w:cs="Arial"/>
          <w:sz w:val="24"/>
          <w:szCs w:val="24"/>
        </w:rPr>
        <w:t xml:space="preserve"> 2020</w:t>
      </w:r>
    </w:p>
    <w:p w:rsidR="00B713AB" w:rsidRDefault="00B713AB" w:rsidP="004A7C1D">
      <w:pPr>
        <w:spacing w:after="0" w:line="360" w:lineRule="auto"/>
        <w:jc w:val="both"/>
        <w:rPr>
          <w:rFonts w:ascii="Arial" w:hAnsi="Arial" w:cs="Arial"/>
          <w:sz w:val="24"/>
          <w:szCs w:val="24"/>
        </w:rPr>
      </w:pPr>
      <w:r>
        <w:rPr>
          <w:rFonts w:ascii="Arial" w:hAnsi="Arial" w:cs="Arial"/>
          <w:sz w:val="24"/>
          <w:szCs w:val="24"/>
        </w:rPr>
        <w:lastRenderedPageBreak/>
        <w:t>Reasons:</w:t>
      </w:r>
      <w:r>
        <w:rPr>
          <w:rFonts w:ascii="Arial" w:hAnsi="Arial" w:cs="Arial"/>
          <w:sz w:val="24"/>
          <w:szCs w:val="24"/>
        </w:rPr>
        <w:tab/>
      </w:r>
      <w:r w:rsidR="0001065E">
        <w:rPr>
          <w:rFonts w:ascii="Arial" w:hAnsi="Arial" w:cs="Arial"/>
          <w:sz w:val="24"/>
          <w:szCs w:val="24"/>
        </w:rPr>
        <w:t>15</w:t>
      </w:r>
      <w:r w:rsidR="00452897">
        <w:rPr>
          <w:rFonts w:ascii="Arial" w:hAnsi="Arial" w:cs="Arial"/>
          <w:sz w:val="24"/>
          <w:szCs w:val="24"/>
        </w:rPr>
        <w:t xml:space="preserve"> December</w:t>
      </w:r>
      <w:r w:rsidRPr="004B5E3E">
        <w:rPr>
          <w:rFonts w:ascii="Arial" w:hAnsi="Arial" w:cs="Arial"/>
          <w:sz w:val="24"/>
          <w:szCs w:val="24"/>
        </w:rPr>
        <w:t xml:space="preserve"> 2020</w:t>
      </w:r>
    </w:p>
    <w:p w:rsidR="00B713AB" w:rsidRDefault="00B713AB" w:rsidP="004A7C1D">
      <w:pPr>
        <w:spacing w:after="0" w:line="360" w:lineRule="auto"/>
        <w:jc w:val="both"/>
        <w:rPr>
          <w:rFonts w:ascii="Arial" w:hAnsi="Arial" w:cs="Arial"/>
          <w:sz w:val="24"/>
          <w:szCs w:val="24"/>
        </w:rPr>
      </w:pPr>
    </w:p>
    <w:p w:rsidR="00D02A99" w:rsidRDefault="00B713AB" w:rsidP="004A7C1D">
      <w:pPr>
        <w:spacing w:after="0" w:line="360" w:lineRule="auto"/>
        <w:jc w:val="both"/>
        <w:rPr>
          <w:rFonts w:ascii="Arial" w:hAnsi="Arial" w:cs="Arial"/>
          <w:sz w:val="24"/>
          <w:szCs w:val="24"/>
        </w:rPr>
      </w:pPr>
      <w:r w:rsidRPr="00946840">
        <w:rPr>
          <w:rFonts w:ascii="Arial" w:hAnsi="Arial" w:cs="Arial"/>
          <w:b/>
          <w:sz w:val="24"/>
          <w:szCs w:val="24"/>
        </w:rPr>
        <w:t>Flynote:</w:t>
      </w:r>
      <w:r w:rsidR="00C202E1">
        <w:rPr>
          <w:rFonts w:ascii="Arial" w:hAnsi="Arial" w:cs="Arial"/>
          <w:b/>
          <w:sz w:val="24"/>
          <w:szCs w:val="24"/>
        </w:rPr>
        <w:t xml:space="preserve">   </w:t>
      </w:r>
      <w:r w:rsidR="00C202E1">
        <w:rPr>
          <w:rFonts w:ascii="Arial" w:hAnsi="Arial" w:cs="Arial"/>
          <w:sz w:val="24"/>
          <w:szCs w:val="24"/>
        </w:rPr>
        <w:t>Practice and Procedure – Pleadings – Rule 57 – Exception –</w:t>
      </w:r>
      <w:r w:rsidR="00C5052F">
        <w:rPr>
          <w:rFonts w:ascii="Arial" w:hAnsi="Arial" w:cs="Arial"/>
          <w:sz w:val="24"/>
          <w:szCs w:val="24"/>
        </w:rPr>
        <w:t xml:space="preserve"> P</w:t>
      </w:r>
      <w:r w:rsidR="00C5052F" w:rsidRPr="00E3516C">
        <w:rPr>
          <w:rFonts w:ascii="Arial" w:hAnsi="Arial" w:cs="Arial"/>
          <w:sz w:val="24"/>
          <w:szCs w:val="24"/>
        </w:rPr>
        <w:t xml:space="preserve">laintiffs’ </w:t>
      </w:r>
      <w:r w:rsidR="00C5052F">
        <w:rPr>
          <w:rFonts w:ascii="Arial" w:hAnsi="Arial" w:cs="Arial"/>
          <w:sz w:val="24"/>
          <w:szCs w:val="24"/>
        </w:rPr>
        <w:t>p</w:t>
      </w:r>
      <w:r w:rsidR="00C5052F" w:rsidRPr="00E3516C">
        <w:rPr>
          <w:rFonts w:ascii="Arial" w:hAnsi="Arial" w:cs="Arial"/>
          <w:sz w:val="24"/>
          <w:szCs w:val="24"/>
        </w:rPr>
        <w:t xml:space="preserve">articulars of </w:t>
      </w:r>
      <w:r w:rsidR="00C5052F">
        <w:rPr>
          <w:rFonts w:ascii="Arial" w:hAnsi="Arial" w:cs="Arial"/>
          <w:sz w:val="24"/>
          <w:szCs w:val="24"/>
        </w:rPr>
        <w:t>c</w:t>
      </w:r>
      <w:r w:rsidR="00C5052F" w:rsidRPr="00E3516C">
        <w:rPr>
          <w:rFonts w:ascii="Arial" w:hAnsi="Arial" w:cs="Arial"/>
          <w:sz w:val="24"/>
          <w:szCs w:val="24"/>
        </w:rPr>
        <w:t>laim does not disclose a cause of action and is bad in law</w:t>
      </w:r>
      <w:r w:rsidR="008F1D11">
        <w:rPr>
          <w:rFonts w:ascii="Arial" w:hAnsi="Arial" w:cs="Arial"/>
          <w:sz w:val="24"/>
          <w:szCs w:val="24"/>
        </w:rPr>
        <w:t xml:space="preserve"> – Pleadings </w:t>
      </w:r>
      <w:r w:rsidR="00221E5F">
        <w:rPr>
          <w:rFonts w:ascii="Arial" w:hAnsi="Arial" w:cs="Arial"/>
          <w:sz w:val="24"/>
          <w:szCs w:val="24"/>
        </w:rPr>
        <w:t>excipiable.</w:t>
      </w:r>
    </w:p>
    <w:p w:rsidR="00221E5F" w:rsidRDefault="00221E5F" w:rsidP="004A7C1D">
      <w:pPr>
        <w:spacing w:after="0" w:line="360" w:lineRule="auto"/>
        <w:jc w:val="both"/>
        <w:rPr>
          <w:rFonts w:ascii="Arial" w:hAnsi="Arial" w:cs="Arial"/>
          <w:b/>
          <w:sz w:val="24"/>
          <w:szCs w:val="24"/>
        </w:rPr>
      </w:pPr>
    </w:p>
    <w:p w:rsidR="00D02A99" w:rsidRDefault="00D02A99" w:rsidP="004A7C1D">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Summary</w:t>
      </w:r>
      <w:r w:rsidRPr="00F5594B">
        <w:rPr>
          <w:rFonts w:ascii="Arial" w:hAnsi="Arial" w:cs="Arial"/>
          <w:b/>
          <w:sz w:val="24"/>
          <w:szCs w:val="24"/>
        </w:rPr>
        <w:t xml:space="preserve">:  </w:t>
      </w:r>
      <w:r w:rsidRPr="00F5594B">
        <w:rPr>
          <w:rFonts w:ascii="Arial" w:eastAsia="Times New Roman" w:hAnsi="Arial" w:cs="Arial"/>
          <w:sz w:val="24"/>
          <w:szCs w:val="24"/>
          <w:lang w:eastAsia="en-ZA"/>
        </w:rPr>
        <w:t xml:space="preserve">The matter before me concerns an exception taken against particulars of claim exacting constitutional damages. </w:t>
      </w:r>
      <w:r w:rsidRPr="00F5594B">
        <w:rPr>
          <w:rFonts w:ascii="Arial" w:hAnsi="Arial" w:cs="Arial"/>
          <w:sz w:val="24"/>
          <w:szCs w:val="24"/>
        </w:rPr>
        <w:t>D</w:t>
      </w:r>
      <w:r w:rsidR="00F5594B" w:rsidRPr="00F5594B">
        <w:rPr>
          <w:rFonts w:ascii="Arial" w:hAnsi="Arial" w:cs="Arial"/>
          <w:sz w:val="24"/>
          <w:szCs w:val="24"/>
        </w:rPr>
        <w:t>uring or about March 2014, the first d</w:t>
      </w:r>
      <w:r w:rsidRPr="00F5594B">
        <w:rPr>
          <w:rFonts w:ascii="Arial" w:hAnsi="Arial" w:cs="Arial"/>
          <w:sz w:val="24"/>
          <w:szCs w:val="24"/>
        </w:rPr>
        <w:t>efendant invited tenders for the provision of catering services for Government Schools in each of the Seven (7) Regions of Namibia, and in terms of and/or under Tender Number M9-11/2014, for the period 1 June 2014 to 31 May 2019.</w:t>
      </w:r>
    </w:p>
    <w:p w:rsidR="00D02A99" w:rsidRPr="008B5C93" w:rsidRDefault="00D02A99" w:rsidP="004A7C1D">
      <w:pPr>
        <w:autoSpaceDE w:val="0"/>
        <w:autoSpaceDN w:val="0"/>
        <w:adjustRightInd w:val="0"/>
        <w:spacing w:after="0" w:line="360" w:lineRule="auto"/>
        <w:jc w:val="both"/>
        <w:rPr>
          <w:rFonts w:ascii="Arial" w:hAnsi="Arial" w:cs="Arial"/>
          <w:sz w:val="24"/>
          <w:szCs w:val="24"/>
        </w:rPr>
      </w:pPr>
    </w:p>
    <w:p w:rsidR="009E547F" w:rsidRDefault="00D02A99" w:rsidP="004A7C1D">
      <w:pPr>
        <w:spacing w:after="0" w:line="360" w:lineRule="auto"/>
        <w:jc w:val="both"/>
        <w:rPr>
          <w:rFonts w:ascii="Arial" w:hAnsi="Arial" w:cs="Arial"/>
          <w:sz w:val="24"/>
          <w:szCs w:val="24"/>
        </w:rPr>
      </w:pPr>
      <w:r w:rsidRPr="008B5C93">
        <w:rPr>
          <w:rFonts w:ascii="Arial" w:hAnsi="Arial" w:cs="Arial"/>
          <w:sz w:val="24"/>
          <w:szCs w:val="24"/>
        </w:rPr>
        <w:t xml:space="preserve">The </w:t>
      </w:r>
      <w:r>
        <w:rPr>
          <w:rFonts w:ascii="Arial" w:hAnsi="Arial" w:cs="Arial"/>
          <w:sz w:val="24"/>
          <w:szCs w:val="24"/>
        </w:rPr>
        <w:t>p</w:t>
      </w:r>
      <w:r w:rsidRPr="008B5C93">
        <w:rPr>
          <w:rFonts w:ascii="Arial" w:hAnsi="Arial" w:cs="Arial"/>
          <w:sz w:val="24"/>
          <w:szCs w:val="24"/>
        </w:rPr>
        <w:t xml:space="preserve">laintiffs, separately submitted in terms of the said tender and consequent thereto a representative of the fourth defendant conducted </w:t>
      </w:r>
      <w:r w:rsidR="00C5052F">
        <w:rPr>
          <w:rFonts w:ascii="Arial" w:hAnsi="Arial" w:cs="Arial"/>
          <w:sz w:val="24"/>
          <w:szCs w:val="24"/>
        </w:rPr>
        <w:t xml:space="preserve">site </w:t>
      </w:r>
      <w:r w:rsidRPr="008B5C93">
        <w:rPr>
          <w:rFonts w:ascii="Arial" w:hAnsi="Arial" w:cs="Arial"/>
          <w:sz w:val="24"/>
          <w:szCs w:val="24"/>
        </w:rPr>
        <w:t xml:space="preserve">visits and inspections of the respective plaintiffs’ catering premises, which the plaintiffs considered as indicative of being awarded the tenders. </w:t>
      </w:r>
      <w:r>
        <w:rPr>
          <w:rFonts w:ascii="Arial" w:hAnsi="Arial" w:cs="Arial"/>
          <w:sz w:val="24"/>
          <w:szCs w:val="24"/>
        </w:rPr>
        <w:t>Then o</w:t>
      </w:r>
      <w:r w:rsidRPr="002B7391">
        <w:rPr>
          <w:rFonts w:ascii="Arial" w:hAnsi="Arial" w:cs="Arial"/>
          <w:sz w:val="24"/>
          <w:szCs w:val="24"/>
        </w:rPr>
        <w:t xml:space="preserve">n or about 2 October 2014 the </w:t>
      </w:r>
      <w:r>
        <w:rPr>
          <w:rFonts w:ascii="Arial" w:hAnsi="Arial" w:cs="Arial"/>
          <w:sz w:val="24"/>
          <w:szCs w:val="24"/>
        </w:rPr>
        <w:t>f</w:t>
      </w:r>
      <w:r w:rsidRPr="002B7391">
        <w:rPr>
          <w:rFonts w:ascii="Arial" w:hAnsi="Arial" w:cs="Arial"/>
          <w:sz w:val="24"/>
          <w:szCs w:val="24"/>
        </w:rPr>
        <w:t xml:space="preserve">irst </w:t>
      </w:r>
      <w:r>
        <w:rPr>
          <w:rFonts w:ascii="Arial" w:hAnsi="Arial" w:cs="Arial"/>
          <w:sz w:val="24"/>
          <w:szCs w:val="24"/>
        </w:rPr>
        <w:t>d</w:t>
      </w:r>
      <w:r w:rsidRPr="002B7391">
        <w:rPr>
          <w:rFonts w:ascii="Arial" w:hAnsi="Arial" w:cs="Arial"/>
          <w:sz w:val="24"/>
          <w:szCs w:val="24"/>
        </w:rPr>
        <w:t xml:space="preserve">efendant, during a </w:t>
      </w:r>
      <w:r>
        <w:rPr>
          <w:rFonts w:ascii="Arial" w:hAnsi="Arial" w:cs="Arial"/>
          <w:sz w:val="24"/>
          <w:szCs w:val="24"/>
        </w:rPr>
        <w:t>b</w:t>
      </w:r>
      <w:r w:rsidRPr="002B7391">
        <w:rPr>
          <w:rFonts w:ascii="Arial" w:hAnsi="Arial" w:cs="Arial"/>
          <w:sz w:val="24"/>
          <w:szCs w:val="24"/>
        </w:rPr>
        <w:t>oard</w:t>
      </w:r>
      <w:r>
        <w:rPr>
          <w:rFonts w:ascii="Arial" w:hAnsi="Arial" w:cs="Arial"/>
          <w:sz w:val="24"/>
          <w:szCs w:val="24"/>
        </w:rPr>
        <w:t xml:space="preserve"> m</w:t>
      </w:r>
      <w:r w:rsidRPr="002B7391">
        <w:rPr>
          <w:rFonts w:ascii="Arial" w:hAnsi="Arial" w:cs="Arial"/>
          <w:sz w:val="24"/>
          <w:szCs w:val="24"/>
        </w:rPr>
        <w:t xml:space="preserve">eeting, resolved to award the contract to the </w:t>
      </w:r>
      <w:r>
        <w:rPr>
          <w:rFonts w:ascii="Arial" w:hAnsi="Arial" w:cs="Arial"/>
          <w:sz w:val="24"/>
          <w:szCs w:val="24"/>
        </w:rPr>
        <w:t>three p</w:t>
      </w:r>
      <w:r w:rsidRPr="002B7391">
        <w:rPr>
          <w:rFonts w:ascii="Arial" w:hAnsi="Arial" w:cs="Arial"/>
          <w:sz w:val="24"/>
          <w:szCs w:val="24"/>
        </w:rPr>
        <w:t xml:space="preserve">laintiffs </w:t>
      </w:r>
      <w:r>
        <w:rPr>
          <w:rFonts w:ascii="Arial" w:hAnsi="Arial" w:cs="Arial"/>
          <w:sz w:val="24"/>
          <w:szCs w:val="24"/>
        </w:rPr>
        <w:t>in respect of the regions tendered for</w:t>
      </w:r>
      <w:r w:rsidR="00C5052F">
        <w:rPr>
          <w:rFonts w:ascii="Arial" w:hAnsi="Arial" w:cs="Arial"/>
          <w:sz w:val="24"/>
          <w:szCs w:val="24"/>
        </w:rPr>
        <w:t>.</w:t>
      </w:r>
      <w:r w:rsidRPr="00BA36E5">
        <w:rPr>
          <w:rFonts w:ascii="Arial" w:hAnsi="Arial" w:cs="Arial"/>
          <w:sz w:val="24"/>
          <w:szCs w:val="24"/>
        </w:rPr>
        <w:t xml:space="preserve"> </w:t>
      </w:r>
      <w:r>
        <w:rPr>
          <w:rFonts w:ascii="Arial" w:hAnsi="Arial" w:cs="Arial"/>
          <w:sz w:val="24"/>
          <w:szCs w:val="24"/>
        </w:rPr>
        <w:t>The plaintiffs were not notified of the acceptance of their respective tenders.</w:t>
      </w:r>
    </w:p>
    <w:p w:rsidR="00221E5F" w:rsidRDefault="00221E5F" w:rsidP="004A7C1D">
      <w:pPr>
        <w:spacing w:after="0" w:line="360" w:lineRule="auto"/>
        <w:jc w:val="both"/>
        <w:rPr>
          <w:rFonts w:ascii="Arial" w:hAnsi="Arial" w:cs="Arial"/>
          <w:sz w:val="24"/>
          <w:szCs w:val="24"/>
        </w:rPr>
      </w:pPr>
    </w:p>
    <w:p w:rsidR="00C5052F" w:rsidRPr="002B7391" w:rsidRDefault="00C5052F" w:rsidP="004A7C1D">
      <w:pPr>
        <w:autoSpaceDE w:val="0"/>
        <w:autoSpaceDN w:val="0"/>
        <w:adjustRightInd w:val="0"/>
        <w:spacing w:after="0" w:line="360" w:lineRule="auto"/>
        <w:jc w:val="both"/>
        <w:rPr>
          <w:rFonts w:ascii="Arial" w:hAnsi="Arial" w:cs="Arial"/>
          <w:sz w:val="24"/>
          <w:szCs w:val="24"/>
        </w:rPr>
      </w:pPr>
      <w:r w:rsidRPr="002B7391">
        <w:rPr>
          <w:rFonts w:ascii="Arial" w:hAnsi="Arial" w:cs="Arial"/>
          <w:sz w:val="24"/>
          <w:szCs w:val="24"/>
        </w:rPr>
        <w:t xml:space="preserve">During October 2014, </w:t>
      </w:r>
      <w:r>
        <w:rPr>
          <w:rFonts w:ascii="Arial" w:hAnsi="Arial" w:cs="Arial"/>
          <w:sz w:val="24"/>
          <w:szCs w:val="24"/>
        </w:rPr>
        <w:t>before the plaintiffs were notified of the outcome of the tenders certain allegations surfaced in the local newspapers, which allegations were that Permanent Secretary in the Ministry was involved in the allocation of one of the tenders in respect of the regions. T</w:t>
      </w:r>
      <w:r w:rsidRPr="002B7391">
        <w:rPr>
          <w:rFonts w:ascii="Arial" w:hAnsi="Arial" w:cs="Arial"/>
          <w:sz w:val="24"/>
          <w:szCs w:val="24"/>
        </w:rPr>
        <w:t xml:space="preserve">he </w:t>
      </w:r>
      <w:r>
        <w:rPr>
          <w:rFonts w:ascii="Arial" w:hAnsi="Arial" w:cs="Arial"/>
          <w:sz w:val="24"/>
          <w:szCs w:val="24"/>
        </w:rPr>
        <w:t>f</w:t>
      </w:r>
      <w:r w:rsidRPr="002B7391">
        <w:rPr>
          <w:rFonts w:ascii="Arial" w:hAnsi="Arial" w:cs="Arial"/>
          <w:sz w:val="24"/>
          <w:szCs w:val="24"/>
        </w:rPr>
        <w:t xml:space="preserve">ourth and/or </w:t>
      </w:r>
      <w:r>
        <w:rPr>
          <w:rFonts w:ascii="Arial" w:hAnsi="Arial" w:cs="Arial"/>
          <w:sz w:val="24"/>
          <w:szCs w:val="24"/>
        </w:rPr>
        <w:t>f</w:t>
      </w:r>
      <w:r w:rsidRPr="002B7391">
        <w:rPr>
          <w:rFonts w:ascii="Arial" w:hAnsi="Arial" w:cs="Arial"/>
          <w:sz w:val="24"/>
          <w:szCs w:val="24"/>
        </w:rPr>
        <w:t>ifth</w:t>
      </w:r>
      <w:r>
        <w:rPr>
          <w:rFonts w:ascii="Arial" w:hAnsi="Arial" w:cs="Arial"/>
          <w:sz w:val="24"/>
          <w:szCs w:val="24"/>
        </w:rPr>
        <w:t xml:space="preserve"> d</w:t>
      </w:r>
      <w:r w:rsidRPr="002B7391">
        <w:rPr>
          <w:rFonts w:ascii="Arial" w:hAnsi="Arial" w:cs="Arial"/>
          <w:sz w:val="24"/>
          <w:szCs w:val="24"/>
        </w:rPr>
        <w:t xml:space="preserve">efendants </w:t>
      </w:r>
      <w:r>
        <w:rPr>
          <w:rFonts w:ascii="Arial" w:hAnsi="Arial" w:cs="Arial"/>
          <w:sz w:val="24"/>
          <w:szCs w:val="24"/>
        </w:rPr>
        <w:t>apparently then requested</w:t>
      </w:r>
      <w:r w:rsidRPr="002B7391">
        <w:rPr>
          <w:rFonts w:ascii="Arial" w:hAnsi="Arial" w:cs="Arial"/>
          <w:sz w:val="24"/>
          <w:szCs w:val="24"/>
        </w:rPr>
        <w:t xml:space="preserve"> that </w:t>
      </w:r>
      <w:r>
        <w:rPr>
          <w:rFonts w:ascii="Arial" w:hAnsi="Arial" w:cs="Arial"/>
          <w:sz w:val="24"/>
          <w:szCs w:val="24"/>
        </w:rPr>
        <w:t>f</w:t>
      </w:r>
      <w:r w:rsidRPr="002B7391">
        <w:rPr>
          <w:rFonts w:ascii="Arial" w:hAnsi="Arial" w:cs="Arial"/>
          <w:sz w:val="24"/>
          <w:szCs w:val="24"/>
        </w:rPr>
        <w:t xml:space="preserve">irst </w:t>
      </w:r>
      <w:r>
        <w:rPr>
          <w:rFonts w:ascii="Arial" w:hAnsi="Arial" w:cs="Arial"/>
          <w:sz w:val="24"/>
          <w:szCs w:val="24"/>
        </w:rPr>
        <w:t>d</w:t>
      </w:r>
      <w:r w:rsidRPr="002B7391">
        <w:rPr>
          <w:rFonts w:ascii="Arial" w:hAnsi="Arial" w:cs="Arial"/>
          <w:sz w:val="24"/>
          <w:szCs w:val="24"/>
        </w:rPr>
        <w:t>efendant cancel the award of</w:t>
      </w:r>
      <w:r>
        <w:rPr>
          <w:rFonts w:ascii="Arial" w:hAnsi="Arial" w:cs="Arial"/>
          <w:sz w:val="24"/>
          <w:szCs w:val="24"/>
        </w:rPr>
        <w:t xml:space="preserve"> </w:t>
      </w:r>
      <w:r w:rsidRPr="002B7391">
        <w:rPr>
          <w:rFonts w:ascii="Arial" w:hAnsi="Arial" w:cs="Arial"/>
          <w:sz w:val="24"/>
          <w:szCs w:val="24"/>
        </w:rPr>
        <w:t xml:space="preserve">the </w:t>
      </w:r>
      <w:r>
        <w:rPr>
          <w:rFonts w:ascii="Arial" w:hAnsi="Arial" w:cs="Arial"/>
          <w:sz w:val="24"/>
          <w:szCs w:val="24"/>
        </w:rPr>
        <w:t>t</w:t>
      </w:r>
      <w:r w:rsidRPr="002B7391">
        <w:rPr>
          <w:rFonts w:ascii="Arial" w:hAnsi="Arial" w:cs="Arial"/>
          <w:sz w:val="24"/>
          <w:szCs w:val="24"/>
        </w:rPr>
        <w:t>enders.</w:t>
      </w:r>
      <w:r w:rsidRPr="00BA36E5">
        <w:rPr>
          <w:rFonts w:ascii="Arial" w:hAnsi="Arial" w:cs="Arial"/>
          <w:sz w:val="24"/>
          <w:szCs w:val="24"/>
        </w:rPr>
        <w:t xml:space="preserve"> </w:t>
      </w:r>
      <w:r>
        <w:rPr>
          <w:rFonts w:ascii="Arial" w:hAnsi="Arial" w:cs="Arial"/>
          <w:sz w:val="24"/>
          <w:szCs w:val="24"/>
        </w:rPr>
        <w:t>The entire tender was cancelled and the</w:t>
      </w:r>
      <w:r w:rsidRPr="002B7391">
        <w:rPr>
          <w:rFonts w:ascii="Arial" w:hAnsi="Arial" w:cs="Arial"/>
          <w:sz w:val="24"/>
          <w:szCs w:val="24"/>
        </w:rPr>
        <w:t xml:space="preserve"> </w:t>
      </w:r>
      <w:r>
        <w:rPr>
          <w:rFonts w:ascii="Arial" w:hAnsi="Arial" w:cs="Arial"/>
          <w:sz w:val="24"/>
          <w:szCs w:val="24"/>
        </w:rPr>
        <w:t>p</w:t>
      </w:r>
      <w:r w:rsidRPr="002B7391">
        <w:rPr>
          <w:rFonts w:ascii="Arial" w:hAnsi="Arial" w:cs="Arial"/>
          <w:sz w:val="24"/>
          <w:szCs w:val="24"/>
        </w:rPr>
        <w:t>laintiffs were advised/informed by facsimile on or about</w:t>
      </w:r>
      <w:r>
        <w:rPr>
          <w:rFonts w:ascii="Arial" w:hAnsi="Arial" w:cs="Arial"/>
          <w:sz w:val="24"/>
          <w:szCs w:val="24"/>
        </w:rPr>
        <w:t xml:space="preserve"> </w:t>
      </w:r>
      <w:r w:rsidRPr="002B7391">
        <w:rPr>
          <w:rFonts w:ascii="Arial" w:hAnsi="Arial" w:cs="Arial"/>
          <w:sz w:val="24"/>
          <w:szCs w:val="24"/>
        </w:rPr>
        <w:t xml:space="preserve">15 October 2014 that the </w:t>
      </w:r>
      <w:r>
        <w:rPr>
          <w:rFonts w:ascii="Arial" w:hAnsi="Arial" w:cs="Arial"/>
          <w:sz w:val="24"/>
          <w:szCs w:val="24"/>
        </w:rPr>
        <w:t>t</w:t>
      </w:r>
      <w:r w:rsidRPr="002B7391">
        <w:rPr>
          <w:rFonts w:ascii="Arial" w:hAnsi="Arial" w:cs="Arial"/>
          <w:sz w:val="24"/>
          <w:szCs w:val="24"/>
        </w:rPr>
        <w:t xml:space="preserve">ender process had been </w:t>
      </w:r>
      <w:r w:rsidRPr="00C5052F">
        <w:rPr>
          <w:rFonts w:ascii="Arial" w:hAnsi="Arial" w:cs="Arial"/>
          <w:color w:val="000000" w:themeColor="text1"/>
          <w:sz w:val="24"/>
          <w:szCs w:val="24"/>
        </w:rPr>
        <w:t>cancelled. The plaintiffs were not given the opportunity to be heard nor were the</w:t>
      </w:r>
      <w:r>
        <w:rPr>
          <w:rFonts w:ascii="Arial" w:hAnsi="Arial" w:cs="Arial"/>
          <w:color w:val="000000" w:themeColor="text1"/>
          <w:sz w:val="24"/>
          <w:szCs w:val="24"/>
        </w:rPr>
        <w:t>y</w:t>
      </w:r>
      <w:r w:rsidRPr="00C5052F">
        <w:rPr>
          <w:rFonts w:ascii="Arial" w:hAnsi="Arial" w:cs="Arial"/>
          <w:color w:val="000000" w:themeColor="text1"/>
          <w:sz w:val="24"/>
          <w:szCs w:val="24"/>
        </w:rPr>
        <w:t xml:space="preserve"> </w:t>
      </w:r>
      <w:r>
        <w:rPr>
          <w:rFonts w:ascii="Arial" w:hAnsi="Arial" w:cs="Arial"/>
          <w:sz w:val="24"/>
          <w:szCs w:val="24"/>
        </w:rPr>
        <w:t xml:space="preserve">notified in terms of s 16(1) (a) of the repealed Tender Board Act. </w:t>
      </w:r>
    </w:p>
    <w:p w:rsidR="00C5052F" w:rsidRDefault="00C5052F" w:rsidP="004A7C1D">
      <w:pPr>
        <w:autoSpaceDE w:val="0"/>
        <w:autoSpaceDN w:val="0"/>
        <w:adjustRightInd w:val="0"/>
        <w:spacing w:after="0" w:line="360" w:lineRule="auto"/>
        <w:jc w:val="both"/>
        <w:rPr>
          <w:rFonts w:ascii="Arial" w:hAnsi="Arial" w:cs="Arial"/>
          <w:sz w:val="24"/>
          <w:szCs w:val="24"/>
        </w:rPr>
      </w:pPr>
    </w:p>
    <w:p w:rsidR="00C5052F" w:rsidRDefault="00C5052F" w:rsidP="004A7C1D">
      <w:pPr>
        <w:autoSpaceDE w:val="0"/>
        <w:autoSpaceDN w:val="0"/>
        <w:adjustRightInd w:val="0"/>
        <w:spacing w:after="0" w:line="360" w:lineRule="auto"/>
        <w:jc w:val="both"/>
        <w:rPr>
          <w:rFonts w:ascii="Arial" w:hAnsi="Arial" w:cs="Arial"/>
          <w:sz w:val="24"/>
          <w:szCs w:val="24"/>
        </w:rPr>
      </w:pPr>
      <w:r w:rsidRPr="00C5052F">
        <w:rPr>
          <w:rFonts w:ascii="Arial" w:hAnsi="Arial" w:cs="Arial"/>
          <w:color w:val="000000" w:themeColor="text1"/>
          <w:sz w:val="24"/>
          <w:szCs w:val="24"/>
        </w:rPr>
        <w:t xml:space="preserve">The first and second plaintiffs, not happy with the unfortunate turn of events then turned to </w:t>
      </w:r>
      <w:r>
        <w:rPr>
          <w:rFonts w:ascii="Arial" w:hAnsi="Arial" w:cs="Arial"/>
          <w:sz w:val="24"/>
          <w:szCs w:val="24"/>
        </w:rPr>
        <w:t>this court and brought a review application before this court on 12 December 2014</w:t>
      </w:r>
      <w:r w:rsidR="008F1D11">
        <w:rPr>
          <w:rFonts w:ascii="Arial" w:hAnsi="Arial" w:cs="Arial"/>
          <w:sz w:val="24"/>
          <w:szCs w:val="24"/>
        </w:rPr>
        <w:t xml:space="preserve"> </w:t>
      </w:r>
      <w:r>
        <w:rPr>
          <w:rFonts w:ascii="Arial" w:hAnsi="Arial" w:cs="Arial"/>
          <w:sz w:val="24"/>
          <w:szCs w:val="24"/>
        </w:rPr>
        <w:t xml:space="preserve">seeking inter alia the review of the cancellation of their tenders together with interdictory relief. The plaintiffs unsuccessfully challenged the lawfulness of the </w:t>
      </w:r>
      <w:r>
        <w:rPr>
          <w:rFonts w:ascii="Arial" w:hAnsi="Arial" w:cs="Arial"/>
          <w:sz w:val="24"/>
          <w:szCs w:val="24"/>
        </w:rPr>
        <w:lastRenderedPageBreak/>
        <w:t xml:space="preserve">administrative decision to cancel the tender in this court. This decision was appealed and the appeal was </w:t>
      </w:r>
      <w:r w:rsidRPr="00FE581B">
        <w:rPr>
          <w:rFonts w:ascii="Arial" w:hAnsi="Arial" w:cs="Arial"/>
          <w:sz w:val="24"/>
          <w:szCs w:val="24"/>
        </w:rPr>
        <w:t>determined by the judgment of the Supreme Court, delivered on 3 July 2019, in which Court found and ordered that the cancellation of the Plaintiffs’ tenders was irrational and unlawful</w:t>
      </w:r>
      <w:r>
        <w:rPr>
          <w:rFonts w:ascii="Arial" w:hAnsi="Arial" w:cs="Arial"/>
          <w:sz w:val="24"/>
          <w:szCs w:val="24"/>
        </w:rPr>
        <w:t>.</w:t>
      </w:r>
    </w:p>
    <w:p w:rsidR="009E547F" w:rsidRDefault="009E547F" w:rsidP="004A7C1D">
      <w:pPr>
        <w:autoSpaceDE w:val="0"/>
        <w:autoSpaceDN w:val="0"/>
        <w:adjustRightInd w:val="0"/>
        <w:spacing w:after="0" w:line="360" w:lineRule="auto"/>
        <w:jc w:val="both"/>
        <w:rPr>
          <w:rFonts w:ascii="Arial" w:hAnsi="Arial" w:cs="Arial"/>
          <w:sz w:val="24"/>
          <w:szCs w:val="24"/>
        </w:rPr>
      </w:pPr>
    </w:p>
    <w:p w:rsidR="00221E5F" w:rsidRDefault="00C5052F" w:rsidP="004A7C1D">
      <w:pPr>
        <w:spacing w:after="0" w:line="360" w:lineRule="auto"/>
        <w:jc w:val="both"/>
        <w:rPr>
          <w:rFonts w:ascii="Arial" w:hAnsi="Arial" w:cs="Arial"/>
          <w:sz w:val="26"/>
          <w:szCs w:val="26"/>
        </w:rPr>
      </w:pPr>
      <w:r w:rsidRPr="00C5052F">
        <w:rPr>
          <w:rFonts w:ascii="Arial" w:hAnsi="Arial" w:cs="Arial"/>
          <w:color w:val="000000" w:themeColor="text1"/>
          <w:sz w:val="24"/>
          <w:szCs w:val="24"/>
        </w:rPr>
        <w:t xml:space="preserve">Following the judgment of the Supreme court the plaintiffs issued the current summons on 23 July 2020 claiming </w:t>
      </w:r>
      <w:r w:rsidRPr="00C5052F">
        <w:rPr>
          <w:rFonts w:ascii="Arial" w:hAnsi="Arial" w:cs="Arial"/>
          <w:color w:val="000000" w:themeColor="text1"/>
          <w:sz w:val="26"/>
          <w:szCs w:val="26"/>
        </w:rPr>
        <w:t xml:space="preserve">damages for the loss of profit </w:t>
      </w:r>
      <w:r w:rsidRPr="00C5052F">
        <w:rPr>
          <w:rFonts w:ascii="ArialMT" w:hAnsi="ArialMT" w:cs="ArialMT"/>
          <w:color w:val="000000" w:themeColor="text1"/>
          <w:sz w:val="26"/>
          <w:szCs w:val="26"/>
        </w:rPr>
        <w:t xml:space="preserve">which totals in the amount of </w:t>
      </w:r>
      <w:r w:rsidRPr="00C5052F">
        <w:rPr>
          <w:rFonts w:ascii="Arial" w:hAnsi="Arial" w:cs="Arial"/>
          <w:bCs/>
          <w:color w:val="000000" w:themeColor="text1"/>
          <w:sz w:val="24"/>
          <w:szCs w:val="24"/>
        </w:rPr>
        <w:t>N$143 573 715,00</w:t>
      </w:r>
      <w:r w:rsidRPr="00C5052F">
        <w:rPr>
          <w:rFonts w:ascii="Arial" w:hAnsi="Arial" w:cs="Arial"/>
          <w:color w:val="000000" w:themeColor="text1"/>
          <w:sz w:val="24"/>
          <w:szCs w:val="24"/>
        </w:rPr>
        <w:t xml:space="preserve"> in respect of all the defendants. The plaintiffs’ further claim </w:t>
      </w:r>
      <w:r w:rsidRPr="00C5052F">
        <w:rPr>
          <w:rFonts w:ascii="Arial" w:hAnsi="Arial" w:cs="Arial"/>
          <w:color w:val="000000" w:themeColor="text1"/>
          <w:sz w:val="26"/>
          <w:szCs w:val="26"/>
        </w:rPr>
        <w:t xml:space="preserve">the financial losses it incurred and suffered as a result of their ‘survey’ expenses, which amounted </w:t>
      </w:r>
      <w:r>
        <w:rPr>
          <w:rFonts w:ascii="Arial" w:hAnsi="Arial" w:cs="Arial"/>
          <w:sz w:val="26"/>
          <w:szCs w:val="26"/>
        </w:rPr>
        <w:t>to N$ 35 220, as well as interest and costs</w:t>
      </w:r>
      <w:r w:rsidR="008F1D11">
        <w:rPr>
          <w:rFonts w:ascii="Arial" w:hAnsi="Arial" w:cs="Arial"/>
          <w:sz w:val="26"/>
          <w:szCs w:val="26"/>
        </w:rPr>
        <w:t xml:space="preserve">. </w:t>
      </w:r>
    </w:p>
    <w:p w:rsidR="004A7C1D" w:rsidRDefault="004A7C1D" w:rsidP="004A7C1D">
      <w:pPr>
        <w:spacing w:after="0" w:line="360" w:lineRule="auto"/>
        <w:jc w:val="both"/>
        <w:rPr>
          <w:rFonts w:ascii="Arial" w:hAnsi="Arial" w:cs="Arial"/>
          <w:sz w:val="26"/>
          <w:szCs w:val="26"/>
        </w:rPr>
      </w:pPr>
    </w:p>
    <w:p w:rsidR="009E547F" w:rsidRDefault="009E547F" w:rsidP="004A7C1D">
      <w:pPr>
        <w:spacing w:after="0" w:line="360" w:lineRule="auto"/>
        <w:jc w:val="both"/>
        <w:rPr>
          <w:rFonts w:ascii="Arial" w:hAnsi="Arial" w:cs="Arial"/>
          <w:sz w:val="24"/>
          <w:szCs w:val="24"/>
        </w:rPr>
      </w:pPr>
      <w:r w:rsidRPr="00E3516C">
        <w:rPr>
          <w:rFonts w:ascii="Arial" w:hAnsi="Arial" w:cs="Arial"/>
          <w:sz w:val="24"/>
          <w:szCs w:val="24"/>
        </w:rPr>
        <w:t xml:space="preserve">The </w:t>
      </w:r>
      <w:r>
        <w:rPr>
          <w:rFonts w:ascii="Arial" w:hAnsi="Arial" w:cs="Arial"/>
          <w:sz w:val="24"/>
          <w:szCs w:val="24"/>
        </w:rPr>
        <w:t>d</w:t>
      </w:r>
      <w:r w:rsidRPr="00E3516C">
        <w:rPr>
          <w:rFonts w:ascii="Arial" w:hAnsi="Arial" w:cs="Arial"/>
          <w:sz w:val="24"/>
          <w:szCs w:val="24"/>
        </w:rPr>
        <w:t xml:space="preserve">efendants filed an exception principally on the basis that the </w:t>
      </w:r>
      <w:r>
        <w:rPr>
          <w:rFonts w:ascii="Arial" w:hAnsi="Arial" w:cs="Arial"/>
          <w:sz w:val="24"/>
          <w:szCs w:val="24"/>
        </w:rPr>
        <w:t>p</w:t>
      </w:r>
      <w:r w:rsidRPr="00E3516C">
        <w:rPr>
          <w:rFonts w:ascii="Arial" w:hAnsi="Arial" w:cs="Arial"/>
          <w:sz w:val="24"/>
          <w:szCs w:val="24"/>
        </w:rPr>
        <w:t xml:space="preserve">laintiffs having neither been notified of an award in terms of section 16 of the repealed Tender Board Act, nor in terms of section 55(4) (a) of the Public Procurement Act, No. 15 of 2015, failed to allege that there was an acceptance of their bids and a successful tender award which would have resulted in a binding and enforceable procurement contract. </w:t>
      </w:r>
    </w:p>
    <w:p w:rsidR="00221E5F" w:rsidRDefault="00221E5F" w:rsidP="004A7C1D">
      <w:pPr>
        <w:spacing w:after="0" w:line="360" w:lineRule="auto"/>
        <w:jc w:val="both"/>
        <w:rPr>
          <w:rFonts w:ascii="Arial" w:hAnsi="Arial" w:cs="Arial"/>
          <w:sz w:val="24"/>
          <w:szCs w:val="24"/>
        </w:rPr>
      </w:pPr>
    </w:p>
    <w:p w:rsidR="00A3452C" w:rsidRPr="00A3452C" w:rsidRDefault="00A3452C" w:rsidP="004A7C1D">
      <w:pPr>
        <w:spacing w:after="0" w:line="360" w:lineRule="auto"/>
        <w:jc w:val="both"/>
        <w:rPr>
          <w:rFonts w:ascii="Arial" w:hAnsi="Arial" w:cs="Arial"/>
          <w:sz w:val="24"/>
          <w:szCs w:val="24"/>
        </w:rPr>
      </w:pPr>
      <w:r w:rsidRPr="00A3452C">
        <w:rPr>
          <w:rFonts w:ascii="Arial" w:hAnsi="Arial" w:cs="Arial"/>
          <w:i/>
          <w:sz w:val="24"/>
          <w:szCs w:val="24"/>
        </w:rPr>
        <w:t>Held that</w:t>
      </w:r>
      <w:r w:rsidRPr="00A3452C">
        <w:rPr>
          <w:rFonts w:ascii="Arial" w:hAnsi="Arial" w:cs="Arial"/>
          <w:sz w:val="24"/>
          <w:szCs w:val="24"/>
        </w:rPr>
        <w:t xml:space="preserve"> </w:t>
      </w:r>
      <w:r>
        <w:rPr>
          <w:rFonts w:ascii="Arial" w:hAnsi="Arial" w:cs="Arial"/>
          <w:sz w:val="24"/>
          <w:szCs w:val="24"/>
        </w:rPr>
        <w:t>t</w:t>
      </w:r>
      <w:r w:rsidRPr="00A3452C">
        <w:rPr>
          <w:rFonts w:ascii="Arial" w:hAnsi="Arial" w:cs="Arial"/>
          <w:sz w:val="24"/>
          <w:szCs w:val="24"/>
        </w:rPr>
        <w:t>he correct position of our law in the determination of whether the pleadings are excipiable on the ground that they lack sufficient averments to sustain a cause of action is illustrated through rule 45(5) of the Rules of the High Court and the principles developed through case law. The requirement of clear and concise statement of the material facts upon which the pleader relies for his claim is fundamental to alert the other party to the conduct complained of and to enable it to plead. This means that a pleader is only required to plead what is material. Facts that are not material need not be pleaded.</w:t>
      </w:r>
    </w:p>
    <w:p w:rsidR="00A3452C" w:rsidRDefault="00A3452C" w:rsidP="004A7C1D">
      <w:pPr>
        <w:autoSpaceDE w:val="0"/>
        <w:autoSpaceDN w:val="0"/>
        <w:adjustRightInd w:val="0"/>
        <w:spacing w:after="0" w:line="360" w:lineRule="auto"/>
        <w:jc w:val="both"/>
        <w:rPr>
          <w:rFonts w:ascii="Arial" w:hAnsi="Arial" w:cs="Arial"/>
          <w:sz w:val="24"/>
          <w:szCs w:val="24"/>
        </w:rPr>
      </w:pPr>
    </w:p>
    <w:p w:rsidR="00A3452C" w:rsidRDefault="00A3452C" w:rsidP="004A7C1D">
      <w:pPr>
        <w:autoSpaceDE w:val="0"/>
        <w:autoSpaceDN w:val="0"/>
        <w:adjustRightInd w:val="0"/>
        <w:spacing w:after="0" w:line="360" w:lineRule="auto"/>
        <w:jc w:val="both"/>
        <w:rPr>
          <w:rFonts w:ascii="Arial" w:hAnsi="Arial" w:cs="Arial"/>
          <w:sz w:val="24"/>
          <w:szCs w:val="24"/>
        </w:rPr>
      </w:pPr>
      <w:r w:rsidRPr="00A3452C">
        <w:rPr>
          <w:rFonts w:ascii="Arial" w:hAnsi="Arial" w:cs="Arial"/>
          <w:i/>
          <w:sz w:val="24"/>
          <w:szCs w:val="24"/>
        </w:rPr>
        <w:t>Held that</w:t>
      </w:r>
      <w:r>
        <w:rPr>
          <w:rFonts w:ascii="Arial" w:hAnsi="Arial" w:cs="Arial"/>
          <w:sz w:val="24"/>
          <w:szCs w:val="24"/>
        </w:rPr>
        <w:t xml:space="preserve"> it is not clear from the particulars of claim whether s 16(2) (a) or (b) is applicable but either way none of the requirements set out in s 16 (or s 55 of the Public Procurement Act) were complied with. In other words, the trigger event that is required for a binding and enforceable agreement did not occur. </w:t>
      </w:r>
    </w:p>
    <w:p w:rsidR="00A3452C" w:rsidRDefault="00A3452C" w:rsidP="004A7C1D">
      <w:pPr>
        <w:autoSpaceDE w:val="0"/>
        <w:autoSpaceDN w:val="0"/>
        <w:adjustRightInd w:val="0"/>
        <w:spacing w:after="0" w:line="360" w:lineRule="auto"/>
        <w:jc w:val="both"/>
        <w:rPr>
          <w:rFonts w:ascii="Arial" w:hAnsi="Arial" w:cs="Arial"/>
          <w:sz w:val="24"/>
          <w:szCs w:val="24"/>
        </w:rPr>
      </w:pPr>
    </w:p>
    <w:p w:rsidR="00A3452C" w:rsidRDefault="00A3452C" w:rsidP="004A7C1D">
      <w:pPr>
        <w:autoSpaceDE w:val="0"/>
        <w:autoSpaceDN w:val="0"/>
        <w:adjustRightInd w:val="0"/>
        <w:spacing w:after="0" w:line="360" w:lineRule="auto"/>
        <w:jc w:val="both"/>
        <w:rPr>
          <w:rFonts w:ascii="Arial" w:hAnsi="Arial" w:cs="Arial"/>
          <w:sz w:val="24"/>
          <w:szCs w:val="24"/>
        </w:rPr>
      </w:pPr>
      <w:r w:rsidRPr="00A3452C">
        <w:rPr>
          <w:rFonts w:ascii="Arial" w:hAnsi="Arial" w:cs="Arial"/>
          <w:i/>
          <w:sz w:val="24"/>
          <w:szCs w:val="24"/>
        </w:rPr>
        <w:lastRenderedPageBreak/>
        <w:t>Held further</w:t>
      </w:r>
      <w:r>
        <w:rPr>
          <w:rFonts w:ascii="Arial" w:hAnsi="Arial" w:cs="Arial"/>
          <w:sz w:val="24"/>
          <w:szCs w:val="24"/>
        </w:rPr>
        <w:t xml:space="preserve"> that the plaintiffs did not plead that there was an acceptance of their bids and a successful tender, which resulted in a binding and enforceable procurement contract, which causes its particulars of claim to be excipiable</w:t>
      </w:r>
      <w:r w:rsidR="009E547F">
        <w:rPr>
          <w:rFonts w:ascii="Arial" w:hAnsi="Arial" w:cs="Arial"/>
          <w:sz w:val="24"/>
          <w:szCs w:val="24"/>
        </w:rPr>
        <w:t>.</w:t>
      </w:r>
    </w:p>
    <w:p w:rsidR="009E547F" w:rsidRDefault="009E547F" w:rsidP="004A7C1D">
      <w:pPr>
        <w:autoSpaceDE w:val="0"/>
        <w:autoSpaceDN w:val="0"/>
        <w:adjustRightInd w:val="0"/>
        <w:spacing w:after="0" w:line="360" w:lineRule="auto"/>
        <w:jc w:val="both"/>
        <w:rPr>
          <w:rFonts w:ascii="Arial" w:hAnsi="Arial" w:cs="Arial"/>
          <w:sz w:val="24"/>
          <w:szCs w:val="24"/>
        </w:rPr>
      </w:pPr>
    </w:p>
    <w:p w:rsidR="00A3452C" w:rsidRPr="00A3452C" w:rsidRDefault="009E547F" w:rsidP="004A7C1D">
      <w:pPr>
        <w:pStyle w:val="NormalWeb"/>
        <w:spacing w:before="0" w:beforeAutospacing="0" w:after="0" w:afterAutospacing="0" w:line="360" w:lineRule="auto"/>
        <w:jc w:val="both"/>
        <w:rPr>
          <w:rFonts w:ascii="Arial" w:hAnsi="Arial" w:cs="Arial"/>
        </w:rPr>
      </w:pPr>
      <w:r w:rsidRPr="009E547F">
        <w:rPr>
          <w:rFonts w:ascii="Arial" w:hAnsi="Arial" w:cs="Arial"/>
          <w:i/>
        </w:rPr>
        <w:t>Held furthermore that</w:t>
      </w:r>
      <w:r w:rsidRPr="009E547F">
        <w:rPr>
          <w:rFonts w:ascii="Arial" w:hAnsi="Arial" w:cs="Arial"/>
        </w:rPr>
        <w:t xml:space="preserve"> </w:t>
      </w:r>
      <w:r>
        <w:rPr>
          <w:rFonts w:ascii="Arial" w:hAnsi="Arial" w:cs="Arial"/>
        </w:rPr>
        <w:t xml:space="preserve">any </w:t>
      </w:r>
      <w:r w:rsidRPr="009E547F">
        <w:rPr>
          <w:rFonts w:ascii="Arial" w:hAnsi="Arial" w:cs="Arial"/>
        </w:rPr>
        <w:t>improper performance of an administrative function attracts the application of Art 18 of the Namibian Constitution, and notwithstanding that ‘a breach of the right to administrative justice entitles an aggrieved party to ‘appropriate relief’ as contemplated in Art 25 of the Constitution’, it remains essential that a crucial point is made, and that is that, ordinarily ‘a breach of administrative justice attracts public law remedies and not private law remedies’. Thus it is only in ‘exceptional cases that private law remedies will be granted to a party for a breach of a right in public domain’.</w:t>
      </w:r>
    </w:p>
    <w:p w:rsidR="00D02A99" w:rsidRDefault="00A3452C" w:rsidP="004A7C1D">
      <w:pPr>
        <w:shd w:val="clear" w:color="auto" w:fill="FFFFFF"/>
        <w:spacing w:after="0" w:line="360" w:lineRule="auto"/>
        <w:jc w:val="both"/>
        <w:outlineLvl w:val="1"/>
        <w:rPr>
          <w:rFonts w:ascii="Arial" w:hAnsi="Arial" w:cs="Arial"/>
          <w:sz w:val="24"/>
          <w:szCs w:val="24"/>
        </w:rPr>
      </w:pPr>
      <w:r w:rsidRPr="009E547F">
        <w:rPr>
          <w:rFonts w:ascii="Arial" w:hAnsi="Arial" w:cs="Arial"/>
          <w:i/>
          <w:sz w:val="24"/>
          <w:szCs w:val="24"/>
        </w:rPr>
        <w:t>Held that</w:t>
      </w:r>
      <w:r>
        <w:rPr>
          <w:rFonts w:ascii="Arial" w:hAnsi="Arial" w:cs="Arial"/>
          <w:sz w:val="24"/>
          <w:szCs w:val="24"/>
        </w:rPr>
        <w:t xml:space="preserve"> </w:t>
      </w:r>
      <w:r w:rsidRPr="00A3452C">
        <w:rPr>
          <w:rFonts w:ascii="Arial" w:hAnsi="Arial" w:cs="Arial"/>
          <w:sz w:val="24"/>
          <w:szCs w:val="24"/>
        </w:rPr>
        <w:t xml:space="preserve">the </w:t>
      </w:r>
      <w:r w:rsidRPr="00A3452C">
        <w:rPr>
          <w:rFonts w:ascii="Arial" w:hAnsi="Arial" w:cs="Arial"/>
          <w:color w:val="000000" w:themeColor="text1"/>
          <w:sz w:val="24"/>
          <w:szCs w:val="24"/>
        </w:rPr>
        <w:t xml:space="preserve">plaintiffs are </w:t>
      </w:r>
      <w:r w:rsidRPr="00A3452C">
        <w:rPr>
          <w:rFonts w:ascii="Arial" w:hAnsi="Arial" w:cs="Arial"/>
          <w:sz w:val="24"/>
          <w:szCs w:val="24"/>
        </w:rPr>
        <w:t>entitled to proper administrative legal proceedings but it does not mean that the breach of the administrative duties necessarily translated into private law duties giving rise to delictual claims</w:t>
      </w:r>
      <w:r>
        <w:rPr>
          <w:rFonts w:ascii="Arial" w:hAnsi="Arial" w:cs="Arial"/>
          <w:sz w:val="24"/>
          <w:szCs w:val="24"/>
        </w:rPr>
        <w:t>.</w:t>
      </w:r>
    </w:p>
    <w:p w:rsidR="009E547F" w:rsidRDefault="009E547F" w:rsidP="004A7C1D">
      <w:pPr>
        <w:shd w:val="clear" w:color="auto" w:fill="FFFFFF"/>
        <w:spacing w:after="0" w:line="360" w:lineRule="auto"/>
        <w:jc w:val="both"/>
        <w:outlineLvl w:val="1"/>
        <w:rPr>
          <w:rFonts w:ascii="Arial" w:hAnsi="Arial" w:cs="Arial"/>
          <w:sz w:val="24"/>
          <w:szCs w:val="24"/>
        </w:rPr>
      </w:pPr>
    </w:p>
    <w:p w:rsidR="009E547F" w:rsidRPr="009E547F" w:rsidRDefault="009E547F" w:rsidP="004A7C1D">
      <w:pPr>
        <w:shd w:val="clear" w:color="auto" w:fill="FFFFFF"/>
        <w:spacing w:after="0" w:line="360" w:lineRule="auto"/>
        <w:jc w:val="both"/>
        <w:outlineLvl w:val="1"/>
        <w:rPr>
          <w:rFonts w:ascii="Arial" w:eastAsia="Times New Roman" w:hAnsi="Arial" w:cs="Arial"/>
          <w:sz w:val="24"/>
          <w:szCs w:val="24"/>
          <w:lang w:eastAsia="en-ZA"/>
        </w:rPr>
      </w:pPr>
      <w:r w:rsidRPr="009E547F">
        <w:rPr>
          <w:rFonts w:ascii="Arial" w:hAnsi="Arial" w:cs="Arial"/>
          <w:i/>
          <w:sz w:val="24"/>
          <w:szCs w:val="24"/>
        </w:rPr>
        <w:t>Held accordingly</w:t>
      </w:r>
      <w:r>
        <w:rPr>
          <w:rFonts w:ascii="Arial" w:hAnsi="Arial" w:cs="Arial"/>
          <w:sz w:val="24"/>
          <w:szCs w:val="24"/>
        </w:rPr>
        <w:t xml:space="preserve"> </w:t>
      </w:r>
      <w:r w:rsidRPr="009E547F">
        <w:rPr>
          <w:rFonts w:ascii="Arial" w:hAnsi="Arial" w:cs="Arial"/>
          <w:i/>
          <w:sz w:val="24"/>
          <w:szCs w:val="24"/>
        </w:rPr>
        <w:t>that</w:t>
      </w:r>
      <w:r w:rsidRPr="009E547F">
        <w:rPr>
          <w:rFonts w:ascii="Arial" w:hAnsi="Arial" w:cs="Arial"/>
          <w:sz w:val="24"/>
          <w:szCs w:val="24"/>
        </w:rPr>
        <w:t xml:space="preserve"> </w:t>
      </w:r>
      <w:r>
        <w:rPr>
          <w:rFonts w:ascii="Arial" w:hAnsi="Arial" w:cs="Arial"/>
          <w:sz w:val="24"/>
          <w:szCs w:val="24"/>
        </w:rPr>
        <w:t>t</w:t>
      </w:r>
      <w:r w:rsidRPr="009E547F">
        <w:rPr>
          <w:rFonts w:ascii="Arial" w:hAnsi="Arial" w:cs="Arial"/>
          <w:sz w:val="24"/>
          <w:szCs w:val="24"/>
        </w:rPr>
        <w:t>he plaintiff did not plead any facts to demonstrate that the present case is exception</w:t>
      </w:r>
      <w:r w:rsidRPr="009E547F">
        <w:rPr>
          <w:rFonts w:ascii="Arial" w:hAnsi="Arial" w:cs="Arial"/>
          <w:color w:val="000000" w:themeColor="text1"/>
          <w:sz w:val="24"/>
          <w:szCs w:val="24"/>
        </w:rPr>
        <w:t>ally</w:t>
      </w:r>
      <w:r w:rsidRPr="009E547F">
        <w:rPr>
          <w:rFonts w:ascii="Arial" w:hAnsi="Arial" w:cs="Arial"/>
          <w:sz w:val="24"/>
          <w:szCs w:val="24"/>
        </w:rPr>
        <w:t xml:space="preserve"> entitling it to rely on private law remedies for a breach of a right in the public law domain and therefore the </w:t>
      </w:r>
      <w:r w:rsidRPr="009E547F">
        <w:rPr>
          <w:rFonts w:ascii="Arial" w:hAnsi="Arial" w:cs="Arial"/>
          <w:color w:val="000000" w:themeColor="text1"/>
          <w:sz w:val="24"/>
          <w:szCs w:val="24"/>
        </w:rPr>
        <w:t xml:space="preserve">exceptions as </w:t>
      </w:r>
      <w:r w:rsidRPr="009E547F">
        <w:rPr>
          <w:rFonts w:ascii="Arial" w:hAnsi="Arial" w:cs="Arial"/>
          <w:sz w:val="24"/>
          <w:szCs w:val="24"/>
        </w:rPr>
        <w:t xml:space="preserve">raised by the </w:t>
      </w:r>
      <w:r w:rsidRPr="009E547F">
        <w:rPr>
          <w:rFonts w:ascii="Arial" w:hAnsi="Arial" w:cs="Arial"/>
          <w:color w:val="000000" w:themeColor="text1"/>
          <w:sz w:val="24"/>
          <w:szCs w:val="24"/>
        </w:rPr>
        <w:t>defendants are upheld</w:t>
      </w:r>
      <w:r w:rsidRPr="009E547F">
        <w:rPr>
          <w:rFonts w:ascii="Arial" w:hAnsi="Arial" w:cs="Arial"/>
          <w:sz w:val="24"/>
          <w:szCs w:val="24"/>
        </w:rPr>
        <w:t>.</w:t>
      </w:r>
    </w:p>
    <w:p w:rsidR="00D02A99" w:rsidRDefault="00D02A99" w:rsidP="004A7C1D">
      <w:pPr>
        <w:spacing w:after="0" w:line="360" w:lineRule="auto"/>
        <w:rPr>
          <w:rFonts w:ascii="Arial" w:hAnsi="Arial" w:cs="Arial"/>
          <w:b/>
          <w:sz w:val="24"/>
          <w:szCs w:val="24"/>
        </w:rPr>
      </w:pPr>
    </w:p>
    <w:p w:rsidR="00E3516C" w:rsidRPr="004B5E3E" w:rsidRDefault="00751A0A" w:rsidP="004A7C1D">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E3516C" w:rsidRPr="004B5E3E" w:rsidRDefault="00E3516C" w:rsidP="004A7C1D">
      <w:pPr>
        <w:spacing w:after="0" w:line="360" w:lineRule="auto"/>
        <w:jc w:val="center"/>
        <w:rPr>
          <w:rFonts w:ascii="Arial" w:eastAsia="Calibri" w:hAnsi="Arial" w:cs="Arial"/>
          <w:b/>
          <w:bCs/>
          <w:sz w:val="24"/>
          <w:szCs w:val="24"/>
          <w:lang w:val="en-GB"/>
        </w:rPr>
      </w:pPr>
      <w:r w:rsidRPr="004B5E3E">
        <w:rPr>
          <w:rFonts w:ascii="Arial" w:eastAsia="Calibri" w:hAnsi="Arial" w:cs="Arial"/>
          <w:b/>
          <w:bCs/>
          <w:sz w:val="24"/>
          <w:szCs w:val="24"/>
          <w:lang w:val="en-GB"/>
        </w:rPr>
        <w:t>ORDER</w:t>
      </w:r>
    </w:p>
    <w:p w:rsidR="00E3516C" w:rsidRPr="004B5E3E" w:rsidRDefault="00751A0A" w:rsidP="004A7C1D">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E3516C" w:rsidRDefault="00E3516C" w:rsidP="004A7C1D">
      <w:pPr>
        <w:spacing w:after="0" w:line="360" w:lineRule="auto"/>
        <w:jc w:val="both"/>
        <w:rPr>
          <w:rFonts w:ascii="Arial" w:hAnsi="Arial" w:cs="Arial"/>
          <w:bCs/>
          <w:sz w:val="24"/>
          <w:szCs w:val="24"/>
        </w:rPr>
      </w:pPr>
    </w:p>
    <w:p w:rsidR="00742DFD" w:rsidRPr="004B5E3E" w:rsidRDefault="00742DFD" w:rsidP="004A7C1D">
      <w:pPr>
        <w:pStyle w:val="ListParagraph"/>
        <w:numPr>
          <w:ilvl w:val="0"/>
          <w:numId w:val="1"/>
        </w:numPr>
        <w:spacing w:after="0" w:line="360" w:lineRule="auto"/>
        <w:jc w:val="both"/>
        <w:rPr>
          <w:rFonts w:ascii="Arial" w:hAnsi="Arial" w:cs="Arial"/>
          <w:sz w:val="24"/>
          <w:szCs w:val="24"/>
        </w:rPr>
      </w:pPr>
      <w:r w:rsidRPr="004B5E3E">
        <w:rPr>
          <w:rFonts w:ascii="Arial" w:hAnsi="Arial" w:cs="Arial"/>
          <w:sz w:val="24"/>
          <w:szCs w:val="24"/>
        </w:rPr>
        <w:t>The exception</w:t>
      </w:r>
      <w:r>
        <w:rPr>
          <w:rFonts w:ascii="Arial" w:hAnsi="Arial" w:cs="Arial"/>
          <w:sz w:val="24"/>
          <w:szCs w:val="24"/>
        </w:rPr>
        <w:t>s raised by the defendants</w:t>
      </w:r>
      <w:r w:rsidRPr="004B5E3E">
        <w:rPr>
          <w:rFonts w:ascii="Arial" w:hAnsi="Arial" w:cs="Arial"/>
          <w:sz w:val="24"/>
          <w:szCs w:val="24"/>
        </w:rPr>
        <w:t xml:space="preserve"> are upheld with costs.</w:t>
      </w:r>
    </w:p>
    <w:p w:rsidR="00742DFD" w:rsidRPr="004B5E3E" w:rsidRDefault="00742DFD" w:rsidP="004A7C1D">
      <w:pPr>
        <w:pStyle w:val="ListParagraph"/>
        <w:numPr>
          <w:ilvl w:val="0"/>
          <w:numId w:val="1"/>
        </w:numPr>
        <w:spacing w:after="0" w:line="360" w:lineRule="auto"/>
        <w:jc w:val="both"/>
        <w:rPr>
          <w:rFonts w:ascii="Arial" w:hAnsi="Arial" w:cs="Arial"/>
          <w:sz w:val="24"/>
          <w:szCs w:val="24"/>
        </w:rPr>
      </w:pPr>
      <w:r w:rsidRPr="004B5E3E">
        <w:rPr>
          <w:rFonts w:ascii="Arial" w:hAnsi="Arial" w:cs="Arial"/>
          <w:sz w:val="24"/>
          <w:szCs w:val="24"/>
        </w:rPr>
        <w:t xml:space="preserve">The </w:t>
      </w:r>
      <w:r w:rsidRPr="00154A20">
        <w:rPr>
          <w:rFonts w:ascii="Arial" w:hAnsi="Arial" w:cs="Arial"/>
          <w:sz w:val="24"/>
          <w:szCs w:val="24"/>
        </w:rPr>
        <w:t>plaintiffs</w:t>
      </w:r>
      <w:r w:rsidR="00602AA1">
        <w:rPr>
          <w:rFonts w:ascii="Arial" w:hAnsi="Arial" w:cs="Arial"/>
          <w:sz w:val="24"/>
          <w:szCs w:val="24"/>
        </w:rPr>
        <w:t>’</w:t>
      </w:r>
      <w:r w:rsidRPr="00154A20">
        <w:rPr>
          <w:rFonts w:ascii="Arial" w:hAnsi="Arial" w:cs="Arial"/>
          <w:sz w:val="24"/>
          <w:szCs w:val="24"/>
        </w:rPr>
        <w:t xml:space="preserve"> particulars of claim </w:t>
      </w:r>
      <w:r w:rsidR="00E3398E" w:rsidRPr="008F1D11">
        <w:rPr>
          <w:rFonts w:ascii="Arial" w:hAnsi="Arial" w:cs="Arial"/>
          <w:color w:val="000000" w:themeColor="text1"/>
          <w:sz w:val="24"/>
          <w:szCs w:val="24"/>
        </w:rPr>
        <w:t>are</w:t>
      </w:r>
      <w:r w:rsidRPr="008F1D11">
        <w:rPr>
          <w:rFonts w:ascii="Arial" w:hAnsi="Arial" w:cs="Arial"/>
          <w:color w:val="000000" w:themeColor="text1"/>
          <w:sz w:val="24"/>
          <w:szCs w:val="24"/>
        </w:rPr>
        <w:t xml:space="preserve"> </w:t>
      </w:r>
      <w:r w:rsidRPr="00154A20">
        <w:rPr>
          <w:rFonts w:ascii="Arial" w:hAnsi="Arial" w:cs="Arial"/>
          <w:sz w:val="24"/>
          <w:szCs w:val="24"/>
        </w:rPr>
        <w:t>struck and the plaintiff</w:t>
      </w:r>
      <w:r>
        <w:rPr>
          <w:rFonts w:ascii="Arial" w:hAnsi="Arial" w:cs="Arial"/>
          <w:sz w:val="24"/>
          <w:szCs w:val="24"/>
        </w:rPr>
        <w:t>s</w:t>
      </w:r>
      <w:r w:rsidRPr="00154A20">
        <w:rPr>
          <w:rFonts w:ascii="Arial" w:hAnsi="Arial" w:cs="Arial"/>
          <w:sz w:val="24"/>
          <w:szCs w:val="24"/>
        </w:rPr>
        <w:t xml:space="preserve"> </w:t>
      </w:r>
      <w:r>
        <w:rPr>
          <w:rFonts w:ascii="Arial" w:hAnsi="Arial" w:cs="Arial"/>
          <w:sz w:val="24"/>
          <w:szCs w:val="24"/>
        </w:rPr>
        <w:t xml:space="preserve">are </w:t>
      </w:r>
      <w:r w:rsidRPr="00154A20">
        <w:rPr>
          <w:rFonts w:ascii="Arial" w:hAnsi="Arial" w:cs="Arial"/>
          <w:sz w:val="24"/>
          <w:szCs w:val="24"/>
        </w:rPr>
        <w:t xml:space="preserve">granted leave to file its amended particulars of claim, should it be so advised, within </w:t>
      </w:r>
      <w:r>
        <w:rPr>
          <w:rFonts w:ascii="Arial" w:hAnsi="Arial" w:cs="Arial"/>
          <w:sz w:val="24"/>
          <w:szCs w:val="24"/>
        </w:rPr>
        <w:t>30</w:t>
      </w:r>
      <w:r w:rsidRPr="00154A20">
        <w:rPr>
          <w:rFonts w:ascii="Arial" w:hAnsi="Arial" w:cs="Arial"/>
          <w:sz w:val="24"/>
          <w:szCs w:val="24"/>
        </w:rPr>
        <w:t xml:space="preserve"> days from date of release of reasons.</w:t>
      </w:r>
    </w:p>
    <w:p w:rsidR="00742DFD" w:rsidRPr="004B5E3E" w:rsidRDefault="00742DFD" w:rsidP="004A7C1D">
      <w:pPr>
        <w:pStyle w:val="ListParagraph"/>
        <w:numPr>
          <w:ilvl w:val="0"/>
          <w:numId w:val="1"/>
        </w:numPr>
        <w:spacing w:after="0" w:line="360" w:lineRule="auto"/>
        <w:jc w:val="both"/>
        <w:rPr>
          <w:rFonts w:ascii="Arial" w:hAnsi="Arial" w:cs="Arial"/>
          <w:sz w:val="24"/>
          <w:szCs w:val="24"/>
        </w:rPr>
      </w:pPr>
      <w:r w:rsidRPr="004B5E3E">
        <w:rPr>
          <w:rFonts w:ascii="Arial" w:hAnsi="Arial" w:cs="Arial"/>
          <w:sz w:val="24"/>
          <w:szCs w:val="24"/>
        </w:rPr>
        <w:t>Cost shall not be limited to Rule 32(11).</w:t>
      </w:r>
    </w:p>
    <w:p w:rsidR="00742DFD" w:rsidRPr="004B5E3E" w:rsidRDefault="00742DFD" w:rsidP="004A7C1D">
      <w:pPr>
        <w:pStyle w:val="ListParagraph"/>
        <w:numPr>
          <w:ilvl w:val="0"/>
          <w:numId w:val="1"/>
        </w:numPr>
        <w:spacing w:after="0" w:line="360" w:lineRule="auto"/>
        <w:jc w:val="both"/>
        <w:rPr>
          <w:rFonts w:ascii="Arial" w:hAnsi="Arial" w:cs="Arial"/>
          <w:sz w:val="24"/>
          <w:szCs w:val="24"/>
        </w:rPr>
      </w:pPr>
      <w:r w:rsidRPr="004B5E3E">
        <w:rPr>
          <w:rFonts w:ascii="Arial" w:hAnsi="Arial" w:cs="Arial"/>
          <w:sz w:val="24"/>
          <w:szCs w:val="24"/>
        </w:rPr>
        <w:t xml:space="preserve">The matter is postponed to </w:t>
      </w:r>
      <w:r>
        <w:rPr>
          <w:rFonts w:ascii="Arial" w:hAnsi="Arial" w:cs="Arial"/>
          <w:b/>
          <w:sz w:val="24"/>
          <w:szCs w:val="24"/>
        </w:rPr>
        <w:t>11 February 2021</w:t>
      </w:r>
      <w:r w:rsidRPr="004B5E3E">
        <w:rPr>
          <w:rFonts w:ascii="Arial" w:hAnsi="Arial" w:cs="Arial"/>
          <w:sz w:val="24"/>
          <w:szCs w:val="24"/>
        </w:rPr>
        <w:t xml:space="preserve"> at </w:t>
      </w:r>
      <w:r w:rsidRPr="004B5E3E">
        <w:rPr>
          <w:rFonts w:ascii="Arial" w:hAnsi="Arial" w:cs="Arial"/>
          <w:b/>
          <w:sz w:val="24"/>
          <w:szCs w:val="24"/>
        </w:rPr>
        <w:t>15:00</w:t>
      </w:r>
      <w:r w:rsidRPr="004B5E3E">
        <w:rPr>
          <w:rFonts w:ascii="Arial" w:hAnsi="Arial" w:cs="Arial"/>
          <w:sz w:val="24"/>
          <w:szCs w:val="24"/>
        </w:rPr>
        <w:t xml:space="preserve"> for Status Hearing. </w:t>
      </w:r>
    </w:p>
    <w:p w:rsidR="00742DFD" w:rsidRPr="004B5E3E" w:rsidRDefault="00742DFD" w:rsidP="004A7C1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 j</w:t>
      </w:r>
      <w:r w:rsidRPr="004B5E3E">
        <w:rPr>
          <w:rFonts w:ascii="Arial" w:hAnsi="Arial" w:cs="Arial"/>
          <w:sz w:val="24"/>
          <w:szCs w:val="24"/>
        </w:rPr>
        <w:t xml:space="preserve">oint status report must be filed on or before </w:t>
      </w:r>
      <w:r>
        <w:rPr>
          <w:rFonts w:ascii="Arial" w:hAnsi="Arial" w:cs="Arial"/>
          <w:sz w:val="24"/>
          <w:szCs w:val="24"/>
          <w:u w:val="single"/>
        </w:rPr>
        <w:t>8 February 2021</w:t>
      </w:r>
      <w:r w:rsidRPr="004B5E3E">
        <w:rPr>
          <w:rFonts w:ascii="Arial" w:hAnsi="Arial" w:cs="Arial"/>
          <w:sz w:val="24"/>
          <w:szCs w:val="24"/>
        </w:rPr>
        <w:t xml:space="preserve"> regarding the further conduct of the matter. </w:t>
      </w:r>
    </w:p>
    <w:p w:rsidR="00E3516C" w:rsidRDefault="00E3516C" w:rsidP="004A7C1D">
      <w:pPr>
        <w:spacing w:after="0" w:line="360" w:lineRule="auto"/>
        <w:jc w:val="both"/>
        <w:rPr>
          <w:rFonts w:ascii="Arial" w:hAnsi="Arial" w:cs="Arial"/>
          <w:bCs/>
          <w:sz w:val="24"/>
          <w:szCs w:val="24"/>
        </w:rPr>
      </w:pPr>
    </w:p>
    <w:p w:rsidR="00E3516C" w:rsidRPr="004B5E3E" w:rsidRDefault="00751A0A" w:rsidP="004A7C1D">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E3516C" w:rsidRPr="004B5E3E" w:rsidRDefault="00E3516C" w:rsidP="004A7C1D">
      <w:pPr>
        <w:spacing w:after="0" w:line="360" w:lineRule="auto"/>
        <w:jc w:val="center"/>
        <w:rPr>
          <w:rFonts w:ascii="Arial" w:hAnsi="Arial" w:cs="Arial"/>
          <w:b/>
          <w:sz w:val="24"/>
          <w:szCs w:val="24"/>
        </w:rPr>
      </w:pPr>
      <w:r w:rsidRPr="004B5E3E">
        <w:rPr>
          <w:rFonts w:ascii="Arial" w:hAnsi="Arial" w:cs="Arial"/>
          <w:b/>
          <w:sz w:val="24"/>
          <w:szCs w:val="24"/>
        </w:rPr>
        <w:t>JUDGMENT</w:t>
      </w:r>
    </w:p>
    <w:p w:rsidR="00E3516C" w:rsidRPr="004B5E3E" w:rsidRDefault="00751A0A" w:rsidP="004A7C1D">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516C" w:rsidRPr="004B5E3E" w:rsidRDefault="00E3516C" w:rsidP="004A7C1D">
      <w:pPr>
        <w:spacing w:after="0" w:line="360" w:lineRule="auto"/>
        <w:jc w:val="both"/>
        <w:rPr>
          <w:rFonts w:ascii="Arial" w:hAnsi="Arial" w:cs="Arial"/>
          <w:sz w:val="24"/>
          <w:szCs w:val="24"/>
        </w:rPr>
      </w:pPr>
    </w:p>
    <w:p w:rsidR="00E3516C" w:rsidRPr="004B5E3E" w:rsidRDefault="00E3516C" w:rsidP="004A7C1D">
      <w:pPr>
        <w:spacing w:after="0" w:line="360" w:lineRule="auto"/>
        <w:jc w:val="both"/>
        <w:rPr>
          <w:rFonts w:ascii="Arial" w:hAnsi="Arial" w:cs="Arial"/>
          <w:sz w:val="24"/>
          <w:szCs w:val="24"/>
        </w:rPr>
      </w:pPr>
      <w:r w:rsidRPr="004B5E3E">
        <w:rPr>
          <w:rFonts w:ascii="Arial" w:hAnsi="Arial" w:cs="Arial"/>
          <w:sz w:val="24"/>
          <w:szCs w:val="24"/>
        </w:rPr>
        <w:t>PRINSLOO J</w:t>
      </w:r>
    </w:p>
    <w:p w:rsidR="00E3516C" w:rsidRPr="004B5E3E" w:rsidRDefault="00E3516C" w:rsidP="004A7C1D">
      <w:pPr>
        <w:spacing w:after="0" w:line="360" w:lineRule="auto"/>
        <w:jc w:val="both"/>
        <w:rPr>
          <w:rFonts w:ascii="Arial" w:hAnsi="Arial" w:cs="Arial"/>
          <w:sz w:val="24"/>
          <w:szCs w:val="24"/>
        </w:rPr>
      </w:pPr>
    </w:p>
    <w:p w:rsidR="00E3516C" w:rsidRPr="004B5E3E" w:rsidRDefault="00E3516C" w:rsidP="004A7C1D">
      <w:pPr>
        <w:spacing w:after="0" w:line="360" w:lineRule="auto"/>
        <w:jc w:val="both"/>
        <w:rPr>
          <w:rFonts w:ascii="Arial" w:hAnsi="Arial" w:cs="Arial"/>
          <w:sz w:val="24"/>
          <w:szCs w:val="24"/>
          <w:u w:val="single"/>
        </w:rPr>
      </w:pPr>
      <w:r w:rsidRPr="004B5E3E">
        <w:rPr>
          <w:rFonts w:ascii="Arial" w:hAnsi="Arial" w:cs="Arial"/>
          <w:sz w:val="24"/>
          <w:szCs w:val="24"/>
          <w:u w:val="single"/>
        </w:rPr>
        <w:t>Introduction</w:t>
      </w:r>
    </w:p>
    <w:p w:rsidR="00E3516C" w:rsidRDefault="00E3516C" w:rsidP="004A7C1D">
      <w:pPr>
        <w:shd w:val="clear" w:color="auto" w:fill="FFFFFF"/>
        <w:spacing w:after="0" w:line="360" w:lineRule="auto"/>
        <w:jc w:val="both"/>
        <w:outlineLvl w:val="1"/>
        <w:rPr>
          <w:rFonts w:ascii="Arial" w:eastAsia="Times New Roman" w:hAnsi="Arial" w:cs="Arial"/>
          <w:sz w:val="24"/>
          <w:szCs w:val="24"/>
          <w:lang w:eastAsia="en-ZA"/>
        </w:rPr>
      </w:pPr>
    </w:p>
    <w:p w:rsidR="00E3516C" w:rsidRDefault="00E3516C" w:rsidP="004A7C1D">
      <w:pPr>
        <w:shd w:val="clear" w:color="auto" w:fill="FFFFFF"/>
        <w:spacing w:after="0" w:line="360" w:lineRule="auto"/>
        <w:jc w:val="both"/>
        <w:outlineLvl w:val="1"/>
        <w:rPr>
          <w:rFonts w:ascii="Arial" w:eastAsia="Times New Roman" w:hAnsi="Arial" w:cs="Arial"/>
          <w:sz w:val="24"/>
          <w:szCs w:val="24"/>
          <w:lang w:eastAsia="en-ZA"/>
        </w:rPr>
      </w:pPr>
      <w:r w:rsidRPr="004B5E3E">
        <w:rPr>
          <w:rFonts w:ascii="Arial" w:eastAsia="Times New Roman" w:hAnsi="Arial" w:cs="Arial"/>
          <w:sz w:val="24"/>
          <w:szCs w:val="24"/>
          <w:lang w:eastAsia="en-ZA"/>
        </w:rPr>
        <w:t>[1]</w:t>
      </w:r>
      <w:r w:rsidRPr="004B5E3E">
        <w:rPr>
          <w:rFonts w:ascii="Arial" w:eastAsia="Times New Roman" w:hAnsi="Arial" w:cs="Arial"/>
          <w:sz w:val="24"/>
          <w:szCs w:val="24"/>
          <w:lang w:eastAsia="en-ZA"/>
        </w:rPr>
        <w:tab/>
        <w:t>The matter before me concerns an</w:t>
      </w:r>
      <w:r>
        <w:rPr>
          <w:rFonts w:ascii="Arial" w:eastAsia="Times New Roman" w:hAnsi="Arial" w:cs="Arial"/>
          <w:sz w:val="24"/>
          <w:szCs w:val="24"/>
          <w:lang w:eastAsia="en-ZA"/>
        </w:rPr>
        <w:t xml:space="preserve"> exception taken </w:t>
      </w:r>
      <w:r w:rsidRPr="00B13F17">
        <w:rPr>
          <w:rFonts w:ascii="Arial" w:eastAsia="Times New Roman" w:hAnsi="Arial" w:cs="Arial"/>
          <w:sz w:val="24"/>
          <w:szCs w:val="24"/>
          <w:lang w:eastAsia="en-ZA"/>
        </w:rPr>
        <w:t>against</w:t>
      </w:r>
      <w:r>
        <w:rPr>
          <w:rFonts w:ascii="Arial" w:eastAsia="Times New Roman" w:hAnsi="Arial" w:cs="Arial"/>
          <w:sz w:val="24"/>
          <w:szCs w:val="24"/>
          <w:lang w:eastAsia="en-ZA"/>
        </w:rPr>
        <w:t xml:space="preserve"> </w:t>
      </w:r>
      <w:r w:rsidRPr="00B13F17">
        <w:rPr>
          <w:rFonts w:ascii="Arial" w:eastAsia="Times New Roman" w:hAnsi="Arial" w:cs="Arial"/>
          <w:sz w:val="24"/>
          <w:szCs w:val="24"/>
          <w:lang w:eastAsia="en-ZA"/>
        </w:rPr>
        <w:t>particulars</w:t>
      </w:r>
      <w:r w:rsidRPr="004B5E3E">
        <w:rPr>
          <w:rFonts w:ascii="Arial" w:eastAsia="Times New Roman" w:hAnsi="Arial" w:cs="Arial"/>
          <w:sz w:val="24"/>
          <w:szCs w:val="24"/>
          <w:lang w:eastAsia="en-ZA"/>
        </w:rPr>
        <w:t xml:space="preserve"> of claim exacting constitutional damages. </w:t>
      </w:r>
    </w:p>
    <w:p w:rsidR="00221E5F" w:rsidRPr="004B5E3E" w:rsidRDefault="00221E5F" w:rsidP="004A7C1D">
      <w:pPr>
        <w:shd w:val="clear" w:color="auto" w:fill="FFFFFF"/>
        <w:spacing w:after="0" w:line="360" w:lineRule="auto"/>
        <w:jc w:val="both"/>
        <w:outlineLvl w:val="1"/>
        <w:rPr>
          <w:rFonts w:ascii="Arial" w:eastAsia="Times New Roman" w:hAnsi="Arial" w:cs="Arial"/>
          <w:sz w:val="24"/>
          <w:szCs w:val="24"/>
          <w:lang w:eastAsia="en-ZA"/>
        </w:rPr>
      </w:pPr>
    </w:p>
    <w:p w:rsidR="00E3516C" w:rsidRDefault="00E3516C" w:rsidP="004A7C1D">
      <w:pPr>
        <w:shd w:val="clear" w:color="auto" w:fill="FFFFFF"/>
        <w:spacing w:after="0" w:line="360" w:lineRule="auto"/>
        <w:jc w:val="both"/>
        <w:outlineLvl w:val="1"/>
        <w:rPr>
          <w:rFonts w:ascii="Arial" w:eastAsia="Times New Roman" w:hAnsi="Arial" w:cs="Arial"/>
          <w:sz w:val="24"/>
          <w:szCs w:val="24"/>
          <w:lang w:eastAsia="en-ZA"/>
        </w:rPr>
      </w:pPr>
      <w:r w:rsidRPr="004B5E3E">
        <w:rPr>
          <w:rFonts w:ascii="Arial" w:eastAsia="Times New Roman" w:hAnsi="Arial" w:cs="Arial"/>
          <w:sz w:val="24"/>
          <w:szCs w:val="24"/>
          <w:lang w:eastAsia="en-ZA"/>
        </w:rPr>
        <w:t>[2]</w:t>
      </w:r>
      <w:r w:rsidRPr="004B5E3E">
        <w:rPr>
          <w:rFonts w:ascii="Arial" w:eastAsia="Times New Roman" w:hAnsi="Arial" w:cs="Arial"/>
          <w:sz w:val="24"/>
          <w:szCs w:val="24"/>
          <w:lang w:eastAsia="en-ZA"/>
        </w:rPr>
        <w:tab/>
        <w:t xml:space="preserve">The opponents </w:t>
      </w:r>
      <w:r>
        <w:rPr>
          <w:rFonts w:ascii="Arial" w:eastAsia="Times New Roman" w:hAnsi="Arial" w:cs="Arial"/>
          <w:sz w:val="24"/>
          <w:szCs w:val="24"/>
          <w:lang w:eastAsia="en-ZA"/>
        </w:rPr>
        <w:t xml:space="preserve">are </w:t>
      </w:r>
      <w:r w:rsidR="000E4924">
        <w:rPr>
          <w:rFonts w:ascii="Arial" w:eastAsia="Times New Roman" w:hAnsi="Arial" w:cs="Arial"/>
          <w:sz w:val="24"/>
          <w:szCs w:val="24"/>
          <w:lang w:eastAsia="en-ZA"/>
        </w:rPr>
        <w:t>as follows:</w:t>
      </w:r>
      <w:r w:rsidR="000E4924">
        <w:rPr>
          <w:rFonts w:ascii="Arial" w:eastAsia="Times New Roman" w:hAnsi="Arial" w:cs="Arial"/>
          <w:sz w:val="24"/>
          <w:szCs w:val="24"/>
          <w:lang w:eastAsia="en-ZA"/>
        </w:rPr>
        <w:tab/>
      </w:r>
    </w:p>
    <w:p w:rsidR="00DC6AD3" w:rsidRDefault="00DC6AD3" w:rsidP="004A7C1D">
      <w:pPr>
        <w:shd w:val="clear" w:color="auto" w:fill="FFFFFF"/>
        <w:spacing w:after="0" w:line="360" w:lineRule="auto"/>
        <w:jc w:val="both"/>
        <w:outlineLvl w:val="1"/>
        <w:rPr>
          <w:rFonts w:ascii="Arial" w:eastAsia="Times New Roman" w:hAnsi="Arial" w:cs="Arial"/>
          <w:sz w:val="24"/>
          <w:szCs w:val="24"/>
          <w:lang w:eastAsia="en-ZA"/>
        </w:rPr>
      </w:pPr>
    </w:p>
    <w:p w:rsidR="0008692B"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08692B">
        <w:rPr>
          <w:rFonts w:ascii="Arial" w:hAnsi="Arial" w:cs="Arial"/>
          <w:sz w:val="24"/>
          <w:szCs w:val="24"/>
        </w:rPr>
        <w:t xml:space="preserve">The First Plaintiff is </w:t>
      </w:r>
      <w:r w:rsidR="00452897" w:rsidRPr="0008692B">
        <w:rPr>
          <w:rFonts w:ascii="Arial" w:hAnsi="Arial" w:cs="Arial"/>
          <w:sz w:val="24"/>
          <w:szCs w:val="24"/>
        </w:rPr>
        <w:t>Pamo Trading Enterprises</w:t>
      </w:r>
      <w:r w:rsidRPr="0008692B">
        <w:rPr>
          <w:rFonts w:ascii="Arial" w:hAnsi="Arial" w:cs="Arial"/>
          <w:sz w:val="24"/>
          <w:szCs w:val="24"/>
        </w:rPr>
        <w:t xml:space="preserve"> CC (“PAMO”), a Close Corporation duly incorporated in terms of the Close Corporations Act of 1988, with registration number CC/2010/3344.</w:t>
      </w:r>
    </w:p>
    <w:p w:rsidR="00221E5F" w:rsidRPr="009E547F" w:rsidRDefault="00221E5F" w:rsidP="004A7C1D">
      <w:pPr>
        <w:pStyle w:val="ListParagraph"/>
        <w:shd w:val="clear" w:color="auto" w:fill="FFFFFF"/>
        <w:spacing w:after="0" w:line="360" w:lineRule="auto"/>
        <w:ind w:left="1080"/>
        <w:jc w:val="both"/>
        <w:outlineLvl w:val="1"/>
        <w:rPr>
          <w:rFonts w:ascii="Arial" w:hAnsi="Arial" w:cs="Arial"/>
          <w:sz w:val="24"/>
          <w:szCs w:val="24"/>
        </w:rPr>
      </w:pPr>
    </w:p>
    <w:p w:rsidR="009E547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9E547F">
        <w:rPr>
          <w:rFonts w:ascii="Arial" w:hAnsi="Arial" w:cs="Arial"/>
          <w:sz w:val="24"/>
          <w:szCs w:val="24"/>
        </w:rPr>
        <w:t xml:space="preserve">The Second Plaintiff is </w:t>
      </w:r>
      <w:r w:rsidR="00452897" w:rsidRPr="009E547F">
        <w:rPr>
          <w:rFonts w:ascii="Arial" w:hAnsi="Arial" w:cs="Arial"/>
          <w:sz w:val="24"/>
          <w:szCs w:val="24"/>
        </w:rPr>
        <w:t xml:space="preserve">Circle Hospitality Services (Pty) Ltd </w:t>
      </w:r>
      <w:r w:rsidRPr="009E547F">
        <w:rPr>
          <w:rFonts w:ascii="Arial" w:hAnsi="Arial" w:cs="Arial"/>
          <w:sz w:val="24"/>
          <w:szCs w:val="24"/>
        </w:rPr>
        <w:t xml:space="preserve">(“CIRCLE”), a company duly registered in terms of the Companies Act of 2004 with registration number 2012/0368. </w:t>
      </w:r>
    </w:p>
    <w:p w:rsidR="00221E5F" w:rsidRPr="00221E5F" w:rsidRDefault="00221E5F" w:rsidP="004A7C1D">
      <w:pPr>
        <w:shd w:val="clear" w:color="auto" w:fill="FFFFFF"/>
        <w:spacing w:after="0" w:line="360" w:lineRule="auto"/>
        <w:jc w:val="both"/>
        <w:outlineLvl w:val="1"/>
        <w:rPr>
          <w:rFonts w:ascii="Arial" w:hAnsi="Arial" w:cs="Arial"/>
          <w:sz w:val="24"/>
          <w:szCs w:val="24"/>
        </w:rPr>
      </w:pPr>
    </w:p>
    <w:p w:rsidR="0008692B"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Third Plaintiff is </w:t>
      </w:r>
      <w:r w:rsidR="00452897" w:rsidRPr="00221E5F">
        <w:rPr>
          <w:rFonts w:ascii="Arial" w:hAnsi="Arial" w:cs="Arial"/>
          <w:sz w:val="24"/>
          <w:szCs w:val="24"/>
        </w:rPr>
        <w:t xml:space="preserve">Pisces Investment Holdings No.32 </w:t>
      </w:r>
      <w:r w:rsidRPr="00221E5F">
        <w:rPr>
          <w:rFonts w:ascii="Arial" w:hAnsi="Arial" w:cs="Arial"/>
          <w:sz w:val="24"/>
          <w:szCs w:val="24"/>
        </w:rPr>
        <w:t>CC (“PISCES”) a Close Corporation duly incorporated in terms of the Close Corporation Act of 1988, with registration number CC/2007/3603.</w:t>
      </w:r>
    </w:p>
    <w:p w:rsidR="00221E5F" w:rsidRPr="00221E5F" w:rsidRDefault="00221E5F" w:rsidP="004A7C1D">
      <w:pPr>
        <w:shd w:val="clear" w:color="auto" w:fill="FFFFFF"/>
        <w:spacing w:after="0" w:line="360" w:lineRule="auto"/>
        <w:jc w:val="both"/>
        <w:outlineLvl w:val="1"/>
        <w:rPr>
          <w:rFonts w:ascii="Arial" w:hAnsi="Arial" w:cs="Arial"/>
          <w:sz w:val="24"/>
          <w:szCs w:val="24"/>
        </w:rPr>
      </w:pPr>
    </w:p>
    <w:p w:rsidR="0008692B"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First Defendant is the </w:t>
      </w:r>
      <w:r w:rsidR="00452897" w:rsidRPr="00221E5F">
        <w:rPr>
          <w:rFonts w:ascii="Arial" w:hAnsi="Arial" w:cs="Arial"/>
          <w:sz w:val="24"/>
          <w:szCs w:val="24"/>
        </w:rPr>
        <w:t xml:space="preserve">Tender Board of Namibia </w:t>
      </w:r>
      <w:r w:rsidRPr="00221E5F">
        <w:rPr>
          <w:rFonts w:ascii="Arial" w:hAnsi="Arial" w:cs="Arial"/>
          <w:sz w:val="24"/>
          <w:szCs w:val="24"/>
        </w:rPr>
        <w:t>(established in terms of Section 2 of Act 16 of 1996) (“the Act”) (“the Tender Board”), an independent body and/or entity cited herein as the relevant body who, at all relevant and material times, was responsible for the procurement of goods and services for the Government of the Republic of Namibia, by inviting tenders and concluding agreements</w:t>
      </w:r>
      <w:r>
        <w:rPr>
          <w:rStyle w:val="FootnoteReference"/>
          <w:rFonts w:ascii="Arial" w:hAnsi="Arial" w:cs="Arial"/>
          <w:sz w:val="24"/>
          <w:szCs w:val="24"/>
        </w:rPr>
        <w:footnoteReference w:id="1"/>
      </w:r>
      <w:r w:rsidRPr="00221E5F">
        <w:rPr>
          <w:rFonts w:ascii="Arial" w:hAnsi="Arial" w:cs="Arial"/>
          <w:sz w:val="24"/>
          <w:szCs w:val="24"/>
        </w:rPr>
        <w:t xml:space="preserve">. The Tender Board is cited herein in </w:t>
      </w:r>
      <w:r w:rsidRPr="00221E5F">
        <w:rPr>
          <w:rFonts w:ascii="Arial" w:hAnsi="Arial" w:cs="Arial"/>
          <w:sz w:val="24"/>
          <w:szCs w:val="24"/>
        </w:rPr>
        <w:lastRenderedPageBreak/>
        <w:t>terms of section 81(1) Act 15 of 2015, on the basis that should any tender exist at the date of commencement of the Procurement Board, it shall continue to be administered in terms of and governed by the Tender Board Act 16 of 1996, as if Act 15 of 2015 had never been enacted.</w:t>
      </w:r>
    </w:p>
    <w:p w:rsidR="00221E5F" w:rsidRPr="00221E5F" w:rsidRDefault="00221E5F" w:rsidP="004A7C1D">
      <w:pPr>
        <w:pStyle w:val="ListParagraph"/>
        <w:spacing w:after="0" w:line="360" w:lineRule="auto"/>
        <w:rPr>
          <w:rFonts w:ascii="Arial" w:hAnsi="Arial" w:cs="Arial"/>
          <w:sz w:val="24"/>
          <w:szCs w:val="24"/>
        </w:rPr>
      </w:pPr>
    </w:p>
    <w:p w:rsidR="0008692B"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Second Defendant is the </w:t>
      </w:r>
      <w:r w:rsidR="00452897" w:rsidRPr="00221E5F">
        <w:rPr>
          <w:rFonts w:ascii="Arial" w:hAnsi="Arial" w:cs="Arial"/>
          <w:sz w:val="24"/>
          <w:szCs w:val="24"/>
        </w:rPr>
        <w:t>Permanent Secretary of the Ministry of Finance</w:t>
      </w:r>
      <w:r w:rsidRPr="00221E5F">
        <w:rPr>
          <w:rFonts w:ascii="Arial" w:hAnsi="Arial" w:cs="Arial"/>
          <w:sz w:val="24"/>
          <w:szCs w:val="24"/>
        </w:rPr>
        <w:t xml:space="preserve">, who at the relevant time was the Chairperson and/or Administrative Head of First Defendant, and whose statutory duty and obligations included notifying </w:t>
      </w:r>
      <w:r w:rsidR="00DC6AD3" w:rsidRPr="00221E5F">
        <w:rPr>
          <w:rFonts w:ascii="Arial" w:hAnsi="Arial" w:cs="Arial"/>
          <w:sz w:val="24"/>
          <w:szCs w:val="24"/>
        </w:rPr>
        <w:t>of successful</w:t>
      </w:r>
      <w:r w:rsidRPr="00221E5F">
        <w:rPr>
          <w:rFonts w:ascii="Arial" w:hAnsi="Arial" w:cs="Arial"/>
          <w:sz w:val="24"/>
          <w:szCs w:val="24"/>
        </w:rPr>
        <w:t xml:space="preserve"> tenderers in writing of the acceptance of their tenders</w:t>
      </w:r>
      <w:r w:rsidR="00643B67" w:rsidRPr="00221E5F">
        <w:rPr>
          <w:rFonts w:ascii="Arial" w:hAnsi="Arial" w:cs="Arial"/>
          <w:sz w:val="24"/>
          <w:szCs w:val="24"/>
        </w:rPr>
        <w:t>.</w:t>
      </w:r>
    </w:p>
    <w:p w:rsidR="00221E5F" w:rsidRPr="00221E5F" w:rsidRDefault="00221E5F" w:rsidP="004A7C1D">
      <w:pPr>
        <w:pStyle w:val="ListParagraph"/>
        <w:shd w:val="clear" w:color="auto" w:fill="FFFFFF"/>
        <w:spacing w:after="0" w:line="360" w:lineRule="auto"/>
        <w:ind w:left="1080"/>
        <w:jc w:val="both"/>
        <w:outlineLvl w:val="1"/>
        <w:rPr>
          <w:rFonts w:ascii="Arial" w:hAnsi="Arial" w:cs="Arial"/>
          <w:sz w:val="24"/>
          <w:szCs w:val="24"/>
        </w:rPr>
      </w:pPr>
    </w:p>
    <w:p w:rsidR="0008692B"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Third Defendant is the </w:t>
      </w:r>
      <w:r w:rsidR="00452897" w:rsidRPr="00221E5F">
        <w:rPr>
          <w:rFonts w:ascii="Arial" w:hAnsi="Arial" w:cs="Arial"/>
          <w:sz w:val="24"/>
          <w:szCs w:val="24"/>
        </w:rPr>
        <w:t>Minister of Finance</w:t>
      </w:r>
      <w:r w:rsidRPr="00221E5F">
        <w:rPr>
          <w:rFonts w:ascii="Arial" w:hAnsi="Arial" w:cs="Arial"/>
          <w:sz w:val="24"/>
          <w:szCs w:val="24"/>
        </w:rPr>
        <w:t>, who is cited herein as the relevant/responsible Minister under whose authority both the Tender Board and Procurement Board was established/legislated and who may make regulations in terms of the relevant Acts, and who appoints/appointed members to the Tender Board</w:t>
      </w:r>
      <w:r w:rsidR="00643B67" w:rsidRPr="00221E5F">
        <w:rPr>
          <w:rFonts w:ascii="Arial" w:hAnsi="Arial" w:cs="Arial"/>
          <w:sz w:val="24"/>
          <w:szCs w:val="24"/>
        </w:rPr>
        <w:t>.</w:t>
      </w:r>
    </w:p>
    <w:p w:rsidR="00221E5F" w:rsidRPr="00221E5F" w:rsidRDefault="00221E5F" w:rsidP="004A7C1D">
      <w:pPr>
        <w:pStyle w:val="ListParagraph"/>
        <w:shd w:val="clear" w:color="auto" w:fill="FFFFFF"/>
        <w:spacing w:after="0" w:line="360" w:lineRule="auto"/>
        <w:ind w:left="1080"/>
        <w:jc w:val="both"/>
        <w:outlineLvl w:val="1"/>
        <w:rPr>
          <w:rFonts w:ascii="Arial" w:hAnsi="Arial" w:cs="Arial"/>
          <w:sz w:val="24"/>
          <w:szCs w:val="24"/>
        </w:rPr>
      </w:pPr>
    </w:p>
    <w:p w:rsidR="00DC6AD3"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Fourth Defendant is </w:t>
      </w:r>
      <w:r w:rsidR="00452897" w:rsidRPr="00221E5F">
        <w:rPr>
          <w:rFonts w:ascii="Arial" w:hAnsi="Arial" w:cs="Arial"/>
          <w:sz w:val="24"/>
          <w:szCs w:val="24"/>
        </w:rPr>
        <w:t xml:space="preserve">the Minister of Education </w:t>
      </w:r>
      <w:r w:rsidRPr="00221E5F">
        <w:rPr>
          <w:rFonts w:ascii="Arial" w:hAnsi="Arial" w:cs="Arial"/>
          <w:sz w:val="24"/>
          <w:szCs w:val="24"/>
        </w:rPr>
        <w:t>who is cited herein as the relevant/responsible Minister, and whose Ministry, at the material and relevant time, required and/or called for the provision of catering services for Government Schools and thereby invited tenders for the provision of such services through the First Defendant</w:t>
      </w:r>
      <w:r w:rsidR="00452897" w:rsidRPr="00221E5F">
        <w:rPr>
          <w:rFonts w:ascii="Arial" w:hAnsi="Arial" w:cs="Arial"/>
          <w:sz w:val="24"/>
          <w:szCs w:val="24"/>
        </w:rPr>
        <w:t>.</w:t>
      </w:r>
      <w:r w:rsidRPr="00221E5F">
        <w:rPr>
          <w:rFonts w:ascii="Arial" w:hAnsi="Arial" w:cs="Arial"/>
          <w:sz w:val="24"/>
          <w:szCs w:val="24"/>
        </w:rPr>
        <w:t xml:space="preserve"> </w:t>
      </w:r>
    </w:p>
    <w:p w:rsidR="00221E5F" w:rsidRPr="00221E5F" w:rsidRDefault="00221E5F" w:rsidP="004A7C1D">
      <w:pPr>
        <w:pStyle w:val="ListParagraph"/>
        <w:shd w:val="clear" w:color="auto" w:fill="FFFFFF"/>
        <w:spacing w:after="0" w:line="360" w:lineRule="auto"/>
        <w:ind w:left="1080"/>
        <w:jc w:val="both"/>
        <w:outlineLvl w:val="1"/>
        <w:rPr>
          <w:rFonts w:ascii="Arial" w:hAnsi="Arial" w:cs="Arial"/>
          <w:sz w:val="24"/>
          <w:szCs w:val="24"/>
        </w:rPr>
      </w:pPr>
    </w:p>
    <w:p w:rsidR="000E4924" w:rsidRPr="00221E5F" w:rsidRDefault="000E4924" w:rsidP="004A7C1D">
      <w:pPr>
        <w:pStyle w:val="ListParagraph"/>
        <w:numPr>
          <w:ilvl w:val="0"/>
          <w:numId w:val="10"/>
        </w:numPr>
        <w:shd w:val="clear" w:color="auto" w:fill="FFFFFF"/>
        <w:spacing w:after="0" w:line="360" w:lineRule="auto"/>
        <w:jc w:val="both"/>
        <w:outlineLvl w:val="1"/>
        <w:rPr>
          <w:rFonts w:ascii="Arial" w:hAnsi="Arial" w:cs="Arial"/>
          <w:sz w:val="24"/>
          <w:szCs w:val="24"/>
        </w:rPr>
      </w:pPr>
      <w:r w:rsidRPr="00221E5F">
        <w:rPr>
          <w:rFonts w:ascii="Arial" w:hAnsi="Arial" w:cs="Arial"/>
          <w:sz w:val="24"/>
          <w:szCs w:val="24"/>
        </w:rPr>
        <w:t xml:space="preserve">The Fifth Defendant is the </w:t>
      </w:r>
      <w:r w:rsidR="00452897" w:rsidRPr="00221E5F">
        <w:rPr>
          <w:rFonts w:ascii="Arial" w:hAnsi="Arial" w:cs="Arial"/>
          <w:sz w:val="24"/>
          <w:szCs w:val="24"/>
        </w:rPr>
        <w:t>Prime Minister of the Republic of Namibia</w:t>
      </w:r>
      <w:r w:rsidRPr="00221E5F">
        <w:rPr>
          <w:rFonts w:ascii="Arial" w:hAnsi="Arial" w:cs="Arial"/>
          <w:sz w:val="24"/>
          <w:szCs w:val="24"/>
        </w:rPr>
        <w:t xml:space="preserve"> cited herein in his/her official capacity as Head of Cabinet and under whose responsibility the actions and conduct of all Ministries and Ministers fall</w:t>
      </w:r>
      <w:r w:rsidR="008A2C55" w:rsidRPr="00221E5F">
        <w:rPr>
          <w:rFonts w:ascii="Arial" w:hAnsi="Arial" w:cs="Arial"/>
          <w:sz w:val="24"/>
          <w:szCs w:val="24"/>
        </w:rPr>
        <w:t>.</w:t>
      </w:r>
    </w:p>
    <w:p w:rsidR="008A2C55" w:rsidRDefault="008A2C55" w:rsidP="004A7C1D">
      <w:pPr>
        <w:shd w:val="clear" w:color="auto" w:fill="FFFFFF"/>
        <w:spacing w:after="0" w:line="360" w:lineRule="auto"/>
        <w:jc w:val="both"/>
        <w:outlineLvl w:val="1"/>
        <w:rPr>
          <w:rFonts w:ascii="Arial" w:eastAsia="Times New Roman" w:hAnsi="Arial" w:cs="Arial"/>
          <w:sz w:val="24"/>
          <w:szCs w:val="24"/>
          <w:lang w:eastAsia="en-ZA"/>
        </w:rPr>
      </w:pPr>
    </w:p>
    <w:p w:rsidR="00E3516C" w:rsidRDefault="000E56EE" w:rsidP="004A7C1D">
      <w:pPr>
        <w:shd w:val="clear" w:color="auto" w:fill="FFFFFF"/>
        <w:spacing w:after="0" w:line="360" w:lineRule="auto"/>
        <w:jc w:val="both"/>
        <w:outlineLvl w:val="1"/>
        <w:rPr>
          <w:rFonts w:ascii="Arial" w:eastAsia="Times New Roman" w:hAnsi="Arial" w:cs="Arial"/>
          <w:sz w:val="24"/>
          <w:szCs w:val="24"/>
          <w:lang w:eastAsia="en-ZA"/>
        </w:rPr>
      </w:pPr>
      <w:r>
        <w:rPr>
          <w:rFonts w:ascii="Arial" w:eastAsia="Times New Roman" w:hAnsi="Arial" w:cs="Arial"/>
          <w:sz w:val="24"/>
          <w:szCs w:val="24"/>
          <w:lang w:eastAsia="en-ZA"/>
        </w:rPr>
        <w:t>[</w:t>
      </w:r>
      <w:r w:rsidR="002A385F">
        <w:rPr>
          <w:rFonts w:ascii="Arial" w:eastAsia="Times New Roman" w:hAnsi="Arial" w:cs="Arial"/>
          <w:sz w:val="24"/>
          <w:szCs w:val="24"/>
          <w:lang w:eastAsia="en-ZA"/>
        </w:rPr>
        <w:t>3</w:t>
      </w:r>
      <w:r w:rsidR="00452897">
        <w:rPr>
          <w:rFonts w:ascii="Arial" w:eastAsia="Times New Roman" w:hAnsi="Arial" w:cs="Arial"/>
          <w:sz w:val="24"/>
          <w:szCs w:val="24"/>
          <w:lang w:eastAsia="en-ZA"/>
        </w:rPr>
        <w:t>]</w:t>
      </w:r>
      <w:r w:rsidR="00452897">
        <w:rPr>
          <w:rFonts w:ascii="Arial" w:eastAsia="Times New Roman" w:hAnsi="Arial" w:cs="Arial"/>
          <w:sz w:val="24"/>
          <w:szCs w:val="24"/>
          <w:lang w:eastAsia="en-ZA"/>
        </w:rPr>
        <w:tab/>
      </w:r>
      <w:r w:rsidR="00E3516C" w:rsidRPr="004B5E3E">
        <w:rPr>
          <w:rFonts w:ascii="Arial" w:eastAsia="Times New Roman" w:hAnsi="Arial" w:cs="Arial"/>
          <w:sz w:val="24"/>
          <w:szCs w:val="24"/>
          <w:lang w:eastAsia="en-ZA"/>
        </w:rPr>
        <w:t>For purposes of this ruling I will refer to the parties as they are in the main action.</w:t>
      </w:r>
    </w:p>
    <w:p w:rsidR="004A7C1D" w:rsidRDefault="004A7C1D" w:rsidP="004A7C1D">
      <w:pPr>
        <w:spacing w:after="0" w:line="360" w:lineRule="auto"/>
        <w:rPr>
          <w:rFonts w:ascii="Arial" w:hAnsi="Arial" w:cs="Arial"/>
          <w:b/>
          <w:sz w:val="24"/>
          <w:szCs w:val="24"/>
        </w:rPr>
      </w:pPr>
    </w:p>
    <w:p w:rsidR="00E3516C" w:rsidRDefault="00E3516C" w:rsidP="004A7C1D">
      <w:pPr>
        <w:spacing w:after="0" w:line="360" w:lineRule="auto"/>
        <w:rPr>
          <w:rFonts w:ascii="Arial" w:hAnsi="Arial" w:cs="Arial"/>
          <w:sz w:val="24"/>
          <w:szCs w:val="24"/>
          <w:u w:val="single"/>
        </w:rPr>
      </w:pPr>
      <w:r w:rsidRPr="00E3516C">
        <w:rPr>
          <w:rFonts w:ascii="Arial" w:hAnsi="Arial" w:cs="Arial"/>
          <w:sz w:val="24"/>
          <w:szCs w:val="24"/>
          <w:u w:val="single"/>
        </w:rPr>
        <w:t>Background</w:t>
      </w:r>
    </w:p>
    <w:p w:rsidR="00DC6AD3" w:rsidRDefault="00DC6AD3" w:rsidP="004A7C1D">
      <w:pPr>
        <w:spacing w:after="0" w:line="360" w:lineRule="auto"/>
        <w:rPr>
          <w:rFonts w:ascii="Arial" w:hAnsi="Arial" w:cs="Arial"/>
          <w:sz w:val="24"/>
          <w:szCs w:val="24"/>
          <w:u w:val="single"/>
        </w:rPr>
      </w:pPr>
    </w:p>
    <w:p w:rsidR="002B7391" w:rsidRDefault="002B7391" w:rsidP="004A7C1D">
      <w:pPr>
        <w:autoSpaceDE w:val="0"/>
        <w:autoSpaceDN w:val="0"/>
        <w:adjustRightInd w:val="0"/>
        <w:spacing w:after="0" w:line="360" w:lineRule="auto"/>
        <w:jc w:val="both"/>
        <w:rPr>
          <w:rFonts w:ascii="Arial" w:hAnsi="Arial" w:cs="Arial"/>
          <w:sz w:val="24"/>
          <w:szCs w:val="24"/>
        </w:rPr>
      </w:pPr>
      <w:r>
        <w:rPr>
          <w:rFonts w:ascii="Arial" w:hAnsi="Arial" w:cs="Arial"/>
          <w:sz w:val="26"/>
          <w:szCs w:val="26"/>
        </w:rPr>
        <w:lastRenderedPageBreak/>
        <w:t>[</w:t>
      </w:r>
      <w:r w:rsidR="002A385F">
        <w:rPr>
          <w:rFonts w:ascii="Arial" w:hAnsi="Arial" w:cs="Arial"/>
          <w:sz w:val="26"/>
          <w:szCs w:val="26"/>
        </w:rPr>
        <w:t>4</w:t>
      </w:r>
      <w:r>
        <w:rPr>
          <w:rFonts w:ascii="Arial" w:hAnsi="Arial" w:cs="Arial"/>
          <w:sz w:val="26"/>
          <w:szCs w:val="26"/>
        </w:rPr>
        <w:t>]</w:t>
      </w:r>
      <w:r>
        <w:rPr>
          <w:rFonts w:ascii="Arial" w:hAnsi="Arial" w:cs="Arial"/>
          <w:sz w:val="26"/>
          <w:szCs w:val="26"/>
        </w:rPr>
        <w:tab/>
        <w:t xml:space="preserve">During or about March 2014, the First Defendant invited </w:t>
      </w:r>
      <w:r w:rsidR="00B112C2">
        <w:rPr>
          <w:rFonts w:ascii="Arial" w:hAnsi="Arial" w:cs="Arial"/>
          <w:sz w:val="26"/>
          <w:szCs w:val="26"/>
        </w:rPr>
        <w:t>t</w:t>
      </w:r>
      <w:r>
        <w:rPr>
          <w:rFonts w:ascii="Arial" w:hAnsi="Arial" w:cs="Arial"/>
          <w:sz w:val="26"/>
          <w:szCs w:val="26"/>
        </w:rPr>
        <w:t xml:space="preserve">enders for the provision of catering services for Government Schools in each of the Seven (7) Regions of Namibia, and in terms of and/or under Tender Number M9-11/2014, </w:t>
      </w:r>
      <w:r w:rsidRPr="008B5C93">
        <w:rPr>
          <w:rFonts w:ascii="Arial" w:hAnsi="Arial" w:cs="Arial"/>
          <w:sz w:val="24"/>
          <w:szCs w:val="24"/>
        </w:rPr>
        <w:t>for the period 1 June 2014 to 31 May 2019.</w:t>
      </w:r>
    </w:p>
    <w:p w:rsidR="003313FB" w:rsidRPr="008B5C93" w:rsidRDefault="003313FB" w:rsidP="004A7C1D">
      <w:pPr>
        <w:autoSpaceDE w:val="0"/>
        <w:autoSpaceDN w:val="0"/>
        <w:adjustRightInd w:val="0"/>
        <w:spacing w:after="0" w:line="360" w:lineRule="auto"/>
        <w:jc w:val="both"/>
        <w:rPr>
          <w:rFonts w:ascii="Arial" w:hAnsi="Arial" w:cs="Arial"/>
          <w:sz w:val="24"/>
          <w:szCs w:val="24"/>
        </w:rPr>
      </w:pPr>
    </w:p>
    <w:p w:rsidR="002B7391" w:rsidRDefault="002B7391" w:rsidP="004A7C1D">
      <w:pPr>
        <w:spacing w:after="0" w:line="360" w:lineRule="auto"/>
        <w:jc w:val="both"/>
        <w:rPr>
          <w:rFonts w:ascii="Arial" w:hAnsi="Arial" w:cs="Arial"/>
          <w:sz w:val="24"/>
          <w:szCs w:val="24"/>
        </w:rPr>
      </w:pPr>
      <w:r w:rsidRPr="008B5C93">
        <w:rPr>
          <w:rFonts w:ascii="Arial" w:hAnsi="Arial" w:cs="Arial"/>
          <w:sz w:val="24"/>
          <w:szCs w:val="24"/>
        </w:rPr>
        <w:t>[</w:t>
      </w:r>
      <w:r w:rsidR="002A385F" w:rsidRPr="008B5C93">
        <w:rPr>
          <w:rFonts w:ascii="Arial" w:hAnsi="Arial" w:cs="Arial"/>
          <w:sz w:val="24"/>
          <w:szCs w:val="24"/>
        </w:rPr>
        <w:t>5</w:t>
      </w:r>
      <w:r w:rsidRPr="008B5C93">
        <w:rPr>
          <w:rFonts w:ascii="Arial" w:hAnsi="Arial" w:cs="Arial"/>
          <w:sz w:val="24"/>
          <w:szCs w:val="24"/>
        </w:rPr>
        <w:t>]</w:t>
      </w:r>
      <w:r w:rsidRPr="008B5C93">
        <w:rPr>
          <w:rFonts w:ascii="Arial" w:hAnsi="Arial" w:cs="Arial"/>
          <w:sz w:val="24"/>
          <w:szCs w:val="24"/>
        </w:rPr>
        <w:tab/>
        <w:t xml:space="preserve"> The </w:t>
      </w:r>
      <w:r w:rsidR="00E3398E">
        <w:rPr>
          <w:rFonts w:ascii="Arial" w:hAnsi="Arial" w:cs="Arial"/>
          <w:sz w:val="24"/>
          <w:szCs w:val="24"/>
        </w:rPr>
        <w:t>p</w:t>
      </w:r>
      <w:r w:rsidRPr="008B5C93">
        <w:rPr>
          <w:rFonts w:ascii="Arial" w:hAnsi="Arial" w:cs="Arial"/>
          <w:sz w:val="24"/>
          <w:szCs w:val="24"/>
        </w:rPr>
        <w:t xml:space="preserve">laintiffs, separately submitted </w:t>
      </w:r>
      <w:r w:rsidR="00B112C2" w:rsidRPr="008B5C93">
        <w:rPr>
          <w:rFonts w:ascii="Arial" w:hAnsi="Arial" w:cs="Arial"/>
          <w:sz w:val="24"/>
          <w:szCs w:val="24"/>
        </w:rPr>
        <w:t>in terms of the said tender and consequent thereto</w:t>
      </w:r>
      <w:r w:rsidRPr="008B5C93">
        <w:rPr>
          <w:rFonts w:ascii="Arial" w:hAnsi="Arial" w:cs="Arial"/>
          <w:sz w:val="24"/>
          <w:szCs w:val="24"/>
        </w:rPr>
        <w:t xml:space="preserve"> </w:t>
      </w:r>
      <w:r w:rsidR="00B112C2" w:rsidRPr="008B5C93">
        <w:rPr>
          <w:rFonts w:ascii="Arial" w:hAnsi="Arial" w:cs="Arial"/>
          <w:sz w:val="24"/>
          <w:szCs w:val="24"/>
        </w:rPr>
        <w:t>a representative of the fourth defendant conducted visits and inspections of the respective plaintiffs’ catering premises, which the plaintiffs considered as indicative of being awarded the tenders</w:t>
      </w:r>
      <w:r w:rsidR="009E547F">
        <w:rPr>
          <w:rFonts w:ascii="Arial" w:hAnsi="Arial" w:cs="Arial"/>
          <w:sz w:val="24"/>
          <w:szCs w:val="24"/>
        </w:rPr>
        <w:t>.</w:t>
      </w:r>
    </w:p>
    <w:p w:rsidR="009E547F" w:rsidRPr="008B5C93" w:rsidRDefault="009E547F" w:rsidP="004A7C1D">
      <w:pPr>
        <w:spacing w:after="0" w:line="360" w:lineRule="auto"/>
        <w:jc w:val="both"/>
        <w:rPr>
          <w:rFonts w:ascii="Arial" w:hAnsi="Arial" w:cs="Arial"/>
          <w:sz w:val="24"/>
          <w:szCs w:val="24"/>
        </w:rPr>
      </w:pPr>
    </w:p>
    <w:p w:rsidR="002B7391" w:rsidRDefault="00B112C2" w:rsidP="004A7C1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A385F">
        <w:rPr>
          <w:rFonts w:ascii="Arial" w:hAnsi="Arial" w:cs="Arial"/>
          <w:sz w:val="24"/>
          <w:szCs w:val="24"/>
        </w:rPr>
        <w:t>6</w:t>
      </w:r>
      <w:r>
        <w:rPr>
          <w:rFonts w:ascii="Arial" w:hAnsi="Arial" w:cs="Arial"/>
          <w:sz w:val="24"/>
          <w:szCs w:val="24"/>
        </w:rPr>
        <w:t>]</w:t>
      </w:r>
      <w:r>
        <w:rPr>
          <w:rFonts w:ascii="Arial" w:hAnsi="Arial" w:cs="Arial"/>
          <w:sz w:val="24"/>
          <w:szCs w:val="24"/>
        </w:rPr>
        <w:tab/>
        <w:t xml:space="preserve"> The</w:t>
      </w:r>
      <w:r w:rsidR="00BA36E5">
        <w:rPr>
          <w:rFonts w:ascii="Arial" w:hAnsi="Arial" w:cs="Arial"/>
          <w:sz w:val="24"/>
          <w:szCs w:val="24"/>
        </w:rPr>
        <w:t>n</w:t>
      </w:r>
      <w:r>
        <w:rPr>
          <w:rFonts w:ascii="Arial" w:hAnsi="Arial" w:cs="Arial"/>
          <w:sz w:val="24"/>
          <w:szCs w:val="24"/>
        </w:rPr>
        <w:t xml:space="preserve"> o</w:t>
      </w:r>
      <w:r w:rsidR="002B7391" w:rsidRPr="002B7391">
        <w:rPr>
          <w:rFonts w:ascii="Arial" w:hAnsi="Arial" w:cs="Arial"/>
          <w:sz w:val="24"/>
          <w:szCs w:val="24"/>
        </w:rPr>
        <w:t xml:space="preserve">n or about 2 October 2014 the </w:t>
      </w:r>
      <w:r>
        <w:rPr>
          <w:rFonts w:ascii="Arial" w:hAnsi="Arial" w:cs="Arial"/>
          <w:sz w:val="24"/>
          <w:szCs w:val="24"/>
        </w:rPr>
        <w:t>f</w:t>
      </w:r>
      <w:r w:rsidR="002B7391" w:rsidRPr="002B7391">
        <w:rPr>
          <w:rFonts w:ascii="Arial" w:hAnsi="Arial" w:cs="Arial"/>
          <w:sz w:val="24"/>
          <w:szCs w:val="24"/>
        </w:rPr>
        <w:t xml:space="preserve">irst </w:t>
      </w:r>
      <w:r>
        <w:rPr>
          <w:rFonts w:ascii="Arial" w:hAnsi="Arial" w:cs="Arial"/>
          <w:sz w:val="24"/>
          <w:szCs w:val="24"/>
        </w:rPr>
        <w:t>d</w:t>
      </w:r>
      <w:r w:rsidR="002B7391" w:rsidRPr="002B7391">
        <w:rPr>
          <w:rFonts w:ascii="Arial" w:hAnsi="Arial" w:cs="Arial"/>
          <w:sz w:val="24"/>
          <w:szCs w:val="24"/>
        </w:rPr>
        <w:t xml:space="preserve">efendant, during a </w:t>
      </w:r>
      <w:r>
        <w:rPr>
          <w:rFonts w:ascii="Arial" w:hAnsi="Arial" w:cs="Arial"/>
          <w:sz w:val="24"/>
          <w:szCs w:val="24"/>
        </w:rPr>
        <w:t>b</w:t>
      </w:r>
      <w:r w:rsidR="002B7391" w:rsidRPr="002B7391">
        <w:rPr>
          <w:rFonts w:ascii="Arial" w:hAnsi="Arial" w:cs="Arial"/>
          <w:sz w:val="24"/>
          <w:szCs w:val="24"/>
        </w:rPr>
        <w:t>oard</w:t>
      </w:r>
      <w:r>
        <w:rPr>
          <w:rFonts w:ascii="Arial" w:hAnsi="Arial" w:cs="Arial"/>
          <w:sz w:val="24"/>
          <w:szCs w:val="24"/>
        </w:rPr>
        <w:t xml:space="preserve"> m</w:t>
      </w:r>
      <w:r w:rsidR="002B7391" w:rsidRPr="002B7391">
        <w:rPr>
          <w:rFonts w:ascii="Arial" w:hAnsi="Arial" w:cs="Arial"/>
          <w:sz w:val="24"/>
          <w:szCs w:val="24"/>
        </w:rPr>
        <w:t xml:space="preserve">eeting, resolved to award the contract to the </w:t>
      </w:r>
      <w:r>
        <w:rPr>
          <w:rFonts w:ascii="Arial" w:hAnsi="Arial" w:cs="Arial"/>
          <w:sz w:val="24"/>
          <w:szCs w:val="24"/>
        </w:rPr>
        <w:t>three p</w:t>
      </w:r>
      <w:r w:rsidR="002B7391" w:rsidRPr="002B7391">
        <w:rPr>
          <w:rFonts w:ascii="Arial" w:hAnsi="Arial" w:cs="Arial"/>
          <w:sz w:val="24"/>
          <w:szCs w:val="24"/>
        </w:rPr>
        <w:t xml:space="preserve">laintiffs </w:t>
      </w:r>
      <w:r>
        <w:rPr>
          <w:rFonts w:ascii="Arial" w:hAnsi="Arial" w:cs="Arial"/>
          <w:sz w:val="24"/>
          <w:szCs w:val="24"/>
        </w:rPr>
        <w:t>in respect of the regions tendered for</w:t>
      </w:r>
      <w:r>
        <w:rPr>
          <w:rStyle w:val="FootnoteReference"/>
          <w:rFonts w:ascii="Arial" w:hAnsi="Arial" w:cs="Arial"/>
          <w:sz w:val="24"/>
          <w:szCs w:val="24"/>
        </w:rPr>
        <w:footnoteReference w:id="2"/>
      </w:r>
      <w:r>
        <w:rPr>
          <w:rFonts w:ascii="Arial" w:hAnsi="Arial" w:cs="Arial"/>
          <w:sz w:val="24"/>
          <w:szCs w:val="24"/>
        </w:rPr>
        <w:t>.</w:t>
      </w:r>
      <w:r w:rsidR="00BA36E5" w:rsidRPr="00BA36E5">
        <w:rPr>
          <w:rFonts w:ascii="Arial" w:hAnsi="Arial" w:cs="Arial"/>
          <w:sz w:val="24"/>
          <w:szCs w:val="24"/>
        </w:rPr>
        <w:t xml:space="preserve"> </w:t>
      </w:r>
      <w:r w:rsidR="00BA36E5">
        <w:rPr>
          <w:rFonts w:ascii="Arial" w:hAnsi="Arial" w:cs="Arial"/>
          <w:sz w:val="24"/>
          <w:szCs w:val="24"/>
        </w:rPr>
        <w:t>The plaintiffs were not notified of the acceptance of their respective tenders.</w:t>
      </w:r>
    </w:p>
    <w:p w:rsidR="00BA36E5" w:rsidRPr="002B7391" w:rsidRDefault="00BA36E5" w:rsidP="004A7C1D">
      <w:pPr>
        <w:autoSpaceDE w:val="0"/>
        <w:autoSpaceDN w:val="0"/>
        <w:adjustRightInd w:val="0"/>
        <w:spacing w:after="0" w:line="360" w:lineRule="auto"/>
        <w:jc w:val="both"/>
        <w:rPr>
          <w:rFonts w:ascii="Arial" w:hAnsi="Arial" w:cs="Arial"/>
          <w:sz w:val="24"/>
          <w:szCs w:val="24"/>
        </w:rPr>
      </w:pPr>
    </w:p>
    <w:p w:rsidR="00BA36E5" w:rsidRPr="002B7391" w:rsidRDefault="00BA36E5" w:rsidP="004A7C1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A385F">
        <w:rPr>
          <w:rFonts w:ascii="Arial" w:hAnsi="Arial" w:cs="Arial"/>
          <w:sz w:val="24"/>
          <w:szCs w:val="24"/>
        </w:rPr>
        <w:t>7</w:t>
      </w:r>
      <w:r>
        <w:rPr>
          <w:rFonts w:ascii="Arial" w:hAnsi="Arial" w:cs="Arial"/>
          <w:sz w:val="24"/>
          <w:szCs w:val="24"/>
        </w:rPr>
        <w:t>]</w:t>
      </w:r>
      <w:r>
        <w:rPr>
          <w:rFonts w:ascii="Arial" w:hAnsi="Arial" w:cs="Arial"/>
          <w:sz w:val="24"/>
          <w:szCs w:val="24"/>
        </w:rPr>
        <w:tab/>
      </w:r>
      <w:r w:rsidRPr="002B7391">
        <w:rPr>
          <w:rFonts w:ascii="Arial" w:hAnsi="Arial" w:cs="Arial"/>
          <w:sz w:val="24"/>
          <w:szCs w:val="24"/>
        </w:rPr>
        <w:t xml:space="preserve">During October 2014, </w:t>
      </w:r>
      <w:r w:rsidR="003313FB">
        <w:rPr>
          <w:rFonts w:ascii="Arial" w:hAnsi="Arial" w:cs="Arial"/>
          <w:sz w:val="24"/>
          <w:szCs w:val="24"/>
        </w:rPr>
        <w:t>before the plaintiffs were notified of the outcome of the tenders certain allegations surfaced in the local newspapers, which allegations were that Permanent Secretary in the Ministry was involved in the allocation of one of the tenders in respect of the regions. T</w:t>
      </w:r>
      <w:r w:rsidRPr="002B7391">
        <w:rPr>
          <w:rFonts w:ascii="Arial" w:hAnsi="Arial" w:cs="Arial"/>
          <w:sz w:val="24"/>
          <w:szCs w:val="24"/>
        </w:rPr>
        <w:t xml:space="preserve">he </w:t>
      </w:r>
      <w:r>
        <w:rPr>
          <w:rFonts w:ascii="Arial" w:hAnsi="Arial" w:cs="Arial"/>
          <w:sz w:val="24"/>
          <w:szCs w:val="24"/>
        </w:rPr>
        <w:t>f</w:t>
      </w:r>
      <w:r w:rsidRPr="002B7391">
        <w:rPr>
          <w:rFonts w:ascii="Arial" w:hAnsi="Arial" w:cs="Arial"/>
          <w:sz w:val="24"/>
          <w:szCs w:val="24"/>
        </w:rPr>
        <w:t xml:space="preserve">ourth and/or </w:t>
      </w:r>
      <w:r>
        <w:rPr>
          <w:rFonts w:ascii="Arial" w:hAnsi="Arial" w:cs="Arial"/>
          <w:sz w:val="24"/>
          <w:szCs w:val="24"/>
        </w:rPr>
        <w:t>f</w:t>
      </w:r>
      <w:r w:rsidRPr="002B7391">
        <w:rPr>
          <w:rFonts w:ascii="Arial" w:hAnsi="Arial" w:cs="Arial"/>
          <w:sz w:val="24"/>
          <w:szCs w:val="24"/>
        </w:rPr>
        <w:t>ifth</w:t>
      </w:r>
      <w:r>
        <w:rPr>
          <w:rFonts w:ascii="Arial" w:hAnsi="Arial" w:cs="Arial"/>
          <w:sz w:val="24"/>
          <w:szCs w:val="24"/>
        </w:rPr>
        <w:t xml:space="preserve"> d</w:t>
      </w:r>
      <w:r w:rsidRPr="002B7391">
        <w:rPr>
          <w:rFonts w:ascii="Arial" w:hAnsi="Arial" w:cs="Arial"/>
          <w:sz w:val="24"/>
          <w:szCs w:val="24"/>
        </w:rPr>
        <w:t xml:space="preserve">efendants </w:t>
      </w:r>
      <w:r w:rsidR="003313FB">
        <w:rPr>
          <w:rFonts w:ascii="Arial" w:hAnsi="Arial" w:cs="Arial"/>
          <w:sz w:val="24"/>
          <w:szCs w:val="24"/>
        </w:rPr>
        <w:t>apparently then requested</w:t>
      </w:r>
      <w:r w:rsidRPr="002B7391">
        <w:rPr>
          <w:rFonts w:ascii="Arial" w:hAnsi="Arial" w:cs="Arial"/>
          <w:sz w:val="24"/>
          <w:szCs w:val="24"/>
        </w:rPr>
        <w:t xml:space="preserve"> that </w:t>
      </w:r>
      <w:r>
        <w:rPr>
          <w:rFonts w:ascii="Arial" w:hAnsi="Arial" w:cs="Arial"/>
          <w:sz w:val="24"/>
          <w:szCs w:val="24"/>
        </w:rPr>
        <w:t>f</w:t>
      </w:r>
      <w:r w:rsidRPr="002B7391">
        <w:rPr>
          <w:rFonts w:ascii="Arial" w:hAnsi="Arial" w:cs="Arial"/>
          <w:sz w:val="24"/>
          <w:szCs w:val="24"/>
        </w:rPr>
        <w:t xml:space="preserve">irst </w:t>
      </w:r>
      <w:r>
        <w:rPr>
          <w:rFonts w:ascii="Arial" w:hAnsi="Arial" w:cs="Arial"/>
          <w:sz w:val="24"/>
          <w:szCs w:val="24"/>
        </w:rPr>
        <w:t>d</w:t>
      </w:r>
      <w:r w:rsidRPr="002B7391">
        <w:rPr>
          <w:rFonts w:ascii="Arial" w:hAnsi="Arial" w:cs="Arial"/>
          <w:sz w:val="24"/>
          <w:szCs w:val="24"/>
        </w:rPr>
        <w:t>efendant cancel the award of</w:t>
      </w:r>
      <w:r>
        <w:rPr>
          <w:rFonts w:ascii="Arial" w:hAnsi="Arial" w:cs="Arial"/>
          <w:sz w:val="24"/>
          <w:szCs w:val="24"/>
        </w:rPr>
        <w:t xml:space="preserve"> </w:t>
      </w:r>
      <w:r w:rsidRPr="002B7391">
        <w:rPr>
          <w:rFonts w:ascii="Arial" w:hAnsi="Arial" w:cs="Arial"/>
          <w:sz w:val="24"/>
          <w:szCs w:val="24"/>
        </w:rPr>
        <w:t xml:space="preserve">the </w:t>
      </w:r>
      <w:r>
        <w:rPr>
          <w:rFonts w:ascii="Arial" w:hAnsi="Arial" w:cs="Arial"/>
          <w:sz w:val="24"/>
          <w:szCs w:val="24"/>
        </w:rPr>
        <w:t>t</w:t>
      </w:r>
      <w:r w:rsidRPr="002B7391">
        <w:rPr>
          <w:rFonts w:ascii="Arial" w:hAnsi="Arial" w:cs="Arial"/>
          <w:sz w:val="24"/>
          <w:szCs w:val="24"/>
        </w:rPr>
        <w:t>enders.</w:t>
      </w:r>
      <w:r w:rsidRPr="00BA36E5">
        <w:rPr>
          <w:rFonts w:ascii="Arial" w:hAnsi="Arial" w:cs="Arial"/>
          <w:sz w:val="24"/>
          <w:szCs w:val="24"/>
        </w:rPr>
        <w:t xml:space="preserve"> </w:t>
      </w:r>
      <w:r w:rsidR="003313FB">
        <w:rPr>
          <w:rFonts w:ascii="Arial" w:hAnsi="Arial" w:cs="Arial"/>
          <w:sz w:val="24"/>
          <w:szCs w:val="24"/>
        </w:rPr>
        <w:t xml:space="preserve">The entire tender was cancelled and </w:t>
      </w:r>
      <w:r>
        <w:rPr>
          <w:rFonts w:ascii="Arial" w:hAnsi="Arial" w:cs="Arial"/>
          <w:sz w:val="24"/>
          <w:szCs w:val="24"/>
        </w:rPr>
        <w:t>the</w:t>
      </w:r>
      <w:r w:rsidRPr="002B7391">
        <w:rPr>
          <w:rFonts w:ascii="Arial" w:hAnsi="Arial" w:cs="Arial"/>
          <w:sz w:val="24"/>
          <w:szCs w:val="24"/>
        </w:rPr>
        <w:t xml:space="preserve"> </w:t>
      </w:r>
      <w:r>
        <w:rPr>
          <w:rFonts w:ascii="Arial" w:hAnsi="Arial" w:cs="Arial"/>
          <w:sz w:val="24"/>
          <w:szCs w:val="24"/>
        </w:rPr>
        <w:t>p</w:t>
      </w:r>
      <w:r w:rsidRPr="002B7391">
        <w:rPr>
          <w:rFonts w:ascii="Arial" w:hAnsi="Arial" w:cs="Arial"/>
          <w:sz w:val="24"/>
          <w:szCs w:val="24"/>
        </w:rPr>
        <w:t>laintiffs were advised/informed by facsimile on or about</w:t>
      </w:r>
      <w:r>
        <w:rPr>
          <w:rFonts w:ascii="Arial" w:hAnsi="Arial" w:cs="Arial"/>
          <w:sz w:val="24"/>
          <w:szCs w:val="24"/>
        </w:rPr>
        <w:t xml:space="preserve"> </w:t>
      </w:r>
      <w:r w:rsidRPr="002B7391">
        <w:rPr>
          <w:rFonts w:ascii="Arial" w:hAnsi="Arial" w:cs="Arial"/>
          <w:sz w:val="24"/>
          <w:szCs w:val="24"/>
        </w:rPr>
        <w:t xml:space="preserve">15 October 2014 that the </w:t>
      </w:r>
      <w:r>
        <w:rPr>
          <w:rFonts w:ascii="Arial" w:hAnsi="Arial" w:cs="Arial"/>
          <w:sz w:val="24"/>
          <w:szCs w:val="24"/>
        </w:rPr>
        <w:t>t</w:t>
      </w:r>
      <w:r w:rsidRPr="002B7391">
        <w:rPr>
          <w:rFonts w:ascii="Arial" w:hAnsi="Arial" w:cs="Arial"/>
          <w:sz w:val="24"/>
          <w:szCs w:val="24"/>
        </w:rPr>
        <w:t>ender process had been cancelled.</w:t>
      </w:r>
      <w:r w:rsidR="008B5C93">
        <w:rPr>
          <w:rFonts w:ascii="Arial" w:hAnsi="Arial" w:cs="Arial"/>
          <w:sz w:val="24"/>
          <w:szCs w:val="24"/>
        </w:rPr>
        <w:t xml:space="preserve"> The plaintiffs were not given the opportunity to be heard </w:t>
      </w:r>
      <w:r w:rsidR="008B5C93" w:rsidRPr="0001065E">
        <w:rPr>
          <w:rFonts w:ascii="Arial" w:hAnsi="Arial" w:cs="Arial"/>
          <w:sz w:val="24"/>
          <w:szCs w:val="24"/>
        </w:rPr>
        <w:t xml:space="preserve">nor </w:t>
      </w:r>
      <w:r w:rsidR="00DC6AD3" w:rsidRPr="0001065E">
        <w:rPr>
          <w:rFonts w:ascii="Arial" w:hAnsi="Arial" w:cs="Arial"/>
          <w:sz w:val="24"/>
          <w:szCs w:val="24"/>
        </w:rPr>
        <w:t>were</w:t>
      </w:r>
      <w:r w:rsidR="008B5C93" w:rsidRPr="0001065E">
        <w:rPr>
          <w:rFonts w:ascii="Arial" w:hAnsi="Arial" w:cs="Arial"/>
          <w:sz w:val="24"/>
          <w:szCs w:val="24"/>
        </w:rPr>
        <w:t xml:space="preserve"> the plaintiff</w:t>
      </w:r>
      <w:r w:rsidR="00DC6AD3" w:rsidRPr="0001065E">
        <w:rPr>
          <w:rFonts w:ascii="Arial" w:hAnsi="Arial" w:cs="Arial"/>
          <w:sz w:val="24"/>
          <w:szCs w:val="24"/>
        </w:rPr>
        <w:t>s</w:t>
      </w:r>
      <w:r w:rsidR="008B5C93" w:rsidRPr="0001065E">
        <w:rPr>
          <w:rFonts w:ascii="Arial" w:hAnsi="Arial" w:cs="Arial"/>
          <w:sz w:val="24"/>
          <w:szCs w:val="24"/>
        </w:rPr>
        <w:t xml:space="preserve"> notified in terms </w:t>
      </w:r>
      <w:r w:rsidR="008B5C93">
        <w:rPr>
          <w:rFonts w:ascii="Arial" w:hAnsi="Arial" w:cs="Arial"/>
          <w:sz w:val="24"/>
          <w:szCs w:val="24"/>
        </w:rPr>
        <w:t>of s 16(1</w:t>
      </w:r>
      <w:r w:rsidR="00515A3E">
        <w:rPr>
          <w:rFonts w:ascii="Arial" w:hAnsi="Arial" w:cs="Arial"/>
          <w:sz w:val="24"/>
          <w:szCs w:val="24"/>
        </w:rPr>
        <w:t>) (</w:t>
      </w:r>
      <w:r w:rsidR="008B5C93">
        <w:rPr>
          <w:rFonts w:ascii="Arial" w:hAnsi="Arial" w:cs="Arial"/>
          <w:sz w:val="24"/>
          <w:szCs w:val="24"/>
        </w:rPr>
        <w:t xml:space="preserve">a) of the repealed Tender Board Act. </w:t>
      </w:r>
    </w:p>
    <w:p w:rsidR="002B7391" w:rsidRDefault="002B7391" w:rsidP="004A7C1D">
      <w:pPr>
        <w:autoSpaceDE w:val="0"/>
        <w:autoSpaceDN w:val="0"/>
        <w:adjustRightInd w:val="0"/>
        <w:spacing w:after="0" w:line="360" w:lineRule="auto"/>
        <w:jc w:val="both"/>
        <w:rPr>
          <w:rFonts w:ascii="Arial" w:hAnsi="Arial" w:cs="Arial"/>
          <w:sz w:val="24"/>
          <w:szCs w:val="24"/>
        </w:rPr>
      </w:pPr>
    </w:p>
    <w:p w:rsidR="00BA36E5" w:rsidRDefault="00BA36E5" w:rsidP="004A7C1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A385F">
        <w:rPr>
          <w:rFonts w:ascii="Arial" w:hAnsi="Arial" w:cs="Arial"/>
          <w:sz w:val="24"/>
          <w:szCs w:val="24"/>
        </w:rPr>
        <w:t>8</w:t>
      </w:r>
      <w:r>
        <w:rPr>
          <w:rFonts w:ascii="Arial" w:hAnsi="Arial" w:cs="Arial"/>
          <w:sz w:val="24"/>
          <w:szCs w:val="24"/>
        </w:rPr>
        <w:t>]</w:t>
      </w:r>
      <w:r>
        <w:rPr>
          <w:rFonts w:ascii="Arial" w:hAnsi="Arial" w:cs="Arial"/>
          <w:sz w:val="24"/>
          <w:szCs w:val="24"/>
        </w:rPr>
        <w:tab/>
        <w:t>The first and second plaintiffs</w:t>
      </w:r>
      <w:r w:rsidR="00FE581B">
        <w:rPr>
          <w:rFonts w:ascii="Arial" w:hAnsi="Arial" w:cs="Arial"/>
          <w:sz w:val="24"/>
          <w:szCs w:val="24"/>
        </w:rPr>
        <w:t>, not happy with the unfortunate turn of events then turn</w:t>
      </w:r>
      <w:r w:rsidR="00515A3E" w:rsidRPr="0001065E">
        <w:rPr>
          <w:rFonts w:ascii="Arial" w:hAnsi="Arial" w:cs="Arial"/>
          <w:sz w:val="24"/>
          <w:szCs w:val="24"/>
        </w:rPr>
        <w:t>ed</w:t>
      </w:r>
      <w:r w:rsidR="00FE581B" w:rsidRPr="00515A3E">
        <w:rPr>
          <w:rFonts w:ascii="Arial" w:hAnsi="Arial" w:cs="Arial"/>
          <w:color w:val="FF0000"/>
          <w:sz w:val="24"/>
          <w:szCs w:val="24"/>
        </w:rPr>
        <w:t xml:space="preserve"> </w:t>
      </w:r>
      <w:r w:rsidR="00FE581B">
        <w:rPr>
          <w:rFonts w:ascii="Arial" w:hAnsi="Arial" w:cs="Arial"/>
          <w:sz w:val="24"/>
          <w:szCs w:val="24"/>
        </w:rPr>
        <w:t xml:space="preserve">to this court and </w:t>
      </w:r>
      <w:r>
        <w:rPr>
          <w:rFonts w:ascii="Arial" w:hAnsi="Arial" w:cs="Arial"/>
          <w:sz w:val="24"/>
          <w:szCs w:val="24"/>
        </w:rPr>
        <w:t>brought a review application</w:t>
      </w:r>
      <w:r>
        <w:rPr>
          <w:rStyle w:val="FootnoteReference"/>
          <w:rFonts w:ascii="Arial" w:hAnsi="Arial" w:cs="Arial"/>
          <w:sz w:val="24"/>
          <w:szCs w:val="24"/>
        </w:rPr>
        <w:footnoteReference w:id="3"/>
      </w:r>
      <w:r>
        <w:rPr>
          <w:rFonts w:ascii="Arial" w:hAnsi="Arial" w:cs="Arial"/>
          <w:sz w:val="24"/>
          <w:szCs w:val="24"/>
        </w:rPr>
        <w:t xml:space="preserve"> before</w:t>
      </w:r>
      <w:r w:rsidR="00515A3E">
        <w:rPr>
          <w:rFonts w:ascii="Arial" w:hAnsi="Arial" w:cs="Arial"/>
          <w:sz w:val="24"/>
          <w:szCs w:val="24"/>
        </w:rPr>
        <w:t xml:space="preserve"> this court on 12 December 2014</w:t>
      </w:r>
      <w:r w:rsidR="00FE581B">
        <w:rPr>
          <w:rFonts w:ascii="Arial" w:hAnsi="Arial" w:cs="Arial"/>
          <w:sz w:val="24"/>
          <w:szCs w:val="24"/>
        </w:rPr>
        <w:t xml:space="preserve">, seeking inter alia the review of the cancellation of their tenders together with interdictory relief. The plaintiffs unsuccessfully challenged the lawfulness of the administrative decision to cancel the tender in this court. This decision was appealed and the appeal was </w:t>
      </w:r>
      <w:r w:rsidR="00FE581B" w:rsidRPr="00FE581B">
        <w:rPr>
          <w:rFonts w:ascii="Arial" w:hAnsi="Arial" w:cs="Arial"/>
          <w:sz w:val="24"/>
          <w:szCs w:val="24"/>
        </w:rPr>
        <w:t xml:space="preserve">determined by the judgment of the Supreme Court, </w:t>
      </w:r>
      <w:r w:rsidR="00FE581B" w:rsidRPr="00FE581B">
        <w:rPr>
          <w:rFonts w:ascii="Arial" w:hAnsi="Arial" w:cs="Arial"/>
          <w:sz w:val="24"/>
          <w:szCs w:val="24"/>
        </w:rPr>
        <w:lastRenderedPageBreak/>
        <w:t>delivered on 3 July 2019, in which Court found and ordered that the cancellation of the Plaintiffs’ tenders was irrational and unlawful</w:t>
      </w:r>
      <w:r w:rsidR="00FE581B">
        <w:rPr>
          <w:rStyle w:val="FootnoteReference"/>
          <w:rFonts w:ascii="Arial" w:hAnsi="Arial" w:cs="Arial"/>
          <w:sz w:val="24"/>
          <w:szCs w:val="24"/>
        </w:rPr>
        <w:footnoteReference w:id="4"/>
      </w:r>
      <w:r w:rsidR="00FE581B" w:rsidRPr="00FE581B">
        <w:rPr>
          <w:rFonts w:ascii="Arial" w:hAnsi="Arial" w:cs="Arial"/>
          <w:sz w:val="24"/>
          <w:szCs w:val="24"/>
        </w:rPr>
        <w:t>.</w:t>
      </w:r>
    </w:p>
    <w:p w:rsidR="007541CC" w:rsidRDefault="007541CC" w:rsidP="004A7C1D">
      <w:pPr>
        <w:autoSpaceDE w:val="0"/>
        <w:autoSpaceDN w:val="0"/>
        <w:adjustRightInd w:val="0"/>
        <w:spacing w:after="0" w:line="360" w:lineRule="auto"/>
        <w:jc w:val="both"/>
        <w:rPr>
          <w:rFonts w:ascii="Arial" w:hAnsi="Arial" w:cs="Arial"/>
          <w:sz w:val="24"/>
          <w:szCs w:val="24"/>
        </w:rPr>
      </w:pPr>
    </w:p>
    <w:p w:rsidR="007541CC" w:rsidRDefault="007541CC" w:rsidP="004A7C1D">
      <w:pPr>
        <w:autoSpaceDE w:val="0"/>
        <w:autoSpaceDN w:val="0"/>
        <w:adjustRightInd w:val="0"/>
        <w:spacing w:after="0" w:line="360" w:lineRule="auto"/>
        <w:jc w:val="both"/>
        <w:rPr>
          <w:rFonts w:ascii="Arial" w:hAnsi="Arial" w:cs="Arial"/>
          <w:sz w:val="26"/>
          <w:szCs w:val="26"/>
        </w:rPr>
      </w:pPr>
      <w:r>
        <w:rPr>
          <w:rFonts w:ascii="Arial" w:hAnsi="Arial" w:cs="Arial"/>
          <w:sz w:val="24"/>
          <w:szCs w:val="24"/>
        </w:rPr>
        <w:t>[</w:t>
      </w:r>
      <w:r w:rsidR="002A385F">
        <w:rPr>
          <w:rFonts w:ascii="Arial" w:hAnsi="Arial" w:cs="Arial"/>
          <w:sz w:val="24"/>
          <w:szCs w:val="24"/>
        </w:rPr>
        <w:t>9</w:t>
      </w:r>
      <w:r>
        <w:rPr>
          <w:rFonts w:ascii="Arial" w:hAnsi="Arial" w:cs="Arial"/>
          <w:sz w:val="24"/>
          <w:szCs w:val="24"/>
        </w:rPr>
        <w:t>]</w:t>
      </w:r>
      <w:r>
        <w:rPr>
          <w:rFonts w:ascii="Arial" w:hAnsi="Arial" w:cs="Arial"/>
          <w:sz w:val="24"/>
          <w:szCs w:val="24"/>
        </w:rPr>
        <w:tab/>
        <w:t xml:space="preserve"> Following</w:t>
      </w:r>
      <w:r w:rsidRPr="00515A3E">
        <w:rPr>
          <w:rFonts w:ascii="Arial" w:hAnsi="Arial" w:cs="Arial"/>
          <w:color w:val="FF0000"/>
          <w:sz w:val="24"/>
          <w:szCs w:val="24"/>
        </w:rPr>
        <w:t xml:space="preserve"> </w:t>
      </w:r>
      <w:r>
        <w:rPr>
          <w:rFonts w:ascii="Arial" w:hAnsi="Arial" w:cs="Arial"/>
          <w:sz w:val="24"/>
          <w:szCs w:val="24"/>
        </w:rPr>
        <w:t xml:space="preserve">the judgment of the Supreme court the plaintiffs issued the current summons on 23 July 2020 claiming </w:t>
      </w:r>
      <w:r>
        <w:rPr>
          <w:rFonts w:ascii="Arial" w:hAnsi="Arial" w:cs="Arial"/>
          <w:sz w:val="26"/>
          <w:szCs w:val="26"/>
        </w:rPr>
        <w:t xml:space="preserve">damages for the loss of profit </w:t>
      </w:r>
      <w:r>
        <w:rPr>
          <w:rFonts w:ascii="ArialMT" w:hAnsi="ArialMT" w:cs="ArialMT"/>
          <w:sz w:val="26"/>
          <w:szCs w:val="26"/>
        </w:rPr>
        <w:t xml:space="preserve">which totals in the amount of </w:t>
      </w:r>
      <w:r w:rsidRPr="007541CC">
        <w:rPr>
          <w:rFonts w:ascii="Arial" w:hAnsi="Arial" w:cs="Arial"/>
          <w:bCs/>
          <w:sz w:val="24"/>
          <w:szCs w:val="24"/>
        </w:rPr>
        <w:t>N$143 573 715,00</w:t>
      </w:r>
      <w:r>
        <w:rPr>
          <w:rFonts w:ascii="Arial" w:hAnsi="Arial" w:cs="Arial"/>
          <w:sz w:val="24"/>
          <w:szCs w:val="24"/>
        </w:rPr>
        <w:t xml:space="preserve"> in respect of all the defendants. The plaintiffs</w:t>
      </w:r>
      <w:r w:rsidR="00E3398E">
        <w:rPr>
          <w:rFonts w:ascii="Arial" w:hAnsi="Arial" w:cs="Arial"/>
          <w:sz w:val="24"/>
          <w:szCs w:val="24"/>
        </w:rPr>
        <w:t>’</w:t>
      </w:r>
      <w:r>
        <w:rPr>
          <w:rFonts w:ascii="Arial" w:hAnsi="Arial" w:cs="Arial"/>
          <w:sz w:val="24"/>
          <w:szCs w:val="24"/>
        </w:rPr>
        <w:t xml:space="preserve"> further claim </w:t>
      </w:r>
      <w:r>
        <w:rPr>
          <w:rFonts w:ascii="Arial" w:hAnsi="Arial" w:cs="Arial"/>
          <w:sz w:val="26"/>
          <w:szCs w:val="26"/>
        </w:rPr>
        <w:t xml:space="preserve">the financial losses it incurred and suffered as a result of their ‘survey’ expenses, which amounted to </w:t>
      </w:r>
      <w:r w:rsidR="002A385F">
        <w:rPr>
          <w:rFonts w:ascii="Arial" w:hAnsi="Arial" w:cs="Arial"/>
          <w:sz w:val="26"/>
          <w:szCs w:val="26"/>
        </w:rPr>
        <w:t xml:space="preserve">N$ 35 220, as well as interest and costs. </w:t>
      </w:r>
    </w:p>
    <w:p w:rsidR="00E3516C" w:rsidRPr="00E3516C" w:rsidRDefault="00E3516C" w:rsidP="004A7C1D">
      <w:pPr>
        <w:spacing w:after="0" w:line="360" w:lineRule="auto"/>
        <w:rPr>
          <w:u w:val="single"/>
        </w:rPr>
      </w:pPr>
    </w:p>
    <w:p w:rsidR="00515A3E" w:rsidRDefault="00E3516C" w:rsidP="004A7C1D">
      <w:pPr>
        <w:spacing w:after="0" w:line="360" w:lineRule="auto"/>
        <w:rPr>
          <w:rFonts w:ascii="Arial" w:hAnsi="Arial" w:cs="Arial"/>
          <w:sz w:val="24"/>
          <w:szCs w:val="24"/>
          <w:u w:val="single"/>
        </w:rPr>
      </w:pPr>
      <w:r w:rsidRPr="00E3516C">
        <w:rPr>
          <w:rFonts w:ascii="Arial" w:hAnsi="Arial" w:cs="Arial"/>
          <w:sz w:val="24"/>
          <w:szCs w:val="24"/>
          <w:u w:val="single"/>
        </w:rPr>
        <w:t>The exception</w:t>
      </w:r>
    </w:p>
    <w:p w:rsidR="00221E5F" w:rsidRPr="009E547F" w:rsidRDefault="00221E5F" w:rsidP="004A7C1D">
      <w:pPr>
        <w:spacing w:after="0" w:line="360" w:lineRule="auto"/>
        <w:rPr>
          <w:rFonts w:ascii="Arial" w:hAnsi="Arial" w:cs="Arial"/>
          <w:sz w:val="24"/>
          <w:szCs w:val="24"/>
          <w:u w:val="single"/>
        </w:rPr>
      </w:pPr>
    </w:p>
    <w:p w:rsidR="009E547F" w:rsidRDefault="00E3516C" w:rsidP="004A7C1D">
      <w:pPr>
        <w:spacing w:after="0" w:line="360" w:lineRule="auto"/>
        <w:jc w:val="both"/>
        <w:rPr>
          <w:rFonts w:ascii="Arial" w:hAnsi="Arial" w:cs="Arial"/>
          <w:sz w:val="24"/>
          <w:szCs w:val="24"/>
        </w:rPr>
      </w:pPr>
      <w:r>
        <w:rPr>
          <w:rFonts w:ascii="Arial" w:hAnsi="Arial" w:cs="Arial"/>
          <w:sz w:val="24"/>
          <w:szCs w:val="24"/>
        </w:rPr>
        <w:t>[</w:t>
      </w:r>
      <w:r w:rsidR="002A385F">
        <w:rPr>
          <w:rFonts w:ascii="Arial" w:hAnsi="Arial" w:cs="Arial"/>
          <w:sz w:val="24"/>
          <w:szCs w:val="24"/>
        </w:rPr>
        <w:t>10</w:t>
      </w:r>
      <w:r>
        <w:rPr>
          <w:rFonts w:ascii="Arial" w:hAnsi="Arial" w:cs="Arial"/>
          <w:sz w:val="24"/>
          <w:szCs w:val="24"/>
        </w:rPr>
        <w:t>]</w:t>
      </w:r>
      <w:r>
        <w:rPr>
          <w:rFonts w:ascii="Arial" w:hAnsi="Arial" w:cs="Arial"/>
          <w:sz w:val="24"/>
          <w:szCs w:val="24"/>
        </w:rPr>
        <w:tab/>
      </w:r>
      <w:r w:rsidRPr="00E3516C">
        <w:rPr>
          <w:rFonts w:ascii="Arial" w:hAnsi="Arial" w:cs="Arial"/>
          <w:sz w:val="24"/>
          <w:szCs w:val="24"/>
        </w:rPr>
        <w:t xml:space="preserve">The </w:t>
      </w:r>
      <w:r w:rsidR="002A385F">
        <w:rPr>
          <w:rFonts w:ascii="Arial" w:hAnsi="Arial" w:cs="Arial"/>
          <w:sz w:val="24"/>
          <w:szCs w:val="24"/>
        </w:rPr>
        <w:t>d</w:t>
      </w:r>
      <w:r w:rsidRPr="00E3516C">
        <w:rPr>
          <w:rFonts w:ascii="Arial" w:hAnsi="Arial" w:cs="Arial"/>
          <w:sz w:val="24"/>
          <w:szCs w:val="24"/>
        </w:rPr>
        <w:t xml:space="preserve">efendants filed an exception principally on the basis that the </w:t>
      </w:r>
      <w:r w:rsidR="002A385F">
        <w:rPr>
          <w:rFonts w:ascii="Arial" w:hAnsi="Arial" w:cs="Arial"/>
          <w:sz w:val="24"/>
          <w:szCs w:val="24"/>
        </w:rPr>
        <w:t>p</w:t>
      </w:r>
      <w:r w:rsidRPr="00E3516C">
        <w:rPr>
          <w:rFonts w:ascii="Arial" w:hAnsi="Arial" w:cs="Arial"/>
          <w:sz w:val="24"/>
          <w:szCs w:val="24"/>
        </w:rPr>
        <w:t>laintiffs having neither been notified of an award in terms of section 16 of the repealed Tender Board Act, nor in terms of section 55(4</w:t>
      </w:r>
      <w:r w:rsidR="00C5052F" w:rsidRPr="00E3516C">
        <w:rPr>
          <w:rFonts w:ascii="Arial" w:hAnsi="Arial" w:cs="Arial"/>
          <w:sz w:val="24"/>
          <w:szCs w:val="24"/>
        </w:rPr>
        <w:t>) (</w:t>
      </w:r>
      <w:r w:rsidRPr="00E3516C">
        <w:rPr>
          <w:rFonts w:ascii="Arial" w:hAnsi="Arial" w:cs="Arial"/>
          <w:sz w:val="24"/>
          <w:szCs w:val="24"/>
        </w:rPr>
        <w:t xml:space="preserve">a) of the Public Procurement Act, No. 15 of 2015, failed to allege that there was an acceptance of their bids and a successful tender award which would have resulted in a binding and enforceable procurement contract. </w:t>
      </w:r>
    </w:p>
    <w:p w:rsidR="00221E5F" w:rsidRDefault="00221E5F" w:rsidP="004A7C1D">
      <w:pPr>
        <w:spacing w:after="0" w:line="360" w:lineRule="auto"/>
        <w:jc w:val="both"/>
        <w:rPr>
          <w:rFonts w:ascii="Arial" w:hAnsi="Arial" w:cs="Arial"/>
          <w:sz w:val="24"/>
          <w:szCs w:val="24"/>
        </w:rPr>
      </w:pPr>
    </w:p>
    <w:p w:rsidR="0008692B" w:rsidRDefault="002A385F" w:rsidP="004A7C1D">
      <w:pPr>
        <w:spacing w:after="0" w:line="360" w:lineRule="auto"/>
        <w:jc w:val="both"/>
        <w:rPr>
          <w:rFonts w:ascii="Arial" w:hAnsi="Arial" w:cs="Arial"/>
        </w:rPr>
      </w:pPr>
      <w:r>
        <w:rPr>
          <w:rFonts w:ascii="Arial" w:hAnsi="Arial" w:cs="Arial"/>
          <w:sz w:val="24"/>
          <w:szCs w:val="24"/>
        </w:rPr>
        <w:t>[11]</w:t>
      </w:r>
      <w:r>
        <w:rPr>
          <w:rFonts w:ascii="Arial" w:hAnsi="Arial" w:cs="Arial"/>
          <w:sz w:val="24"/>
          <w:szCs w:val="24"/>
        </w:rPr>
        <w:tab/>
      </w:r>
      <w:r w:rsidR="00E3516C" w:rsidRPr="00E3516C">
        <w:rPr>
          <w:rFonts w:ascii="Arial" w:hAnsi="Arial" w:cs="Arial"/>
          <w:sz w:val="24"/>
          <w:szCs w:val="24"/>
        </w:rPr>
        <w:t xml:space="preserve">Furthermore, the </w:t>
      </w:r>
      <w:r>
        <w:rPr>
          <w:rFonts w:ascii="Arial" w:hAnsi="Arial" w:cs="Arial"/>
          <w:sz w:val="24"/>
          <w:szCs w:val="24"/>
        </w:rPr>
        <w:t>d</w:t>
      </w:r>
      <w:r w:rsidR="00E3516C" w:rsidRPr="00E3516C">
        <w:rPr>
          <w:rFonts w:ascii="Arial" w:hAnsi="Arial" w:cs="Arial"/>
          <w:sz w:val="24"/>
          <w:szCs w:val="24"/>
        </w:rPr>
        <w:t xml:space="preserve">efendants further attacked the </w:t>
      </w:r>
      <w:r>
        <w:rPr>
          <w:rFonts w:ascii="Arial" w:hAnsi="Arial" w:cs="Arial"/>
          <w:sz w:val="24"/>
          <w:szCs w:val="24"/>
        </w:rPr>
        <w:t>p</w:t>
      </w:r>
      <w:r w:rsidR="00E3516C" w:rsidRPr="00E3516C">
        <w:rPr>
          <w:rFonts w:ascii="Arial" w:hAnsi="Arial" w:cs="Arial"/>
          <w:sz w:val="24"/>
          <w:szCs w:val="24"/>
        </w:rPr>
        <w:t xml:space="preserve">laintiffs’ </w:t>
      </w:r>
      <w:r>
        <w:rPr>
          <w:rFonts w:ascii="Arial" w:hAnsi="Arial" w:cs="Arial"/>
          <w:sz w:val="24"/>
          <w:szCs w:val="24"/>
        </w:rPr>
        <w:t>p</w:t>
      </w:r>
      <w:r w:rsidR="00E3516C" w:rsidRPr="00E3516C">
        <w:rPr>
          <w:rFonts w:ascii="Arial" w:hAnsi="Arial" w:cs="Arial"/>
          <w:sz w:val="24"/>
          <w:szCs w:val="24"/>
        </w:rPr>
        <w:t xml:space="preserve">articulars of </w:t>
      </w:r>
      <w:r>
        <w:rPr>
          <w:rFonts w:ascii="Arial" w:hAnsi="Arial" w:cs="Arial"/>
          <w:sz w:val="24"/>
          <w:szCs w:val="24"/>
        </w:rPr>
        <w:t>c</w:t>
      </w:r>
      <w:r w:rsidR="00E3516C" w:rsidRPr="00E3516C">
        <w:rPr>
          <w:rFonts w:ascii="Arial" w:hAnsi="Arial" w:cs="Arial"/>
          <w:sz w:val="24"/>
          <w:szCs w:val="24"/>
        </w:rPr>
        <w:t xml:space="preserve">laim on the ground that the </w:t>
      </w:r>
      <w:r w:rsidR="004A4C25">
        <w:rPr>
          <w:rFonts w:ascii="Arial" w:hAnsi="Arial" w:cs="Arial"/>
          <w:sz w:val="24"/>
          <w:szCs w:val="24"/>
        </w:rPr>
        <w:t>p</w:t>
      </w:r>
      <w:r w:rsidR="00E3516C" w:rsidRPr="00E3516C">
        <w:rPr>
          <w:rFonts w:ascii="Arial" w:hAnsi="Arial" w:cs="Arial"/>
          <w:sz w:val="24"/>
          <w:szCs w:val="24"/>
        </w:rPr>
        <w:t xml:space="preserve">laintiffs’ claim does not disclose a cause of action and is bad in law in that the </w:t>
      </w:r>
      <w:r w:rsidR="004A4C25">
        <w:rPr>
          <w:rFonts w:ascii="Arial" w:hAnsi="Arial" w:cs="Arial"/>
          <w:sz w:val="24"/>
          <w:szCs w:val="24"/>
        </w:rPr>
        <w:t>p</w:t>
      </w:r>
      <w:r w:rsidR="00E3516C" w:rsidRPr="00E3516C">
        <w:rPr>
          <w:rFonts w:ascii="Arial" w:hAnsi="Arial" w:cs="Arial"/>
          <w:sz w:val="24"/>
          <w:szCs w:val="24"/>
        </w:rPr>
        <w:t>laintiffs fail to allege and explicitly set out acts of bad faith, dishonesty or fraud on the part</w:t>
      </w:r>
      <w:r w:rsidR="00E3516C" w:rsidRPr="00E3516C">
        <w:rPr>
          <w:rFonts w:ascii="Arial" w:hAnsi="Arial" w:cs="Arial"/>
        </w:rPr>
        <w:t xml:space="preserve"> </w:t>
      </w:r>
      <w:r w:rsidR="00E3516C" w:rsidRPr="00515A3E">
        <w:rPr>
          <w:rFonts w:ascii="Arial" w:hAnsi="Arial" w:cs="Arial"/>
          <w:sz w:val="24"/>
          <w:szCs w:val="24"/>
        </w:rPr>
        <w:t>of the Defendants in executing, or failing to execute, their duties and the Plaintiffs further failed to allege facts on the basis of which monetary damages will be the appropriate and necessary remedy</w:t>
      </w:r>
      <w:r w:rsidR="00E3516C" w:rsidRPr="00E3516C">
        <w:rPr>
          <w:rFonts w:ascii="Arial" w:hAnsi="Arial" w:cs="Arial"/>
        </w:rPr>
        <w:t>.</w:t>
      </w:r>
    </w:p>
    <w:p w:rsidR="004A7C1D" w:rsidRPr="009E547F" w:rsidRDefault="004A7C1D" w:rsidP="004A7C1D">
      <w:pPr>
        <w:spacing w:after="0" w:line="360" w:lineRule="auto"/>
        <w:jc w:val="both"/>
        <w:rPr>
          <w:rFonts w:ascii="Arial" w:hAnsi="Arial" w:cs="Arial"/>
        </w:rPr>
      </w:pPr>
    </w:p>
    <w:p w:rsidR="00E3516C" w:rsidRPr="00E3516C" w:rsidRDefault="00E3516C" w:rsidP="004A7C1D">
      <w:pPr>
        <w:spacing w:after="0" w:line="360" w:lineRule="auto"/>
        <w:jc w:val="both"/>
        <w:rPr>
          <w:rFonts w:ascii="Arial" w:hAnsi="Arial" w:cs="Arial"/>
          <w:sz w:val="24"/>
          <w:szCs w:val="24"/>
        </w:rPr>
      </w:pPr>
      <w:r>
        <w:rPr>
          <w:rFonts w:ascii="Arial" w:hAnsi="Arial" w:cs="Arial"/>
          <w:sz w:val="24"/>
          <w:szCs w:val="24"/>
        </w:rPr>
        <w:t>[</w:t>
      </w:r>
      <w:r w:rsidR="004A4C25">
        <w:rPr>
          <w:rFonts w:ascii="Arial" w:hAnsi="Arial" w:cs="Arial"/>
          <w:sz w:val="24"/>
          <w:szCs w:val="24"/>
        </w:rPr>
        <w:t>12</w:t>
      </w:r>
      <w:r>
        <w:rPr>
          <w:rFonts w:ascii="Arial" w:hAnsi="Arial" w:cs="Arial"/>
          <w:sz w:val="24"/>
          <w:szCs w:val="24"/>
        </w:rPr>
        <w:t>]</w:t>
      </w:r>
      <w:r>
        <w:rPr>
          <w:rFonts w:ascii="Arial" w:hAnsi="Arial" w:cs="Arial"/>
          <w:sz w:val="24"/>
          <w:szCs w:val="24"/>
        </w:rPr>
        <w:tab/>
      </w:r>
      <w:r w:rsidR="00C10453" w:rsidRPr="00E3516C">
        <w:rPr>
          <w:rFonts w:ascii="Arial" w:hAnsi="Arial" w:cs="Arial"/>
          <w:sz w:val="24"/>
          <w:szCs w:val="24"/>
        </w:rPr>
        <w:t>The Defendants two grounds of exception</w:t>
      </w:r>
      <w:r>
        <w:rPr>
          <w:rFonts w:ascii="Arial" w:hAnsi="Arial" w:cs="Arial"/>
          <w:sz w:val="24"/>
          <w:szCs w:val="24"/>
        </w:rPr>
        <w:t xml:space="preserve">, </w:t>
      </w:r>
      <w:r w:rsidR="004A4C25">
        <w:rPr>
          <w:rFonts w:ascii="Arial" w:hAnsi="Arial" w:cs="Arial"/>
          <w:sz w:val="24"/>
          <w:szCs w:val="24"/>
        </w:rPr>
        <w:t>can be summarised</w:t>
      </w:r>
      <w:r>
        <w:rPr>
          <w:rFonts w:ascii="Arial" w:hAnsi="Arial" w:cs="Arial"/>
          <w:sz w:val="24"/>
          <w:szCs w:val="24"/>
        </w:rPr>
        <w:t>, as follows:</w:t>
      </w:r>
      <w:r w:rsidR="00C10453" w:rsidRPr="00E3516C">
        <w:rPr>
          <w:rFonts w:ascii="Arial" w:hAnsi="Arial" w:cs="Arial"/>
          <w:sz w:val="24"/>
          <w:szCs w:val="24"/>
        </w:rPr>
        <w:t xml:space="preserve"> </w:t>
      </w:r>
    </w:p>
    <w:p w:rsidR="00E3516C" w:rsidRDefault="00C10453" w:rsidP="004A7C1D">
      <w:pPr>
        <w:spacing w:after="0" w:line="360" w:lineRule="auto"/>
        <w:ind w:firstLine="720"/>
        <w:jc w:val="both"/>
        <w:rPr>
          <w:rFonts w:ascii="Arial" w:hAnsi="Arial" w:cs="Arial"/>
        </w:rPr>
      </w:pPr>
      <w:r w:rsidRPr="00E3516C">
        <w:rPr>
          <w:rFonts w:ascii="Arial" w:hAnsi="Arial" w:cs="Arial"/>
        </w:rPr>
        <w:t xml:space="preserve">1.1. First, they contend that the Plaintiffs' Particulars of Claim lack averments necessary to sustain an action, or that they are legally unsustainable, and are accordingly excipiable because “the 2 Plaintiffs fail to allege that there was an acceptance and a successful tender award resulting in a binding and enforceable procurement contract.” </w:t>
      </w:r>
    </w:p>
    <w:p w:rsidR="004A7C1D" w:rsidRDefault="004A7C1D" w:rsidP="004A7C1D">
      <w:pPr>
        <w:spacing w:after="0" w:line="360" w:lineRule="auto"/>
        <w:ind w:firstLine="720"/>
        <w:jc w:val="both"/>
        <w:rPr>
          <w:rFonts w:ascii="Arial" w:hAnsi="Arial" w:cs="Arial"/>
        </w:rPr>
      </w:pPr>
    </w:p>
    <w:p w:rsidR="008A2C55" w:rsidRDefault="00C10453" w:rsidP="004A7C1D">
      <w:pPr>
        <w:spacing w:after="0" w:line="360" w:lineRule="auto"/>
        <w:ind w:firstLine="720"/>
        <w:jc w:val="both"/>
        <w:rPr>
          <w:rFonts w:ascii="Arial" w:hAnsi="Arial" w:cs="Arial"/>
        </w:rPr>
      </w:pPr>
      <w:r w:rsidRPr="00E3516C">
        <w:rPr>
          <w:rFonts w:ascii="Arial" w:hAnsi="Arial" w:cs="Arial"/>
        </w:rPr>
        <w:lastRenderedPageBreak/>
        <w:t xml:space="preserve"> 1.2. Second, the Defendants contend that the Plaintiffs’ Particulars of Claim lack averments necessary to sustain an action, or are legally unsustainable, and accordingly excipiable, on the basis that the Plaintiffs have failed to allege and/or explicitly set out “acts of bad faith, dishonesty and/or fraud on the part of the Defendants in executing their duties which are necessary for delictual or constitutional liability.”</w:t>
      </w:r>
    </w:p>
    <w:p w:rsidR="00515A3E" w:rsidRDefault="00515A3E" w:rsidP="004A7C1D">
      <w:pPr>
        <w:spacing w:after="0" w:line="360" w:lineRule="auto"/>
        <w:ind w:firstLine="720"/>
        <w:jc w:val="both"/>
        <w:rPr>
          <w:rFonts w:ascii="Arial" w:hAnsi="Arial" w:cs="Arial"/>
        </w:rPr>
      </w:pPr>
    </w:p>
    <w:p w:rsidR="00515A3E" w:rsidRDefault="004A4C25" w:rsidP="004A7C1D">
      <w:pPr>
        <w:spacing w:after="0" w:line="360" w:lineRule="auto"/>
        <w:jc w:val="both"/>
        <w:rPr>
          <w:rFonts w:ascii="Arial" w:hAnsi="Arial" w:cs="Arial"/>
          <w:sz w:val="24"/>
          <w:szCs w:val="24"/>
          <w:u w:val="single"/>
        </w:rPr>
      </w:pPr>
      <w:r w:rsidRPr="004A4C25">
        <w:rPr>
          <w:rFonts w:ascii="Arial" w:hAnsi="Arial" w:cs="Arial"/>
          <w:sz w:val="24"/>
          <w:szCs w:val="24"/>
          <w:u w:val="single"/>
        </w:rPr>
        <w:t>Arguments advanced on behalf of the parties</w:t>
      </w:r>
    </w:p>
    <w:p w:rsidR="00221E5F" w:rsidRDefault="00221E5F" w:rsidP="004A7C1D">
      <w:pPr>
        <w:spacing w:after="0" w:line="360" w:lineRule="auto"/>
        <w:jc w:val="both"/>
        <w:rPr>
          <w:rFonts w:ascii="Arial" w:hAnsi="Arial" w:cs="Arial"/>
          <w:sz w:val="24"/>
          <w:szCs w:val="24"/>
          <w:u w:val="single"/>
        </w:rPr>
      </w:pPr>
    </w:p>
    <w:p w:rsidR="00430C4F" w:rsidRDefault="00430C4F" w:rsidP="004A7C1D">
      <w:pPr>
        <w:pStyle w:val="western"/>
        <w:shd w:val="clear" w:color="auto" w:fill="FFFFFF"/>
        <w:spacing w:before="0" w:beforeAutospacing="0" w:after="0" w:afterAutospacing="0" w:line="360" w:lineRule="auto"/>
        <w:jc w:val="both"/>
        <w:rPr>
          <w:rFonts w:ascii="Arial" w:hAnsi="Arial" w:cs="Arial"/>
          <w:shd w:val="clear" w:color="auto" w:fill="FFFFFF"/>
        </w:rPr>
      </w:pPr>
      <w:r w:rsidRPr="00430C4F">
        <w:rPr>
          <w:rFonts w:ascii="Arial" w:hAnsi="Arial" w:cs="Arial"/>
        </w:rPr>
        <w:t>[</w:t>
      </w:r>
      <w:r w:rsidR="00E3398E">
        <w:rPr>
          <w:rFonts w:ascii="Arial" w:hAnsi="Arial" w:cs="Arial"/>
        </w:rPr>
        <w:t>13</w:t>
      </w:r>
      <w:r w:rsidRPr="00430C4F">
        <w:rPr>
          <w:rFonts w:ascii="Arial" w:hAnsi="Arial" w:cs="Arial"/>
        </w:rPr>
        <w:t>]</w:t>
      </w:r>
      <w:r w:rsidRPr="00430C4F">
        <w:rPr>
          <w:rFonts w:ascii="Arial" w:hAnsi="Arial" w:cs="Arial"/>
        </w:rPr>
        <w:tab/>
      </w:r>
      <w:r w:rsidRPr="004B5E3E">
        <w:rPr>
          <w:rFonts w:ascii="Arial" w:hAnsi="Arial" w:cs="Arial"/>
        </w:rPr>
        <w:t>Both counsel</w:t>
      </w:r>
      <w:r w:rsidR="00515A3E" w:rsidRPr="0001065E">
        <w:rPr>
          <w:rFonts w:ascii="Arial" w:hAnsi="Arial" w:cs="Arial"/>
        </w:rPr>
        <w:t>s</w:t>
      </w:r>
      <w:r w:rsidRPr="0001065E">
        <w:rPr>
          <w:rFonts w:ascii="Arial" w:hAnsi="Arial" w:cs="Arial"/>
        </w:rPr>
        <w:t xml:space="preserve"> </w:t>
      </w:r>
      <w:r w:rsidRPr="004B5E3E">
        <w:rPr>
          <w:rFonts w:ascii="Arial" w:hAnsi="Arial" w:cs="Arial"/>
        </w:rPr>
        <w:t>advanced very able arguments not only</w:t>
      </w:r>
      <w:r w:rsidRPr="005445D2">
        <w:rPr>
          <w:rFonts w:ascii="Arial" w:hAnsi="Arial" w:cs="Arial"/>
        </w:rPr>
        <w:t xml:space="preserve"> in </w:t>
      </w:r>
      <w:r w:rsidRPr="004B5E3E">
        <w:rPr>
          <w:rFonts w:ascii="Arial" w:hAnsi="Arial" w:cs="Arial"/>
        </w:rPr>
        <w:t>their written heads of arguments but also in their supplementary oral arguments. These arguments were comprehensive and I will not attempt to replicate</w:t>
      </w:r>
      <w:r w:rsidRPr="005445D2">
        <w:rPr>
          <w:rFonts w:ascii="Arial" w:hAnsi="Arial" w:cs="Arial"/>
        </w:rPr>
        <w:t xml:space="preserve"> them. </w:t>
      </w:r>
      <w:r w:rsidRPr="004B5E3E">
        <w:rPr>
          <w:rFonts w:ascii="Arial" w:hAnsi="Arial" w:cs="Arial"/>
          <w:shd w:val="clear" w:color="auto" w:fill="FFFFFF"/>
        </w:rPr>
        <w:t>If in the course of</w:t>
      </w:r>
      <w:r>
        <w:rPr>
          <w:rFonts w:ascii="Arial" w:hAnsi="Arial" w:cs="Arial"/>
          <w:shd w:val="clear" w:color="auto" w:fill="FFFFFF"/>
        </w:rPr>
        <w:t xml:space="preserve"> this judgment I use the words ‘submit’ and ‘argue’</w:t>
      </w:r>
      <w:r w:rsidRPr="004B5E3E">
        <w:rPr>
          <w:rFonts w:ascii="Arial" w:hAnsi="Arial" w:cs="Arial"/>
          <w:shd w:val="clear" w:color="auto" w:fill="FFFFFF"/>
        </w:rPr>
        <w:t xml:space="preserve"> and their derivatives, they must be understood to encompass both the heads of arguments and the oral submissions made in court.</w:t>
      </w:r>
    </w:p>
    <w:p w:rsidR="00430C4F" w:rsidRDefault="00430C4F" w:rsidP="004A7C1D">
      <w:pPr>
        <w:spacing w:after="0" w:line="360" w:lineRule="auto"/>
        <w:jc w:val="both"/>
        <w:rPr>
          <w:rFonts w:ascii="Arial" w:hAnsi="Arial" w:cs="Arial"/>
          <w:sz w:val="24"/>
          <w:szCs w:val="24"/>
          <w:u w:val="single"/>
        </w:rPr>
      </w:pPr>
    </w:p>
    <w:p w:rsidR="004A4C25" w:rsidRDefault="004A4C25" w:rsidP="004A7C1D">
      <w:pPr>
        <w:spacing w:after="0" w:line="360" w:lineRule="auto"/>
        <w:jc w:val="both"/>
        <w:rPr>
          <w:rFonts w:ascii="Arial" w:hAnsi="Arial" w:cs="Arial"/>
          <w:i/>
          <w:sz w:val="24"/>
          <w:szCs w:val="24"/>
        </w:rPr>
      </w:pPr>
      <w:r w:rsidRPr="004A4C25">
        <w:rPr>
          <w:rFonts w:ascii="Arial" w:hAnsi="Arial" w:cs="Arial"/>
          <w:i/>
          <w:sz w:val="24"/>
          <w:szCs w:val="24"/>
        </w:rPr>
        <w:t>On behalf of the excipients</w:t>
      </w:r>
    </w:p>
    <w:p w:rsidR="00221E5F" w:rsidRPr="004A4C25" w:rsidRDefault="00221E5F" w:rsidP="004A7C1D">
      <w:pPr>
        <w:spacing w:after="0" w:line="360" w:lineRule="auto"/>
        <w:jc w:val="both"/>
        <w:rPr>
          <w:rFonts w:ascii="Arial" w:hAnsi="Arial" w:cs="Arial"/>
          <w:i/>
          <w:sz w:val="24"/>
          <w:szCs w:val="24"/>
        </w:rPr>
      </w:pPr>
    </w:p>
    <w:p w:rsidR="00430C4F" w:rsidRDefault="004A4C25" w:rsidP="004A7C1D">
      <w:pPr>
        <w:pStyle w:val="Default"/>
        <w:spacing w:line="360" w:lineRule="auto"/>
        <w:jc w:val="both"/>
      </w:pPr>
      <w:r w:rsidRPr="00430C4F">
        <w:t>[</w:t>
      </w:r>
      <w:r w:rsidR="00E3398E">
        <w:t>14</w:t>
      </w:r>
      <w:r w:rsidRPr="00430C4F">
        <w:t>]</w:t>
      </w:r>
      <w:r w:rsidRPr="00430C4F">
        <w:tab/>
      </w:r>
      <w:r w:rsidR="00430C4F" w:rsidRPr="00430C4F">
        <w:t xml:space="preserve">Mr Namandje, arguing on behalf of the excipients, submitted from the onset that the Plaintiffs’ claim is bad in law and that it does not need to get to trial stage as it </w:t>
      </w:r>
      <w:r w:rsidR="007F4BA9" w:rsidRPr="0001065E">
        <w:rPr>
          <w:color w:val="auto"/>
        </w:rPr>
        <w:t>is</w:t>
      </w:r>
      <w:r w:rsidR="007F4BA9">
        <w:t xml:space="preserve"> </w:t>
      </w:r>
      <w:r w:rsidR="00430C4F" w:rsidRPr="00430C4F">
        <w:t xml:space="preserve">legally meritless. </w:t>
      </w:r>
      <w:r w:rsidR="00430C4F">
        <w:t xml:space="preserve">In support of this contention Mr Namandje argued that the plaintiffs’ case can only go as far alleging that the defendants </w:t>
      </w:r>
      <w:r w:rsidR="00430C4F" w:rsidRPr="00430C4F">
        <w:t xml:space="preserve">invited a tender during 2014 and the </w:t>
      </w:r>
      <w:r w:rsidR="00430C4F">
        <w:t>p</w:t>
      </w:r>
      <w:r w:rsidR="00430C4F" w:rsidRPr="00430C4F">
        <w:t>laintiffs separately sub</w:t>
      </w:r>
      <w:r w:rsidR="00FE7B49">
        <w:t>mitted bids. At some point the first d</w:t>
      </w:r>
      <w:r w:rsidR="00430C4F" w:rsidRPr="00430C4F">
        <w:t xml:space="preserve">efendant considered the bids and made a decision to award the tender, amongst others, to the </w:t>
      </w:r>
      <w:r w:rsidR="00430C4F">
        <w:lastRenderedPageBreak/>
        <w:t>p</w:t>
      </w:r>
      <w:r w:rsidR="00430C4F" w:rsidRPr="00430C4F">
        <w:t>laintiffs.</w:t>
      </w:r>
      <w:r w:rsidR="008B771B">
        <w:t xml:space="preserve"> </w:t>
      </w:r>
      <w:r w:rsidR="00E3398E">
        <w:t>How</w:t>
      </w:r>
      <w:r w:rsidR="00430C4F" w:rsidRPr="00430C4F">
        <w:t xml:space="preserve">ever, the </w:t>
      </w:r>
      <w:r w:rsidR="007F4BA9">
        <w:t>f</w:t>
      </w:r>
      <w:r w:rsidR="00430C4F" w:rsidRPr="00430C4F">
        <w:t xml:space="preserve">irst </w:t>
      </w:r>
      <w:r w:rsidR="00430C4F">
        <w:t>d</w:t>
      </w:r>
      <w:r w:rsidR="00430C4F" w:rsidRPr="00430C4F">
        <w:t xml:space="preserve">efendant did not proceed and notify the </w:t>
      </w:r>
      <w:r w:rsidR="00430C4F">
        <w:t>p</w:t>
      </w:r>
      <w:r w:rsidR="00430C4F" w:rsidRPr="00430C4F">
        <w:t>laintiffs of the tender award as required under s</w:t>
      </w:r>
      <w:r w:rsidR="00023D1A">
        <w:t xml:space="preserve"> </w:t>
      </w:r>
      <w:r w:rsidR="00430C4F" w:rsidRPr="00430C4F">
        <w:t>16</w:t>
      </w:r>
      <w:r w:rsidR="00023D1A">
        <w:rPr>
          <w:rStyle w:val="FootnoteReference"/>
        </w:rPr>
        <w:footnoteReference w:id="5"/>
      </w:r>
      <w:r w:rsidR="00430C4F" w:rsidRPr="00430C4F">
        <w:t xml:space="preserve"> o</w:t>
      </w:r>
      <w:r w:rsidR="00430C4F">
        <w:t>f the repealed Tender Board Act</w:t>
      </w:r>
      <w:r w:rsidR="00430C4F">
        <w:rPr>
          <w:rStyle w:val="FootnoteReference"/>
        </w:rPr>
        <w:footnoteReference w:id="6"/>
      </w:r>
      <w:r w:rsidR="00023D1A">
        <w:t>.</w:t>
      </w:r>
    </w:p>
    <w:p w:rsidR="00023D1A" w:rsidRDefault="00023D1A" w:rsidP="004A7C1D">
      <w:pPr>
        <w:pStyle w:val="Default"/>
        <w:spacing w:line="360" w:lineRule="auto"/>
        <w:jc w:val="both"/>
      </w:pPr>
    </w:p>
    <w:p w:rsidR="00023D1A" w:rsidRDefault="00023D1A" w:rsidP="004A7C1D">
      <w:pPr>
        <w:pStyle w:val="Default"/>
        <w:spacing w:line="360" w:lineRule="auto"/>
        <w:jc w:val="both"/>
      </w:pPr>
      <w:r w:rsidRPr="00023D1A">
        <w:t>[</w:t>
      </w:r>
      <w:r w:rsidR="00E3398E">
        <w:t>15</w:t>
      </w:r>
      <w:r w:rsidRPr="00023D1A">
        <w:t>]</w:t>
      </w:r>
      <w:r w:rsidRPr="00023D1A">
        <w:tab/>
        <w:t xml:space="preserve">Mr Namandje argued that </w:t>
      </w:r>
      <w:r>
        <w:t>th</w:t>
      </w:r>
      <w:r w:rsidRPr="00023D1A">
        <w:t xml:space="preserve">e </w:t>
      </w:r>
      <w:r>
        <w:t>d</w:t>
      </w:r>
      <w:r w:rsidRPr="00023D1A">
        <w:t xml:space="preserve">efendants caused the whole tender process to be cancelled prior to the </w:t>
      </w:r>
      <w:r>
        <w:t>p</w:t>
      </w:r>
      <w:r w:rsidRPr="00023D1A">
        <w:t xml:space="preserve">laintiffs being notified in terms of the above referred to statutory provisions. Hence no enforceable award was made in law. </w:t>
      </w:r>
    </w:p>
    <w:p w:rsidR="00221E5F" w:rsidRPr="00023D1A" w:rsidRDefault="00221E5F" w:rsidP="004A7C1D">
      <w:pPr>
        <w:pStyle w:val="Default"/>
        <w:spacing w:line="360" w:lineRule="auto"/>
        <w:jc w:val="both"/>
      </w:pPr>
    </w:p>
    <w:p w:rsidR="00023D1A" w:rsidRDefault="00023D1A" w:rsidP="004A7C1D">
      <w:pPr>
        <w:pStyle w:val="Default"/>
        <w:spacing w:line="360" w:lineRule="auto"/>
        <w:jc w:val="both"/>
      </w:pPr>
      <w:r w:rsidRPr="00DF2C96">
        <w:t>[</w:t>
      </w:r>
      <w:r w:rsidR="00E3398E">
        <w:t>16</w:t>
      </w:r>
      <w:r w:rsidRPr="00DF2C96">
        <w:t>]</w:t>
      </w:r>
      <w:r w:rsidRPr="00DF2C96">
        <w:tab/>
        <w:t xml:space="preserve"> Mr Namandje contended that </w:t>
      </w:r>
      <w:r w:rsidR="00DF2C96" w:rsidRPr="00DF2C96">
        <w:t>t</w:t>
      </w:r>
      <w:r w:rsidRPr="00DF2C96">
        <w:t xml:space="preserve">he </w:t>
      </w:r>
      <w:r w:rsidR="00DF2C96">
        <w:t>p</w:t>
      </w:r>
      <w:r w:rsidRPr="00DF2C96">
        <w:t>laintiffs took the mat</w:t>
      </w:r>
      <w:r w:rsidR="00DF2C96">
        <w:t>ter to the High Court, and lost and hereafter the p</w:t>
      </w:r>
      <w:r w:rsidRPr="00DF2C96">
        <w:t xml:space="preserve">laintiffs appealed to the Supreme Court, and the Supreme Court delivered judgment and referred the matter back to the </w:t>
      </w:r>
      <w:r w:rsidR="00DF2C96">
        <w:t>f</w:t>
      </w:r>
      <w:r w:rsidRPr="00DF2C96">
        <w:t xml:space="preserve">irst </w:t>
      </w:r>
      <w:r w:rsidR="00DF2C96">
        <w:t>d</w:t>
      </w:r>
      <w:r w:rsidRPr="00DF2C96">
        <w:t xml:space="preserve">efendant’s successor, the Central Public Procurement Board, for its consideration. </w:t>
      </w:r>
    </w:p>
    <w:p w:rsidR="00023D1A" w:rsidRDefault="00023D1A" w:rsidP="004A7C1D">
      <w:pPr>
        <w:pStyle w:val="Default"/>
        <w:spacing w:line="360" w:lineRule="auto"/>
        <w:jc w:val="both"/>
        <w:rPr>
          <w:sz w:val="23"/>
          <w:szCs w:val="23"/>
        </w:rPr>
      </w:pPr>
    </w:p>
    <w:p w:rsidR="00DF2C96" w:rsidRDefault="00DF2C96" w:rsidP="004A7C1D">
      <w:pPr>
        <w:pStyle w:val="Default"/>
        <w:spacing w:line="360" w:lineRule="auto"/>
        <w:jc w:val="both"/>
        <w:rPr>
          <w:sz w:val="23"/>
          <w:szCs w:val="23"/>
        </w:rPr>
      </w:pPr>
      <w:r>
        <w:t>[</w:t>
      </w:r>
      <w:r w:rsidR="00E3398E">
        <w:t>17</w:t>
      </w:r>
      <w:r>
        <w:t>]</w:t>
      </w:r>
      <w:r>
        <w:tab/>
        <w:t xml:space="preserve"> Mr Namandje submitted that if one consider</w:t>
      </w:r>
      <w:r w:rsidR="007F4BA9" w:rsidRPr="0001065E">
        <w:rPr>
          <w:color w:val="auto"/>
        </w:rPr>
        <w:t>s</w:t>
      </w:r>
      <w:r>
        <w:t xml:space="preserve"> the particulars of claim</w:t>
      </w:r>
      <w:r w:rsidR="007F4BA9" w:rsidRPr="007F4BA9">
        <w:rPr>
          <w:color w:val="FF0000"/>
        </w:rPr>
        <w:t>,</w:t>
      </w:r>
      <w:r>
        <w:t xml:space="preserve"> the plaintiffs </w:t>
      </w:r>
      <w:r w:rsidRPr="00DF2C96">
        <w:t>do not allege that the Central Public Procurement Board subsequent to the Supreme Court judgment considered the matter and acted either in terms of section 16(1</w:t>
      </w:r>
      <w:r w:rsidR="007F4BA9" w:rsidRPr="00DF2C96">
        <w:t>) (</w:t>
      </w:r>
      <w:r w:rsidRPr="00DF2C96">
        <w:t>a) of the repealed Tender Board Act, or in terms of the section 55(4</w:t>
      </w:r>
      <w:r w:rsidR="007F4BA9" w:rsidRPr="00DF2C96">
        <w:t>) (</w:t>
      </w:r>
      <w:r w:rsidRPr="00DF2C96">
        <w:t>a)</w:t>
      </w:r>
      <w:r>
        <w:rPr>
          <w:rStyle w:val="FootnoteReference"/>
        </w:rPr>
        <w:footnoteReference w:id="7"/>
      </w:r>
      <w:r w:rsidRPr="00DF2C96">
        <w:t xml:space="preserve"> of the Public Procurement Act</w:t>
      </w:r>
      <w:r>
        <w:rPr>
          <w:rStyle w:val="FootnoteReference"/>
        </w:rPr>
        <w:footnoteReference w:id="8"/>
      </w:r>
      <w:r w:rsidR="00221E5F">
        <w:rPr>
          <w:sz w:val="23"/>
          <w:szCs w:val="23"/>
        </w:rPr>
        <w:t>.</w:t>
      </w:r>
    </w:p>
    <w:p w:rsidR="00DF2C96" w:rsidRPr="00DF2C96" w:rsidRDefault="00DF2C96" w:rsidP="004A7C1D">
      <w:pPr>
        <w:pStyle w:val="Default"/>
        <w:spacing w:line="360" w:lineRule="auto"/>
      </w:pPr>
    </w:p>
    <w:p w:rsidR="008772D2" w:rsidRDefault="00DF2C96" w:rsidP="004A7C1D">
      <w:pPr>
        <w:pStyle w:val="Default"/>
        <w:spacing w:line="360" w:lineRule="auto"/>
        <w:jc w:val="both"/>
      </w:pPr>
      <w:r w:rsidRPr="00DF2C96">
        <w:t>[</w:t>
      </w:r>
      <w:r w:rsidR="00E3398E">
        <w:t>18</w:t>
      </w:r>
      <w:r w:rsidRPr="00DF2C96">
        <w:t>]</w:t>
      </w:r>
      <w:r w:rsidRPr="00DF2C96">
        <w:tab/>
      </w:r>
      <w:r>
        <w:t>Counsel therefor</w:t>
      </w:r>
      <w:r w:rsidR="007F4BA9" w:rsidRPr="0001065E">
        <w:rPr>
          <w:color w:val="auto"/>
        </w:rPr>
        <w:t>e</w:t>
      </w:r>
      <w:r w:rsidRPr="0001065E">
        <w:rPr>
          <w:color w:val="auto"/>
        </w:rPr>
        <w:t xml:space="preserve"> </w:t>
      </w:r>
      <w:r>
        <w:t xml:space="preserve">submits that on this basis the plaintiffs failed to make out the necessary averments on the basis of which the plaintiffs would have acquired either contractual or public law rights from a finding and enforceable procurement contract. </w:t>
      </w:r>
      <w:r>
        <w:lastRenderedPageBreak/>
        <w:t xml:space="preserve">In this regard Mr </w:t>
      </w:r>
      <w:r w:rsidRPr="008772D2">
        <w:t xml:space="preserve">Namandje referred the court to </w:t>
      </w:r>
      <w:r w:rsidRPr="00DF2C96">
        <w:rPr>
          <w:i/>
          <w:iCs/>
        </w:rPr>
        <w:t>Lepogo Construction (Pty) Ltd v Govan Mbeki Municipality</w:t>
      </w:r>
      <w:r w:rsidR="008772D2" w:rsidRPr="008772D2">
        <w:rPr>
          <w:rStyle w:val="FootnoteReference"/>
        </w:rPr>
        <w:footnoteReference w:id="9"/>
      </w:r>
      <w:r w:rsidRPr="00DF2C96">
        <w:t xml:space="preserve"> </w:t>
      </w:r>
      <w:r w:rsidR="008772D2">
        <w:t>wherein the court stated that it is trite that where, in a proposed contract, the mode of acceptance is stipulated, it is the mode that must be followed before the contract is concluded. Mr Namandje pointed out that the mode of bid acceptance in the repealed Act is set out in s 16(</w:t>
      </w:r>
      <w:r w:rsidR="000E190A">
        <w:t>1</w:t>
      </w:r>
      <w:r w:rsidR="007F4BA9">
        <w:t>) (</w:t>
      </w:r>
      <w:r w:rsidR="008772D2">
        <w:t>a) which section provides that where in terms of a title of a tender a written agreement is required to be concluded after the acceptance of the tender</w:t>
      </w:r>
      <w:r w:rsidR="000E190A">
        <w:t>,</w:t>
      </w:r>
      <w:r w:rsidR="008772D2">
        <w:t xml:space="preserve"> </w:t>
      </w:r>
      <w:r w:rsidR="000E190A">
        <w:t>t</w:t>
      </w:r>
      <w:r w:rsidR="008772D2">
        <w:t>he Tender Boa</w:t>
      </w:r>
      <w:r w:rsidR="000E190A">
        <w:t>rd and the successful tenderer would be required to enter into the required written agreement within 30 days from the date that the tenderer was notified in terms of s 16(1</w:t>
      </w:r>
      <w:r w:rsidR="007F4BA9">
        <w:t>) (</w:t>
      </w:r>
      <w:r w:rsidR="000E190A">
        <w:t xml:space="preserve">a) of the Act. Counsel argues that in such circumstances (where in terms of a title of a tender a written agreement is required) the Procurement Agreement would as a matter of law only come into force on the date of the Tender Board and the tenderer enter into such agreement within the prescribed period. </w:t>
      </w:r>
    </w:p>
    <w:p w:rsidR="000E190A" w:rsidRDefault="000E190A" w:rsidP="004A7C1D">
      <w:pPr>
        <w:pStyle w:val="Default"/>
        <w:spacing w:line="360" w:lineRule="auto"/>
        <w:jc w:val="both"/>
      </w:pPr>
    </w:p>
    <w:p w:rsidR="000E190A" w:rsidRDefault="000E190A" w:rsidP="004A7C1D">
      <w:pPr>
        <w:pStyle w:val="Default"/>
        <w:spacing w:line="360" w:lineRule="auto"/>
        <w:jc w:val="both"/>
      </w:pPr>
      <w:r>
        <w:t>[</w:t>
      </w:r>
      <w:r w:rsidR="00E3398E">
        <w:t>19</w:t>
      </w:r>
      <w:r>
        <w:t>]</w:t>
      </w:r>
      <w:r>
        <w:tab/>
        <w:t xml:space="preserve"> On the other hand, where in terms of the tender title a written agreement is not required to be concluded, a tender agreement would come into force on the date on which the tenderer concerned was notified in terms of s 16(1)</w:t>
      </w:r>
      <w:r w:rsidR="007F4BA9">
        <w:t xml:space="preserve"> </w:t>
      </w:r>
      <w:r>
        <w:t>(a) of the Act of acceptance of his or her tender</w:t>
      </w:r>
      <w:r w:rsidR="007F4BA9">
        <w:t>.</w:t>
      </w:r>
    </w:p>
    <w:p w:rsidR="00C416EC" w:rsidRDefault="00C416EC" w:rsidP="004A7C1D">
      <w:pPr>
        <w:pStyle w:val="Default"/>
        <w:spacing w:line="360" w:lineRule="auto"/>
        <w:jc w:val="both"/>
      </w:pPr>
    </w:p>
    <w:p w:rsidR="00287425" w:rsidRDefault="00D779F4" w:rsidP="004A7C1D">
      <w:pPr>
        <w:pStyle w:val="Default"/>
        <w:spacing w:line="360" w:lineRule="auto"/>
        <w:jc w:val="both"/>
      </w:pPr>
      <w:r>
        <w:t>[</w:t>
      </w:r>
      <w:r w:rsidR="00E3398E">
        <w:t>20</w:t>
      </w:r>
      <w:r>
        <w:t>]</w:t>
      </w:r>
      <w:r>
        <w:tab/>
        <w:t xml:space="preserve"> </w:t>
      </w:r>
      <w:r w:rsidRPr="00287425">
        <w:t xml:space="preserve">In respect of the second exception Mr Namandje argued that </w:t>
      </w:r>
      <w:r w:rsidRPr="00D779F4">
        <w:t xml:space="preserve">the </w:t>
      </w:r>
      <w:r w:rsidR="00F7288D">
        <w:t>p</w:t>
      </w:r>
      <w:r w:rsidRPr="00D779F4">
        <w:t>laintiffs’ claim is bad on account of failure to plead the necessary allegations to sustain a claim against the alleged failure of public officials to carry out their statutory duties lawfully</w:t>
      </w:r>
      <w:r w:rsidR="00A61F11">
        <w:t>.</w:t>
      </w:r>
      <w:r w:rsidR="00A61F11" w:rsidRPr="00A61F11">
        <w:t xml:space="preserve"> </w:t>
      </w:r>
      <w:r w:rsidR="00A61F11" w:rsidRPr="00287425">
        <w:t xml:space="preserve">The court was referred to </w:t>
      </w:r>
      <w:r w:rsidR="00A61F11" w:rsidRPr="00287425">
        <w:rPr>
          <w:i/>
          <w:iCs/>
        </w:rPr>
        <w:t>Namibia Airports Co. Ltd v Firetech Systems and Another</w:t>
      </w:r>
      <w:r w:rsidR="00A61F11">
        <w:rPr>
          <w:rStyle w:val="FootnoteReference"/>
          <w:i/>
          <w:iCs/>
        </w:rPr>
        <w:footnoteReference w:id="10"/>
      </w:r>
      <w:r w:rsidR="00A61F11">
        <w:rPr>
          <w:i/>
          <w:iCs/>
        </w:rPr>
        <w:t xml:space="preserve"> </w:t>
      </w:r>
      <w:r w:rsidR="00A61F11" w:rsidRPr="00A61F11">
        <w:rPr>
          <w:iCs/>
        </w:rPr>
        <w:t>in this regard</w:t>
      </w:r>
      <w:r w:rsidRPr="00D779F4">
        <w:t xml:space="preserve">. </w:t>
      </w:r>
    </w:p>
    <w:p w:rsidR="00287425" w:rsidRDefault="00287425" w:rsidP="004A7C1D">
      <w:pPr>
        <w:pStyle w:val="Default"/>
        <w:spacing w:line="360" w:lineRule="auto"/>
        <w:jc w:val="both"/>
      </w:pPr>
    </w:p>
    <w:p w:rsidR="00287425" w:rsidRPr="00287425" w:rsidRDefault="00D779F4" w:rsidP="004A7C1D">
      <w:pPr>
        <w:pStyle w:val="Default"/>
        <w:spacing w:line="360" w:lineRule="auto"/>
        <w:jc w:val="both"/>
      </w:pPr>
      <w:r w:rsidRPr="00287425">
        <w:t>[</w:t>
      </w:r>
      <w:r w:rsidR="00E3398E">
        <w:t>21</w:t>
      </w:r>
      <w:r w:rsidRPr="00287425">
        <w:t>]</w:t>
      </w:r>
      <w:r w:rsidRPr="00287425">
        <w:tab/>
      </w:r>
      <w:r w:rsidR="00A61F11">
        <w:t xml:space="preserve">Mr Namandje argued that in that case as in the current matter no </w:t>
      </w:r>
      <w:r w:rsidR="00A61F11" w:rsidRPr="007F4BA9">
        <w:rPr>
          <w:i/>
        </w:rPr>
        <w:t>mala fides</w:t>
      </w:r>
      <w:r w:rsidR="007F4BA9">
        <w:t xml:space="preserve"> were pleaded, </w:t>
      </w:r>
      <w:r w:rsidR="00A61F11">
        <w:t>a breach of administrative justice attracts public law remedies and not private law remedies and only in exceptional cases that private law remedies will be granted to a party for brea</w:t>
      </w:r>
      <w:r w:rsidR="00E11A2E">
        <w:t xml:space="preserve">ch of a right in public domain and submitted that the exceptions should be upheld. </w:t>
      </w:r>
    </w:p>
    <w:p w:rsidR="004A4C25" w:rsidRPr="00221E5F" w:rsidRDefault="00287425" w:rsidP="004A7C1D">
      <w:pPr>
        <w:pStyle w:val="Default"/>
        <w:spacing w:line="360" w:lineRule="auto"/>
        <w:jc w:val="both"/>
      </w:pPr>
      <w:r w:rsidRPr="00D779F4">
        <w:t xml:space="preserve"> </w:t>
      </w:r>
    </w:p>
    <w:p w:rsidR="00A3452C" w:rsidRDefault="004A4C25" w:rsidP="004A7C1D">
      <w:pPr>
        <w:pStyle w:val="western"/>
        <w:shd w:val="clear" w:color="auto" w:fill="FFFFFF"/>
        <w:spacing w:before="0" w:beforeAutospacing="0" w:after="0" w:afterAutospacing="0" w:line="360" w:lineRule="auto"/>
        <w:jc w:val="both"/>
        <w:rPr>
          <w:rFonts w:ascii="Arial" w:hAnsi="Arial" w:cs="Arial"/>
          <w:i/>
        </w:rPr>
      </w:pPr>
      <w:r w:rsidRPr="004A4C25">
        <w:rPr>
          <w:rFonts w:ascii="Arial" w:hAnsi="Arial" w:cs="Arial"/>
          <w:i/>
        </w:rPr>
        <w:lastRenderedPageBreak/>
        <w:t>On behalf of the plaintiffs</w:t>
      </w:r>
    </w:p>
    <w:p w:rsidR="00221E5F" w:rsidRDefault="00221E5F" w:rsidP="004A7C1D">
      <w:pPr>
        <w:pStyle w:val="western"/>
        <w:shd w:val="clear" w:color="auto" w:fill="FFFFFF"/>
        <w:spacing w:before="0" w:beforeAutospacing="0" w:after="0" w:afterAutospacing="0" w:line="360" w:lineRule="auto"/>
        <w:jc w:val="both"/>
        <w:rPr>
          <w:rFonts w:ascii="Arial" w:hAnsi="Arial" w:cs="Arial"/>
          <w:i/>
        </w:rPr>
      </w:pPr>
    </w:p>
    <w:p w:rsidR="00372D8E" w:rsidRDefault="00912EB5"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22</w:t>
      </w:r>
      <w:r>
        <w:rPr>
          <w:rFonts w:ascii="Arial" w:hAnsi="Arial" w:cs="Arial"/>
        </w:rPr>
        <w:t>]</w:t>
      </w:r>
      <w:r w:rsidR="00F7288D">
        <w:rPr>
          <w:rFonts w:ascii="Arial" w:hAnsi="Arial" w:cs="Arial"/>
        </w:rPr>
        <w:tab/>
      </w:r>
      <w:r w:rsidR="000530B2" w:rsidRPr="00372D8E">
        <w:rPr>
          <w:rFonts w:ascii="Arial" w:hAnsi="Arial" w:cs="Arial"/>
        </w:rPr>
        <w:t xml:space="preserve">Mr Eia argued that the thrust of the exception appears to be the assertion, or assumption, that the cause of action is viable only if a contract was actually concluded. </w:t>
      </w:r>
    </w:p>
    <w:p w:rsidR="009E3DB9" w:rsidRDefault="009E3DB9" w:rsidP="004A7C1D">
      <w:pPr>
        <w:pStyle w:val="western"/>
        <w:shd w:val="clear" w:color="auto" w:fill="FFFFFF"/>
        <w:spacing w:before="0" w:beforeAutospacing="0" w:after="0" w:afterAutospacing="0" w:line="360" w:lineRule="auto"/>
        <w:jc w:val="both"/>
        <w:rPr>
          <w:rFonts w:ascii="Arial" w:hAnsi="Arial" w:cs="Arial"/>
        </w:rPr>
      </w:pPr>
    </w:p>
    <w:p w:rsidR="00372D8E" w:rsidRDefault="00372D8E"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23</w:t>
      </w:r>
      <w:r>
        <w:rPr>
          <w:rFonts w:ascii="Arial" w:hAnsi="Arial" w:cs="Arial"/>
        </w:rPr>
        <w:t>]</w:t>
      </w:r>
      <w:r>
        <w:rPr>
          <w:rFonts w:ascii="Arial" w:hAnsi="Arial" w:cs="Arial"/>
        </w:rPr>
        <w:tab/>
        <w:t>Mr Eia argued that t</w:t>
      </w:r>
      <w:r w:rsidR="000530B2" w:rsidRPr="00372D8E">
        <w:rPr>
          <w:rFonts w:ascii="Arial" w:hAnsi="Arial" w:cs="Arial"/>
        </w:rPr>
        <w:t xml:space="preserve">he </w:t>
      </w:r>
      <w:r>
        <w:rPr>
          <w:rFonts w:ascii="Arial" w:hAnsi="Arial" w:cs="Arial"/>
        </w:rPr>
        <w:t>p</w:t>
      </w:r>
      <w:r w:rsidR="000530B2" w:rsidRPr="00372D8E">
        <w:rPr>
          <w:rFonts w:ascii="Arial" w:hAnsi="Arial" w:cs="Arial"/>
        </w:rPr>
        <w:t xml:space="preserve">laintiffs submitted tenders in response to invitations </w:t>
      </w:r>
      <w:r>
        <w:rPr>
          <w:rFonts w:ascii="Arial" w:hAnsi="Arial" w:cs="Arial"/>
        </w:rPr>
        <w:t>and the f</w:t>
      </w:r>
      <w:r w:rsidR="000530B2" w:rsidRPr="00372D8E">
        <w:rPr>
          <w:rFonts w:ascii="Arial" w:hAnsi="Arial" w:cs="Arial"/>
        </w:rPr>
        <w:t xml:space="preserve">irst </w:t>
      </w:r>
      <w:r>
        <w:rPr>
          <w:rFonts w:ascii="Arial" w:hAnsi="Arial" w:cs="Arial"/>
        </w:rPr>
        <w:t>d</w:t>
      </w:r>
      <w:r w:rsidR="000530B2" w:rsidRPr="00372D8E">
        <w:rPr>
          <w:rFonts w:ascii="Arial" w:hAnsi="Arial" w:cs="Arial"/>
        </w:rPr>
        <w:t>efendant resolved to award</w:t>
      </w:r>
      <w:r w:rsidR="0001065E">
        <w:rPr>
          <w:rFonts w:ascii="Arial" w:hAnsi="Arial" w:cs="Arial"/>
        </w:rPr>
        <w:t xml:space="preserve"> </w:t>
      </w:r>
      <w:r w:rsidR="000530B2" w:rsidRPr="00372D8E">
        <w:rPr>
          <w:rFonts w:ascii="Arial" w:hAnsi="Arial" w:cs="Arial"/>
        </w:rPr>
        <w:t xml:space="preserve">the tenders to the </w:t>
      </w:r>
      <w:r>
        <w:rPr>
          <w:rFonts w:ascii="Arial" w:hAnsi="Arial" w:cs="Arial"/>
        </w:rPr>
        <w:t>p</w:t>
      </w:r>
      <w:r w:rsidR="000530B2" w:rsidRPr="00372D8E">
        <w:rPr>
          <w:rFonts w:ascii="Arial" w:hAnsi="Arial" w:cs="Arial"/>
        </w:rPr>
        <w:t>laintiffs</w:t>
      </w:r>
      <w:r>
        <w:rPr>
          <w:rFonts w:ascii="Arial" w:hAnsi="Arial" w:cs="Arial"/>
        </w:rPr>
        <w:t>.</w:t>
      </w:r>
      <w:r w:rsidR="000530B2" w:rsidRPr="00372D8E">
        <w:rPr>
          <w:rFonts w:ascii="Arial" w:hAnsi="Arial" w:cs="Arial"/>
        </w:rPr>
        <w:t xml:space="preserve"> The </w:t>
      </w:r>
      <w:r>
        <w:rPr>
          <w:rFonts w:ascii="Arial" w:hAnsi="Arial" w:cs="Arial"/>
        </w:rPr>
        <w:t>f</w:t>
      </w:r>
      <w:r w:rsidR="000530B2" w:rsidRPr="00372D8E">
        <w:rPr>
          <w:rFonts w:ascii="Arial" w:hAnsi="Arial" w:cs="Arial"/>
        </w:rPr>
        <w:t xml:space="preserve">irst </w:t>
      </w:r>
      <w:r>
        <w:rPr>
          <w:rFonts w:ascii="Arial" w:hAnsi="Arial" w:cs="Arial"/>
        </w:rPr>
        <w:t>d</w:t>
      </w:r>
      <w:r w:rsidR="000530B2" w:rsidRPr="00372D8E">
        <w:rPr>
          <w:rFonts w:ascii="Arial" w:hAnsi="Arial" w:cs="Arial"/>
        </w:rPr>
        <w:t xml:space="preserve">efendant was obliged, by statute, to communicate the acceptance of the tenders to the </w:t>
      </w:r>
      <w:r>
        <w:rPr>
          <w:rFonts w:ascii="Arial" w:hAnsi="Arial" w:cs="Arial"/>
        </w:rPr>
        <w:t>p</w:t>
      </w:r>
      <w:r w:rsidR="000530B2" w:rsidRPr="00372D8E">
        <w:rPr>
          <w:rFonts w:ascii="Arial" w:hAnsi="Arial" w:cs="Arial"/>
        </w:rPr>
        <w:t xml:space="preserve">laintiffs </w:t>
      </w:r>
      <w:r>
        <w:rPr>
          <w:rFonts w:ascii="Arial" w:hAnsi="Arial" w:cs="Arial"/>
        </w:rPr>
        <w:t>however t</w:t>
      </w:r>
      <w:r w:rsidR="000530B2" w:rsidRPr="00372D8E">
        <w:rPr>
          <w:rFonts w:ascii="Arial" w:hAnsi="Arial" w:cs="Arial"/>
        </w:rPr>
        <w:t xml:space="preserve">he tender process was cancelled </w:t>
      </w:r>
      <w:r>
        <w:rPr>
          <w:rFonts w:ascii="Arial" w:hAnsi="Arial" w:cs="Arial"/>
        </w:rPr>
        <w:t xml:space="preserve">and the </w:t>
      </w:r>
      <w:r w:rsidR="000530B2" w:rsidRPr="00372D8E">
        <w:rPr>
          <w:rFonts w:ascii="Arial" w:hAnsi="Arial" w:cs="Arial"/>
        </w:rPr>
        <w:t>cancellation was unlawful for various reasons</w:t>
      </w:r>
      <w:r>
        <w:rPr>
          <w:rFonts w:ascii="Arial" w:hAnsi="Arial" w:cs="Arial"/>
        </w:rPr>
        <w:t>.</w:t>
      </w:r>
      <w:r w:rsidR="000530B2" w:rsidRPr="00372D8E">
        <w:rPr>
          <w:rFonts w:ascii="Arial" w:hAnsi="Arial" w:cs="Arial"/>
        </w:rPr>
        <w:t xml:space="preserve"> </w:t>
      </w:r>
      <w:r>
        <w:rPr>
          <w:rFonts w:ascii="Arial" w:hAnsi="Arial" w:cs="Arial"/>
        </w:rPr>
        <w:t>Counsel argued that b</w:t>
      </w:r>
      <w:r w:rsidR="000530B2" w:rsidRPr="00372D8E">
        <w:rPr>
          <w:rFonts w:ascii="Arial" w:hAnsi="Arial" w:cs="Arial"/>
        </w:rPr>
        <w:t xml:space="preserve">ut for the unlawful conduct of the Defendants: </w:t>
      </w:r>
    </w:p>
    <w:p w:rsidR="00372D8E" w:rsidRDefault="000530B2" w:rsidP="004A7C1D">
      <w:pPr>
        <w:pStyle w:val="western"/>
        <w:numPr>
          <w:ilvl w:val="0"/>
          <w:numId w:val="6"/>
        </w:numPr>
        <w:shd w:val="clear" w:color="auto" w:fill="FFFFFF"/>
        <w:spacing w:before="0" w:beforeAutospacing="0" w:after="0" w:afterAutospacing="0" w:line="360" w:lineRule="auto"/>
        <w:jc w:val="both"/>
        <w:rPr>
          <w:rFonts w:ascii="Arial" w:hAnsi="Arial" w:cs="Arial"/>
        </w:rPr>
      </w:pPr>
      <w:r w:rsidRPr="00372D8E">
        <w:rPr>
          <w:rFonts w:ascii="Arial" w:hAnsi="Arial" w:cs="Arial"/>
        </w:rPr>
        <w:t xml:space="preserve">The </w:t>
      </w:r>
      <w:r w:rsidR="00372D8E">
        <w:rPr>
          <w:rFonts w:ascii="Arial" w:hAnsi="Arial" w:cs="Arial"/>
        </w:rPr>
        <w:t>p</w:t>
      </w:r>
      <w:r w:rsidRPr="00372D8E">
        <w:rPr>
          <w:rFonts w:ascii="Arial" w:hAnsi="Arial" w:cs="Arial"/>
        </w:rPr>
        <w:t>laintiffs would have been engaged in terms of the provisions of the Invitation to Tende</w:t>
      </w:r>
      <w:r w:rsidR="00372D8E">
        <w:rPr>
          <w:rFonts w:ascii="Arial" w:hAnsi="Arial" w:cs="Arial"/>
        </w:rPr>
        <w:t xml:space="preserve">r, as read with their tenders; </w:t>
      </w:r>
    </w:p>
    <w:p w:rsidR="00372D8E" w:rsidRDefault="000530B2" w:rsidP="004A7C1D">
      <w:pPr>
        <w:pStyle w:val="western"/>
        <w:numPr>
          <w:ilvl w:val="0"/>
          <w:numId w:val="6"/>
        </w:numPr>
        <w:shd w:val="clear" w:color="auto" w:fill="FFFFFF"/>
        <w:spacing w:before="0" w:beforeAutospacing="0" w:after="0" w:afterAutospacing="0" w:line="360" w:lineRule="auto"/>
        <w:jc w:val="both"/>
        <w:rPr>
          <w:rFonts w:ascii="Arial" w:hAnsi="Arial" w:cs="Arial"/>
        </w:rPr>
      </w:pPr>
      <w:r w:rsidRPr="00372D8E">
        <w:rPr>
          <w:rFonts w:ascii="Arial" w:hAnsi="Arial" w:cs="Arial"/>
        </w:rPr>
        <w:t xml:space="preserve">The </w:t>
      </w:r>
      <w:r w:rsidR="00372D8E">
        <w:rPr>
          <w:rFonts w:ascii="Arial" w:hAnsi="Arial" w:cs="Arial"/>
        </w:rPr>
        <w:t>p</w:t>
      </w:r>
      <w:r w:rsidRPr="00372D8E">
        <w:rPr>
          <w:rFonts w:ascii="Arial" w:hAnsi="Arial" w:cs="Arial"/>
        </w:rPr>
        <w:t xml:space="preserve">laintiffs would have earned the income pleaded in the </w:t>
      </w:r>
      <w:r w:rsidR="00372D8E">
        <w:rPr>
          <w:rFonts w:ascii="Arial" w:hAnsi="Arial" w:cs="Arial"/>
        </w:rPr>
        <w:t>p</w:t>
      </w:r>
      <w:r w:rsidRPr="00372D8E">
        <w:rPr>
          <w:rFonts w:ascii="Arial" w:hAnsi="Arial" w:cs="Arial"/>
        </w:rPr>
        <w:t xml:space="preserve">articulars </w:t>
      </w:r>
      <w:r w:rsidR="00372D8E">
        <w:rPr>
          <w:rFonts w:ascii="Arial" w:hAnsi="Arial" w:cs="Arial"/>
        </w:rPr>
        <w:t xml:space="preserve">of claim; </w:t>
      </w:r>
    </w:p>
    <w:p w:rsidR="00372D8E" w:rsidRDefault="000530B2" w:rsidP="004A7C1D">
      <w:pPr>
        <w:pStyle w:val="western"/>
        <w:numPr>
          <w:ilvl w:val="0"/>
          <w:numId w:val="6"/>
        </w:numPr>
        <w:shd w:val="clear" w:color="auto" w:fill="FFFFFF"/>
        <w:spacing w:before="0" w:beforeAutospacing="0" w:after="0" w:afterAutospacing="0" w:line="360" w:lineRule="auto"/>
        <w:jc w:val="both"/>
        <w:rPr>
          <w:rFonts w:ascii="Arial" w:hAnsi="Arial" w:cs="Arial"/>
        </w:rPr>
      </w:pPr>
      <w:r w:rsidRPr="00372D8E">
        <w:rPr>
          <w:rFonts w:ascii="Arial" w:hAnsi="Arial" w:cs="Arial"/>
        </w:rPr>
        <w:t xml:space="preserve">The conduct was wrongful and the </w:t>
      </w:r>
      <w:r w:rsidR="00372D8E">
        <w:rPr>
          <w:rFonts w:ascii="Arial" w:hAnsi="Arial" w:cs="Arial"/>
        </w:rPr>
        <w:t>d</w:t>
      </w:r>
      <w:r w:rsidRPr="00372D8E">
        <w:rPr>
          <w:rFonts w:ascii="Arial" w:hAnsi="Arial" w:cs="Arial"/>
        </w:rPr>
        <w:t>efendants were at fault;</w:t>
      </w:r>
    </w:p>
    <w:p w:rsidR="00372D8E" w:rsidRDefault="000530B2" w:rsidP="004A7C1D">
      <w:pPr>
        <w:pStyle w:val="western"/>
        <w:numPr>
          <w:ilvl w:val="0"/>
          <w:numId w:val="6"/>
        </w:numPr>
        <w:shd w:val="clear" w:color="auto" w:fill="FFFFFF"/>
        <w:spacing w:before="0" w:beforeAutospacing="0" w:after="0" w:afterAutospacing="0" w:line="360" w:lineRule="auto"/>
        <w:jc w:val="both"/>
        <w:rPr>
          <w:rFonts w:ascii="Arial" w:hAnsi="Arial" w:cs="Arial"/>
        </w:rPr>
      </w:pPr>
      <w:r w:rsidRPr="00372D8E">
        <w:rPr>
          <w:rFonts w:ascii="Arial" w:hAnsi="Arial" w:cs="Arial"/>
        </w:rPr>
        <w:t xml:space="preserve"> The </w:t>
      </w:r>
      <w:r w:rsidR="00372D8E">
        <w:rPr>
          <w:rFonts w:ascii="Arial" w:hAnsi="Arial" w:cs="Arial"/>
        </w:rPr>
        <w:t>p</w:t>
      </w:r>
      <w:r w:rsidRPr="00372D8E">
        <w:rPr>
          <w:rFonts w:ascii="Arial" w:hAnsi="Arial" w:cs="Arial"/>
        </w:rPr>
        <w:t>laintiffs suffered loss, as a result, being both loss of profits and out of pocket expenses</w:t>
      </w:r>
      <w:r w:rsidR="00372D8E">
        <w:rPr>
          <w:rFonts w:ascii="Arial" w:hAnsi="Arial" w:cs="Arial"/>
        </w:rPr>
        <w:t>.</w:t>
      </w:r>
    </w:p>
    <w:p w:rsidR="002867E1" w:rsidRDefault="002867E1" w:rsidP="004A7C1D">
      <w:pPr>
        <w:pStyle w:val="western"/>
        <w:shd w:val="clear" w:color="auto" w:fill="FFFFFF"/>
        <w:spacing w:before="0" w:beforeAutospacing="0" w:after="0" w:afterAutospacing="0" w:line="360" w:lineRule="auto"/>
        <w:ind w:left="1080"/>
        <w:jc w:val="both"/>
        <w:rPr>
          <w:rFonts w:ascii="Arial" w:hAnsi="Arial" w:cs="Arial"/>
        </w:rPr>
      </w:pPr>
    </w:p>
    <w:p w:rsidR="00372D8E" w:rsidRDefault="00372D8E"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24</w:t>
      </w:r>
      <w:r>
        <w:rPr>
          <w:rFonts w:ascii="Arial" w:hAnsi="Arial" w:cs="Arial"/>
        </w:rPr>
        <w:t>]</w:t>
      </w:r>
      <w:r>
        <w:rPr>
          <w:rFonts w:ascii="Arial" w:hAnsi="Arial" w:cs="Arial"/>
        </w:rPr>
        <w:tab/>
        <w:t>Mr Eia contended that f</w:t>
      </w:r>
      <w:r w:rsidR="000530B2" w:rsidRPr="00372D8E">
        <w:rPr>
          <w:rFonts w:ascii="Arial" w:hAnsi="Arial" w:cs="Arial"/>
        </w:rPr>
        <w:t xml:space="preserve">or the purposes of this ground of exception, the two crucial allegations are those in POC </w:t>
      </w:r>
      <w:r>
        <w:rPr>
          <w:rFonts w:ascii="Arial" w:hAnsi="Arial" w:cs="Arial"/>
        </w:rPr>
        <w:t xml:space="preserve">paras </w:t>
      </w:r>
      <w:r w:rsidR="000530B2" w:rsidRPr="00372D8E">
        <w:rPr>
          <w:rFonts w:ascii="Arial" w:hAnsi="Arial" w:cs="Arial"/>
        </w:rPr>
        <w:t xml:space="preserve">14 and 19, which are to the effect that: </w:t>
      </w:r>
    </w:p>
    <w:p w:rsidR="00372D8E" w:rsidRDefault="0001065E" w:rsidP="004A7C1D">
      <w:pPr>
        <w:pStyle w:val="western"/>
        <w:numPr>
          <w:ilvl w:val="0"/>
          <w:numId w:val="7"/>
        </w:numPr>
        <w:shd w:val="clear" w:color="auto" w:fill="FFFFFF"/>
        <w:spacing w:before="0" w:beforeAutospacing="0" w:after="0" w:afterAutospacing="0" w:line="360" w:lineRule="auto"/>
        <w:jc w:val="both"/>
        <w:rPr>
          <w:rFonts w:ascii="Arial" w:hAnsi="Arial" w:cs="Arial"/>
        </w:rPr>
      </w:pPr>
      <w:r>
        <w:rPr>
          <w:rFonts w:ascii="Arial" w:hAnsi="Arial" w:cs="Arial"/>
        </w:rPr>
        <w:t>t</w:t>
      </w:r>
      <w:r w:rsidR="000530B2" w:rsidRPr="00372D8E">
        <w:rPr>
          <w:rFonts w:ascii="Arial" w:hAnsi="Arial" w:cs="Arial"/>
        </w:rPr>
        <w:t xml:space="preserve">he </w:t>
      </w:r>
      <w:r w:rsidR="00372D8E">
        <w:rPr>
          <w:rFonts w:ascii="Arial" w:hAnsi="Arial" w:cs="Arial"/>
        </w:rPr>
        <w:t>f</w:t>
      </w:r>
      <w:r w:rsidR="000530B2" w:rsidRPr="00372D8E">
        <w:rPr>
          <w:rFonts w:ascii="Arial" w:hAnsi="Arial" w:cs="Arial"/>
        </w:rPr>
        <w:t xml:space="preserve">irst </w:t>
      </w:r>
      <w:r w:rsidR="00372D8E">
        <w:rPr>
          <w:rFonts w:ascii="Arial" w:hAnsi="Arial" w:cs="Arial"/>
        </w:rPr>
        <w:t>d</w:t>
      </w:r>
      <w:r w:rsidR="000530B2" w:rsidRPr="00372D8E">
        <w:rPr>
          <w:rFonts w:ascii="Arial" w:hAnsi="Arial" w:cs="Arial"/>
        </w:rPr>
        <w:t>efendant was obliged to communicate the ac</w:t>
      </w:r>
      <w:r w:rsidR="00FE7B49">
        <w:rPr>
          <w:rFonts w:ascii="Arial" w:hAnsi="Arial" w:cs="Arial"/>
        </w:rPr>
        <w:t>ceptance of the tenders to the p</w:t>
      </w:r>
      <w:r w:rsidR="000530B2" w:rsidRPr="00372D8E">
        <w:rPr>
          <w:rFonts w:ascii="Arial" w:hAnsi="Arial" w:cs="Arial"/>
        </w:rPr>
        <w:t>laintiffs</w:t>
      </w:r>
      <w:r w:rsidR="00372D8E">
        <w:rPr>
          <w:rFonts w:ascii="Arial" w:hAnsi="Arial" w:cs="Arial"/>
        </w:rPr>
        <w:t>; and</w:t>
      </w:r>
    </w:p>
    <w:p w:rsidR="00372D8E" w:rsidRDefault="000530B2" w:rsidP="004A7C1D">
      <w:pPr>
        <w:pStyle w:val="western"/>
        <w:numPr>
          <w:ilvl w:val="0"/>
          <w:numId w:val="7"/>
        </w:numPr>
        <w:shd w:val="clear" w:color="auto" w:fill="FFFFFF"/>
        <w:spacing w:before="0" w:beforeAutospacing="0" w:after="0" w:afterAutospacing="0" w:line="360" w:lineRule="auto"/>
        <w:jc w:val="both"/>
        <w:rPr>
          <w:rFonts w:ascii="Arial" w:hAnsi="Arial" w:cs="Arial"/>
        </w:rPr>
      </w:pPr>
      <w:r w:rsidRPr="00372D8E">
        <w:rPr>
          <w:rFonts w:ascii="Arial" w:hAnsi="Arial" w:cs="Arial"/>
        </w:rPr>
        <w:t xml:space="preserve"> </w:t>
      </w:r>
      <w:r w:rsidR="00372D8E">
        <w:rPr>
          <w:rFonts w:ascii="Arial" w:hAnsi="Arial" w:cs="Arial"/>
        </w:rPr>
        <w:t>b</w:t>
      </w:r>
      <w:r w:rsidRPr="00372D8E">
        <w:rPr>
          <w:rFonts w:ascii="Arial" w:hAnsi="Arial" w:cs="Arial"/>
        </w:rPr>
        <w:t xml:space="preserve">ut for the conduct complained of, the </w:t>
      </w:r>
      <w:r w:rsidR="00372D8E">
        <w:rPr>
          <w:rFonts w:ascii="Arial" w:hAnsi="Arial" w:cs="Arial"/>
        </w:rPr>
        <w:t>p</w:t>
      </w:r>
      <w:r w:rsidRPr="00372D8E">
        <w:rPr>
          <w:rFonts w:ascii="Arial" w:hAnsi="Arial" w:cs="Arial"/>
        </w:rPr>
        <w:t xml:space="preserve">laintiffs would have been engaged and would have earned the income, the loss of which is alleged. </w:t>
      </w:r>
    </w:p>
    <w:p w:rsidR="00372D8E" w:rsidRDefault="00372D8E" w:rsidP="004A7C1D">
      <w:pPr>
        <w:pStyle w:val="western"/>
        <w:shd w:val="clear" w:color="auto" w:fill="FFFFFF"/>
        <w:spacing w:before="0" w:beforeAutospacing="0" w:after="0" w:afterAutospacing="0" w:line="360" w:lineRule="auto"/>
        <w:jc w:val="both"/>
        <w:rPr>
          <w:rFonts w:ascii="Arial" w:hAnsi="Arial" w:cs="Arial"/>
        </w:rPr>
      </w:pPr>
    </w:p>
    <w:p w:rsidR="000530B2" w:rsidRDefault="00372D8E"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25</w:t>
      </w:r>
      <w:r>
        <w:rPr>
          <w:rFonts w:ascii="Arial" w:hAnsi="Arial" w:cs="Arial"/>
        </w:rPr>
        <w:t>]</w:t>
      </w:r>
      <w:r>
        <w:rPr>
          <w:rFonts w:ascii="Arial" w:hAnsi="Arial" w:cs="Arial"/>
        </w:rPr>
        <w:tab/>
        <w:t>Mr Eia further contended that i</w:t>
      </w:r>
      <w:r w:rsidR="000530B2" w:rsidRPr="00372D8E">
        <w:rPr>
          <w:rFonts w:ascii="Arial" w:hAnsi="Arial" w:cs="Arial"/>
        </w:rPr>
        <w:t>n the light of those allegations, the first ground of exception is</w:t>
      </w:r>
      <w:r w:rsidRPr="00372D8E">
        <w:rPr>
          <w:rFonts w:ascii="Arial" w:hAnsi="Arial" w:cs="Arial"/>
        </w:rPr>
        <w:t xml:space="preserve"> misconceived. The unlawful conduct, the particulars allege</w:t>
      </w:r>
      <w:r w:rsidR="002867E1" w:rsidRPr="0001065E">
        <w:rPr>
          <w:rFonts w:ascii="Arial" w:hAnsi="Arial" w:cs="Arial"/>
        </w:rPr>
        <w:t>d</w:t>
      </w:r>
      <w:r w:rsidRPr="00372D8E">
        <w:rPr>
          <w:rFonts w:ascii="Arial" w:hAnsi="Arial" w:cs="Arial"/>
        </w:rPr>
        <w:t>, prevented a contract from being concluded, which would have been concluded had there been no unlawf</w:t>
      </w:r>
      <w:r w:rsidRPr="0001065E">
        <w:rPr>
          <w:rFonts w:ascii="Arial" w:hAnsi="Arial" w:cs="Arial"/>
        </w:rPr>
        <w:t>ul</w:t>
      </w:r>
      <w:r w:rsidR="002867E1" w:rsidRPr="0001065E">
        <w:rPr>
          <w:rFonts w:ascii="Arial" w:hAnsi="Arial" w:cs="Arial"/>
        </w:rPr>
        <w:t>ness</w:t>
      </w:r>
      <w:r w:rsidRPr="0001065E">
        <w:rPr>
          <w:rFonts w:ascii="Arial" w:hAnsi="Arial" w:cs="Arial"/>
        </w:rPr>
        <w:t xml:space="preserve"> </w:t>
      </w:r>
      <w:r>
        <w:rPr>
          <w:rFonts w:ascii="Arial" w:hAnsi="Arial" w:cs="Arial"/>
        </w:rPr>
        <w:t>and t</w:t>
      </w:r>
      <w:r w:rsidRPr="00372D8E">
        <w:rPr>
          <w:rFonts w:ascii="Arial" w:hAnsi="Arial" w:cs="Arial"/>
        </w:rPr>
        <w:t>his ground of exception</w:t>
      </w:r>
      <w:r>
        <w:rPr>
          <w:rFonts w:ascii="Arial" w:hAnsi="Arial" w:cs="Arial"/>
        </w:rPr>
        <w:t xml:space="preserve"> </w:t>
      </w:r>
      <w:r w:rsidRPr="00372D8E">
        <w:rPr>
          <w:rFonts w:ascii="Arial" w:hAnsi="Arial" w:cs="Arial"/>
        </w:rPr>
        <w:t>lacks merit</w:t>
      </w:r>
      <w:r w:rsidR="009E3DB9">
        <w:rPr>
          <w:rFonts w:ascii="Arial" w:hAnsi="Arial" w:cs="Arial"/>
        </w:rPr>
        <w:t xml:space="preserve"> as it is demonstrably incorrect</w:t>
      </w:r>
      <w:r w:rsidRPr="00372D8E">
        <w:rPr>
          <w:rFonts w:ascii="Arial" w:hAnsi="Arial" w:cs="Arial"/>
        </w:rPr>
        <w:t>.</w:t>
      </w:r>
    </w:p>
    <w:p w:rsidR="00952C13" w:rsidRDefault="00952C13" w:rsidP="004A7C1D">
      <w:pPr>
        <w:pStyle w:val="western"/>
        <w:shd w:val="clear" w:color="auto" w:fill="FFFFFF"/>
        <w:spacing w:before="0" w:beforeAutospacing="0" w:after="0" w:afterAutospacing="0" w:line="360" w:lineRule="auto"/>
        <w:jc w:val="both"/>
        <w:rPr>
          <w:rFonts w:ascii="Arial" w:hAnsi="Arial" w:cs="Arial"/>
        </w:rPr>
      </w:pPr>
    </w:p>
    <w:p w:rsidR="009E3DB9" w:rsidRPr="00372D8E" w:rsidRDefault="009E3DB9"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26</w:t>
      </w:r>
      <w:r>
        <w:rPr>
          <w:rFonts w:ascii="Arial" w:hAnsi="Arial" w:cs="Arial"/>
        </w:rPr>
        <w:t>]</w:t>
      </w:r>
      <w:r>
        <w:rPr>
          <w:rFonts w:ascii="Arial" w:hAnsi="Arial" w:cs="Arial"/>
        </w:rPr>
        <w:tab/>
        <w:t>Mr Eia argued that this demonstrably incorrect as the particular</w:t>
      </w:r>
      <w:r w:rsidR="002867E1" w:rsidRPr="0001065E">
        <w:rPr>
          <w:rFonts w:ascii="Arial" w:hAnsi="Arial" w:cs="Arial"/>
        </w:rPr>
        <w:t>s</w:t>
      </w:r>
      <w:r>
        <w:rPr>
          <w:rFonts w:ascii="Arial" w:hAnsi="Arial" w:cs="Arial"/>
        </w:rPr>
        <w:t xml:space="preserve"> of claim sets out at length the facts and circumstances that the plaintiffs rely upon, which was </w:t>
      </w:r>
      <w:r>
        <w:rPr>
          <w:rFonts w:ascii="Arial" w:hAnsi="Arial" w:cs="Arial"/>
        </w:rPr>
        <w:lastRenderedPageBreak/>
        <w:t>paraphrased in para 9 of the particulars of claim. In any event the particulars of claim sets out in substantial detail each averment, including references to the Supreme Court judgment, whose findings are to be taken as included as part of the cause of action and the relevant statutory prescripts</w:t>
      </w:r>
    </w:p>
    <w:p w:rsidR="00372D8E" w:rsidRDefault="00372D8E" w:rsidP="004A7C1D">
      <w:pPr>
        <w:pStyle w:val="western"/>
        <w:shd w:val="clear" w:color="auto" w:fill="FFFFFF"/>
        <w:spacing w:before="0" w:beforeAutospacing="0" w:after="0" w:afterAutospacing="0" w:line="360" w:lineRule="auto"/>
        <w:jc w:val="both"/>
        <w:rPr>
          <w:rFonts w:ascii="Arial" w:hAnsi="Arial" w:cs="Arial"/>
        </w:rPr>
      </w:pPr>
    </w:p>
    <w:p w:rsidR="009E3DB9" w:rsidRDefault="00912EB5"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952C13">
        <w:rPr>
          <w:rFonts w:ascii="Arial" w:hAnsi="Arial" w:cs="Arial"/>
        </w:rPr>
        <w:t>27</w:t>
      </w:r>
      <w:r>
        <w:rPr>
          <w:rFonts w:ascii="Arial" w:hAnsi="Arial" w:cs="Arial"/>
        </w:rPr>
        <w:t>]</w:t>
      </w:r>
      <w:r w:rsidR="00372D8E">
        <w:rPr>
          <w:rFonts w:ascii="Arial" w:hAnsi="Arial" w:cs="Arial"/>
        </w:rPr>
        <w:tab/>
        <w:t>In respect of the second ground of exception Mr Eia argued that the e</w:t>
      </w:r>
      <w:r w:rsidR="00372D8E" w:rsidRPr="00372D8E">
        <w:rPr>
          <w:rFonts w:ascii="Arial" w:hAnsi="Arial" w:cs="Arial"/>
        </w:rPr>
        <w:t>ssence of this ground appears in para</w:t>
      </w:r>
      <w:r w:rsidR="00372D8E">
        <w:rPr>
          <w:rFonts w:ascii="Arial" w:hAnsi="Arial" w:cs="Arial"/>
        </w:rPr>
        <w:t>s</w:t>
      </w:r>
      <w:r w:rsidR="00372D8E" w:rsidRPr="00372D8E">
        <w:rPr>
          <w:rFonts w:ascii="Arial" w:hAnsi="Arial" w:cs="Arial"/>
        </w:rPr>
        <w:t xml:space="preserve"> 8 and 9 of the exception, where it is alleged that: </w:t>
      </w:r>
      <w:r w:rsidR="00372D8E">
        <w:rPr>
          <w:rFonts w:ascii="Arial" w:hAnsi="Arial" w:cs="Arial"/>
        </w:rPr>
        <w:t>a)</w:t>
      </w:r>
      <w:r w:rsidR="00372D8E" w:rsidRPr="00372D8E">
        <w:rPr>
          <w:rFonts w:ascii="Arial" w:hAnsi="Arial" w:cs="Arial"/>
        </w:rPr>
        <w:t xml:space="preserve">. </w:t>
      </w:r>
      <w:r w:rsidR="00372D8E">
        <w:rPr>
          <w:rFonts w:ascii="Arial" w:hAnsi="Arial" w:cs="Arial"/>
        </w:rPr>
        <w:t>t</w:t>
      </w:r>
      <w:r w:rsidR="00372D8E" w:rsidRPr="00372D8E">
        <w:rPr>
          <w:rFonts w:ascii="Arial" w:hAnsi="Arial" w:cs="Arial"/>
        </w:rPr>
        <w:t xml:space="preserve">he </w:t>
      </w:r>
      <w:r w:rsidR="00372D8E">
        <w:rPr>
          <w:rFonts w:ascii="Arial" w:hAnsi="Arial" w:cs="Arial"/>
        </w:rPr>
        <w:t>p</w:t>
      </w:r>
      <w:r w:rsidR="00372D8E" w:rsidRPr="00372D8E">
        <w:rPr>
          <w:rFonts w:ascii="Arial" w:hAnsi="Arial" w:cs="Arial"/>
        </w:rPr>
        <w:t xml:space="preserve">laintiffs failed to allege and explicitly set out acts of bad faith, dishonesty and/or fraud on the part of the </w:t>
      </w:r>
      <w:r w:rsidR="00372D8E">
        <w:rPr>
          <w:rFonts w:ascii="Arial" w:hAnsi="Arial" w:cs="Arial"/>
        </w:rPr>
        <w:t>d</w:t>
      </w:r>
      <w:r w:rsidR="00372D8E" w:rsidRPr="00372D8E">
        <w:rPr>
          <w:rFonts w:ascii="Arial" w:hAnsi="Arial" w:cs="Arial"/>
        </w:rPr>
        <w:t xml:space="preserve">efendants in executing their duties which are necessary for delictual or constitutional liability; and </w:t>
      </w:r>
      <w:r w:rsidR="00372D8E">
        <w:rPr>
          <w:rFonts w:ascii="Arial" w:hAnsi="Arial" w:cs="Arial"/>
        </w:rPr>
        <w:t>b)</w:t>
      </w:r>
      <w:r w:rsidR="00372D8E" w:rsidRPr="00372D8E">
        <w:rPr>
          <w:rFonts w:ascii="Arial" w:hAnsi="Arial" w:cs="Arial"/>
        </w:rPr>
        <w:t xml:space="preserve"> </w:t>
      </w:r>
      <w:r w:rsidR="009E3DB9">
        <w:rPr>
          <w:rFonts w:ascii="Arial" w:hAnsi="Arial" w:cs="Arial"/>
        </w:rPr>
        <w:t>t</w:t>
      </w:r>
      <w:r w:rsidR="00372D8E" w:rsidRPr="00372D8E">
        <w:rPr>
          <w:rFonts w:ascii="Arial" w:hAnsi="Arial" w:cs="Arial"/>
        </w:rPr>
        <w:t xml:space="preserve">he </w:t>
      </w:r>
      <w:r w:rsidR="009E3DB9">
        <w:rPr>
          <w:rFonts w:ascii="Arial" w:hAnsi="Arial" w:cs="Arial"/>
        </w:rPr>
        <w:t>pl</w:t>
      </w:r>
      <w:r w:rsidR="00372D8E" w:rsidRPr="00372D8E">
        <w:rPr>
          <w:rFonts w:ascii="Arial" w:hAnsi="Arial" w:cs="Arial"/>
        </w:rPr>
        <w:t>aintiffs fail</w:t>
      </w:r>
      <w:r w:rsidR="009E3DB9">
        <w:rPr>
          <w:rFonts w:ascii="Arial" w:hAnsi="Arial" w:cs="Arial"/>
        </w:rPr>
        <w:t>ed</w:t>
      </w:r>
      <w:r w:rsidR="00372D8E" w:rsidRPr="00372D8E">
        <w:rPr>
          <w:rFonts w:ascii="Arial" w:hAnsi="Arial" w:cs="Arial"/>
        </w:rPr>
        <w:t xml:space="preserve"> to allege facts on the basis of which monetary damage would be an appropriate and necessary remedy in the circumstances.</w:t>
      </w:r>
      <w:r w:rsidR="009E3DB9">
        <w:rPr>
          <w:rFonts w:ascii="Arial" w:hAnsi="Arial" w:cs="Arial"/>
        </w:rPr>
        <w:t xml:space="preserve"> </w:t>
      </w:r>
      <w:r w:rsidR="002867E1">
        <w:rPr>
          <w:rFonts w:ascii="Arial" w:hAnsi="Arial" w:cs="Arial"/>
        </w:rPr>
        <w:br/>
      </w:r>
    </w:p>
    <w:p w:rsidR="009E3DB9" w:rsidRDefault="009E3DB9"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2B565D">
        <w:rPr>
          <w:rFonts w:ascii="Arial" w:hAnsi="Arial" w:cs="Arial"/>
        </w:rPr>
        <w:t>28</w:t>
      </w:r>
      <w:r>
        <w:rPr>
          <w:rFonts w:ascii="Arial" w:hAnsi="Arial" w:cs="Arial"/>
        </w:rPr>
        <w:t>]</w:t>
      </w:r>
      <w:r>
        <w:rPr>
          <w:rFonts w:ascii="Arial" w:hAnsi="Arial" w:cs="Arial"/>
        </w:rPr>
        <w:tab/>
        <w:t>Counsel highlighted the following regarding the duties of the defendan</w:t>
      </w:r>
      <w:r w:rsidR="00221E5F">
        <w:rPr>
          <w:rFonts w:ascii="Arial" w:hAnsi="Arial" w:cs="Arial"/>
        </w:rPr>
        <w:t>ts that were pleaded as follows:</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9E1D1C"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The first </w:t>
      </w:r>
      <w:r>
        <w:rPr>
          <w:rFonts w:ascii="Arial" w:hAnsi="Arial" w:cs="Arial"/>
        </w:rPr>
        <w:t>d</w:t>
      </w:r>
      <w:r w:rsidRPr="009E3DB9">
        <w:rPr>
          <w:rFonts w:ascii="Arial" w:hAnsi="Arial" w:cs="Arial"/>
        </w:rPr>
        <w:t>efendant and its members were subject to statutory and constitutional obligations</w:t>
      </w:r>
      <w:r w:rsidR="009E1D1C">
        <w:rPr>
          <w:rFonts w:ascii="Arial" w:hAnsi="Arial" w:cs="Arial"/>
        </w:rPr>
        <w:t xml:space="preserve"> (read with article 18 of the Namibian Constitution)</w:t>
      </w:r>
      <w:r>
        <w:rPr>
          <w:rFonts w:ascii="Arial" w:hAnsi="Arial" w:cs="Arial"/>
        </w:rPr>
        <w:t xml:space="preserve">, which </w:t>
      </w:r>
      <w:r w:rsidRPr="009E3DB9">
        <w:rPr>
          <w:rFonts w:ascii="Arial" w:hAnsi="Arial" w:cs="Arial"/>
        </w:rPr>
        <w:t>include the obligations under the Tender Board Act, 16 of 1996</w:t>
      </w:r>
      <w:r w:rsidR="009E1D1C">
        <w:rPr>
          <w:rFonts w:ascii="Arial" w:hAnsi="Arial" w:cs="Arial"/>
        </w:rPr>
        <w:t>;</w:t>
      </w:r>
    </w:p>
    <w:p w:rsidR="00221E5F" w:rsidRDefault="00221E5F" w:rsidP="004A7C1D">
      <w:pPr>
        <w:pStyle w:val="western"/>
        <w:shd w:val="clear" w:color="auto" w:fill="FFFFFF"/>
        <w:spacing w:before="0" w:beforeAutospacing="0" w:after="0" w:afterAutospacing="0" w:line="360" w:lineRule="auto"/>
        <w:ind w:left="1080"/>
        <w:jc w:val="both"/>
        <w:rPr>
          <w:rFonts w:ascii="Arial" w:hAnsi="Arial" w:cs="Arial"/>
        </w:rPr>
      </w:pPr>
    </w:p>
    <w:p w:rsidR="009E1D1C"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 Similar obligations arose under the Public Procurement Act, 15 of 2015. The Public Procurement Act stipulates the circumstances in which a tender process could be cancelled</w:t>
      </w:r>
      <w:r w:rsidR="009E1D1C">
        <w:rPr>
          <w:rFonts w:ascii="Arial" w:hAnsi="Arial" w:cs="Arial"/>
        </w:rPr>
        <w:t>;</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9E1D1C"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 They were entrusted with the administration of public money</w:t>
      </w:r>
      <w:r w:rsidR="009E1D1C">
        <w:rPr>
          <w:rFonts w:ascii="Arial" w:hAnsi="Arial" w:cs="Arial"/>
        </w:rPr>
        <w:t>;</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9E1D1C"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The </w:t>
      </w:r>
      <w:r w:rsidR="009E1D1C">
        <w:rPr>
          <w:rFonts w:ascii="Arial" w:hAnsi="Arial" w:cs="Arial"/>
        </w:rPr>
        <w:t>p</w:t>
      </w:r>
      <w:r w:rsidRPr="009E3DB9">
        <w:rPr>
          <w:rFonts w:ascii="Arial" w:hAnsi="Arial" w:cs="Arial"/>
        </w:rPr>
        <w:t xml:space="preserve">laintiffs were entitled to rely on the </w:t>
      </w:r>
      <w:r w:rsidR="009E1D1C">
        <w:rPr>
          <w:rFonts w:ascii="Arial" w:hAnsi="Arial" w:cs="Arial"/>
        </w:rPr>
        <w:t>d</w:t>
      </w:r>
      <w:r w:rsidRPr="009E3DB9">
        <w:rPr>
          <w:rFonts w:ascii="Arial" w:hAnsi="Arial" w:cs="Arial"/>
        </w:rPr>
        <w:t>efendants to pe</w:t>
      </w:r>
      <w:r w:rsidR="009E1D1C">
        <w:rPr>
          <w:rFonts w:ascii="Arial" w:hAnsi="Arial" w:cs="Arial"/>
        </w:rPr>
        <w:t>rform their functions lawfully</w:t>
      </w:r>
      <w:r w:rsidRPr="009E3DB9">
        <w:rPr>
          <w:rFonts w:ascii="Arial" w:hAnsi="Arial" w:cs="Arial"/>
        </w:rPr>
        <w:t>;</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9E1D1C"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The </w:t>
      </w:r>
      <w:r w:rsidR="009E1D1C">
        <w:rPr>
          <w:rFonts w:ascii="Arial" w:hAnsi="Arial" w:cs="Arial"/>
        </w:rPr>
        <w:t>d</w:t>
      </w:r>
      <w:r w:rsidRPr="009E3DB9">
        <w:rPr>
          <w:rFonts w:ascii="Arial" w:hAnsi="Arial" w:cs="Arial"/>
        </w:rPr>
        <w:t xml:space="preserve">efendants knew that if they breached their duties the </w:t>
      </w:r>
      <w:r w:rsidR="009E1D1C">
        <w:rPr>
          <w:rFonts w:ascii="Arial" w:hAnsi="Arial" w:cs="Arial"/>
        </w:rPr>
        <w:t>p</w:t>
      </w:r>
      <w:r w:rsidRPr="009E3DB9">
        <w:rPr>
          <w:rFonts w:ascii="Arial" w:hAnsi="Arial" w:cs="Arial"/>
        </w:rPr>
        <w:t>laintiffs might suffer loss of the nature pleaded</w:t>
      </w:r>
      <w:r w:rsidR="009E1D1C">
        <w:rPr>
          <w:rFonts w:ascii="Arial" w:hAnsi="Arial" w:cs="Arial"/>
        </w:rPr>
        <w:t>;</w:t>
      </w:r>
    </w:p>
    <w:p w:rsidR="00DE08A6" w:rsidRDefault="009E3DB9" w:rsidP="004A7C1D">
      <w:pPr>
        <w:pStyle w:val="western"/>
        <w:numPr>
          <w:ilvl w:val="0"/>
          <w:numId w:val="8"/>
        </w:numPr>
        <w:shd w:val="clear" w:color="auto" w:fill="FFFFFF"/>
        <w:spacing w:before="0" w:beforeAutospacing="0" w:after="0" w:afterAutospacing="0" w:line="360" w:lineRule="auto"/>
        <w:jc w:val="both"/>
        <w:rPr>
          <w:rFonts w:ascii="Arial" w:hAnsi="Arial" w:cs="Arial"/>
        </w:rPr>
      </w:pPr>
      <w:r w:rsidRPr="009E3DB9">
        <w:rPr>
          <w:rFonts w:ascii="Arial" w:hAnsi="Arial" w:cs="Arial"/>
        </w:rPr>
        <w:t xml:space="preserve">The </w:t>
      </w:r>
      <w:r w:rsidR="009E1D1C">
        <w:rPr>
          <w:rFonts w:ascii="Arial" w:hAnsi="Arial" w:cs="Arial"/>
        </w:rPr>
        <w:t>d</w:t>
      </w:r>
      <w:r w:rsidRPr="009E3DB9">
        <w:rPr>
          <w:rFonts w:ascii="Arial" w:hAnsi="Arial" w:cs="Arial"/>
        </w:rPr>
        <w:t>efendants were held to a higher standard of compliance with their obligations</w:t>
      </w:r>
      <w:r w:rsidR="00DE08A6">
        <w:rPr>
          <w:rFonts w:ascii="Arial" w:hAnsi="Arial" w:cs="Arial"/>
        </w:rPr>
        <w:t>.</w:t>
      </w:r>
    </w:p>
    <w:p w:rsidR="00567E15" w:rsidRDefault="00567E15" w:rsidP="004A7C1D">
      <w:pPr>
        <w:pStyle w:val="western"/>
        <w:shd w:val="clear" w:color="auto" w:fill="FFFFFF"/>
        <w:spacing w:before="0" w:beforeAutospacing="0" w:after="0" w:afterAutospacing="0" w:line="360" w:lineRule="auto"/>
        <w:ind w:left="1080"/>
        <w:jc w:val="both"/>
        <w:rPr>
          <w:rFonts w:ascii="Arial" w:hAnsi="Arial" w:cs="Arial"/>
        </w:rPr>
      </w:pPr>
    </w:p>
    <w:p w:rsidR="009E3DB9" w:rsidRDefault="00DE08A6"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2B565D">
        <w:rPr>
          <w:rFonts w:ascii="Arial" w:hAnsi="Arial" w:cs="Arial"/>
        </w:rPr>
        <w:t>29</w:t>
      </w:r>
      <w:r>
        <w:rPr>
          <w:rFonts w:ascii="Arial" w:hAnsi="Arial" w:cs="Arial"/>
        </w:rPr>
        <w:t>]</w:t>
      </w:r>
      <w:r>
        <w:rPr>
          <w:rFonts w:ascii="Arial" w:hAnsi="Arial" w:cs="Arial"/>
        </w:rPr>
        <w:tab/>
        <w:t xml:space="preserve">Regarding the impugned conduct and the breach of duties the particulars of claim makes the following averments: </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DE08A6" w:rsidRDefault="00DE08A6" w:rsidP="004A7C1D">
      <w:pPr>
        <w:pStyle w:val="western"/>
        <w:numPr>
          <w:ilvl w:val="0"/>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 xml:space="preserve">The wrongful conduct was reported as having included that the Prime Minister gave a ‘direction’ to cancel the process, and allegation which was admitted in the High Court papers. </w:t>
      </w:r>
    </w:p>
    <w:p w:rsidR="00221E5F" w:rsidRDefault="00221E5F" w:rsidP="004A7C1D">
      <w:pPr>
        <w:pStyle w:val="western"/>
        <w:shd w:val="clear" w:color="auto" w:fill="FFFFFF"/>
        <w:spacing w:before="0" w:beforeAutospacing="0" w:after="0" w:afterAutospacing="0" w:line="360" w:lineRule="auto"/>
        <w:ind w:left="1080"/>
        <w:jc w:val="both"/>
        <w:rPr>
          <w:rFonts w:ascii="Arial" w:hAnsi="Arial" w:cs="Arial"/>
        </w:rPr>
      </w:pPr>
    </w:p>
    <w:p w:rsidR="00DE08A6" w:rsidRDefault="00DE08A6" w:rsidP="004A7C1D">
      <w:pPr>
        <w:pStyle w:val="western"/>
        <w:numPr>
          <w:ilvl w:val="0"/>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 xml:space="preserve">It is trite (and was so found by the Supreme Court) that the Prime Minister did not have that authority. </w:t>
      </w:r>
    </w:p>
    <w:p w:rsidR="00221E5F" w:rsidRDefault="00221E5F" w:rsidP="004A7C1D">
      <w:pPr>
        <w:pStyle w:val="western"/>
        <w:shd w:val="clear" w:color="auto" w:fill="FFFFFF"/>
        <w:spacing w:before="0" w:beforeAutospacing="0" w:after="0" w:afterAutospacing="0" w:line="360" w:lineRule="auto"/>
        <w:jc w:val="both"/>
        <w:rPr>
          <w:rFonts w:ascii="Arial" w:hAnsi="Arial" w:cs="Arial"/>
        </w:rPr>
      </w:pPr>
    </w:p>
    <w:p w:rsidR="00DE08A6" w:rsidRDefault="00DE08A6" w:rsidP="004A7C1D">
      <w:pPr>
        <w:pStyle w:val="western"/>
        <w:numPr>
          <w:ilvl w:val="0"/>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 xml:space="preserve">The Defendants had failed to apply the law, had acted wrongfully by failing to apply the law, and were complicit in the unlawful conduct. Relevant to the nature of the fault of the Defendants, the Particulars allege further that the Defendants were aware (this is the primary allegation in POC 36) inter alia that: </w:t>
      </w:r>
    </w:p>
    <w:p w:rsidR="00221E5F" w:rsidRPr="00221E5F" w:rsidRDefault="00DE08A6" w:rsidP="004A7C1D">
      <w:pPr>
        <w:pStyle w:val="western"/>
        <w:numPr>
          <w:ilvl w:val="1"/>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They were obliged to comply with the applicable statutory and Constitutional provisions</w:t>
      </w:r>
      <w:r>
        <w:rPr>
          <w:rFonts w:ascii="Arial" w:hAnsi="Arial" w:cs="Arial"/>
        </w:rPr>
        <w:t>;</w:t>
      </w:r>
    </w:p>
    <w:p w:rsidR="00221E5F" w:rsidRPr="00221E5F" w:rsidRDefault="00DE08A6" w:rsidP="004A7C1D">
      <w:pPr>
        <w:pStyle w:val="western"/>
        <w:numPr>
          <w:ilvl w:val="1"/>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 xml:space="preserve">Their conduct was unlawful; </w:t>
      </w:r>
    </w:p>
    <w:p w:rsidR="00DE08A6" w:rsidRDefault="00DE08A6" w:rsidP="004A7C1D">
      <w:pPr>
        <w:pStyle w:val="western"/>
        <w:numPr>
          <w:ilvl w:val="1"/>
          <w:numId w:val="9"/>
        </w:numPr>
        <w:shd w:val="clear" w:color="auto" w:fill="FFFFFF"/>
        <w:spacing w:before="0" w:beforeAutospacing="0" w:after="0" w:afterAutospacing="0" w:line="360" w:lineRule="auto"/>
        <w:jc w:val="both"/>
        <w:rPr>
          <w:rFonts w:ascii="Arial" w:hAnsi="Arial" w:cs="Arial"/>
        </w:rPr>
      </w:pPr>
      <w:r w:rsidRPr="00DE08A6">
        <w:rPr>
          <w:rFonts w:ascii="Arial" w:hAnsi="Arial" w:cs="Arial"/>
        </w:rPr>
        <w:t>Such conduct would prejudice the Plaintiffs</w:t>
      </w:r>
      <w:r>
        <w:rPr>
          <w:rFonts w:ascii="Arial" w:hAnsi="Arial" w:cs="Arial"/>
        </w:rPr>
        <w:t>;</w:t>
      </w:r>
      <w:r w:rsidRPr="00DE08A6">
        <w:rPr>
          <w:rFonts w:ascii="Arial" w:hAnsi="Arial" w:cs="Arial"/>
        </w:rPr>
        <w:t xml:space="preserve"> </w:t>
      </w:r>
    </w:p>
    <w:p w:rsidR="00567E15" w:rsidRDefault="00567E15" w:rsidP="004A7C1D">
      <w:pPr>
        <w:pStyle w:val="western"/>
        <w:shd w:val="clear" w:color="auto" w:fill="FFFFFF"/>
        <w:spacing w:before="0" w:beforeAutospacing="0" w:after="0" w:afterAutospacing="0" w:line="360" w:lineRule="auto"/>
        <w:ind w:left="1800"/>
        <w:jc w:val="both"/>
        <w:rPr>
          <w:rFonts w:ascii="Arial" w:hAnsi="Arial" w:cs="Arial"/>
        </w:rPr>
      </w:pPr>
    </w:p>
    <w:p w:rsidR="00DE08A6" w:rsidRDefault="00DE08A6"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2B565D">
        <w:rPr>
          <w:rFonts w:ascii="Arial" w:hAnsi="Arial" w:cs="Arial"/>
        </w:rPr>
        <w:t>30</w:t>
      </w:r>
      <w:r>
        <w:rPr>
          <w:rFonts w:ascii="Arial" w:hAnsi="Arial" w:cs="Arial"/>
        </w:rPr>
        <w:t>]</w:t>
      </w:r>
      <w:r>
        <w:rPr>
          <w:rFonts w:ascii="Arial" w:hAnsi="Arial" w:cs="Arial"/>
        </w:rPr>
        <w:tab/>
        <w:t>Counsel submitted that t</w:t>
      </w:r>
      <w:r w:rsidRPr="00DE08A6">
        <w:rPr>
          <w:rFonts w:ascii="Arial" w:hAnsi="Arial" w:cs="Arial"/>
        </w:rPr>
        <w:t xml:space="preserve">he words in para 36.3 are significant. The allegation </w:t>
      </w:r>
      <w:r w:rsidR="00567E15">
        <w:rPr>
          <w:rFonts w:ascii="Arial" w:hAnsi="Arial" w:cs="Arial"/>
        </w:rPr>
        <w:t>that the d</w:t>
      </w:r>
      <w:r w:rsidRPr="00DE08A6">
        <w:rPr>
          <w:rFonts w:ascii="Arial" w:hAnsi="Arial" w:cs="Arial"/>
        </w:rPr>
        <w:t>efendants were actually aware (that they ought to have been aware is alleged in the alternative) of the unlawfulness of their conduct carries with it significant consequences</w:t>
      </w:r>
      <w:r w:rsidR="00952C13">
        <w:rPr>
          <w:rFonts w:ascii="Arial" w:hAnsi="Arial" w:cs="Arial"/>
        </w:rPr>
        <w:t xml:space="preserve"> and </w:t>
      </w:r>
      <w:r w:rsidRPr="005646D2">
        <w:rPr>
          <w:rFonts w:ascii="Arial" w:hAnsi="Arial" w:cs="Arial"/>
        </w:rPr>
        <w:t xml:space="preserve">is reasonably capable of carrying with it the connotation of serious and conscious wrongdoing. </w:t>
      </w:r>
    </w:p>
    <w:p w:rsidR="00567E15" w:rsidRPr="005646D2" w:rsidRDefault="00567E15" w:rsidP="004A7C1D">
      <w:pPr>
        <w:pStyle w:val="western"/>
        <w:shd w:val="clear" w:color="auto" w:fill="FFFFFF"/>
        <w:spacing w:before="0" w:beforeAutospacing="0" w:after="0" w:afterAutospacing="0" w:line="360" w:lineRule="auto"/>
        <w:jc w:val="both"/>
        <w:rPr>
          <w:rFonts w:ascii="Arial" w:hAnsi="Arial" w:cs="Arial"/>
        </w:rPr>
      </w:pPr>
    </w:p>
    <w:p w:rsidR="00912EB5" w:rsidRDefault="00952C13"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2B565D">
        <w:rPr>
          <w:rFonts w:ascii="Arial" w:hAnsi="Arial" w:cs="Arial"/>
        </w:rPr>
        <w:t>31</w:t>
      </w:r>
      <w:r>
        <w:rPr>
          <w:rFonts w:ascii="Arial" w:hAnsi="Arial" w:cs="Arial"/>
        </w:rPr>
        <w:t>]</w:t>
      </w:r>
      <w:r>
        <w:rPr>
          <w:rFonts w:ascii="Arial" w:hAnsi="Arial" w:cs="Arial"/>
        </w:rPr>
        <w:tab/>
        <w:t xml:space="preserve">Counsel submitted that the crux of the issue for the second ground of exception is whether, if those facts are established at a trial, the cause of action may in law be establish, which he contended is indeed the case. </w:t>
      </w:r>
    </w:p>
    <w:p w:rsidR="00567E15" w:rsidRDefault="00567E15" w:rsidP="004A7C1D">
      <w:pPr>
        <w:pStyle w:val="western"/>
        <w:shd w:val="clear" w:color="auto" w:fill="FFFFFF"/>
        <w:spacing w:before="0" w:beforeAutospacing="0" w:after="0" w:afterAutospacing="0" w:line="360" w:lineRule="auto"/>
        <w:jc w:val="both"/>
        <w:rPr>
          <w:rFonts w:ascii="Arial" w:hAnsi="Arial" w:cs="Arial"/>
        </w:rPr>
      </w:pPr>
    </w:p>
    <w:p w:rsidR="00952C13" w:rsidRDefault="00952C13"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2B565D">
        <w:rPr>
          <w:rFonts w:ascii="Arial" w:hAnsi="Arial" w:cs="Arial"/>
        </w:rPr>
        <w:t>32</w:t>
      </w:r>
      <w:r>
        <w:rPr>
          <w:rFonts w:ascii="Arial" w:hAnsi="Arial" w:cs="Arial"/>
        </w:rPr>
        <w:t>]</w:t>
      </w:r>
      <w:r>
        <w:rPr>
          <w:rFonts w:ascii="Arial" w:hAnsi="Arial" w:cs="Arial"/>
        </w:rPr>
        <w:tab/>
        <w:t>Mr Eia submitted that the second exception rais</w:t>
      </w:r>
      <w:r w:rsidR="00567E15">
        <w:rPr>
          <w:rFonts w:ascii="Arial" w:hAnsi="Arial" w:cs="Arial"/>
        </w:rPr>
        <w:t>ed, as with the first one, hold</w:t>
      </w:r>
      <w:r w:rsidR="00567E15" w:rsidRPr="00F85CA7">
        <w:rPr>
          <w:rFonts w:ascii="Arial" w:hAnsi="Arial" w:cs="Arial"/>
        </w:rPr>
        <w:t xml:space="preserve">s </w:t>
      </w:r>
      <w:r>
        <w:rPr>
          <w:rFonts w:ascii="Arial" w:hAnsi="Arial" w:cs="Arial"/>
        </w:rPr>
        <w:t xml:space="preserve">no merit and the particulars of claim of the plaintiffs should stand and the exceptions should be dismissed with costs. </w:t>
      </w:r>
    </w:p>
    <w:p w:rsidR="00567E15" w:rsidRDefault="00567E15" w:rsidP="004A7C1D">
      <w:pPr>
        <w:pStyle w:val="western"/>
        <w:shd w:val="clear" w:color="auto" w:fill="FFFFFF"/>
        <w:spacing w:before="0" w:beforeAutospacing="0" w:after="0" w:afterAutospacing="0" w:line="360" w:lineRule="auto"/>
        <w:jc w:val="both"/>
        <w:rPr>
          <w:rFonts w:ascii="Arial" w:hAnsi="Arial" w:cs="Arial"/>
        </w:rPr>
      </w:pPr>
    </w:p>
    <w:p w:rsidR="00952C13" w:rsidRDefault="00952C13" w:rsidP="004A7C1D">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2B565D">
        <w:rPr>
          <w:rFonts w:ascii="Arial" w:hAnsi="Arial" w:cs="Arial"/>
        </w:rPr>
        <w:t>33</w:t>
      </w:r>
      <w:r>
        <w:rPr>
          <w:rFonts w:ascii="Arial" w:hAnsi="Arial" w:cs="Arial"/>
        </w:rPr>
        <w:t>]</w:t>
      </w:r>
      <w:r>
        <w:rPr>
          <w:rFonts w:ascii="Arial" w:hAnsi="Arial" w:cs="Arial"/>
        </w:rPr>
        <w:tab/>
        <w:t xml:space="preserve"> Mr Eia referred the court to a multitude </w:t>
      </w:r>
      <w:r w:rsidR="0001065E">
        <w:rPr>
          <w:rFonts w:ascii="Arial" w:hAnsi="Arial" w:cs="Arial"/>
        </w:rPr>
        <w:t>of authority which he discussed</w:t>
      </w:r>
      <w:r w:rsidRPr="00567E15">
        <w:rPr>
          <w:rFonts w:ascii="Arial" w:hAnsi="Arial" w:cs="Arial"/>
          <w:color w:val="FF0000"/>
        </w:rPr>
        <w:t xml:space="preserve"> </w:t>
      </w:r>
      <w:r w:rsidR="00567E15" w:rsidRPr="0001065E">
        <w:rPr>
          <w:rFonts w:ascii="Arial" w:hAnsi="Arial" w:cs="Arial"/>
        </w:rPr>
        <w:t xml:space="preserve">individually </w:t>
      </w:r>
      <w:r w:rsidRPr="0001065E">
        <w:rPr>
          <w:rFonts w:ascii="Arial" w:hAnsi="Arial" w:cs="Arial"/>
        </w:rPr>
        <w:t xml:space="preserve">in </w:t>
      </w:r>
      <w:r>
        <w:rPr>
          <w:rFonts w:ascii="Arial" w:hAnsi="Arial" w:cs="Arial"/>
        </w:rPr>
        <w:t xml:space="preserve">the plaintiffs heads of argument and I thank him for his industry herein but in the interest of brevity I will not refer to all these cases for purposes of this ruling. </w:t>
      </w:r>
    </w:p>
    <w:p w:rsidR="00912EB5" w:rsidRPr="004A4C25" w:rsidRDefault="00912EB5" w:rsidP="004A7C1D">
      <w:pPr>
        <w:pStyle w:val="western"/>
        <w:shd w:val="clear" w:color="auto" w:fill="FFFFFF"/>
        <w:spacing w:before="0" w:beforeAutospacing="0" w:after="0" w:afterAutospacing="0" w:line="360" w:lineRule="auto"/>
        <w:jc w:val="both"/>
        <w:rPr>
          <w:rFonts w:ascii="Arial" w:hAnsi="Arial" w:cs="Arial"/>
          <w:i/>
        </w:rPr>
      </w:pPr>
    </w:p>
    <w:p w:rsidR="00567E15" w:rsidRDefault="00FC3150" w:rsidP="004A7C1D">
      <w:pPr>
        <w:pStyle w:val="western"/>
        <w:shd w:val="clear" w:color="auto" w:fill="FFFFFF"/>
        <w:spacing w:before="0" w:beforeAutospacing="0" w:after="0" w:afterAutospacing="0" w:line="360" w:lineRule="auto"/>
        <w:jc w:val="both"/>
        <w:rPr>
          <w:rFonts w:ascii="Arial" w:hAnsi="Arial" w:cs="Arial"/>
          <w:u w:val="single"/>
        </w:rPr>
      </w:pPr>
      <w:r w:rsidRPr="004B5E3E">
        <w:rPr>
          <w:rFonts w:ascii="Arial" w:hAnsi="Arial" w:cs="Arial"/>
          <w:u w:val="single"/>
        </w:rPr>
        <w:t>Legal principles relating to exceptions</w:t>
      </w:r>
    </w:p>
    <w:p w:rsidR="00221E5F" w:rsidRPr="004B5E3E" w:rsidRDefault="00221E5F" w:rsidP="004A7C1D">
      <w:pPr>
        <w:pStyle w:val="western"/>
        <w:shd w:val="clear" w:color="auto" w:fill="FFFFFF"/>
        <w:spacing w:before="0" w:beforeAutospacing="0" w:after="0" w:afterAutospacing="0" w:line="360" w:lineRule="auto"/>
        <w:jc w:val="both"/>
        <w:rPr>
          <w:rFonts w:ascii="Arial" w:hAnsi="Arial" w:cs="Arial"/>
          <w:u w:val="single"/>
        </w:rPr>
      </w:pPr>
    </w:p>
    <w:p w:rsidR="00FC3150" w:rsidRDefault="00FC3150" w:rsidP="004A7C1D">
      <w:pPr>
        <w:spacing w:after="0" w:line="360" w:lineRule="auto"/>
        <w:jc w:val="both"/>
        <w:rPr>
          <w:rFonts w:ascii="Arial" w:hAnsi="Arial" w:cs="Arial"/>
          <w:sz w:val="24"/>
          <w:szCs w:val="24"/>
        </w:rPr>
      </w:pPr>
      <w:r>
        <w:rPr>
          <w:rFonts w:ascii="Arial" w:hAnsi="Arial" w:cs="Arial"/>
          <w:sz w:val="24"/>
          <w:szCs w:val="24"/>
        </w:rPr>
        <w:t>[</w:t>
      </w:r>
      <w:r w:rsidR="002B565D">
        <w:rPr>
          <w:rFonts w:ascii="Arial" w:hAnsi="Arial" w:cs="Arial"/>
          <w:sz w:val="24"/>
          <w:szCs w:val="24"/>
        </w:rPr>
        <w:t>34</w:t>
      </w:r>
      <w:r>
        <w:rPr>
          <w:rFonts w:ascii="Arial" w:hAnsi="Arial" w:cs="Arial"/>
          <w:sz w:val="24"/>
          <w:szCs w:val="24"/>
        </w:rPr>
        <w:t>]</w:t>
      </w:r>
      <w:r>
        <w:rPr>
          <w:rFonts w:ascii="Arial" w:hAnsi="Arial" w:cs="Arial"/>
          <w:sz w:val="24"/>
          <w:szCs w:val="24"/>
        </w:rPr>
        <w:tab/>
        <w:t xml:space="preserve"> In </w:t>
      </w:r>
      <w:r w:rsidRPr="004B5E3E">
        <w:rPr>
          <w:rFonts w:ascii="Arial" w:hAnsi="Arial" w:cs="Arial"/>
          <w:i/>
          <w:sz w:val="24"/>
          <w:szCs w:val="24"/>
          <w:shd w:val="clear" w:color="auto" w:fill="FFFFFF"/>
        </w:rPr>
        <w:t>Fire Tech Systems CC</w:t>
      </w:r>
      <w:r w:rsidRPr="004B5E3E">
        <w:rPr>
          <w:rFonts w:ascii="Arial" w:hAnsi="Arial" w:cs="Arial"/>
          <w:i/>
          <w:sz w:val="24"/>
          <w:szCs w:val="24"/>
        </w:rPr>
        <w:t xml:space="preserve"> </w:t>
      </w:r>
      <w:r w:rsidR="00CD1C16">
        <w:rPr>
          <w:rFonts w:ascii="Arial" w:hAnsi="Arial" w:cs="Arial"/>
          <w:i/>
          <w:sz w:val="24"/>
          <w:szCs w:val="24"/>
        </w:rPr>
        <w:t>v</w:t>
      </w:r>
      <w:r w:rsidRPr="004B5E3E">
        <w:rPr>
          <w:rFonts w:ascii="Arial" w:hAnsi="Arial" w:cs="Arial"/>
          <w:i/>
          <w:sz w:val="24"/>
          <w:szCs w:val="24"/>
        </w:rPr>
        <w:t xml:space="preserve"> Namibia Airports Company Ltd</w:t>
      </w:r>
      <w:r>
        <w:rPr>
          <w:rStyle w:val="FootnoteReference"/>
          <w:rFonts w:ascii="Arial" w:hAnsi="Arial" w:cs="Arial"/>
          <w:i/>
          <w:sz w:val="24"/>
          <w:szCs w:val="24"/>
        </w:rPr>
        <w:footnoteReference w:id="11"/>
      </w:r>
      <w:r w:rsidRPr="00FC3150">
        <w:rPr>
          <w:rFonts w:ascii="Arial" w:hAnsi="Arial" w:cs="Arial"/>
          <w:sz w:val="20"/>
          <w:szCs w:val="20"/>
        </w:rPr>
        <w:t xml:space="preserve"> </w:t>
      </w:r>
      <w:r>
        <w:rPr>
          <w:rFonts w:ascii="Arial" w:hAnsi="Arial" w:cs="Arial"/>
          <w:sz w:val="24"/>
          <w:szCs w:val="24"/>
        </w:rPr>
        <w:t xml:space="preserve">this court sets out the principles relating to exceptions as follows: </w:t>
      </w:r>
    </w:p>
    <w:p w:rsidR="00567E15" w:rsidRDefault="00567E15" w:rsidP="004A7C1D">
      <w:pPr>
        <w:spacing w:after="0" w:line="360" w:lineRule="auto"/>
        <w:jc w:val="both"/>
        <w:rPr>
          <w:rFonts w:ascii="Arial" w:hAnsi="Arial" w:cs="Arial"/>
          <w:sz w:val="24"/>
          <w:szCs w:val="24"/>
        </w:rPr>
      </w:pPr>
    </w:p>
    <w:p w:rsidR="00FC3150" w:rsidRPr="00FC3150" w:rsidRDefault="00FC3150" w:rsidP="004A7C1D">
      <w:pPr>
        <w:spacing w:after="0" w:line="360" w:lineRule="auto"/>
        <w:ind w:firstLine="720"/>
        <w:jc w:val="both"/>
        <w:rPr>
          <w:rFonts w:ascii="Arial" w:hAnsi="Arial" w:cs="Arial"/>
        </w:rPr>
      </w:pPr>
      <w:r w:rsidRPr="00FC3150">
        <w:rPr>
          <w:rFonts w:ascii="Arial" w:hAnsi="Arial" w:cs="Arial"/>
        </w:rPr>
        <w:t>‘[39]</w:t>
      </w:r>
      <w:r w:rsidRPr="00FC3150">
        <w:rPr>
          <w:rFonts w:ascii="Arial" w:hAnsi="Arial" w:cs="Arial"/>
        </w:rPr>
        <w:tab/>
        <w:t xml:space="preserve">The principles applicable to exceptions are trite and I can do no better than to refer to </w:t>
      </w:r>
      <w:r w:rsidRPr="00FC3150">
        <w:rPr>
          <w:rFonts w:ascii="Arial" w:hAnsi="Arial" w:cs="Arial"/>
          <w:i/>
        </w:rPr>
        <w:t>Van Straten NO and Another v Namibia Financial Institutions Supervisory Authority and Another</w:t>
      </w:r>
      <w:r w:rsidRPr="00FC3150">
        <w:rPr>
          <w:rStyle w:val="FootnoteReference"/>
          <w:rFonts w:ascii="Arial" w:hAnsi="Arial" w:cs="Arial"/>
          <w:i/>
        </w:rPr>
        <w:t xml:space="preserve"> </w:t>
      </w:r>
      <w:r w:rsidRPr="00FC3150">
        <w:rPr>
          <w:rStyle w:val="FootnoteReference"/>
          <w:rFonts w:ascii="Arial" w:hAnsi="Arial" w:cs="Arial"/>
          <w:i/>
        </w:rPr>
        <w:footnoteReference w:id="12"/>
      </w:r>
      <w:r w:rsidRPr="00FC3150">
        <w:rPr>
          <w:rFonts w:ascii="Arial" w:hAnsi="Arial" w:cs="Arial"/>
        </w:rPr>
        <w:t xml:space="preserve"> wherein Smuts JA summarized the legal principles relating to exceptions to pleadings on the ground that they lack averments necessary to sustain a cause of action as follows:</w:t>
      </w:r>
    </w:p>
    <w:p w:rsidR="00FC3150" w:rsidRPr="00FC3150" w:rsidRDefault="00FC3150" w:rsidP="004A7C1D">
      <w:pPr>
        <w:spacing w:after="0" w:line="360" w:lineRule="auto"/>
        <w:jc w:val="both"/>
        <w:rPr>
          <w:rFonts w:ascii="Arial" w:hAnsi="Arial" w:cs="Arial"/>
        </w:rPr>
      </w:pPr>
    </w:p>
    <w:p w:rsidR="00FC3150" w:rsidRPr="00FC3150" w:rsidRDefault="000E56EE" w:rsidP="004A7C1D">
      <w:pPr>
        <w:spacing w:after="0" w:line="360" w:lineRule="auto"/>
        <w:jc w:val="both"/>
        <w:rPr>
          <w:rFonts w:ascii="Arial" w:hAnsi="Arial" w:cs="Arial"/>
        </w:rPr>
      </w:pPr>
      <w:r>
        <w:rPr>
          <w:rFonts w:ascii="Arial" w:hAnsi="Arial" w:cs="Arial"/>
        </w:rPr>
        <w:tab/>
        <w:t>‘</w:t>
      </w:r>
      <w:r w:rsidR="00FC3150" w:rsidRPr="00FC3150">
        <w:rPr>
          <w:rFonts w:ascii="Arial" w:hAnsi="Arial" w:cs="Arial"/>
        </w:rPr>
        <w:t>[18]</w:t>
      </w:r>
      <w:r w:rsidR="00FC3150" w:rsidRPr="00FC3150">
        <w:rPr>
          <w:rFonts w:ascii="Arial" w:hAnsi="Arial" w:cs="Arial"/>
        </w:rPr>
        <w:tab/>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w:t>
      </w:r>
      <w:r>
        <w:rPr>
          <w:rFonts w:ascii="Arial" w:hAnsi="Arial" w:cs="Arial"/>
        </w:rPr>
        <w:t>im be found to be excipiable.’</w:t>
      </w:r>
    </w:p>
    <w:p w:rsidR="00FC3150" w:rsidRPr="00FC3150" w:rsidRDefault="00FC3150" w:rsidP="004A7C1D">
      <w:pPr>
        <w:spacing w:after="0" w:line="360" w:lineRule="auto"/>
        <w:jc w:val="both"/>
        <w:rPr>
          <w:rFonts w:ascii="Arial" w:hAnsi="Arial" w:cs="Arial"/>
        </w:rPr>
      </w:pPr>
    </w:p>
    <w:p w:rsidR="00FC3150" w:rsidRPr="00FC3150" w:rsidRDefault="00FC3150" w:rsidP="004A7C1D">
      <w:pPr>
        <w:spacing w:after="0" w:line="360" w:lineRule="auto"/>
        <w:jc w:val="both"/>
        <w:rPr>
          <w:rFonts w:ascii="Arial" w:hAnsi="Arial" w:cs="Arial"/>
        </w:rPr>
      </w:pPr>
      <w:r w:rsidRPr="00FC3150">
        <w:rPr>
          <w:rFonts w:ascii="Arial" w:hAnsi="Arial" w:cs="Arial"/>
        </w:rPr>
        <w:t>[40]</w:t>
      </w:r>
      <w:r w:rsidRPr="00FC3150">
        <w:rPr>
          <w:rFonts w:ascii="Arial" w:hAnsi="Arial" w:cs="Arial"/>
        </w:rPr>
        <w:tab/>
        <w:t>Our law recognizes several grounds which a party may rely on when taking an exception. These grounds may be technical in nature when</w:t>
      </w:r>
      <w:r w:rsidRPr="00FC3150">
        <w:rPr>
          <w:rFonts w:ascii="Arial" w:hAnsi="Arial" w:cs="Arial"/>
          <w:color w:val="FF0000"/>
        </w:rPr>
        <w:t xml:space="preserve"> </w:t>
      </w:r>
      <w:r w:rsidRPr="00FC3150">
        <w:rPr>
          <w:rFonts w:ascii="Arial" w:hAnsi="Arial" w:cs="Arial"/>
        </w:rPr>
        <w:t xml:space="preserve">they go beyond what is in the pleadings. An exception may aim at disposing of the matter in its entirety or, in effect, delaying its disposal. The defendant filed an exception and advanced several grounds in support of the exception all on the basis that the particulars of claim lack averments necessary to sustain a cause of action.  </w:t>
      </w:r>
    </w:p>
    <w:p w:rsidR="00FC3150" w:rsidRPr="00FC3150" w:rsidRDefault="00FC3150" w:rsidP="004A7C1D">
      <w:pPr>
        <w:spacing w:after="0" w:line="360" w:lineRule="auto"/>
        <w:jc w:val="both"/>
        <w:rPr>
          <w:rFonts w:ascii="Arial" w:hAnsi="Arial" w:cs="Arial"/>
        </w:rPr>
      </w:pPr>
    </w:p>
    <w:p w:rsidR="00FC3150" w:rsidRPr="00FC3150" w:rsidRDefault="00FC3150" w:rsidP="004A7C1D">
      <w:pPr>
        <w:spacing w:after="0" w:line="360" w:lineRule="auto"/>
        <w:jc w:val="both"/>
        <w:rPr>
          <w:rFonts w:ascii="Arial" w:hAnsi="Arial" w:cs="Arial"/>
        </w:rPr>
      </w:pPr>
      <w:r w:rsidRPr="00FC3150">
        <w:rPr>
          <w:rFonts w:ascii="Arial" w:hAnsi="Arial" w:cs="Arial"/>
        </w:rPr>
        <w:t>[41]</w:t>
      </w:r>
      <w:r w:rsidRPr="00FC3150">
        <w:rPr>
          <w:rFonts w:ascii="Arial" w:hAnsi="Arial" w:cs="Arial"/>
        </w:rPr>
        <w:tab/>
        <w:t xml:space="preserve">In </w:t>
      </w:r>
      <w:r w:rsidRPr="00FC3150">
        <w:rPr>
          <w:rFonts w:ascii="Arial" w:hAnsi="Arial" w:cs="Arial"/>
          <w:i/>
        </w:rPr>
        <w:t>Brink NO and Another v Erongo All Sure Insurance CC and Others</w:t>
      </w:r>
      <w:r w:rsidRPr="00FC3150">
        <w:rPr>
          <w:rStyle w:val="FootnoteReference"/>
          <w:rFonts w:ascii="Arial" w:hAnsi="Arial" w:cs="Arial"/>
        </w:rPr>
        <w:footnoteReference w:id="13"/>
      </w:r>
      <w:r w:rsidRPr="00FC3150">
        <w:rPr>
          <w:rFonts w:ascii="Arial" w:hAnsi="Arial" w:cs="Arial"/>
        </w:rPr>
        <w:t xml:space="preserve"> Shivute CJ discussed the position regarding ‘no cause of action’ as follows: </w:t>
      </w:r>
    </w:p>
    <w:p w:rsidR="00FC3150" w:rsidRPr="00FC3150" w:rsidRDefault="00FC3150" w:rsidP="004A7C1D">
      <w:pPr>
        <w:spacing w:after="0" w:line="360" w:lineRule="auto"/>
        <w:jc w:val="both"/>
        <w:rPr>
          <w:rFonts w:ascii="Arial" w:hAnsi="Arial" w:cs="Arial"/>
        </w:rPr>
      </w:pPr>
    </w:p>
    <w:p w:rsidR="00FC3150" w:rsidRPr="00FC3150" w:rsidRDefault="00FC3150" w:rsidP="004A7C1D">
      <w:pPr>
        <w:spacing w:after="0" w:line="360" w:lineRule="auto"/>
        <w:ind w:firstLine="720"/>
        <w:jc w:val="both"/>
        <w:rPr>
          <w:rFonts w:ascii="Arial" w:hAnsi="Arial" w:cs="Arial"/>
        </w:rPr>
      </w:pPr>
      <w:r w:rsidRPr="00FC3150">
        <w:rPr>
          <w:rFonts w:ascii="Arial" w:hAnsi="Arial" w:cs="Arial"/>
        </w:rPr>
        <w:lastRenderedPageBreak/>
        <w:t>‘[52] The correct position of our law in the determination of whether the pleadings are excipiable on the ground that they lack sufficient averments to sustain a cause of action is illustrated through rule 45(5) of the Rules of the High Court and the principles developed through case law. The requirement of clear and concise statement of the material facts upon which the pleader relies for his claim is fundamental to alert the other party to the conduct complained of and to enable it to plead. This means that a pleader is only required to plead what is material. Facts that are not material need not be pleaded.</w:t>
      </w:r>
    </w:p>
    <w:p w:rsidR="00FC3150" w:rsidRPr="00FC3150" w:rsidRDefault="00FC3150" w:rsidP="004A7C1D">
      <w:pPr>
        <w:spacing w:after="0" w:line="360" w:lineRule="auto"/>
        <w:jc w:val="both"/>
        <w:rPr>
          <w:rFonts w:ascii="Arial" w:hAnsi="Arial" w:cs="Arial"/>
        </w:rPr>
      </w:pPr>
    </w:p>
    <w:p w:rsidR="00FC3150" w:rsidRPr="00FC3150" w:rsidRDefault="00FC3150" w:rsidP="004A7C1D">
      <w:pPr>
        <w:spacing w:after="0" w:line="360" w:lineRule="auto"/>
        <w:ind w:firstLine="720"/>
        <w:jc w:val="both"/>
        <w:rPr>
          <w:rFonts w:ascii="Arial" w:hAnsi="Arial" w:cs="Arial"/>
        </w:rPr>
      </w:pPr>
      <w:r w:rsidRPr="00FC3150">
        <w:rPr>
          <w:rFonts w:ascii="Arial" w:hAnsi="Arial" w:cs="Arial"/>
        </w:rPr>
        <w:t>[53]</w:t>
      </w:r>
      <w:r w:rsidR="00C202E1">
        <w:rPr>
          <w:rFonts w:ascii="Arial" w:hAnsi="Arial" w:cs="Arial"/>
        </w:rPr>
        <w:t xml:space="preserve">   </w:t>
      </w:r>
      <w:r w:rsidRPr="00FC3150">
        <w:rPr>
          <w:rFonts w:ascii="Arial" w:hAnsi="Arial" w:cs="Arial"/>
        </w:rPr>
        <w:t xml:space="preserve"> As stated above, this court adopted the definition of </w:t>
      </w:r>
      <w:r w:rsidR="000E56EE">
        <w:rPr>
          <w:rFonts w:ascii="Arial" w:hAnsi="Arial" w:cs="Arial"/>
        </w:rPr>
        <w:t>‘</w:t>
      </w:r>
      <w:r w:rsidR="000E56EE" w:rsidRPr="00FC3150">
        <w:rPr>
          <w:rFonts w:ascii="Arial" w:hAnsi="Arial" w:cs="Arial"/>
        </w:rPr>
        <w:t>cause</w:t>
      </w:r>
      <w:r w:rsidR="000E56EE">
        <w:rPr>
          <w:rFonts w:ascii="Arial" w:hAnsi="Arial" w:cs="Arial"/>
        </w:rPr>
        <w:t xml:space="preserve"> of action’</w:t>
      </w:r>
      <w:r w:rsidRPr="00FC3150">
        <w:rPr>
          <w:rFonts w:ascii="Arial" w:hAnsi="Arial" w:cs="Arial"/>
        </w:rPr>
        <w:t xml:space="preserve"> in </w:t>
      </w:r>
      <w:r w:rsidR="000E56EE">
        <w:rPr>
          <w:rFonts w:ascii="Arial" w:hAnsi="Arial" w:cs="Arial"/>
          <w:i/>
        </w:rPr>
        <w:t>McKenzie v Farmers’</w:t>
      </w:r>
      <w:r w:rsidRPr="00FC3150">
        <w:rPr>
          <w:rFonts w:ascii="Arial" w:hAnsi="Arial" w:cs="Arial"/>
          <w:i/>
        </w:rPr>
        <w:t xml:space="preserve"> Co-operative Meat Industries Ltd</w:t>
      </w:r>
      <w:r w:rsidRPr="00FC3150">
        <w:rPr>
          <w:rFonts w:ascii="Arial" w:hAnsi="Arial" w:cs="Arial"/>
        </w:rPr>
        <w:t xml:space="preserve">, to determine whether the particulars of claim meet the criteria as stated by the then South African Appellate Division. Paragraphs 9 to 12 of the particulars of claim in this matter appear to me to contain material facts sufficient to disclose a cause of action. On this point, I agree with counsel for the appellants that the pleadings disclosed the </w:t>
      </w:r>
      <w:r w:rsidRPr="00FC3150">
        <w:rPr>
          <w:rFonts w:ascii="Arial" w:hAnsi="Arial" w:cs="Arial"/>
          <w:i/>
        </w:rPr>
        <w:t>facta probanda</w:t>
      </w:r>
      <w:r w:rsidRPr="00FC3150">
        <w:rPr>
          <w:rFonts w:ascii="Arial" w:hAnsi="Arial" w:cs="Arial"/>
        </w:rPr>
        <w:t>. It seems to me that counsel for the first respondent was asking for more than what is required by rule 45(5). It is therefore necessary to emphasise that the requirement of clear and concise statement of material facts relied on would be met if the pleader discloses only material facts necessary to be proved and not every fact.</w:t>
      </w:r>
    </w:p>
    <w:p w:rsidR="00FC3150" w:rsidRPr="00FC3150" w:rsidRDefault="00FC3150" w:rsidP="004A7C1D">
      <w:pPr>
        <w:spacing w:after="0" w:line="360" w:lineRule="auto"/>
        <w:jc w:val="both"/>
        <w:rPr>
          <w:rFonts w:ascii="Arial" w:hAnsi="Arial" w:cs="Arial"/>
        </w:rPr>
      </w:pPr>
    </w:p>
    <w:p w:rsidR="00FC3150" w:rsidRPr="00FC3150" w:rsidRDefault="00FC3150" w:rsidP="004A7C1D">
      <w:pPr>
        <w:spacing w:after="0" w:line="360" w:lineRule="auto"/>
        <w:ind w:firstLine="720"/>
        <w:jc w:val="both"/>
        <w:rPr>
          <w:rFonts w:ascii="Arial" w:hAnsi="Arial" w:cs="Arial"/>
        </w:rPr>
      </w:pPr>
      <w:r w:rsidRPr="00FC3150">
        <w:rPr>
          <w:rFonts w:ascii="Arial" w:hAnsi="Arial" w:cs="Arial"/>
        </w:rPr>
        <w:t xml:space="preserve">[54] </w:t>
      </w:r>
      <w:r w:rsidR="00C202E1">
        <w:rPr>
          <w:rFonts w:ascii="Arial" w:hAnsi="Arial" w:cs="Arial"/>
        </w:rPr>
        <w:t xml:space="preserve">  </w:t>
      </w:r>
      <w:r w:rsidRPr="00FC3150">
        <w:rPr>
          <w:rFonts w:ascii="Arial" w:hAnsi="Arial" w:cs="Arial"/>
        </w:rPr>
        <w:t xml:space="preserve">As noted in [16] above, the approach to be followed in the determination of exceptions taken on the ground that no cause of action is disclosed was recently restated by this court. However, it is necessary to emphasise that it is incumbent upon an excipient to persuade the court that upon every interpretation which the pleading can reasonably bear, no cause of action </w:t>
      </w:r>
      <w:r w:rsidR="00C202E1">
        <w:rPr>
          <w:rFonts w:ascii="Arial" w:hAnsi="Arial" w:cs="Arial"/>
        </w:rPr>
        <w:t>is disclosed.</w:t>
      </w:r>
      <w:r>
        <w:rPr>
          <w:rFonts w:ascii="Arial" w:hAnsi="Arial" w:cs="Arial"/>
        </w:rPr>
        <w:t>”</w:t>
      </w:r>
    </w:p>
    <w:p w:rsidR="00FC3150" w:rsidRPr="00FC3150" w:rsidRDefault="00FC3150" w:rsidP="004A7C1D">
      <w:pPr>
        <w:spacing w:after="0" w:line="360" w:lineRule="auto"/>
        <w:jc w:val="both"/>
        <w:rPr>
          <w:rFonts w:ascii="Arial" w:hAnsi="Arial" w:cs="Arial"/>
        </w:rPr>
      </w:pPr>
    </w:p>
    <w:p w:rsidR="00C202E1" w:rsidRDefault="005D7B68" w:rsidP="004A7C1D">
      <w:pPr>
        <w:spacing w:after="0" w:line="360" w:lineRule="auto"/>
        <w:jc w:val="both"/>
        <w:rPr>
          <w:rFonts w:ascii="Arial" w:hAnsi="Arial" w:cs="Arial"/>
          <w:sz w:val="24"/>
          <w:szCs w:val="24"/>
          <w:u w:val="single"/>
        </w:rPr>
      </w:pPr>
      <w:r w:rsidRPr="005D7B68">
        <w:rPr>
          <w:rFonts w:ascii="Arial" w:hAnsi="Arial" w:cs="Arial"/>
          <w:sz w:val="24"/>
          <w:szCs w:val="24"/>
          <w:u w:val="single"/>
        </w:rPr>
        <w:t xml:space="preserve">Application </w:t>
      </w:r>
      <w:r w:rsidR="00912EB5">
        <w:rPr>
          <w:rFonts w:ascii="Arial" w:hAnsi="Arial" w:cs="Arial"/>
          <w:sz w:val="24"/>
          <w:szCs w:val="24"/>
          <w:u w:val="single"/>
        </w:rPr>
        <w:t>to</w:t>
      </w:r>
      <w:r w:rsidRPr="005D7B68">
        <w:rPr>
          <w:rFonts w:ascii="Arial" w:hAnsi="Arial" w:cs="Arial"/>
          <w:sz w:val="24"/>
          <w:szCs w:val="24"/>
          <w:u w:val="single"/>
        </w:rPr>
        <w:t xml:space="preserve"> the facts</w:t>
      </w:r>
    </w:p>
    <w:p w:rsidR="00221E5F" w:rsidRDefault="00221E5F" w:rsidP="004A7C1D">
      <w:pPr>
        <w:spacing w:after="0" w:line="360" w:lineRule="auto"/>
        <w:jc w:val="both"/>
        <w:rPr>
          <w:rFonts w:ascii="Arial" w:hAnsi="Arial" w:cs="Arial"/>
          <w:sz w:val="24"/>
          <w:szCs w:val="24"/>
          <w:u w:val="single"/>
        </w:rPr>
      </w:pPr>
    </w:p>
    <w:p w:rsidR="0008692B" w:rsidRPr="0008692B" w:rsidRDefault="008B771B" w:rsidP="004A7C1D">
      <w:pPr>
        <w:pStyle w:val="ListParagraph"/>
        <w:numPr>
          <w:ilvl w:val="0"/>
          <w:numId w:val="4"/>
        </w:numPr>
        <w:spacing w:after="0" w:line="360" w:lineRule="auto"/>
        <w:jc w:val="both"/>
        <w:rPr>
          <w:rFonts w:ascii="Arial" w:hAnsi="Arial" w:cs="Arial"/>
          <w:i/>
          <w:sz w:val="24"/>
          <w:szCs w:val="24"/>
        </w:rPr>
      </w:pPr>
      <w:r w:rsidRPr="00F7288D">
        <w:rPr>
          <w:rFonts w:ascii="Arial" w:hAnsi="Arial" w:cs="Arial"/>
          <w:i/>
          <w:sz w:val="24"/>
          <w:szCs w:val="24"/>
        </w:rPr>
        <w:t>First ground of exception</w:t>
      </w:r>
    </w:p>
    <w:p w:rsidR="004F1120" w:rsidRDefault="008B771B" w:rsidP="004A7C1D">
      <w:pPr>
        <w:spacing w:after="0" w:line="360" w:lineRule="auto"/>
        <w:jc w:val="both"/>
        <w:rPr>
          <w:rFonts w:ascii="Arial" w:hAnsi="Arial" w:cs="Arial"/>
          <w:sz w:val="24"/>
          <w:szCs w:val="24"/>
        </w:rPr>
      </w:pPr>
      <w:r>
        <w:rPr>
          <w:rFonts w:ascii="Arial" w:hAnsi="Arial" w:cs="Arial"/>
          <w:sz w:val="24"/>
          <w:szCs w:val="24"/>
        </w:rPr>
        <w:t>[</w:t>
      </w:r>
      <w:r w:rsidR="002B565D">
        <w:rPr>
          <w:rFonts w:ascii="Arial" w:hAnsi="Arial" w:cs="Arial"/>
          <w:sz w:val="24"/>
          <w:szCs w:val="24"/>
        </w:rPr>
        <w:t>35</w:t>
      </w:r>
      <w:r>
        <w:rPr>
          <w:rFonts w:ascii="Arial" w:hAnsi="Arial" w:cs="Arial"/>
          <w:sz w:val="24"/>
          <w:szCs w:val="24"/>
        </w:rPr>
        <w:t>]</w:t>
      </w:r>
      <w:r>
        <w:rPr>
          <w:rFonts w:ascii="Arial" w:hAnsi="Arial" w:cs="Arial"/>
          <w:sz w:val="24"/>
          <w:szCs w:val="24"/>
        </w:rPr>
        <w:tab/>
        <w:t xml:space="preserve">It is common cause that the plaintiffs were never notified </w:t>
      </w:r>
      <w:r w:rsidR="00B45BEF">
        <w:rPr>
          <w:rFonts w:ascii="Arial" w:hAnsi="Arial" w:cs="Arial"/>
          <w:sz w:val="24"/>
          <w:szCs w:val="24"/>
        </w:rPr>
        <w:t>n</w:t>
      </w:r>
      <w:r>
        <w:rPr>
          <w:rFonts w:ascii="Arial" w:hAnsi="Arial" w:cs="Arial"/>
          <w:sz w:val="24"/>
          <w:szCs w:val="24"/>
        </w:rPr>
        <w:t>eithe</w:t>
      </w:r>
      <w:r w:rsidRPr="00F85CA7">
        <w:rPr>
          <w:rFonts w:ascii="Arial" w:hAnsi="Arial" w:cs="Arial"/>
          <w:sz w:val="24"/>
          <w:szCs w:val="24"/>
        </w:rPr>
        <w:t xml:space="preserve">r </w:t>
      </w:r>
      <w:r w:rsidR="00C202E1" w:rsidRPr="00F85CA7">
        <w:rPr>
          <w:rFonts w:ascii="Arial" w:hAnsi="Arial" w:cs="Arial"/>
          <w:sz w:val="24"/>
          <w:szCs w:val="24"/>
        </w:rPr>
        <w:t xml:space="preserve">in terms </w:t>
      </w:r>
      <w:r>
        <w:rPr>
          <w:rFonts w:ascii="Arial" w:hAnsi="Arial" w:cs="Arial"/>
          <w:sz w:val="24"/>
          <w:szCs w:val="24"/>
        </w:rPr>
        <w:t xml:space="preserve">of the </w:t>
      </w:r>
      <w:r w:rsidR="00B45BEF">
        <w:rPr>
          <w:rFonts w:ascii="Arial" w:hAnsi="Arial" w:cs="Arial"/>
          <w:sz w:val="24"/>
          <w:szCs w:val="24"/>
        </w:rPr>
        <w:t xml:space="preserve">repealed Tender Board Act nor in terms of the Public Procurement Act. If one </w:t>
      </w:r>
      <w:r w:rsidR="00C202E1" w:rsidRPr="0001065E">
        <w:rPr>
          <w:rFonts w:ascii="Arial" w:hAnsi="Arial" w:cs="Arial"/>
          <w:sz w:val="24"/>
          <w:szCs w:val="24"/>
        </w:rPr>
        <w:t xml:space="preserve">has </w:t>
      </w:r>
      <w:r w:rsidR="00B45BEF">
        <w:rPr>
          <w:rFonts w:ascii="Arial" w:hAnsi="Arial" w:cs="Arial"/>
          <w:sz w:val="24"/>
          <w:szCs w:val="24"/>
        </w:rPr>
        <w:t xml:space="preserve">regard to the operative sections of the respective Acts the mode of </w:t>
      </w:r>
      <w:r w:rsidR="008B399F">
        <w:rPr>
          <w:rFonts w:ascii="Arial" w:hAnsi="Arial" w:cs="Arial"/>
          <w:sz w:val="24"/>
          <w:szCs w:val="24"/>
        </w:rPr>
        <w:t xml:space="preserve">bid </w:t>
      </w:r>
      <w:r w:rsidR="00B45BEF">
        <w:rPr>
          <w:rFonts w:ascii="Arial" w:hAnsi="Arial" w:cs="Arial"/>
          <w:sz w:val="24"/>
          <w:szCs w:val="24"/>
        </w:rPr>
        <w:t>acceptance is</w:t>
      </w:r>
      <w:r w:rsidR="008A2B3B">
        <w:rPr>
          <w:rFonts w:ascii="Arial" w:hAnsi="Arial" w:cs="Arial"/>
          <w:sz w:val="24"/>
          <w:szCs w:val="24"/>
        </w:rPr>
        <w:t xml:space="preserve"> clearly </w:t>
      </w:r>
      <w:r w:rsidR="008B399F">
        <w:rPr>
          <w:rFonts w:ascii="Arial" w:hAnsi="Arial" w:cs="Arial"/>
          <w:sz w:val="24"/>
          <w:szCs w:val="24"/>
        </w:rPr>
        <w:t xml:space="preserve">prescribed. S. 16(2)(a) of the repealed Act provided that where in terms of a title of a tender a written agreement is required to conclude after the acceptance of the tender within 30 days from the date on which the tenderer was notified in terms of s. 16(1)(a) of the Act.  Where in terms of a title of a tender </w:t>
      </w:r>
      <w:r w:rsidR="00EC3F90">
        <w:rPr>
          <w:rFonts w:ascii="Arial" w:hAnsi="Arial" w:cs="Arial"/>
          <w:sz w:val="24"/>
          <w:szCs w:val="24"/>
        </w:rPr>
        <w:t>a written agreement is required it would appear that the procurement agreement only come</w:t>
      </w:r>
      <w:r w:rsidR="004F1120">
        <w:rPr>
          <w:rFonts w:ascii="Arial" w:hAnsi="Arial" w:cs="Arial"/>
          <w:sz w:val="24"/>
          <w:szCs w:val="24"/>
        </w:rPr>
        <w:t>s</w:t>
      </w:r>
      <w:r w:rsidR="00EC3F90">
        <w:rPr>
          <w:rFonts w:ascii="Arial" w:hAnsi="Arial" w:cs="Arial"/>
          <w:sz w:val="24"/>
          <w:szCs w:val="24"/>
        </w:rPr>
        <w:t xml:space="preserve"> into force on the date that the Tender Board and tenderer entered into the required agreement within the </w:t>
      </w:r>
      <w:r w:rsidR="00EC3F90">
        <w:rPr>
          <w:rFonts w:ascii="Arial" w:hAnsi="Arial" w:cs="Arial"/>
          <w:sz w:val="24"/>
          <w:szCs w:val="24"/>
        </w:rPr>
        <w:lastRenderedPageBreak/>
        <w:t xml:space="preserve">prescribed 30 day period. </w:t>
      </w:r>
      <w:r w:rsidR="00736F6B">
        <w:rPr>
          <w:rFonts w:ascii="Arial" w:hAnsi="Arial" w:cs="Arial"/>
          <w:sz w:val="24"/>
          <w:szCs w:val="24"/>
        </w:rPr>
        <w:t>Altern</w:t>
      </w:r>
      <w:r w:rsidR="00E11A2E">
        <w:rPr>
          <w:rFonts w:ascii="Arial" w:hAnsi="Arial" w:cs="Arial"/>
          <w:sz w:val="24"/>
          <w:szCs w:val="24"/>
        </w:rPr>
        <w:t xml:space="preserve">atively, in terms of s 16(2)(b), where in terms of a tender a written agreement is not required to be concluded, the tender agreement would come into force on the date on which the tenderer concerned was notified in terms of s 16(1)(a) of the Act of the acceptance of the tender. </w:t>
      </w:r>
    </w:p>
    <w:p w:rsidR="0008692B" w:rsidRDefault="0008692B" w:rsidP="004A7C1D">
      <w:pPr>
        <w:spacing w:after="0" w:line="360" w:lineRule="auto"/>
        <w:jc w:val="both"/>
        <w:rPr>
          <w:rFonts w:ascii="Arial" w:hAnsi="Arial" w:cs="Arial"/>
          <w:sz w:val="24"/>
          <w:szCs w:val="24"/>
        </w:rPr>
      </w:pPr>
    </w:p>
    <w:p w:rsidR="004F1120" w:rsidRDefault="00EC3F90" w:rsidP="004A7C1D">
      <w:pPr>
        <w:spacing w:after="0" w:line="360" w:lineRule="auto"/>
        <w:jc w:val="both"/>
        <w:rPr>
          <w:rFonts w:ascii="Arial" w:hAnsi="Arial" w:cs="Arial"/>
          <w:sz w:val="24"/>
          <w:szCs w:val="24"/>
        </w:rPr>
      </w:pPr>
      <w:r>
        <w:rPr>
          <w:rFonts w:ascii="Arial" w:hAnsi="Arial" w:cs="Arial"/>
          <w:sz w:val="24"/>
          <w:szCs w:val="24"/>
        </w:rPr>
        <w:t>[</w:t>
      </w:r>
      <w:r w:rsidR="002B565D">
        <w:rPr>
          <w:rFonts w:ascii="Arial" w:hAnsi="Arial" w:cs="Arial"/>
          <w:sz w:val="24"/>
          <w:szCs w:val="24"/>
        </w:rPr>
        <w:t>36</w:t>
      </w:r>
      <w:r>
        <w:rPr>
          <w:rFonts w:ascii="Arial" w:hAnsi="Arial" w:cs="Arial"/>
          <w:sz w:val="24"/>
          <w:szCs w:val="24"/>
        </w:rPr>
        <w:t xml:space="preserve">] </w:t>
      </w:r>
      <w:r>
        <w:rPr>
          <w:rFonts w:ascii="Arial" w:hAnsi="Arial" w:cs="Arial"/>
          <w:sz w:val="24"/>
          <w:szCs w:val="24"/>
        </w:rPr>
        <w:tab/>
      </w:r>
      <w:r w:rsidR="00E11A2E">
        <w:rPr>
          <w:rFonts w:ascii="Arial" w:hAnsi="Arial" w:cs="Arial"/>
          <w:sz w:val="24"/>
          <w:szCs w:val="24"/>
        </w:rPr>
        <w:t>It is not clear from the particulars of claim whether s 16(2</w:t>
      </w:r>
      <w:r w:rsidR="004F1120">
        <w:rPr>
          <w:rFonts w:ascii="Arial" w:hAnsi="Arial" w:cs="Arial"/>
          <w:sz w:val="24"/>
          <w:szCs w:val="24"/>
        </w:rPr>
        <w:t>) (</w:t>
      </w:r>
      <w:r w:rsidR="00E11A2E">
        <w:rPr>
          <w:rFonts w:ascii="Arial" w:hAnsi="Arial" w:cs="Arial"/>
          <w:sz w:val="24"/>
          <w:szCs w:val="24"/>
        </w:rPr>
        <w:t>a) or (b) is applicable but either way n</w:t>
      </w:r>
      <w:r>
        <w:rPr>
          <w:rFonts w:ascii="Arial" w:hAnsi="Arial" w:cs="Arial"/>
          <w:sz w:val="24"/>
          <w:szCs w:val="24"/>
        </w:rPr>
        <w:t xml:space="preserve">one of the requirements set out in s 16 </w:t>
      </w:r>
      <w:r w:rsidR="00736F6B">
        <w:rPr>
          <w:rFonts w:ascii="Arial" w:hAnsi="Arial" w:cs="Arial"/>
          <w:sz w:val="24"/>
          <w:szCs w:val="24"/>
        </w:rPr>
        <w:t xml:space="preserve">(or s 55 of the Public Procurement Act) </w:t>
      </w:r>
      <w:r>
        <w:rPr>
          <w:rFonts w:ascii="Arial" w:hAnsi="Arial" w:cs="Arial"/>
          <w:sz w:val="24"/>
          <w:szCs w:val="24"/>
        </w:rPr>
        <w:t>were complied with</w:t>
      </w:r>
      <w:r w:rsidR="003875C9">
        <w:rPr>
          <w:rFonts w:ascii="Arial" w:hAnsi="Arial" w:cs="Arial"/>
          <w:sz w:val="24"/>
          <w:szCs w:val="24"/>
        </w:rPr>
        <w:t>.</w:t>
      </w:r>
      <w:r w:rsidR="003A666F">
        <w:rPr>
          <w:rFonts w:ascii="Arial" w:hAnsi="Arial" w:cs="Arial"/>
          <w:sz w:val="24"/>
          <w:szCs w:val="24"/>
        </w:rPr>
        <w:t xml:space="preserve"> In other words, the trigger event that is required for a binding and enforceable agreement did not occur. </w:t>
      </w:r>
      <w:r w:rsidR="00694AC8">
        <w:rPr>
          <w:rFonts w:ascii="Arial" w:hAnsi="Arial" w:cs="Arial"/>
          <w:sz w:val="24"/>
          <w:szCs w:val="24"/>
        </w:rPr>
        <w:t>I agree with Mr Namandje that the plaintiffs did not plead that there was an acceptance of their bids and a successful tender, which resulted in a binding and enforceable procurement contract</w:t>
      </w:r>
      <w:r w:rsidR="00736F6B">
        <w:rPr>
          <w:rFonts w:ascii="Arial" w:hAnsi="Arial" w:cs="Arial"/>
          <w:sz w:val="24"/>
          <w:szCs w:val="24"/>
        </w:rPr>
        <w:t>, which causes its particulars of claim to be excipiable.</w:t>
      </w:r>
      <w:r w:rsidR="00694AC8">
        <w:rPr>
          <w:rFonts w:ascii="Arial" w:hAnsi="Arial" w:cs="Arial"/>
          <w:sz w:val="24"/>
          <w:szCs w:val="24"/>
        </w:rPr>
        <w:t xml:space="preserve"> </w:t>
      </w:r>
    </w:p>
    <w:p w:rsidR="00221E5F" w:rsidRDefault="00221E5F" w:rsidP="004A7C1D">
      <w:pPr>
        <w:spacing w:after="0" w:line="360" w:lineRule="auto"/>
        <w:jc w:val="both"/>
        <w:rPr>
          <w:rFonts w:ascii="Arial" w:hAnsi="Arial" w:cs="Arial"/>
          <w:sz w:val="24"/>
          <w:szCs w:val="24"/>
        </w:rPr>
      </w:pPr>
    </w:p>
    <w:p w:rsidR="004F1120" w:rsidRDefault="003875C9" w:rsidP="004A7C1D">
      <w:pPr>
        <w:spacing w:after="0" w:line="360" w:lineRule="auto"/>
        <w:jc w:val="both"/>
        <w:rPr>
          <w:rFonts w:ascii="Arial" w:hAnsi="Arial" w:cs="Arial"/>
          <w:sz w:val="24"/>
          <w:szCs w:val="24"/>
        </w:rPr>
      </w:pPr>
      <w:r>
        <w:rPr>
          <w:rFonts w:ascii="Arial" w:hAnsi="Arial" w:cs="Arial"/>
          <w:sz w:val="24"/>
          <w:szCs w:val="24"/>
        </w:rPr>
        <w:t>[</w:t>
      </w:r>
      <w:r w:rsidR="002B565D">
        <w:rPr>
          <w:rFonts w:ascii="Arial" w:hAnsi="Arial" w:cs="Arial"/>
          <w:sz w:val="24"/>
          <w:szCs w:val="24"/>
        </w:rPr>
        <w:t>37</w:t>
      </w:r>
      <w:r>
        <w:rPr>
          <w:rFonts w:ascii="Arial" w:hAnsi="Arial" w:cs="Arial"/>
          <w:sz w:val="24"/>
          <w:szCs w:val="24"/>
        </w:rPr>
        <w:t>]</w:t>
      </w:r>
      <w:r>
        <w:rPr>
          <w:rFonts w:ascii="Arial" w:hAnsi="Arial" w:cs="Arial"/>
          <w:sz w:val="24"/>
          <w:szCs w:val="24"/>
        </w:rPr>
        <w:tab/>
      </w:r>
      <w:r w:rsidR="003A666F">
        <w:rPr>
          <w:rFonts w:ascii="Arial" w:hAnsi="Arial" w:cs="Arial"/>
          <w:sz w:val="24"/>
          <w:szCs w:val="24"/>
        </w:rPr>
        <w:t>T</w:t>
      </w:r>
      <w:r>
        <w:rPr>
          <w:rFonts w:ascii="Arial" w:hAnsi="Arial" w:cs="Arial"/>
          <w:sz w:val="24"/>
          <w:szCs w:val="24"/>
        </w:rPr>
        <w:t xml:space="preserve">he Supreme Court </w:t>
      </w:r>
      <w:r w:rsidR="003A666F">
        <w:rPr>
          <w:rFonts w:ascii="Arial" w:hAnsi="Arial" w:cs="Arial"/>
          <w:sz w:val="24"/>
          <w:szCs w:val="24"/>
        </w:rPr>
        <w:t>in deciding the appeal declined to make a mandatory order for the parties to ente</w:t>
      </w:r>
      <w:r w:rsidR="004F1120">
        <w:rPr>
          <w:rFonts w:ascii="Arial" w:hAnsi="Arial" w:cs="Arial"/>
          <w:sz w:val="24"/>
          <w:szCs w:val="24"/>
        </w:rPr>
        <w:t xml:space="preserve">r into an agreement but simply </w:t>
      </w:r>
      <w:r w:rsidR="003A666F">
        <w:rPr>
          <w:rFonts w:ascii="Arial" w:hAnsi="Arial" w:cs="Arial"/>
          <w:sz w:val="24"/>
          <w:szCs w:val="24"/>
        </w:rPr>
        <w:t>refer</w:t>
      </w:r>
      <w:r w:rsidR="004F1120" w:rsidRPr="0001065E">
        <w:rPr>
          <w:rFonts w:ascii="Arial" w:hAnsi="Arial" w:cs="Arial"/>
          <w:sz w:val="24"/>
          <w:szCs w:val="24"/>
        </w:rPr>
        <w:t>red</w:t>
      </w:r>
      <w:r w:rsidR="003A666F">
        <w:rPr>
          <w:rFonts w:ascii="Arial" w:hAnsi="Arial" w:cs="Arial"/>
          <w:sz w:val="24"/>
          <w:szCs w:val="24"/>
        </w:rPr>
        <w:t xml:space="preserve"> the matter back to the Tender Board </w:t>
      </w:r>
      <w:r w:rsidR="00736F6B">
        <w:rPr>
          <w:rFonts w:ascii="Arial" w:hAnsi="Arial" w:cs="Arial"/>
          <w:sz w:val="24"/>
          <w:szCs w:val="24"/>
        </w:rPr>
        <w:t>or its successor, the</w:t>
      </w:r>
      <w:r w:rsidR="003A666F">
        <w:rPr>
          <w:rFonts w:ascii="Arial" w:hAnsi="Arial" w:cs="Arial"/>
          <w:sz w:val="24"/>
          <w:szCs w:val="24"/>
        </w:rPr>
        <w:t xml:space="preserve"> </w:t>
      </w:r>
      <w:r w:rsidR="00694AC8">
        <w:rPr>
          <w:rFonts w:ascii="Arial" w:hAnsi="Arial" w:cs="Arial"/>
          <w:sz w:val="24"/>
          <w:szCs w:val="24"/>
        </w:rPr>
        <w:t>Central Public Procurement Board (the ‘Board’)</w:t>
      </w:r>
      <w:r w:rsidR="003A666F">
        <w:rPr>
          <w:rFonts w:ascii="Arial" w:hAnsi="Arial" w:cs="Arial"/>
          <w:sz w:val="24"/>
          <w:szCs w:val="24"/>
        </w:rPr>
        <w:t>, to reconsider and make a decision.</w:t>
      </w:r>
    </w:p>
    <w:p w:rsidR="00221E5F" w:rsidRDefault="00221E5F" w:rsidP="004A7C1D">
      <w:pPr>
        <w:spacing w:after="0" w:line="360" w:lineRule="auto"/>
        <w:jc w:val="both"/>
        <w:rPr>
          <w:rFonts w:ascii="Arial" w:hAnsi="Arial" w:cs="Arial"/>
          <w:sz w:val="24"/>
          <w:szCs w:val="24"/>
        </w:rPr>
      </w:pPr>
    </w:p>
    <w:p w:rsidR="0008692B" w:rsidRDefault="003A666F" w:rsidP="004A7C1D">
      <w:pPr>
        <w:spacing w:after="0" w:line="360" w:lineRule="auto"/>
        <w:jc w:val="both"/>
        <w:rPr>
          <w:rFonts w:ascii="Arial" w:hAnsi="Arial" w:cs="Arial"/>
          <w:sz w:val="24"/>
          <w:szCs w:val="24"/>
        </w:rPr>
      </w:pPr>
      <w:r>
        <w:rPr>
          <w:rFonts w:ascii="Arial" w:hAnsi="Arial" w:cs="Arial"/>
          <w:sz w:val="24"/>
          <w:szCs w:val="24"/>
        </w:rPr>
        <w:t>[</w:t>
      </w:r>
      <w:r w:rsidR="002B565D">
        <w:rPr>
          <w:rFonts w:ascii="Arial" w:hAnsi="Arial" w:cs="Arial"/>
          <w:sz w:val="24"/>
          <w:szCs w:val="24"/>
        </w:rPr>
        <w:t>38</w:t>
      </w:r>
      <w:r>
        <w:rPr>
          <w:rFonts w:ascii="Arial" w:hAnsi="Arial" w:cs="Arial"/>
          <w:sz w:val="24"/>
          <w:szCs w:val="24"/>
        </w:rPr>
        <w:t>]</w:t>
      </w:r>
      <w:r>
        <w:rPr>
          <w:rFonts w:ascii="Arial" w:hAnsi="Arial" w:cs="Arial"/>
          <w:sz w:val="24"/>
          <w:szCs w:val="24"/>
        </w:rPr>
        <w:tab/>
        <w:t xml:space="preserve">The plaintiffs do not plead if the matter was reconsidered or what the result was of the referral back to the </w:t>
      </w:r>
      <w:r w:rsidR="00F7288D">
        <w:rPr>
          <w:rFonts w:ascii="Arial" w:hAnsi="Arial" w:cs="Arial"/>
          <w:sz w:val="24"/>
          <w:szCs w:val="24"/>
        </w:rPr>
        <w:t>Board</w:t>
      </w:r>
      <w:r w:rsidR="00CB734F">
        <w:rPr>
          <w:rFonts w:ascii="Arial" w:hAnsi="Arial" w:cs="Arial"/>
          <w:sz w:val="24"/>
          <w:szCs w:val="24"/>
        </w:rPr>
        <w:t>. I find it interesting that the plaintiffs do not plead what the outcome of the referral back to the Board was. Although not pleaded by any of the parties it would appear that the tender period was about to run out</w:t>
      </w:r>
      <w:r w:rsidR="00694AC8">
        <w:rPr>
          <w:rFonts w:ascii="Arial" w:hAnsi="Arial" w:cs="Arial"/>
          <w:sz w:val="24"/>
          <w:szCs w:val="24"/>
        </w:rPr>
        <w:t xml:space="preserve"> at the time of Supreme Court judgment</w:t>
      </w:r>
      <w:r w:rsidR="00CB734F">
        <w:rPr>
          <w:rFonts w:ascii="Arial" w:hAnsi="Arial" w:cs="Arial"/>
          <w:sz w:val="24"/>
          <w:szCs w:val="24"/>
        </w:rPr>
        <w:t xml:space="preserve"> but the Board had the discretion to make </w:t>
      </w:r>
      <w:r w:rsidR="00694AC8">
        <w:rPr>
          <w:rFonts w:ascii="Arial" w:hAnsi="Arial" w:cs="Arial"/>
          <w:sz w:val="24"/>
          <w:szCs w:val="24"/>
        </w:rPr>
        <w:t xml:space="preserve">one of </w:t>
      </w:r>
      <w:r w:rsidR="00CB734F">
        <w:rPr>
          <w:rFonts w:ascii="Arial" w:hAnsi="Arial" w:cs="Arial"/>
          <w:sz w:val="24"/>
          <w:szCs w:val="24"/>
        </w:rPr>
        <w:t>a numbers of decisions that would be just and equitable under the circumstance</w:t>
      </w:r>
      <w:r w:rsidR="00694AC8">
        <w:rPr>
          <w:rFonts w:ascii="Arial" w:hAnsi="Arial" w:cs="Arial"/>
          <w:sz w:val="24"/>
          <w:szCs w:val="24"/>
        </w:rPr>
        <w:t xml:space="preserve">. It is not clear if the plaintiffs </w:t>
      </w:r>
      <w:r w:rsidR="00736F6B">
        <w:rPr>
          <w:rFonts w:ascii="Arial" w:hAnsi="Arial" w:cs="Arial"/>
          <w:sz w:val="24"/>
          <w:szCs w:val="24"/>
        </w:rPr>
        <w:t xml:space="preserve">indeed </w:t>
      </w:r>
      <w:r w:rsidR="00694AC8">
        <w:rPr>
          <w:rFonts w:ascii="Arial" w:hAnsi="Arial" w:cs="Arial"/>
          <w:sz w:val="24"/>
          <w:szCs w:val="24"/>
        </w:rPr>
        <w:t>return</w:t>
      </w:r>
      <w:r w:rsidR="00736F6B">
        <w:rPr>
          <w:rFonts w:ascii="Arial" w:hAnsi="Arial" w:cs="Arial"/>
          <w:sz w:val="24"/>
          <w:szCs w:val="24"/>
        </w:rPr>
        <w:t>ed</w:t>
      </w:r>
      <w:r w:rsidR="00694AC8">
        <w:rPr>
          <w:rFonts w:ascii="Arial" w:hAnsi="Arial" w:cs="Arial"/>
          <w:sz w:val="24"/>
          <w:szCs w:val="24"/>
        </w:rPr>
        <w:t xml:space="preserve"> to the Board as directed by the Supreme Court and they elected to litigate without following the route as directed. </w:t>
      </w:r>
      <w:r w:rsidR="00CB734F">
        <w:rPr>
          <w:rFonts w:ascii="Arial" w:hAnsi="Arial" w:cs="Arial"/>
          <w:sz w:val="24"/>
          <w:szCs w:val="24"/>
        </w:rPr>
        <w:t xml:space="preserve"> </w:t>
      </w:r>
    </w:p>
    <w:p w:rsidR="00221E5F" w:rsidRPr="008B771B" w:rsidRDefault="00221E5F" w:rsidP="004A7C1D">
      <w:pPr>
        <w:spacing w:after="0" w:line="360" w:lineRule="auto"/>
        <w:jc w:val="both"/>
        <w:rPr>
          <w:rFonts w:ascii="Arial" w:hAnsi="Arial" w:cs="Arial"/>
          <w:sz w:val="24"/>
          <w:szCs w:val="24"/>
        </w:rPr>
      </w:pPr>
      <w:r>
        <w:rPr>
          <w:rFonts w:ascii="Arial" w:hAnsi="Arial" w:cs="Arial"/>
          <w:sz w:val="24"/>
          <w:szCs w:val="24"/>
        </w:rPr>
        <w:t xml:space="preserve"> </w:t>
      </w:r>
    </w:p>
    <w:p w:rsidR="004F1120" w:rsidRDefault="008B771B" w:rsidP="004A7C1D">
      <w:pPr>
        <w:pStyle w:val="ListParagraph"/>
        <w:numPr>
          <w:ilvl w:val="0"/>
          <w:numId w:val="4"/>
        </w:numPr>
        <w:spacing w:after="0" w:line="360" w:lineRule="auto"/>
        <w:jc w:val="both"/>
        <w:rPr>
          <w:rFonts w:ascii="Arial" w:hAnsi="Arial" w:cs="Arial"/>
          <w:i/>
          <w:sz w:val="24"/>
          <w:szCs w:val="24"/>
        </w:rPr>
      </w:pPr>
      <w:r w:rsidRPr="00F7288D">
        <w:rPr>
          <w:rFonts w:ascii="Arial" w:hAnsi="Arial" w:cs="Arial"/>
          <w:i/>
          <w:sz w:val="24"/>
          <w:szCs w:val="24"/>
        </w:rPr>
        <w:t>Second ground of exception</w:t>
      </w:r>
    </w:p>
    <w:p w:rsidR="00221E5F" w:rsidRPr="00221E5F" w:rsidRDefault="00221E5F" w:rsidP="004A7C1D">
      <w:pPr>
        <w:spacing w:after="0" w:line="360" w:lineRule="auto"/>
        <w:jc w:val="both"/>
        <w:rPr>
          <w:rFonts w:ascii="Arial" w:hAnsi="Arial" w:cs="Arial"/>
          <w:i/>
          <w:sz w:val="24"/>
          <w:szCs w:val="24"/>
        </w:rPr>
      </w:pPr>
    </w:p>
    <w:p w:rsidR="00CB0839" w:rsidRDefault="005D7B68" w:rsidP="004A7C1D">
      <w:pPr>
        <w:spacing w:after="0" w:line="360" w:lineRule="auto"/>
        <w:jc w:val="both"/>
        <w:rPr>
          <w:rFonts w:ascii="Arial" w:hAnsi="Arial" w:cs="Arial"/>
          <w:sz w:val="24"/>
          <w:szCs w:val="24"/>
        </w:rPr>
      </w:pPr>
      <w:r w:rsidRPr="005D7B68">
        <w:rPr>
          <w:rFonts w:ascii="Arial" w:hAnsi="Arial" w:cs="Arial"/>
          <w:sz w:val="24"/>
          <w:szCs w:val="24"/>
        </w:rPr>
        <w:t>[</w:t>
      </w:r>
      <w:r w:rsidR="002B565D">
        <w:rPr>
          <w:rFonts w:ascii="Arial" w:hAnsi="Arial" w:cs="Arial"/>
          <w:sz w:val="24"/>
          <w:szCs w:val="24"/>
        </w:rPr>
        <w:t>39</w:t>
      </w:r>
      <w:r w:rsidRPr="005D7B68">
        <w:rPr>
          <w:rFonts w:ascii="Arial" w:hAnsi="Arial" w:cs="Arial"/>
          <w:sz w:val="24"/>
          <w:szCs w:val="24"/>
        </w:rPr>
        <w:t>]</w:t>
      </w:r>
      <w:r w:rsidRPr="005D7B68">
        <w:rPr>
          <w:rFonts w:ascii="Arial" w:hAnsi="Arial" w:cs="Arial"/>
          <w:sz w:val="24"/>
          <w:szCs w:val="24"/>
        </w:rPr>
        <w:tab/>
        <w:t xml:space="preserve"> </w:t>
      </w:r>
      <w:r w:rsidR="00F7288D">
        <w:rPr>
          <w:rFonts w:ascii="Arial" w:hAnsi="Arial" w:cs="Arial"/>
          <w:sz w:val="24"/>
          <w:szCs w:val="24"/>
        </w:rPr>
        <w:t>T</w:t>
      </w:r>
      <w:r w:rsidR="00366837">
        <w:rPr>
          <w:rFonts w:ascii="Arial" w:hAnsi="Arial" w:cs="Arial"/>
          <w:sz w:val="24"/>
          <w:szCs w:val="24"/>
        </w:rPr>
        <w:t xml:space="preserve">he law in Namibia has been clearly </w:t>
      </w:r>
      <w:r w:rsidR="004F1120">
        <w:rPr>
          <w:rFonts w:ascii="Arial" w:hAnsi="Arial" w:cs="Arial"/>
          <w:sz w:val="24"/>
          <w:szCs w:val="24"/>
        </w:rPr>
        <w:t>crystallised</w:t>
      </w:r>
      <w:r w:rsidR="00366837">
        <w:rPr>
          <w:rFonts w:ascii="Arial" w:hAnsi="Arial" w:cs="Arial"/>
          <w:sz w:val="24"/>
          <w:szCs w:val="24"/>
        </w:rPr>
        <w:t xml:space="preserve"> by the Supreme Court in respect of breach of administrative justice. </w:t>
      </w:r>
      <w:r w:rsidR="005F4C17">
        <w:rPr>
          <w:rFonts w:ascii="Arial" w:hAnsi="Arial" w:cs="Arial"/>
          <w:sz w:val="24"/>
          <w:szCs w:val="24"/>
        </w:rPr>
        <w:t xml:space="preserve"> </w:t>
      </w:r>
    </w:p>
    <w:p w:rsidR="00221E5F" w:rsidRPr="009E547F" w:rsidRDefault="00221E5F" w:rsidP="004A7C1D">
      <w:pPr>
        <w:spacing w:after="0" w:line="360" w:lineRule="auto"/>
        <w:jc w:val="both"/>
        <w:rPr>
          <w:rFonts w:ascii="Arial" w:hAnsi="Arial" w:cs="Arial"/>
          <w:sz w:val="24"/>
          <w:szCs w:val="24"/>
        </w:rPr>
      </w:pPr>
    </w:p>
    <w:p w:rsidR="00CD1C16" w:rsidRDefault="00CB0839" w:rsidP="004A7C1D">
      <w:pPr>
        <w:pStyle w:val="Default"/>
        <w:spacing w:line="360" w:lineRule="auto"/>
        <w:rPr>
          <w:shd w:val="clear" w:color="auto" w:fill="FFFFFF"/>
        </w:rPr>
      </w:pPr>
      <w:r>
        <w:lastRenderedPageBreak/>
        <w:t>[</w:t>
      </w:r>
      <w:r w:rsidR="002B565D">
        <w:t>40</w:t>
      </w:r>
      <w:r>
        <w:t>]</w:t>
      </w:r>
      <w:r>
        <w:tab/>
        <w:t>The position in respect of claim</w:t>
      </w:r>
      <w:r w:rsidR="004F1120">
        <w:t>s</w:t>
      </w:r>
      <w:r>
        <w:t xml:space="preserve"> in matters as is before the court, which falls within the realm of public law is made quite clear by our Supreme Court </w:t>
      </w:r>
      <w:r w:rsidR="00CD1C16">
        <w:t xml:space="preserve">in </w:t>
      </w:r>
      <w:r w:rsidR="00CD1C16" w:rsidRPr="004B5E3E">
        <w:rPr>
          <w:i/>
          <w:shd w:val="clear" w:color="auto" w:fill="FFFFFF"/>
        </w:rPr>
        <w:t>Fire Tech Systems CC</w:t>
      </w:r>
      <w:r w:rsidR="00CD1C16">
        <w:rPr>
          <w:rStyle w:val="FootnoteReference"/>
          <w:i/>
          <w:shd w:val="clear" w:color="auto" w:fill="FFFFFF"/>
        </w:rPr>
        <w:footnoteReference w:id="14"/>
      </w:r>
      <w:r w:rsidR="00CD1C16">
        <w:rPr>
          <w:i/>
          <w:shd w:val="clear" w:color="auto" w:fill="FFFFFF"/>
        </w:rPr>
        <w:t xml:space="preserve"> </w:t>
      </w:r>
      <w:r w:rsidR="00CD1C16" w:rsidRPr="00CD1C16">
        <w:rPr>
          <w:shd w:val="clear" w:color="auto" w:fill="FFFFFF"/>
        </w:rPr>
        <w:t>in the following terms:</w:t>
      </w:r>
    </w:p>
    <w:p w:rsidR="004F1120" w:rsidRPr="00CD1C16" w:rsidRDefault="004F1120" w:rsidP="004A7C1D">
      <w:pPr>
        <w:pStyle w:val="Default"/>
        <w:spacing w:line="360" w:lineRule="auto"/>
      </w:pPr>
    </w:p>
    <w:p w:rsidR="00CD1C16" w:rsidRPr="00CD1C16" w:rsidRDefault="00CD1C16" w:rsidP="004A7C1D">
      <w:pPr>
        <w:pStyle w:val="NormalWeb"/>
        <w:spacing w:before="0" w:beforeAutospacing="0" w:after="0" w:afterAutospacing="0" w:line="360" w:lineRule="auto"/>
        <w:ind w:firstLine="720"/>
        <w:jc w:val="both"/>
        <w:rPr>
          <w:rFonts w:ascii="Arial" w:hAnsi="Arial" w:cs="Arial"/>
          <w:sz w:val="22"/>
          <w:szCs w:val="22"/>
        </w:rPr>
      </w:pPr>
      <w:r>
        <w:rPr>
          <w:rFonts w:ascii="Arial" w:hAnsi="Arial" w:cs="Arial"/>
          <w:color w:val="4A4A4A"/>
          <w:sz w:val="22"/>
          <w:szCs w:val="22"/>
        </w:rPr>
        <w:t>‘</w:t>
      </w:r>
      <w:r w:rsidRPr="00CD1C16">
        <w:rPr>
          <w:rFonts w:ascii="Arial" w:hAnsi="Arial" w:cs="Arial"/>
          <w:color w:val="4A4A4A"/>
          <w:sz w:val="22"/>
          <w:szCs w:val="22"/>
        </w:rPr>
        <w:t>[</w:t>
      </w:r>
      <w:r w:rsidRPr="00CD1C16">
        <w:rPr>
          <w:rFonts w:ascii="Arial" w:hAnsi="Arial" w:cs="Arial"/>
          <w:sz w:val="22"/>
          <w:szCs w:val="22"/>
        </w:rPr>
        <w:t>29]      The general principle is that a court is only competent to grant orders which were asked for by the litigants. The approach to allocating an appropriate remedy in administrative applications was authoritatively established by this court in a number of decisions:</w:t>
      </w:r>
    </w:p>
    <w:p w:rsidR="00CD1C16" w:rsidRPr="00CD1C16" w:rsidRDefault="00CD1C16" w:rsidP="004A7C1D">
      <w:pPr>
        <w:pStyle w:val="NormalWeb"/>
        <w:spacing w:before="0" w:beforeAutospacing="0" w:after="0" w:afterAutospacing="0" w:line="360" w:lineRule="auto"/>
        <w:jc w:val="both"/>
        <w:rPr>
          <w:rFonts w:ascii="Arial" w:hAnsi="Arial" w:cs="Arial"/>
          <w:sz w:val="22"/>
          <w:szCs w:val="22"/>
        </w:rPr>
      </w:pPr>
      <w:r w:rsidRPr="00CD1C16">
        <w:rPr>
          <w:rFonts w:ascii="Arial" w:hAnsi="Arial" w:cs="Arial"/>
          <w:sz w:val="22"/>
          <w:szCs w:val="22"/>
        </w:rPr>
        <w:t>In </w:t>
      </w:r>
      <w:r w:rsidRPr="00CD1C16">
        <w:rPr>
          <w:rStyle w:val="Emphasis"/>
          <w:rFonts w:ascii="Arial" w:hAnsi="Arial" w:cs="Arial"/>
          <w:sz w:val="22"/>
          <w:szCs w:val="22"/>
        </w:rPr>
        <w:t>Lisse v Minister of Health and Social Services</w:t>
      </w:r>
      <w:r w:rsidRPr="00CD1C16">
        <w:rPr>
          <w:rStyle w:val="FootnoteReference"/>
          <w:rFonts w:ascii="Arial" w:hAnsi="Arial" w:cs="Arial"/>
          <w:i/>
          <w:iCs/>
          <w:sz w:val="22"/>
          <w:szCs w:val="22"/>
        </w:rPr>
        <w:footnoteReference w:id="15"/>
      </w:r>
      <w:r w:rsidRPr="00CD1C16">
        <w:rPr>
          <w:rStyle w:val="Emphasis"/>
          <w:rFonts w:ascii="Arial" w:hAnsi="Arial" w:cs="Arial"/>
          <w:sz w:val="22"/>
          <w:szCs w:val="22"/>
        </w:rPr>
        <w:t>,</w:t>
      </w:r>
      <w:r w:rsidRPr="00CD1C16">
        <w:rPr>
          <w:rFonts w:ascii="Arial" w:hAnsi="Arial" w:cs="Arial"/>
          <w:sz w:val="22"/>
          <w:szCs w:val="22"/>
        </w:rPr>
        <w:t xml:space="preserve"> it was reiterated that:</w:t>
      </w:r>
    </w:p>
    <w:p w:rsidR="00CD1C16" w:rsidRPr="00CD1C16" w:rsidRDefault="00CD1C16" w:rsidP="004A7C1D">
      <w:pPr>
        <w:pStyle w:val="rteindent1"/>
        <w:spacing w:before="0" w:beforeAutospacing="0" w:after="0" w:afterAutospacing="0" w:line="360" w:lineRule="auto"/>
        <w:jc w:val="both"/>
        <w:rPr>
          <w:rFonts w:ascii="Arial" w:hAnsi="Arial" w:cs="Arial"/>
          <w:sz w:val="22"/>
          <w:szCs w:val="22"/>
        </w:rPr>
      </w:pPr>
      <w:r w:rsidRPr="00CD1C16">
        <w:rPr>
          <w:rFonts w:ascii="Arial" w:hAnsi="Arial" w:cs="Arial"/>
          <w:sz w:val="22"/>
          <w:szCs w:val="22"/>
        </w:rPr>
        <w:t>‘Courts have often stressed that unlawful administrative action does not automatically give rise to delictual liability.’</w:t>
      </w:r>
    </w:p>
    <w:p w:rsidR="00CD1C16" w:rsidRDefault="00CD1C16" w:rsidP="004A7C1D">
      <w:pPr>
        <w:pStyle w:val="NormalWeb"/>
        <w:spacing w:before="0" w:beforeAutospacing="0" w:after="0" w:afterAutospacing="0" w:line="360" w:lineRule="auto"/>
        <w:jc w:val="both"/>
        <w:rPr>
          <w:rFonts w:ascii="Arial" w:hAnsi="Arial" w:cs="Arial"/>
          <w:sz w:val="22"/>
          <w:szCs w:val="22"/>
        </w:rPr>
      </w:pPr>
      <w:r w:rsidRPr="00CD1C16">
        <w:rPr>
          <w:rFonts w:ascii="Arial" w:hAnsi="Arial" w:cs="Arial"/>
          <w:sz w:val="22"/>
          <w:szCs w:val="22"/>
        </w:rPr>
        <w:t>Damages are thus not ordinarily awarded.</w:t>
      </w:r>
    </w:p>
    <w:p w:rsidR="004A7C1D" w:rsidRPr="00CD1C16" w:rsidRDefault="004A7C1D" w:rsidP="004A7C1D">
      <w:pPr>
        <w:pStyle w:val="NormalWeb"/>
        <w:spacing w:before="0" w:beforeAutospacing="0" w:after="0" w:afterAutospacing="0" w:line="360" w:lineRule="auto"/>
        <w:jc w:val="both"/>
        <w:rPr>
          <w:rFonts w:ascii="Arial" w:hAnsi="Arial" w:cs="Arial"/>
          <w:sz w:val="22"/>
          <w:szCs w:val="22"/>
        </w:rPr>
      </w:pPr>
    </w:p>
    <w:p w:rsidR="00221E5F" w:rsidRDefault="00CD1C16" w:rsidP="004A7C1D">
      <w:pPr>
        <w:pStyle w:val="NormalWeb"/>
        <w:spacing w:before="0" w:beforeAutospacing="0" w:after="0" w:afterAutospacing="0" w:line="360" w:lineRule="auto"/>
        <w:jc w:val="both"/>
        <w:rPr>
          <w:rFonts w:ascii="Arial" w:hAnsi="Arial" w:cs="Arial"/>
          <w:sz w:val="22"/>
          <w:szCs w:val="22"/>
        </w:rPr>
      </w:pPr>
      <w:r w:rsidRPr="00CD1C16">
        <w:rPr>
          <w:rFonts w:ascii="Arial" w:hAnsi="Arial" w:cs="Arial"/>
          <w:sz w:val="22"/>
          <w:szCs w:val="22"/>
        </w:rPr>
        <w:t>[30]      In </w:t>
      </w:r>
      <w:r w:rsidRPr="00CD1C16">
        <w:rPr>
          <w:rStyle w:val="Emphasis"/>
          <w:rFonts w:ascii="Arial" w:hAnsi="Arial" w:cs="Arial"/>
          <w:sz w:val="22"/>
          <w:szCs w:val="22"/>
        </w:rPr>
        <w:t>Free Namibia Caterers CC v Chairperson of the Tender Board of Namibia &amp; others</w:t>
      </w:r>
      <w:r w:rsidRPr="00CD1C16">
        <w:rPr>
          <w:rStyle w:val="FootnoteReference"/>
          <w:rFonts w:ascii="Arial" w:hAnsi="Arial" w:cs="Arial"/>
          <w:i/>
          <w:iCs/>
          <w:sz w:val="22"/>
          <w:szCs w:val="22"/>
        </w:rPr>
        <w:footnoteReference w:id="16"/>
      </w:r>
      <w:r w:rsidRPr="00CD1C16">
        <w:rPr>
          <w:rStyle w:val="Emphasis"/>
          <w:rFonts w:ascii="Arial" w:hAnsi="Arial" w:cs="Arial"/>
          <w:sz w:val="22"/>
          <w:szCs w:val="22"/>
        </w:rPr>
        <w:t>,</w:t>
      </w:r>
      <w:r>
        <w:rPr>
          <w:rFonts w:ascii="Arial" w:hAnsi="Arial" w:cs="Arial"/>
          <w:sz w:val="22"/>
          <w:szCs w:val="22"/>
        </w:rPr>
        <w:t xml:space="preserve"> </w:t>
      </w:r>
      <w:r w:rsidRPr="00CD1C16">
        <w:rPr>
          <w:rFonts w:ascii="Arial" w:hAnsi="Arial" w:cs="Arial"/>
          <w:sz w:val="22"/>
          <w:szCs w:val="22"/>
        </w:rPr>
        <w:t xml:space="preserve">this court concluded that the principles are clear; namely, whereas any ‘improper performance of an administrative function attracts the application of Art 18 of the Namibian Constitution’, and notwithstanding that ‘a breach of the right to administrative justice entitles an aggrieved party to ‘appropriate relief’ as contemplated in Art 25 of the Constitution’, it remains essential that a crucial point is made, and that is that, ordinarily ‘a </w:t>
      </w:r>
      <w:r w:rsidRPr="00CD1C16">
        <w:rPr>
          <w:rFonts w:ascii="Arial" w:hAnsi="Arial" w:cs="Arial"/>
          <w:sz w:val="22"/>
          <w:szCs w:val="22"/>
          <w:u w:val="single"/>
        </w:rPr>
        <w:t>breach of administrative justice attracts public law remedies and not private law remedies</w:t>
      </w:r>
      <w:r w:rsidRPr="00CD1C16">
        <w:rPr>
          <w:rFonts w:ascii="Arial" w:hAnsi="Arial" w:cs="Arial"/>
          <w:sz w:val="22"/>
          <w:szCs w:val="22"/>
        </w:rPr>
        <w:t xml:space="preserve">’. Thus it is </w:t>
      </w:r>
      <w:r w:rsidRPr="00CD1C16">
        <w:rPr>
          <w:rFonts w:ascii="Arial" w:hAnsi="Arial" w:cs="Arial"/>
          <w:sz w:val="22"/>
          <w:szCs w:val="22"/>
          <w:u w:val="single"/>
        </w:rPr>
        <w:t>only in ‘exceptional cases that private law remedies will be granted to a party for a breach of a right in public domain</w:t>
      </w:r>
      <w:r w:rsidRPr="00CD1C16">
        <w:rPr>
          <w:rFonts w:ascii="Arial" w:hAnsi="Arial" w:cs="Arial"/>
          <w:sz w:val="22"/>
          <w:szCs w:val="22"/>
        </w:rPr>
        <w:t>’.</w:t>
      </w:r>
    </w:p>
    <w:p w:rsidR="004A7C1D" w:rsidRPr="00CD1C16" w:rsidRDefault="004A7C1D" w:rsidP="004A7C1D">
      <w:pPr>
        <w:pStyle w:val="NormalWeb"/>
        <w:spacing w:before="0" w:beforeAutospacing="0" w:after="0" w:afterAutospacing="0" w:line="360" w:lineRule="auto"/>
        <w:jc w:val="both"/>
        <w:rPr>
          <w:rFonts w:ascii="Arial" w:hAnsi="Arial" w:cs="Arial"/>
          <w:sz w:val="22"/>
          <w:szCs w:val="22"/>
        </w:rPr>
      </w:pPr>
    </w:p>
    <w:p w:rsidR="0008692B" w:rsidRDefault="00CD1C16" w:rsidP="004A7C1D">
      <w:pPr>
        <w:pStyle w:val="NormalWeb"/>
        <w:spacing w:before="0" w:beforeAutospacing="0" w:after="0" w:afterAutospacing="0" w:line="360" w:lineRule="auto"/>
        <w:jc w:val="both"/>
        <w:rPr>
          <w:rFonts w:ascii="Arial" w:hAnsi="Arial" w:cs="Arial"/>
          <w:sz w:val="22"/>
          <w:szCs w:val="22"/>
        </w:rPr>
      </w:pPr>
      <w:r w:rsidRPr="00CD1C16">
        <w:rPr>
          <w:rFonts w:ascii="Arial" w:hAnsi="Arial" w:cs="Arial"/>
          <w:sz w:val="22"/>
          <w:szCs w:val="22"/>
        </w:rPr>
        <w:t>[31]      A claim for damages is a private law remedy which primarily invokes the common law. The first respondent never sought damages in the court </w:t>
      </w:r>
      <w:r w:rsidRPr="00CD1C16">
        <w:rPr>
          <w:rStyle w:val="Emphasis"/>
          <w:rFonts w:ascii="Arial" w:hAnsi="Arial" w:cs="Arial"/>
          <w:sz w:val="22"/>
          <w:szCs w:val="22"/>
        </w:rPr>
        <w:t>a quo</w:t>
      </w:r>
      <w:r w:rsidRPr="00CD1C16">
        <w:rPr>
          <w:rFonts w:ascii="Arial" w:hAnsi="Arial" w:cs="Arial"/>
          <w:sz w:val="22"/>
          <w:szCs w:val="22"/>
        </w:rPr>
        <w:t> therefore damages were not the appropriate remedy.</w:t>
      </w:r>
      <w:r>
        <w:rPr>
          <w:rFonts w:ascii="Arial" w:hAnsi="Arial" w:cs="Arial"/>
          <w:sz w:val="22"/>
          <w:szCs w:val="22"/>
        </w:rPr>
        <w:t>’</w:t>
      </w:r>
    </w:p>
    <w:p w:rsidR="000E56EE" w:rsidRPr="00CD1C16" w:rsidRDefault="000E56EE" w:rsidP="004A7C1D">
      <w:pPr>
        <w:pStyle w:val="NormalWeb"/>
        <w:spacing w:before="0" w:beforeAutospacing="0" w:after="0" w:afterAutospacing="0" w:line="360" w:lineRule="auto"/>
        <w:ind w:firstLine="720"/>
        <w:jc w:val="both"/>
        <w:rPr>
          <w:rFonts w:ascii="Arial" w:hAnsi="Arial" w:cs="Arial"/>
          <w:sz w:val="22"/>
          <w:szCs w:val="22"/>
        </w:rPr>
      </w:pPr>
    </w:p>
    <w:p w:rsidR="00221E5F" w:rsidRDefault="00646BDD" w:rsidP="004A7C1D">
      <w:pPr>
        <w:pStyle w:val="NormalWeb"/>
        <w:spacing w:before="0" w:beforeAutospacing="0" w:after="0" w:afterAutospacing="0" w:line="360" w:lineRule="auto"/>
        <w:jc w:val="both"/>
        <w:rPr>
          <w:rFonts w:ascii="Arial" w:hAnsi="Arial" w:cs="Arial"/>
          <w:bCs/>
          <w:shd w:val="clear" w:color="auto" w:fill="FFFFFF"/>
        </w:rPr>
      </w:pPr>
      <w:r w:rsidRPr="0039788A">
        <w:rPr>
          <w:rFonts w:ascii="Arial" w:hAnsi="Arial" w:cs="Arial"/>
        </w:rPr>
        <w:t xml:space="preserve"> </w:t>
      </w:r>
      <w:r w:rsidR="0039788A" w:rsidRPr="0039788A">
        <w:rPr>
          <w:rFonts w:ascii="Arial" w:hAnsi="Arial" w:cs="Arial"/>
        </w:rPr>
        <w:t>[</w:t>
      </w:r>
      <w:r w:rsidR="002B565D">
        <w:rPr>
          <w:rFonts w:ascii="Arial" w:hAnsi="Arial" w:cs="Arial"/>
        </w:rPr>
        <w:t>41</w:t>
      </w:r>
      <w:r w:rsidR="0039788A" w:rsidRPr="0039788A">
        <w:rPr>
          <w:rFonts w:ascii="Arial" w:hAnsi="Arial" w:cs="Arial"/>
        </w:rPr>
        <w:t>]</w:t>
      </w:r>
      <w:r w:rsidR="0039788A" w:rsidRPr="0039788A">
        <w:rPr>
          <w:rFonts w:ascii="Arial" w:hAnsi="Arial" w:cs="Arial"/>
        </w:rPr>
        <w:tab/>
      </w:r>
      <w:r w:rsidR="004F1120">
        <w:rPr>
          <w:rFonts w:ascii="Arial" w:hAnsi="Arial" w:cs="Arial"/>
        </w:rPr>
        <w:t xml:space="preserve"> </w:t>
      </w:r>
      <w:r w:rsidR="0039788A">
        <w:rPr>
          <w:rFonts w:ascii="Arial" w:hAnsi="Arial" w:cs="Arial"/>
        </w:rPr>
        <w:t>Further to th</w:t>
      </w:r>
      <w:r w:rsidR="00CD1C16">
        <w:rPr>
          <w:rFonts w:ascii="Arial" w:hAnsi="Arial" w:cs="Arial"/>
        </w:rPr>
        <w:t xml:space="preserve">e above this court dealt with </w:t>
      </w:r>
      <w:r w:rsidR="00366837">
        <w:rPr>
          <w:rFonts w:ascii="Arial" w:hAnsi="Arial" w:cs="Arial"/>
        </w:rPr>
        <w:t xml:space="preserve">a similar issue in </w:t>
      </w:r>
      <w:r w:rsidR="00366837" w:rsidRPr="00366837">
        <w:rPr>
          <w:rFonts w:ascii="Arial" w:hAnsi="Arial" w:cs="Arial"/>
          <w:bCs/>
          <w:i/>
          <w:shd w:val="clear" w:color="auto" w:fill="FFFFFF"/>
        </w:rPr>
        <w:t>Chico/Octagon Joint Venture v Roads Authority</w:t>
      </w:r>
      <w:r w:rsidR="00366837">
        <w:rPr>
          <w:rStyle w:val="FootnoteReference"/>
          <w:rFonts w:ascii="Arial" w:hAnsi="Arial" w:cs="Arial"/>
          <w:bCs/>
          <w:shd w:val="clear" w:color="auto" w:fill="FFFFFF"/>
        </w:rPr>
        <w:footnoteReference w:id="17"/>
      </w:r>
      <w:r w:rsidR="00366837" w:rsidRPr="00366837">
        <w:rPr>
          <w:rFonts w:ascii="Arial" w:hAnsi="Arial" w:cs="Arial"/>
          <w:bCs/>
          <w:shd w:val="clear" w:color="auto" w:fill="FFFFFF"/>
        </w:rPr>
        <w:t xml:space="preserve"> </w:t>
      </w:r>
      <w:r w:rsidR="00A22823" w:rsidRPr="0001065E">
        <w:rPr>
          <w:rFonts w:ascii="Arial" w:hAnsi="Arial" w:cs="Arial"/>
          <w:bCs/>
          <w:shd w:val="clear" w:color="auto" w:fill="FFFFFF"/>
        </w:rPr>
        <w:t>where</w:t>
      </w:r>
      <w:r w:rsidR="00E82773" w:rsidRPr="00A22823">
        <w:rPr>
          <w:rFonts w:ascii="Arial" w:hAnsi="Arial" w:cs="Arial"/>
          <w:bCs/>
          <w:color w:val="FF0000"/>
          <w:shd w:val="clear" w:color="auto" w:fill="FFFFFF"/>
        </w:rPr>
        <w:t xml:space="preserve"> </w:t>
      </w:r>
      <w:r w:rsidR="00E82773">
        <w:rPr>
          <w:rFonts w:ascii="Arial" w:hAnsi="Arial" w:cs="Arial"/>
          <w:bCs/>
          <w:shd w:val="clear" w:color="auto" w:fill="FFFFFF"/>
        </w:rPr>
        <w:t xml:space="preserve">I said the following: </w:t>
      </w:r>
    </w:p>
    <w:p w:rsidR="004A7C1D" w:rsidRDefault="004A7C1D" w:rsidP="004A7C1D">
      <w:pPr>
        <w:pStyle w:val="NormalWeb"/>
        <w:spacing w:before="0" w:beforeAutospacing="0" w:after="0" w:afterAutospacing="0" w:line="360" w:lineRule="auto"/>
        <w:jc w:val="both"/>
        <w:rPr>
          <w:rFonts w:ascii="Arial" w:hAnsi="Arial" w:cs="Arial"/>
          <w:bCs/>
          <w:shd w:val="clear" w:color="auto" w:fill="FFFFFF"/>
        </w:rPr>
      </w:pPr>
    </w:p>
    <w:p w:rsidR="00E82773" w:rsidRDefault="00E82773" w:rsidP="004A7C1D">
      <w:pPr>
        <w:pStyle w:val="NormalWeb"/>
        <w:spacing w:before="0" w:beforeAutospacing="0" w:after="0" w:afterAutospacing="0" w:line="360" w:lineRule="auto"/>
        <w:jc w:val="both"/>
        <w:rPr>
          <w:rFonts w:ascii="Arial" w:hAnsi="Arial" w:cs="Arial"/>
          <w:sz w:val="22"/>
          <w:szCs w:val="22"/>
        </w:rPr>
      </w:pPr>
      <w:r>
        <w:rPr>
          <w:rFonts w:ascii="Arial" w:hAnsi="Arial" w:cs="Arial"/>
          <w:bCs/>
          <w:shd w:val="clear" w:color="auto" w:fill="FFFFFF"/>
        </w:rPr>
        <w:lastRenderedPageBreak/>
        <w:tab/>
      </w:r>
      <w:r w:rsidRPr="00E82773">
        <w:rPr>
          <w:rFonts w:ascii="Arial" w:hAnsi="Arial" w:cs="Arial"/>
          <w:bCs/>
          <w:sz w:val="22"/>
          <w:szCs w:val="22"/>
          <w:shd w:val="clear" w:color="auto" w:fill="FFFFFF"/>
        </w:rPr>
        <w:t>‘</w:t>
      </w:r>
      <w:r w:rsidRPr="00E82773">
        <w:rPr>
          <w:rFonts w:ascii="Arial" w:hAnsi="Arial" w:cs="Arial"/>
          <w:sz w:val="22"/>
          <w:szCs w:val="22"/>
        </w:rPr>
        <w:t>[44]      The defendant argued further that the plaintiff failed to plead any facts to support an averment that the violation of the right was unjustified and/or reckless or that the award was appropriate in the circumstances of the case </w:t>
      </w:r>
      <w:r w:rsidRPr="00E82773">
        <w:rPr>
          <w:rStyle w:val="Emphasis"/>
          <w:rFonts w:ascii="Arial" w:hAnsi="Arial" w:cs="Arial"/>
          <w:sz w:val="22"/>
          <w:szCs w:val="22"/>
        </w:rPr>
        <w:t>in casu</w:t>
      </w:r>
      <w:r w:rsidRPr="00E82773">
        <w:rPr>
          <w:rFonts w:ascii="Arial" w:hAnsi="Arial" w:cs="Arial"/>
          <w:sz w:val="22"/>
          <w:szCs w:val="22"/>
        </w:rPr>
        <w:t>.</w:t>
      </w:r>
    </w:p>
    <w:p w:rsidR="004A7C1D" w:rsidRPr="00E82773" w:rsidRDefault="004A7C1D" w:rsidP="004A7C1D">
      <w:pPr>
        <w:pStyle w:val="NormalWeb"/>
        <w:spacing w:before="0" w:beforeAutospacing="0" w:after="0" w:afterAutospacing="0" w:line="360" w:lineRule="auto"/>
        <w:jc w:val="both"/>
        <w:rPr>
          <w:rFonts w:ascii="Arial" w:hAnsi="Arial" w:cs="Arial"/>
          <w:sz w:val="22"/>
          <w:szCs w:val="22"/>
        </w:rPr>
      </w:pPr>
    </w:p>
    <w:p w:rsidR="00E82773" w:rsidRPr="00E82773" w:rsidRDefault="00E82773" w:rsidP="004A7C1D">
      <w:pPr>
        <w:pStyle w:val="NormalWeb"/>
        <w:spacing w:before="0" w:beforeAutospacing="0" w:after="0" w:afterAutospacing="0" w:line="360" w:lineRule="auto"/>
        <w:jc w:val="both"/>
        <w:rPr>
          <w:rFonts w:ascii="Arial" w:hAnsi="Arial" w:cs="Arial"/>
          <w:sz w:val="22"/>
          <w:szCs w:val="22"/>
        </w:rPr>
      </w:pPr>
      <w:r w:rsidRPr="00E82773">
        <w:rPr>
          <w:rFonts w:ascii="Arial" w:hAnsi="Arial" w:cs="Arial"/>
          <w:sz w:val="22"/>
          <w:szCs w:val="22"/>
        </w:rPr>
        <w:t>[45]      It would appear that the prevailing legal policy has been summed up correctly in Joubert el (eds) LAWSA 3rd ed. vol. 15, Delict, para 6, at 10:</w:t>
      </w:r>
    </w:p>
    <w:p w:rsidR="00E82773" w:rsidRPr="00E82773" w:rsidRDefault="00E82773" w:rsidP="004A7C1D">
      <w:pPr>
        <w:pStyle w:val="rteindent1"/>
        <w:spacing w:before="0" w:beforeAutospacing="0" w:after="0" w:afterAutospacing="0" w:line="360" w:lineRule="auto"/>
        <w:ind w:left="720"/>
        <w:jc w:val="both"/>
        <w:rPr>
          <w:rFonts w:ascii="Arial" w:hAnsi="Arial" w:cs="Arial"/>
          <w:sz w:val="22"/>
          <w:szCs w:val="22"/>
        </w:rPr>
      </w:pPr>
      <w:r w:rsidRPr="00E82773">
        <w:rPr>
          <w:rFonts w:ascii="Arial" w:hAnsi="Arial" w:cs="Arial"/>
          <w:sz w:val="22"/>
          <w:szCs w:val="22"/>
        </w:rPr>
        <w:t>‘A constitutional remedy does not aim to compensate and such an award should be considered in only the most exceptional circumstances, when compelling reasons so dictate, and only if there is no other compensatory remedy available in law. In delict, an award for damages is the primary remedy; in constitutional law, an award for damages is a secondary remedy, to be made only in appropriate cases when other remedies would not be effective’.</w:t>
      </w:r>
    </w:p>
    <w:p w:rsidR="00E82773" w:rsidRPr="00E82773" w:rsidRDefault="00E82773" w:rsidP="004A7C1D">
      <w:pPr>
        <w:pStyle w:val="NormalWeb"/>
        <w:spacing w:before="0" w:beforeAutospacing="0" w:after="0" w:afterAutospacing="0" w:line="360" w:lineRule="auto"/>
        <w:jc w:val="both"/>
        <w:rPr>
          <w:rFonts w:ascii="Arial" w:hAnsi="Arial" w:cs="Arial"/>
          <w:sz w:val="22"/>
          <w:szCs w:val="22"/>
        </w:rPr>
      </w:pPr>
      <w:r w:rsidRPr="00E82773">
        <w:rPr>
          <w:rFonts w:ascii="Arial" w:hAnsi="Arial" w:cs="Arial"/>
          <w:sz w:val="22"/>
          <w:szCs w:val="22"/>
        </w:rPr>
        <w:t>[46]      Counsel on behalf of the defendant argued that the plaintiff could have removed any loss or potential loss by launching interdict proceedings timeously. The plaintiff by virtue of its particulars of claim is seeking to convince the Court that an award of the profit lost (pure economic loss) through the non-award of the tender could constitute 'appropriate relief'.</w:t>
      </w:r>
    </w:p>
    <w:p w:rsidR="00E82773" w:rsidRPr="00E82773" w:rsidRDefault="00E82773" w:rsidP="004A7C1D">
      <w:pPr>
        <w:pStyle w:val="NormalWeb"/>
        <w:spacing w:before="0" w:beforeAutospacing="0" w:after="0" w:afterAutospacing="0" w:line="360" w:lineRule="auto"/>
        <w:jc w:val="both"/>
        <w:rPr>
          <w:rFonts w:ascii="Arial" w:hAnsi="Arial" w:cs="Arial"/>
          <w:sz w:val="22"/>
          <w:szCs w:val="22"/>
        </w:rPr>
      </w:pPr>
      <w:r w:rsidRPr="00E82773">
        <w:rPr>
          <w:rFonts w:ascii="Arial" w:hAnsi="Arial" w:cs="Arial"/>
          <w:sz w:val="22"/>
          <w:szCs w:val="22"/>
        </w:rPr>
        <w:t>[47]      The issue of appropriate remedy and principles regulating administrative law are clear. Any improper performance of an administrative function attracts the application of article 18 of the Namibian Constitution. Breach of the right to administrative justice entitles an aggrieved party to 'appropriate relief' as contemplated by art 25 of the Constitution. What the court will consider an appropriate remedy depends on the facts and circumstances of each case</w:t>
      </w:r>
      <w:bookmarkStart w:id="1" w:name="_ftnref22"/>
      <w:r w:rsidR="00022271">
        <w:rPr>
          <w:rStyle w:val="FootnoteReference"/>
          <w:rFonts w:ascii="Arial" w:hAnsi="Arial" w:cs="Arial"/>
          <w:sz w:val="22"/>
          <w:szCs w:val="22"/>
        </w:rPr>
        <w:footnoteReference w:id="18"/>
      </w:r>
      <w:bookmarkEnd w:id="1"/>
      <w:r w:rsidRPr="00E82773">
        <w:rPr>
          <w:rFonts w:ascii="Arial" w:hAnsi="Arial" w:cs="Arial"/>
          <w:sz w:val="22"/>
          <w:szCs w:val="22"/>
        </w:rPr>
        <w:t>. These facts must be set out clearly pleaded with sufficient particularity to enable the opposite party to identify the case that the pleading requires him or her to meet, especially in light of the fact that the plaintiff base its claim on the constitution, alternatively delict.</w:t>
      </w:r>
    </w:p>
    <w:p w:rsidR="00E82773" w:rsidRPr="00E82773" w:rsidRDefault="00E82773" w:rsidP="004A7C1D">
      <w:pPr>
        <w:pStyle w:val="NormalWeb"/>
        <w:spacing w:before="0" w:beforeAutospacing="0" w:after="0" w:afterAutospacing="0" w:line="360" w:lineRule="auto"/>
        <w:jc w:val="both"/>
        <w:rPr>
          <w:rFonts w:ascii="Arial" w:hAnsi="Arial" w:cs="Arial"/>
          <w:sz w:val="22"/>
          <w:szCs w:val="22"/>
        </w:rPr>
      </w:pPr>
      <w:r w:rsidRPr="00E82773">
        <w:rPr>
          <w:rFonts w:ascii="Arial" w:hAnsi="Arial" w:cs="Arial"/>
          <w:sz w:val="22"/>
          <w:szCs w:val="22"/>
        </w:rPr>
        <w:t>[48]      In</w:t>
      </w:r>
      <w:r w:rsidRPr="00E82773">
        <w:rPr>
          <w:rStyle w:val="Emphasis"/>
          <w:rFonts w:ascii="Arial" w:hAnsi="Arial" w:cs="Arial"/>
          <w:sz w:val="22"/>
          <w:szCs w:val="22"/>
        </w:rPr>
        <w:t> Olitzki Property Holdings v State Tender Board and Another</w:t>
      </w:r>
      <w:bookmarkStart w:id="2" w:name="_ftnref23"/>
      <w:r w:rsidR="00022271">
        <w:rPr>
          <w:rStyle w:val="FootnoteReference"/>
          <w:rFonts w:ascii="Arial" w:hAnsi="Arial" w:cs="Arial"/>
          <w:i/>
          <w:iCs/>
          <w:sz w:val="22"/>
          <w:szCs w:val="22"/>
        </w:rPr>
        <w:footnoteReference w:id="19"/>
      </w:r>
      <w:bookmarkEnd w:id="2"/>
      <w:r w:rsidR="005739A1">
        <w:rPr>
          <w:rFonts w:ascii="Arial" w:hAnsi="Arial" w:cs="Arial"/>
          <w:sz w:val="22"/>
          <w:szCs w:val="22"/>
        </w:rPr>
        <w:t xml:space="preserve"> </w:t>
      </w:r>
      <w:r w:rsidRPr="00E82773">
        <w:rPr>
          <w:rFonts w:ascii="Arial" w:hAnsi="Arial" w:cs="Arial"/>
          <w:sz w:val="22"/>
          <w:szCs w:val="22"/>
        </w:rPr>
        <w:t>the South African Supreme Court of Appeal held:</w:t>
      </w:r>
    </w:p>
    <w:p w:rsidR="0008692B" w:rsidRDefault="000E56EE" w:rsidP="004A7C1D">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w:t>
      </w:r>
      <w:r w:rsidR="00E82773" w:rsidRPr="00E82773">
        <w:rPr>
          <w:rFonts w:ascii="Arial" w:hAnsi="Arial" w:cs="Arial"/>
          <w:sz w:val="22"/>
          <w:szCs w:val="22"/>
        </w:rPr>
        <w:t>‘[I]n all the circumstances of this particular case, including the availability to the plaintiff of alternative remedies - by way of interdict before the award of the impugned tender and, thereafter, for at least a time, by way of review - I conclude that the lost profit the plaintiff claims would not be an appropriate constitutional remedy’.</w:t>
      </w:r>
    </w:p>
    <w:p w:rsidR="00221E5F" w:rsidRPr="00E82773" w:rsidRDefault="00221E5F" w:rsidP="004A7C1D">
      <w:pPr>
        <w:pStyle w:val="NormalWeb"/>
        <w:spacing w:before="0" w:beforeAutospacing="0" w:after="0" w:afterAutospacing="0" w:line="360" w:lineRule="auto"/>
        <w:jc w:val="both"/>
        <w:rPr>
          <w:rFonts w:ascii="Arial" w:hAnsi="Arial" w:cs="Arial"/>
          <w:sz w:val="22"/>
          <w:szCs w:val="22"/>
        </w:rPr>
      </w:pPr>
    </w:p>
    <w:p w:rsidR="00646BDD" w:rsidRDefault="00022271" w:rsidP="004A7C1D">
      <w:pPr>
        <w:pStyle w:val="Default"/>
        <w:spacing w:line="360" w:lineRule="auto"/>
        <w:jc w:val="both"/>
      </w:pPr>
      <w:r>
        <w:rPr>
          <w:color w:val="auto"/>
        </w:rPr>
        <w:t xml:space="preserve"> </w:t>
      </w:r>
      <w:r w:rsidR="00646BDD">
        <w:rPr>
          <w:color w:val="auto"/>
        </w:rPr>
        <w:t>[</w:t>
      </w:r>
      <w:r w:rsidR="002B565D">
        <w:rPr>
          <w:color w:val="auto"/>
        </w:rPr>
        <w:t>42</w:t>
      </w:r>
      <w:r w:rsidR="00646BDD">
        <w:rPr>
          <w:color w:val="auto"/>
        </w:rPr>
        <w:t>]</w:t>
      </w:r>
      <w:r w:rsidR="00646BDD">
        <w:rPr>
          <w:color w:val="auto"/>
        </w:rPr>
        <w:tab/>
        <w:t xml:space="preserve">DCJ Damaseb clearly stated the following in para 4 of </w:t>
      </w:r>
      <w:r w:rsidR="00646BDD" w:rsidRPr="00CB0839">
        <w:rPr>
          <w:i/>
        </w:rPr>
        <w:t>Road Fund Administration v Skorpion Mining Co. (Pty) Ltd</w:t>
      </w:r>
      <w:r w:rsidR="00646BDD">
        <w:rPr>
          <w:rStyle w:val="FootnoteReference"/>
          <w:i/>
        </w:rPr>
        <w:footnoteReference w:id="20"/>
      </w:r>
      <w:r w:rsidR="00646BDD">
        <w:t xml:space="preserve">: </w:t>
      </w:r>
    </w:p>
    <w:p w:rsidR="00A22823" w:rsidRDefault="00A22823" w:rsidP="004A7C1D">
      <w:pPr>
        <w:pStyle w:val="Default"/>
        <w:spacing w:line="360" w:lineRule="auto"/>
        <w:jc w:val="both"/>
      </w:pPr>
    </w:p>
    <w:p w:rsidR="009E547F" w:rsidRDefault="00646BDD" w:rsidP="004A7C1D">
      <w:pPr>
        <w:pStyle w:val="NormalWeb"/>
        <w:spacing w:before="0" w:beforeAutospacing="0" w:after="0" w:afterAutospacing="0" w:line="360" w:lineRule="auto"/>
        <w:jc w:val="both"/>
        <w:rPr>
          <w:rFonts w:ascii="Arial" w:hAnsi="Arial" w:cs="Arial"/>
          <w:sz w:val="22"/>
          <w:szCs w:val="22"/>
        </w:rPr>
      </w:pPr>
      <w:r>
        <w:tab/>
      </w:r>
      <w:r w:rsidR="004A7C1D">
        <w:t>‘</w:t>
      </w:r>
      <w:r w:rsidR="004A7C1D">
        <w:rPr>
          <w:rFonts w:ascii="Arial" w:hAnsi="Arial" w:cs="Arial"/>
          <w:sz w:val="22"/>
          <w:szCs w:val="22"/>
        </w:rPr>
        <w:t>[4]</w:t>
      </w:r>
      <w:r w:rsidR="004A7C1D">
        <w:rPr>
          <w:rFonts w:ascii="Arial" w:hAnsi="Arial" w:cs="Arial"/>
          <w:sz w:val="22"/>
          <w:szCs w:val="22"/>
        </w:rPr>
        <w:tab/>
      </w:r>
      <w:r w:rsidRPr="00CB0839">
        <w:rPr>
          <w:rFonts w:ascii="Arial" w:hAnsi="Arial" w:cs="Arial"/>
          <w:sz w:val="22"/>
          <w:szCs w:val="22"/>
        </w:rPr>
        <w:t>As will become apparent from the summary of the pleadings below, the High Court had allowed Art 18 of the Namibian Constitution (administrative justice) to be used as a cause of action and to grant constitutional damages in respect of what is otherwise a private law action for damages. It found a violation of Art 18 of the Constitution by the appellant (an administrative body) and instead of referring the matter back to that body to reconsider the matter as would ordinarily be the case</w:t>
      </w:r>
      <w:bookmarkStart w:id="3" w:name="_ftnref6"/>
      <w:r>
        <w:rPr>
          <w:rStyle w:val="FootnoteReference"/>
          <w:rFonts w:ascii="Arial" w:hAnsi="Arial" w:cs="Arial"/>
          <w:sz w:val="22"/>
          <w:szCs w:val="22"/>
        </w:rPr>
        <w:footnoteReference w:id="21"/>
      </w:r>
      <w:bookmarkEnd w:id="3"/>
      <w:r w:rsidRPr="00CB0839">
        <w:rPr>
          <w:rFonts w:ascii="Arial" w:hAnsi="Arial" w:cs="Arial"/>
          <w:sz w:val="22"/>
          <w:szCs w:val="22"/>
        </w:rPr>
        <w:t xml:space="preserve"> it granted compensation to the aggrieved claimant under the Constitution. That is a significant development in our law. If the High Court’s judgement is allowed to stand it will set a precedent. Mr Coleman for the respondent accepted as much during oral argument. For that reason, we are of the view that this is not a proper case to refuse condonation out of hand without considering the prospects of success.</w:t>
      </w:r>
      <w:r w:rsidR="004A7C1D">
        <w:rPr>
          <w:rFonts w:ascii="Arial" w:hAnsi="Arial" w:cs="Arial"/>
          <w:sz w:val="22"/>
          <w:szCs w:val="22"/>
        </w:rPr>
        <w:t>’</w:t>
      </w:r>
    </w:p>
    <w:p w:rsidR="00221E5F" w:rsidRPr="00CB0839" w:rsidRDefault="00221E5F" w:rsidP="004A7C1D">
      <w:pPr>
        <w:pStyle w:val="NormalWeb"/>
        <w:spacing w:before="0" w:beforeAutospacing="0" w:after="0" w:afterAutospacing="0" w:line="360" w:lineRule="auto"/>
        <w:jc w:val="both"/>
        <w:rPr>
          <w:rFonts w:ascii="Arial" w:hAnsi="Arial" w:cs="Arial"/>
          <w:sz w:val="22"/>
          <w:szCs w:val="22"/>
        </w:rPr>
      </w:pPr>
    </w:p>
    <w:p w:rsidR="000708E7" w:rsidRDefault="00646BDD" w:rsidP="004A7C1D">
      <w:pPr>
        <w:pStyle w:val="Default"/>
        <w:spacing w:line="360" w:lineRule="auto"/>
        <w:jc w:val="both"/>
      </w:pPr>
      <w:r>
        <w:t>[</w:t>
      </w:r>
      <w:r w:rsidR="002B565D">
        <w:t>43</w:t>
      </w:r>
      <w:r>
        <w:t>]</w:t>
      </w:r>
      <w:r>
        <w:tab/>
        <w:t xml:space="preserve">In addition to the </w:t>
      </w:r>
      <w:r w:rsidR="000708E7">
        <w:t>aforementioned there is also the issue of the plaintiffs</w:t>
      </w:r>
      <w:r w:rsidR="00FE3F1B">
        <w:t>’</w:t>
      </w:r>
      <w:r w:rsidR="00E3436B">
        <w:t xml:space="preserve"> </w:t>
      </w:r>
      <w:r w:rsidR="000708E7">
        <w:t xml:space="preserve">failure to plead bad faith on the part of the defendants and failed to plead why monetary damages would be appropriate and necessary. </w:t>
      </w:r>
      <w:r w:rsidR="00022271">
        <w:t>In the event that the plaintiffs failed to plead fraud/dishonesty/corruption will cause the plaintiffs particulars of claim to be exc</w:t>
      </w:r>
      <w:r w:rsidR="00E3436B">
        <w:t>i</w:t>
      </w:r>
      <w:r w:rsidR="00022271">
        <w:t xml:space="preserve">piable. Support for this contention is found in </w:t>
      </w:r>
      <w:r w:rsidR="00022271" w:rsidRPr="00022271">
        <w:rPr>
          <w:rStyle w:val="Emphasis"/>
          <w:color w:val="auto"/>
        </w:rPr>
        <w:t>Minister of Finance and Others v Gore NO</w:t>
      </w:r>
      <w:bookmarkStart w:id="4" w:name="_ftnref19"/>
      <w:r w:rsidR="00022271" w:rsidRPr="00022271">
        <w:rPr>
          <w:rStyle w:val="FootnoteReference"/>
        </w:rPr>
        <w:footnoteReference w:id="22"/>
      </w:r>
      <w:bookmarkEnd w:id="4"/>
      <w:r w:rsidR="00022271" w:rsidRPr="00022271">
        <w:rPr>
          <w:color w:val="auto"/>
        </w:rPr>
        <w:t> </w:t>
      </w:r>
      <w:r w:rsidR="00022271" w:rsidRPr="00022271">
        <w:rPr>
          <w:rStyle w:val="Emphasis"/>
          <w:color w:val="auto"/>
        </w:rPr>
        <w:t>Steenkamp NO v Provincial Tender Board, Eastern Cape</w:t>
      </w:r>
      <w:bookmarkStart w:id="5" w:name="_ftnref20"/>
      <w:r w:rsidR="00022271">
        <w:rPr>
          <w:rStyle w:val="FootnoteReference"/>
          <w:i/>
          <w:iCs/>
          <w:color w:val="auto"/>
        </w:rPr>
        <w:footnoteReference w:id="23"/>
      </w:r>
      <w:hyperlink r:id="rId9" w:anchor="_ftn20" w:history="1"/>
      <w:bookmarkEnd w:id="5"/>
      <w:r w:rsidR="00022271">
        <w:rPr>
          <w:color w:val="auto"/>
        </w:rPr>
        <w:t xml:space="preserve"> </w:t>
      </w:r>
      <w:r w:rsidR="00022271" w:rsidRPr="00022271">
        <w:rPr>
          <w:color w:val="auto"/>
        </w:rPr>
        <w:t>and </w:t>
      </w:r>
      <w:r w:rsidR="00022271" w:rsidRPr="00022271">
        <w:rPr>
          <w:rStyle w:val="Emphasis"/>
          <w:color w:val="auto"/>
        </w:rPr>
        <w:t>South African Post Office v De Lacy and Another</w:t>
      </w:r>
      <w:r w:rsidR="00022271" w:rsidRPr="00022271">
        <w:rPr>
          <w:color w:val="auto"/>
        </w:rPr>
        <w:t> </w:t>
      </w:r>
      <w:bookmarkStart w:id="6" w:name="_ftnref21"/>
      <w:r w:rsidR="00022271">
        <w:rPr>
          <w:rStyle w:val="FootnoteReference"/>
          <w:color w:val="auto"/>
        </w:rPr>
        <w:footnoteReference w:id="24"/>
      </w:r>
      <w:hyperlink r:id="rId10" w:anchor="_ftn21" w:history="1"/>
      <w:bookmarkEnd w:id="6"/>
      <w:r w:rsidR="00022271" w:rsidRPr="00022271">
        <w:rPr>
          <w:color w:val="auto"/>
        </w:rPr>
        <w:t> the respective courts held that irregularities in a tender process falling short of dishonesty, or that merely amount to incompetence or negligence on the part of those awarding a tender, will not found a claim for damages by an unsuccessful tenderer.</w:t>
      </w:r>
      <w:r w:rsidR="00FE3F1B">
        <w:rPr>
          <w:color w:val="auto"/>
        </w:rPr>
        <w:t xml:space="preserve"> </w:t>
      </w:r>
    </w:p>
    <w:p w:rsidR="009E547F" w:rsidRDefault="009E547F" w:rsidP="004A7C1D">
      <w:pPr>
        <w:pStyle w:val="Default"/>
        <w:spacing w:line="360" w:lineRule="auto"/>
        <w:jc w:val="both"/>
      </w:pPr>
    </w:p>
    <w:p w:rsidR="000708E7" w:rsidRPr="0008692B" w:rsidRDefault="000708E7" w:rsidP="004A7C1D">
      <w:pPr>
        <w:pStyle w:val="Default"/>
        <w:spacing w:line="360" w:lineRule="auto"/>
        <w:jc w:val="both"/>
        <w:rPr>
          <w:color w:val="auto"/>
        </w:rPr>
      </w:pPr>
      <w:r>
        <w:t>[</w:t>
      </w:r>
      <w:r w:rsidR="002B565D">
        <w:t>44</w:t>
      </w:r>
      <w:r>
        <w:t xml:space="preserve">] </w:t>
      </w:r>
      <w:r>
        <w:tab/>
      </w:r>
      <w:r w:rsidR="005739A1">
        <w:t xml:space="preserve">In conclusion, I reiterate what I said in </w:t>
      </w:r>
      <w:r w:rsidR="005739A1" w:rsidRPr="002B565D">
        <w:rPr>
          <w:i/>
        </w:rPr>
        <w:t>Chico/Octagon</w:t>
      </w:r>
      <w:r w:rsidR="005739A1">
        <w:t xml:space="preserve"> </w:t>
      </w:r>
      <w:r w:rsidRPr="005739A1">
        <w:rPr>
          <w:color w:val="auto"/>
        </w:rPr>
        <w:t>the plaintiff</w:t>
      </w:r>
      <w:r w:rsidR="00A22823" w:rsidRPr="00A22823">
        <w:rPr>
          <w:color w:val="FF0000"/>
        </w:rPr>
        <w:t>s</w:t>
      </w:r>
      <w:r w:rsidRPr="005739A1">
        <w:rPr>
          <w:color w:val="auto"/>
        </w:rPr>
        <w:t xml:space="preserve"> </w:t>
      </w:r>
      <w:r w:rsidR="005739A1">
        <w:rPr>
          <w:color w:val="auto"/>
        </w:rPr>
        <w:t xml:space="preserve">are </w:t>
      </w:r>
      <w:r w:rsidRPr="005739A1">
        <w:rPr>
          <w:color w:val="auto"/>
        </w:rPr>
        <w:t>entitled to proper administrative legal proceedings</w:t>
      </w:r>
      <w:r w:rsidR="005739A1">
        <w:rPr>
          <w:color w:val="auto"/>
        </w:rPr>
        <w:t xml:space="preserve"> but it does not mean</w:t>
      </w:r>
      <w:r w:rsidRPr="005739A1">
        <w:rPr>
          <w:color w:val="auto"/>
        </w:rPr>
        <w:t xml:space="preserve"> that the breach </w:t>
      </w:r>
      <w:r w:rsidRPr="00A22823">
        <w:rPr>
          <w:color w:val="auto"/>
        </w:rPr>
        <w:t>of</w:t>
      </w:r>
      <w:r w:rsidR="00A22823" w:rsidRPr="00A22823">
        <w:rPr>
          <w:color w:val="auto"/>
        </w:rPr>
        <w:t xml:space="preserve"> </w:t>
      </w:r>
      <w:r w:rsidRPr="00A22823">
        <w:rPr>
          <w:color w:val="auto"/>
        </w:rPr>
        <w:t>the</w:t>
      </w:r>
      <w:r w:rsidRPr="005739A1">
        <w:rPr>
          <w:color w:val="auto"/>
        </w:rPr>
        <w:t xml:space="preserve"> administrative duties necessarily translated into private law duties giving rise to delictual claims</w:t>
      </w:r>
      <w:bookmarkStart w:id="7" w:name="_ftnref26"/>
      <w:r w:rsidRPr="005739A1">
        <w:rPr>
          <w:rStyle w:val="FootnoteReference"/>
          <w:color w:val="auto"/>
        </w:rPr>
        <w:footnoteReference w:id="25"/>
      </w:r>
      <w:bookmarkEnd w:id="7"/>
      <w:r w:rsidRPr="005739A1">
        <w:rPr>
          <w:color w:val="auto"/>
        </w:rPr>
        <w:t xml:space="preserve">. The plaintiff </w:t>
      </w:r>
      <w:r w:rsidR="00D02A99">
        <w:rPr>
          <w:color w:val="auto"/>
        </w:rPr>
        <w:t xml:space="preserve">did </w:t>
      </w:r>
      <w:r w:rsidRPr="005739A1">
        <w:rPr>
          <w:color w:val="auto"/>
        </w:rPr>
        <w:t xml:space="preserve">not plead any facts to demonstrate that </w:t>
      </w:r>
      <w:r w:rsidR="00D02A99">
        <w:rPr>
          <w:color w:val="auto"/>
        </w:rPr>
        <w:t>the present case is exceptiona</w:t>
      </w:r>
      <w:r w:rsidR="00D02A99" w:rsidRPr="00D02A99">
        <w:rPr>
          <w:color w:val="auto"/>
        </w:rPr>
        <w:t>l</w:t>
      </w:r>
      <w:r w:rsidR="00D02A99" w:rsidRPr="0001065E">
        <w:rPr>
          <w:color w:val="auto"/>
        </w:rPr>
        <w:t>ly</w:t>
      </w:r>
      <w:r w:rsidR="00D02A99">
        <w:rPr>
          <w:color w:val="auto"/>
        </w:rPr>
        <w:t xml:space="preserve"> </w:t>
      </w:r>
      <w:r w:rsidRPr="005739A1">
        <w:rPr>
          <w:color w:val="auto"/>
        </w:rPr>
        <w:t xml:space="preserve">entitling it to rely on private law remedies for a breach of a right </w:t>
      </w:r>
      <w:r w:rsidRPr="005739A1">
        <w:rPr>
          <w:color w:val="auto"/>
        </w:rPr>
        <w:lastRenderedPageBreak/>
        <w:t>in the public law domain</w:t>
      </w:r>
      <w:r w:rsidR="005739A1">
        <w:rPr>
          <w:color w:val="auto"/>
        </w:rPr>
        <w:t xml:space="preserve"> and therefore the exception</w:t>
      </w:r>
      <w:r w:rsidR="00D02A99" w:rsidRPr="00D02A99">
        <w:rPr>
          <w:color w:val="FF0000"/>
        </w:rPr>
        <w:t>s</w:t>
      </w:r>
      <w:r w:rsidR="005739A1">
        <w:rPr>
          <w:color w:val="auto"/>
        </w:rPr>
        <w:t xml:space="preserve"> a</w:t>
      </w:r>
      <w:r w:rsidRPr="005739A1">
        <w:rPr>
          <w:color w:val="auto"/>
        </w:rPr>
        <w:t xml:space="preserve">s </w:t>
      </w:r>
      <w:r w:rsidR="005739A1">
        <w:rPr>
          <w:color w:val="auto"/>
        </w:rPr>
        <w:t>raised by the defendants</w:t>
      </w:r>
      <w:r w:rsidR="005739A1" w:rsidRPr="00D02A99">
        <w:rPr>
          <w:strike/>
          <w:color w:val="FF0000"/>
        </w:rPr>
        <w:t xml:space="preserve"> is</w:t>
      </w:r>
      <w:r w:rsidR="00D02A99">
        <w:rPr>
          <w:color w:val="auto"/>
        </w:rPr>
        <w:t xml:space="preserve"> </w:t>
      </w:r>
      <w:r w:rsidR="00D02A99" w:rsidRPr="0001065E">
        <w:rPr>
          <w:color w:val="auto"/>
        </w:rPr>
        <w:t>are</w:t>
      </w:r>
      <w:r w:rsidR="005739A1" w:rsidRPr="00D02A99">
        <w:rPr>
          <w:color w:val="auto"/>
        </w:rPr>
        <w:t xml:space="preserve"> </w:t>
      </w:r>
      <w:r w:rsidRPr="005739A1">
        <w:rPr>
          <w:color w:val="auto"/>
        </w:rPr>
        <w:t>upheld.</w:t>
      </w:r>
      <w:r w:rsidRPr="000708E7">
        <w:rPr>
          <w:sz w:val="22"/>
          <w:szCs w:val="22"/>
        </w:rPr>
        <w:t xml:space="preserve"> </w:t>
      </w:r>
    </w:p>
    <w:p w:rsidR="00CB0839" w:rsidRDefault="00CB0839" w:rsidP="004A7C1D">
      <w:pPr>
        <w:pStyle w:val="Default"/>
        <w:spacing w:line="360" w:lineRule="auto"/>
      </w:pPr>
    </w:p>
    <w:p w:rsidR="00D02A99" w:rsidRDefault="005739A1" w:rsidP="004A7C1D">
      <w:pPr>
        <w:spacing w:after="0" w:line="360" w:lineRule="auto"/>
        <w:jc w:val="both"/>
        <w:rPr>
          <w:rFonts w:ascii="Arial" w:hAnsi="Arial" w:cs="Arial"/>
          <w:sz w:val="24"/>
          <w:szCs w:val="24"/>
          <w:u w:val="single"/>
        </w:rPr>
      </w:pPr>
      <w:r w:rsidRPr="005739A1">
        <w:rPr>
          <w:rFonts w:ascii="Arial" w:hAnsi="Arial" w:cs="Arial"/>
          <w:sz w:val="24"/>
          <w:szCs w:val="24"/>
          <w:u w:val="single"/>
        </w:rPr>
        <w:t>Costs</w:t>
      </w:r>
    </w:p>
    <w:p w:rsidR="004A7C1D" w:rsidRDefault="004A7C1D" w:rsidP="004A7C1D">
      <w:pPr>
        <w:spacing w:after="0" w:line="360" w:lineRule="auto"/>
        <w:jc w:val="both"/>
        <w:rPr>
          <w:rFonts w:ascii="Arial" w:hAnsi="Arial" w:cs="Arial"/>
          <w:sz w:val="24"/>
          <w:szCs w:val="24"/>
        </w:rPr>
      </w:pPr>
    </w:p>
    <w:p w:rsidR="00D02A99" w:rsidRDefault="005739A1" w:rsidP="004A7C1D">
      <w:pPr>
        <w:spacing w:after="0" w:line="360" w:lineRule="auto"/>
        <w:jc w:val="both"/>
        <w:rPr>
          <w:rFonts w:ascii="Arial" w:hAnsi="Arial" w:cs="Arial"/>
          <w:sz w:val="24"/>
          <w:szCs w:val="24"/>
        </w:rPr>
      </w:pPr>
      <w:r w:rsidRPr="005739A1">
        <w:rPr>
          <w:rFonts w:ascii="Arial" w:hAnsi="Arial" w:cs="Arial"/>
          <w:sz w:val="24"/>
          <w:szCs w:val="24"/>
        </w:rPr>
        <w:t>[</w:t>
      </w:r>
      <w:r w:rsidR="002B565D">
        <w:rPr>
          <w:rFonts w:ascii="Arial" w:hAnsi="Arial" w:cs="Arial"/>
          <w:sz w:val="24"/>
          <w:szCs w:val="24"/>
        </w:rPr>
        <w:t>45</w:t>
      </w:r>
      <w:r w:rsidRPr="005739A1">
        <w:rPr>
          <w:rFonts w:ascii="Arial" w:hAnsi="Arial" w:cs="Arial"/>
          <w:sz w:val="24"/>
          <w:szCs w:val="24"/>
        </w:rPr>
        <w:t>]</w:t>
      </w:r>
      <w:r w:rsidRPr="005739A1">
        <w:rPr>
          <w:rFonts w:ascii="Arial" w:hAnsi="Arial" w:cs="Arial"/>
          <w:sz w:val="24"/>
          <w:szCs w:val="24"/>
        </w:rPr>
        <w:tab/>
      </w:r>
      <w:r>
        <w:rPr>
          <w:rFonts w:ascii="Arial" w:hAnsi="Arial" w:cs="Arial"/>
          <w:sz w:val="24"/>
          <w:szCs w:val="24"/>
        </w:rPr>
        <w:t>The parties are in agreement that due to the complexity of this matter the cost should not be capped in terms of rule 32(11)</w:t>
      </w:r>
      <w:r w:rsidR="00CB734F">
        <w:rPr>
          <w:rFonts w:ascii="Arial" w:hAnsi="Arial" w:cs="Arial"/>
          <w:sz w:val="24"/>
          <w:szCs w:val="24"/>
        </w:rPr>
        <w:t>.</w:t>
      </w:r>
    </w:p>
    <w:p w:rsidR="004A7C1D" w:rsidRDefault="004A7C1D" w:rsidP="004A7C1D">
      <w:pPr>
        <w:spacing w:after="0" w:line="360" w:lineRule="auto"/>
        <w:jc w:val="both"/>
        <w:rPr>
          <w:rFonts w:ascii="Arial" w:hAnsi="Arial" w:cs="Arial"/>
          <w:sz w:val="24"/>
          <w:szCs w:val="24"/>
          <w:u w:val="single"/>
        </w:rPr>
      </w:pPr>
    </w:p>
    <w:p w:rsidR="00C80890" w:rsidRDefault="00CB734F" w:rsidP="004A7C1D">
      <w:pPr>
        <w:spacing w:after="0" w:line="360" w:lineRule="auto"/>
        <w:jc w:val="both"/>
        <w:rPr>
          <w:rFonts w:ascii="Arial" w:hAnsi="Arial" w:cs="Arial"/>
          <w:sz w:val="24"/>
          <w:szCs w:val="24"/>
          <w:u w:val="single"/>
        </w:rPr>
      </w:pPr>
      <w:r w:rsidRPr="00CB734F">
        <w:rPr>
          <w:rFonts w:ascii="Arial" w:hAnsi="Arial" w:cs="Arial"/>
          <w:sz w:val="24"/>
          <w:szCs w:val="24"/>
          <w:u w:val="single"/>
        </w:rPr>
        <w:t>Order</w:t>
      </w:r>
    </w:p>
    <w:p w:rsidR="00CB734F" w:rsidRDefault="00CB734F" w:rsidP="004A7C1D">
      <w:pPr>
        <w:spacing w:after="0" w:line="360" w:lineRule="auto"/>
        <w:jc w:val="both"/>
        <w:rPr>
          <w:rFonts w:ascii="Arial" w:hAnsi="Arial" w:cs="Arial"/>
          <w:sz w:val="24"/>
          <w:szCs w:val="24"/>
        </w:rPr>
      </w:pPr>
      <w:r w:rsidRPr="00CB734F">
        <w:rPr>
          <w:rFonts w:ascii="Arial" w:hAnsi="Arial" w:cs="Arial"/>
          <w:sz w:val="24"/>
          <w:szCs w:val="24"/>
        </w:rPr>
        <w:t>[</w:t>
      </w:r>
      <w:r w:rsidR="002B565D">
        <w:rPr>
          <w:rFonts w:ascii="Arial" w:hAnsi="Arial" w:cs="Arial"/>
          <w:sz w:val="24"/>
          <w:szCs w:val="24"/>
        </w:rPr>
        <w:t>46</w:t>
      </w:r>
      <w:r w:rsidRPr="00CB734F">
        <w:rPr>
          <w:rFonts w:ascii="Arial" w:hAnsi="Arial" w:cs="Arial"/>
          <w:sz w:val="24"/>
          <w:szCs w:val="24"/>
        </w:rPr>
        <w:t>]</w:t>
      </w:r>
      <w:r w:rsidRPr="00CB734F">
        <w:rPr>
          <w:rFonts w:ascii="Arial" w:hAnsi="Arial" w:cs="Arial"/>
          <w:sz w:val="24"/>
          <w:szCs w:val="24"/>
        </w:rPr>
        <w:tab/>
      </w:r>
      <w:r>
        <w:rPr>
          <w:rFonts w:ascii="Arial" w:hAnsi="Arial" w:cs="Arial"/>
          <w:sz w:val="24"/>
          <w:szCs w:val="24"/>
        </w:rPr>
        <w:t>My order is therefore as follows:</w:t>
      </w:r>
    </w:p>
    <w:p w:rsidR="008471E4" w:rsidRPr="008471E4" w:rsidRDefault="00CB734F" w:rsidP="004A7C1D">
      <w:pPr>
        <w:pStyle w:val="ListParagraph"/>
        <w:numPr>
          <w:ilvl w:val="0"/>
          <w:numId w:val="5"/>
        </w:numPr>
        <w:spacing w:after="0" w:line="360" w:lineRule="auto"/>
        <w:jc w:val="both"/>
        <w:rPr>
          <w:rFonts w:ascii="Arial" w:hAnsi="Arial" w:cs="Arial"/>
          <w:sz w:val="24"/>
          <w:szCs w:val="24"/>
        </w:rPr>
      </w:pPr>
      <w:r w:rsidRPr="004B5E3E">
        <w:rPr>
          <w:rFonts w:ascii="Arial" w:hAnsi="Arial" w:cs="Arial"/>
          <w:sz w:val="24"/>
          <w:szCs w:val="24"/>
        </w:rPr>
        <w:t>The exception</w:t>
      </w:r>
      <w:r>
        <w:rPr>
          <w:rFonts w:ascii="Arial" w:hAnsi="Arial" w:cs="Arial"/>
          <w:sz w:val="24"/>
          <w:szCs w:val="24"/>
        </w:rPr>
        <w:t>s raised by the defendants</w:t>
      </w:r>
      <w:r w:rsidRPr="004B5E3E">
        <w:rPr>
          <w:rFonts w:ascii="Arial" w:hAnsi="Arial" w:cs="Arial"/>
          <w:sz w:val="24"/>
          <w:szCs w:val="24"/>
        </w:rPr>
        <w:t xml:space="preserve"> are upheld with costs.</w:t>
      </w:r>
    </w:p>
    <w:p w:rsidR="00CB734F" w:rsidRPr="004B5E3E" w:rsidRDefault="00CB734F" w:rsidP="004A7C1D">
      <w:pPr>
        <w:pStyle w:val="ListParagraph"/>
        <w:numPr>
          <w:ilvl w:val="0"/>
          <w:numId w:val="5"/>
        </w:numPr>
        <w:spacing w:after="0" w:line="360" w:lineRule="auto"/>
        <w:jc w:val="both"/>
        <w:rPr>
          <w:rFonts w:ascii="Arial" w:hAnsi="Arial" w:cs="Arial"/>
          <w:sz w:val="24"/>
          <w:szCs w:val="24"/>
        </w:rPr>
      </w:pPr>
      <w:r w:rsidRPr="004B5E3E">
        <w:rPr>
          <w:rFonts w:ascii="Arial" w:hAnsi="Arial" w:cs="Arial"/>
          <w:sz w:val="24"/>
          <w:szCs w:val="24"/>
        </w:rPr>
        <w:t xml:space="preserve">The </w:t>
      </w:r>
      <w:r w:rsidRPr="00154A20">
        <w:rPr>
          <w:rFonts w:ascii="Arial" w:hAnsi="Arial" w:cs="Arial"/>
          <w:sz w:val="24"/>
          <w:szCs w:val="24"/>
        </w:rPr>
        <w:t>plaintiffs</w:t>
      </w:r>
      <w:r>
        <w:rPr>
          <w:rFonts w:ascii="Arial" w:hAnsi="Arial" w:cs="Arial"/>
          <w:sz w:val="24"/>
          <w:szCs w:val="24"/>
        </w:rPr>
        <w:t>’</w:t>
      </w:r>
      <w:r w:rsidRPr="00154A20">
        <w:rPr>
          <w:rFonts w:ascii="Arial" w:hAnsi="Arial" w:cs="Arial"/>
          <w:sz w:val="24"/>
          <w:szCs w:val="24"/>
        </w:rPr>
        <w:t xml:space="preserve"> particulars of claim </w:t>
      </w:r>
      <w:r>
        <w:rPr>
          <w:rFonts w:ascii="Arial" w:hAnsi="Arial" w:cs="Arial"/>
          <w:sz w:val="24"/>
          <w:szCs w:val="24"/>
        </w:rPr>
        <w:t>are</w:t>
      </w:r>
      <w:r w:rsidRPr="00154A20">
        <w:rPr>
          <w:rFonts w:ascii="Arial" w:hAnsi="Arial" w:cs="Arial"/>
          <w:sz w:val="24"/>
          <w:szCs w:val="24"/>
        </w:rPr>
        <w:t xml:space="preserve"> struck and the plaintiff</w:t>
      </w:r>
      <w:r>
        <w:rPr>
          <w:rFonts w:ascii="Arial" w:hAnsi="Arial" w:cs="Arial"/>
          <w:sz w:val="24"/>
          <w:szCs w:val="24"/>
        </w:rPr>
        <w:t>s</w:t>
      </w:r>
      <w:r w:rsidRPr="00154A20">
        <w:rPr>
          <w:rFonts w:ascii="Arial" w:hAnsi="Arial" w:cs="Arial"/>
          <w:sz w:val="24"/>
          <w:szCs w:val="24"/>
        </w:rPr>
        <w:t xml:space="preserve"> </w:t>
      </w:r>
      <w:r>
        <w:rPr>
          <w:rFonts w:ascii="Arial" w:hAnsi="Arial" w:cs="Arial"/>
          <w:sz w:val="24"/>
          <w:szCs w:val="24"/>
        </w:rPr>
        <w:t xml:space="preserve">are </w:t>
      </w:r>
      <w:r w:rsidRPr="00154A20">
        <w:rPr>
          <w:rFonts w:ascii="Arial" w:hAnsi="Arial" w:cs="Arial"/>
          <w:sz w:val="24"/>
          <w:szCs w:val="24"/>
        </w:rPr>
        <w:t xml:space="preserve">granted leave to file its amended particulars of claim, should it be so advised, within </w:t>
      </w:r>
      <w:r>
        <w:rPr>
          <w:rFonts w:ascii="Arial" w:hAnsi="Arial" w:cs="Arial"/>
          <w:sz w:val="24"/>
          <w:szCs w:val="24"/>
        </w:rPr>
        <w:t>30</w:t>
      </w:r>
      <w:r w:rsidRPr="00154A20">
        <w:rPr>
          <w:rFonts w:ascii="Arial" w:hAnsi="Arial" w:cs="Arial"/>
          <w:sz w:val="24"/>
          <w:szCs w:val="24"/>
        </w:rPr>
        <w:t xml:space="preserve"> days from date of release of reasons.</w:t>
      </w:r>
    </w:p>
    <w:p w:rsidR="00CB734F" w:rsidRPr="004B5E3E" w:rsidRDefault="00CB734F" w:rsidP="004A7C1D">
      <w:pPr>
        <w:pStyle w:val="ListParagraph"/>
        <w:numPr>
          <w:ilvl w:val="0"/>
          <w:numId w:val="5"/>
        </w:numPr>
        <w:spacing w:after="0" w:line="360" w:lineRule="auto"/>
        <w:jc w:val="both"/>
        <w:rPr>
          <w:rFonts w:ascii="Arial" w:hAnsi="Arial" w:cs="Arial"/>
          <w:sz w:val="24"/>
          <w:szCs w:val="24"/>
        </w:rPr>
      </w:pPr>
      <w:r w:rsidRPr="004B5E3E">
        <w:rPr>
          <w:rFonts w:ascii="Arial" w:hAnsi="Arial" w:cs="Arial"/>
          <w:sz w:val="24"/>
          <w:szCs w:val="24"/>
        </w:rPr>
        <w:t>Cost shall not be limited to Rule 32(11).</w:t>
      </w:r>
    </w:p>
    <w:p w:rsidR="00CB734F" w:rsidRPr="004B5E3E" w:rsidRDefault="00CB734F" w:rsidP="004A7C1D">
      <w:pPr>
        <w:pStyle w:val="ListParagraph"/>
        <w:numPr>
          <w:ilvl w:val="0"/>
          <w:numId w:val="5"/>
        </w:numPr>
        <w:spacing w:after="0" w:line="360" w:lineRule="auto"/>
        <w:jc w:val="both"/>
        <w:rPr>
          <w:rFonts w:ascii="Arial" w:hAnsi="Arial" w:cs="Arial"/>
          <w:sz w:val="24"/>
          <w:szCs w:val="24"/>
        </w:rPr>
      </w:pPr>
      <w:r w:rsidRPr="004B5E3E">
        <w:rPr>
          <w:rFonts w:ascii="Arial" w:hAnsi="Arial" w:cs="Arial"/>
          <w:sz w:val="24"/>
          <w:szCs w:val="24"/>
        </w:rPr>
        <w:t xml:space="preserve">The matter is postponed to </w:t>
      </w:r>
      <w:r>
        <w:rPr>
          <w:rFonts w:ascii="Arial" w:hAnsi="Arial" w:cs="Arial"/>
          <w:b/>
          <w:sz w:val="24"/>
          <w:szCs w:val="24"/>
        </w:rPr>
        <w:t>11 February 2021</w:t>
      </w:r>
      <w:r w:rsidRPr="004B5E3E">
        <w:rPr>
          <w:rFonts w:ascii="Arial" w:hAnsi="Arial" w:cs="Arial"/>
          <w:sz w:val="24"/>
          <w:szCs w:val="24"/>
        </w:rPr>
        <w:t xml:space="preserve"> at </w:t>
      </w:r>
      <w:r w:rsidRPr="004B5E3E">
        <w:rPr>
          <w:rFonts w:ascii="Arial" w:hAnsi="Arial" w:cs="Arial"/>
          <w:b/>
          <w:sz w:val="24"/>
          <w:szCs w:val="24"/>
        </w:rPr>
        <w:t>15:00</w:t>
      </w:r>
      <w:r w:rsidRPr="004B5E3E">
        <w:rPr>
          <w:rFonts w:ascii="Arial" w:hAnsi="Arial" w:cs="Arial"/>
          <w:sz w:val="24"/>
          <w:szCs w:val="24"/>
        </w:rPr>
        <w:t xml:space="preserve"> for Status Hearing. </w:t>
      </w:r>
    </w:p>
    <w:p w:rsidR="00A3452C" w:rsidRDefault="00CB734F" w:rsidP="004A7C1D">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A j</w:t>
      </w:r>
      <w:r w:rsidRPr="004B5E3E">
        <w:rPr>
          <w:rFonts w:ascii="Arial" w:hAnsi="Arial" w:cs="Arial"/>
          <w:sz w:val="24"/>
          <w:szCs w:val="24"/>
        </w:rPr>
        <w:t xml:space="preserve">oint status report must be filed on or before </w:t>
      </w:r>
      <w:r>
        <w:rPr>
          <w:rFonts w:ascii="Arial" w:hAnsi="Arial" w:cs="Arial"/>
          <w:sz w:val="24"/>
          <w:szCs w:val="24"/>
          <w:u w:val="single"/>
        </w:rPr>
        <w:t>8 February 2021</w:t>
      </w:r>
      <w:r w:rsidRPr="004B5E3E">
        <w:rPr>
          <w:rFonts w:ascii="Arial" w:hAnsi="Arial" w:cs="Arial"/>
          <w:sz w:val="24"/>
          <w:szCs w:val="24"/>
        </w:rPr>
        <w:t xml:space="preserve"> regarding the further conduct of the matter. </w:t>
      </w:r>
    </w:p>
    <w:p w:rsidR="008471E4" w:rsidRDefault="008471E4" w:rsidP="004A7C1D">
      <w:pPr>
        <w:pStyle w:val="ListParagraph"/>
        <w:spacing w:after="0" w:line="360" w:lineRule="auto"/>
        <w:jc w:val="both"/>
        <w:rPr>
          <w:rFonts w:ascii="Arial" w:hAnsi="Arial" w:cs="Arial"/>
          <w:sz w:val="24"/>
          <w:szCs w:val="24"/>
        </w:rPr>
      </w:pPr>
    </w:p>
    <w:p w:rsidR="008471E4" w:rsidRDefault="008471E4" w:rsidP="004A7C1D">
      <w:pPr>
        <w:pStyle w:val="ListParagraph"/>
        <w:spacing w:after="0" w:line="360" w:lineRule="auto"/>
        <w:jc w:val="both"/>
        <w:rPr>
          <w:rFonts w:ascii="Arial" w:hAnsi="Arial" w:cs="Arial"/>
          <w:sz w:val="24"/>
          <w:szCs w:val="24"/>
        </w:rPr>
      </w:pPr>
    </w:p>
    <w:p w:rsidR="008471E4" w:rsidRPr="008471E4" w:rsidRDefault="008471E4" w:rsidP="004A7C1D">
      <w:pPr>
        <w:pStyle w:val="ListParagraph"/>
        <w:spacing w:after="0" w:line="360" w:lineRule="auto"/>
        <w:jc w:val="both"/>
        <w:rPr>
          <w:rFonts w:ascii="Arial" w:hAnsi="Arial" w:cs="Arial"/>
          <w:sz w:val="24"/>
          <w:szCs w:val="24"/>
        </w:rPr>
      </w:pPr>
    </w:p>
    <w:p w:rsidR="00CB734F" w:rsidRDefault="00CB734F" w:rsidP="004A7C1D">
      <w:pPr>
        <w:spacing w:after="0" w:line="360" w:lineRule="auto"/>
        <w:jc w:val="both"/>
        <w:rPr>
          <w:rFonts w:ascii="Arial" w:hAnsi="Arial" w:cs="Arial"/>
          <w:sz w:val="24"/>
          <w:szCs w:val="24"/>
        </w:rPr>
      </w:pPr>
    </w:p>
    <w:p w:rsidR="0001065E" w:rsidRDefault="0001065E" w:rsidP="004A7C1D">
      <w:pPr>
        <w:spacing w:after="0" w:line="360" w:lineRule="auto"/>
        <w:jc w:val="both"/>
        <w:rPr>
          <w:rFonts w:ascii="Arial" w:hAnsi="Arial" w:cs="Arial"/>
          <w:sz w:val="24"/>
          <w:szCs w:val="24"/>
        </w:rPr>
      </w:pPr>
    </w:p>
    <w:p w:rsidR="00DB5978" w:rsidRDefault="00DB5978" w:rsidP="004A7C1D">
      <w:pPr>
        <w:spacing w:after="0" w:line="360" w:lineRule="auto"/>
        <w:ind w:left="5760"/>
        <w:jc w:val="both"/>
        <w:rPr>
          <w:rFonts w:ascii="Arial" w:hAnsi="Arial" w:cs="Arial"/>
          <w:sz w:val="24"/>
          <w:szCs w:val="24"/>
        </w:rPr>
      </w:pPr>
    </w:p>
    <w:p w:rsidR="00CB734F" w:rsidRDefault="00CB734F" w:rsidP="004A7C1D">
      <w:pPr>
        <w:spacing w:after="0" w:line="360" w:lineRule="auto"/>
        <w:ind w:left="5760"/>
        <w:jc w:val="both"/>
        <w:rPr>
          <w:rFonts w:ascii="Arial" w:hAnsi="Arial" w:cs="Arial"/>
          <w:sz w:val="24"/>
          <w:szCs w:val="24"/>
        </w:rPr>
      </w:pPr>
      <w:r>
        <w:rPr>
          <w:rFonts w:ascii="Arial" w:hAnsi="Arial" w:cs="Arial"/>
          <w:sz w:val="24"/>
          <w:szCs w:val="24"/>
        </w:rPr>
        <w:t>_______________________</w:t>
      </w:r>
    </w:p>
    <w:p w:rsidR="00CB734F" w:rsidRDefault="00CB734F" w:rsidP="004A7C1D">
      <w:pPr>
        <w:spacing w:after="0" w:line="360" w:lineRule="auto"/>
        <w:ind w:left="5760"/>
        <w:jc w:val="both"/>
        <w:rPr>
          <w:rFonts w:ascii="Arial" w:hAnsi="Arial" w:cs="Arial"/>
          <w:sz w:val="24"/>
          <w:szCs w:val="24"/>
        </w:rPr>
      </w:pPr>
      <w:r>
        <w:rPr>
          <w:rFonts w:ascii="Arial" w:hAnsi="Arial" w:cs="Arial"/>
          <w:sz w:val="24"/>
          <w:szCs w:val="24"/>
        </w:rPr>
        <w:t>J S Prinsloo</w:t>
      </w:r>
    </w:p>
    <w:p w:rsidR="00CB734F" w:rsidRDefault="00CB734F" w:rsidP="004A7C1D">
      <w:pPr>
        <w:spacing w:after="0" w:line="360" w:lineRule="auto"/>
        <w:ind w:left="5760"/>
        <w:jc w:val="both"/>
        <w:rPr>
          <w:rFonts w:ascii="Arial" w:hAnsi="Arial" w:cs="Arial"/>
          <w:sz w:val="24"/>
          <w:szCs w:val="24"/>
        </w:rPr>
      </w:pPr>
    </w:p>
    <w:p w:rsidR="00CB734F" w:rsidRDefault="00CB734F" w:rsidP="004A7C1D">
      <w:pPr>
        <w:spacing w:after="0" w:line="360" w:lineRule="auto"/>
        <w:ind w:left="5760"/>
        <w:jc w:val="both"/>
        <w:rPr>
          <w:rFonts w:ascii="Arial" w:hAnsi="Arial" w:cs="Arial"/>
          <w:sz w:val="24"/>
          <w:szCs w:val="24"/>
        </w:rPr>
      </w:pPr>
    </w:p>
    <w:p w:rsidR="00CB734F" w:rsidRDefault="00CB734F" w:rsidP="004A7C1D">
      <w:pPr>
        <w:spacing w:after="0" w:line="360" w:lineRule="auto"/>
        <w:ind w:left="5760"/>
        <w:jc w:val="both"/>
        <w:rPr>
          <w:rFonts w:ascii="Arial" w:hAnsi="Arial" w:cs="Arial"/>
          <w:sz w:val="24"/>
          <w:szCs w:val="24"/>
        </w:rPr>
      </w:pPr>
    </w:p>
    <w:p w:rsidR="00CB734F" w:rsidRDefault="00CB734F" w:rsidP="004A7C1D">
      <w:pPr>
        <w:spacing w:after="0" w:line="360" w:lineRule="auto"/>
        <w:ind w:left="5760"/>
        <w:jc w:val="both"/>
        <w:rPr>
          <w:rFonts w:ascii="Arial" w:hAnsi="Arial" w:cs="Arial"/>
          <w:sz w:val="24"/>
          <w:szCs w:val="24"/>
        </w:rPr>
      </w:pPr>
    </w:p>
    <w:p w:rsidR="00CB734F" w:rsidRDefault="00CB734F" w:rsidP="004A7C1D">
      <w:pPr>
        <w:spacing w:after="0" w:line="360" w:lineRule="auto"/>
        <w:ind w:left="5760"/>
        <w:jc w:val="both"/>
        <w:rPr>
          <w:rFonts w:ascii="Arial" w:hAnsi="Arial" w:cs="Arial"/>
          <w:sz w:val="24"/>
          <w:szCs w:val="24"/>
        </w:rPr>
      </w:pPr>
    </w:p>
    <w:p w:rsidR="00DB5978" w:rsidRDefault="00DB5978" w:rsidP="004A7C1D">
      <w:pPr>
        <w:spacing w:after="0" w:line="360" w:lineRule="auto"/>
        <w:ind w:left="5760"/>
        <w:jc w:val="both"/>
        <w:rPr>
          <w:rFonts w:ascii="Arial" w:hAnsi="Arial" w:cs="Arial"/>
          <w:sz w:val="24"/>
          <w:szCs w:val="24"/>
        </w:rPr>
      </w:pPr>
    </w:p>
    <w:p w:rsidR="00DB5978" w:rsidRDefault="00DB5978" w:rsidP="004A7C1D">
      <w:pPr>
        <w:spacing w:after="0" w:line="360" w:lineRule="auto"/>
        <w:ind w:left="5760"/>
        <w:jc w:val="both"/>
        <w:rPr>
          <w:rFonts w:ascii="Arial" w:hAnsi="Arial" w:cs="Arial"/>
          <w:sz w:val="24"/>
          <w:szCs w:val="24"/>
        </w:rPr>
      </w:pPr>
    </w:p>
    <w:p w:rsidR="004A7C1D" w:rsidRDefault="004A7C1D">
      <w:pPr>
        <w:rPr>
          <w:rFonts w:ascii="Arial" w:hAnsi="Arial" w:cs="Arial"/>
          <w:sz w:val="24"/>
          <w:szCs w:val="24"/>
        </w:rPr>
      </w:pPr>
      <w:r>
        <w:rPr>
          <w:rFonts w:ascii="Arial" w:hAnsi="Arial" w:cs="Arial"/>
          <w:sz w:val="24"/>
          <w:szCs w:val="24"/>
        </w:rPr>
        <w:br w:type="page"/>
      </w:r>
    </w:p>
    <w:p w:rsidR="00CB734F" w:rsidRPr="004B5E3E" w:rsidRDefault="00CB734F" w:rsidP="004A7C1D">
      <w:pPr>
        <w:spacing w:after="0" w:line="360" w:lineRule="auto"/>
        <w:jc w:val="both"/>
        <w:rPr>
          <w:rFonts w:ascii="Arial" w:hAnsi="Arial" w:cs="Arial"/>
          <w:sz w:val="24"/>
          <w:szCs w:val="24"/>
        </w:rPr>
      </w:pPr>
      <w:r w:rsidRPr="004B5E3E">
        <w:rPr>
          <w:rFonts w:ascii="Arial" w:hAnsi="Arial" w:cs="Arial"/>
          <w:sz w:val="24"/>
          <w:szCs w:val="24"/>
        </w:rPr>
        <w:lastRenderedPageBreak/>
        <w:t>APPEARANCES</w:t>
      </w:r>
    </w:p>
    <w:p w:rsidR="00CB734F" w:rsidRPr="004B5E3E" w:rsidRDefault="00CB734F" w:rsidP="004A7C1D">
      <w:pPr>
        <w:spacing w:after="0" w:line="360" w:lineRule="auto"/>
        <w:contextualSpacing/>
        <w:rPr>
          <w:rFonts w:ascii="Arial" w:hAnsi="Arial" w:cs="Arial"/>
          <w:sz w:val="24"/>
          <w:szCs w:val="24"/>
        </w:rPr>
      </w:pPr>
    </w:p>
    <w:p w:rsidR="00CB734F" w:rsidRPr="004B5E3E" w:rsidRDefault="00CB734F" w:rsidP="004A7C1D">
      <w:pPr>
        <w:spacing w:after="0" w:line="360" w:lineRule="auto"/>
        <w:ind w:left="2880" w:hanging="2880"/>
        <w:contextualSpacing/>
        <w:rPr>
          <w:rFonts w:ascii="Arial" w:hAnsi="Arial" w:cs="Arial"/>
          <w:sz w:val="24"/>
          <w:szCs w:val="24"/>
        </w:rPr>
      </w:pPr>
      <w:r w:rsidRPr="004B5E3E">
        <w:rPr>
          <w:rFonts w:ascii="Arial" w:hAnsi="Arial" w:cs="Arial"/>
          <w:sz w:val="24"/>
          <w:szCs w:val="24"/>
        </w:rPr>
        <w:t xml:space="preserve">PLAINTIFF: </w:t>
      </w:r>
      <w:r w:rsidRPr="004B5E3E">
        <w:rPr>
          <w:rFonts w:ascii="Arial" w:hAnsi="Arial" w:cs="Arial"/>
          <w:sz w:val="24"/>
          <w:szCs w:val="24"/>
        </w:rPr>
        <w:tab/>
      </w:r>
      <w:r w:rsidRPr="004B5E3E">
        <w:rPr>
          <w:rFonts w:ascii="Arial" w:hAnsi="Arial" w:cs="Arial"/>
          <w:sz w:val="24"/>
          <w:szCs w:val="24"/>
        </w:rPr>
        <w:tab/>
      </w:r>
      <w:r w:rsidRPr="004B5E3E">
        <w:rPr>
          <w:rFonts w:ascii="Arial" w:hAnsi="Arial" w:cs="Arial"/>
          <w:sz w:val="24"/>
          <w:szCs w:val="24"/>
        </w:rPr>
        <w:tab/>
        <w:t xml:space="preserve">     </w:t>
      </w:r>
      <w:r>
        <w:rPr>
          <w:rFonts w:ascii="Arial" w:hAnsi="Arial" w:cs="Arial"/>
          <w:sz w:val="24"/>
          <w:szCs w:val="24"/>
        </w:rPr>
        <w:t>PC Eia</w:t>
      </w:r>
      <w:r>
        <w:rPr>
          <w:rFonts w:ascii="Arial" w:hAnsi="Arial" w:cs="Arial"/>
          <w:sz w:val="24"/>
          <w:szCs w:val="24"/>
        </w:rPr>
        <w:tab/>
      </w:r>
      <w:r w:rsidRPr="004B5E3E">
        <w:rPr>
          <w:rFonts w:ascii="Arial" w:hAnsi="Arial" w:cs="Arial"/>
          <w:sz w:val="24"/>
          <w:szCs w:val="24"/>
        </w:rPr>
        <w:tab/>
      </w:r>
      <w:r w:rsidRPr="004B5E3E">
        <w:rPr>
          <w:rFonts w:ascii="Arial" w:hAnsi="Arial" w:cs="Arial"/>
          <w:sz w:val="24"/>
          <w:szCs w:val="24"/>
        </w:rPr>
        <w:tab/>
      </w:r>
      <w:r>
        <w:rPr>
          <w:rFonts w:ascii="Arial" w:hAnsi="Arial" w:cs="Arial"/>
          <w:sz w:val="24"/>
          <w:szCs w:val="24"/>
        </w:rPr>
        <w:tab/>
      </w:r>
      <w:r>
        <w:rPr>
          <w:rFonts w:ascii="Arial" w:hAnsi="Arial" w:cs="Arial"/>
          <w:sz w:val="24"/>
          <w:szCs w:val="24"/>
        </w:rPr>
        <w:tab/>
      </w:r>
      <w:r w:rsidRPr="004B5E3E">
        <w:rPr>
          <w:rFonts w:ascii="Arial" w:hAnsi="Arial" w:cs="Arial"/>
          <w:sz w:val="24"/>
          <w:szCs w:val="24"/>
        </w:rPr>
        <w:tab/>
        <w:t xml:space="preserve">               Instructed by </w:t>
      </w:r>
      <w:r>
        <w:rPr>
          <w:rFonts w:ascii="Arial" w:hAnsi="Arial" w:cs="Arial"/>
          <w:sz w:val="24"/>
          <w:szCs w:val="24"/>
        </w:rPr>
        <w:t>Koep and Partners</w:t>
      </w:r>
    </w:p>
    <w:p w:rsidR="00CB734F" w:rsidRPr="004B5E3E" w:rsidRDefault="00CB734F" w:rsidP="004A7C1D">
      <w:pPr>
        <w:spacing w:after="0"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w:t>
      </w:r>
      <w:r w:rsidRPr="004B5E3E">
        <w:rPr>
          <w:rFonts w:ascii="Arial" w:hAnsi="Arial" w:cs="Arial"/>
          <w:sz w:val="24"/>
          <w:szCs w:val="24"/>
        </w:rPr>
        <w:t>indhoek</w:t>
      </w:r>
    </w:p>
    <w:p w:rsidR="00CB734F" w:rsidRPr="004B5E3E" w:rsidRDefault="00CB734F" w:rsidP="004A7C1D">
      <w:pPr>
        <w:spacing w:after="0" w:line="360" w:lineRule="auto"/>
        <w:contextualSpacing/>
        <w:rPr>
          <w:rFonts w:ascii="Arial" w:hAnsi="Arial" w:cs="Arial"/>
          <w:sz w:val="24"/>
          <w:szCs w:val="24"/>
        </w:rPr>
      </w:pPr>
    </w:p>
    <w:p w:rsidR="00CB734F" w:rsidRDefault="00CB734F" w:rsidP="004A7C1D">
      <w:pPr>
        <w:spacing w:after="0" w:line="360" w:lineRule="auto"/>
        <w:contextualSpacing/>
        <w:rPr>
          <w:rFonts w:ascii="Arial" w:hAnsi="Arial" w:cs="Arial"/>
          <w:sz w:val="24"/>
          <w:szCs w:val="24"/>
        </w:rPr>
      </w:pPr>
      <w:r w:rsidRPr="004B5E3E">
        <w:rPr>
          <w:rFonts w:ascii="Arial" w:hAnsi="Arial" w:cs="Arial"/>
          <w:sz w:val="24"/>
          <w:szCs w:val="24"/>
        </w:rPr>
        <w:t>DEFENDANT:</w:t>
      </w:r>
      <w:r w:rsidRPr="004B5E3E">
        <w:rPr>
          <w:rFonts w:ascii="Arial" w:hAnsi="Arial" w:cs="Arial"/>
          <w:sz w:val="24"/>
          <w:szCs w:val="24"/>
        </w:rPr>
        <w:tab/>
      </w:r>
      <w:r w:rsidRPr="004B5E3E">
        <w:rPr>
          <w:rFonts w:ascii="Arial" w:hAnsi="Arial" w:cs="Arial"/>
          <w:sz w:val="24"/>
          <w:szCs w:val="24"/>
        </w:rPr>
        <w:tab/>
      </w:r>
      <w:r w:rsidRPr="004B5E3E">
        <w:rPr>
          <w:rFonts w:ascii="Arial" w:hAnsi="Arial" w:cs="Arial"/>
          <w:sz w:val="24"/>
          <w:szCs w:val="24"/>
        </w:rPr>
        <w:tab/>
      </w:r>
      <w:r w:rsidRPr="004B5E3E">
        <w:rPr>
          <w:rFonts w:ascii="Arial" w:hAnsi="Arial" w:cs="Arial"/>
          <w:sz w:val="24"/>
          <w:szCs w:val="24"/>
        </w:rPr>
        <w:tab/>
        <w:t xml:space="preserve">  </w:t>
      </w:r>
      <w:r>
        <w:rPr>
          <w:rFonts w:ascii="Arial" w:hAnsi="Arial" w:cs="Arial"/>
          <w:sz w:val="24"/>
          <w:szCs w:val="24"/>
        </w:rPr>
        <w:t xml:space="preserve">  S Namandje</w:t>
      </w:r>
      <w:r w:rsidRPr="004B5E3E">
        <w:rPr>
          <w:rFonts w:ascii="Arial" w:hAnsi="Arial" w:cs="Arial"/>
          <w:sz w:val="24"/>
          <w:szCs w:val="24"/>
        </w:rPr>
        <w:t xml:space="preserve"> </w:t>
      </w:r>
      <w:r w:rsidRPr="004B5E3E">
        <w:rPr>
          <w:rFonts w:ascii="Arial" w:hAnsi="Arial" w:cs="Arial"/>
          <w:sz w:val="24"/>
          <w:szCs w:val="24"/>
        </w:rPr>
        <w:tab/>
      </w:r>
      <w:r w:rsidRPr="004B5E3E">
        <w:rPr>
          <w:rFonts w:ascii="Arial" w:hAnsi="Arial" w:cs="Arial"/>
          <w:sz w:val="24"/>
          <w:szCs w:val="24"/>
        </w:rPr>
        <w:tab/>
        <w:t xml:space="preserve">     </w:t>
      </w:r>
      <w:r>
        <w:rPr>
          <w:rFonts w:ascii="Arial" w:hAnsi="Arial" w:cs="Arial"/>
          <w:sz w:val="24"/>
          <w:szCs w:val="24"/>
        </w:rPr>
        <w:t xml:space="preserve">   </w:t>
      </w:r>
    </w:p>
    <w:p w:rsidR="00CB734F" w:rsidRPr="004B5E3E" w:rsidRDefault="00CB734F" w:rsidP="004A7C1D">
      <w:pPr>
        <w:spacing w:after="0"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Instructed by Government Attorney</w:t>
      </w:r>
    </w:p>
    <w:p w:rsidR="00CB734F" w:rsidRPr="004B5E3E" w:rsidRDefault="00CB734F" w:rsidP="004A7C1D">
      <w:pPr>
        <w:spacing w:after="0" w:line="36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B734F" w:rsidRPr="004B5E3E" w:rsidRDefault="00CB734F" w:rsidP="004A7C1D">
      <w:pPr>
        <w:pStyle w:val="western"/>
        <w:shd w:val="clear" w:color="auto" w:fill="FFFFFF"/>
        <w:spacing w:before="0" w:beforeAutospacing="0" w:after="0" w:afterAutospacing="0" w:line="360" w:lineRule="auto"/>
        <w:ind w:left="1080"/>
        <w:jc w:val="both"/>
        <w:rPr>
          <w:rFonts w:ascii="Arial" w:hAnsi="Arial" w:cs="Arial"/>
        </w:rPr>
      </w:pPr>
    </w:p>
    <w:p w:rsidR="00CB734F" w:rsidRPr="00CB734F" w:rsidRDefault="00CB734F" w:rsidP="004A7C1D">
      <w:pPr>
        <w:spacing w:after="0" w:line="360" w:lineRule="auto"/>
        <w:jc w:val="both"/>
        <w:rPr>
          <w:rFonts w:ascii="Arial" w:hAnsi="Arial" w:cs="Arial"/>
          <w:sz w:val="24"/>
          <w:szCs w:val="24"/>
        </w:rPr>
      </w:pPr>
    </w:p>
    <w:sectPr w:rsidR="00CB734F" w:rsidRPr="00CB734F" w:rsidSect="00DB597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0A" w:rsidRDefault="00751A0A" w:rsidP="000E4924">
      <w:pPr>
        <w:spacing w:after="0" w:line="240" w:lineRule="auto"/>
      </w:pPr>
      <w:r>
        <w:separator/>
      </w:r>
    </w:p>
  </w:endnote>
  <w:endnote w:type="continuationSeparator" w:id="0">
    <w:p w:rsidR="00751A0A" w:rsidRDefault="00751A0A" w:rsidP="000E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0A" w:rsidRDefault="00751A0A" w:rsidP="000E4924">
      <w:pPr>
        <w:spacing w:after="0" w:line="240" w:lineRule="auto"/>
      </w:pPr>
      <w:r>
        <w:separator/>
      </w:r>
    </w:p>
  </w:footnote>
  <w:footnote w:type="continuationSeparator" w:id="0">
    <w:p w:rsidR="00751A0A" w:rsidRDefault="00751A0A" w:rsidP="000E4924">
      <w:pPr>
        <w:spacing w:after="0" w:line="240" w:lineRule="auto"/>
      </w:pPr>
      <w:r>
        <w:continuationSeparator/>
      </w:r>
    </w:p>
  </w:footnote>
  <w:footnote w:id="1">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The Tender Board has since been replaced by the Central Procurement Board of Namibia (in terms of Section 80(1) of Act 15 of 2015) (“the Act”) (“the Procurement Board”)</w:t>
      </w:r>
      <w:r w:rsidR="00C5052F" w:rsidRPr="000E56EE">
        <w:rPr>
          <w:rFonts w:ascii="Arial" w:hAnsi="Arial" w:cs="Arial"/>
        </w:rPr>
        <w:t>.</w:t>
      </w:r>
    </w:p>
  </w:footnote>
  <w:footnote w:id="2">
    <w:p w:rsidR="00FE3F1B" w:rsidRPr="000E56EE" w:rsidRDefault="00FE3F1B" w:rsidP="00BA36E5">
      <w:pPr>
        <w:autoSpaceDE w:val="0"/>
        <w:autoSpaceDN w:val="0"/>
        <w:adjustRightInd w:val="0"/>
        <w:spacing w:after="0" w:line="240" w:lineRule="auto"/>
        <w:rPr>
          <w:rFonts w:ascii="Arial" w:hAnsi="Arial" w:cs="Arial"/>
          <w:sz w:val="20"/>
          <w:szCs w:val="20"/>
        </w:rPr>
      </w:pPr>
      <w:r w:rsidRPr="000E56EE">
        <w:rPr>
          <w:rStyle w:val="FootnoteReference"/>
          <w:rFonts w:ascii="Arial" w:hAnsi="Arial" w:cs="Arial"/>
          <w:sz w:val="20"/>
          <w:szCs w:val="20"/>
        </w:rPr>
        <w:footnoteRef/>
      </w:r>
      <w:r w:rsidRPr="000E56EE">
        <w:rPr>
          <w:rFonts w:ascii="Arial" w:hAnsi="Arial" w:cs="Arial"/>
          <w:sz w:val="20"/>
          <w:szCs w:val="20"/>
        </w:rPr>
        <w:t xml:space="preserve"> First Plaintiff (Pamo), the Khomas Region, Second Plaintiff (Circle), the Otjozondjupa Region, Third Plaintiff (Pisces), the Kavango and Zambezi Regions.</w:t>
      </w:r>
    </w:p>
  </w:footnote>
  <w:footnote w:id="3">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Main Division-Windhoek, Case No: A349/2014</w:t>
      </w:r>
      <w:r w:rsidR="00515A3E" w:rsidRPr="000E56EE">
        <w:rPr>
          <w:rFonts w:ascii="Arial" w:hAnsi="Arial" w:cs="Arial"/>
        </w:rPr>
        <w:t>.</w:t>
      </w:r>
    </w:p>
  </w:footnote>
  <w:footnote w:id="4">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SA 2/2017 delivered 3 July 2019 at para 55.</w:t>
      </w:r>
    </w:p>
  </w:footnote>
  <w:footnote w:id="5">
    <w:p w:rsidR="00FE3F1B" w:rsidRPr="000E56EE" w:rsidRDefault="00FE3F1B" w:rsidP="00023D1A">
      <w:pPr>
        <w:pStyle w:val="Default"/>
        <w:spacing w:line="276" w:lineRule="auto"/>
        <w:jc w:val="both"/>
        <w:rPr>
          <w:sz w:val="20"/>
          <w:szCs w:val="20"/>
        </w:rPr>
      </w:pPr>
      <w:r w:rsidRPr="000E56EE">
        <w:rPr>
          <w:rStyle w:val="FootnoteReference"/>
          <w:sz w:val="20"/>
          <w:szCs w:val="20"/>
        </w:rPr>
        <w:footnoteRef/>
      </w:r>
      <w:r w:rsidRPr="000E56EE">
        <w:rPr>
          <w:sz w:val="20"/>
          <w:szCs w:val="20"/>
        </w:rPr>
        <w:t xml:space="preserve"> “Acceptance of tenders, and entry into force of agreements </w:t>
      </w:r>
    </w:p>
    <w:p w:rsidR="00FE3F1B" w:rsidRPr="000E56EE" w:rsidRDefault="00FE3F1B" w:rsidP="00023D1A">
      <w:pPr>
        <w:pStyle w:val="Default"/>
        <w:spacing w:line="276" w:lineRule="auto"/>
        <w:jc w:val="both"/>
        <w:rPr>
          <w:sz w:val="20"/>
          <w:szCs w:val="20"/>
        </w:rPr>
      </w:pPr>
      <w:r w:rsidRPr="000E56EE">
        <w:rPr>
          <w:iCs/>
          <w:sz w:val="20"/>
          <w:szCs w:val="20"/>
        </w:rPr>
        <w:t xml:space="preserve">16.(1) The Board shall in every particular case - </w:t>
      </w:r>
    </w:p>
    <w:p w:rsidR="00FE3F1B" w:rsidRPr="000E56EE" w:rsidRDefault="00FE3F1B" w:rsidP="00023D1A">
      <w:pPr>
        <w:pStyle w:val="Default"/>
        <w:spacing w:line="276" w:lineRule="auto"/>
        <w:jc w:val="both"/>
        <w:rPr>
          <w:sz w:val="20"/>
          <w:szCs w:val="20"/>
        </w:rPr>
      </w:pPr>
      <w:r w:rsidRPr="000E56EE">
        <w:rPr>
          <w:iCs/>
          <w:sz w:val="20"/>
          <w:szCs w:val="20"/>
        </w:rPr>
        <w:t xml:space="preserve">(a) notify the tenderers concerned in writing of the acceptance or rejection of their tenders, as the case may be, and the name of the tenderer whose tender has been accepted by the Board shall be made known to all the other tenderers; </w:t>
      </w:r>
    </w:p>
    <w:p w:rsidR="00FE3F1B" w:rsidRPr="000E56EE" w:rsidRDefault="00FE3F1B" w:rsidP="00023D1A">
      <w:pPr>
        <w:pStyle w:val="Default"/>
        <w:spacing w:line="276" w:lineRule="auto"/>
        <w:jc w:val="both"/>
        <w:rPr>
          <w:sz w:val="20"/>
          <w:szCs w:val="20"/>
        </w:rPr>
      </w:pPr>
      <w:r w:rsidRPr="000E56EE">
        <w:rPr>
          <w:iCs/>
          <w:sz w:val="20"/>
          <w:szCs w:val="20"/>
        </w:rPr>
        <w:t xml:space="preserve">(b) on the written request of a tenderer, give reasons for the acceptance or rejection of his or her tender. </w:t>
      </w:r>
    </w:p>
    <w:p w:rsidR="00FE3F1B" w:rsidRPr="000E56EE" w:rsidRDefault="00FE3F1B" w:rsidP="00023D1A">
      <w:pPr>
        <w:pStyle w:val="Default"/>
        <w:spacing w:line="276" w:lineRule="auto"/>
        <w:jc w:val="both"/>
        <w:rPr>
          <w:sz w:val="20"/>
          <w:szCs w:val="20"/>
        </w:rPr>
      </w:pPr>
      <w:r w:rsidRPr="000E56EE">
        <w:rPr>
          <w:iCs/>
          <w:sz w:val="20"/>
          <w:szCs w:val="20"/>
        </w:rPr>
        <w:t xml:space="preserve">(2) Where in terms of a title of tender – </w:t>
      </w:r>
    </w:p>
    <w:p w:rsidR="00FE3F1B" w:rsidRPr="000E56EE" w:rsidRDefault="00FE3F1B" w:rsidP="00023D1A">
      <w:pPr>
        <w:pStyle w:val="Default"/>
        <w:spacing w:line="276" w:lineRule="auto"/>
        <w:jc w:val="both"/>
        <w:rPr>
          <w:sz w:val="20"/>
          <w:szCs w:val="20"/>
        </w:rPr>
      </w:pPr>
      <w:r w:rsidRPr="000E56EE">
        <w:rPr>
          <w:iCs/>
          <w:sz w:val="20"/>
          <w:szCs w:val="20"/>
        </w:rPr>
        <w:t xml:space="preserve">(a) a written agreement is required to be concluded after the acceptance of a tender, the Board and the tenderer concerned shall, within 30 days from the date on which that tenderer was notified accordingly in terms of subsection (1)(a) or within such extended period as the Board may determine, enter into such an agreement; </w:t>
      </w:r>
    </w:p>
    <w:p w:rsidR="00FE3F1B" w:rsidRPr="000E56EE" w:rsidRDefault="00FE3F1B" w:rsidP="00023D1A">
      <w:pPr>
        <w:spacing w:line="276" w:lineRule="auto"/>
        <w:jc w:val="both"/>
        <w:rPr>
          <w:rFonts w:ascii="Arial" w:hAnsi="Arial" w:cs="Arial"/>
          <w:sz w:val="20"/>
          <w:szCs w:val="20"/>
        </w:rPr>
      </w:pPr>
      <w:r w:rsidRPr="000E56EE">
        <w:rPr>
          <w:rFonts w:ascii="Arial" w:hAnsi="Arial" w:cs="Arial"/>
          <w:iCs/>
          <w:sz w:val="20"/>
          <w:szCs w:val="20"/>
        </w:rPr>
        <w:t>(b) a written agreement is not required to be so concluded, an agreement shall come into force on the date on which the tenderer concerned is notified in terms of subsection (1)(a) of the acceptance of his or her tender.</w:t>
      </w:r>
      <w:r w:rsidRPr="000E56EE">
        <w:rPr>
          <w:rFonts w:ascii="Arial" w:hAnsi="Arial" w:cs="Arial"/>
          <w:sz w:val="20"/>
          <w:szCs w:val="20"/>
        </w:rPr>
        <w:t>”</w:t>
      </w:r>
    </w:p>
  </w:footnote>
  <w:footnote w:id="6">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Act 16 of 1996.</w:t>
      </w:r>
    </w:p>
  </w:footnote>
  <w:footnote w:id="7">
    <w:p w:rsidR="00FE3F1B" w:rsidRPr="000E56EE" w:rsidRDefault="00FE3F1B" w:rsidP="00DF2C96">
      <w:pPr>
        <w:pStyle w:val="Default"/>
        <w:rPr>
          <w:sz w:val="20"/>
          <w:szCs w:val="20"/>
        </w:rPr>
      </w:pPr>
      <w:r w:rsidRPr="000E56EE">
        <w:rPr>
          <w:rStyle w:val="FootnoteReference"/>
          <w:sz w:val="20"/>
          <w:szCs w:val="20"/>
        </w:rPr>
        <w:footnoteRef/>
      </w:r>
      <w:r w:rsidRPr="000E56EE">
        <w:rPr>
          <w:sz w:val="20"/>
          <w:szCs w:val="20"/>
        </w:rPr>
        <w:t xml:space="preserve"> ‘Award of procurement contracts </w:t>
      </w:r>
    </w:p>
    <w:p w:rsidR="00FE3F1B" w:rsidRPr="000E56EE" w:rsidRDefault="00FE3F1B" w:rsidP="00DF2C96">
      <w:pPr>
        <w:pStyle w:val="Default"/>
        <w:rPr>
          <w:sz w:val="20"/>
          <w:szCs w:val="20"/>
        </w:rPr>
      </w:pPr>
      <w:r w:rsidRPr="000E56EE">
        <w:rPr>
          <w:iCs/>
          <w:sz w:val="20"/>
          <w:szCs w:val="20"/>
        </w:rPr>
        <w:t xml:space="preserve">   55. (4) An accounting officer must, in the prescribed manner and form, notify - </w:t>
      </w:r>
    </w:p>
    <w:p w:rsidR="00FE3F1B" w:rsidRPr="000E56EE" w:rsidRDefault="00FE3F1B" w:rsidP="00DF2C96">
      <w:pPr>
        <w:pStyle w:val="FootnoteText"/>
        <w:rPr>
          <w:rFonts w:ascii="Arial" w:hAnsi="Arial" w:cs="Arial"/>
        </w:rPr>
      </w:pPr>
      <w:r w:rsidRPr="000E56EE">
        <w:rPr>
          <w:rFonts w:ascii="Arial" w:hAnsi="Arial" w:cs="Arial"/>
          <w:iCs/>
        </w:rPr>
        <w:t xml:space="preserve">        (a) the successful bidder of the selection of its bid for award;’</w:t>
      </w:r>
    </w:p>
  </w:footnote>
  <w:footnote w:id="8">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Act 15 of 2015.</w:t>
      </w:r>
    </w:p>
  </w:footnote>
  <w:footnote w:id="9">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2015 (1) All SA 152 at para 44.  </w:t>
      </w:r>
    </w:p>
  </w:footnote>
  <w:footnote w:id="10">
    <w:p w:rsidR="00FE3F1B" w:rsidRPr="000E56EE" w:rsidRDefault="00FE3F1B" w:rsidP="00A61F11">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2019 (2) NR </w:t>
      </w:r>
      <w:r w:rsidR="007F4BA9" w:rsidRPr="000E56EE">
        <w:rPr>
          <w:rFonts w:ascii="Arial" w:hAnsi="Arial" w:cs="Arial"/>
        </w:rPr>
        <w:t>540 para</w:t>
      </w:r>
      <w:r w:rsidRPr="000E56EE">
        <w:rPr>
          <w:rFonts w:ascii="Arial" w:hAnsi="Arial" w:cs="Arial"/>
        </w:rPr>
        <w:t xml:space="preserve">. 27.  </w:t>
      </w:r>
    </w:p>
  </w:footnote>
  <w:footnote w:id="11">
    <w:p w:rsidR="00FE3F1B" w:rsidRPr="000E56EE" w:rsidRDefault="00FE3F1B">
      <w:pPr>
        <w:pStyle w:val="FootnoteText"/>
        <w:rPr>
          <w:rFonts w:ascii="Arial" w:hAnsi="Arial" w:cs="Arial"/>
          <w:i/>
        </w:rPr>
      </w:pPr>
      <w:r w:rsidRPr="000E56EE">
        <w:rPr>
          <w:rStyle w:val="FootnoteReference"/>
          <w:rFonts w:ascii="Arial" w:hAnsi="Arial" w:cs="Arial"/>
        </w:rPr>
        <w:footnoteRef/>
      </w:r>
      <w:r w:rsidRPr="000E56EE">
        <w:rPr>
          <w:rFonts w:ascii="Arial" w:hAnsi="Arial" w:cs="Arial"/>
        </w:rPr>
        <w:t xml:space="preserve"> (HC-MD-CIV-ACT-DEL-2017/00697) [2020] NAHCMD 135</w:t>
      </w:r>
      <w:r w:rsidRPr="000E56EE">
        <w:rPr>
          <w:rFonts w:ascii="Arial" w:hAnsi="Arial" w:cs="Arial"/>
          <w:color w:val="FF0000"/>
        </w:rPr>
        <w:t xml:space="preserve"> </w:t>
      </w:r>
      <w:r w:rsidRPr="000E56EE">
        <w:rPr>
          <w:rFonts w:ascii="Arial" w:hAnsi="Arial" w:cs="Arial"/>
        </w:rPr>
        <w:t>(24 April 2020)</w:t>
      </w:r>
      <w:r w:rsidR="00A22823" w:rsidRPr="000E56EE">
        <w:rPr>
          <w:rFonts w:ascii="Arial" w:hAnsi="Arial" w:cs="Arial"/>
        </w:rPr>
        <w:t>.</w:t>
      </w:r>
    </w:p>
  </w:footnote>
  <w:footnote w:id="12">
    <w:p w:rsidR="00FE3F1B" w:rsidRPr="000E56EE" w:rsidRDefault="00FE3F1B" w:rsidP="00FC3150">
      <w:pPr>
        <w:pStyle w:val="FootnoteText"/>
        <w:jc w:val="both"/>
        <w:rPr>
          <w:rFonts w:ascii="Arial" w:hAnsi="Arial" w:cs="Arial"/>
          <w:lang w:val="af-ZA"/>
        </w:rPr>
      </w:pPr>
      <w:r w:rsidRPr="000E56EE">
        <w:rPr>
          <w:rStyle w:val="FootnoteReference"/>
          <w:rFonts w:ascii="Arial" w:hAnsi="Arial" w:cs="Arial"/>
        </w:rPr>
        <w:footnoteRef/>
      </w:r>
      <w:r w:rsidRPr="000E56EE">
        <w:rPr>
          <w:rFonts w:ascii="Arial" w:hAnsi="Arial" w:cs="Arial"/>
        </w:rPr>
        <w:t xml:space="preserve"> 2016 (3) NR 747 (SC).</w:t>
      </w:r>
    </w:p>
  </w:footnote>
  <w:footnote w:id="13">
    <w:p w:rsidR="00FE3F1B" w:rsidRPr="000E56EE" w:rsidRDefault="00FE3F1B" w:rsidP="00FC3150">
      <w:pPr>
        <w:pStyle w:val="FootnoteText"/>
        <w:jc w:val="both"/>
        <w:rPr>
          <w:rFonts w:ascii="Arial" w:hAnsi="Arial" w:cs="Arial"/>
          <w:lang w:val="af-ZA"/>
        </w:rPr>
      </w:pPr>
      <w:r w:rsidRPr="000E56EE">
        <w:rPr>
          <w:rStyle w:val="FootnoteReference"/>
          <w:rFonts w:ascii="Arial" w:hAnsi="Arial" w:cs="Arial"/>
        </w:rPr>
        <w:footnoteRef/>
      </w:r>
      <w:r w:rsidRPr="000E56EE">
        <w:rPr>
          <w:rFonts w:ascii="Arial" w:hAnsi="Arial" w:cs="Arial"/>
        </w:rPr>
        <w:t xml:space="preserve"> 2018 (3) NR 641 (SC).</w:t>
      </w:r>
    </w:p>
  </w:footnote>
  <w:footnote w:id="14">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Supra at footnote</w:t>
      </w:r>
      <w:r w:rsidR="00A22823" w:rsidRPr="000E56EE">
        <w:rPr>
          <w:rFonts w:ascii="Arial" w:hAnsi="Arial" w:cs="Arial"/>
        </w:rPr>
        <w:t xml:space="preserve"> 11.</w:t>
      </w:r>
    </w:p>
  </w:footnote>
  <w:footnote w:id="15">
    <w:p w:rsidR="00FE3F1B" w:rsidRPr="000E56EE" w:rsidRDefault="00FE3F1B" w:rsidP="00F7288D">
      <w:pPr>
        <w:pStyle w:val="FootnoteText"/>
        <w:jc w:val="both"/>
        <w:rPr>
          <w:rFonts w:ascii="Arial" w:hAnsi="Arial" w:cs="Arial"/>
        </w:rPr>
      </w:pPr>
      <w:r w:rsidRPr="000E56EE">
        <w:rPr>
          <w:rStyle w:val="FootnoteReference"/>
          <w:rFonts w:ascii="Arial" w:hAnsi="Arial" w:cs="Arial"/>
        </w:rPr>
        <w:footnoteRef/>
      </w:r>
      <w:r w:rsidRPr="000E56EE">
        <w:rPr>
          <w:rFonts w:ascii="Arial" w:hAnsi="Arial" w:cs="Arial"/>
        </w:rPr>
        <w:t xml:space="preserve"> 2015 (2) NR 381 (SC) para 21. This court referred with approval to a number of authorities eg </w:t>
      </w:r>
      <w:r w:rsidRPr="000E56EE">
        <w:rPr>
          <w:rStyle w:val="Emphasis"/>
          <w:rFonts w:ascii="Arial" w:hAnsi="Arial" w:cs="Arial"/>
        </w:rPr>
        <w:t>Knop v Johannesburg City Council</w:t>
      </w:r>
      <w:r w:rsidRPr="000E56EE">
        <w:rPr>
          <w:rFonts w:ascii="Arial" w:hAnsi="Arial" w:cs="Arial"/>
        </w:rPr>
        <w:t> 1995 (2) SA 1 A at 33B-E; </w:t>
      </w:r>
      <w:r w:rsidRPr="000E56EE">
        <w:rPr>
          <w:rStyle w:val="Emphasis"/>
          <w:rFonts w:ascii="Arial" w:hAnsi="Arial" w:cs="Arial"/>
        </w:rPr>
        <w:t>Olitzki Property Holdings v State Tender Board &amp; another</w:t>
      </w:r>
      <w:r w:rsidRPr="000E56EE">
        <w:rPr>
          <w:rFonts w:ascii="Arial" w:hAnsi="Arial" w:cs="Arial"/>
        </w:rPr>
        <w:t> 2001 (3) SA 1247 (SCA); </w:t>
      </w:r>
      <w:r w:rsidRPr="000E56EE">
        <w:rPr>
          <w:rStyle w:val="Emphasis"/>
          <w:rFonts w:ascii="Arial" w:hAnsi="Arial" w:cs="Arial"/>
        </w:rPr>
        <w:t>Rail Commuters Action Group &amp; others v Transnet Ltd t/a Metrorail &amp; others</w:t>
      </w:r>
      <w:r w:rsidRPr="000E56EE">
        <w:rPr>
          <w:rFonts w:ascii="Arial" w:hAnsi="Arial" w:cs="Arial"/>
        </w:rPr>
        <w:t> 2005 (2) SA 359 (CC); and </w:t>
      </w:r>
      <w:r w:rsidRPr="000E56EE">
        <w:rPr>
          <w:rStyle w:val="Emphasis"/>
          <w:rFonts w:ascii="Arial" w:hAnsi="Arial" w:cs="Arial"/>
        </w:rPr>
        <w:t>Steenkamp NO v Provincial Tender Board, Eastern Cape</w:t>
      </w:r>
      <w:r w:rsidRPr="000E56EE">
        <w:rPr>
          <w:rFonts w:ascii="Arial" w:hAnsi="Arial" w:cs="Arial"/>
        </w:rPr>
        <w:t> 2007 (3) SA</w:t>
      </w:r>
      <w:r w:rsidRPr="000E56EE">
        <w:rPr>
          <w:rFonts w:ascii="Arial" w:hAnsi="Arial" w:cs="Arial"/>
          <w:shd w:val="clear" w:color="auto" w:fill="F8F8F8"/>
        </w:rPr>
        <w:t xml:space="preserve"> 121 (CC).</w:t>
      </w:r>
    </w:p>
  </w:footnote>
  <w:footnote w:id="16">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2017 (3) NR 898 (SC) para 36 (This judgment post-dates the judgment of the court </w:t>
      </w:r>
      <w:r w:rsidRPr="000E56EE">
        <w:rPr>
          <w:rStyle w:val="Emphasis"/>
          <w:rFonts w:ascii="Arial" w:hAnsi="Arial" w:cs="Arial"/>
        </w:rPr>
        <w:t>a quo.</w:t>
      </w:r>
    </w:p>
  </w:footnote>
  <w:footnote w:id="17">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w:t>
      </w:r>
      <w:r w:rsidRPr="000E56EE">
        <w:rPr>
          <w:rFonts w:ascii="Arial" w:hAnsi="Arial" w:cs="Arial"/>
          <w:bCs/>
          <w:shd w:val="clear" w:color="auto" w:fill="FFFFFF"/>
        </w:rPr>
        <w:t>(HC-MD-CIV-ACT-DEL-2018/3647) [2019] NAHCMD 172 (23 April 2019)</w:t>
      </w:r>
      <w:r w:rsidR="00A22823" w:rsidRPr="000E56EE">
        <w:rPr>
          <w:rFonts w:ascii="Arial" w:hAnsi="Arial" w:cs="Arial"/>
          <w:bCs/>
          <w:shd w:val="clear" w:color="auto" w:fill="FFFFFF"/>
        </w:rPr>
        <w:t>.</w:t>
      </w:r>
    </w:p>
  </w:footnote>
  <w:footnote w:id="18">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w:t>
      </w:r>
      <w:r w:rsidRPr="000E56EE">
        <w:rPr>
          <w:rStyle w:val="Emphasis"/>
          <w:rFonts w:ascii="Arial" w:hAnsi="Arial" w:cs="Arial"/>
        </w:rPr>
        <w:t>Free Namibia Caterers Cc v Chairperson of the Tender Board of Namibia and Others</w:t>
      </w:r>
      <w:r w:rsidRPr="000E56EE">
        <w:rPr>
          <w:rFonts w:ascii="Arial" w:hAnsi="Arial" w:cs="Arial"/>
        </w:rPr>
        <w:t> 2017 (3) NR 898 (SC).</w:t>
      </w:r>
    </w:p>
  </w:footnote>
  <w:footnote w:id="19">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rPr>
        <w:t xml:space="preserve"> 2001 (3) SA 1247 (SCA).</w:t>
      </w:r>
    </w:p>
  </w:footnote>
  <w:footnote w:id="20">
    <w:p w:rsidR="00FE3F1B" w:rsidRPr="000E56EE" w:rsidRDefault="00FE3F1B" w:rsidP="009E547F">
      <w:pPr>
        <w:pStyle w:val="FootnoteText"/>
        <w:jc w:val="both"/>
        <w:rPr>
          <w:rFonts w:ascii="Arial" w:hAnsi="Arial" w:cs="Arial"/>
        </w:rPr>
      </w:pPr>
      <w:r w:rsidRPr="000E56EE">
        <w:rPr>
          <w:rStyle w:val="FootnoteReference"/>
          <w:rFonts w:ascii="Arial" w:hAnsi="Arial" w:cs="Arial"/>
        </w:rPr>
        <w:footnoteRef/>
      </w:r>
      <w:r w:rsidRPr="000E56EE">
        <w:rPr>
          <w:rFonts w:ascii="Arial" w:hAnsi="Arial" w:cs="Arial"/>
        </w:rPr>
        <w:t xml:space="preserve"> 2018 (3) </w:t>
      </w:r>
      <w:r w:rsidR="00A22823" w:rsidRPr="000E56EE">
        <w:rPr>
          <w:rFonts w:ascii="Arial" w:hAnsi="Arial" w:cs="Arial"/>
        </w:rPr>
        <w:t>NR 829</w:t>
      </w:r>
      <w:r w:rsidRPr="000E56EE">
        <w:rPr>
          <w:rFonts w:ascii="Arial" w:hAnsi="Arial" w:cs="Arial"/>
        </w:rPr>
        <w:t xml:space="preserve"> at para 4</w:t>
      </w:r>
      <w:r w:rsidR="00A22823" w:rsidRPr="000E56EE">
        <w:rPr>
          <w:rFonts w:ascii="Arial" w:hAnsi="Arial" w:cs="Arial"/>
        </w:rPr>
        <w:t>.</w:t>
      </w:r>
    </w:p>
  </w:footnote>
  <w:footnote w:id="21">
    <w:p w:rsidR="00FE3F1B" w:rsidRPr="000E56EE" w:rsidRDefault="00FE3F1B" w:rsidP="009E547F">
      <w:pPr>
        <w:pStyle w:val="FootnoteText"/>
        <w:jc w:val="both"/>
        <w:rPr>
          <w:rFonts w:ascii="Arial" w:hAnsi="Arial" w:cs="Arial"/>
        </w:rPr>
      </w:pPr>
      <w:r w:rsidRPr="000E56EE">
        <w:rPr>
          <w:rStyle w:val="FootnoteReference"/>
          <w:rFonts w:ascii="Arial" w:hAnsi="Arial" w:cs="Arial"/>
        </w:rPr>
        <w:footnoteRef/>
      </w:r>
      <w:r w:rsidRPr="000E56EE">
        <w:rPr>
          <w:rFonts w:ascii="Arial" w:hAnsi="Arial" w:cs="Arial"/>
        </w:rPr>
        <w:t xml:space="preserve"> </w:t>
      </w:r>
      <w:r w:rsidRPr="000E56EE">
        <w:rPr>
          <w:rStyle w:val="Emphasis"/>
          <w:rFonts w:ascii="Arial" w:hAnsi="Arial" w:cs="Arial"/>
        </w:rPr>
        <w:t>Waterberg Big Game Hunting Lodge v Minister of Environment</w:t>
      </w:r>
      <w:r w:rsidRPr="000E56EE">
        <w:rPr>
          <w:rFonts w:ascii="Arial" w:hAnsi="Arial" w:cs="Arial"/>
        </w:rPr>
        <w:t> 2010 (1) NR 1 (SC) at 31F-G; </w:t>
      </w:r>
      <w:r w:rsidRPr="000E56EE">
        <w:rPr>
          <w:rStyle w:val="Emphasis"/>
          <w:rFonts w:ascii="Arial" w:hAnsi="Arial" w:cs="Arial"/>
        </w:rPr>
        <w:t>Minister of Education &amp; others v Free Namibia Caterers</w:t>
      </w:r>
      <w:r w:rsidRPr="000E56EE">
        <w:rPr>
          <w:rFonts w:ascii="Arial" w:hAnsi="Arial" w:cs="Arial"/>
        </w:rPr>
        <w:t> </w:t>
      </w:r>
      <w:r w:rsidRPr="000E56EE">
        <w:rPr>
          <w:rStyle w:val="Emphasis"/>
          <w:rFonts w:ascii="Arial" w:hAnsi="Arial" w:cs="Arial"/>
        </w:rPr>
        <w:t>(Pty) Ltd</w:t>
      </w:r>
      <w:r w:rsidRPr="000E56EE">
        <w:rPr>
          <w:rFonts w:ascii="Arial" w:hAnsi="Arial" w:cs="Arial"/>
        </w:rPr>
        <w:t> 2013 (4) NR 1061 (SC) at 1083C-J and 1084A-E.</w:t>
      </w:r>
    </w:p>
  </w:footnote>
  <w:footnote w:id="22">
    <w:p w:rsidR="00FE3F1B" w:rsidRPr="000E56EE" w:rsidRDefault="00FE3F1B" w:rsidP="009E547F">
      <w:pPr>
        <w:pStyle w:val="FootnoteText"/>
        <w:jc w:val="both"/>
        <w:rPr>
          <w:rFonts w:ascii="Arial" w:hAnsi="Arial" w:cs="Arial"/>
        </w:rPr>
      </w:pPr>
      <w:r w:rsidRPr="000E56EE">
        <w:rPr>
          <w:rStyle w:val="FootnoteReference"/>
          <w:rFonts w:ascii="Arial" w:hAnsi="Arial" w:cs="Arial"/>
        </w:rPr>
        <w:footnoteRef/>
      </w:r>
      <w:r w:rsidRPr="000E56EE">
        <w:rPr>
          <w:rFonts w:ascii="Arial" w:hAnsi="Arial" w:cs="Arial"/>
          <w:color w:val="4A4A4A"/>
          <w:shd w:val="clear" w:color="auto" w:fill="F8F8F8"/>
        </w:rPr>
        <w:t> </w:t>
      </w:r>
      <w:hyperlink r:id="rId1" w:tooltip="View LawCiteRecord" w:history="1">
        <w:r w:rsidRPr="000E56EE">
          <w:rPr>
            <w:rStyle w:val="Hyperlink"/>
            <w:rFonts w:ascii="Arial" w:hAnsi="Arial" w:cs="Arial"/>
            <w:color w:val="auto"/>
            <w:u w:val="none"/>
          </w:rPr>
          <w:t>2007 (1) SA 111</w:t>
        </w:r>
      </w:hyperlink>
      <w:r w:rsidRPr="000E56EE">
        <w:rPr>
          <w:rFonts w:ascii="Arial" w:hAnsi="Arial" w:cs="Arial"/>
        </w:rPr>
        <w:t> (SCA).</w:t>
      </w:r>
    </w:p>
  </w:footnote>
  <w:footnote w:id="23">
    <w:p w:rsidR="00FE3F1B" w:rsidRPr="000E56EE" w:rsidRDefault="00FE3F1B" w:rsidP="009E547F">
      <w:pPr>
        <w:pStyle w:val="FootnoteText"/>
        <w:jc w:val="both"/>
        <w:rPr>
          <w:rFonts w:ascii="Arial" w:hAnsi="Arial" w:cs="Arial"/>
          <w:color w:val="FF0000"/>
        </w:rPr>
      </w:pPr>
      <w:r w:rsidRPr="000E56EE">
        <w:rPr>
          <w:rStyle w:val="FootnoteReference"/>
          <w:rFonts w:ascii="Arial" w:hAnsi="Arial" w:cs="Arial"/>
        </w:rPr>
        <w:footnoteRef/>
      </w:r>
      <w:r w:rsidRPr="000E56EE">
        <w:rPr>
          <w:rFonts w:ascii="Arial" w:hAnsi="Arial" w:cs="Arial"/>
        </w:rPr>
        <w:t xml:space="preserve"> Supra Footnote</w:t>
      </w:r>
      <w:r w:rsidR="00D02A99" w:rsidRPr="000E56EE">
        <w:rPr>
          <w:rFonts w:ascii="Arial" w:hAnsi="Arial" w:cs="Arial"/>
        </w:rPr>
        <w:t xml:space="preserve"> 15.</w:t>
      </w:r>
    </w:p>
  </w:footnote>
  <w:footnote w:id="24">
    <w:p w:rsidR="00FE3F1B" w:rsidRPr="000E56EE" w:rsidRDefault="00FE3F1B" w:rsidP="009E547F">
      <w:pPr>
        <w:pStyle w:val="FootnoteText"/>
        <w:jc w:val="both"/>
        <w:rPr>
          <w:rFonts w:ascii="Arial" w:hAnsi="Arial" w:cs="Arial"/>
        </w:rPr>
      </w:pPr>
      <w:r w:rsidRPr="000E56EE">
        <w:rPr>
          <w:rStyle w:val="FootnoteReference"/>
          <w:rFonts w:ascii="Arial" w:hAnsi="Arial" w:cs="Arial"/>
        </w:rPr>
        <w:footnoteRef/>
      </w:r>
      <w:r w:rsidRPr="000E56EE">
        <w:rPr>
          <w:rFonts w:ascii="Arial" w:hAnsi="Arial" w:cs="Arial"/>
        </w:rPr>
        <w:t xml:space="preserve"> </w:t>
      </w:r>
      <w:hyperlink r:id="rId2" w:tooltip="View LawCiteRecord" w:history="1">
        <w:r w:rsidRPr="000E56EE">
          <w:rPr>
            <w:rStyle w:val="Hyperlink"/>
            <w:rFonts w:ascii="Arial" w:hAnsi="Arial" w:cs="Arial"/>
            <w:color w:val="auto"/>
            <w:u w:val="none"/>
          </w:rPr>
          <w:t>2009 (5) SA 255</w:t>
        </w:r>
      </w:hyperlink>
      <w:r w:rsidRPr="000E56EE">
        <w:rPr>
          <w:rFonts w:ascii="Arial" w:hAnsi="Arial" w:cs="Arial"/>
        </w:rPr>
        <w:t> (SCA)</w:t>
      </w:r>
    </w:p>
  </w:footnote>
  <w:footnote w:id="25">
    <w:p w:rsidR="00FE3F1B" w:rsidRPr="000E56EE" w:rsidRDefault="00FE3F1B">
      <w:pPr>
        <w:pStyle w:val="FootnoteText"/>
        <w:rPr>
          <w:rFonts w:ascii="Arial" w:hAnsi="Arial" w:cs="Arial"/>
        </w:rPr>
      </w:pPr>
      <w:r w:rsidRPr="000E56EE">
        <w:rPr>
          <w:rStyle w:val="FootnoteReference"/>
          <w:rFonts w:ascii="Arial" w:hAnsi="Arial" w:cs="Arial"/>
        </w:rPr>
        <w:footnoteRef/>
      </w:r>
      <w:r w:rsidRPr="000E56EE">
        <w:rPr>
          <w:rFonts w:ascii="Arial" w:hAnsi="Arial" w:cs="Arial"/>
          <w:color w:val="4A4A4A"/>
          <w:shd w:val="clear" w:color="auto" w:fill="F8F8F8"/>
        </w:rPr>
        <w:t> </w:t>
      </w:r>
      <w:r w:rsidRPr="000E56EE">
        <w:rPr>
          <w:rFonts w:ascii="Arial" w:hAnsi="Arial" w:cs="Arial"/>
          <w:i/>
        </w:rPr>
        <w:t>Home Talk v Ekurhuleni Metropolitan Municipality</w:t>
      </w:r>
      <w:r w:rsidRPr="000E56EE">
        <w:rPr>
          <w:rFonts w:ascii="Arial" w:hAnsi="Arial" w:cs="Arial"/>
        </w:rPr>
        <w:t xml:space="preserve"> (225/2016) [2017] ZASCA 77 (2 June 2017); Steenkamp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682180"/>
      <w:docPartObj>
        <w:docPartGallery w:val="Page Numbers (Top of Page)"/>
        <w:docPartUnique/>
      </w:docPartObj>
    </w:sdtPr>
    <w:sdtEndPr>
      <w:rPr>
        <w:noProof/>
      </w:rPr>
    </w:sdtEndPr>
    <w:sdtContent>
      <w:p w:rsidR="00DB5978" w:rsidRDefault="00DB5978">
        <w:pPr>
          <w:pStyle w:val="Header"/>
          <w:jc w:val="right"/>
        </w:pPr>
        <w:r>
          <w:fldChar w:fldCharType="begin"/>
        </w:r>
        <w:r>
          <w:instrText xml:space="preserve"> PAGE   \* MERGEFORMAT </w:instrText>
        </w:r>
        <w:r>
          <w:fldChar w:fldCharType="separate"/>
        </w:r>
        <w:r w:rsidR="002F6AF4">
          <w:rPr>
            <w:noProof/>
          </w:rPr>
          <w:t>2</w:t>
        </w:r>
        <w:r>
          <w:rPr>
            <w:noProof/>
          </w:rPr>
          <w:fldChar w:fldCharType="end"/>
        </w:r>
      </w:p>
    </w:sdtContent>
  </w:sdt>
  <w:p w:rsidR="00DB5978" w:rsidRDefault="00DB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307DFA"/>
    <w:multiLevelType w:val="hybridMultilevel"/>
    <w:tmpl w:val="7D5021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53931"/>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6B05"/>
    <w:multiLevelType w:val="hybridMultilevel"/>
    <w:tmpl w:val="31EEE050"/>
    <w:lvl w:ilvl="0" w:tplc="27FC44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505F2B"/>
    <w:multiLevelType w:val="hybridMultilevel"/>
    <w:tmpl w:val="C7EA0FC8"/>
    <w:lvl w:ilvl="0" w:tplc="9BBE50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0F84606"/>
    <w:multiLevelType w:val="hybridMultilevel"/>
    <w:tmpl w:val="D702E8A8"/>
    <w:lvl w:ilvl="0" w:tplc="F3803F70">
      <w:start w:val="1"/>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B9273D3"/>
    <w:multiLevelType w:val="hybridMultilevel"/>
    <w:tmpl w:val="DBC0CD90"/>
    <w:lvl w:ilvl="0" w:tplc="618215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00003A"/>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3516D"/>
    <w:multiLevelType w:val="hybridMultilevel"/>
    <w:tmpl w:val="A55EA304"/>
    <w:lvl w:ilvl="0" w:tplc="84B23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11A86"/>
    <w:multiLevelType w:val="hybridMultilevel"/>
    <w:tmpl w:val="2E862224"/>
    <w:lvl w:ilvl="0" w:tplc="8C4494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C117109"/>
    <w:multiLevelType w:val="hybridMultilevel"/>
    <w:tmpl w:val="94D8AF62"/>
    <w:lvl w:ilvl="0" w:tplc="399EE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1"/>
  </w:num>
  <w:num w:numId="6">
    <w:abstractNumId w:val="3"/>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AB"/>
    <w:rsid w:val="0001065E"/>
    <w:rsid w:val="00022271"/>
    <w:rsid w:val="00023D1A"/>
    <w:rsid w:val="000530B2"/>
    <w:rsid w:val="000708E7"/>
    <w:rsid w:val="0008692B"/>
    <w:rsid w:val="000B2F99"/>
    <w:rsid w:val="000E190A"/>
    <w:rsid w:val="000E4924"/>
    <w:rsid w:val="000E56EE"/>
    <w:rsid w:val="0017774C"/>
    <w:rsid w:val="00221E5F"/>
    <w:rsid w:val="00237665"/>
    <w:rsid w:val="00280777"/>
    <w:rsid w:val="002867E1"/>
    <w:rsid w:val="00287425"/>
    <w:rsid w:val="002A385F"/>
    <w:rsid w:val="002B565D"/>
    <w:rsid w:val="002B7391"/>
    <w:rsid w:val="002F6AF4"/>
    <w:rsid w:val="003036BD"/>
    <w:rsid w:val="003313FB"/>
    <w:rsid w:val="00366837"/>
    <w:rsid w:val="00372D8E"/>
    <w:rsid w:val="003875C9"/>
    <w:rsid w:val="0039788A"/>
    <w:rsid w:val="003A666F"/>
    <w:rsid w:val="003C0F2E"/>
    <w:rsid w:val="003D61C4"/>
    <w:rsid w:val="00430C4F"/>
    <w:rsid w:val="00452897"/>
    <w:rsid w:val="00481DEC"/>
    <w:rsid w:val="004A4C25"/>
    <w:rsid w:val="004A7C1D"/>
    <w:rsid w:val="004F1120"/>
    <w:rsid w:val="00515A3E"/>
    <w:rsid w:val="005646D2"/>
    <w:rsid w:val="00567E15"/>
    <w:rsid w:val="005739A1"/>
    <w:rsid w:val="00595106"/>
    <w:rsid w:val="005B3FE7"/>
    <w:rsid w:val="005D7B68"/>
    <w:rsid w:val="005F4C17"/>
    <w:rsid w:val="00602AA1"/>
    <w:rsid w:val="00643B67"/>
    <w:rsid w:val="00646BDD"/>
    <w:rsid w:val="00665ABD"/>
    <w:rsid w:val="00683EC4"/>
    <w:rsid w:val="00694AC8"/>
    <w:rsid w:val="006C1090"/>
    <w:rsid w:val="00736F6B"/>
    <w:rsid w:val="00742DFD"/>
    <w:rsid w:val="00751A0A"/>
    <w:rsid w:val="007541CC"/>
    <w:rsid w:val="00774F4F"/>
    <w:rsid w:val="007F4BA9"/>
    <w:rsid w:val="008471E4"/>
    <w:rsid w:val="008772D2"/>
    <w:rsid w:val="00881731"/>
    <w:rsid w:val="008A2B3B"/>
    <w:rsid w:val="008A2C55"/>
    <w:rsid w:val="008B399F"/>
    <w:rsid w:val="008B5C93"/>
    <w:rsid w:val="008B771B"/>
    <w:rsid w:val="008F1D11"/>
    <w:rsid w:val="009076E8"/>
    <w:rsid w:val="00912EB5"/>
    <w:rsid w:val="00931C29"/>
    <w:rsid w:val="00952C13"/>
    <w:rsid w:val="00974A9F"/>
    <w:rsid w:val="009E1D1C"/>
    <w:rsid w:val="009E3DB9"/>
    <w:rsid w:val="009E547F"/>
    <w:rsid w:val="00A22823"/>
    <w:rsid w:val="00A3452C"/>
    <w:rsid w:val="00A42731"/>
    <w:rsid w:val="00A61F11"/>
    <w:rsid w:val="00AD088E"/>
    <w:rsid w:val="00B112C2"/>
    <w:rsid w:val="00B45BEF"/>
    <w:rsid w:val="00B713AB"/>
    <w:rsid w:val="00B75214"/>
    <w:rsid w:val="00BA36E5"/>
    <w:rsid w:val="00C10453"/>
    <w:rsid w:val="00C202E1"/>
    <w:rsid w:val="00C36C54"/>
    <w:rsid w:val="00C416EC"/>
    <w:rsid w:val="00C5052F"/>
    <w:rsid w:val="00C80890"/>
    <w:rsid w:val="00CB0839"/>
    <w:rsid w:val="00CB734F"/>
    <w:rsid w:val="00CD1C16"/>
    <w:rsid w:val="00D02A99"/>
    <w:rsid w:val="00D779F4"/>
    <w:rsid w:val="00DB5978"/>
    <w:rsid w:val="00DC6AD3"/>
    <w:rsid w:val="00DE08A6"/>
    <w:rsid w:val="00DF2C96"/>
    <w:rsid w:val="00E11A2E"/>
    <w:rsid w:val="00E3398E"/>
    <w:rsid w:val="00E3436B"/>
    <w:rsid w:val="00E3516C"/>
    <w:rsid w:val="00E82773"/>
    <w:rsid w:val="00EC0CB4"/>
    <w:rsid w:val="00EC3F90"/>
    <w:rsid w:val="00F0469E"/>
    <w:rsid w:val="00F5594B"/>
    <w:rsid w:val="00F7288D"/>
    <w:rsid w:val="00F85CA7"/>
    <w:rsid w:val="00FB19EB"/>
    <w:rsid w:val="00FC3150"/>
    <w:rsid w:val="00FE3F1B"/>
    <w:rsid w:val="00FE581B"/>
    <w:rsid w:val="00FE7B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2784-0146-495A-86F4-67DCA3F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6C"/>
    <w:pPr>
      <w:ind w:left="720"/>
      <w:contextualSpacing/>
    </w:pPr>
  </w:style>
  <w:style w:type="paragraph" w:styleId="FootnoteText">
    <w:name w:val="footnote text"/>
    <w:basedOn w:val="Normal"/>
    <w:link w:val="FootnoteTextChar"/>
    <w:uiPriority w:val="99"/>
    <w:unhideWhenUsed/>
    <w:rsid w:val="000E4924"/>
    <w:pPr>
      <w:spacing w:after="0" w:line="240" w:lineRule="auto"/>
    </w:pPr>
    <w:rPr>
      <w:sz w:val="20"/>
      <w:szCs w:val="20"/>
    </w:rPr>
  </w:style>
  <w:style w:type="character" w:customStyle="1" w:styleId="FootnoteTextChar">
    <w:name w:val="Footnote Text Char"/>
    <w:basedOn w:val="DefaultParagraphFont"/>
    <w:link w:val="FootnoteText"/>
    <w:uiPriority w:val="99"/>
    <w:rsid w:val="000E4924"/>
    <w:rPr>
      <w:sz w:val="20"/>
      <w:szCs w:val="20"/>
    </w:rPr>
  </w:style>
  <w:style w:type="character" w:styleId="FootnoteReference">
    <w:name w:val="footnote reference"/>
    <w:basedOn w:val="DefaultParagraphFont"/>
    <w:uiPriority w:val="99"/>
    <w:semiHidden/>
    <w:unhideWhenUsed/>
    <w:rsid w:val="000E4924"/>
    <w:rPr>
      <w:vertAlign w:val="superscript"/>
    </w:rPr>
  </w:style>
  <w:style w:type="paragraph" w:customStyle="1" w:styleId="western">
    <w:name w:val="western"/>
    <w:basedOn w:val="Normal"/>
    <w:rsid w:val="00FC31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430C4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2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99"/>
    <w:rPr>
      <w:rFonts w:ascii="Segoe UI" w:hAnsi="Segoe UI" w:cs="Segoe UI"/>
      <w:sz w:val="18"/>
      <w:szCs w:val="18"/>
    </w:rPr>
  </w:style>
  <w:style w:type="paragraph" w:styleId="NormalWeb">
    <w:name w:val="Normal (Web)"/>
    <w:basedOn w:val="Normal"/>
    <w:uiPriority w:val="99"/>
    <w:unhideWhenUsed/>
    <w:rsid w:val="00CB083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B0839"/>
    <w:rPr>
      <w:color w:val="0000FF"/>
      <w:u w:val="single"/>
    </w:rPr>
  </w:style>
  <w:style w:type="character" w:styleId="Emphasis">
    <w:name w:val="Emphasis"/>
    <w:basedOn w:val="DefaultParagraphFont"/>
    <w:uiPriority w:val="20"/>
    <w:qFormat/>
    <w:rsid w:val="00CB0839"/>
    <w:rPr>
      <w:i/>
      <w:iCs/>
    </w:rPr>
  </w:style>
  <w:style w:type="paragraph" w:customStyle="1" w:styleId="rteindent1">
    <w:name w:val="rteindent1"/>
    <w:basedOn w:val="Normal"/>
    <w:rsid w:val="00CD1C1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DB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78"/>
  </w:style>
  <w:style w:type="paragraph" w:styleId="Footer">
    <w:name w:val="footer"/>
    <w:basedOn w:val="Normal"/>
    <w:link w:val="FooterChar"/>
    <w:uiPriority w:val="99"/>
    <w:unhideWhenUsed/>
    <w:rsid w:val="00DB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3402">
      <w:bodyDiv w:val="1"/>
      <w:marLeft w:val="0"/>
      <w:marRight w:val="0"/>
      <w:marTop w:val="0"/>
      <w:marBottom w:val="0"/>
      <w:divBdr>
        <w:top w:val="none" w:sz="0" w:space="0" w:color="auto"/>
        <w:left w:val="none" w:sz="0" w:space="0" w:color="auto"/>
        <w:bottom w:val="none" w:sz="0" w:space="0" w:color="auto"/>
        <w:right w:val="none" w:sz="0" w:space="0" w:color="auto"/>
      </w:divBdr>
    </w:div>
    <w:div w:id="1111978125">
      <w:bodyDiv w:val="1"/>
      <w:marLeft w:val="0"/>
      <w:marRight w:val="0"/>
      <w:marTop w:val="0"/>
      <w:marBottom w:val="0"/>
      <w:divBdr>
        <w:top w:val="none" w:sz="0" w:space="0" w:color="auto"/>
        <w:left w:val="none" w:sz="0" w:space="0" w:color="auto"/>
        <w:bottom w:val="none" w:sz="0" w:space="0" w:color="auto"/>
        <w:right w:val="none" w:sz="0" w:space="0" w:color="auto"/>
      </w:divBdr>
    </w:div>
    <w:div w:id="1353532740">
      <w:bodyDiv w:val="1"/>
      <w:marLeft w:val="0"/>
      <w:marRight w:val="0"/>
      <w:marTop w:val="0"/>
      <w:marBottom w:val="0"/>
      <w:divBdr>
        <w:top w:val="none" w:sz="0" w:space="0" w:color="auto"/>
        <w:left w:val="none" w:sz="0" w:space="0" w:color="auto"/>
        <w:bottom w:val="none" w:sz="0" w:space="0" w:color="auto"/>
        <w:right w:val="none" w:sz="0" w:space="0" w:color="auto"/>
      </w:divBdr>
    </w:div>
    <w:div w:id="1688629920">
      <w:bodyDiv w:val="1"/>
      <w:marLeft w:val="0"/>
      <w:marRight w:val="0"/>
      <w:marTop w:val="0"/>
      <w:marBottom w:val="0"/>
      <w:divBdr>
        <w:top w:val="none" w:sz="0" w:space="0" w:color="auto"/>
        <w:left w:val="none" w:sz="0" w:space="0" w:color="auto"/>
        <w:bottom w:val="none" w:sz="0" w:space="0" w:color="auto"/>
        <w:right w:val="none" w:sz="0" w:space="0" w:color="auto"/>
      </w:divBdr>
    </w:div>
    <w:div w:id="21053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namiblii.org/na/judgment/high-court-main-division/2019/172" TargetMode="External"/><Relationship Id="rId4" Type="http://schemas.openxmlformats.org/officeDocument/2006/relationships/settings" Target="settings.xml"/><Relationship Id="rId9" Type="http://schemas.openxmlformats.org/officeDocument/2006/relationships/hyperlink" Target="https://namiblii.org/na/judgment/high-court-main-division/2019/172"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9%20%285%29%20SA%20255" TargetMode="External"/><Relationship Id="rId1" Type="http://schemas.openxmlformats.org/officeDocument/2006/relationships/hyperlink" Target="http://www.saflii.org/cgi-bin/LawCite?cit=2007%20%281%29%20SA%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2020-12-08T18:30:00+00:00</Judgment_x0020_Date>
    <Year xmlns="c1afb1bd-f2fb-40fd-9abb-aea55b4d7662">2020</Year>
  </documentManagement>
</p:properties>
</file>

<file path=customXml/itemProps1.xml><?xml version="1.0" encoding="utf-8"?>
<ds:datastoreItem xmlns:ds="http://schemas.openxmlformats.org/officeDocument/2006/customXml" ds:itemID="{8FA06C54-5CE8-4E75-ACE2-313792E4F008}"/>
</file>

<file path=customXml/itemProps2.xml><?xml version="1.0" encoding="utf-8"?>
<ds:datastoreItem xmlns:ds="http://schemas.openxmlformats.org/officeDocument/2006/customXml" ds:itemID="{5D53400D-0AE2-4B9E-A1B3-25AAD8F938CB}"/>
</file>

<file path=customXml/itemProps3.xml><?xml version="1.0" encoding="utf-8"?>
<ds:datastoreItem xmlns:ds="http://schemas.openxmlformats.org/officeDocument/2006/customXml" ds:itemID="{A37EE521-A889-4A25-9446-76710858D420}"/>
</file>

<file path=customXml/itemProps4.xml><?xml version="1.0" encoding="utf-8"?>
<ds:datastoreItem xmlns:ds="http://schemas.openxmlformats.org/officeDocument/2006/customXml" ds:itemID="{49DD4AEE-A3F3-453A-922E-A56AB21074C4}"/>
</file>

<file path=docProps/app.xml><?xml version="1.0" encoding="utf-8"?>
<Properties xmlns="http://schemas.openxmlformats.org/officeDocument/2006/extended-properties" xmlns:vt="http://schemas.openxmlformats.org/officeDocument/2006/docPropsVTypes">
  <Template>Normal</Template>
  <TotalTime>0</TotalTime>
  <Pages>22</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Susan Kaapehi</cp:lastModifiedBy>
  <cp:revision>2</cp:revision>
  <cp:lastPrinted>2020-12-16T07:58:00Z</cp:lastPrinted>
  <dcterms:created xsi:type="dcterms:W3CDTF">2020-12-17T15:47:00Z</dcterms:created>
  <dcterms:modified xsi:type="dcterms:W3CDTF">2020-12-17T15:47:00Z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