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B5" w:rsidRPr="008E1E24" w:rsidRDefault="00D26CB5" w:rsidP="00D26CB5">
      <w:pPr>
        <w:spacing w:after="0" w:line="240" w:lineRule="auto"/>
        <w:jc w:val="center"/>
        <w:rPr>
          <w:rFonts w:ascii="Arial Narrow" w:hAnsi="Arial Narrow"/>
          <w:sz w:val="24"/>
          <w:szCs w:val="24"/>
        </w:rPr>
      </w:pPr>
      <w:r w:rsidRPr="008E1E24">
        <w:rPr>
          <w:rFonts w:ascii="Arial Narrow" w:hAnsi="Arial Narrow"/>
          <w:sz w:val="24"/>
          <w:szCs w:val="24"/>
        </w:rPr>
        <w:t>“ANNEXURE 11”</w:t>
      </w:r>
    </w:p>
    <w:p w:rsidR="00D26CB5" w:rsidRPr="008E1E24" w:rsidRDefault="00D26CB5" w:rsidP="00D26CB5">
      <w:pPr>
        <w:spacing w:after="0" w:line="240" w:lineRule="auto"/>
        <w:jc w:val="center"/>
        <w:rPr>
          <w:rFonts w:ascii="Arial Narrow" w:hAnsi="Arial Narrow"/>
          <w:sz w:val="24"/>
          <w:szCs w:val="24"/>
        </w:rPr>
      </w:pPr>
      <w:r w:rsidRPr="008E1E24">
        <w:rPr>
          <w:rFonts w:ascii="Arial Narrow" w:hAnsi="Arial Narrow"/>
          <w:sz w:val="24"/>
          <w:szCs w:val="24"/>
        </w:rPr>
        <w:t>Practice Directive 61</w:t>
      </w:r>
    </w:p>
    <w:p w:rsidR="00D26CB5" w:rsidRPr="008E1E24" w:rsidRDefault="00D26CB5" w:rsidP="00D26CB5">
      <w:pPr>
        <w:spacing w:after="0" w:line="360" w:lineRule="auto"/>
        <w:jc w:val="both"/>
        <w:rPr>
          <w:rFonts w:ascii="Arial Narrow" w:hAnsi="Arial Narrow"/>
          <w:sz w:val="24"/>
          <w:szCs w:val="24"/>
        </w:rPr>
      </w:pPr>
    </w:p>
    <w:p w:rsidR="00D26CB5" w:rsidRPr="008E1E24" w:rsidRDefault="00D26CB5" w:rsidP="00D26CB5">
      <w:pPr>
        <w:spacing w:after="0" w:line="360" w:lineRule="auto"/>
        <w:jc w:val="center"/>
        <w:rPr>
          <w:rFonts w:ascii="Arial Narrow" w:hAnsi="Arial Narrow"/>
          <w:b/>
          <w:sz w:val="24"/>
          <w:szCs w:val="24"/>
        </w:rPr>
      </w:pPr>
      <w:r w:rsidRPr="008E1E24">
        <w:rPr>
          <w:rFonts w:ascii="Arial Narrow" w:hAnsi="Arial Narrow"/>
          <w:b/>
          <w:sz w:val="24"/>
          <w:szCs w:val="24"/>
        </w:rPr>
        <w:t>IN THE HIGH COURT OF NAMIBIA</w:t>
      </w:r>
    </w:p>
    <w:p w:rsidR="00D26CB5" w:rsidRPr="008E1E24" w:rsidRDefault="00D26CB5" w:rsidP="00D26CB5">
      <w:pPr>
        <w:spacing w:after="0" w:line="360" w:lineRule="auto"/>
        <w:jc w:val="both"/>
        <w:rPr>
          <w:rFonts w:ascii="Arial Narrow" w:hAnsi="Arial Narrow"/>
          <w:sz w:val="24"/>
          <w:szCs w:val="24"/>
        </w:rPr>
      </w:pPr>
    </w:p>
    <w:tbl>
      <w:tblPr>
        <w:tblStyle w:val="TableGrid"/>
        <w:tblW w:w="9720" w:type="dxa"/>
        <w:tblInd w:w="-275" w:type="dxa"/>
        <w:tblLook w:val="04A0" w:firstRow="1" w:lastRow="0" w:firstColumn="1" w:lastColumn="0" w:noHBand="0" w:noVBand="1"/>
      </w:tblPr>
      <w:tblGrid>
        <w:gridCol w:w="4770"/>
        <w:gridCol w:w="627"/>
        <w:gridCol w:w="4323"/>
      </w:tblGrid>
      <w:tr w:rsidR="00D26CB5" w:rsidRPr="00084C01" w:rsidTr="0092129C">
        <w:trPr>
          <w:trHeight w:val="744"/>
        </w:trPr>
        <w:tc>
          <w:tcPr>
            <w:tcW w:w="5397" w:type="dxa"/>
            <w:gridSpan w:val="2"/>
            <w:vMerge w:val="restart"/>
          </w:tcPr>
          <w:p w:rsidR="00D26CB5" w:rsidRPr="00084C01" w:rsidRDefault="00D26CB5" w:rsidP="0092129C">
            <w:pPr>
              <w:spacing w:line="360" w:lineRule="auto"/>
              <w:jc w:val="both"/>
              <w:rPr>
                <w:rFonts w:ascii="Arial" w:hAnsi="Arial" w:cs="Arial"/>
                <w:sz w:val="24"/>
                <w:szCs w:val="24"/>
              </w:rPr>
            </w:pPr>
            <w:r w:rsidRPr="00084C01">
              <w:rPr>
                <w:rFonts w:ascii="Arial" w:hAnsi="Arial" w:cs="Arial"/>
                <w:b/>
                <w:sz w:val="24"/>
                <w:szCs w:val="24"/>
              </w:rPr>
              <w:t>Case Title:</w:t>
            </w:r>
          </w:p>
          <w:p w:rsidR="00D26CB5" w:rsidRPr="00084C01" w:rsidRDefault="004F3A11" w:rsidP="00A62C89">
            <w:pPr>
              <w:jc w:val="both"/>
              <w:rPr>
                <w:rFonts w:ascii="Arial" w:hAnsi="Arial" w:cs="Arial"/>
                <w:sz w:val="24"/>
                <w:szCs w:val="24"/>
              </w:rPr>
            </w:pPr>
            <w:r w:rsidRPr="00084C01">
              <w:rPr>
                <w:rFonts w:ascii="Arial" w:hAnsi="Arial" w:cs="Arial"/>
                <w:sz w:val="24"/>
                <w:szCs w:val="24"/>
              </w:rPr>
              <w:t>DIETER MUELLER and SHINYA INVESTIMENTS CC AND OTHERS</w:t>
            </w:r>
          </w:p>
        </w:tc>
        <w:tc>
          <w:tcPr>
            <w:tcW w:w="4323" w:type="dxa"/>
          </w:tcPr>
          <w:p w:rsidR="00D26CB5" w:rsidRPr="00084C01" w:rsidRDefault="00D26CB5" w:rsidP="0092129C">
            <w:pPr>
              <w:spacing w:line="360" w:lineRule="auto"/>
              <w:jc w:val="both"/>
              <w:rPr>
                <w:rFonts w:ascii="Arial" w:hAnsi="Arial" w:cs="Arial"/>
                <w:sz w:val="24"/>
                <w:szCs w:val="24"/>
              </w:rPr>
            </w:pPr>
            <w:r w:rsidRPr="00084C01">
              <w:rPr>
                <w:rFonts w:ascii="Arial" w:hAnsi="Arial" w:cs="Arial"/>
                <w:b/>
                <w:sz w:val="24"/>
                <w:szCs w:val="24"/>
              </w:rPr>
              <w:t>Case No:</w:t>
            </w:r>
          </w:p>
          <w:p w:rsidR="00D26CB5" w:rsidRPr="00084C01" w:rsidRDefault="00DC3D8F" w:rsidP="00723EBB">
            <w:pPr>
              <w:spacing w:line="360" w:lineRule="auto"/>
              <w:jc w:val="both"/>
              <w:rPr>
                <w:rFonts w:ascii="Arial" w:hAnsi="Arial" w:cs="Arial"/>
                <w:b/>
                <w:sz w:val="24"/>
                <w:szCs w:val="24"/>
              </w:rPr>
            </w:pPr>
            <w:r>
              <w:rPr>
                <w:rFonts w:ascii="Arial" w:hAnsi="Arial" w:cs="Arial"/>
                <w:sz w:val="24"/>
                <w:szCs w:val="24"/>
              </w:rPr>
              <w:t>I</w:t>
            </w:r>
            <w:r w:rsidR="004F3A11" w:rsidRPr="00084C01">
              <w:rPr>
                <w:rFonts w:ascii="Arial" w:hAnsi="Arial" w:cs="Arial"/>
                <w:sz w:val="24"/>
                <w:szCs w:val="24"/>
              </w:rPr>
              <w:t xml:space="preserve"> 62/2016</w:t>
            </w:r>
          </w:p>
        </w:tc>
      </w:tr>
      <w:tr w:rsidR="00D26CB5" w:rsidRPr="00084C01" w:rsidTr="0092129C">
        <w:trPr>
          <w:trHeight w:val="844"/>
        </w:trPr>
        <w:tc>
          <w:tcPr>
            <w:tcW w:w="5397" w:type="dxa"/>
            <w:gridSpan w:val="2"/>
            <w:vMerge/>
          </w:tcPr>
          <w:p w:rsidR="00D26CB5" w:rsidRPr="00084C01" w:rsidRDefault="00D26CB5" w:rsidP="0092129C">
            <w:pPr>
              <w:spacing w:line="360" w:lineRule="auto"/>
              <w:jc w:val="both"/>
              <w:rPr>
                <w:rFonts w:ascii="Arial" w:hAnsi="Arial" w:cs="Arial"/>
                <w:sz w:val="24"/>
                <w:szCs w:val="24"/>
              </w:rPr>
            </w:pPr>
          </w:p>
        </w:tc>
        <w:tc>
          <w:tcPr>
            <w:tcW w:w="4323" w:type="dxa"/>
          </w:tcPr>
          <w:p w:rsidR="00D26CB5" w:rsidRPr="00084C01" w:rsidRDefault="00D26CB5" w:rsidP="0092129C">
            <w:pPr>
              <w:spacing w:line="360" w:lineRule="auto"/>
              <w:jc w:val="both"/>
              <w:rPr>
                <w:rFonts w:ascii="Arial" w:hAnsi="Arial" w:cs="Arial"/>
                <w:sz w:val="24"/>
                <w:szCs w:val="24"/>
              </w:rPr>
            </w:pPr>
            <w:r w:rsidRPr="00084C01">
              <w:rPr>
                <w:rFonts w:ascii="Arial" w:hAnsi="Arial" w:cs="Arial"/>
                <w:b/>
                <w:sz w:val="24"/>
                <w:szCs w:val="24"/>
              </w:rPr>
              <w:t>Division of Court:</w:t>
            </w:r>
          </w:p>
          <w:p w:rsidR="00D26CB5" w:rsidRPr="00084C01" w:rsidRDefault="00D67EBE" w:rsidP="000A684E">
            <w:pPr>
              <w:spacing w:line="360" w:lineRule="auto"/>
              <w:jc w:val="both"/>
              <w:rPr>
                <w:rFonts w:ascii="Arial" w:hAnsi="Arial" w:cs="Arial"/>
                <w:sz w:val="24"/>
                <w:szCs w:val="24"/>
              </w:rPr>
            </w:pPr>
            <w:r w:rsidRPr="00084C01">
              <w:rPr>
                <w:rFonts w:ascii="Arial" w:hAnsi="Arial" w:cs="Arial"/>
                <w:sz w:val="24"/>
                <w:szCs w:val="24"/>
              </w:rPr>
              <w:t>MAIN DIVISION</w:t>
            </w:r>
          </w:p>
        </w:tc>
      </w:tr>
      <w:tr w:rsidR="00D26CB5" w:rsidRPr="00084C01" w:rsidTr="0092129C">
        <w:trPr>
          <w:trHeight w:val="645"/>
        </w:trPr>
        <w:tc>
          <w:tcPr>
            <w:tcW w:w="5397" w:type="dxa"/>
            <w:gridSpan w:val="2"/>
            <w:vMerge w:val="restart"/>
          </w:tcPr>
          <w:p w:rsidR="00D26CB5" w:rsidRPr="00084C01" w:rsidRDefault="00371056" w:rsidP="0092129C">
            <w:pPr>
              <w:spacing w:line="360" w:lineRule="auto"/>
              <w:jc w:val="both"/>
              <w:rPr>
                <w:rFonts w:ascii="Arial" w:hAnsi="Arial" w:cs="Arial"/>
                <w:b/>
                <w:sz w:val="24"/>
                <w:szCs w:val="24"/>
              </w:rPr>
            </w:pPr>
            <w:r w:rsidRPr="00084C01">
              <w:rPr>
                <w:rFonts w:ascii="Arial" w:hAnsi="Arial" w:cs="Arial"/>
                <w:b/>
                <w:sz w:val="24"/>
                <w:szCs w:val="24"/>
              </w:rPr>
              <w:t>Heard before</w:t>
            </w:r>
          </w:p>
          <w:p w:rsidR="00371056" w:rsidRPr="00084C01" w:rsidRDefault="0086662D" w:rsidP="0092129C">
            <w:pPr>
              <w:spacing w:line="360" w:lineRule="auto"/>
              <w:jc w:val="both"/>
              <w:rPr>
                <w:rFonts w:ascii="Arial" w:hAnsi="Arial" w:cs="Arial"/>
                <w:sz w:val="24"/>
                <w:szCs w:val="24"/>
              </w:rPr>
            </w:pPr>
            <w:r w:rsidRPr="00084C01">
              <w:rPr>
                <w:rFonts w:ascii="Arial" w:hAnsi="Arial" w:cs="Arial"/>
                <w:sz w:val="24"/>
                <w:szCs w:val="24"/>
              </w:rPr>
              <w:t>TOMMASI J</w:t>
            </w:r>
          </w:p>
        </w:tc>
        <w:tc>
          <w:tcPr>
            <w:tcW w:w="4323" w:type="dxa"/>
          </w:tcPr>
          <w:p w:rsidR="00D26CB5" w:rsidRPr="00084C01" w:rsidRDefault="00D26CB5" w:rsidP="0092129C">
            <w:pPr>
              <w:spacing w:line="360" w:lineRule="auto"/>
              <w:jc w:val="both"/>
              <w:rPr>
                <w:rFonts w:ascii="Arial" w:hAnsi="Arial" w:cs="Arial"/>
                <w:b/>
                <w:sz w:val="24"/>
                <w:szCs w:val="24"/>
              </w:rPr>
            </w:pPr>
            <w:r w:rsidRPr="00084C01">
              <w:rPr>
                <w:rFonts w:ascii="Arial" w:hAnsi="Arial" w:cs="Arial"/>
                <w:b/>
                <w:sz w:val="24"/>
                <w:szCs w:val="24"/>
              </w:rPr>
              <w:t>Date of hearing:</w:t>
            </w:r>
          </w:p>
          <w:p w:rsidR="00D26CB5" w:rsidRPr="00084C01" w:rsidRDefault="00A62C89" w:rsidP="004F3A11">
            <w:pPr>
              <w:spacing w:line="360" w:lineRule="auto"/>
              <w:rPr>
                <w:rFonts w:ascii="Arial" w:hAnsi="Arial" w:cs="Arial"/>
                <w:sz w:val="24"/>
                <w:szCs w:val="24"/>
              </w:rPr>
            </w:pPr>
            <w:r w:rsidRPr="00084C01">
              <w:rPr>
                <w:rFonts w:ascii="Arial" w:hAnsi="Arial" w:cs="Arial"/>
                <w:sz w:val="24"/>
                <w:szCs w:val="24"/>
              </w:rPr>
              <w:t xml:space="preserve"> </w:t>
            </w:r>
            <w:r w:rsidR="004F3A11" w:rsidRPr="00084C01">
              <w:rPr>
                <w:rFonts w:ascii="Arial" w:hAnsi="Arial" w:cs="Arial"/>
                <w:sz w:val="24"/>
                <w:szCs w:val="24"/>
              </w:rPr>
              <w:t>27 September 2019</w:t>
            </w:r>
          </w:p>
        </w:tc>
      </w:tr>
      <w:tr w:rsidR="00D26CB5" w:rsidRPr="00084C01" w:rsidTr="0092129C">
        <w:trPr>
          <w:trHeight w:val="588"/>
        </w:trPr>
        <w:tc>
          <w:tcPr>
            <w:tcW w:w="5397" w:type="dxa"/>
            <w:gridSpan w:val="2"/>
            <w:vMerge/>
          </w:tcPr>
          <w:p w:rsidR="00D26CB5" w:rsidRPr="00084C01" w:rsidRDefault="00D26CB5" w:rsidP="0092129C">
            <w:pPr>
              <w:spacing w:line="360" w:lineRule="auto"/>
              <w:jc w:val="both"/>
              <w:rPr>
                <w:rFonts w:ascii="Arial" w:hAnsi="Arial" w:cs="Arial"/>
                <w:b/>
                <w:sz w:val="24"/>
                <w:szCs w:val="24"/>
              </w:rPr>
            </w:pPr>
          </w:p>
        </w:tc>
        <w:tc>
          <w:tcPr>
            <w:tcW w:w="4323" w:type="dxa"/>
          </w:tcPr>
          <w:p w:rsidR="00D26CB5" w:rsidRPr="00084C01" w:rsidRDefault="00D26CB5" w:rsidP="006C2F1D">
            <w:pPr>
              <w:spacing w:line="360" w:lineRule="auto"/>
              <w:jc w:val="both"/>
              <w:rPr>
                <w:rFonts w:ascii="Arial" w:hAnsi="Arial" w:cs="Arial"/>
                <w:b/>
                <w:sz w:val="24"/>
                <w:szCs w:val="24"/>
              </w:rPr>
            </w:pPr>
            <w:r w:rsidRPr="00084C01">
              <w:rPr>
                <w:rFonts w:ascii="Arial" w:hAnsi="Arial" w:cs="Arial"/>
                <w:b/>
                <w:sz w:val="24"/>
                <w:szCs w:val="24"/>
              </w:rPr>
              <w:t>Delivered on:</w:t>
            </w:r>
          </w:p>
          <w:p w:rsidR="00371056" w:rsidRPr="00084C01" w:rsidRDefault="004F3A11" w:rsidP="004F3A11">
            <w:pPr>
              <w:spacing w:line="360" w:lineRule="auto"/>
              <w:jc w:val="both"/>
              <w:rPr>
                <w:rFonts w:ascii="Arial" w:hAnsi="Arial" w:cs="Arial"/>
                <w:sz w:val="24"/>
                <w:szCs w:val="24"/>
              </w:rPr>
            </w:pPr>
            <w:r w:rsidRPr="00084C01">
              <w:rPr>
                <w:rFonts w:ascii="Arial" w:hAnsi="Arial" w:cs="Arial"/>
                <w:sz w:val="24"/>
                <w:szCs w:val="24"/>
              </w:rPr>
              <w:t>5</w:t>
            </w:r>
            <w:r w:rsidR="00723EBB" w:rsidRPr="00084C01">
              <w:rPr>
                <w:rFonts w:ascii="Arial" w:hAnsi="Arial" w:cs="Arial"/>
                <w:sz w:val="24"/>
                <w:szCs w:val="24"/>
              </w:rPr>
              <w:t xml:space="preserve"> </w:t>
            </w:r>
            <w:r w:rsidRPr="00084C01">
              <w:rPr>
                <w:rFonts w:ascii="Arial" w:hAnsi="Arial" w:cs="Arial"/>
                <w:sz w:val="24"/>
                <w:szCs w:val="24"/>
              </w:rPr>
              <w:t xml:space="preserve">March </w:t>
            </w:r>
            <w:r w:rsidR="00371056" w:rsidRPr="00084C01">
              <w:rPr>
                <w:rFonts w:ascii="Arial" w:hAnsi="Arial" w:cs="Arial"/>
                <w:sz w:val="24"/>
                <w:szCs w:val="24"/>
              </w:rPr>
              <w:t>20</w:t>
            </w:r>
            <w:r w:rsidR="00723EBB" w:rsidRPr="00084C01">
              <w:rPr>
                <w:rFonts w:ascii="Arial" w:hAnsi="Arial" w:cs="Arial"/>
                <w:sz w:val="24"/>
                <w:szCs w:val="24"/>
              </w:rPr>
              <w:t>20</w:t>
            </w:r>
          </w:p>
          <w:p w:rsidR="00553AEF" w:rsidRPr="00084C01" w:rsidRDefault="00553AEF" w:rsidP="004F3A11">
            <w:pPr>
              <w:spacing w:line="360" w:lineRule="auto"/>
              <w:jc w:val="both"/>
              <w:rPr>
                <w:rFonts w:ascii="Arial" w:hAnsi="Arial" w:cs="Arial"/>
                <w:b/>
                <w:sz w:val="24"/>
                <w:szCs w:val="24"/>
              </w:rPr>
            </w:pPr>
            <w:r w:rsidRPr="00084C01">
              <w:rPr>
                <w:rFonts w:ascii="Arial" w:hAnsi="Arial" w:cs="Arial"/>
                <w:b/>
                <w:sz w:val="24"/>
                <w:szCs w:val="24"/>
              </w:rPr>
              <w:t>Reasons delivered on:</w:t>
            </w:r>
          </w:p>
          <w:p w:rsidR="00553AEF" w:rsidRPr="00084C01" w:rsidRDefault="00553AEF" w:rsidP="004F3A11">
            <w:pPr>
              <w:spacing w:line="360" w:lineRule="auto"/>
              <w:jc w:val="both"/>
              <w:rPr>
                <w:rFonts w:ascii="Arial" w:hAnsi="Arial" w:cs="Arial"/>
                <w:sz w:val="24"/>
                <w:szCs w:val="24"/>
              </w:rPr>
            </w:pPr>
            <w:r w:rsidRPr="00084C01">
              <w:rPr>
                <w:rFonts w:ascii="Arial" w:hAnsi="Arial" w:cs="Arial"/>
                <w:sz w:val="24"/>
                <w:szCs w:val="24"/>
              </w:rPr>
              <w:t>09 March 2020</w:t>
            </w:r>
          </w:p>
        </w:tc>
      </w:tr>
      <w:tr w:rsidR="00D26CB5" w:rsidRPr="00084C01" w:rsidTr="0092129C">
        <w:tc>
          <w:tcPr>
            <w:tcW w:w="9720" w:type="dxa"/>
            <w:gridSpan w:val="3"/>
          </w:tcPr>
          <w:p w:rsidR="00D26CB5" w:rsidRPr="00084C01" w:rsidRDefault="0093109A" w:rsidP="006C2F1D">
            <w:pPr>
              <w:pStyle w:val="form-control-static"/>
              <w:shd w:val="clear" w:color="auto" w:fill="FFFFFF"/>
              <w:spacing w:before="0" w:beforeAutospacing="0" w:after="0" w:afterAutospacing="0"/>
              <w:rPr>
                <w:rFonts w:ascii="Arial" w:hAnsi="Arial" w:cs="Arial"/>
                <w:color w:val="333333"/>
                <w:shd w:val="clear" w:color="auto" w:fill="FFFFFF"/>
              </w:rPr>
            </w:pPr>
            <w:r w:rsidRPr="00084C01">
              <w:rPr>
                <w:rFonts w:ascii="Arial" w:hAnsi="Arial" w:cs="Arial"/>
                <w:b/>
              </w:rPr>
              <w:t xml:space="preserve">Neutral citation: </w:t>
            </w:r>
            <w:r w:rsidR="004F3A11" w:rsidRPr="00084C01">
              <w:rPr>
                <w:rFonts w:ascii="Arial" w:hAnsi="Arial" w:cs="Arial"/>
                <w:i/>
              </w:rPr>
              <w:t>Mueller v Shinya Investments CC</w:t>
            </w:r>
            <w:r w:rsidR="00DC3D8F">
              <w:rPr>
                <w:rFonts w:ascii="Arial" w:hAnsi="Arial" w:cs="Arial"/>
                <w:i/>
              </w:rPr>
              <w:t xml:space="preserve"> </w:t>
            </w:r>
            <w:r w:rsidR="00570002" w:rsidRPr="00570002">
              <w:rPr>
                <w:rFonts w:ascii="Arial" w:hAnsi="Arial" w:cs="Arial"/>
              </w:rPr>
              <w:t>(</w:t>
            </w:r>
            <w:r w:rsidR="00DC3D8F" w:rsidRPr="00570002">
              <w:rPr>
                <w:rFonts w:ascii="Arial" w:hAnsi="Arial" w:cs="Arial"/>
                <w:lang w:val="en-ZA"/>
              </w:rPr>
              <w:t>I</w:t>
            </w:r>
            <w:r w:rsidR="00DC3D8F" w:rsidRPr="00DC3D8F">
              <w:rPr>
                <w:rFonts w:ascii="Arial" w:hAnsi="Arial" w:cs="Arial"/>
                <w:lang w:val="en-ZA"/>
              </w:rPr>
              <w:t xml:space="preserve"> 62/2016</w:t>
            </w:r>
            <w:r w:rsidR="00570002">
              <w:rPr>
                <w:rFonts w:ascii="Arial" w:hAnsi="Arial" w:cs="Arial"/>
                <w:lang w:val="en-ZA"/>
              </w:rPr>
              <w:t>)</w:t>
            </w:r>
            <w:bookmarkStart w:id="0" w:name="_GoBack"/>
            <w:bookmarkEnd w:id="0"/>
            <w:r w:rsidR="0086662D" w:rsidRPr="00DC3D8F">
              <w:rPr>
                <w:rFonts w:ascii="Arial" w:hAnsi="Arial" w:cs="Arial"/>
                <w:lang w:val="en-ZA"/>
              </w:rPr>
              <w:t xml:space="preserve"> </w:t>
            </w:r>
            <w:r w:rsidRPr="00084C01">
              <w:rPr>
                <w:rFonts w:ascii="Arial" w:hAnsi="Arial" w:cs="Arial"/>
                <w:lang w:val="en-ZA"/>
              </w:rPr>
              <w:t>[20</w:t>
            </w:r>
            <w:r w:rsidR="00723EBB" w:rsidRPr="00084C01">
              <w:rPr>
                <w:rFonts w:ascii="Arial" w:hAnsi="Arial" w:cs="Arial"/>
                <w:lang w:val="en-ZA"/>
              </w:rPr>
              <w:t>20</w:t>
            </w:r>
            <w:r w:rsidRPr="00084C01">
              <w:rPr>
                <w:rFonts w:ascii="Arial" w:hAnsi="Arial" w:cs="Arial"/>
                <w:lang w:val="en-ZA"/>
              </w:rPr>
              <w:t xml:space="preserve">] NAHCMD </w:t>
            </w:r>
            <w:r w:rsidR="00661F48">
              <w:rPr>
                <w:rFonts w:ascii="Arial" w:hAnsi="Arial" w:cs="Arial"/>
                <w:lang w:val="en-ZA"/>
              </w:rPr>
              <w:t>84</w:t>
            </w:r>
            <w:r w:rsidR="00F44023" w:rsidRPr="00084C01">
              <w:rPr>
                <w:rFonts w:ascii="Arial" w:hAnsi="Arial" w:cs="Arial"/>
                <w:lang w:val="en-ZA"/>
              </w:rPr>
              <w:t xml:space="preserve"> </w:t>
            </w:r>
            <w:r w:rsidR="002B3223" w:rsidRPr="00084C01">
              <w:rPr>
                <w:rFonts w:ascii="Arial" w:hAnsi="Arial" w:cs="Arial"/>
                <w:lang w:val="en-ZA"/>
              </w:rPr>
              <w:t>(</w:t>
            </w:r>
            <w:r w:rsidR="00553AEF" w:rsidRPr="00084C01">
              <w:rPr>
                <w:rFonts w:ascii="Arial" w:hAnsi="Arial" w:cs="Arial"/>
                <w:lang w:val="en-ZA"/>
              </w:rPr>
              <w:t>09</w:t>
            </w:r>
            <w:r w:rsidR="004F3A11" w:rsidRPr="00084C01">
              <w:rPr>
                <w:rFonts w:ascii="Arial" w:hAnsi="Arial" w:cs="Arial"/>
                <w:lang w:val="en-ZA"/>
              </w:rPr>
              <w:t xml:space="preserve"> March </w:t>
            </w:r>
            <w:r w:rsidR="00723EBB" w:rsidRPr="00084C01">
              <w:rPr>
                <w:rFonts w:ascii="Arial" w:hAnsi="Arial" w:cs="Arial"/>
                <w:lang w:val="en-ZA"/>
              </w:rPr>
              <w:t>2020</w:t>
            </w:r>
            <w:r w:rsidR="00294FF2" w:rsidRPr="00084C01">
              <w:rPr>
                <w:rFonts w:ascii="Arial" w:hAnsi="Arial" w:cs="Arial"/>
                <w:lang w:val="en-ZA"/>
              </w:rPr>
              <w:t>)</w:t>
            </w:r>
          </w:p>
          <w:p w:rsidR="00D67EBE" w:rsidRPr="00084C01" w:rsidRDefault="00D67EBE" w:rsidP="006C2F1D">
            <w:pPr>
              <w:pStyle w:val="form-control-static"/>
              <w:shd w:val="clear" w:color="auto" w:fill="FFFFFF"/>
              <w:spacing w:before="0" w:beforeAutospacing="0" w:after="0" w:afterAutospacing="0"/>
              <w:rPr>
                <w:rFonts w:ascii="Arial" w:hAnsi="Arial" w:cs="Arial"/>
                <w:color w:val="333333"/>
              </w:rPr>
            </w:pPr>
          </w:p>
        </w:tc>
      </w:tr>
      <w:tr w:rsidR="00D26CB5" w:rsidRPr="00084C01" w:rsidTr="0092129C">
        <w:tc>
          <w:tcPr>
            <w:tcW w:w="9720" w:type="dxa"/>
            <w:gridSpan w:val="3"/>
          </w:tcPr>
          <w:p w:rsidR="00D26CB5" w:rsidRPr="00084C01" w:rsidRDefault="00D26CB5" w:rsidP="0092129C">
            <w:pPr>
              <w:pStyle w:val="form-control-static"/>
              <w:shd w:val="clear" w:color="auto" w:fill="FFFFFF"/>
              <w:spacing w:before="0" w:beforeAutospacing="0" w:after="0" w:afterAutospacing="0"/>
              <w:rPr>
                <w:rFonts w:ascii="Arial" w:hAnsi="Arial" w:cs="Arial"/>
                <w:b/>
              </w:rPr>
            </w:pPr>
            <w:r w:rsidRPr="00084C01">
              <w:rPr>
                <w:rFonts w:ascii="Arial" w:hAnsi="Arial" w:cs="Arial"/>
                <w:b/>
              </w:rPr>
              <w:t>Results on merits:</w:t>
            </w:r>
          </w:p>
          <w:p w:rsidR="00D26CB5" w:rsidRPr="00084C01" w:rsidRDefault="00D26CB5" w:rsidP="0092129C">
            <w:pPr>
              <w:pStyle w:val="form-control-static"/>
              <w:shd w:val="clear" w:color="auto" w:fill="FFFFFF"/>
              <w:spacing w:before="0" w:beforeAutospacing="0" w:after="0" w:afterAutospacing="0"/>
              <w:rPr>
                <w:rFonts w:ascii="Arial" w:hAnsi="Arial" w:cs="Arial"/>
              </w:rPr>
            </w:pPr>
          </w:p>
        </w:tc>
      </w:tr>
      <w:tr w:rsidR="00D26CB5" w:rsidRPr="00084C01" w:rsidTr="0092129C">
        <w:tc>
          <w:tcPr>
            <w:tcW w:w="9720" w:type="dxa"/>
            <w:gridSpan w:val="3"/>
          </w:tcPr>
          <w:p w:rsidR="00D26CB5" w:rsidRPr="00084C01" w:rsidRDefault="00D26CB5" w:rsidP="0092129C">
            <w:pPr>
              <w:spacing w:line="360" w:lineRule="auto"/>
              <w:jc w:val="both"/>
              <w:rPr>
                <w:rFonts w:ascii="Arial" w:hAnsi="Arial" w:cs="Arial"/>
                <w:b/>
                <w:sz w:val="24"/>
                <w:szCs w:val="24"/>
              </w:rPr>
            </w:pPr>
            <w:r w:rsidRPr="00084C01">
              <w:rPr>
                <w:rFonts w:ascii="Arial" w:hAnsi="Arial" w:cs="Arial"/>
                <w:b/>
                <w:sz w:val="24"/>
                <w:szCs w:val="24"/>
              </w:rPr>
              <w:t>The order:</w:t>
            </w:r>
          </w:p>
          <w:p w:rsidR="00294FF2" w:rsidRPr="00084C01" w:rsidRDefault="00294FF2" w:rsidP="0092129C">
            <w:pPr>
              <w:spacing w:line="360" w:lineRule="auto"/>
              <w:jc w:val="both"/>
              <w:rPr>
                <w:rFonts w:ascii="Arial" w:hAnsi="Arial" w:cs="Arial"/>
                <w:sz w:val="24"/>
                <w:szCs w:val="24"/>
              </w:rPr>
            </w:pPr>
            <w:r w:rsidRPr="00084C01">
              <w:rPr>
                <w:rFonts w:ascii="Arial" w:hAnsi="Arial" w:cs="Arial"/>
                <w:sz w:val="24"/>
                <w:szCs w:val="24"/>
              </w:rPr>
              <w:lastRenderedPageBreak/>
              <w:t xml:space="preserve">Having heard </w:t>
            </w:r>
            <w:r w:rsidR="004F3A11" w:rsidRPr="00084C01">
              <w:rPr>
                <w:rFonts w:ascii="Arial" w:hAnsi="Arial" w:cs="Arial"/>
                <w:b/>
                <w:sz w:val="24"/>
                <w:szCs w:val="24"/>
              </w:rPr>
              <w:t xml:space="preserve">MR SWANEPOEL </w:t>
            </w:r>
            <w:r w:rsidR="00723EBB" w:rsidRPr="00084C01">
              <w:rPr>
                <w:rFonts w:ascii="Arial" w:hAnsi="Arial" w:cs="Arial"/>
                <w:sz w:val="24"/>
                <w:szCs w:val="24"/>
              </w:rPr>
              <w:t>on</w:t>
            </w:r>
            <w:r w:rsidRPr="00084C01">
              <w:rPr>
                <w:rFonts w:ascii="Arial" w:hAnsi="Arial" w:cs="Arial"/>
                <w:sz w:val="24"/>
                <w:szCs w:val="24"/>
              </w:rPr>
              <w:t xml:space="preserve"> behalf of the </w:t>
            </w:r>
            <w:r w:rsidR="004F3A11" w:rsidRPr="00084C01">
              <w:rPr>
                <w:rFonts w:ascii="Arial" w:hAnsi="Arial" w:cs="Arial"/>
                <w:sz w:val="24"/>
                <w:szCs w:val="24"/>
              </w:rPr>
              <w:t xml:space="preserve">Plaintiff </w:t>
            </w:r>
            <w:r w:rsidRPr="00084C01">
              <w:rPr>
                <w:rFonts w:ascii="Arial" w:hAnsi="Arial" w:cs="Arial"/>
                <w:sz w:val="24"/>
                <w:szCs w:val="24"/>
              </w:rPr>
              <w:t xml:space="preserve"> and </w:t>
            </w:r>
            <w:r w:rsidR="004F3A11" w:rsidRPr="00084C01">
              <w:rPr>
                <w:rFonts w:ascii="Arial" w:hAnsi="Arial" w:cs="Arial"/>
                <w:b/>
                <w:sz w:val="24"/>
                <w:szCs w:val="24"/>
              </w:rPr>
              <w:t xml:space="preserve">ADV BOESAK </w:t>
            </w:r>
            <w:r w:rsidRPr="00084C01">
              <w:rPr>
                <w:rFonts w:ascii="Arial" w:hAnsi="Arial" w:cs="Arial"/>
                <w:sz w:val="24"/>
                <w:szCs w:val="24"/>
              </w:rPr>
              <w:t xml:space="preserve">on behalf of the </w:t>
            </w:r>
            <w:r w:rsidR="00553AEF" w:rsidRPr="00084C01">
              <w:rPr>
                <w:rFonts w:ascii="Arial" w:hAnsi="Arial" w:cs="Arial"/>
                <w:sz w:val="24"/>
                <w:szCs w:val="24"/>
              </w:rPr>
              <w:t>Defendant</w:t>
            </w:r>
            <w:r w:rsidRPr="00084C01">
              <w:rPr>
                <w:rFonts w:ascii="Arial" w:hAnsi="Arial" w:cs="Arial"/>
                <w:sz w:val="24"/>
                <w:szCs w:val="24"/>
              </w:rPr>
              <w:t>, and having read the documents filed of record:</w:t>
            </w:r>
          </w:p>
          <w:p w:rsidR="00294FF2" w:rsidRPr="00084C01" w:rsidRDefault="00294FF2" w:rsidP="0092129C">
            <w:pPr>
              <w:spacing w:line="360" w:lineRule="auto"/>
              <w:jc w:val="both"/>
              <w:rPr>
                <w:rFonts w:ascii="Arial" w:hAnsi="Arial" w:cs="Arial"/>
                <w:sz w:val="24"/>
                <w:szCs w:val="24"/>
              </w:rPr>
            </w:pPr>
          </w:p>
          <w:p w:rsidR="00D26CB5" w:rsidRPr="00084C01" w:rsidRDefault="00D26CB5" w:rsidP="0092129C">
            <w:pPr>
              <w:spacing w:line="360" w:lineRule="auto"/>
              <w:jc w:val="both"/>
              <w:rPr>
                <w:rFonts w:ascii="Arial" w:hAnsi="Arial" w:cs="Arial"/>
                <w:b/>
                <w:sz w:val="24"/>
                <w:szCs w:val="24"/>
              </w:rPr>
            </w:pPr>
            <w:r w:rsidRPr="00084C01">
              <w:rPr>
                <w:rFonts w:ascii="Arial" w:hAnsi="Arial" w:cs="Arial"/>
                <w:b/>
                <w:sz w:val="24"/>
                <w:szCs w:val="24"/>
              </w:rPr>
              <w:t>IT IS ORDERED THAT:</w:t>
            </w:r>
          </w:p>
          <w:p w:rsidR="004F3A11" w:rsidRPr="00084C01" w:rsidRDefault="00BB4ACA" w:rsidP="0086662D">
            <w:pPr>
              <w:pStyle w:val="ListParagraph"/>
              <w:numPr>
                <w:ilvl w:val="0"/>
                <w:numId w:val="1"/>
              </w:numPr>
              <w:spacing w:line="360" w:lineRule="auto"/>
              <w:jc w:val="both"/>
              <w:rPr>
                <w:rFonts w:ascii="Arial" w:hAnsi="Arial" w:cs="Arial"/>
                <w:sz w:val="24"/>
                <w:szCs w:val="24"/>
              </w:rPr>
            </w:pPr>
            <w:r w:rsidRPr="00084C01">
              <w:rPr>
                <w:rFonts w:ascii="Arial" w:hAnsi="Arial" w:cs="Arial"/>
                <w:sz w:val="24"/>
                <w:szCs w:val="24"/>
              </w:rPr>
              <w:t xml:space="preserve">The </w:t>
            </w:r>
            <w:r w:rsidR="004F3A11" w:rsidRPr="00084C01">
              <w:rPr>
                <w:rFonts w:ascii="Arial" w:hAnsi="Arial" w:cs="Arial"/>
                <w:sz w:val="24"/>
                <w:szCs w:val="24"/>
              </w:rPr>
              <w:t>application for absolution of the instance is dismissed;</w:t>
            </w:r>
          </w:p>
          <w:p w:rsidR="0086662D" w:rsidRPr="00084C01" w:rsidRDefault="00553AEF" w:rsidP="00D651BC">
            <w:pPr>
              <w:pStyle w:val="ListParagraph"/>
              <w:numPr>
                <w:ilvl w:val="0"/>
                <w:numId w:val="1"/>
              </w:numPr>
              <w:spacing w:line="360" w:lineRule="auto"/>
              <w:jc w:val="both"/>
              <w:rPr>
                <w:rFonts w:ascii="Arial" w:hAnsi="Arial" w:cs="Arial"/>
                <w:sz w:val="24"/>
                <w:szCs w:val="24"/>
              </w:rPr>
            </w:pPr>
            <w:r w:rsidRPr="00084C01">
              <w:rPr>
                <w:rFonts w:ascii="Arial" w:hAnsi="Arial" w:cs="Arial"/>
                <w:sz w:val="24"/>
                <w:szCs w:val="24"/>
              </w:rPr>
              <w:t>The second and third</w:t>
            </w:r>
            <w:r w:rsidR="00D651BC" w:rsidRPr="00084C01">
              <w:rPr>
                <w:rFonts w:ascii="Arial" w:hAnsi="Arial" w:cs="Arial"/>
                <w:sz w:val="24"/>
                <w:szCs w:val="24"/>
              </w:rPr>
              <w:t xml:space="preserve"> defendants are ordered to pay the costs thereof jointly and severally, the one paying and the other being absolved.</w:t>
            </w:r>
          </w:p>
          <w:p w:rsidR="00606B62" w:rsidRPr="00084C01" w:rsidRDefault="00D651BC" w:rsidP="00606B62">
            <w:pPr>
              <w:pStyle w:val="ListParagraph"/>
              <w:numPr>
                <w:ilvl w:val="0"/>
                <w:numId w:val="1"/>
              </w:numPr>
              <w:spacing w:line="360" w:lineRule="auto"/>
              <w:jc w:val="both"/>
              <w:rPr>
                <w:rFonts w:ascii="Arial" w:hAnsi="Arial" w:cs="Arial"/>
                <w:sz w:val="24"/>
                <w:szCs w:val="24"/>
              </w:rPr>
            </w:pPr>
            <w:r w:rsidRPr="00084C01">
              <w:rPr>
                <w:rFonts w:ascii="Arial" w:hAnsi="Arial" w:cs="Arial"/>
                <w:sz w:val="24"/>
                <w:szCs w:val="24"/>
              </w:rPr>
              <w:t xml:space="preserve">The matter is postponed </w:t>
            </w:r>
            <w:r w:rsidR="00606B62" w:rsidRPr="00084C01">
              <w:rPr>
                <w:rFonts w:ascii="Arial" w:hAnsi="Arial" w:cs="Arial"/>
                <w:sz w:val="24"/>
                <w:szCs w:val="24"/>
              </w:rPr>
              <w:t>to 25 March 2020 to determine a date for continuation of trial.</w:t>
            </w:r>
          </w:p>
          <w:p w:rsidR="00D651BC" w:rsidRPr="00084C01" w:rsidRDefault="00D651BC" w:rsidP="00606B62">
            <w:pPr>
              <w:pStyle w:val="ListParagraph"/>
              <w:spacing w:line="360" w:lineRule="auto"/>
              <w:jc w:val="both"/>
              <w:rPr>
                <w:rFonts w:ascii="Arial" w:hAnsi="Arial" w:cs="Arial"/>
                <w:sz w:val="24"/>
                <w:szCs w:val="24"/>
              </w:rPr>
            </w:pPr>
          </w:p>
          <w:p w:rsidR="0086662D" w:rsidRPr="00084C01" w:rsidRDefault="0086662D" w:rsidP="00BA33A1">
            <w:pPr>
              <w:pStyle w:val="ListParagraph"/>
              <w:spacing w:line="360" w:lineRule="auto"/>
              <w:jc w:val="both"/>
              <w:rPr>
                <w:rFonts w:ascii="Arial" w:hAnsi="Arial" w:cs="Arial"/>
                <w:sz w:val="24"/>
                <w:szCs w:val="24"/>
              </w:rPr>
            </w:pPr>
          </w:p>
        </w:tc>
      </w:tr>
      <w:tr w:rsidR="00D26CB5" w:rsidRPr="00084C01" w:rsidTr="0092129C">
        <w:tc>
          <w:tcPr>
            <w:tcW w:w="9720" w:type="dxa"/>
            <w:gridSpan w:val="3"/>
          </w:tcPr>
          <w:p w:rsidR="00D26CB5" w:rsidRPr="00084C01" w:rsidRDefault="00D26CB5" w:rsidP="0092129C">
            <w:pPr>
              <w:spacing w:line="360" w:lineRule="auto"/>
              <w:jc w:val="both"/>
              <w:rPr>
                <w:rFonts w:ascii="Arial" w:hAnsi="Arial" w:cs="Arial"/>
                <w:b/>
                <w:sz w:val="24"/>
                <w:szCs w:val="24"/>
              </w:rPr>
            </w:pPr>
            <w:r w:rsidRPr="00084C01">
              <w:rPr>
                <w:rFonts w:ascii="Arial" w:hAnsi="Arial" w:cs="Arial"/>
                <w:b/>
                <w:sz w:val="24"/>
                <w:szCs w:val="24"/>
              </w:rPr>
              <w:lastRenderedPageBreak/>
              <w:t>Reasons for orders:</w:t>
            </w:r>
          </w:p>
        </w:tc>
      </w:tr>
      <w:tr w:rsidR="00D26CB5" w:rsidRPr="00084C01" w:rsidTr="0092129C">
        <w:tc>
          <w:tcPr>
            <w:tcW w:w="9720" w:type="dxa"/>
            <w:gridSpan w:val="3"/>
          </w:tcPr>
          <w:p w:rsidR="00A11382" w:rsidRPr="00084C01" w:rsidRDefault="00E90E48" w:rsidP="006C2F1D">
            <w:pPr>
              <w:spacing w:line="360" w:lineRule="auto"/>
              <w:jc w:val="both"/>
              <w:rPr>
                <w:rFonts w:ascii="Arial" w:hAnsi="Arial" w:cs="Arial"/>
                <w:sz w:val="24"/>
                <w:szCs w:val="24"/>
              </w:rPr>
            </w:pPr>
            <w:r w:rsidRPr="00084C01">
              <w:rPr>
                <w:rFonts w:ascii="Arial" w:hAnsi="Arial" w:cs="Arial"/>
                <w:sz w:val="24"/>
                <w:szCs w:val="24"/>
              </w:rPr>
              <w:t>TOMMASI J,</w:t>
            </w:r>
          </w:p>
          <w:p w:rsidR="00E90E48" w:rsidRPr="00084C01" w:rsidRDefault="00E90E48" w:rsidP="006C2F1D">
            <w:pPr>
              <w:spacing w:line="360" w:lineRule="auto"/>
              <w:jc w:val="both"/>
              <w:rPr>
                <w:rFonts w:ascii="Arial" w:hAnsi="Arial" w:cs="Arial"/>
                <w:sz w:val="24"/>
                <w:szCs w:val="24"/>
              </w:rPr>
            </w:pPr>
          </w:p>
          <w:p w:rsidR="00032221" w:rsidRPr="00084C01" w:rsidRDefault="00A62C89" w:rsidP="00A62C89">
            <w:pPr>
              <w:spacing w:line="360" w:lineRule="auto"/>
              <w:jc w:val="both"/>
              <w:rPr>
                <w:rFonts w:ascii="Arial" w:hAnsi="Arial" w:cs="Arial"/>
                <w:sz w:val="24"/>
                <w:szCs w:val="24"/>
              </w:rPr>
            </w:pPr>
            <w:r w:rsidRPr="00084C01">
              <w:rPr>
                <w:rFonts w:ascii="Arial" w:hAnsi="Arial" w:cs="Arial"/>
                <w:sz w:val="24"/>
                <w:szCs w:val="24"/>
              </w:rPr>
              <w:t>[1]</w:t>
            </w:r>
            <w:r w:rsidRPr="00084C01">
              <w:rPr>
                <w:rFonts w:ascii="Arial" w:hAnsi="Arial" w:cs="Arial"/>
                <w:sz w:val="24"/>
                <w:szCs w:val="24"/>
              </w:rPr>
              <w:tab/>
            </w:r>
            <w:r w:rsidR="00032221" w:rsidRPr="00084C01">
              <w:rPr>
                <w:rFonts w:ascii="Arial" w:hAnsi="Arial" w:cs="Arial"/>
                <w:sz w:val="24"/>
                <w:szCs w:val="24"/>
              </w:rPr>
              <w:t>The 2</w:t>
            </w:r>
            <w:r w:rsidR="00032221" w:rsidRPr="00084C01">
              <w:rPr>
                <w:rFonts w:ascii="Arial" w:hAnsi="Arial" w:cs="Arial"/>
                <w:sz w:val="24"/>
                <w:szCs w:val="24"/>
                <w:vertAlign w:val="superscript"/>
              </w:rPr>
              <w:t>nd</w:t>
            </w:r>
            <w:r w:rsidR="00032221" w:rsidRPr="00084C01">
              <w:rPr>
                <w:rFonts w:ascii="Arial" w:hAnsi="Arial" w:cs="Arial"/>
                <w:sz w:val="24"/>
                <w:szCs w:val="24"/>
              </w:rPr>
              <w:t xml:space="preserve"> and 3</w:t>
            </w:r>
            <w:r w:rsidR="00032221" w:rsidRPr="00084C01">
              <w:rPr>
                <w:rFonts w:ascii="Arial" w:hAnsi="Arial" w:cs="Arial"/>
                <w:sz w:val="24"/>
                <w:szCs w:val="24"/>
                <w:vertAlign w:val="superscript"/>
              </w:rPr>
              <w:t>rd</w:t>
            </w:r>
            <w:r w:rsidR="00032221" w:rsidRPr="00084C01">
              <w:rPr>
                <w:rFonts w:ascii="Arial" w:hAnsi="Arial" w:cs="Arial"/>
                <w:sz w:val="24"/>
                <w:szCs w:val="24"/>
              </w:rPr>
              <w:t xml:space="preserve"> Defendants herein applied for absolution of the instance at the end of the Plaintiff’s case. </w:t>
            </w:r>
          </w:p>
          <w:p w:rsidR="00D764D0" w:rsidRPr="00084C01" w:rsidRDefault="00D764D0" w:rsidP="00A62C89">
            <w:pPr>
              <w:spacing w:line="360" w:lineRule="auto"/>
              <w:jc w:val="both"/>
              <w:rPr>
                <w:rFonts w:ascii="Arial" w:hAnsi="Arial" w:cs="Arial"/>
                <w:sz w:val="24"/>
                <w:szCs w:val="24"/>
              </w:rPr>
            </w:pPr>
          </w:p>
          <w:p w:rsidR="000E3F5E" w:rsidRPr="00084C01" w:rsidRDefault="00032221" w:rsidP="00A62C89">
            <w:pPr>
              <w:spacing w:line="360" w:lineRule="auto"/>
              <w:jc w:val="both"/>
              <w:rPr>
                <w:rFonts w:ascii="Arial" w:hAnsi="Arial" w:cs="Arial"/>
                <w:sz w:val="24"/>
                <w:szCs w:val="24"/>
              </w:rPr>
            </w:pPr>
            <w:r w:rsidRPr="00084C01">
              <w:rPr>
                <w:rFonts w:ascii="Arial" w:hAnsi="Arial" w:cs="Arial"/>
                <w:sz w:val="24"/>
                <w:szCs w:val="24"/>
              </w:rPr>
              <w:t>[2]       The main points made by the defendants are (</w:t>
            </w:r>
            <w:proofErr w:type="spellStart"/>
            <w:r w:rsidRPr="00084C01">
              <w:rPr>
                <w:rFonts w:ascii="Arial" w:hAnsi="Arial" w:cs="Arial"/>
                <w:sz w:val="24"/>
                <w:szCs w:val="24"/>
              </w:rPr>
              <w:t>i</w:t>
            </w:r>
            <w:proofErr w:type="spellEnd"/>
            <w:r w:rsidRPr="00084C01">
              <w:rPr>
                <w:rFonts w:ascii="Arial" w:hAnsi="Arial" w:cs="Arial"/>
                <w:sz w:val="24"/>
                <w:szCs w:val="24"/>
              </w:rPr>
              <w:t xml:space="preserve">) </w:t>
            </w:r>
            <w:r w:rsidR="00B8753A" w:rsidRPr="00084C01">
              <w:rPr>
                <w:rFonts w:ascii="Arial" w:hAnsi="Arial" w:cs="Arial"/>
                <w:sz w:val="24"/>
                <w:szCs w:val="24"/>
              </w:rPr>
              <w:t xml:space="preserve">that </w:t>
            </w:r>
            <w:r w:rsidRPr="00084C01">
              <w:rPr>
                <w:rFonts w:ascii="Arial" w:hAnsi="Arial" w:cs="Arial"/>
                <w:sz w:val="24"/>
                <w:szCs w:val="24"/>
              </w:rPr>
              <w:t>the plaintiff has no locus standi in the present circumstances</w:t>
            </w:r>
            <w:r w:rsidR="00B8753A" w:rsidRPr="00084C01">
              <w:rPr>
                <w:rFonts w:ascii="Arial" w:hAnsi="Arial" w:cs="Arial"/>
                <w:sz w:val="24"/>
                <w:szCs w:val="24"/>
              </w:rPr>
              <w:t xml:space="preserve"> since the commission, if proven</w:t>
            </w:r>
            <w:r w:rsidRPr="00084C01">
              <w:rPr>
                <w:rFonts w:ascii="Arial" w:hAnsi="Arial" w:cs="Arial"/>
                <w:sz w:val="24"/>
                <w:szCs w:val="24"/>
              </w:rPr>
              <w:t xml:space="preserve"> true in the matter, should have been due to and payable to the estate agency and not him personally. Furthermore</w:t>
            </w:r>
            <w:r w:rsidR="00B8753A" w:rsidRPr="00084C01">
              <w:rPr>
                <w:rFonts w:ascii="Arial" w:hAnsi="Arial" w:cs="Arial"/>
                <w:sz w:val="24"/>
                <w:szCs w:val="24"/>
              </w:rPr>
              <w:t>,</w:t>
            </w:r>
            <w:r w:rsidRPr="00084C01">
              <w:rPr>
                <w:rFonts w:ascii="Arial" w:hAnsi="Arial" w:cs="Arial"/>
                <w:sz w:val="24"/>
                <w:szCs w:val="24"/>
              </w:rPr>
              <w:t xml:space="preserve"> the rules of this honourable court provides for the filing of a sworn declaration in regards </w:t>
            </w:r>
            <w:r w:rsidRPr="00084C01">
              <w:rPr>
                <w:rFonts w:ascii="Arial" w:hAnsi="Arial" w:cs="Arial"/>
                <w:sz w:val="24"/>
                <w:szCs w:val="24"/>
              </w:rPr>
              <w:lastRenderedPageBreak/>
              <w:t xml:space="preserve">to a cession, but seemingly excludes circumstances where a legal practitioner is acting on behalf of the cessionary; (ii) </w:t>
            </w:r>
            <w:r w:rsidR="00942D2B" w:rsidRPr="00084C01">
              <w:rPr>
                <w:rFonts w:ascii="Arial" w:hAnsi="Arial" w:cs="Arial"/>
                <w:sz w:val="24"/>
                <w:szCs w:val="24"/>
              </w:rPr>
              <w:t xml:space="preserve">that </w:t>
            </w:r>
            <w:r w:rsidRPr="00084C01">
              <w:rPr>
                <w:rFonts w:ascii="Arial" w:hAnsi="Arial" w:cs="Arial"/>
                <w:sz w:val="24"/>
                <w:szCs w:val="24"/>
              </w:rPr>
              <w:t>the plaintiff was not the effective cause of the sale insofar as it ultimately resulted in the offer to purchase that was</w:t>
            </w:r>
            <w:r w:rsidR="00942D2B" w:rsidRPr="00084C01">
              <w:rPr>
                <w:rFonts w:ascii="Arial" w:hAnsi="Arial" w:cs="Arial"/>
                <w:sz w:val="24"/>
                <w:szCs w:val="24"/>
              </w:rPr>
              <w:t xml:space="preserve"> accepted by second defendant on</w:t>
            </w:r>
            <w:r w:rsidRPr="00084C01">
              <w:rPr>
                <w:rFonts w:ascii="Arial" w:hAnsi="Arial" w:cs="Arial"/>
                <w:sz w:val="24"/>
                <w:szCs w:val="24"/>
              </w:rPr>
              <w:t xml:space="preserve"> or</w:t>
            </w:r>
            <w:r w:rsidR="00D764D0" w:rsidRPr="00084C01">
              <w:rPr>
                <w:rFonts w:ascii="Arial" w:hAnsi="Arial" w:cs="Arial"/>
                <w:sz w:val="24"/>
                <w:szCs w:val="24"/>
              </w:rPr>
              <w:t xml:space="preserve"> </w:t>
            </w:r>
            <w:r w:rsidRPr="00084C01">
              <w:rPr>
                <w:rFonts w:ascii="Arial" w:hAnsi="Arial" w:cs="Arial"/>
                <w:sz w:val="24"/>
                <w:szCs w:val="24"/>
              </w:rPr>
              <w:t xml:space="preserve">about </w:t>
            </w:r>
            <w:r w:rsidR="00942D2B" w:rsidRPr="00084C01">
              <w:rPr>
                <w:rFonts w:ascii="Arial" w:hAnsi="Arial" w:cs="Arial"/>
                <w:sz w:val="24"/>
                <w:szCs w:val="24"/>
              </w:rPr>
              <w:t>0</w:t>
            </w:r>
            <w:r w:rsidRPr="00084C01">
              <w:rPr>
                <w:rFonts w:ascii="Arial" w:hAnsi="Arial" w:cs="Arial"/>
                <w:sz w:val="24"/>
                <w:szCs w:val="24"/>
              </w:rPr>
              <w:t>7 October 2015 or subsequently;</w:t>
            </w:r>
            <w:r w:rsidR="00D764D0" w:rsidRPr="00084C01">
              <w:rPr>
                <w:rFonts w:ascii="Arial" w:hAnsi="Arial" w:cs="Arial"/>
                <w:sz w:val="24"/>
                <w:szCs w:val="24"/>
              </w:rPr>
              <w:t xml:space="preserve"> (iii) </w:t>
            </w:r>
            <w:r w:rsidR="00942D2B" w:rsidRPr="00084C01">
              <w:rPr>
                <w:rFonts w:ascii="Arial" w:hAnsi="Arial" w:cs="Arial"/>
                <w:sz w:val="24"/>
                <w:szCs w:val="24"/>
              </w:rPr>
              <w:t xml:space="preserve">that </w:t>
            </w:r>
            <w:r w:rsidR="00D764D0" w:rsidRPr="00084C01">
              <w:rPr>
                <w:rFonts w:ascii="Arial" w:hAnsi="Arial" w:cs="Arial"/>
                <w:sz w:val="24"/>
                <w:szCs w:val="24"/>
              </w:rPr>
              <w:t>two intervening acts occurred, which effectively dealt a death blow to the plaintiff’s cla</w:t>
            </w:r>
            <w:r w:rsidR="00942D2B" w:rsidRPr="00084C01">
              <w:rPr>
                <w:rFonts w:ascii="Arial" w:hAnsi="Arial" w:cs="Arial"/>
                <w:sz w:val="24"/>
                <w:szCs w:val="24"/>
              </w:rPr>
              <w:t>i</w:t>
            </w:r>
            <w:r w:rsidR="00D764D0" w:rsidRPr="00084C01">
              <w:rPr>
                <w:rFonts w:ascii="Arial" w:hAnsi="Arial" w:cs="Arial"/>
                <w:sz w:val="24"/>
                <w:szCs w:val="24"/>
              </w:rPr>
              <w:t xml:space="preserve">m of commission, i.e. the lapse of the first deed of sale on 12 July 2015; and the fact that the second defendant was forced to make arrangements and plans for an auction of the farm on </w:t>
            </w:r>
            <w:r w:rsidR="00051B51" w:rsidRPr="00084C01">
              <w:rPr>
                <w:rFonts w:ascii="Arial" w:hAnsi="Arial" w:cs="Arial"/>
                <w:sz w:val="24"/>
                <w:szCs w:val="24"/>
              </w:rPr>
              <w:t>0</w:t>
            </w:r>
            <w:r w:rsidR="00D764D0" w:rsidRPr="00084C01">
              <w:rPr>
                <w:rFonts w:ascii="Arial" w:hAnsi="Arial" w:cs="Arial"/>
                <w:sz w:val="24"/>
                <w:szCs w:val="24"/>
              </w:rPr>
              <w:t xml:space="preserve">8 October 2015; (iv) </w:t>
            </w:r>
            <w:r w:rsidR="00051B51" w:rsidRPr="00084C01">
              <w:rPr>
                <w:rFonts w:ascii="Arial" w:hAnsi="Arial" w:cs="Arial"/>
                <w:sz w:val="24"/>
                <w:szCs w:val="24"/>
              </w:rPr>
              <w:t>that the p</w:t>
            </w:r>
            <w:r w:rsidR="00D764D0" w:rsidRPr="00084C01">
              <w:rPr>
                <w:rFonts w:ascii="Arial" w:hAnsi="Arial" w:cs="Arial"/>
                <w:sz w:val="24"/>
                <w:szCs w:val="24"/>
              </w:rPr>
              <w:t>laintiff failed to prove the claim for 8%</w:t>
            </w:r>
            <w:r w:rsidR="00154BDC" w:rsidRPr="00084C01">
              <w:rPr>
                <w:rFonts w:ascii="Arial" w:hAnsi="Arial" w:cs="Arial"/>
                <w:sz w:val="24"/>
                <w:szCs w:val="24"/>
              </w:rPr>
              <w:t xml:space="preserve"> </w:t>
            </w:r>
            <w:r w:rsidR="00D764D0" w:rsidRPr="00084C01">
              <w:rPr>
                <w:rFonts w:ascii="Arial" w:hAnsi="Arial" w:cs="Arial"/>
                <w:sz w:val="24"/>
                <w:szCs w:val="24"/>
              </w:rPr>
              <w:t>of the purchase price as per the particulars of claim.</w:t>
            </w:r>
          </w:p>
          <w:p w:rsidR="00D764D0" w:rsidRPr="00084C01" w:rsidRDefault="00D764D0" w:rsidP="00A62C89">
            <w:pPr>
              <w:spacing w:line="360" w:lineRule="auto"/>
              <w:jc w:val="both"/>
              <w:rPr>
                <w:rFonts w:ascii="Arial" w:hAnsi="Arial" w:cs="Arial"/>
                <w:sz w:val="24"/>
                <w:szCs w:val="24"/>
              </w:rPr>
            </w:pPr>
          </w:p>
          <w:p w:rsidR="00E42820" w:rsidRPr="00084C01" w:rsidRDefault="00D764D0" w:rsidP="00A62C89">
            <w:pPr>
              <w:spacing w:line="360" w:lineRule="auto"/>
              <w:jc w:val="both"/>
              <w:rPr>
                <w:rFonts w:ascii="Arial" w:hAnsi="Arial" w:cs="Arial"/>
                <w:sz w:val="24"/>
                <w:szCs w:val="24"/>
              </w:rPr>
            </w:pPr>
            <w:r w:rsidRPr="00084C01">
              <w:rPr>
                <w:rFonts w:ascii="Arial" w:hAnsi="Arial" w:cs="Arial"/>
                <w:sz w:val="24"/>
                <w:szCs w:val="24"/>
              </w:rPr>
              <w:t xml:space="preserve">[3]      </w:t>
            </w:r>
            <w:r w:rsidR="00985049" w:rsidRPr="00084C01">
              <w:rPr>
                <w:rFonts w:ascii="Arial" w:hAnsi="Arial" w:cs="Arial"/>
                <w:sz w:val="24"/>
                <w:szCs w:val="24"/>
              </w:rPr>
              <w:t>Plaintiff responded as follow</w:t>
            </w:r>
            <w:r w:rsidR="00E90E48" w:rsidRPr="00084C01">
              <w:rPr>
                <w:rFonts w:ascii="Arial" w:hAnsi="Arial" w:cs="Arial"/>
                <w:sz w:val="24"/>
                <w:szCs w:val="24"/>
              </w:rPr>
              <w:t>s to the above issues: (</w:t>
            </w:r>
            <w:proofErr w:type="spellStart"/>
            <w:r w:rsidR="00E90E48" w:rsidRPr="00084C01">
              <w:rPr>
                <w:rFonts w:ascii="Arial" w:hAnsi="Arial" w:cs="Arial"/>
                <w:sz w:val="24"/>
                <w:szCs w:val="24"/>
              </w:rPr>
              <w:t>i</w:t>
            </w:r>
            <w:proofErr w:type="spellEnd"/>
            <w:r w:rsidR="00E90E48" w:rsidRPr="00084C01">
              <w:rPr>
                <w:rFonts w:ascii="Arial" w:hAnsi="Arial" w:cs="Arial"/>
                <w:sz w:val="24"/>
                <w:szCs w:val="24"/>
              </w:rPr>
              <w:t>) that t</w:t>
            </w:r>
            <w:r w:rsidR="00985049" w:rsidRPr="00084C01">
              <w:rPr>
                <w:rFonts w:ascii="Arial" w:hAnsi="Arial" w:cs="Arial"/>
                <w:sz w:val="24"/>
                <w:szCs w:val="24"/>
              </w:rPr>
              <w:t>he issues now raised do not form pa</w:t>
            </w:r>
            <w:r w:rsidR="00E90E48" w:rsidRPr="00084C01">
              <w:rPr>
                <w:rFonts w:ascii="Arial" w:hAnsi="Arial" w:cs="Arial"/>
                <w:sz w:val="24"/>
                <w:szCs w:val="24"/>
              </w:rPr>
              <w:t>rt of the pre-trial order; (2) that t</w:t>
            </w:r>
            <w:r w:rsidR="00985049" w:rsidRPr="00084C01">
              <w:rPr>
                <w:rFonts w:ascii="Arial" w:hAnsi="Arial" w:cs="Arial"/>
                <w:sz w:val="24"/>
                <w:szCs w:val="24"/>
              </w:rPr>
              <w:t xml:space="preserve">he pleadings and the testimony of Daphne </w:t>
            </w:r>
            <w:proofErr w:type="spellStart"/>
            <w:r w:rsidR="00985049" w:rsidRPr="00084C01">
              <w:rPr>
                <w:rFonts w:ascii="Arial" w:hAnsi="Arial" w:cs="Arial"/>
                <w:sz w:val="24"/>
                <w:szCs w:val="24"/>
              </w:rPr>
              <w:t>Swanepoel</w:t>
            </w:r>
            <w:proofErr w:type="spellEnd"/>
            <w:r w:rsidR="00985049" w:rsidRPr="00084C01">
              <w:rPr>
                <w:rFonts w:ascii="Arial" w:hAnsi="Arial" w:cs="Arial"/>
                <w:sz w:val="24"/>
                <w:szCs w:val="24"/>
              </w:rPr>
              <w:t xml:space="preserve"> was that she was at all relevant times the holder of a valid fidelity fund certificate as in compliance with section 26 of the Estate Agents Act 112 of 1976. This evidence was not challenged or refuted; and in any event the case of </w:t>
            </w:r>
            <w:proofErr w:type="spellStart"/>
            <w:r w:rsidR="00985049" w:rsidRPr="00084C01">
              <w:rPr>
                <w:rFonts w:ascii="Arial" w:hAnsi="Arial" w:cs="Arial"/>
                <w:i/>
                <w:sz w:val="24"/>
                <w:szCs w:val="24"/>
              </w:rPr>
              <w:t>Noragent</w:t>
            </w:r>
            <w:proofErr w:type="spellEnd"/>
            <w:r w:rsidR="00985049" w:rsidRPr="00084C01">
              <w:rPr>
                <w:rFonts w:ascii="Arial" w:hAnsi="Arial" w:cs="Arial"/>
                <w:i/>
                <w:sz w:val="24"/>
                <w:szCs w:val="24"/>
              </w:rPr>
              <w:t xml:space="preserve"> (</w:t>
            </w:r>
            <w:proofErr w:type="spellStart"/>
            <w:r w:rsidR="00985049" w:rsidRPr="00084C01">
              <w:rPr>
                <w:rFonts w:ascii="Arial" w:hAnsi="Arial" w:cs="Arial"/>
                <w:i/>
                <w:sz w:val="24"/>
                <w:szCs w:val="24"/>
              </w:rPr>
              <w:t>Edms</w:t>
            </w:r>
            <w:proofErr w:type="spellEnd"/>
            <w:r w:rsidR="00985049" w:rsidRPr="00084C01">
              <w:rPr>
                <w:rFonts w:ascii="Arial" w:hAnsi="Arial" w:cs="Arial"/>
                <w:i/>
                <w:sz w:val="24"/>
                <w:szCs w:val="24"/>
              </w:rPr>
              <w:t xml:space="preserve">) </w:t>
            </w:r>
            <w:proofErr w:type="spellStart"/>
            <w:r w:rsidR="00985049" w:rsidRPr="00084C01">
              <w:rPr>
                <w:rFonts w:ascii="Arial" w:hAnsi="Arial" w:cs="Arial"/>
                <w:i/>
                <w:sz w:val="24"/>
                <w:szCs w:val="24"/>
              </w:rPr>
              <w:t>Bpk</w:t>
            </w:r>
            <w:proofErr w:type="spellEnd"/>
            <w:r w:rsidR="00985049" w:rsidRPr="00084C01">
              <w:rPr>
                <w:rFonts w:ascii="Arial" w:hAnsi="Arial" w:cs="Arial"/>
                <w:i/>
                <w:sz w:val="24"/>
                <w:szCs w:val="24"/>
              </w:rPr>
              <w:t xml:space="preserve"> v De Wet</w:t>
            </w:r>
            <w:r w:rsidR="00985049" w:rsidRPr="00084C01">
              <w:rPr>
                <w:rFonts w:ascii="Arial" w:hAnsi="Arial" w:cs="Arial"/>
                <w:sz w:val="24"/>
                <w:szCs w:val="24"/>
              </w:rPr>
              <w:t xml:space="preserve"> </w:t>
            </w:r>
            <w:r w:rsidR="00E17D78" w:rsidRPr="00084C01">
              <w:rPr>
                <w:rFonts w:ascii="Arial" w:hAnsi="Arial" w:cs="Arial"/>
                <w:sz w:val="24"/>
                <w:szCs w:val="24"/>
              </w:rPr>
              <w:t>1985 (</w:t>
            </w:r>
            <w:proofErr w:type="spellStart"/>
            <w:r w:rsidR="00E17D78" w:rsidRPr="00084C01">
              <w:rPr>
                <w:rFonts w:ascii="Arial" w:hAnsi="Arial" w:cs="Arial"/>
                <w:sz w:val="24"/>
                <w:szCs w:val="24"/>
              </w:rPr>
              <w:t>i</w:t>
            </w:r>
            <w:proofErr w:type="spellEnd"/>
            <w:r w:rsidR="00E17D78" w:rsidRPr="00084C01">
              <w:rPr>
                <w:rFonts w:ascii="Arial" w:hAnsi="Arial" w:cs="Arial"/>
                <w:sz w:val="24"/>
                <w:szCs w:val="24"/>
              </w:rPr>
              <w:t xml:space="preserve">) 263 (T) </w:t>
            </w:r>
            <w:r w:rsidR="00985049" w:rsidRPr="00084C01">
              <w:rPr>
                <w:rFonts w:ascii="Arial" w:hAnsi="Arial" w:cs="Arial"/>
                <w:sz w:val="24"/>
                <w:szCs w:val="24"/>
              </w:rPr>
              <w:t xml:space="preserve">still finds application in Namibia and was applied in </w:t>
            </w:r>
            <w:r w:rsidR="00E17D78" w:rsidRPr="00084C01">
              <w:rPr>
                <w:rFonts w:ascii="Arial" w:hAnsi="Arial" w:cs="Arial"/>
                <w:i/>
                <w:sz w:val="24"/>
                <w:szCs w:val="24"/>
              </w:rPr>
              <w:t xml:space="preserve">Claud Bosch Architects CC V </w:t>
            </w:r>
            <w:proofErr w:type="spellStart"/>
            <w:r w:rsidR="00E17D78" w:rsidRPr="00084C01">
              <w:rPr>
                <w:rFonts w:ascii="Arial" w:hAnsi="Arial" w:cs="Arial"/>
                <w:i/>
                <w:sz w:val="24"/>
                <w:szCs w:val="24"/>
              </w:rPr>
              <w:t>Auas</w:t>
            </w:r>
            <w:proofErr w:type="spellEnd"/>
            <w:r w:rsidR="00E17D78" w:rsidRPr="00084C01">
              <w:rPr>
                <w:rFonts w:ascii="Arial" w:hAnsi="Arial" w:cs="Arial"/>
                <w:i/>
                <w:sz w:val="24"/>
                <w:szCs w:val="24"/>
              </w:rPr>
              <w:t xml:space="preserve"> Business Enterprises Number 123 (Pty) Ltd 2018 (1) NR 155 (SC);</w:t>
            </w:r>
            <w:r w:rsidR="00E17D78" w:rsidRPr="00084C01">
              <w:rPr>
                <w:rFonts w:ascii="Arial" w:hAnsi="Arial" w:cs="Arial"/>
                <w:sz w:val="24"/>
                <w:szCs w:val="24"/>
              </w:rPr>
              <w:t xml:space="preserve"> </w:t>
            </w:r>
            <w:r w:rsidR="00985049" w:rsidRPr="00084C01">
              <w:rPr>
                <w:rFonts w:ascii="Arial" w:hAnsi="Arial" w:cs="Arial"/>
                <w:sz w:val="24"/>
                <w:szCs w:val="24"/>
              </w:rPr>
              <w:t>(ii)</w:t>
            </w:r>
            <w:r w:rsidR="00E17D78" w:rsidRPr="00084C01">
              <w:rPr>
                <w:rFonts w:ascii="Arial" w:hAnsi="Arial" w:cs="Arial"/>
                <w:sz w:val="24"/>
                <w:szCs w:val="24"/>
              </w:rPr>
              <w:t xml:space="preserve"> </w:t>
            </w:r>
            <w:r w:rsidR="00E90E48" w:rsidRPr="00084C01">
              <w:rPr>
                <w:rFonts w:ascii="Arial" w:hAnsi="Arial" w:cs="Arial"/>
                <w:sz w:val="24"/>
                <w:szCs w:val="24"/>
              </w:rPr>
              <w:t xml:space="preserve">that </w:t>
            </w:r>
            <w:r w:rsidR="00E17D78" w:rsidRPr="00084C01">
              <w:rPr>
                <w:rFonts w:ascii="Arial" w:hAnsi="Arial" w:cs="Arial"/>
                <w:sz w:val="24"/>
                <w:szCs w:val="24"/>
              </w:rPr>
              <w:t xml:space="preserve">Daphne </w:t>
            </w:r>
            <w:proofErr w:type="spellStart"/>
            <w:r w:rsidR="00E17D78" w:rsidRPr="00084C01">
              <w:rPr>
                <w:rFonts w:ascii="Arial" w:hAnsi="Arial" w:cs="Arial"/>
                <w:sz w:val="24"/>
                <w:szCs w:val="24"/>
              </w:rPr>
              <w:t>Swanepoel</w:t>
            </w:r>
            <w:proofErr w:type="spellEnd"/>
            <w:r w:rsidR="00E17D78" w:rsidRPr="00084C01">
              <w:rPr>
                <w:rFonts w:ascii="Arial" w:hAnsi="Arial" w:cs="Arial"/>
                <w:sz w:val="24"/>
                <w:szCs w:val="24"/>
              </w:rPr>
              <w:t xml:space="preserve"> ceded her commission to the </w:t>
            </w:r>
            <w:r w:rsidR="00E90E48" w:rsidRPr="00084C01">
              <w:rPr>
                <w:rFonts w:ascii="Arial" w:hAnsi="Arial" w:cs="Arial"/>
                <w:sz w:val="24"/>
                <w:szCs w:val="24"/>
              </w:rPr>
              <w:t>p</w:t>
            </w:r>
            <w:r w:rsidR="00E17D78" w:rsidRPr="00084C01">
              <w:rPr>
                <w:rFonts w:ascii="Arial" w:hAnsi="Arial" w:cs="Arial"/>
                <w:sz w:val="24"/>
                <w:szCs w:val="24"/>
              </w:rPr>
              <w:t>laintiff and there is no prohibition in law, prohibiting her to cede her commission to another estate agent; (iii)</w:t>
            </w:r>
            <w:r w:rsidR="00E90E48" w:rsidRPr="00084C01">
              <w:rPr>
                <w:rFonts w:ascii="Arial" w:hAnsi="Arial" w:cs="Arial"/>
                <w:sz w:val="24"/>
                <w:szCs w:val="24"/>
              </w:rPr>
              <w:t xml:space="preserve"> that</w:t>
            </w:r>
            <w:r w:rsidR="00E17D78" w:rsidRPr="00084C01">
              <w:rPr>
                <w:rFonts w:ascii="Arial" w:hAnsi="Arial" w:cs="Arial"/>
                <w:sz w:val="24"/>
                <w:szCs w:val="24"/>
              </w:rPr>
              <w:t xml:space="preserve"> the evidence support a finding that there was an open mandate by both defend</w:t>
            </w:r>
            <w:r w:rsidR="00E90E48" w:rsidRPr="00084C01">
              <w:rPr>
                <w:rFonts w:ascii="Arial" w:hAnsi="Arial" w:cs="Arial"/>
                <w:sz w:val="24"/>
                <w:szCs w:val="24"/>
              </w:rPr>
              <w:t xml:space="preserve">ants which was </w:t>
            </w:r>
            <w:r w:rsidR="00836942" w:rsidRPr="00084C01">
              <w:rPr>
                <w:rFonts w:ascii="Arial" w:hAnsi="Arial" w:cs="Arial"/>
                <w:sz w:val="24"/>
                <w:szCs w:val="24"/>
              </w:rPr>
              <w:t>neve</w:t>
            </w:r>
            <w:r w:rsidR="00E90E48" w:rsidRPr="00084C01">
              <w:rPr>
                <w:rFonts w:ascii="Arial" w:hAnsi="Arial" w:cs="Arial"/>
                <w:sz w:val="24"/>
                <w:szCs w:val="24"/>
              </w:rPr>
              <w:t>r cancelled; they</w:t>
            </w:r>
            <w:r w:rsidR="00836942" w:rsidRPr="00084C01">
              <w:rPr>
                <w:rFonts w:ascii="Arial" w:hAnsi="Arial" w:cs="Arial"/>
                <w:sz w:val="24"/>
                <w:szCs w:val="24"/>
              </w:rPr>
              <w:t xml:space="preserve"> introduced the buyer to the defendants and </w:t>
            </w:r>
            <w:r w:rsidR="00E42820" w:rsidRPr="00084C01">
              <w:rPr>
                <w:rFonts w:ascii="Arial" w:hAnsi="Arial" w:cs="Arial"/>
                <w:sz w:val="24"/>
                <w:szCs w:val="24"/>
              </w:rPr>
              <w:t>referred t</w:t>
            </w:r>
            <w:r w:rsidR="00E90E48" w:rsidRPr="00084C01">
              <w:rPr>
                <w:rFonts w:ascii="Arial" w:hAnsi="Arial" w:cs="Arial"/>
                <w:sz w:val="24"/>
                <w:szCs w:val="24"/>
              </w:rPr>
              <w:t>he</w:t>
            </w:r>
            <w:r w:rsidR="00E42820" w:rsidRPr="00084C01">
              <w:rPr>
                <w:rFonts w:ascii="Arial" w:hAnsi="Arial" w:cs="Arial"/>
                <w:sz w:val="24"/>
                <w:szCs w:val="24"/>
              </w:rPr>
              <w:t xml:space="preserve"> </w:t>
            </w:r>
            <w:r w:rsidR="00836942" w:rsidRPr="00084C01">
              <w:rPr>
                <w:rFonts w:ascii="Arial" w:hAnsi="Arial" w:cs="Arial"/>
                <w:sz w:val="24"/>
                <w:szCs w:val="24"/>
              </w:rPr>
              <w:lastRenderedPageBreak/>
              <w:t xml:space="preserve">correspondence </w:t>
            </w:r>
            <w:r w:rsidR="00E42820" w:rsidRPr="00084C01">
              <w:rPr>
                <w:rFonts w:ascii="Arial" w:hAnsi="Arial" w:cs="Arial"/>
                <w:sz w:val="24"/>
                <w:szCs w:val="24"/>
              </w:rPr>
              <w:t xml:space="preserve">between the various parties involved in the sale which was ultimately concluded. (iv) </w:t>
            </w:r>
            <w:proofErr w:type="gramStart"/>
            <w:r w:rsidR="00E90E48" w:rsidRPr="00084C01">
              <w:rPr>
                <w:rFonts w:ascii="Arial" w:hAnsi="Arial" w:cs="Arial"/>
                <w:sz w:val="24"/>
                <w:szCs w:val="24"/>
              </w:rPr>
              <w:t>that</w:t>
            </w:r>
            <w:proofErr w:type="gramEnd"/>
            <w:r w:rsidR="00E90E48" w:rsidRPr="00084C01">
              <w:rPr>
                <w:rFonts w:ascii="Arial" w:hAnsi="Arial" w:cs="Arial"/>
                <w:sz w:val="24"/>
                <w:szCs w:val="24"/>
              </w:rPr>
              <w:t xml:space="preserve"> </w:t>
            </w:r>
            <w:r w:rsidR="00E42820" w:rsidRPr="00084C01">
              <w:rPr>
                <w:rFonts w:ascii="Arial" w:hAnsi="Arial" w:cs="Arial"/>
                <w:sz w:val="24"/>
                <w:szCs w:val="24"/>
              </w:rPr>
              <w:t xml:space="preserve">the mandate of the agent was not cancelled and the sellers were still keen on selling the property after the first agreement lapsed; and </w:t>
            </w:r>
            <w:r w:rsidR="00E90E48" w:rsidRPr="00084C01">
              <w:rPr>
                <w:rFonts w:ascii="Arial" w:hAnsi="Arial" w:cs="Arial"/>
                <w:sz w:val="24"/>
                <w:szCs w:val="24"/>
              </w:rPr>
              <w:t xml:space="preserve">that </w:t>
            </w:r>
            <w:r w:rsidR="00E42820" w:rsidRPr="00084C01">
              <w:rPr>
                <w:rFonts w:ascii="Arial" w:hAnsi="Arial" w:cs="Arial"/>
                <w:sz w:val="24"/>
                <w:szCs w:val="24"/>
              </w:rPr>
              <w:t xml:space="preserve">the property was sold before the auction; (v) </w:t>
            </w:r>
            <w:r w:rsidR="00E90E48" w:rsidRPr="00084C01">
              <w:rPr>
                <w:rFonts w:ascii="Arial" w:hAnsi="Arial" w:cs="Arial"/>
                <w:sz w:val="24"/>
                <w:szCs w:val="24"/>
              </w:rPr>
              <w:t xml:space="preserve">that </w:t>
            </w:r>
            <w:r w:rsidR="00E42820" w:rsidRPr="00084C01">
              <w:rPr>
                <w:rFonts w:ascii="Arial" w:hAnsi="Arial" w:cs="Arial"/>
                <w:sz w:val="24"/>
                <w:szCs w:val="24"/>
              </w:rPr>
              <w:t>sufficient evidence</w:t>
            </w:r>
            <w:r w:rsidR="00E90E48" w:rsidRPr="00084C01">
              <w:rPr>
                <w:rFonts w:ascii="Arial" w:hAnsi="Arial" w:cs="Arial"/>
                <w:sz w:val="24"/>
                <w:szCs w:val="24"/>
              </w:rPr>
              <w:t xml:space="preserve"> was</w:t>
            </w:r>
            <w:r w:rsidR="00E42820" w:rsidRPr="00084C01">
              <w:rPr>
                <w:rFonts w:ascii="Arial" w:hAnsi="Arial" w:cs="Arial"/>
                <w:sz w:val="24"/>
                <w:szCs w:val="24"/>
              </w:rPr>
              <w:t xml:space="preserve"> adduced that the defendants agreed to pay commission of 6% on the selling price plus vat. This evidence was not refuted. </w:t>
            </w:r>
          </w:p>
          <w:p w:rsidR="000E624E" w:rsidRPr="00084C01" w:rsidRDefault="000E624E" w:rsidP="00A62C89">
            <w:pPr>
              <w:spacing w:line="360" w:lineRule="auto"/>
              <w:jc w:val="both"/>
              <w:rPr>
                <w:rFonts w:ascii="Arial" w:hAnsi="Arial" w:cs="Arial"/>
                <w:sz w:val="24"/>
                <w:szCs w:val="24"/>
              </w:rPr>
            </w:pPr>
          </w:p>
          <w:p w:rsidR="00BC1987" w:rsidRPr="00C205AA" w:rsidRDefault="000E154E" w:rsidP="00BC1987">
            <w:pPr>
              <w:spacing w:line="360" w:lineRule="auto"/>
              <w:jc w:val="both"/>
              <w:rPr>
                <w:rFonts w:ascii="Arial" w:hAnsi="Arial" w:cs="Arial"/>
              </w:rPr>
            </w:pPr>
            <w:r w:rsidRPr="00084C01">
              <w:rPr>
                <w:rFonts w:ascii="Arial" w:hAnsi="Arial" w:cs="Arial"/>
                <w:sz w:val="24"/>
                <w:szCs w:val="24"/>
              </w:rPr>
              <w:t xml:space="preserve">[3]   </w:t>
            </w:r>
            <w:r w:rsidR="00BC1987" w:rsidRPr="00084C01">
              <w:rPr>
                <w:rFonts w:ascii="Arial" w:hAnsi="Arial" w:cs="Arial"/>
                <w:sz w:val="24"/>
                <w:szCs w:val="24"/>
              </w:rPr>
              <w:t xml:space="preserve">In </w:t>
            </w:r>
            <w:r w:rsidR="000E624E" w:rsidRPr="00084C01">
              <w:rPr>
                <w:rFonts w:ascii="Arial" w:hAnsi="Arial" w:cs="Arial"/>
                <w:i/>
                <w:sz w:val="24"/>
                <w:szCs w:val="24"/>
              </w:rPr>
              <w:t xml:space="preserve">Fish Orange Mining Consortium (Pty) Ltd </w:t>
            </w:r>
            <w:r w:rsidR="00450AA2" w:rsidRPr="00084C01">
              <w:rPr>
                <w:rFonts w:ascii="Arial" w:hAnsi="Arial" w:cs="Arial"/>
                <w:i/>
                <w:sz w:val="24"/>
                <w:szCs w:val="24"/>
              </w:rPr>
              <w:t>v</w:t>
            </w:r>
            <w:r w:rsidR="000E624E" w:rsidRPr="00084C01">
              <w:rPr>
                <w:rFonts w:ascii="Arial" w:hAnsi="Arial" w:cs="Arial"/>
                <w:i/>
                <w:sz w:val="24"/>
                <w:szCs w:val="24"/>
              </w:rPr>
              <w:t xml:space="preserve"> </w:t>
            </w:r>
            <w:proofErr w:type="spellStart"/>
            <w:r w:rsidR="000E624E" w:rsidRPr="00084C01">
              <w:rPr>
                <w:rFonts w:ascii="Arial" w:hAnsi="Arial" w:cs="Arial"/>
                <w:i/>
                <w:sz w:val="24"/>
                <w:szCs w:val="24"/>
              </w:rPr>
              <w:t>Goaseb</w:t>
            </w:r>
            <w:proofErr w:type="spellEnd"/>
            <w:r w:rsidR="000E624E" w:rsidRPr="00084C01">
              <w:rPr>
                <w:rFonts w:ascii="Arial" w:hAnsi="Arial" w:cs="Arial"/>
                <w:i/>
                <w:sz w:val="24"/>
                <w:szCs w:val="24"/>
              </w:rPr>
              <w:t xml:space="preserve"> And Others 2018 (3) NR 632 </w:t>
            </w:r>
            <w:r w:rsidR="000E624E" w:rsidRPr="00C205AA">
              <w:rPr>
                <w:rFonts w:ascii="Arial" w:hAnsi="Arial" w:cs="Arial"/>
                <w:i/>
              </w:rPr>
              <w:t>(HC</w:t>
            </w:r>
            <w:r w:rsidR="00BC1987" w:rsidRPr="00C205AA">
              <w:rPr>
                <w:rFonts w:ascii="Arial" w:hAnsi="Arial" w:cs="Arial"/>
              </w:rPr>
              <w:t xml:space="preserve">)) page 637- 638, para 25, </w:t>
            </w:r>
            <w:proofErr w:type="spellStart"/>
            <w:r w:rsidR="00BC1987" w:rsidRPr="00C205AA">
              <w:rPr>
                <w:rFonts w:ascii="Arial" w:hAnsi="Arial" w:cs="Arial"/>
              </w:rPr>
              <w:t>Masuku</w:t>
            </w:r>
            <w:proofErr w:type="spellEnd"/>
            <w:r w:rsidR="00BC1987" w:rsidRPr="00C205AA">
              <w:rPr>
                <w:rFonts w:ascii="Arial" w:hAnsi="Arial" w:cs="Arial"/>
              </w:rPr>
              <w:t xml:space="preserve"> J, stated as follow: </w:t>
            </w:r>
          </w:p>
          <w:p w:rsidR="00BC1987" w:rsidRPr="00C205AA" w:rsidRDefault="00BC1987" w:rsidP="00BC1987">
            <w:pPr>
              <w:spacing w:line="360" w:lineRule="auto"/>
              <w:jc w:val="both"/>
              <w:rPr>
                <w:rFonts w:ascii="Arial" w:hAnsi="Arial" w:cs="Arial"/>
              </w:rPr>
            </w:pPr>
            <w:r w:rsidRPr="00C205AA">
              <w:rPr>
                <w:rFonts w:ascii="Arial" w:hAnsi="Arial" w:cs="Arial"/>
              </w:rPr>
              <w:t xml:space="preserve">      ‘With reference to case law, the following principles were extracted: </w:t>
            </w:r>
          </w:p>
          <w:p w:rsidR="00BC1987" w:rsidRPr="00C205AA" w:rsidRDefault="00BC1987" w:rsidP="00236EBE">
            <w:pPr>
              <w:spacing w:line="360" w:lineRule="auto"/>
              <w:ind w:left="-18" w:firstLine="18"/>
              <w:jc w:val="both"/>
              <w:rPr>
                <w:rFonts w:ascii="Arial" w:hAnsi="Arial" w:cs="Arial"/>
              </w:rPr>
            </w:pPr>
            <w:r w:rsidRPr="00C205AA">
              <w:rPr>
                <w:rFonts w:ascii="Arial" w:hAnsi="Arial" w:cs="Arial"/>
              </w:rPr>
              <w:tab/>
              <w:t>(a)</w:t>
            </w:r>
            <w:r w:rsidRPr="00C205AA">
              <w:rPr>
                <w:rFonts w:ascii="Arial" w:hAnsi="Arial" w:cs="Arial"/>
              </w:rPr>
              <w:tab/>
              <w:t xml:space="preserve"> (T)his application is akin to an application for a</w:t>
            </w:r>
            <w:r w:rsidR="00E90E48" w:rsidRPr="00C205AA">
              <w:rPr>
                <w:rFonts w:ascii="Arial" w:hAnsi="Arial" w:cs="Arial"/>
              </w:rPr>
              <w:t xml:space="preserve"> discharge at the end of the state’s</w:t>
            </w:r>
            <w:r w:rsidRPr="00C205AA">
              <w:rPr>
                <w:rFonts w:ascii="Arial" w:hAnsi="Arial" w:cs="Arial"/>
              </w:rPr>
              <w:t xml:space="preserve"> case for the prosecution in criminal trials </w:t>
            </w:r>
            <w:proofErr w:type="spellStart"/>
            <w:r w:rsidRPr="00C205AA">
              <w:rPr>
                <w:rFonts w:ascii="Arial" w:hAnsi="Arial" w:cs="Arial"/>
              </w:rPr>
              <w:t>ie</w:t>
            </w:r>
            <w:proofErr w:type="spellEnd"/>
            <w:r w:rsidRPr="00C205AA">
              <w:rPr>
                <w:rFonts w:ascii="Arial" w:hAnsi="Arial" w:cs="Arial"/>
              </w:rPr>
              <w:t xml:space="preserve"> in terms of s 174 of the Criminal Procedure Act — General Francois </w:t>
            </w:r>
            <w:proofErr w:type="spellStart"/>
            <w:r w:rsidRPr="00C205AA">
              <w:rPr>
                <w:rFonts w:ascii="Arial" w:hAnsi="Arial" w:cs="Arial"/>
              </w:rPr>
              <w:t>Olenga</w:t>
            </w:r>
            <w:proofErr w:type="spellEnd"/>
            <w:r w:rsidRPr="00C205AA">
              <w:rPr>
                <w:rFonts w:ascii="Arial" w:hAnsi="Arial" w:cs="Arial"/>
              </w:rPr>
              <w:t xml:space="preserve"> v </w:t>
            </w:r>
            <w:proofErr w:type="spellStart"/>
            <w:r w:rsidRPr="00C205AA">
              <w:rPr>
                <w:rFonts w:ascii="Arial" w:hAnsi="Arial" w:cs="Arial"/>
              </w:rPr>
              <w:t>Spranger</w:t>
            </w:r>
            <w:proofErr w:type="spellEnd"/>
            <w:r w:rsidRPr="00C205AA">
              <w:rPr>
                <w:rFonts w:ascii="Arial" w:hAnsi="Arial" w:cs="Arial"/>
              </w:rPr>
              <w:t>, infra at 13 para 35;</w:t>
            </w:r>
          </w:p>
          <w:p w:rsidR="00BC1987" w:rsidRPr="00C205AA" w:rsidRDefault="00BC1987" w:rsidP="00236EBE">
            <w:pPr>
              <w:spacing w:line="360" w:lineRule="auto"/>
              <w:ind w:left="-18" w:firstLine="18"/>
              <w:jc w:val="both"/>
              <w:rPr>
                <w:rFonts w:ascii="Arial" w:hAnsi="Arial" w:cs="Arial"/>
              </w:rPr>
            </w:pPr>
            <w:r w:rsidRPr="00C205AA">
              <w:rPr>
                <w:rFonts w:ascii="Arial" w:hAnsi="Arial" w:cs="Arial"/>
              </w:rPr>
              <w:tab/>
              <w:t>(b)</w:t>
            </w:r>
            <w:r w:rsidRPr="00C205AA">
              <w:rPr>
                <w:rFonts w:ascii="Arial" w:hAnsi="Arial" w:cs="Arial"/>
              </w:rPr>
              <w:tab/>
              <w:t xml:space="preserve">the standard to be applied, is whether the plaintiff, in the mind of  B  the court, has tendered evidence upon which a court, properly directed and applying its mind reasonably to such evidence, could or might, not should, find for the plaintiff — </w:t>
            </w:r>
            <w:proofErr w:type="spellStart"/>
            <w:r w:rsidRPr="00C205AA">
              <w:rPr>
                <w:rFonts w:ascii="Arial" w:hAnsi="Arial" w:cs="Arial"/>
              </w:rPr>
              <w:t>Stier</w:t>
            </w:r>
            <w:proofErr w:type="spellEnd"/>
            <w:r w:rsidRPr="00C205AA">
              <w:rPr>
                <w:rFonts w:ascii="Arial" w:hAnsi="Arial" w:cs="Arial"/>
              </w:rPr>
              <w:t xml:space="preserve"> and Another v Henke;</w:t>
            </w:r>
          </w:p>
          <w:p w:rsidR="00BC1987" w:rsidRPr="00C205AA" w:rsidRDefault="00BC1987" w:rsidP="00BC1987">
            <w:pPr>
              <w:spacing w:line="360" w:lineRule="auto"/>
              <w:jc w:val="both"/>
              <w:rPr>
                <w:rFonts w:ascii="Arial" w:hAnsi="Arial" w:cs="Arial"/>
              </w:rPr>
            </w:pPr>
            <w:r w:rsidRPr="00C205AA">
              <w:rPr>
                <w:rFonts w:ascii="Arial" w:hAnsi="Arial" w:cs="Arial"/>
              </w:rPr>
              <w:tab/>
              <w:t>(c)</w:t>
            </w:r>
            <w:r w:rsidRPr="00C205AA">
              <w:rPr>
                <w:rFonts w:ascii="Arial" w:hAnsi="Arial" w:cs="Arial"/>
              </w:rPr>
              <w:tab/>
              <w:t xml:space="preserve">the evidence adduced by the plaintiff should relate to all the elements of the claim, because in the absence of such evidence, no court could find for the plaintiff — </w:t>
            </w:r>
            <w:proofErr w:type="spellStart"/>
            <w:r w:rsidRPr="00C205AA">
              <w:rPr>
                <w:rFonts w:ascii="Arial" w:hAnsi="Arial" w:cs="Arial"/>
              </w:rPr>
              <w:t>Factcrown</w:t>
            </w:r>
            <w:proofErr w:type="spellEnd"/>
            <w:r w:rsidRPr="00C205AA">
              <w:rPr>
                <w:rFonts w:ascii="Arial" w:hAnsi="Arial" w:cs="Arial"/>
              </w:rPr>
              <w:t xml:space="preserve"> Limited v Namibian  C  Broadcasting Corporation;</w:t>
            </w:r>
          </w:p>
          <w:p w:rsidR="00BC1987" w:rsidRPr="00C205AA" w:rsidRDefault="00BC1987" w:rsidP="00BC1987">
            <w:pPr>
              <w:spacing w:line="360" w:lineRule="auto"/>
              <w:jc w:val="both"/>
              <w:rPr>
                <w:rFonts w:ascii="Arial" w:hAnsi="Arial" w:cs="Arial"/>
              </w:rPr>
            </w:pPr>
            <w:r w:rsidRPr="00C205AA">
              <w:rPr>
                <w:rFonts w:ascii="Arial" w:hAnsi="Arial" w:cs="Arial"/>
              </w:rPr>
              <w:tab/>
              <w:t>(d)</w:t>
            </w:r>
            <w:r w:rsidRPr="00C205AA">
              <w:rPr>
                <w:rFonts w:ascii="Arial" w:hAnsi="Arial" w:cs="Arial"/>
              </w:rPr>
              <w:tab/>
            </w:r>
            <w:proofErr w:type="gramStart"/>
            <w:r w:rsidRPr="00C205AA">
              <w:rPr>
                <w:rFonts w:ascii="Arial" w:hAnsi="Arial" w:cs="Arial"/>
              </w:rPr>
              <w:t>in</w:t>
            </w:r>
            <w:proofErr w:type="gramEnd"/>
            <w:r w:rsidRPr="00C205AA">
              <w:rPr>
                <w:rFonts w:ascii="Arial" w:hAnsi="Arial" w:cs="Arial"/>
              </w:rPr>
              <w:t xml:space="preserve"> dealing with such applications, the court does not normally evaluate the evidence adduced on behalf of the plaintiff by making credibility findings at this stage. The court assumes that the evidence adduced by the plaintiff is true and deals with the matter on that basis. If the </w:t>
            </w:r>
            <w:r w:rsidRPr="00C205AA">
              <w:rPr>
                <w:rFonts w:ascii="Arial" w:hAnsi="Arial" w:cs="Arial"/>
              </w:rPr>
              <w:lastRenderedPageBreak/>
              <w:t xml:space="preserve">evidence adduced by the plaintiff is, however,  hopelessly poor, vacillating or of so romancing a character, the court may, in those circumstances, grant the application — General Francois </w:t>
            </w:r>
            <w:proofErr w:type="spellStart"/>
            <w:r w:rsidRPr="00C205AA">
              <w:rPr>
                <w:rFonts w:ascii="Arial" w:hAnsi="Arial" w:cs="Arial"/>
              </w:rPr>
              <w:t>Olenga</w:t>
            </w:r>
            <w:proofErr w:type="spellEnd"/>
            <w:r w:rsidRPr="00C205AA">
              <w:rPr>
                <w:rFonts w:ascii="Arial" w:hAnsi="Arial" w:cs="Arial"/>
              </w:rPr>
              <w:t xml:space="preserve"> v Erwin </w:t>
            </w:r>
            <w:proofErr w:type="spellStart"/>
            <w:r w:rsidRPr="00C205AA">
              <w:rPr>
                <w:rFonts w:ascii="Arial" w:hAnsi="Arial" w:cs="Arial"/>
              </w:rPr>
              <w:t>Spranger</w:t>
            </w:r>
            <w:proofErr w:type="spellEnd"/>
            <w:r w:rsidRPr="00C205AA">
              <w:rPr>
                <w:rFonts w:ascii="Arial" w:hAnsi="Arial" w:cs="Arial"/>
              </w:rPr>
              <w:t>, and the authorities cited therein;</w:t>
            </w:r>
          </w:p>
          <w:p w:rsidR="000E154E" w:rsidRPr="00084C01" w:rsidRDefault="00BC1987" w:rsidP="00BC1987">
            <w:pPr>
              <w:spacing w:line="360" w:lineRule="auto"/>
              <w:jc w:val="both"/>
              <w:rPr>
                <w:rFonts w:ascii="Arial" w:hAnsi="Arial" w:cs="Arial"/>
                <w:sz w:val="24"/>
                <w:szCs w:val="24"/>
              </w:rPr>
            </w:pPr>
            <w:r w:rsidRPr="00C205AA">
              <w:rPr>
                <w:rFonts w:ascii="Arial" w:hAnsi="Arial" w:cs="Arial"/>
              </w:rPr>
              <w:tab/>
              <w:t>(e)</w:t>
            </w:r>
            <w:r w:rsidRPr="00C205AA">
              <w:rPr>
                <w:rFonts w:ascii="Arial" w:hAnsi="Arial" w:cs="Arial"/>
              </w:rPr>
              <w:tab/>
            </w:r>
            <w:proofErr w:type="gramStart"/>
            <w:r w:rsidRPr="00C205AA">
              <w:rPr>
                <w:rFonts w:ascii="Arial" w:hAnsi="Arial" w:cs="Arial"/>
              </w:rPr>
              <w:t>the</w:t>
            </w:r>
            <w:proofErr w:type="gramEnd"/>
            <w:r w:rsidRPr="00C205AA">
              <w:rPr>
                <w:rFonts w:ascii="Arial" w:hAnsi="Arial" w:cs="Arial"/>
              </w:rPr>
              <w:t xml:space="preserve"> application for absolution from the instance should be granted sparingly. The court must generally speaking, be shy, frigid, </w:t>
            </w:r>
            <w:r w:rsidR="00450AA2" w:rsidRPr="00C205AA">
              <w:rPr>
                <w:rFonts w:ascii="Arial" w:hAnsi="Arial" w:cs="Arial"/>
              </w:rPr>
              <w:t>or cautious</w:t>
            </w:r>
            <w:r w:rsidRPr="00C205AA">
              <w:rPr>
                <w:rFonts w:ascii="Arial" w:hAnsi="Arial" w:cs="Arial"/>
              </w:rPr>
              <w:t xml:space="preserve"> in granting this application. But when the proper occasion arises, and in the interests of justice, the court should not hesitate to grant this application — </w:t>
            </w:r>
            <w:proofErr w:type="spellStart"/>
            <w:r w:rsidRPr="00C205AA">
              <w:rPr>
                <w:rFonts w:ascii="Arial" w:hAnsi="Arial" w:cs="Arial"/>
              </w:rPr>
              <w:t>Stier</w:t>
            </w:r>
            <w:proofErr w:type="spellEnd"/>
            <w:r w:rsidRPr="00C205AA">
              <w:rPr>
                <w:rFonts w:ascii="Arial" w:hAnsi="Arial" w:cs="Arial"/>
              </w:rPr>
              <w:t xml:space="preserve"> and General Francois </w:t>
            </w:r>
            <w:proofErr w:type="spellStart"/>
            <w:r w:rsidRPr="00C205AA">
              <w:rPr>
                <w:rFonts w:ascii="Arial" w:hAnsi="Arial" w:cs="Arial"/>
              </w:rPr>
              <w:t>Olenga</w:t>
            </w:r>
            <w:proofErr w:type="spellEnd"/>
            <w:r w:rsidRPr="00C205AA">
              <w:rPr>
                <w:rFonts w:ascii="Arial" w:hAnsi="Arial" w:cs="Arial"/>
              </w:rPr>
              <w:t xml:space="preserve"> v </w:t>
            </w:r>
            <w:proofErr w:type="spellStart"/>
            <w:r w:rsidRPr="00C205AA">
              <w:rPr>
                <w:rFonts w:ascii="Arial" w:hAnsi="Arial" w:cs="Arial"/>
              </w:rPr>
              <w:t>Spranger</w:t>
            </w:r>
            <w:proofErr w:type="spellEnd"/>
            <w:r w:rsidRPr="00C205AA">
              <w:rPr>
                <w:rFonts w:ascii="Arial" w:hAnsi="Arial" w:cs="Arial"/>
              </w:rPr>
              <w:t xml:space="preserve"> (supra).'</w:t>
            </w:r>
            <w:r w:rsidR="000E154E" w:rsidRPr="00084C01">
              <w:rPr>
                <w:rFonts w:ascii="Arial" w:hAnsi="Arial" w:cs="Arial"/>
                <w:sz w:val="24"/>
                <w:szCs w:val="24"/>
              </w:rPr>
              <w:t xml:space="preserve">  </w:t>
            </w:r>
          </w:p>
          <w:p w:rsidR="00FA3929" w:rsidRPr="00084C01" w:rsidRDefault="00FA3929" w:rsidP="00D764D0">
            <w:pPr>
              <w:spacing w:line="360" w:lineRule="auto"/>
              <w:jc w:val="both"/>
              <w:rPr>
                <w:rFonts w:ascii="Arial" w:hAnsi="Arial" w:cs="Arial"/>
                <w:sz w:val="24"/>
                <w:szCs w:val="24"/>
              </w:rPr>
            </w:pPr>
          </w:p>
          <w:p w:rsidR="000E624E" w:rsidRDefault="000E154E" w:rsidP="00D764D0">
            <w:pPr>
              <w:spacing w:line="360" w:lineRule="auto"/>
              <w:jc w:val="both"/>
              <w:rPr>
                <w:rFonts w:ascii="Arial" w:hAnsi="Arial" w:cs="Arial"/>
                <w:sz w:val="24"/>
                <w:szCs w:val="24"/>
              </w:rPr>
            </w:pPr>
            <w:r w:rsidRPr="00084C01">
              <w:rPr>
                <w:rFonts w:ascii="Arial" w:hAnsi="Arial" w:cs="Arial"/>
                <w:sz w:val="24"/>
                <w:szCs w:val="24"/>
              </w:rPr>
              <w:t>[4]</w:t>
            </w:r>
            <w:r w:rsidR="00DA19D2" w:rsidRPr="00084C01">
              <w:rPr>
                <w:rFonts w:ascii="Arial" w:hAnsi="Arial" w:cs="Arial"/>
                <w:sz w:val="24"/>
                <w:szCs w:val="24"/>
              </w:rPr>
              <w:t xml:space="preserve"> </w:t>
            </w:r>
            <w:r w:rsidRPr="00084C01">
              <w:rPr>
                <w:rFonts w:ascii="Arial" w:hAnsi="Arial" w:cs="Arial"/>
                <w:sz w:val="24"/>
                <w:szCs w:val="24"/>
              </w:rPr>
              <w:t xml:space="preserve"> </w:t>
            </w:r>
            <w:r w:rsidR="000F5725" w:rsidRPr="00084C01">
              <w:rPr>
                <w:rFonts w:ascii="Arial" w:hAnsi="Arial" w:cs="Arial"/>
                <w:sz w:val="24"/>
                <w:szCs w:val="24"/>
              </w:rPr>
              <w:t xml:space="preserve">  </w:t>
            </w:r>
            <w:r w:rsidR="00FA3929" w:rsidRPr="00084C01">
              <w:rPr>
                <w:rFonts w:ascii="Arial" w:hAnsi="Arial" w:cs="Arial"/>
                <w:sz w:val="24"/>
                <w:szCs w:val="24"/>
              </w:rPr>
              <w:t>I have considered the points raised by the defendants and I sha</w:t>
            </w:r>
            <w:r w:rsidR="00C205AA">
              <w:rPr>
                <w:rFonts w:ascii="Arial" w:hAnsi="Arial" w:cs="Arial"/>
                <w:sz w:val="24"/>
                <w:szCs w:val="24"/>
              </w:rPr>
              <w:t>ll briefly deal with them</w:t>
            </w:r>
            <w:r w:rsidR="00FA3929" w:rsidRPr="00084C01">
              <w:rPr>
                <w:rFonts w:ascii="Arial" w:hAnsi="Arial" w:cs="Arial"/>
                <w:sz w:val="24"/>
                <w:szCs w:val="24"/>
              </w:rPr>
              <w:t xml:space="preserve">. </w:t>
            </w:r>
            <w:r w:rsidR="000E624E" w:rsidRPr="00084C01">
              <w:rPr>
                <w:rFonts w:ascii="Arial" w:hAnsi="Arial" w:cs="Arial"/>
                <w:sz w:val="24"/>
                <w:szCs w:val="24"/>
              </w:rPr>
              <w:t xml:space="preserve">The </w:t>
            </w:r>
            <w:r w:rsidR="00FA3929" w:rsidRPr="00084C01">
              <w:rPr>
                <w:rFonts w:ascii="Arial" w:hAnsi="Arial" w:cs="Arial"/>
                <w:sz w:val="24"/>
                <w:szCs w:val="24"/>
              </w:rPr>
              <w:t xml:space="preserve">lack of locus standi </w:t>
            </w:r>
            <w:r w:rsidR="00241800" w:rsidRPr="00084C01">
              <w:rPr>
                <w:rFonts w:ascii="Arial" w:hAnsi="Arial" w:cs="Arial"/>
                <w:sz w:val="24"/>
                <w:szCs w:val="24"/>
              </w:rPr>
              <w:t xml:space="preserve">was raised for the first time in application for absolution and not recorded in the pre-trial order. The court could find for the plaintiff in light of this objection. </w:t>
            </w:r>
            <w:r w:rsidR="00FA3929" w:rsidRPr="00084C01">
              <w:rPr>
                <w:rFonts w:ascii="Arial" w:hAnsi="Arial" w:cs="Arial"/>
                <w:sz w:val="24"/>
                <w:szCs w:val="24"/>
              </w:rPr>
              <w:t xml:space="preserve"> </w:t>
            </w:r>
            <w:r w:rsidR="00241800" w:rsidRPr="00084C01">
              <w:rPr>
                <w:rFonts w:ascii="Arial" w:hAnsi="Arial" w:cs="Arial"/>
                <w:sz w:val="24"/>
                <w:szCs w:val="24"/>
              </w:rPr>
              <w:t>Evidence has been adduced that</w:t>
            </w:r>
            <w:r w:rsidR="006B3D9F" w:rsidRPr="00084C01">
              <w:rPr>
                <w:rFonts w:ascii="Arial" w:hAnsi="Arial" w:cs="Arial"/>
                <w:sz w:val="24"/>
                <w:szCs w:val="24"/>
              </w:rPr>
              <w:t>: (</w:t>
            </w:r>
            <w:proofErr w:type="spellStart"/>
            <w:r w:rsidR="006B3D9F" w:rsidRPr="00084C01">
              <w:rPr>
                <w:rFonts w:ascii="Arial" w:hAnsi="Arial" w:cs="Arial"/>
                <w:sz w:val="24"/>
                <w:szCs w:val="24"/>
              </w:rPr>
              <w:t>i</w:t>
            </w:r>
            <w:proofErr w:type="spellEnd"/>
            <w:r w:rsidR="006B3D9F" w:rsidRPr="00084C01">
              <w:rPr>
                <w:rFonts w:ascii="Arial" w:hAnsi="Arial" w:cs="Arial"/>
                <w:sz w:val="24"/>
                <w:szCs w:val="24"/>
              </w:rPr>
              <w:t>) a mandate has been given; (ii</w:t>
            </w:r>
            <w:r w:rsidR="006848C7" w:rsidRPr="00084C01">
              <w:rPr>
                <w:rFonts w:ascii="Arial" w:hAnsi="Arial" w:cs="Arial"/>
                <w:sz w:val="24"/>
                <w:szCs w:val="24"/>
              </w:rPr>
              <w:t>) the</w:t>
            </w:r>
            <w:r w:rsidR="006B3D9F" w:rsidRPr="00084C01">
              <w:rPr>
                <w:rFonts w:ascii="Arial" w:hAnsi="Arial" w:cs="Arial"/>
                <w:sz w:val="24"/>
                <w:szCs w:val="24"/>
              </w:rPr>
              <w:t xml:space="preserve"> mandate was not cancelled; (iii) </w:t>
            </w:r>
            <w:r w:rsidR="00241800" w:rsidRPr="00084C01">
              <w:rPr>
                <w:rFonts w:ascii="Arial" w:hAnsi="Arial" w:cs="Arial"/>
                <w:sz w:val="24"/>
                <w:szCs w:val="24"/>
              </w:rPr>
              <w:t xml:space="preserve">Plaintiff introduced the </w:t>
            </w:r>
            <w:r w:rsidR="006B3D9F" w:rsidRPr="00084C01">
              <w:rPr>
                <w:rFonts w:ascii="Arial" w:hAnsi="Arial" w:cs="Arial"/>
                <w:sz w:val="24"/>
                <w:szCs w:val="24"/>
              </w:rPr>
              <w:t>buyer</w:t>
            </w:r>
            <w:r w:rsidR="00241800" w:rsidRPr="00084C01">
              <w:rPr>
                <w:rFonts w:ascii="Arial" w:hAnsi="Arial" w:cs="Arial"/>
                <w:sz w:val="24"/>
                <w:szCs w:val="24"/>
              </w:rPr>
              <w:t xml:space="preserve"> to the seller</w:t>
            </w:r>
            <w:r w:rsidR="000E624E" w:rsidRPr="00084C01">
              <w:rPr>
                <w:rFonts w:ascii="Arial" w:hAnsi="Arial" w:cs="Arial"/>
                <w:sz w:val="24"/>
                <w:szCs w:val="24"/>
              </w:rPr>
              <w:t>s</w:t>
            </w:r>
            <w:r w:rsidR="006B3D9F" w:rsidRPr="00084C01">
              <w:rPr>
                <w:rFonts w:ascii="Arial" w:hAnsi="Arial" w:cs="Arial"/>
                <w:sz w:val="24"/>
                <w:szCs w:val="24"/>
              </w:rPr>
              <w:t>; and (iv</w:t>
            </w:r>
            <w:r w:rsidR="006848C7" w:rsidRPr="00084C01">
              <w:rPr>
                <w:rFonts w:ascii="Arial" w:hAnsi="Arial" w:cs="Arial"/>
                <w:sz w:val="24"/>
                <w:szCs w:val="24"/>
              </w:rPr>
              <w:t>) An</w:t>
            </w:r>
            <w:r w:rsidR="00241800" w:rsidRPr="00084C01">
              <w:rPr>
                <w:rFonts w:ascii="Arial" w:hAnsi="Arial" w:cs="Arial"/>
                <w:sz w:val="24"/>
                <w:szCs w:val="24"/>
              </w:rPr>
              <w:t xml:space="preserve"> agreement </w:t>
            </w:r>
            <w:r w:rsidR="006B3D9F" w:rsidRPr="00084C01">
              <w:rPr>
                <w:rFonts w:ascii="Arial" w:hAnsi="Arial" w:cs="Arial"/>
                <w:sz w:val="24"/>
                <w:szCs w:val="24"/>
              </w:rPr>
              <w:t>between the parties was</w:t>
            </w:r>
            <w:r w:rsidR="00C205AA">
              <w:rPr>
                <w:rFonts w:ascii="Arial" w:hAnsi="Arial" w:cs="Arial"/>
                <w:sz w:val="24"/>
                <w:szCs w:val="24"/>
              </w:rPr>
              <w:t xml:space="preserve"> concluded</w:t>
            </w:r>
            <w:r w:rsidR="006B3D9F" w:rsidRPr="00084C01">
              <w:rPr>
                <w:rFonts w:ascii="Arial" w:hAnsi="Arial" w:cs="Arial"/>
                <w:sz w:val="24"/>
                <w:szCs w:val="24"/>
              </w:rPr>
              <w:t>.</w:t>
            </w:r>
            <w:r w:rsidR="00241800" w:rsidRPr="00084C01">
              <w:rPr>
                <w:rFonts w:ascii="Arial" w:hAnsi="Arial" w:cs="Arial"/>
                <w:sz w:val="24"/>
                <w:szCs w:val="24"/>
              </w:rPr>
              <w:t xml:space="preserve"> The court could</w:t>
            </w:r>
            <w:r w:rsidR="006B3D9F" w:rsidRPr="00084C01">
              <w:rPr>
                <w:rFonts w:ascii="Arial" w:hAnsi="Arial" w:cs="Arial"/>
                <w:sz w:val="24"/>
                <w:szCs w:val="24"/>
              </w:rPr>
              <w:t>, without making credibility findings,</w:t>
            </w:r>
            <w:r w:rsidR="00241800" w:rsidRPr="00084C01">
              <w:rPr>
                <w:rFonts w:ascii="Arial" w:hAnsi="Arial" w:cs="Arial"/>
                <w:sz w:val="24"/>
                <w:szCs w:val="24"/>
              </w:rPr>
              <w:t xml:space="preserve"> conclude</w:t>
            </w:r>
            <w:r w:rsidR="000E624E" w:rsidRPr="00084C01">
              <w:rPr>
                <w:rFonts w:ascii="Arial" w:hAnsi="Arial" w:cs="Arial"/>
                <w:sz w:val="24"/>
                <w:szCs w:val="24"/>
              </w:rPr>
              <w:t xml:space="preserve"> on the available evidence</w:t>
            </w:r>
            <w:r w:rsidR="00241800" w:rsidRPr="00084C01">
              <w:rPr>
                <w:rFonts w:ascii="Arial" w:hAnsi="Arial" w:cs="Arial"/>
                <w:sz w:val="24"/>
                <w:szCs w:val="24"/>
              </w:rPr>
              <w:t xml:space="preserve"> that the plaintiff was the effective c</w:t>
            </w:r>
            <w:r w:rsidR="000E624E" w:rsidRPr="00084C01">
              <w:rPr>
                <w:rFonts w:ascii="Arial" w:hAnsi="Arial" w:cs="Arial"/>
                <w:sz w:val="24"/>
                <w:szCs w:val="24"/>
              </w:rPr>
              <w:t>ause of the sale. The two intervening acts are alleged by the defendants</w:t>
            </w:r>
            <w:r w:rsidR="00450AA2" w:rsidRPr="00084C01">
              <w:rPr>
                <w:rFonts w:ascii="Arial" w:hAnsi="Arial" w:cs="Arial"/>
                <w:sz w:val="24"/>
                <w:szCs w:val="24"/>
              </w:rPr>
              <w:t xml:space="preserve"> and </w:t>
            </w:r>
            <w:r w:rsidR="000E624E" w:rsidRPr="00084C01">
              <w:rPr>
                <w:rFonts w:ascii="Arial" w:hAnsi="Arial" w:cs="Arial"/>
                <w:sz w:val="24"/>
                <w:szCs w:val="24"/>
              </w:rPr>
              <w:t>the onus lies on the one who allege</w:t>
            </w:r>
            <w:r w:rsidR="00450AA2" w:rsidRPr="00084C01">
              <w:rPr>
                <w:rFonts w:ascii="Arial" w:hAnsi="Arial" w:cs="Arial"/>
                <w:sz w:val="24"/>
                <w:szCs w:val="24"/>
              </w:rPr>
              <w:t xml:space="preserve"> to prove the allegations.</w:t>
            </w:r>
            <w:r w:rsidR="000E624E" w:rsidRPr="00084C01">
              <w:rPr>
                <w:rFonts w:ascii="Arial" w:hAnsi="Arial" w:cs="Arial"/>
                <w:sz w:val="24"/>
                <w:szCs w:val="24"/>
              </w:rPr>
              <w:t xml:space="preserve"> Evidence has been adduced that there was an agreement to pay commission and the court could find in favour of the plaintiff in this regard.</w:t>
            </w:r>
          </w:p>
          <w:p w:rsidR="00C205AA" w:rsidRDefault="00C205AA" w:rsidP="00D764D0">
            <w:pPr>
              <w:spacing w:line="360" w:lineRule="auto"/>
              <w:jc w:val="both"/>
              <w:rPr>
                <w:rFonts w:ascii="Arial" w:hAnsi="Arial" w:cs="Arial"/>
                <w:sz w:val="24"/>
                <w:szCs w:val="24"/>
              </w:rPr>
            </w:pPr>
          </w:p>
          <w:p w:rsidR="00C205AA" w:rsidRPr="00084C01" w:rsidRDefault="00C205AA" w:rsidP="00D764D0">
            <w:pPr>
              <w:spacing w:line="360" w:lineRule="auto"/>
              <w:jc w:val="both"/>
              <w:rPr>
                <w:rFonts w:ascii="Arial" w:hAnsi="Arial" w:cs="Arial"/>
                <w:sz w:val="24"/>
                <w:szCs w:val="24"/>
              </w:rPr>
            </w:pPr>
          </w:p>
          <w:p w:rsidR="000E624E" w:rsidRPr="00084C01" w:rsidRDefault="000E624E" w:rsidP="00D764D0">
            <w:pPr>
              <w:spacing w:line="360" w:lineRule="auto"/>
              <w:jc w:val="both"/>
              <w:rPr>
                <w:rFonts w:ascii="Arial" w:hAnsi="Arial" w:cs="Arial"/>
                <w:sz w:val="24"/>
                <w:szCs w:val="24"/>
              </w:rPr>
            </w:pPr>
          </w:p>
          <w:p w:rsidR="000E624E" w:rsidRPr="00084C01" w:rsidRDefault="000E624E" w:rsidP="00D764D0">
            <w:pPr>
              <w:spacing w:line="360" w:lineRule="auto"/>
              <w:jc w:val="both"/>
              <w:rPr>
                <w:rFonts w:ascii="Arial" w:hAnsi="Arial" w:cs="Arial"/>
                <w:sz w:val="24"/>
                <w:szCs w:val="24"/>
              </w:rPr>
            </w:pPr>
            <w:r w:rsidRPr="00084C01">
              <w:rPr>
                <w:rFonts w:ascii="Arial" w:hAnsi="Arial" w:cs="Arial"/>
                <w:sz w:val="24"/>
                <w:szCs w:val="24"/>
              </w:rPr>
              <w:lastRenderedPageBreak/>
              <w:t>[5]     In light of the above the following order is made:</w:t>
            </w:r>
          </w:p>
          <w:p w:rsidR="000E624E" w:rsidRPr="00084C01" w:rsidRDefault="000E624E" w:rsidP="00C205AA">
            <w:pPr>
              <w:pStyle w:val="ListParagraph"/>
              <w:numPr>
                <w:ilvl w:val="0"/>
                <w:numId w:val="11"/>
              </w:numPr>
              <w:spacing w:line="360" w:lineRule="auto"/>
              <w:jc w:val="both"/>
              <w:rPr>
                <w:rFonts w:ascii="Arial" w:hAnsi="Arial" w:cs="Arial"/>
                <w:sz w:val="24"/>
                <w:szCs w:val="24"/>
              </w:rPr>
            </w:pPr>
            <w:r w:rsidRPr="00084C01">
              <w:rPr>
                <w:rFonts w:ascii="Arial" w:hAnsi="Arial" w:cs="Arial"/>
                <w:sz w:val="24"/>
                <w:szCs w:val="24"/>
              </w:rPr>
              <w:t>The application for absolution of the instance is dismissed;</w:t>
            </w:r>
          </w:p>
          <w:p w:rsidR="000E624E" w:rsidRPr="00084C01" w:rsidRDefault="000E624E" w:rsidP="00C205AA">
            <w:pPr>
              <w:pStyle w:val="ListParagraph"/>
              <w:numPr>
                <w:ilvl w:val="0"/>
                <w:numId w:val="11"/>
              </w:numPr>
              <w:spacing w:line="360" w:lineRule="auto"/>
              <w:jc w:val="both"/>
              <w:rPr>
                <w:rFonts w:ascii="Arial" w:hAnsi="Arial" w:cs="Arial"/>
                <w:sz w:val="24"/>
                <w:szCs w:val="24"/>
              </w:rPr>
            </w:pPr>
            <w:r w:rsidRPr="00084C01">
              <w:rPr>
                <w:rFonts w:ascii="Arial" w:hAnsi="Arial" w:cs="Arial"/>
                <w:sz w:val="24"/>
                <w:szCs w:val="24"/>
              </w:rPr>
              <w:t>The second and third defendants are ordered to pay the costs thereof jointly and severally, the one paying and the other being absolved.</w:t>
            </w:r>
          </w:p>
          <w:p w:rsidR="000E624E" w:rsidRPr="00084C01" w:rsidRDefault="000E624E" w:rsidP="00C205AA">
            <w:pPr>
              <w:pStyle w:val="ListParagraph"/>
              <w:numPr>
                <w:ilvl w:val="0"/>
                <w:numId w:val="11"/>
              </w:numPr>
              <w:spacing w:line="360" w:lineRule="auto"/>
              <w:jc w:val="both"/>
              <w:rPr>
                <w:rFonts w:ascii="Arial" w:hAnsi="Arial" w:cs="Arial"/>
                <w:sz w:val="24"/>
                <w:szCs w:val="24"/>
              </w:rPr>
            </w:pPr>
            <w:r w:rsidRPr="00084C01">
              <w:rPr>
                <w:rFonts w:ascii="Arial" w:hAnsi="Arial" w:cs="Arial"/>
                <w:sz w:val="24"/>
                <w:szCs w:val="24"/>
              </w:rPr>
              <w:t xml:space="preserve">The matter is postponed </w:t>
            </w:r>
            <w:r w:rsidR="00606B62" w:rsidRPr="00084C01">
              <w:rPr>
                <w:rFonts w:ascii="Arial" w:hAnsi="Arial" w:cs="Arial"/>
                <w:sz w:val="24"/>
                <w:szCs w:val="24"/>
              </w:rPr>
              <w:t>to 25 March 2020 to determine a date for continuation of trial.</w:t>
            </w:r>
          </w:p>
          <w:p w:rsidR="000E624E" w:rsidRPr="00084C01" w:rsidRDefault="000E624E" w:rsidP="00D764D0">
            <w:pPr>
              <w:spacing w:line="360" w:lineRule="auto"/>
              <w:jc w:val="both"/>
              <w:rPr>
                <w:rFonts w:ascii="Arial" w:hAnsi="Arial" w:cs="Arial"/>
                <w:sz w:val="24"/>
                <w:szCs w:val="24"/>
              </w:rPr>
            </w:pPr>
          </w:p>
          <w:p w:rsidR="00A62C89" w:rsidRPr="00084C01" w:rsidRDefault="00A62C89" w:rsidP="00A62C89">
            <w:pPr>
              <w:spacing w:line="360" w:lineRule="auto"/>
              <w:jc w:val="both"/>
              <w:rPr>
                <w:rFonts w:ascii="Arial" w:hAnsi="Arial" w:cs="Arial"/>
                <w:sz w:val="24"/>
                <w:szCs w:val="24"/>
              </w:rPr>
            </w:pPr>
          </w:p>
          <w:p w:rsidR="006003C6" w:rsidRPr="00084C01" w:rsidRDefault="006003C6" w:rsidP="00BB4ACA">
            <w:pPr>
              <w:pStyle w:val="BodyText"/>
              <w:tabs>
                <w:tab w:val="left" w:pos="720"/>
                <w:tab w:val="left" w:pos="2268"/>
              </w:tabs>
              <w:spacing w:line="360" w:lineRule="auto"/>
              <w:jc w:val="both"/>
              <w:rPr>
                <w:rFonts w:ascii="Arial" w:hAnsi="Arial" w:cs="Arial"/>
                <w:sz w:val="24"/>
                <w:szCs w:val="24"/>
              </w:rPr>
            </w:pPr>
          </w:p>
          <w:p w:rsidR="00226AF8" w:rsidRPr="00084C01" w:rsidRDefault="0057469F" w:rsidP="00CB1E13">
            <w:pPr>
              <w:spacing w:line="360" w:lineRule="auto"/>
              <w:jc w:val="both"/>
              <w:rPr>
                <w:rFonts w:ascii="Arial" w:hAnsi="Arial" w:cs="Arial"/>
                <w:sz w:val="24"/>
                <w:szCs w:val="24"/>
              </w:rPr>
            </w:pPr>
            <w:r w:rsidRPr="00084C01">
              <w:rPr>
                <w:rFonts w:ascii="Arial" w:hAnsi="Arial" w:cs="Arial"/>
                <w:sz w:val="24"/>
                <w:szCs w:val="24"/>
              </w:rPr>
              <w:t xml:space="preserve">  </w:t>
            </w:r>
          </w:p>
        </w:tc>
      </w:tr>
      <w:tr w:rsidR="00D26CB5" w:rsidRPr="00084C01" w:rsidTr="0092129C">
        <w:tc>
          <w:tcPr>
            <w:tcW w:w="4770" w:type="dxa"/>
          </w:tcPr>
          <w:p w:rsidR="00D26CB5" w:rsidRPr="00084C01" w:rsidRDefault="003875C3" w:rsidP="003875C3">
            <w:pPr>
              <w:spacing w:line="360" w:lineRule="auto"/>
              <w:jc w:val="center"/>
              <w:rPr>
                <w:rFonts w:ascii="Arial" w:hAnsi="Arial" w:cs="Arial"/>
                <w:b/>
                <w:sz w:val="24"/>
                <w:szCs w:val="24"/>
              </w:rPr>
            </w:pPr>
            <w:r w:rsidRPr="00084C01">
              <w:rPr>
                <w:rFonts w:ascii="Arial" w:hAnsi="Arial" w:cs="Arial"/>
                <w:b/>
                <w:sz w:val="24"/>
                <w:szCs w:val="24"/>
              </w:rPr>
              <w:lastRenderedPageBreak/>
              <w:t>Judge’s signature:</w:t>
            </w:r>
          </w:p>
        </w:tc>
        <w:tc>
          <w:tcPr>
            <w:tcW w:w="4950" w:type="dxa"/>
            <w:gridSpan w:val="2"/>
          </w:tcPr>
          <w:p w:rsidR="00D26CB5" w:rsidRPr="00084C01" w:rsidRDefault="00D26CB5" w:rsidP="0092129C">
            <w:pPr>
              <w:spacing w:line="360" w:lineRule="auto"/>
              <w:jc w:val="center"/>
              <w:rPr>
                <w:rFonts w:ascii="Arial" w:hAnsi="Arial" w:cs="Arial"/>
                <w:b/>
                <w:sz w:val="24"/>
                <w:szCs w:val="24"/>
              </w:rPr>
            </w:pPr>
            <w:r w:rsidRPr="00084C01">
              <w:rPr>
                <w:rFonts w:ascii="Arial" w:hAnsi="Arial" w:cs="Arial"/>
                <w:b/>
                <w:sz w:val="24"/>
                <w:szCs w:val="24"/>
              </w:rPr>
              <w:t>Note to the parties:</w:t>
            </w:r>
          </w:p>
        </w:tc>
      </w:tr>
      <w:tr w:rsidR="00D26CB5" w:rsidRPr="00084C01" w:rsidTr="0092129C">
        <w:trPr>
          <w:trHeight w:val="1114"/>
        </w:trPr>
        <w:tc>
          <w:tcPr>
            <w:tcW w:w="4770" w:type="dxa"/>
          </w:tcPr>
          <w:p w:rsidR="00D26CB5" w:rsidRPr="00084C01" w:rsidRDefault="00D26CB5" w:rsidP="0092129C">
            <w:pPr>
              <w:spacing w:line="360" w:lineRule="auto"/>
              <w:jc w:val="both"/>
              <w:rPr>
                <w:rFonts w:ascii="Arial" w:hAnsi="Arial" w:cs="Arial"/>
                <w:sz w:val="24"/>
                <w:szCs w:val="24"/>
              </w:rPr>
            </w:pPr>
          </w:p>
          <w:p w:rsidR="00D26CB5" w:rsidRPr="00084C01" w:rsidRDefault="00D26CB5" w:rsidP="0092129C">
            <w:pPr>
              <w:spacing w:line="360" w:lineRule="auto"/>
              <w:jc w:val="both"/>
              <w:rPr>
                <w:rFonts w:ascii="Arial" w:hAnsi="Arial" w:cs="Arial"/>
                <w:sz w:val="24"/>
                <w:szCs w:val="24"/>
              </w:rPr>
            </w:pPr>
          </w:p>
          <w:p w:rsidR="00D26CB5" w:rsidRPr="00084C01" w:rsidRDefault="00D26CB5" w:rsidP="0092129C">
            <w:pPr>
              <w:spacing w:line="360" w:lineRule="auto"/>
              <w:jc w:val="both"/>
              <w:rPr>
                <w:rFonts w:ascii="Arial" w:hAnsi="Arial" w:cs="Arial"/>
                <w:sz w:val="24"/>
                <w:szCs w:val="24"/>
              </w:rPr>
            </w:pPr>
          </w:p>
        </w:tc>
        <w:tc>
          <w:tcPr>
            <w:tcW w:w="4950" w:type="dxa"/>
            <w:gridSpan w:val="2"/>
          </w:tcPr>
          <w:p w:rsidR="00D26CB5" w:rsidRPr="00084C01" w:rsidRDefault="00D26CB5" w:rsidP="0092129C">
            <w:pPr>
              <w:spacing w:line="360" w:lineRule="auto"/>
              <w:jc w:val="both"/>
              <w:rPr>
                <w:rFonts w:ascii="Arial" w:hAnsi="Arial" w:cs="Arial"/>
                <w:sz w:val="24"/>
                <w:szCs w:val="24"/>
              </w:rPr>
            </w:pPr>
            <w:r w:rsidRPr="00084C01">
              <w:rPr>
                <w:rFonts w:ascii="Arial" w:hAnsi="Arial" w:cs="Arial"/>
                <w:sz w:val="24"/>
                <w:szCs w:val="24"/>
              </w:rPr>
              <w:t>Not applicable.</w:t>
            </w:r>
          </w:p>
        </w:tc>
      </w:tr>
      <w:tr w:rsidR="00D26CB5" w:rsidRPr="00084C01" w:rsidTr="0092129C">
        <w:tc>
          <w:tcPr>
            <w:tcW w:w="9720" w:type="dxa"/>
            <w:gridSpan w:val="3"/>
          </w:tcPr>
          <w:p w:rsidR="00D26CB5" w:rsidRPr="00084C01" w:rsidRDefault="00D26CB5" w:rsidP="0092129C">
            <w:pPr>
              <w:spacing w:line="360" w:lineRule="auto"/>
              <w:jc w:val="center"/>
              <w:rPr>
                <w:rFonts w:ascii="Arial" w:hAnsi="Arial" w:cs="Arial"/>
                <w:b/>
                <w:sz w:val="24"/>
                <w:szCs w:val="24"/>
              </w:rPr>
            </w:pPr>
            <w:r w:rsidRPr="00084C01">
              <w:rPr>
                <w:rFonts w:ascii="Arial" w:hAnsi="Arial" w:cs="Arial"/>
                <w:b/>
                <w:sz w:val="24"/>
                <w:szCs w:val="24"/>
              </w:rPr>
              <w:t>Counsel:</w:t>
            </w:r>
          </w:p>
        </w:tc>
      </w:tr>
      <w:tr w:rsidR="00D26CB5" w:rsidRPr="00084C01" w:rsidTr="0092129C">
        <w:tc>
          <w:tcPr>
            <w:tcW w:w="4770" w:type="dxa"/>
          </w:tcPr>
          <w:p w:rsidR="00D26CB5" w:rsidRPr="00084C01" w:rsidRDefault="00D26CB5" w:rsidP="0092129C">
            <w:pPr>
              <w:spacing w:line="360" w:lineRule="auto"/>
              <w:jc w:val="center"/>
              <w:rPr>
                <w:rFonts w:ascii="Arial" w:hAnsi="Arial" w:cs="Arial"/>
                <w:b/>
                <w:sz w:val="24"/>
                <w:szCs w:val="24"/>
              </w:rPr>
            </w:pPr>
            <w:r w:rsidRPr="00084C01">
              <w:rPr>
                <w:rFonts w:ascii="Arial" w:hAnsi="Arial" w:cs="Arial"/>
                <w:b/>
                <w:sz w:val="24"/>
                <w:szCs w:val="24"/>
              </w:rPr>
              <w:t>Applicant</w:t>
            </w:r>
          </w:p>
        </w:tc>
        <w:tc>
          <w:tcPr>
            <w:tcW w:w="4950" w:type="dxa"/>
            <w:gridSpan w:val="2"/>
          </w:tcPr>
          <w:p w:rsidR="00D26CB5" w:rsidRPr="00084C01" w:rsidRDefault="00D26CB5" w:rsidP="0092129C">
            <w:pPr>
              <w:spacing w:line="360" w:lineRule="auto"/>
              <w:jc w:val="center"/>
              <w:rPr>
                <w:rFonts w:ascii="Arial" w:hAnsi="Arial" w:cs="Arial"/>
                <w:b/>
                <w:sz w:val="24"/>
                <w:szCs w:val="24"/>
              </w:rPr>
            </w:pPr>
            <w:r w:rsidRPr="00084C01">
              <w:rPr>
                <w:rFonts w:ascii="Arial" w:hAnsi="Arial" w:cs="Arial"/>
                <w:b/>
                <w:sz w:val="24"/>
                <w:szCs w:val="24"/>
              </w:rPr>
              <w:t xml:space="preserve"> Respondent</w:t>
            </w:r>
          </w:p>
        </w:tc>
      </w:tr>
      <w:tr w:rsidR="00D26CB5" w:rsidRPr="00084C01" w:rsidTr="0092129C">
        <w:tc>
          <w:tcPr>
            <w:tcW w:w="4770" w:type="dxa"/>
          </w:tcPr>
          <w:p w:rsidR="006003C6" w:rsidRDefault="00C205AA" w:rsidP="008E1E24">
            <w:pPr>
              <w:spacing w:line="360" w:lineRule="auto"/>
              <w:jc w:val="center"/>
              <w:rPr>
                <w:rFonts w:ascii="Arial" w:hAnsi="Arial" w:cs="Arial"/>
                <w:sz w:val="24"/>
                <w:szCs w:val="24"/>
              </w:rPr>
            </w:pPr>
            <w:proofErr w:type="spellStart"/>
            <w:r>
              <w:rPr>
                <w:rFonts w:ascii="Arial" w:hAnsi="Arial" w:cs="Arial"/>
                <w:sz w:val="24"/>
                <w:szCs w:val="24"/>
              </w:rPr>
              <w:t>Adv</w:t>
            </w:r>
            <w:proofErr w:type="spellEnd"/>
            <w:r>
              <w:rPr>
                <w:rFonts w:ascii="Arial" w:hAnsi="Arial" w:cs="Arial"/>
                <w:sz w:val="24"/>
                <w:szCs w:val="24"/>
              </w:rPr>
              <w:t xml:space="preserve"> A W </w:t>
            </w:r>
            <w:proofErr w:type="spellStart"/>
            <w:r>
              <w:rPr>
                <w:rFonts w:ascii="Arial" w:hAnsi="Arial" w:cs="Arial"/>
                <w:sz w:val="24"/>
                <w:szCs w:val="24"/>
              </w:rPr>
              <w:t>Boesak</w:t>
            </w:r>
            <w:proofErr w:type="spellEnd"/>
          </w:p>
          <w:p w:rsidR="00C205AA" w:rsidRDefault="00C205AA" w:rsidP="008E1E24">
            <w:pPr>
              <w:spacing w:line="360" w:lineRule="auto"/>
              <w:jc w:val="center"/>
              <w:rPr>
                <w:rFonts w:ascii="Arial" w:hAnsi="Arial" w:cs="Arial"/>
                <w:sz w:val="24"/>
                <w:szCs w:val="24"/>
              </w:rPr>
            </w:pPr>
            <w:r>
              <w:rPr>
                <w:rFonts w:ascii="Arial" w:hAnsi="Arial" w:cs="Arial"/>
                <w:sz w:val="24"/>
                <w:szCs w:val="24"/>
              </w:rPr>
              <w:t xml:space="preserve">on instruction of </w:t>
            </w:r>
          </w:p>
          <w:p w:rsidR="00C205AA" w:rsidRDefault="00C205AA" w:rsidP="008E1E24">
            <w:pPr>
              <w:spacing w:line="360" w:lineRule="auto"/>
              <w:jc w:val="center"/>
              <w:rPr>
                <w:rFonts w:ascii="Arial" w:hAnsi="Arial" w:cs="Arial"/>
                <w:sz w:val="24"/>
                <w:szCs w:val="24"/>
              </w:rPr>
            </w:pPr>
            <w:r>
              <w:rPr>
                <w:rFonts w:ascii="Arial" w:hAnsi="Arial" w:cs="Arial"/>
                <w:sz w:val="24"/>
                <w:szCs w:val="24"/>
              </w:rPr>
              <w:t xml:space="preserve">Dr </w:t>
            </w:r>
            <w:proofErr w:type="spellStart"/>
            <w:r>
              <w:rPr>
                <w:rFonts w:ascii="Arial" w:hAnsi="Arial" w:cs="Arial"/>
                <w:sz w:val="24"/>
                <w:szCs w:val="24"/>
              </w:rPr>
              <w:t>Weder</w:t>
            </w:r>
            <w:proofErr w:type="spellEnd"/>
            <w:r>
              <w:rPr>
                <w:rFonts w:ascii="Arial" w:hAnsi="Arial" w:cs="Arial"/>
                <w:sz w:val="24"/>
                <w:szCs w:val="24"/>
              </w:rPr>
              <w:t xml:space="preserve">, </w:t>
            </w:r>
            <w:proofErr w:type="spellStart"/>
            <w:r>
              <w:rPr>
                <w:rFonts w:ascii="Arial" w:hAnsi="Arial" w:cs="Arial"/>
                <w:sz w:val="24"/>
                <w:szCs w:val="24"/>
              </w:rPr>
              <w:t>Kauta</w:t>
            </w:r>
            <w:proofErr w:type="spellEnd"/>
            <w:r>
              <w:rPr>
                <w:rFonts w:ascii="Arial" w:hAnsi="Arial" w:cs="Arial"/>
                <w:sz w:val="24"/>
                <w:szCs w:val="24"/>
              </w:rPr>
              <w:t xml:space="preserve"> &amp; </w:t>
            </w:r>
            <w:proofErr w:type="spellStart"/>
            <w:r>
              <w:rPr>
                <w:rFonts w:ascii="Arial" w:hAnsi="Arial" w:cs="Arial"/>
                <w:sz w:val="24"/>
                <w:szCs w:val="24"/>
              </w:rPr>
              <w:t>Hoveka</w:t>
            </w:r>
            <w:proofErr w:type="spellEnd"/>
            <w:r>
              <w:rPr>
                <w:rFonts w:ascii="Arial" w:hAnsi="Arial" w:cs="Arial"/>
                <w:sz w:val="24"/>
                <w:szCs w:val="24"/>
              </w:rPr>
              <w:t xml:space="preserve"> </w:t>
            </w:r>
            <w:proofErr w:type="spellStart"/>
            <w:r>
              <w:rPr>
                <w:rFonts w:ascii="Arial" w:hAnsi="Arial" w:cs="Arial"/>
                <w:sz w:val="24"/>
                <w:szCs w:val="24"/>
              </w:rPr>
              <w:t>Inc</w:t>
            </w:r>
            <w:proofErr w:type="spellEnd"/>
          </w:p>
          <w:p w:rsidR="00C205AA" w:rsidRDefault="00C205AA" w:rsidP="008E1E24">
            <w:pPr>
              <w:spacing w:line="360" w:lineRule="auto"/>
              <w:jc w:val="center"/>
              <w:rPr>
                <w:rFonts w:ascii="Arial" w:hAnsi="Arial" w:cs="Arial"/>
                <w:sz w:val="24"/>
                <w:szCs w:val="24"/>
              </w:rPr>
            </w:pPr>
            <w:r>
              <w:rPr>
                <w:rFonts w:ascii="Arial" w:hAnsi="Arial" w:cs="Arial"/>
                <w:sz w:val="24"/>
                <w:szCs w:val="24"/>
              </w:rPr>
              <w:t>Windhoek</w:t>
            </w:r>
          </w:p>
          <w:p w:rsidR="00C205AA" w:rsidRDefault="00C205AA" w:rsidP="008E1E24">
            <w:pPr>
              <w:spacing w:line="360" w:lineRule="auto"/>
              <w:jc w:val="center"/>
              <w:rPr>
                <w:rFonts w:ascii="Arial" w:hAnsi="Arial" w:cs="Arial"/>
                <w:sz w:val="24"/>
                <w:szCs w:val="24"/>
              </w:rPr>
            </w:pPr>
          </w:p>
          <w:p w:rsidR="00C205AA" w:rsidRPr="00084C01" w:rsidRDefault="00C205AA" w:rsidP="008E1E24">
            <w:pPr>
              <w:spacing w:line="360" w:lineRule="auto"/>
              <w:jc w:val="center"/>
              <w:rPr>
                <w:rFonts w:ascii="Arial" w:hAnsi="Arial" w:cs="Arial"/>
                <w:sz w:val="24"/>
                <w:szCs w:val="24"/>
              </w:rPr>
            </w:pPr>
          </w:p>
        </w:tc>
        <w:tc>
          <w:tcPr>
            <w:tcW w:w="4950" w:type="dxa"/>
            <w:gridSpan w:val="2"/>
          </w:tcPr>
          <w:p w:rsidR="00D67EBE" w:rsidRDefault="00C205AA" w:rsidP="008E1E24">
            <w:pPr>
              <w:spacing w:line="360" w:lineRule="auto"/>
              <w:jc w:val="center"/>
              <w:rPr>
                <w:rFonts w:ascii="Arial" w:hAnsi="Arial" w:cs="Arial"/>
                <w:sz w:val="24"/>
                <w:szCs w:val="24"/>
              </w:rPr>
            </w:pPr>
            <w:r>
              <w:rPr>
                <w:rFonts w:ascii="Arial" w:hAnsi="Arial" w:cs="Arial"/>
                <w:sz w:val="24"/>
                <w:szCs w:val="24"/>
              </w:rPr>
              <w:lastRenderedPageBreak/>
              <w:t xml:space="preserve">P J </w:t>
            </w:r>
            <w:proofErr w:type="spellStart"/>
            <w:r>
              <w:rPr>
                <w:rFonts w:ascii="Arial" w:hAnsi="Arial" w:cs="Arial"/>
                <w:sz w:val="24"/>
                <w:szCs w:val="24"/>
              </w:rPr>
              <w:t>Swanepoel</w:t>
            </w:r>
            <w:proofErr w:type="spellEnd"/>
          </w:p>
          <w:p w:rsidR="00C205AA" w:rsidRDefault="00C205AA" w:rsidP="008E1E24">
            <w:pPr>
              <w:spacing w:line="360" w:lineRule="auto"/>
              <w:jc w:val="center"/>
              <w:rPr>
                <w:rFonts w:ascii="Arial" w:hAnsi="Arial" w:cs="Arial"/>
                <w:sz w:val="24"/>
                <w:szCs w:val="24"/>
              </w:rPr>
            </w:pPr>
            <w:r>
              <w:rPr>
                <w:rFonts w:ascii="Arial" w:hAnsi="Arial" w:cs="Arial"/>
                <w:sz w:val="24"/>
                <w:szCs w:val="24"/>
              </w:rPr>
              <w:t xml:space="preserve">of </w:t>
            </w:r>
          </w:p>
          <w:p w:rsidR="00C205AA" w:rsidRDefault="00C205AA" w:rsidP="008E1E24">
            <w:pPr>
              <w:spacing w:line="360" w:lineRule="auto"/>
              <w:jc w:val="center"/>
              <w:rPr>
                <w:rFonts w:ascii="Arial" w:hAnsi="Arial" w:cs="Arial"/>
                <w:sz w:val="24"/>
                <w:szCs w:val="24"/>
              </w:rPr>
            </w:pPr>
            <w:r>
              <w:rPr>
                <w:rFonts w:ascii="Arial" w:hAnsi="Arial" w:cs="Arial"/>
                <w:sz w:val="24"/>
                <w:szCs w:val="24"/>
              </w:rPr>
              <w:t xml:space="preserve">Philip </w:t>
            </w:r>
            <w:proofErr w:type="spellStart"/>
            <w:r>
              <w:rPr>
                <w:rFonts w:ascii="Arial" w:hAnsi="Arial" w:cs="Arial"/>
                <w:sz w:val="24"/>
                <w:szCs w:val="24"/>
              </w:rPr>
              <w:t>Swanepoel</w:t>
            </w:r>
            <w:proofErr w:type="spellEnd"/>
            <w:r>
              <w:rPr>
                <w:rFonts w:ascii="Arial" w:hAnsi="Arial" w:cs="Arial"/>
                <w:sz w:val="24"/>
                <w:szCs w:val="24"/>
              </w:rPr>
              <w:t xml:space="preserve"> Legal Practitioners</w:t>
            </w:r>
          </w:p>
          <w:p w:rsidR="00C205AA" w:rsidRPr="00084C01" w:rsidRDefault="00C205AA" w:rsidP="008E1E24">
            <w:pPr>
              <w:spacing w:line="360" w:lineRule="auto"/>
              <w:jc w:val="center"/>
              <w:rPr>
                <w:rFonts w:ascii="Arial" w:hAnsi="Arial" w:cs="Arial"/>
                <w:sz w:val="24"/>
                <w:szCs w:val="24"/>
              </w:rPr>
            </w:pPr>
            <w:r>
              <w:rPr>
                <w:rFonts w:ascii="Arial" w:hAnsi="Arial" w:cs="Arial"/>
                <w:sz w:val="24"/>
                <w:szCs w:val="24"/>
              </w:rPr>
              <w:t>Windhoek</w:t>
            </w:r>
          </w:p>
        </w:tc>
      </w:tr>
    </w:tbl>
    <w:p w:rsidR="00D26CB5" w:rsidRPr="00084C01" w:rsidRDefault="00D26CB5" w:rsidP="00D26CB5">
      <w:pPr>
        <w:spacing w:after="0" w:line="360" w:lineRule="auto"/>
        <w:jc w:val="both"/>
        <w:rPr>
          <w:rFonts w:ascii="Arial" w:hAnsi="Arial" w:cs="Arial"/>
          <w:sz w:val="24"/>
          <w:szCs w:val="24"/>
        </w:rPr>
      </w:pPr>
    </w:p>
    <w:p w:rsidR="00D26CB5" w:rsidRPr="008E1E24" w:rsidRDefault="00D26CB5" w:rsidP="00D26CB5">
      <w:pPr>
        <w:rPr>
          <w:rFonts w:ascii="Arial Narrow" w:hAnsi="Arial Narrow"/>
          <w:sz w:val="24"/>
          <w:szCs w:val="24"/>
        </w:rPr>
      </w:pPr>
    </w:p>
    <w:p w:rsidR="00D26CB5" w:rsidRPr="008E1E24" w:rsidRDefault="00D26CB5" w:rsidP="00D26CB5">
      <w:pPr>
        <w:rPr>
          <w:rFonts w:ascii="Arial Narrow" w:hAnsi="Arial Narrow"/>
          <w:sz w:val="24"/>
          <w:szCs w:val="24"/>
        </w:rPr>
      </w:pPr>
    </w:p>
    <w:p w:rsidR="00012995" w:rsidRPr="008E1E24" w:rsidRDefault="00012995">
      <w:pPr>
        <w:rPr>
          <w:rFonts w:ascii="Arial Narrow" w:hAnsi="Arial Narrow"/>
          <w:sz w:val="24"/>
          <w:szCs w:val="24"/>
        </w:rPr>
      </w:pPr>
    </w:p>
    <w:sectPr w:rsidR="00012995" w:rsidRPr="008E1E24" w:rsidSect="00780DF7">
      <w:headerReference w:type="default" r:id="rId8"/>
      <w:footerReference w:type="default" r:id="rId9"/>
      <w:pgSz w:w="11906" w:h="16838"/>
      <w:pgMar w:top="1080" w:right="1440" w:bottom="1134" w:left="1440" w:header="708" w:footer="75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7C6" w:rsidRDefault="008D67C6" w:rsidP="00D01890">
      <w:pPr>
        <w:spacing w:after="0" w:line="240" w:lineRule="auto"/>
      </w:pPr>
      <w:r>
        <w:separator/>
      </w:r>
    </w:p>
  </w:endnote>
  <w:endnote w:type="continuationSeparator" w:id="0">
    <w:p w:rsidR="008D67C6" w:rsidRDefault="008D67C6" w:rsidP="00D01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B3F" w:rsidRDefault="00352B3F">
    <w:pPr>
      <w:pStyle w:val="Footer"/>
      <w:jc w:val="right"/>
    </w:pPr>
  </w:p>
  <w:p w:rsidR="00352B3F" w:rsidRDefault="00352B3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7C6" w:rsidRDefault="008D67C6" w:rsidP="00D01890">
      <w:pPr>
        <w:spacing w:after="0" w:line="240" w:lineRule="auto"/>
      </w:pPr>
      <w:r>
        <w:separator/>
      </w:r>
    </w:p>
  </w:footnote>
  <w:footnote w:type="continuationSeparator" w:id="0">
    <w:p w:rsidR="008D67C6" w:rsidRDefault="008D67C6" w:rsidP="00D018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019565"/>
      <w:docPartObj>
        <w:docPartGallery w:val="Page Numbers (Top of Page)"/>
        <w:docPartUnique/>
      </w:docPartObj>
    </w:sdtPr>
    <w:sdtEndPr>
      <w:rPr>
        <w:noProof/>
      </w:rPr>
    </w:sdtEndPr>
    <w:sdtContent>
      <w:p w:rsidR="00780DF7" w:rsidRDefault="00780DF7">
        <w:pPr>
          <w:pStyle w:val="Header"/>
          <w:jc w:val="right"/>
        </w:pPr>
        <w:r>
          <w:fldChar w:fldCharType="begin"/>
        </w:r>
        <w:r>
          <w:instrText xml:space="preserve"> PAGE   \* MERGEFORMAT </w:instrText>
        </w:r>
        <w:r>
          <w:fldChar w:fldCharType="separate"/>
        </w:r>
        <w:r w:rsidR="002A1A61">
          <w:rPr>
            <w:noProof/>
          </w:rPr>
          <w:t>2</w:t>
        </w:r>
        <w:r>
          <w:rPr>
            <w:noProof/>
          </w:rPr>
          <w:fldChar w:fldCharType="end"/>
        </w:r>
      </w:p>
    </w:sdtContent>
  </w:sdt>
  <w:p w:rsidR="00352B3F" w:rsidRDefault="00352B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386A"/>
    <w:multiLevelType w:val="hybridMultilevel"/>
    <w:tmpl w:val="43F225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E195823"/>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53E2080"/>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9F61C3B"/>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BB402C4"/>
    <w:multiLevelType w:val="hybridMultilevel"/>
    <w:tmpl w:val="14DCA2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DE75459"/>
    <w:multiLevelType w:val="hybridMultilevel"/>
    <w:tmpl w:val="0FAEE4B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D317DE"/>
    <w:multiLevelType w:val="hybridMultilevel"/>
    <w:tmpl w:val="B28E821A"/>
    <w:lvl w:ilvl="0" w:tplc="F86E4C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06708E"/>
    <w:multiLevelType w:val="hybridMultilevel"/>
    <w:tmpl w:val="18FCE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33512E"/>
    <w:multiLevelType w:val="hybridMultilevel"/>
    <w:tmpl w:val="43F225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69210C6"/>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D3D6625"/>
    <w:multiLevelType w:val="hybridMultilevel"/>
    <w:tmpl w:val="B6AC5C68"/>
    <w:lvl w:ilvl="0" w:tplc="8C5404E0">
      <w:start w:val="1"/>
      <w:numFmt w:val="lowerLetter"/>
      <w:lvlText w:val="(%1)"/>
      <w:lvlJc w:val="left"/>
      <w:pPr>
        <w:ind w:left="1080" w:hanging="72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7"/>
  </w:num>
  <w:num w:numId="4">
    <w:abstractNumId w:val="4"/>
  </w:num>
  <w:num w:numId="5">
    <w:abstractNumId w:val="1"/>
  </w:num>
  <w:num w:numId="6">
    <w:abstractNumId w:val="5"/>
  </w:num>
  <w:num w:numId="7">
    <w:abstractNumId w:val="6"/>
  </w:num>
  <w:num w:numId="8">
    <w:abstractNumId w:val="3"/>
  </w:num>
  <w:num w:numId="9">
    <w:abstractNumId w:val="2"/>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B5"/>
    <w:rsid w:val="00010FE7"/>
    <w:rsid w:val="00012995"/>
    <w:rsid w:val="00013EC0"/>
    <w:rsid w:val="000155A5"/>
    <w:rsid w:val="00022EC7"/>
    <w:rsid w:val="0002555E"/>
    <w:rsid w:val="000309E0"/>
    <w:rsid w:val="00032221"/>
    <w:rsid w:val="00040C42"/>
    <w:rsid w:val="00046EFC"/>
    <w:rsid w:val="00051B51"/>
    <w:rsid w:val="00055FA9"/>
    <w:rsid w:val="00057DE9"/>
    <w:rsid w:val="00070929"/>
    <w:rsid w:val="00084C01"/>
    <w:rsid w:val="00084E58"/>
    <w:rsid w:val="000A29F1"/>
    <w:rsid w:val="000A684E"/>
    <w:rsid w:val="000A6CDD"/>
    <w:rsid w:val="000B31F0"/>
    <w:rsid w:val="000D2DE9"/>
    <w:rsid w:val="000D3044"/>
    <w:rsid w:val="000D70A9"/>
    <w:rsid w:val="000D7380"/>
    <w:rsid w:val="000E043D"/>
    <w:rsid w:val="000E154E"/>
    <w:rsid w:val="000E3F5E"/>
    <w:rsid w:val="000E624E"/>
    <w:rsid w:val="000E6395"/>
    <w:rsid w:val="000F11A5"/>
    <w:rsid w:val="000F3A0D"/>
    <w:rsid w:val="000F5725"/>
    <w:rsid w:val="000F5B65"/>
    <w:rsid w:val="001007FF"/>
    <w:rsid w:val="00102367"/>
    <w:rsid w:val="001068B9"/>
    <w:rsid w:val="001108CF"/>
    <w:rsid w:val="00142BD3"/>
    <w:rsid w:val="00145ADA"/>
    <w:rsid w:val="001536FF"/>
    <w:rsid w:val="00154BDC"/>
    <w:rsid w:val="00165A20"/>
    <w:rsid w:val="0017517E"/>
    <w:rsid w:val="001773C4"/>
    <w:rsid w:val="001B15C5"/>
    <w:rsid w:val="001B7111"/>
    <w:rsid w:val="001E4FF0"/>
    <w:rsid w:val="002044D7"/>
    <w:rsid w:val="00214E94"/>
    <w:rsid w:val="00226AF8"/>
    <w:rsid w:val="00233466"/>
    <w:rsid w:val="00236EBE"/>
    <w:rsid w:val="00240526"/>
    <w:rsid w:val="00241800"/>
    <w:rsid w:val="0024675F"/>
    <w:rsid w:val="002510D0"/>
    <w:rsid w:val="002557A7"/>
    <w:rsid w:val="00267D07"/>
    <w:rsid w:val="0027100A"/>
    <w:rsid w:val="00273C50"/>
    <w:rsid w:val="002779F2"/>
    <w:rsid w:val="00277FD7"/>
    <w:rsid w:val="00280ADC"/>
    <w:rsid w:val="00285E54"/>
    <w:rsid w:val="00294FF2"/>
    <w:rsid w:val="002A1A61"/>
    <w:rsid w:val="002A3123"/>
    <w:rsid w:val="002B3223"/>
    <w:rsid w:val="002B7A85"/>
    <w:rsid w:val="002C3B08"/>
    <w:rsid w:val="002C4E37"/>
    <w:rsid w:val="002D78B1"/>
    <w:rsid w:val="002E18A2"/>
    <w:rsid w:val="00304CD2"/>
    <w:rsid w:val="00312048"/>
    <w:rsid w:val="00313CD0"/>
    <w:rsid w:val="00321AA9"/>
    <w:rsid w:val="00344481"/>
    <w:rsid w:val="00347D01"/>
    <w:rsid w:val="00351080"/>
    <w:rsid w:val="00352B3F"/>
    <w:rsid w:val="00365122"/>
    <w:rsid w:val="00371056"/>
    <w:rsid w:val="003817DE"/>
    <w:rsid w:val="003875C3"/>
    <w:rsid w:val="00390E41"/>
    <w:rsid w:val="003A5397"/>
    <w:rsid w:val="003C2051"/>
    <w:rsid w:val="003D1047"/>
    <w:rsid w:val="003E0400"/>
    <w:rsid w:val="003E1468"/>
    <w:rsid w:val="003E5C60"/>
    <w:rsid w:val="003E72CC"/>
    <w:rsid w:val="003F40BD"/>
    <w:rsid w:val="003F526F"/>
    <w:rsid w:val="0040115B"/>
    <w:rsid w:val="00404EDF"/>
    <w:rsid w:val="0041481F"/>
    <w:rsid w:val="00422236"/>
    <w:rsid w:val="004262E2"/>
    <w:rsid w:val="00427466"/>
    <w:rsid w:val="0043000E"/>
    <w:rsid w:val="00443598"/>
    <w:rsid w:val="00447408"/>
    <w:rsid w:val="004502D1"/>
    <w:rsid w:val="00450AA2"/>
    <w:rsid w:val="00463102"/>
    <w:rsid w:val="00471607"/>
    <w:rsid w:val="0047342A"/>
    <w:rsid w:val="0047532C"/>
    <w:rsid w:val="004879DF"/>
    <w:rsid w:val="0049404B"/>
    <w:rsid w:val="004C0404"/>
    <w:rsid w:val="004D7E1C"/>
    <w:rsid w:val="004E3863"/>
    <w:rsid w:val="004E3BD9"/>
    <w:rsid w:val="004E7F24"/>
    <w:rsid w:val="004F10D1"/>
    <w:rsid w:val="004F2D2F"/>
    <w:rsid w:val="004F3A11"/>
    <w:rsid w:val="005365E8"/>
    <w:rsid w:val="00543F56"/>
    <w:rsid w:val="00553AEF"/>
    <w:rsid w:val="0055737E"/>
    <w:rsid w:val="0056075D"/>
    <w:rsid w:val="00566A0E"/>
    <w:rsid w:val="00570002"/>
    <w:rsid w:val="005732F3"/>
    <w:rsid w:val="0057469F"/>
    <w:rsid w:val="00576699"/>
    <w:rsid w:val="0057707B"/>
    <w:rsid w:val="00585408"/>
    <w:rsid w:val="00590640"/>
    <w:rsid w:val="005932AF"/>
    <w:rsid w:val="005946B3"/>
    <w:rsid w:val="005A25A5"/>
    <w:rsid w:val="005D1985"/>
    <w:rsid w:val="005D6F2A"/>
    <w:rsid w:val="005D7122"/>
    <w:rsid w:val="005E5886"/>
    <w:rsid w:val="005F365C"/>
    <w:rsid w:val="00600394"/>
    <w:rsid w:val="006003C6"/>
    <w:rsid w:val="00606780"/>
    <w:rsid w:val="00606B62"/>
    <w:rsid w:val="006202C8"/>
    <w:rsid w:val="00641114"/>
    <w:rsid w:val="006449FD"/>
    <w:rsid w:val="0064775D"/>
    <w:rsid w:val="006508F8"/>
    <w:rsid w:val="00651FBF"/>
    <w:rsid w:val="00661F48"/>
    <w:rsid w:val="006848C7"/>
    <w:rsid w:val="00691B65"/>
    <w:rsid w:val="006A4EF2"/>
    <w:rsid w:val="006A782A"/>
    <w:rsid w:val="006B3D9F"/>
    <w:rsid w:val="006C16F7"/>
    <w:rsid w:val="006C2F1D"/>
    <w:rsid w:val="006C6427"/>
    <w:rsid w:val="006D0903"/>
    <w:rsid w:val="006D0EF4"/>
    <w:rsid w:val="006D4AFB"/>
    <w:rsid w:val="006D5B5A"/>
    <w:rsid w:val="006F1344"/>
    <w:rsid w:val="006F3863"/>
    <w:rsid w:val="00706660"/>
    <w:rsid w:val="00723EBB"/>
    <w:rsid w:val="00752ACC"/>
    <w:rsid w:val="00770727"/>
    <w:rsid w:val="00775A21"/>
    <w:rsid w:val="00775EC1"/>
    <w:rsid w:val="007777C3"/>
    <w:rsid w:val="00780DF7"/>
    <w:rsid w:val="00790373"/>
    <w:rsid w:val="007A6F9E"/>
    <w:rsid w:val="007A7C33"/>
    <w:rsid w:val="007C5F79"/>
    <w:rsid w:val="007C6151"/>
    <w:rsid w:val="007D4FFA"/>
    <w:rsid w:val="007D58A0"/>
    <w:rsid w:val="007F4363"/>
    <w:rsid w:val="008142B1"/>
    <w:rsid w:val="008278F9"/>
    <w:rsid w:val="00834111"/>
    <w:rsid w:val="00836942"/>
    <w:rsid w:val="00845463"/>
    <w:rsid w:val="0086662D"/>
    <w:rsid w:val="008714DD"/>
    <w:rsid w:val="00871FE0"/>
    <w:rsid w:val="00875CDD"/>
    <w:rsid w:val="00883A84"/>
    <w:rsid w:val="0089129E"/>
    <w:rsid w:val="0089511B"/>
    <w:rsid w:val="008A2B22"/>
    <w:rsid w:val="008A417A"/>
    <w:rsid w:val="008A4A52"/>
    <w:rsid w:val="008B478D"/>
    <w:rsid w:val="008D0F38"/>
    <w:rsid w:val="008D563B"/>
    <w:rsid w:val="008D67C6"/>
    <w:rsid w:val="008E1E24"/>
    <w:rsid w:val="008F2B9B"/>
    <w:rsid w:val="009114FF"/>
    <w:rsid w:val="00911F3C"/>
    <w:rsid w:val="00913A93"/>
    <w:rsid w:val="00917569"/>
    <w:rsid w:val="0092129C"/>
    <w:rsid w:val="00921834"/>
    <w:rsid w:val="00924891"/>
    <w:rsid w:val="009253D3"/>
    <w:rsid w:val="0093109A"/>
    <w:rsid w:val="00942D2B"/>
    <w:rsid w:val="00944A7A"/>
    <w:rsid w:val="00944D2F"/>
    <w:rsid w:val="009615E3"/>
    <w:rsid w:val="00964066"/>
    <w:rsid w:val="00966FC8"/>
    <w:rsid w:val="009700E7"/>
    <w:rsid w:val="009709AB"/>
    <w:rsid w:val="00975695"/>
    <w:rsid w:val="0098303D"/>
    <w:rsid w:val="00985049"/>
    <w:rsid w:val="00985685"/>
    <w:rsid w:val="00992E76"/>
    <w:rsid w:val="009B10A0"/>
    <w:rsid w:val="009B657F"/>
    <w:rsid w:val="009C3892"/>
    <w:rsid w:val="009C7405"/>
    <w:rsid w:val="009C7936"/>
    <w:rsid w:val="009D34D8"/>
    <w:rsid w:val="009D499A"/>
    <w:rsid w:val="009E1C5A"/>
    <w:rsid w:val="009E4890"/>
    <w:rsid w:val="009F78A6"/>
    <w:rsid w:val="00A00DF2"/>
    <w:rsid w:val="00A10933"/>
    <w:rsid w:val="00A11382"/>
    <w:rsid w:val="00A13765"/>
    <w:rsid w:val="00A22F11"/>
    <w:rsid w:val="00A32333"/>
    <w:rsid w:val="00A41D49"/>
    <w:rsid w:val="00A5051A"/>
    <w:rsid w:val="00A61E13"/>
    <w:rsid w:val="00A62C89"/>
    <w:rsid w:val="00A63B44"/>
    <w:rsid w:val="00A64DBC"/>
    <w:rsid w:val="00A70BA9"/>
    <w:rsid w:val="00A71F7B"/>
    <w:rsid w:val="00A873AE"/>
    <w:rsid w:val="00A87A20"/>
    <w:rsid w:val="00A9701C"/>
    <w:rsid w:val="00AB2C0C"/>
    <w:rsid w:val="00AC3CFB"/>
    <w:rsid w:val="00AD33D9"/>
    <w:rsid w:val="00AD6118"/>
    <w:rsid w:val="00AE5621"/>
    <w:rsid w:val="00B04C63"/>
    <w:rsid w:val="00B122D7"/>
    <w:rsid w:val="00B17C8B"/>
    <w:rsid w:val="00B362E7"/>
    <w:rsid w:val="00B50265"/>
    <w:rsid w:val="00B52D39"/>
    <w:rsid w:val="00B7506D"/>
    <w:rsid w:val="00B76EB9"/>
    <w:rsid w:val="00B8753A"/>
    <w:rsid w:val="00B94B61"/>
    <w:rsid w:val="00BA32A0"/>
    <w:rsid w:val="00BA33A1"/>
    <w:rsid w:val="00BA57B1"/>
    <w:rsid w:val="00BB19DE"/>
    <w:rsid w:val="00BB206A"/>
    <w:rsid w:val="00BB4ACA"/>
    <w:rsid w:val="00BC1987"/>
    <w:rsid w:val="00BC2915"/>
    <w:rsid w:val="00BD4A1A"/>
    <w:rsid w:val="00BE1AAD"/>
    <w:rsid w:val="00BE23FC"/>
    <w:rsid w:val="00BF3A70"/>
    <w:rsid w:val="00BF5422"/>
    <w:rsid w:val="00C0102F"/>
    <w:rsid w:val="00C0170E"/>
    <w:rsid w:val="00C03A12"/>
    <w:rsid w:val="00C14459"/>
    <w:rsid w:val="00C17CA0"/>
    <w:rsid w:val="00C205AA"/>
    <w:rsid w:val="00C2316A"/>
    <w:rsid w:val="00C23DA7"/>
    <w:rsid w:val="00C346DC"/>
    <w:rsid w:val="00C63A2E"/>
    <w:rsid w:val="00C675C2"/>
    <w:rsid w:val="00C95A42"/>
    <w:rsid w:val="00CB1E13"/>
    <w:rsid w:val="00CB3D95"/>
    <w:rsid w:val="00CE1797"/>
    <w:rsid w:val="00CE30E4"/>
    <w:rsid w:val="00CE48FA"/>
    <w:rsid w:val="00CF4819"/>
    <w:rsid w:val="00CF6596"/>
    <w:rsid w:val="00D010A9"/>
    <w:rsid w:val="00D01890"/>
    <w:rsid w:val="00D044EC"/>
    <w:rsid w:val="00D25575"/>
    <w:rsid w:val="00D26CB5"/>
    <w:rsid w:val="00D33AAF"/>
    <w:rsid w:val="00D4210B"/>
    <w:rsid w:val="00D506E0"/>
    <w:rsid w:val="00D61E20"/>
    <w:rsid w:val="00D651BC"/>
    <w:rsid w:val="00D67EBE"/>
    <w:rsid w:val="00D764D0"/>
    <w:rsid w:val="00D83684"/>
    <w:rsid w:val="00DA19D2"/>
    <w:rsid w:val="00DA58A6"/>
    <w:rsid w:val="00DC03E6"/>
    <w:rsid w:val="00DC3D8F"/>
    <w:rsid w:val="00DD05DC"/>
    <w:rsid w:val="00E0138B"/>
    <w:rsid w:val="00E05FFE"/>
    <w:rsid w:val="00E17D78"/>
    <w:rsid w:val="00E30CB9"/>
    <w:rsid w:val="00E42820"/>
    <w:rsid w:val="00E469C9"/>
    <w:rsid w:val="00E51B4A"/>
    <w:rsid w:val="00E60457"/>
    <w:rsid w:val="00E611DA"/>
    <w:rsid w:val="00E7485A"/>
    <w:rsid w:val="00E757E9"/>
    <w:rsid w:val="00E80D91"/>
    <w:rsid w:val="00E85252"/>
    <w:rsid w:val="00E85763"/>
    <w:rsid w:val="00E87AB8"/>
    <w:rsid w:val="00E90E48"/>
    <w:rsid w:val="00EA35A4"/>
    <w:rsid w:val="00EB45C7"/>
    <w:rsid w:val="00EB5767"/>
    <w:rsid w:val="00EC065F"/>
    <w:rsid w:val="00EE1596"/>
    <w:rsid w:val="00EE498C"/>
    <w:rsid w:val="00EE5019"/>
    <w:rsid w:val="00EF50AC"/>
    <w:rsid w:val="00F44023"/>
    <w:rsid w:val="00F46595"/>
    <w:rsid w:val="00F51FE0"/>
    <w:rsid w:val="00F520A5"/>
    <w:rsid w:val="00F55380"/>
    <w:rsid w:val="00F56E9F"/>
    <w:rsid w:val="00F77E7C"/>
    <w:rsid w:val="00F95F03"/>
    <w:rsid w:val="00FA3929"/>
    <w:rsid w:val="00FA3B05"/>
    <w:rsid w:val="00FA7352"/>
    <w:rsid w:val="00FC49E4"/>
    <w:rsid w:val="00FD29D0"/>
    <w:rsid w:val="00FD4687"/>
    <w:rsid w:val="00FD78FF"/>
    <w:rsid w:val="00FE1D6F"/>
    <w:rsid w:val="00FE67C8"/>
    <w:rsid w:val="00FE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820CBD-86F9-49F1-872B-E95FAE3C0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CB5"/>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6CB5"/>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26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CB5"/>
    <w:rPr>
      <w:lang w:val="en-ZA"/>
    </w:rPr>
  </w:style>
  <w:style w:type="paragraph" w:styleId="ListParagraph">
    <w:name w:val="List Paragraph"/>
    <w:basedOn w:val="Normal"/>
    <w:uiPriority w:val="34"/>
    <w:qFormat/>
    <w:rsid w:val="00D26CB5"/>
    <w:pPr>
      <w:ind w:left="720"/>
      <w:contextualSpacing/>
    </w:pPr>
  </w:style>
  <w:style w:type="paragraph" w:customStyle="1" w:styleId="form-control-static">
    <w:name w:val="form-control-static"/>
    <w:basedOn w:val="Normal"/>
    <w:rsid w:val="00D26CB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26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CB5"/>
    <w:rPr>
      <w:lang w:val="en-ZA"/>
    </w:rPr>
  </w:style>
  <w:style w:type="paragraph" w:styleId="FootnoteText">
    <w:name w:val="footnote text"/>
    <w:basedOn w:val="Normal"/>
    <w:link w:val="FootnoteTextChar"/>
    <w:uiPriority w:val="99"/>
    <w:semiHidden/>
    <w:unhideWhenUsed/>
    <w:rsid w:val="00D018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1890"/>
    <w:rPr>
      <w:sz w:val="20"/>
      <w:szCs w:val="20"/>
      <w:lang w:val="en-ZA"/>
    </w:rPr>
  </w:style>
  <w:style w:type="character" w:styleId="FootnoteReference">
    <w:name w:val="footnote reference"/>
    <w:basedOn w:val="DefaultParagraphFont"/>
    <w:uiPriority w:val="99"/>
    <w:semiHidden/>
    <w:unhideWhenUsed/>
    <w:rsid w:val="00D01890"/>
    <w:rPr>
      <w:vertAlign w:val="superscript"/>
    </w:rPr>
  </w:style>
  <w:style w:type="paragraph" w:styleId="BalloonText">
    <w:name w:val="Balloon Text"/>
    <w:basedOn w:val="Normal"/>
    <w:link w:val="BalloonTextChar"/>
    <w:uiPriority w:val="99"/>
    <w:semiHidden/>
    <w:unhideWhenUsed/>
    <w:rsid w:val="00911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4FF"/>
    <w:rPr>
      <w:rFonts w:ascii="Segoe UI" w:hAnsi="Segoe UI" w:cs="Segoe UI"/>
      <w:sz w:val="18"/>
      <w:szCs w:val="18"/>
      <w:lang w:val="en-ZA"/>
    </w:rPr>
  </w:style>
  <w:style w:type="paragraph" w:styleId="BodyText">
    <w:name w:val="Body Text"/>
    <w:basedOn w:val="Normal"/>
    <w:link w:val="BodyTextChar"/>
    <w:uiPriority w:val="99"/>
    <w:semiHidden/>
    <w:unhideWhenUsed/>
    <w:rsid w:val="00BB4ACA"/>
    <w:pPr>
      <w:spacing w:after="120"/>
    </w:pPr>
  </w:style>
  <w:style w:type="character" w:customStyle="1" w:styleId="BodyTextChar">
    <w:name w:val="Body Text Char"/>
    <w:basedOn w:val="DefaultParagraphFont"/>
    <w:link w:val="BodyText"/>
    <w:uiPriority w:val="99"/>
    <w:semiHidden/>
    <w:rsid w:val="00BB4ACA"/>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2020-03-08T18:30:00+00:00</Judgment_x0020_Date>
    <Year xmlns="c1afb1bd-f2fb-40fd-9abb-aea55b4d7662">2020</Year>
  </documentManagement>
</p:properties>
</file>

<file path=customXml/itemProps1.xml><?xml version="1.0" encoding="utf-8"?>
<ds:datastoreItem xmlns:ds="http://schemas.openxmlformats.org/officeDocument/2006/customXml" ds:itemID="{98D62213-849B-4C84-85BB-C093D467EB90}"/>
</file>

<file path=customXml/itemProps2.xml><?xml version="1.0" encoding="utf-8"?>
<ds:datastoreItem xmlns:ds="http://schemas.openxmlformats.org/officeDocument/2006/customXml" ds:itemID="{5F0C4685-28A2-40CD-92FE-73E80AF14B85}"/>
</file>

<file path=customXml/itemProps3.xml><?xml version="1.0" encoding="utf-8"?>
<ds:datastoreItem xmlns:ds="http://schemas.openxmlformats.org/officeDocument/2006/customXml" ds:itemID="{A2FF1502-BC9A-40EF-8495-9AD5EA2C543B}"/>
</file>

<file path=customXml/itemProps4.xml><?xml version="1.0" encoding="utf-8"?>
<ds:datastoreItem xmlns:ds="http://schemas.openxmlformats.org/officeDocument/2006/customXml" ds:itemID="{4529B572-8393-4E0B-8766-F6806021DC1D}"/>
</file>

<file path=docProps/app.xml><?xml version="1.0" encoding="utf-8"?>
<Properties xmlns="http://schemas.openxmlformats.org/officeDocument/2006/extended-properties" xmlns:vt="http://schemas.openxmlformats.org/officeDocument/2006/docPropsVTypes">
  <Template>Normal</Template>
  <TotalTime>1</TotalTime>
  <Pages>4</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Mbeurora Karamata</dc:creator>
  <cp:keywords/>
  <dc:description/>
  <cp:lastModifiedBy>Lotta N. Ambunda</cp:lastModifiedBy>
  <cp:revision>3</cp:revision>
  <cp:lastPrinted>2020-03-09T07:14:00Z</cp:lastPrinted>
  <dcterms:created xsi:type="dcterms:W3CDTF">2020-03-11T06:36:00Z</dcterms:created>
  <dcterms:modified xsi:type="dcterms:W3CDTF">2020-03-11T06:37:00Z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