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E02076" w:rsidP="00E02076">
      <w:pPr>
        <w:spacing w:line="360" w:lineRule="auto"/>
        <w:ind w:left="720" w:firstLine="720"/>
        <w:jc w:val="right"/>
        <w:rPr>
          <w:rFonts w:ascii="Arial" w:hAnsi="Arial" w:cs="Arial"/>
          <w:b/>
          <w:sz w:val="24"/>
          <w:szCs w:val="24"/>
        </w:rPr>
      </w:pPr>
      <w:bookmarkStart w:id="0" w:name="_GoBack"/>
      <w:bookmarkEnd w:id="0"/>
      <w:r>
        <w:rPr>
          <w:rFonts w:ascii="Arial" w:hAnsi="Arial" w:cs="Arial"/>
          <w:b/>
          <w:sz w:val="24"/>
          <w:szCs w:val="24"/>
        </w:rPr>
        <w:t>NOT REPORTABLE</w:t>
      </w:r>
    </w:p>
    <w:p w:rsidR="00E02076" w:rsidRDefault="00E02076" w:rsidP="00E02076">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E02076">
      <w:pPr>
        <w:spacing w:line="360" w:lineRule="auto"/>
        <w:ind w:left="720" w:hanging="11"/>
        <w:jc w:val="center"/>
        <w:rPr>
          <w:rFonts w:ascii="Arial" w:hAnsi="Arial" w:cs="Arial"/>
          <w:b/>
          <w:sz w:val="24"/>
          <w:szCs w:val="24"/>
        </w:rPr>
      </w:pPr>
    </w:p>
    <w:p w:rsidR="00E02076" w:rsidRDefault="00E02076" w:rsidP="00E02076">
      <w:pPr>
        <w:spacing w:line="360" w:lineRule="auto"/>
        <w:ind w:left="720" w:hanging="11"/>
        <w:jc w:val="center"/>
        <w:rPr>
          <w:rFonts w:ascii="Arial" w:hAnsi="Arial" w:cs="Arial"/>
          <w:b/>
          <w:sz w:val="24"/>
          <w:szCs w:val="24"/>
        </w:rPr>
      </w:pPr>
      <w:r>
        <w:rPr>
          <w:rFonts w:ascii="Arial" w:hAnsi="Arial" w:cs="Arial"/>
          <w:b/>
          <w:sz w:val="24"/>
          <w:szCs w:val="24"/>
        </w:rPr>
        <w:t xml:space="preserve">JUDGMENT </w:t>
      </w:r>
    </w:p>
    <w:p w:rsidR="00E02076" w:rsidRDefault="00A90B54" w:rsidP="00A90B54">
      <w:pPr>
        <w:spacing w:line="360" w:lineRule="auto"/>
        <w:ind w:left="720" w:firstLine="720"/>
        <w:jc w:val="center"/>
        <w:rPr>
          <w:rFonts w:ascii="Arial" w:hAnsi="Arial" w:cs="Arial"/>
          <w:b/>
          <w:sz w:val="24"/>
          <w:szCs w:val="24"/>
        </w:rPr>
      </w:pPr>
      <w:r>
        <w:rPr>
          <w:rFonts w:ascii="Arial" w:hAnsi="Arial" w:cs="Arial"/>
          <w:sz w:val="24"/>
          <w:szCs w:val="24"/>
        </w:rPr>
        <w:t xml:space="preserve">                                                              </w:t>
      </w:r>
      <w:r w:rsidR="00C8053F">
        <w:rPr>
          <w:rFonts w:ascii="Arial" w:hAnsi="Arial" w:cs="Arial"/>
          <w:sz w:val="24"/>
          <w:szCs w:val="24"/>
        </w:rPr>
        <w:tab/>
      </w:r>
      <w:r w:rsidR="00C8053F">
        <w:rPr>
          <w:rFonts w:ascii="Arial" w:hAnsi="Arial" w:cs="Arial"/>
          <w:sz w:val="24"/>
          <w:szCs w:val="24"/>
        </w:rPr>
        <w:tab/>
      </w:r>
      <w:r w:rsidR="00E02076">
        <w:rPr>
          <w:rFonts w:ascii="Arial" w:hAnsi="Arial" w:cs="Arial"/>
          <w:sz w:val="24"/>
          <w:szCs w:val="24"/>
        </w:rPr>
        <w:t>Case no: C</w:t>
      </w:r>
      <w:r w:rsidR="00EE655E">
        <w:rPr>
          <w:rFonts w:ascii="Arial" w:hAnsi="Arial" w:cs="Arial"/>
          <w:sz w:val="24"/>
          <w:szCs w:val="24"/>
        </w:rPr>
        <w:t>R</w:t>
      </w:r>
      <w:r w:rsidR="00E02076">
        <w:rPr>
          <w:rFonts w:ascii="Arial" w:hAnsi="Arial" w:cs="Arial"/>
          <w:sz w:val="24"/>
          <w:szCs w:val="24"/>
        </w:rPr>
        <w:t xml:space="preserve"> </w:t>
      </w:r>
      <w:r w:rsidR="00315C5E">
        <w:rPr>
          <w:rFonts w:ascii="Arial" w:hAnsi="Arial" w:cs="Arial"/>
          <w:sz w:val="24"/>
          <w:szCs w:val="24"/>
        </w:rPr>
        <w:t>5/2017</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7253F2" w:rsidP="00E02076">
      <w:pPr>
        <w:spacing w:after="0" w:line="360" w:lineRule="auto"/>
        <w:jc w:val="both"/>
        <w:rPr>
          <w:rFonts w:ascii="Arial" w:hAnsi="Arial" w:cs="Arial"/>
          <w:b/>
          <w:sz w:val="24"/>
          <w:szCs w:val="24"/>
        </w:rPr>
      </w:pPr>
      <w:r>
        <w:rPr>
          <w:rFonts w:ascii="Arial" w:hAnsi="Arial" w:cs="Arial"/>
          <w:b/>
          <w:sz w:val="24"/>
          <w:szCs w:val="24"/>
        </w:rPr>
        <w:t>HAMWEENYE HAPPYSO HAFENI</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E655E" w:rsidRPr="00EE655E" w:rsidRDefault="00EE655E" w:rsidP="006E3AAE">
      <w:pPr>
        <w:spacing w:before="240" w:after="0" w:line="360" w:lineRule="auto"/>
        <w:jc w:val="center"/>
        <w:rPr>
          <w:rFonts w:ascii="Arial" w:hAnsi="Arial" w:cs="Arial"/>
          <w:i/>
          <w:sz w:val="24"/>
          <w:szCs w:val="24"/>
        </w:rPr>
      </w:pPr>
      <w:r>
        <w:rPr>
          <w:rFonts w:ascii="Arial" w:hAnsi="Arial" w:cs="Arial"/>
          <w:i/>
          <w:sz w:val="24"/>
          <w:szCs w:val="24"/>
        </w:rPr>
        <w:t xml:space="preserve">(High Court Case no. </w:t>
      </w:r>
      <w:r w:rsidR="007253F2" w:rsidRPr="006E3AAE">
        <w:rPr>
          <w:rFonts w:ascii="Arial" w:hAnsi="Arial" w:cs="Arial"/>
          <w:sz w:val="24"/>
          <w:szCs w:val="24"/>
        </w:rPr>
        <w:t>148/2017</w:t>
      </w:r>
      <w:r w:rsidR="006E3AAE">
        <w:rPr>
          <w:rFonts w:ascii="Arial" w:hAnsi="Arial" w:cs="Arial"/>
          <w:i/>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sidR="00315C5E">
        <w:rPr>
          <w:rFonts w:ascii="Arial" w:hAnsi="Arial" w:cs="Arial"/>
          <w:b/>
          <w:sz w:val="24"/>
          <w:szCs w:val="24"/>
        </w:rPr>
        <w:t xml:space="preserve"> </w:t>
      </w:r>
      <w:r w:rsidR="00315C5E" w:rsidRPr="00315C5E">
        <w:rPr>
          <w:rFonts w:ascii="Arial" w:hAnsi="Arial" w:cs="Arial"/>
          <w:i/>
          <w:sz w:val="24"/>
          <w:szCs w:val="24"/>
        </w:rPr>
        <w:t xml:space="preserve">The </w:t>
      </w:r>
      <w:r w:rsidR="00C8053F">
        <w:rPr>
          <w:rFonts w:ascii="Arial" w:hAnsi="Arial" w:cs="Arial"/>
          <w:i/>
          <w:sz w:val="24"/>
          <w:szCs w:val="24"/>
        </w:rPr>
        <w:t>S</w:t>
      </w:r>
      <w:r>
        <w:rPr>
          <w:rFonts w:ascii="Arial" w:hAnsi="Arial" w:cs="Arial"/>
          <w:i/>
          <w:sz w:val="24"/>
          <w:szCs w:val="24"/>
        </w:rPr>
        <w:t xml:space="preserve">tate </w:t>
      </w:r>
      <w:r w:rsidR="00014A17">
        <w:rPr>
          <w:rFonts w:ascii="Arial" w:hAnsi="Arial" w:cs="Arial"/>
          <w:i/>
          <w:sz w:val="24"/>
          <w:szCs w:val="24"/>
        </w:rPr>
        <w:t>v</w:t>
      </w:r>
      <w:r w:rsidR="00EE655E">
        <w:rPr>
          <w:rFonts w:ascii="Arial" w:hAnsi="Arial" w:cs="Arial"/>
          <w:i/>
          <w:sz w:val="24"/>
          <w:szCs w:val="24"/>
        </w:rPr>
        <w:t xml:space="preserve"> </w:t>
      </w:r>
      <w:r w:rsidR="007253F2">
        <w:rPr>
          <w:rFonts w:ascii="Arial" w:hAnsi="Arial" w:cs="Arial"/>
          <w:i/>
          <w:sz w:val="24"/>
          <w:szCs w:val="24"/>
        </w:rPr>
        <w:t xml:space="preserve">Hafeni </w:t>
      </w:r>
      <w:r>
        <w:rPr>
          <w:rFonts w:ascii="Arial" w:hAnsi="Arial" w:cs="Arial"/>
          <w:i/>
          <w:sz w:val="24"/>
          <w:szCs w:val="24"/>
        </w:rPr>
        <w:t>(C</w:t>
      </w:r>
      <w:r w:rsidR="00EE655E">
        <w:rPr>
          <w:rFonts w:ascii="Arial" w:hAnsi="Arial" w:cs="Arial"/>
          <w:i/>
          <w:sz w:val="24"/>
          <w:szCs w:val="24"/>
        </w:rPr>
        <w:t>R</w:t>
      </w:r>
      <w:r>
        <w:rPr>
          <w:rFonts w:ascii="Arial" w:hAnsi="Arial" w:cs="Arial"/>
          <w:i/>
          <w:sz w:val="24"/>
          <w:szCs w:val="24"/>
        </w:rPr>
        <w:t xml:space="preserve"> </w:t>
      </w:r>
      <w:r w:rsidR="00315C5E">
        <w:rPr>
          <w:rFonts w:ascii="Arial" w:hAnsi="Arial" w:cs="Arial"/>
          <w:i/>
          <w:sz w:val="24"/>
          <w:szCs w:val="24"/>
        </w:rPr>
        <w:t>5</w:t>
      </w:r>
      <w:r w:rsidR="00014A17">
        <w:rPr>
          <w:rFonts w:ascii="Arial" w:hAnsi="Arial" w:cs="Arial"/>
          <w:i/>
          <w:sz w:val="24"/>
          <w:szCs w:val="24"/>
        </w:rPr>
        <w:t xml:space="preserve"> </w:t>
      </w:r>
      <w:r>
        <w:rPr>
          <w:rFonts w:ascii="Arial" w:hAnsi="Arial" w:cs="Arial"/>
          <w:i/>
          <w:sz w:val="24"/>
          <w:szCs w:val="24"/>
        </w:rPr>
        <w:t>/20</w:t>
      </w:r>
      <w:r w:rsidR="005D0466">
        <w:rPr>
          <w:rFonts w:ascii="Arial" w:hAnsi="Arial" w:cs="Arial"/>
          <w:i/>
          <w:sz w:val="24"/>
          <w:szCs w:val="24"/>
        </w:rPr>
        <w:t>17</w:t>
      </w:r>
      <w:r>
        <w:rPr>
          <w:rFonts w:ascii="Arial" w:hAnsi="Arial" w:cs="Arial"/>
          <w:i/>
          <w:sz w:val="24"/>
          <w:szCs w:val="24"/>
        </w:rPr>
        <w:t xml:space="preserve">) </w:t>
      </w:r>
      <w:r>
        <w:rPr>
          <w:rFonts w:ascii="Arial" w:hAnsi="Arial" w:cs="Arial"/>
          <w:sz w:val="24"/>
          <w:szCs w:val="24"/>
        </w:rPr>
        <w:t>[20</w:t>
      </w:r>
      <w:r w:rsidR="005D0466">
        <w:rPr>
          <w:rFonts w:ascii="Arial" w:hAnsi="Arial" w:cs="Arial"/>
          <w:sz w:val="24"/>
          <w:szCs w:val="24"/>
        </w:rPr>
        <w:t>17</w:t>
      </w:r>
      <w:r>
        <w:rPr>
          <w:rFonts w:ascii="Arial" w:hAnsi="Arial" w:cs="Arial"/>
          <w:sz w:val="24"/>
          <w:szCs w:val="24"/>
        </w:rPr>
        <w:t>]</w:t>
      </w:r>
      <w:r>
        <w:rPr>
          <w:rFonts w:ascii="Arial" w:hAnsi="Arial" w:cs="Arial"/>
          <w:i/>
          <w:sz w:val="24"/>
          <w:szCs w:val="24"/>
        </w:rPr>
        <w:t xml:space="preserve"> NAHCNLD</w:t>
      </w:r>
      <w:r w:rsidR="00C8053F">
        <w:rPr>
          <w:rFonts w:ascii="Arial" w:hAnsi="Arial" w:cs="Arial"/>
          <w:sz w:val="24"/>
          <w:szCs w:val="24"/>
        </w:rPr>
        <w:t xml:space="preserve"> 50</w:t>
      </w:r>
      <w:r w:rsidR="00F72CD7">
        <w:rPr>
          <w:rFonts w:ascii="Arial" w:hAnsi="Arial" w:cs="Arial"/>
          <w:sz w:val="24"/>
          <w:szCs w:val="24"/>
        </w:rPr>
        <w:t xml:space="preserve"> </w:t>
      </w:r>
      <w:r w:rsidR="00315C5E">
        <w:rPr>
          <w:rFonts w:ascii="Arial" w:hAnsi="Arial" w:cs="Arial"/>
          <w:sz w:val="24"/>
          <w:szCs w:val="24"/>
        </w:rPr>
        <w:t xml:space="preserve">(13 </w:t>
      </w:r>
      <w:r w:rsidR="005D0466">
        <w:rPr>
          <w:rFonts w:ascii="Arial" w:hAnsi="Arial" w:cs="Arial"/>
          <w:sz w:val="24"/>
          <w:szCs w:val="24"/>
        </w:rPr>
        <w:t>June 2017</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Pr>
          <w:rFonts w:ascii="Arial" w:hAnsi="Arial" w:cs="Arial"/>
          <w:sz w:val="24"/>
          <w:szCs w:val="24"/>
        </w:rPr>
        <w:t xml:space="preserve"> </w:t>
      </w:r>
      <w:r w:rsidR="00EE655E" w:rsidRPr="00C8053F">
        <w:rPr>
          <w:rFonts w:ascii="Arial" w:hAnsi="Arial" w:cs="Arial"/>
          <w:i/>
          <w:sz w:val="24"/>
          <w:szCs w:val="24"/>
        </w:rPr>
        <w:t>et</w:t>
      </w:r>
      <w:r w:rsidR="00EE655E">
        <w:rPr>
          <w:rFonts w:ascii="Arial" w:hAnsi="Arial" w:cs="Arial"/>
          <w:sz w:val="24"/>
          <w:szCs w:val="24"/>
        </w:rPr>
        <w:t xml:space="preserve"> JANUARY</w:t>
      </w:r>
      <w:r w:rsidR="005D0466">
        <w:rPr>
          <w:rFonts w:ascii="Arial" w:hAnsi="Arial" w:cs="Arial"/>
          <w:sz w:val="24"/>
          <w:szCs w:val="24"/>
        </w:rPr>
        <w:t xml:space="preserve"> J</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315C5E">
        <w:rPr>
          <w:rFonts w:ascii="Arial" w:hAnsi="Arial" w:cs="Arial"/>
          <w:sz w:val="24"/>
          <w:szCs w:val="24"/>
        </w:rPr>
        <w:t>13</w:t>
      </w:r>
      <w:r w:rsidR="007253F2">
        <w:rPr>
          <w:rFonts w:ascii="Arial" w:hAnsi="Arial" w:cs="Arial"/>
          <w:sz w:val="24"/>
          <w:szCs w:val="24"/>
        </w:rPr>
        <w:t xml:space="preserve"> June 2017</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D010C3">
        <w:rPr>
          <w:rFonts w:ascii="Arial" w:hAnsi="Arial" w:cs="Arial"/>
          <w:sz w:val="24"/>
          <w:szCs w:val="24"/>
        </w:rPr>
        <w:t>Drug offences ―</w:t>
      </w:r>
      <w:r w:rsidR="005E125F" w:rsidRPr="005E125F">
        <w:rPr>
          <w:rFonts w:ascii="Arial" w:hAnsi="Arial" w:cs="Arial"/>
          <w:sz w:val="24"/>
          <w:szCs w:val="24"/>
        </w:rPr>
        <w:t xml:space="preserve"> Statutory pre</w:t>
      </w:r>
      <w:r w:rsidR="00D010C3">
        <w:rPr>
          <w:rFonts w:ascii="Arial" w:hAnsi="Arial" w:cs="Arial"/>
          <w:sz w:val="24"/>
          <w:szCs w:val="24"/>
        </w:rPr>
        <w:t>sumption that accused dealing ―</w:t>
      </w:r>
      <w:r w:rsidR="005E125F" w:rsidRPr="005E125F">
        <w:rPr>
          <w:rFonts w:ascii="Arial" w:hAnsi="Arial" w:cs="Arial"/>
          <w:sz w:val="24"/>
          <w:szCs w:val="24"/>
        </w:rPr>
        <w:t xml:space="preserve">Accused </w:t>
      </w:r>
      <w:r w:rsidR="005D0466">
        <w:rPr>
          <w:rFonts w:ascii="Arial" w:hAnsi="Arial" w:cs="Arial"/>
          <w:sz w:val="24"/>
          <w:szCs w:val="24"/>
        </w:rPr>
        <w:t xml:space="preserve">pleaded guilty but not admitting </w:t>
      </w:r>
      <w:r w:rsidR="00D010C3">
        <w:rPr>
          <w:rFonts w:ascii="Arial" w:hAnsi="Arial" w:cs="Arial"/>
          <w:sz w:val="24"/>
          <w:szCs w:val="24"/>
        </w:rPr>
        <w:t>dealing ―</w:t>
      </w:r>
      <w:r w:rsidR="005E125F">
        <w:rPr>
          <w:rFonts w:ascii="Arial" w:hAnsi="Arial" w:cs="Arial"/>
          <w:sz w:val="24"/>
          <w:szCs w:val="24"/>
        </w:rPr>
        <w:t xml:space="preserve"> Accused </w:t>
      </w:r>
      <w:r w:rsidR="005E125F" w:rsidRPr="005E125F">
        <w:rPr>
          <w:rFonts w:ascii="Arial" w:hAnsi="Arial" w:cs="Arial"/>
          <w:sz w:val="24"/>
          <w:szCs w:val="24"/>
        </w:rPr>
        <w:t>must be given op</w:t>
      </w:r>
      <w:r w:rsidR="00315C5E">
        <w:rPr>
          <w:rFonts w:ascii="Arial" w:hAnsi="Arial" w:cs="Arial"/>
          <w:sz w:val="24"/>
          <w:szCs w:val="24"/>
        </w:rPr>
        <w:t>portunity to rebut presumption ―</w:t>
      </w:r>
      <w:r w:rsidR="005E125F" w:rsidRPr="005E125F">
        <w:rPr>
          <w:rFonts w:ascii="Arial" w:hAnsi="Arial" w:cs="Arial"/>
          <w:sz w:val="24"/>
          <w:szCs w:val="24"/>
        </w:rPr>
        <w:t xml:space="preserve"> This cannot be done as part of questioning in terms of s 112(1)(b) of Criminal Procedure Act 51 of 1977.</w:t>
      </w:r>
    </w:p>
    <w:p w:rsidR="00E02076" w:rsidRDefault="00E02076" w:rsidP="00E02076">
      <w:pPr>
        <w:spacing w:after="0" w:line="360" w:lineRule="auto"/>
        <w:jc w:val="both"/>
        <w:rPr>
          <w:rFonts w:ascii="Arial" w:hAnsi="Arial" w:cs="Arial"/>
          <w:bCs/>
          <w:sz w:val="24"/>
          <w:szCs w:val="24"/>
        </w:rPr>
      </w:pPr>
    </w:p>
    <w:p w:rsidR="00A90B54" w:rsidRDefault="00A90B54" w:rsidP="00E02076">
      <w:pPr>
        <w:spacing w:after="0" w:line="360" w:lineRule="auto"/>
        <w:jc w:val="both"/>
        <w:rPr>
          <w:rFonts w:ascii="Arial" w:hAnsi="Arial" w:cs="Arial"/>
          <w:bCs/>
          <w:sz w:val="24"/>
          <w:szCs w:val="24"/>
        </w:rPr>
      </w:pPr>
    </w:p>
    <w:p w:rsidR="00A90B54" w:rsidRDefault="00A90B54" w:rsidP="00E02076">
      <w:pPr>
        <w:spacing w:after="0" w:line="360" w:lineRule="auto"/>
        <w:jc w:val="both"/>
        <w:rPr>
          <w:rFonts w:ascii="Arial" w:hAnsi="Arial" w:cs="Arial"/>
          <w:bCs/>
          <w:sz w:val="24"/>
          <w:szCs w:val="24"/>
        </w:rPr>
      </w:pPr>
    </w:p>
    <w:p w:rsidR="00A90B54" w:rsidRDefault="00A90B54" w:rsidP="00E02076">
      <w:pPr>
        <w:spacing w:after="0" w:line="360" w:lineRule="auto"/>
        <w:jc w:val="both"/>
        <w:rPr>
          <w:rFonts w:ascii="Arial" w:hAnsi="Arial" w:cs="Arial"/>
          <w:bCs/>
          <w:sz w:val="24"/>
          <w:szCs w:val="24"/>
        </w:rPr>
      </w:pPr>
    </w:p>
    <w:p w:rsidR="00E02076" w:rsidRDefault="005753A0"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5753A0"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7F2DE6" w:rsidRPr="00C53ED5" w:rsidRDefault="007F2DE6" w:rsidP="007F2DE6">
      <w:pPr>
        <w:spacing w:line="360" w:lineRule="auto"/>
        <w:ind w:firstLine="720"/>
        <w:jc w:val="both"/>
        <w:rPr>
          <w:rFonts w:ascii="Arial" w:hAnsi="Arial" w:cs="Arial"/>
          <w:sz w:val="24"/>
          <w:szCs w:val="24"/>
        </w:rPr>
      </w:pPr>
      <w:r w:rsidRPr="00C53ED5">
        <w:rPr>
          <w:rFonts w:ascii="Arial" w:hAnsi="Arial" w:cs="Arial"/>
          <w:sz w:val="24"/>
          <w:szCs w:val="24"/>
        </w:rPr>
        <w:t>1.</w:t>
      </w:r>
      <w:r w:rsidRPr="00C53ED5">
        <w:rPr>
          <w:rFonts w:ascii="Arial" w:hAnsi="Arial" w:cs="Arial"/>
          <w:sz w:val="24"/>
          <w:szCs w:val="24"/>
        </w:rPr>
        <w:tab/>
        <w:t>The conviction and sentence are set aside.</w:t>
      </w:r>
    </w:p>
    <w:p w:rsidR="007F2DE6" w:rsidRDefault="007F2DE6" w:rsidP="007F2DE6">
      <w:pPr>
        <w:spacing w:line="360" w:lineRule="auto"/>
        <w:ind w:left="1440" w:hanging="720"/>
        <w:jc w:val="both"/>
        <w:rPr>
          <w:rFonts w:ascii="Arial" w:hAnsi="Arial" w:cs="Arial"/>
          <w:sz w:val="24"/>
          <w:szCs w:val="24"/>
        </w:rPr>
      </w:pPr>
      <w:r w:rsidRPr="00C53ED5">
        <w:rPr>
          <w:rFonts w:ascii="Arial" w:hAnsi="Arial" w:cs="Arial"/>
          <w:sz w:val="24"/>
          <w:szCs w:val="24"/>
        </w:rPr>
        <w:t>2.</w:t>
      </w:r>
      <w:r w:rsidRPr="00C53ED5">
        <w:rPr>
          <w:rFonts w:ascii="Arial" w:hAnsi="Arial" w:cs="Arial"/>
          <w:sz w:val="24"/>
          <w:szCs w:val="24"/>
        </w:rPr>
        <w:tab/>
        <w:t xml:space="preserve">The case is remitted to the magistrate's court, </w:t>
      </w:r>
      <w:r>
        <w:rPr>
          <w:rFonts w:ascii="Arial" w:hAnsi="Arial" w:cs="Arial"/>
          <w:sz w:val="24"/>
          <w:szCs w:val="24"/>
        </w:rPr>
        <w:t>Eenhana</w:t>
      </w:r>
      <w:r w:rsidRPr="00C53ED5">
        <w:rPr>
          <w:rFonts w:ascii="Arial" w:hAnsi="Arial" w:cs="Arial"/>
          <w:sz w:val="24"/>
          <w:szCs w:val="24"/>
        </w:rPr>
        <w:t>, in terms of s 312(1) of the Criminal Procedure Act, 51 of 1977, with the direction to act in te</w:t>
      </w:r>
      <w:r>
        <w:rPr>
          <w:rFonts w:ascii="Arial" w:hAnsi="Arial" w:cs="Arial"/>
          <w:sz w:val="24"/>
          <w:szCs w:val="24"/>
        </w:rPr>
        <w:t xml:space="preserve">rms of s 113 of the said Act.  </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5753A0"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7253F2" w:rsidRDefault="00E02076" w:rsidP="00E02076">
      <w:pPr>
        <w:spacing w:line="360" w:lineRule="auto"/>
        <w:jc w:val="both"/>
        <w:rPr>
          <w:rFonts w:ascii="Arial" w:hAnsi="Arial" w:cs="Arial"/>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CONCURRING</w:t>
      </w:r>
      <w:r w:rsidR="003D35BD">
        <w:rPr>
          <w:rFonts w:ascii="Arial" w:hAnsi="Arial" w:cs="Arial"/>
          <w:b/>
          <w:sz w:val="24"/>
          <w:szCs w:val="24"/>
        </w:rPr>
        <w:t>)</w:t>
      </w:r>
    </w:p>
    <w:p w:rsidR="002E6A9A" w:rsidRDefault="00E02076" w:rsidP="00E02076">
      <w:pPr>
        <w:spacing w:line="360" w:lineRule="auto"/>
        <w:jc w:val="both"/>
        <w:rPr>
          <w:rFonts w:ascii="Arial" w:hAnsi="Arial" w:cs="Arial"/>
          <w:sz w:val="24"/>
          <w:szCs w:val="24"/>
        </w:rPr>
      </w:pPr>
      <w:r>
        <w:rPr>
          <w:rFonts w:ascii="Arial" w:hAnsi="Arial" w:cs="Arial"/>
          <w:sz w:val="24"/>
          <w:szCs w:val="24"/>
        </w:rPr>
        <w:t>[1]</w:t>
      </w:r>
      <w:r w:rsidR="007253F2">
        <w:rPr>
          <w:rFonts w:ascii="Arial" w:hAnsi="Arial" w:cs="Arial"/>
          <w:sz w:val="24"/>
          <w:szCs w:val="24"/>
        </w:rPr>
        <w:tab/>
      </w:r>
      <w:r w:rsidR="00C53ED5">
        <w:rPr>
          <w:rFonts w:ascii="Arial" w:hAnsi="Arial" w:cs="Arial"/>
          <w:sz w:val="24"/>
          <w:szCs w:val="24"/>
        </w:rPr>
        <w:t xml:space="preserve">This case came before me on automatic review. </w:t>
      </w:r>
      <w:r w:rsidR="007253F2">
        <w:rPr>
          <w:rFonts w:ascii="Arial" w:hAnsi="Arial" w:cs="Arial"/>
          <w:sz w:val="24"/>
          <w:szCs w:val="24"/>
        </w:rPr>
        <w:t>The accused herein was convicted of having contravened s 2</w:t>
      </w:r>
      <w:r w:rsidR="00A02F89">
        <w:rPr>
          <w:rFonts w:ascii="Arial" w:hAnsi="Arial" w:cs="Arial"/>
          <w:sz w:val="24"/>
          <w:szCs w:val="24"/>
        </w:rPr>
        <w:t>(a) of the Abuse o</w:t>
      </w:r>
      <w:r w:rsidR="00A02F89" w:rsidRPr="00A02F89">
        <w:rPr>
          <w:rFonts w:ascii="Arial" w:hAnsi="Arial" w:cs="Arial"/>
          <w:sz w:val="24"/>
          <w:szCs w:val="24"/>
        </w:rPr>
        <w:t>f D</w:t>
      </w:r>
      <w:r w:rsidR="00A02F89">
        <w:rPr>
          <w:rFonts w:ascii="Arial" w:hAnsi="Arial" w:cs="Arial"/>
          <w:sz w:val="24"/>
          <w:szCs w:val="24"/>
        </w:rPr>
        <w:t>ependence-Producing Substances a</w:t>
      </w:r>
      <w:r w:rsidR="00A02F89" w:rsidRPr="00A02F89">
        <w:rPr>
          <w:rFonts w:ascii="Arial" w:hAnsi="Arial" w:cs="Arial"/>
          <w:sz w:val="24"/>
          <w:szCs w:val="24"/>
        </w:rPr>
        <w:t xml:space="preserve">nd Rehabilitation Centres Act </w:t>
      </w:r>
      <w:r w:rsidR="00A02F89">
        <w:rPr>
          <w:rFonts w:ascii="Arial" w:hAnsi="Arial" w:cs="Arial"/>
          <w:sz w:val="24"/>
          <w:szCs w:val="24"/>
        </w:rPr>
        <w:t>41 of</w:t>
      </w:r>
      <w:r w:rsidR="00A02F89" w:rsidRPr="00A02F89">
        <w:rPr>
          <w:rFonts w:ascii="Arial" w:hAnsi="Arial" w:cs="Arial"/>
          <w:sz w:val="24"/>
          <w:szCs w:val="24"/>
        </w:rPr>
        <w:t xml:space="preserve"> 1971</w:t>
      </w:r>
      <w:r w:rsidR="00C53ED5">
        <w:rPr>
          <w:rFonts w:ascii="Arial" w:hAnsi="Arial" w:cs="Arial"/>
          <w:sz w:val="24"/>
          <w:szCs w:val="24"/>
        </w:rPr>
        <w:t>, dealing in c</w:t>
      </w:r>
      <w:r w:rsidR="00A02F89">
        <w:rPr>
          <w:rFonts w:ascii="Arial" w:hAnsi="Arial" w:cs="Arial"/>
          <w:sz w:val="24"/>
          <w:szCs w:val="24"/>
        </w:rPr>
        <w:t>anna</w:t>
      </w:r>
      <w:r w:rsidR="002E6A9A">
        <w:rPr>
          <w:rFonts w:ascii="Arial" w:hAnsi="Arial" w:cs="Arial"/>
          <w:sz w:val="24"/>
          <w:szCs w:val="24"/>
        </w:rPr>
        <w:t>bis and sentenced to pay a fine of N$3000.00 or in default thereof 18 months imprisonment.</w:t>
      </w:r>
    </w:p>
    <w:p w:rsidR="002E6A9A" w:rsidRDefault="002E6A9A"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sentence</w:t>
      </w:r>
      <w:r w:rsidR="00C53ED5">
        <w:rPr>
          <w:rFonts w:ascii="Arial" w:hAnsi="Arial" w:cs="Arial"/>
          <w:sz w:val="24"/>
          <w:szCs w:val="24"/>
        </w:rPr>
        <w:t>d</w:t>
      </w:r>
      <w:r>
        <w:rPr>
          <w:rFonts w:ascii="Arial" w:hAnsi="Arial" w:cs="Arial"/>
          <w:sz w:val="24"/>
          <w:szCs w:val="24"/>
        </w:rPr>
        <w:t xml:space="preserve"> on 13 December 2016 and the </w:t>
      </w:r>
      <w:r w:rsidR="007F2DE6">
        <w:rPr>
          <w:rFonts w:ascii="Arial" w:hAnsi="Arial" w:cs="Arial"/>
          <w:sz w:val="24"/>
          <w:szCs w:val="24"/>
        </w:rPr>
        <w:t xml:space="preserve">record of proceedings </w:t>
      </w:r>
      <w:r>
        <w:rPr>
          <w:rFonts w:ascii="Arial" w:hAnsi="Arial" w:cs="Arial"/>
          <w:sz w:val="24"/>
          <w:szCs w:val="24"/>
        </w:rPr>
        <w:t>was received by this court on 14 May 2017.</w:t>
      </w:r>
    </w:p>
    <w:p w:rsidR="00E92389" w:rsidRDefault="002E6A9A" w:rsidP="002E6A9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w:t>
      </w:r>
      <w:r w:rsidR="005D0466">
        <w:rPr>
          <w:rFonts w:ascii="Arial" w:hAnsi="Arial" w:cs="Arial"/>
          <w:sz w:val="24"/>
          <w:szCs w:val="24"/>
        </w:rPr>
        <w:t>was charged with having contravened s 2(a) read with</w:t>
      </w:r>
      <w:r w:rsidR="007F2DE6">
        <w:rPr>
          <w:rFonts w:ascii="Arial" w:hAnsi="Arial" w:cs="Arial"/>
          <w:sz w:val="24"/>
          <w:szCs w:val="24"/>
        </w:rPr>
        <w:t>,</w:t>
      </w:r>
      <w:r w:rsidR="005D0466">
        <w:rPr>
          <w:rFonts w:ascii="Arial" w:hAnsi="Arial" w:cs="Arial"/>
          <w:sz w:val="24"/>
          <w:szCs w:val="24"/>
        </w:rPr>
        <w:t xml:space="preserve"> </w:t>
      </w:r>
      <w:r w:rsidR="005D0466" w:rsidRPr="007F2DE6">
        <w:rPr>
          <w:rFonts w:ascii="Arial" w:hAnsi="Arial" w:cs="Arial"/>
          <w:i/>
          <w:sz w:val="24"/>
          <w:szCs w:val="24"/>
        </w:rPr>
        <w:t>inter alia</w:t>
      </w:r>
      <w:r w:rsidR="007F2DE6">
        <w:rPr>
          <w:rFonts w:ascii="Arial" w:hAnsi="Arial" w:cs="Arial"/>
          <w:sz w:val="24"/>
          <w:szCs w:val="24"/>
        </w:rPr>
        <w:t xml:space="preserve">, </w:t>
      </w:r>
      <w:r w:rsidR="005D0466">
        <w:rPr>
          <w:rFonts w:ascii="Arial" w:hAnsi="Arial" w:cs="Arial"/>
          <w:sz w:val="24"/>
          <w:szCs w:val="24"/>
        </w:rPr>
        <w:t xml:space="preserve">s 10 of the Act. </w:t>
      </w:r>
      <w:r w:rsidR="00E92389">
        <w:rPr>
          <w:rFonts w:ascii="Arial" w:hAnsi="Arial" w:cs="Arial"/>
          <w:sz w:val="24"/>
          <w:szCs w:val="24"/>
        </w:rPr>
        <w:t>He was not charge</w:t>
      </w:r>
      <w:r w:rsidR="00C53ED5">
        <w:rPr>
          <w:rFonts w:ascii="Arial" w:hAnsi="Arial" w:cs="Arial"/>
          <w:sz w:val="24"/>
          <w:szCs w:val="24"/>
        </w:rPr>
        <w:t>d</w:t>
      </w:r>
      <w:r w:rsidR="00E92389">
        <w:rPr>
          <w:rFonts w:ascii="Arial" w:hAnsi="Arial" w:cs="Arial"/>
          <w:sz w:val="24"/>
          <w:szCs w:val="24"/>
        </w:rPr>
        <w:t xml:space="preserve"> with an alternative charge of having contravened s 2(b)</w:t>
      </w:r>
      <w:r w:rsidR="007F2DE6">
        <w:rPr>
          <w:rFonts w:ascii="Arial" w:hAnsi="Arial" w:cs="Arial"/>
          <w:sz w:val="24"/>
          <w:szCs w:val="24"/>
        </w:rPr>
        <w:t xml:space="preserve">, </w:t>
      </w:r>
      <w:r w:rsidR="00E92389">
        <w:rPr>
          <w:rFonts w:ascii="Arial" w:hAnsi="Arial" w:cs="Arial"/>
          <w:sz w:val="24"/>
          <w:szCs w:val="24"/>
        </w:rPr>
        <w:t xml:space="preserve">possession of </w:t>
      </w:r>
      <w:r w:rsidR="00E92389" w:rsidRPr="00E92389">
        <w:rPr>
          <w:rFonts w:ascii="Arial" w:hAnsi="Arial" w:cs="Arial"/>
          <w:sz w:val="24"/>
          <w:szCs w:val="24"/>
        </w:rPr>
        <w:t>dependence-producing drug or plant</w:t>
      </w:r>
      <w:r w:rsidR="00E92389">
        <w:rPr>
          <w:rFonts w:ascii="Arial" w:hAnsi="Arial" w:cs="Arial"/>
          <w:sz w:val="24"/>
          <w:szCs w:val="24"/>
        </w:rPr>
        <w:t xml:space="preserve">. </w:t>
      </w:r>
      <w:r w:rsidR="005D0466">
        <w:rPr>
          <w:rFonts w:ascii="Arial" w:hAnsi="Arial" w:cs="Arial"/>
          <w:sz w:val="24"/>
          <w:szCs w:val="24"/>
        </w:rPr>
        <w:t xml:space="preserve">It was </w:t>
      </w:r>
      <w:r w:rsidR="00E92389">
        <w:rPr>
          <w:rFonts w:ascii="Arial" w:hAnsi="Arial" w:cs="Arial"/>
          <w:sz w:val="24"/>
          <w:szCs w:val="24"/>
        </w:rPr>
        <w:t xml:space="preserve">furthermore </w:t>
      </w:r>
      <w:r w:rsidR="005D0466">
        <w:rPr>
          <w:rFonts w:ascii="Arial" w:hAnsi="Arial" w:cs="Arial"/>
          <w:sz w:val="24"/>
          <w:szCs w:val="24"/>
        </w:rPr>
        <w:t>not stated in the particulars of the charge that it would b</w:t>
      </w:r>
      <w:r w:rsidR="00BF7741">
        <w:rPr>
          <w:rFonts w:ascii="Arial" w:hAnsi="Arial" w:cs="Arial"/>
          <w:sz w:val="24"/>
          <w:szCs w:val="24"/>
        </w:rPr>
        <w:t>e presumed that the accused has</w:t>
      </w:r>
      <w:r w:rsidR="005D0466">
        <w:rPr>
          <w:rFonts w:ascii="Arial" w:hAnsi="Arial" w:cs="Arial"/>
          <w:sz w:val="24"/>
          <w:szCs w:val="24"/>
        </w:rPr>
        <w:t xml:space="preserve"> </w:t>
      </w:r>
      <w:r w:rsidR="00E92389">
        <w:rPr>
          <w:rFonts w:ascii="Arial" w:hAnsi="Arial" w:cs="Arial"/>
          <w:sz w:val="24"/>
          <w:szCs w:val="24"/>
        </w:rPr>
        <w:t xml:space="preserve">been </w:t>
      </w:r>
      <w:r w:rsidR="005D0466">
        <w:rPr>
          <w:rFonts w:ascii="Arial" w:hAnsi="Arial" w:cs="Arial"/>
          <w:sz w:val="24"/>
          <w:szCs w:val="24"/>
        </w:rPr>
        <w:t xml:space="preserve">dealing in view of the fact that the weight of the dagga exceeded 115 grams and neither was the accused alerted of this fact by the court. </w:t>
      </w:r>
    </w:p>
    <w:p w:rsidR="005D0466" w:rsidRDefault="00E92389" w:rsidP="002E6A9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D0466">
        <w:rPr>
          <w:rFonts w:ascii="Arial" w:hAnsi="Arial" w:cs="Arial"/>
          <w:sz w:val="24"/>
          <w:szCs w:val="24"/>
        </w:rPr>
        <w:t xml:space="preserve">The accused </w:t>
      </w:r>
      <w:r w:rsidR="002E6A9A">
        <w:rPr>
          <w:rFonts w:ascii="Arial" w:hAnsi="Arial" w:cs="Arial"/>
          <w:sz w:val="24"/>
          <w:szCs w:val="24"/>
        </w:rPr>
        <w:t>pleaded guilty and was q</w:t>
      </w:r>
      <w:r w:rsidR="00BF7741">
        <w:rPr>
          <w:rFonts w:ascii="Arial" w:hAnsi="Arial" w:cs="Arial"/>
          <w:sz w:val="24"/>
          <w:szCs w:val="24"/>
        </w:rPr>
        <w:t>uestioned in terms of s 112(1)</w:t>
      </w:r>
      <w:r w:rsidR="002E6A9A">
        <w:rPr>
          <w:rFonts w:ascii="Arial" w:hAnsi="Arial" w:cs="Arial"/>
          <w:sz w:val="24"/>
          <w:szCs w:val="24"/>
        </w:rPr>
        <w:t>(b). He admitted that he was in possession of 715</w:t>
      </w:r>
      <w:r>
        <w:rPr>
          <w:rFonts w:ascii="Arial" w:hAnsi="Arial" w:cs="Arial"/>
          <w:sz w:val="24"/>
          <w:szCs w:val="24"/>
        </w:rPr>
        <w:t xml:space="preserve"> </w:t>
      </w:r>
      <w:r w:rsidR="002E6A9A">
        <w:rPr>
          <w:rFonts w:ascii="Arial" w:hAnsi="Arial" w:cs="Arial"/>
          <w:sz w:val="24"/>
          <w:szCs w:val="24"/>
        </w:rPr>
        <w:t xml:space="preserve">grams of cannabis and when asked what it was for, he answered that he smokes it and </w:t>
      </w:r>
      <w:r>
        <w:rPr>
          <w:rFonts w:ascii="Arial" w:hAnsi="Arial" w:cs="Arial"/>
          <w:sz w:val="24"/>
          <w:szCs w:val="24"/>
        </w:rPr>
        <w:t xml:space="preserve">that he </w:t>
      </w:r>
      <w:r w:rsidR="002E6A9A">
        <w:rPr>
          <w:rFonts w:ascii="Arial" w:hAnsi="Arial" w:cs="Arial"/>
          <w:sz w:val="24"/>
          <w:szCs w:val="24"/>
        </w:rPr>
        <w:t xml:space="preserve">used to make tea with it. </w:t>
      </w:r>
    </w:p>
    <w:p w:rsidR="00AC116E" w:rsidRDefault="005D0466" w:rsidP="002E6A9A">
      <w:pPr>
        <w:spacing w:line="360" w:lineRule="auto"/>
        <w:jc w:val="both"/>
        <w:rPr>
          <w:rFonts w:ascii="Arial" w:hAnsi="Arial" w:cs="Arial"/>
          <w:sz w:val="24"/>
          <w:szCs w:val="24"/>
        </w:rPr>
      </w:pPr>
      <w:r>
        <w:rPr>
          <w:rFonts w:ascii="Arial" w:hAnsi="Arial" w:cs="Arial"/>
          <w:sz w:val="24"/>
          <w:szCs w:val="24"/>
        </w:rPr>
        <w:t>[</w:t>
      </w:r>
      <w:r w:rsidR="00E92389">
        <w:rPr>
          <w:rFonts w:ascii="Arial" w:hAnsi="Arial" w:cs="Arial"/>
          <w:sz w:val="24"/>
          <w:szCs w:val="24"/>
        </w:rPr>
        <w:t>5</w:t>
      </w:r>
      <w:r>
        <w:rPr>
          <w:rFonts w:ascii="Arial" w:hAnsi="Arial" w:cs="Arial"/>
          <w:sz w:val="24"/>
          <w:szCs w:val="24"/>
        </w:rPr>
        <w:t>]</w:t>
      </w:r>
      <w:r>
        <w:rPr>
          <w:rFonts w:ascii="Arial" w:hAnsi="Arial" w:cs="Arial"/>
          <w:sz w:val="24"/>
          <w:szCs w:val="24"/>
        </w:rPr>
        <w:tab/>
        <w:t xml:space="preserve">The leaned magistrate </w:t>
      </w:r>
      <w:r w:rsidR="00BF7741">
        <w:rPr>
          <w:rFonts w:ascii="Arial" w:hAnsi="Arial" w:cs="Arial"/>
          <w:sz w:val="24"/>
          <w:szCs w:val="24"/>
        </w:rPr>
        <w:t>recorded that:  ‘</w:t>
      </w:r>
      <w:r w:rsidR="00E92389" w:rsidRPr="00E92389">
        <w:rPr>
          <w:rFonts w:ascii="Arial" w:hAnsi="Arial" w:cs="Arial"/>
        </w:rPr>
        <w:t>the court is satisfied that accused 1 has admitted to all the allegations in the charge and</w:t>
      </w:r>
      <w:r w:rsidR="00E92389">
        <w:rPr>
          <w:rFonts w:ascii="Arial" w:hAnsi="Arial" w:cs="Arial"/>
        </w:rPr>
        <w:t xml:space="preserve"> is now found guilty as charged </w:t>
      </w:r>
      <w:r w:rsidR="00E92389" w:rsidRPr="00E92389">
        <w:rPr>
          <w:rFonts w:ascii="Arial" w:hAnsi="Arial" w:cs="Arial"/>
        </w:rPr>
        <w:t>(sic</w:t>
      </w:r>
      <w:r w:rsidR="00BF7741">
        <w:rPr>
          <w:rFonts w:ascii="Arial" w:hAnsi="Arial" w:cs="Arial"/>
          <w:sz w:val="24"/>
          <w:szCs w:val="24"/>
        </w:rPr>
        <w:t>).’</w:t>
      </w:r>
      <w:r w:rsidR="00E92389">
        <w:rPr>
          <w:rFonts w:ascii="Arial" w:hAnsi="Arial" w:cs="Arial"/>
          <w:sz w:val="24"/>
          <w:szCs w:val="24"/>
        </w:rPr>
        <w:t xml:space="preserve"> The </w:t>
      </w:r>
      <w:r w:rsidR="00E92389">
        <w:rPr>
          <w:rFonts w:ascii="Arial" w:hAnsi="Arial" w:cs="Arial"/>
          <w:sz w:val="24"/>
          <w:szCs w:val="24"/>
        </w:rPr>
        <w:lastRenderedPageBreak/>
        <w:t xml:space="preserve">fact of the matter is that the accused did not admit that he was dealing with cannabis. </w:t>
      </w:r>
      <w:r w:rsidR="00AC116E">
        <w:rPr>
          <w:rFonts w:ascii="Arial" w:hAnsi="Arial" w:cs="Arial"/>
          <w:sz w:val="24"/>
          <w:szCs w:val="24"/>
        </w:rPr>
        <w:t xml:space="preserve">The accused admitted to possession of cannabis. </w:t>
      </w:r>
    </w:p>
    <w:p w:rsidR="002E6A9A" w:rsidRDefault="00AC116E" w:rsidP="002E6A9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question is whether the magistrate was entitled to convict the accused of dealing. Section</w:t>
      </w:r>
      <w:r w:rsidR="0036621F">
        <w:rPr>
          <w:rFonts w:ascii="Arial" w:hAnsi="Arial" w:cs="Arial"/>
          <w:sz w:val="24"/>
          <w:szCs w:val="24"/>
        </w:rPr>
        <w:t>10</w:t>
      </w:r>
      <w:r w:rsidR="002E6A9A">
        <w:rPr>
          <w:rFonts w:ascii="Arial" w:hAnsi="Arial" w:cs="Arial"/>
          <w:sz w:val="24"/>
          <w:szCs w:val="24"/>
        </w:rPr>
        <w:t xml:space="preserve">(1)(a) of </w:t>
      </w:r>
      <w:r w:rsidR="005D0466">
        <w:rPr>
          <w:rFonts w:ascii="Arial" w:hAnsi="Arial" w:cs="Arial"/>
          <w:sz w:val="24"/>
          <w:szCs w:val="24"/>
        </w:rPr>
        <w:t>the Act reads as follow:</w:t>
      </w:r>
    </w:p>
    <w:p w:rsidR="002E6A9A" w:rsidRPr="002E6A9A" w:rsidRDefault="00BF7741" w:rsidP="002E6A9A">
      <w:pPr>
        <w:spacing w:line="360" w:lineRule="auto"/>
        <w:ind w:left="720"/>
        <w:jc w:val="both"/>
        <w:rPr>
          <w:rFonts w:ascii="Arial" w:hAnsi="Arial" w:cs="Arial"/>
        </w:rPr>
      </w:pPr>
      <w:r>
        <w:rPr>
          <w:rFonts w:ascii="Arial" w:hAnsi="Arial" w:cs="Arial"/>
        </w:rPr>
        <w:t>‘</w:t>
      </w:r>
      <w:r w:rsidR="002E6A9A" w:rsidRPr="002E6A9A">
        <w:rPr>
          <w:rFonts w:ascii="Arial" w:hAnsi="Arial" w:cs="Arial"/>
        </w:rPr>
        <w:t>If in any prosecution for an offence under section 2 it is proved that the accused was found in possession of-</w:t>
      </w:r>
    </w:p>
    <w:p w:rsidR="002E6A9A" w:rsidRPr="002E6A9A" w:rsidRDefault="002E6A9A" w:rsidP="002E6A9A">
      <w:pPr>
        <w:pStyle w:val="ListParagraph"/>
        <w:numPr>
          <w:ilvl w:val="0"/>
          <w:numId w:val="1"/>
        </w:numPr>
        <w:spacing w:line="360" w:lineRule="auto"/>
        <w:jc w:val="both"/>
        <w:rPr>
          <w:rFonts w:ascii="Arial" w:hAnsi="Arial" w:cs="Arial"/>
        </w:rPr>
      </w:pPr>
      <w:r w:rsidRPr="002E6A9A">
        <w:rPr>
          <w:rFonts w:ascii="Arial" w:hAnsi="Arial" w:cs="Arial"/>
        </w:rPr>
        <w:t>dagga exceeding 115 grams in mass;</w:t>
      </w:r>
    </w:p>
    <w:p w:rsidR="002E6A9A" w:rsidRPr="002E6A9A" w:rsidRDefault="002E6A9A" w:rsidP="002E6A9A">
      <w:pPr>
        <w:pStyle w:val="ListParagraph"/>
        <w:numPr>
          <w:ilvl w:val="0"/>
          <w:numId w:val="1"/>
        </w:numPr>
        <w:spacing w:line="360" w:lineRule="auto"/>
        <w:jc w:val="both"/>
        <w:rPr>
          <w:rFonts w:ascii="Arial" w:hAnsi="Arial" w:cs="Arial"/>
        </w:rPr>
      </w:pPr>
      <w:r w:rsidRPr="002E6A9A">
        <w:rPr>
          <w:rFonts w:ascii="Arial" w:hAnsi="Arial" w:cs="Arial"/>
        </w:rPr>
        <w:t>…</w:t>
      </w:r>
    </w:p>
    <w:p w:rsidR="00E02076" w:rsidRDefault="002E6A9A" w:rsidP="002E6A9A">
      <w:pPr>
        <w:spacing w:line="360" w:lineRule="auto"/>
        <w:ind w:left="720"/>
        <w:jc w:val="both"/>
        <w:rPr>
          <w:rFonts w:ascii="Arial" w:hAnsi="Arial" w:cs="Arial"/>
          <w:sz w:val="24"/>
          <w:szCs w:val="24"/>
        </w:rPr>
      </w:pPr>
      <w:r w:rsidRPr="002E6A9A">
        <w:rPr>
          <w:rFonts w:ascii="Arial" w:hAnsi="Arial" w:cs="Arial"/>
        </w:rPr>
        <w:t>it shall be presumed that the accused dealt in such dagga or drugs</w:t>
      </w:r>
      <w:r w:rsidR="00BF7741">
        <w:rPr>
          <w:rFonts w:ascii="Arial" w:hAnsi="Arial" w:cs="Arial"/>
        </w:rPr>
        <w:t>, unless the contrary is proved.’</w:t>
      </w:r>
    </w:p>
    <w:p w:rsidR="009D24AE" w:rsidRDefault="002E6A9A" w:rsidP="00F15E95">
      <w:pPr>
        <w:spacing w:line="360" w:lineRule="auto"/>
        <w:jc w:val="both"/>
        <w:rPr>
          <w:rFonts w:ascii="Arial" w:hAnsi="Arial" w:cs="Arial"/>
          <w:sz w:val="24"/>
          <w:szCs w:val="24"/>
        </w:rPr>
      </w:pPr>
      <w:r>
        <w:rPr>
          <w:rFonts w:ascii="Arial" w:hAnsi="Arial" w:cs="Arial"/>
          <w:sz w:val="24"/>
          <w:szCs w:val="24"/>
        </w:rPr>
        <w:t>[</w:t>
      </w:r>
      <w:r w:rsidR="00C53ED5">
        <w:rPr>
          <w:rFonts w:ascii="Arial" w:hAnsi="Arial" w:cs="Arial"/>
          <w:sz w:val="24"/>
          <w:szCs w:val="24"/>
        </w:rPr>
        <w:t>7</w:t>
      </w:r>
      <w:r>
        <w:rPr>
          <w:rFonts w:ascii="Arial" w:hAnsi="Arial" w:cs="Arial"/>
          <w:sz w:val="24"/>
          <w:szCs w:val="24"/>
        </w:rPr>
        <w:t>]</w:t>
      </w:r>
      <w:r>
        <w:rPr>
          <w:rFonts w:ascii="Arial" w:hAnsi="Arial" w:cs="Arial"/>
          <w:sz w:val="24"/>
          <w:szCs w:val="24"/>
        </w:rPr>
        <w:tab/>
      </w:r>
      <w:r w:rsidR="00F15E95">
        <w:rPr>
          <w:rFonts w:ascii="Arial" w:hAnsi="Arial" w:cs="Arial"/>
          <w:sz w:val="24"/>
          <w:szCs w:val="24"/>
        </w:rPr>
        <w:t xml:space="preserve">In </w:t>
      </w:r>
      <w:r w:rsidR="00F15E95" w:rsidRPr="005D0466">
        <w:rPr>
          <w:rFonts w:ascii="Arial" w:hAnsi="Arial" w:cs="Arial"/>
          <w:i/>
          <w:sz w:val="24"/>
          <w:szCs w:val="24"/>
        </w:rPr>
        <w:t xml:space="preserve">S v </w:t>
      </w:r>
      <w:r w:rsidR="005D0466" w:rsidRPr="005D0466">
        <w:rPr>
          <w:rFonts w:ascii="Arial" w:hAnsi="Arial" w:cs="Arial"/>
          <w:i/>
          <w:sz w:val="24"/>
          <w:szCs w:val="24"/>
        </w:rPr>
        <w:t>Kuvare</w:t>
      </w:r>
      <w:r w:rsidR="005D0466">
        <w:rPr>
          <w:rFonts w:ascii="Arial" w:hAnsi="Arial" w:cs="Arial"/>
          <w:i/>
          <w:sz w:val="24"/>
          <w:szCs w:val="24"/>
        </w:rPr>
        <w:t xml:space="preserve"> </w:t>
      </w:r>
      <w:r w:rsidR="00F15E95" w:rsidRPr="00F15E95">
        <w:rPr>
          <w:rFonts w:ascii="Arial" w:hAnsi="Arial" w:cs="Arial"/>
          <w:sz w:val="24"/>
          <w:szCs w:val="24"/>
        </w:rPr>
        <w:t>1992 NR 7 (HC)</w:t>
      </w:r>
      <w:r w:rsidR="00F15E95">
        <w:rPr>
          <w:rFonts w:ascii="Arial" w:hAnsi="Arial" w:cs="Arial"/>
          <w:sz w:val="24"/>
          <w:szCs w:val="24"/>
        </w:rPr>
        <w:t xml:space="preserve"> the court held that w</w:t>
      </w:r>
      <w:r w:rsidR="00F15E95" w:rsidRPr="00F15E95">
        <w:rPr>
          <w:rFonts w:ascii="Arial" w:hAnsi="Arial" w:cs="Arial"/>
          <w:sz w:val="24"/>
          <w:szCs w:val="24"/>
        </w:rPr>
        <w:t>here an accused person is charged with dealing in dagga in contravention of s 2(a) of the Abuse of  Dependence-producing Substances and Rehabilitation Centres Act 41 of 1971, it is unfair not to inform the accused in the particulars of the charge that he is presumed, in terms of s 10(1)(a)(i) of the Act, to have dealt in the dagga because he was in possession of more than 115 grams of dagga.</w:t>
      </w:r>
      <w:r w:rsidR="009D24AE">
        <w:rPr>
          <w:rFonts w:ascii="Arial" w:hAnsi="Arial" w:cs="Arial"/>
          <w:sz w:val="24"/>
          <w:szCs w:val="24"/>
        </w:rPr>
        <w:t xml:space="preserve"> In th</w:t>
      </w:r>
      <w:r w:rsidR="007F2DE6">
        <w:rPr>
          <w:rFonts w:ascii="Arial" w:hAnsi="Arial" w:cs="Arial"/>
          <w:sz w:val="24"/>
          <w:szCs w:val="24"/>
        </w:rPr>
        <w:t>at</w:t>
      </w:r>
      <w:r w:rsidR="009D24AE">
        <w:rPr>
          <w:rFonts w:ascii="Arial" w:hAnsi="Arial" w:cs="Arial"/>
          <w:sz w:val="24"/>
          <w:szCs w:val="24"/>
        </w:rPr>
        <w:t xml:space="preserve"> case the </w:t>
      </w:r>
      <w:r w:rsidR="00E65A68">
        <w:rPr>
          <w:rFonts w:ascii="Arial" w:hAnsi="Arial" w:cs="Arial"/>
          <w:sz w:val="24"/>
          <w:szCs w:val="24"/>
        </w:rPr>
        <w:t>accused pleaded not guilty and testified under oath. The court set aside the conviction and sentence as it held that the accused was prejudiced in his defence by the failure to inform him of the presumption and secondly because the court was of the view that, on the evidence, the presumption was rebutted.</w:t>
      </w:r>
      <w:r w:rsidR="009D24AE">
        <w:rPr>
          <w:rFonts w:ascii="Arial" w:hAnsi="Arial" w:cs="Arial"/>
          <w:sz w:val="24"/>
          <w:szCs w:val="24"/>
        </w:rPr>
        <w:t xml:space="preserve"> </w:t>
      </w:r>
    </w:p>
    <w:p w:rsidR="00F15E95" w:rsidRDefault="00E65A68" w:rsidP="00F15E95">
      <w:pPr>
        <w:spacing w:line="360" w:lineRule="auto"/>
        <w:jc w:val="both"/>
        <w:rPr>
          <w:rFonts w:ascii="Arial" w:hAnsi="Arial" w:cs="Arial"/>
          <w:sz w:val="24"/>
          <w:szCs w:val="24"/>
        </w:rPr>
      </w:pPr>
      <w:r>
        <w:rPr>
          <w:rFonts w:ascii="Arial" w:hAnsi="Arial" w:cs="Arial"/>
          <w:sz w:val="24"/>
          <w:szCs w:val="24"/>
        </w:rPr>
        <w:t>[</w:t>
      </w:r>
      <w:r w:rsidR="00C53ED5">
        <w:rPr>
          <w:rFonts w:ascii="Arial" w:hAnsi="Arial" w:cs="Arial"/>
          <w:sz w:val="24"/>
          <w:szCs w:val="24"/>
        </w:rPr>
        <w:t>8</w:t>
      </w:r>
      <w:r>
        <w:rPr>
          <w:rFonts w:ascii="Arial" w:hAnsi="Arial" w:cs="Arial"/>
          <w:sz w:val="24"/>
          <w:szCs w:val="24"/>
        </w:rPr>
        <w:t>]</w:t>
      </w:r>
      <w:r>
        <w:rPr>
          <w:rFonts w:ascii="Arial" w:hAnsi="Arial" w:cs="Arial"/>
          <w:sz w:val="24"/>
          <w:szCs w:val="24"/>
        </w:rPr>
        <w:tab/>
      </w:r>
      <w:r w:rsidR="00F15E95">
        <w:rPr>
          <w:rFonts w:ascii="Arial" w:hAnsi="Arial" w:cs="Arial"/>
          <w:sz w:val="24"/>
          <w:szCs w:val="24"/>
        </w:rPr>
        <w:t xml:space="preserve">In </w:t>
      </w:r>
      <w:r w:rsidR="00F15E95" w:rsidRPr="004F4D91">
        <w:rPr>
          <w:rFonts w:ascii="Arial" w:hAnsi="Arial" w:cs="Arial"/>
          <w:i/>
          <w:sz w:val="24"/>
          <w:szCs w:val="24"/>
        </w:rPr>
        <w:t>S v R</w:t>
      </w:r>
      <w:r w:rsidR="004F4D91" w:rsidRPr="004F4D91">
        <w:rPr>
          <w:rFonts w:ascii="Arial" w:hAnsi="Arial" w:cs="Arial"/>
          <w:i/>
          <w:sz w:val="24"/>
          <w:szCs w:val="24"/>
        </w:rPr>
        <w:t>ooi</w:t>
      </w:r>
      <w:r w:rsidR="004F4D91">
        <w:rPr>
          <w:rFonts w:ascii="Arial" w:hAnsi="Arial" w:cs="Arial"/>
          <w:sz w:val="24"/>
          <w:szCs w:val="24"/>
        </w:rPr>
        <w:t xml:space="preserve"> </w:t>
      </w:r>
      <w:r w:rsidR="00F15E95" w:rsidRPr="00F15E95">
        <w:rPr>
          <w:rFonts w:ascii="Arial" w:hAnsi="Arial" w:cs="Arial"/>
          <w:sz w:val="24"/>
          <w:szCs w:val="24"/>
        </w:rPr>
        <w:t>2007 (1) NR 282 (HC)</w:t>
      </w:r>
      <w:r w:rsidR="00F15E95" w:rsidRPr="00F15E95">
        <w:t xml:space="preserve"> </w:t>
      </w:r>
      <w:r w:rsidR="00F15E95" w:rsidRPr="00F15E95">
        <w:rPr>
          <w:rFonts w:ascii="Arial" w:hAnsi="Arial" w:cs="Arial"/>
          <w:sz w:val="24"/>
          <w:szCs w:val="24"/>
        </w:rPr>
        <w:t>the court held that before the prosecution or the court could rely on this presumption, it must remember that the presumption was rebuttable by</w:t>
      </w:r>
      <w:r w:rsidR="00F15E95">
        <w:rPr>
          <w:rFonts w:ascii="Arial" w:hAnsi="Arial" w:cs="Arial"/>
          <w:sz w:val="24"/>
          <w:szCs w:val="24"/>
        </w:rPr>
        <w:t xml:space="preserve"> </w:t>
      </w:r>
      <w:r w:rsidR="00F15E95" w:rsidRPr="00F15E95">
        <w:rPr>
          <w:rFonts w:ascii="Arial" w:hAnsi="Arial" w:cs="Arial"/>
          <w:sz w:val="24"/>
          <w:szCs w:val="24"/>
        </w:rPr>
        <w:t>proof to the contrary. The only way that the accused could present proof was by presenting evidence, which meant that he/she must be afforded the opportunity to do so under oath, either by giving evidence in person, or by calling witnesses. The prosecution must also be given the opportunity to cross-examine on the evidence presented by the accused. The accused could not attempt to rebut the presumption by means of answers during questioning in terms of s 112(1)</w:t>
      </w:r>
      <w:r w:rsidR="00A90B54">
        <w:rPr>
          <w:rFonts w:ascii="Arial" w:hAnsi="Arial" w:cs="Arial"/>
          <w:sz w:val="24"/>
          <w:szCs w:val="24"/>
        </w:rPr>
        <w:t xml:space="preserve"> </w:t>
      </w:r>
      <w:r w:rsidR="00F15E95" w:rsidRPr="00F15E95">
        <w:rPr>
          <w:rFonts w:ascii="Arial" w:hAnsi="Arial" w:cs="Arial"/>
          <w:sz w:val="24"/>
          <w:szCs w:val="24"/>
        </w:rPr>
        <w:t>(b) of the Criminal Procedure Act 51 of 1977.</w:t>
      </w:r>
      <w:r w:rsidR="00F15E95">
        <w:rPr>
          <w:rFonts w:ascii="Arial" w:hAnsi="Arial" w:cs="Arial"/>
          <w:sz w:val="24"/>
          <w:szCs w:val="24"/>
        </w:rPr>
        <w:t xml:space="preserve"> </w:t>
      </w:r>
    </w:p>
    <w:p w:rsidR="00DC38F2" w:rsidRDefault="00F15E95" w:rsidP="00F15E95">
      <w:pPr>
        <w:spacing w:line="360" w:lineRule="auto"/>
        <w:jc w:val="both"/>
        <w:rPr>
          <w:rFonts w:ascii="Arial" w:hAnsi="Arial" w:cs="Arial"/>
          <w:sz w:val="24"/>
          <w:szCs w:val="24"/>
        </w:rPr>
      </w:pPr>
      <w:r>
        <w:rPr>
          <w:rFonts w:ascii="Arial" w:hAnsi="Arial" w:cs="Arial"/>
          <w:sz w:val="24"/>
          <w:szCs w:val="24"/>
        </w:rPr>
        <w:t>[</w:t>
      </w:r>
      <w:r w:rsidR="00C53ED5">
        <w:rPr>
          <w:rFonts w:ascii="Arial" w:hAnsi="Arial" w:cs="Arial"/>
          <w:sz w:val="24"/>
          <w:szCs w:val="24"/>
        </w:rPr>
        <w:t>9</w:t>
      </w:r>
      <w:r>
        <w:rPr>
          <w:rFonts w:ascii="Arial" w:hAnsi="Arial" w:cs="Arial"/>
          <w:sz w:val="24"/>
          <w:szCs w:val="24"/>
        </w:rPr>
        <w:t>]</w:t>
      </w:r>
      <w:r>
        <w:rPr>
          <w:rFonts w:ascii="Arial" w:hAnsi="Arial" w:cs="Arial"/>
          <w:sz w:val="24"/>
          <w:szCs w:val="24"/>
        </w:rPr>
        <w:tab/>
      </w:r>
      <w:r w:rsidR="004F4D91">
        <w:rPr>
          <w:rFonts w:ascii="Arial" w:hAnsi="Arial" w:cs="Arial"/>
          <w:sz w:val="24"/>
          <w:szCs w:val="24"/>
        </w:rPr>
        <w:t>The magistrate, in view of the fact that the accused did not admit to dealing, ought to have recorded a plea in terms of s</w:t>
      </w:r>
      <w:r w:rsidR="0036621F">
        <w:rPr>
          <w:rFonts w:ascii="Arial" w:hAnsi="Arial" w:cs="Arial"/>
          <w:sz w:val="24"/>
          <w:szCs w:val="24"/>
        </w:rPr>
        <w:t xml:space="preserve"> </w:t>
      </w:r>
      <w:r w:rsidR="004F4D91">
        <w:rPr>
          <w:rFonts w:ascii="Arial" w:hAnsi="Arial" w:cs="Arial"/>
          <w:sz w:val="24"/>
          <w:szCs w:val="24"/>
        </w:rPr>
        <w:t>113</w:t>
      </w:r>
      <w:r w:rsidR="00E65A68">
        <w:rPr>
          <w:rFonts w:ascii="Arial" w:hAnsi="Arial" w:cs="Arial"/>
          <w:sz w:val="24"/>
          <w:szCs w:val="24"/>
        </w:rPr>
        <w:t xml:space="preserve">. </w:t>
      </w:r>
      <w:r w:rsidR="00C53ED5">
        <w:rPr>
          <w:rFonts w:ascii="Arial" w:hAnsi="Arial" w:cs="Arial"/>
          <w:sz w:val="24"/>
          <w:szCs w:val="24"/>
        </w:rPr>
        <w:t xml:space="preserve">The magistrate in the absence of an </w:t>
      </w:r>
      <w:r w:rsidR="00C53ED5">
        <w:rPr>
          <w:rFonts w:ascii="Arial" w:hAnsi="Arial" w:cs="Arial"/>
          <w:sz w:val="24"/>
          <w:szCs w:val="24"/>
        </w:rPr>
        <w:lastRenderedPageBreak/>
        <w:t>admission by the accused, could not have convicted the accused as the accused was not afforded the opportunity to rebut the presumption. The conviction therefore cannot stand and the matter should be remitted to the magistrate in terms of the provisions of s 312</w:t>
      </w:r>
      <w:r w:rsidR="004F4D91">
        <w:rPr>
          <w:rFonts w:ascii="Arial" w:hAnsi="Arial" w:cs="Arial"/>
          <w:sz w:val="24"/>
          <w:szCs w:val="24"/>
        </w:rPr>
        <w:t xml:space="preserve"> </w:t>
      </w:r>
      <w:r w:rsidR="00C53ED5">
        <w:rPr>
          <w:rFonts w:ascii="Arial" w:hAnsi="Arial" w:cs="Arial"/>
          <w:sz w:val="24"/>
          <w:szCs w:val="24"/>
        </w:rPr>
        <w:t>of the Criminal Procedure Act, 51 of 1977 with the direction to act in terms of s 113 of the Criminal Proce</w:t>
      </w:r>
      <w:r w:rsidR="0036621F">
        <w:rPr>
          <w:rFonts w:ascii="Arial" w:hAnsi="Arial" w:cs="Arial"/>
          <w:sz w:val="24"/>
          <w:szCs w:val="24"/>
        </w:rPr>
        <w:t>dure Act, 1977 (Act 51 of 1977).</w:t>
      </w:r>
    </w:p>
    <w:p w:rsidR="00DC38F2" w:rsidRDefault="00DC38F2" w:rsidP="00F15E95">
      <w:pPr>
        <w:spacing w:line="360" w:lineRule="auto"/>
        <w:jc w:val="both"/>
        <w:rPr>
          <w:rFonts w:ascii="Arial" w:hAnsi="Arial" w:cs="Arial"/>
          <w:sz w:val="24"/>
          <w:szCs w:val="24"/>
        </w:rPr>
      </w:pPr>
      <w:r>
        <w:rPr>
          <w:rFonts w:ascii="Arial" w:hAnsi="Arial" w:cs="Arial"/>
          <w:sz w:val="24"/>
          <w:szCs w:val="24"/>
        </w:rPr>
        <w:t>[</w:t>
      </w:r>
      <w:r w:rsidR="00C53ED5">
        <w:rPr>
          <w:rFonts w:ascii="Arial" w:hAnsi="Arial" w:cs="Arial"/>
          <w:sz w:val="24"/>
          <w:szCs w:val="24"/>
        </w:rPr>
        <w:t>10</w:t>
      </w:r>
      <w:r>
        <w:rPr>
          <w:rFonts w:ascii="Arial" w:hAnsi="Arial" w:cs="Arial"/>
          <w:sz w:val="24"/>
          <w:szCs w:val="24"/>
        </w:rPr>
        <w:t>]</w:t>
      </w:r>
      <w:r>
        <w:rPr>
          <w:rFonts w:ascii="Arial" w:hAnsi="Arial" w:cs="Arial"/>
          <w:sz w:val="24"/>
          <w:szCs w:val="24"/>
        </w:rPr>
        <w:tab/>
        <w:t>In the result the following order is made:</w:t>
      </w:r>
    </w:p>
    <w:p w:rsidR="00C53ED5" w:rsidRPr="00C53ED5" w:rsidRDefault="00C53ED5" w:rsidP="00C53ED5">
      <w:pPr>
        <w:spacing w:line="360" w:lineRule="auto"/>
        <w:jc w:val="both"/>
        <w:rPr>
          <w:rFonts w:ascii="Arial" w:hAnsi="Arial" w:cs="Arial"/>
          <w:sz w:val="24"/>
          <w:szCs w:val="24"/>
        </w:rPr>
      </w:pPr>
      <w:r w:rsidRPr="00C53ED5">
        <w:rPr>
          <w:rFonts w:ascii="Arial" w:hAnsi="Arial" w:cs="Arial"/>
          <w:sz w:val="24"/>
          <w:szCs w:val="24"/>
        </w:rPr>
        <w:tab/>
        <w:t>1.</w:t>
      </w:r>
      <w:r w:rsidRPr="00C53ED5">
        <w:rPr>
          <w:rFonts w:ascii="Arial" w:hAnsi="Arial" w:cs="Arial"/>
          <w:sz w:val="24"/>
          <w:szCs w:val="24"/>
        </w:rPr>
        <w:tab/>
        <w:t>The conviction and sentence are set aside.</w:t>
      </w:r>
    </w:p>
    <w:p w:rsidR="00DC38F2" w:rsidRDefault="00C53ED5" w:rsidP="00C53ED5">
      <w:pPr>
        <w:spacing w:line="360" w:lineRule="auto"/>
        <w:ind w:left="1440" w:hanging="720"/>
        <w:jc w:val="both"/>
        <w:rPr>
          <w:rFonts w:ascii="Arial" w:hAnsi="Arial" w:cs="Arial"/>
          <w:sz w:val="24"/>
          <w:szCs w:val="24"/>
        </w:rPr>
      </w:pPr>
      <w:r w:rsidRPr="00C53ED5">
        <w:rPr>
          <w:rFonts w:ascii="Arial" w:hAnsi="Arial" w:cs="Arial"/>
          <w:sz w:val="24"/>
          <w:szCs w:val="24"/>
        </w:rPr>
        <w:t>2.</w:t>
      </w:r>
      <w:r w:rsidRPr="00C53ED5">
        <w:rPr>
          <w:rFonts w:ascii="Arial" w:hAnsi="Arial" w:cs="Arial"/>
          <w:sz w:val="24"/>
          <w:szCs w:val="24"/>
        </w:rPr>
        <w:tab/>
        <w:t xml:space="preserve">The case is remitted to the magistrate's court, </w:t>
      </w:r>
      <w:r>
        <w:rPr>
          <w:rFonts w:ascii="Arial" w:hAnsi="Arial" w:cs="Arial"/>
          <w:sz w:val="24"/>
          <w:szCs w:val="24"/>
        </w:rPr>
        <w:t>Eenhana</w:t>
      </w:r>
      <w:r w:rsidRPr="00C53ED5">
        <w:rPr>
          <w:rFonts w:ascii="Arial" w:hAnsi="Arial" w:cs="Arial"/>
          <w:sz w:val="24"/>
          <w:szCs w:val="24"/>
        </w:rPr>
        <w:t>, in terms of s 312(1) of the Criminal Procedure Act, 51 of 1977, with the direction to act in te</w:t>
      </w:r>
      <w:r>
        <w:rPr>
          <w:rFonts w:ascii="Arial" w:hAnsi="Arial" w:cs="Arial"/>
          <w:sz w:val="24"/>
          <w:szCs w:val="24"/>
        </w:rPr>
        <w:t xml:space="preserve">rms of s 113 of the said Act.  </w:t>
      </w:r>
    </w:p>
    <w:p w:rsidR="005E125F" w:rsidRDefault="005E125F" w:rsidP="00F15E95">
      <w:pPr>
        <w:spacing w:line="360" w:lineRule="auto"/>
        <w:jc w:val="both"/>
        <w:rPr>
          <w:rFonts w:ascii="Arial" w:hAnsi="Arial" w:cs="Arial"/>
          <w:sz w:val="24"/>
          <w:szCs w:val="24"/>
        </w:rPr>
      </w:pPr>
    </w:p>
    <w:p w:rsidR="005E125F" w:rsidRDefault="005E125F" w:rsidP="00F15E95">
      <w:pPr>
        <w:spacing w:line="360" w:lineRule="auto"/>
        <w:jc w:val="both"/>
        <w:rPr>
          <w:rFonts w:ascii="Arial" w:hAnsi="Arial" w:cs="Arial"/>
          <w:sz w:val="24"/>
          <w:szCs w:val="24"/>
        </w:rPr>
      </w:pPr>
    </w:p>
    <w:p w:rsidR="005E125F" w:rsidRDefault="005E125F" w:rsidP="00F15E95">
      <w:pPr>
        <w:spacing w:line="360" w:lineRule="auto"/>
        <w:jc w:val="both"/>
        <w:rPr>
          <w:rFonts w:ascii="Arial" w:hAnsi="Arial" w:cs="Arial"/>
          <w:sz w:val="24"/>
          <w:szCs w:val="24"/>
        </w:rPr>
      </w:pPr>
    </w:p>
    <w:p w:rsidR="005E125F" w:rsidRDefault="005E125F" w:rsidP="00F15E95">
      <w:pPr>
        <w:spacing w:line="360" w:lineRule="auto"/>
        <w:jc w:val="both"/>
        <w:rPr>
          <w:rFonts w:ascii="Arial" w:hAnsi="Arial" w:cs="Arial"/>
          <w:sz w:val="24"/>
          <w:szCs w:val="24"/>
        </w:rPr>
      </w:pPr>
    </w:p>
    <w:p w:rsidR="00E02076" w:rsidRDefault="00E02076" w:rsidP="005E125F">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5E125F">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5E125F">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5E125F" w:rsidRDefault="005E125F" w:rsidP="00E02076">
      <w:pPr>
        <w:spacing w:line="360" w:lineRule="auto"/>
        <w:ind w:left="1440" w:hanging="720"/>
        <w:jc w:val="both"/>
        <w:rPr>
          <w:rFonts w:ascii="Arial" w:hAnsi="Arial" w:cs="Arial"/>
          <w:sz w:val="24"/>
          <w:szCs w:val="24"/>
        </w:rPr>
      </w:pPr>
    </w:p>
    <w:p w:rsidR="005E125F" w:rsidRDefault="005E125F" w:rsidP="00E02076">
      <w:pPr>
        <w:spacing w:line="360" w:lineRule="auto"/>
        <w:ind w:left="1440" w:hanging="720"/>
        <w:jc w:val="both"/>
        <w:rPr>
          <w:rFonts w:ascii="Arial" w:hAnsi="Arial" w:cs="Arial"/>
          <w:sz w:val="24"/>
          <w:szCs w:val="24"/>
        </w:rPr>
      </w:pPr>
    </w:p>
    <w:p w:rsidR="005E125F" w:rsidRDefault="005E125F" w:rsidP="00E02076">
      <w:pPr>
        <w:spacing w:line="360" w:lineRule="auto"/>
        <w:ind w:left="1440" w:hanging="720"/>
        <w:jc w:val="both"/>
        <w:rPr>
          <w:rFonts w:ascii="Arial" w:hAnsi="Arial" w:cs="Arial"/>
          <w:sz w:val="24"/>
          <w:szCs w:val="24"/>
        </w:rPr>
      </w:pPr>
    </w:p>
    <w:p w:rsidR="00E02076"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5E125F">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1825B9" w:rsidRPr="00A90B54" w:rsidRDefault="00EE655E" w:rsidP="00A90B54">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sectPr w:rsidR="001825B9" w:rsidRPr="00A90B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A0" w:rsidRDefault="005753A0" w:rsidP="00541A8B">
      <w:pPr>
        <w:spacing w:after="0" w:line="240" w:lineRule="auto"/>
      </w:pPr>
      <w:r>
        <w:separator/>
      </w:r>
    </w:p>
  </w:endnote>
  <w:endnote w:type="continuationSeparator" w:id="0">
    <w:p w:rsidR="005753A0" w:rsidRDefault="005753A0"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DC15E7">
          <w:rPr>
            <w:noProof/>
          </w:rPr>
          <w:t>4</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A0" w:rsidRDefault="005753A0" w:rsidP="00541A8B">
      <w:pPr>
        <w:spacing w:after="0" w:line="240" w:lineRule="auto"/>
      </w:pPr>
      <w:r>
        <w:separator/>
      </w:r>
    </w:p>
  </w:footnote>
  <w:footnote w:type="continuationSeparator" w:id="0">
    <w:p w:rsidR="005753A0" w:rsidRDefault="005753A0" w:rsidP="0054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5197"/>
    <w:multiLevelType w:val="hybridMultilevel"/>
    <w:tmpl w:val="92FA1DCE"/>
    <w:lvl w:ilvl="0" w:tplc="B75CF2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14A17"/>
    <w:rsid w:val="00035453"/>
    <w:rsid w:val="00043718"/>
    <w:rsid w:val="000663E4"/>
    <w:rsid w:val="000D0A88"/>
    <w:rsid w:val="000D38F0"/>
    <w:rsid w:val="00145FC9"/>
    <w:rsid w:val="00152D97"/>
    <w:rsid w:val="001825B9"/>
    <w:rsid w:val="0020494A"/>
    <w:rsid w:val="0021638C"/>
    <w:rsid w:val="00221E3D"/>
    <w:rsid w:val="00232CB3"/>
    <w:rsid w:val="002E6A9A"/>
    <w:rsid w:val="002F405B"/>
    <w:rsid w:val="00302DE4"/>
    <w:rsid w:val="00315C5E"/>
    <w:rsid w:val="00356A15"/>
    <w:rsid w:val="0036621F"/>
    <w:rsid w:val="003D3146"/>
    <w:rsid w:val="003D35BD"/>
    <w:rsid w:val="003F4039"/>
    <w:rsid w:val="0042228F"/>
    <w:rsid w:val="00485EEC"/>
    <w:rsid w:val="004D7059"/>
    <w:rsid w:val="004F4D91"/>
    <w:rsid w:val="00541A8B"/>
    <w:rsid w:val="00564F0A"/>
    <w:rsid w:val="005753A0"/>
    <w:rsid w:val="00580AB1"/>
    <w:rsid w:val="005B0BB5"/>
    <w:rsid w:val="005D0466"/>
    <w:rsid w:val="005E125F"/>
    <w:rsid w:val="00613B91"/>
    <w:rsid w:val="006478AE"/>
    <w:rsid w:val="00666C05"/>
    <w:rsid w:val="006E3AAE"/>
    <w:rsid w:val="0070185A"/>
    <w:rsid w:val="0071221A"/>
    <w:rsid w:val="0071691B"/>
    <w:rsid w:val="007253F2"/>
    <w:rsid w:val="007C1C03"/>
    <w:rsid w:val="007C7FCA"/>
    <w:rsid w:val="007F2DE6"/>
    <w:rsid w:val="007F5CCB"/>
    <w:rsid w:val="008159B5"/>
    <w:rsid w:val="00834040"/>
    <w:rsid w:val="0084797D"/>
    <w:rsid w:val="0085423C"/>
    <w:rsid w:val="008A571A"/>
    <w:rsid w:val="0098368A"/>
    <w:rsid w:val="0099273F"/>
    <w:rsid w:val="009C2EB7"/>
    <w:rsid w:val="009C73BA"/>
    <w:rsid w:val="009D24AE"/>
    <w:rsid w:val="009F09E0"/>
    <w:rsid w:val="009F4868"/>
    <w:rsid w:val="00A02F89"/>
    <w:rsid w:val="00A37C89"/>
    <w:rsid w:val="00A4200F"/>
    <w:rsid w:val="00A72C7D"/>
    <w:rsid w:val="00A90B54"/>
    <w:rsid w:val="00AA20B5"/>
    <w:rsid w:val="00AC116E"/>
    <w:rsid w:val="00AF2935"/>
    <w:rsid w:val="00B853E3"/>
    <w:rsid w:val="00B879B3"/>
    <w:rsid w:val="00BF7741"/>
    <w:rsid w:val="00C037F0"/>
    <w:rsid w:val="00C11503"/>
    <w:rsid w:val="00C41153"/>
    <w:rsid w:val="00C53ED5"/>
    <w:rsid w:val="00C556F2"/>
    <w:rsid w:val="00C8053F"/>
    <w:rsid w:val="00CE0805"/>
    <w:rsid w:val="00D010C3"/>
    <w:rsid w:val="00D22F87"/>
    <w:rsid w:val="00D47528"/>
    <w:rsid w:val="00D75F0B"/>
    <w:rsid w:val="00D8374B"/>
    <w:rsid w:val="00DC15E7"/>
    <w:rsid w:val="00DC38F2"/>
    <w:rsid w:val="00DE47B3"/>
    <w:rsid w:val="00DE7BC8"/>
    <w:rsid w:val="00E02076"/>
    <w:rsid w:val="00E65A68"/>
    <w:rsid w:val="00E92389"/>
    <w:rsid w:val="00EE655E"/>
    <w:rsid w:val="00F15E95"/>
    <w:rsid w:val="00F311DC"/>
    <w:rsid w:val="00F35A9A"/>
    <w:rsid w:val="00F4135B"/>
    <w:rsid w:val="00F707A8"/>
    <w:rsid w:val="00F72CD7"/>
    <w:rsid w:val="00FB5B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2E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2E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2017-06-12T18:30:00+00:00</Judgment_x0020_Date>
  </documentManagement>
</p:properties>
</file>

<file path=customXml/itemProps1.xml><?xml version="1.0" encoding="utf-8"?>
<ds:datastoreItem xmlns:ds="http://schemas.openxmlformats.org/officeDocument/2006/customXml" ds:itemID="{D7322FAC-D7FB-4192-A23B-3A03C416A383}"/>
</file>

<file path=customXml/itemProps2.xml><?xml version="1.0" encoding="utf-8"?>
<ds:datastoreItem xmlns:ds="http://schemas.openxmlformats.org/officeDocument/2006/customXml" ds:itemID="{04B5A959-D771-42D2-A18B-1379AD69984C}"/>
</file>

<file path=customXml/itemProps3.xml><?xml version="1.0" encoding="utf-8"?>
<ds:datastoreItem xmlns:ds="http://schemas.openxmlformats.org/officeDocument/2006/customXml" ds:itemID="{5B22C752-7FC6-485D-B0EB-13CA5D0CA7E8}"/>
</file>

<file path=customXml/itemProps4.xml><?xml version="1.0" encoding="utf-8"?>
<ds:datastoreItem xmlns:ds="http://schemas.openxmlformats.org/officeDocument/2006/customXml" ds:itemID="{E680C513-7662-4623-B173-5E8C0641DC7A}"/>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Nsikongo</cp:lastModifiedBy>
  <cp:revision>2</cp:revision>
  <cp:lastPrinted>2017-06-09T13:08:00Z</cp:lastPrinted>
  <dcterms:created xsi:type="dcterms:W3CDTF">2017-06-21T08:07:00Z</dcterms:created>
  <dcterms:modified xsi:type="dcterms:W3CDTF">2017-06-21T08:07:00Z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