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77A77" w:rsidRPr="00F80562" w:rsidRDefault="00E77A77" w:rsidP="00E77A77">
      <w:pPr>
        <w:spacing w:after="0" w:line="360" w:lineRule="auto"/>
        <w:jc w:val="both"/>
        <w:rPr>
          <w:rFonts w:ascii="Arial" w:hAnsi="Arial" w:cs="Arial"/>
          <w:b/>
          <w:sz w:val="24"/>
          <w:szCs w:val="24"/>
          <w:lang w:val="en-US"/>
        </w:rPr>
      </w:pPr>
      <w:r w:rsidRPr="00F80562">
        <w:rPr>
          <w:rFonts w:ascii="Arial" w:hAnsi="Arial" w:cs="Arial"/>
          <w:noProof/>
          <w:lang w:val="en-US"/>
        </w:rPr>
        <mc:AlternateContent>
          <mc:Choice Requires="wps">
            <w:drawing>
              <wp:anchor distT="0" distB="0" distL="114300" distR="114300" simplePos="0" relativeHeight="251659264" behindDoc="0" locked="0" layoutInCell="1" allowOverlap="1" wp14:anchorId="5D8FD24E" wp14:editId="7183D61F">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E77A77" w:rsidRPr="00E00EE8" w:rsidRDefault="00E77A77" w:rsidP="00E77A77">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FD24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E77A77" w:rsidRPr="00E00EE8" w:rsidRDefault="00E77A77" w:rsidP="00E77A77">
                      <w:pPr>
                        <w:jc w:val="right"/>
                        <w:rPr>
                          <w:rFonts w:ascii="Arial" w:hAnsi="Arial" w:cs="Arial"/>
                        </w:rPr>
                      </w:pPr>
                      <w:r w:rsidRPr="00E00EE8">
                        <w:rPr>
                          <w:rFonts w:ascii="Arial" w:hAnsi="Arial" w:cs="Arial"/>
                        </w:rPr>
                        <w:t>NOT REPORTABLE</w:t>
                      </w:r>
                    </w:p>
                  </w:txbxContent>
                </v:textbox>
              </v:shape>
            </w:pict>
          </mc:Fallback>
        </mc:AlternateContent>
      </w:r>
      <w:r>
        <w:rPr>
          <w:rFonts w:ascii="Arial" w:hAnsi="Arial" w:cs="Arial"/>
          <w:b/>
          <w:sz w:val="24"/>
          <w:szCs w:val="24"/>
          <w:lang w:val="en-US"/>
        </w:rPr>
        <w:t xml:space="preserve"> </w:t>
      </w:r>
      <w:r w:rsidRPr="00F80562">
        <w:rPr>
          <w:rFonts w:ascii="Arial" w:hAnsi="Arial" w:cs="Arial"/>
          <w:b/>
          <w:sz w:val="24"/>
          <w:szCs w:val="24"/>
          <w:lang w:val="en-US"/>
        </w:rPr>
        <w:t xml:space="preserve">                                                  REPUBLIC OF NAMIBIA</w:t>
      </w:r>
    </w:p>
    <w:p w:rsidR="00E77A77" w:rsidRPr="00F80562" w:rsidRDefault="00E77A77" w:rsidP="00E77A77">
      <w:pPr>
        <w:spacing w:after="0" w:line="360" w:lineRule="auto"/>
        <w:jc w:val="center"/>
        <w:rPr>
          <w:rFonts w:ascii="Arial" w:hAnsi="Arial" w:cs="Arial"/>
          <w:b/>
          <w:sz w:val="28"/>
          <w:szCs w:val="32"/>
          <w:lang w:val="en-US"/>
        </w:rPr>
      </w:pPr>
      <w:r w:rsidRPr="00F80562">
        <w:rPr>
          <w:rFonts w:ascii="Arial" w:hAnsi="Arial" w:cs="Arial"/>
          <w:noProof/>
          <w:sz w:val="24"/>
          <w:szCs w:val="24"/>
          <w:lang w:val="en-US"/>
        </w:rPr>
        <w:drawing>
          <wp:inline distT="0" distB="0" distL="0" distR="0" wp14:anchorId="69BA50A8" wp14:editId="2BB51E5D">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E77A77" w:rsidRPr="00F80562" w:rsidRDefault="00E77A77" w:rsidP="00E77A77">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E77A77" w:rsidRPr="00F80562" w:rsidRDefault="00E77A77" w:rsidP="00E77A77">
      <w:pPr>
        <w:spacing w:after="0" w:line="360" w:lineRule="auto"/>
        <w:jc w:val="center"/>
        <w:rPr>
          <w:rFonts w:ascii="Arial" w:hAnsi="Arial" w:cs="Arial"/>
          <w:b/>
          <w:sz w:val="24"/>
          <w:szCs w:val="24"/>
          <w:lang w:val="en-US"/>
        </w:rPr>
      </w:pPr>
    </w:p>
    <w:p w:rsidR="00E77A77" w:rsidRPr="00F80562" w:rsidRDefault="00E77A77" w:rsidP="00E77A77">
      <w:pPr>
        <w:spacing w:after="0" w:line="360" w:lineRule="auto"/>
        <w:ind w:left="2880" w:firstLine="720"/>
        <w:rPr>
          <w:rFonts w:ascii="Arial" w:hAnsi="Arial" w:cs="Arial"/>
          <w:b/>
          <w:sz w:val="24"/>
          <w:szCs w:val="24"/>
          <w:lang w:val="en-US"/>
        </w:rPr>
      </w:pPr>
      <w:r w:rsidRPr="00F80562">
        <w:rPr>
          <w:rFonts w:ascii="Arial" w:hAnsi="Arial" w:cs="Arial"/>
          <w:b/>
          <w:sz w:val="24"/>
          <w:szCs w:val="24"/>
          <w:lang w:val="en-US"/>
        </w:rPr>
        <w:t xml:space="preserve"> APPEAL JUDG</w:t>
      </w:r>
      <w:r w:rsidR="003E21FC">
        <w:rPr>
          <w:rFonts w:ascii="Arial" w:hAnsi="Arial" w:cs="Arial"/>
          <w:b/>
          <w:sz w:val="24"/>
          <w:szCs w:val="24"/>
          <w:lang w:val="en-US"/>
        </w:rPr>
        <w:t>E</w:t>
      </w:r>
      <w:r w:rsidRPr="00F80562">
        <w:rPr>
          <w:rFonts w:ascii="Arial" w:hAnsi="Arial" w:cs="Arial"/>
          <w:b/>
          <w:sz w:val="24"/>
          <w:szCs w:val="24"/>
          <w:lang w:val="en-US"/>
        </w:rPr>
        <w:t>MENT</w:t>
      </w:r>
    </w:p>
    <w:p w:rsidR="00E77A77" w:rsidRPr="00F80562" w:rsidRDefault="003E21FC" w:rsidP="00E77A77">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t>Case No.:</w:t>
      </w:r>
      <w:r w:rsidR="00E77A77" w:rsidRPr="00F80562">
        <w:rPr>
          <w:rFonts w:ascii="Arial" w:hAnsi="Arial" w:cs="Arial"/>
          <w:b/>
          <w:sz w:val="24"/>
          <w:szCs w:val="24"/>
          <w:lang w:val="en-US"/>
        </w:rPr>
        <w:t xml:space="preserve"> CA </w:t>
      </w:r>
      <w:r w:rsidR="00080B6C">
        <w:rPr>
          <w:rFonts w:ascii="Arial" w:hAnsi="Arial" w:cs="Arial"/>
          <w:b/>
          <w:sz w:val="24"/>
          <w:szCs w:val="24"/>
          <w:lang w:val="en-US"/>
        </w:rPr>
        <w:t>17</w:t>
      </w:r>
      <w:r w:rsidR="00E77A77">
        <w:rPr>
          <w:rFonts w:ascii="Arial" w:hAnsi="Arial" w:cs="Arial"/>
          <w:b/>
          <w:sz w:val="24"/>
          <w:szCs w:val="24"/>
          <w:lang w:val="en-US"/>
        </w:rPr>
        <w:t>/2017</w:t>
      </w:r>
    </w:p>
    <w:p w:rsidR="00E77A77" w:rsidRPr="00F80562" w:rsidRDefault="00E77A77" w:rsidP="00E77A77">
      <w:pPr>
        <w:spacing w:line="360" w:lineRule="auto"/>
        <w:jc w:val="both"/>
        <w:rPr>
          <w:rFonts w:ascii="Arial" w:hAnsi="Arial" w:cs="Arial"/>
          <w:sz w:val="24"/>
          <w:szCs w:val="24"/>
        </w:rPr>
      </w:pPr>
      <w:r w:rsidRPr="00F80562">
        <w:rPr>
          <w:rFonts w:ascii="Arial" w:hAnsi="Arial" w:cs="Arial"/>
          <w:sz w:val="24"/>
          <w:szCs w:val="24"/>
        </w:rPr>
        <w:t>In the matter between:</w:t>
      </w:r>
    </w:p>
    <w:p w:rsidR="00E77A77" w:rsidRPr="00F80562" w:rsidRDefault="00080B6C" w:rsidP="00E77A77">
      <w:pPr>
        <w:spacing w:line="360" w:lineRule="auto"/>
        <w:jc w:val="both"/>
        <w:rPr>
          <w:rFonts w:ascii="Arial" w:hAnsi="Arial" w:cs="Arial"/>
          <w:b/>
          <w:sz w:val="24"/>
          <w:szCs w:val="24"/>
        </w:rPr>
      </w:pPr>
      <w:r>
        <w:rPr>
          <w:rFonts w:ascii="Arial" w:hAnsi="Arial" w:cs="Arial"/>
          <w:b/>
          <w:sz w:val="24"/>
          <w:szCs w:val="24"/>
        </w:rPr>
        <w:t>TOMAS FAUSTINUS</w:t>
      </w:r>
      <w:r w:rsidR="00E77A77">
        <w:rPr>
          <w:rFonts w:ascii="Arial" w:hAnsi="Arial" w:cs="Arial"/>
          <w:b/>
          <w:sz w:val="24"/>
          <w:szCs w:val="24"/>
        </w:rPr>
        <w:t xml:space="preserve">  </w:t>
      </w:r>
      <w:r w:rsidR="00E77A77">
        <w:rPr>
          <w:rFonts w:ascii="Arial" w:hAnsi="Arial" w:cs="Arial"/>
          <w:b/>
          <w:sz w:val="24"/>
          <w:szCs w:val="24"/>
        </w:rPr>
        <w:tab/>
      </w:r>
      <w:r w:rsidR="00E77A77">
        <w:rPr>
          <w:rFonts w:ascii="Arial" w:hAnsi="Arial" w:cs="Arial"/>
          <w:b/>
          <w:sz w:val="24"/>
          <w:szCs w:val="24"/>
        </w:rPr>
        <w:tab/>
      </w:r>
      <w:r w:rsidR="00E77A77" w:rsidRPr="00F80562">
        <w:rPr>
          <w:rFonts w:ascii="Arial" w:hAnsi="Arial" w:cs="Arial"/>
          <w:b/>
          <w:sz w:val="24"/>
          <w:szCs w:val="24"/>
        </w:rPr>
        <w:t xml:space="preserve">        </w:t>
      </w:r>
      <w:r w:rsidR="00E77A77" w:rsidRPr="00F80562">
        <w:rPr>
          <w:rFonts w:ascii="Arial" w:hAnsi="Arial" w:cs="Arial"/>
          <w:b/>
          <w:sz w:val="24"/>
          <w:szCs w:val="24"/>
        </w:rPr>
        <w:tab/>
      </w:r>
      <w:r w:rsidR="00E77A77" w:rsidRPr="00F80562">
        <w:rPr>
          <w:rFonts w:ascii="Arial" w:hAnsi="Arial" w:cs="Arial"/>
          <w:b/>
          <w:sz w:val="24"/>
          <w:szCs w:val="24"/>
        </w:rPr>
        <w:tab/>
      </w:r>
      <w:r w:rsidR="00E77A77" w:rsidRPr="00F80562">
        <w:rPr>
          <w:rFonts w:ascii="Arial" w:hAnsi="Arial" w:cs="Arial"/>
          <w:b/>
          <w:sz w:val="24"/>
          <w:szCs w:val="24"/>
        </w:rPr>
        <w:tab/>
      </w:r>
      <w:r w:rsidR="00E77A77" w:rsidRPr="00F80562">
        <w:rPr>
          <w:rFonts w:ascii="Arial" w:hAnsi="Arial" w:cs="Arial"/>
          <w:b/>
          <w:sz w:val="24"/>
          <w:szCs w:val="24"/>
        </w:rPr>
        <w:tab/>
      </w:r>
      <w:r w:rsidR="00E77A77" w:rsidRPr="00F80562">
        <w:rPr>
          <w:rFonts w:ascii="Arial" w:hAnsi="Arial" w:cs="Arial"/>
          <w:b/>
          <w:sz w:val="24"/>
          <w:szCs w:val="24"/>
        </w:rPr>
        <w:tab/>
        <w:t xml:space="preserve"> APPELLANT </w:t>
      </w:r>
    </w:p>
    <w:p w:rsidR="00E77A77" w:rsidRPr="00F80562" w:rsidRDefault="00E77A77" w:rsidP="00E77A77">
      <w:pPr>
        <w:spacing w:line="360" w:lineRule="auto"/>
        <w:jc w:val="both"/>
        <w:rPr>
          <w:rFonts w:ascii="Arial" w:hAnsi="Arial" w:cs="Arial"/>
          <w:sz w:val="24"/>
          <w:szCs w:val="24"/>
        </w:rPr>
      </w:pPr>
      <w:r w:rsidRPr="00F80562">
        <w:rPr>
          <w:rFonts w:ascii="Arial" w:hAnsi="Arial" w:cs="Arial"/>
          <w:sz w:val="24"/>
          <w:szCs w:val="24"/>
        </w:rPr>
        <w:t xml:space="preserve">and </w:t>
      </w:r>
    </w:p>
    <w:p w:rsidR="00E77A77" w:rsidRPr="00F80562" w:rsidRDefault="00E77A77" w:rsidP="00E77A77">
      <w:pPr>
        <w:spacing w:line="360" w:lineRule="auto"/>
        <w:jc w:val="both"/>
        <w:rPr>
          <w:rFonts w:ascii="Arial" w:hAnsi="Arial" w:cs="Arial"/>
          <w:b/>
          <w:sz w:val="24"/>
          <w:szCs w:val="24"/>
        </w:rPr>
      </w:pPr>
      <w:r w:rsidRPr="00F80562">
        <w:rPr>
          <w:rFonts w:ascii="Arial" w:hAnsi="Arial" w:cs="Arial"/>
          <w:b/>
          <w:sz w:val="24"/>
          <w:szCs w:val="24"/>
        </w:rPr>
        <w:t xml:space="preserve">THE STATE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RESPONDENT</w:t>
      </w:r>
    </w:p>
    <w:p w:rsidR="00833B2C" w:rsidRDefault="00833B2C" w:rsidP="005233E2">
      <w:pPr>
        <w:spacing w:line="360" w:lineRule="auto"/>
        <w:ind w:left="1985" w:hanging="1985"/>
        <w:jc w:val="both"/>
        <w:rPr>
          <w:rFonts w:ascii="Arial" w:hAnsi="Arial" w:cs="Arial"/>
          <w:b/>
          <w:sz w:val="24"/>
          <w:szCs w:val="24"/>
        </w:rPr>
      </w:pPr>
    </w:p>
    <w:p w:rsidR="00E77A77" w:rsidRPr="00F80562" w:rsidRDefault="00E77A77" w:rsidP="005233E2">
      <w:pPr>
        <w:spacing w:line="360" w:lineRule="auto"/>
        <w:ind w:left="1985" w:hanging="1985"/>
        <w:jc w:val="both"/>
        <w:rPr>
          <w:rFonts w:ascii="Arial" w:hAnsi="Arial" w:cs="Arial"/>
          <w:sz w:val="24"/>
          <w:szCs w:val="24"/>
        </w:rPr>
      </w:pPr>
      <w:r w:rsidRPr="00F80562">
        <w:rPr>
          <w:rFonts w:ascii="Arial" w:hAnsi="Arial" w:cs="Arial"/>
          <w:b/>
          <w:sz w:val="24"/>
          <w:szCs w:val="24"/>
        </w:rPr>
        <w:t>Neutral citation</w:t>
      </w:r>
      <w:r w:rsidRPr="00F80562">
        <w:rPr>
          <w:rFonts w:ascii="Arial" w:hAnsi="Arial" w:cs="Arial"/>
          <w:i/>
          <w:sz w:val="24"/>
          <w:szCs w:val="24"/>
        </w:rPr>
        <w:t xml:space="preserve">: </w:t>
      </w:r>
      <w:r w:rsidR="003E21FC">
        <w:rPr>
          <w:rFonts w:ascii="Arial" w:hAnsi="Arial" w:cs="Arial"/>
          <w:i/>
          <w:sz w:val="24"/>
          <w:szCs w:val="24"/>
        </w:rPr>
        <w:t>Faustinus</w:t>
      </w:r>
      <w:r w:rsidRPr="00F80562">
        <w:rPr>
          <w:rFonts w:ascii="Arial" w:hAnsi="Arial" w:cs="Arial"/>
          <w:i/>
          <w:sz w:val="24"/>
          <w:szCs w:val="24"/>
        </w:rPr>
        <w:t xml:space="preserve"> v The State</w:t>
      </w:r>
      <w:r w:rsidRPr="00F80562">
        <w:rPr>
          <w:rFonts w:ascii="Arial" w:hAnsi="Arial" w:cs="Arial"/>
          <w:sz w:val="24"/>
          <w:szCs w:val="24"/>
        </w:rPr>
        <w:t xml:space="preserve"> (CA </w:t>
      </w:r>
      <w:r w:rsidR="00080B6C">
        <w:rPr>
          <w:rFonts w:ascii="Arial" w:hAnsi="Arial" w:cs="Arial"/>
          <w:sz w:val="24"/>
          <w:szCs w:val="24"/>
        </w:rPr>
        <w:t>17/2017</w:t>
      </w:r>
      <w:r w:rsidRPr="00F80562">
        <w:rPr>
          <w:rFonts w:ascii="Arial" w:hAnsi="Arial" w:cs="Arial"/>
          <w:sz w:val="24"/>
          <w:szCs w:val="24"/>
        </w:rPr>
        <w:t>) [</w:t>
      </w:r>
      <w:r>
        <w:rPr>
          <w:rFonts w:ascii="Arial" w:hAnsi="Arial" w:cs="Arial"/>
          <w:sz w:val="24"/>
          <w:szCs w:val="24"/>
        </w:rPr>
        <w:t>2017</w:t>
      </w:r>
      <w:r w:rsidRPr="00F80562">
        <w:rPr>
          <w:rFonts w:ascii="Arial" w:hAnsi="Arial" w:cs="Arial"/>
          <w:sz w:val="24"/>
          <w:szCs w:val="24"/>
        </w:rPr>
        <w:t xml:space="preserve">] NAHCNLD </w:t>
      </w:r>
      <w:r w:rsidR="003E21FC">
        <w:rPr>
          <w:rFonts w:ascii="Arial" w:hAnsi="Arial" w:cs="Arial"/>
          <w:sz w:val="24"/>
          <w:szCs w:val="24"/>
        </w:rPr>
        <w:t>96</w:t>
      </w:r>
      <w:r w:rsidR="005233E2">
        <w:rPr>
          <w:rFonts w:ascii="Arial" w:hAnsi="Arial" w:cs="Arial"/>
          <w:sz w:val="24"/>
          <w:szCs w:val="24"/>
        </w:rPr>
        <w:t xml:space="preserve"> </w:t>
      </w:r>
      <w:r w:rsidRPr="00F80562">
        <w:rPr>
          <w:rFonts w:ascii="Arial" w:hAnsi="Arial" w:cs="Arial"/>
          <w:sz w:val="24"/>
          <w:szCs w:val="24"/>
        </w:rPr>
        <w:t>(</w:t>
      </w:r>
      <w:r w:rsidR="00080B6C">
        <w:rPr>
          <w:rFonts w:ascii="Arial" w:hAnsi="Arial" w:cs="Arial"/>
          <w:sz w:val="24"/>
          <w:szCs w:val="24"/>
        </w:rPr>
        <w:t>28</w:t>
      </w:r>
      <w:r w:rsidR="0056267C">
        <w:rPr>
          <w:rFonts w:ascii="Arial" w:hAnsi="Arial" w:cs="Arial"/>
          <w:sz w:val="24"/>
          <w:szCs w:val="24"/>
        </w:rPr>
        <w:t xml:space="preserve"> </w:t>
      </w:r>
      <w:r w:rsidR="00080B6C">
        <w:rPr>
          <w:rFonts w:ascii="Arial" w:hAnsi="Arial" w:cs="Arial"/>
          <w:sz w:val="24"/>
          <w:szCs w:val="24"/>
        </w:rPr>
        <w:t>S</w:t>
      </w:r>
      <w:r w:rsidR="0056267C">
        <w:rPr>
          <w:rFonts w:ascii="Arial" w:hAnsi="Arial" w:cs="Arial"/>
          <w:sz w:val="24"/>
          <w:szCs w:val="24"/>
        </w:rPr>
        <w:t>eptember</w:t>
      </w:r>
      <w:r>
        <w:rPr>
          <w:rFonts w:ascii="Arial" w:hAnsi="Arial" w:cs="Arial"/>
          <w:sz w:val="24"/>
          <w:szCs w:val="24"/>
        </w:rPr>
        <w:t xml:space="preserve"> 2017</w:t>
      </w:r>
      <w:r w:rsidRPr="00F80562">
        <w:rPr>
          <w:rFonts w:ascii="Arial" w:hAnsi="Arial" w:cs="Arial"/>
          <w:sz w:val="24"/>
          <w:szCs w:val="24"/>
        </w:rPr>
        <w:t>)</w:t>
      </w:r>
    </w:p>
    <w:p w:rsidR="00833B2C" w:rsidRDefault="00833B2C" w:rsidP="00E77A77">
      <w:pPr>
        <w:spacing w:line="360" w:lineRule="auto"/>
        <w:jc w:val="both"/>
        <w:rPr>
          <w:rFonts w:ascii="Arial" w:hAnsi="Arial" w:cs="Arial"/>
          <w:b/>
          <w:sz w:val="24"/>
          <w:szCs w:val="24"/>
        </w:rPr>
      </w:pPr>
    </w:p>
    <w:p w:rsidR="00E77A77" w:rsidRDefault="00E77A77" w:rsidP="00E77A77">
      <w:pPr>
        <w:spacing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DE06EC">
        <w:rPr>
          <w:rFonts w:ascii="Arial" w:hAnsi="Arial" w:cs="Arial"/>
          <w:sz w:val="24"/>
          <w:szCs w:val="24"/>
        </w:rPr>
        <w:t xml:space="preserve"> </w:t>
      </w:r>
      <w:r>
        <w:rPr>
          <w:rFonts w:ascii="Arial" w:hAnsi="Arial" w:cs="Arial"/>
          <w:sz w:val="24"/>
          <w:szCs w:val="24"/>
        </w:rPr>
        <w:tab/>
        <w:t>TOMMASI J</w:t>
      </w:r>
      <w:r>
        <w:rPr>
          <w:rFonts w:ascii="Arial" w:hAnsi="Arial" w:cs="Arial"/>
          <w:sz w:val="24"/>
          <w:szCs w:val="24"/>
        </w:rPr>
        <w:tab/>
        <w:t xml:space="preserve">and </w:t>
      </w:r>
      <w:r w:rsidRPr="00F80562">
        <w:rPr>
          <w:rFonts w:ascii="Arial" w:hAnsi="Arial" w:cs="Arial"/>
          <w:sz w:val="24"/>
          <w:szCs w:val="24"/>
        </w:rPr>
        <w:t>JANUARY J</w:t>
      </w:r>
    </w:p>
    <w:p w:rsidR="00E77A77" w:rsidRPr="00F72794" w:rsidRDefault="00E77A77" w:rsidP="00E77A77">
      <w:pPr>
        <w:spacing w:line="360" w:lineRule="auto"/>
        <w:jc w:val="both"/>
        <w:rPr>
          <w:rFonts w:ascii="Arial" w:hAnsi="Arial" w:cs="Arial"/>
          <w:sz w:val="24"/>
          <w:szCs w:val="24"/>
        </w:rPr>
      </w:pPr>
      <w:r w:rsidRPr="00F72794">
        <w:rPr>
          <w:rFonts w:ascii="Arial" w:hAnsi="Arial" w:cs="Arial"/>
          <w:b/>
          <w:sz w:val="24"/>
          <w:szCs w:val="24"/>
        </w:rPr>
        <w:t>Heard:</w:t>
      </w:r>
      <w:r w:rsidRPr="00F72794">
        <w:rPr>
          <w:rFonts w:ascii="Arial" w:hAnsi="Arial" w:cs="Arial"/>
          <w:b/>
          <w:sz w:val="24"/>
          <w:szCs w:val="24"/>
        </w:rPr>
        <w:tab/>
      </w:r>
      <w:r w:rsidR="00080B6C">
        <w:rPr>
          <w:rFonts w:ascii="Arial" w:hAnsi="Arial" w:cs="Arial"/>
          <w:sz w:val="24"/>
          <w:szCs w:val="24"/>
        </w:rPr>
        <w:t>17 August</w:t>
      </w:r>
      <w:r w:rsidRPr="00F72794">
        <w:rPr>
          <w:rFonts w:ascii="Arial" w:hAnsi="Arial" w:cs="Arial"/>
          <w:sz w:val="24"/>
          <w:szCs w:val="24"/>
        </w:rPr>
        <w:t xml:space="preserve"> 2017</w:t>
      </w:r>
    </w:p>
    <w:p w:rsidR="00E77A77" w:rsidRPr="00F72794" w:rsidRDefault="00E77A77" w:rsidP="00E77A77">
      <w:pPr>
        <w:spacing w:line="360" w:lineRule="auto"/>
        <w:jc w:val="both"/>
        <w:rPr>
          <w:rFonts w:ascii="Arial" w:hAnsi="Arial" w:cs="Arial"/>
          <w:sz w:val="24"/>
          <w:szCs w:val="24"/>
        </w:rPr>
      </w:pPr>
      <w:r w:rsidRPr="00F72794">
        <w:rPr>
          <w:rFonts w:ascii="Arial" w:hAnsi="Arial" w:cs="Arial"/>
          <w:b/>
          <w:sz w:val="24"/>
          <w:szCs w:val="24"/>
        </w:rPr>
        <w:t>Delivered:</w:t>
      </w:r>
      <w:r w:rsidRPr="00F72794">
        <w:rPr>
          <w:rFonts w:ascii="Arial" w:hAnsi="Arial" w:cs="Arial"/>
          <w:sz w:val="24"/>
          <w:szCs w:val="24"/>
        </w:rPr>
        <w:t xml:space="preserve"> </w:t>
      </w:r>
      <w:r w:rsidRPr="00F72794">
        <w:rPr>
          <w:rFonts w:ascii="Arial" w:hAnsi="Arial" w:cs="Arial"/>
          <w:sz w:val="24"/>
          <w:szCs w:val="24"/>
        </w:rPr>
        <w:tab/>
      </w:r>
      <w:r w:rsidR="00080B6C">
        <w:rPr>
          <w:rFonts w:ascii="Arial" w:hAnsi="Arial" w:cs="Arial"/>
          <w:sz w:val="24"/>
          <w:szCs w:val="24"/>
        </w:rPr>
        <w:t>28 September</w:t>
      </w:r>
      <w:r w:rsidRPr="00F72794">
        <w:rPr>
          <w:rFonts w:ascii="Arial" w:hAnsi="Arial" w:cs="Arial"/>
          <w:sz w:val="24"/>
          <w:szCs w:val="24"/>
        </w:rPr>
        <w:t xml:space="preserve"> 2017</w:t>
      </w:r>
    </w:p>
    <w:p w:rsidR="00E77A77" w:rsidRPr="00F80562" w:rsidRDefault="00E77A77" w:rsidP="00E77A77">
      <w:pPr>
        <w:spacing w:line="360" w:lineRule="auto"/>
        <w:jc w:val="both"/>
        <w:rPr>
          <w:rFonts w:ascii="Arial" w:hAnsi="Arial" w:cs="Arial"/>
          <w:sz w:val="24"/>
          <w:szCs w:val="24"/>
        </w:rPr>
      </w:pPr>
    </w:p>
    <w:p w:rsidR="00E77A77" w:rsidRDefault="00E77A77" w:rsidP="00E77A77">
      <w:pPr>
        <w:spacing w:line="360" w:lineRule="auto"/>
        <w:jc w:val="both"/>
        <w:rPr>
          <w:rFonts w:ascii="Arial" w:hAnsi="Arial" w:cs="Arial"/>
          <w:sz w:val="24"/>
          <w:szCs w:val="24"/>
        </w:rPr>
      </w:pPr>
      <w:r w:rsidRPr="0023444F">
        <w:rPr>
          <w:rFonts w:ascii="Arial" w:hAnsi="Arial" w:cs="Arial"/>
          <w:b/>
          <w:sz w:val="24"/>
          <w:szCs w:val="24"/>
        </w:rPr>
        <w:t>Flynote</w:t>
      </w:r>
      <w:r w:rsidRPr="0023444F">
        <w:rPr>
          <w:rFonts w:ascii="Arial" w:hAnsi="Arial" w:cs="Arial"/>
          <w:sz w:val="24"/>
          <w:szCs w:val="24"/>
        </w:rPr>
        <w:t xml:space="preserve">: Criminal Procedure – Appeal </w:t>
      </w:r>
      <w:r>
        <w:rPr>
          <w:rFonts w:ascii="Arial" w:hAnsi="Arial" w:cs="Arial"/>
          <w:sz w:val="24"/>
          <w:szCs w:val="24"/>
        </w:rPr>
        <w:t>–</w:t>
      </w:r>
      <w:r w:rsidRPr="0023444F">
        <w:rPr>
          <w:rFonts w:ascii="Arial" w:hAnsi="Arial" w:cs="Arial"/>
          <w:sz w:val="24"/>
          <w:szCs w:val="24"/>
        </w:rPr>
        <w:t xml:space="preserve"> </w:t>
      </w:r>
      <w:r w:rsidR="00080B6C">
        <w:rPr>
          <w:rFonts w:ascii="Arial" w:hAnsi="Arial" w:cs="Arial"/>
          <w:sz w:val="24"/>
          <w:szCs w:val="24"/>
        </w:rPr>
        <w:t xml:space="preserve">Conviction and </w:t>
      </w:r>
      <w:r w:rsidRPr="0023444F">
        <w:rPr>
          <w:rFonts w:ascii="Arial" w:hAnsi="Arial" w:cs="Arial"/>
          <w:sz w:val="24"/>
          <w:szCs w:val="24"/>
        </w:rPr>
        <w:t>Sentence</w:t>
      </w:r>
      <w:r>
        <w:rPr>
          <w:rFonts w:ascii="Arial" w:hAnsi="Arial" w:cs="Arial"/>
          <w:sz w:val="24"/>
          <w:szCs w:val="24"/>
        </w:rPr>
        <w:t xml:space="preserve"> </w:t>
      </w:r>
      <w:r w:rsidR="00080B6C">
        <w:rPr>
          <w:rFonts w:ascii="Arial" w:hAnsi="Arial" w:cs="Arial"/>
          <w:sz w:val="24"/>
          <w:szCs w:val="24"/>
        </w:rPr>
        <w:t>–</w:t>
      </w:r>
      <w:r>
        <w:rPr>
          <w:rFonts w:ascii="Arial" w:hAnsi="Arial" w:cs="Arial"/>
          <w:sz w:val="24"/>
          <w:szCs w:val="24"/>
        </w:rPr>
        <w:t xml:space="preserve"> </w:t>
      </w:r>
      <w:r w:rsidR="00080B6C">
        <w:rPr>
          <w:rFonts w:ascii="Arial" w:hAnsi="Arial" w:cs="Arial"/>
          <w:sz w:val="24"/>
          <w:szCs w:val="24"/>
        </w:rPr>
        <w:t xml:space="preserve">Housebreaking with intent to steal and theft – 3 years’ imprisonment </w:t>
      </w:r>
      <w:r w:rsidR="00410DAC">
        <w:rPr>
          <w:rFonts w:ascii="Arial" w:hAnsi="Arial" w:cs="Arial"/>
          <w:sz w:val="24"/>
          <w:szCs w:val="24"/>
        </w:rPr>
        <w:t>– Application for condonation – no explanation for delay – No prospects of success on appeal – Appeal struck from the roll</w:t>
      </w:r>
    </w:p>
    <w:p w:rsidR="00E77A77" w:rsidRPr="00670443" w:rsidRDefault="00E77A77" w:rsidP="00E77A77">
      <w:pPr>
        <w:pBdr>
          <w:bottom w:val="single" w:sz="12" w:space="1" w:color="auto"/>
        </w:pBdr>
        <w:spacing w:line="360" w:lineRule="auto"/>
        <w:jc w:val="both"/>
        <w:rPr>
          <w:rFonts w:ascii="Arial" w:hAnsi="Arial" w:cs="Arial"/>
          <w:sz w:val="24"/>
          <w:szCs w:val="24"/>
        </w:rPr>
      </w:pPr>
      <w:r w:rsidRPr="00670443">
        <w:rPr>
          <w:rFonts w:ascii="Arial" w:hAnsi="Arial" w:cs="Arial"/>
          <w:b/>
          <w:sz w:val="24"/>
          <w:szCs w:val="24"/>
        </w:rPr>
        <w:lastRenderedPageBreak/>
        <w:t>Summary</w:t>
      </w:r>
      <w:r w:rsidRPr="00670443">
        <w:rPr>
          <w:rFonts w:ascii="Arial" w:hAnsi="Arial" w:cs="Arial"/>
          <w:sz w:val="24"/>
          <w:szCs w:val="24"/>
        </w:rPr>
        <w:t xml:space="preserve">: The appellant was convicted and sentenced </w:t>
      </w:r>
      <w:r w:rsidR="00080B6C">
        <w:rPr>
          <w:rFonts w:ascii="Arial" w:hAnsi="Arial" w:cs="Arial"/>
          <w:sz w:val="24"/>
          <w:szCs w:val="24"/>
        </w:rPr>
        <w:t>housebreaking with intent to steal and theft</w:t>
      </w:r>
      <w:r w:rsidRPr="00670443">
        <w:rPr>
          <w:rFonts w:ascii="Arial" w:hAnsi="Arial" w:cs="Arial"/>
          <w:sz w:val="24"/>
          <w:szCs w:val="24"/>
        </w:rPr>
        <w:t xml:space="preserve"> after he pleaded not guilty and a trial was held. </w:t>
      </w:r>
      <w:r w:rsidR="00080B6C">
        <w:rPr>
          <w:rFonts w:ascii="Arial" w:hAnsi="Arial" w:cs="Arial"/>
          <w:sz w:val="24"/>
          <w:szCs w:val="24"/>
        </w:rPr>
        <w:t>He now appeals against both conviction and sentence. He was sentenced to 3 years’ imprisonment.</w:t>
      </w:r>
      <w:r w:rsidR="008D2E80">
        <w:rPr>
          <w:rFonts w:ascii="Arial" w:hAnsi="Arial" w:cs="Arial"/>
          <w:sz w:val="24"/>
          <w:szCs w:val="24"/>
        </w:rPr>
        <w:t xml:space="preserve"> He filed his notice of appeal out of time.</w:t>
      </w:r>
      <w:r w:rsidR="00410DAC">
        <w:rPr>
          <w:rFonts w:ascii="Arial" w:hAnsi="Arial" w:cs="Arial"/>
          <w:sz w:val="24"/>
          <w:szCs w:val="24"/>
        </w:rPr>
        <w:t xml:space="preserve"> He filed an application for condonation but did not advance any explanation for the delay. This court considered the merits to determine if the appellant has any prospect of success on appeal</w:t>
      </w:r>
      <w:r w:rsidR="008D2E80">
        <w:rPr>
          <w:rFonts w:ascii="Arial" w:hAnsi="Arial" w:cs="Arial"/>
          <w:sz w:val="24"/>
          <w:szCs w:val="24"/>
        </w:rPr>
        <w:t>. There are no prospects of success on appeal. The matter is accordingly struck from the roll.</w:t>
      </w:r>
    </w:p>
    <w:p w:rsidR="00E77A77" w:rsidRPr="00080B6C" w:rsidRDefault="00E77A77" w:rsidP="00080B6C">
      <w:pPr>
        <w:spacing w:line="360" w:lineRule="auto"/>
        <w:ind w:left="3600" w:firstLine="720"/>
        <w:jc w:val="both"/>
        <w:rPr>
          <w:rFonts w:ascii="Arial" w:hAnsi="Arial" w:cs="Arial"/>
          <w:sz w:val="24"/>
          <w:szCs w:val="24"/>
        </w:rPr>
      </w:pPr>
      <w:r w:rsidRPr="00F80562">
        <w:rPr>
          <w:rFonts w:ascii="Arial" w:hAnsi="Arial" w:cs="Arial"/>
          <w:b/>
          <w:sz w:val="24"/>
          <w:szCs w:val="24"/>
        </w:rPr>
        <w:t>ORDER</w:t>
      </w:r>
    </w:p>
    <w:p w:rsidR="00E77A77" w:rsidRDefault="00E77A77" w:rsidP="00E77A77">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Pr>
          <w:rFonts w:ascii="Arial" w:hAnsi="Arial" w:cs="Arial"/>
          <w:sz w:val="24"/>
          <w:szCs w:val="24"/>
        </w:rPr>
        <w:t xml:space="preserve">___ </w:t>
      </w:r>
    </w:p>
    <w:p w:rsidR="008D2E80" w:rsidRDefault="008D2E80" w:rsidP="008D2E80">
      <w:pPr>
        <w:pStyle w:val="ListParagraph"/>
        <w:numPr>
          <w:ilvl w:val="0"/>
          <w:numId w:val="1"/>
        </w:numPr>
        <w:spacing w:line="360" w:lineRule="auto"/>
        <w:jc w:val="both"/>
        <w:rPr>
          <w:rFonts w:ascii="Arial" w:hAnsi="Arial" w:cs="Arial"/>
          <w:sz w:val="24"/>
          <w:szCs w:val="24"/>
        </w:rPr>
      </w:pPr>
      <w:r>
        <w:rPr>
          <w:rFonts w:ascii="Arial" w:hAnsi="Arial" w:cs="Arial"/>
          <w:sz w:val="24"/>
          <w:szCs w:val="24"/>
        </w:rPr>
        <w:t>I find that there are no prospect</w:t>
      </w:r>
      <w:r w:rsidR="009E4E94">
        <w:rPr>
          <w:rFonts w:ascii="Arial" w:hAnsi="Arial" w:cs="Arial"/>
          <w:sz w:val="24"/>
          <w:szCs w:val="24"/>
        </w:rPr>
        <w:t>s</w:t>
      </w:r>
      <w:r>
        <w:rPr>
          <w:rFonts w:ascii="Arial" w:hAnsi="Arial" w:cs="Arial"/>
          <w:sz w:val="24"/>
          <w:szCs w:val="24"/>
        </w:rPr>
        <w:t xml:space="preserve"> of success on appeal.</w:t>
      </w:r>
    </w:p>
    <w:p w:rsidR="00E77A77" w:rsidRPr="005233E2" w:rsidRDefault="008D2E80" w:rsidP="005233E2">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appeal is struck from the roll and considered finalized.</w:t>
      </w:r>
    </w:p>
    <w:p w:rsidR="00E77A77" w:rsidRPr="009B3B07" w:rsidRDefault="00E77A77" w:rsidP="00E77A77">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w:t>
      </w:r>
    </w:p>
    <w:p w:rsidR="00E77A77" w:rsidRPr="00C723BD" w:rsidRDefault="00E77A77" w:rsidP="00E77A77">
      <w:pPr>
        <w:spacing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w:t>
      </w:r>
      <w:r w:rsidR="003E21FC">
        <w:rPr>
          <w:rFonts w:ascii="Arial" w:hAnsi="Arial" w:cs="Arial"/>
          <w:b/>
          <w:sz w:val="24"/>
          <w:szCs w:val="24"/>
        </w:rPr>
        <w:t>E</w:t>
      </w:r>
      <w:r w:rsidRPr="00C723BD">
        <w:rPr>
          <w:rFonts w:ascii="Arial" w:hAnsi="Arial" w:cs="Arial"/>
          <w:b/>
          <w:sz w:val="24"/>
          <w:szCs w:val="24"/>
        </w:rPr>
        <w:t>MENT</w:t>
      </w:r>
    </w:p>
    <w:p w:rsidR="00E77A77" w:rsidRDefault="00E77A77" w:rsidP="00E77A77">
      <w:pPr>
        <w:spacing w:line="360" w:lineRule="auto"/>
        <w:jc w:val="both"/>
        <w:rPr>
          <w:rFonts w:ascii="Arial" w:hAnsi="Arial" w:cs="Arial"/>
          <w:sz w:val="24"/>
          <w:szCs w:val="24"/>
        </w:rPr>
      </w:pPr>
      <w:r>
        <w:rPr>
          <w:rFonts w:ascii="Arial" w:hAnsi="Arial" w:cs="Arial"/>
          <w:sz w:val="24"/>
          <w:szCs w:val="24"/>
        </w:rPr>
        <w:t xml:space="preserve">____________________________________________________________________ </w:t>
      </w:r>
    </w:p>
    <w:p w:rsidR="00E77A77" w:rsidRPr="005233E2" w:rsidRDefault="005233E2" w:rsidP="00E77A77">
      <w:pPr>
        <w:rPr>
          <w:rFonts w:ascii="Arial" w:hAnsi="Arial" w:cs="Arial"/>
          <w:sz w:val="24"/>
          <w:szCs w:val="24"/>
        </w:rPr>
      </w:pPr>
      <w:r>
        <w:rPr>
          <w:rFonts w:ascii="Arial" w:hAnsi="Arial" w:cs="Arial"/>
          <w:b/>
          <w:sz w:val="24"/>
          <w:szCs w:val="24"/>
        </w:rPr>
        <w:t>JANUARY J</w:t>
      </w:r>
      <w:r w:rsidR="00E77A77">
        <w:rPr>
          <w:rFonts w:ascii="Arial" w:hAnsi="Arial" w:cs="Arial"/>
          <w:b/>
          <w:sz w:val="24"/>
          <w:szCs w:val="24"/>
        </w:rPr>
        <w:t xml:space="preserve"> </w:t>
      </w:r>
      <w:r w:rsidRPr="005233E2">
        <w:rPr>
          <w:rFonts w:ascii="Arial" w:hAnsi="Arial" w:cs="Arial"/>
          <w:sz w:val="24"/>
          <w:szCs w:val="24"/>
        </w:rPr>
        <w:t>(</w:t>
      </w:r>
      <w:r w:rsidR="00E77A77" w:rsidRPr="005233E2">
        <w:rPr>
          <w:rFonts w:ascii="Arial" w:hAnsi="Arial" w:cs="Arial"/>
          <w:sz w:val="24"/>
          <w:szCs w:val="24"/>
        </w:rPr>
        <w:t>TOMMASI J CONCURRING)</w:t>
      </w:r>
    </w:p>
    <w:p w:rsidR="00B967BA" w:rsidRDefault="004E7BE4" w:rsidP="00997195">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appellant was sentenced on 22 July 2016 in the magistrate’s court of Oshakati. He filed his application for condonation and notice of appeal on 19 August 2017.</w:t>
      </w:r>
      <w:r w:rsidR="00B967BA">
        <w:rPr>
          <w:rFonts w:ascii="Arial" w:hAnsi="Arial" w:cs="Arial"/>
          <w:sz w:val="24"/>
          <w:szCs w:val="24"/>
        </w:rPr>
        <w:t xml:space="preserve"> The learned magistrate properly explained the appellant’s rights to appeal and review to him and he indicated that he understood and signed the </w:t>
      </w:r>
      <w:r w:rsidR="00997195">
        <w:rPr>
          <w:rFonts w:ascii="Arial" w:hAnsi="Arial" w:cs="Arial"/>
          <w:sz w:val="24"/>
          <w:szCs w:val="24"/>
        </w:rPr>
        <w:t>pre-printed</w:t>
      </w:r>
      <w:r w:rsidR="00B967BA">
        <w:rPr>
          <w:rFonts w:ascii="Arial" w:hAnsi="Arial" w:cs="Arial"/>
          <w:sz w:val="24"/>
          <w:szCs w:val="24"/>
        </w:rPr>
        <w:t xml:space="preserve"> form that he understood.</w:t>
      </w:r>
    </w:p>
    <w:p w:rsidR="00A244FC" w:rsidRDefault="00B967BA" w:rsidP="0099719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97195">
        <w:rPr>
          <w:rFonts w:ascii="Arial" w:hAnsi="Arial" w:cs="Arial"/>
          <w:sz w:val="24"/>
          <w:szCs w:val="24"/>
        </w:rPr>
        <w:t>The appellant is representing himself</w:t>
      </w:r>
      <w:r w:rsidR="00D2518C">
        <w:rPr>
          <w:rFonts w:ascii="Arial" w:hAnsi="Arial" w:cs="Arial"/>
          <w:sz w:val="24"/>
          <w:szCs w:val="24"/>
        </w:rPr>
        <w:t xml:space="preserve"> in this appeal and was unrepresented in the court a quo</w:t>
      </w:r>
      <w:r w:rsidR="00997195">
        <w:rPr>
          <w:rFonts w:ascii="Arial" w:hAnsi="Arial" w:cs="Arial"/>
          <w:sz w:val="24"/>
          <w:szCs w:val="24"/>
        </w:rPr>
        <w:t xml:space="preserve">. </w:t>
      </w:r>
      <w:r>
        <w:rPr>
          <w:rFonts w:ascii="Arial" w:hAnsi="Arial" w:cs="Arial"/>
          <w:sz w:val="24"/>
          <w:szCs w:val="24"/>
        </w:rPr>
        <w:t xml:space="preserve">The grounds of appeal are not properly set out but the following </w:t>
      </w:r>
      <w:r w:rsidR="00A244FC">
        <w:rPr>
          <w:rFonts w:ascii="Arial" w:hAnsi="Arial" w:cs="Arial"/>
          <w:sz w:val="24"/>
          <w:szCs w:val="24"/>
        </w:rPr>
        <w:t>can be discerned</w:t>
      </w:r>
      <w:r>
        <w:rPr>
          <w:rFonts w:ascii="Arial" w:hAnsi="Arial" w:cs="Arial"/>
          <w:sz w:val="24"/>
          <w:szCs w:val="24"/>
        </w:rPr>
        <w:t xml:space="preserve"> f</w:t>
      </w:r>
      <w:r w:rsidR="00A244FC">
        <w:rPr>
          <w:rFonts w:ascii="Arial" w:hAnsi="Arial" w:cs="Arial"/>
          <w:sz w:val="24"/>
          <w:szCs w:val="24"/>
        </w:rPr>
        <w:t>r</w:t>
      </w:r>
      <w:r>
        <w:rPr>
          <w:rFonts w:ascii="Arial" w:hAnsi="Arial" w:cs="Arial"/>
          <w:sz w:val="24"/>
          <w:szCs w:val="24"/>
        </w:rPr>
        <w:t>om the application for condonation</w:t>
      </w:r>
      <w:r w:rsidR="00997195">
        <w:rPr>
          <w:rFonts w:ascii="Arial" w:hAnsi="Arial" w:cs="Arial"/>
          <w:sz w:val="24"/>
          <w:szCs w:val="24"/>
        </w:rPr>
        <w:t>,</w:t>
      </w:r>
      <w:r>
        <w:rPr>
          <w:rFonts w:ascii="Arial" w:hAnsi="Arial" w:cs="Arial"/>
          <w:sz w:val="24"/>
          <w:szCs w:val="24"/>
        </w:rPr>
        <w:t xml:space="preserve"> notice of appeal</w:t>
      </w:r>
      <w:r w:rsidR="00997195">
        <w:rPr>
          <w:rFonts w:ascii="Arial" w:hAnsi="Arial" w:cs="Arial"/>
          <w:sz w:val="24"/>
          <w:szCs w:val="24"/>
        </w:rPr>
        <w:t xml:space="preserve"> and oral address</w:t>
      </w:r>
      <w:r w:rsidR="00A244FC">
        <w:rPr>
          <w:rFonts w:ascii="Arial" w:hAnsi="Arial" w:cs="Arial"/>
          <w:sz w:val="24"/>
          <w:szCs w:val="24"/>
        </w:rPr>
        <w:t>: That the appellant did not receive a fair trial in that he was not afforded the opportunity to have a lawyer either private or from the Directorate legal aid; that the court erred or misdirected itself by not allowing the appellant to call a defence witness or not summonsing his witness</w:t>
      </w:r>
      <w:r w:rsidR="008A4017">
        <w:rPr>
          <w:rFonts w:ascii="Arial" w:hAnsi="Arial" w:cs="Arial"/>
          <w:sz w:val="24"/>
          <w:szCs w:val="24"/>
        </w:rPr>
        <w:t xml:space="preserve"> (the appellant withdrew this ground in his oral submissions)</w:t>
      </w:r>
      <w:r w:rsidR="00A244FC">
        <w:rPr>
          <w:rFonts w:ascii="Arial" w:hAnsi="Arial" w:cs="Arial"/>
          <w:sz w:val="24"/>
          <w:szCs w:val="24"/>
        </w:rPr>
        <w:t>;</w:t>
      </w:r>
      <w:r w:rsidR="00997195">
        <w:rPr>
          <w:rFonts w:ascii="Arial" w:hAnsi="Arial" w:cs="Arial"/>
          <w:sz w:val="24"/>
          <w:szCs w:val="24"/>
        </w:rPr>
        <w:t xml:space="preserve"> that the court erred in convicting the appellant while none of the items stolen were found in his possession </w:t>
      </w:r>
      <w:r w:rsidR="00997195">
        <w:rPr>
          <w:rFonts w:ascii="Arial" w:hAnsi="Arial" w:cs="Arial"/>
          <w:sz w:val="24"/>
          <w:szCs w:val="24"/>
        </w:rPr>
        <w:lastRenderedPageBreak/>
        <w:t>but a laptop was found in possession of someone else; that the court erred</w:t>
      </w:r>
      <w:r w:rsidR="00A244FC">
        <w:rPr>
          <w:rFonts w:ascii="Arial" w:hAnsi="Arial" w:cs="Arial"/>
          <w:sz w:val="24"/>
          <w:szCs w:val="24"/>
        </w:rPr>
        <w:t xml:space="preserve"> in sentencing the appellant without the exhibits; that the court erred in sentencing the appellant to direct imprisonment instead of a fine.</w:t>
      </w:r>
    </w:p>
    <w:p w:rsidR="008A4017" w:rsidRDefault="00A244FC" w:rsidP="0037361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D2518C">
        <w:rPr>
          <w:rFonts w:ascii="Arial" w:hAnsi="Arial" w:cs="Arial"/>
          <w:sz w:val="24"/>
          <w:szCs w:val="24"/>
        </w:rPr>
        <w:t>The appellant did not give reasons for the late filing of his notice of appeal.</w:t>
      </w:r>
      <w:r w:rsidR="008A4017">
        <w:rPr>
          <w:rFonts w:ascii="Arial" w:hAnsi="Arial" w:cs="Arial"/>
          <w:sz w:val="24"/>
          <w:szCs w:val="24"/>
        </w:rPr>
        <w:t xml:space="preserve"> Mr Tjiveze who is representing the respondent, however did not take issue with this omission and only submitted that there are no prospects of success and the appeal should thus be struck from the roll.</w:t>
      </w:r>
    </w:p>
    <w:p w:rsidR="00983FC6" w:rsidRDefault="00373612" w:rsidP="00373612">
      <w:pPr>
        <w:spacing w:line="360" w:lineRule="auto"/>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t>I can only reiterate that for an application for condonation to be successful that any applicant needs to satisfy the court that he has a reasonable explanation for the delay and that there are reasonable prospects of success on appeal.</w:t>
      </w:r>
    </w:p>
    <w:p w:rsidR="00373612" w:rsidRPr="00983FC6" w:rsidRDefault="00983FC6" w:rsidP="00983FC6">
      <w:pPr>
        <w:spacing w:line="360" w:lineRule="auto"/>
        <w:ind w:left="720" w:right="720" w:hanging="720"/>
        <w:jc w:val="both"/>
        <w:rPr>
          <w:rFonts w:ascii="Arial" w:hAnsi="Arial" w:cs="Arial"/>
        </w:rPr>
      </w:pPr>
      <w:r w:rsidRPr="00983FC6">
        <w:rPr>
          <w:rFonts w:ascii="Arial" w:hAnsi="Arial" w:cs="Arial"/>
        </w:rPr>
        <w:tab/>
      </w:r>
      <w:r w:rsidR="005233E2">
        <w:rPr>
          <w:rFonts w:ascii="Arial" w:hAnsi="Arial" w:cs="Arial"/>
        </w:rPr>
        <w:t>‘</w:t>
      </w:r>
      <w:r w:rsidRPr="00983FC6">
        <w:rPr>
          <w:rFonts w:ascii="Arial" w:hAnsi="Arial" w:cs="Arial"/>
        </w:rPr>
        <w:t>[11] The law states that an application for condonation must clearly set out adequate reasons for the late filing and that there are prospects of success on appeal. (See S v Iyambo (HC NLD case No CA 25/2012, 2 Ma</w:t>
      </w:r>
      <w:r w:rsidR="003E21FC">
        <w:rPr>
          <w:rFonts w:ascii="Arial" w:hAnsi="Arial" w:cs="Arial"/>
        </w:rPr>
        <w:t>y 2013, Smuts J and Ueitele J)</w:t>
      </w:r>
      <w:r w:rsidRPr="00983FC6">
        <w:rPr>
          <w:rFonts w:ascii="Arial" w:hAnsi="Arial" w:cs="Arial"/>
        </w:rPr>
        <w:t>)</w:t>
      </w:r>
      <w:r w:rsidR="003E21FC">
        <w:rPr>
          <w:rFonts w:ascii="Arial" w:hAnsi="Arial" w:cs="Arial"/>
        </w:rPr>
        <w:t>.</w:t>
      </w:r>
      <w:r w:rsidRPr="00983FC6">
        <w:rPr>
          <w:rFonts w:ascii="Arial" w:hAnsi="Arial" w:cs="Arial"/>
        </w:rPr>
        <w:t xml:space="preserve"> Th</w:t>
      </w:r>
      <w:r>
        <w:rPr>
          <w:rFonts w:ascii="Arial" w:hAnsi="Arial" w:cs="Arial"/>
        </w:rPr>
        <w:t xml:space="preserve">e appellant also does not </w:t>
      </w:r>
      <w:r w:rsidR="00B22DD8">
        <w:rPr>
          <w:rFonts w:ascii="Arial" w:hAnsi="Arial" w:cs="Arial"/>
        </w:rPr>
        <w:t xml:space="preserve">say </w:t>
      </w:r>
      <w:r w:rsidR="00B22DD8" w:rsidRPr="00983FC6">
        <w:rPr>
          <w:rFonts w:ascii="Arial" w:hAnsi="Arial" w:cs="Arial"/>
        </w:rPr>
        <w:t>that</w:t>
      </w:r>
      <w:r w:rsidRPr="00983FC6">
        <w:rPr>
          <w:rFonts w:ascii="Arial" w:hAnsi="Arial" w:cs="Arial"/>
        </w:rPr>
        <w:t xml:space="preserve"> he has prospects of success on appeal. The appellant has not made out a case for condonation for the late filing of the appeal and there are no proper grounds of appeal. This notwithstanding, the application for condonation will be granted and the reasons for that will be apparent herein below.</w:t>
      </w:r>
      <w:r w:rsidR="005233E2">
        <w:rPr>
          <w:rFonts w:ascii="Arial" w:hAnsi="Arial" w:cs="Arial"/>
        </w:rPr>
        <w:t>’</w:t>
      </w:r>
      <w:r>
        <w:rPr>
          <w:rStyle w:val="FootnoteReference"/>
          <w:rFonts w:ascii="Arial" w:hAnsi="Arial" w:cs="Arial"/>
        </w:rPr>
        <w:footnoteReference w:id="1"/>
      </w:r>
      <w:r w:rsidR="00373612" w:rsidRPr="00983FC6">
        <w:rPr>
          <w:rFonts w:ascii="Arial" w:hAnsi="Arial" w:cs="Arial"/>
        </w:rPr>
        <w:t xml:space="preserve"> </w:t>
      </w:r>
    </w:p>
    <w:p w:rsidR="00373612" w:rsidRDefault="00373612" w:rsidP="00373612">
      <w:pPr>
        <w:spacing w:line="360" w:lineRule="auto"/>
        <w:jc w:val="both"/>
        <w:rPr>
          <w:rFonts w:ascii="Arial" w:hAnsi="Arial" w:cs="Arial"/>
          <w:b/>
          <w:sz w:val="24"/>
          <w:szCs w:val="24"/>
        </w:rPr>
      </w:pPr>
      <w:r>
        <w:rPr>
          <w:rFonts w:ascii="Arial" w:hAnsi="Arial" w:cs="Arial"/>
          <w:b/>
          <w:sz w:val="24"/>
          <w:szCs w:val="24"/>
        </w:rPr>
        <w:t>Prospects of success</w:t>
      </w:r>
    </w:p>
    <w:p w:rsidR="00373612" w:rsidRDefault="00373612" w:rsidP="00373612">
      <w:pPr>
        <w:spacing w:line="360" w:lineRule="auto"/>
        <w:jc w:val="both"/>
        <w:rPr>
          <w:rFonts w:ascii="Arial" w:hAnsi="Arial" w:cs="Arial"/>
          <w:sz w:val="24"/>
          <w:szCs w:val="24"/>
        </w:rPr>
      </w:pPr>
      <w:r w:rsidRPr="00373612">
        <w:rPr>
          <w:rFonts w:ascii="Arial" w:hAnsi="Arial" w:cs="Arial"/>
          <w:sz w:val="24"/>
          <w:szCs w:val="24"/>
        </w:rPr>
        <w:t>[5]</w:t>
      </w:r>
      <w:r>
        <w:rPr>
          <w:rFonts w:ascii="Arial" w:hAnsi="Arial" w:cs="Arial"/>
          <w:sz w:val="24"/>
          <w:szCs w:val="24"/>
        </w:rPr>
        <w:tab/>
      </w:r>
      <w:r w:rsidR="00491C8D">
        <w:rPr>
          <w:rFonts w:ascii="Arial" w:hAnsi="Arial" w:cs="Arial"/>
          <w:sz w:val="24"/>
          <w:szCs w:val="24"/>
        </w:rPr>
        <w:t xml:space="preserve">I deal with the merits of the case to determine if there </w:t>
      </w:r>
      <w:r w:rsidR="003E21FC">
        <w:rPr>
          <w:rFonts w:ascii="Arial" w:hAnsi="Arial" w:cs="Arial"/>
          <w:sz w:val="24"/>
          <w:szCs w:val="24"/>
        </w:rPr>
        <w:t xml:space="preserve">are </w:t>
      </w:r>
      <w:r w:rsidR="00491C8D">
        <w:rPr>
          <w:rFonts w:ascii="Arial" w:hAnsi="Arial" w:cs="Arial"/>
          <w:sz w:val="24"/>
          <w:szCs w:val="24"/>
        </w:rPr>
        <w:t>prospects of success on appeal. The</w:t>
      </w:r>
      <w:r w:rsidR="003E21FC">
        <w:rPr>
          <w:rFonts w:ascii="Arial" w:hAnsi="Arial" w:cs="Arial"/>
          <w:sz w:val="24"/>
          <w:szCs w:val="24"/>
        </w:rPr>
        <w:t xml:space="preserve"> record reflects that the right</w:t>
      </w:r>
      <w:r w:rsidR="00491C8D">
        <w:rPr>
          <w:rFonts w:ascii="Arial" w:hAnsi="Arial" w:cs="Arial"/>
          <w:sz w:val="24"/>
          <w:szCs w:val="24"/>
        </w:rPr>
        <w:t xml:space="preserve"> to legal representation was properly explained at the first appearance of the appellant.</w:t>
      </w:r>
      <w:r w:rsidR="00C176A2">
        <w:rPr>
          <w:rStyle w:val="FootnoteReference"/>
          <w:rFonts w:ascii="Arial" w:hAnsi="Arial" w:cs="Arial"/>
          <w:sz w:val="24"/>
          <w:szCs w:val="24"/>
        </w:rPr>
        <w:footnoteReference w:id="2"/>
      </w:r>
      <w:r w:rsidR="00491C8D">
        <w:rPr>
          <w:rFonts w:ascii="Arial" w:hAnsi="Arial" w:cs="Arial"/>
          <w:sz w:val="24"/>
          <w:szCs w:val="24"/>
        </w:rPr>
        <w:t xml:space="preserve"> He was also informed that if he cannot afford to appoint a legal representation of his own, that he can apply for one to be appointed</w:t>
      </w:r>
      <w:r w:rsidR="00D97097">
        <w:rPr>
          <w:rFonts w:ascii="Arial" w:hAnsi="Arial" w:cs="Arial"/>
          <w:sz w:val="24"/>
          <w:szCs w:val="24"/>
        </w:rPr>
        <w:t xml:space="preserve"> by the Directorate of Legal Aid. The appellant opted to conduct his own defence.</w:t>
      </w:r>
      <w:r w:rsidR="00245251">
        <w:rPr>
          <w:rFonts w:ascii="Arial" w:hAnsi="Arial" w:cs="Arial"/>
          <w:sz w:val="24"/>
          <w:szCs w:val="24"/>
        </w:rPr>
        <w:t xml:space="preserve"> The first appearance was on 18 April 2016. The case was postponed to 24 May 2016 and again to 11 July 2016 when the State closed its case. The appellant thus had ample time to </w:t>
      </w:r>
      <w:r w:rsidR="00245251">
        <w:rPr>
          <w:rFonts w:ascii="Arial" w:hAnsi="Arial" w:cs="Arial"/>
          <w:sz w:val="24"/>
          <w:szCs w:val="24"/>
        </w:rPr>
        <w:lastRenderedPageBreak/>
        <w:t>apply for legal aid if he opted to. The learned magistrate advised the appellant that he could call a witness whom the State opted not to call. The matter was rolled over to 12 July 2016 for the defence witness. On 12 July 2016 the defence witness was not available and the matter was then postponed to 22 July 2016 for the defence witness.</w:t>
      </w:r>
    </w:p>
    <w:p w:rsidR="00BC7A32" w:rsidRDefault="00245251" w:rsidP="00373612">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On 22 July 2016 the defence witness was again not available. Upon enquiry the applicant informed the court that</w:t>
      </w:r>
      <w:r w:rsidR="00A669E2">
        <w:rPr>
          <w:rFonts w:ascii="Arial" w:hAnsi="Arial" w:cs="Arial"/>
          <w:sz w:val="24"/>
          <w:szCs w:val="24"/>
        </w:rPr>
        <w:t xml:space="preserve"> he was in contact with his witness. The witness alleged</w:t>
      </w:r>
      <w:r w:rsidR="00B22DD8">
        <w:rPr>
          <w:rFonts w:ascii="Arial" w:hAnsi="Arial" w:cs="Arial"/>
          <w:sz w:val="24"/>
          <w:szCs w:val="24"/>
        </w:rPr>
        <w:t>ly</w:t>
      </w:r>
      <w:r w:rsidR="00A669E2">
        <w:rPr>
          <w:rFonts w:ascii="Arial" w:hAnsi="Arial" w:cs="Arial"/>
          <w:sz w:val="24"/>
          <w:szCs w:val="24"/>
        </w:rPr>
        <w:t xml:space="preserve"> stated that he will not come to court to testify about thing</w:t>
      </w:r>
      <w:r w:rsidR="00B22DD8">
        <w:rPr>
          <w:rFonts w:ascii="Arial" w:hAnsi="Arial" w:cs="Arial"/>
          <w:sz w:val="24"/>
          <w:szCs w:val="24"/>
        </w:rPr>
        <w:t>s</w:t>
      </w:r>
      <w:r w:rsidR="00A669E2">
        <w:rPr>
          <w:rFonts w:ascii="Arial" w:hAnsi="Arial" w:cs="Arial"/>
          <w:sz w:val="24"/>
          <w:szCs w:val="24"/>
        </w:rPr>
        <w:t xml:space="preserve"> that he does not know. The appellant also informed the court that </w:t>
      </w:r>
      <w:r>
        <w:rPr>
          <w:rFonts w:ascii="Arial" w:hAnsi="Arial" w:cs="Arial"/>
          <w:sz w:val="24"/>
          <w:szCs w:val="24"/>
        </w:rPr>
        <w:t>he will proceed without his witness</w:t>
      </w:r>
      <w:r w:rsidR="00377A5B">
        <w:rPr>
          <w:rFonts w:ascii="Arial" w:hAnsi="Arial" w:cs="Arial"/>
          <w:sz w:val="24"/>
          <w:szCs w:val="24"/>
        </w:rPr>
        <w:t>. The appellant opted to close his case without testifying.</w:t>
      </w:r>
      <w:r w:rsidR="00BC7A32">
        <w:rPr>
          <w:rFonts w:ascii="Arial" w:hAnsi="Arial" w:cs="Arial"/>
          <w:sz w:val="24"/>
          <w:szCs w:val="24"/>
        </w:rPr>
        <w:t xml:space="preserve"> It appears that this witness was not a material witness for the appellant. There was therefore no reason for the magistrate to insist to call this witness. </w:t>
      </w:r>
    </w:p>
    <w:p w:rsidR="004A766E" w:rsidRDefault="00377A5B" w:rsidP="00373612">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complainant in the housebreaking case testified that on 19 March 2016 he left his house at 10h00 after locking a door and burglar bar door with a </w:t>
      </w:r>
      <w:r w:rsidR="003E21FC">
        <w:rPr>
          <w:rFonts w:ascii="Arial" w:hAnsi="Arial" w:cs="Arial"/>
          <w:sz w:val="24"/>
          <w:szCs w:val="24"/>
        </w:rPr>
        <w:t>pad lock. He returned after 21h</w:t>
      </w:r>
      <w:r>
        <w:rPr>
          <w:rFonts w:ascii="Arial" w:hAnsi="Arial" w:cs="Arial"/>
          <w:sz w:val="24"/>
          <w:szCs w:val="24"/>
        </w:rPr>
        <w:t>30 and found the door and burglar bar door open. He detected that the doors were forced open with an unknown object.</w:t>
      </w:r>
      <w:r w:rsidR="004A766E">
        <w:rPr>
          <w:rFonts w:ascii="Arial" w:hAnsi="Arial" w:cs="Arial"/>
          <w:sz w:val="24"/>
          <w:szCs w:val="24"/>
        </w:rPr>
        <w:t xml:space="preserve"> Upon further investigation he found that his Samsung flat screen telev</w:t>
      </w:r>
      <w:r w:rsidR="005233E2">
        <w:rPr>
          <w:rFonts w:ascii="Arial" w:hAnsi="Arial" w:cs="Arial"/>
          <w:sz w:val="24"/>
          <w:szCs w:val="24"/>
        </w:rPr>
        <w:t>ision to the value of N$7 500</w:t>
      </w:r>
      <w:r w:rsidR="004A766E">
        <w:rPr>
          <w:rFonts w:ascii="Arial" w:hAnsi="Arial" w:cs="Arial"/>
          <w:sz w:val="24"/>
          <w:szCs w:val="24"/>
        </w:rPr>
        <w:t>, HP laptop worth N$4 00</w:t>
      </w:r>
      <w:r w:rsidR="005233E2">
        <w:rPr>
          <w:rFonts w:ascii="Arial" w:hAnsi="Arial" w:cs="Arial"/>
          <w:sz w:val="24"/>
          <w:szCs w:val="24"/>
        </w:rPr>
        <w:t>0, a black bag worth N$500</w:t>
      </w:r>
      <w:r w:rsidR="004A766E">
        <w:rPr>
          <w:rFonts w:ascii="Arial" w:hAnsi="Arial" w:cs="Arial"/>
          <w:sz w:val="24"/>
          <w:szCs w:val="24"/>
        </w:rPr>
        <w:t>, a memory card reader and 32 gi</w:t>
      </w:r>
      <w:r w:rsidR="005233E2">
        <w:rPr>
          <w:rFonts w:ascii="Arial" w:hAnsi="Arial" w:cs="Arial"/>
          <w:sz w:val="24"/>
          <w:szCs w:val="24"/>
        </w:rPr>
        <w:t>gabyte memory card worth N</w:t>
      </w:r>
      <w:r w:rsidR="003E21FC">
        <w:rPr>
          <w:rFonts w:ascii="Arial" w:hAnsi="Arial" w:cs="Arial"/>
          <w:sz w:val="24"/>
          <w:szCs w:val="24"/>
        </w:rPr>
        <w:t>$</w:t>
      </w:r>
      <w:r w:rsidR="005233E2">
        <w:rPr>
          <w:rFonts w:ascii="Arial" w:hAnsi="Arial" w:cs="Arial"/>
          <w:sz w:val="24"/>
          <w:szCs w:val="24"/>
        </w:rPr>
        <w:t>100</w:t>
      </w:r>
      <w:r w:rsidR="004A766E">
        <w:rPr>
          <w:rFonts w:ascii="Arial" w:hAnsi="Arial" w:cs="Arial"/>
          <w:sz w:val="24"/>
          <w:szCs w:val="24"/>
        </w:rPr>
        <w:t xml:space="preserve"> and c</w:t>
      </w:r>
      <w:r w:rsidR="003E21FC">
        <w:rPr>
          <w:rFonts w:ascii="Arial" w:hAnsi="Arial" w:cs="Arial"/>
          <w:sz w:val="24"/>
          <w:szCs w:val="24"/>
        </w:rPr>
        <w:t>lothes with an unknown value were</w:t>
      </w:r>
      <w:r w:rsidR="004A766E">
        <w:rPr>
          <w:rFonts w:ascii="Arial" w:hAnsi="Arial" w:cs="Arial"/>
          <w:sz w:val="24"/>
          <w:szCs w:val="24"/>
        </w:rPr>
        <w:t xml:space="preserve"> stolen. He called the police and eventually opened a case. </w:t>
      </w:r>
    </w:p>
    <w:p w:rsidR="003F168A" w:rsidRDefault="004A766E" w:rsidP="00373612">
      <w:pPr>
        <w:spacing w:line="360" w:lineRule="auto"/>
        <w:jc w:val="both"/>
        <w:rPr>
          <w:rFonts w:ascii="Arial" w:hAnsi="Arial" w:cs="Arial"/>
          <w:sz w:val="24"/>
          <w:szCs w:val="24"/>
        </w:rPr>
      </w:pPr>
      <w:r>
        <w:rPr>
          <w:rFonts w:ascii="Arial" w:hAnsi="Arial" w:cs="Arial"/>
          <w:sz w:val="24"/>
          <w:szCs w:val="24"/>
        </w:rPr>
        <w:t xml:space="preserve">[8] </w:t>
      </w:r>
      <w:r>
        <w:rPr>
          <w:rFonts w:ascii="Arial" w:hAnsi="Arial" w:cs="Arial"/>
          <w:sz w:val="24"/>
          <w:szCs w:val="24"/>
        </w:rPr>
        <w:tab/>
        <w:t xml:space="preserve">A few days later the complainant received information that he could receive his HP laptop from a person called Songo. He went to Songo’s house in the company of the police. </w:t>
      </w:r>
      <w:r w:rsidR="003F168A">
        <w:rPr>
          <w:rFonts w:ascii="Arial" w:hAnsi="Arial" w:cs="Arial"/>
          <w:sz w:val="24"/>
          <w:szCs w:val="24"/>
        </w:rPr>
        <w:t>Mr. Songo did not have the laptop with him but directed the complainant</w:t>
      </w:r>
      <w:r w:rsidR="001131A5">
        <w:rPr>
          <w:rFonts w:ascii="Arial" w:hAnsi="Arial" w:cs="Arial"/>
          <w:sz w:val="24"/>
          <w:szCs w:val="24"/>
        </w:rPr>
        <w:t xml:space="preserve"> to the house of a certain Mr Ku</w:t>
      </w:r>
      <w:r w:rsidR="003F168A">
        <w:rPr>
          <w:rFonts w:ascii="Arial" w:hAnsi="Arial" w:cs="Arial"/>
          <w:sz w:val="24"/>
          <w:szCs w:val="24"/>
        </w:rPr>
        <w:t>fanga. The complainant found the laptop and identified it on a certain marking with a blue sticker on the keyboard and the serial number. He switched on the computer and found certain plans of a house that he was previously working on.</w:t>
      </w:r>
    </w:p>
    <w:p w:rsidR="009743F5" w:rsidRDefault="003F168A" w:rsidP="00373612">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Mr Songo testified and stated that</w:t>
      </w:r>
      <w:r w:rsidR="00383200">
        <w:rPr>
          <w:rFonts w:ascii="Arial" w:hAnsi="Arial" w:cs="Arial"/>
          <w:sz w:val="24"/>
          <w:szCs w:val="24"/>
        </w:rPr>
        <w:t xml:space="preserve"> on 19 March 2016 he was at a c</w:t>
      </w:r>
      <w:r w:rsidR="003E21FC">
        <w:rPr>
          <w:rFonts w:ascii="Arial" w:hAnsi="Arial" w:cs="Arial"/>
          <w:sz w:val="24"/>
          <w:szCs w:val="24"/>
        </w:rPr>
        <w:t>ertain bar at Baywatch, Ongwediv</w:t>
      </w:r>
      <w:r w:rsidR="00383200">
        <w:rPr>
          <w:rFonts w:ascii="Arial" w:hAnsi="Arial" w:cs="Arial"/>
          <w:sz w:val="24"/>
          <w:szCs w:val="24"/>
        </w:rPr>
        <w:t xml:space="preserve">a. He wanted to buy a second hand computer. The barman told Songo that he could assist. Mr Songo eventually was directed to a certain Kahembo. This Kahembo accompanied Songo to a certain house where they met with the appellant. The </w:t>
      </w:r>
      <w:r w:rsidR="00383200">
        <w:rPr>
          <w:rFonts w:ascii="Arial" w:hAnsi="Arial" w:cs="Arial"/>
          <w:sz w:val="24"/>
          <w:szCs w:val="24"/>
        </w:rPr>
        <w:lastRenderedPageBreak/>
        <w:t>appellant is well known to Songo as Owen. The appellant came out with the laptop that eventually turned out to be the one belonging to the complainant. Songo bought the laptop f</w:t>
      </w:r>
      <w:r w:rsidR="005233E2">
        <w:rPr>
          <w:rFonts w:ascii="Arial" w:hAnsi="Arial" w:cs="Arial"/>
          <w:sz w:val="24"/>
          <w:szCs w:val="24"/>
        </w:rPr>
        <w:t>rom the appellant for N$1 400</w:t>
      </w:r>
      <w:r w:rsidR="00383200">
        <w:rPr>
          <w:rFonts w:ascii="Arial" w:hAnsi="Arial" w:cs="Arial"/>
          <w:sz w:val="24"/>
          <w:szCs w:val="24"/>
        </w:rPr>
        <w:t xml:space="preserve"> and gave the appellant the money.</w:t>
      </w:r>
    </w:p>
    <w:p w:rsidR="009743F5" w:rsidRDefault="009743F5" w:rsidP="00373612">
      <w:pPr>
        <w:spacing w:line="360" w:lineRule="auto"/>
        <w:jc w:val="both"/>
        <w:rPr>
          <w:rFonts w:ascii="Arial" w:hAnsi="Arial" w:cs="Arial"/>
          <w:sz w:val="24"/>
          <w:szCs w:val="24"/>
        </w:rPr>
      </w:pPr>
      <w:r>
        <w:rPr>
          <w:rFonts w:ascii="Arial" w:hAnsi="Arial" w:cs="Arial"/>
          <w:sz w:val="24"/>
          <w:szCs w:val="24"/>
        </w:rPr>
        <w:t xml:space="preserve">[10] </w:t>
      </w:r>
      <w:r>
        <w:rPr>
          <w:rFonts w:ascii="Arial" w:hAnsi="Arial" w:cs="Arial"/>
          <w:sz w:val="24"/>
          <w:szCs w:val="24"/>
        </w:rPr>
        <w:tab/>
        <w:t>After about a week the police came to Songo’s house with the complainant and enquired about the laptop. He admitted to the police and complainant that he bought the laptop from Owen who is the appellant. At the time Songo did not have the laptop as he handed it to Kufanga who is an IT guy studying at UNAM. Songo took the police and the complainant to Kufanga’s house where the laptop was recovered. Songo bought the laptop at about 20h00 on 19 March 2016.</w:t>
      </w:r>
    </w:p>
    <w:p w:rsidR="000B0360" w:rsidRDefault="009743F5" w:rsidP="00373612">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Mr Kufanga testified</w:t>
      </w:r>
      <w:r w:rsidR="000B0360">
        <w:rPr>
          <w:rFonts w:ascii="Arial" w:hAnsi="Arial" w:cs="Arial"/>
          <w:sz w:val="24"/>
          <w:szCs w:val="24"/>
        </w:rPr>
        <w:t xml:space="preserve"> and confirmed that he received the laptop from Mr Songo for formatting and fixing as it had a password. He was not present when the laptop was recovered. He was however called and he eventually instructed his cousin to hand back the laptop to the police. He installed Windows on the laptop in order to format it. The laptop was given to him for a second time by Songo for fixing. He then deleted Windows from it.</w:t>
      </w:r>
    </w:p>
    <w:p w:rsidR="00BB2DA9" w:rsidRDefault="001131A5" w:rsidP="00373612">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 After the testimony of M</w:t>
      </w:r>
      <w:r w:rsidR="000B0360">
        <w:rPr>
          <w:rFonts w:ascii="Arial" w:hAnsi="Arial" w:cs="Arial"/>
          <w:sz w:val="24"/>
          <w:szCs w:val="24"/>
        </w:rPr>
        <w:t>r Kufanga the State closed its case and abandoned calling one witness. The court informed the appellant that he can call this witness which he opted not to do. The appellant</w:t>
      </w:r>
      <w:r w:rsidR="00BB2DA9">
        <w:rPr>
          <w:rFonts w:ascii="Arial" w:hAnsi="Arial" w:cs="Arial"/>
          <w:sz w:val="24"/>
          <w:szCs w:val="24"/>
        </w:rPr>
        <w:t xml:space="preserve"> also</w:t>
      </w:r>
      <w:r w:rsidR="000B0360">
        <w:rPr>
          <w:rFonts w:ascii="Arial" w:hAnsi="Arial" w:cs="Arial"/>
          <w:sz w:val="24"/>
          <w:szCs w:val="24"/>
        </w:rPr>
        <w:t xml:space="preserve"> opted not to testify.</w:t>
      </w:r>
    </w:p>
    <w:p w:rsidR="00CE20E7" w:rsidRDefault="00BB2DA9" w:rsidP="00373612">
      <w:pPr>
        <w:spacing w:line="360" w:lineRule="auto"/>
        <w:jc w:val="both"/>
        <w:rPr>
          <w:rFonts w:ascii="Arial" w:hAnsi="Arial" w:cs="Arial"/>
          <w:sz w:val="24"/>
          <w:szCs w:val="24"/>
        </w:rPr>
      </w:pPr>
      <w:r>
        <w:rPr>
          <w:rFonts w:ascii="Arial" w:hAnsi="Arial" w:cs="Arial"/>
          <w:sz w:val="24"/>
          <w:szCs w:val="24"/>
        </w:rPr>
        <w:t>[13]</w:t>
      </w:r>
      <w:r w:rsidR="00245251">
        <w:rPr>
          <w:rFonts w:ascii="Arial" w:hAnsi="Arial" w:cs="Arial"/>
          <w:sz w:val="24"/>
          <w:szCs w:val="24"/>
        </w:rPr>
        <w:t xml:space="preserve"> </w:t>
      </w:r>
      <w:r>
        <w:rPr>
          <w:rFonts w:ascii="Arial" w:hAnsi="Arial" w:cs="Arial"/>
          <w:sz w:val="24"/>
          <w:szCs w:val="24"/>
        </w:rPr>
        <w:tab/>
        <w:t>There was a strong</w:t>
      </w:r>
      <w:r w:rsidRPr="00BB2DA9">
        <w:rPr>
          <w:rFonts w:ascii="Arial" w:hAnsi="Arial" w:cs="Arial"/>
          <w:i/>
          <w:sz w:val="24"/>
          <w:szCs w:val="24"/>
        </w:rPr>
        <w:t xml:space="preserve"> prima facie </w:t>
      </w:r>
      <w:r>
        <w:rPr>
          <w:rFonts w:ascii="Arial" w:hAnsi="Arial" w:cs="Arial"/>
          <w:sz w:val="24"/>
          <w:szCs w:val="24"/>
        </w:rPr>
        <w:t xml:space="preserve">case against the appellant when the State closed its case. </w:t>
      </w:r>
      <w:r w:rsidR="00A669E2">
        <w:rPr>
          <w:rFonts w:ascii="Arial" w:hAnsi="Arial" w:cs="Arial"/>
          <w:sz w:val="24"/>
          <w:szCs w:val="24"/>
        </w:rPr>
        <w:t>The magistrate properly explained to the appellant the consequences if he decides to remain silent.</w:t>
      </w:r>
      <w:r w:rsidR="00EC573F">
        <w:rPr>
          <w:rFonts w:ascii="Arial" w:hAnsi="Arial" w:cs="Arial"/>
          <w:sz w:val="24"/>
          <w:szCs w:val="24"/>
        </w:rPr>
        <w:t xml:space="preserve"> </w:t>
      </w:r>
    </w:p>
    <w:p w:rsidR="00245251" w:rsidRDefault="005233E2" w:rsidP="00CE20E7">
      <w:pPr>
        <w:spacing w:line="360" w:lineRule="auto"/>
        <w:ind w:left="720" w:right="720"/>
        <w:jc w:val="both"/>
        <w:rPr>
          <w:rFonts w:ascii="Arial" w:hAnsi="Arial" w:cs="Arial"/>
        </w:rPr>
      </w:pPr>
      <w:r>
        <w:rPr>
          <w:rFonts w:ascii="Arial" w:hAnsi="Arial" w:cs="Arial"/>
          <w:sz w:val="24"/>
          <w:szCs w:val="24"/>
        </w:rPr>
        <w:t>‘</w:t>
      </w:r>
      <w:r w:rsidR="00EC573F" w:rsidRPr="00EC573F">
        <w:rPr>
          <w:rFonts w:ascii="Arial" w:hAnsi="Arial" w:cs="Arial"/>
        </w:rPr>
        <w:t xml:space="preserve">It is trite that an accused cannot be compelled to give evidence against himself (art 12(1)(f) of the Namibian Constitution) and has the right to be presumed innocent until proven guilty according to law (art 12(1)(d) of the Constitution). The entrenchment of </w:t>
      </w:r>
      <w:r w:rsidR="00A50B47">
        <w:rPr>
          <w:rFonts w:ascii="Arial" w:hAnsi="Arial" w:cs="Arial"/>
        </w:rPr>
        <w:t xml:space="preserve">those </w:t>
      </w:r>
      <w:r w:rsidR="00A50B47" w:rsidRPr="00EC573F">
        <w:rPr>
          <w:rFonts w:ascii="Arial" w:hAnsi="Arial" w:cs="Arial"/>
        </w:rPr>
        <w:t>rights</w:t>
      </w:r>
      <w:r w:rsidR="00EC573F" w:rsidRPr="00EC573F">
        <w:rPr>
          <w:rFonts w:ascii="Arial" w:hAnsi="Arial" w:cs="Arial"/>
        </w:rPr>
        <w:t xml:space="preserve"> does not mean that an accused's election to remain silent in the face of incriminating evidence against him is without consequence in the overall assessment of the evidence by the Court. When the State has established a prima facie case against an accused which remains uncontradicted, the Court may, unless the accused's silence is reasonably explicable on other </w:t>
      </w:r>
      <w:r w:rsidR="00EC573F" w:rsidRPr="00EC573F">
        <w:rPr>
          <w:rFonts w:ascii="Arial" w:hAnsi="Arial" w:cs="Arial"/>
        </w:rPr>
        <w:lastRenderedPageBreak/>
        <w:t xml:space="preserve">grounds, in appropriate circumstances conclude that the prima facie evidence </w:t>
      </w:r>
      <w:r w:rsidR="00CE20E7">
        <w:rPr>
          <w:rFonts w:ascii="Arial" w:hAnsi="Arial" w:cs="Arial"/>
        </w:rPr>
        <w:t>has become conclusive of his</w:t>
      </w:r>
      <w:r w:rsidR="00EC573F" w:rsidRPr="00EC573F">
        <w:rPr>
          <w:rFonts w:ascii="Arial" w:hAnsi="Arial" w:cs="Arial"/>
        </w:rPr>
        <w:t xml:space="preserve"> or her guilt.</w:t>
      </w:r>
      <w:r>
        <w:rPr>
          <w:rFonts w:ascii="Arial" w:hAnsi="Arial" w:cs="Arial"/>
        </w:rPr>
        <w:t>’</w:t>
      </w:r>
      <w:r w:rsidR="00EC573F">
        <w:rPr>
          <w:rStyle w:val="FootnoteReference"/>
          <w:rFonts w:ascii="Arial" w:hAnsi="Arial" w:cs="Arial"/>
        </w:rPr>
        <w:footnoteReference w:id="3"/>
      </w:r>
    </w:p>
    <w:p w:rsidR="00CE20E7" w:rsidRPr="00B22DD8" w:rsidRDefault="00CE20E7" w:rsidP="00CE20E7">
      <w:pPr>
        <w:spacing w:line="360" w:lineRule="auto"/>
        <w:ind w:right="720"/>
        <w:jc w:val="both"/>
        <w:rPr>
          <w:rFonts w:ascii="Arial" w:hAnsi="Arial" w:cs="Arial"/>
          <w:b/>
          <w:sz w:val="24"/>
          <w:szCs w:val="24"/>
        </w:rPr>
      </w:pPr>
      <w:r w:rsidRPr="00B22DD8">
        <w:rPr>
          <w:rFonts w:ascii="Arial" w:hAnsi="Arial" w:cs="Arial"/>
          <w:b/>
          <w:sz w:val="24"/>
          <w:szCs w:val="24"/>
        </w:rPr>
        <w:t>Ad Sentence</w:t>
      </w:r>
    </w:p>
    <w:p w:rsidR="00CE20E7" w:rsidRPr="00A50B47" w:rsidRDefault="00CE20E7" w:rsidP="00CE20E7">
      <w:pPr>
        <w:spacing w:line="360" w:lineRule="auto"/>
        <w:jc w:val="both"/>
        <w:rPr>
          <w:rFonts w:ascii="Arial" w:hAnsi="Arial" w:cs="Arial"/>
          <w:sz w:val="24"/>
          <w:szCs w:val="24"/>
        </w:rPr>
      </w:pPr>
      <w:r w:rsidRPr="00A50B47">
        <w:rPr>
          <w:rFonts w:ascii="Arial" w:hAnsi="Arial" w:cs="Arial"/>
          <w:sz w:val="24"/>
          <w:szCs w:val="24"/>
        </w:rPr>
        <w:t>[14]</w:t>
      </w:r>
      <w:r w:rsidRPr="00A50B47">
        <w:rPr>
          <w:rFonts w:ascii="Arial" w:hAnsi="Arial" w:cs="Arial"/>
          <w:sz w:val="24"/>
          <w:szCs w:val="24"/>
        </w:rPr>
        <w:tab/>
        <w:t xml:space="preserve">Sentencing is primary within the discretion of the trial court. This court of appeal has limited power to interfere with the sentencing discretion of a court </w:t>
      </w:r>
      <w:r w:rsidRPr="00A50B47">
        <w:rPr>
          <w:rFonts w:ascii="Arial" w:hAnsi="Arial" w:cs="Arial"/>
          <w:i/>
          <w:sz w:val="24"/>
          <w:szCs w:val="24"/>
        </w:rPr>
        <w:t>a quo.</w:t>
      </w:r>
      <w:r w:rsidRPr="00A50B47">
        <w:rPr>
          <w:rFonts w:ascii="Arial" w:hAnsi="Arial" w:cs="Arial"/>
          <w:sz w:val="24"/>
          <w:szCs w:val="24"/>
        </w:rPr>
        <w:t xml:space="preserve"> A court of appeal can only interfere;</w:t>
      </w:r>
    </w:p>
    <w:p w:rsidR="00CE20E7" w:rsidRDefault="00CE20E7" w:rsidP="00CE20E7">
      <w:pPr>
        <w:pStyle w:val="ListParagraph"/>
        <w:numPr>
          <w:ilvl w:val="0"/>
          <w:numId w:val="2"/>
        </w:numPr>
        <w:spacing w:line="360" w:lineRule="auto"/>
        <w:jc w:val="both"/>
        <w:rPr>
          <w:rFonts w:ascii="Arial" w:hAnsi="Arial" w:cs="Arial"/>
          <w:sz w:val="24"/>
          <w:szCs w:val="24"/>
        </w:rPr>
      </w:pPr>
      <w:r>
        <w:rPr>
          <w:rFonts w:ascii="Arial" w:hAnsi="Arial" w:cs="Arial"/>
          <w:sz w:val="24"/>
          <w:szCs w:val="24"/>
        </w:rPr>
        <w:t>when there was a material irregularity;</w:t>
      </w:r>
      <w:r w:rsidRPr="0023206C">
        <w:rPr>
          <w:rFonts w:ascii="Arial" w:hAnsi="Arial" w:cs="Arial"/>
          <w:sz w:val="24"/>
          <w:szCs w:val="24"/>
        </w:rPr>
        <w:t xml:space="preserve"> or </w:t>
      </w:r>
    </w:p>
    <w:p w:rsidR="00CE20E7" w:rsidRPr="0023206C" w:rsidRDefault="00CE20E7" w:rsidP="00CE20E7">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a </w:t>
      </w:r>
      <w:r w:rsidRPr="0023206C">
        <w:rPr>
          <w:rFonts w:ascii="Arial" w:hAnsi="Arial" w:cs="Arial"/>
          <w:sz w:val="24"/>
          <w:szCs w:val="24"/>
        </w:rPr>
        <w:t>material misdirection on the facts or on the law; or</w:t>
      </w:r>
    </w:p>
    <w:p w:rsidR="00CE20E7" w:rsidRDefault="00CE20E7" w:rsidP="00CE20E7">
      <w:pPr>
        <w:pStyle w:val="ListParagraph"/>
        <w:numPr>
          <w:ilvl w:val="0"/>
          <w:numId w:val="2"/>
        </w:numPr>
        <w:spacing w:line="360" w:lineRule="auto"/>
        <w:jc w:val="both"/>
        <w:rPr>
          <w:rFonts w:ascii="Arial" w:hAnsi="Arial" w:cs="Arial"/>
          <w:sz w:val="24"/>
          <w:szCs w:val="24"/>
        </w:rPr>
      </w:pPr>
      <w:r>
        <w:rPr>
          <w:rFonts w:ascii="Arial" w:hAnsi="Arial" w:cs="Arial"/>
          <w:sz w:val="24"/>
          <w:szCs w:val="24"/>
        </w:rPr>
        <w:t>where the sentence was startlingly inappropriate;</w:t>
      </w:r>
    </w:p>
    <w:p w:rsidR="00CE20E7" w:rsidRDefault="00CE20E7" w:rsidP="00CE20E7">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 or induced a sense of shock; or</w:t>
      </w:r>
    </w:p>
    <w:p w:rsidR="00CE20E7" w:rsidRDefault="00CE20E7" w:rsidP="00CE20E7">
      <w:pPr>
        <w:pStyle w:val="ListParagraph"/>
        <w:numPr>
          <w:ilvl w:val="0"/>
          <w:numId w:val="2"/>
        </w:numPr>
        <w:spacing w:line="360" w:lineRule="auto"/>
        <w:jc w:val="both"/>
        <w:rPr>
          <w:rFonts w:ascii="Arial" w:hAnsi="Arial" w:cs="Arial"/>
          <w:sz w:val="24"/>
          <w:szCs w:val="24"/>
        </w:rPr>
      </w:pPr>
      <w:r>
        <w:rPr>
          <w:rFonts w:ascii="Arial" w:hAnsi="Arial" w:cs="Arial"/>
          <w:sz w:val="24"/>
          <w:szCs w:val="24"/>
        </w:rPr>
        <w:t>was such that a striking disparity exists between the sentence imposed by the trial Court and that which the Court of appeal would have imposed had it sat in first instance in that;</w:t>
      </w:r>
    </w:p>
    <w:p w:rsidR="00CE20E7" w:rsidRDefault="00CE20E7" w:rsidP="00CE20E7">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irrelevant factors were considered and when the court </w:t>
      </w:r>
      <w:r>
        <w:rPr>
          <w:rFonts w:ascii="Arial" w:hAnsi="Arial" w:cs="Arial"/>
          <w:i/>
          <w:sz w:val="24"/>
          <w:szCs w:val="24"/>
        </w:rPr>
        <w:t xml:space="preserve">a quo </w:t>
      </w:r>
      <w:r>
        <w:rPr>
          <w:rFonts w:ascii="Arial" w:hAnsi="Arial" w:cs="Arial"/>
          <w:sz w:val="24"/>
          <w:szCs w:val="24"/>
        </w:rPr>
        <w:t>failed to consider relevant factors.</w:t>
      </w:r>
      <w:r>
        <w:rPr>
          <w:rStyle w:val="FootnoteReference"/>
          <w:rFonts w:ascii="Arial" w:hAnsi="Arial" w:cs="Arial"/>
          <w:sz w:val="24"/>
          <w:szCs w:val="24"/>
        </w:rPr>
        <w:footnoteReference w:id="4"/>
      </w:r>
      <w:r>
        <w:rPr>
          <w:rFonts w:ascii="Arial" w:hAnsi="Arial" w:cs="Arial"/>
          <w:sz w:val="24"/>
          <w:szCs w:val="24"/>
        </w:rPr>
        <w:t xml:space="preserve"> </w:t>
      </w:r>
    </w:p>
    <w:p w:rsidR="00C53957" w:rsidRDefault="00CE20E7" w:rsidP="00CE20E7">
      <w:pPr>
        <w:spacing w:line="360" w:lineRule="auto"/>
        <w:ind w:right="720"/>
        <w:jc w:val="both"/>
        <w:rPr>
          <w:rFonts w:ascii="Arial" w:hAnsi="Arial" w:cs="Arial"/>
          <w:sz w:val="24"/>
          <w:szCs w:val="24"/>
        </w:rPr>
      </w:pPr>
      <w:r w:rsidRPr="00CE20E7">
        <w:rPr>
          <w:rFonts w:ascii="Arial" w:hAnsi="Arial" w:cs="Arial"/>
          <w:sz w:val="24"/>
          <w:szCs w:val="24"/>
        </w:rPr>
        <w:t>[15]</w:t>
      </w:r>
      <w:r>
        <w:rPr>
          <w:rFonts w:ascii="Arial" w:hAnsi="Arial" w:cs="Arial"/>
          <w:sz w:val="24"/>
          <w:szCs w:val="24"/>
        </w:rPr>
        <w:tab/>
      </w:r>
      <w:r w:rsidR="00C53957">
        <w:rPr>
          <w:rFonts w:ascii="Arial" w:hAnsi="Arial" w:cs="Arial"/>
          <w:sz w:val="24"/>
          <w:szCs w:val="24"/>
        </w:rPr>
        <w:t>I agree with Maritz J (as he then was) when he stated:</w:t>
      </w:r>
    </w:p>
    <w:p w:rsidR="00C53957" w:rsidRPr="00C53957" w:rsidRDefault="005233E2" w:rsidP="00C53957">
      <w:pPr>
        <w:spacing w:line="360" w:lineRule="auto"/>
        <w:ind w:left="720" w:right="720"/>
        <w:jc w:val="both"/>
        <w:rPr>
          <w:rFonts w:ascii="Arial" w:hAnsi="Arial" w:cs="Arial"/>
        </w:rPr>
      </w:pPr>
      <w:r>
        <w:rPr>
          <w:rFonts w:ascii="Arial" w:hAnsi="Arial" w:cs="Arial"/>
        </w:rPr>
        <w:t>‘</w:t>
      </w:r>
      <w:r w:rsidR="00C53957" w:rsidRPr="00C53957">
        <w:rPr>
          <w:rFonts w:ascii="Arial" w:hAnsi="Arial" w:cs="Arial"/>
        </w:rPr>
        <w:t xml:space="preserve">The crime of housebreaking with intent to </w:t>
      </w:r>
      <w:r w:rsidR="00A50B47">
        <w:rPr>
          <w:rFonts w:ascii="Arial" w:hAnsi="Arial" w:cs="Arial"/>
        </w:rPr>
        <w:t xml:space="preserve">steal and theft </w:t>
      </w:r>
      <w:r w:rsidR="0047588A">
        <w:rPr>
          <w:rFonts w:ascii="Arial" w:hAnsi="Arial" w:cs="Arial"/>
        </w:rPr>
        <w:t>is - as</w:t>
      </w:r>
      <w:r w:rsidR="00A50B47">
        <w:rPr>
          <w:rFonts w:ascii="Arial" w:hAnsi="Arial" w:cs="Arial"/>
        </w:rPr>
        <w:t xml:space="preserve"> </w:t>
      </w:r>
      <w:r w:rsidR="0047588A">
        <w:rPr>
          <w:rFonts w:ascii="Arial" w:hAnsi="Arial" w:cs="Arial"/>
        </w:rPr>
        <w:t xml:space="preserve">the </w:t>
      </w:r>
      <w:r w:rsidR="0047588A" w:rsidRPr="00C53957">
        <w:rPr>
          <w:rFonts w:ascii="Arial" w:hAnsi="Arial" w:cs="Arial"/>
        </w:rPr>
        <w:t>magistrate</w:t>
      </w:r>
      <w:r w:rsidR="00C53957" w:rsidRPr="00C53957">
        <w:rPr>
          <w:rFonts w:ascii="Arial" w:hAnsi="Arial" w:cs="Arial"/>
        </w:rPr>
        <w:t xml:space="preserve"> has </w:t>
      </w:r>
      <w:r w:rsidR="0047588A" w:rsidRPr="00C53957">
        <w:rPr>
          <w:rFonts w:ascii="Arial" w:hAnsi="Arial" w:cs="Arial"/>
        </w:rPr>
        <w:t>observed - a</w:t>
      </w:r>
      <w:r w:rsidR="00C53957" w:rsidRPr="00C53957">
        <w:rPr>
          <w:rFonts w:ascii="Arial" w:hAnsi="Arial" w:cs="Arial"/>
        </w:rPr>
        <w:t xml:space="preserve"> prevalent and serious one. It is regarded by the law and society as a particularly insidious form of theft. It is said that a man's home is his castle. If there is one place where a person should feel safe and secure it is in his home. Housebreaking with intent to steal and theft strike at and de</w:t>
      </w:r>
      <w:r w:rsidR="00A50B47">
        <w:rPr>
          <w:rFonts w:ascii="Arial" w:hAnsi="Arial" w:cs="Arial"/>
        </w:rPr>
        <w:t>stroy the sense of safety and</w:t>
      </w:r>
      <w:r w:rsidR="00C53957" w:rsidRPr="00C53957">
        <w:rPr>
          <w:rFonts w:ascii="Arial" w:hAnsi="Arial" w:cs="Arial"/>
        </w:rPr>
        <w:t xml:space="preserve"> security which the occupants are entitled to enjoy. It constitutes an unlawful invasion of the complainant's privacy and an illegal misappropriation of his or her </w:t>
      </w:r>
      <w:r w:rsidR="00A50B47" w:rsidRPr="00C53957">
        <w:rPr>
          <w:rFonts w:ascii="Arial" w:hAnsi="Arial" w:cs="Arial"/>
        </w:rPr>
        <w:t>possessions - sometimes</w:t>
      </w:r>
      <w:r w:rsidR="00C53957" w:rsidRPr="00C53957">
        <w:rPr>
          <w:rFonts w:ascii="Arial" w:hAnsi="Arial" w:cs="Arial"/>
        </w:rPr>
        <w:t xml:space="preserve"> commercially irreplaceable goods of great sentimental value.</w:t>
      </w:r>
    </w:p>
    <w:p w:rsidR="00CE20E7" w:rsidRDefault="00C53957" w:rsidP="00A50B47">
      <w:pPr>
        <w:spacing w:line="360" w:lineRule="auto"/>
        <w:ind w:left="720" w:right="720"/>
        <w:jc w:val="both"/>
        <w:rPr>
          <w:rFonts w:ascii="Arial" w:hAnsi="Arial" w:cs="Arial"/>
        </w:rPr>
      </w:pPr>
      <w:r w:rsidRPr="00C53957">
        <w:rPr>
          <w:rFonts w:ascii="Arial" w:hAnsi="Arial" w:cs="Arial"/>
        </w:rPr>
        <w:lastRenderedPageBreak/>
        <w:t>For these reasons society has a particular interest that the commission of this crime should be discourage</w:t>
      </w:r>
      <w:r w:rsidR="00A50B47">
        <w:rPr>
          <w:rFonts w:ascii="Arial" w:hAnsi="Arial" w:cs="Arial"/>
        </w:rPr>
        <w:t xml:space="preserve">d by an appropriate judicial </w:t>
      </w:r>
      <w:r w:rsidRPr="00C53957">
        <w:rPr>
          <w:rFonts w:ascii="Arial" w:hAnsi="Arial" w:cs="Arial"/>
        </w:rPr>
        <w:t xml:space="preserve">response. Perpetrators should know </w:t>
      </w:r>
      <w:r w:rsidR="00A50B47">
        <w:rPr>
          <w:rFonts w:ascii="Arial" w:hAnsi="Arial" w:cs="Arial"/>
        </w:rPr>
        <w:t>that the norm is imprisonment</w:t>
      </w:r>
      <w:r w:rsidRPr="00C53957">
        <w:rPr>
          <w:rFonts w:ascii="Arial" w:hAnsi="Arial" w:cs="Arial"/>
        </w:rPr>
        <w:t xml:space="preserve"> without the option of a fine unless the circumstances of a particular case justify the imposition of a lesser sentence.</w:t>
      </w:r>
      <w:r w:rsidR="005233E2">
        <w:rPr>
          <w:rFonts w:ascii="Arial" w:hAnsi="Arial" w:cs="Arial"/>
        </w:rPr>
        <w:t>’</w:t>
      </w:r>
      <w:r>
        <w:rPr>
          <w:rStyle w:val="FootnoteReference"/>
          <w:rFonts w:ascii="Arial" w:hAnsi="Arial" w:cs="Arial"/>
        </w:rPr>
        <w:footnoteReference w:id="5"/>
      </w:r>
      <w:r w:rsidRPr="00C53957">
        <w:rPr>
          <w:rFonts w:ascii="Arial" w:hAnsi="Arial" w:cs="Arial"/>
        </w:rPr>
        <w:t xml:space="preserve"> </w:t>
      </w:r>
    </w:p>
    <w:p w:rsidR="00410DAC" w:rsidRDefault="00A50B47" w:rsidP="00A50B47">
      <w:pPr>
        <w:spacing w:line="360" w:lineRule="auto"/>
        <w:jc w:val="both"/>
        <w:rPr>
          <w:rFonts w:ascii="Arial" w:hAnsi="Arial" w:cs="Arial"/>
          <w:sz w:val="24"/>
          <w:szCs w:val="24"/>
        </w:rPr>
      </w:pPr>
      <w:r w:rsidRPr="00A50B47">
        <w:rPr>
          <w:rFonts w:ascii="Arial" w:hAnsi="Arial" w:cs="Arial"/>
          <w:sz w:val="24"/>
          <w:szCs w:val="24"/>
        </w:rPr>
        <w:t>[16]</w:t>
      </w:r>
      <w:r w:rsidRPr="00A50B47">
        <w:rPr>
          <w:rFonts w:ascii="Arial" w:hAnsi="Arial" w:cs="Arial"/>
          <w:sz w:val="24"/>
          <w:szCs w:val="24"/>
        </w:rPr>
        <w:tab/>
        <w:t>I do not find any misdirection or error by the learned magistrate when she imposed 3 years’ imprisonment. She considered the personal circumstances of the appellant</w:t>
      </w:r>
      <w:r>
        <w:rPr>
          <w:rFonts w:ascii="Arial" w:hAnsi="Arial" w:cs="Arial"/>
          <w:sz w:val="24"/>
          <w:szCs w:val="24"/>
        </w:rPr>
        <w:t xml:space="preserve"> and balanced it w</w:t>
      </w:r>
      <w:r w:rsidR="0047588A">
        <w:rPr>
          <w:rFonts w:ascii="Arial" w:hAnsi="Arial" w:cs="Arial"/>
          <w:sz w:val="24"/>
          <w:szCs w:val="24"/>
        </w:rPr>
        <w:t>ith the expectations of society and</w:t>
      </w:r>
      <w:r>
        <w:rPr>
          <w:rFonts w:ascii="Arial" w:hAnsi="Arial" w:cs="Arial"/>
          <w:sz w:val="24"/>
          <w:szCs w:val="24"/>
        </w:rPr>
        <w:t xml:space="preserve"> the seriousness of the crime</w:t>
      </w:r>
      <w:r w:rsidR="00410DAC">
        <w:rPr>
          <w:rFonts w:ascii="Arial" w:hAnsi="Arial" w:cs="Arial"/>
          <w:sz w:val="24"/>
          <w:szCs w:val="24"/>
        </w:rPr>
        <w:t>. In my view she exercised her sentencing discretion judiciously and properly.</w:t>
      </w:r>
    </w:p>
    <w:p w:rsidR="00410DAC" w:rsidRDefault="00410DAC" w:rsidP="00A50B47">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 In the result:</w:t>
      </w:r>
    </w:p>
    <w:p w:rsidR="00A50B47" w:rsidRDefault="00410DAC" w:rsidP="00410DAC">
      <w:pPr>
        <w:pStyle w:val="ListParagraph"/>
        <w:numPr>
          <w:ilvl w:val="0"/>
          <w:numId w:val="3"/>
        </w:numPr>
        <w:spacing w:line="360" w:lineRule="auto"/>
        <w:jc w:val="both"/>
        <w:rPr>
          <w:rFonts w:ascii="Arial" w:hAnsi="Arial" w:cs="Arial"/>
          <w:sz w:val="24"/>
          <w:szCs w:val="24"/>
        </w:rPr>
      </w:pPr>
      <w:r>
        <w:rPr>
          <w:rFonts w:ascii="Arial" w:hAnsi="Arial" w:cs="Arial"/>
          <w:sz w:val="24"/>
          <w:szCs w:val="24"/>
        </w:rPr>
        <w:t>I find that there are no prospect</w:t>
      </w:r>
      <w:r w:rsidR="009E4E94">
        <w:rPr>
          <w:rFonts w:ascii="Arial" w:hAnsi="Arial" w:cs="Arial"/>
          <w:sz w:val="24"/>
          <w:szCs w:val="24"/>
        </w:rPr>
        <w:t>s</w:t>
      </w:r>
      <w:r>
        <w:rPr>
          <w:rFonts w:ascii="Arial" w:hAnsi="Arial" w:cs="Arial"/>
          <w:sz w:val="24"/>
          <w:szCs w:val="24"/>
        </w:rPr>
        <w:t xml:space="preserve"> of success on appeal.</w:t>
      </w:r>
    </w:p>
    <w:p w:rsidR="00410DAC" w:rsidRDefault="00410DAC" w:rsidP="00410DAC">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appeal is struck from the roll and considered finalized.</w:t>
      </w:r>
    </w:p>
    <w:p w:rsidR="00410DAC" w:rsidRDefault="00410DAC" w:rsidP="00410DAC">
      <w:pPr>
        <w:pStyle w:val="ListParagraph"/>
        <w:spacing w:line="360" w:lineRule="auto"/>
        <w:ind w:left="855"/>
        <w:jc w:val="both"/>
        <w:rPr>
          <w:rFonts w:ascii="Arial" w:hAnsi="Arial" w:cs="Arial"/>
          <w:sz w:val="24"/>
          <w:szCs w:val="24"/>
        </w:rPr>
      </w:pPr>
    </w:p>
    <w:p w:rsidR="005233E2" w:rsidRDefault="005233E2" w:rsidP="00410DAC">
      <w:pPr>
        <w:pStyle w:val="ListParagraph"/>
        <w:spacing w:line="360" w:lineRule="auto"/>
        <w:ind w:left="855"/>
        <w:jc w:val="both"/>
        <w:rPr>
          <w:rFonts w:ascii="Arial" w:hAnsi="Arial" w:cs="Arial"/>
          <w:sz w:val="24"/>
          <w:szCs w:val="24"/>
        </w:rPr>
      </w:pPr>
    </w:p>
    <w:p w:rsidR="00410DAC" w:rsidRDefault="00410DAC" w:rsidP="00410DAC">
      <w:pPr>
        <w:spacing w:line="360" w:lineRule="auto"/>
        <w:ind w:left="5040" w:firstLine="720"/>
        <w:jc w:val="both"/>
        <w:rPr>
          <w:rFonts w:ascii="Arial" w:hAnsi="Arial" w:cs="Arial"/>
          <w:sz w:val="24"/>
          <w:szCs w:val="24"/>
        </w:rPr>
      </w:pPr>
      <w:r>
        <w:rPr>
          <w:rFonts w:ascii="Arial" w:hAnsi="Arial" w:cs="Arial"/>
          <w:sz w:val="24"/>
          <w:szCs w:val="24"/>
        </w:rPr>
        <w:t xml:space="preserve">_________________________ </w:t>
      </w:r>
    </w:p>
    <w:p w:rsidR="00410DAC" w:rsidRPr="0047588A" w:rsidRDefault="00410DAC" w:rsidP="00410DAC">
      <w:pPr>
        <w:spacing w:line="360" w:lineRule="auto"/>
        <w:jc w:val="both"/>
        <w:rPr>
          <w:rFonts w:ascii="Arial" w:hAnsi="Arial" w:cs="Arial"/>
          <w:b/>
          <w:sz w:val="24"/>
          <w:szCs w:val="24"/>
        </w:rPr>
      </w:pP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t>H C JANUARY</w:t>
      </w:r>
    </w:p>
    <w:p w:rsidR="00410DAC" w:rsidRDefault="00410DAC" w:rsidP="00410DAC">
      <w:pPr>
        <w:spacing w:line="360" w:lineRule="auto"/>
        <w:jc w:val="both"/>
        <w:rPr>
          <w:rFonts w:ascii="Arial" w:hAnsi="Arial" w:cs="Arial"/>
          <w:b/>
          <w:sz w:val="24"/>
          <w:szCs w:val="24"/>
        </w:rPr>
      </w:pP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t>JUDGE</w:t>
      </w:r>
    </w:p>
    <w:p w:rsidR="00410DAC" w:rsidRDefault="00410DAC" w:rsidP="00410DAC">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10DAC" w:rsidRDefault="00410DAC" w:rsidP="00410DAC">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233E2">
        <w:rPr>
          <w:rFonts w:ascii="Arial" w:hAnsi="Arial" w:cs="Arial"/>
          <w:sz w:val="24"/>
          <w:szCs w:val="24"/>
        </w:rPr>
        <w:t>I Agree</w:t>
      </w:r>
    </w:p>
    <w:p w:rsidR="005233E2" w:rsidRDefault="005233E2" w:rsidP="00410DAC">
      <w:pPr>
        <w:spacing w:line="360" w:lineRule="auto"/>
        <w:jc w:val="both"/>
        <w:rPr>
          <w:rFonts w:ascii="Arial" w:hAnsi="Arial" w:cs="Arial"/>
          <w:sz w:val="24"/>
          <w:szCs w:val="24"/>
        </w:rPr>
      </w:pPr>
    </w:p>
    <w:p w:rsidR="005233E2" w:rsidRPr="005233E2" w:rsidRDefault="005233E2" w:rsidP="00410DAC">
      <w:pPr>
        <w:spacing w:line="360" w:lineRule="auto"/>
        <w:jc w:val="both"/>
        <w:rPr>
          <w:rFonts w:ascii="Arial" w:hAnsi="Arial" w:cs="Arial"/>
          <w:sz w:val="24"/>
          <w:szCs w:val="24"/>
        </w:rPr>
      </w:pPr>
    </w:p>
    <w:p w:rsidR="00410DAC" w:rsidRDefault="00410DAC" w:rsidP="00410DAC">
      <w:pPr>
        <w:spacing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__________________________ </w:t>
      </w:r>
    </w:p>
    <w:p w:rsidR="00410DAC" w:rsidRDefault="00410DAC" w:rsidP="00410DAC">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M A TOMASSI</w:t>
      </w:r>
    </w:p>
    <w:p w:rsidR="00410DAC" w:rsidRDefault="00410DAC" w:rsidP="00410DAC">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JUDGE</w:t>
      </w:r>
    </w:p>
    <w:p w:rsidR="00410DAC" w:rsidRDefault="00410DAC" w:rsidP="00410DAC">
      <w:pPr>
        <w:spacing w:line="360" w:lineRule="auto"/>
        <w:jc w:val="both"/>
        <w:rPr>
          <w:rFonts w:ascii="Arial" w:hAnsi="Arial" w:cs="Arial"/>
          <w:b/>
          <w:sz w:val="24"/>
          <w:szCs w:val="24"/>
        </w:rPr>
      </w:pPr>
    </w:p>
    <w:p w:rsidR="005233E2" w:rsidRPr="001907C3" w:rsidRDefault="005233E2" w:rsidP="005233E2">
      <w:pPr>
        <w:spacing w:line="360" w:lineRule="auto"/>
        <w:jc w:val="both"/>
        <w:rPr>
          <w:rFonts w:ascii="Arial" w:hAnsi="Arial" w:cs="Arial"/>
          <w:b/>
          <w:sz w:val="24"/>
          <w:szCs w:val="24"/>
          <w:u w:val="single"/>
        </w:rPr>
      </w:pPr>
      <w:r w:rsidRPr="001907C3">
        <w:rPr>
          <w:rFonts w:ascii="Arial" w:hAnsi="Arial" w:cs="Arial"/>
          <w:b/>
          <w:sz w:val="24"/>
          <w:szCs w:val="24"/>
          <w:u w:val="single"/>
        </w:rPr>
        <w:t>Appearances:</w:t>
      </w:r>
    </w:p>
    <w:p w:rsidR="005233E2" w:rsidRDefault="005233E2" w:rsidP="005233E2">
      <w:pPr>
        <w:spacing w:line="360" w:lineRule="auto"/>
        <w:jc w:val="both"/>
        <w:rPr>
          <w:rFonts w:ascii="Arial" w:hAnsi="Arial" w:cs="Arial"/>
          <w:b/>
          <w:sz w:val="24"/>
          <w:szCs w:val="24"/>
        </w:rPr>
      </w:pPr>
    </w:p>
    <w:p w:rsidR="005233E2" w:rsidRPr="003C16E2" w:rsidRDefault="005233E2" w:rsidP="005233E2">
      <w:pPr>
        <w:spacing w:line="360" w:lineRule="auto"/>
        <w:ind w:right="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b/>
          <w:sz w:val="24"/>
          <w:szCs w:val="24"/>
        </w:rPr>
        <w:tab/>
      </w:r>
      <w:r>
        <w:rPr>
          <w:rFonts w:ascii="Arial" w:hAnsi="Arial" w:cs="Arial"/>
          <w:sz w:val="24"/>
          <w:szCs w:val="24"/>
        </w:rPr>
        <w:t>In Person</w:t>
      </w:r>
    </w:p>
    <w:p w:rsidR="005233E2" w:rsidRPr="003C16E2" w:rsidRDefault="005233E2" w:rsidP="005233E2">
      <w:pPr>
        <w:spacing w:line="360" w:lineRule="auto"/>
        <w:ind w:left="2880" w:right="720" w:firstLine="720"/>
        <w:jc w:val="both"/>
        <w:rPr>
          <w:rFonts w:ascii="Arial" w:hAnsi="Arial" w:cs="Arial"/>
          <w:b/>
          <w:sz w:val="24"/>
          <w:szCs w:val="24"/>
        </w:rPr>
      </w:pPr>
      <w:r w:rsidRPr="003C16E2">
        <w:rPr>
          <w:rFonts w:ascii="Arial" w:hAnsi="Arial" w:cs="Arial"/>
          <w:b/>
          <w:sz w:val="24"/>
          <w:szCs w:val="24"/>
        </w:rPr>
        <w:t xml:space="preserve">Of </w:t>
      </w:r>
      <w:r>
        <w:rPr>
          <w:rFonts w:ascii="Arial" w:hAnsi="Arial" w:cs="Arial"/>
          <w:b/>
          <w:sz w:val="24"/>
          <w:szCs w:val="24"/>
        </w:rPr>
        <w:t>Oluno Correctional Facility</w:t>
      </w:r>
    </w:p>
    <w:p w:rsidR="005233E2" w:rsidRDefault="005233E2" w:rsidP="005233E2">
      <w:pPr>
        <w:spacing w:line="360" w:lineRule="auto"/>
        <w:ind w:right="720"/>
        <w:jc w:val="both"/>
        <w:rPr>
          <w:rFonts w:ascii="Arial" w:hAnsi="Arial" w:cs="Arial"/>
          <w:sz w:val="24"/>
          <w:szCs w:val="24"/>
        </w:rPr>
      </w:pPr>
    </w:p>
    <w:p w:rsidR="005233E2" w:rsidRDefault="005233E2" w:rsidP="005233E2">
      <w:pPr>
        <w:spacing w:line="360" w:lineRule="auto"/>
        <w:ind w:right="720"/>
        <w:jc w:val="both"/>
        <w:rPr>
          <w:rFonts w:ascii="Arial" w:hAnsi="Arial" w:cs="Arial"/>
          <w:sz w:val="24"/>
          <w:szCs w:val="24"/>
        </w:rPr>
      </w:pPr>
    </w:p>
    <w:p w:rsidR="005233E2" w:rsidRDefault="005233E2" w:rsidP="005233E2">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t>Adv Tjiveze</w:t>
      </w:r>
    </w:p>
    <w:p w:rsidR="005233E2" w:rsidRDefault="005233E2" w:rsidP="005233E2">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Of Office of the Prosecutor-General</w:t>
      </w:r>
    </w:p>
    <w:p w:rsidR="005233E2" w:rsidRDefault="005233E2" w:rsidP="005233E2">
      <w:pPr>
        <w:spacing w:line="360" w:lineRule="auto"/>
        <w:jc w:val="both"/>
        <w:rPr>
          <w:rFonts w:ascii="Arial" w:hAnsi="Arial" w:cs="Arial"/>
          <w:b/>
          <w:sz w:val="24"/>
          <w:szCs w:val="24"/>
        </w:rPr>
      </w:pPr>
    </w:p>
    <w:p w:rsidR="004E7BE4" w:rsidRPr="004E7BE4" w:rsidRDefault="00B967BA" w:rsidP="004E7BE4">
      <w:pPr>
        <w:spacing w:line="360" w:lineRule="auto"/>
        <w:rPr>
          <w:rFonts w:ascii="Arial" w:hAnsi="Arial" w:cs="Arial"/>
          <w:sz w:val="24"/>
          <w:szCs w:val="24"/>
        </w:rPr>
      </w:pPr>
      <w:r>
        <w:rPr>
          <w:rFonts w:ascii="Arial" w:hAnsi="Arial" w:cs="Arial"/>
          <w:sz w:val="24"/>
          <w:szCs w:val="24"/>
        </w:rPr>
        <w:t xml:space="preserve"> </w:t>
      </w:r>
    </w:p>
    <w:p w:rsidR="00983671" w:rsidRPr="00E77A77" w:rsidRDefault="00983671">
      <w:pPr>
        <w:rPr>
          <w:sz w:val="24"/>
          <w:szCs w:val="24"/>
        </w:rPr>
      </w:pPr>
    </w:p>
    <w:sectPr w:rsidR="00983671" w:rsidRPr="00E77A77" w:rsidSect="00D10DA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F2" w:rsidRDefault="004C68F2" w:rsidP="00EC573F">
      <w:pPr>
        <w:spacing w:after="0" w:line="240" w:lineRule="auto"/>
      </w:pPr>
      <w:r>
        <w:separator/>
      </w:r>
    </w:p>
  </w:endnote>
  <w:endnote w:type="continuationSeparator" w:id="0">
    <w:p w:rsidR="004C68F2" w:rsidRDefault="004C68F2" w:rsidP="00EC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F2" w:rsidRDefault="004C68F2" w:rsidP="00EC573F">
      <w:pPr>
        <w:spacing w:after="0" w:line="240" w:lineRule="auto"/>
      </w:pPr>
      <w:r>
        <w:separator/>
      </w:r>
    </w:p>
  </w:footnote>
  <w:footnote w:type="continuationSeparator" w:id="0">
    <w:p w:rsidR="004C68F2" w:rsidRDefault="004C68F2" w:rsidP="00EC573F">
      <w:pPr>
        <w:spacing w:after="0" w:line="240" w:lineRule="auto"/>
      </w:pPr>
      <w:r>
        <w:continuationSeparator/>
      </w:r>
    </w:p>
  </w:footnote>
  <w:footnote w:id="1">
    <w:p w:rsidR="00983FC6" w:rsidRPr="00983FC6" w:rsidRDefault="00983FC6">
      <w:pPr>
        <w:pStyle w:val="FootnoteText"/>
        <w:rPr>
          <w:lang w:val="en-US"/>
        </w:rPr>
      </w:pPr>
      <w:r>
        <w:rPr>
          <w:rStyle w:val="FootnoteReference"/>
        </w:rPr>
        <w:footnoteRef/>
      </w:r>
      <w:r>
        <w:t xml:space="preserve"> </w:t>
      </w:r>
      <w:r w:rsidRPr="005233E2">
        <w:rPr>
          <w:i/>
        </w:rPr>
        <w:t>S v Kapuire</w:t>
      </w:r>
      <w:r w:rsidRPr="00983FC6">
        <w:t xml:space="preserve"> 2015 (2) NR 394 (HC)</w:t>
      </w:r>
      <w:r>
        <w:t xml:space="preserve"> at 398 D-E</w:t>
      </w:r>
    </w:p>
  </w:footnote>
  <w:footnote w:id="2">
    <w:p w:rsidR="00C176A2" w:rsidRPr="00C176A2" w:rsidRDefault="00C176A2">
      <w:pPr>
        <w:pStyle w:val="FootnoteText"/>
        <w:rPr>
          <w:lang w:val="en-US"/>
        </w:rPr>
      </w:pPr>
      <w:r>
        <w:rPr>
          <w:rStyle w:val="FootnoteReference"/>
        </w:rPr>
        <w:footnoteRef/>
      </w:r>
      <w:r>
        <w:t xml:space="preserve"> </w:t>
      </w:r>
      <w:r>
        <w:rPr>
          <w:lang w:val="en-US"/>
        </w:rPr>
        <w:t xml:space="preserve">See; </w:t>
      </w:r>
      <w:r w:rsidRPr="005233E2">
        <w:rPr>
          <w:i/>
          <w:lang w:val="en-US"/>
        </w:rPr>
        <w:t>S v Kasanga</w:t>
      </w:r>
      <w:r w:rsidRPr="00C176A2">
        <w:rPr>
          <w:lang w:val="en-US"/>
        </w:rPr>
        <w:t xml:space="preserve"> 2006 (1) NR 348 (HC)</w:t>
      </w:r>
      <w:r>
        <w:rPr>
          <w:lang w:val="en-US"/>
        </w:rPr>
        <w:t xml:space="preserve"> Headnote; </w:t>
      </w:r>
      <w:r w:rsidRPr="00C176A2">
        <w:rPr>
          <w:lang w:val="en-US"/>
        </w:rPr>
        <w:t>In order for an accused to be given a fair trial as envisaged by art 12 of the Namibian Constitution, an accused must be informed at the outset of his right to legal representation and that he can approach the Legal Aid Board for assistance.</w:t>
      </w:r>
    </w:p>
  </w:footnote>
  <w:footnote w:id="3">
    <w:p w:rsidR="00EC573F" w:rsidRPr="00EC573F" w:rsidRDefault="00EC573F">
      <w:pPr>
        <w:pStyle w:val="FootnoteText"/>
        <w:rPr>
          <w:lang w:val="en-US"/>
        </w:rPr>
      </w:pPr>
      <w:r>
        <w:rPr>
          <w:rStyle w:val="FootnoteReference"/>
        </w:rPr>
        <w:footnoteRef/>
      </w:r>
      <w:r>
        <w:t xml:space="preserve"> </w:t>
      </w:r>
      <w:r w:rsidRPr="005233E2">
        <w:rPr>
          <w:i/>
        </w:rPr>
        <w:t>S v K</w:t>
      </w:r>
      <w:r w:rsidRPr="005233E2">
        <w:rPr>
          <w:i/>
          <w:sz w:val="18"/>
        </w:rPr>
        <w:t>atar</w:t>
      </w:r>
      <w:r w:rsidR="003E21FC">
        <w:rPr>
          <w:i/>
        </w:rPr>
        <w:t xml:space="preserve">i </w:t>
      </w:r>
      <w:r w:rsidRPr="00EC573F">
        <w:t>2006 (1) NR 205 (HC)</w:t>
      </w:r>
      <w:r>
        <w:t xml:space="preserve"> Headnote G-</w:t>
      </w:r>
      <w:r w:rsidR="00C176A2">
        <w:t>I</w:t>
      </w:r>
    </w:p>
  </w:footnote>
  <w:footnote w:id="4">
    <w:p w:rsidR="00CE20E7" w:rsidRDefault="00CE20E7" w:rsidP="00CE20E7">
      <w:pPr>
        <w:pStyle w:val="FootnoteText"/>
        <w:rPr>
          <w:lang w:val="en-US"/>
        </w:rPr>
      </w:pPr>
      <w:r>
        <w:rPr>
          <w:rStyle w:val="FootnoteReference"/>
        </w:rPr>
        <w:footnoteRef/>
      </w:r>
      <w:r>
        <w:t xml:space="preserve"> </w:t>
      </w:r>
      <w:r w:rsidRPr="005233E2">
        <w:rPr>
          <w:i/>
          <w:lang w:val="en-US"/>
        </w:rPr>
        <w:t>S v Kasita</w:t>
      </w:r>
      <w:r>
        <w:rPr>
          <w:lang w:val="en-US"/>
        </w:rPr>
        <w:t xml:space="preserve"> 2007 (1) NR 190 (HC); </w:t>
      </w:r>
      <w:r>
        <w:rPr>
          <w:i/>
          <w:lang w:val="en-US"/>
        </w:rPr>
        <w:t>S v Shapumba</w:t>
      </w:r>
      <w:r>
        <w:rPr>
          <w:lang w:val="en-US"/>
        </w:rPr>
        <w:t xml:space="preserve"> 1999 NR 342 (SC) at 344 I to 345A; </w:t>
      </w:r>
      <w:r>
        <w:rPr>
          <w:i/>
          <w:lang w:val="en-US"/>
        </w:rPr>
        <w:t>S v Jason &amp; another</w:t>
      </w:r>
      <w:r>
        <w:rPr>
          <w:lang w:val="en-US"/>
        </w:rPr>
        <w:t xml:space="preserve"> 2008 NR 359 at 363 to 364G</w:t>
      </w:r>
    </w:p>
  </w:footnote>
  <w:footnote w:id="5">
    <w:p w:rsidR="00C53957" w:rsidRPr="00C53957" w:rsidRDefault="00C53957">
      <w:pPr>
        <w:pStyle w:val="FootnoteText"/>
        <w:rPr>
          <w:lang w:val="en-US"/>
        </w:rPr>
      </w:pPr>
      <w:r>
        <w:rPr>
          <w:rStyle w:val="FootnoteReference"/>
        </w:rPr>
        <w:footnoteRef/>
      </w:r>
      <w:r>
        <w:t xml:space="preserve"> </w:t>
      </w:r>
      <w:r w:rsidRPr="005233E2">
        <w:rPr>
          <w:i/>
        </w:rPr>
        <w:t>S v Drotsky</w:t>
      </w:r>
      <w:r w:rsidRPr="00C53957">
        <w:t xml:space="preserve"> 2005 NR 487 (HC)</w:t>
      </w:r>
      <w:r w:rsidR="00A50B47">
        <w:t xml:space="preserve"> 489 F-J – 490A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259897"/>
      <w:docPartObj>
        <w:docPartGallery w:val="Page Numbers (Top of Page)"/>
        <w:docPartUnique/>
      </w:docPartObj>
    </w:sdtPr>
    <w:sdtEndPr>
      <w:rPr>
        <w:noProof/>
      </w:rPr>
    </w:sdtEndPr>
    <w:sdtContent>
      <w:p w:rsidR="00410DAC" w:rsidRDefault="00410DAC">
        <w:pPr>
          <w:pStyle w:val="Header"/>
          <w:jc w:val="right"/>
        </w:pPr>
        <w:r>
          <w:fldChar w:fldCharType="begin"/>
        </w:r>
        <w:r>
          <w:instrText xml:space="preserve"> PAGE   \* MERGEFORMAT </w:instrText>
        </w:r>
        <w:r>
          <w:fldChar w:fldCharType="separate"/>
        </w:r>
        <w:r w:rsidR="003E0158">
          <w:rPr>
            <w:noProof/>
          </w:rPr>
          <w:t>8</w:t>
        </w:r>
        <w:r>
          <w:rPr>
            <w:noProof/>
          </w:rPr>
          <w:fldChar w:fldCharType="end"/>
        </w:r>
      </w:p>
    </w:sdtContent>
  </w:sdt>
  <w:p w:rsidR="00410DAC" w:rsidRDefault="00410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143A0"/>
    <w:multiLevelType w:val="hybridMultilevel"/>
    <w:tmpl w:val="320676D2"/>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6AFF18EE"/>
    <w:multiLevelType w:val="hybridMultilevel"/>
    <w:tmpl w:val="30D26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552020"/>
    <w:multiLevelType w:val="hybridMultilevel"/>
    <w:tmpl w:val="4226179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77"/>
    <w:rsid w:val="00080B6C"/>
    <w:rsid w:val="00086505"/>
    <w:rsid w:val="000B0360"/>
    <w:rsid w:val="001131A5"/>
    <w:rsid w:val="00245251"/>
    <w:rsid w:val="00373612"/>
    <w:rsid w:val="00377A5B"/>
    <w:rsid w:val="00383200"/>
    <w:rsid w:val="00392F6C"/>
    <w:rsid w:val="003E0158"/>
    <w:rsid w:val="003E21FC"/>
    <w:rsid w:val="003F168A"/>
    <w:rsid w:val="00410DAC"/>
    <w:rsid w:val="004152CA"/>
    <w:rsid w:val="0047588A"/>
    <w:rsid w:val="00491C8D"/>
    <w:rsid w:val="004A766E"/>
    <w:rsid w:val="004C68F2"/>
    <w:rsid w:val="004E7BE4"/>
    <w:rsid w:val="005233E2"/>
    <w:rsid w:val="005265E1"/>
    <w:rsid w:val="00555D5A"/>
    <w:rsid w:val="0056267C"/>
    <w:rsid w:val="00833B2C"/>
    <w:rsid w:val="008530D3"/>
    <w:rsid w:val="008864B9"/>
    <w:rsid w:val="008A4017"/>
    <w:rsid w:val="008D2E80"/>
    <w:rsid w:val="009743F5"/>
    <w:rsid w:val="00983671"/>
    <w:rsid w:val="00983FC6"/>
    <w:rsid w:val="00997195"/>
    <w:rsid w:val="009E4E94"/>
    <w:rsid w:val="00A244FC"/>
    <w:rsid w:val="00A50B47"/>
    <w:rsid w:val="00A669E2"/>
    <w:rsid w:val="00AF48EC"/>
    <w:rsid w:val="00B10D73"/>
    <w:rsid w:val="00B22DD8"/>
    <w:rsid w:val="00B967BA"/>
    <w:rsid w:val="00BB2DA9"/>
    <w:rsid w:val="00BC7A32"/>
    <w:rsid w:val="00C176A2"/>
    <w:rsid w:val="00C53957"/>
    <w:rsid w:val="00C66F50"/>
    <w:rsid w:val="00CE20E7"/>
    <w:rsid w:val="00D10DA0"/>
    <w:rsid w:val="00D2518C"/>
    <w:rsid w:val="00D92E4D"/>
    <w:rsid w:val="00D97097"/>
    <w:rsid w:val="00E77A77"/>
    <w:rsid w:val="00EC573F"/>
    <w:rsid w:val="00EC797F"/>
    <w:rsid w:val="00FA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C5B0D-6E08-4084-AE8A-EE67F5CC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A77"/>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A77"/>
    <w:pPr>
      <w:ind w:left="720"/>
      <w:contextualSpacing/>
    </w:pPr>
  </w:style>
  <w:style w:type="paragraph" w:styleId="FootnoteText">
    <w:name w:val="footnote text"/>
    <w:basedOn w:val="Normal"/>
    <w:link w:val="FootnoteTextChar"/>
    <w:uiPriority w:val="99"/>
    <w:semiHidden/>
    <w:unhideWhenUsed/>
    <w:rsid w:val="00EC57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73F"/>
    <w:rPr>
      <w:sz w:val="20"/>
      <w:szCs w:val="20"/>
      <w:lang w:val="en-ZA"/>
    </w:rPr>
  </w:style>
  <w:style w:type="character" w:styleId="FootnoteReference">
    <w:name w:val="footnote reference"/>
    <w:basedOn w:val="DefaultParagraphFont"/>
    <w:uiPriority w:val="99"/>
    <w:semiHidden/>
    <w:unhideWhenUsed/>
    <w:rsid w:val="00EC573F"/>
    <w:rPr>
      <w:vertAlign w:val="superscript"/>
    </w:rPr>
  </w:style>
  <w:style w:type="paragraph" w:styleId="Header">
    <w:name w:val="header"/>
    <w:basedOn w:val="Normal"/>
    <w:link w:val="HeaderChar"/>
    <w:uiPriority w:val="99"/>
    <w:unhideWhenUsed/>
    <w:rsid w:val="0041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DAC"/>
    <w:rPr>
      <w:lang w:val="en-ZA"/>
    </w:rPr>
  </w:style>
  <w:style w:type="paragraph" w:styleId="Footer">
    <w:name w:val="footer"/>
    <w:basedOn w:val="Normal"/>
    <w:link w:val="FooterChar"/>
    <w:uiPriority w:val="99"/>
    <w:unhideWhenUsed/>
    <w:rsid w:val="0041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DAC"/>
    <w:rPr>
      <w:lang w:val="en-ZA"/>
    </w:rPr>
  </w:style>
  <w:style w:type="paragraph" w:styleId="BalloonText">
    <w:name w:val="Balloon Text"/>
    <w:basedOn w:val="Normal"/>
    <w:link w:val="BalloonTextChar"/>
    <w:uiPriority w:val="99"/>
    <w:semiHidden/>
    <w:unhideWhenUsed/>
    <w:rsid w:val="00D10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DA0"/>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2017-09-27T18:30:00+00:00</Judgment_x0020_Date>
  </documentManagement>
</p:properties>
</file>

<file path=customXml/itemProps1.xml><?xml version="1.0" encoding="utf-8"?>
<ds:datastoreItem xmlns:ds="http://schemas.openxmlformats.org/officeDocument/2006/customXml" ds:itemID="{84E533A7-1574-409F-9AEE-D2B733B7FEBE}"/>
</file>

<file path=customXml/itemProps2.xml><?xml version="1.0" encoding="utf-8"?>
<ds:datastoreItem xmlns:ds="http://schemas.openxmlformats.org/officeDocument/2006/customXml" ds:itemID="{2E6E9098-3FE3-4244-B6E2-655C2F9488FF}"/>
</file>

<file path=customXml/itemProps3.xml><?xml version="1.0" encoding="utf-8"?>
<ds:datastoreItem xmlns:ds="http://schemas.openxmlformats.org/officeDocument/2006/customXml" ds:itemID="{B65803E7-46A1-42EF-A50F-A1813D779DC1}"/>
</file>

<file path=customXml/itemProps4.xml><?xml version="1.0" encoding="utf-8"?>
<ds:datastoreItem xmlns:ds="http://schemas.openxmlformats.org/officeDocument/2006/customXml" ds:itemID="{0853F2F1-967C-42D6-8FF4-F6CFA8C412C4}"/>
</file>

<file path=docProps/app.xml><?xml version="1.0" encoding="utf-8"?>
<Properties xmlns="http://schemas.openxmlformats.org/officeDocument/2006/extended-properties" xmlns:vt="http://schemas.openxmlformats.org/officeDocument/2006/docPropsVTypes">
  <Template>Normal</Template>
  <TotalTime>1</TotalTime>
  <Pages>8</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2017-09-27T10:48:00Z</cp:lastPrinted>
  <dcterms:created xsi:type="dcterms:W3CDTF">2017-10-09T09:06:00Z</dcterms:created>
  <dcterms:modified xsi:type="dcterms:W3CDTF">2017-10-09T09:06:00Z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