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5616D" w14:textId="77777777" w:rsidR="00675114" w:rsidRDefault="00675114" w:rsidP="00675114">
      <w:pPr>
        <w:jc w:val="center"/>
        <w:rPr>
          <w:rFonts w:ascii="Arial" w:hAnsi="Arial"/>
          <w:b/>
          <w:lang w:val="en-US"/>
        </w:rPr>
      </w:pPr>
      <w:r w:rsidRPr="00675114">
        <w:rPr>
          <w:rFonts w:ascii="Arial" w:hAnsi="Arial"/>
          <w:b/>
          <w:noProof/>
          <w:lang w:val="en-US"/>
        </w:rPr>
        <mc:AlternateContent>
          <mc:Choice Requires="wps">
            <w:drawing>
              <wp:anchor distT="0" distB="0" distL="114300" distR="114300" simplePos="0" relativeHeight="251658240" behindDoc="0" locked="0" layoutInCell="1" allowOverlap="1" wp14:anchorId="6D072328" wp14:editId="45DCABEB">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3AF6565F" w14:textId="77777777" w:rsidR="00675114" w:rsidRDefault="00675114" w:rsidP="0067511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72328"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14:paraId="3AF6565F" w14:textId="77777777" w:rsidR="00675114" w:rsidRDefault="00675114" w:rsidP="00675114">
                      <w:pPr>
                        <w:jc w:val="center"/>
                        <w:rPr>
                          <w:rFonts w:ascii="Arial" w:hAnsi="Arial" w:cs="Arial"/>
                        </w:rPr>
                      </w:pPr>
                    </w:p>
                  </w:txbxContent>
                </v:textbox>
              </v:shape>
            </w:pict>
          </mc:Fallback>
        </mc:AlternateContent>
      </w:r>
      <w:r w:rsidRPr="00675114">
        <w:rPr>
          <w:rFonts w:ascii="Arial" w:hAnsi="Arial"/>
          <w:b/>
          <w:lang w:val="en-US"/>
        </w:rPr>
        <w:t>REPUBLIC OF NAMIBIA</w:t>
      </w:r>
    </w:p>
    <w:p w14:paraId="7AAB7242" w14:textId="77777777" w:rsidR="00675114" w:rsidRPr="00675114" w:rsidRDefault="00675114" w:rsidP="00675114">
      <w:pPr>
        <w:jc w:val="center"/>
        <w:rPr>
          <w:rFonts w:ascii="Arial" w:hAnsi="Arial"/>
          <w:b/>
          <w:lang w:val="en-US"/>
        </w:rPr>
      </w:pPr>
    </w:p>
    <w:p w14:paraId="76C76936" w14:textId="77777777" w:rsidR="00675114" w:rsidRPr="00675114" w:rsidRDefault="00675114" w:rsidP="00675114">
      <w:pPr>
        <w:jc w:val="center"/>
        <w:rPr>
          <w:rFonts w:ascii="Arial" w:hAnsi="Arial"/>
          <w:b/>
          <w:lang w:val="en-US"/>
        </w:rPr>
      </w:pPr>
      <w:r w:rsidRPr="00675114">
        <w:rPr>
          <w:rFonts w:ascii="Arial" w:hAnsi="Arial"/>
          <w:b/>
          <w:noProof/>
          <w:lang w:val="en-US"/>
        </w:rPr>
        <w:drawing>
          <wp:inline distT="0" distB="0" distL="0" distR="0" wp14:anchorId="3DBC2FE9" wp14:editId="7786D9CE">
            <wp:extent cx="981075" cy="1010144"/>
            <wp:effectExtent l="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214" cy="1015436"/>
                    </a:xfrm>
                    <a:prstGeom prst="rect">
                      <a:avLst/>
                    </a:prstGeom>
                    <a:noFill/>
                    <a:ln>
                      <a:noFill/>
                    </a:ln>
                  </pic:spPr>
                </pic:pic>
              </a:graphicData>
            </a:graphic>
          </wp:inline>
        </w:drawing>
      </w:r>
    </w:p>
    <w:p w14:paraId="5B1C3BEB" w14:textId="77777777" w:rsidR="00675114" w:rsidRPr="00675114" w:rsidRDefault="00675114" w:rsidP="00675114">
      <w:pPr>
        <w:jc w:val="center"/>
        <w:rPr>
          <w:rFonts w:ascii="Arial" w:hAnsi="Arial"/>
          <w:b/>
          <w:bCs/>
          <w:lang w:val="en-US"/>
        </w:rPr>
      </w:pPr>
      <w:r w:rsidRPr="00675114">
        <w:rPr>
          <w:rFonts w:ascii="Arial" w:hAnsi="Arial"/>
          <w:b/>
          <w:lang w:val="en-US"/>
        </w:rPr>
        <w:t>HIGH COURT OF NAMIBIA NORTHERN LOCAL DIVISION, OSHAKATI</w:t>
      </w:r>
    </w:p>
    <w:p w14:paraId="65339796" w14:textId="77777777" w:rsidR="00675114" w:rsidRPr="00675114" w:rsidRDefault="00675114" w:rsidP="00675114">
      <w:pPr>
        <w:jc w:val="center"/>
        <w:rPr>
          <w:rFonts w:ascii="Arial" w:hAnsi="Arial"/>
          <w:b/>
          <w:lang w:val="en-US"/>
        </w:rPr>
      </w:pPr>
    </w:p>
    <w:p w14:paraId="504D7BC5" w14:textId="77777777" w:rsidR="000D1982" w:rsidRDefault="000D1982" w:rsidP="000D1982">
      <w:pPr>
        <w:jc w:val="center"/>
        <w:rPr>
          <w:rFonts w:ascii="Arial" w:hAnsi="Arial"/>
          <w:b/>
        </w:rPr>
      </w:pPr>
    </w:p>
    <w:p w14:paraId="47921B85" w14:textId="77777777" w:rsidR="000D1982" w:rsidRDefault="000D1982" w:rsidP="000D1982">
      <w:pPr>
        <w:jc w:val="center"/>
        <w:rPr>
          <w:rFonts w:ascii="Arial" w:hAnsi="Arial"/>
          <w:b/>
        </w:rPr>
      </w:pPr>
      <w:r>
        <w:rPr>
          <w:rFonts w:ascii="Arial" w:hAnsi="Arial"/>
          <w:b/>
        </w:rPr>
        <w:t>RULING</w:t>
      </w:r>
    </w:p>
    <w:p w14:paraId="4B3686D2" w14:textId="77777777" w:rsidR="000D1982" w:rsidRDefault="000D1982" w:rsidP="000D1982">
      <w:pPr>
        <w:jc w:val="center"/>
        <w:rPr>
          <w:rFonts w:ascii="Arial" w:hAnsi="Arial"/>
          <w:b/>
        </w:rPr>
      </w:pPr>
    </w:p>
    <w:p w14:paraId="1E4B395A" w14:textId="77777777" w:rsidR="00675114" w:rsidRDefault="00675114" w:rsidP="000D1982">
      <w:pPr>
        <w:jc w:val="right"/>
        <w:rPr>
          <w:rFonts w:ascii="Arial" w:hAnsi="Arial"/>
        </w:rPr>
      </w:pPr>
    </w:p>
    <w:p w14:paraId="05DF0766" w14:textId="77777777" w:rsidR="000D1982" w:rsidRDefault="000D1982" w:rsidP="000D1982">
      <w:pPr>
        <w:jc w:val="right"/>
        <w:rPr>
          <w:rFonts w:ascii="Arial" w:hAnsi="Arial"/>
        </w:rPr>
      </w:pPr>
      <w:r>
        <w:rPr>
          <w:rFonts w:ascii="Arial" w:hAnsi="Arial"/>
        </w:rPr>
        <w:t>CASE NO: HC-NLD-CIV-MOT-GEN-2020/00002</w:t>
      </w:r>
    </w:p>
    <w:p w14:paraId="582B971D" w14:textId="77777777" w:rsidR="000D1982" w:rsidRDefault="000D1982" w:rsidP="000D1982">
      <w:pPr>
        <w:jc w:val="right"/>
        <w:rPr>
          <w:rFonts w:ascii="Arial" w:hAnsi="Arial"/>
        </w:rPr>
      </w:pPr>
    </w:p>
    <w:p w14:paraId="1B51232E" w14:textId="77777777" w:rsidR="000D1982" w:rsidRDefault="000D1982" w:rsidP="000D1982">
      <w:pPr>
        <w:rPr>
          <w:rFonts w:ascii="Arial" w:hAnsi="Arial"/>
        </w:rPr>
      </w:pPr>
      <w:r>
        <w:rPr>
          <w:rFonts w:ascii="Arial" w:hAnsi="Arial"/>
        </w:rPr>
        <w:t>In the matter between:</w:t>
      </w:r>
    </w:p>
    <w:p w14:paraId="12BF67EB" w14:textId="77777777" w:rsidR="000D1982" w:rsidRDefault="000D1982" w:rsidP="000D1982">
      <w:pPr>
        <w:rPr>
          <w:rFonts w:ascii="Arial" w:hAnsi="Arial"/>
        </w:rPr>
      </w:pPr>
    </w:p>
    <w:p w14:paraId="54024B6E" w14:textId="77777777" w:rsidR="000D1982" w:rsidRDefault="000D1982" w:rsidP="000D1982">
      <w:pPr>
        <w:rPr>
          <w:rFonts w:ascii="Arial" w:hAnsi="Arial"/>
          <w:b/>
        </w:rPr>
      </w:pPr>
      <w:r>
        <w:rPr>
          <w:rFonts w:ascii="Arial" w:hAnsi="Arial"/>
          <w:b/>
        </w:rPr>
        <w:t>OLIVIA TUYOLENI MICHAEL                                           FIRST APPLICANT</w:t>
      </w:r>
    </w:p>
    <w:p w14:paraId="7714A97A" w14:textId="77777777" w:rsidR="000D1982" w:rsidRDefault="000D1982" w:rsidP="000D1982">
      <w:pPr>
        <w:rPr>
          <w:rFonts w:ascii="Arial" w:hAnsi="Arial"/>
          <w:b/>
        </w:rPr>
      </w:pPr>
    </w:p>
    <w:p w14:paraId="6EB6AA73" w14:textId="4B17A747" w:rsidR="000D1982" w:rsidRDefault="006A7EEC" w:rsidP="000D1982">
      <w:pPr>
        <w:rPr>
          <w:rFonts w:ascii="Arial" w:hAnsi="Arial"/>
          <w:b/>
        </w:rPr>
      </w:pPr>
      <w:r w:rsidRPr="006A7EEC">
        <w:rPr>
          <w:rFonts w:ascii="Arial" w:hAnsi="Arial"/>
          <w:b/>
        </w:rPr>
        <w:t xml:space="preserve">JOSEF NGHILIFANANDE MICHEAL </w:t>
      </w:r>
      <w:r>
        <w:rPr>
          <w:rFonts w:ascii="Arial" w:hAnsi="Arial"/>
          <w:b/>
        </w:rPr>
        <w:t xml:space="preserve"> </w:t>
      </w:r>
      <w:r w:rsidR="000D1982">
        <w:rPr>
          <w:rFonts w:ascii="Arial" w:hAnsi="Arial"/>
          <w:b/>
        </w:rPr>
        <w:t xml:space="preserve">                         SECOND APPLICANT</w:t>
      </w:r>
    </w:p>
    <w:p w14:paraId="70B5E4CD" w14:textId="77777777" w:rsidR="000D1982" w:rsidRDefault="000D1982" w:rsidP="000D1982">
      <w:pPr>
        <w:rPr>
          <w:rFonts w:ascii="Arial" w:hAnsi="Arial"/>
          <w:b/>
        </w:rPr>
      </w:pPr>
    </w:p>
    <w:p w14:paraId="0D178363" w14:textId="76850FAF" w:rsidR="000D1982" w:rsidRDefault="006A7EEC" w:rsidP="000D1982">
      <w:pPr>
        <w:rPr>
          <w:rFonts w:ascii="Arial" w:hAnsi="Arial"/>
          <w:b/>
        </w:rPr>
      </w:pPr>
      <w:r w:rsidRPr="006A7EEC">
        <w:rPr>
          <w:rFonts w:ascii="Arial" w:hAnsi="Arial"/>
          <w:b/>
        </w:rPr>
        <w:t>PIUS NGHIYELEKWA MICHEAL</w:t>
      </w:r>
      <w:r>
        <w:rPr>
          <w:rFonts w:ascii="Arial" w:hAnsi="Arial"/>
          <w:b/>
        </w:rPr>
        <w:tab/>
      </w:r>
      <w:r>
        <w:rPr>
          <w:rFonts w:ascii="Arial" w:hAnsi="Arial"/>
          <w:b/>
        </w:rPr>
        <w:tab/>
      </w:r>
      <w:r>
        <w:rPr>
          <w:rFonts w:ascii="Arial" w:hAnsi="Arial"/>
          <w:b/>
        </w:rPr>
        <w:tab/>
      </w:r>
      <w:r>
        <w:rPr>
          <w:rFonts w:ascii="Arial" w:hAnsi="Arial"/>
          <w:b/>
        </w:rPr>
        <w:tab/>
        <w:t xml:space="preserve">     </w:t>
      </w:r>
      <w:r w:rsidR="000D1982">
        <w:rPr>
          <w:rFonts w:ascii="Arial" w:hAnsi="Arial"/>
          <w:b/>
        </w:rPr>
        <w:t>THIRD APPLICANT</w:t>
      </w:r>
    </w:p>
    <w:p w14:paraId="5A182AA1" w14:textId="77777777" w:rsidR="000D1982" w:rsidRDefault="000D1982" w:rsidP="000D1982">
      <w:pPr>
        <w:rPr>
          <w:rFonts w:ascii="Arial" w:hAnsi="Arial"/>
          <w:b/>
        </w:rPr>
      </w:pPr>
    </w:p>
    <w:p w14:paraId="6C284F22" w14:textId="77777777" w:rsidR="000D1982" w:rsidRDefault="000D1982" w:rsidP="000D1982">
      <w:pPr>
        <w:rPr>
          <w:rFonts w:ascii="Arial" w:hAnsi="Arial"/>
        </w:rPr>
      </w:pPr>
    </w:p>
    <w:p w14:paraId="6170B3BA" w14:textId="77777777" w:rsidR="000D1982" w:rsidRDefault="000D1982" w:rsidP="000D1982">
      <w:pPr>
        <w:rPr>
          <w:rFonts w:ascii="Arial" w:hAnsi="Arial"/>
        </w:rPr>
      </w:pPr>
      <w:proofErr w:type="gramStart"/>
      <w:r>
        <w:rPr>
          <w:rFonts w:ascii="Arial" w:hAnsi="Arial"/>
        </w:rPr>
        <w:t>and</w:t>
      </w:r>
      <w:proofErr w:type="gramEnd"/>
    </w:p>
    <w:p w14:paraId="3BABC175" w14:textId="77777777" w:rsidR="000D1982" w:rsidRDefault="000D1982" w:rsidP="000D1982">
      <w:pPr>
        <w:rPr>
          <w:rFonts w:ascii="Arial" w:hAnsi="Arial"/>
        </w:rPr>
      </w:pPr>
    </w:p>
    <w:p w14:paraId="47298C01" w14:textId="77777777" w:rsidR="000D1982" w:rsidRDefault="000D1982" w:rsidP="000D1982">
      <w:pPr>
        <w:rPr>
          <w:rFonts w:ascii="Arial" w:hAnsi="Arial"/>
        </w:rPr>
      </w:pPr>
    </w:p>
    <w:p w14:paraId="1FECEEC9" w14:textId="77777777" w:rsidR="000D1982" w:rsidRDefault="000D1982" w:rsidP="000D1982">
      <w:pPr>
        <w:rPr>
          <w:rFonts w:ascii="Arial" w:hAnsi="Arial"/>
          <w:b/>
        </w:rPr>
      </w:pPr>
      <w:r>
        <w:rPr>
          <w:rFonts w:ascii="Arial" w:hAnsi="Arial"/>
          <w:b/>
        </w:rPr>
        <w:t>ESTER TSHIWALO                                                                  RESPONDENT</w:t>
      </w:r>
    </w:p>
    <w:p w14:paraId="16306CE8" w14:textId="77777777" w:rsidR="00675114" w:rsidRDefault="00675114" w:rsidP="000D1982">
      <w:pPr>
        <w:rPr>
          <w:rFonts w:ascii="Arial" w:hAnsi="Arial"/>
          <w:b/>
        </w:rPr>
      </w:pPr>
    </w:p>
    <w:p w14:paraId="5B69565F" w14:textId="77777777" w:rsidR="00675114" w:rsidRDefault="00675114" w:rsidP="000D1982">
      <w:pPr>
        <w:rPr>
          <w:rFonts w:ascii="Arial" w:hAnsi="Arial"/>
          <w:b/>
        </w:rPr>
      </w:pPr>
    </w:p>
    <w:p w14:paraId="5ACEBFF8" w14:textId="699018E7" w:rsidR="00675114" w:rsidRDefault="00675114" w:rsidP="00E928B5">
      <w:pPr>
        <w:spacing w:line="360" w:lineRule="auto"/>
        <w:rPr>
          <w:rFonts w:ascii="Arial" w:hAnsi="Arial"/>
        </w:rPr>
      </w:pPr>
      <w:r>
        <w:rPr>
          <w:rFonts w:ascii="Arial" w:hAnsi="Arial"/>
          <w:b/>
        </w:rPr>
        <w:t xml:space="preserve">Neutral citation: </w:t>
      </w:r>
      <w:r w:rsidRPr="00675114">
        <w:rPr>
          <w:rFonts w:ascii="Arial" w:hAnsi="Arial"/>
          <w:i/>
        </w:rPr>
        <w:t xml:space="preserve">Michael v </w:t>
      </w:r>
      <w:proofErr w:type="spellStart"/>
      <w:r w:rsidRPr="00675114">
        <w:rPr>
          <w:rFonts w:ascii="Arial" w:hAnsi="Arial"/>
          <w:i/>
        </w:rPr>
        <w:t>Tshiwalo</w:t>
      </w:r>
      <w:proofErr w:type="spellEnd"/>
      <w:r w:rsidRPr="00675114">
        <w:rPr>
          <w:rFonts w:ascii="Arial" w:hAnsi="Arial"/>
        </w:rPr>
        <w:t xml:space="preserve"> (HC-NLD-CIV-MOT-GEN-2020/00002</w:t>
      </w:r>
      <w:r w:rsidR="00962A2A">
        <w:rPr>
          <w:rFonts w:ascii="Arial" w:hAnsi="Arial"/>
        </w:rPr>
        <w:t>) [2020] NAHCNLD 60 (</w:t>
      </w:r>
      <w:r>
        <w:rPr>
          <w:rFonts w:ascii="Arial" w:hAnsi="Arial"/>
        </w:rPr>
        <w:t>3 June 2020)</w:t>
      </w:r>
    </w:p>
    <w:p w14:paraId="0E9A6582" w14:textId="77777777" w:rsidR="00675114" w:rsidRDefault="00675114" w:rsidP="000D1982">
      <w:pPr>
        <w:rPr>
          <w:rFonts w:ascii="Arial" w:hAnsi="Arial"/>
        </w:rPr>
      </w:pPr>
    </w:p>
    <w:p w14:paraId="406A5861" w14:textId="77777777" w:rsidR="00675114" w:rsidRDefault="00675114" w:rsidP="000D1982">
      <w:pPr>
        <w:rPr>
          <w:rFonts w:ascii="Arial" w:hAnsi="Arial"/>
        </w:rPr>
      </w:pPr>
    </w:p>
    <w:p w14:paraId="0CA1C09E" w14:textId="2FAC35DE" w:rsidR="00675114" w:rsidRDefault="00675114" w:rsidP="00141667">
      <w:pPr>
        <w:rPr>
          <w:rFonts w:ascii="Arial" w:hAnsi="Arial"/>
        </w:rPr>
      </w:pPr>
      <w:r w:rsidRPr="00675114">
        <w:rPr>
          <w:rFonts w:ascii="Arial" w:hAnsi="Arial"/>
          <w:b/>
        </w:rPr>
        <w:t>Coram:</w:t>
      </w:r>
      <w:r>
        <w:rPr>
          <w:rFonts w:ascii="Arial" w:hAnsi="Arial"/>
        </w:rPr>
        <w:t xml:space="preserve"> </w:t>
      </w:r>
      <w:r w:rsidR="00752308">
        <w:rPr>
          <w:rFonts w:ascii="Arial" w:hAnsi="Arial"/>
        </w:rPr>
        <w:tab/>
      </w:r>
      <w:r>
        <w:rPr>
          <w:rFonts w:ascii="Arial" w:hAnsi="Arial"/>
        </w:rPr>
        <w:t>MASUKU J</w:t>
      </w:r>
    </w:p>
    <w:p w14:paraId="346719D5" w14:textId="77777777" w:rsidR="00675114" w:rsidRDefault="00675114" w:rsidP="00141667">
      <w:pPr>
        <w:rPr>
          <w:rFonts w:ascii="Arial" w:hAnsi="Arial"/>
        </w:rPr>
      </w:pPr>
    </w:p>
    <w:p w14:paraId="0757DB08" w14:textId="7C9B5DB0" w:rsidR="00675114" w:rsidRPr="00675114" w:rsidRDefault="00675114" w:rsidP="00141667">
      <w:pPr>
        <w:rPr>
          <w:rFonts w:ascii="Arial" w:hAnsi="Arial"/>
          <w:b/>
        </w:rPr>
      </w:pPr>
      <w:r w:rsidRPr="00675114">
        <w:rPr>
          <w:rFonts w:ascii="Arial" w:hAnsi="Arial"/>
          <w:b/>
        </w:rPr>
        <w:t xml:space="preserve">Heard: </w:t>
      </w:r>
      <w:r w:rsidR="00752308">
        <w:rPr>
          <w:rFonts w:ascii="Arial" w:hAnsi="Arial"/>
          <w:b/>
        </w:rPr>
        <w:tab/>
      </w:r>
      <w:r w:rsidRPr="00675114">
        <w:rPr>
          <w:rFonts w:ascii="Arial" w:hAnsi="Arial"/>
          <w:b/>
        </w:rPr>
        <w:t>01 June 2020</w:t>
      </w:r>
    </w:p>
    <w:p w14:paraId="507A6CFD" w14:textId="77777777" w:rsidR="00675114" w:rsidRPr="00675114" w:rsidRDefault="00675114" w:rsidP="00141667">
      <w:pPr>
        <w:rPr>
          <w:rFonts w:ascii="Arial" w:hAnsi="Arial"/>
          <w:b/>
        </w:rPr>
      </w:pPr>
    </w:p>
    <w:p w14:paraId="2DF3BD11" w14:textId="6F66132F" w:rsidR="00675114" w:rsidRDefault="00675114" w:rsidP="00141667">
      <w:pPr>
        <w:rPr>
          <w:rFonts w:ascii="Arial" w:hAnsi="Arial"/>
          <w:b/>
        </w:rPr>
      </w:pPr>
      <w:r w:rsidRPr="00675114">
        <w:rPr>
          <w:rFonts w:ascii="Arial" w:hAnsi="Arial"/>
          <w:b/>
        </w:rPr>
        <w:t>Delivered:</w:t>
      </w:r>
      <w:r w:rsidR="00752308">
        <w:rPr>
          <w:rFonts w:ascii="Arial" w:hAnsi="Arial"/>
          <w:b/>
        </w:rPr>
        <w:tab/>
      </w:r>
      <w:r w:rsidRPr="00675114">
        <w:rPr>
          <w:rFonts w:ascii="Arial" w:hAnsi="Arial"/>
          <w:b/>
        </w:rPr>
        <w:t xml:space="preserve"> 03 June 2020</w:t>
      </w:r>
    </w:p>
    <w:p w14:paraId="4ACD5349" w14:textId="77777777" w:rsidR="00675114" w:rsidRDefault="00675114" w:rsidP="000D1982">
      <w:pPr>
        <w:rPr>
          <w:rFonts w:ascii="Arial" w:hAnsi="Arial"/>
          <w:b/>
        </w:rPr>
      </w:pPr>
    </w:p>
    <w:p w14:paraId="14D71D4A" w14:textId="77777777" w:rsidR="00675114" w:rsidRDefault="00675114" w:rsidP="000D1982">
      <w:pPr>
        <w:rPr>
          <w:rFonts w:ascii="Arial" w:hAnsi="Arial"/>
          <w:b/>
        </w:rPr>
      </w:pPr>
    </w:p>
    <w:p w14:paraId="4200ED63" w14:textId="02C45B92" w:rsidR="00675114" w:rsidRDefault="00075B86" w:rsidP="001D10C3">
      <w:pPr>
        <w:spacing w:line="360" w:lineRule="auto"/>
        <w:jc w:val="both"/>
        <w:rPr>
          <w:rFonts w:ascii="Arial" w:hAnsi="Arial"/>
        </w:rPr>
      </w:pPr>
      <w:proofErr w:type="spellStart"/>
      <w:r>
        <w:rPr>
          <w:rFonts w:ascii="Arial" w:hAnsi="Arial"/>
          <w:b/>
        </w:rPr>
        <w:t>Flynote</w:t>
      </w:r>
      <w:proofErr w:type="spellEnd"/>
      <w:r w:rsidR="00675114">
        <w:rPr>
          <w:rFonts w:ascii="Arial" w:hAnsi="Arial"/>
          <w:b/>
        </w:rPr>
        <w:t>:</w:t>
      </w:r>
      <w:r w:rsidR="00705326">
        <w:rPr>
          <w:rFonts w:ascii="Arial" w:hAnsi="Arial"/>
          <w:b/>
        </w:rPr>
        <w:t xml:space="preserve"> </w:t>
      </w:r>
      <w:r w:rsidR="00705326">
        <w:rPr>
          <w:rFonts w:ascii="Arial" w:hAnsi="Arial"/>
          <w:b/>
        </w:rPr>
        <w:tab/>
      </w:r>
      <w:r w:rsidR="00705326">
        <w:rPr>
          <w:rFonts w:ascii="Arial" w:hAnsi="Arial"/>
        </w:rPr>
        <w:t xml:space="preserve">Administration of estates- </w:t>
      </w:r>
      <w:r w:rsidR="005C480B">
        <w:rPr>
          <w:rFonts w:ascii="Arial" w:hAnsi="Arial"/>
        </w:rPr>
        <w:t xml:space="preserve">Points in </w:t>
      </w:r>
      <w:proofErr w:type="spellStart"/>
      <w:r w:rsidR="005C480B">
        <w:rPr>
          <w:rFonts w:ascii="Arial" w:hAnsi="Arial"/>
        </w:rPr>
        <w:t>limine</w:t>
      </w:r>
      <w:proofErr w:type="spellEnd"/>
      <w:r w:rsidR="005C480B">
        <w:rPr>
          <w:rFonts w:ascii="Arial" w:hAnsi="Arial"/>
        </w:rPr>
        <w:t xml:space="preserve">- </w:t>
      </w:r>
      <w:r w:rsidR="00705326">
        <w:rPr>
          <w:rFonts w:ascii="Arial" w:hAnsi="Arial"/>
        </w:rPr>
        <w:t xml:space="preserve">Non-compliance with peremptory provisions of Rule 65 (7) – </w:t>
      </w:r>
      <w:r w:rsidR="0075041B">
        <w:rPr>
          <w:rFonts w:ascii="Arial" w:hAnsi="Arial"/>
        </w:rPr>
        <w:t xml:space="preserve">The </w:t>
      </w:r>
      <w:r w:rsidR="00705326">
        <w:rPr>
          <w:rFonts w:ascii="Arial" w:hAnsi="Arial"/>
        </w:rPr>
        <w:t>Court is not willing to condon</w:t>
      </w:r>
      <w:r w:rsidR="005C480B">
        <w:rPr>
          <w:rFonts w:ascii="Arial" w:hAnsi="Arial"/>
        </w:rPr>
        <w:t>e material non-compliance- The matter is removed from the roll.</w:t>
      </w:r>
    </w:p>
    <w:p w14:paraId="6B7ABEBD" w14:textId="77777777" w:rsidR="00141667" w:rsidRDefault="00141667" w:rsidP="001D10C3">
      <w:pPr>
        <w:spacing w:line="360" w:lineRule="auto"/>
        <w:jc w:val="both"/>
        <w:rPr>
          <w:rFonts w:ascii="Arial" w:hAnsi="Arial"/>
          <w:b/>
        </w:rPr>
      </w:pPr>
    </w:p>
    <w:p w14:paraId="5F91687D" w14:textId="79984D7A" w:rsidR="000D1982" w:rsidRDefault="00675114" w:rsidP="005E0A2A">
      <w:pPr>
        <w:spacing w:line="360" w:lineRule="auto"/>
        <w:jc w:val="both"/>
        <w:rPr>
          <w:rFonts w:ascii="Arial" w:hAnsi="Arial"/>
        </w:rPr>
      </w:pPr>
      <w:r>
        <w:rPr>
          <w:rFonts w:ascii="Arial" w:hAnsi="Arial"/>
          <w:b/>
        </w:rPr>
        <w:lastRenderedPageBreak/>
        <w:t>Summary:</w:t>
      </w:r>
      <w:r w:rsidR="005C480B">
        <w:rPr>
          <w:rFonts w:ascii="Arial" w:hAnsi="Arial"/>
          <w:b/>
        </w:rPr>
        <w:tab/>
      </w:r>
      <w:r w:rsidR="000F63A1">
        <w:rPr>
          <w:rFonts w:ascii="Arial" w:hAnsi="Arial"/>
        </w:rPr>
        <w:t>The</w:t>
      </w:r>
      <w:r w:rsidR="005C480B" w:rsidRPr="005C480B">
        <w:rPr>
          <w:rFonts w:ascii="Arial" w:hAnsi="Arial"/>
        </w:rPr>
        <w:t xml:space="preserve"> </w:t>
      </w:r>
      <w:r w:rsidR="0075041B">
        <w:rPr>
          <w:rFonts w:ascii="Arial" w:hAnsi="Arial"/>
        </w:rPr>
        <w:t>a</w:t>
      </w:r>
      <w:r w:rsidR="005C480B" w:rsidRPr="005C480B">
        <w:rPr>
          <w:rFonts w:ascii="Arial" w:hAnsi="Arial"/>
        </w:rPr>
        <w:t xml:space="preserve">pplicants are the biological children of the late Justine </w:t>
      </w:r>
      <w:proofErr w:type="spellStart"/>
      <w:r w:rsidR="005C480B" w:rsidRPr="005C480B">
        <w:rPr>
          <w:rFonts w:ascii="Arial" w:hAnsi="Arial"/>
        </w:rPr>
        <w:t>Nangula</w:t>
      </w:r>
      <w:proofErr w:type="spellEnd"/>
      <w:r w:rsidR="005C480B" w:rsidRPr="005C480B">
        <w:rPr>
          <w:rFonts w:ascii="Arial" w:hAnsi="Arial"/>
        </w:rPr>
        <w:t xml:space="preserve"> </w:t>
      </w:r>
      <w:proofErr w:type="spellStart"/>
      <w:r w:rsidR="005C480B" w:rsidRPr="005C480B">
        <w:rPr>
          <w:rFonts w:ascii="Arial" w:hAnsi="Arial"/>
        </w:rPr>
        <w:t>Nghihadelwa</w:t>
      </w:r>
      <w:proofErr w:type="spellEnd"/>
      <w:r w:rsidR="005C480B" w:rsidRPr="005C480B">
        <w:rPr>
          <w:rFonts w:ascii="Arial" w:hAnsi="Arial"/>
        </w:rPr>
        <w:t>.</w:t>
      </w:r>
      <w:r w:rsidR="000F63A1">
        <w:rPr>
          <w:rFonts w:ascii="Arial" w:hAnsi="Arial"/>
        </w:rPr>
        <w:t xml:space="preserve"> They brought an application against the executrix of the late </w:t>
      </w:r>
      <w:proofErr w:type="spellStart"/>
      <w:r w:rsidR="000F63A1">
        <w:rPr>
          <w:rFonts w:ascii="Arial" w:hAnsi="Arial"/>
        </w:rPr>
        <w:t>Nghihadelwa’</w:t>
      </w:r>
      <w:r w:rsidR="0075041B">
        <w:rPr>
          <w:rFonts w:ascii="Arial" w:hAnsi="Arial"/>
        </w:rPr>
        <w:t>s</w:t>
      </w:r>
      <w:proofErr w:type="spellEnd"/>
      <w:r w:rsidR="0075041B">
        <w:rPr>
          <w:rFonts w:ascii="Arial" w:hAnsi="Arial"/>
        </w:rPr>
        <w:t xml:space="preserve"> estate</w:t>
      </w:r>
      <w:r w:rsidR="000F63A1">
        <w:rPr>
          <w:rFonts w:ascii="Arial" w:hAnsi="Arial"/>
        </w:rPr>
        <w:t>.</w:t>
      </w:r>
    </w:p>
    <w:p w14:paraId="63EEA68E" w14:textId="77777777" w:rsidR="001D10C3" w:rsidRDefault="001D10C3" w:rsidP="005E0A2A">
      <w:pPr>
        <w:spacing w:line="360" w:lineRule="auto"/>
        <w:jc w:val="both"/>
        <w:rPr>
          <w:rFonts w:ascii="Arial" w:hAnsi="Arial"/>
        </w:rPr>
      </w:pPr>
    </w:p>
    <w:p w14:paraId="707EC0E7" w14:textId="769003F1" w:rsidR="00815FEA" w:rsidRDefault="000F63A1" w:rsidP="005E0A2A">
      <w:pPr>
        <w:spacing w:line="360" w:lineRule="auto"/>
        <w:jc w:val="both"/>
        <w:rPr>
          <w:rFonts w:ascii="Arial" w:hAnsi="Arial"/>
        </w:rPr>
      </w:pPr>
      <w:r>
        <w:rPr>
          <w:rFonts w:ascii="Arial" w:hAnsi="Arial"/>
        </w:rPr>
        <w:t>The a</w:t>
      </w:r>
      <w:r w:rsidR="009A7C9D">
        <w:rPr>
          <w:rFonts w:ascii="Arial" w:hAnsi="Arial"/>
        </w:rPr>
        <w:t xml:space="preserve">pplication was opposed and the </w:t>
      </w:r>
      <w:r w:rsidR="0075041B">
        <w:rPr>
          <w:rFonts w:ascii="Arial" w:hAnsi="Arial"/>
        </w:rPr>
        <w:t>r</w:t>
      </w:r>
      <w:r w:rsidR="009A7C9D">
        <w:rPr>
          <w:rFonts w:ascii="Arial" w:hAnsi="Arial"/>
        </w:rPr>
        <w:t>espondent</w:t>
      </w:r>
      <w:r>
        <w:rPr>
          <w:rFonts w:ascii="Arial" w:hAnsi="Arial"/>
        </w:rPr>
        <w:t xml:space="preserve"> raised a few points in </w:t>
      </w:r>
      <w:proofErr w:type="spellStart"/>
      <w:r>
        <w:rPr>
          <w:rFonts w:ascii="Arial" w:hAnsi="Arial"/>
        </w:rPr>
        <w:t>limine</w:t>
      </w:r>
      <w:proofErr w:type="spellEnd"/>
      <w:r w:rsidR="009A7C9D">
        <w:rPr>
          <w:rFonts w:ascii="Arial" w:hAnsi="Arial"/>
        </w:rPr>
        <w:t xml:space="preserve">. The court </w:t>
      </w:r>
      <w:r w:rsidR="00815FEA" w:rsidRPr="00815FEA">
        <w:rPr>
          <w:rFonts w:ascii="Arial" w:hAnsi="Arial"/>
        </w:rPr>
        <w:t>found it fitting to deal with just one point of law that was raised</w:t>
      </w:r>
      <w:r w:rsidR="001D10C3">
        <w:rPr>
          <w:rFonts w:ascii="Arial" w:hAnsi="Arial"/>
        </w:rPr>
        <w:t>. R</w:t>
      </w:r>
      <w:r w:rsidR="00815FEA" w:rsidRPr="00815FEA">
        <w:rPr>
          <w:rFonts w:ascii="Arial" w:hAnsi="Arial"/>
        </w:rPr>
        <w:t>ule 65(7</w:t>
      </w:r>
      <w:r w:rsidR="001D10C3">
        <w:rPr>
          <w:rFonts w:ascii="Arial" w:hAnsi="Arial"/>
        </w:rPr>
        <w:t>) makes it a requirement that any person</w:t>
      </w:r>
      <w:r w:rsidR="0075041B">
        <w:rPr>
          <w:rFonts w:ascii="Arial" w:hAnsi="Arial"/>
        </w:rPr>
        <w:t xml:space="preserve"> </w:t>
      </w:r>
      <w:r w:rsidR="00815FEA" w:rsidRPr="00815FEA">
        <w:rPr>
          <w:rFonts w:ascii="Arial" w:hAnsi="Arial"/>
        </w:rPr>
        <w:t>who makes an application to the court in connection with the estate of a deceased person before the applicati</w:t>
      </w:r>
      <w:r w:rsidR="001D10C3">
        <w:rPr>
          <w:rFonts w:ascii="Arial" w:hAnsi="Arial"/>
        </w:rPr>
        <w:t xml:space="preserve">on is filed with the registrar must </w:t>
      </w:r>
      <w:r w:rsidR="00815FEA" w:rsidRPr="00815FEA">
        <w:rPr>
          <w:rFonts w:ascii="Arial" w:hAnsi="Arial"/>
        </w:rPr>
        <w:t xml:space="preserve">submit the application to the master for his </w:t>
      </w:r>
      <w:r w:rsidR="001D10C3">
        <w:rPr>
          <w:rFonts w:ascii="Arial" w:hAnsi="Arial"/>
        </w:rPr>
        <w:t>or her consideration and report.</w:t>
      </w:r>
    </w:p>
    <w:p w14:paraId="390CED17" w14:textId="77777777" w:rsidR="001D10C3" w:rsidRDefault="001D10C3" w:rsidP="005E0A2A">
      <w:pPr>
        <w:spacing w:line="360" w:lineRule="auto"/>
        <w:jc w:val="both"/>
        <w:rPr>
          <w:rFonts w:ascii="Arial" w:hAnsi="Arial"/>
        </w:rPr>
      </w:pPr>
    </w:p>
    <w:p w14:paraId="0687B0E7" w14:textId="24168B1E" w:rsidR="001D10C3" w:rsidRDefault="001D10C3" w:rsidP="005E0A2A">
      <w:pPr>
        <w:spacing w:line="360" w:lineRule="auto"/>
        <w:jc w:val="both"/>
        <w:rPr>
          <w:rFonts w:ascii="Arial" w:hAnsi="Arial"/>
        </w:rPr>
      </w:pPr>
      <w:r>
        <w:rPr>
          <w:rFonts w:ascii="Arial" w:hAnsi="Arial"/>
        </w:rPr>
        <w:t>The court held: T</w:t>
      </w:r>
      <w:r w:rsidRPr="001D10C3">
        <w:rPr>
          <w:rFonts w:ascii="Arial" w:hAnsi="Arial"/>
        </w:rPr>
        <w:t>hat the rule</w:t>
      </w:r>
      <w:r>
        <w:rPr>
          <w:rFonts w:ascii="Arial" w:hAnsi="Arial"/>
        </w:rPr>
        <w:t xml:space="preserve"> 65(7)</w:t>
      </w:r>
      <w:r w:rsidRPr="001D10C3">
        <w:rPr>
          <w:rFonts w:ascii="Arial" w:hAnsi="Arial"/>
        </w:rPr>
        <w:t xml:space="preserve"> does not create exceptions in its application</w:t>
      </w:r>
      <w:r>
        <w:rPr>
          <w:rFonts w:ascii="Arial" w:hAnsi="Arial"/>
        </w:rPr>
        <w:t>.</w:t>
      </w:r>
      <w:r w:rsidRPr="001D10C3">
        <w:rPr>
          <w:rFonts w:ascii="Arial" w:hAnsi="Arial"/>
        </w:rPr>
        <w:t xml:space="preserve"> </w:t>
      </w:r>
      <w:r>
        <w:rPr>
          <w:rFonts w:ascii="Arial" w:hAnsi="Arial"/>
        </w:rPr>
        <w:t>The</w:t>
      </w:r>
      <w:r w:rsidRPr="001D10C3">
        <w:rPr>
          <w:rFonts w:ascii="Arial" w:hAnsi="Arial"/>
        </w:rPr>
        <w:t xml:space="preserve"> applicants have evidently not complied with the mandatory requirements of the sub</w:t>
      </w:r>
      <w:r w:rsidR="005E0A2A">
        <w:rPr>
          <w:rFonts w:ascii="Arial" w:hAnsi="Arial"/>
        </w:rPr>
        <w:t xml:space="preserve"> </w:t>
      </w:r>
      <w:r w:rsidRPr="001D10C3">
        <w:rPr>
          <w:rFonts w:ascii="Arial" w:hAnsi="Arial"/>
        </w:rPr>
        <w:t>rule in this case</w:t>
      </w:r>
      <w:r>
        <w:rPr>
          <w:rFonts w:ascii="Arial" w:hAnsi="Arial"/>
        </w:rPr>
        <w:t xml:space="preserve"> and as such the matter stands to be removed from the roll and the applicant</w:t>
      </w:r>
      <w:r w:rsidR="00FC4878">
        <w:rPr>
          <w:rFonts w:ascii="Arial" w:hAnsi="Arial"/>
        </w:rPr>
        <w:t>s are liable for cost of the application.</w:t>
      </w:r>
    </w:p>
    <w:p w14:paraId="7450AE87" w14:textId="77777777" w:rsidR="005D2910" w:rsidRDefault="005D2910" w:rsidP="005E0A2A">
      <w:pPr>
        <w:spacing w:line="360" w:lineRule="auto"/>
        <w:jc w:val="both"/>
        <w:rPr>
          <w:rFonts w:ascii="Arial" w:hAnsi="Arial"/>
        </w:rPr>
      </w:pPr>
    </w:p>
    <w:p w14:paraId="27D05D73" w14:textId="77777777" w:rsidR="005D2910" w:rsidRPr="003052F7" w:rsidRDefault="005D2910" w:rsidP="005D2910">
      <w:pPr>
        <w:pBdr>
          <w:top w:val="single" w:sz="12" w:space="1" w:color="auto"/>
          <w:bottom w:val="single" w:sz="12" w:space="1" w:color="auto"/>
        </w:pBdr>
        <w:spacing w:line="360" w:lineRule="auto"/>
        <w:jc w:val="center"/>
        <w:rPr>
          <w:rFonts w:ascii="Arial" w:hAnsi="Arial"/>
          <w:b/>
          <w:sz w:val="14"/>
        </w:rPr>
      </w:pPr>
    </w:p>
    <w:p w14:paraId="1F4C6193" w14:textId="093DED97" w:rsidR="005D2910" w:rsidRDefault="005D2910" w:rsidP="005D2910">
      <w:pPr>
        <w:pBdr>
          <w:top w:val="single" w:sz="12" w:space="1" w:color="auto"/>
          <w:bottom w:val="single" w:sz="12" w:space="1" w:color="auto"/>
        </w:pBdr>
        <w:spacing w:line="360" w:lineRule="auto"/>
        <w:jc w:val="center"/>
        <w:rPr>
          <w:rFonts w:ascii="Arial" w:hAnsi="Arial"/>
          <w:b/>
        </w:rPr>
      </w:pPr>
      <w:r w:rsidRPr="005D2910">
        <w:rPr>
          <w:rFonts w:ascii="Arial" w:hAnsi="Arial"/>
          <w:b/>
        </w:rPr>
        <w:t>ORDER</w:t>
      </w:r>
    </w:p>
    <w:p w14:paraId="0DBC47EB" w14:textId="77777777" w:rsidR="003052F7" w:rsidRPr="003052F7" w:rsidRDefault="003052F7" w:rsidP="005D2910">
      <w:pPr>
        <w:pBdr>
          <w:top w:val="single" w:sz="12" w:space="1" w:color="auto"/>
          <w:bottom w:val="single" w:sz="12" w:space="1" w:color="auto"/>
        </w:pBdr>
        <w:spacing w:line="360" w:lineRule="auto"/>
        <w:jc w:val="center"/>
        <w:rPr>
          <w:rFonts w:ascii="Arial" w:hAnsi="Arial"/>
          <w:b/>
          <w:sz w:val="6"/>
        </w:rPr>
      </w:pPr>
    </w:p>
    <w:p w14:paraId="414FC593" w14:textId="77777777" w:rsidR="005D2910" w:rsidRDefault="005D2910" w:rsidP="005E0A2A">
      <w:pPr>
        <w:spacing w:line="360" w:lineRule="auto"/>
        <w:jc w:val="both"/>
        <w:rPr>
          <w:rFonts w:ascii="Arial" w:hAnsi="Arial"/>
        </w:rPr>
      </w:pPr>
    </w:p>
    <w:p w14:paraId="18B909DE" w14:textId="2230FF28" w:rsidR="003052F7" w:rsidRDefault="005D2910" w:rsidP="003052F7">
      <w:pPr>
        <w:numPr>
          <w:ilvl w:val="0"/>
          <w:numId w:val="2"/>
        </w:numPr>
        <w:spacing w:line="360" w:lineRule="auto"/>
        <w:jc w:val="both"/>
        <w:rPr>
          <w:rFonts w:ascii="Arial" w:hAnsi="Arial"/>
        </w:rPr>
      </w:pPr>
      <w:r w:rsidRPr="00141667">
        <w:rPr>
          <w:rFonts w:ascii="Arial" w:hAnsi="Arial"/>
        </w:rPr>
        <w:t>The application filed by the Applicants, is removed from the roll for non-compliance with the provisions of Rule 65(7) of the Rules of this Court.</w:t>
      </w:r>
    </w:p>
    <w:p w14:paraId="4CB956E1" w14:textId="77777777" w:rsidR="00141667" w:rsidRPr="00141667" w:rsidRDefault="00141667" w:rsidP="00141667">
      <w:pPr>
        <w:ind w:left="720"/>
        <w:jc w:val="both"/>
        <w:rPr>
          <w:rFonts w:ascii="Arial" w:hAnsi="Arial"/>
          <w:sz w:val="20"/>
        </w:rPr>
      </w:pPr>
    </w:p>
    <w:p w14:paraId="568C9E2F" w14:textId="11AB19A9" w:rsidR="000F63A1" w:rsidRPr="00141667" w:rsidRDefault="005D2910" w:rsidP="000F63A1">
      <w:pPr>
        <w:numPr>
          <w:ilvl w:val="0"/>
          <w:numId w:val="2"/>
        </w:numPr>
        <w:spacing w:line="360" w:lineRule="auto"/>
        <w:jc w:val="both"/>
        <w:rPr>
          <w:rFonts w:ascii="Arial" w:hAnsi="Arial"/>
          <w:b/>
        </w:rPr>
      </w:pPr>
      <w:r w:rsidRPr="001D43B8">
        <w:rPr>
          <w:rFonts w:ascii="Arial" w:hAnsi="Arial"/>
        </w:rPr>
        <w:t>Th</w:t>
      </w:r>
      <w:r w:rsidRPr="00141667">
        <w:rPr>
          <w:rFonts w:ascii="Arial" w:hAnsi="Arial"/>
        </w:rPr>
        <w:t xml:space="preserve">e Applicants are ordered to pay the costs of the Respondent jointly and severally, the one paying and the other being absolved.  </w:t>
      </w:r>
    </w:p>
    <w:p w14:paraId="229FDAE7" w14:textId="6B15EA0E" w:rsidR="000D1982" w:rsidRDefault="005D2910" w:rsidP="000D1982">
      <w:pPr>
        <w:rPr>
          <w:rFonts w:ascii="Arial" w:hAnsi="Arial"/>
        </w:rPr>
      </w:pPr>
      <w:r>
        <w:rPr>
          <w:rFonts w:ascii="Arial" w:hAnsi="Arial"/>
          <w:b/>
        </w:rPr>
        <w:t>______________________________________________________________</w:t>
      </w:r>
    </w:p>
    <w:p w14:paraId="3E9AA5D9" w14:textId="764B9ED0" w:rsidR="005D2910" w:rsidRDefault="005D2910" w:rsidP="000D1982">
      <w:pPr>
        <w:jc w:val="center"/>
        <w:rPr>
          <w:rFonts w:ascii="Arial" w:hAnsi="Arial"/>
          <w:b/>
        </w:rPr>
      </w:pPr>
      <w:r>
        <w:rPr>
          <w:rFonts w:ascii="Arial" w:hAnsi="Arial"/>
          <w:b/>
        </w:rPr>
        <w:br/>
      </w:r>
      <w:r w:rsidR="000D1982">
        <w:rPr>
          <w:rFonts w:ascii="Arial" w:hAnsi="Arial"/>
          <w:b/>
        </w:rPr>
        <w:t>RULING</w:t>
      </w:r>
    </w:p>
    <w:p w14:paraId="411872A4" w14:textId="7E730DBA" w:rsidR="005D2910" w:rsidRDefault="005D2910" w:rsidP="006A7EEC">
      <w:pPr>
        <w:jc w:val="center"/>
        <w:rPr>
          <w:rFonts w:ascii="Arial" w:hAnsi="Arial"/>
          <w:b/>
        </w:rPr>
      </w:pPr>
      <w:r>
        <w:rPr>
          <w:rFonts w:ascii="Arial" w:hAnsi="Arial"/>
          <w:b/>
        </w:rPr>
        <w:t>______________________________________________________________</w:t>
      </w:r>
    </w:p>
    <w:p w14:paraId="61F2E727" w14:textId="77777777" w:rsidR="005D2910" w:rsidRDefault="005D2910" w:rsidP="000D1982">
      <w:pPr>
        <w:rPr>
          <w:rFonts w:ascii="Arial" w:hAnsi="Arial"/>
          <w:u w:val="single"/>
        </w:rPr>
      </w:pPr>
    </w:p>
    <w:p w14:paraId="7C10C9CA" w14:textId="3AA6C3E2" w:rsidR="00B42678" w:rsidRDefault="00B42678" w:rsidP="000D1982">
      <w:pPr>
        <w:rPr>
          <w:rFonts w:ascii="Arial" w:hAnsi="Arial"/>
          <w:u w:val="single"/>
        </w:rPr>
      </w:pPr>
      <w:r>
        <w:rPr>
          <w:rFonts w:ascii="Arial" w:hAnsi="Arial"/>
          <w:u w:val="single"/>
        </w:rPr>
        <w:t>Introduction and the parties</w:t>
      </w:r>
    </w:p>
    <w:p w14:paraId="2B1A3934" w14:textId="77777777" w:rsidR="00B42678" w:rsidRPr="00B42678" w:rsidRDefault="00B42678" w:rsidP="000D1982">
      <w:pPr>
        <w:rPr>
          <w:rFonts w:ascii="Arial" w:hAnsi="Arial"/>
          <w:u w:val="single"/>
        </w:rPr>
      </w:pPr>
    </w:p>
    <w:p w14:paraId="3AD96413" w14:textId="0B4D5F9F" w:rsidR="00212B5D" w:rsidRDefault="00212B5D" w:rsidP="00212B5D">
      <w:pPr>
        <w:spacing w:line="360" w:lineRule="auto"/>
        <w:jc w:val="both"/>
        <w:rPr>
          <w:rFonts w:ascii="Arial" w:hAnsi="Arial" w:cs="Arial"/>
        </w:rPr>
      </w:pPr>
      <w:r>
        <w:rPr>
          <w:rFonts w:ascii="Arial" w:hAnsi="Arial" w:cs="Arial"/>
        </w:rPr>
        <w:t>[1]</w:t>
      </w:r>
      <w:r>
        <w:rPr>
          <w:rFonts w:ascii="Arial" w:hAnsi="Arial" w:cs="Arial"/>
        </w:rPr>
        <w:tab/>
        <w:t xml:space="preserve">The first, second and third </w:t>
      </w:r>
      <w:r w:rsidR="00B853AB">
        <w:rPr>
          <w:rFonts w:ascii="Arial" w:hAnsi="Arial" w:cs="Arial"/>
        </w:rPr>
        <w:t>a</w:t>
      </w:r>
      <w:r w:rsidRPr="00913E05">
        <w:rPr>
          <w:rFonts w:ascii="Arial" w:hAnsi="Arial" w:cs="Arial"/>
        </w:rPr>
        <w:t>pplicants</w:t>
      </w:r>
      <w:r>
        <w:rPr>
          <w:rFonts w:ascii="Arial" w:hAnsi="Arial" w:cs="Arial"/>
        </w:rPr>
        <w:t xml:space="preserve"> are the biological children of the </w:t>
      </w:r>
      <w:r w:rsidRPr="00913E05">
        <w:rPr>
          <w:rFonts w:ascii="Arial" w:hAnsi="Arial" w:cs="Arial"/>
        </w:rPr>
        <w:t xml:space="preserve">late Justine </w:t>
      </w:r>
      <w:proofErr w:type="spellStart"/>
      <w:r w:rsidRPr="00913E05">
        <w:rPr>
          <w:rFonts w:ascii="Arial" w:hAnsi="Arial" w:cs="Arial"/>
        </w:rPr>
        <w:t>Nangula</w:t>
      </w:r>
      <w:proofErr w:type="spellEnd"/>
      <w:r w:rsidRPr="00913E05">
        <w:rPr>
          <w:rFonts w:ascii="Arial" w:hAnsi="Arial" w:cs="Arial"/>
        </w:rPr>
        <w:t xml:space="preserve"> </w:t>
      </w:r>
      <w:proofErr w:type="spellStart"/>
      <w:r w:rsidRPr="00913E05">
        <w:rPr>
          <w:rFonts w:ascii="Arial" w:hAnsi="Arial" w:cs="Arial"/>
        </w:rPr>
        <w:t>Nghihadelwa</w:t>
      </w:r>
      <w:proofErr w:type="spellEnd"/>
      <w:r w:rsidR="00B42678">
        <w:rPr>
          <w:rFonts w:ascii="Arial" w:hAnsi="Arial" w:cs="Arial"/>
        </w:rPr>
        <w:t>.</w:t>
      </w:r>
      <w:r>
        <w:rPr>
          <w:rFonts w:ascii="Arial" w:hAnsi="Arial" w:cs="Arial"/>
        </w:rPr>
        <w:t xml:space="preserve"> </w:t>
      </w:r>
      <w:r w:rsidR="00B42678">
        <w:rPr>
          <w:rFonts w:ascii="Arial" w:hAnsi="Arial" w:cs="Arial"/>
        </w:rPr>
        <w:t>On</w:t>
      </w:r>
      <w:r>
        <w:rPr>
          <w:rFonts w:ascii="Arial" w:hAnsi="Arial" w:cs="Arial"/>
        </w:rPr>
        <w:t xml:space="preserve"> 5</w:t>
      </w:r>
      <w:r w:rsidRPr="00913E05">
        <w:rPr>
          <w:rFonts w:ascii="Arial" w:hAnsi="Arial" w:cs="Arial"/>
        </w:rPr>
        <w:t xml:space="preserve"> February 2020</w:t>
      </w:r>
      <w:r>
        <w:rPr>
          <w:rFonts w:ascii="Arial" w:hAnsi="Arial" w:cs="Arial"/>
        </w:rPr>
        <w:t>, they approached th</w:t>
      </w:r>
      <w:r w:rsidR="00B853AB">
        <w:rPr>
          <w:rFonts w:ascii="Arial" w:hAnsi="Arial" w:cs="Arial"/>
        </w:rPr>
        <w:t>is c</w:t>
      </w:r>
      <w:r>
        <w:rPr>
          <w:rFonts w:ascii="Arial" w:hAnsi="Arial" w:cs="Arial"/>
        </w:rPr>
        <w:t xml:space="preserve">ourt seeking the executor of the estate of the late </w:t>
      </w:r>
      <w:proofErr w:type="spellStart"/>
      <w:r>
        <w:rPr>
          <w:rFonts w:ascii="Arial" w:hAnsi="Arial" w:cs="Arial"/>
        </w:rPr>
        <w:t>Nghihadelwa</w:t>
      </w:r>
      <w:proofErr w:type="spellEnd"/>
      <w:r>
        <w:rPr>
          <w:rFonts w:ascii="Arial" w:hAnsi="Arial" w:cs="Arial"/>
        </w:rPr>
        <w:t xml:space="preserve">, Ms </w:t>
      </w:r>
      <w:proofErr w:type="spellStart"/>
      <w:r>
        <w:rPr>
          <w:rFonts w:ascii="Arial" w:hAnsi="Arial" w:cs="Arial"/>
        </w:rPr>
        <w:t>Tshiwalo</w:t>
      </w:r>
      <w:proofErr w:type="spellEnd"/>
      <w:r>
        <w:rPr>
          <w:rFonts w:ascii="Arial" w:hAnsi="Arial" w:cs="Arial"/>
        </w:rPr>
        <w:t xml:space="preserve"> also known to them as their late Mothers sister</w:t>
      </w:r>
      <w:r w:rsidR="00162293">
        <w:rPr>
          <w:rFonts w:ascii="Arial" w:hAnsi="Arial" w:cs="Arial"/>
        </w:rPr>
        <w:t>,</w:t>
      </w:r>
      <w:r>
        <w:rPr>
          <w:rFonts w:ascii="Arial" w:hAnsi="Arial" w:cs="Arial"/>
        </w:rPr>
        <w:t xml:space="preserve"> to </w:t>
      </w:r>
      <w:r w:rsidR="00B42678">
        <w:rPr>
          <w:rFonts w:ascii="Arial" w:hAnsi="Arial" w:cs="Arial"/>
        </w:rPr>
        <w:t xml:space="preserve">make the Will </w:t>
      </w:r>
      <w:r w:rsidR="00B853AB">
        <w:rPr>
          <w:rFonts w:ascii="Arial" w:hAnsi="Arial" w:cs="Arial"/>
        </w:rPr>
        <w:t xml:space="preserve">and Last Testament </w:t>
      </w:r>
      <w:r w:rsidR="00B42678">
        <w:rPr>
          <w:rFonts w:ascii="Arial" w:hAnsi="Arial" w:cs="Arial"/>
        </w:rPr>
        <w:t>of the dec</w:t>
      </w:r>
      <w:r>
        <w:rPr>
          <w:rFonts w:ascii="Arial" w:hAnsi="Arial" w:cs="Arial"/>
        </w:rPr>
        <w:t>eased available to them for inspection</w:t>
      </w:r>
      <w:r w:rsidR="00B853AB">
        <w:rPr>
          <w:rFonts w:ascii="Arial" w:hAnsi="Arial" w:cs="Arial"/>
        </w:rPr>
        <w:t xml:space="preserve">. They also seek </w:t>
      </w:r>
      <w:r w:rsidRPr="00913E05">
        <w:rPr>
          <w:rFonts w:ascii="Arial" w:hAnsi="Arial" w:cs="Arial"/>
        </w:rPr>
        <w:t xml:space="preserve">a </w:t>
      </w:r>
      <w:r w:rsidRPr="00913E05">
        <w:rPr>
          <w:rFonts w:ascii="Arial" w:hAnsi="Arial" w:cs="Arial"/>
        </w:rPr>
        <w:lastRenderedPageBreak/>
        <w:t xml:space="preserve">declaratory order that </w:t>
      </w:r>
      <w:r w:rsidR="00162293">
        <w:rPr>
          <w:rFonts w:ascii="Arial" w:hAnsi="Arial" w:cs="Arial"/>
        </w:rPr>
        <w:t>the a</w:t>
      </w:r>
      <w:r w:rsidRPr="00913E05">
        <w:rPr>
          <w:rFonts w:ascii="Arial" w:hAnsi="Arial" w:cs="Arial"/>
        </w:rPr>
        <w:t xml:space="preserve">pplicants are the rightful and legitimate beneficiaries of the estate of the late Justine </w:t>
      </w:r>
      <w:proofErr w:type="spellStart"/>
      <w:r w:rsidRPr="00913E05">
        <w:rPr>
          <w:rFonts w:ascii="Arial" w:hAnsi="Arial" w:cs="Arial"/>
        </w:rPr>
        <w:t>Nangula</w:t>
      </w:r>
      <w:proofErr w:type="spellEnd"/>
      <w:r w:rsidRPr="00913E05">
        <w:rPr>
          <w:rFonts w:ascii="Arial" w:hAnsi="Arial" w:cs="Arial"/>
        </w:rPr>
        <w:t xml:space="preserve"> </w:t>
      </w:r>
      <w:proofErr w:type="spellStart"/>
      <w:r w:rsidRPr="00913E05">
        <w:rPr>
          <w:rFonts w:ascii="Arial" w:hAnsi="Arial" w:cs="Arial"/>
        </w:rPr>
        <w:t>Nghihadelwa</w:t>
      </w:r>
      <w:proofErr w:type="spellEnd"/>
      <w:r w:rsidR="002004BD">
        <w:rPr>
          <w:rFonts w:ascii="Arial" w:hAnsi="Arial" w:cs="Arial"/>
        </w:rPr>
        <w:t>.</w:t>
      </w:r>
    </w:p>
    <w:p w14:paraId="40E0F3B6" w14:textId="77777777" w:rsidR="00212B5D" w:rsidRDefault="00212B5D" w:rsidP="00212B5D">
      <w:pPr>
        <w:spacing w:line="360" w:lineRule="auto"/>
        <w:jc w:val="both"/>
        <w:rPr>
          <w:rFonts w:ascii="Arial" w:hAnsi="Arial" w:cs="Arial"/>
        </w:rPr>
      </w:pPr>
    </w:p>
    <w:p w14:paraId="10F2598C" w14:textId="14F8B5C2" w:rsidR="00212B5D" w:rsidRDefault="00212B5D" w:rsidP="00212B5D">
      <w:pPr>
        <w:spacing w:line="360" w:lineRule="auto"/>
        <w:jc w:val="both"/>
        <w:rPr>
          <w:rFonts w:ascii="Arial" w:hAnsi="Arial" w:cs="Arial"/>
        </w:rPr>
      </w:pPr>
      <w:r>
        <w:rPr>
          <w:rFonts w:ascii="Arial" w:hAnsi="Arial" w:cs="Arial"/>
        </w:rPr>
        <w:t xml:space="preserve">[2] </w:t>
      </w:r>
      <w:r>
        <w:rPr>
          <w:rFonts w:ascii="Arial" w:hAnsi="Arial" w:cs="Arial"/>
        </w:rPr>
        <w:tab/>
        <w:t xml:space="preserve">The Respondent is Ms </w:t>
      </w:r>
      <w:r w:rsidRPr="00145100">
        <w:rPr>
          <w:rFonts w:ascii="Arial" w:hAnsi="Arial" w:cs="Arial"/>
        </w:rPr>
        <w:t xml:space="preserve">Ester </w:t>
      </w:r>
      <w:proofErr w:type="spellStart"/>
      <w:r w:rsidRPr="00145100">
        <w:rPr>
          <w:rFonts w:ascii="Arial" w:hAnsi="Arial" w:cs="Arial"/>
        </w:rPr>
        <w:t>Tshiwalo</w:t>
      </w:r>
      <w:proofErr w:type="spellEnd"/>
      <w:r>
        <w:rPr>
          <w:rFonts w:ascii="Arial" w:hAnsi="Arial" w:cs="Arial"/>
        </w:rPr>
        <w:t xml:space="preserve">, </w:t>
      </w:r>
      <w:r w:rsidR="007827DD">
        <w:rPr>
          <w:rFonts w:ascii="Arial" w:hAnsi="Arial" w:cs="Arial"/>
        </w:rPr>
        <w:t>cited in her capacity as the execut</w:t>
      </w:r>
      <w:r>
        <w:rPr>
          <w:rFonts w:ascii="Arial" w:hAnsi="Arial" w:cs="Arial"/>
        </w:rPr>
        <w:t>r</w:t>
      </w:r>
      <w:r w:rsidR="007827DD">
        <w:rPr>
          <w:rFonts w:ascii="Arial" w:hAnsi="Arial" w:cs="Arial"/>
        </w:rPr>
        <w:t>ix</w:t>
      </w:r>
      <w:r>
        <w:rPr>
          <w:rFonts w:ascii="Arial" w:hAnsi="Arial" w:cs="Arial"/>
        </w:rPr>
        <w:t xml:space="preserve"> of the estate of the late </w:t>
      </w:r>
      <w:r w:rsidRPr="00145100">
        <w:rPr>
          <w:rFonts w:ascii="Arial" w:hAnsi="Arial" w:cs="Arial"/>
        </w:rPr>
        <w:t xml:space="preserve">Justine </w:t>
      </w:r>
      <w:proofErr w:type="spellStart"/>
      <w:r w:rsidRPr="00145100">
        <w:rPr>
          <w:rFonts w:ascii="Arial" w:hAnsi="Arial" w:cs="Arial"/>
        </w:rPr>
        <w:t>Nangula</w:t>
      </w:r>
      <w:proofErr w:type="spellEnd"/>
      <w:r w:rsidRPr="00145100">
        <w:rPr>
          <w:rFonts w:ascii="Arial" w:hAnsi="Arial" w:cs="Arial"/>
        </w:rPr>
        <w:t xml:space="preserve"> </w:t>
      </w:r>
      <w:proofErr w:type="spellStart"/>
      <w:r w:rsidRPr="00145100">
        <w:rPr>
          <w:rFonts w:ascii="Arial" w:hAnsi="Arial" w:cs="Arial"/>
        </w:rPr>
        <w:t>Nghihadelwa</w:t>
      </w:r>
      <w:proofErr w:type="spellEnd"/>
      <w:r>
        <w:rPr>
          <w:rFonts w:ascii="Arial" w:hAnsi="Arial" w:cs="Arial"/>
        </w:rPr>
        <w:t xml:space="preserve">. She received her </w:t>
      </w:r>
      <w:r w:rsidR="00B42678">
        <w:rPr>
          <w:rFonts w:ascii="Arial" w:hAnsi="Arial" w:cs="Arial"/>
        </w:rPr>
        <w:t>appointment as execut</w:t>
      </w:r>
      <w:r>
        <w:rPr>
          <w:rFonts w:ascii="Arial" w:hAnsi="Arial" w:cs="Arial"/>
        </w:rPr>
        <w:t>r</w:t>
      </w:r>
      <w:r w:rsidR="00B42678">
        <w:rPr>
          <w:rFonts w:ascii="Arial" w:hAnsi="Arial" w:cs="Arial"/>
        </w:rPr>
        <w:t>ix</w:t>
      </w:r>
      <w:r>
        <w:rPr>
          <w:rFonts w:ascii="Arial" w:hAnsi="Arial" w:cs="Arial"/>
        </w:rPr>
        <w:t xml:space="preserve"> on 16 May 2001.</w:t>
      </w:r>
    </w:p>
    <w:p w14:paraId="2AB59B61" w14:textId="77777777" w:rsidR="00B42678" w:rsidRPr="006A7EEC" w:rsidRDefault="00B42678" w:rsidP="00212B5D">
      <w:pPr>
        <w:spacing w:line="360" w:lineRule="auto"/>
        <w:jc w:val="both"/>
        <w:rPr>
          <w:rFonts w:ascii="Arial" w:hAnsi="Arial" w:cs="Arial"/>
          <w:sz w:val="18"/>
        </w:rPr>
      </w:pPr>
    </w:p>
    <w:p w14:paraId="4FDFBEFD" w14:textId="5C37F225" w:rsidR="000D1982" w:rsidRPr="00815FEA" w:rsidRDefault="00B42678" w:rsidP="00815FEA">
      <w:pPr>
        <w:spacing w:line="360" w:lineRule="auto"/>
        <w:jc w:val="both"/>
        <w:rPr>
          <w:rFonts w:ascii="Arial" w:hAnsi="Arial" w:cs="Arial"/>
          <w:u w:val="single"/>
        </w:rPr>
      </w:pPr>
      <w:r>
        <w:rPr>
          <w:rFonts w:ascii="Arial" w:hAnsi="Arial" w:cs="Arial"/>
          <w:u w:val="single"/>
        </w:rPr>
        <w:t>Grounds of opposition</w:t>
      </w:r>
    </w:p>
    <w:p w14:paraId="55AECFF8" w14:textId="77777777" w:rsidR="000D1982" w:rsidRDefault="000D1982" w:rsidP="000D1982">
      <w:pPr>
        <w:rPr>
          <w:rFonts w:ascii="Arial" w:hAnsi="Arial"/>
          <w:u w:val="single"/>
        </w:rPr>
      </w:pPr>
    </w:p>
    <w:p w14:paraId="2E6D31B0" w14:textId="32EE51CA" w:rsidR="000D1982" w:rsidRDefault="000D1982" w:rsidP="000D1982">
      <w:pPr>
        <w:spacing w:line="360" w:lineRule="auto"/>
        <w:jc w:val="both"/>
        <w:rPr>
          <w:rFonts w:ascii="Arial" w:hAnsi="Arial"/>
        </w:rPr>
      </w:pPr>
      <w:r>
        <w:rPr>
          <w:rFonts w:ascii="Arial" w:hAnsi="Arial"/>
        </w:rPr>
        <w:t>[</w:t>
      </w:r>
      <w:r w:rsidR="00B42678">
        <w:rPr>
          <w:rFonts w:ascii="Arial" w:hAnsi="Arial"/>
        </w:rPr>
        <w:t>3</w:t>
      </w:r>
      <w:r>
        <w:rPr>
          <w:rFonts w:ascii="Arial" w:hAnsi="Arial"/>
        </w:rPr>
        <w:t>]</w:t>
      </w:r>
      <w:r>
        <w:rPr>
          <w:rFonts w:ascii="Arial" w:hAnsi="Arial"/>
        </w:rPr>
        <w:tab/>
        <w:t xml:space="preserve">The respondent </w:t>
      </w:r>
      <w:r w:rsidR="007827DD">
        <w:rPr>
          <w:rFonts w:ascii="Arial" w:hAnsi="Arial"/>
        </w:rPr>
        <w:t xml:space="preserve">opposes the application. She has, in this regard, </w:t>
      </w:r>
      <w:r>
        <w:rPr>
          <w:rFonts w:ascii="Arial" w:hAnsi="Arial"/>
        </w:rPr>
        <w:t>raised some</w:t>
      </w:r>
      <w:r w:rsidR="00B853AB">
        <w:rPr>
          <w:rFonts w:ascii="Arial" w:hAnsi="Arial"/>
        </w:rPr>
        <w:t xml:space="preserve"> preliminary points of law</w:t>
      </w:r>
      <w:r>
        <w:rPr>
          <w:rFonts w:ascii="Arial" w:hAnsi="Arial"/>
          <w:i/>
        </w:rPr>
        <w:t>,</w:t>
      </w:r>
      <w:r w:rsidR="007D471D">
        <w:rPr>
          <w:rFonts w:ascii="Arial" w:hAnsi="Arial"/>
          <w:i/>
        </w:rPr>
        <w:t xml:space="preserve"> </w:t>
      </w:r>
      <w:r w:rsidR="007D471D">
        <w:rPr>
          <w:rFonts w:ascii="Arial" w:hAnsi="Arial"/>
        </w:rPr>
        <w:t>in her a</w:t>
      </w:r>
      <w:r w:rsidR="0086778D">
        <w:rPr>
          <w:rFonts w:ascii="Arial" w:hAnsi="Arial"/>
        </w:rPr>
        <w:t>nswering affidavit,</w:t>
      </w:r>
      <w:r>
        <w:rPr>
          <w:rFonts w:ascii="Arial" w:hAnsi="Arial"/>
          <w:i/>
        </w:rPr>
        <w:t xml:space="preserve"> </w:t>
      </w:r>
      <w:r>
        <w:rPr>
          <w:rFonts w:ascii="Arial" w:hAnsi="Arial"/>
        </w:rPr>
        <w:t>namely that the application is improperly before court because of the</w:t>
      </w:r>
      <w:r w:rsidR="007647C9">
        <w:rPr>
          <w:rFonts w:ascii="Arial" w:hAnsi="Arial"/>
        </w:rPr>
        <w:t xml:space="preserve"> applicants’</w:t>
      </w:r>
      <w:r w:rsidR="002004BD">
        <w:rPr>
          <w:rFonts w:ascii="Arial" w:hAnsi="Arial"/>
        </w:rPr>
        <w:t xml:space="preserve"> </w:t>
      </w:r>
      <w:r>
        <w:rPr>
          <w:rFonts w:ascii="Arial" w:hAnsi="Arial"/>
        </w:rPr>
        <w:t>non-compliance with the provisions of rule 65(7) of this court’s rules; that this court does not have jurisdiction to entertain this m</w:t>
      </w:r>
      <w:r w:rsidR="007D471D">
        <w:rPr>
          <w:rFonts w:ascii="Arial" w:hAnsi="Arial"/>
        </w:rPr>
        <w:t>atter by virtue</w:t>
      </w:r>
      <w:r>
        <w:rPr>
          <w:rFonts w:ascii="Arial" w:hAnsi="Arial"/>
        </w:rPr>
        <w:t xml:space="preserve"> of the </w:t>
      </w:r>
      <w:r w:rsidR="007D471D">
        <w:rPr>
          <w:rFonts w:ascii="Arial" w:hAnsi="Arial"/>
        </w:rPr>
        <w:t xml:space="preserve">applicants’ </w:t>
      </w:r>
      <w:r>
        <w:rPr>
          <w:rFonts w:ascii="Arial" w:hAnsi="Arial"/>
        </w:rPr>
        <w:t xml:space="preserve">non-compliance with the provisions of s 18 of Proclamation 15 of 1928 and that there is the non-joinder of the Master of the High Court, alternatively, the </w:t>
      </w:r>
      <w:proofErr w:type="spellStart"/>
      <w:r>
        <w:rPr>
          <w:rFonts w:ascii="Arial" w:hAnsi="Arial"/>
        </w:rPr>
        <w:t>Eenana</w:t>
      </w:r>
      <w:proofErr w:type="spellEnd"/>
      <w:r>
        <w:rPr>
          <w:rFonts w:ascii="Arial" w:hAnsi="Arial"/>
        </w:rPr>
        <w:t xml:space="preserve"> Magistrate’s Court.</w:t>
      </w:r>
      <w:r w:rsidR="00FC0B7F">
        <w:rPr>
          <w:rFonts w:ascii="Arial" w:hAnsi="Arial"/>
        </w:rPr>
        <w:t xml:space="preserve"> </w:t>
      </w:r>
    </w:p>
    <w:p w14:paraId="2E18098D" w14:textId="77777777" w:rsidR="000D1982" w:rsidRDefault="000D1982" w:rsidP="000D1982">
      <w:pPr>
        <w:spacing w:line="360" w:lineRule="auto"/>
        <w:jc w:val="both"/>
        <w:rPr>
          <w:rFonts w:ascii="Arial" w:hAnsi="Arial"/>
        </w:rPr>
      </w:pPr>
    </w:p>
    <w:p w14:paraId="25591814" w14:textId="489D448C" w:rsidR="000D1982" w:rsidRDefault="000D1982" w:rsidP="000D1982">
      <w:pPr>
        <w:spacing w:line="360" w:lineRule="auto"/>
        <w:jc w:val="both"/>
        <w:rPr>
          <w:rFonts w:ascii="Arial" w:hAnsi="Arial"/>
        </w:rPr>
      </w:pPr>
      <w:r>
        <w:rPr>
          <w:rFonts w:ascii="Arial" w:hAnsi="Arial"/>
        </w:rPr>
        <w:t>[</w:t>
      </w:r>
      <w:r w:rsidR="00B42678">
        <w:rPr>
          <w:rFonts w:ascii="Arial" w:hAnsi="Arial"/>
        </w:rPr>
        <w:t>4</w:t>
      </w:r>
      <w:r>
        <w:rPr>
          <w:rFonts w:ascii="Arial" w:hAnsi="Arial"/>
        </w:rPr>
        <w:t>]</w:t>
      </w:r>
      <w:r>
        <w:rPr>
          <w:rFonts w:ascii="Arial" w:hAnsi="Arial"/>
        </w:rPr>
        <w:tab/>
        <w:t xml:space="preserve">I am acutely aware that the </w:t>
      </w:r>
      <w:r w:rsidR="00B8033F">
        <w:rPr>
          <w:rFonts w:ascii="Arial" w:hAnsi="Arial"/>
        </w:rPr>
        <w:t xml:space="preserve">first </w:t>
      </w:r>
      <w:r>
        <w:rPr>
          <w:rFonts w:ascii="Arial" w:hAnsi="Arial"/>
        </w:rPr>
        <w:t>applicant informed the court that her co-applicants were not able to att</w:t>
      </w:r>
      <w:r w:rsidR="007827DD">
        <w:rPr>
          <w:rFonts w:ascii="Arial" w:hAnsi="Arial"/>
        </w:rPr>
        <w:t>end the hearing because they</w:t>
      </w:r>
      <w:r>
        <w:rPr>
          <w:rFonts w:ascii="Arial" w:hAnsi="Arial"/>
        </w:rPr>
        <w:t xml:space="preserve"> failed to obtain the requisite clearance to</w:t>
      </w:r>
      <w:r w:rsidR="0086778D">
        <w:rPr>
          <w:rFonts w:ascii="Arial" w:hAnsi="Arial"/>
        </w:rPr>
        <w:t xml:space="preserve"> attend court in line with the </w:t>
      </w:r>
      <w:proofErr w:type="spellStart"/>
      <w:r w:rsidR="0086778D">
        <w:rPr>
          <w:rFonts w:ascii="Arial" w:hAnsi="Arial"/>
        </w:rPr>
        <w:t>C</w:t>
      </w:r>
      <w:r>
        <w:rPr>
          <w:rFonts w:ascii="Arial" w:hAnsi="Arial"/>
        </w:rPr>
        <w:t>ovid</w:t>
      </w:r>
      <w:proofErr w:type="spellEnd"/>
      <w:r>
        <w:rPr>
          <w:rFonts w:ascii="Arial" w:hAnsi="Arial"/>
        </w:rPr>
        <w:t xml:space="preserve"> 19 regulations issues by the President of this Republic</w:t>
      </w:r>
      <w:r w:rsidR="0010157D">
        <w:rPr>
          <w:rFonts w:ascii="Arial" w:hAnsi="Arial"/>
        </w:rPr>
        <w:t xml:space="preserve">, </w:t>
      </w:r>
      <w:r w:rsidR="007647C9">
        <w:rPr>
          <w:rFonts w:ascii="Arial" w:hAnsi="Arial"/>
        </w:rPr>
        <w:t xml:space="preserve">as they reside in the </w:t>
      </w:r>
      <w:proofErr w:type="spellStart"/>
      <w:r w:rsidR="007647C9">
        <w:rPr>
          <w:rFonts w:ascii="Arial" w:hAnsi="Arial"/>
        </w:rPr>
        <w:t>Erongo</w:t>
      </w:r>
      <w:proofErr w:type="spellEnd"/>
      <w:r w:rsidR="007647C9">
        <w:rPr>
          <w:rFonts w:ascii="Arial" w:hAnsi="Arial"/>
        </w:rPr>
        <w:t xml:space="preserve"> Region</w:t>
      </w:r>
      <w:r>
        <w:rPr>
          <w:rFonts w:ascii="Arial" w:hAnsi="Arial"/>
        </w:rPr>
        <w:t>.</w:t>
      </w:r>
    </w:p>
    <w:p w14:paraId="1B08104D" w14:textId="77777777" w:rsidR="00212B5D" w:rsidRDefault="00212B5D" w:rsidP="000D1982">
      <w:pPr>
        <w:spacing w:line="360" w:lineRule="auto"/>
        <w:jc w:val="both"/>
        <w:rPr>
          <w:rFonts w:ascii="Arial" w:hAnsi="Arial"/>
        </w:rPr>
      </w:pPr>
    </w:p>
    <w:p w14:paraId="65FD6D23" w14:textId="0AB309F7" w:rsidR="000D1982" w:rsidRDefault="000D1982" w:rsidP="000D1982">
      <w:pPr>
        <w:spacing w:line="360" w:lineRule="auto"/>
        <w:jc w:val="both"/>
        <w:rPr>
          <w:rFonts w:ascii="Arial" w:hAnsi="Arial"/>
        </w:rPr>
      </w:pPr>
      <w:r>
        <w:rPr>
          <w:rFonts w:ascii="Arial" w:hAnsi="Arial"/>
        </w:rPr>
        <w:t>[</w:t>
      </w:r>
      <w:r w:rsidR="00B42678">
        <w:rPr>
          <w:rFonts w:ascii="Arial" w:hAnsi="Arial"/>
        </w:rPr>
        <w:t>5</w:t>
      </w:r>
      <w:r>
        <w:rPr>
          <w:rFonts w:ascii="Arial" w:hAnsi="Arial"/>
        </w:rPr>
        <w:t>]</w:t>
      </w:r>
      <w:r>
        <w:rPr>
          <w:rFonts w:ascii="Arial" w:hAnsi="Arial"/>
        </w:rPr>
        <w:tab/>
        <w:t>In this regard, Mr. Greyling, for the respondent, was amenable to the court postponing the</w:t>
      </w:r>
      <w:r w:rsidR="00B8033F">
        <w:rPr>
          <w:rFonts w:ascii="Arial" w:hAnsi="Arial"/>
        </w:rPr>
        <w:t xml:space="preserve"> matter to another day when all the applicants would </w:t>
      </w:r>
      <w:r>
        <w:rPr>
          <w:rFonts w:ascii="Arial" w:hAnsi="Arial"/>
        </w:rPr>
        <w:t xml:space="preserve">be in attendance and </w:t>
      </w:r>
      <w:r w:rsidR="007647C9">
        <w:rPr>
          <w:rFonts w:ascii="Arial" w:hAnsi="Arial"/>
        </w:rPr>
        <w:t xml:space="preserve">be able </w:t>
      </w:r>
      <w:r>
        <w:rPr>
          <w:rFonts w:ascii="Arial" w:hAnsi="Arial"/>
        </w:rPr>
        <w:t>to advance whatever submissions they may find are necessary to persuade this court to find for them.</w:t>
      </w:r>
    </w:p>
    <w:p w14:paraId="4650C88F" w14:textId="77777777" w:rsidR="000D1982" w:rsidRDefault="000D1982" w:rsidP="000D1982">
      <w:pPr>
        <w:spacing w:line="360" w:lineRule="auto"/>
        <w:jc w:val="both"/>
        <w:rPr>
          <w:rFonts w:ascii="Arial" w:hAnsi="Arial"/>
        </w:rPr>
      </w:pPr>
    </w:p>
    <w:p w14:paraId="72E676A6" w14:textId="77777777" w:rsidR="006A7EEC" w:rsidRDefault="000D1982" w:rsidP="006A7EEC">
      <w:pPr>
        <w:spacing w:line="360" w:lineRule="auto"/>
        <w:jc w:val="both"/>
        <w:rPr>
          <w:rFonts w:ascii="Arial" w:hAnsi="Arial"/>
        </w:rPr>
      </w:pPr>
      <w:r>
        <w:rPr>
          <w:rFonts w:ascii="Arial" w:hAnsi="Arial"/>
        </w:rPr>
        <w:t>[</w:t>
      </w:r>
      <w:r w:rsidR="00B42678">
        <w:rPr>
          <w:rFonts w:ascii="Arial" w:hAnsi="Arial"/>
        </w:rPr>
        <w:t>6</w:t>
      </w:r>
      <w:r>
        <w:rPr>
          <w:rFonts w:ascii="Arial" w:hAnsi="Arial"/>
        </w:rPr>
        <w:t>]</w:t>
      </w:r>
      <w:r>
        <w:rPr>
          <w:rFonts w:ascii="Arial" w:hAnsi="Arial"/>
        </w:rPr>
        <w:tab/>
        <w:t>Without in anyway being perceived to be negating the applicants’ rights to be heard, I have found it fitting to deal with just one point of law that was raised by Mr. Greyling and this is the first point, namely, the non-compliance with rule 65(7), which is reproduced below.</w:t>
      </w:r>
    </w:p>
    <w:p w14:paraId="28F3B352" w14:textId="77777777" w:rsidR="005A2E97" w:rsidRDefault="005A2E97" w:rsidP="006A7EEC">
      <w:pPr>
        <w:spacing w:line="360" w:lineRule="auto"/>
        <w:jc w:val="both"/>
        <w:rPr>
          <w:rFonts w:ascii="Arial" w:hAnsi="Arial"/>
        </w:rPr>
      </w:pPr>
    </w:p>
    <w:p w14:paraId="479AD9BE" w14:textId="28330F5B" w:rsidR="00602F40" w:rsidRDefault="00602F40" w:rsidP="005A2E97">
      <w:pPr>
        <w:spacing w:line="360" w:lineRule="auto"/>
        <w:jc w:val="both"/>
        <w:rPr>
          <w:rFonts w:ascii="Arial" w:hAnsi="Arial"/>
        </w:rPr>
      </w:pPr>
      <w:r>
        <w:rPr>
          <w:rFonts w:ascii="Arial" w:hAnsi="Arial"/>
        </w:rPr>
        <w:t>[</w:t>
      </w:r>
      <w:r w:rsidR="00B42678">
        <w:rPr>
          <w:rFonts w:ascii="Arial" w:hAnsi="Arial"/>
        </w:rPr>
        <w:t>7</w:t>
      </w:r>
      <w:r>
        <w:rPr>
          <w:rFonts w:ascii="Arial" w:hAnsi="Arial"/>
        </w:rPr>
        <w:t>]</w:t>
      </w:r>
      <w:r>
        <w:rPr>
          <w:rFonts w:ascii="Arial" w:hAnsi="Arial"/>
        </w:rPr>
        <w:tab/>
        <w:t>Rule 65(7) provides the following:</w:t>
      </w:r>
    </w:p>
    <w:p w14:paraId="1AA02E89" w14:textId="70BADC6D" w:rsidR="00602F40" w:rsidRDefault="00602F40" w:rsidP="00602F40">
      <w:pPr>
        <w:spacing w:line="360" w:lineRule="auto"/>
        <w:jc w:val="both"/>
        <w:rPr>
          <w:rFonts w:ascii="Arial" w:hAnsi="Arial"/>
          <w:sz w:val="22"/>
          <w:szCs w:val="22"/>
        </w:rPr>
      </w:pPr>
      <w:r>
        <w:rPr>
          <w:rFonts w:ascii="Arial" w:hAnsi="Arial"/>
        </w:rPr>
        <w:lastRenderedPageBreak/>
        <w:tab/>
      </w:r>
      <w:r w:rsidR="002004BD">
        <w:rPr>
          <w:rFonts w:ascii="Arial" w:hAnsi="Arial"/>
        </w:rPr>
        <w:t>‘</w:t>
      </w:r>
      <w:r>
        <w:rPr>
          <w:rFonts w:ascii="Arial" w:hAnsi="Arial"/>
          <w:sz w:val="22"/>
          <w:szCs w:val="22"/>
        </w:rPr>
        <w:t xml:space="preserve">(7) A person who makes an application to the court in connection with the </w:t>
      </w:r>
      <w:r w:rsidR="007B55D5">
        <w:rPr>
          <w:rFonts w:ascii="Arial" w:hAnsi="Arial"/>
          <w:sz w:val="22"/>
          <w:szCs w:val="22"/>
        </w:rPr>
        <w:tab/>
      </w:r>
      <w:r>
        <w:rPr>
          <w:rFonts w:ascii="Arial" w:hAnsi="Arial"/>
          <w:sz w:val="22"/>
          <w:szCs w:val="22"/>
        </w:rPr>
        <w:t xml:space="preserve">estate of a deceased person or alleged to be a prodigal or under any legal </w:t>
      </w:r>
      <w:r w:rsidR="007B55D5">
        <w:rPr>
          <w:rFonts w:ascii="Arial" w:hAnsi="Arial"/>
          <w:sz w:val="22"/>
          <w:szCs w:val="22"/>
        </w:rPr>
        <w:tab/>
      </w:r>
      <w:r>
        <w:rPr>
          <w:rFonts w:ascii="Arial" w:hAnsi="Arial"/>
          <w:sz w:val="22"/>
          <w:szCs w:val="22"/>
        </w:rPr>
        <w:t xml:space="preserve">disability, mental or otherwise must, before the application is filed with the </w:t>
      </w:r>
      <w:r w:rsidR="007B55D5">
        <w:rPr>
          <w:rFonts w:ascii="Arial" w:hAnsi="Arial"/>
          <w:sz w:val="22"/>
          <w:szCs w:val="22"/>
        </w:rPr>
        <w:tab/>
      </w:r>
      <w:r>
        <w:rPr>
          <w:rFonts w:ascii="Arial" w:hAnsi="Arial"/>
          <w:sz w:val="22"/>
          <w:szCs w:val="22"/>
        </w:rPr>
        <w:t>registrar –</w:t>
      </w:r>
    </w:p>
    <w:p w14:paraId="0E25EF73" w14:textId="77777777" w:rsidR="00602F40" w:rsidRDefault="00602F40" w:rsidP="00602F40">
      <w:pPr>
        <w:spacing w:line="360" w:lineRule="auto"/>
        <w:jc w:val="both"/>
        <w:rPr>
          <w:rFonts w:ascii="Arial" w:hAnsi="Arial"/>
          <w:sz w:val="22"/>
          <w:szCs w:val="22"/>
        </w:rPr>
      </w:pPr>
    </w:p>
    <w:p w14:paraId="605FD2A9" w14:textId="77777777" w:rsidR="00602F40" w:rsidRPr="00602F40" w:rsidRDefault="00602F40" w:rsidP="00602F40">
      <w:pPr>
        <w:pStyle w:val="ListParagraph"/>
        <w:numPr>
          <w:ilvl w:val="0"/>
          <w:numId w:val="1"/>
        </w:numPr>
        <w:spacing w:line="360" w:lineRule="auto"/>
        <w:jc w:val="both"/>
        <w:rPr>
          <w:rFonts w:ascii="Arial" w:hAnsi="Arial"/>
          <w:sz w:val="22"/>
          <w:szCs w:val="22"/>
        </w:rPr>
      </w:pPr>
      <w:r w:rsidRPr="00602F40">
        <w:rPr>
          <w:rFonts w:ascii="Arial" w:hAnsi="Arial"/>
          <w:sz w:val="22"/>
          <w:szCs w:val="22"/>
        </w:rPr>
        <w:t>submit the application to the master for his or her consideration and report;</w:t>
      </w:r>
    </w:p>
    <w:p w14:paraId="57218CF6" w14:textId="6CAE3967" w:rsidR="00602F40" w:rsidRDefault="00602F40" w:rsidP="00602F40">
      <w:pPr>
        <w:pStyle w:val="ListParagraph"/>
        <w:numPr>
          <w:ilvl w:val="0"/>
          <w:numId w:val="1"/>
        </w:numPr>
        <w:spacing w:line="360" w:lineRule="auto"/>
        <w:jc w:val="both"/>
        <w:rPr>
          <w:rFonts w:ascii="Arial" w:hAnsi="Arial"/>
          <w:sz w:val="22"/>
          <w:szCs w:val="22"/>
        </w:rPr>
      </w:pPr>
      <w:r>
        <w:rPr>
          <w:rFonts w:ascii="Arial" w:hAnsi="Arial"/>
          <w:sz w:val="22"/>
          <w:szCs w:val="22"/>
        </w:rPr>
        <w:t>l</w:t>
      </w:r>
      <w:r w:rsidR="002004BD">
        <w:rPr>
          <w:rFonts w:ascii="Arial" w:hAnsi="Arial"/>
          <w:sz w:val="22"/>
          <w:szCs w:val="22"/>
        </w:rPr>
        <w:t xml:space="preserve">ikewise submit </w:t>
      </w:r>
      <w:r>
        <w:rPr>
          <w:rFonts w:ascii="Arial" w:hAnsi="Arial"/>
          <w:sz w:val="22"/>
          <w:szCs w:val="22"/>
        </w:rPr>
        <w:t>any suggestion to the master for a report, if any person is to be proposed to the court for appointment as curator to property,</w:t>
      </w:r>
    </w:p>
    <w:p w14:paraId="3D29A4F7" w14:textId="66A054BD" w:rsidR="00602F40" w:rsidRDefault="007B55D5" w:rsidP="00602F40">
      <w:pPr>
        <w:spacing w:line="360" w:lineRule="auto"/>
        <w:jc w:val="both"/>
        <w:rPr>
          <w:rFonts w:ascii="Arial" w:hAnsi="Arial"/>
          <w:sz w:val="22"/>
          <w:szCs w:val="22"/>
        </w:rPr>
      </w:pPr>
      <w:r>
        <w:rPr>
          <w:rFonts w:ascii="Arial" w:hAnsi="Arial"/>
          <w:sz w:val="22"/>
          <w:szCs w:val="22"/>
        </w:rPr>
        <w:tab/>
      </w:r>
      <w:proofErr w:type="gramStart"/>
      <w:r w:rsidR="00602F40">
        <w:rPr>
          <w:rFonts w:ascii="Arial" w:hAnsi="Arial"/>
          <w:sz w:val="22"/>
          <w:szCs w:val="22"/>
        </w:rPr>
        <w:t>but</w:t>
      </w:r>
      <w:proofErr w:type="gramEnd"/>
      <w:r w:rsidR="00602F40">
        <w:rPr>
          <w:rFonts w:ascii="Arial" w:hAnsi="Arial"/>
          <w:sz w:val="22"/>
          <w:szCs w:val="22"/>
        </w:rPr>
        <w:t xml:space="preserve"> this subrule does not apply to an application in terms of rule 72, except </w:t>
      </w:r>
      <w:r>
        <w:rPr>
          <w:rFonts w:ascii="Arial" w:hAnsi="Arial"/>
          <w:sz w:val="22"/>
          <w:szCs w:val="22"/>
        </w:rPr>
        <w:tab/>
      </w:r>
      <w:r w:rsidR="00602F40">
        <w:rPr>
          <w:rFonts w:ascii="Arial" w:hAnsi="Arial"/>
          <w:sz w:val="22"/>
          <w:szCs w:val="22"/>
        </w:rPr>
        <w:t>where that rule otherwise provides.’</w:t>
      </w:r>
    </w:p>
    <w:p w14:paraId="01AA6B48" w14:textId="77777777" w:rsidR="00602F40" w:rsidRDefault="00602F40" w:rsidP="00602F40">
      <w:pPr>
        <w:spacing w:line="360" w:lineRule="auto"/>
        <w:jc w:val="both"/>
        <w:rPr>
          <w:rFonts w:ascii="Arial" w:hAnsi="Arial"/>
          <w:sz w:val="22"/>
          <w:szCs w:val="22"/>
        </w:rPr>
      </w:pPr>
    </w:p>
    <w:p w14:paraId="01E24A94" w14:textId="2EF98A54" w:rsidR="00602F40" w:rsidRDefault="00602F40" w:rsidP="00602F40">
      <w:pPr>
        <w:spacing w:line="360" w:lineRule="auto"/>
        <w:jc w:val="both"/>
        <w:rPr>
          <w:rFonts w:ascii="Arial" w:hAnsi="Arial"/>
        </w:rPr>
      </w:pPr>
      <w:r>
        <w:rPr>
          <w:rFonts w:ascii="Arial" w:hAnsi="Arial"/>
        </w:rPr>
        <w:t>[</w:t>
      </w:r>
      <w:r w:rsidR="00B42678">
        <w:rPr>
          <w:rFonts w:ascii="Arial" w:hAnsi="Arial"/>
        </w:rPr>
        <w:t>8</w:t>
      </w:r>
      <w:r>
        <w:rPr>
          <w:rFonts w:ascii="Arial" w:hAnsi="Arial"/>
        </w:rPr>
        <w:t>]</w:t>
      </w:r>
      <w:r>
        <w:rPr>
          <w:rFonts w:ascii="Arial" w:hAnsi="Arial"/>
        </w:rPr>
        <w:tab/>
        <w:t>I will</w:t>
      </w:r>
      <w:r w:rsidR="00FC0B7F">
        <w:rPr>
          <w:rFonts w:ascii="Arial" w:hAnsi="Arial"/>
        </w:rPr>
        <w:t>, for convenience, engage in a</w:t>
      </w:r>
      <w:r>
        <w:rPr>
          <w:rFonts w:ascii="Arial" w:hAnsi="Arial"/>
        </w:rPr>
        <w:t xml:space="preserve"> process of elimination. Rule 72, referred to above, relates to </w:t>
      </w:r>
      <w:r>
        <w:rPr>
          <w:rFonts w:ascii="Arial" w:hAnsi="Arial"/>
          <w:i/>
        </w:rPr>
        <w:t xml:space="preserve">ex parte </w:t>
      </w:r>
      <w:r>
        <w:rPr>
          <w:rFonts w:ascii="Arial" w:hAnsi="Arial"/>
        </w:rPr>
        <w:t xml:space="preserve">applications. It is accordingly clear that the current application is not an </w:t>
      </w:r>
      <w:r>
        <w:rPr>
          <w:rFonts w:ascii="Arial" w:hAnsi="Arial"/>
          <w:i/>
        </w:rPr>
        <w:t xml:space="preserve">ex parte </w:t>
      </w:r>
      <w:r>
        <w:rPr>
          <w:rFonts w:ascii="Arial" w:hAnsi="Arial"/>
        </w:rPr>
        <w:t>application as it was served on the respondent and some relief is sought from her. That being the case, it follows naturally that the provisions of this subrule</w:t>
      </w:r>
      <w:r w:rsidR="00B8033F">
        <w:rPr>
          <w:rFonts w:ascii="Arial" w:hAnsi="Arial"/>
        </w:rPr>
        <w:t xml:space="preserve"> do apply without reservation to</w:t>
      </w:r>
      <w:r>
        <w:rPr>
          <w:rFonts w:ascii="Arial" w:hAnsi="Arial"/>
        </w:rPr>
        <w:t xml:space="preserve"> the current application.</w:t>
      </w:r>
    </w:p>
    <w:p w14:paraId="6153C3B1" w14:textId="77777777" w:rsidR="00602F40" w:rsidRDefault="00602F40" w:rsidP="00602F40">
      <w:pPr>
        <w:spacing w:line="360" w:lineRule="auto"/>
        <w:jc w:val="both"/>
        <w:rPr>
          <w:rFonts w:ascii="Arial" w:hAnsi="Arial"/>
        </w:rPr>
      </w:pPr>
    </w:p>
    <w:p w14:paraId="6587496A" w14:textId="504E9DE9" w:rsidR="00602F40" w:rsidRDefault="009B5785" w:rsidP="00602F40">
      <w:pPr>
        <w:spacing w:line="360" w:lineRule="auto"/>
        <w:jc w:val="both"/>
        <w:rPr>
          <w:rFonts w:ascii="Arial" w:hAnsi="Arial"/>
        </w:rPr>
      </w:pPr>
      <w:r>
        <w:rPr>
          <w:rFonts w:ascii="Arial" w:hAnsi="Arial"/>
        </w:rPr>
        <w:t>[</w:t>
      </w:r>
      <w:r w:rsidR="00B42678">
        <w:rPr>
          <w:rFonts w:ascii="Arial" w:hAnsi="Arial"/>
        </w:rPr>
        <w:t>9</w:t>
      </w:r>
      <w:r>
        <w:rPr>
          <w:rFonts w:ascii="Arial" w:hAnsi="Arial"/>
        </w:rPr>
        <w:t>]</w:t>
      </w:r>
      <w:r w:rsidR="00602F40">
        <w:rPr>
          <w:rFonts w:ascii="Arial" w:hAnsi="Arial"/>
        </w:rPr>
        <w:tab/>
        <w:t>The effect of the above subrule, is to state or require an applicant, who seeks to lodge an application in respect of an estate of a deceased person or of a person under some legal or mental disability, to first submit the application to the master of this court before the application is filed with this court.</w:t>
      </w:r>
    </w:p>
    <w:p w14:paraId="12186431" w14:textId="77777777" w:rsidR="00602F40" w:rsidRDefault="00602F40" w:rsidP="00602F40">
      <w:pPr>
        <w:spacing w:line="360" w:lineRule="auto"/>
        <w:jc w:val="both"/>
        <w:rPr>
          <w:rFonts w:ascii="Arial" w:hAnsi="Arial"/>
        </w:rPr>
      </w:pPr>
    </w:p>
    <w:p w14:paraId="72962937" w14:textId="714D2729" w:rsidR="007D471D" w:rsidRDefault="00602F40" w:rsidP="00602F40">
      <w:pPr>
        <w:spacing w:line="360" w:lineRule="auto"/>
        <w:jc w:val="both"/>
        <w:rPr>
          <w:rFonts w:ascii="Arial" w:hAnsi="Arial"/>
        </w:rPr>
      </w:pPr>
      <w:r>
        <w:rPr>
          <w:rFonts w:ascii="Arial" w:hAnsi="Arial"/>
        </w:rPr>
        <w:t>[</w:t>
      </w:r>
      <w:r w:rsidR="00212B5D">
        <w:rPr>
          <w:rFonts w:ascii="Arial" w:hAnsi="Arial"/>
        </w:rPr>
        <w:t>1</w:t>
      </w:r>
      <w:r w:rsidR="00B42678">
        <w:rPr>
          <w:rFonts w:ascii="Arial" w:hAnsi="Arial"/>
        </w:rPr>
        <w:t>0</w:t>
      </w:r>
      <w:r>
        <w:rPr>
          <w:rFonts w:ascii="Arial" w:hAnsi="Arial"/>
        </w:rPr>
        <w:t>]</w:t>
      </w:r>
      <w:r>
        <w:rPr>
          <w:rFonts w:ascii="Arial" w:hAnsi="Arial"/>
        </w:rPr>
        <w:tab/>
        <w:t xml:space="preserve">It is important to mention that having regard to the language used by the rule-maker, in crafting this subrule, it is clear that the requirements of this subrule are mandatory and a party has no choice but to comply with the requirement of </w:t>
      </w:r>
      <w:r w:rsidR="0010157D">
        <w:rPr>
          <w:rFonts w:ascii="Arial" w:hAnsi="Arial"/>
        </w:rPr>
        <w:t>first submitting the</w:t>
      </w:r>
      <w:r>
        <w:rPr>
          <w:rFonts w:ascii="Arial" w:hAnsi="Arial"/>
        </w:rPr>
        <w:t xml:space="preserve"> application to the master</w:t>
      </w:r>
      <w:r w:rsidR="0010157D">
        <w:rPr>
          <w:rFonts w:ascii="Arial" w:hAnsi="Arial"/>
        </w:rPr>
        <w:t xml:space="preserve"> before filing it with this court</w:t>
      </w:r>
      <w:r>
        <w:rPr>
          <w:rFonts w:ascii="Arial" w:hAnsi="Arial"/>
        </w:rPr>
        <w:t xml:space="preserve">. </w:t>
      </w:r>
      <w:r w:rsidR="007D471D">
        <w:rPr>
          <w:rFonts w:ascii="Arial" w:hAnsi="Arial"/>
        </w:rPr>
        <w:t>Failure to comply with the terms of the subrule has devastating consequences for the non-compliant party, in this case the applicants.</w:t>
      </w:r>
    </w:p>
    <w:p w14:paraId="018FB1D4" w14:textId="77777777" w:rsidR="007D471D" w:rsidRDefault="007D471D" w:rsidP="00602F40">
      <w:pPr>
        <w:spacing w:line="360" w:lineRule="auto"/>
        <w:jc w:val="both"/>
        <w:rPr>
          <w:rFonts w:ascii="Arial" w:hAnsi="Arial"/>
        </w:rPr>
      </w:pPr>
    </w:p>
    <w:p w14:paraId="4CC868DE" w14:textId="4F92CF22" w:rsidR="00602F40" w:rsidRDefault="007D471D" w:rsidP="00602F40">
      <w:pPr>
        <w:spacing w:line="360" w:lineRule="auto"/>
        <w:jc w:val="both"/>
        <w:rPr>
          <w:rFonts w:ascii="Arial" w:hAnsi="Arial"/>
        </w:rPr>
      </w:pPr>
      <w:r>
        <w:rPr>
          <w:rFonts w:ascii="Arial" w:hAnsi="Arial"/>
        </w:rPr>
        <w:t>[</w:t>
      </w:r>
      <w:r w:rsidR="00B42678">
        <w:rPr>
          <w:rFonts w:ascii="Arial" w:hAnsi="Arial"/>
        </w:rPr>
        <w:t>11</w:t>
      </w:r>
      <w:r>
        <w:rPr>
          <w:rFonts w:ascii="Arial" w:hAnsi="Arial"/>
        </w:rPr>
        <w:t>]</w:t>
      </w:r>
      <w:r>
        <w:rPr>
          <w:rFonts w:ascii="Arial" w:hAnsi="Arial"/>
        </w:rPr>
        <w:tab/>
        <w:t>The</w:t>
      </w:r>
      <w:r w:rsidR="00602F40">
        <w:rPr>
          <w:rFonts w:ascii="Arial" w:hAnsi="Arial"/>
        </w:rPr>
        <w:t xml:space="preserve"> </w:t>
      </w:r>
      <w:r>
        <w:rPr>
          <w:rFonts w:ascii="Arial" w:hAnsi="Arial"/>
        </w:rPr>
        <w:t>applicants have</w:t>
      </w:r>
      <w:r w:rsidR="00602F40">
        <w:rPr>
          <w:rFonts w:ascii="Arial" w:hAnsi="Arial"/>
        </w:rPr>
        <w:t xml:space="preserve"> evidently</w:t>
      </w:r>
      <w:r>
        <w:rPr>
          <w:rFonts w:ascii="Arial" w:hAnsi="Arial"/>
        </w:rPr>
        <w:t xml:space="preserve"> not complied with the mandatory requirements of the subrule</w:t>
      </w:r>
      <w:r w:rsidR="00602F40">
        <w:rPr>
          <w:rFonts w:ascii="Arial" w:hAnsi="Arial"/>
        </w:rPr>
        <w:t xml:space="preserve"> in this case. It is important to observe that the sub-rule does not create exceptions in its applic</w:t>
      </w:r>
      <w:r>
        <w:rPr>
          <w:rFonts w:ascii="Arial" w:hAnsi="Arial"/>
        </w:rPr>
        <w:t>ation</w:t>
      </w:r>
      <w:r w:rsidR="00602F40">
        <w:rPr>
          <w:rFonts w:ascii="Arial" w:hAnsi="Arial"/>
        </w:rPr>
        <w:t>. There being none, the applicants cannot claim any exemption from compliance with the said subrule.</w:t>
      </w:r>
    </w:p>
    <w:p w14:paraId="3F6BE7E9" w14:textId="77777777" w:rsidR="00602F40" w:rsidRDefault="00602F40" w:rsidP="00602F40">
      <w:pPr>
        <w:spacing w:line="360" w:lineRule="auto"/>
        <w:jc w:val="both"/>
        <w:rPr>
          <w:rFonts w:ascii="Arial" w:hAnsi="Arial"/>
        </w:rPr>
      </w:pPr>
    </w:p>
    <w:p w14:paraId="29ACB8A0" w14:textId="49E0E33C" w:rsidR="00602F40" w:rsidRDefault="00602F40" w:rsidP="00602F40">
      <w:pPr>
        <w:spacing w:line="360" w:lineRule="auto"/>
        <w:jc w:val="both"/>
        <w:rPr>
          <w:rFonts w:ascii="Arial" w:hAnsi="Arial"/>
        </w:rPr>
      </w:pPr>
      <w:r>
        <w:rPr>
          <w:rFonts w:ascii="Arial" w:hAnsi="Arial"/>
        </w:rPr>
        <w:t>[</w:t>
      </w:r>
      <w:r w:rsidR="00B42678">
        <w:rPr>
          <w:rFonts w:ascii="Arial" w:hAnsi="Arial"/>
        </w:rPr>
        <w:t>12</w:t>
      </w:r>
      <w:r>
        <w:rPr>
          <w:rFonts w:ascii="Arial" w:hAnsi="Arial"/>
        </w:rPr>
        <w:t>]</w:t>
      </w:r>
      <w:r>
        <w:rPr>
          <w:rFonts w:ascii="Arial" w:hAnsi="Arial"/>
        </w:rPr>
        <w:tab/>
        <w:t>The reason for the rule-maker to require the submission of such applications before they are lodged, is to enable the office of the ma</w:t>
      </w:r>
      <w:r w:rsidR="007D471D">
        <w:rPr>
          <w:rFonts w:ascii="Arial" w:hAnsi="Arial"/>
        </w:rPr>
        <w:t>s</w:t>
      </w:r>
      <w:r>
        <w:rPr>
          <w:rFonts w:ascii="Arial" w:hAnsi="Arial"/>
        </w:rPr>
        <w:t xml:space="preserve">ter of this court, to give a report on the </w:t>
      </w:r>
      <w:r w:rsidR="0010157D">
        <w:rPr>
          <w:rFonts w:ascii="Arial" w:hAnsi="Arial"/>
        </w:rPr>
        <w:t xml:space="preserve">deceased’s </w:t>
      </w:r>
      <w:r>
        <w:rPr>
          <w:rFonts w:ascii="Arial" w:hAnsi="Arial"/>
        </w:rPr>
        <w:t xml:space="preserve">estate or other person under disability </w:t>
      </w:r>
      <w:r w:rsidR="005A2E97">
        <w:rPr>
          <w:rFonts w:ascii="Arial" w:hAnsi="Arial"/>
        </w:rPr>
        <w:t xml:space="preserve">and </w:t>
      </w:r>
      <w:r>
        <w:rPr>
          <w:rFonts w:ascii="Arial" w:hAnsi="Arial"/>
        </w:rPr>
        <w:t xml:space="preserve">where applicable, </w:t>
      </w:r>
      <w:r w:rsidR="0010157D">
        <w:rPr>
          <w:rFonts w:ascii="Arial" w:hAnsi="Arial"/>
        </w:rPr>
        <w:t xml:space="preserve">make </w:t>
      </w:r>
      <w:r>
        <w:rPr>
          <w:rFonts w:ascii="Arial" w:hAnsi="Arial"/>
        </w:rPr>
        <w:t>recommendations to the court on the further progress of the matter. This, the master’s office is able to do because of its peculiar statutory</w:t>
      </w:r>
      <w:r w:rsidR="007D471D">
        <w:rPr>
          <w:rFonts w:ascii="Arial" w:hAnsi="Arial"/>
        </w:rPr>
        <w:t xml:space="preserve"> position as the primary repository of records relati</w:t>
      </w:r>
      <w:r>
        <w:rPr>
          <w:rFonts w:ascii="Arial" w:hAnsi="Arial"/>
        </w:rPr>
        <w:t>n</w:t>
      </w:r>
      <w:r w:rsidR="007D471D">
        <w:rPr>
          <w:rFonts w:ascii="Arial" w:hAnsi="Arial"/>
        </w:rPr>
        <w:t>g</w:t>
      </w:r>
      <w:r>
        <w:rPr>
          <w:rFonts w:ascii="Arial" w:hAnsi="Arial"/>
        </w:rPr>
        <w:t xml:space="preserve"> to matters referred to in (a) and (b) of the subrule in question.</w:t>
      </w:r>
    </w:p>
    <w:p w14:paraId="6233A9F0" w14:textId="77777777" w:rsidR="00602F40" w:rsidRDefault="00602F40" w:rsidP="00602F40">
      <w:pPr>
        <w:spacing w:line="360" w:lineRule="auto"/>
        <w:jc w:val="both"/>
        <w:rPr>
          <w:rFonts w:ascii="Arial" w:hAnsi="Arial"/>
        </w:rPr>
      </w:pPr>
    </w:p>
    <w:p w14:paraId="607A1417" w14:textId="3928CF1F" w:rsidR="007D471D" w:rsidRDefault="00602F40" w:rsidP="00602F40">
      <w:pPr>
        <w:spacing w:line="360" w:lineRule="auto"/>
        <w:jc w:val="both"/>
        <w:rPr>
          <w:rFonts w:ascii="Arial" w:hAnsi="Arial"/>
        </w:rPr>
      </w:pPr>
      <w:r>
        <w:rPr>
          <w:rFonts w:ascii="Arial" w:hAnsi="Arial"/>
        </w:rPr>
        <w:t>[</w:t>
      </w:r>
      <w:r w:rsidR="00B42678">
        <w:rPr>
          <w:rFonts w:ascii="Arial" w:hAnsi="Arial"/>
        </w:rPr>
        <w:t>13</w:t>
      </w:r>
      <w:r>
        <w:rPr>
          <w:rFonts w:ascii="Arial" w:hAnsi="Arial"/>
        </w:rPr>
        <w:t>]</w:t>
      </w:r>
      <w:r>
        <w:rPr>
          <w:rFonts w:ascii="Arial" w:hAnsi="Arial"/>
        </w:rPr>
        <w:tab/>
      </w:r>
      <w:r w:rsidR="007D471D">
        <w:rPr>
          <w:rFonts w:ascii="Arial" w:hAnsi="Arial"/>
        </w:rPr>
        <w:t>I have del</w:t>
      </w:r>
      <w:r w:rsidR="007B55D5">
        <w:rPr>
          <w:rFonts w:ascii="Arial" w:hAnsi="Arial"/>
        </w:rPr>
        <w:t xml:space="preserve">iberately not had regard to Mr </w:t>
      </w:r>
      <w:proofErr w:type="spellStart"/>
      <w:r w:rsidR="007D471D">
        <w:rPr>
          <w:rFonts w:ascii="Arial" w:hAnsi="Arial"/>
        </w:rPr>
        <w:t>Greyling’s</w:t>
      </w:r>
      <w:proofErr w:type="spellEnd"/>
      <w:r>
        <w:rPr>
          <w:rFonts w:ascii="Arial" w:hAnsi="Arial"/>
        </w:rPr>
        <w:t xml:space="preserve"> heads of argument</w:t>
      </w:r>
      <w:r w:rsidR="007D471D">
        <w:rPr>
          <w:rFonts w:ascii="Arial" w:hAnsi="Arial"/>
        </w:rPr>
        <w:t xml:space="preserve"> in this matter as they have been</w:t>
      </w:r>
      <w:r>
        <w:rPr>
          <w:rFonts w:ascii="Arial" w:hAnsi="Arial"/>
        </w:rPr>
        <w:t xml:space="preserve"> belatedly fil</w:t>
      </w:r>
      <w:r w:rsidR="007D471D">
        <w:rPr>
          <w:rFonts w:ascii="Arial" w:hAnsi="Arial"/>
        </w:rPr>
        <w:t>ed and without leave I must add. That being said, the respondent did properly raise the issue of the application of rule 65(7) in her answering affidavit.</w:t>
      </w:r>
      <w:r>
        <w:rPr>
          <w:rFonts w:ascii="Arial" w:hAnsi="Arial"/>
        </w:rPr>
        <w:t xml:space="preserve"> </w:t>
      </w:r>
    </w:p>
    <w:p w14:paraId="2C550CC1" w14:textId="77777777" w:rsidR="007D471D" w:rsidRDefault="007D471D" w:rsidP="00602F40">
      <w:pPr>
        <w:spacing w:line="360" w:lineRule="auto"/>
        <w:jc w:val="both"/>
        <w:rPr>
          <w:rFonts w:ascii="Arial" w:hAnsi="Arial"/>
        </w:rPr>
      </w:pPr>
    </w:p>
    <w:p w14:paraId="730B57E4" w14:textId="3D4CECA3" w:rsidR="00602F40" w:rsidRDefault="007D471D" w:rsidP="00602F40">
      <w:pPr>
        <w:spacing w:line="360" w:lineRule="auto"/>
        <w:jc w:val="both"/>
        <w:rPr>
          <w:rFonts w:ascii="Arial" w:hAnsi="Arial"/>
        </w:rPr>
      </w:pPr>
      <w:r>
        <w:rPr>
          <w:rFonts w:ascii="Arial" w:hAnsi="Arial"/>
        </w:rPr>
        <w:t>[</w:t>
      </w:r>
      <w:r w:rsidR="00B42678">
        <w:rPr>
          <w:rFonts w:ascii="Arial" w:hAnsi="Arial"/>
        </w:rPr>
        <w:t>14</w:t>
      </w:r>
      <w:r>
        <w:rPr>
          <w:rFonts w:ascii="Arial" w:hAnsi="Arial"/>
        </w:rPr>
        <w:t>]</w:t>
      </w:r>
      <w:r>
        <w:rPr>
          <w:rFonts w:ascii="Arial" w:hAnsi="Arial"/>
        </w:rPr>
        <w:tab/>
        <w:t xml:space="preserve">As indicated above, it appears </w:t>
      </w:r>
      <w:r w:rsidR="00602F40">
        <w:rPr>
          <w:rFonts w:ascii="Arial" w:hAnsi="Arial"/>
        </w:rPr>
        <w:t>that the failure to comply with this subrule by an applicant, is fatal to the application. By sayi</w:t>
      </w:r>
      <w:r>
        <w:rPr>
          <w:rFonts w:ascii="Arial" w:hAnsi="Arial"/>
        </w:rPr>
        <w:t>ng th</w:t>
      </w:r>
      <w:r w:rsidR="00B8033F">
        <w:rPr>
          <w:rFonts w:ascii="Arial" w:hAnsi="Arial"/>
        </w:rPr>
        <w:t xml:space="preserve">is, I do not </w:t>
      </w:r>
      <w:r>
        <w:rPr>
          <w:rFonts w:ascii="Arial" w:hAnsi="Arial"/>
        </w:rPr>
        <w:t>mean</w:t>
      </w:r>
      <w:r w:rsidR="00602F40">
        <w:rPr>
          <w:rFonts w:ascii="Arial" w:hAnsi="Arial"/>
        </w:rPr>
        <w:t xml:space="preserve"> that the application should be dismissed for that reason. It means that the court cannot </w:t>
      </w:r>
      <w:r w:rsidR="0010157D">
        <w:rPr>
          <w:rFonts w:ascii="Arial" w:hAnsi="Arial"/>
        </w:rPr>
        <w:t xml:space="preserve">properly </w:t>
      </w:r>
      <w:r w:rsidR="00602F40">
        <w:rPr>
          <w:rFonts w:ascii="Arial" w:hAnsi="Arial"/>
        </w:rPr>
        <w:t>adjudicate upon it until such time that the provision i</w:t>
      </w:r>
      <w:r w:rsidR="0010157D">
        <w:rPr>
          <w:rFonts w:ascii="Arial" w:hAnsi="Arial"/>
        </w:rPr>
        <w:t xml:space="preserve">n </w:t>
      </w:r>
      <w:r w:rsidR="00602F40">
        <w:rPr>
          <w:rFonts w:ascii="Arial" w:hAnsi="Arial"/>
        </w:rPr>
        <w:t>question has been complied with.</w:t>
      </w:r>
      <w:r w:rsidR="00A2320C">
        <w:rPr>
          <w:rFonts w:ascii="Arial" w:hAnsi="Arial"/>
        </w:rPr>
        <w:t xml:space="preserve"> </w:t>
      </w:r>
      <w:r>
        <w:rPr>
          <w:rFonts w:ascii="Arial" w:hAnsi="Arial"/>
        </w:rPr>
        <w:t xml:space="preserve">The application is, in these circumstances, not properly before court for adjudication. </w:t>
      </w:r>
      <w:r w:rsidR="00A2320C">
        <w:rPr>
          <w:rFonts w:ascii="Arial" w:hAnsi="Arial"/>
        </w:rPr>
        <w:t xml:space="preserve">If the court would have </w:t>
      </w:r>
      <w:r>
        <w:rPr>
          <w:rFonts w:ascii="Arial" w:hAnsi="Arial"/>
        </w:rPr>
        <w:t xml:space="preserve">been properly placed to </w:t>
      </w:r>
      <w:r w:rsidR="00A2320C">
        <w:rPr>
          <w:rFonts w:ascii="Arial" w:hAnsi="Arial"/>
        </w:rPr>
        <w:t>de</w:t>
      </w:r>
      <w:r>
        <w:rPr>
          <w:rFonts w:ascii="Arial" w:hAnsi="Arial"/>
        </w:rPr>
        <w:t>al with the other substantial issues raise</w:t>
      </w:r>
      <w:r w:rsidR="00A2320C">
        <w:rPr>
          <w:rFonts w:ascii="Arial" w:hAnsi="Arial"/>
        </w:rPr>
        <w:t>d</w:t>
      </w:r>
      <w:r>
        <w:rPr>
          <w:rFonts w:ascii="Arial" w:hAnsi="Arial"/>
        </w:rPr>
        <w:t xml:space="preserve"> </w:t>
      </w:r>
      <w:r w:rsidR="00A2320C">
        <w:rPr>
          <w:rFonts w:ascii="Arial" w:hAnsi="Arial"/>
        </w:rPr>
        <w:t>on the respondent’s behalf, and the court found for the responden</w:t>
      </w:r>
      <w:r>
        <w:rPr>
          <w:rFonts w:ascii="Arial" w:hAnsi="Arial"/>
        </w:rPr>
        <w:t>t in that regard, the court may well be within its rights, if so persuaded, to dismiss the application</w:t>
      </w:r>
      <w:r w:rsidR="00A2320C">
        <w:rPr>
          <w:rFonts w:ascii="Arial" w:hAnsi="Arial"/>
        </w:rPr>
        <w:t xml:space="preserve">. </w:t>
      </w:r>
    </w:p>
    <w:p w14:paraId="1537C1C3" w14:textId="77777777" w:rsidR="00602F40" w:rsidRDefault="00602F40" w:rsidP="00602F40">
      <w:pPr>
        <w:spacing w:line="360" w:lineRule="auto"/>
        <w:jc w:val="both"/>
        <w:rPr>
          <w:rFonts w:ascii="Arial" w:hAnsi="Arial"/>
        </w:rPr>
      </w:pPr>
    </w:p>
    <w:p w14:paraId="06231D22" w14:textId="34378847" w:rsidR="00CD652E" w:rsidRDefault="00602F40" w:rsidP="00602F40">
      <w:pPr>
        <w:spacing w:line="360" w:lineRule="auto"/>
        <w:jc w:val="both"/>
        <w:rPr>
          <w:rFonts w:ascii="Arial" w:hAnsi="Arial"/>
        </w:rPr>
      </w:pPr>
      <w:r>
        <w:rPr>
          <w:rFonts w:ascii="Arial" w:hAnsi="Arial"/>
        </w:rPr>
        <w:t>[</w:t>
      </w:r>
      <w:r w:rsidR="00B42678">
        <w:rPr>
          <w:rFonts w:ascii="Arial" w:hAnsi="Arial"/>
        </w:rPr>
        <w:t>15</w:t>
      </w:r>
      <w:r>
        <w:rPr>
          <w:rFonts w:ascii="Arial" w:hAnsi="Arial"/>
        </w:rPr>
        <w:t>]</w:t>
      </w:r>
      <w:r>
        <w:rPr>
          <w:rFonts w:ascii="Arial" w:hAnsi="Arial"/>
        </w:rPr>
        <w:tab/>
        <w:t xml:space="preserve">I am averse to dismissing an application on a </w:t>
      </w:r>
      <w:r w:rsidR="00A2320C">
        <w:rPr>
          <w:rFonts w:ascii="Arial" w:hAnsi="Arial"/>
        </w:rPr>
        <w:t>procedural requirement like the present one</w:t>
      </w:r>
      <w:r>
        <w:rPr>
          <w:rFonts w:ascii="Arial" w:hAnsi="Arial"/>
        </w:rPr>
        <w:t xml:space="preserve"> when the merits of the matter have not been traversed. </w:t>
      </w:r>
      <w:r w:rsidR="00CD652E">
        <w:rPr>
          <w:rFonts w:ascii="Arial" w:hAnsi="Arial"/>
        </w:rPr>
        <w:t xml:space="preserve">This is what the Supreme Court appears to have said in the </w:t>
      </w:r>
      <w:proofErr w:type="spellStart"/>
      <w:r w:rsidR="00CD652E">
        <w:rPr>
          <w:rFonts w:ascii="Arial" w:hAnsi="Arial"/>
          <w:i/>
        </w:rPr>
        <w:t>Shetu</w:t>
      </w:r>
      <w:proofErr w:type="spellEnd"/>
      <w:r w:rsidR="00CD652E">
        <w:rPr>
          <w:rFonts w:ascii="Arial" w:hAnsi="Arial"/>
          <w:i/>
        </w:rPr>
        <w:t xml:space="preserve"> Trading</w:t>
      </w:r>
      <w:r w:rsidR="00A2320C">
        <w:rPr>
          <w:rFonts w:ascii="Arial" w:hAnsi="Arial"/>
          <w:i/>
        </w:rPr>
        <w:t xml:space="preserve"> CC v Chair of the Tender Board of Namibia and </w:t>
      </w:r>
      <w:r w:rsidR="007B55D5">
        <w:rPr>
          <w:rFonts w:ascii="Arial" w:hAnsi="Arial"/>
          <w:i/>
        </w:rPr>
        <w:t>others</w:t>
      </w:r>
      <w:r w:rsidR="00CD652E">
        <w:rPr>
          <w:rFonts w:ascii="Arial" w:hAnsi="Arial"/>
          <w:i/>
        </w:rPr>
        <w:t xml:space="preserve"> </w:t>
      </w:r>
      <w:r w:rsidR="00CD652E">
        <w:rPr>
          <w:rFonts w:ascii="Arial" w:hAnsi="Arial"/>
        </w:rPr>
        <w:t>matter</w:t>
      </w:r>
      <w:r w:rsidR="00962A2A">
        <w:rPr>
          <w:rFonts w:ascii="Arial" w:hAnsi="Arial"/>
        </w:rPr>
        <w:t>.</w:t>
      </w:r>
      <w:r w:rsidR="00A2320C">
        <w:rPr>
          <w:rStyle w:val="FootnoteReference"/>
          <w:rFonts w:ascii="Arial" w:hAnsi="Arial"/>
        </w:rPr>
        <w:footnoteReference w:id="1"/>
      </w:r>
      <w:r w:rsidR="007D471D">
        <w:rPr>
          <w:rFonts w:ascii="Arial" w:hAnsi="Arial"/>
        </w:rPr>
        <w:t xml:space="preserve"> It must be pointed out </w:t>
      </w:r>
      <w:r w:rsidR="00CD652E">
        <w:rPr>
          <w:rFonts w:ascii="Arial" w:hAnsi="Arial"/>
        </w:rPr>
        <w:t xml:space="preserve">though </w:t>
      </w:r>
      <w:r w:rsidR="007D471D">
        <w:rPr>
          <w:rFonts w:ascii="Arial" w:hAnsi="Arial"/>
        </w:rPr>
        <w:t xml:space="preserve">that </w:t>
      </w:r>
      <w:r w:rsidR="00CD652E">
        <w:rPr>
          <w:rFonts w:ascii="Arial" w:hAnsi="Arial"/>
        </w:rPr>
        <w:t xml:space="preserve">in that </w:t>
      </w:r>
      <w:r w:rsidR="007D471D">
        <w:rPr>
          <w:rFonts w:ascii="Arial" w:hAnsi="Arial"/>
        </w:rPr>
        <w:t>context,</w:t>
      </w:r>
      <w:r w:rsidR="00CD652E">
        <w:rPr>
          <w:rFonts w:ascii="Arial" w:hAnsi="Arial"/>
        </w:rPr>
        <w:t xml:space="preserve"> the issue </w:t>
      </w:r>
      <w:r w:rsidR="007D471D">
        <w:rPr>
          <w:rFonts w:ascii="Arial" w:hAnsi="Arial"/>
        </w:rPr>
        <w:t>under consideration was the dismissal of</w:t>
      </w:r>
      <w:r w:rsidR="00CD652E">
        <w:rPr>
          <w:rFonts w:ascii="Arial" w:hAnsi="Arial"/>
        </w:rPr>
        <w:t xml:space="preserve"> an application because it was held not to be urgent. </w:t>
      </w:r>
      <w:r w:rsidR="007D471D">
        <w:rPr>
          <w:rFonts w:ascii="Arial" w:hAnsi="Arial"/>
        </w:rPr>
        <w:t xml:space="preserve">The court held that it was wrong to dismiss the application therefor, as the matter had not been </w:t>
      </w:r>
      <w:r w:rsidR="007D471D">
        <w:rPr>
          <w:rFonts w:ascii="Arial" w:hAnsi="Arial"/>
        </w:rPr>
        <w:lastRenderedPageBreak/>
        <w:t xml:space="preserve">determined on the merits. </w:t>
      </w:r>
      <w:r w:rsidR="00CD652E">
        <w:rPr>
          <w:rFonts w:ascii="Arial" w:hAnsi="Arial"/>
        </w:rPr>
        <w:t>The same principle applies to the instant case in my considered view.</w:t>
      </w:r>
    </w:p>
    <w:p w14:paraId="0BFE11E2" w14:textId="77777777" w:rsidR="007B55D5" w:rsidRDefault="007B55D5" w:rsidP="00602F40">
      <w:pPr>
        <w:spacing w:line="360" w:lineRule="auto"/>
        <w:jc w:val="both"/>
        <w:rPr>
          <w:rFonts w:ascii="Arial" w:hAnsi="Arial"/>
        </w:rPr>
      </w:pPr>
    </w:p>
    <w:p w14:paraId="5B88CFAE" w14:textId="4B1EFB30" w:rsidR="005E1DEE" w:rsidRDefault="00CD652E" w:rsidP="00602F40">
      <w:pPr>
        <w:spacing w:line="360" w:lineRule="auto"/>
        <w:jc w:val="both"/>
        <w:rPr>
          <w:rFonts w:ascii="Arial" w:hAnsi="Arial"/>
        </w:rPr>
      </w:pPr>
      <w:r>
        <w:rPr>
          <w:rFonts w:ascii="Arial" w:hAnsi="Arial"/>
        </w:rPr>
        <w:t>[</w:t>
      </w:r>
      <w:r w:rsidR="00B42678">
        <w:rPr>
          <w:rFonts w:ascii="Arial" w:hAnsi="Arial"/>
        </w:rPr>
        <w:t>16</w:t>
      </w:r>
      <w:r>
        <w:rPr>
          <w:rFonts w:ascii="Arial" w:hAnsi="Arial"/>
        </w:rPr>
        <w:t>]</w:t>
      </w:r>
      <w:r>
        <w:rPr>
          <w:rFonts w:ascii="Arial" w:hAnsi="Arial"/>
        </w:rPr>
        <w:tab/>
        <w:t xml:space="preserve">I also take into account </w:t>
      </w:r>
      <w:r w:rsidR="007D471D">
        <w:rPr>
          <w:rFonts w:ascii="Arial" w:hAnsi="Arial"/>
        </w:rPr>
        <w:t xml:space="preserve">the fact </w:t>
      </w:r>
      <w:r>
        <w:rPr>
          <w:rFonts w:ascii="Arial" w:hAnsi="Arial"/>
        </w:rPr>
        <w:t xml:space="preserve">that the applicants are acting in person and are </w:t>
      </w:r>
      <w:r w:rsidR="007D471D">
        <w:rPr>
          <w:rFonts w:ascii="Arial" w:hAnsi="Arial"/>
        </w:rPr>
        <w:t xml:space="preserve">further </w:t>
      </w:r>
      <w:r>
        <w:rPr>
          <w:rFonts w:ascii="Arial" w:hAnsi="Arial"/>
        </w:rPr>
        <w:t xml:space="preserve">unlettered in law. They, for that reason, would benefit from a measure of guidance from the court at this stage of the hearing. </w:t>
      </w:r>
      <w:r w:rsidR="007D471D">
        <w:rPr>
          <w:rFonts w:ascii="Arial" w:hAnsi="Arial"/>
        </w:rPr>
        <w:t xml:space="preserve">This will be evident also from the order that follows below. </w:t>
      </w:r>
      <w:r>
        <w:rPr>
          <w:rFonts w:ascii="Arial" w:hAnsi="Arial"/>
        </w:rPr>
        <w:t>I have deliberately not dealt with the other preliminary points of law raised by the respondent as these can be properly dealt with once the application is properly before court, in the sense that the mandatory provisions of rule 65(7) above, have been complied with by the applicant.</w:t>
      </w:r>
    </w:p>
    <w:p w14:paraId="7E972F55" w14:textId="77777777" w:rsidR="0010157D" w:rsidRDefault="0010157D" w:rsidP="00602F40">
      <w:pPr>
        <w:spacing w:line="360" w:lineRule="auto"/>
        <w:jc w:val="both"/>
        <w:rPr>
          <w:rFonts w:ascii="Arial" w:hAnsi="Arial"/>
        </w:rPr>
      </w:pPr>
    </w:p>
    <w:p w14:paraId="0758F37C" w14:textId="77777777" w:rsidR="00CD652E" w:rsidRDefault="00CD652E" w:rsidP="00602F40">
      <w:pPr>
        <w:spacing w:line="360" w:lineRule="auto"/>
        <w:jc w:val="both"/>
        <w:rPr>
          <w:rFonts w:ascii="Arial" w:hAnsi="Arial"/>
          <w:u w:val="single"/>
        </w:rPr>
      </w:pPr>
      <w:r>
        <w:rPr>
          <w:rFonts w:ascii="Arial" w:hAnsi="Arial"/>
          <w:u w:val="single"/>
        </w:rPr>
        <w:t>Costs</w:t>
      </w:r>
    </w:p>
    <w:p w14:paraId="7A819C1B" w14:textId="77777777" w:rsidR="00CD652E" w:rsidRDefault="00CD652E" w:rsidP="00602F40">
      <w:pPr>
        <w:spacing w:line="360" w:lineRule="auto"/>
        <w:jc w:val="both"/>
        <w:rPr>
          <w:rFonts w:ascii="Arial" w:hAnsi="Arial"/>
          <w:u w:val="single"/>
        </w:rPr>
      </w:pPr>
    </w:p>
    <w:p w14:paraId="3DB3A8DE" w14:textId="6E8A9104" w:rsidR="00CD652E" w:rsidRDefault="00CD652E" w:rsidP="00602F40">
      <w:pPr>
        <w:spacing w:line="360" w:lineRule="auto"/>
        <w:jc w:val="both"/>
        <w:rPr>
          <w:rFonts w:ascii="Arial" w:hAnsi="Arial"/>
        </w:rPr>
      </w:pPr>
      <w:r>
        <w:rPr>
          <w:rFonts w:ascii="Arial" w:hAnsi="Arial"/>
        </w:rPr>
        <w:t>[</w:t>
      </w:r>
      <w:r w:rsidR="00B42678">
        <w:rPr>
          <w:rFonts w:ascii="Arial" w:hAnsi="Arial"/>
        </w:rPr>
        <w:t>17</w:t>
      </w:r>
      <w:r>
        <w:rPr>
          <w:rFonts w:ascii="Arial" w:hAnsi="Arial"/>
        </w:rPr>
        <w:t>]</w:t>
      </w:r>
      <w:r>
        <w:rPr>
          <w:rFonts w:ascii="Arial" w:hAnsi="Arial"/>
        </w:rPr>
        <w:tab/>
        <w:t xml:space="preserve">The law as to costs is </w:t>
      </w:r>
      <w:r w:rsidR="007D471D">
        <w:rPr>
          <w:rFonts w:ascii="Arial" w:hAnsi="Arial"/>
        </w:rPr>
        <w:t>relatively settled. C</w:t>
      </w:r>
      <w:r>
        <w:rPr>
          <w:rFonts w:ascii="Arial" w:hAnsi="Arial"/>
        </w:rPr>
        <w:t xml:space="preserve">osts should generally follow the event. In this regard, there is no running away from the fact that the applicants have not followed the proper and mandatory procedures before launching this application. The respondent </w:t>
      </w:r>
      <w:r w:rsidR="0010157D">
        <w:rPr>
          <w:rFonts w:ascii="Arial" w:hAnsi="Arial"/>
        </w:rPr>
        <w:t xml:space="preserve">should </w:t>
      </w:r>
      <w:r>
        <w:rPr>
          <w:rFonts w:ascii="Arial" w:hAnsi="Arial"/>
        </w:rPr>
        <w:t>not</w:t>
      </w:r>
      <w:r w:rsidR="0010157D">
        <w:rPr>
          <w:rFonts w:ascii="Arial" w:hAnsi="Arial"/>
        </w:rPr>
        <w:t xml:space="preserve"> be</w:t>
      </w:r>
      <w:r>
        <w:rPr>
          <w:rFonts w:ascii="Arial" w:hAnsi="Arial"/>
        </w:rPr>
        <w:t xml:space="preserve"> placed out of pocket by the applicants’ non-compliance with the rule in question.</w:t>
      </w:r>
    </w:p>
    <w:p w14:paraId="54EA2649" w14:textId="77777777" w:rsidR="006A7EEC" w:rsidRDefault="006A7EEC" w:rsidP="00602F40">
      <w:pPr>
        <w:spacing w:line="360" w:lineRule="auto"/>
        <w:jc w:val="both"/>
        <w:rPr>
          <w:rFonts w:ascii="Arial" w:hAnsi="Arial"/>
        </w:rPr>
      </w:pPr>
    </w:p>
    <w:p w14:paraId="30621B06" w14:textId="77777777" w:rsidR="00CD652E" w:rsidRDefault="00CD652E" w:rsidP="00602F40">
      <w:pPr>
        <w:spacing w:line="360" w:lineRule="auto"/>
        <w:jc w:val="both"/>
        <w:rPr>
          <w:rFonts w:ascii="Arial" w:hAnsi="Arial"/>
          <w:u w:val="single"/>
        </w:rPr>
      </w:pPr>
      <w:r>
        <w:rPr>
          <w:rFonts w:ascii="Arial" w:hAnsi="Arial"/>
          <w:u w:val="single"/>
        </w:rPr>
        <w:t>Order</w:t>
      </w:r>
    </w:p>
    <w:p w14:paraId="097CC4C0" w14:textId="397BD2AA" w:rsidR="00CD652E" w:rsidRDefault="00CD652E" w:rsidP="00602F40">
      <w:pPr>
        <w:spacing w:line="360" w:lineRule="auto"/>
        <w:jc w:val="both"/>
        <w:rPr>
          <w:rFonts w:ascii="Arial" w:hAnsi="Arial"/>
        </w:rPr>
      </w:pPr>
      <w:r>
        <w:rPr>
          <w:rFonts w:ascii="Arial" w:hAnsi="Arial"/>
        </w:rPr>
        <w:t>[</w:t>
      </w:r>
      <w:r w:rsidR="00B42678">
        <w:rPr>
          <w:rFonts w:ascii="Arial" w:hAnsi="Arial"/>
        </w:rPr>
        <w:t>18</w:t>
      </w:r>
      <w:r>
        <w:rPr>
          <w:rFonts w:ascii="Arial" w:hAnsi="Arial"/>
        </w:rPr>
        <w:t>]</w:t>
      </w:r>
      <w:r>
        <w:rPr>
          <w:rFonts w:ascii="Arial" w:hAnsi="Arial"/>
        </w:rPr>
        <w:tab/>
        <w:t>In the premises, the following order would commend itself as appropriate in the instant case:</w:t>
      </w:r>
    </w:p>
    <w:p w14:paraId="1294B505" w14:textId="77777777" w:rsidR="00CD652E" w:rsidRDefault="00CD652E" w:rsidP="00602F40">
      <w:pPr>
        <w:spacing w:line="360" w:lineRule="auto"/>
        <w:jc w:val="both"/>
        <w:rPr>
          <w:rFonts w:ascii="Arial" w:hAnsi="Arial"/>
        </w:rPr>
      </w:pPr>
    </w:p>
    <w:p w14:paraId="075606DC" w14:textId="79F6077F" w:rsidR="006A7EEC" w:rsidRDefault="00CD652E" w:rsidP="006A7EEC">
      <w:pPr>
        <w:pStyle w:val="ListParagraph"/>
        <w:numPr>
          <w:ilvl w:val="0"/>
          <w:numId w:val="4"/>
        </w:numPr>
        <w:spacing w:line="360" w:lineRule="auto"/>
        <w:jc w:val="both"/>
        <w:rPr>
          <w:rFonts w:ascii="Arial" w:hAnsi="Arial"/>
        </w:rPr>
      </w:pPr>
      <w:r w:rsidRPr="005D2910">
        <w:rPr>
          <w:rFonts w:ascii="Arial" w:hAnsi="Arial"/>
        </w:rPr>
        <w:t>The application fi</w:t>
      </w:r>
      <w:r w:rsidR="007D471D" w:rsidRPr="005D2910">
        <w:rPr>
          <w:rFonts w:ascii="Arial" w:hAnsi="Arial"/>
        </w:rPr>
        <w:t>led by the Applicants, is removed</w:t>
      </w:r>
      <w:r w:rsidRPr="005D2910">
        <w:rPr>
          <w:rFonts w:ascii="Arial" w:hAnsi="Arial"/>
        </w:rPr>
        <w:t xml:space="preserve"> from the roll for non-compliance with the provisions of Rule 65(7) of the Rules of this Court.</w:t>
      </w:r>
    </w:p>
    <w:p w14:paraId="35CBA4A6" w14:textId="77777777" w:rsidR="006A7EEC" w:rsidRPr="006A7EEC" w:rsidRDefault="006A7EEC" w:rsidP="006A7EEC">
      <w:pPr>
        <w:pStyle w:val="ListParagraph"/>
        <w:spacing w:line="360" w:lineRule="auto"/>
        <w:jc w:val="both"/>
        <w:rPr>
          <w:rFonts w:ascii="Arial" w:hAnsi="Arial"/>
        </w:rPr>
      </w:pPr>
    </w:p>
    <w:p w14:paraId="28DA44F8" w14:textId="6420031A" w:rsidR="00675114" w:rsidRDefault="00CD652E" w:rsidP="00675114">
      <w:pPr>
        <w:pStyle w:val="ListParagraph"/>
        <w:numPr>
          <w:ilvl w:val="0"/>
          <w:numId w:val="4"/>
        </w:numPr>
        <w:spacing w:line="360" w:lineRule="auto"/>
        <w:jc w:val="both"/>
        <w:rPr>
          <w:rFonts w:ascii="Arial" w:hAnsi="Arial"/>
        </w:rPr>
      </w:pPr>
      <w:r>
        <w:rPr>
          <w:rFonts w:ascii="Arial" w:hAnsi="Arial"/>
        </w:rPr>
        <w:t>The Applicants are ordered to pay the costs of the Respondent jointly and severally, the one paying and the other being absolved.</w:t>
      </w:r>
      <w:r w:rsidRPr="00CD652E">
        <w:rPr>
          <w:rFonts w:ascii="Arial" w:hAnsi="Arial"/>
        </w:rPr>
        <w:t xml:space="preserve">  </w:t>
      </w:r>
    </w:p>
    <w:p w14:paraId="6B6DEA94" w14:textId="77777777" w:rsidR="009A6CDF" w:rsidRPr="009A6CDF" w:rsidRDefault="009A6CDF" w:rsidP="009A6CDF">
      <w:pPr>
        <w:pStyle w:val="ListParagraph"/>
        <w:rPr>
          <w:rFonts w:ascii="Arial" w:hAnsi="Arial"/>
        </w:rPr>
      </w:pPr>
    </w:p>
    <w:p w14:paraId="0145A657" w14:textId="77777777" w:rsidR="009A6CDF" w:rsidRPr="00141667" w:rsidRDefault="009A6CDF" w:rsidP="009A6CDF">
      <w:pPr>
        <w:pStyle w:val="ListParagraph"/>
        <w:spacing w:line="360" w:lineRule="auto"/>
        <w:jc w:val="both"/>
        <w:rPr>
          <w:rFonts w:ascii="Arial" w:hAnsi="Arial"/>
        </w:rPr>
      </w:pPr>
    </w:p>
    <w:p w14:paraId="303882E6" w14:textId="6878E7D6" w:rsidR="000D1982" w:rsidRDefault="00675114" w:rsidP="00675114">
      <w:pPr>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w:t>
      </w:r>
    </w:p>
    <w:p w14:paraId="58B66621" w14:textId="582EA8D3" w:rsidR="00675114" w:rsidRDefault="00675114" w:rsidP="00675114">
      <w:pPr>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10157D">
        <w:rPr>
          <w:rFonts w:ascii="Arial" w:hAnsi="Arial"/>
        </w:rPr>
        <w:t xml:space="preserve">    </w:t>
      </w:r>
      <w:r>
        <w:rPr>
          <w:rFonts w:ascii="Arial" w:hAnsi="Arial"/>
        </w:rPr>
        <w:t>T</w:t>
      </w:r>
      <w:r w:rsidR="005A2E97">
        <w:rPr>
          <w:rFonts w:ascii="Arial" w:hAnsi="Arial"/>
        </w:rPr>
        <w:t>.</w:t>
      </w:r>
      <w:r w:rsidR="0010157D">
        <w:rPr>
          <w:rFonts w:ascii="Arial" w:hAnsi="Arial"/>
        </w:rPr>
        <w:t xml:space="preserve">S. </w:t>
      </w:r>
      <w:proofErr w:type="spellStart"/>
      <w:r>
        <w:rPr>
          <w:rFonts w:ascii="Arial" w:hAnsi="Arial"/>
        </w:rPr>
        <w:t>Masuku</w:t>
      </w:r>
      <w:proofErr w:type="spellEnd"/>
      <w:r>
        <w:rPr>
          <w:rFonts w:ascii="Arial" w:hAnsi="Arial"/>
        </w:rPr>
        <w:t xml:space="preserve"> </w:t>
      </w:r>
    </w:p>
    <w:p w14:paraId="4115C4DA" w14:textId="15CEEE87" w:rsidR="00675114" w:rsidRDefault="00675114" w:rsidP="00675114">
      <w:pPr>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5D2910">
        <w:rPr>
          <w:rFonts w:ascii="Arial" w:hAnsi="Arial"/>
        </w:rPr>
        <w:t>Judge</w:t>
      </w:r>
      <w:r w:rsidR="009A6CDF">
        <w:rPr>
          <w:rFonts w:ascii="Arial" w:hAnsi="Arial"/>
        </w:rPr>
        <w:t xml:space="preserve">                   </w:t>
      </w:r>
    </w:p>
    <w:p w14:paraId="110F861D" w14:textId="77777777" w:rsidR="005A2E97" w:rsidRDefault="005A2E97" w:rsidP="00675114">
      <w:pPr>
        <w:spacing w:line="360" w:lineRule="auto"/>
        <w:jc w:val="both"/>
        <w:rPr>
          <w:rFonts w:ascii="Arial" w:hAnsi="Arial"/>
          <w:u w:val="single"/>
        </w:rPr>
      </w:pPr>
    </w:p>
    <w:p w14:paraId="7B2DB835" w14:textId="4C06ED38" w:rsidR="00675114" w:rsidRPr="00675114" w:rsidRDefault="00675114" w:rsidP="00675114">
      <w:pPr>
        <w:spacing w:line="360" w:lineRule="auto"/>
        <w:jc w:val="both"/>
        <w:rPr>
          <w:rFonts w:ascii="Arial" w:hAnsi="Arial"/>
          <w:u w:val="single"/>
        </w:rPr>
      </w:pPr>
      <w:r w:rsidRPr="00675114">
        <w:rPr>
          <w:rFonts w:ascii="Arial" w:hAnsi="Arial"/>
          <w:u w:val="single"/>
        </w:rPr>
        <w:t>Appearances</w:t>
      </w:r>
    </w:p>
    <w:p w14:paraId="2400C15E" w14:textId="77777777" w:rsidR="00675114" w:rsidRDefault="00675114" w:rsidP="00675114">
      <w:pPr>
        <w:spacing w:line="360" w:lineRule="auto"/>
        <w:jc w:val="both"/>
        <w:rPr>
          <w:rFonts w:ascii="Arial" w:hAnsi="Arial"/>
        </w:rPr>
      </w:pPr>
    </w:p>
    <w:p w14:paraId="40C74E6B" w14:textId="77777777" w:rsidR="00675114" w:rsidRDefault="00675114" w:rsidP="00675114">
      <w:pPr>
        <w:spacing w:line="360" w:lineRule="auto"/>
        <w:jc w:val="both"/>
        <w:rPr>
          <w:rFonts w:ascii="Arial" w:hAnsi="Arial"/>
        </w:rPr>
      </w:pPr>
    </w:p>
    <w:p w14:paraId="6E984E91" w14:textId="24634C10" w:rsidR="00675114" w:rsidRDefault="00675114" w:rsidP="00675114">
      <w:pPr>
        <w:spacing w:line="360" w:lineRule="auto"/>
        <w:jc w:val="both"/>
        <w:rPr>
          <w:rFonts w:ascii="Arial" w:hAnsi="Arial"/>
        </w:rPr>
      </w:pPr>
      <w:r>
        <w:rPr>
          <w:rFonts w:ascii="Arial" w:hAnsi="Arial"/>
        </w:rPr>
        <w:t>Applicant:</w:t>
      </w:r>
      <w:r>
        <w:rPr>
          <w:rFonts w:ascii="Arial" w:hAnsi="Arial"/>
        </w:rPr>
        <w:tab/>
      </w:r>
      <w:r>
        <w:rPr>
          <w:rFonts w:ascii="Arial" w:hAnsi="Arial"/>
        </w:rPr>
        <w:tab/>
        <w:t>Ms O Michael (In person)</w:t>
      </w:r>
    </w:p>
    <w:p w14:paraId="683CB53E" w14:textId="1069CFE4" w:rsidR="00675114" w:rsidRDefault="00675114" w:rsidP="00675114">
      <w:pPr>
        <w:spacing w:line="360" w:lineRule="auto"/>
        <w:jc w:val="both"/>
        <w:rPr>
          <w:rFonts w:ascii="Arial" w:hAnsi="Arial"/>
        </w:rPr>
      </w:pPr>
      <w:r>
        <w:rPr>
          <w:rFonts w:ascii="Arial" w:hAnsi="Arial"/>
        </w:rPr>
        <w:tab/>
      </w:r>
      <w:r>
        <w:rPr>
          <w:rFonts w:ascii="Arial" w:hAnsi="Arial"/>
        </w:rPr>
        <w:tab/>
      </w:r>
      <w:r>
        <w:rPr>
          <w:rFonts w:ascii="Arial" w:hAnsi="Arial"/>
        </w:rPr>
        <w:tab/>
      </w:r>
      <w:proofErr w:type="spellStart"/>
      <w:r>
        <w:rPr>
          <w:rFonts w:ascii="Arial" w:hAnsi="Arial"/>
        </w:rPr>
        <w:t>Olukolo</w:t>
      </w:r>
      <w:proofErr w:type="spellEnd"/>
      <w:r>
        <w:rPr>
          <w:rFonts w:ascii="Arial" w:hAnsi="Arial"/>
        </w:rPr>
        <w:t xml:space="preserve">, </w:t>
      </w:r>
      <w:proofErr w:type="spellStart"/>
      <w:r>
        <w:rPr>
          <w:rFonts w:ascii="Arial" w:hAnsi="Arial"/>
        </w:rPr>
        <w:t>Ondangwa</w:t>
      </w:r>
      <w:proofErr w:type="spellEnd"/>
    </w:p>
    <w:p w14:paraId="3430DD25" w14:textId="77777777" w:rsidR="00675114" w:rsidRDefault="00675114" w:rsidP="00675114">
      <w:pPr>
        <w:spacing w:line="360" w:lineRule="auto"/>
        <w:jc w:val="both"/>
        <w:rPr>
          <w:rFonts w:ascii="Arial" w:hAnsi="Arial"/>
        </w:rPr>
      </w:pPr>
    </w:p>
    <w:p w14:paraId="51A0B240" w14:textId="77777777" w:rsidR="00675114" w:rsidRDefault="00675114" w:rsidP="00675114">
      <w:pPr>
        <w:spacing w:line="360" w:lineRule="auto"/>
        <w:jc w:val="both"/>
        <w:rPr>
          <w:rFonts w:ascii="Arial" w:hAnsi="Arial"/>
        </w:rPr>
      </w:pPr>
    </w:p>
    <w:p w14:paraId="46591BA5" w14:textId="77777777" w:rsidR="00675114" w:rsidRDefault="00675114" w:rsidP="00675114">
      <w:pPr>
        <w:spacing w:line="360" w:lineRule="auto"/>
        <w:jc w:val="both"/>
        <w:rPr>
          <w:rFonts w:ascii="Arial" w:hAnsi="Arial"/>
        </w:rPr>
      </w:pPr>
    </w:p>
    <w:p w14:paraId="1CE32AFA" w14:textId="43D182C3" w:rsidR="00675114" w:rsidRDefault="00675114" w:rsidP="00675114">
      <w:pPr>
        <w:spacing w:line="360" w:lineRule="auto"/>
        <w:jc w:val="both"/>
        <w:rPr>
          <w:rFonts w:ascii="Arial" w:hAnsi="Arial"/>
        </w:rPr>
      </w:pPr>
      <w:r>
        <w:rPr>
          <w:rFonts w:ascii="Arial" w:hAnsi="Arial"/>
        </w:rPr>
        <w:t>Respondent:</w:t>
      </w:r>
      <w:r>
        <w:rPr>
          <w:rFonts w:ascii="Arial" w:hAnsi="Arial"/>
        </w:rPr>
        <w:tab/>
      </w:r>
      <w:r>
        <w:rPr>
          <w:rFonts w:ascii="Arial" w:hAnsi="Arial"/>
        </w:rPr>
        <w:tab/>
        <w:t>Mr J Greyling</w:t>
      </w:r>
    </w:p>
    <w:p w14:paraId="5173D79F" w14:textId="77777777" w:rsidR="00962A2A" w:rsidRDefault="00675114" w:rsidP="00675114">
      <w:pPr>
        <w:spacing w:line="360" w:lineRule="auto"/>
        <w:jc w:val="both"/>
        <w:rPr>
          <w:rFonts w:ascii="Arial" w:hAnsi="Arial"/>
        </w:rPr>
      </w:pPr>
      <w:r>
        <w:rPr>
          <w:rFonts w:ascii="Arial" w:hAnsi="Arial"/>
        </w:rPr>
        <w:tab/>
      </w:r>
      <w:r>
        <w:rPr>
          <w:rFonts w:ascii="Arial" w:hAnsi="Arial"/>
        </w:rPr>
        <w:tab/>
      </w:r>
      <w:r>
        <w:rPr>
          <w:rFonts w:ascii="Arial" w:hAnsi="Arial"/>
        </w:rPr>
        <w:tab/>
        <w:t xml:space="preserve">Of Greyling &amp; Associates, </w:t>
      </w:r>
    </w:p>
    <w:p w14:paraId="1BF3D33C" w14:textId="6423C1B5" w:rsidR="00675114" w:rsidRDefault="00675114" w:rsidP="00962A2A">
      <w:pPr>
        <w:spacing w:line="360" w:lineRule="auto"/>
        <w:ind w:left="1440" w:firstLine="720"/>
        <w:jc w:val="both"/>
        <w:rPr>
          <w:rFonts w:ascii="Arial" w:hAnsi="Arial"/>
        </w:rPr>
      </w:pPr>
      <w:bookmarkStart w:id="0" w:name="_GoBack"/>
      <w:bookmarkEnd w:id="0"/>
      <w:r>
        <w:rPr>
          <w:rFonts w:ascii="Arial" w:hAnsi="Arial"/>
        </w:rPr>
        <w:t>Oshakati</w:t>
      </w:r>
    </w:p>
    <w:p w14:paraId="54267B55" w14:textId="417B1202" w:rsidR="00675114" w:rsidRDefault="00675114" w:rsidP="00675114">
      <w:pPr>
        <w:spacing w:line="360" w:lineRule="auto"/>
        <w:jc w:val="both"/>
        <w:rPr>
          <w:rFonts w:ascii="Arial" w:hAnsi="Arial"/>
        </w:rPr>
      </w:pPr>
      <w:r>
        <w:rPr>
          <w:rFonts w:ascii="Arial" w:hAnsi="Arial"/>
        </w:rPr>
        <w:tab/>
      </w:r>
      <w:r>
        <w:rPr>
          <w:rFonts w:ascii="Arial" w:hAnsi="Arial"/>
        </w:rPr>
        <w:tab/>
      </w:r>
    </w:p>
    <w:p w14:paraId="4AD044AE" w14:textId="77777777" w:rsidR="00675114" w:rsidRDefault="00675114" w:rsidP="000D1982">
      <w:pPr>
        <w:rPr>
          <w:rFonts w:ascii="Arial" w:hAnsi="Arial"/>
        </w:rPr>
      </w:pPr>
    </w:p>
    <w:p w14:paraId="32E7A64C" w14:textId="77777777" w:rsidR="00675114" w:rsidRDefault="00675114" w:rsidP="000D1982">
      <w:pPr>
        <w:rPr>
          <w:rFonts w:ascii="Arial" w:hAnsi="Arial"/>
        </w:rPr>
      </w:pPr>
    </w:p>
    <w:p w14:paraId="7BE37857" w14:textId="77777777" w:rsidR="00675114" w:rsidRDefault="00675114" w:rsidP="000D1982">
      <w:pPr>
        <w:rPr>
          <w:rFonts w:ascii="Arial" w:hAnsi="Arial"/>
        </w:rPr>
      </w:pPr>
    </w:p>
    <w:p w14:paraId="608C8D6D" w14:textId="77777777" w:rsidR="00675114" w:rsidRDefault="00675114" w:rsidP="000D1982">
      <w:pPr>
        <w:rPr>
          <w:rFonts w:ascii="Arial" w:hAnsi="Arial"/>
        </w:rPr>
      </w:pPr>
    </w:p>
    <w:p w14:paraId="0B1A7720" w14:textId="77777777" w:rsidR="00675114" w:rsidRDefault="00675114" w:rsidP="000D1982">
      <w:pPr>
        <w:rPr>
          <w:rFonts w:ascii="Arial" w:hAnsi="Arial"/>
        </w:rPr>
      </w:pPr>
    </w:p>
    <w:p w14:paraId="1158C904" w14:textId="77777777" w:rsidR="00675114" w:rsidRDefault="00675114" w:rsidP="000D1982">
      <w:pPr>
        <w:rPr>
          <w:rFonts w:ascii="Arial" w:hAnsi="Arial"/>
        </w:rPr>
      </w:pPr>
    </w:p>
    <w:p w14:paraId="16244F62" w14:textId="77777777" w:rsidR="00675114" w:rsidRDefault="00675114" w:rsidP="000D1982">
      <w:pPr>
        <w:rPr>
          <w:rFonts w:ascii="Arial" w:hAnsi="Arial"/>
        </w:rPr>
      </w:pPr>
    </w:p>
    <w:p w14:paraId="0A062D89" w14:textId="77777777" w:rsidR="00675114" w:rsidRDefault="00675114" w:rsidP="000D1982">
      <w:pPr>
        <w:rPr>
          <w:rFonts w:ascii="Arial" w:hAnsi="Arial"/>
        </w:rPr>
      </w:pPr>
    </w:p>
    <w:p w14:paraId="2A0D8676" w14:textId="77777777" w:rsidR="00675114" w:rsidRDefault="00675114" w:rsidP="000D1982">
      <w:pPr>
        <w:rPr>
          <w:rFonts w:ascii="Arial" w:hAnsi="Arial"/>
        </w:rPr>
      </w:pPr>
    </w:p>
    <w:p w14:paraId="63EC1E5A" w14:textId="77777777" w:rsidR="00675114" w:rsidRDefault="00675114" w:rsidP="000D1982">
      <w:pPr>
        <w:rPr>
          <w:rFonts w:ascii="Arial" w:hAnsi="Arial"/>
        </w:rPr>
      </w:pPr>
    </w:p>
    <w:p w14:paraId="74555974" w14:textId="77777777" w:rsidR="00675114" w:rsidRDefault="00675114" w:rsidP="000D1982">
      <w:pPr>
        <w:rPr>
          <w:rFonts w:ascii="Arial" w:hAnsi="Arial"/>
        </w:rPr>
      </w:pPr>
    </w:p>
    <w:p w14:paraId="0955B386" w14:textId="77777777" w:rsidR="00675114" w:rsidRDefault="00675114" w:rsidP="000D1982">
      <w:pPr>
        <w:rPr>
          <w:rFonts w:ascii="Arial" w:hAnsi="Arial"/>
        </w:rPr>
      </w:pPr>
    </w:p>
    <w:p w14:paraId="37D4E33D" w14:textId="77777777" w:rsidR="00675114" w:rsidRDefault="00675114" w:rsidP="000D1982">
      <w:pPr>
        <w:rPr>
          <w:rFonts w:ascii="Arial" w:hAnsi="Arial"/>
        </w:rPr>
      </w:pPr>
    </w:p>
    <w:p w14:paraId="7D1E608A" w14:textId="77777777" w:rsidR="00675114" w:rsidRDefault="00675114" w:rsidP="000D1982">
      <w:pPr>
        <w:rPr>
          <w:rFonts w:ascii="Arial" w:hAnsi="Arial"/>
        </w:rPr>
      </w:pPr>
    </w:p>
    <w:p w14:paraId="116A95FB" w14:textId="77777777" w:rsidR="00675114" w:rsidRDefault="00675114" w:rsidP="000D1982">
      <w:pPr>
        <w:rPr>
          <w:rFonts w:ascii="Arial" w:hAnsi="Arial"/>
        </w:rPr>
      </w:pPr>
    </w:p>
    <w:p w14:paraId="41087DCC" w14:textId="77777777" w:rsidR="00675114" w:rsidRDefault="00675114" w:rsidP="000D1982">
      <w:pPr>
        <w:rPr>
          <w:rFonts w:ascii="Arial" w:hAnsi="Arial"/>
        </w:rPr>
      </w:pPr>
    </w:p>
    <w:p w14:paraId="7DCEDD1D" w14:textId="77777777" w:rsidR="00675114" w:rsidRDefault="00675114" w:rsidP="000D1982">
      <w:pPr>
        <w:rPr>
          <w:rFonts w:ascii="Arial" w:hAnsi="Arial"/>
        </w:rPr>
      </w:pPr>
    </w:p>
    <w:p w14:paraId="040591DB" w14:textId="77777777" w:rsidR="00675114" w:rsidRDefault="00675114" w:rsidP="000D1982">
      <w:pPr>
        <w:rPr>
          <w:rFonts w:ascii="Arial" w:hAnsi="Arial"/>
        </w:rPr>
      </w:pPr>
    </w:p>
    <w:p w14:paraId="64B93CD2" w14:textId="77777777" w:rsidR="00675114" w:rsidRDefault="00675114" w:rsidP="000D1982">
      <w:pPr>
        <w:rPr>
          <w:rFonts w:ascii="Arial" w:hAnsi="Arial"/>
        </w:rPr>
      </w:pPr>
    </w:p>
    <w:p w14:paraId="315F4252" w14:textId="77777777" w:rsidR="00675114" w:rsidRDefault="00675114" w:rsidP="000D1982">
      <w:pPr>
        <w:rPr>
          <w:rFonts w:ascii="Arial" w:hAnsi="Arial"/>
        </w:rPr>
      </w:pPr>
    </w:p>
    <w:p w14:paraId="2E800B32" w14:textId="77777777" w:rsidR="00675114" w:rsidRDefault="00675114" w:rsidP="000D1982">
      <w:pPr>
        <w:rPr>
          <w:rFonts w:ascii="Arial" w:hAnsi="Arial"/>
        </w:rPr>
      </w:pPr>
    </w:p>
    <w:p w14:paraId="013A5AFA" w14:textId="77777777" w:rsidR="00675114" w:rsidRDefault="00675114" w:rsidP="000D1982">
      <w:pPr>
        <w:rPr>
          <w:rFonts w:ascii="Arial" w:hAnsi="Arial"/>
        </w:rPr>
      </w:pPr>
    </w:p>
    <w:p w14:paraId="36C0EC2F" w14:textId="77777777" w:rsidR="00675114" w:rsidRDefault="00675114" w:rsidP="000D1982">
      <w:pPr>
        <w:rPr>
          <w:rFonts w:ascii="Arial" w:hAnsi="Arial"/>
        </w:rPr>
      </w:pPr>
    </w:p>
    <w:p w14:paraId="223185DE" w14:textId="77777777" w:rsidR="00675114" w:rsidRDefault="00675114" w:rsidP="000D1982">
      <w:pPr>
        <w:rPr>
          <w:rFonts w:ascii="Arial" w:hAnsi="Arial"/>
        </w:rPr>
      </w:pPr>
    </w:p>
    <w:p w14:paraId="60E95CD4" w14:textId="77777777" w:rsidR="00675114" w:rsidRDefault="00675114" w:rsidP="000D1982">
      <w:pPr>
        <w:rPr>
          <w:rFonts w:ascii="Arial" w:hAnsi="Arial"/>
        </w:rPr>
      </w:pPr>
    </w:p>
    <w:p w14:paraId="739B2048" w14:textId="77777777" w:rsidR="00675114" w:rsidRDefault="00675114" w:rsidP="000D1982">
      <w:pPr>
        <w:rPr>
          <w:rFonts w:ascii="Arial" w:hAnsi="Arial"/>
        </w:rPr>
      </w:pPr>
    </w:p>
    <w:p w14:paraId="2132603F" w14:textId="77777777" w:rsidR="00675114" w:rsidRDefault="00675114" w:rsidP="000D1982">
      <w:pPr>
        <w:rPr>
          <w:rFonts w:ascii="Arial" w:hAnsi="Arial"/>
        </w:rPr>
      </w:pPr>
    </w:p>
    <w:p w14:paraId="24A30E8E" w14:textId="77777777" w:rsidR="00675114" w:rsidRDefault="00675114" w:rsidP="000D1982">
      <w:pPr>
        <w:rPr>
          <w:rFonts w:ascii="Arial" w:hAnsi="Arial"/>
        </w:rPr>
      </w:pPr>
    </w:p>
    <w:p w14:paraId="1E7223DF" w14:textId="77777777" w:rsidR="00675114" w:rsidRDefault="00675114" w:rsidP="000D1982">
      <w:pPr>
        <w:rPr>
          <w:rFonts w:ascii="Arial" w:hAnsi="Arial"/>
        </w:rPr>
      </w:pPr>
    </w:p>
    <w:p w14:paraId="1BD6E407" w14:textId="77777777" w:rsidR="00675114" w:rsidRDefault="00675114" w:rsidP="000D1982">
      <w:pPr>
        <w:rPr>
          <w:rFonts w:ascii="Arial" w:hAnsi="Arial"/>
        </w:rPr>
      </w:pPr>
    </w:p>
    <w:p w14:paraId="1DF694FF" w14:textId="77777777" w:rsidR="00675114" w:rsidRDefault="00675114" w:rsidP="000D1982">
      <w:pPr>
        <w:rPr>
          <w:rFonts w:ascii="Arial" w:hAnsi="Arial"/>
        </w:rPr>
      </w:pPr>
    </w:p>
    <w:p w14:paraId="17BEB3CF" w14:textId="77777777" w:rsidR="00675114" w:rsidRDefault="00675114" w:rsidP="000D1982">
      <w:pPr>
        <w:rPr>
          <w:rFonts w:ascii="Arial" w:hAnsi="Arial"/>
        </w:rPr>
      </w:pPr>
    </w:p>
    <w:sectPr w:rsidR="00675114" w:rsidSect="00675114">
      <w:headerReference w:type="defaul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4666B" w14:textId="77777777" w:rsidR="00B93ADB" w:rsidRDefault="00B93ADB" w:rsidP="00A2320C">
      <w:r>
        <w:separator/>
      </w:r>
    </w:p>
  </w:endnote>
  <w:endnote w:type="continuationSeparator" w:id="0">
    <w:p w14:paraId="18963FC2" w14:textId="77777777" w:rsidR="00B93ADB" w:rsidRDefault="00B93ADB" w:rsidP="00A2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5031E" w14:textId="77777777" w:rsidR="00B93ADB" w:rsidRDefault="00B93ADB" w:rsidP="00A2320C">
      <w:r>
        <w:separator/>
      </w:r>
    </w:p>
  </w:footnote>
  <w:footnote w:type="continuationSeparator" w:id="0">
    <w:p w14:paraId="4BD33C22" w14:textId="77777777" w:rsidR="00B93ADB" w:rsidRDefault="00B93ADB" w:rsidP="00A2320C">
      <w:r>
        <w:continuationSeparator/>
      </w:r>
    </w:p>
  </w:footnote>
  <w:footnote w:id="1">
    <w:p w14:paraId="7CDC76BB" w14:textId="2A9FBE0F" w:rsidR="00162293" w:rsidRPr="00647CC3" w:rsidRDefault="00162293">
      <w:pPr>
        <w:pStyle w:val="FootnoteText"/>
        <w:rPr>
          <w:rFonts w:ascii="Arial" w:hAnsi="Arial" w:cs="Arial"/>
          <w:sz w:val="20"/>
          <w:szCs w:val="20"/>
          <w:lang w:val="en-US"/>
        </w:rPr>
      </w:pPr>
      <w:r w:rsidRPr="00647CC3">
        <w:rPr>
          <w:rStyle w:val="FootnoteReference"/>
          <w:rFonts w:ascii="Arial" w:hAnsi="Arial" w:cs="Arial"/>
          <w:sz w:val="20"/>
          <w:szCs w:val="20"/>
        </w:rPr>
        <w:footnoteRef/>
      </w:r>
      <w:r w:rsidRPr="00647CC3">
        <w:rPr>
          <w:rFonts w:ascii="Arial" w:hAnsi="Arial" w:cs="Arial"/>
          <w:sz w:val="20"/>
          <w:szCs w:val="20"/>
        </w:rPr>
        <w:t xml:space="preserve"> </w:t>
      </w:r>
      <w:r w:rsidRPr="00647CC3">
        <w:rPr>
          <w:rFonts w:ascii="Arial" w:hAnsi="Arial" w:cs="Arial"/>
          <w:sz w:val="20"/>
          <w:szCs w:val="20"/>
          <w:lang w:val="en-US"/>
        </w:rPr>
        <w:t>2006 (2) NR 696, para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421371"/>
      <w:docPartObj>
        <w:docPartGallery w:val="Page Numbers (Top of Page)"/>
        <w:docPartUnique/>
      </w:docPartObj>
    </w:sdtPr>
    <w:sdtEndPr>
      <w:rPr>
        <w:noProof/>
      </w:rPr>
    </w:sdtEndPr>
    <w:sdtContent>
      <w:p w14:paraId="172F7F6B" w14:textId="41DE8435" w:rsidR="00675114" w:rsidRDefault="00675114">
        <w:pPr>
          <w:pStyle w:val="Header"/>
          <w:jc w:val="right"/>
        </w:pPr>
        <w:r>
          <w:fldChar w:fldCharType="begin"/>
        </w:r>
        <w:r>
          <w:instrText xml:space="preserve"> PAGE   \* MERGEFORMAT </w:instrText>
        </w:r>
        <w:r>
          <w:fldChar w:fldCharType="separate"/>
        </w:r>
        <w:r w:rsidR="00962A2A">
          <w:rPr>
            <w:noProof/>
          </w:rPr>
          <w:t>8</w:t>
        </w:r>
        <w:r>
          <w:rPr>
            <w:noProof/>
          </w:rPr>
          <w:fldChar w:fldCharType="end"/>
        </w:r>
      </w:p>
    </w:sdtContent>
  </w:sdt>
  <w:p w14:paraId="1D19573C" w14:textId="77777777" w:rsidR="00675114" w:rsidRDefault="006751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43E16"/>
    <w:multiLevelType w:val="hybridMultilevel"/>
    <w:tmpl w:val="BF78FDEA"/>
    <w:lvl w:ilvl="0" w:tplc="ED06A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E13CBD"/>
    <w:multiLevelType w:val="hybridMultilevel"/>
    <w:tmpl w:val="64AA4EA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86A2049"/>
    <w:multiLevelType w:val="hybridMultilevel"/>
    <w:tmpl w:val="336AE4D2"/>
    <w:lvl w:ilvl="0" w:tplc="EF9E08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70599F"/>
    <w:multiLevelType w:val="hybridMultilevel"/>
    <w:tmpl w:val="C610F4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82"/>
    <w:rsid w:val="00014AF0"/>
    <w:rsid w:val="00014C7A"/>
    <w:rsid w:val="000403EA"/>
    <w:rsid w:val="00073B6B"/>
    <w:rsid w:val="00075B86"/>
    <w:rsid w:val="000D1982"/>
    <w:rsid w:val="000F63A1"/>
    <w:rsid w:val="0010157D"/>
    <w:rsid w:val="00141667"/>
    <w:rsid w:val="00162293"/>
    <w:rsid w:val="001D10C3"/>
    <w:rsid w:val="001D43B8"/>
    <w:rsid w:val="002004BD"/>
    <w:rsid w:val="00212B5D"/>
    <w:rsid w:val="00241897"/>
    <w:rsid w:val="003052F7"/>
    <w:rsid w:val="00305723"/>
    <w:rsid w:val="00342A2A"/>
    <w:rsid w:val="00353750"/>
    <w:rsid w:val="003C4C84"/>
    <w:rsid w:val="00457BFB"/>
    <w:rsid w:val="005A2E97"/>
    <w:rsid w:val="005C480B"/>
    <w:rsid w:val="005D2910"/>
    <w:rsid w:val="005E0A2A"/>
    <w:rsid w:val="005E1DEE"/>
    <w:rsid w:val="00602F40"/>
    <w:rsid w:val="00647CC3"/>
    <w:rsid w:val="00675114"/>
    <w:rsid w:val="006A7EEC"/>
    <w:rsid w:val="006E486A"/>
    <w:rsid w:val="00705326"/>
    <w:rsid w:val="0075041B"/>
    <w:rsid w:val="00752308"/>
    <w:rsid w:val="007647C9"/>
    <w:rsid w:val="007827DD"/>
    <w:rsid w:val="007B55D5"/>
    <w:rsid w:val="007D471D"/>
    <w:rsid w:val="00815FEA"/>
    <w:rsid w:val="0086778D"/>
    <w:rsid w:val="008A3237"/>
    <w:rsid w:val="009542CC"/>
    <w:rsid w:val="00962A2A"/>
    <w:rsid w:val="009A6CDF"/>
    <w:rsid w:val="009A7C9D"/>
    <w:rsid w:val="009B5785"/>
    <w:rsid w:val="009E17F5"/>
    <w:rsid w:val="009E26B6"/>
    <w:rsid w:val="00A2320C"/>
    <w:rsid w:val="00A93B4F"/>
    <w:rsid w:val="00B2708F"/>
    <w:rsid w:val="00B42678"/>
    <w:rsid w:val="00B8033F"/>
    <w:rsid w:val="00B853AB"/>
    <w:rsid w:val="00B93ADB"/>
    <w:rsid w:val="00C75C1C"/>
    <w:rsid w:val="00CC4E78"/>
    <w:rsid w:val="00CD652E"/>
    <w:rsid w:val="00DF37DD"/>
    <w:rsid w:val="00E67438"/>
    <w:rsid w:val="00E928B5"/>
    <w:rsid w:val="00EE1000"/>
    <w:rsid w:val="00FC0B7F"/>
    <w:rsid w:val="00FC48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7483DD"/>
  <w14:defaultImageDpi w14:val="300"/>
  <w15:docId w15:val="{4D6D3E07-B99B-494F-905A-AAACD126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F40"/>
    <w:pPr>
      <w:ind w:left="720"/>
      <w:contextualSpacing/>
    </w:pPr>
  </w:style>
  <w:style w:type="paragraph" w:styleId="FootnoteText">
    <w:name w:val="footnote text"/>
    <w:basedOn w:val="Normal"/>
    <w:link w:val="FootnoteTextChar"/>
    <w:uiPriority w:val="99"/>
    <w:unhideWhenUsed/>
    <w:rsid w:val="00A2320C"/>
  </w:style>
  <w:style w:type="character" w:customStyle="1" w:styleId="FootnoteTextChar">
    <w:name w:val="Footnote Text Char"/>
    <w:basedOn w:val="DefaultParagraphFont"/>
    <w:link w:val="FootnoteText"/>
    <w:uiPriority w:val="99"/>
    <w:rsid w:val="00A2320C"/>
  </w:style>
  <w:style w:type="character" w:styleId="FootnoteReference">
    <w:name w:val="footnote reference"/>
    <w:basedOn w:val="DefaultParagraphFont"/>
    <w:uiPriority w:val="99"/>
    <w:unhideWhenUsed/>
    <w:rsid w:val="00A2320C"/>
    <w:rPr>
      <w:vertAlign w:val="superscript"/>
    </w:rPr>
  </w:style>
  <w:style w:type="paragraph" w:styleId="Header">
    <w:name w:val="header"/>
    <w:basedOn w:val="Normal"/>
    <w:link w:val="HeaderChar"/>
    <w:uiPriority w:val="99"/>
    <w:unhideWhenUsed/>
    <w:rsid w:val="00675114"/>
    <w:pPr>
      <w:tabs>
        <w:tab w:val="center" w:pos="4513"/>
        <w:tab w:val="right" w:pos="9026"/>
      </w:tabs>
    </w:pPr>
  </w:style>
  <w:style w:type="character" w:customStyle="1" w:styleId="HeaderChar">
    <w:name w:val="Header Char"/>
    <w:basedOn w:val="DefaultParagraphFont"/>
    <w:link w:val="Header"/>
    <w:uiPriority w:val="99"/>
    <w:rsid w:val="00675114"/>
  </w:style>
  <w:style w:type="paragraph" w:styleId="Footer">
    <w:name w:val="footer"/>
    <w:basedOn w:val="Normal"/>
    <w:link w:val="FooterChar"/>
    <w:uiPriority w:val="99"/>
    <w:unhideWhenUsed/>
    <w:rsid w:val="00675114"/>
    <w:pPr>
      <w:tabs>
        <w:tab w:val="center" w:pos="4513"/>
        <w:tab w:val="right" w:pos="9026"/>
      </w:tabs>
    </w:pPr>
  </w:style>
  <w:style w:type="character" w:customStyle="1" w:styleId="FooterChar">
    <w:name w:val="Footer Char"/>
    <w:basedOn w:val="DefaultParagraphFont"/>
    <w:link w:val="Footer"/>
    <w:uiPriority w:val="99"/>
    <w:rsid w:val="00675114"/>
  </w:style>
  <w:style w:type="paragraph" w:styleId="BalloonText">
    <w:name w:val="Balloon Text"/>
    <w:basedOn w:val="Normal"/>
    <w:link w:val="BalloonTextChar"/>
    <w:uiPriority w:val="99"/>
    <w:semiHidden/>
    <w:unhideWhenUsed/>
    <w:rsid w:val="006751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1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2020-06-02T18:30:00+00:00</Judgment_x0020_Date>
    <Year xmlns="c1afb1bd-f2fb-40fd-9abb-aea55b4d7662">2020</Year>
  </documentManagement>
</p:properties>
</file>

<file path=customXml/itemProps1.xml><?xml version="1.0" encoding="utf-8"?>
<ds:datastoreItem xmlns:ds="http://schemas.openxmlformats.org/officeDocument/2006/customXml" ds:itemID="{7F426041-7872-4CCD-B876-6081D34C4FE9}"/>
</file>

<file path=customXml/itemProps2.xml><?xml version="1.0" encoding="utf-8"?>
<ds:datastoreItem xmlns:ds="http://schemas.openxmlformats.org/officeDocument/2006/customXml" ds:itemID="{DA2E55FF-23C6-420F-BBF8-7339875E8F25}"/>
</file>

<file path=customXml/itemProps3.xml><?xml version="1.0" encoding="utf-8"?>
<ds:datastoreItem xmlns:ds="http://schemas.openxmlformats.org/officeDocument/2006/customXml" ds:itemID="{D7E179C5-F149-4DAF-AA91-512B8CE24FC6}"/>
</file>

<file path=customXml/itemProps4.xml><?xml version="1.0" encoding="utf-8"?>
<ds:datastoreItem xmlns:ds="http://schemas.openxmlformats.org/officeDocument/2006/customXml" ds:itemID="{F2F45B24-53B8-428A-9FB5-721BFBAFA3CD}"/>
</file>

<file path=docProps/app.xml><?xml version="1.0" encoding="utf-8"?>
<Properties xmlns="http://schemas.openxmlformats.org/officeDocument/2006/extended-properties" xmlns:vt="http://schemas.openxmlformats.org/officeDocument/2006/docPropsVTypes">
  <Template>Normal</Template>
  <TotalTime>0</TotalTime>
  <Pages>8</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10266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v Tshiwalo (HC-NLD-CIV-MOT-GEN-2020-00002) [2020] NAHCNLD 60 (3 June 2020)</dc:title>
  <dc:subject/>
  <dc:creator>Thomas Masuku</dc:creator>
  <cp:keywords/>
  <dc:description/>
  <cp:lastModifiedBy>Administrator</cp:lastModifiedBy>
  <cp:revision>2</cp:revision>
  <cp:lastPrinted>2020-06-03T08:42:00Z</cp:lastPrinted>
  <dcterms:created xsi:type="dcterms:W3CDTF">2020-06-04T07:22:00Z</dcterms:created>
  <dcterms:modified xsi:type="dcterms:W3CDTF">2020-06-04T07:22:00Z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