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56B" w:rsidRPr="001A20FF" w:rsidRDefault="00EF456B" w:rsidP="00EF456B">
      <w:pPr>
        <w:spacing w:line="252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A20FF">
        <w:rPr>
          <w:rFonts w:ascii="Arial Narrow" w:hAnsi="Arial Narrow" w:cs="Arial"/>
          <w:b/>
          <w:sz w:val="24"/>
          <w:szCs w:val="24"/>
        </w:rPr>
        <w:t>REPUBLIC OF NAMIBIA</w:t>
      </w:r>
    </w:p>
    <w:p w:rsidR="00EF456B" w:rsidRDefault="00EF456B" w:rsidP="00EF456B">
      <w:pPr>
        <w:spacing w:line="252" w:lineRule="auto"/>
        <w:jc w:val="center"/>
        <w:rPr>
          <w:rFonts w:ascii="Arial" w:hAnsi="Arial" w:cs="Arial"/>
          <w:sz w:val="24"/>
          <w:szCs w:val="24"/>
        </w:rPr>
      </w:pPr>
      <w:r w:rsidRPr="00EF456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23950" cy="1143000"/>
            <wp:effectExtent l="0" t="0" r="0" b="0"/>
            <wp:docPr id="1" name="Picture 1" descr="NAM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M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31" w:rsidRPr="001A20FF" w:rsidRDefault="00661531" w:rsidP="00EF456B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</w:p>
    <w:p w:rsidR="00EF456B" w:rsidRPr="001A20FF" w:rsidRDefault="00EF456B" w:rsidP="00EF456B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1A20FF">
        <w:rPr>
          <w:rFonts w:ascii="Arial" w:hAnsi="Arial" w:cs="Arial"/>
          <w:b/>
          <w:sz w:val="24"/>
          <w:szCs w:val="24"/>
        </w:rPr>
        <w:t>IN THE HIGH COURT OF NAMIBIA, NORTHERN LOCAL DIVISION</w:t>
      </w:r>
    </w:p>
    <w:p w:rsidR="00EF456B" w:rsidRPr="001A20FF" w:rsidRDefault="00EF456B" w:rsidP="00EF456B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1A20FF">
        <w:rPr>
          <w:rFonts w:ascii="Arial" w:hAnsi="Arial" w:cs="Arial"/>
          <w:b/>
          <w:sz w:val="24"/>
          <w:szCs w:val="24"/>
        </w:rPr>
        <w:t>HELD AT OSHAKATI</w:t>
      </w:r>
    </w:p>
    <w:p w:rsidR="00EF456B" w:rsidRPr="001A20FF" w:rsidRDefault="00EF456B" w:rsidP="00EF456B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</w:p>
    <w:p w:rsidR="00EF456B" w:rsidRPr="001A20FF" w:rsidRDefault="00EF456B" w:rsidP="00EF456B">
      <w:pPr>
        <w:spacing w:line="252" w:lineRule="auto"/>
        <w:jc w:val="center"/>
        <w:rPr>
          <w:rFonts w:ascii="Arial" w:hAnsi="Arial" w:cs="Arial"/>
          <w:b/>
          <w:sz w:val="24"/>
          <w:szCs w:val="24"/>
        </w:rPr>
      </w:pPr>
      <w:r w:rsidRPr="001A20FF">
        <w:rPr>
          <w:rFonts w:ascii="Arial" w:hAnsi="Arial" w:cs="Arial"/>
          <w:b/>
          <w:sz w:val="24"/>
          <w:szCs w:val="24"/>
        </w:rPr>
        <w:t xml:space="preserve">LEAVE TO APPEAL RULING </w:t>
      </w:r>
    </w:p>
    <w:p w:rsidR="00EF456B" w:rsidRDefault="00EF456B" w:rsidP="00EF456B">
      <w:pPr>
        <w:spacing w:line="252" w:lineRule="auto"/>
        <w:rPr>
          <w:rFonts w:ascii="Arial" w:hAnsi="Arial" w:cs="Arial"/>
          <w:sz w:val="24"/>
          <w:szCs w:val="24"/>
          <w:lang w:val="en-ZA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4655"/>
        <w:gridCol w:w="306"/>
        <w:gridCol w:w="4962"/>
      </w:tblGrid>
      <w:tr w:rsidR="00EF456B" w:rsidTr="00182315">
        <w:tc>
          <w:tcPr>
            <w:tcW w:w="4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6B" w:rsidRDefault="00EF45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Case Title:</w:t>
            </w:r>
          </w:p>
          <w:p w:rsidR="00EF456B" w:rsidRDefault="002F0A4C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The state</w:t>
            </w:r>
            <w:r w:rsidR="00EF456B">
              <w:rPr>
                <w:rFonts w:ascii="Arial" w:hAnsi="Arial" w:cs="Arial"/>
                <w:i/>
                <w:sz w:val="24"/>
                <w:szCs w:val="24"/>
              </w:rPr>
              <w:t xml:space="preserve"> v </w:t>
            </w:r>
            <w:r w:rsidR="001A20FF">
              <w:rPr>
                <w:rFonts w:ascii="Arial" w:hAnsi="Arial" w:cs="Arial"/>
                <w:i/>
                <w:sz w:val="24"/>
                <w:szCs w:val="24"/>
              </w:rPr>
              <w:t xml:space="preserve">Precious Monde </w:t>
            </w:r>
            <w:proofErr w:type="spellStart"/>
            <w:r w:rsidR="001A20FF">
              <w:rPr>
                <w:rFonts w:ascii="Arial" w:hAnsi="Arial" w:cs="Arial"/>
                <w:i/>
                <w:sz w:val="24"/>
                <w:szCs w:val="24"/>
              </w:rPr>
              <w:t>Kolofu</w:t>
            </w:r>
            <w:proofErr w:type="spellEnd"/>
          </w:p>
          <w:p w:rsidR="00EF456B" w:rsidRDefault="00EF456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6B" w:rsidRPr="00EF456B" w:rsidRDefault="00FC3AA8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HC-NLD-CRI-APP-SLA-2019/</w:t>
            </w:r>
            <w:bookmarkStart w:id="0" w:name="_GoBack"/>
            <w:bookmarkEnd w:id="0"/>
            <w:r w:rsidR="00EF456B" w:rsidRPr="00EF456B">
              <w:rPr>
                <w:rFonts w:ascii="Arial" w:hAnsi="Arial" w:cs="Arial"/>
                <w:sz w:val="24"/>
                <w:szCs w:val="24"/>
              </w:rPr>
              <w:t>00078</w:t>
            </w:r>
          </w:p>
          <w:p w:rsidR="00EF456B" w:rsidRDefault="00EF45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56B" w:rsidTr="0018231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6B" w:rsidRDefault="00EF456B">
            <w:pPr>
              <w:spacing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6B" w:rsidRDefault="00EF45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Division of Court: </w:t>
            </w:r>
          </w:p>
          <w:p w:rsidR="00EF456B" w:rsidRDefault="00EF45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Northern Local Division</w:t>
            </w:r>
          </w:p>
        </w:tc>
      </w:tr>
      <w:tr w:rsidR="00EF456B" w:rsidTr="00182315">
        <w:trPr>
          <w:trHeight w:val="2105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56B" w:rsidRDefault="00EF456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Heard before:  </w:t>
            </w:r>
          </w:p>
          <w:p w:rsidR="005A583B" w:rsidRDefault="005A583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Honorable</w:t>
            </w:r>
            <w:r w:rsidR="001A20FF">
              <w:rPr>
                <w:rFonts w:ascii="Arial" w:hAnsi="Arial" w:cs="Arial"/>
                <w:sz w:val="24"/>
                <w:szCs w:val="24"/>
              </w:rPr>
              <w:t xml:space="preserve"> Lady Justice Salionga</w:t>
            </w:r>
          </w:p>
          <w:p w:rsidR="00EF456B" w:rsidRDefault="00EF456B" w:rsidP="001A20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FF" w:rsidRDefault="001A20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56B" w:rsidRPr="002F0A4C" w:rsidRDefault="001A20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20FF">
              <w:rPr>
                <w:rFonts w:ascii="Arial" w:hAnsi="Arial" w:cs="Arial"/>
                <w:b/>
                <w:sz w:val="24"/>
                <w:szCs w:val="24"/>
              </w:rPr>
              <w:t xml:space="preserve">Heard on: </w:t>
            </w:r>
            <w:r w:rsidR="002F0A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F0A4C">
              <w:rPr>
                <w:rFonts w:ascii="Arial" w:hAnsi="Arial" w:cs="Arial"/>
                <w:sz w:val="24"/>
                <w:szCs w:val="24"/>
              </w:rPr>
              <w:t>11 June 2020</w:t>
            </w:r>
          </w:p>
          <w:p w:rsidR="001A20FF" w:rsidRDefault="001A20FF" w:rsidP="001A20F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Delivered on:</w:t>
            </w:r>
            <w:r>
              <w:rPr>
                <w:rFonts w:ascii="Arial" w:hAnsi="Arial" w:cs="Arial"/>
                <w:sz w:val="24"/>
                <w:szCs w:val="24"/>
              </w:rPr>
              <w:t xml:space="preserve"> 23 June 2020</w:t>
            </w:r>
          </w:p>
          <w:p w:rsidR="001A20FF" w:rsidRDefault="001A20FF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456B" w:rsidTr="0018231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053" w:rsidRDefault="00EF456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Neutral citation: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S v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Kolofu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FC3AA8">
              <w:rPr>
                <w:rFonts w:ascii="Arial" w:hAnsi="Arial" w:cs="Arial"/>
                <w:sz w:val="24"/>
                <w:szCs w:val="24"/>
              </w:rPr>
              <w:t>HC-NLD-CRI-APP-SLA-2019/</w:t>
            </w:r>
            <w:r w:rsidRPr="00EF456B">
              <w:rPr>
                <w:rFonts w:ascii="Arial" w:hAnsi="Arial" w:cs="Arial"/>
                <w:sz w:val="24"/>
                <w:szCs w:val="24"/>
              </w:rPr>
              <w:t>00078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1A20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[2020] N</w:t>
            </w:r>
            <w:r w:rsidR="00FC3AA8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HCNLD</w:t>
            </w:r>
            <w:r w:rsidR="00662053">
              <w:rPr>
                <w:rFonts w:ascii="Arial" w:hAnsi="Arial" w:cs="Arial"/>
                <w:sz w:val="24"/>
                <w:szCs w:val="24"/>
              </w:rPr>
              <w:t xml:space="preserve"> 74 </w:t>
            </w:r>
          </w:p>
          <w:p w:rsidR="00EF456B" w:rsidRDefault="00662053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EF456B">
              <w:rPr>
                <w:rFonts w:ascii="Arial" w:hAnsi="Arial" w:cs="Arial"/>
                <w:sz w:val="24"/>
                <w:szCs w:val="24"/>
              </w:rPr>
              <w:t>23 June 2020)</w:t>
            </w:r>
          </w:p>
        </w:tc>
      </w:tr>
      <w:tr w:rsidR="00EF456B" w:rsidTr="0018231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6B" w:rsidRDefault="00EF456B" w:rsidP="00F118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IT IS ORDERED THAT:</w:t>
            </w:r>
          </w:p>
          <w:p w:rsidR="00EF456B" w:rsidRDefault="00EF456B" w:rsidP="00F1181E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application for leave to a</w:t>
            </w:r>
            <w:r w:rsidR="00662053">
              <w:rPr>
                <w:rFonts w:ascii="Arial" w:hAnsi="Arial" w:cs="Arial"/>
                <w:sz w:val="24"/>
                <w:szCs w:val="24"/>
              </w:rPr>
              <w:t>ppeal by the State in terms of s</w:t>
            </w:r>
            <w:r>
              <w:rPr>
                <w:rFonts w:ascii="Arial" w:hAnsi="Arial" w:cs="Arial"/>
                <w:sz w:val="24"/>
                <w:szCs w:val="24"/>
              </w:rPr>
              <w:t xml:space="preserve"> 310 (1) rea</w:t>
            </w:r>
            <w:r w:rsidR="002F0A4C">
              <w:rPr>
                <w:rFonts w:ascii="Arial" w:hAnsi="Arial" w:cs="Arial"/>
                <w:sz w:val="24"/>
                <w:szCs w:val="24"/>
              </w:rPr>
              <w:t>d with 310 (4) of the Criminal P</w:t>
            </w:r>
            <w:r>
              <w:rPr>
                <w:rFonts w:ascii="Arial" w:hAnsi="Arial" w:cs="Arial"/>
                <w:sz w:val="24"/>
                <w:szCs w:val="24"/>
              </w:rPr>
              <w:t>rocedure Act 51 of 1977 is granted;</w:t>
            </w:r>
          </w:p>
          <w:p w:rsidR="00EF456B" w:rsidRDefault="00EF456B" w:rsidP="00F1181E">
            <w:pPr>
              <w:spacing w:line="360" w:lineRule="auto"/>
              <w:ind w:left="720" w:hanging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56B" w:rsidTr="0018231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6B" w:rsidRDefault="00EF456B" w:rsidP="00F118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F456B" w:rsidRDefault="00EF456B" w:rsidP="00F1181E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Reasons for the above order:</w:t>
            </w:r>
          </w:p>
        </w:tc>
      </w:tr>
      <w:tr w:rsidR="00EF456B" w:rsidTr="00182315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6B" w:rsidRDefault="00EF456B" w:rsidP="00F1181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56B" w:rsidRDefault="00EF456B" w:rsidP="00F1181E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SALIONGA J :</w:t>
            </w:r>
          </w:p>
          <w:p w:rsidR="00103F44" w:rsidRDefault="00103F44" w:rsidP="00F1181E">
            <w:pPr>
              <w:spacing w:line="360" w:lineRule="auto"/>
              <w:ind w:left="720" w:hanging="72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83B" w:rsidRDefault="00EF456B" w:rsidP="00F118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[1]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341A39" w:rsidRPr="007B4881">
              <w:rPr>
                <w:rFonts w:ascii="Arial" w:hAnsi="Arial" w:cs="Arial"/>
                <w:sz w:val="24"/>
                <w:szCs w:val="24"/>
              </w:rPr>
              <w:t xml:space="preserve">Applicant </w:t>
            </w:r>
            <w:r w:rsidR="00341A39">
              <w:rPr>
                <w:rFonts w:ascii="Arial" w:hAnsi="Arial" w:cs="Arial"/>
                <w:sz w:val="24"/>
                <w:szCs w:val="24"/>
              </w:rPr>
              <w:t>has shown</w:t>
            </w:r>
            <w:r w:rsidR="00341A39" w:rsidRPr="007B4881">
              <w:rPr>
                <w:rFonts w:ascii="Arial" w:hAnsi="Arial" w:cs="Arial"/>
                <w:sz w:val="24"/>
                <w:szCs w:val="24"/>
              </w:rPr>
              <w:t xml:space="preserve"> that the </w:t>
            </w:r>
            <w:r w:rsidR="00FD681F">
              <w:rPr>
                <w:rFonts w:ascii="Arial" w:hAnsi="Arial" w:cs="Arial"/>
                <w:sz w:val="24"/>
                <w:szCs w:val="24"/>
              </w:rPr>
              <w:t xml:space="preserve">Court a quo </w:t>
            </w:r>
            <w:r w:rsidR="001E4899">
              <w:rPr>
                <w:rFonts w:ascii="Arial" w:hAnsi="Arial" w:cs="Arial"/>
                <w:sz w:val="24"/>
                <w:szCs w:val="24"/>
              </w:rPr>
              <w:t>did not</w:t>
            </w:r>
            <w:r w:rsidR="00FD681F">
              <w:rPr>
                <w:rFonts w:ascii="Arial" w:hAnsi="Arial" w:cs="Arial"/>
                <w:sz w:val="24"/>
                <w:szCs w:val="24"/>
              </w:rPr>
              <w:t xml:space="preserve"> apply its mind properly </w:t>
            </w:r>
            <w:r w:rsidR="00341A39" w:rsidRPr="007B4881">
              <w:rPr>
                <w:rFonts w:ascii="Arial" w:hAnsi="Arial" w:cs="Arial"/>
                <w:sz w:val="24"/>
                <w:szCs w:val="24"/>
              </w:rPr>
              <w:t xml:space="preserve">in refusing a postponement </w:t>
            </w:r>
            <w:r w:rsidR="00182315">
              <w:rPr>
                <w:rFonts w:ascii="Arial" w:hAnsi="Arial" w:cs="Arial"/>
                <w:sz w:val="24"/>
                <w:szCs w:val="24"/>
              </w:rPr>
              <w:t>where the state required 15 minutes to prepare to close their case and address the court and proceed to e</w:t>
            </w:r>
            <w:r w:rsidR="001E4899">
              <w:rPr>
                <w:rFonts w:ascii="Arial" w:hAnsi="Arial" w:cs="Arial"/>
                <w:sz w:val="24"/>
                <w:szCs w:val="24"/>
              </w:rPr>
              <w:t>ventually discharge the Respondent</w:t>
            </w:r>
            <w:r w:rsidR="0018231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A583B" w:rsidRDefault="005A583B" w:rsidP="00F118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41A39" w:rsidRDefault="00FD681F" w:rsidP="00341A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[2]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862E1F">
              <w:rPr>
                <w:rFonts w:ascii="Arial" w:hAnsi="Arial" w:cs="Arial"/>
                <w:sz w:val="24"/>
                <w:szCs w:val="24"/>
              </w:rPr>
              <w:t xml:space="preserve">Suffice to the </w:t>
            </w:r>
            <w:r w:rsidR="00932ED2" w:rsidRPr="00FD681F">
              <w:rPr>
                <w:rFonts w:ascii="Arial" w:hAnsi="Arial" w:cs="Arial"/>
                <w:sz w:val="24"/>
                <w:szCs w:val="24"/>
              </w:rPr>
              <w:t xml:space="preserve">remarks </w:t>
            </w:r>
            <w:r w:rsidR="00932ED2">
              <w:rPr>
                <w:rFonts w:ascii="Arial" w:hAnsi="Arial" w:cs="Arial"/>
                <w:sz w:val="24"/>
                <w:szCs w:val="24"/>
              </w:rPr>
              <w:t xml:space="preserve">made </w:t>
            </w:r>
            <w:r w:rsidRPr="00FD681F">
              <w:rPr>
                <w:rFonts w:ascii="Arial" w:hAnsi="Arial" w:cs="Arial"/>
                <w:sz w:val="24"/>
                <w:szCs w:val="24"/>
              </w:rPr>
              <w:t>by the trial court</w:t>
            </w:r>
            <w:r w:rsidR="00862E1F">
              <w:rPr>
                <w:rFonts w:ascii="Arial" w:hAnsi="Arial" w:cs="Arial"/>
                <w:sz w:val="24"/>
                <w:szCs w:val="24"/>
              </w:rPr>
              <w:t xml:space="preserve"> during proceedings</w:t>
            </w:r>
            <w:r w:rsidR="00932ED2">
              <w:rPr>
                <w:rFonts w:ascii="Arial" w:hAnsi="Arial" w:cs="Arial"/>
                <w:sz w:val="24"/>
                <w:szCs w:val="24"/>
              </w:rPr>
              <w:t>,</w:t>
            </w:r>
            <w:r w:rsidRPr="00FD681F"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="00341A39" w:rsidRPr="00FD681F">
              <w:rPr>
                <w:rFonts w:ascii="Arial" w:hAnsi="Arial" w:cs="Arial"/>
                <w:sz w:val="24"/>
                <w:szCs w:val="24"/>
              </w:rPr>
              <w:t>he</w:t>
            </w:r>
            <w:r w:rsidR="00341A39">
              <w:rPr>
                <w:rFonts w:ascii="Arial" w:hAnsi="Arial" w:cs="Arial"/>
                <w:sz w:val="24"/>
                <w:szCs w:val="24"/>
              </w:rPr>
              <w:t xml:space="preserve"> decision to refuse a postponement was premature and unreasonable. See</w:t>
            </w:r>
            <w:r w:rsidR="00A7500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500A" w:rsidRPr="001E4899">
              <w:rPr>
                <w:rFonts w:ascii="Arial" w:hAnsi="Arial" w:cs="Arial"/>
                <w:i/>
                <w:sz w:val="24"/>
                <w:szCs w:val="24"/>
              </w:rPr>
              <w:t>S v Acherson</w:t>
            </w:r>
            <w:r w:rsidR="00A7500A">
              <w:rPr>
                <w:rFonts w:ascii="Arial" w:hAnsi="Arial" w:cs="Arial"/>
                <w:sz w:val="24"/>
                <w:szCs w:val="24"/>
              </w:rPr>
              <w:t xml:space="preserve"> 1991 NR 1 at para</w:t>
            </w:r>
            <w:r w:rsidR="00341A39">
              <w:rPr>
                <w:rFonts w:ascii="Arial" w:hAnsi="Arial" w:cs="Arial"/>
                <w:sz w:val="24"/>
                <w:szCs w:val="24"/>
              </w:rPr>
              <w:t xml:space="preserve"> C-G</w:t>
            </w:r>
            <w:r w:rsidR="00EE3296">
              <w:rPr>
                <w:rFonts w:ascii="Arial" w:hAnsi="Arial" w:cs="Arial"/>
                <w:sz w:val="24"/>
                <w:szCs w:val="24"/>
              </w:rPr>
              <w:t xml:space="preserve"> for considerations to be taken into account</w:t>
            </w:r>
            <w:r w:rsidR="00341A3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41A39" w:rsidRDefault="00341A39" w:rsidP="00341A3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2EDB" w:rsidRDefault="00FD681F" w:rsidP="00F118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[3] </w:t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E3296">
              <w:rPr>
                <w:rFonts w:ascii="Arial" w:hAnsi="Arial" w:cs="Arial"/>
                <w:sz w:val="24"/>
                <w:szCs w:val="24"/>
              </w:rPr>
              <w:t>The Court</w:t>
            </w:r>
            <w:r>
              <w:rPr>
                <w:rFonts w:ascii="Arial" w:hAnsi="Arial" w:cs="Arial"/>
                <w:sz w:val="24"/>
                <w:szCs w:val="24"/>
              </w:rPr>
              <w:t xml:space="preserve"> a quo was selective in its analysis of evidence presented and</w:t>
            </w:r>
            <w:r w:rsidR="00EE3296">
              <w:rPr>
                <w:rFonts w:ascii="Arial" w:hAnsi="Arial" w:cs="Arial"/>
                <w:sz w:val="24"/>
                <w:szCs w:val="24"/>
              </w:rPr>
              <w:t xml:space="preserve"> applied a</w:t>
            </w:r>
            <w:r w:rsidR="00EE2EDB">
              <w:rPr>
                <w:rFonts w:ascii="Arial" w:hAnsi="Arial" w:cs="Arial"/>
                <w:sz w:val="24"/>
                <w:szCs w:val="24"/>
              </w:rPr>
              <w:t xml:space="preserve"> wrong test in discharging the respondent</w:t>
            </w:r>
            <w:r w:rsidR="001E4899">
              <w:rPr>
                <w:rFonts w:ascii="Arial" w:hAnsi="Arial" w:cs="Arial"/>
                <w:sz w:val="24"/>
                <w:szCs w:val="24"/>
              </w:rPr>
              <w:t xml:space="preserve"> o</w:t>
            </w:r>
            <w:r w:rsidR="009B52D6">
              <w:rPr>
                <w:rFonts w:ascii="Arial" w:hAnsi="Arial" w:cs="Arial"/>
                <w:sz w:val="24"/>
                <w:szCs w:val="24"/>
              </w:rPr>
              <w:t>n all charges.</w:t>
            </w:r>
          </w:p>
          <w:p w:rsidR="005A583B" w:rsidRDefault="005A583B" w:rsidP="00F118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56B" w:rsidRDefault="009B52D6" w:rsidP="00F118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[4</w:t>
            </w:r>
            <w:r w:rsidR="00E1182C">
              <w:rPr>
                <w:rFonts w:ascii="Arial" w:hAnsi="Arial" w:cs="Arial"/>
                <w:sz w:val="24"/>
                <w:szCs w:val="24"/>
              </w:rPr>
              <w:t>]</w:t>
            </w:r>
            <w:r w:rsidR="002D332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F456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103F44" w:rsidRPr="001E4899">
              <w:rPr>
                <w:rFonts w:ascii="Arial" w:hAnsi="Arial" w:cs="Arial"/>
                <w:i/>
                <w:sz w:val="24"/>
                <w:szCs w:val="24"/>
              </w:rPr>
              <w:t xml:space="preserve">S </w:t>
            </w:r>
            <w:r w:rsidR="00654CE1" w:rsidRPr="001E4899">
              <w:rPr>
                <w:rFonts w:ascii="Arial" w:hAnsi="Arial" w:cs="Arial"/>
                <w:i/>
                <w:sz w:val="24"/>
                <w:szCs w:val="24"/>
              </w:rPr>
              <w:t xml:space="preserve">v </w:t>
            </w:r>
            <w:proofErr w:type="spellStart"/>
            <w:r w:rsidR="00654CE1" w:rsidRPr="001E4899">
              <w:rPr>
                <w:rFonts w:ascii="Arial" w:hAnsi="Arial" w:cs="Arial"/>
                <w:i/>
                <w:sz w:val="24"/>
                <w:szCs w:val="24"/>
              </w:rPr>
              <w:t>Teek</w:t>
            </w:r>
            <w:proofErr w:type="spellEnd"/>
            <w:r w:rsidR="00654CE1">
              <w:rPr>
                <w:rFonts w:ascii="Arial" w:hAnsi="Arial" w:cs="Arial"/>
                <w:sz w:val="24"/>
                <w:szCs w:val="24"/>
              </w:rPr>
              <w:t xml:space="preserve"> 2009 1 NR 127 SC page para 8</w:t>
            </w:r>
            <w:r w:rsidR="00FD681F">
              <w:rPr>
                <w:rFonts w:ascii="Arial" w:hAnsi="Arial" w:cs="Arial"/>
                <w:sz w:val="24"/>
                <w:szCs w:val="24"/>
              </w:rPr>
              <w:t xml:space="preserve"> as authority for </w:t>
            </w:r>
            <w:r w:rsidR="00654CE1">
              <w:rPr>
                <w:rFonts w:ascii="Arial" w:hAnsi="Arial" w:cs="Arial"/>
                <w:sz w:val="24"/>
                <w:szCs w:val="24"/>
              </w:rPr>
              <w:t>the test to be applied in exercising the discretion to discharge</w:t>
            </w:r>
            <w:r w:rsidR="00C4404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B52D6" w:rsidRDefault="009B52D6" w:rsidP="00F118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56B" w:rsidRPr="00341A39" w:rsidRDefault="009B52D6" w:rsidP="00F1181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[5</w:t>
            </w:r>
            <w:r w:rsidR="008754AD">
              <w:rPr>
                <w:rFonts w:ascii="Arial" w:hAnsi="Arial" w:cs="Arial"/>
                <w:sz w:val="24"/>
                <w:szCs w:val="24"/>
              </w:rPr>
              <w:t>]</w:t>
            </w:r>
            <w:r w:rsidR="00341A3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681F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F456B">
              <w:rPr>
                <w:rFonts w:ascii="Arial" w:hAnsi="Arial" w:cs="Arial"/>
                <w:sz w:val="24"/>
                <w:szCs w:val="24"/>
              </w:rPr>
              <w:t xml:space="preserve">For the aforesaid reasons this court without considering the merits of the case, is of the view </w:t>
            </w:r>
            <w:r w:rsidR="000269A5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E92759">
              <w:rPr>
                <w:rFonts w:ascii="Arial" w:hAnsi="Arial" w:cs="Arial"/>
                <w:sz w:val="24"/>
                <w:szCs w:val="24"/>
              </w:rPr>
              <w:t>there is</w:t>
            </w:r>
            <w:r w:rsidR="00D71F4B">
              <w:rPr>
                <w:rFonts w:ascii="Arial" w:hAnsi="Arial" w:cs="Arial"/>
                <w:sz w:val="24"/>
                <w:szCs w:val="24"/>
              </w:rPr>
              <w:t xml:space="preserve"> reasonable</w:t>
            </w:r>
            <w:r w:rsidR="00E92759">
              <w:rPr>
                <w:rFonts w:ascii="Arial" w:hAnsi="Arial" w:cs="Arial"/>
                <w:sz w:val="24"/>
                <w:szCs w:val="24"/>
              </w:rPr>
              <w:t xml:space="preserve"> prospect</w:t>
            </w:r>
            <w:r w:rsidR="00D71F4B">
              <w:rPr>
                <w:rFonts w:ascii="Arial" w:hAnsi="Arial" w:cs="Arial"/>
                <w:sz w:val="24"/>
                <w:szCs w:val="24"/>
              </w:rPr>
              <w:t>s</w:t>
            </w:r>
            <w:r w:rsidR="00E92759">
              <w:rPr>
                <w:rFonts w:ascii="Arial" w:hAnsi="Arial" w:cs="Arial"/>
                <w:sz w:val="24"/>
                <w:szCs w:val="24"/>
              </w:rPr>
              <w:t xml:space="preserve"> of success </w:t>
            </w:r>
            <w:r w:rsidR="00D71F4B">
              <w:rPr>
                <w:rFonts w:ascii="Arial" w:hAnsi="Arial" w:cs="Arial"/>
                <w:sz w:val="24"/>
                <w:szCs w:val="24"/>
              </w:rPr>
              <w:t xml:space="preserve">on appeal </w:t>
            </w:r>
            <w:r w:rsidR="00EE3296">
              <w:rPr>
                <w:rFonts w:ascii="Arial" w:hAnsi="Arial" w:cs="Arial"/>
                <w:sz w:val="24"/>
                <w:szCs w:val="24"/>
              </w:rPr>
              <w:t>and</w:t>
            </w:r>
            <w:r w:rsidR="000269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456B">
              <w:rPr>
                <w:rFonts w:ascii="Arial" w:hAnsi="Arial" w:cs="Arial"/>
                <w:sz w:val="24"/>
                <w:szCs w:val="24"/>
              </w:rPr>
              <w:t>another court may arrive at a different conclusion.</w:t>
            </w:r>
          </w:p>
          <w:p w:rsidR="00EF456B" w:rsidRDefault="00EF456B" w:rsidP="00F1181E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56B" w:rsidRDefault="00341A39" w:rsidP="00F1181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[6</w:t>
            </w:r>
            <w:r w:rsidR="00EF456B">
              <w:rPr>
                <w:rFonts w:ascii="Arial" w:hAnsi="Arial" w:cs="Arial"/>
                <w:sz w:val="24"/>
                <w:szCs w:val="24"/>
              </w:rPr>
              <w:t xml:space="preserve">] </w:t>
            </w:r>
            <w:r w:rsidR="00EF456B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="00EF456B">
              <w:rPr>
                <w:rFonts w:ascii="Arial" w:hAnsi="Arial" w:cs="Arial"/>
                <w:sz w:val="24"/>
                <w:szCs w:val="24"/>
              </w:rPr>
              <w:t>In the result:</w:t>
            </w:r>
          </w:p>
          <w:p w:rsidR="00182315" w:rsidRDefault="00182315" w:rsidP="00F1181E">
            <w:pPr>
              <w:spacing w:line="36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F456B" w:rsidRPr="005546A2" w:rsidRDefault="00EF456B" w:rsidP="00F1181E">
            <w:pPr>
              <w:pStyle w:val="ListParagraph"/>
              <w:spacing w:line="360" w:lineRule="auto"/>
              <w:ind w:left="114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5A583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46A2">
              <w:rPr>
                <w:rFonts w:ascii="Arial" w:hAnsi="Arial" w:cs="Arial"/>
                <w:sz w:val="24"/>
                <w:szCs w:val="24"/>
              </w:rPr>
              <w:t>The application for leave to a</w:t>
            </w:r>
            <w:r w:rsidR="00A90029">
              <w:rPr>
                <w:rFonts w:ascii="Arial" w:hAnsi="Arial" w:cs="Arial"/>
                <w:sz w:val="24"/>
                <w:szCs w:val="24"/>
              </w:rPr>
              <w:t>ppeal by the State in terms of s</w:t>
            </w:r>
            <w:r w:rsidRPr="005546A2">
              <w:rPr>
                <w:rFonts w:ascii="Arial" w:hAnsi="Arial" w:cs="Arial"/>
                <w:sz w:val="24"/>
                <w:szCs w:val="24"/>
              </w:rPr>
              <w:t xml:space="preserve"> 310 (1) rea</w:t>
            </w:r>
            <w:r w:rsidR="00932ED2">
              <w:rPr>
                <w:rFonts w:ascii="Arial" w:hAnsi="Arial" w:cs="Arial"/>
                <w:sz w:val="24"/>
                <w:szCs w:val="24"/>
              </w:rPr>
              <w:t>d with 310 (4) of the Criminal P</w:t>
            </w:r>
            <w:r w:rsidRPr="005546A2">
              <w:rPr>
                <w:rFonts w:ascii="Arial" w:hAnsi="Arial" w:cs="Arial"/>
                <w:sz w:val="24"/>
                <w:szCs w:val="24"/>
              </w:rPr>
              <w:t>rocedure Act 51 of 1977 is granted;</w:t>
            </w:r>
          </w:p>
          <w:p w:rsidR="00EF456B" w:rsidRDefault="00EF456B" w:rsidP="00F1181E">
            <w:pPr>
              <w:spacing w:line="36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315" w:rsidRPr="00182315" w:rsidTr="00182315">
        <w:trPr>
          <w:trHeight w:val="692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5" w:rsidRPr="00182315" w:rsidRDefault="00182315" w:rsidP="0018231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182315"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Judge(s) signature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5" w:rsidRPr="00182315" w:rsidRDefault="00182315" w:rsidP="001823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82315">
              <w:rPr>
                <w:rFonts w:ascii="Arial" w:hAnsi="Arial" w:cs="Arial"/>
                <w:b/>
                <w:sz w:val="24"/>
                <w:szCs w:val="24"/>
                <w:lang w:val="en-ZA"/>
              </w:rPr>
              <w:t>Comments:</w:t>
            </w:r>
            <w:r w:rsidRPr="00182315">
              <w:rPr>
                <w:rFonts w:ascii="Arial" w:hAnsi="Arial" w:cs="Arial"/>
                <w:sz w:val="24"/>
                <w:szCs w:val="24"/>
                <w:lang w:val="en-ZA"/>
              </w:rPr>
              <w:t xml:space="preserve">  </w:t>
            </w:r>
          </w:p>
        </w:tc>
      </w:tr>
      <w:tr w:rsidR="00182315" w:rsidRPr="00182315" w:rsidTr="00182315">
        <w:trPr>
          <w:trHeight w:val="692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5" w:rsidRPr="00182315" w:rsidRDefault="00182315" w:rsidP="001823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82315">
              <w:rPr>
                <w:rFonts w:ascii="Arial" w:hAnsi="Arial" w:cs="Arial"/>
                <w:sz w:val="24"/>
                <w:szCs w:val="24"/>
                <w:lang w:val="en-ZA"/>
              </w:rPr>
              <w:t>Salionga J: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5" w:rsidRPr="00182315" w:rsidRDefault="00182315" w:rsidP="001823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82315">
              <w:rPr>
                <w:rFonts w:ascii="Arial" w:hAnsi="Arial" w:cs="Arial"/>
                <w:sz w:val="24"/>
                <w:szCs w:val="24"/>
                <w:lang w:val="en-ZA"/>
              </w:rPr>
              <w:t xml:space="preserve">None </w:t>
            </w:r>
          </w:p>
        </w:tc>
      </w:tr>
      <w:tr w:rsidR="00182315" w:rsidRPr="00182315" w:rsidTr="00182315">
        <w:trPr>
          <w:trHeight w:val="55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15" w:rsidRPr="00182315" w:rsidRDefault="00FD70AD" w:rsidP="0018231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                                                                  Counsel</w:t>
            </w:r>
          </w:p>
        </w:tc>
      </w:tr>
      <w:tr w:rsidR="00FD70AD" w:rsidRPr="00182315" w:rsidTr="00834D25">
        <w:trPr>
          <w:trHeight w:val="1949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AD" w:rsidRPr="00182315" w:rsidRDefault="00FD70AD" w:rsidP="0018231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Applicant </w:t>
            </w:r>
          </w:p>
          <w:p w:rsidR="00FD70AD" w:rsidRDefault="00FD70AD" w:rsidP="001823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FD70AD" w:rsidRDefault="00FD70AD" w:rsidP="001823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82315">
              <w:rPr>
                <w:rFonts w:ascii="Arial" w:hAnsi="Arial" w:cs="Arial"/>
                <w:sz w:val="24"/>
                <w:szCs w:val="24"/>
                <w:lang w:val="en-ZA"/>
              </w:rPr>
              <w:t xml:space="preserve">Mr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L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ZA"/>
              </w:rPr>
              <w:t>Matota</w:t>
            </w:r>
            <w:proofErr w:type="spellEnd"/>
          </w:p>
          <w:p w:rsidR="00FD70AD" w:rsidRPr="00182315" w:rsidRDefault="00FD70AD" w:rsidP="0018231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Office of the Prosecutor –General (Oshakati)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70AD" w:rsidRPr="00182315" w:rsidRDefault="00FD70AD" w:rsidP="0018231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182315">
              <w:rPr>
                <w:rFonts w:ascii="Arial" w:hAnsi="Arial" w:cs="Arial"/>
                <w:b/>
                <w:sz w:val="24"/>
                <w:szCs w:val="24"/>
                <w:lang w:val="en-ZA"/>
              </w:rPr>
              <w:t>Respondent</w:t>
            </w:r>
          </w:p>
          <w:p w:rsidR="00FD70AD" w:rsidRDefault="00FD70AD" w:rsidP="001823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:rsidR="00FD70AD" w:rsidRPr="00182315" w:rsidRDefault="00FD70AD" w:rsidP="001823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Ms M Amupolo</w:t>
            </w:r>
          </w:p>
          <w:p w:rsidR="00FD70AD" w:rsidRPr="00182315" w:rsidRDefault="00FD70AD" w:rsidP="0018231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>
              <w:rPr>
                <w:rFonts w:ascii="Arial" w:hAnsi="Arial" w:cs="Arial"/>
                <w:sz w:val="24"/>
                <w:szCs w:val="24"/>
                <w:lang w:val="en-ZA"/>
              </w:rPr>
              <w:t>Amupolo &amp; Co. Inc.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ZA"/>
              </w:rPr>
              <w:t>Ongwediva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ZA"/>
              </w:rPr>
              <w:t>)</w:t>
            </w:r>
          </w:p>
        </w:tc>
      </w:tr>
    </w:tbl>
    <w:p w:rsidR="00EF456B" w:rsidRDefault="00EF456B" w:rsidP="00F1181E">
      <w:pPr>
        <w:jc w:val="both"/>
      </w:pPr>
    </w:p>
    <w:sectPr w:rsidR="00EF456B" w:rsidSect="00FD70AD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9B" w:rsidRDefault="002F0D9B" w:rsidP="00FD70AD">
      <w:pPr>
        <w:spacing w:after="0" w:line="240" w:lineRule="auto"/>
      </w:pPr>
      <w:r>
        <w:separator/>
      </w:r>
    </w:p>
  </w:endnote>
  <w:endnote w:type="continuationSeparator" w:id="0">
    <w:p w:rsidR="002F0D9B" w:rsidRDefault="002F0D9B" w:rsidP="00FD7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9B" w:rsidRDefault="002F0D9B" w:rsidP="00FD70AD">
      <w:pPr>
        <w:spacing w:after="0" w:line="240" w:lineRule="auto"/>
      </w:pPr>
      <w:r>
        <w:separator/>
      </w:r>
    </w:p>
  </w:footnote>
  <w:footnote w:type="continuationSeparator" w:id="0">
    <w:p w:rsidR="002F0D9B" w:rsidRDefault="002F0D9B" w:rsidP="00FD7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8763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70AD" w:rsidRDefault="00FD70A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3A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70AD" w:rsidRDefault="00FD70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12EB5"/>
    <w:multiLevelType w:val="hybridMultilevel"/>
    <w:tmpl w:val="02E44D0A"/>
    <w:lvl w:ilvl="0" w:tplc="F91E7DCC">
      <w:start w:val="1"/>
      <w:numFmt w:val="decimal"/>
      <w:lvlText w:val="%1."/>
      <w:lvlJc w:val="left"/>
      <w:pPr>
        <w:ind w:left="1140" w:hanging="78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30"/>
    <w:rsid w:val="000269A5"/>
    <w:rsid w:val="00047064"/>
    <w:rsid w:val="000540DD"/>
    <w:rsid w:val="000C6C9E"/>
    <w:rsid w:val="000E6FAC"/>
    <w:rsid w:val="00103F44"/>
    <w:rsid w:val="00182315"/>
    <w:rsid w:val="001A20FF"/>
    <w:rsid w:val="001E4899"/>
    <w:rsid w:val="002765EE"/>
    <w:rsid w:val="002D3329"/>
    <w:rsid w:val="002E3F20"/>
    <w:rsid w:val="002F0A4C"/>
    <w:rsid w:val="002F0D9B"/>
    <w:rsid w:val="00341A39"/>
    <w:rsid w:val="003F3F17"/>
    <w:rsid w:val="004542BA"/>
    <w:rsid w:val="00496CD6"/>
    <w:rsid w:val="004C0202"/>
    <w:rsid w:val="004D6DF9"/>
    <w:rsid w:val="005546A2"/>
    <w:rsid w:val="005A583B"/>
    <w:rsid w:val="00614FED"/>
    <w:rsid w:val="00654CE1"/>
    <w:rsid w:val="00661531"/>
    <w:rsid w:val="00662053"/>
    <w:rsid w:val="00771500"/>
    <w:rsid w:val="007B4881"/>
    <w:rsid w:val="008128B2"/>
    <w:rsid w:val="00862E1F"/>
    <w:rsid w:val="008754AD"/>
    <w:rsid w:val="00932ED2"/>
    <w:rsid w:val="009B52D6"/>
    <w:rsid w:val="00A11012"/>
    <w:rsid w:val="00A32930"/>
    <w:rsid w:val="00A7500A"/>
    <w:rsid w:val="00A77394"/>
    <w:rsid w:val="00A90029"/>
    <w:rsid w:val="00AB65DA"/>
    <w:rsid w:val="00B455F4"/>
    <w:rsid w:val="00C44047"/>
    <w:rsid w:val="00D71F4B"/>
    <w:rsid w:val="00E1182C"/>
    <w:rsid w:val="00E92759"/>
    <w:rsid w:val="00EE2EDB"/>
    <w:rsid w:val="00EE3296"/>
    <w:rsid w:val="00EF456B"/>
    <w:rsid w:val="00F1181E"/>
    <w:rsid w:val="00FA6F9D"/>
    <w:rsid w:val="00FC3AA8"/>
    <w:rsid w:val="00FD4309"/>
    <w:rsid w:val="00FD681F"/>
    <w:rsid w:val="00FD70A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9CE2A-596C-4720-9511-DF7C60FD6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6B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56B"/>
    <w:pPr>
      <w:ind w:left="720"/>
      <w:contextualSpacing/>
    </w:pPr>
  </w:style>
  <w:style w:type="table" w:styleId="TableGrid">
    <w:name w:val="Table Grid"/>
    <w:basedOn w:val="TableNormal"/>
    <w:uiPriority w:val="39"/>
    <w:rsid w:val="00EF45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7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C8365068CBC8478E31237FDDD61E2C" ma:contentTypeVersion="7" ma:contentTypeDescription="Create a new document." ma:contentTypeScope="" ma:versionID="6b5952d0e56394e49a45fc528ca8780e">
  <xsd:schema xmlns:xsd="http://www.w3.org/2001/XMLSchema" xmlns:xs="http://www.w3.org/2001/XMLSchema" xmlns:p="http://schemas.microsoft.com/office/2006/metadata/properties" xmlns:ns2="17a0f4bd-1162-49ac-b85f-dfe96a90bc01" xmlns:ns3="a036617c-f1b0-4353-ab0a-456b3885ee3b" targetNamespace="http://schemas.microsoft.com/office/2006/metadata/properties" ma:root="true" ma:fieldsID="07d50c5d4be4c69378d9d50399736094" ns2:_="" ns3:_="">
    <xsd:import namespace="17a0f4bd-1162-49ac-b85f-dfe96a90bc01"/>
    <xsd:import namespace="a036617c-f1b0-4353-ab0a-456b3885ee3b"/>
    <xsd:element name="properties">
      <xsd:complexType>
        <xsd:sequence>
          <xsd:element name="documentManagement">
            <xsd:complexType>
              <xsd:all>
                <xsd:element ref="ns2:Judgment_x0020_Date"/>
                <xsd:element ref="ns3:Ye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0f4bd-1162-49ac-b85f-dfe96a90bc01" elementFormDefault="qualified">
    <xsd:import namespace="http://schemas.microsoft.com/office/2006/documentManagement/types"/>
    <xsd:import namespace="http://schemas.microsoft.com/office/infopath/2007/PartnerControls"/>
    <xsd:element name="Judgment_x0020_Date" ma:index="8" ma:displayName="Judgment Date" ma:format="DateOnly" ma:internalName="Judgment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6617c-f1b0-4353-ab0a-456b3885ee3b" elementFormDefault="qualified">
    <xsd:import namespace="http://schemas.microsoft.com/office/2006/documentManagement/types"/>
    <xsd:import namespace="http://schemas.microsoft.com/office/infopath/2007/PartnerControls"/>
    <xsd:element name="Year" ma:index="12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a036617c-f1b0-4353-ab0a-456b3885ee3b">2020</Year>
    <Judgment_x0020_Date xmlns="17a0f4bd-1162-49ac-b85f-dfe96a90bc01">2020-06-22T18:30:00+00:00</Judgment_x0020_Date>
  </documentManagement>
</p:properties>
</file>

<file path=customXml/itemProps1.xml><?xml version="1.0" encoding="utf-8"?>
<ds:datastoreItem xmlns:ds="http://schemas.openxmlformats.org/officeDocument/2006/customXml" ds:itemID="{3FC18E6B-88E3-4417-A895-757880F51E8B}"/>
</file>

<file path=customXml/itemProps2.xml><?xml version="1.0" encoding="utf-8"?>
<ds:datastoreItem xmlns:ds="http://schemas.openxmlformats.org/officeDocument/2006/customXml" ds:itemID="{65CDF5A1-5F12-4911-969F-20D2EA620DAB}"/>
</file>

<file path=customXml/itemProps3.xml><?xml version="1.0" encoding="utf-8"?>
<ds:datastoreItem xmlns:ds="http://schemas.openxmlformats.org/officeDocument/2006/customXml" ds:itemID="{10FE6FDB-A47E-4D30-B989-F1E4225CCE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v Kolofu (HC-NLD-CRI-APP-SLA-2019-00078) [2020] NAHCNLD 74 (23 June 2020)</dc:title>
  <dc:subject/>
  <dc:creator>Johanna Salionga</dc:creator>
  <cp:keywords/>
  <dc:description/>
  <cp:lastModifiedBy>Administrator</cp:lastModifiedBy>
  <cp:revision>2</cp:revision>
  <dcterms:created xsi:type="dcterms:W3CDTF">2020-06-25T10:02:00Z</dcterms:created>
  <dcterms:modified xsi:type="dcterms:W3CDTF">2020-06-25T10:02:00Z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0x01010032C8365068CBC8478E31237FDDD61E2C</vt:lpwstr>
  </property>
</Properties>
</file>