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3C" w:rsidRPr="00B95415" w:rsidRDefault="002F5A3C" w:rsidP="002F5A3C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415">
        <w:rPr>
          <w:rFonts w:ascii="Arial" w:hAnsi="Arial" w:cs="Arial"/>
          <w:b/>
          <w:sz w:val="24"/>
          <w:szCs w:val="24"/>
        </w:rPr>
        <w:t>REPUBLIC OF NAMIBIA</w:t>
      </w:r>
    </w:p>
    <w:p w:rsidR="002F5A3C" w:rsidRPr="00B876E9" w:rsidRDefault="002F5A3C" w:rsidP="002F5A3C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880750D" wp14:editId="33173A9B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3C" w:rsidRPr="00B876E9" w:rsidRDefault="002F5A3C" w:rsidP="00EA59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>IN THE HIGH COURT OF NAMIBIA, NORTHERN LOCAL DIVISION, OSHAKATI</w:t>
      </w:r>
    </w:p>
    <w:p w:rsidR="002F5A3C" w:rsidRDefault="002F5A3C" w:rsidP="00EA59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 xml:space="preserve">REVIEW JUDGMENT </w:t>
      </w:r>
    </w:p>
    <w:p w:rsidR="00EA598B" w:rsidRDefault="00EA598B" w:rsidP="00EA59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598B" w:rsidRPr="00B876E9" w:rsidRDefault="00EA598B" w:rsidP="00EA59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“ANNEXURE 11”</w:t>
      </w:r>
    </w:p>
    <w:p w:rsidR="002F5A3C" w:rsidRPr="00EA634B" w:rsidRDefault="002F5A3C" w:rsidP="002F5A3C">
      <w:pPr>
        <w:spacing w:line="254" w:lineRule="auto"/>
        <w:rPr>
          <w:lang w:val="en-ZA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76"/>
        <w:gridCol w:w="330"/>
        <w:gridCol w:w="5601"/>
      </w:tblGrid>
      <w:tr w:rsidR="002F5A3C" w:rsidRPr="00EA634B" w:rsidTr="00BF1067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F96147" w:rsidRDefault="002F5A3C" w:rsidP="00A27D9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r w:rsidR="00A27D95">
              <w:rPr>
                <w:rFonts w:ascii="Arial" w:hAnsi="Arial" w:cs="Arial"/>
                <w:i/>
                <w:sz w:val="24"/>
                <w:szCs w:val="24"/>
                <w:lang w:val="en-ZA"/>
              </w:rPr>
              <w:t>Lydia David</w:t>
            </w:r>
          </w:p>
          <w:p w:rsidR="002F5A3C" w:rsidRDefault="002F5A3C" w:rsidP="002F5A3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  <w:p w:rsidR="002F5A3C" w:rsidRPr="00EA634B" w:rsidRDefault="002F5A3C" w:rsidP="002F5A3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Default="002F5A3C" w:rsidP="00A27D95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0C80">
              <w:rPr>
                <w:rFonts w:ascii="Arial" w:hAnsi="Arial" w:cs="Arial"/>
                <w:b/>
                <w:sz w:val="24"/>
                <w:szCs w:val="24"/>
                <w:lang w:val="en-ZA"/>
              </w:rPr>
              <w:t>CR No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6F1165">
              <w:rPr>
                <w:rFonts w:ascii="Arial" w:hAnsi="Arial" w:cs="Arial"/>
                <w:sz w:val="24"/>
                <w:szCs w:val="24"/>
                <w:lang w:val="en-ZA"/>
              </w:rPr>
              <w:t>39</w:t>
            </w:r>
            <w:r w:rsidR="007B2DE2"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</w:p>
          <w:p w:rsidR="00786CD9" w:rsidRPr="00786CD9" w:rsidRDefault="00786CD9" w:rsidP="00A27D95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Case No.: EENHANA 34/2020</w:t>
            </w:r>
          </w:p>
        </w:tc>
      </w:tr>
      <w:tr w:rsidR="002F5A3C" w:rsidRPr="00EA634B" w:rsidTr="00BF1067"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3C" w:rsidRPr="00EA634B" w:rsidRDefault="002F5A3C" w:rsidP="00BF1067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2F5A3C" w:rsidRPr="00EA634B" w:rsidTr="00BF1067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2F5A3C" w:rsidRPr="00EA634B" w:rsidRDefault="00A53A2D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</w:t>
            </w:r>
            <w:r w:rsidR="002F5A3C"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January J </w:t>
            </w:r>
            <w:r w:rsidR="002F5A3C"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2F5A3C" w:rsidRPr="00EA634B" w:rsidRDefault="002F5A3C" w:rsidP="00D05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A53A2D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</w:t>
            </w:r>
            <w:proofErr w:type="spellStart"/>
            <w:r w:rsidR="00E01F81">
              <w:rPr>
                <w:rFonts w:ascii="Arial" w:hAnsi="Arial" w:cs="Arial"/>
                <w:sz w:val="24"/>
                <w:szCs w:val="24"/>
                <w:lang w:val="en-ZA"/>
              </w:rPr>
              <w:t>Diergaardt</w:t>
            </w:r>
            <w:proofErr w:type="spellEnd"/>
            <w:r w:rsidR="00E01F81">
              <w:rPr>
                <w:rFonts w:ascii="Arial" w:hAnsi="Arial" w:cs="Arial"/>
                <w:sz w:val="24"/>
                <w:szCs w:val="24"/>
                <w:lang w:val="en-ZA"/>
              </w:rPr>
              <w:t xml:space="preserve"> A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J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Default="009D2874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Delivered on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</w:p>
          <w:p w:rsidR="00334A2B" w:rsidRPr="009D2874" w:rsidRDefault="001C32DC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30</w:t>
            </w:r>
            <w:r w:rsidR="00334A2B">
              <w:rPr>
                <w:rFonts w:ascii="Arial" w:hAnsi="Arial" w:cs="Arial"/>
                <w:sz w:val="24"/>
                <w:szCs w:val="24"/>
                <w:lang w:val="en-ZA"/>
              </w:rPr>
              <w:t xml:space="preserve"> June 2020</w:t>
            </w:r>
          </w:p>
          <w:p w:rsidR="002F5A3C" w:rsidRPr="00EA634B" w:rsidRDefault="002F5A3C" w:rsidP="00D05C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2F5A3C" w:rsidRPr="00EA634B" w:rsidTr="00BF106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E" w:rsidRPr="00EA634B" w:rsidRDefault="002F5A3C" w:rsidP="001C32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Neutral citation</w:t>
            </w:r>
            <w:r w:rsidR="00967526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B25FE1">
              <w:rPr>
                <w:rFonts w:ascii="Arial" w:hAnsi="Arial" w:cs="Arial"/>
                <w:i/>
                <w:sz w:val="24"/>
                <w:szCs w:val="24"/>
                <w:lang w:val="en-ZA"/>
              </w:rPr>
              <w:t>S v</w:t>
            </w:r>
            <w:r w:rsidR="00A27D95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="00B25FE1">
              <w:rPr>
                <w:rFonts w:ascii="Arial" w:hAnsi="Arial" w:cs="Arial"/>
                <w:i/>
                <w:sz w:val="24"/>
                <w:szCs w:val="24"/>
                <w:lang w:val="en-ZA"/>
              </w:rPr>
              <w:t>D</w:t>
            </w:r>
            <w:r w:rsidR="00A27D95">
              <w:rPr>
                <w:rFonts w:ascii="Arial" w:hAnsi="Arial" w:cs="Arial"/>
                <w:i/>
                <w:sz w:val="24"/>
                <w:szCs w:val="24"/>
                <w:lang w:val="en-ZA"/>
              </w:rPr>
              <w:t>avid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(CR</w:t>
            </w:r>
            <w:r w:rsidR="00634708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6F1165">
              <w:rPr>
                <w:rFonts w:ascii="Arial" w:hAnsi="Arial" w:cs="Arial"/>
                <w:sz w:val="24"/>
                <w:szCs w:val="24"/>
                <w:lang w:val="en-ZA"/>
              </w:rPr>
              <w:t>39</w:t>
            </w:r>
            <w:r w:rsidR="00B25FE1">
              <w:rPr>
                <w:rFonts w:ascii="Arial" w:hAnsi="Arial" w:cs="Arial"/>
                <w:sz w:val="24"/>
                <w:szCs w:val="24"/>
                <w:lang w:val="en-ZA"/>
              </w:rPr>
              <w:t>/2020)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[20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  <w:r w:rsidR="00650BDB">
              <w:rPr>
                <w:rFonts w:ascii="Arial" w:hAnsi="Arial" w:cs="Arial"/>
                <w:sz w:val="24"/>
                <w:szCs w:val="24"/>
                <w:lang w:val="en-ZA"/>
              </w:rPr>
              <w:t xml:space="preserve">80 </w:t>
            </w:r>
            <w:r w:rsidR="001C32DC">
              <w:rPr>
                <w:rFonts w:ascii="Arial" w:hAnsi="Arial" w:cs="Arial"/>
                <w:sz w:val="24"/>
                <w:szCs w:val="24"/>
                <w:lang w:val="en-ZA"/>
              </w:rPr>
              <w:t>(30</w:t>
            </w:r>
            <w:r w:rsidR="00B25FE1">
              <w:rPr>
                <w:rFonts w:ascii="Arial" w:hAnsi="Arial" w:cs="Arial"/>
                <w:sz w:val="24"/>
                <w:szCs w:val="24"/>
                <w:lang w:val="en-ZA"/>
              </w:rPr>
              <w:t xml:space="preserve"> June 2020)</w:t>
            </w:r>
          </w:p>
        </w:tc>
      </w:tr>
      <w:tr w:rsidR="002F5A3C" w:rsidRPr="00EA634B" w:rsidTr="00BF106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Default="002F5A3C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The order</w:t>
            </w:r>
            <w:r w:rsidR="00967526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</w:p>
          <w:p w:rsidR="004B6922" w:rsidRDefault="002F5A3C" w:rsidP="004B692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F5A3C">
              <w:rPr>
                <w:rFonts w:ascii="Arial" w:hAnsi="Arial" w:cs="Arial"/>
                <w:sz w:val="24"/>
                <w:szCs w:val="24"/>
                <w:lang w:val="en-ZA"/>
              </w:rPr>
              <w:t>The conviction and sentence of contravening section 90(</w:t>
            </w:r>
            <w:r w:rsidRPr="00711F60">
              <w:rPr>
                <w:rFonts w:ascii="Arial" w:hAnsi="Arial" w:cs="Arial"/>
                <w:i/>
                <w:sz w:val="24"/>
                <w:szCs w:val="24"/>
                <w:lang w:val="en-ZA"/>
              </w:rPr>
              <w:t>a</w:t>
            </w:r>
            <w:r w:rsidRPr="002F5A3C">
              <w:rPr>
                <w:rFonts w:ascii="Arial" w:hAnsi="Arial" w:cs="Arial"/>
                <w:sz w:val="24"/>
                <w:szCs w:val="24"/>
                <w:lang w:val="en-ZA"/>
              </w:rPr>
              <w:t>) of the Customs and Excise Act 20 of 1998-Dealing in/or possession of illicit goods are set aside;</w:t>
            </w:r>
          </w:p>
          <w:p w:rsidR="004B6922" w:rsidRDefault="004B6922" w:rsidP="004B6922">
            <w:pPr>
              <w:pStyle w:val="ListParagrap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855F63" w:rsidRPr="00EA634B" w:rsidRDefault="004B6922" w:rsidP="00B344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</w:t>
            </w:r>
            <w:r w:rsidR="0027402B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remitted to the magistrate to </w:t>
            </w:r>
            <w:r w:rsidR="00A27D95">
              <w:rPr>
                <w:rFonts w:ascii="Arial" w:hAnsi="Arial" w:cs="Arial"/>
                <w:sz w:val="24"/>
                <w:szCs w:val="24"/>
              </w:rPr>
              <w:t>enter a plea</w:t>
            </w:r>
            <w:r w:rsidR="00B230CE">
              <w:rPr>
                <w:rFonts w:ascii="Arial" w:hAnsi="Arial" w:cs="Arial"/>
                <w:sz w:val="24"/>
                <w:szCs w:val="24"/>
              </w:rPr>
              <w:t xml:space="preserve"> of not guilty in terms of</w:t>
            </w:r>
            <w:r w:rsidR="00A27D95">
              <w:rPr>
                <w:rFonts w:ascii="Arial" w:hAnsi="Arial" w:cs="Arial"/>
                <w:sz w:val="24"/>
                <w:szCs w:val="24"/>
              </w:rPr>
              <w:t xml:space="preserve"> section 11</w:t>
            </w:r>
            <w:r w:rsidR="00B344E7">
              <w:rPr>
                <w:rFonts w:ascii="Arial" w:hAnsi="Arial" w:cs="Arial"/>
                <w:sz w:val="24"/>
                <w:szCs w:val="24"/>
              </w:rPr>
              <w:t>3</w:t>
            </w:r>
            <w:r w:rsidR="00A27D95">
              <w:rPr>
                <w:rFonts w:ascii="Arial" w:hAnsi="Arial" w:cs="Arial"/>
                <w:sz w:val="24"/>
                <w:szCs w:val="24"/>
              </w:rPr>
              <w:t xml:space="preserve"> of Act 51 of 1977 and proceed with the trial</w:t>
            </w:r>
            <w:r w:rsidR="007B2D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5A3C" w:rsidRPr="00F07E31" w:rsidTr="00BF1067">
        <w:tc>
          <w:tcPr>
            <w:tcW w:w="10207" w:type="dxa"/>
            <w:gridSpan w:val="3"/>
          </w:tcPr>
          <w:p w:rsidR="002F5A3C" w:rsidRDefault="002F5A3C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2F5A3C" w:rsidRDefault="002F5A3C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t>Reasons for the order</w:t>
            </w:r>
          </w:p>
          <w:p w:rsidR="002F5A3C" w:rsidRPr="0047521D" w:rsidRDefault="002F5A3C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2F5A3C" w:rsidRPr="00EA634B" w:rsidTr="00BF106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20" w:rsidRPr="00AF1F1B" w:rsidRDefault="00157720" w:rsidP="001577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ZA"/>
              </w:rPr>
              <w:t>Diergaardt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AJ (January J concurring):</w:t>
            </w:r>
          </w:p>
          <w:p w:rsidR="002F5A3C" w:rsidRPr="00AF1F1B" w:rsidRDefault="002F5A3C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CC548B" w:rsidRDefault="002F5A3C" w:rsidP="00CC548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CC548B">
              <w:rPr>
                <w:rFonts w:ascii="Arial" w:hAnsi="Arial" w:cs="Arial"/>
                <w:sz w:val="24"/>
                <w:szCs w:val="24"/>
                <w:lang w:val="en-ZA"/>
              </w:rPr>
              <w:t>The matter came before me on automatic review in terms of section 304 of Act no 51 of 1977.</w:t>
            </w:r>
          </w:p>
          <w:p w:rsidR="0022425C" w:rsidRDefault="0022425C" w:rsidP="00A27D9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A27D95" w:rsidRDefault="0022425C" w:rsidP="00A27D9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>The accused in this matter was charged with contravention of section 90(</w:t>
            </w:r>
            <w:r w:rsidR="00A27D95" w:rsidRPr="00711F60">
              <w:rPr>
                <w:rFonts w:ascii="Arial" w:hAnsi="Arial" w:cs="Arial"/>
                <w:i/>
                <w:sz w:val="24"/>
                <w:szCs w:val="24"/>
                <w:lang w:val="en-ZA"/>
              </w:rPr>
              <w:t>a</w:t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>) read with sections 1, 5, 9, 14(1) (</w:t>
            </w:r>
            <w:r w:rsidR="00A27D95" w:rsidRPr="00D61AA8">
              <w:rPr>
                <w:rFonts w:ascii="Arial" w:hAnsi="Arial" w:cs="Arial"/>
                <w:i/>
                <w:sz w:val="24"/>
                <w:szCs w:val="24"/>
                <w:lang w:val="en-ZA"/>
              </w:rPr>
              <w:t>a</w:t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>), 36, 59 and 97(1) (</w:t>
            </w:r>
            <w:r w:rsidR="00A27D95" w:rsidRPr="00D61AA8">
              <w:rPr>
                <w:rFonts w:ascii="Arial" w:hAnsi="Arial" w:cs="Arial"/>
                <w:i/>
                <w:sz w:val="24"/>
                <w:szCs w:val="24"/>
                <w:lang w:val="en-ZA"/>
              </w:rPr>
              <w:t>b</w:t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>) of the Customs and Excise Act, Act 20 of 1998-Dealing in/possession of illicit goods. He pleaded guilty and the magistrate correctly proceeded to question the accused in terms of section 112(1)</w:t>
            </w:r>
            <w:r w:rsidR="000213A8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 w:rsidR="00A27D95" w:rsidRPr="00711F60">
              <w:rPr>
                <w:rFonts w:ascii="Arial" w:hAnsi="Arial" w:cs="Arial"/>
                <w:i/>
                <w:sz w:val="24"/>
                <w:szCs w:val="24"/>
                <w:lang w:val="en-ZA"/>
              </w:rPr>
              <w:t>b</w:t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>) of Act 51 of 1977</w:t>
            </w:r>
            <w:r w:rsidR="008D1F68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345485" w:rsidRDefault="00345485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A27D95" w:rsidRDefault="00400424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[3</w:t>
            </w:r>
            <w:r w:rsidR="008D1F68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8D1F68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 xml:space="preserve">Despite the fact that the </w:t>
            </w:r>
            <w:r w:rsidR="00203075">
              <w:rPr>
                <w:rFonts w:ascii="Arial" w:hAnsi="Arial" w:cs="Arial"/>
                <w:sz w:val="24"/>
                <w:szCs w:val="24"/>
                <w:lang w:val="en-ZA"/>
              </w:rPr>
              <w:t>accused</w:t>
            </w:r>
            <w:r w:rsidR="00A27D95">
              <w:rPr>
                <w:rFonts w:ascii="Arial" w:hAnsi="Arial" w:cs="Arial"/>
                <w:sz w:val="24"/>
                <w:szCs w:val="24"/>
                <w:lang w:val="en-ZA"/>
              </w:rPr>
              <w:t xml:space="preserve"> continuously disputed the fact that she was found in possession of the goods the Magistrate concluded that the accused admits to all the elements of the offence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 and proceeded with conviction and sentencing</w:t>
            </w:r>
            <w:r w:rsidR="008D1F68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8D1F68" w:rsidRDefault="008D1F68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344E7" w:rsidRDefault="00400424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[4</w:t>
            </w:r>
            <w:r w:rsidR="00F90527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3459BE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557690">
              <w:rPr>
                <w:rFonts w:ascii="Arial" w:hAnsi="Arial" w:cs="Arial"/>
                <w:sz w:val="24"/>
                <w:szCs w:val="24"/>
                <w:lang w:val="en-ZA"/>
              </w:rPr>
              <w:t>S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>ection 113 provides for that when an accused’s answers during questioning in terms of section 112 (1) (</w:t>
            </w:r>
            <w:r w:rsidR="00B344E7" w:rsidRPr="00711F60">
              <w:rPr>
                <w:rFonts w:ascii="Arial" w:hAnsi="Arial" w:cs="Arial"/>
                <w:i/>
                <w:sz w:val="24"/>
                <w:szCs w:val="24"/>
                <w:lang w:val="en-ZA"/>
              </w:rPr>
              <w:t>b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) are capable of reasonable interpretation </w:t>
            </w:r>
            <w:r w:rsidR="003C2D78">
              <w:rPr>
                <w:rFonts w:ascii="Arial" w:hAnsi="Arial" w:cs="Arial"/>
                <w:sz w:val="24"/>
                <w:szCs w:val="24"/>
                <w:lang w:val="en-ZA"/>
              </w:rPr>
              <w:t>c</w:t>
            </w:r>
            <w:r w:rsidR="003459BE">
              <w:rPr>
                <w:rFonts w:ascii="Arial" w:hAnsi="Arial" w:cs="Arial"/>
                <w:sz w:val="24"/>
                <w:szCs w:val="24"/>
                <w:lang w:val="en-ZA"/>
              </w:rPr>
              <w:t>onsistent with innocence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>,</w:t>
            </w:r>
            <w:r w:rsidR="003459B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>a plea of not guilty must be entered</w:t>
            </w:r>
            <w:r w:rsidR="00D76DB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 w:rsidR="00B344E7" w:rsidRPr="003459BE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W </w:t>
            </w:r>
            <w:proofErr w:type="spellStart"/>
            <w:r w:rsidR="00B344E7" w:rsidRPr="003459BE">
              <w:rPr>
                <w:rFonts w:ascii="Arial" w:hAnsi="Arial" w:cs="Arial"/>
                <w:i/>
                <w:sz w:val="24"/>
                <w:szCs w:val="24"/>
                <w:lang w:val="en-ZA"/>
              </w:rPr>
              <w:t>en</w:t>
            </w:r>
            <w:proofErr w:type="spellEnd"/>
            <w:r w:rsidR="00B344E7" w:rsidRPr="003459BE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 w:rsidR="00B344E7" w:rsidRPr="003459BE">
              <w:rPr>
                <w:rFonts w:ascii="Arial" w:hAnsi="Arial" w:cs="Arial"/>
                <w:i/>
                <w:sz w:val="24"/>
                <w:szCs w:val="24"/>
                <w:lang w:val="en-ZA"/>
              </w:rPr>
              <w:t>andere</w:t>
            </w:r>
            <w:proofErr w:type="spellEnd"/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 1999(2) SACR 640 C </w:t>
            </w:r>
            <w:proofErr w:type="spellStart"/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>Joubert</w:t>
            </w:r>
            <w:proofErr w:type="spellEnd"/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 9</w:t>
            </w:r>
            <w:r w:rsidR="003459B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="007649BB">
              <w:rPr>
                <w:rFonts w:ascii="Arial" w:hAnsi="Arial" w:cs="Arial"/>
                <w:sz w:val="24"/>
                <w:szCs w:val="24"/>
                <w:lang w:val="en-ZA"/>
              </w:rPr>
              <w:t>ed</w:t>
            </w:r>
            <w:proofErr w:type="spellEnd"/>
            <w:r w:rsidR="0050324A">
              <w:rPr>
                <w:rFonts w:ascii="Arial" w:hAnsi="Arial" w:cs="Arial"/>
                <w:sz w:val="24"/>
                <w:szCs w:val="24"/>
                <w:lang w:val="en-ZA"/>
              </w:rPr>
              <w:t>,</w:t>
            </w:r>
            <w:r w:rsidR="007649BB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B344E7" w:rsidRPr="00B344E7">
              <w:rPr>
                <w:rFonts w:ascii="Arial" w:hAnsi="Arial" w:cs="Arial"/>
                <w:i/>
                <w:sz w:val="24"/>
                <w:szCs w:val="24"/>
                <w:lang w:val="en-ZA"/>
              </w:rPr>
              <w:t>Criminal procedure</w:t>
            </w:r>
            <w:r w:rsidR="00B344E7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Handbook </w:t>
            </w:r>
            <w:r w:rsidR="00B344E7" w:rsidRPr="00B344E7">
              <w:rPr>
                <w:rFonts w:ascii="Arial" w:hAnsi="Arial" w:cs="Arial"/>
                <w:sz w:val="24"/>
                <w:szCs w:val="24"/>
                <w:lang w:val="en-ZA"/>
              </w:rPr>
              <w:t>7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>ed</w:t>
            </w:r>
            <w:proofErr w:type="spellEnd"/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 (2005) 213 observes that ‘doubt’ and not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probability is sufficient to compel the court to record a plea of not guilty’</w:t>
            </w:r>
            <w:r w:rsidR="003459BE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3459BE" w:rsidRDefault="003459BE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926D6" w:rsidRDefault="00400424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[5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3459BE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I</w:t>
            </w:r>
            <w:r w:rsidR="0027402B">
              <w:rPr>
                <w:rFonts w:ascii="Arial" w:hAnsi="Arial" w:cs="Arial"/>
                <w:sz w:val="24"/>
                <w:szCs w:val="24"/>
                <w:lang w:val="en-ZA"/>
              </w:rPr>
              <w:t xml:space="preserve"> am of the view that on review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a convicted accused is a “fortiori</w:t>
            </w:r>
            <w:r w:rsidR="00711F60">
              <w:rPr>
                <w:rFonts w:ascii="Arial" w:hAnsi="Arial" w:cs="Arial"/>
                <w:sz w:val="24"/>
                <w:szCs w:val="24"/>
                <w:lang w:val="en-ZA"/>
              </w:rPr>
              <w:t>”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 xml:space="preserve"> entitled to the benefit of doubt where reasonable grounds exist for a belief that a recorded admission, necessary for a </w:t>
            </w:r>
            <w:r w:rsidR="00615A32">
              <w:rPr>
                <w:rFonts w:ascii="Arial" w:hAnsi="Arial" w:cs="Arial"/>
                <w:sz w:val="24"/>
                <w:szCs w:val="24"/>
                <w:lang w:val="en-ZA"/>
              </w:rPr>
              <w:t>conviction, was not made at all.</w:t>
            </w:r>
          </w:p>
          <w:p w:rsidR="00615A32" w:rsidRDefault="00615A32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400424" w:rsidRDefault="00400424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[6</w:t>
            </w:r>
            <w:r w:rsidR="00C72425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615A32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In instances where an accused does not freely admit to all the elements of the offence the onus rest on the state to prove the accused guilt beyond reasonable doubt.</w:t>
            </w:r>
          </w:p>
          <w:p w:rsidR="00400424" w:rsidRDefault="00400424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90527" w:rsidRDefault="00400424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[7]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 xml:space="preserve">In </w:t>
            </w:r>
            <w:proofErr w:type="spellStart"/>
            <w:r w:rsidR="00B926D6" w:rsidRPr="003459BE">
              <w:rPr>
                <w:rFonts w:ascii="Arial" w:hAnsi="Arial" w:cs="Arial"/>
                <w:i/>
                <w:sz w:val="24"/>
                <w:szCs w:val="24"/>
                <w:lang w:val="en-ZA"/>
              </w:rPr>
              <w:t>casu</w:t>
            </w:r>
            <w:proofErr w:type="spellEnd"/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 xml:space="preserve"> i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t is clear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from</w:t>
            </w:r>
            <w:r w:rsidR="00B344E7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203075">
              <w:rPr>
                <w:rFonts w:ascii="Arial" w:hAnsi="Arial" w:cs="Arial"/>
                <w:sz w:val="24"/>
                <w:szCs w:val="24"/>
                <w:lang w:val="en-ZA"/>
              </w:rPr>
              <w:t xml:space="preserve">the questioning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that the</w:t>
            </w:r>
            <w:r w:rsidR="00203075">
              <w:rPr>
                <w:rFonts w:ascii="Arial" w:hAnsi="Arial" w:cs="Arial"/>
                <w:sz w:val="24"/>
                <w:szCs w:val="24"/>
                <w:lang w:val="en-ZA"/>
              </w:rPr>
              <w:t xml:space="preserve"> accu</w:t>
            </w:r>
            <w:r w:rsidR="00645B16">
              <w:rPr>
                <w:rFonts w:ascii="Arial" w:hAnsi="Arial" w:cs="Arial"/>
                <w:sz w:val="24"/>
                <w:szCs w:val="24"/>
                <w:lang w:val="en-ZA"/>
              </w:rPr>
              <w:t>sed did not intend to plead gui</w:t>
            </w:r>
            <w:r w:rsidR="00203075">
              <w:rPr>
                <w:rFonts w:ascii="Arial" w:hAnsi="Arial" w:cs="Arial"/>
                <w:sz w:val="24"/>
                <w:szCs w:val="24"/>
                <w:lang w:val="en-ZA"/>
              </w:rPr>
              <w:t>lty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 xml:space="preserve"> and a plea of </w:t>
            </w:r>
            <w:r w:rsidR="0027402B">
              <w:rPr>
                <w:rFonts w:ascii="Arial" w:hAnsi="Arial" w:cs="Arial"/>
                <w:sz w:val="24"/>
                <w:szCs w:val="24"/>
                <w:lang w:val="en-ZA"/>
              </w:rPr>
              <w:t xml:space="preserve">not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guilty should have been entered by the magistrate other than inferring.</w:t>
            </w:r>
          </w:p>
          <w:p w:rsidR="00615A32" w:rsidRDefault="00615A32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A1A19" w:rsidRDefault="00DA1A19" w:rsidP="00DA1A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[</w:t>
            </w:r>
            <w:r w:rsidR="00400424">
              <w:rPr>
                <w:rFonts w:ascii="Arial" w:hAnsi="Arial" w:cs="Arial"/>
                <w:lang w:val="en-ZA"/>
              </w:rPr>
              <w:t>8</w:t>
            </w:r>
            <w:r w:rsidR="00C21D7D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bookmarkStart w:id="0" w:name="_GoBack"/>
            <w:bookmarkEnd w:id="0"/>
            <w:r w:rsidR="00615A32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It has been emphasised on numerous occasions that offences under T</w:t>
            </w:r>
            <w:r w:rsidRPr="00DA1A19">
              <w:rPr>
                <w:rFonts w:ascii="Arial" w:hAnsi="Arial" w:cs="Arial"/>
                <w:sz w:val="24"/>
                <w:szCs w:val="24"/>
                <w:lang w:val="en-ZA"/>
              </w:rPr>
              <w:t xml:space="preserve">he Customs and Excise Act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>are not trivial offences</w:t>
            </w:r>
            <w:r w:rsidR="00615A32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 xml:space="preserve">and </w:t>
            </w:r>
            <w:r w:rsidRPr="00DA1A19">
              <w:rPr>
                <w:rFonts w:ascii="Arial" w:hAnsi="Arial" w:cs="Arial"/>
                <w:sz w:val="24"/>
                <w:szCs w:val="24"/>
                <w:lang w:val="en-ZA"/>
              </w:rPr>
              <w:t>specifically classifies a contravention of section 90(</w:t>
            </w:r>
            <w:r w:rsidRPr="004C003D">
              <w:rPr>
                <w:rFonts w:ascii="Arial" w:hAnsi="Arial" w:cs="Arial"/>
                <w:i/>
                <w:sz w:val="24"/>
                <w:szCs w:val="24"/>
                <w:lang w:val="en-ZA"/>
              </w:rPr>
              <w:t>a</w:t>
            </w:r>
            <w:r w:rsidRPr="00DA1A19">
              <w:rPr>
                <w:rFonts w:ascii="Arial" w:hAnsi="Arial" w:cs="Arial"/>
                <w:sz w:val="24"/>
                <w:szCs w:val="24"/>
                <w:lang w:val="en-ZA"/>
              </w:rPr>
              <w:t>) as a serious offence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. </w:t>
            </w:r>
            <w:r w:rsidR="00B926D6">
              <w:rPr>
                <w:rFonts w:ascii="Arial" w:hAnsi="Arial" w:cs="Arial"/>
                <w:sz w:val="24"/>
                <w:szCs w:val="24"/>
                <w:lang w:val="en-ZA"/>
              </w:rPr>
              <w:t xml:space="preserve">Therefore it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provides as follows:</w:t>
            </w:r>
          </w:p>
          <w:p w:rsidR="00DA1A19" w:rsidRPr="004063E7" w:rsidRDefault="00DA1A19" w:rsidP="00DA1A19">
            <w:pPr>
              <w:spacing w:line="360" w:lineRule="auto"/>
              <w:ind w:left="664"/>
              <w:contextualSpacing/>
              <w:jc w:val="both"/>
              <w:rPr>
                <w:rFonts w:ascii="Arial" w:hAnsi="Arial" w:cs="Arial"/>
                <w:b/>
                <w:lang w:val="en-ZA"/>
              </w:rPr>
            </w:pPr>
            <w:r w:rsidRPr="004063E7">
              <w:rPr>
                <w:rFonts w:ascii="Arial" w:hAnsi="Arial" w:cs="Arial"/>
                <w:b/>
                <w:lang w:val="en-ZA"/>
              </w:rPr>
              <w:t>90</w:t>
            </w:r>
            <w:r w:rsidRPr="004063E7">
              <w:rPr>
                <w:rFonts w:ascii="Arial" w:hAnsi="Arial" w:cs="Arial"/>
                <w:b/>
                <w:lang w:val="en-ZA"/>
              </w:rPr>
              <w:tab/>
              <w:t>Serious offences and penalties in respect thereof</w:t>
            </w:r>
          </w:p>
          <w:p w:rsidR="00DA1A19" w:rsidRPr="00DA1A19" w:rsidRDefault="00DA1A19" w:rsidP="00DA1A19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 w:rsidRPr="00DA1A19">
              <w:rPr>
                <w:rFonts w:ascii="Arial" w:hAnsi="Arial" w:cs="Arial"/>
                <w:lang w:val="en-ZA"/>
              </w:rPr>
              <w:tab/>
              <w:t>Any person who-</w:t>
            </w:r>
          </w:p>
          <w:p w:rsidR="000213A8" w:rsidRDefault="00DA1A19" w:rsidP="000213A8">
            <w:pPr>
              <w:spacing w:line="360" w:lineRule="auto"/>
              <w:ind w:left="664"/>
              <w:contextualSpacing/>
              <w:jc w:val="both"/>
              <w:rPr>
                <w:rFonts w:ascii="Arial" w:hAnsi="Arial" w:cs="Arial"/>
                <w:lang w:val="en-ZA"/>
              </w:rPr>
            </w:pPr>
            <w:r w:rsidRPr="00DA1A19">
              <w:rPr>
                <w:rFonts w:ascii="Arial" w:hAnsi="Arial" w:cs="Arial"/>
                <w:lang w:val="en-ZA"/>
              </w:rPr>
              <w:lastRenderedPageBreak/>
              <w:t>(a)</w:t>
            </w:r>
            <w:r w:rsidRPr="00DA1A19">
              <w:rPr>
                <w:rFonts w:ascii="Arial" w:hAnsi="Arial" w:cs="Arial"/>
                <w:lang w:val="en-ZA"/>
              </w:rPr>
              <w:tab/>
              <w:t xml:space="preserve">has upon his or her premises or in his or her custody or under his or her control, or </w:t>
            </w:r>
            <w:r>
              <w:rPr>
                <w:rFonts w:ascii="Arial" w:hAnsi="Arial" w:cs="Arial"/>
                <w:lang w:val="en-ZA"/>
              </w:rPr>
              <w:t xml:space="preserve">  </w:t>
            </w:r>
            <w:r w:rsidRPr="00DA1A19">
              <w:rPr>
                <w:rFonts w:ascii="Arial" w:hAnsi="Arial" w:cs="Arial"/>
                <w:lang w:val="en-ZA"/>
              </w:rPr>
              <w:t>purchases or otherwise obtains, or sells or otherwise disposes of, any illicit goods, knowing such goods to be illicit goods; or</w:t>
            </w:r>
          </w:p>
          <w:p w:rsidR="000213A8" w:rsidRDefault="00DA1A19" w:rsidP="000213A8">
            <w:pPr>
              <w:spacing w:line="360" w:lineRule="auto"/>
              <w:ind w:left="664"/>
              <w:contextualSpacing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(b</w:t>
            </w:r>
            <w:r w:rsidR="00AB4570">
              <w:rPr>
                <w:rFonts w:ascii="Arial" w:hAnsi="Arial" w:cs="Arial"/>
                <w:lang w:val="en-ZA"/>
              </w:rPr>
              <w:t xml:space="preserve">) </w:t>
            </w:r>
            <w:proofErr w:type="gramStart"/>
            <w:r w:rsidR="00AB4570">
              <w:rPr>
                <w:rFonts w:ascii="Arial" w:hAnsi="Arial" w:cs="Arial"/>
                <w:lang w:val="en-ZA"/>
              </w:rPr>
              <w:t>to</w:t>
            </w:r>
            <w:proofErr w:type="gramEnd"/>
            <w:r w:rsidR="00AB4570">
              <w:rPr>
                <w:rFonts w:ascii="Arial" w:hAnsi="Arial" w:cs="Arial"/>
                <w:lang w:val="en-ZA"/>
              </w:rPr>
              <w:t xml:space="preserve"> (</w:t>
            </w:r>
            <w:r w:rsidR="00AB4570" w:rsidRPr="00C21D7D">
              <w:rPr>
                <w:rFonts w:ascii="Arial" w:hAnsi="Arial" w:cs="Arial"/>
                <w:i/>
                <w:lang w:val="en-ZA"/>
              </w:rPr>
              <w:t>o</w:t>
            </w:r>
            <w:r w:rsidR="00AB4570">
              <w:rPr>
                <w:rFonts w:ascii="Arial" w:hAnsi="Arial" w:cs="Arial"/>
                <w:lang w:val="en-ZA"/>
              </w:rPr>
              <w:t>)</w:t>
            </w:r>
            <w:r>
              <w:rPr>
                <w:rFonts w:ascii="Arial" w:hAnsi="Arial" w:cs="Arial"/>
                <w:lang w:val="en-ZA"/>
              </w:rPr>
              <w:t>………..</w:t>
            </w:r>
          </w:p>
          <w:p w:rsidR="00DA1A19" w:rsidRDefault="00DA1A19" w:rsidP="000213A8">
            <w:pPr>
              <w:spacing w:line="360" w:lineRule="auto"/>
              <w:ind w:left="664"/>
              <w:contextualSpacing/>
              <w:jc w:val="both"/>
              <w:rPr>
                <w:rFonts w:ascii="Arial" w:hAnsi="Arial" w:cs="Arial"/>
                <w:lang w:val="en-ZA"/>
              </w:rPr>
            </w:pPr>
            <w:r w:rsidRPr="00DA1A19">
              <w:rPr>
                <w:rFonts w:ascii="Arial" w:hAnsi="Arial" w:cs="Arial"/>
                <w:lang w:val="en-ZA"/>
              </w:rPr>
              <w:t xml:space="preserve">shall be guilty of an offence and on conviction be liable to a fine not </w:t>
            </w:r>
            <w:r w:rsidRPr="00003D88">
              <w:rPr>
                <w:rFonts w:ascii="Arial" w:hAnsi="Arial" w:cs="Arial"/>
                <w:i/>
                <w:lang w:val="en-ZA"/>
              </w:rPr>
              <w:t>exceeding N$20 000 or to an amount equal to three times the value of the goods in respect of which such offence was committed, whichever is the greater, or to imprisonment for a period not exceeding five years or to both such fine and such imprisonment</w:t>
            </w:r>
            <w:r w:rsidRPr="008D1F68">
              <w:rPr>
                <w:rFonts w:ascii="Arial" w:hAnsi="Arial" w:cs="Arial"/>
                <w:lang w:val="en-ZA"/>
              </w:rPr>
              <w:t>.</w:t>
            </w:r>
            <w:r w:rsidR="00AB4570" w:rsidRPr="008D1F68">
              <w:rPr>
                <w:rFonts w:ascii="Arial" w:hAnsi="Arial" w:cs="Arial"/>
                <w:lang w:val="en-ZA"/>
              </w:rPr>
              <w:t xml:space="preserve"> </w:t>
            </w:r>
            <w:r w:rsidR="00AB4570" w:rsidRPr="00AB4570">
              <w:rPr>
                <w:rFonts w:ascii="Arial" w:hAnsi="Arial" w:cs="Arial"/>
                <w:lang w:val="en-ZA"/>
              </w:rPr>
              <w:t>(my emphasis)</w:t>
            </w:r>
          </w:p>
          <w:p w:rsidR="002F5A3C" w:rsidRDefault="002F5A3C" w:rsidP="00BF3D62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</w:p>
          <w:p w:rsidR="00BF3D62" w:rsidRPr="00FE5B54" w:rsidRDefault="00615A32" w:rsidP="00BF3D6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E5B54"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FE5B54" w:rsidRPr="00FE5B54">
              <w:rPr>
                <w:rFonts w:ascii="Arial" w:hAnsi="Arial" w:cs="Arial"/>
                <w:sz w:val="24"/>
                <w:szCs w:val="24"/>
                <w:lang w:val="en-ZA"/>
              </w:rPr>
              <w:t>9</w:t>
            </w:r>
            <w:r w:rsidR="00BF3D62" w:rsidRPr="00FE5B54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BF3D62" w:rsidRPr="00FE5B54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203075" w:rsidRPr="00FE5B54">
              <w:rPr>
                <w:rFonts w:ascii="Arial" w:hAnsi="Arial" w:cs="Arial"/>
                <w:sz w:val="24"/>
                <w:szCs w:val="24"/>
                <w:lang w:val="en-ZA"/>
              </w:rPr>
              <w:t>As a result of the strict penalty clause it is of utmost importance</w:t>
            </w:r>
            <w:r w:rsidR="00B926D6" w:rsidRPr="00FE5B54">
              <w:rPr>
                <w:rFonts w:ascii="Arial" w:hAnsi="Arial" w:cs="Arial"/>
                <w:sz w:val="24"/>
                <w:szCs w:val="24"/>
                <w:lang w:val="en-ZA"/>
              </w:rPr>
              <w:t xml:space="preserve"> for the court</w:t>
            </w:r>
            <w:r w:rsidR="00203075" w:rsidRPr="00FE5B54">
              <w:rPr>
                <w:rFonts w:ascii="Arial" w:hAnsi="Arial" w:cs="Arial"/>
                <w:sz w:val="24"/>
                <w:szCs w:val="24"/>
                <w:lang w:val="en-ZA"/>
              </w:rPr>
              <w:t xml:space="preserve"> to be satisfied that the accused indeed intended to plead guilty.</w:t>
            </w:r>
            <w:r w:rsidR="00A63115" w:rsidRPr="00FE5B54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BF3D62" w:rsidRPr="00FE5B54">
              <w:rPr>
                <w:rFonts w:ascii="Arial" w:hAnsi="Arial" w:cs="Arial"/>
                <w:sz w:val="24"/>
                <w:szCs w:val="24"/>
                <w:lang w:val="en-ZA"/>
              </w:rPr>
              <w:t xml:space="preserve">The conviction and sentences in relation to </w:t>
            </w:r>
            <w:r w:rsidR="00203075" w:rsidRPr="00FE5B54">
              <w:rPr>
                <w:rFonts w:ascii="Arial" w:hAnsi="Arial" w:cs="Arial"/>
                <w:sz w:val="24"/>
                <w:szCs w:val="24"/>
                <w:lang w:val="en-ZA"/>
              </w:rPr>
              <w:t>the</w:t>
            </w:r>
            <w:r w:rsidR="00BF3D62" w:rsidRPr="00FE5B54">
              <w:rPr>
                <w:rFonts w:ascii="Arial" w:hAnsi="Arial" w:cs="Arial"/>
                <w:sz w:val="24"/>
                <w:szCs w:val="24"/>
                <w:lang w:val="en-ZA"/>
              </w:rPr>
              <w:t xml:space="preserve"> charge can therefore not be allowed to stand.</w:t>
            </w:r>
          </w:p>
          <w:p w:rsidR="00D65C2E" w:rsidRPr="00EA634B" w:rsidRDefault="00D65C2E" w:rsidP="00D269AC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2F5A3C" w:rsidRPr="00B876E9" w:rsidTr="00BF1067">
        <w:trPr>
          <w:trHeight w:val="57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482EC8" w:rsidRDefault="002F5A3C" w:rsidP="00BF10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Judge(s) signature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482EC8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5A3C" w:rsidRPr="00B876E9" w:rsidTr="00BF1067">
        <w:trPr>
          <w:trHeight w:val="8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AC190B" w:rsidRDefault="00AB3468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Diergaardt</w:t>
            </w:r>
            <w:proofErr w:type="spellEnd"/>
            <w:r w:rsidR="002F5A3C" w:rsidRPr="00AC19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F5A3C" w:rsidRPr="00AC190B">
              <w:rPr>
                <w:rFonts w:ascii="Arial" w:hAnsi="Arial" w:cs="Arial"/>
                <w:sz w:val="24"/>
                <w:szCs w:val="24"/>
              </w:rPr>
              <w:t>J: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A3C" w:rsidRPr="00AC190B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A3C" w:rsidRPr="00B876E9" w:rsidTr="00BF1067">
        <w:trPr>
          <w:trHeight w:val="9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5" w:rsidRPr="00482EC8" w:rsidRDefault="00203075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190B">
              <w:rPr>
                <w:rFonts w:ascii="Arial" w:hAnsi="Arial" w:cs="Arial"/>
                <w:sz w:val="24"/>
                <w:szCs w:val="24"/>
              </w:rPr>
              <w:t>January J: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482EC8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640" w:rsidRPr="002F5A3C" w:rsidRDefault="00B02640">
      <w:pPr>
        <w:rPr>
          <w:rFonts w:ascii="Arial" w:hAnsi="Arial" w:cs="Arial"/>
          <w:sz w:val="24"/>
          <w:szCs w:val="24"/>
        </w:rPr>
      </w:pPr>
    </w:p>
    <w:sectPr w:rsidR="00B02640" w:rsidRPr="002F5A3C" w:rsidSect="00855F63">
      <w:headerReference w:type="default" r:id="rId9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13" w:rsidRDefault="00251C13" w:rsidP="004063E7">
      <w:pPr>
        <w:spacing w:after="0" w:line="240" w:lineRule="auto"/>
      </w:pPr>
      <w:r>
        <w:separator/>
      </w:r>
    </w:p>
  </w:endnote>
  <w:endnote w:type="continuationSeparator" w:id="0">
    <w:p w:rsidR="00251C13" w:rsidRDefault="00251C13" w:rsidP="0040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13" w:rsidRDefault="00251C13" w:rsidP="004063E7">
      <w:pPr>
        <w:spacing w:after="0" w:line="240" w:lineRule="auto"/>
      </w:pPr>
      <w:r>
        <w:separator/>
      </w:r>
    </w:p>
  </w:footnote>
  <w:footnote w:type="continuationSeparator" w:id="0">
    <w:p w:rsidR="00251C13" w:rsidRDefault="00251C13" w:rsidP="0040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7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5C0E" w:rsidRDefault="00D05C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C0E" w:rsidRDefault="00D05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EA8"/>
    <w:multiLevelType w:val="hybridMultilevel"/>
    <w:tmpl w:val="DBE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3C"/>
    <w:rsid w:val="00003D88"/>
    <w:rsid w:val="000213A8"/>
    <w:rsid w:val="0008283C"/>
    <w:rsid w:val="00094F5B"/>
    <w:rsid w:val="000C07B6"/>
    <w:rsid w:val="001051BA"/>
    <w:rsid w:val="0011016A"/>
    <w:rsid w:val="00157720"/>
    <w:rsid w:val="001A2F2D"/>
    <w:rsid w:val="001C32DC"/>
    <w:rsid w:val="00203075"/>
    <w:rsid w:val="00215C8B"/>
    <w:rsid w:val="00221715"/>
    <w:rsid w:val="00221D2A"/>
    <w:rsid w:val="0022425C"/>
    <w:rsid w:val="00251C13"/>
    <w:rsid w:val="00272927"/>
    <w:rsid w:val="0027402B"/>
    <w:rsid w:val="002B54A5"/>
    <w:rsid w:val="002F5A3C"/>
    <w:rsid w:val="003048B0"/>
    <w:rsid w:val="00334A2B"/>
    <w:rsid w:val="00345485"/>
    <w:rsid w:val="003459BE"/>
    <w:rsid w:val="003845AA"/>
    <w:rsid w:val="003C2D78"/>
    <w:rsid w:val="003D539D"/>
    <w:rsid w:val="00400424"/>
    <w:rsid w:val="004017EC"/>
    <w:rsid w:val="004063E7"/>
    <w:rsid w:val="004B6922"/>
    <w:rsid w:val="004C003D"/>
    <w:rsid w:val="004E4187"/>
    <w:rsid w:val="0050324A"/>
    <w:rsid w:val="00517A3B"/>
    <w:rsid w:val="005404E2"/>
    <w:rsid w:val="00546029"/>
    <w:rsid w:val="00557690"/>
    <w:rsid w:val="005E76DE"/>
    <w:rsid w:val="006049D2"/>
    <w:rsid w:val="00615A32"/>
    <w:rsid w:val="006308EC"/>
    <w:rsid w:val="00634708"/>
    <w:rsid w:val="00645B16"/>
    <w:rsid w:val="00650BDB"/>
    <w:rsid w:val="006721F0"/>
    <w:rsid w:val="00687B0E"/>
    <w:rsid w:val="006B6666"/>
    <w:rsid w:val="006D3F49"/>
    <w:rsid w:val="006F1165"/>
    <w:rsid w:val="00711F60"/>
    <w:rsid w:val="00717F5B"/>
    <w:rsid w:val="007649BB"/>
    <w:rsid w:val="00781710"/>
    <w:rsid w:val="00786CD9"/>
    <w:rsid w:val="007B2DE2"/>
    <w:rsid w:val="007C59A5"/>
    <w:rsid w:val="007D5CB7"/>
    <w:rsid w:val="007E4EB3"/>
    <w:rsid w:val="00855F63"/>
    <w:rsid w:val="008D1F68"/>
    <w:rsid w:val="009420CE"/>
    <w:rsid w:val="00967526"/>
    <w:rsid w:val="009D2874"/>
    <w:rsid w:val="00A2694E"/>
    <w:rsid w:val="00A27D95"/>
    <w:rsid w:val="00A30AC8"/>
    <w:rsid w:val="00A53A2D"/>
    <w:rsid w:val="00A63115"/>
    <w:rsid w:val="00AB3468"/>
    <w:rsid w:val="00AB4570"/>
    <w:rsid w:val="00AE31A7"/>
    <w:rsid w:val="00B02640"/>
    <w:rsid w:val="00B230CE"/>
    <w:rsid w:val="00B25FE1"/>
    <w:rsid w:val="00B344E7"/>
    <w:rsid w:val="00B926D6"/>
    <w:rsid w:val="00BF3D62"/>
    <w:rsid w:val="00C10FCE"/>
    <w:rsid w:val="00C11B2B"/>
    <w:rsid w:val="00C21D7D"/>
    <w:rsid w:val="00C72425"/>
    <w:rsid w:val="00CB58EC"/>
    <w:rsid w:val="00CC548B"/>
    <w:rsid w:val="00CF207A"/>
    <w:rsid w:val="00D039A8"/>
    <w:rsid w:val="00D05C0E"/>
    <w:rsid w:val="00D269AC"/>
    <w:rsid w:val="00D30313"/>
    <w:rsid w:val="00D3101E"/>
    <w:rsid w:val="00D413C5"/>
    <w:rsid w:val="00D61AA8"/>
    <w:rsid w:val="00D65C2E"/>
    <w:rsid w:val="00D66711"/>
    <w:rsid w:val="00D76DBE"/>
    <w:rsid w:val="00DA1A19"/>
    <w:rsid w:val="00DE579D"/>
    <w:rsid w:val="00E01F81"/>
    <w:rsid w:val="00E11B05"/>
    <w:rsid w:val="00E6050E"/>
    <w:rsid w:val="00E702C3"/>
    <w:rsid w:val="00E926D5"/>
    <w:rsid w:val="00EA598B"/>
    <w:rsid w:val="00F358F4"/>
    <w:rsid w:val="00F47D1A"/>
    <w:rsid w:val="00F74283"/>
    <w:rsid w:val="00F90527"/>
    <w:rsid w:val="00F96147"/>
    <w:rsid w:val="00FC5CC8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D75C-C950-4FA1-9534-2E3443F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3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0E"/>
  </w:style>
  <w:style w:type="paragraph" w:styleId="Footer">
    <w:name w:val="footer"/>
    <w:basedOn w:val="Normal"/>
    <w:link w:val="FooterChar"/>
    <w:uiPriority w:val="99"/>
    <w:unhideWhenUsed/>
    <w:rsid w:val="00D0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2020-06-29T18:30:00+00:00</Judgment_x0020_Date>
    <Year xmlns="a036617c-f1b0-4353-ab0a-456b3885ee3b">2020</Year>
  </documentManagement>
</p:properties>
</file>

<file path=customXml/itemProps1.xml><?xml version="1.0" encoding="utf-8"?>
<ds:datastoreItem xmlns:ds="http://schemas.openxmlformats.org/officeDocument/2006/customXml" ds:itemID="{52AF950E-1A7D-4823-BDC0-F0FABB27BC4F}"/>
</file>

<file path=customXml/itemProps2.xml><?xml version="1.0" encoding="utf-8"?>
<ds:datastoreItem xmlns:ds="http://schemas.openxmlformats.org/officeDocument/2006/customXml" ds:itemID="{5771B893-4EE1-4474-867E-B8101302ADBE}"/>
</file>

<file path=customXml/itemProps3.xml><?xml version="1.0" encoding="utf-8"?>
<ds:datastoreItem xmlns:ds="http://schemas.openxmlformats.org/officeDocument/2006/customXml" ds:itemID="{B1A641FD-BC33-4D4E-9009-B4AE3DF234C7}"/>
</file>

<file path=customXml/itemProps4.xml><?xml version="1.0" encoding="utf-8"?>
<ds:datastoreItem xmlns:ds="http://schemas.openxmlformats.org/officeDocument/2006/customXml" ds:itemID="{6E77FC9A-1C93-4788-BA4B-856165C27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David (CR 39-2020) [2020] NAHCNLD 80 (30 June 2020)</dc:title>
  <dc:subject/>
  <dc:creator>Herman C. January</dc:creator>
  <cp:keywords/>
  <dc:description/>
  <cp:lastModifiedBy>Administrator</cp:lastModifiedBy>
  <cp:revision>3</cp:revision>
  <cp:lastPrinted>2020-06-24T13:54:00Z</cp:lastPrinted>
  <dcterms:created xsi:type="dcterms:W3CDTF">2020-07-03T06:52:00Z</dcterms:created>
  <dcterms:modified xsi:type="dcterms:W3CDTF">2020-07-13T06:26:00Z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