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CA" w:rsidRDefault="00E91E95" w:rsidP="00536ACA">
      <w:pPr>
        <w:spacing w:line="480" w:lineRule="auto"/>
        <w:jc w:val="center"/>
        <w:rPr>
          <w:rFonts w:ascii="Arial" w:hAnsi="Arial" w:cs="Arial"/>
        </w:rPr>
      </w:pPr>
      <w:bookmarkStart w:id="0" w:name="_GoBack"/>
      <w:bookmarkEnd w:id="0"/>
      <w:r>
        <w:rPr>
          <w:rFonts w:ascii="Arial" w:hAnsi="Arial" w:cs="Arial"/>
          <w:noProof/>
          <w:lang w:val="en-US"/>
        </w:rPr>
        <w:drawing>
          <wp:inline distT="0" distB="0" distL="0" distR="0">
            <wp:extent cx="1068070" cy="1014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8070" cy="1014095"/>
                    </a:xfrm>
                    <a:prstGeom prst="rect">
                      <a:avLst/>
                    </a:prstGeom>
                    <a:noFill/>
                    <a:ln>
                      <a:noFill/>
                    </a:ln>
                  </pic:spPr>
                </pic:pic>
              </a:graphicData>
            </a:graphic>
          </wp:inline>
        </w:drawing>
      </w:r>
      <w:r w:rsidR="003555E3">
        <w:rPr>
          <w:rFonts w:ascii="Arial" w:hAnsi="Arial" w:cs="Arial"/>
        </w:rPr>
        <w:t xml:space="preserve">             </w:t>
      </w:r>
    </w:p>
    <w:p w:rsidR="008D10C2" w:rsidRPr="0066210B" w:rsidRDefault="00F424A5" w:rsidP="00536ACA">
      <w:pPr>
        <w:spacing w:line="480" w:lineRule="auto"/>
        <w:ind w:left="4320" w:firstLine="720"/>
        <w:rPr>
          <w:rFonts w:ascii="Arial" w:hAnsi="Arial" w:cs="Arial"/>
          <w:b/>
        </w:rPr>
      </w:pPr>
      <w:r>
        <w:rPr>
          <w:rFonts w:ascii="Arial" w:hAnsi="Arial" w:cs="Arial"/>
          <w:b/>
        </w:rPr>
        <w:t>CASE NO.: LC 5</w:t>
      </w:r>
      <w:r w:rsidR="00BC17EA">
        <w:rPr>
          <w:rFonts w:ascii="Arial" w:hAnsi="Arial" w:cs="Arial"/>
          <w:b/>
        </w:rPr>
        <w:t>/201</w:t>
      </w:r>
      <w:r>
        <w:rPr>
          <w:rFonts w:ascii="Arial" w:hAnsi="Arial" w:cs="Arial"/>
          <w:b/>
        </w:rPr>
        <w:t>0</w:t>
      </w:r>
    </w:p>
    <w:p w:rsidR="00D82885" w:rsidRDefault="008E1F23" w:rsidP="00536ACA">
      <w:pPr>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44BAC" w:rsidRPr="00E44BAC">
        <w:rPr>
          <w:rFonts w:ascii="Arial" w:hAnsi="Arial" w:cs="Arial"/>
          <w:b/>
        </w:rPr>
        <w:t xml:space="preserve">   </w:t>
      </w:r>
    </w:p>
    <w:p w:rsidR="00BC17EA" w:rsidRDefault="00BC17EA" w:rsidP="00E44BAC">
      <w:pPr>
        <w:ind w:left="5040"/>
        <w:rPr>
          <w:rFonts w:ascii="Arial" w:hAnsi="Arial" w:cs="Arial"/>
          <w:b/>
          <w:u w:val="single"/>
        </w:rPr>
      </w:pPr>
      <w:r>
        <w:rPr>
          <w:rFonts w:ascii="Arial" w:hAnsi="Arial" w:cs="Arial"/>
          <w:b/>
        </w:rPr>
        <w:t xml:space="preserve"> </w:t>
      </w:r>
      <w:r w:rsidR="00152209">
        <w:rPr>
          <w:rFonts w:ascii="Arial" w:hAnsi="Arial" w:cs="Arial"/>
          <w:b/>
          <w:u w:val="single"/>
        </w:rPr>
        <w:t>REPORTABLE</w:t>
      </w:r>
    </w:p>
    <w:p w:rsidR="008D10C2" w:rsidRPr="004461FE" w:rsidRDefault="008D10C2">
      <w:pPr>
        <w:rPr>
          <w:rFonts w:ascii="Arial" w:hAnsi="Arial" w:cs="Arial"/>
        </w:rPr>
      </w:pPr>
    </w:p>
    <w:p w:rsidR="008D10C2" w:rsidRPr="000B597C" w:rsidRDefault="008D10C2">
      <w:pPr>
        <w:pStyle w:val="Heading2"/>
        <w:rPr>
          <w:rFonts w:ascii="Arial" w:hAnsi="Arial" w:cs="Arial"/>
          <w:sz w:val="22"/>
          <w:szCs w:val="22"/>
        </w:rPr>
      </w:pPr>
      <w:r w:rsidRPr="000B597C">
        <w:rPr>
          <w:rFonts w:ascii="Arial" w:hAnsi="Arial" w:cs="Arial"/>
          <w:sz w:val="22"/>
          <w:szCs w:val="22"/>
        </w:rPr>
        <w:t>IN THE HIGH COURT OF NAMIBIA</w:t>
      </w:r>
    </w:p>
    <w:p w:rsidR="008D10C2" w:rsidRPr="000B597C" w:rsidRDefault="008D10C2">
      <w:pPr>
        <w:spacing w:line="480" w:lineRule="auto"/>
        <w:rPr>
          <w:rFonts w:ascii="Arial" w:hAnsi="Arial" w:cs="Arial"/>
          <w:sz w:val="22"/>
          <w:szCs w:val="22"/>
        </w:rPr>
      </w:pPr>
      <w:r w:rsidRPr="000B597C">
        <w:rPr>
          <w:rFonts w:ascii="Arial" w:hAnsi="Arial" w:cs="Arial"/>
          <w:sz w:val="22"/>
          <w:szCs w:val="22"/>
        </w:rPr>
        <w:t xml:space="preserve">In the matter between: </w:t>
      </w:r>
    </w:p>
    <w:p w:rsidR="008D10C2" w:rsidRPr="000B597C" w:rsidRDefault="00F424A5">
      <w:pPr>
        <w:pStyle w:val="Heading1"/>
        <w:rPr>
          <w:rFonts w:ascii="Arial" w:hAnsi="Arial" w:cs="Arial"/>
          <w:sz w:val="22"/>
          <w:szCs w:val="22"/>
        </w:rPr>
      </w:pPr>
      <w:r>
        <w:rPr>
          <w:rFonts w:ascii="Arial" w:hAnsi="Arial" w:cs="Arial"/>
          <w:sz w:val="22"/>
          <w:szCs w:val="22"/>
        </w:rPr>
        <w:t>PURITY MANGANESE (PTY) LTD</w:t>
      </w:r>
      <w:r w:rsidR="00BC17EA" w:rsidRPr="000B597C">
        <w:rPr>
          <w:rFonts w:ascii="Arial" w:hAnsi="Arial" w:cs="Arial"/>
          <w:sz w:val="22"/>
          <w:szCs w:val="22"/>
        </w:rPr>
        <w:tab/>
      </w:r>
      <w:r w:rsidR="00BC17EA" w:rsidRPr="000B597C">
        <w:rPr>
          <w:rFonts w:ascii="Arial" w:hAnsi="Arial" w:cs="Arial"/>
          <w:sz w:val="22"/>
          <w:szCs w:val="22"/>
        </w:rPr>
        <w:tab/>
      </w:r>
      <w:r w:rsidR="00BC17EA" w:rsidRPr="000B597C">
        <w:rPr>
          <w:rFonts w:ascii="Arial" w:hAnsi="Arial" w:cs="Arial"/>
          <w:sz w:val="22"/>
          <w:szCs w:val="22"/>
        </w:rPr>
        <w:tab/>
        <w:t xml:space="preserve">              </w:t>
      </w:r>
      <w:r w:rsidR="000B597C">
        <w:rPr>
          <w:rFonts w:ascii="Arial" w:hAnsi="Arial" w:cs="Arial"/>
          <w:sz w:val="22"/>
          <w:szCs w:val="22"/>
        </w:rPr>
        <w:t xml:space="preserve">    </w:t>
      </w:r>
      <w:r>
        <w:rPr>
          <w:rFonts w:ascii="Arial" w:hAnsi="Arial" w:cs="Arial"/>
          <w:sz w:val="22"/>
          <w:szCs w:val="22"/>
        </w:rPr>
        <w:tab/>
        <w:t xml:space="preserve">           </w:t>
      </w:r>
      <w:r w:rsidR="00CC4104" w:rsidRPr="000B597C">
        <w:rPr>
          <w:rFonts w:ascii="Arial" w:hAnsi="Arial" w:cs="Arial"/>
          <w:sz w:val="22"/>
          <w:szCs w:val="22"/>
        </w:rPr>
        <w:t xml:space="preserve"> </w:t>
      </w:r>
      <w:r w:rsidR="00BC17EA" w:rsidRPr="000B597C">
        <w:rPr>
          <w:rFonts w:ascii="Arial" w:hAnsi="Arial" w:cs="Arial"/>
          <w:sz w:val="22"/>
          <w:szCs w:val="22"/>
        </w:rPr>
        <w:t>APPLICANT</w:t>
      </w:r>
    </w:p>
    <w:p w:rsidR="00F424A5" w:rsidRDefault="00F424A5">
      <w:pPr>
        <w:spacing w:line="360" w:lineRule="auto"/>
        <w:rPr>
          <w:rFonts w:ascii="Arial" w:hAnsi="Arial" w:cs="Arial"/>
          <w:sz w:val="22"/>
          <w:szCs w:val="22"/>
        </w:rPr>
      </w:pPr>
    </w:p>
    <w:p w:rsidR="008D10C2" w:rsidRPr="000B597C" w:rsidRDefault="003832A0">
      <w:pPr>
        <w:spacing w:line="360" w:lineRule="auto"/>
        <w:rPr>
          <w:rFonts w:ascii="Arial" w:hAnsi="Arial" w:cs="Arial"/>
          <w:sz w:val="22"/>
          <w:szCs w:val="22"/>
        </w:rPr>
      </w:pPr>
      <w:r w:rsidRPr="000B597C">
        <w:rPr>
          <w:rFonts w:ascii="Arial" w:hAnsi="Arial" w:cs="Arial"/>
          <w:sz w:val="22"/>
          <w:szCs w:val="22"/>
        </w:rPr>
        <w:t>vs</w:t>
      </w:r>
      <w:r w:rsidR="008D10C2" w:rsidRPr="000B597C">
        <w:rPr>
          <w:rFonts w:ascii="Arial" w:hAnsi="Arial" w:cs="Arial"/>
          <w:sz w:val="22"/>
          <w:szCs w:val="22"/>
        </w:rPr>
        <w:t xml:space="preserve"> </w:t>
      </w:r>
    </w:p>
    <w:p w:rsidR="008D10C2" w:rsidRPr="000B597C" w:rsidRDefault="008D10C2">
      <w:pPr>
        <w:pStyle w:val="Heading1"/>
        <w:spacing w:line="240" w:lineRule="auto"/>
        <w:rPr>
          <w:rFonts w:ascii="Arial" w:hAnsi="Arial" w:cs="Arial"/>
          <w:sz w:val="22"/>
          <w:szCs w:val="22"/>
        </w:rPr>
      </w:pPr>
    </w:p>
    <w:p w:rsidR="008D10C2" w:rsidRPr="000B597C" w:rsidRDefault="00F424A5">
      <w:pPr>
        <w:pStyle w:val="Heading1"/>
        <w:spacing w:line="240" w:lineRule="auto"/>
        <w:rPr>
          <w:rFonts w:ascii="Arial" w:hAnsi="Arial" w:cs="Arial"/>
          <w:sz w:val="22"/>
          <w:szCs w:val="22"/>
        </w:rPr>
      </w:pPr>
      <w:r>
        <w:rPr>
          <w:rFonts w:ascii="Arial" w:hAnsi="Arial" w:cs="Arial"/>
          <w:sz w:val="22"/>
          <w:szCs w:val="22"/>
        </w:rPr>
        <w:t>COMMISSIONER TUULIKKI MWAFUFYA-SHIKONGO N.O.</w:t>
      </w:r>
      <w:r w:rsidR="00BC17EA" w:rsidRPr="000B597C">
        <w:rPr>
          <w:rFonts w:ascii="Arial" w:hAnsi="Arial" w:cs="Arial"/>
          <w:sz w:val="22"/>
          <w:szCs w:val="22"/>
        </w:rPr>
        <w:t xml:space="preserve">     </w:t>
      </w:r>
      <w:r w:rsidR="000B597C">
        <w:rPr>
          <w:rFonts w:ascii="Arial" w:hAnsi="Arial" w:cs="Arial"/>
          <w:sz w:val="22"/>
          <w:szCs w:val="22"/>
        </w:rPr>
        <w:t xml:space="preserve">    </w:t>
      </w:r>
      <w:r w:rsidR="00CC4104" w:rsidRPr="000B597C">
        <w:rPr>
          <w:rFonts w:ascii="Arial" w:hAnsi="Arial" w:cs="Arial"/>
          <w:sz w:val="22"/>
          <w:szCs w:val="22"/>
        </w:rPr>
        <w:t xml:space="preserve"> </w:t>
      </w:r>
      <w:r w:rsidR="00BC17EA" w:rsidRPr="000B597C">
        <w:rPr>
          <w:rFonts w:ascii="Arial" w:hAnsi="Arial" w:cs="Arial"/>
          <w:sz w:val="22"/>
          <w:szCs w:val="22"/>
        </w:rPr>
        <w:t>1</w:t>
      </w:r>
      <w:r w:rsidR="00BC17EA" w:rsidRPr="000B597C">
        <w:rPr>
          <w:rFonts w:ascii="Arial" w:hAnsi="Arial" w:cs="Arial"/>
          <w:sz w:val="22"/>
          <w:szCs w:val="22"/>
          <w:vertAlign w:val="superscript"/>
        </w:rPr>
        <w:t>ST</w:t>
      </w:r>
      <w:r w:rsidR="00BC17EA" w:rsidRPr="000B597C">
        <w:rPr>
          <w:rFonts w:ascii="Arial" w:hAnsi="Arial" w:cs="Arial"/>
          <w:sz w:val="22"/>
          <w:szCs w:val="22"/>
        </w:rPr>
        <w:t xml:space="preserve"> RESPONDE</w:t>
      </w:r>
      <w:r w:rsidR="00D82885" w:rsidRPr="000B597C">
        <w:rPr>
          <w:rFonts w:ascii="Arial" w:hAnsi="Arial" w:cs="Arial"/>
          <w:sz w:val="22"/>
          <w:szCs w:val="22"/>
        </w:rPr>
        <w:t>NT</w:t>
      </w:r>
    </w:p>
    <w:p w:rsidR="00536ACA" w:rsidRPr="000B597C" w:rsidRDefault="00536ACA">
      <w:pPr>
        <w:pStyle w:val="Heading1"/>
        <w:spacing w:line="240" w:lineRule="auto"/>
        <w:rPr>
          <w:rFonts w:ascii="Arial" w:hAnsi="Arial" w:cs="Arial"/>
          <w:sz w:val="22"/>
          <w:szCs w:val="22"/>
        </w:rPr>
      </w:pPr>
    </w:p>
    <w:p w:rsidR="008D10C2" w:rsidRPr="000B597C" w:rsidRDefault="00F424A5">
      <w:pPr>
        <w:pStyle w:val="Heading1"/>
        <w:spacing w:line="240" w:lineRule="auto"/>
        <w:rPr>
          <w:rFonts w:ascii="Arial" w:hAnsi="Arial" w:cs="Arial"/>
          <w:sz w:val="22"/>
          <w:szCs w:val="22"/>
        </w:rPr>
      </w:pPr>
      <w:r>
        <w:rPr>
          <w:rFonts w:ascii="Arial" w:hAnsi="Arial" w:cs="Arial"/>
          <w:sz w:val="22"/>
          <w:szCs w:val="22"/>
        </w:rPr>
        <w:t>THE OFFICE OF THE LABOUR COMMISSIONER</w:t>
      </w:r>
      <w:r w:rsidR="00BC17EA" w:rsidRPr="000B597C">
        <w:rPr>
          <w:rFonts w:ascii="Arial" w:hAnsi="Arial" w:cs="Arial"/>
          <w:sz w:val="22"/>
          <w:szCs w:val="22"/>
        </w:rPr>
        <w:tab/>
      </w:r>
      <w:r w:rsidR="00BC17EA" w:rsidRPr="000B597C">
        <w:rPr>
          <w:rFonts w:ascii="Arial" w:hAnsi="Arial" w:cs="Arial"/>
          <w:sz w:val="22"/>
          <w:szCs w:val="22"/>
        </w:rPr>
        <w:tab/>
        <w:t xml:space="preserve">        </w:t>
      </w:r>
      <w:r w:rsidR="00CC4104" w:rsidRPr="000B597C">
        <w:rPr>
          <w:rFonts w:ascii="Arial" w:hAnsi="Arial" w:cs="Arial"/>
          <w:sz w:val="22"/>
          <w:szCs w:val="22"/>
        </w:rPr>
        <w:t xml:space="preserve"> </w:t>
      </w:r>
      <w:r w:rsidR="000B597C">
        <w:rPr>
          <w:rFonts w:ascii="Arial" w:hAnsi="Arial" w:cs="Arial"/>
          <w:sz w:val="22"/>
          <w:szCs w:val="22"/>
        </w:rPr>
        <w:t xml:space="preserve">    </w:t>
      </w:r>
      <w:r w:rsidR="00BC17EA" w:rsidRPr="000B597C">
        <w:rPr>
          <w:rFonts w:ascii="Arial" w:hAnsi="Arial" w:cs="Arial"/>
          <w:sz w:val="22"/>
          <w:szCs w:val="22"/>
        </w:rPr>
        <w:t>2</w:t>
      </w:r>
      <w:r w:rsidR="00BC17EA" w:rsidRPr="000B597C">
        <w:rPr>
          <w:rFonts w:ascii="Arial" w:hAnsi="Arial" w:cs="Arial"/>
          <w:sz w:val="22"/>
          <w:szCs w:val="22"/>
          <w:vertAlign w:val="superscript"/>
        </w:rPr>
        <w:t>ND</w:t>
      </w:r>
      <w:r w:rsidR="00BC17EA" w:rsidRPr="000B597C">
        <w:rPr>
          <w:rFonts w:ascii="Arial" w:hAnsi="Arial" w:cs="Arial"/>
          <w:sz w:val="22"/>
          <w:szCs w:val="22"/>
        </w:rPr>
        <w:t xml:space="preserve"> RESPONDENT</w:t>
      </w:r>
      <w:r w:rsidR="008D10C2" w:rsidRPr="000B597C">
        <w:rPr>
          <w:rFonts w:ascii="Arial" w:hAnsi="Arial" w:cs="Arial"/>
          <w:sz w:val="22"/>
          <w:szCs w:val="22"/>
        </w:rPr>
        <w:tab/>
      </w:r>
    </w:p>
    <w:p w:rsidR="00BC17EA" w:rsidRPr="000B597C" w:rsidRDefault="00F424A5" w:rsidP="00F424A5">
      <w:pPr>
        <w:ind w:left="6480" w:hanging="6480"/>
        <w:rPr>
          <w:rFonts w:ascii="Arial" w:hAnsi="Arial" w:cs="Arial"/>
          <w:b/>
          <w:sz w:val="22"/>
          <w:szCs w:val="22"/>
        </w:rPr>
      </w:pPr>
      <w:r>
        <w:rPr>
          <w:rFonts w:ascii="Arial" w:hAnsi="Arial" w:cs="Arial"/>
          <w:b/>
          <w:sz w:val="22"/>
          <w:szCs w:val="22"/>
        </w:rPr>
        <w:t>ERNELIUS KAROKOHE &amp; 155 OTHERS</w:t>
      </w:r>
      <w:r w:rsidR="00CC4104" w:rsidRPr="000B597C">
        <w:rPr>
          <w:rFonts w:ascii="Arial" w:hAnsi="Arial" w:cs="Arial"/>
          <w:b/>
          <w:sz w:val="22"/>
          <w:szCs w:val="22"/>
        </w:rPr>
        <w:tab/>
      </w:r>
      <w:r>
        <w:rPr>
          <w:rFonts w:ascii="Arial" w:hAnsi="Arial" w:cs="Arial"/>
          <w:b/>
          <w:sz w:val="22"/>
          <w:szCs w:val="22"/>
        </w:rPr>
        <w:t xml:space="preserve"> </w:t>
      </w:r>
      <w:r w:rsidR="00BC17EA" w:rsidRPr="000B597C">
        <w:rPr>
          <w:rFonts w:ascii="Arial" w:hAnsi="Arial" w:cs="Arial"/>
          <w:b/>
          <w:sz w:val="22"/>
          <w:szCs w:val="22"/>
        </w:rPr>
        <w:t>3</w:t>
      </w:r>
      <w:r w:rsidR="00BC17EA" w:rsidRPr="000B597C">
        <w:rPr>
          <w:rFonts w:ascii="Arial" w:hAnsi="Arial" w:cs="Arial"/>
          <w:b/>
          <w:sz w:val="22"/>
          <w:szCs w:val="22"/>
          <w:vertAlign w:val="superscript"/>
        </w:rPr>
        <w:t>RD</w:t>
      </w:r>
      <w:r>
        <w:rPr>
          <w:rFonts w:ascii="Arial" w:hAnsi="Arial" w:cs="Arial"/>
          <w:b/>
          <w:sz w:val="22"/>
          <w:szCs w:val="22"/>
          <w:vertAlign w:val="superscript"/>
        </w:rPr>
        <w:t xml:space="preserve"> </w:t>
      </w:r>
      <w:r>
        <w:rPr>
          <w:rFonts w:ascii="Arial" w:hAnsi="Arial" w:cs="Arial"/>
          <w:b/>
          <w:sz w:val="22"/>
          <w:szCs w:val="22"/>
        </w:rPr>
        <w:t>AND FURTHER</w:t>
      </w:r>
      <w:r w:rsidR="00BC17EA" w:rsidRPr="000B597C">
        <w:rPr>
          <w:rFonts w:ascii="Arial" w:hAnsi="Arial" w:cs="Arial"/>
          <w:b/>
          <w:sz w:val="22"/>
          <w:szCs w:val="22"/>
        </w:rPr>
        <w:t xml:space="preserve"> </w:t>
      </w:r>
      <w:r w:rsidR="00895018">
        <w:rPr>
          <w:rFonts w:ascii="Arial" w:hAnsi="Arial" w:cs="Arial"/>
          <w:b/>
          <w:sz w:val="22"/>
          <w:szCs w:val="22"/>
        </w:rPr>
        <w:t xml:space="preserve">   </w:t>
      </w:r>
      <w:r w:rsidR="00BC17EA" w:rsidRPr="000B597C">
        <w:rPr>
          <w:rFonts w:ascii="Arial" w:hAnsi="Arial" w:cs="Arial"/>
          <w:b/>
          <w:sz w:val="22"/>
          <w:szCs w:val="22"/>
        </w:rPr>
        <w:t>RESPONDENT</w:t>
      </w:r>
      <w:r>
        <w:rPr>
          <w:rFonts w:ascii="Arial" w:hAnsi="Arial" w:cs="Arial"/>
          <w:b/>
          <w:sz w:val="22"/>
          <w:szCs w:val="22"/>
        </w:rPr>
        <w:t>S</w:t>
      </w:r>
    </w:p>
    <w:p w:rsidR="00BC17EA" w:rsidRPr="000B597C" w:rsidRDefault="00BC17EA" w:rsidP="00BC17EA">
      <w:pPr>
        <w:rPr>
          <w:rFonts w:ascii="Arial" w:hAnsi="Arial" w:cs="Arial"/>
          <w:b/>
          <w:sz w:val="22"/>
          <w:szCs w:val="22"/>
        </w:rPr>
      </w:pPr>
    </w:p>
    <w:p w:rsidR="00F424A5" w:rsidRDefault="00F424A5">
      <w:pPr>
        <w:spacing w:line="480" w:lineRule="auto"/>
        <w:rPr>
          <w:rFonts w:ascii="Arial" w:hAnsi="Arial" w:cs="Arial"/>
        </w:rPr>
      </w:pPr>
    </w:p>
    <w:p w:rsidR="008D10C2" w:rsidRPr="004461FE" w:rsidRDefault="0023131F">
      <w:pPr>
        <w:spacing w:line="480" w:lineRule="auto"/>
        <w:rPr>
          <w:rFonts w:ascii="Arial" w:hAnsi="Arial" w:cs="Arial"/>
        </w:rPr>
      </w:pPr>
      <w:r>
        <w:rPr>
          <w:rFonts w:ascii="Arial" w:hAnsi="Arial" w:cs="Arial"/>
        </w:rPr>
        <w:t>CORA</w:t>
      </w:r>
      <w:r w:rsidR="008D10C2" w:rsidRPr="004461FE">
        <w:rPr>
          <w:rFonts w:ascii="Arial" w:hAnsi="Arial" w:cs="Arial"/>
        </w:rPr>
        <w:t>M:  MILLER, AJ</w:t>
      </w:r>
    </w:p>
    <w:p w:rsidR="008D10C2" w:rsidRPr="004461FE" w:rsidRDefault="008D10C2">
      <w:pPr>
        <w:spacing w:line="480" w:lineRule="auto"/>
        <w:rPr>
          <w:rFonts w:ascii="Arial" w:hAnsi="Arial" w:cs="Arial"/>
        </w:rPr>
      </w:pPr>
      <w:r w:rsidRPr="004461FE">
        <w:rPr>
          <w:rFonts w:ascii="Arial" w:hAnsi="Arial" w:cs="Arial"/>
        </w:rPr>
        <w:t>H</w:t>
      </w:r>
      <w:r w:rsidR="00DA3716" w:rsidRPr="004461FE">
        <w:rPr>
          <w:rFonts w:ascii="Arial" w:hAnsi="Arial" w:cs="Arial"/>
        </w:rPr>
        <w:t>eard on</w:t>
      </w:r>
      <w:r w:rsidRPr="004461FE">
        <w:rPr>
          <w:rFonts w:ascii="Arial" w:hAnsi="Arial" w:cs="Arial"/>
        </w:rPr>
        <w:t>:</w:t>
      </w:r>
      <w:r w:rsidR="00CD73A6">
        <w:rPr>
          <w:rFonts w:ascii="Arial" w:hAnsi="Arial" w:cs="Arial"/>
        </w:rPr>
        <w:t xml:space="preserve">  </w:t>
      </w:r>
      <w:r w:rsidR="0066397E">
        <w:rPr>
          <w:rFonts w:ascii="Arial" w:hAnsi="Arial" w:cs="Arial"/>
        </w:rPr>
        <w:tab/>
      </w:r>
      <w:r w:rsidR="0066397E">
        <w:rPr>
          <w:rFonts w:ascii="Arial" w:hAnsi="Arial" w:cs="Arial"/>
        </w:rPr>
        <w:tab/>
        <w:t>11 October 2011, 04 November 2011</w:t>
      </w:r>
      <w:r w:rsidR="00F424A5">
        <w:rPr>
          <w:rFonts w:ascii="Arial" w:hAnsi="Arial" w:cs="Arial"/>
        </w:rPr>
        <w:tab/>
        <w:t xml:space="preserve">  </w:t>
      </w:r>
    </w:p>
    <w:p w:rsidR="008D10C2" w:rsidRPr="004461FE" w:rsidRDefault="008D10C2">
      <w:pPr>
        <w:pBdr>
          <w:bottom w:val="single" w:sz="12" w:space="1" w:color="auto"/>
        </w:pBdr>
        <w:spacing w:line="480" w:lineRule="auto"/>
        <w:rPr>
          <w:rFonts w:ascii="Arial" w:hAnsi="Arial" w:cs="Arial"/>
        </w:rPr>
      </w:pPr>
      <w:r w:rsidRPr="004461FE">
        <w:rPr>
          <w:rFonts w:ascii="Arial" w:hAnsi="Arial" w:cs="Arial"/>
        </w:rPr>
        <w:t>D</w:t>
      </w:r>
      <w:r w:rsidR="00DA3716" w:rsidRPr="004461FE">
        <w:rPr>
          <w:rFonts w:ascii="Arial" w:hAnsi="Arial" w:cs="Arial"/>
        </w:rPr>
        <w:t>elivered on</w:t>
      </w:r>
      <w:r w:rsidR="00CD73A6">
        <w:rPr>
          <w:rFonts w:ascii="Arial" w:hAnsi="Arial" w:cs="Arial"/>
        </w:rPr>
        <w:t xml:space="preserve">:   </w:t>
      </w:r>
      <w:r w:rsidR="0066397E">
        <w:rPr>
          <w:rFonts w:ascii="Arial" w:hAnsi="Arial" w:cs="Arial"/>
        </w:rPr>
        <w:tab/>
        <w:t>15 June 2012</w:t>
      </w:r>
    </w:p>
    <w:p w:rsidR="00CC4104" w:rsidRDefault="00CC4104">
      <w:pPr>
        <w:spacing w:line="480" w:lineRule="auto"/>
        <w:jc w:val="both"/>
        <w:rPr>
          <w:rFonts w:ascii="Arial" w:hAnsi="Arial" w:cs="Arial"/>
          <w:b/>
          <w:bCs/>
          <w:u w:val="single"/>
        </w:rPr>
      </w:pPr>
    </w:p>
    <w:p w:rsidR="00536ACA" w:rsidRDefault="008D10C2">
      <w:pPr>
        <w:spacing w:line="480" w:lineRule="auto"/>
        <w:jc w:val="both"/>
        <w:rPr>
          <w:rFonts w:ascii="Arial" w:hAnsi="Arial" w:cs="Arial"/>
        </w:rPr>
      </w:pPr>
      <w:r w:rsidRPr="004461FE">
        <w:rPr>
          <w:rFonts w:ascii="Arial" w:hAnsi="Arial" w:cs="Arial"/>
          <w:b/>
          <w:bCs/>
          <w:u w:val="single"/>
        </w:rPr>
        <w:t>JUDGMENT</w:t>
      </w:r>
    </w:p>
    <w:p w:rsidR="00536ACA" w:rsidRDefault="00536ACA" w:rsidP="00536ACA">
      <w:pPr>
        <w:rPr>
          <w:rFonts w:ascii="Arial" w:hAnsi="Arial" w:cs="Arial"/>
        </w:rPr>
      </w:pPr>
    </w:p>
    <w:p w:rsidR="00F424A5" w:rsidRDefault="00536ACA" w:rsidP="00536ACA">
      <w:pPr>
        <w:spacing w:line="480" w:lineRule="auto"/>
        <w:jc w:val="both"/>
        <w:rPr>
          <w:rFonts w:ascii="Arial" w:hAnsi="Arial" w:cs="Arial"/>
        </w:rPr>
      </w:pPr>
      <w:r>
        <w:rPr>
          <w:rFonts w:ascii="Arial" w:hAnsi="Arial" w:cs="Arial"/>
          <w:b/>
          <w:bCs/>
          <w:u w:val="single"/>
        </w:rPr>
        <w:t>M</w:t>
      </w:r>
      <w:r w:rsidR="008D10C2" w:rsidRPr="004461FE">
        <w:rPr>
          <w:rFonts w:ascii="Arial" w:hAnsi="Arial" w:cs="Arial"/>
          <w:b/>
          <w:bCs/>
          <w:u w:val="single"/>
        </w:rPr>
        <w:t>ILLER, AJ</w:t>
      </w:r>
      <w:r w:rsidR="008D10C2" w:rsidRPr="004461FE">
        <w:rPr>
          <w:rFonts w:ascii="Arial" w:hAnsi="Arial" w:cs="Arial"/>
        </w:rPr>
        <w:t xml:space="preserve">:   </w:t>
      </w:r>
      <w:r w:rsidR="00C70EE6" w:rsidRPr="004461FE">
        <w:rPr>
          <w:rFonts w:ascii="Arial" w:hAnsi="Arial" w:cs="Arial"/>
        </w:rPr>
        <w:t>[1]</w:t>
      </w:r>
      <w:r w:rsidR="00D82885">
        <w:rPr>
          <w:rFonts w:ascii="Arial" w:hAnsi="Arial" w:cs="Arial"/>
        </w:rPr>
        <w:t xml:space="preserve">  </w:t>
      </w:r>
      <w:r w:rsidR="00F424A5">
        <w:rPr>
          <w:rFonts w:ascii="Arial" w:hAnsi="Arial" w:cs="Arial"/>
        </w:rPr>
        <w:t xml:space="preserve">The history of this litigation goes back to July 2009.  The trigger which set the process in motion was seemingly a minor </w:t>
      </w:r>
      <w:r w:rsidR="00B835A8">
        <w:rPr>
          <w:rFonts w:ascii="Arial" w:hAnsi="Arial" w:cs="Arial"/>
        </w:rPr>
        <w:t>scuffle</w:t>
      </w:r>
      <w:r w:rsidR="00F424A5">
        <w:rPr>
          <w:rFonts w:ascii="Arial" w:hAnsi="Arial" w:cs="Arial"/>
        </w:rPr>
        <w:t xml:space="preserve"> between two employees of the applicant over a cell phone.  Following</w:t>
      </w:r>
      <w:r w:rsidR="00B835A8">
        <w:rPr>
          <w:rFonts w:ascii="Arial" w:hAnsi="Arial" w:cs="Arial"/>
        </w:rPr>
        <w:t xml:space="preserve"> that incident the management of the applicant suspended one of the protagonists, Mr. Nguvititza, pending the outcome of disciplinary proceedings.</w:t>
      </w:r>
    </w:p>
    <w:p w:rsidR="00B835A8" w:rsidRDefault="00B835A8" w:rsidP="00536ACA">
      <w:pPr>
        <w:spacing w:line="480" w:lineRule="auto"/>
        <w:jc w:val="both"/>
        <w:rPr>
          <w:rFonts w:ascii="Arial" w:hAnsi="Arial" w:cs="Arial"/>
        </w:rPr>
      </w:pPr>
    </w:p>
    <w:p w:rsidR="00B835A8" w:rsidRDefault="00B835A8" w:rsidP="00536ACA">
      <w:pPr>
        <w:spacing w:line="480" w:lineRule="auto"/>
        <w:jc w:val="both"/>
        <w:rPr>
          <w:rFonts w:ascii="Arial" w:hAnsi="Arial" w:cs="Arial"/>
        </w:rPr>
      </w:pPr>
      <w:r>
        <w:rPr>
          <w:rFonts w:ascii="Arial" w:hAnsi="Arial" w:cs="Arial"/>
        </w:rPr>
        <w:t xml:space="preserve">[2]  The other person involved in the scuffle, Professor Pressman was initially not suspended.  This latter fact had the result that the </w:t>
      </w:r>
      <w:r w:rsidR="002651E7">
        <w:rPr>
          <w:rFonts w:ascii="Arial" w:hAnsi="Arial" w:cs="Arial"/>
        </w:rPr>
        <w:t>applicant’s</w:t>
      </w:r>
      <w:r>
        <w:rPr>
          <w:rFonts w:ascii="Arial" w:hAnsi="Arial" w:cs="Arial"/>
        </w:rPr>
        <w:t xml:space="preserve"> employees stopped the mining plant and stopped work.</w:t>
      </w:r>
    </w:p>
    <w:p w:rsidR="00B835A8" w:rsidRDefault="00B835A8" w:rsidP="00536ACA">
      <w:pPr>
        <w:spacing w:line="480" w:lineRule="auto"/>
        <w:jc w:val="both"/>
        <w:rPr>
          <w:rFonts w:ascii="Arial" w:hAnsi="Arial" w:cs="Arial"/>
        </w:rPr>
      </w:pPr>
    </w:p>
    <w:p w:rsidR="00B835A8" w:rsidRDefault="00B835A8" w:rsidP="00536ACA">
      <w:pPr>
        <w:spacing w:line="480" w:lineRule="auto"/>
        <w:jc w:val="both"/>
        <w:rPr>
          <w:rFonts w:ascii="Arial" w:hAnsi="Arial" w:cs="Arial"/>
        </w:rPr>
      </w:pPr>
      <w:r>
        <w:rPr>
          <w:rFonts w:ascii="Arial" w:hAnsi="Arial" w:cs="Arial"/>
        </w:rPr>
        <w:t>[3]  Whether or not in those circumstances the actions taken by the employees amounted to an illegal strike, became a further bone of contention.  The upshot of all this was that the third respondent and the further 155 respondents, all employees of the applicant, were charged at an internal disciplinary hearing with various contraventions all of which were related to what the applicant perceived to be as an unlawful strike.  All of them were found guilty and dismissed from their employment with the applicant.</w:t>
      </w:r>
    </w:p>
    <w:p w:rsidR="00B835A8" w:rsidRDefault="00B835A8" w:rsidP="00536ACA">
      <w:pPr>
        <w:spacing w:line="480" w:lineRule="auto"/>
        <w:jc w:val="both"/>
        <w:rPr>
          <w:rFonts w:ascii="Arial" w:hAnsi="Arial" w:cs="Arial"/>
        </w:rPr>
      </w:pPr>
    </w:p>
    <w:p w:rsidR="00B835A8" w:rsidRDefault="00B835A8" w:rsidP="00536ACA">
      <w:pPr>
        <w:spacing w:line="480" w:lineRule="auto"/>
        <w:jc w:val="both"/>
        <w:rPr>
          <w:rFonts w:ascii="Arial" w:hAnsi="Arial" w:cs="Arial"/>
        </w:rPr>
      </w:pPr>
      <w:r>
        <w:rPr>
          <w:rFonts w:ascii="Arial" w:hAnsi="Arial" w:cs="Arial"/>
        </w:rPr>
        <w:t>[4]  The employees who were dismissed thereupon approached the office of the Labour Commissioner before whom they launched mediation and arbitration proceedings.  In the end a lengthy arbitration ensued before the first respondent.  A reading of the record of those proceedings, reveals that they were more in the nature of an adversarial process rather than the more informal process of arbitration designed and envisaged in the Labour Act, Act 11 of 2007.  The record of these proceedings ran to some 1675 pages.</w:t>
      </w:r>
    </w:p>
    <w:p w:rsidR="00B835A8" w:rsidRDefault="00B835A8" w:rsidP="00536ACA">
      <w:pPr>
        <w:spacing w:line="480" w:lineRule="auto"/>
        <w:jc w:val="both"/>
        <w:rPr>
          <w:rFonts w:ascii="Arial" w:hAnsi="Arial" w:cs="Arial"/>
        </w:rPr>
      </w:pPr>
    </w:p>
    <w:p w:rsidR="00B835A8" w:rsidRDefault="00B835A8" w:rsidP="00536ACA">
      <w:pPr>
        <w:spacing w:line="480" w:lineRule="auto"/>
        <w:jc w:val="both"/>
        <w:rPr>
          <w:rFonts w:ascii="Arial" w:hAnsi="Arial" w:cs="Arial"/>
        </w:rPr>
      </w:pPr>
      <w:r>
        <w:rPr>
          <w:rFonts w:ascii="Arial" w:hAnsi="Arial" w:cs="Arial"/>
        </w:rPr>
        <w:t>[5]  Ultimately the first respondent issued a</w:t>
      </w:r>
      <w:r w:rsidR="008903F7">
        <w:rPr>
          <w:rFonts w:ascii="Arial" w:hAnsi="Arial" w:cs="Arial"/>
        </w:rPr>
        <w:t>n</w:t>
      </w:r>
      <w:r>
        <w:rPr>
          <w:rFonts w:ascii="Arial" w:hAnsi="Arial" w:cs="Arial"/>
        </w:rPr>
        <w:t xml:space="preserve"> arbitration award on 20 October 2010.  The award reads as follows:</w:t>
      </w:r>
    </w:p>
    <w:p w:rsidR="00B835A8" w:rsidRDefault="00B835A8" w:rsidP="00536ACA">
      <w:pPr>
        <w:spacing w:line="480" w:lineRule="auto"/>
        <w:jc w:val="both"/>
        <w:rPr>
          <w:rFonts w:ascii="Arial" w:hAnsi="Arial" w:cs="Arial"/>
          <w:sz w:val="22"/>
          <w:szCs w:val="22"/>
        </w:rPr>
      </w:pPr>
      <w:r>
        <w:rPr>
          <w:rFonts w:ascii="Arial" w:hAnsi="Arial" w:cs="Arial"/>
        </w:rPr>
        <w:tab/>
      </w:r>
      <w:r>
        <w:rPr>
          <w:rFonts w:ascii="Arial" w:hAnsi="Arial" w:cs="Arial"/>
          <w:sz w:val="22"/>
          <w:szCs w:val="22"/>
        </w:rPr>
        <w:t>“I would order as follows:</w:t>
      </w:r>
    </w:p>
    <w:p w:rsidR="00B835A8" w:rsidRDefault="00B835A8" w:rsidP="00B835A8">
      <w:pPr>
        <w:spacing w:line="480" w:lineRule="auto"/>
        <w:ind w:left="720"/>
        <w:jc w:val="both"/>
        <w:rPr>
          <w:rFonts w:ascii="Arial" w:hAnsi="Arial" w:cs="Arial"/>
          <w:sz w:val="22"/>
          <w:szCs w:val="22"/>
        </w:rPr>
      </w:pPr>
      <w:r>
        <w:rPr>
          <w:rFonts w:ascii="Arial" w:hAnsi="Arial" w:cs="Arial"/>
          <w:sz w:val="22"/>
          <w:szCs w:val="22"/>
        </w:rPr>
        <w:lastRenderedPageBreak/>
        <w:t>-that the respondent reinstates all the affected employees on or before 3 January 2010.</w:t>
      </w:r>
    </w:p>
    <w:p w:rsidR="008903F7" w:rsidRDefault="008903F7" w:rsidP="00B835A8">
      <w:pPr>
        <w:spacing w:line="480" w:lineRule="auto"/>
        <w:ind w:left="720"/>
        <w:jc w:val="both"/>
        <w:rPr>
          <w:rFonts w:ascii="Arial" w:hAnsi="Arial" w:cs="Arial"/>
          <w:sz w:val="22"/>
          <w:szCs w:val="22"/>
        </w:rPr>
      </w:pPr>
      <w:r>
        <w:rPr>
          <w:rFonts w:ascii="Arial" w:hAnsi="Arial" w:cs="Arial"/>
          <w:sz w:val="22"/>
          <w:szCs w:val="22"/>
        </w:rPr>
        <w:t xml:space="preserve">-that each employee be paid an amount equal to his/her 12 </w:t>
      </w:r>
      <w:r w:rsidR="002651E7">
        <w:rPr>
          <w:rFonts w:ascii="Arial" w:hAnsi="Arial" w:cs="Arial"/>
          <w:sz w:val="22"/>
          <w:szCs w:val="22"/>
        </w:rPr>
        <w:t>months’</w:t>
      </w:r>
      <w:r>
        <w:rPr>
          <w:rFonts w:ascii="Arial" w:hAnsi="Arial" w:cs="Arial"/>
          <w:sz w:val="22"/>
          <w:szCs w:val="22"/>
        </w:rPr>
        <w:t xml:space="preserve"> salary; and</w:t>
      </w:r>
    </w:p>
    <w:p w:rsidR="008903F7" w:rsidRDefault="008903F7" w:rsidP="00B835A8">
      <w:pPr>
        <w:spacing w:line="480" w:lineRule="auto"/>
        <w:ind w:left="720"/>
        <w:jc w:val="both"/>
        <w:rPr>
          <w:rFonts w:ascii="Arial" w:hAnsi="Arial" w:cs="Arial"/>
          <w:sz w:val="22"/>
          <w:szCs w:val="22"/>
        </w:rPr>
      </w:pPr>
      <w:r>
        <w:rPr>
          <w:rFonts w:ascii="Arial" w:hAnsi="Arial" w:cs="Arial"/>
          <w:sz w:val="22"/>
          <w:szCs w:val="22"/>
        </w:rPr>
        <w:t>-that the respondents meets with the Mine Workers Union (MUN) to sought (sic) out the organizational matters, as soon as applicable on the initiation of the company, but not later than 3 January 2010.”</w:t>
      </w:r>
    </w:p>
    <w:p w:rsidR="008903F7" w:rsidRDefault="008903F7" w:rsidP="008903F7">
      <w:pPr>
        <w:spacing w:line="480" w:lineRule="auto"/>
        <w:jc w:val="both"/>
        <w:rPr>
          <w:rFonts w:ascii="Arial" w:hAnsi="Arial" w:cs="Arial"/>
          <w:sz w:val="22"/>
          <w:szCs w:val="22"/>
        </w:rPr>
      </w:pPr>
    </w:p>
    <w:p w:rsidR="008903F7" w:rsidRDefault="008903F7" w:rsidP="008903F7">
      <w:pPr>
        <w:spacing w:line="480" w:lineRule="auto"/>
        <w:jc w:val="both"/>
        <w:rPr>
          <w:rFonts w:ascii="Arial" w:hAnsi="Arial" w:cs="Arial"/>
        </w:rPr>
      </w:pPr>
      <w:r>
        <w:rPr>
          <w:rFonts w:ascii="Arial" w:hAnsi="Arial" w:cs="Arial"/>
        </w:rPr>
        <w:t>[6]  I assume that the reference to 3 January 2010 was meant to be a reference to 3 January 2011.</w:t>
      </w:r>
    </w:p>
    <w:p w:rsidR="008903F7" w:rsidRDefault="008903F7" w:rsidP="008903F7">
      <w:pPr>
        <w:spacing w:line="480" w:lineRule="auto"/>
        <w:jc w:val="both"/>
        <w:rPr>
          <w:rFonts w:ascii="Arial" w:hAnsi="Arial" w:cs="Arial"/>
        </w:rPr>
      </w:pPr>
    </w:p>
    <w:p w:rsidR="008903F7" w:rsidRDefault="008903F7" w:rsidP="008903F7">
      <w:pPr>
        <w:spacing w:line="480" w:lineRule="auto"/>
        <w:jc w:val="both"/>
        <w:rPr>
          <w:rFonts w:ascii="Arial" w:hAnsi="Arial" w:cs="Arial"/>
        </w:rPr>
      </w:pPr>
      <w:r>
        <w:rPr>
          <w:rFonts w:ascii="Arial" w:hAnsi="Arial" w:cs="Arial"/>
        </w:rPr>
        <w:t>[7]  Not satisfied with the award issued by the first respondent, the application instituted proceedings in this Court on 22 November 2010.  It seeks the following relief.</w:t>
      </w:r>
    </w:p>
    <w:p w:rsidR="008903F7" w:rsidRDefault="008903F7" w:rsidP="008903F7">
      <w:pPr>
        <w:spacing w:line="480" w:lineRule="auto"/>
        <w:jc w:val="both"/>
        <w:rPr>
          <w:rFonts w:ascii="Arial" w:hAnsi="Arial" w:cs="Arial"/>
        </w:rPr>
      </w:pPr>
      <w:r>
        <w:rPr>
          <w:rFonts w:ascii="Arial" w:hAnsi="Arial" w:cs="Arial"/>
        </w:rPr>
        <w:t>“</w:t>
      </w:r>
    </w:p>
    <w:p w:rsidR="002651E7" w:rsidRDefault="002651E7" w:rsidP="002651E7">
      <w:pPr>
        <w:numPr>
          <w:ilvl w:val="0"/>
          <w:numId w:val="19"/>
        </w:numPr>
        <w:spacing w:line="480" w:lineRule="auto"/>
        <w:jc w:val="both"/>
        <w:rPr>
          <w:rFonts w:ascii="Arial" w:hAnsi="Arial" w:cs="Arial"/>
          <w:sz w:val="22"/>
          <w:szCs w:val="22"/>
        </w:rPr>
      </w:pPr>
      <w:r>
        <w:rPr>
          <w:rFonts w:ascii="Arial" w:hAnsi="Arial" w:cs="Arial"/>
          <w:sz w:val="22"/>
          <w:szCs w:val="22"/>
        </w:rPr>
        <w:t>Reviewing and setting aside of the First Respondent’s arbitration award dated the 21</w:t>
      </w:r>
      <w:r w:rsidRPr="002651E7">
        <w:rPr>
          <w:rFonts w:ascii="Arial" w:hAnsi="Arial" w:cs="Arial"/>
          <w:sz w:val="22"/>
          <w:szCs w:val="22"/>
          <w:vertAlign w:val="superscript"/>
        </w:rPr>
        <w:t>st</w:t>
      </w:r>
      <w:r>
        <w:rPr>
          <w:rFonts w:ascii="Arial" w:hAnsi="Arial" w:cs="Arial"/>
          <w:sz w:val="22"/>
          <w:szCs w:val="22"/>
        </w:rPr>
        <w:t xml:space="preserve"> October 2010, under arbitration case number CRWK 812/09.</w:t>
      </w:r>
    </w:p>
    <w:p w:rsidR="002651E7" w:rsidRDefault="002651E7" w:rsidP="002651E7">
      <w:pPr>
        <w:numPr>
          <w:ilvl w:val="0"/>
          <w:numId w:val="19"/>
        </w:numPr>
        <w:spacing w:line="480" w:lineRule="auto"/>
        <w:jc w:val="both"/>
        <w:rPr>
          <w:rFonts w:ascii="Arial" w:hAnsi="Arial" w:cs="Arial"/>
          <w:sz w:val="22"/>
          <w:szCs w:val="22"/>
        </w:rPr>
      </w:pPr>
      <w:r>
        <w:rPr>
          <w:rFonts w:ascii="Arial" w:hAnsi="Arial" w:cs="Arial"/>
          <w:sz w:val="22"/>
          <w:szCs w:val="22"/>
        </w:rPr>
        <w:t>Substituting it’s finding for that of the first Respondent by holding that the first respondent and 155 Others dismissals were fair.</w:t>
      </w:r>
    </w:p>
    <w:p w:rsidR="002651E7" w:rsidRDefault="002651E7" w:rsidP="002651E7">
      <w:pPr>
        <w:numPr>
          <w:ilvl w:val="0"/>
          <w:numId w:val="19"/>
        </w:numPr>
        <w:spacing w:line="480" w:lineRule="auto"/>
        <w:jc w:val="both"/>
        <w:rPr>
          <w:rFonts w:ascii="Arial" w:hAnsi="Arial" w:cs="Arial"/>
          <w:sz w:val="22"/>
          <w:szCs w:val="22"/>
        </w:rPr>
      </w:pPr>
      <w:r>
        <w:rPr>
          <w:rFonts w:ascii="Arial" w:hAnsi="Arial" w:cs="Arial"/>
          <w:sz w:val="22"/>
          <w:szCs w:val="22"/>
        </w:rPr>
        <w:t xml:space="preserve">In the alternative to the immediately preceding paragraph, directing that the dispute be referred back to the second Respondent for consideration </w:t>
      </w:r>
      <w:r>
        <w:rPr>
          <w:rFonts w:ascii="Arial" w:hAnsi="Arial" w:cs="Arial"/>
          <w:i/>
          <w:sz w:val="22"/>
          <w:szCs w:val="22"/>
        </w:rPr>
        <w:t>de novo</w:t>
      </w:r>
      <w:r>
        <w:rPr>
          <w:rFonts w:ascii="Arial" w:hAnsi="Arial" w:cs="Arial"/>
          <w:sz w:val="22"/>
          <w:szCs w:val="22"/>
        </w:rPr>
        <w:t xml:space="preserve"> before an arbitrator other than the first respondent.</w:t>
      </w:r>
    </w:p>
    <w:p w:rsidR="002651E7" w:rsidRDefault="002651E7" w:rsidP="002651E7">
      <w:pPr>
        <w:numPr>
          <w:ilvl w:val="0"/>
          <w:numId w:val="19"/>
        </w:numPr>
        <w:spacing w:line="480" w:lineRule="auto"/>
        <w:jc w:val="both"/>
        <w:rPr>
          <w:rFonts w:ascii="Arial" w:hAnsi="Arial" w:cs="Arial"/>
          <w:sz w:val="22"/>
          <w:szCs w:val="22"/>
        </w:rPr>
      </w:pPr>
      <w:r>
        <w:rPr>
          <w:rFonts w:ascii="Arial" w:hAnsi="Arial" w:cs="Arial"/>
          <w:sz w:val="22"/>
          <w:szCs w:val="22"/>
        </w:rPr>
        <w:t>Directing that any party who opposes this application be ordered to pay the costs thereof.</w:t>
      </w:r>
    </w:p>
    <w:p w:rsidR="002651E7" w:rsidRPr="002651E7" w:rsidRDefault="002651E7" w:rsidP="002651E7">
      <w:pPr>
        <w:numPr>
          <w:ilvl w:val="0"/>
          <w:numId w:val="19"/>
        </w:numPr>
        <w:spacing w:line="480" w:lineRule="auto"/>
        <w:jc w:val="both"/>
        <w:rPr>
          <w:rFonts w:ascii="Arial" w:hAnsi="Arial" w:cs="Arial"/>
          <w:sz w:val="22"/>
          <w:szCs w:val="22"/>
        </w:rPr>
      </w:pPr>
      <w:r>
        <w:rPr>
          <w:rFonts w:ascii="Arial" w:hAnsi="Arial" w:cs="Arial"/>
          <w:sz w:val="22"/>
          <w:szCs w:val="22"/>
        </w:rPr>
        <w:t>Granting such further and/or further relief as the above Honourable Court deems appropriate.”</w:t>
      </w:r>
    </w:p>
    <w:p w:rsidR="008903F7" w:rsidRDefault="008903F7" w:rsidP="008903F7">
      <w:pPr>
        <w:spacing w:line="480" w:lineRule="auto"/>
        <w:jc w:val="both"/>
        <w:rPr>
          <w:rFonts w:ascii="Arial" w:hAnsi="Arial" w:cs="Arial"/>
          <w:sz w:val="22"/>
          <w:szCs w:val="22"/>
        </w:rPr>
      </w:pPr>
    </w:p>
    <w:p w:rsidR="008903F7" w:rsidRDefault="008903F7" w:rsidP="008903F7">
      <w:pPr>
        <w:spacing w:line="480" w:lineRule="auto"/>
        <w:jc w:val="both"/>
        <w:rPr>
          <w:rFonts w:ascii="Arial" w:hAnsi="Arial" w:cs="Arial"/>
        </w:rPr>
      </w:pPr>
      <w:r>
        <w:rPr>
          <w:rFonts w:ascii="Arial" w:hAnsi="Arial" w:cs="Arial"/>
        </w:rPr>
        <w:lastRenderedPageBreak/>
        <w:t>[8]  The application was opposed by the third and further respondents.</w:t>
      </w:r>
    </w:p>
    <w:p w:rsidR="008903F7" w:rsidRDefault="008903F7" w:rsidP="008903F7">
      <w:pPr>
        <w:spacing w:line="480" w:lineRule="auto"/>
        <w:jc w:val="both"/>
        <w:rPr>
          <w:rFonts w:ascii="Arial" w:hAnsi="Arial" w:cs="Arial"/>
        </w:rPr>
      </w:pPr>
    </w:p>
    <w:p w:rsidR="008903F7" w:rsidRDefault="008903F7" w:rsidP="008903F7">
      <w:pPr>
        <w:spacing w:line="480" w:lineRule="auto"/>
        <w:jc w:val="both"/>
        <w:rPr>
          <w:rFonts w:ascii="Arial" w:hAnsi="Arial" w:cs="Arial"/>
        </w:rPr>
      </w:pPr>
      <w:r>
        <w:rPr>
          <w:rFonts w:ascii="Arial" w:hAnsi="Arial" w:cs="Arial"/>
        </w:rPr>
        <w:t xml:space="preserve">[9]  Sections 89(4) and 89(5) of the Labour Act, 2007 makes provision for the review and setting aside of an arbitration award upon the grounds set out </w:t>
      </w:r>
      <w:r w:rsidR="002651E7">
        <w:rPr>
          <w:rFonts w:ascii="Arial" w:hAnsi="Arial" w:cs="Arial"/>
        </w:rPr>
        <w:t>i</w:t>
      </w:r>
      <w:r>
        <w:rPr>
          <w:rFonts w:ascii="Arial" w:hAnsi="Arial" w:cs="Arial"/>
        </w:rPr>
        <w:t>n that sub-section.  Section 89(4) reads as follows:</w:t>
      </w:r>
    </w:p>
    <w:p w:rsidR="008903F7" w:rsidRDefault="008903F7" w:rsidP="008903F7">
      <w:pPr>
        <w:spacing w:line="480" w:lineRule="auto"/>
        <w:ind w:left="720"/>
        <w:jc w:val="both"/>
        <w:rPr>
          <w:rFonts w:ascii="Arial" w:hAnsi="Arial" w:cs="Arial"/>
          <w:sz w:val="22"/>
          <w:szCs w:val="22"/>
        </w:rPr>
      </w:pPr>
      <w:r>
        <w:rPr>
          <w:rFonts w:ascii="Arial" w:hAnsi="Arial" w:cs="Arial"/>
          <w:sz w:val="22"/>
          <w:szCs w:val="22"/>
        </w:rPr>
        <w:t>“89(4)  A party to a dispute who alleges a defect in arbitration proceedings in terms of this Part may apply to the Labour Court for an order reviewing and setting aside of the award.</w:t>
      </w:r>
    </w:p>
    <w:p w:rsidR="008903F7" w:rsidRDefault="008903F7" w:rsidP="008903F7">
      <w:pPr>
        <w:numPr>
          <w:ilvl w:val="0"/>
          <w:numId w:val="15"/>
        </w:numPr>
        <w:spacing w:line="480" w:lineRule="auto"/>
        <w:jc w:val="both"/>
        <w:rPr>
          <w:rFonts w:ascii="Arial" w:hAnsi="Arial" w:cs="Arial"/>
          <w:sz w:val="22"/>
          <w:szCs w:val="22"/>
        </w:rPr>
      </w:pPr>
      <w:r>
        <w:rPr>
          <w:rFonts w:ascii="Arial" w:hAnsi="Arial" w:cs="Arial"/>
          <w:sz w:val="22"/>
          <w:szCs w:val="22"/>
        </w:rPr>
        <w:t xml:space="preserve"> Within 30 days after the award was served on the party, unless the defect involves corruption; or</w:t>
      </w:r>
    </w:p>
    <w:p w:rsidR="008903F7" w:rsidRDefault="008903F7" w:rsidP="008903F7">
      <w:pPr>
        <w:numPr>
          <w:ilvl w:val="0"/>
          <w:numId w:val="15"/>
        </w:numPr>
        <w:spacing w:line="480" w:lineRule="auto"/>
        <w:jc w:val="both"/>
        <w:rPr>
          <w:rFonts w:ascii="Arial" w:hAnsi="Arial" w:cs="Arial"/>
          <w:sz w:val="22"/>
          <w:szCs w:val="22"/>
        </w:rPr>
      </w:pPr>
      <w:r>
        <w:rPr>
          <w:rFonts w:ascii="Arial" w:hAnsi="Arial" w:cs="Arial"/>
          <w:sz w:val="22"/>
          <w:szCs w:val="22"/>
        </w:rPr>
        <w:t>If the alleged defect involves corruption, within six weeks after the date that the applicant discovers the corruption;</w:t>
      </w:r>
    </w:p>
    <w:p w:rsidR="008903F7" w:rsidRDefault="008903F7" w:rsidP="008903F7">
      <w:pPr>
        <w:numPr>
          <w:ilvl w:val="0"/>
          <w:numId w:val="15"/>
        </w:numPr>
        <w:spacing w:line="480" w:lineRule="auto"/>
        <w:jc w:val="both"/>
        <w:rPr>
          <w:rFonts w:ascii="Arial" w:hAnsi="Arial" w:cs="Arial"/>
          <w:sz w:val="22"/>
          <w:szCs w:val="22"/>
        </w:rPr>
      </w:pPr>
      <w:r>
        <w:rPr>
          <w:rFonts w:ascii="Arial" w:hAnsi="Arial" w:cs="Arial"/>
          <w:sz w:val="22"/>
          <w:szCs w:val="22"/>
        </w:rPr>
        <w:t xml:space="preserve">a defect in subsection (4) means </w:t>
      </w:r>
    </w:p>
    <w:p w:rsidR="008903F7" w:rsidRDefault="008903F7" w:rsidP="008903F7">
      <w:pPr>
        <w:numPr>
          <w:ilvl w:val="0"/>
          <w:numId w:val="16"/>
        </w:numPr>
        <w:spacing w:line="480" w:lineRule="auto"/>
        <w:jc w:val="both"/>
        <w:rPr>
          <w:rFonts w:ascii="Arial" w:hAnsi="Arial" w:cs="Arial"/>
          <w:sz w:val="22"/>
          <w:szCs w:val="22"/>
        </w:rPr>
      </w:pPr>
      <w:r>
        <w:rPr>
          <w:rFonts w:ascii="Arial" w:hAnsi="Arial" w:cs="Arial"/>
          <w:sz w:val="22"/>
          <w:szCs w:val="22"/>
        </w:rPr>
        <w:t xml:space="preserve"> that the arbitrator</w:t>
      </w:r>
    </w:p>
    <w:p w:rsidR="008903F7" w:rsidRDefault="008903F7" w:rsidP="008903F7">
      <w:pPr>
        <w:numPr>
          <w:ilvl w:val="0"/>
          <w:numId w:val="17"/>
        </w:numPr>
        <w:spacing w:line="480" w:lineRule="auto"/>
        <w:jc w:val="both"/>
        <w:rPr>
          <w:rFonts w:ascii="Arial" w:hAnsi="Arial" w:cs="Arial"/>
          <w:sz w:val="22"/>
          <w:szCs w:val="22"/>
        </w:rPr>
      </w:pPr>
      <w:r>
        <w:rPr>
          <w:rFonts w:ascii="Arial" w:hAnsi="Arial" w:cs="Arial"/>
          <w:sz w:val="22"/>
          <w:szCs w:val="22"/>
        </w:rPr>
        <w:t>committed misconduct in relation to the duties of an arbitrator.</w:t>
      </w:r>
    </w:p>
    <w:p w:rsidR="008903F7" w:rsidRDefault="008903F7" w:rsidP="008903F7">
      <w:pPr>
        <w:numPr>
          <w:ilvl w:val="0"/>
          <w:numId w:val="17"/>
        </w:numPr>
        <w:spacing w:line="480" w:lineRule="auto"/>
        <w:jc w:val="both"/>
        <w:rPr>
          <w:rFonts w:ascii="Arial" w:hAnsi="Arial" w:cs="Arial"/>
          <w:sz w:val="22"/>
          <w:szCs w:val="22"/>
        </w:rPr>
      </w:pPr>
      <w:r>
        <w:rPr>
          <w:rFonts w:ascii="Arial" w:hAnsi="Arial" w:cs="Arial"/>
          <w:sz w:val="22"/>
          <w:szCs w:val="22"/>
        </w:rPr>
        <w:t>committed a gross irregularity in the conduct of the arbitration proceedings; or</w:t>
      </w:r>
    </w:p>
    <w:p w:rsidR="008903F7" w:rsidRDefault="008903F7" w:rsidP="008903F7">
      <w:pPr>
        <w:spacing w:line="480" w:lineRule="auto"/>
        <w:ind w:left="2160"/>
        <w:jc w:val="both"/>
        <w:rPr>
          <w:rFonts w:ascii="Arial" w:hAnsi="Arial" w:cs="Arial"/>
          <w:sz w:val="22"/>
          <w:szCs w:val="22"/>
        </w:rPr>
      </w:pPr>
      <w:r>
        <w:rPr>
          <w:rFonts w:ascii="Arial" w:hAnsi="Arial" w:cs="Arial"/>
          <w:sz w:val="22"/>
          <w:szCs w:val="22"/>
        </w:rPr>
        <w:t>exceeded the arbitrator’s powers; or</w:t>
      </w:r>
    </w:p>
    <w:p w:rsidR="008903F7" w:rsidRDefault="00E16F00" w:rsidP="00E16F00">
      <w:pPr>
        <w:numPr>
          <w:ilvl w:val="0"/>
          <w:numId w:val="16"/>
        </w:numPr>
        <w:spacing w:line="480" w:lineRule="auto"/>
        <w:jc w:val="both"/>
        <w:rPr>
          <w:rFonts w:ascii="Arial" w:hAnsi="Arial" w:cs="Arial"/>
          <w:sz w:val="22"/>
          <w:szCs w:val="22"/>
        </w:rPr>
      </w:pPr>
      <w:r>
        <w:rPr>
          <w:rFonts w:ascii="Arial" w:hAnsi="Arial" w:cs="Arial"/>
          <w:sz w:val="22"/>
          <w:szCs w:val="22"/>
        </w:rPr>
        <w:t>that the award have been improperly obtained.”</w:t>
      </w:r>
    </w:p>
    <w:p w:rsidR="00E16F00" w:rsidRDefault="00E16F00" w:rsidP="00E16F00">
      <w:pPr>
        <w:spacing w:line="480" w:lineRule="auto"/>
        <w:jc w:val="both"/>
        <w:rPr>
          <w:rFonts w:ascii="Arial" w:hAnsi="Arial" w:cs="Arial"/>
          <w:sz w:val="22"/>
          <w:szCs w:val="22"/>
        </w:rPr>
      </w:pPr>
    </w:p>
    <w:p w:rsidR="00E16F00" w:rsidRDefault="00E16F00" w:rsidP="00E16F00">
      <w:pPr>
        <w:spacing w:line="480" w:lineRule="auto"/>
        <w:jc w:val="both"/>
        <w:rPr>
          <w:rFonts w:ascii="Arial" w:hAnsi="Arial" w:cs="Arial"/>
        </w:rPr>
      </w:pPr>
      <w:r>
        <w:rPr>
          <w:rFonts w:ascii="Arial" w:hAnsi="Arial" w:cs="Arial"/>
        </w:rPr>
        <w:t>[10]  The mainstay of the argument advanced by Mr. Hinda who appeared for the respondents who opposed the application, was that the applicant failed to bring itself within the ambit of those subsections with the result that it is not entitled to the relief it claims.</w:t>
      </w:r>
    </w:p>
    <w:p w:rsidR="00E16F00" w:rsidRDefault="00E16F00" w:rsidP="00E16F00">
      <w:pPr>
        <w:spacing w:line="480" w:lineRule="auto"/>
        <w:jc w:val="both"/>
        <w:rPr>
          <w:rFonts w:ascii="Arial" w:hAnsi="Arial" w:cs="Arial"/>
        </w:rPr>
      </w:pPr>
    </w:p>
    <w:p w:rsidR="00E16F00" w:rsidRDefault="00E16F00" w:rsidP="00E16F00">
      <w:pPr>
        <w:spacing w:line="480" w:lineRule="auto"/>
        <w:jc w:val="both"/>
        <w:rPr>
          <w:rFonts w:ascii="Arial" w:hAnsi="Arial" w:cs="Arial"/>
        </w:rPr>
      </w:pPr>
      <w:r>
        <w:rPr>
          <w:rFonts w:ascii="Arial" w:hAnsi="Arial" w:cs="Arial"/>
        </w:rPr>
        <w:lastRenderedPageBreak/>
        <w:t xml:space="preserve">[11]  To my mind this approach is too narrow.  Sections 89(4) and 89(5) of the Labour Act, must be read in conjunction with the provisions contained in the Constitution of Namibia.  Article 12 and 18 of the Constitution provides for fairness and reasonableness in the determination of disputes.  In </w:t>
      </w:r>
      <w:r>
        <w:rPr>
          <w:rFonts w:ascii="Arial" w:hAnsi="Arial" w:cs="Arial"/>
          <w:b/>
          <w:i/>
        </w:rPr>
        <w:t xml:space="preserve">Eilo v Permanent Secretary of Education 2008 (2) NR 532 </w:t>
      </w:r>
      <w:r w:rsidR="00961CE8">
        <w:rPr>
          <w:rFonts w:ascii="Arial" w:hAnsi="Arial" w:cs="Arial"/>
        </w:rPr>
        <w:t xml:space="preserve"> Parker P. said the following at page 539:</w:t>
      </w:r>
    </w:p>
    <w:p w:rsidR="00961CE8" w:rsidRDefault="00961CE8" w:rsidP="00961CE8">
      <w:pPr>
        <w:spacing w:line="480" w:lineRule="auto"/>
        <w:ind w:left="720"/>
        <w:jc w:val="both"/>
        <w:rPr>
          <w:rFonts w:ascii="Arial" w:hAnsi="Arial" w:cs="Arial"/>
          <w:sz w:val="22"/>
          <w:szCs w:val="22"/>
        </w:rPr>
      </w:pPr>
      <w:r>
        <w:rPr>
          <w:rFonts w:ascii="Arial" w:hAnsi="Arial" w:cs="Arial"/>
          <w:sz w:val="22"/>
          <w:szCs w:val="22"/>
        </w:rPr>
        <w:t xml:space="preserve">“I will take matters further and say that since, in my view, the first respondent is an administrative official and the fifth respondent’s commission is an administrative body, the provisions of art 18 of the Namibian Constitution apply to them in the exercise of their statutory powers and the performance of their statutory functions.  In </w:t>
      </w:r>
      <w:r>
        <w:rPr>
          <w:rFonts w:ascii="Arial" w:hAnsi="Arial" w:cs="Arial"/>
          <w:b/>
          <w:i/>
          <w:sz w:val="22"/>
          <w:szCs w:val="22"/>
        </w:rPr>
        <w:t>Kahuure and 10 Others v Mbanderu Traditional Athority and Others Case No. (P) A 114/2006 at 20-22 (unreported)</w:t>
      </w:r>
      <w:r>
        <w:rPr>
          <w:rFonts w:ascii="Arial" w:hAnsi="Arial" w:cs="Arial"/>
          <w:sz w:val="22"/>
          <w:szCs w:val="22"/>
        </w:rPr>
        <w:t xml:space="preserve">, I discussed in some detail the content and principles underlying the provisions of art 18;  and relying on Levy AJ’s dictum in </w:t>
      </w:r>
      <w:r>
        <w:rPr>
          <w:rFonts w:ascii="Arial" w:hAnsi="Arial" w:cs="Arial"/>
          <w:b/>
          <w:i/>
          <w:sz w:val="22"/>
          <w:szCs w:val="22"/>
        </w:rPr>
        <w:t>Frank and Another (HC)</w:t>
      </w:r>
      <w:r>
        <w:rPr>
          <w:rFonts w:ascii="Arial" w:hAnsi="Arial" w:cs="Arial"/>
          <w:sz w:val="22"/>
          <w:szCs w:val="22"/>
        </w:rPr>
        <w:t xml:space="preserve"> supra at 265E, I said in </w:t>
      </w:r>
      <w:r>
        <w:rPr>
          <w:rFonts w:ascii="Arial" w:hAnsi="Arial" w:cs="Arial"/>
          <w:b/>
          <w:i/>
          <w:sz w:val="22"/>
          <w:szCs w:val="22"/>
        </w:rPr>
        <w:t xml:space="preserve">Kahuure </w:t>
      </w:r>
      <w:r>
        <w:rPr>
          <w:rFonts w:ascii="Arial" w:hAnsi="Arial" w:cs="Arial"/>
          <w:sz w:val="22"/>
          <w:szCs w:val="22"/>
        </w:rPr>
        <w:t xml:space="preserve"> that ‘art 18 does not repeal the common law;  it embraces it’.”</w:t>
      </w:r>
    </w:p>
    <w:p w:rsidR="00577B90" w:rsidRPr="00577B90" w:rsidRDefault="00577B90" w:rsidP="00577B90">
      <w:pPr>
        <w:spacing w:line="480" w:lineRule="auto"/>
        <w:jc w:val="both"/>
        <w:rPr>
          <w:rFonts w:ascii="Arial" w:hAnsi="Arial" w:cs="Arial"/>
        </w:rPr>
      </w:pPr>
      <w:r>
        <w:rPr>
          <w:rFonts w:ascii="Arial" w:hAnsi="Arial" w:cs="Arial"/>
        </w:rPr>
        <w:t>These principles apply equally to arbitration tribunals constituted in terms of the Labour Act.</w:t>
      </w:r>
    </w:p>
    <w:p w:rsidR="00961CE8" w:rsidRDefault="00961CE8" w:rsidP="00961CE8">
      <w:pPr>
        <w:spacing w:line="480" w:lineRule="auto"/>
        <w:jc w:val="both"/>
        <w:rPr>
          <w:rFonts w:ascii="Arial" w:hAnsi="Arial" w:cs="Arial"/>
          <w:sz w:val="22"/>
          <w:szCs w:val="22"/>
        </w:rPr>
      </w:pPr>
    </w:p>
    <w:p w:rsidR="00961CE8" w:rsidRDefault="00961CE8" w:rsidP="00961CE8">
      <w:pPr>
        <w:spacing w:line="480" w:lineRule="auto"/>
        <w:jc w:val="both"/>
        <w:rPr>
          <w:rFonts w:ascii="Arial" w:hAnsi="Arial" w:cs="Arial"/>
        </w:rPr>
      </w:pPr>
      <w:r>
        <w:rPr>
          <w:rFonts w:ascii="Arial" w:hAnsi="Arial" w:cs="Arial"/>
        </w:rPr>
        <w:t xml:space="preserve">[12]  Mr. Ram, who appeared for the applicants submitted in summary that some of the factual findings arrived at by the arbitrator were such that no reasonable </w:t>
      </w:r>
      <w:r w:rsidR="009709D7">
        <w:rPr>
          <w:rFonts w:ascii="Arial" w:hAnsi="Arial" w:cs="Arial"/>
        </w:rPr>
        <w:t>trier</w:t>
      </w:r>
      <w:r>
        <w:rPr>
          <w:rFonts w:ascii="Arial" w:hAnsi="Arial" w:cs="Arial"/>
        </w:rPr>
        <w:t xml:space="preserve"> of fact would have come to these findings.  He submitted in bolstering his argument, that the constitutional imperative of reasonableness infuses and influences the attack on the factual findings made by the arbitrator.  </w:t>
      </w:r>
      <w:r w:rsidR="009709D7">
        <w:rPr>
          <w:rFonts w:ascii="Arial" w:hAnsi="Arial" w:cs="Arial"/>
        </w:rPr>
        <w:t xml:space="preserve">1.1  </w:t>
      </w:r>
      <w:r>
        <w:rPr>
          <w:rFonts w:ascii="Arial" w:hAnsi="Arial" w:cs="Arial"/>
        </w:rPr>
        <w:t xml:space="preserve">He relied </w:t>
      </w:r>
      <w:r>
        <w:rPr>
          <w:rFonts w:ascii="Arial" w:hAnsi="Arial" w:cs="Arial"/>
        </w:rPr>
        <w:lastRenderedPageBreak/>
        <w:t xml:space="preserve">inter alia on </w:t>
      </w:r>
      <w:r>
        <w:rPr>
          <w:rFonts w:ascii="Arial" w:hAnsi="Arial" w:cs="Arial"/>
          <w:b/>
          <w:i/>
        </w:rPr>
        <w:t>Sidumo &amp; Another v Rustenburg Platinum Mines Ltd &amp; 10 others 2007 12 BLLR 1097 CCC</w:t>
      </w:r>
      <w:r>
        <w:rPr>
          <w:rFonts w:ascii="Arial" w:hAnsi="Arial" w:cs="Arial"/>
        </w:rPr>
        <w:t>.</w:t>
      </w:r>
    </w:p>
    <w:p w:rsidR="00961CE8" w:rsidRDefault="00961CE8" w:rsidP="00961CE8">
      <w:pPr>
        <w:spacing w:line="480" w:lineRule="auto"/>
        <w:jc w:val="both"/>
        <w:rPr>
          <w:rFonts w:ascii="Arial" w:hAnsi="Arial" w:cs="Arial"/>
        </w:rPr>
      </w:pPr>
    </w:p>
    <w:p w:rsidR="00961CE8" w:rsidRDefault="00961CE8" w:rsidP="00961CE8">
      <w:pPr>
        <w:spacing w:line="480" w:lineRule="auto"/>
        <w:jc w:val="both"/>
        <w:rPr>
          <w:rFonts w:ascii="Arial" w:hAnsi="Arial" w:cs="Arial"/>
        </w:rPr>
      </w:pPr>
      <w:r>
        <w:rPr>
          <w:rFonts w:ascii="Arial" w:hAnsi="Arial" w:cs="Arial"/>
        </w:rPr>
        <w:t xml:space="preserve">[13]  It must be borne in mind that the Labour Act does not permit appeals against findings of facts </w:t>
      </w:r>
      <w:r w:rsidRPr="009709D7">
        <w:rPr>
          <w:rFonts w:ascii="Arial" w:hAnsi="Arial" w:cs="Arial"/>
          <w:i/>
        </w:rPr>
        <w:t>per se</w:t>
      </w:r>
      <w:r>
        <w:rPr>
          <w:rFonts w:ascii="Arial" w:hAnsi="Arial" w:cs="Arial"/>
        </w:rPr>
        <w:t>, arrived at by an arbitrator in arbitration proceedings.</w:t>
      </w:r>
    </w:p>
    <w:p w:rsidR="00961CE8" w:rsidRDefault="00961CE8" w:rsidP="00961CE8">
      <w:pPr>
        <w:spacing w:line="480" w:lineRule="auto"/>
        <w:jc w:val="both"/>
        <w:rPr>
          <w:rFonts w:ascii="Arial" w:hAnsi="Arial" w:cs="Arial"/>
        </w:rPr>
      </w:pPr>
    </w:p>
    <w:p w:rsidR="00961CE8" w:rsidRDefault="00961CE8" w:rsidP="00961CE8">
      <w:pPr>
        <w:spacing w:line="480" w:lineRule="auto"/>
        <w:jc w:val="both"/>
        <w:rPr>
          <w:rFonts w:ascii="Arial" w:hAnsi="Arial" w:cs="Arial"/>
        </w:rPr>
      </w:pPr>
      <w:r>
        <w:rPr>
          <w:rFonts w:ascii="Arial" w:hAnsi="Arial" w:cs="Arial"/>
        </w:rPr>
        <w:t>[14]  The question then remains under what circumstances an aggrieved party may resort to review proceedings, instead of the limited and circumscribed right to appeal against findings of fact.  Ostensibly the line drawn between the two options appeared to be thin.  There is, however, in the basic approach to the issue a fundamental difference.  As a matter of course tr</w:t>
      </w:r>
      <w:r w:rsidR="002654CE">
        <w:rPr>
          <w:rFonts w:ascii="Arial" w:hAnsi="Arial" w:cs="Arial"/>
        </w:rPr>
        <w:t xml:space="preserve">ier of fact sitting as a court or </w:t>
      </w:r>
      <w:r w:rsidR="00577B90">
        <w:rPr>
          <w:rFonts w:ascii="Arial" w:hAnsi="Arial" w:cs="Arial"/>
        </w:rPr>
        <w:t>tribunal</w:t>
      </w:r>
      <w:r w:rsidR="009709D7">
        <w:rPr>
          <w:rFonts w:ascii="Arial" w:hAnsi="Arial" w:cs="Arial"/>
        </w:rPr>
        <w:t xml:space="preserve"> </w:t>
      </w:r>
      <w:r w:rsidR="00577B90">
        <w:rPr>
          <w:rFonts w:ascii="Arial" w:hAnsi="Arial" w:cs="Arial"/>
        </w:rPr>
        <w:t>of first in instance will</w:t>
      </w:r>
      <w:r w:rsidR="002654CE">
        <w:rPr>
          <w:rFonts w:ascii="Arial" w:hAnsi="Arial" w:cs="Arial"/>
        </w:rPr>
        <w:t xml:space="preserve"> find certain facts proved and others not.</w:t>
      </w:r>
    </w:p>
    <w:p w:rsidR="002654CE" w:rsidRDefault="002654CE" w:rsidP="00961CE8">
      <w:pPr>
        <w:spacing w:line="480" w:lineRule="auto"/>
        <w:jc w:val="both"/>
        <w:rPr>
          <w:rFonts w:ascii="Arial" w:hAnsi="Arial" w:cs="Arial"/>
        </w:rPr>
      </w:pPr>
    </w:p>
    <w:p w:rsidR="002654CE" w:rsidRDefault="002654CE" w:rsidP="00961CE8">
      <w:pPr>
        <w:spacing w:line="480" w:lineRule="auto"/>
        <w:jc w:val="both"/>
        <w:rPr>
          <w:rFonts w:ascii="Arial" w:hAnsi="Arial" w:cs="Arial"/>
        </w:rPr>
      </w:pPr>
      <w:r>
        <w:rPr>
          <w:rFonts w:ascii="Arial" w:hAnsi="Arial" w:cs="Arial"/>
        </w:rPr>
        <w:t xml:space="preserve">[15]  An applicant seeking to review and set aside those findings faces a stiffer and higher </w:t>
      </w:r>
      <w:r w:rsidR="00577B90">
        <w:rPr>
          <w:rFonts w:ascii="Arial" w:hAnsi="Arial" w:cs="Arial"/>
        </w:rPr>
        <w:t xml:space="preserve">hurdle than it would in an appeal.  </w:t>
      </w:r>
      <w:r>
        <w:rPr>
          <w:rFonts w:ascii="Arial" w:hAnsi="Arial" w:cs="Arial"/>
        </w:rPr>
        <w:t xml:space="preserve">The applicant on review must establish, not only that the finding of fact is arguably wrong.  The error in the factual finding must be of such a nature that no reasonable trier of fact would have come to a similar finding. </w:t>
      </w:r>
    </w:p>
    <w:p w:rsidR="002654CE" w:rsidRDefault="002654CE" w:rsidP="00961CE8">
      <w:pPr>
        <w:spacing w:line="480" w:lineRule="auto"/>
        <w:jc w:val="both"/>
        <w:rPr>
          <w:rFonts w:ascii="Arial" w:hAnsi="Arial" w:cs="Arial"/>
        </w:rPr>
      </w:pPr>
    </w:p>
    <w:p w:rsidR="002654CE" w:rsidRDefault="002654CE" w:rsidP="00961CE8">
      <w:pPr>
        <w:spacing w:line="480" w:lineRule="auto"/>
        <w:jc w:val="both"/>
        <w:rPr>
          <w:rFonts w:ascii="Arial" w:hAnsi="Arial" w:cs="Arial"/>
        </w:rPr>
      </w:pPr>
      <w:r>
        <w:rPr>
          <w:rFonts w:ascii="Arial" w:hAnsi="Arial" w:cs="Arial"/>
        </w:rPr>
        <w:t>[16]  Against that backdrop, I proceed to deal with the factual findings arrived at by the first respondent which are relevant.</w:t>
      </w:r>
    </w:p>
    <w:p w:rsidR="002654CE" w:rsidRDefault="002654CE" w:rsidP="00961CE8">
      <w:pPr>
        <w:spacing w:line="480" w:lineRule="auto"/>
        <w:jc w:val="both"/>
        <w:rPr>
          <w:rFonts w:ascii="Arial" w:hAnsi="Arial" w:cs="Arial"/>
        </w:rPr>
      </w:pPr>
    </w:p>
    <w:p w:rsidR="002654CE" w:rsidRDefault="00577B90" w:rsidP="00961CE8">
      <w:pPr>
        <w:spacing w:line="480" w:lineRule="auto"/>
        <w:jc w:val="both"/>
        <w:rPr>
          <w:rFonts w:ascii="Arial" w:hAnsi="Arial" w:cs="Arial"/>
        </w:rPr>
      </w:pPr>
      <w:r>
        <w:rPr>
          <w:rFonts w:ascii="Arial" w:hAnsi="Arial" w:cs="Arial"/>
        </w:rPr>
        <w:lastRenderedPageBreak/>
        <w:t>[17]  The principal</w:t>
      </w:r>
      <w:r w:rsidR="002654CE">
        <w:rPr>
          <w:rFonts w:ascii="Arial" w:hAnsi="Arial" w:cs="Arial"/>
        </w:rPr>
        <w:t xml:space="preserve"> finding of fact by the first respondent was that there was not an illegal strike.  The findings was recorded by the first respondent as follows:</w:t>
      </w:r>
    </w:p>
    <w:p w:rsidR="002654CE" w:rsidRPr="002654CE" w:rsidRDefault="002654CE" w:rsidP="002654CE">
      <w:pPr>
        <w:spacing w:line="480" w:lineRule="auto"/>
        <w:ind w:left="720"/>
        <w:jc w:val="both"/>
        <w:rPr>
          <w:rFonts w:ascii="Arial" w:hAnsi="Arial" w:cs="Arial"/>
          <w:sz w:val="22"/>
          <w:szCs w:val="22"/>
        </w:rPr>
      </w:pPr>
      <w:r>
        <w:rPr>
          <w:rFonts w:ascii="Arial" w:hAnsi="Arial" w:cs="Arial"/>
          <w:sz w:val="22"/>
          <w:szCs w:val="22"/>
        </w:rPr>
        <w:t>“</w:t>
      </w:r>
      <w:r>
        <w:rPr>
          <w:rFonts w:ascii="Arial" w:hAnsi="Arial" w:cs="Arial"/>
          <w:sz w:val="22"/>
          <w:szCs w:val="22"/>
          <w:u w:val="single"/>
        </w:rPr>
        <w:t>Considerations as to whether there was a strike or whether it was only a demonstration</w:t>
      </w:r>
      <w:r>
        <w:rPr>
          <w:rFonts w:ascii="Arial" w:hAnsi="Arial" w:cs="Arial"/>
          <w:sz w:val="22"/>
          <w:szCs w:val="22"/>
        </w:rPr>
        <w:t>.</w:t>
      </w:r>
    </w:p>
    <w:p w:rsidR="002654CE" w:rsidRDefault="002654CE" w:rsidP="002654CE">
      <w:pPr>
        <w:spacing w:line="480" w:lineRule="auto"/>
        <w:jc w:val="both"/>
        <w:rPr>
          <w:rFonts w:ascii="Arial" w:hAnsi="Arial" w:cs="Arial"/>
        </w:rPr>
      </w:pPr>
      <w:r>
        <w:rPr>
          <w:rFonts w:ascii="Arial" w:hAnsi="Arial" w:cs="Arial"/>
        </w:rPr>
        <w:t>Having had the opportunity to listen to both sides of the story, I have come to a conclusion that the aim of the employees was to demonstrate in order to indicate their de-satisfaction (sic) about the respondents’ move to suspend only one of the employees who physically were involved in a fight.”</w:t>
      </w:r>
    </w:p>
    <w:p w:rsidR="002654CE" w:rsidRDefault="002654CE" w:rsidP="002654CE">
      <w:pPr>
        <w:spacing w:line="480" w:lineRule="auto"/>
        <w:jc w:val="both"/>
        <w:rPr>
          <w:rFonts w:ascii="Arial" w:hAnsi="Arial" w:cs="Arial"/>
        </w:rPr>
      </w:pPr>
    </w:p>
    <w:p w:rsidR="002654CE" w:rsidRDefault="002654CE" w:rsidP="002654CE">
      <w:pPr>
        <w:spacing w:line="480" w:lineRule="auto"/>
        <w:jc w:val="both"/>
        <w:rPr>
          <w:rFonts w:ascii="Arial" w:hAnsi="Arial" w:cs="Arial"/>
        </w:rPr>
      </w:pPr>
      <w:r>
        <w:rPr>
          <w:rFonts w:ascii="Arial" w:hAnsi="Arial" w:cs="Arial"/>
        </w:rPr>
        <w:t>[18]  I will accept that the employees showed their dissatisfaction with the applic</w:t>
      </w:r>
      <w:r w:rsidR="00577B90">
        <w:rPr>
          <w:rFonts w:ascii="Arial" w:hAnsi="Arial" w:cs="Arial"/>
        </w:rPr>
        <w:t>ants decision.  That</w:t>
      </w:r>
      <w:r>
        <w:rPr>
          <w:rFonts w:ascii="Arial" w:hAnsi="Arial" w:cs="Arial"/>
        </w:rPr>
        <w:t xml:space="preserve"> is not the point however.  What matters is how they went about showing their dissatisfactions.  The evidenc</w:t>
      </w:r>
      <w:r w:rsidR="00577B90">
        <w:rPr>
          <w:rFonts w:ascii="Arial" w:hAnsi="Arial" w:cs="Arial"/>
        </w:rPr>
        <w:t>e is overwhelming that there</w:t>
      </w:r>
      <w:r>
        <w:rPr>
          <w:rFonts w:ascii="Arial" w:hAnsi="Arial" w:cs="Arial"/>
        </w:rPr>
        <w:t xml:space="preserve"> was a complete stoppage of work.  The machinery and plant at the mine were switched off.  The entrance to the mines was blockaded by heavy machinery such as front end loaders.</w:t>
      </w:r>
    </w:p>
    <w:p w:rsidR="002654CE" w:rsidRDefault="002654CE" w:rsidP="002654CE">
      <w:pPr>
        <w:spacing w:line="480" w:lineRule="auto"/>
        <w:jc w:val="both"/>
        <w:rPr>
          <w:rFonts w:ascii="Arial" w:hAnsi="Arial" w:cs="Arial"/>
        </w:rPr>
      </w:pPr>
    </w:p>
    <w:p w:rsidR="002654CE" w:rsidRDefault="002654CE" w:rsidP="002654CE">
      <w:pPr>
        <w:spacing w:line="480" w:lineRule="auto"/>
        <w:jc w:val="both"/>
        <w:rPr>
          <w:rFonts w:ascii="Arial" w:hAnsi="Arial" w:cs="Arial"/>
        </w:rPr>
      </w:pPr>
      <w:r>
        <w:rPr>
          <w:rFonts w:ascii="Arial" w:hAnsi="Arial" w:cs="Arial"/>
        </w:rPr>
        <w:t>[19]  Following a temporary stoppage in order to ascertain whether any of the plant and machinery had been damaged, the applicant advised its employees by letter, dated 25 July 2009 which was read to them, that they had to resume work at 17h00 on that day, which the</w:t>
      </w:r>
      <w:r w:rsidR="00E224F3">
        <w:rPr>
          <w:rFonts w:ascii="Arial" w:hAnsi="Arial" w:cs="Arial"/>
        </w:rPr>
        <w:t xml:space="preserve"> employees did not </w:t>
      </w:r>
      <w:r w:rsidR="00577B90">
        <w:rPr>
          <w:rFonts w:ascii="Arial" w:hAnsi="Arial" w:cs="Arial"/>
        </w:rPr>
        <w:t>heed</w:t>
      </w:r>
      <w:r w:rsidR="00E224F3">
        <w:rPr>
          <w:rFonts w:ascii="Arial" w:hAnsi="Arial" w:cs="Arial"/>
        </w:rPr>
        <w:t>.</w:t>
      </w:r>
    </w:p>
    <w:p w:rsidR="00E224F3" w:rsidRDefault="00E224F3" w:rsidP="002654CE">
      <w:pPr>
        <w:spacing w:line="480" w:lineRule="auto"/>
        <w:jc w:val="both"/>
        <w:rPr>
          <w:rFonts w:ascii="Arial" w:hAnsi="Arial" w:cs="Arial"/>
        </w:rPr>
      </w:pPr>
    </w:p>
    <w:p w:rsidR="00E224F3" w:rsidRDefault="00577B90" w:rsidP="002654CE">
      <w:pPr>
        <w:spacing w:line="480" w:lineRule="auto"/>
        <w:jc w:val="both"/>
        <w:rPr>
          <w:rFonts w:ascii="Arial" w:hAnsi="Arial" w:cs="Arial"/>
        </w:rPr>
      </w:pPr>
      <w:r>
        <w:rPr>
          <w:rFonts w:ascii="Arial" w:hAnsi="Arial" w:cs="Arial"/>
        </w:rPr>
        <w:t>[20]  T</w:t>
      </w:r>
      <w:r w:rsidR="00E224F3">
        <w:rPr>
          <w:rFonts w:ascii="Arial" w:hAnsi="Arial" w:cs="Arial"/>
        </w:rPr>
        <w:t>he first respondent in my view plainly misread the letter, and afforded it a meaning it could not on any s</w:t>
      </w:r>
      <w:r>
        <w:rPr>
          <w:rFonts w:ascii="Arial" w:hAnsi="Arial" w:cs="Arial"/>
        </w:rPr>
        <w:t>core have had</w:t>
      </w:r>
      <w:r w:rsidR="00E224F3">
        <w:rPr>
          <w:rFonts w:ascii="Arial" w:hAnsi="Arial" w:cs="Arial"/>
        </w:rPr>
        <w:t>.  Moreover the first respondents</w:t>
      </w:r>
      <w:r>
        <w:rPr>
          <w:rFonts w:ascii="Arial" w:hAnsi="Arial" w:cs="Arial"/>
        </w:rPr>
        <w:t>’</w:t>
      </w:r>
      <w:r w:rsidR="00E224F3">
        <w:rPr>
          <w:rFonts w:ascii="Arial" w:hAnsi="Arial" w:cs="Arial"/>
        </w:rPr>
        <w:t xml:space="preserve"> finding that the entrance was not blocked is plainly wrong</w:t>
      </w:r>
      <w:r>
        <w:rPr>
          <w:rFonts w:ascii="Arial" w:hAnsi="Arial" w:cs="Arial"/>
        </w:rPr>
        <w:t>, i</w:t>
      </w:r>
      <w:r w:rsidR="00E224F3">
        <w:rPr>
          <w:rFonts w:ascii="Arial" w:hAnsi="Arial" w:cs="Arial"/>
        </w:rPr>
        <w:t xml:space="preserve">nasmuch as the first respondent relied for that finding on a photograph which does not depict any </w:t>
      </w:r>
      <w:r w:rsidR="00E224F3">
        <w:rPr>
          <w:rFonts w:ascii="Arial" w:hAnsi="Arial" w:cs="Arial"/>
        </w:rPr>
        <w:lastRenderedPageBreak/>
        <w:t>heavy vehicles at the gate.  The first respondent failed to take account of the fact that the photograph was taken some time after the events.</w:t>
      </w:r>
    </w:p>
    <w:p w:rsidR="00E224F3" w:rsidRDefault="00E224F3" w:rsidP="002654CE">
      <w:pPr>
        <w:spacing w:line="480" w:lineRule="auto"/>
        <w:jc w:val="both"/>
        <w:rPr>
          <w:rFonts w:ascii="Arial" w:hAnsi="Arial" w:cs="Arial"/>
        </w:rPr>
      </w:pPr>
    </w:p>
    <w:p w:rsidR="00E224F3" w:rsidRDefault="00E224F3" w:rsidP="002654CE">
      <w:pPr>
        <w:spacing w:line="480" w:lineRule="auto"/>
        <w:jc w:val="both"/>
        <w:rPr>
          <w:rFonts w:ascii="Arial" w:hAnsi="Arial" w:cs="Arial"/>
        </w:rPr>
      </w:pPr>
      <w:r>
        <w:rPr>
          <w:rFonts w:ascii="Arial" w:hAnsi="Arial" w:cs="Arial"/>
        </w:rPr>
        <w:t>[21]  I have read the evidence adduced at the hearing before the first respondent.  As I indicated the evidence plainly and overwhelmingly discloses that there had been an unlawful strike.</w:t>
      </w:r>
    </w:p>
    <w:p w:rsidR="00E224F3" w:rsidRDefault="00E224F3" w:rsidP="002654CE">
      <w:pPr>
        <w:spacing w:line="480" w:lineRule="auto"/>
        <w:jc w:val="both"/>
        <w:rPr>
          <w:rFonts w:ascii="Arial" w:hAnsi="Arial" w:cs="Arial"/>
        </w:rPr>
      </w:pPr>
    </w:p>
    <w:p w:rsidR="00E224F3" w:rsidRDefault="00E224F3" w:rsidP="002654CE">
      <w:pPr>
        <w:spacing w:line="480" w:lineRule="auto"/>
        <w:jc w:val="both"/>
        <w:rPr>
          <w:rFonts w:ascii="Arial" w:hAnsi="Arial" w:cs="Arial"/>
        </w:rPr>
      </w:pPr>
      <w:r>
        <w:rPr>
          <w:rFonts w:ascii="Arial" w:hAnsi="Arial" w:cs="Arial"/>
        </w:rPr>
        <w:t>[22]  The first respondents</w:t>
      </w:r>
      <w:r w:rsidR="00577B90">
        <w:rPr>
          <w:rFonts w:ascii="Arial" w:hAnsi="Arial" w:cs="Arial"/>
        </w:rPr>
        <w:t>’</w:t>
      </w:r>
      <w:r>
        <w:rPr>
          <w:rFonts w:ascii="Arial" w:hAnsi="Arial" w:cs="Arial"/>
        </w:rPr>
        <w:t xml:space="preserve"> finding to the contrary</w:t>
      </w:r>
      <w:r w:rsidR="00577B90">
        <w:rPr>
          <w:rFonts w:ascii="Arial" w:hAnsi="Arial" w:cs="Arial"/>
        </w:rPr>
        <w:t xml:space="preserve"> is so at odds with</w:t>
      </w:r>
      <w:r>
        <w:rPr>
          <w:rFonts w:ascii="Arial" w:hAnsi="Arial" w:cs="Arial"/>
        </w:rPr>
        <w:t xml:space="preserve"> the evidence, that it constitutes a finding to which no reasonable trier of fact would have come to</w:t>
      </w:r>
      <w:r w:rsidR="00577B90">
        <w:rPr>
          <w:rFonts w:ascii="Arial" w:hAnsi="Arial" w:cs="Arial"/>
        </w:rPr>
        <w:t>, and one which must for reason be reviewed and set aside.</w:t>
      </w:r>
    </w:p>
    <w:p w:rsidR="00E224F3" w:rsidRDefault="00E224F3" w:rsidP="002654CE">
      <w:pPr>
        <w:spacing w:line="480" w:lineRule="auto"/>
        <w:jc w:val="both"/>
        <w:rPr>
          <w:rFonts w:ascii="Arial" w:hAnsi="Arial" w:cs="Arial"/>
        </w:rPr>
      </w:pPr>
    </w:p>
    <w:p w:rsidR="00E224F3" w:rsidRDefault="00E224F3" w:rsidP="002654CE">
      <w:pPr>
        <w:spacing w:line="480" w:lineRule="auto"/>
        <w:jc w:val="both"/>
        <w:rPr>
          <w:rFonts w:ascii="Arial" w:hAnsi="Arial" w:cs="Arial"/>
        </w:rPr>
      </w:pPr>
      <w:r>
        <w:rPr>
          <w:rFonts w:ascii="Arial" w:hAnsi="Arial" w:cs="Arial"/>
        </w:rPr>
        <w:t>[23]  In the result I grant Prayer 1 and 2 of the Notice of Application.</w:t>
      </w:r>
    </w:p>
    <w:p w:rsidR="00E224F3" w:rsidRDefault="00E224F3" w:rsidP="002654CE">
      <w:pPr>
        <w:spacing w:line="480" w:lineRule="auto"/>
        <w:jc w:val="both"/>
        <w:rPr>
          <w:rFonts w:ascii="Arial" w:hAnsi="Arial" w:cs="Arial"/>
        </w:rPr>
      </w:pPr>
    </w:p>
    <w:p w:rsidR="00E224F3" w:rsidRDefault="00E224F3" w:rsidP="002654CE">
      <w:pPr>
        <w:spacing w:line="480" w:lineRule="auto"/>
        <w:jc w:val="both"/>
        <w:rPr>
          <w:rFonts w:ascii="Arial" w:hAnsi="Arial" w:cs="Arial"/>
        </w:rPr>
      </w:pPr>
      <w:r>
        <w:rPr>
          <w:rFonts w:ascii="Arial" w:hAnsi="Arial" w:cs="Arial"/>
        </w:rPr>
        <w:t>[24]  There shall be no order as to costs.</w:t>
      </w:r>
    </w:p>
    <w:p w:rsidR="00E224F3" w:rsidRDefault="00E224F3" w:rsidP="002654CE">
      <w:pPr>
        <w:spacing w:line="480" w:lineRule="auto"/>
        <w:jc w:val="both"/>
        <w:rPr>
          <w:rFonts w:ascii="Arial" w:hAnsi="Arial" w:cs="Arial"/>
        </w:rPr>
      </w:pPr>
    </w:p>
    <w:p w:rsidR="00F424A5" w:rsidRDefault="00F424A5" w:rsidP="00536ACA">
      <w:pPr>
        <w:spacing w:line="480" w:lineRule="auto"/>
        <w:jc w:val="both"/>
        <w:rPr>
          <w:rFonts w:ascii="Arial" w:hAnsi="Arial" w:cs="Arial"/>
        </w:rPr>
      </w:pPr>
    </w:p>
    <w:p w:rsidR="00F424A5" w:rsidRDefault="00F424A5" w:rsidP="00536ACA">
      <w:pPr>
        <w:spacing w:line="480" w:lineRule="auto"/>
        <w:jc w:val="both"/>
        <w:rPr>
          <w:rFonts w:ascii="Arial" w:hAnsi="Arial" w:cs="Arial"/>
        </w:rPr>
      </w:pPr>
    </w:p>
    <w:p w:rsidR="00F424A5" w:rsidRDefault="00F424A5" w:rsidP="00536ACA">
      <w:pPr>
        <w:spacing w:line="480" w:lineRule="auto"/>
        <w:jc w:val="both"/>
        <w:rPr>
          <w:rFonts w:ascii="Arial" w:hAnsi="Arial" w:cs="Arial"/>
        </w:rPr>
      </w:pPr>
    </w:p>
    <w:p w:rsidR="00F424A5" w:rsidRDefault="00F424A5" w:rsidP="00536ACA">
      <w:pPr>
        <w:spacing w:line="480" w:lineRule="auto"/>
        <w:jc w:val="both"/>
        <w:rPr>
          <w:rFonts w:ascii="Arial" w:hAnsi="Arial" w:cs="Arial"/>
        </w:rPr>
      </w:pPr>
    </w:p>
    <w:p w:rsidR="001F1C92" w:rsidRPr="00031447" w:rsidRDefault="00162975">
      <w:pPr>
        <w:spacing w:line="480" w:lineRule="auto"/>
        <w:jc w:val="both"/>
        <w:rPr>
          <w:rFonts w:ascii="Arial" w:hAnsi="Arial" w:cs="Arial"/>
          <w:b/>
          <w:i/>
        </w:rPr>
      </w:pPr>
      <w:r>
        <w:rPr>
          <w:rFonts w:ascii="Arial" w:hAnsi="Arial" w:cs="Arial"/>
          <w:b/>
          <w:i/>
        </w:rPr>
        <w:t>_</w:t>
      </w:r>
      <w:r w:rsidR="001F1C92" w:rsidRPr="00031447">
        <w:rPr>
          <w:rFonts w:ascii="Arial" w:hAnsi="Arial" w:cs="Arial"/>
          <w:b/>
          <w:i/>
        </w:rPr>
        <w:t>________</w:t>
      </w:r>
    </w:p>
    <w:p w:rsidR="00D82885" w:rsidRDefault="001F1C92">
      <w:pPr>
        <w:spacing w:line="480" w:lineRule="auto"/>
        <w:jc w:val="both"/>
        <w:rPr>
          <w:rFonts w:ascii="Arial" w:hAnsi="Arial" w:cs="Arial"/>
        </w:rPr>
      </w:pPr>
      <w:r>
        <w:rPr>
          <w:rFonts w:ascii="Arial" w:hAnsi="Arial" w:cs="Arial"/>
        </w:rPr>
        <w:t>MILLER AJ</w:t>
      </w:r>
      <w:r w:rsidR="009D55D3">
        <w:rPr>
          <w:rFonts w:ascii="Arial" w:hAnsi="Arial" w:cs="Arial"/>
        </w:rPr>
        <w:t xml:space="preserve"> </w:t>
      </w:r>
      <w:r w:rsidR="00D82885">
        <w:rPr>
          <w:rFonts w:ascii="Arial" w:hAnsi="Arial" w:cs="Arial"/>
        </w:rPr>
        <w:t xml:space="preserve"> </w:t>
      </w:r>
    </w:p>
    <w:p w:rsidR="00D82885" w:rsidRDefault="00D82885">
      <w:pPr>
        <w:spacing w:line="480" w:lineRule="auto"/>
        <w:jc w:val="both"/>
        <w:rPr>
          <w:rFonts w:ascii="Arial" w:hAnsi="Arial" w:cs="Arial"/>
        </w:rPr>
      </w:pPr>
    </w:p>
    <w:p w:rsidR="00D82885" w:rsidRDefault="00D82885">
      <w:pPr>
        <w:spacing w:line="480" w:lineRule="auto"/>
        <w:jc w:val="both"/>
        <w:rPr>
          <w:rFonts w:ascii="Arial" w:hAnsi="Arial" w:cs="Arial"/>
        </w:rPr>
      </w:pPr>
    </w:p>
    <w:p w:rsidR="00577B90" w:rsidRDefault="00577B90">
      <w:pPr>
        <w:spacing w:line="480" w:lineRule="auto"/>
        <w:jc w:val="both"/>
        <w:rPr>
          <w:rFonts w:ascii="Arial" w:hAnsi="Arial" w:cs="Arial"/>
        </w:rPr>
      </w:pPr>
    </w:p>
    <w:p w:rsidR="00577B90" w:rsidRDefault="00577B90">
      <w:pPr>
        <w:spacing w:line="480" w:lineRule="auto"/>
        <w:jc w:val="both"/>
        <w:rPr>
          <w:rFonts w:ascii="Arial" w:hAnsi="Arial" w:cs="Arial"/>
        </w:rPr>
      </w:pPr>
    </w:p>
    <w:p w:rsidR="004461FE" w:rsidRDefault="004461FE">
      <w:pPr>
        <w:pStyle w:val="BodyText"/>
        <w:spacing w:line="360" w:lineRule="auto"/>
        <w:rPr>
          <w:rFonts w:ascii="Arial" w:hAnsi="Arial" w:cs="Arial"/>
          <w:b/>
          <w:bCs/>
          <w:sz w:val="24"/>
          <w:u w:val="single"/>
        </w:rPr>
      </w:pPr>
    </w:p>
    <w:p w:rsidR="008D10C2" w:rsidRPr="0066397E" w:rsidRDefault="008D10C2">
      <w:pPr>
        <w:pStyle w:val="BodyText"/>
        <w:spacing w:line="360" w:lineRule="auto"/>
        <w:rPr>
          <w:rFonts w:ascii="Arial" w:hAnsi="Arial" w:cs="Arial"/>
          <w:bCs/>
          <w:sz w:val="24"/>
        </w:rPr>
      </w:pPr>
      <w:r w:rsidRPr="0066397E">
        <w:rPr>
          <w:rFonts w:ascii="Arial" w:hAnsi="Arial" w:cs="Arial"/>
          <w:b/>
          <w:bCs/>
          <w:sz w:val="24"/>
        </w:rPr>
        <w:t>ON BEHALF OF THE</w:t>
      </w:r>
      <w:r w:rsidR="002C351B" w:rsidRPr="0066397E">
        <w:rPr>
          <w:rFonts w:ascii="Arial" w:hAnsi="Arial" w:cs="Arial"/>
          <w:b/>
          <w:bCs/>
          <w:sz w:val="24"/>
        </w:rPr>
        <w:t xml:space="preserve"> APPLICANT:</w:t>
      </w:r>
      <w:r w:rsidR="009709D7" w:rsidRPr="0066397E">
        <w:rPr>
          <w:rFonts w:ascii="Arial" w:hAnsi="Arial" w:cs="Arial"/>
          <w:bCs/>
          <w:sz w:val="24"/>
        </w:rPr>
        <w:tab/>
        <w:t>Mr. Ram</w:t>
      </w:r>
    </w:p>
    <w:p w:rsidR="008D10C2" w:rsidRPr="0066397E" w:rsidRDefault="008D10C2" w:rsidP="009709D7">
      <w:pPr>
        <w:pStyle w:val="BodyText"/>
        <w:spacing w:line="360" w:lineRule="auto"/>
        <w:ind w:left="3510" w:hanging="3510"/>
        <w:rPr>
          <w:rFonts w:ascii="Arial" w:hAnsi="Arial" w:cs="Arial"/>
          <w:bCs/>
          <w:sz w:val="24"/>
        </w:rPr>
      </w:pPr>
      <w:r w:rsidRPr="0066397E">
        <w:rPr>
          <w:rFonts w:ascii="Arial" w:hAnsi="Arial" w:cs="Arial"/>
          <w:b/>
          <w:bCs/>
          <w:sz w:val="24"/>
        </w:rPr>
        <w:t>Instructed by:</w:t>
      </w:r>
      <w:r w:rsidR="009709D7" w:rsidRPr="0066397E">
        <w:rPr>
          <w:rFonts w:ascii="Arial" w:hAnsi="Arial" w:cs="Arial"/>
          <w:bCs/>
          <w:sz w:val="24"/>
        </w:rPr>
        <w:tab/>
        <w:t xml:space="preserve">  </w:t>
      </w:r>
      <w:r w:rsidR="0066397E">
        <w:rPr>
          <w:rFonts w:ascii="Arial" w:hAnsi="Arial" w:cs="Arial"/>
          <w:bCs/>
          <w:sz w:val="24"/>
        </w:rPr>
        <w:tab/>
      </w:r>
      <w:r w:rsidR="009709D7" w:rsidRPr="0066397E">
        <w:rPr>
          <w:rFonts w:ascii="Arial" w:hAnsi="Arial" w:cs="Arial"/>
          <w:bCs/>
          <w:sz w:val="24"/>
        </w:rPr>
        <w:t>Pieter J. de Beer Legal Practitioners</w:t>
      </w:r>
    </w:p>
    <w:p w:rsidR="008D10C2" w:rsidRPr="0066397E" w:rsidRDefault="008D10C2">
      <w:pPr>
        <w:pStyle w:val="BodyText"/>
        <w:spacing w:line="360" w:lineRule="auto"/>
        <w:rPr>
          <w:rFonts w:ascii="Arial" w:hAnsi="Arial" w:cs="Arial"/>
          <w:bCs/>
          <w:sz w:val="24"/>
        </w:rPr>
      </w:pPr>
    </w:p>
    <w:p w:rsidR="008D10C2" w:rsidRPr="0066397E" w:rsidRDefault="008D10C2">
      <w:pPr>
        <w:pStyle w:val="BodyText"/>
        <w:spacing w:line="360" w:lineRule="auto"/>
        <w:rPr>
          <w:rFonts w:ascii="Arial" w:hAnsi="Arial" w:cs="Arial"/>
          <w:bCs/>
          <w:sz w:val="24"/>
          <w:u w:val="single"/>
        </w:rPr>
      </w:pPr>
    </w:p>
    <w:p w:rsidR="008D10C2" w:rsidRPr="0066397E" w:rsidRDefault="008D10C2">
      <w:pPr>
        <w:pStyle w:val="BodyText"/>
        <w:spacing w:line="360" w:lineRule="auto"/>
        <w:rPr>
          <w:rFonts w:ascii="Arial" w:hAnsi="Arial" w:cs="Arial"/>
          <w:bCs/>
          <w:sz w:val="24"/>
          <w:u w:val="single"/>
        </w:rPr>
      </w:pPr>
    </w:p>
    <w:p w:rsidR="009709D7" w:rsidRPr="0066397E" w:rsidRDefault="008D10C2" w:rsidP="003C2D98">
      <w:pPr>
        <w:pStyle w:val="BodyText"/>
        <w:spacing w:line="360" w:lineRule="auto"/>
        <w:rPr>
          <w:rFonts w:ascii="Arial" w:hAnsi="Arial" w:cs="Arial"/>
          <w:b/>
          <w:bCs/>
          <w:sz w:val="24"/>
        </w:rPr>
      </w:pPr>
      <w:r w:rsidRPr="0066397E">
        <w:rPr>
          <w:rFonts w:ascii="Arial" w:hAnsi="Arial" w:cs="Arial"/>
          <w:b/>
          <w:bCs/>
          <w:sz w:val="24"/>
        </w:rPr>
        <w:t xml:space="preserve">ON BEHALF OF </w:t>
      </w:r>
      <w:r w:rsidR="009709D7" w:rsidRPr="0066397E">
        <w:rPr>
          <w:rFonts w:ascii="Arial" w:hAnsi="Arial" w:cs="Arial"/>
          <w:b/>
          <w:bCs/>
          <w:sz w:val="24"/>
        </w:rPr>
        <w:t>THE 3</w:t>
      </w:r>
      <w:r w:rsidR="009709D7" w:rsidRPr="0066397E">
        <w:rPr>
          <w:rFonts w:ascii="Arial" w:hAnsi="Arial" w:cs="Arial"/>
          <w:b/>
          <w:bCs/>
          <w:sz w:val="24"/>
          <w:vertAlign w:val="superscript"/>
        </w:rPr>
        <w:t>RD</w:t>
      </w:r>
      <w:r w:rsidR="009709D7" w:rsidRPr="0066397E">
        <w:rPr>
          <w:rFonts w:ascii="Arial" w:hAnsi="Arial" w:cs="Arial"/>
          <w:b/>
          <w:bCs/>
          <w:sz w:val="24"/>
        </w:rPr>
        <w:t xml:space="preserve"> AND </w:t>
      </w:r>
    </w:p>
    <w:p w:rsidR="0015344D" w:rsidRPr="0066397E" w:rsidRDefault="009709D7" w:rsidP="003C2D98">
      <w:pPr>
        <w:pStyle w:val="BodyText"/>
        <w:spacing w:line="360" w:lineRule="auto"/>
        <w:rPr>
          <w:rFonts w:ascii="Arial" w:hAnsi="Arial" w:cs="Arial"/>
          <w:bCs/>
          <w:sz w:val="24"/>
        </w:rPr>
      </w:pPr>
      <w:r w:rsidRPr="0066397E">
        <w:rPr>
          <w:rFonts w:ascii="Arial" w:hAnsi="Arial" w:cs="Arial"/>
          <w:b/>
          <w:bCs/>
          <w:sz w:val="24"/>
        </w:rPr>
        <w:t xml:space="preserve">FURTHER </w:t>
      </w:r>
      <w:r w:rsidR="00536ACA" w:rsidRPr="0066397E">
        <w:rPr>
          <w:rFonts w:ascii="Arial" w:hAnsi="Arial" w:cs="Arial"/>
          <w:b/>
          <w:bCs/>
          <w:sz w:val="24"/>
        </w:rPr>
        <w:t>RESPONDENT</w:t>
      </w:r>
      <w:r w:rsidRPr="0066397E">
        <w:rPr>
          <w:rFonts w:ascii="Arial" w:hAnsi="Arial" w:cs="Arial"/>
          <w:b/>
          <w:bCs/>
          <w:sz w:val="24"/>
        </w:rPr>
        <w:t>S</w:t>
      </w:r>
      <w:r w:rsidR="002C351B" w:rsidRPr="0066397E">
        <w:rPr>
          <w:rFonts w:ascii="Arial" w:hAnsi="Arial" w:cs="Arial"/>
          <w:b/>
          <w:bCs/>
          <w:sz w:val="24"/>
        </w:rPr>
        <w:t>:</w:t>
      </w:r>
      <w:r w:rsidR="00536ACA" w:rsidRPr="0066397E">
        <w:rPr>
          <w:rFonts w:ascii="Arial" w:hAnsi="Arial" w:cs="Arial"/>
          <w:bCs/>
          <w:sz w:val="24"/>
        </w:rPr>
        <w:tab/>
      </w:r>
      <w:r w:rsidR="00536ACA" w:rsidRPr="0066397E">
        <w:rPr>
          <w:rFonts w:ascii="Arial" w:hAnsi="Arial" w:cs="Arial"/>
          <w:bCs/>
          <w:sz w:val="24"/>
        </w:rPr>
        <w:tab/>
      </w:r>
      <w:r w:rsidRPr="0066397E">
        <w:rPr>
          <w:rFonts w:ascii="Arial" w:hAnsi="Arial" w:cs="Arial"/>
          <w:bCs/>
          <w:sz w:val="24"/>
        </w:rPr>
        <w:t>Mr. Hinda</w:t>
      </w:r>
      <w:r w:rsidR="00577B90">
        <w:rPr>
          <w:rFonts w:ascii="Arial" w:hAnsi="Arial" w:cs="Arial"/>
          <w:bCs/>
          <w:sz w:val="24"/>
        </w:rPr>
        <w:t xml:space="preserve"> SC, assisted by Mr. Tjitemisa</w:t>
      </w:r>
    </w:p>
    <w:p w:rsidR="0015344D" w:rsidRPr="0066397E" w:rsidRDefault="0015344D" w:rsidP="003C2D98">
      <w:pPr>
        <w:pStyle w:val="BodyText"/>
        <w:spacing w:line="360" w:lineRule="auto"/>
        <w:rPr>
          <w:rFonts w:ascii="Arial" w:hAnsi="Arial" w:cs="Arial"/>
          <w:bCs/>
          <w:sz w:val="24"/>
        </w:rPr>
      </w:pPr>
      <w:r w:rsidRPr="0066397E">
        <w:rPr>
          <w:rFonts w:ascii="Arial" w:hAnsi="Arial" w:cs="Arial"/>
          <w:b/>
          <w:bCs/>
          <w:sz w:val="24"/>
        </w:rPr>
        <w:t>Instructed by:</w:t>
      </w:r>
      <w:r w:rsidRPr="0066397E">
        <w:rPr>
          <w:rFonts w:ascii="Arial" w:hAnsi="Arial" w:cs="Arial"/>
          <w:bCs/>
          <w:sz w:val="24"/>
        </w:rPr>
        <w:tab/>
      </w:r>
      <w:r w:rsidRPr="0066397E">
        <w:rPr>
          <w:rFonts w:ascii="Arial" w:hAnsi="Arial" w:cs="Arial"/>
          <w:bCs/>
          <w:sz w:val="24"/>
        </w:rPr>
        <w:tab/>
      </w:r>
      <w:r w:rsidR="009709D7" w:rsidRPr="0066397E">
        <w:rPr>
          <w:rFonts w:ascii="Arial" w:hAnsi="Arial" w:cs="Arial"/>
          <w:bCs/>
          <w:sz w:val="24"/>
        </w:rPr>
        <w:tab/>
      </w:r>
      <w:r w:rsidR="009709D7" w:rsidRPr="0066397E">
        <w:rPr>
          <w:rFonts w:ascii="Arial" w:hAnsi="Arial" w:cs="Arial"/>
          <w:bCs/>
          <w:sz w:val="24"/>
        </w:rPr>
        <w:tab/>
        <w:t>Tjitemisa &amp; Associates</w:t>
      </w:r>
      <w:r w:rsidRPr="0066397E">
        <w:rPr>
          <w:rFonts w:ascii="Arial" w:hAnsi="Arial" w:cs="Arial"/>
          <w:bCs/>
          <w:sz w:val="24"/>
        </w:rPr>
        <w:tab/>
      </w:r>
      <w:r w:rsidRPr="0066397E">
        <w:rPr>
          <w:rFonts w:ascii="Arial" w:hAnsi="Arial" w:cs="Arial"/>
          <w:bCs/>
          <w:sz w:val="24"/>
        </w:rPr>
        <w:tab/>
      </w:r>
      <w:r w:rsidRPr="0066397E">
        <w:rPr>
          <w:rFonts w:ascii="Arial" w:hAnsi="Arial" w:cs="Arial"/>
          <w:bCs/>
          <w:sz w:val="24"/>
        </w:rPr>
        <w:tab/>
      </w:r>
    </w:p>
    <w:p w:rsidR="008D10C2" w:rsidRPr="0066397E" w:rsidRDefault="008D10C2">
      <w:pPr>
        <w:pStyle w:val="BodyText"/>
        <w:rPr>
          <w:rFonts w:ascii="Arial" w:hAnsi="Arial" w:cs="Arial"/>
          <w:sz w:val="24"/>
        </w:rPr>
      </w:pPr>
    </w:p>
    <w:p w:rsidR="008D10C2" w:rsidRPr="00261CFB" w:rsidRDefault="008D10C2">
      <w:pPr>
        <w:pStyle w:val="BodyText"/>
        <w:rPr>
          <w:rFonts w:ascii="Arial" w:hAnsi="Arial" w:cs="Arial"/>
          <w:sz w:val="20"/>
          <w:szCs w:val="20"/>
        </w:rPr>
      </w:pPr>
    </w:p>
    <w:p w:rsidR="008D10C2" w:rsidRPr="003C2D98" w:rsidRDefault="008D10C2">
      <w:pPr>
        <w:pStyle w:val="BodyText"/>
        <w:rPr>
          <w:rFonts w:ascii="Arial" w:hAnsi="Arial" w:cs="Arial"/>
          <w:sz w:val="24"/>
        </w:rPr>
      </w:pPr>
    </w:p>
    <w:p w:rsidR="008D10C2" w:rsidRPr="004461FE" w:rsidRDefault="008D10C2">
      <w:pPr>
        <w:pStyle w:val="BodyText"/>
        <w:rPr>
          <w:rFonts w:ascii="Arial" w:hAnsi="Arial" w:cs="Arial"/>
          <w:sz w:val="24"/>
        </w:rPr>
      </w:pPr>
    </w:p>
    <w:p w:rsidR="008D10C2" w:rsidRPr="004461FE" w:rsidRDefault="008D10C2">
      <w:pPr>
        <w:spacing w:line="480" w:lineRule="auto"/>
        <w:jc w:val="both"/>
        <w:rPr>
          <w:rFonts w:ascii="Arial" w:hAnsi="Arial" w:cs="Arial"/>
        </w:rPr>
      </w:pPr>
    </w:p>
    <w:p w:rsidR="008D10C2" w:rsidRPr="004461FE" w:rsidRDefault="008D10C2">
      <w:pPr>
        <w:spacing w:line="480" w:lineRule="auto"/>
        <w:jc w:val="both"/>
        <w:rPr>
          <w:rFonts w:ascii="Arial" w:hAnsi="Arial" w:cs="Arial"/>
        </w:rPr>
      </w:pPr>
      <w:r w:rsidRPr="004461FE">
        <w:rPr>
          <w:rFonts w:ascii="Arial" w:hAnsi="Arial" w:cs="Arial"/>
        </w:rPr>
        <w:tab/>
      </w:r>
    </w:p>
    <w:p w:rsidR="008D10C2" w:rsidRPr="004461FE" w:rsidRDefault="008D10C2">
      <w:pPr>
        <w:spacing w:line="480" w:lineRule="auto"/>
        <w:jc w:val="both"/>
        <w:rPr>
          <w:rFonts w:ascii="Arial" w:hAnsi="Arial" w:cs="Arial"/>
        </w:rPr>
      </w:pPr>
    </w:p>
    <w:p w:rsidR="008D10C2" w:rsidRPr="004461FE" w:rsidRDefault="008D10C2">
      <w:pPr>
        <w:spacing w:line="480" w:lineRule="auto"/>
        <w:jc w:val="both"/>
        <w:rPr>
          <w:rFonts w:ascii="Arial" w:hAnsi="Arial" w:cs="Arial"/>
        </w:rPr>
      </w:pPr>
      <w:r w:rsidRPr="004461FE">
        <w:rPr>
          <w:rFonts w:ascii="Arial" w:hAnsi="Arial" w:cs="Arial"/>
        </w:rPr>
        <w:tab/>
        <w:t xml:space="preserve">           </w:t>
      </w:r>
    </w:p>
    <w:sectPr w:rsidR="008D10C2" w:rsidRPr="004461FE" w:rsidSect="00577B90">
      <w:headerReference w:type="even" r:id="rId10"/>
      <w:headerReference w:type="default" r:id="rId11"/>
      <w:pgSz w:w="11909" w:h="16834"/>
      <w:pgMar w:top="1701" w:right="1559" w:bottom="1699" w:left="169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57" w:rsidRDefault="00ED7F57">
      <w:r>
        <w:separator/>
      </w:r>
    </w:p>
  </w:endnote>
  <w:endnote w:type="continuationSeparator" w:id="0">
    <w:p w:rsidR="00ED7F57" w:rsidRDefault="00ED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57" w:rsidRDefault="00ED7F57">
      <w:r>
        <w:separator/>
      </w:r>
    </w:p>
  </w:footnote>
  <w:footnote w:type="continuationSeparator" w:id="0">
    <w:p w:rsidR="00ED7F57" w:rsidRDefault="00ED7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173" w:rsidRDefault="002631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3173" w:rsidRDefault="00263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173" w:rsidRDefault="002631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1E95">
      <w:rPr>
        <w:rStyle w:val="PageNumber"/>
        <w:noProof/>
      </w:rPr>
      <w:t>9</w:t>
    </w:r>
    <w:r>
      <w:rPr>
        <w:rStyle w:val="PageNumber"/>
      </w:rPr>
      <w:fldChar w:fldCharType="end"/>
    </w:r>
  </w:p>
  <w:p w:rsidR="00263173" w:rsidRDefault="00263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6EA"/>
    <w:multiLevelType w:val="hybridMultilevel"/>
    <w:tmpl w:val="09266A66"/>
    <w:lvl w:ilvl="0" w:tplc="D06E93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2975C1C"/>
    <w:multiLevelType w:val="hybridMultilevel"/>
    <w:tmpl w:val="1C287648"/>
    <w:lvl w:ilvl="0" w:tplc="7FFA1984">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41468C1"/>
    <w:multiLevelType w:val="hybridMultilevel"/>
    <w:tmpl w:val="6C52273A"/>
    <w:lvl w:ilvl="0" w:tplc="98D6C58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6E90B89"/>
    <w:multiLevelType w:val="hybridMultilevel"/>
    <w:tmpl w:val="76622FC0"/>
    <w:lvl w:ilvl="0" w:tplc="8938BD6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2038CF"/>
    <w:multiLevelType w:val="multilevel"/>
    <w:tmpl w:val="EE6A22A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239A1050"/>
    <w:multiLevelType w:val="hybridMultilevel"/>
    <w:tmpl w:val="ADBED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3EE150D"/>
    <w:multiLevelType w:val="hybridMultilevel"/>
    <w:tmpl w:val="71AAF030"/>
    <w:lvl w:ilvl="0" w:tplc="9DFEB00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D497ECE"/>
    <w:multiLevelType w:val="hybridMultilevel"/>
    <w:tmpl w:val="F0102952"/>
    <w:lvl w:ilvl="0" w:tplc="D3145DA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D846525"/>
    <w:multiLevelType w:val="multilevel"/>
    <w:tmpl w:val="126868CA"/>
    <w:lvl w:ilvl="0">
      <w:start w:val="1"/>
      <w:numFmt w:val="decimal"/>
      <w:lvlText w:val="%1."/>
      <w:lvlJc w:val="left"/>
      <w:pPr>
        <w:ind w:left="1080" w:hanging="360"/>
      </w:pPr>
      <w:rPr>
        <w:rFonts w:cs="Times New Roman" w:hint="default"/>
      </w:rPr>
    </w:lvl>
    <w:lvl w:ilvl="1">
      <w:start w:val="2"/>
      <w:numFmt w:val="decimal"/>
      <w:isLgl/>
      <w:lvlText w:val="%1.%2"/>
      <w:lvlJc w:val="left"/>
      <w:pPr>
        <w:ind w:left="1170" w:hanging="45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nsid w:val="34295808"/>
    <w:multiLevelType w:val="hybridMultilevel"/>
    <w:tmpl w:val="E90855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C303DA"/>
    <w:multiLevelType w:val="hybridMultilevel"/>
    <w:tmpl w:val="186E7840"/>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A351461"/>
    <w:multiLevelType w:val="hybridMultilevel"/>
    <w:tmpl w:val="A1689F9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FC3425F"/>
    <w:multiLevelType w:val="multilevel"/>
    <w:tmpl w:val="EC946B08"/>
    <w:lvl w:ilvl="0">
      <w:start w:val="3"/>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3">
    <w:nsid w:val="5B477EC9"/>
    <w:multiLevelType w:val="hybridMultilevel"/>
    <w:tmpl w:val="D2DA7BB4"/>
    <w:lvl w:ilvl="0" w:tplc="1280FC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62011436"/>
    <w:multiLevelType w:val="multilevel"/>
    <w:tmpl w:val="1B12C9D4"/>
    <w:lvl w:ilvl="0">
      <w:start w:val="2"/>
      <w:numFmt w:val="decimal"/>
      <w:lvlText w:val="%1."/>
      <w:lvlJc w:val="left"/>
      <w:pPr>
        <w:ind w:left="405" w:hanging="40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nsid w:val="6A841BEF"/>
    <w:multiLevelType w:val="hybridMultilevel"/>
    <w:tmpl w:val="2E4C6E90"/>
    <w:lvl w:ilvl="0" w:tplc="600AC2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70DB574C"/>
    <w:multiLevelType w:val="hybridMultilevel"/>
    <w:tmpl w:val="0F36DBDA"/>
    <w:lvl w:ilvl="0" w:tplc="6ACA31CE">
      <w:start w:val="1"/>
      <w:numFmt w:val="lowerLetter"/>
      <w:lvlText w:val="(%1)"/>
      <w:lvlJc w:val="left"/>
      <w:pPr>
        <w:ind w:left="825" w:hanging="46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D876DB7"/>
    <w:multiLevelType w:val="hybridMultilevel"/>
    <w:tmpl w:val="28165330"/>
    <w:lvl w:ilvl="0" w:tplc="B846E2BC">
      <w:start w:val="1"/>
      <w:numFmt w:val="decimal"/>
      <w:lvlText w:val="%1."/>
      <w:lvlJc w:val="left"/>
      <w:pPr>
        <w:tabs>
          <w:tab w:val="num" w:pos="720"/>
        </w:tabs>
        <w:ind w:left="720" w:hanging="360"/>
      </w:pPr>
      <w:rPr>
        <w:rFonts w:cs="Times New Roman" w:hint="default"/>
      </w:rPr>
    </w:lvl>
    <w:lvl w:ilvl="1" w:tplc="E69454CA">
      <w:numFmt w:val="none"/>
      <w:lvlText w:val=""/>
      <w:lvlJc w:val="left"/>
      <w:pPr>
        <w:tabs>
          <w:tab w:val="num" w:pos="360"/>
        </w:tabs>
      </w:pPr>
      <w:rPr>
        <w:rFonts w:cs="Times New Roman"/>
      </w:rPr>
    </w:lvl>
    <w:lvl w:ilvl="2" w:tplc="5698563C">
      <w:numFmt w:val="none"/>
      <w:lvlText w:val=""/>
      <w:lvlJc w:val="left"/>
      <w:pPr>
        <w:tabs>
          <w:tab w:val="num" w:pos="360"/>
        </w:tabs>
      </w:pPr>
      <w:rPr>
        <w:rFonts w:cs="Times New Roman"/>
      </w:rPr>
    </w:lvl>
    <w:lvl w:ilvl="3" w:tplc="B7ACE040">
      <w:numFmt w:val="none"/>
      <w:lvlText w:val=""/>
      <w:lvlJc w:val="left"/>
      <w:pPr>
        <w:tabs>
          <w:tab w:val="num" w:pos="360"/>
        </w:tabs>
      </w:pPr>
      <w:rPr>
        <w:rFonts w:cs="Times New Roman"/>
      </w:rPr>
    </w:lvl>
    <w:lvl w:ilvl="4" w:tplc="71F2D672">
      <w:numFmt w:val="none"/>
      <w:lvlText w:val=""/>
      <w:lvlJc w:val="left"/>
      <w:pPr>
        <w:tabs>
          <w:tab w:val="num" w:pos="360"/>
        </w:tabs>
      </w:pPr>
      <w:rPr>
        <w:rFonts w:cs="Times New Roman"/>
      </w:rPr>
    </w:lvl>
    <w:lvl w:ilvl="5" w:tplc="9678FC38">
      <w:numFmt w:val="none"/>
      <w:lvlText w:val=""/>
      <w:lvlJc w:val="left"/>
      <w:pPr>
        <w:tabs>
          <w:tab w:val="num" w:pos="360"/>
        </w:tabs>
      </w:pPr>
      <w:rPr>
        <w:rFonts w:cs="Times New Roman"/>
      </w:rPr>
    </w:lvl>
    <w:lvl w:ilvl="6" w:tplc="B50CFF5A">
      <w:numFmt w:val="none"/>
      <w:lvlText w:val=""/>
      <w:lvlJc w:val="left"/>
      <w:pPr>
        <w:tabs>
          <w:tab w:val="num" w:pos="360"/>
        </w:tabs>
      </w:pPr>
      <w:rPr>
        <w:rFonts w:cs="Times New Roman"/>
      </w:rPr>
    </w:lvl>
    <w:lvl w:ilvl="7" w:tplc="DFC633F6">
      <w:numFmt w:val="none"/>
      <w:lvlText w:val=""/>
      <w:lvlJc w:val="left"/>
      <w:pPr>
        <w:tabs>
          <w:tab w:val="num" w:pos="360"/>
        </w:tabs>
      </w:pPr>
      <w:rPr>
        <w:rFonts w:cs="Times New Roman"/>
      </w:rPr>
    </w:lvl>
    <w:lvl w:ilvl="8" w:tplc="CD10745E">
      <w:numFmt w:val="none"/>
      <w:lvlText w:val=""/>
      <w:lvlJc w:val="left"/>
      <w:pPr>
        <w:tabs>
          <w:tab w:val="num" w:pos="360"/>
        </w:tabs>
      </w:pPr>
      <w:rPr>
        <w:rFonts w:cs="Times New Roman"/>
      </w:rPr>
    </w:lvl>
  </w:abstractNum>
  <w:abstractNum w:abstractNumId="18">
    <w:nsid w:val="7D8A5BF2"/>
    <w:multiLevelType w:val="hybridMultilevel"/>
    <w:tmpl w:val="3282FB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3"/>
  </w:num>
  <w:num w:numId="3">
    <w:abstractNumId w:val="11"/>
  </w:num>
  <w:num w:numId="4">
    <w:abstractNumId w:val="4"/>
  </w:num>
  <w:num w:numId="5">
    <w:abstractNumId w:val="14"/>
  </w:num>
  <w:num w:numId="6">
    <w:abstractNumId w:val="8"/>
  </w:num>
  <w:num w:numId="7">
    <w:abstractNumId w:val="6"/>
  </w:num>
  <w:num w:numId="8">
    <w:abstractNumId w:val="16"/>
  </w:num>
  <w:num w:numId="9">
    <w:abstractNumId w:val="5"/>
  </w:num>
  <w:num w:numId="10">
    <w:abstractNumId w:val="12"/>
  </w:num>
  <w:num w:numId="11">
    <w:abstractNumId w:val="10"/>
  </w:num>
  <w:num w:numId="12">
    <w:abstractNumId w:val="18"/>
  </w:num>
  <w:num w:numId="13">
    <w:abstractNumId w:val="15"/>
  </w:num>
  <w:num w:numId="14">
    <w:abstractNumId w:val="2"/>
  </w:num>
  <w:num w:numId="15">
    <w:abstractNumId w:val="7"/>
  </w:num>
  <w:num w:numId="16">
    <w:abstractNumId w:val="13"/>
  </w:num>
  <w:num w:numId="17">
    <w:abstractNumId w:val="1"/>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0D"/>
    <w:rsid w:val="0001578C"/>
    <w:rsid w:val="00016D51"/>
    <w:rsid w:val="00031447"/>
    <w:rsid w:val="000A67FC"/>
    <w:rsid w:val="000B597C"/>
    <w:rsid w:val="000C331C"/>
    <w:rsid w:val="001265D4"/>
    <w:rsid w:val="00133673"/>
    <w:rsid w:val="001408C6"/>
    <w:rsid w:val="00145482"/>
    <w:rsid w:val="00152209"/>
    <w:rsid w:val="0015344D"/>
    <w:rsid w:val="00162975"/>
    <w:rsid w:val="00184CA1"/>
    <w:rsid w:val="00192B06"/>
    <w:rsid w:val="001F1C92"/>
    <w:rsid w:val="002039DD"/>
    <w:rsid w:val="0020436B"/>
    <w:rsid w:val="002133F8"/>
    <w:rsid w:val="0023131F"/>
    <w:rsid w:val="00261CFB"/>
    <w:rsid w:val="00263173"/>
    <w:rsid w:val="002651E7"/>
    <w:rsid w:val="002654CE"/>
    <w:rsid w:val="0028442A"/>
    <w:rsid w:val="002B27D7"/>
    <w:rsid w:val="002C351B"/>
    <w:rsid w:val="003555E3"/>
    <w:rsid w:val="003743FC"/>
    <w:rsid w:val="003832A0"/>
    <w:rsid w:val="003946F4"/>
    <w:rsid w:val="003A351E"/>
    <w:rsid w:val="003C2D98"/>
    <w:rsid w:val="004461FE"/>
    <w:rsid w:val="004931F3"/>
    <w:rsid w:val="004E2CCE"/>
    <w:rsid w:val="00501168"/>
    <w:rsid w:val="00507D49"/>
    <w:rsid w:val="005160C1"/>
    <w:rsid w:val="0053489F"/>
    <w:rsid w:val="00536ACA"/>
    <w:rsid w:val="00551E26"/>
    <w:rsid w:val="00567E5F"/>
    <w:rsid w:val="00577B90"/>
    <w:rsid w:val="00586231"/>
    <w:rsid w:val="005B2721"/>
    <w:rsid w:val="005B4D93"/>
    <w:rsid w:val="005E48AD"/>
    <w:rsid w:val="005F2470"/>
    <w:rsid w:val="00605EEC"/>
    <w:rsid w:val="0064178A"/>
    <w:rsid w:val="00643C98"/>
    <w:rsid w:val="0066210B"/>
    <w:rsid w:val="0066397E"/>
    <w:rsid w:val="00676DE1"/>
    <w:rsid w:val="0068770D"/>
    <w:rsid w:val="00754511"/>
    <w:rsid w:val="007549AD"/>
    <w:rsid w:val="007632CC"/>
    <w:rsid w:val="00796C57"/>
    <w:rsid w:val="007E29DA"/>
    <w:rsid w:val="007F4518"/>
    <w:rsid w:val="00814FF1"/>
    <w:rsid w:val="008218B6"/>
    <w:rsid w:val="00852B8A"/>
    <w:rsid w:val="00877A04"/>
    <w:rsid w:val="008903F7"/>
    <w:rsid w:val="00895018"/>
    <w:rsid w:val="008C66BE"/>
    <w:rsid w:val="008D10C2"/>
    <w:rsid w:val="008E1F23"/>
    <w:rsid w:val="009149B6"/>
    <w:rsid w:val="00961CE8"/>
    <w:rsid w:val="009709D7"/>
    <w:rsid w:val="009711D7"/>
    <w:rsid w:val="00980ED4"/>
    <w:rsid w:val="00982A62"/>
    <w:rsid w:val="00993DFC"/>
    <w:rsid w:val="009D55D3"/>
    <w:rsid w:val="00A13BC7"/>
    <w:rsid w:val="00A46A50"/>
    <w:rsid w:val="00AD1783"/>
    <w:rsid w:val="00AD364A"/>
    <w:rsid w:val="00B26DE5"/>
    <w:rsid w:val="00B835A8"/>
    <w:rsid w:val="00BC17EA"/>
    <w:rsid w:val="00C17312"/>
    <w:rsid w:val="00C54A59"/>
    <w:rsid w:val="00C61DC9"/>
    <w:rsid w:val="00C63704"/>
    <w:rsid w:val="00C70EE6"/>
    <w:rsid w:val="00C71A08"/>
    <w:rsid w:val="00CC08E1"/>
    <w:rsid w:val="00CC4104"/>
    <w:rsid w:val="00CD4C8D"/>
    <w:rsid w:val="00CD73A6"/>
    <w:rsid w:val="00CF0A57"/>
    <w:rsid w:val="00D42603"/>
    <w:rsid w:val="00D55747"/>
    <w:rsid w:val="00D82885"/>
    <w:rsid w:val="00DA3716"/>
    <w:rsid w:val="00DB0FFF"/>
    <w:rsid w:val="00DE797D"/>
    <w:rsid w:val="00DF2678"/>
    <w:rsid w:val="00E16F00"/>
    <w:rsid w:val="00E224F3"/>
    <w:rsid w:val="00E44369"/>
    <w:rsid w:val="00E44BAC"/>
    <w:rsid w:val="00E62131"/>
    <w:rsid w:val="00E91E95"/>
    <w:rsid w:val="00EB623A"/>
    <w:rsid w:val="00ED7F57"/>
    <w:rsid w:val="00EF6339"/>
    <w:rsid w:val="00F04748"/>
    <w:rsid w:val="00F424A5"/>
    <w:rsid w:val="00F4431F"/>
    <w:rsid w:val="00F809A9"/>
    <w:rsid w:val="00F85596"/>
    <w:rsid w:val="00FE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pPr>
      <w:keepNext/>
      <w:spacing w:line="360" w:lineRule="auto"/>
      <w:outlineLvl w:val="0"/>
    </w:pPr>
    <w:rPr>
      <w:rFonts w:ascii="Bookman Old Style" w:hAnsi="Bookman Old Style" w:cs="Courier New"/>
      <w:b/>
      <w:bCs/>
      <w:sz w:val="26"/>
    </w:rPr>
  </w:style>
  <w:style w:type="paragraph" w:styleId="Heading2">
    <w:name w:val="heading 2"/>
    <w:basedOn w:val="Normal"/>
    <w:next w:val="Normal"/>
    <w:link w:val="Heading2Char"/>
    <w:uiPriority w:val="9"/>
    <w:qFormat/>
    <w:pPr>
      <w:keepNext/>
      <w:spacing w:line="480" w:lineRule="auto"/>
      <w:outlineLvl w:val="1"/>
    </w:pPr>
    <w:rPr>
      <w:rFonts w:ascii="Courier New" w:hAnsi="Courier New" w:cs="Courier New"/>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rPr>
      <w:sz w:val="24"/>
      <w:szCs w:val="24"/>
      <w:lang w:val="en-GB"/>
    </w:rPr>
  </w:style>
  <w:style w:type="paragraph" w:styleId="BodyText">
    <w:name w:val="Body Text"/>
    <w:basedOn w:val="Normal"/>
    <w:link w:val="BodyTextChar"/>
    <w:uiPriority w:val="99"/>
    <w:semiHidden/>
    <w:pPr>
      <w:spacing w:line="480" w:lineRule="auto"/>
      <w:jc w:val="both"/>
    </w:pPr>
    <w:rPr>
      <w:rFonts w:ascii="Bookman Old Style" w:hAnsi="Bookman Old Style" w:cs="Courier New"/>
      <w:sz w:val="26"/>
    </w:rPr>
  </w:style>
  <w:style w:type="character" w:customStyle="1" w:styleId="BodyTextChar">
    <w:name w:val="Body Text Char"/>
    <w:basedOn w:val="DefaultParagraphFont"/>
    <w:link w:val="BodyText"/>
    <w:uiPriority w:val="99"/>
    <w:semiHidden/>
    <w:rPr>
      <w:sz w:val="24"/>
      <w:szCs w:val="24"/>
      <w:lang w:val="en-GB"/>
    </w:rPr>
  </w:style>
  <w:style w:type="paragraph" w:styleId="BodyTextIndent">
    <w:name w:val="Body Text Indent"/>
    <w:basedOn w:val="Normal"/>
    <w:link w:val="BodyTextIndentChar"/>
    <w:uiPriority w:val="99"/>
    <w:semiHidden/>
    <w:pPr>
      <w:spacing w:line="360" w:lineRule="auto"/>
      <w:ind w:left="720"/>
      <w:jc w:val="both"/>
    </w:pPr>
    <w:rPr>
      <w:rFonts w:ascii="Bookman Old Style" w:hAnsi="Bookman Old Style" w:cs="Courier New"/>
      <w:i/>
      <w:iCs/>
      <w:sz w:val="26"/>
    </w:rPr>
  </w:style>
  <w:style w:type="character" w:customStyle="1" w:styleId="BodyTextIndentChar">
    <w:name w:val="Body Text Indent Char"/>
    <w:basedOn w:val="DefaultParagraphFont"/>
    <w:link w:val="BodyTextIndent"/>
    <w:uiPriority w:val="99"/>
    <w:semiHidden/>
    <w:rPr>
      <w:sz w:val="24"/>
      <w:szCs w:val="24"/>
      <w:lang w:val="en-GB"/>
    </w:rPr>
  </w:style>
  <w:style w:type="character" w:styleId="PageNumber">
    <w:name w:val="page number"/>
    <w:basedOn w:val="DefaultParagraphFont"/>
    <w:uiPriority w:val="99"/>
    <w:semiHidden/>
    <w:rPr>
      <w:rFonts w:cs="Times New Roman"/>
    </w:rPr>
  </w:style>
  <w:style w:type="paragraph" w:styleId="ListParagraph">
    <w:name w:val="List Paragraph"/>
    <w:basedOn w:val="Normal"/>
    <w:uiPriority w:val="34"/>
    <w:qFormat/>
    <w:rsid w:val="003743FC"/>
    <w:pPr>
      <w:ind w:left="720"/>
    </w:pPr>
  </w:style>
  <w:style w:type="paragraph" w:styleId="Footer">
    <w:name w:val="footer"/>
    <w:basedOn w:val="Normal"/>
    <w:link w:val="FooterChar"/>
    <w:uiPriority w:val="99"/>
    <w:semiHidden/>
    <w:unhideWhenUsed/>
    <w:rsid w:val="00536ACA"/>
    <w:pPr>
      <w:tabs>
        <w:tab w:val="center" w:pos="4680"/>
        <w:tab w:val="right" w:pos="9360"/>
      </w:tabs>
    </w:pPr>
  </w:style>
  <w:style w:type="character" w:customStyle="1" w:styleId="FooterChar">
    <w:name w:val="Footer Char"/>
    <w:basedOn w:val="DefaultParagraphFont"/>
    <w:link w:val="Footer"/>
    <w:uiPriority w:val="99"/>
    <w:semiHidden/>
    <w:locked/>
    <w:rsid w:val="00536ACA"/>
    <w:rPr>
      <w:rFonts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pPr>
      <w:keepNext/>
      <w:spacing w:line="360" w:lineRule="auto"/>
      <w:outlineLvl w:val="0"/>
    </w:pPr>
    <w:rPr>
      <w:rFonts w:ascii="Bookman Old Style" w:hAnsi="Bookman Old Style" w:cs="Courier New"/>
      <w:b/>
      <w:bCs/>
      <w:sz w:val="26"/>
    </w:rPr>
  </w:style>
  <w:style w:type="paragraph" w:styleId="Heading2">
    <w:name w:val="heading 2"/>
    <w:basedOn w:val="Normal"/>
    <w:next w:val="Normal"/>
    <w:link w:val="Heading2Char"/>
    <w:uiPriority w:val="9"/>
    <w:qFormat/>
    <w:pPr>
      <w:keepNext/>
      <w:spacing w:line="480" w:lineRule="auto"/>
      <w:outlineLvl w:val="1"/>
    </w:pPr>
    <w:rPr>
      <w:rFonts w:ascii="Courier New" w:hAnsi="Courier New" w:cs="Courier New"/>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rPr>
      <w:sz w:val="24"/>
      <w:szCs w:val="24"/>
      <w:lang w:val="en-GB"/>
    </w:rPr>
  </w:style>
  <w:style w:type="paragraph" w:styleId="BodyText">
    <w:name w:val="Body Text"/>
    <w:basedOn w:val="Normal"/>
    <w:link w:val="BodyTextChar"/>
    <w:uiPriority w:val="99"/>
    <w:semiHidden/>
    <w:pPr>
      <w:spacing w:line="480" w:lineRule="auto"/>
      <w:jc w:val="both"/>
    </w:pPr>
    <w:rPr>
      <w:rFonts w:ascii="Bookman Old Style" w:hAnsi="Bookman Old Style" w:cs="Courier New"/>
      <w:sz w:val="26"/>
    </w:rPr>
  </w:style>
  <w:style w:type="character" w:customStyle="1" w:styleId="BodyTextChar">
    <w:name w:val="Body Text Char"/>
    <w:basedOn w:val="DefaultParagraphFont"/>
    <w:link w:val="BodyText"/>
    <w:uiPriority w:val="99"/>
    <w:semiHidden/>
    <w:rPr>
      <w:sz w:val="24"/>
      <w:szCs w:val="24"/>
      <w:lang w:val="en-GB"/>
    </w:rPr>
  </w:style>
  <w:style w:type="paragraph" w:styleId="BodyTextIndent">
    <w:name w:val="Body Text Indent"/>
    <w:basedOn w:val="Normal"/>
    <w:link w:val="BodyTextIndentChar"/>
    <w:uiPriority w:val="99"/>
    <w:semiHidden/>
    <w:pPr>
      <w:spacing w:line="360" w:lineRule="auto"/>
      <w:ind w:left="720"/>
      <w:jc w:val="both"/>
    </w:pPr>
    <w:rPr>
      <w:rFonts w:ascii="Bookman Old Style" w:hAnsi="Bookman Old Style" w:cs="Courier New"/>
      <w:i/>
      <w:iCs/>
      <w:sz w:val="26"/>
    </w:rPr>
  </w:style>
  <w:style w:type="character" w:customStyle="1" w:styleId="BodyTextIndentChar">
    <w:name w:val="Body Text Indent Char"/>
    <w:basedOn w:val="DefaultParagraphFont"/>
    <w:link w:val="BodyTextIndent"/>
    <w:uiPriority w:val="99"/>
    <w:semiHidden/>
    <w:rPr>
      <w:sz w:val="24"/>
      <w:szCs w:val="24"/>
      <w:lang w:val="en-GB"/>
    </w:rPr>
  </w:style>
  <w:style w:type="character" w:styleId="PageNumber">
    <w:name w:val="page number"/>
    <w:basedOn w:val="DefaultParagraphFont"/>
    <w:uiPriority w:val="99"/>
    <w:semiHidden/>
    <w:rPr>
      <w:rFonts w:cs="Times New Roman"/>
    </w:rPr>
  </w:style>
  <w:style w:type="paragraph" w:styleId="ListParagraph">
    <w:name w:val="List Paragraph"/>
    <w:basedOn w:val="Normal"/>
    <w:uiPriority w:val="34"/>
    <w:qFormat/>
    <w:rsid w:val="003743FC"/>
    <w:pPr>
      <w:ind w:left="720"/>
    </w:pPr>
  </w:style>
  <w:style w:type="paragraph" w:styleId="Footer">
    <w:name w:val="footer"/>
    <w:basedOn w:val="Normal"/>
    <w:link w:val="FooterChar"/>
    <w:uiPriority w:val="99"/>
    <w:semiHidden/>
    <w:unhideWhenUsed/>
    <w:rsid w:val="00536ACA"/>
    <w:pPr>
      <w:tabs>
        <w:tab w:val="center" w:pos="4680"/>
        <w:tab w:val="right" w:pos="9360"/>
      </w:tabs>
    </w:pPr>
  </w:style>
  <w:style w:type="character" w:customStyle="1" w:styleId="FooterChar">
    <w:name w:val="Footer Char"/>
    <w:basedOn w:val="DefaultParagraphFont"/>
    <w:link w:val="Footer"/>
    <w:uiPriority w:val="99"/>
    <w:semiHidden/>
    <w:locked/>
    <w:rsid w:val="00536ACA"/>
    <w:rPr>
      <w:rFonts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2012-06-14T18:30:00+00:00</Judgment_x0020_Date>
    <Year xmlns="aec0a7e9-5f5c-4ba9-87b2-85cfc8a38b86">2012</Year>
  </documentManagement>
</p:properties>
</file>

<file path=customXml/itemProps1.xml><?xml version="1.0" encoding="utf-8"?>
<ds:datastoreItem xmlns:ds="http://schemas.openxmlformats.org/officeDocument/2006/customXml" ds:itemID="{04B747F6-5470-4CAF-80E1-2011FF81CC36}"/>
</file>

<file path=customXml/itemProps2.xml><?xml version="1.0" encoding="utf-8"?>
<ds:datastoreItem xmlns:ds="http://schemas.openxmlformats.org/officeDocument/2006/customXml" ds:itemID="{033A5617-EE2B-4F89-BECA-660F6020E9F1}"/>
</file>

<file path=customXml/itemProps3.xml><?xml version="1.0" encoding="utf-8"?>
<ds:datastoreItem xmlns:ds="http://schemas.openxmlformats.org/officeDocument/2006/customXml" ds:itemID="{2216E77F-A23D-4E12-B556-9CA49CB788D4}"/>
</file>

<file path=customXml/itemProps4.xml><?xml version="1.0" encoding="utf-8"?>
<ds:datastoreItem xmlns:ds="http://schemas.openxmlformats.org/officeDocument/2006/customXml" ds:itemID="{2D21A88A-3AF3-4B1F-8D3A-3BA594EE0750}"/>
</file>

<file path=docProps/app.xml><?xml version="1.0" encoding="utf-8"?>
<Properties xmlns="http://schemas.openxmlformats.org/officeDocument/2006/extended-properties" xmlns:vt="http://schemas.openxmlformats.org/officeDocument/2006/docPropsVTypes">
  <Template>Normal</Template>
  <TotalTime>1</TotalTime>
  <Pages>9</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SHATECH</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sikongo</cp:lastModifiedBy>
  <cp:revision>2</cp:revision>
  <cp:lastPrinted>2012-06-13T10:58:00Z</cp:lastPrinted>
  <dcterms:created xsi:type="dcterms:W3CDTF">2013-11-07T09:18:00Z</dcterms:created>
  <dcterms:modified xsi:type="dcterms:W3CDTF">2013-11-07T09:18:00Z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24200</vt:r8>
  </property>
  <property fmtid="{D5CDD505-2E9C-101B-9397-08002B2CF9AE}" pid="3" name="WorkflowChangePath">
    <vt:lpwstr>51234616-b7fe-46f9-8258-192439289d77,4;51234616-b7fe-46f9-8258-192439289d77,6;51234616-b7fe-46f9-8258-192439289d77,9;</vt:lpwstr>
  </property>
  <property fmtid="{D5CDD505-2E9C-101B-9397-08002B2CF9AE}" pid="4" name="ContentTypeId">
    <vt:lpwstr>0x0101008CCF6D66F229EE4D8B714E6AF2A2557D</vt:lpwstr>
  </property>
</Properties>
</file>