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555" w:rsidRPr="004F085B" w:rsidRDefault="00070555" w:rsidP="00070555">
      <w:pPr>
        <w:spacing w:line="480" w:lineRule="auto"/>
        <w:jc w:val="right"/>
        <w:rPr>
          <w:rFonts w:ascii="Arial" w:hAnsi="Arial" w:cs="Arial"/>
        </w:rPr>
      </w:pPr>
      <w:r w:rsidRPr="004F085B">
        <w:rPr>
          <w:rFonts w:ascii="Arial" w:hAnsi="Arial" w:cs="Arial"/>
        </w:rPr>
        <w:t>NOT REPORTABLE</w:t>
      </w:r>
    </w:p>
    <w:p w:rsidR="00070555" w:rsidRPr="00D352D7" w:rsidRDefault="00070555" w:rsidP="00070555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D352D7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48F1E" wp14:editId="00D34BF7">
                <wp:simplePos x="0" y="0"/>
                <wp:positionH relativeFrom="column">
                  <wp:posOffset>4552950</wp:posOffset>
                </wp:positionH>
                <wp:positionV relativeFrom="paragraph">
                  <wp:posOffset>-57150</wp:posOffset>
                </wp:positionV>
                <wp:extent cx="1562100" cy="24765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555" w:rsidRPr="001329E3" w:rsidRDefault="00070555" w:rsidP="00070555">
                            <w:pPr>
                              <w:jc w:val="right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4648F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.5pt;margin-top:-4.5pt;width:123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l6WJAIAAFAEAAAOAAAAZHJzL2Uyb0RvYy54bWysVFFv2yAQfp+0/4B4X+xYSdpacaouXaZJ&#10;XTep3Q/AGNtowDEgsbNfvwOnWdS9VfMD4jj47u777ry+HbUiB+G8BFPR+SynRBgOjTRdRX887z5c&#10;U+IDMw1TYERFj8LT2837d+vBlqKAHlQjHEEQ48vBVrQPwZZZ5nkvNPMzsMKgswWnWUDTdVnj2IDo&#10;WmVFnq+yAVxjHXDhPZ7eT066SfhtK3j41rZeBKIqirmFtLq01nHNNmtWdo7ZXvJTGuwNWWgmDQY9&#10;Q92zwMjeyX+gtOQOPLRhxkFn0LaSi1QDVjPPX1Xz1DMrUi1Ijrdnmvz/g+WPh++OyKaiBSWGaZTo&#10;WYyBfISRFJGdwfoSLz1ZvBZGPEaVU6XePgD/6YmBbc9MJ+6cg6EXrMHs5vFldvF0wvERpB6+QoNh&#10;2D5AAhpbpyN1SAZBdFTpeFYmpsJjyOWqmOfo4ugrFlerZZIuY+XLa+t8+CxAk7ipqEPlEzo7PPgQ&#10;s2Hly5UYzIOSzU4qlQzX1VvlyIFhl+zSlwp4dU0ZMlT0ZlksJwLeAKFlwHZXUlf0Oo/f1ICRtk+m&#10;Sc0YmFTTHlNW5sRjpG4iMYz1eNKlhuaIjDqY2hrHEDc9uN+UDNjSFfW/9swJStQXg6rczBeLOAPJ&#10;WCyvCjTcpae+9DDDEaqigZJpuw3T3Oytk12PkaY+MHCHSrYykRwln7I65Y1tm7g/jVici0s73fr7&#10;I9j8AQAA//8DAFBLAwQUAAYACAAAACEAT6Rysd8AAAAJAQAADwAAAGRycy9kb3ducmV2LnhtbEyP&#10;QW/CMAyF75P2HyIj7TJBQpFgdHURQpt2BnbZLTSmrWiStgm07NfPO20n23pPz9/LNqNtxI36UHuH&#10;MJ8pEOQKb2pXInwe36cvIELUzujGO0K4U4BN/viQ6dT4we3pdoil4BAXUo1QxdimUoaiIqvDzLfk&#10;WDv73urIZ19K0+uBw20jE6WW0ura8YdKt7SrqLgcrhbBD29366lTyfPXt/3Ybbv9OekQnybj9hVE&#10;pDH+meEXn9EhZ6aTvzoTRIOwmq+4S0SYrnmyYb1c8HJCWCgFMs/k/wb5DwAAAP//AwBQSwECLQAU&#10;AAYACAAAACEAtoM4kv4AAADhAQAAEwAAAAAAAAAAAAAAAAAAAAAAW0NvbnRlbnRfVHlwZXNdLnht&#10;bFBLAQItABQABgAIAAAAIQA4/SH/1gAAAJQBAAALAAAAAAAAAAAAAAAAAC8BAABfcmVscy8ucmVs&#10;c1BLAQItABQABgAIAAAAIQB+xl6WJAIAAFAEAAAOAAAAAAAAAAAAAAAAAC4CAABkcnMvZTJvRG9j&#10;LnhtbFBLAQItABQABgAIAAAAIQBPpHKx3wAAAAkBAAAPAAAAAAAAAAAAAAAAAH4EAABkcnMvZG93&#10;bnJldi54bWxQSwUGAAAAAAQABADzAAAAigUAAAAA&#10;" strokecolor="white">
                <v:textbox>
                  <w:txbxContent>
                    <w:p w:rsidR="00070555" w:rsidRPr="001329E3" w:rsidRDefault="00070555" w:rsidP="00070555">
                      <w:pPr>
                        <w:jc w:val="right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52D7">
        <w:rPr>
          <w:rFonts w:ascii="Arial" w:hAnsi="Arial" w:cs="Arial"/>
          <w:b/>
          <w:sz w:val="24"/>
          <w:szCs w:val="24"/>
        </w:rPr>
        <w:t>REPUBLIC OF NAMIBIA</w:t>
      </w:r>
    </w:p>
    <w:p w:rsidR="00070555" w:rsidRPr="00D352D7" w:rsidRDefault="00070555" w:rsidP="00070555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D352D7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451602F2" wp14:editId="787BCAF0">
            <wp:extent cx="1276350" cy="1323975"/>
            <wp:effectExtent l="19050" t="0" r="0" b="0"/>
            <wp:docPr id="1" name="Picture 2" descr="Coat of Arm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 of Arms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555" w:rsidRPr="00D352D7" w:rsidRDefault="00D80AD8" w:rsidP="00070555">
      <w:pPr>
        <w:spacing w:after="0" w:line="48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LABOUR</w:t>
      </w:r>
      <w:r w:rsidR="00070555" w:rsidRPr="00D352D7">
        <w:rPr>
          <w:rFonts w:ascii="Arial" w:hAnsi="Arial" w:cs="Arial"/>
          <w:b/>
          <w:sz w:val="24"/>
          <w:szCs w:val="24"/>
        </w:rPr>
        <w:t xml:space="preserve"> COURT OF NAMIBIA MAIN DIVISION, WINDHOEK</w:t>
      </w:r>
    </w:p>
    <w:p w:rsidR="00070555" w:rsidRPr="00D352D7" w:rsidRDefault="00070555" w:rsidP="00070555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070555" w:rsidRPr="00EB07A8" w:rsidRDefault="00070555" w:rsidP="00070555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D352D7">
        <w:rPr>
          <w:rFonts w:ascii="Arial" w:hAnsi="Arial" w:cs="Arial"/>
          <w:b/>
          <w:sz w:val="24"/>
          <w:szCs w:val="24"/>
        </w:rPr>
        <w:t>JUDGMENT</w:t>
      </w:r>
    </w:p>
    <w:p w:rsidR="00070555" w:rsidRPr="00D352D7" w:rsidRDefault="00070555" w:rsidP="00070555">
      <w:pPr>
        <w:spacing w:line="480" w:lineRule="auto"/>
        <w:ind w:left="504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636725">
        <w:rPr>
          <w:rFonts w:ascii="Arial" w:hAnsi="Arial" w:cs="Arial"/>
          <w:sz w:val="24"/>
          <w:szCs w:val="24"/>
        </w:rPr>
        <w:t>CASE NO.: LC 52/</w:t>
      </w:r>
      <w:r w:rsidR="00425FA3">
        <w:rPr>
          <w:rFonts w:ascii="Arial" w:hAnsi="Arial" w:cs="Arial"/>
          <w:sz w:val="24"/>
          <w:szCs w:val="24"/>
        </w:rPr>
        <w:t>20</w:t>
      </w:r>
      <w:r w:rsidR="00636725">
        <w:rPr>
          <w:rFonts w:ascii="Arial" w:hAnsi="Arial" w:cs="Arial"/>
          <w:sz w:val="24"/>
          <w:szCs w:val="24"/>
        </w:rPr>
        <w:t>15</w:t>
      </w:r>
    </w:p>
    <w:p w:rsidR="00070555" w:rsidRPr="00D352D7" w:rsidRDefault="00070555" w:rsidP="0007055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D352D7">
        <w:rPr>
          <w:rFonts w:ascii="Arial" w:hAnsi="Arial" w:cs="Arial"/>
          <w:sz w:val="24"/>
          <w:szCs w:val="24"/>
        </w:rPr>
        <w:t>In the matter between:</w:t>
      </w:r>
    </w:p>
    <w:p w:rsidR="00070555" w:rsidRPr="00D352D7" w:rsidRDefault="00D80AD8" w:rsidP="00070555">
      <w:pPr>
        <w:tabs>
          <w:tab w:val="left" w:pos="8010"/>
          <w:tab w:val="right" w:pos="8222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 GOAGOSEB</w:t>
      </w:r>
      <w:r w:rsidR="00070555" w:rsidRPr="00D352D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</w:t>
      </w:r>
      <w:r w:rsidR="00070555">
        <w:rPr>
          <w:rFonts w:ascii="Arial" w:hAnsi="Arial" w:cs="Arial"/>
          <w:b/>
          <w:sz w:val="24"/>
          <w:szCs w:val="24"/>
        </w:rPr>
        <w:t xml:space="preserve">     </w:t>
      </w:r>
      <w:r w:rsidR="00070555" w:rsidRPr="00D352D7">
        <w:rPr>
          <w:rFonts w:ascii="Arial" w:hAnsi="Arial" w:cs="Arial"/>
          <w:b/>
          <w:sz w:val="24"/>
          <w:szCs w:val="24"/>
        </w:rPr>
        <w:t>APPLICANT</w:t>
      </w:r>
    </w:p>
    <w:p w:rsidR="00765CDB" w:rsidRDefault="00765CDB" w:rsidP="00765CD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D352D7">
        <w:rPr>
          <w:rFonts w:ascii="Arial" w:hAnsi="Arial" w:cs="Arial"/>
          <w:sz w:val="24"/>
          <w:szCs w:val="24"/>
        </w:rPr>
        <w:t>A</w:t>
      </w:r>
      <w:r w:rsidR="00070555" w:rsidRPr="00D352D7">
        <w:rPr>
          <w:rFonts w:ascii="Arial" w:hAnsi="Arial" w:cs="Arial"/>
          <w:sz w:val="24"/>
          <w:szCs w:val="24"/>
        </w:rPr>
        <w:t>nd</w:t>
      </w:r>
    </w:p>
    <w:p w:rsidR="00F9189B" w:rsidRDefault="00F9189B" w:rsidP="00765CDB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EVANGELICAL LUTHERN CHURCH</w:t>
      </w:r>
    </w:p>
    <w:p w:rsidR="00070555" w:rsidRPr="00765CDB" w:rsidRDefault="00F9189B" w:rsidP="00765CD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 THE REPUBLIC OF </w:t>
      </w:r>
      <w:r w:rsidRPr="00765CDB">
        <w:rPr>
          <w:rFonts w:ascii="Arial" w:hAnsi="Arial" w:cs="Arial"/>
          <w:b/>
          <w:sz w:val="24"/>
          <w:szCs w:val="24"/>
        </w:rPr>
        <w:t>NAMIBIA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765CDB" w:rsidRPr="00765CD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765CDB">
        <w:rPr>
          <w:rFonts w:ascii="Arial" w:hAnsi="Arial" w:cs="Arial"/>
          <w:sz w:val="24"/>
          <w:szCs w:val="24"/>
        </w:rPr>
        <w:tab/>
      </w:r>
      <w:r w:rsidR="00765CDB">
        <w:rPr>
          <w:rFonts w:ascii="Arial" w:hAnsi="Arial" w:cs="Arial"/>
          <w:sz w:val="24"/>
          <w:szCs w:val="24"/>
        </w:rPr>
        <w:tab/>
      </w:r>
      <w:r w:rsidR="00765CDB">
        <w:rPr>
          <w:rFonts w:ascii="Arial" w:hAnsi="Arial" w:cs="Arial"/>
          <w:b/>
          <w:sz w:val="24"/>
          <w:szCs w:val="24"/>
        </w:rPr>
        <w:t>1</w:t>
      </w:r>
      <w:r w:rsidR="00765CDB" w:rsidRPr="00765CDB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765CDB">
        <w:rPr>
          <w:rFonts w:ascii="Arial" w:hAnsi="Arial" w:cs="Arial"/>
          <w:b/>
          <w:sz w:val="24"/>
          <w:szCs w:val="24"/>
        </w:rPr>
        <w:t xml:space="preserve"> </w:t>
      </w:r>
      <w:r w:rsidR="00070555" w:rsidRPr="00D352D7">
        <w:rPr>
          <w:rFonts w:ascii="Arial" w:hAnsi="Arial" w:cs="Arial"/>
          <w:b/>
          <w:sz w:val="24"/>
          <w:szCs w:val="24"/>
        </w:rPr>
        <w:t>RESPONDENT</w:t>
      </w:r>
    </w:p>
    <w:p w:rsidR="00765CDB" w:rsidRPr="00D352D7" w:rsidRDefault="00765CDB" w:rsidP="00765CDB">
      <w:pPr>
        <w:tabs>
          <w:tab w:val="left" w:pos="7380"/>
          <w:tab w:val="right" w:pos="8222"/>
        </w:tabs>
        <w:spacing w:line="480" w:lineRule="auto"/>
        <w:ind w:left="7200" w:hanging="72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KLEOFAS GEINGOB</w:t>
      </w:r>
      <w:r>
        <w:rPr>
          <w:rFonts w:ascii="Arial" w:hAnsi="Arial" w:cs="Arial"/>
          <w:b/>
          <w:sz w:val="24"/>
          <w:szCs w:val="24"/>
        </w:rPr>
        <w:tab/>
        <w:t>2</w:t>
      </w:r>
      <w:r w:rsidRPr="00765CDB">
        <w:rPr>
          <w:rFonts w:ascii="Arial" w:hAnsi="Arial" w:cs="Arial"/>
          <w:b/>
          <w:sz w:val="24"/>
          <w:szCs w:val="24"/>
          <w:vertAlign w:val="superscript"/>
        </w:rPr>
        <w:t>ND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352D7">
        <w:rPr>
          <w:rFonts w:ascii="Arial" w:hAnsi="Arial" w:cs="Arial"/>
          <w:b/>
          <w:sz w:val="24"/>
          <w:szCs w:val="24"/>
        </w:rPr>
        <w:t>RESPONDENT</w:t>
      </w:r>
    </w:p>
    <w:p w:rsidR="00070555" w:rsidRDefault="00070555" w:rsidP="00070555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070555" w:rsidRPr="00425FA3" w:rsidRDefault="00070555" w:rsidP="00425FA3">
      <w:pPr>
        <w:spacing w:after="0" w:line="360" w:lineRule="auto"/>
        <w:ind w:left="2160" w:hanging="2160"/>
        <w:jc w:val="both"/>
        <w:rPr>
          <w:rFonts w:ascii="Arial" w:hAnsi="Arial" w:cs="Arial"/>
          <w:sz w:val="24"/>
          <w:szCs w:val="24"/>
        </w:rPr>
      </w:pPr>
      <w:r w:rsidRPr="00D352D7">
        <w:rPr>
          <w:rFonts w:ascii="Arial" w:hAnsi="Arial" w:cs="Arial"/>
          <w:b/>
          <w:sz w:val="24"/>
          <w:szCs w:val="24"/>
        </w:rPr>
        <w:t>Neutral citation:</w:t>
      </w:r>
      <w:r w:rsidRPr="00D352D7">
        <w:rPr>
          <w:rFonts w:ascii="Arial" w:hAnsi="Arial" w:cs="Arial"/>
          <w:i/>
          <w:sz w:val="24"/>
          <w:szCs w:val="24"/>
        </w:rPr>
        <w:t xml:space="preserve"> </w:t>
      </w:r>
      <w:r w:rsidRPr="00D352D7">
        <w:rPr>
          <w:rFonts w:ascii="Arial" w:hAnsi="Arial" w:cs="Arial"/>
          <w:i/>
          <w:sz w:val="24"/>
          <w:szCs w:val="24"/>
        </w:rPr>
        <w:tab/>
      </w:r>
      <w:r w:rsidRPr="00EB07A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425FA3">
        <w:rPr>
          <w:rFonts w:ascii="Arial" w:hAnsi="Arial" w:cs="Arial"/>
          <w:i/>
          <w:sz w:val="24"/>
          <w:szCs w:val="24"/>
        </w:rPr>
        <w:t>Goagoseb</w:t>
      </w:r>
      <w:proofErr w:type="spellEnd"/>
      <w:r w:rsidR="00425FA3">
        <w:rPr>
          <w:rFonts w:ascii="Arial" w:hAnsi="Arial" w:cs="Arial"/>
          <w:i/>
          <w:sz w:val="24"/>
          <w:szCs w:val="24"/>
        </w:rPr>
        <w:t xml:space="preserve"> v Evangelical </w:t>
      </w:r>
      <w:proofErr w:type="spellStart"/>
      <w:r w:rsidR="00425FA3">
        <w:rPr>
          <w:rFonts w:ascii="Arial" w:hAnsi="Arial" w:cs="Arial"/>
          <w:i/>
          <w:sz w:val="24"/>
          <w:szCs w:val="24"/>
        </w:rPr>
        <w:t>Luthern</w:t>
      </w:r>
      <w:proofErr w:type="spellEnd"/>
      <w:r w:rsidR="00425FA3">
        <w:rPr>
          <w:rFonts w:ascii="Arial" w:hAnsi="Arial" w:cs="Arial"/>
          <w:i/>
          <w:sz w:val="24"/>
          <w:szCs w:val="24"/>
        </w:rPr>
        <w:t xml:space="preserve"> Church in the Republic of Namibia </w:t>
      </w:r>
      <w:r w:rsidR="00425FA3" w:rsidRPr="00762E7D">
        <w:rPr>
          <w:rFonts w:ascii="Arial" w:hAnsi="Arial" w:cs="Arial"/>
          <w:sz w:val="24"/>
          <w:szCs w:val="24"/>
        </w:rPr>
        <w:t>(LC</w:t>
      </w:r>
      <w:r w:rsidR="00B42B8B">
        <w:rPr>
          <w:rFonts w:ascii="Arial" w:hAnsi="Arial" w:cs="Arial"/>
          <w:sz w:val="24"/>
          <w:szCs w:val="24"/>
        </w:rPr>
        <w:t xml:space="preserve"> 52/2015) [2016] NALCMD 36</w:t>
      </w:r>
      <w:r w:rsidR="00425FA3">
        <w:rPr>
          <w:rFonts w:ascii="Arial" w:hAnsi="Arial" w:cs="Arial"/>
          <w:sz w:val="24"/>
          <w:szCs w:val="24"/>
        </w:rPr>
        <w:t xml:space="preserve"> </w:t>
      </w:r>
      <w:r w:rsidRPr="00425FA3">
        <w:rPr>
          <w:rFonts w:ascii="Arial" w:hAnsi="Arial" w:cs="Arial"/>
          <w:sz w:val="24"/>
          <w:szCs w:val="24"/>
        </w:rPr>
        <w:t>(</w:t>
      </w:r>
      <w:r w:rsidR="0053042F" w:rsidRPr="00425FA3">
        <w:rPr>
          <w:rFonts w:ascii="Arial" w:hAnsi="Arial" w:cs="Arial"/>
          <w:sz w:val="24"/>
          <w:szCs w:val="24"/>
        </w:rPr>
        <w:t>23</w:t>
      </w:r>
      <w:r w:rsidRPr="00425FA3">
        <w:rPr>
          <w:rFonts w:ascii="Arial" w:hAnsi="Arial" w:cs="Arial"/>
          <w:sz w:val="24"/>
          <w:szCs w:val="24"/>
        </w:rPr>
        <w:t xml:space="preserve"> September 2016)</w:t>
      </w:r>
    </w:p>
    <w:p w:rsidR="00070555" w:rsidRPr="00D352D7" w:rsidRDefault="00070555" w:rsidP="0007055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070555" w:rsidRPr="00D352D7" w:rsidRDefault="00070555" w:rsidP="00070555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070555" w:rsidRPr="00D352D7" w:rsidRDefault="00070555" w:rsidP="0007055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D352D7">
        <w:rPr>
          <w:rFonts w:ascii="Arial" w:hAnsi="Arial" w:cs="Arial"/>
          <w:b/>
          <w:sz w:val="24"/>
          <w:szCs w:val="24"/>
        </w:rPr>
        <w:lastRenderedPageBreak/>
        <w:t>CORAM:</w:t>
      </w:r>
      <w:r w:rsidRPr="00D352D7">
        <w:rPr>
          <w:rFonts w:ascii="Arial" w:hAnsi="Arial" w:cs="Arial"/>
          <w:sz w:val="24"/>
          <w:szCs w:val="24"/>
        </w:rPr>
        <w:tab/>
      </w:r>
      <w:r w:rsidRPr="00EB07A8">
        <w:rPr>
          <w:rFonts w:ascii="Arial" w:hAnsi="Arial" w:cs="Arial"/>
          <w:sz w:val="24"/>
          <w:szCs w:val="24"/>
        </w:rPr>
        <w:t>VAN WYK, A</w:t>
      </w:r>
      <w:r w:rsidR="00011883">
        <w:rPr>
          <w:rFonts w:ascii="Arial" w:hAnsi="Arial" w:cs="Arial"/>
          <w:sz w:val="24"/>
          <w:szCs w:val="24"/>
        </w:rPr>
        <w:t>J</w:t>
      </w:r>
    </w:p>
    <w:p w:rsidR="00070555" w:rsidRPr="00EF0038" w:rsidRDefault="00070555" w:rsidP="0007055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D352D7">
        <w:rPr>
          <w:rFonts w:ascii="Arial" w:hAnsi="Arial" w:cs="Arial"/>
          <w:b/>
          <w:sz w:val="24"/>
          <w:szCs w:val="24"/>
        </w:rPr>
        <w:t>Heard:</w:t>
      </w:r>
      <w:r w:rsidRPr="00D352D7">
        <w:rPr>
          <w:rFonts w:ascii="Arial" w:hAnsi="Arial" w:cs="Arial"/>
          <w:b/>
          <w:sz w:val="24"/>
          <w:szCs w:val="24"/>
        </w:rPr>
        <w:tab/>
      </w:r>
      <w:r w:rsidR="00D424EA" w:rsidRPr="00EF0038">
        <w:rPr>
          <w:rFonts w:ascii="Arial" w:hAnsi="Arial" w:cs="Arial"/>
          <w:sz w:val="24"/>
          <w:szCs w:val="24"/>
        </w:rPr>
        <w:t>30</w:t>
      </w:r>
      <w:r w:rsidRPr="00EF0038">
        <w:rPr>
          <w:rFonts w:ascii="Arial" w:hAnsi="Arial" w:cs="Arial"/>
          <w:sz w:val="24"/>
          <w:szCs w:val="24"/>
        </w:rPr>
        <w:t xml:space="preserve"> </w:t>
      </w:r>
      <w:r w:rsidR="00D424EA" w:rsidRPr="00EF0038">
        <w:rPr>
          <w:rFonts w:ascii="Arial" w:hAnsi="Arial" w:cs="Arial"/>
          <w:sz w:val="24"/>
          <w:szCs w:val="24"/>
        </w:rPr>
        <w:t>June</w:t>
      </w:r>
      <w:r w:rsidRPr="00EF0038">
        <w:rPr>
          <w:rFonts w:ascii="Arial" w:hAnsi="Arial" w:cs="Arial"/>
          <w:sz w:val="24"/>
          <w:szCs w:val="24"/>
        </w:rPr>
        <w:t xml:space="preserve"> 2016</w:t>
      </w:r>
    </w:p>
    <w:p w:rsidR="00070555" w:rsidRPr="00EF0038" w:rsidRDefault="00070555" w:rsidP="00070555">
      <w:pPr>
        <w:spacing w:line="48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11883">
        <w:rPr>
          <w:rFonts w:ascii="Arial" w:hAnsi="Arial" w:cs="Arial"/>
          <w:b/>
          <w:sz w:val="24"/>
          <w:szCs w:val="24"/>
        </w:rPr>
        <w:t>Delivered:</w:t>
      </w:r>
      <w:r w:rsidRPr="00011883">
        <w:rPr>
          <w:rFonts w:ascii="Arial" w:hAnsi="Arial" w:cs="Arial"/>
          <w:b/>
          <w:sz w:val="24"/>
          <w:szCs w:val="24"/>
        </w:rPr>
        <w:tab/>
      </w:r>
      <w:r w:rsidR="00D424EA" w:rsidRPr="00EF0038">
        <w:rPr>
          <w:rFonts w:ascii="Arial" w:hAnsi="Arial" w:cs="Arial"/>
          <w:sz w:val="24"/>
          <w:szCs w:val="24"/>
        </w:rPr>
        <w:t>23</w:t>
      </w:r>
      <w:r w:rsidRPr="00EF0038">
        <w:rPr>
          <w:rFonts w:ascii="Arial" w:hAnsi="Arial" w:cs="Arial"/>
          <w:sz w:val="24"/>
          <w:szCs w:val="24"/>
        </w:rPr>
        <w:t xml:space="preserve"> September 2016</w:t>
      </w:r>
    </w:p>
    <w:p w:rsidR="00070555" w:rsidRPr="004568D3" w:rsidRDefault="00070555" w:rsidP="00070555">
      <w:pPr>
        <w:spacing w:line="48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261CB" w:rsidRPr="005F7058" w:rsidRDefault="004568D3" w:rsidP="005F70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568D3">
        <w:rPr>
          <w:rFonts w:ascii="Arial" w:hAnsi="Arial" w:cs="Arial"/>
          <w:b/>
          <w:sz w:val="24"/>
          <w:szCs w:val="24"/>
        </w:rPr>
        <w:t>Flynote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  <w:r w:rsidR="005F7058" w:rsidRPr="005F7058">
        <w:rPr>
          <w:rFonts w:ascii="Arial" w:hAnsi="Arial" w:cs="Arial"/>
          <w:sz w:val="24"/>
          <w:szCs w:val="24"/>
        </w:rPr>
        <w:t xml:space="preserve"> </w:t>
      </w:r>
      <w:r w:rsidR="005F7058">
        <w:rPr>
          <w:rFonts w:ascii="Arial" w:hAnsi="Arial" w:cs="Arial"/>
          <w:sz w:val="24"/>
          <w:szCs w:val="24"/>
        </w:rPr>
        <w:tab/>
      </w:r>
      <w:r w:rsidR="003249C1">
        <w:rPr>
          <w:rFonts w:ascii="Arial" w:hAnsi="Arial" w:cs="Arial"/>
          <w:sz w:val="24"/>
          <w:szCs w:val="24"/>
        </w:rPr>
        <w:t xml:space="preserve">Labour Law </w:t>
      </w:r>
      <w:r w:rsidR="005F7058" w:rsidRPr="005F7058">
        <w:rPr>
          <w:rFonts w:ascii="Arial" w:hAnsi="Arial" w:cs="Arial"/>
          <w:sz w:val="24"/>
          <w:szCs w:val="24"/>
        </w:rPr>
        <w:t xml:space="preserve">- </w:t>
      </w:r>
      <w:r w:rsidR="005F7058" w:rsidRPr="005F7058">
        <w:rPr>
          <w:rFonts w:ascii="Arial" w:hAnsi="Arial" w:cs="Arial"/>
          <w:i/>
          <w:sz w:val="24"/>
          <w:szCs w:val="24"/>
        </w:rPr>
        <w:t>Rule 20 (1) and (2) of the Rules relating to the Conduct of Conciliation and Arbitration</w:t>
      </w:r>
      <w:r w:rsidR="00091D64">
        <w:rPr>
          <w:rFonts w:ascii="Arial" w:hAnsi="Arial" w:cs="Arial"/>
          <w:i/>
          <w:sz w:val="24"/>
          <w:szCs w:val="24"/>
        </w:rPr>
        <w:t xml:space="preserve"> before the Labour Commissioner: </w:t>
      </w:r>
      <w:r w:rsidR="005F7058" w:rsidRPr="005F7058">
        <w:rPr>
          <w:rFonts w:ascii="Arial" w:hAnsi="Arial" w:cs="Arial"/>
          <w:i/>
          <w:sz w:val="24"/>
          <w:szCs w:val="24"/>
        </w:rPr>
        <w:t>Labo</w:t>
      </w:r>
      <w:r w:rsidR="00091D64">
        <w:rPr>
          <w:rFonts w:ascii="Arial" w:hAnsi="Arial" w:cs="Arial"/>
          <w:i/>
          <w:sz w:val="24"/>
          <w:szCs w:val="24"/>
        </w:rPr>
        <w:t>ur Act 11 of 2007,</w:t>
      </w:r>
      <w:r w:rsidR="005F7058" w:rsidRPr="005F7058">
        <w:rPr>
          <w:rFonts w:ascii="Arial" w:hAnsi="Arial" w:cs="Arial"/>
          <w:i/>
          <w:sz w:val="24"/>
          <w:szCs w:val="24"/>
        </w:rPr>
        <w:t xml:space="preserve"> </w:t>
      </w:r>
      <w:r w:rsidR="00091D64">
        <w:rPr>
          <w:rFonts w:ascii="Arial" w:hAnsi="Arial" w:cs="Arial"/>
          <w:i/>
          <w:sz w:val="24"/>
          <w:szCs w:val="24"/>
        </w:rPr>
        <w:t>(</w:t>
      </w:r>
      <w:r w:rsidR="005F7058" w:rsidRPr="005F7058">
        <w:rPr>
          <w:rFonts w:ascii="Arial" w:hAnsi="Arial" w:cs="Arial"/>
          <w:i/>
          <w:sz w:val="24"/>
          <w:szCs w:val="24"/>
        </w:rPr>
        <w:t>the Act</w:t>
      </w:r>
      <w:r w:rsidR="00091D64">
        <w:rPr>
          <w:rFonts w:ascii="Arial" w:hAnsi="Arial" w:cs="Arial"/>
          <w:i/>
          <w:sz w:val="24"/>
          <w:szCs w:val="24"/>
        </w:rPr>
        <w:t>)</w:t>
      </w:r>
      <w:r w:rsidR="005F7058" w:rsidRPr="005F7058">
        <w:rPr>
          <w:rFonts w:ascii="Arial" w:hAnsi="Arial" w:cs="Arial"/>
          <w:i/>
          <w:sz w:val="24"/>
          <w:szCs w:val="24"/>
        </w:rPr>
        <w:t xml:space="preserve"> –</w:t>
      </w:r>
      <w:r w:rsidR="003249C1" w:rsidRPr="003249C1">
        <w:rPr>
          <w:rFonts w:ascii="Arial" w:hAnsi="Arial" w:cs="Arial"/>
          <w:sz w:val="24"/>
          <w:szCs w:val="24"/>
        </w:rPr>
        <w:t xml:space="preserve"> </w:t>
      </w:r>
      <w:r w:rsidR="003249C1" w:rsidRPr="005F7058">
        <w:rPr>
          <w:rFonts w:ascii="Arial" w:hAnsi="Arial" w:cs="Arial"/>
          <w:sz w:val="24"/>
          <w:szCs w:val="24"/>
        </w:rPr>
        <w:t>conciliation phase includes opportunity to consider settlement</w:t>
      </w:r>
      <w:r w:rsidR="003249C1">
        <w:rPr>
          <w:rFonts w:ascii="Arial" w:hAnsi="Arial" w:cs="Arial"/>
          <w:sz w:val="24"/>
          <w:szCs w:val="24"/>
        </w:rPr>
        <w:t xml:space="preserve"> -</w:t>
      </w:r>
      <w:r w:rsidR="005F7058" w:rsidRPr="005F7058">
        <w:rPr>
          <w:rFonts w:ascii="Arial" w:hAnsi="Arial" w:cs="Arial"/>
          <w:i/>
          <w:sz w:val="24"/>
          <w:szCs w:val="24"/>
        </w:rPr>
        <w:t xml:space="preserve"> s 86 (5) of the Act – </w:t>
      </w:r>
      <w:r w:rsidR="005F7058" w:rsidRPr="005F7058">
        <w:rPr>
          <w:rFonts w:ascii="Arial" w:hAnsi="Arial" w:cs="Arial"/>
          <w:sz w:val="24"/>
          <w:szCs w:val="24"/>
        </w:rPr>
        <w:t xml:space="preserve">arbitrator </w:t>
      </w:r>
      <w:r w:rsidR="00091D64">
        <w:rPr>
          <w:rFonts w:ascii="Arial" w:hAnsi="Arial" w:cs="Arial"/>
          <w:sz w:val="24"/>
          <w:szCs w:val="24"/>
        </w:rPr>
        <w:t xml:space="preserve">have a </w:t>
      </w:r>
      <w:r w:rsidR="005F7058" w:rsidRPr="005F7058">
        <w:rPr>
          <w:rFonts w:ascii="Arial" w:hAnsi="Arial" w:cs="Arial"/>
          <w:sz w:val="24"/>
          <w:szCs w:val="24"/>
        </w:rPr>
        <w:t xml:space="preserve">duty to attempt to resolve the dispute through conciliation before </w:t>
      </w:r>
      <w:r w:rsidR="005F7058">
        <w:rPr>
          <w:rFonts w:ascii="Arial" w:hAnsi="Arial" w:cs="Arial"/>
          <w:sz w:val="24"/>
          <w:szCs w:val="24"/>
        </w:rPr>
        <w:t>arbitration</w:t>
      </w:r>
      <w:r w:rsidR="00091D64">
        <w:rPr>
          <w:rFonts w:ascii="Arial" w:hAnsi="Arial" w:cs="Arial"/>
          <w:sz w:val="24"/>
          <w:szCs w:val="24"/>
        </w:rPr>
        <w:t xml:space="preserve"> – Motion procedure - </w:t>
      </w:r>
      <w:r w:rsidR="005F7058" w:rsidRPr="0044366E">
        <w:rPr>
          <w:rFonts w:ascii="Arial" w:hAnsi="Arial" w:cs="Arial"/>
          <w:sz w:val="24"/>
          <w:szCs w:val="24"/>
        </w:rPr>
        <w:t>affidavits of the parties co</w:t>
      </w:r>
      <w:r w:rsidR="005F7058">
        <w:rPr>
          <w:rFonts w:ascii="Arial" w:hAnsi="Arial" w:cs="Arial"/>
          <w:sz w:val="24"/>
          <w:szCs w:val="24"/>
        </w:rPr>
        <w:t xml:space="preserve">nstitute both pleadings </w:t>
      </w:r>
      <w:r w:rsidR="00091D64">
        <w:rPr>
          <w:rFonts w:ascii="Arial" w:hAnsi="Arial" w:cs="Arial"/>
          <w:sz w:val="24"/>
          <w:szCs w:val="24"/>
        </w:rPr>
        <w:t xml:space="preserve">and </w:t>
      </w:r>
      <w:r w:rsidR="005F7058">
        <w:rPr>
          <w:rFonts w:ascii="Arial" w:hAnsi="Arial" w:cs="Arial"/>
          <w:sz w:val="24"/>
          <w:szCs w:val="24"/>
        </w:rPr>
        <w:t>evidence</w:t>
      </w:r>
      <w:r w:rsidR="00385C8D">
        <w:rPr>
          <w:rFonts w:ascii="Arial" w:hAnsi="Arial" w:cs="Arial"/>
          <w:sz w:val="24"/>
          <w:szCs w:val="24"/>
        </w:rPr>
        <w:t xml:space="preserve"> – a party stand</w:t>
      </w:r>
      <w:r w:rsidR="004871BF">
        <w:rPr>
          <w:rFonts w:ascii="Arial" w:hAnsi="Arial" w:cs="Arial"/>
          <w:sz w:val="24"/>
          <w:szCs w:val="24"/>
        </w:rPr>
        <w:t>s</w:t>
      </w:r>
      <w:r w:rsidR="00385C8D">
        <w:rPr>
          <w:rFonts w:ascii="Arial" w:hAnsi="Arial" w:cs="Arial"/>
          <w:sz w:val="24"/>
          <w:szCs w:val="24"/>
        </w:rPr>
        <w:t xml:space="preserve"> or fall</w:t>
      </w:r>
      <w:r w:rsidR="004871BF">
        <w:rPr>
          <w:rFonts w:ascii="Arial" w:hAnsi="Arial" w:cs="Arial"/>
          <w:sz w:val="24"/>
          <w:szCs w:val="24"/>
        </w:rPr>
        <w:t>s</w:t>
      </w:r>
      <w:r w:rsidR="00091D64">
        <w:rPr>
          <w:rFonts w:ascii="Arial" w:hAnsi="Arial" w:cs="Arial"/>
          <w:sz w:val="24"/>
          <w:szCs w:val="24"/>
        </w:rPr>
        <w:t xml:space="preserve"> on its papers</w:t>
      </w:r>
      <w:r w:rsidR="00385C8D">
        <w:rPr>
          <w:rFonts w:ascii="Arial" w:hAnsi="Arial" w:cs="Arial"/>
          <w:sz w:val="24"/>
          <w:szCs w:val="24"/>
        </w:rPr>
        <w:t>.</w:t>
      </w:r>
    </w:p>
    <w:p w:rsidR="004568D3" w:rsidRPr="004568D3" w:rsidRDefault="004568D3">
      <w:pPr>
        <w:rPr>
          <w:rFonts w:ascii="Arial" w:hAnsi="Arial" w:cs="Arial"/>
          <w:b/>
          <w:sz w:val="24"/>
          <w:szCs w:val="24"/>
        </w:rPr>
      </w:pPr>
    </w:p>
    <w:p w:rsidR="003249C1" w:rsidRDefault="004568D3" w:rsidP="003249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568D3">
        <w:rPr>
          <w:rFonts w:ascii="Arial" w:hAnsi="Arial" w:cs="Arial"/>
          <w:b/>
          <w:sz w:val="24"/>
          <w:szCs w:val="24"/>
        </w:rPr>
        <w:t>Summary</w:t>
      </w:r>
      <w:r>
        <w:rPr>
          <w:rFonts w:ascii="Arial" w:hAnsi="Arial" w:cs="Arial"/>
          <w:b/>
          <w:sz w:val="24"/>
          <w:szCs w:val="24"/>
        </w:rPr>
        <w:t>:</w:t>
      </w:r>
      <w:r w:rsidR="00385C8D">
        <w:rPr>
          <w:rFonts w:ascii="Arial" w:hAnsi="Arial" w:cs="Arial"/>
          <w:b/>
          <w:sz w:val="24"/>
          <w:szCs w:val="24"/>
        </w:rPr>
        <w:t xml:space="preserve"> </w:t>
      </w:r>
      <w:r w:rsidR="003249C1">
        <w:rPr>
          <w:rFonts w:ascii="Arial" w:hAnsi="Arial" w:cs="Arial"/>
          <w:sz w:val="24"/>
          <w:szCs w:val="24"/>
        </w:rPr>
        <w:t>Applicant seeking an order to declare an alleged sett</w:t>
      </w:r>
      <w:r w:rsidR="007D7C6D">
        <w:rPr>
          <w:rFonts w:ascii="Arial" w:hAnsi="Arial" w:cs="Arial"/>
          <w:sz w:val="24"/>
          <w:szCs w:val="24"/>
        </w:rPr>
        <w:t xml:space="preserve">lement agreement concluded at an alleged </w:t>
      </w:r>
      <w:r w:rsidR="003249C1">
        <w:rPr>
          <w:rFonts w:ascii="Arial" w:hAnsi="Arial" w:cs="Arial"/>
          <w:sz w:val="24"/>
          <w:szCs w:val="24"/>
        </w:rPr>
        <w:t>conciliation meeting valid and enforceable, and to make it an order of court. The alleged settlement was not made an award at the meeting.</w:t>
      </w:r>
    </w:p>
    <w:p w:rsidR="00C1409E" w:rsidRDefault="00C1409E" w:rsidP="003249C1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3249C1" w:rsidRDefault="003249C1" w:rsidP="003249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249C1">
        <w:rPr>
          <w:rFonts w:ascii="Arial" w:hAnsi="Arial" w:cs="Arial"/>
          <w:i/>
          <w:sz w:val="24"/>
          <w:szCs w:val="24"/>
        </w:rPr>
        <w:t>Held</w:t>
      </w:r>
      <w:r>
        <w:rPr>
          <w:rFonts w:ascii="Arial" w:hAnsi="Arial" w:cs="Arial"/>
          <w:sz w:val="24"/>
          <w:szCs w:val="24"/>
        </w:rPr>
        <w:t xml:space="preserve"> </w:t>
      </w:r>
      <w:r w:rsidR="00C1409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that </w:t>
      </w:r>
      <w:r w:rsidR="00C1409E">
        <w:rPr>
          <w:rFonts w:ascii="Arial" w:hAnsi="Arial" w:cs="Arial"/>
          <w:sz w:val="24"/>
          <w:szCs w:val="24"/>
        </w:rPr>
        <w:t>the meeting held on 2 July 2014</w:t>
      </w:r>
      <w:r>
        <w:rPr>
          <w:rFonts w:ascii="Arial" w:hAnsi="Arial" w:cs="Arial"/>
          <w:sz w:val="24"/>
          <w:szCs w:val="24"/>
        </w:rPr>
        <w:t xml:space="preserve"> </w:t>
      </w:r>
      <w:r w:rsidR="00C1409E">
        <w:rPr>
          <w:rFonts w:ascii="Arial" w:hAnsi="Arial" w:cs="Arial"/>
          <w:sz w:val="24"/>
          <w:szCs w:val="24"/>
        </w:rPr>
        <w:t xml:space="preserve">was </w:t>
      </w:r>
      <w:r>
        <w:rPr>
          <w:rFonts w:ascii="Arial" w:hAnsi="Arial" w:cs="Arial"/>
          <w:sz w:val="24"/>
          <w:szCs w:val="24"/>
        </w:rPr>
        <w:t>a conciliation meeting</w:t>
      </w:r>
      <w:r w:rsidR="00C140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</w:t>
      </w:r>
      <w:r w:rsidR="00C1409E">
        <w:rPr>
          <w:rFonts w:ascii="Arial" w:hAnsi="Arial" w:cs="Arial"/>
          <w:sz w:val="24"/>
          <w:szCs w:val="24"/>
        </w:rPr>
        <w:t xml:space="preserve">competently </w:t>
      </w:r>
      <w:r>
        <w:rPr>
          <w:rFonts w:ascii="Arial" w:hAnsi="Arial" w:cs="Arial"/>
          <w:sz w:val="24"/>
          <w:szCs w:val="24"/>
        </w:rPr>
        <w:t xml:space="preserve">resulted in </w:t>
      </w:r>
      <w:r w:rsidR="00A1169E">
        <w:rPr>
          <w:rFonts w:ascii="Arial" w:hAnsi="Arial" w:cs="Arial"/>
          <w:sz w:val="24"/>
          <w:szCs w:val="24"/>
        </w:rPr>
        <w:t xml:space="preserve">a settlement agreement; second respondent acted in accordance with his duty in </w:t>
      </w:r>
      <w:r w:rsidR="00A1169E" w:rsidRPr="00457379">
        <w:rPr>
          <w:rFonts w:ascii="Arial" w:hAnsi="Arial" w:cs="Arial"/>
          <w:i/>
          <w:sz w:val="24"/>
          <w:szCs w:val="24"/>
        </w:rPr>
        <w:t>s 86 (5)</w:t>
      </w:r>
      <w:r w:rsidR="00A1169E">
        <w:rPr>
          <w:rFonts w:ascii="Arial" w:hAnsi="Arial" w:cs="Arial"/>
          <w:i/>
          <w:sz w:val="24"/>
          <w:szCs w:val="24"/>
        </w:rPr>
        <w:t xml:space="preserve"> </w:t>
      </w:r>
      <w:r w:rsidR="00A1169E" w:rsidRPr="00A1169E">
        <w:rPr>
          <w:rFonts w:ascii="Arial" w:hAnsi="Arial" w:cs="Arial"/>
          <w:sz w:val="24"/>
          <w:szCs w:val="24"/>
        </w:rPr>
        <w:t>of the Act.</w:t>
      </w:r>
      <w:r w:rsidR="00A1169E">
        <w:rPr>
          <w:rFonts w:ascii="Arial" w:hAnsi="Arial" w:cs="Arial"/>
          <w:sz w:val="24"/>
          <w:szCs w:val="24"/>
        </w:rPr>
        <w:t xml:space="preserve"> </w:t>
      </w:r>
    </w:p>
    <w:p w:rsidR="00C1409E" w:rsidRDefault="00C1409E" w:rsidP="003249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1409E" w:rsidRDefault="00C1409E" w:rsidP="00C140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A2DDE">
        <w:rPr>
          <w:rFonts w:ascii="Arial" w:hAnsi="Arial" w:cs="Arial"/>
          <w:i/>
          <w:sz w:val="24"/>
          <w:szCs w:val="24"/>
        </w:rPr>
        <w:t>Held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that the p</w:t>
      </w:r>
      <w:r w:rsidR="00E95598">
        <w:rPr>
          <w:rFonts w:ascii="Arial" w:hAnsi="Arial" w:cs="Arial"/>
          <w:sz w:val="24"/>
          <w:szCs w:val="24"/>
        </w:rPr>
        <w:t>leadings are lacking material</w:t>
      </w:r>
      <w:r>
        <w:rPr>
          <w:rFonts w:ascii="Arial" w:hAnsi="Arial" w:cs="Arial"/>
          <w:sz w:val="24"/>
          <w:szCs w:val="24"/>
        </w:rPr>
        <w:t xml:space="preserve"> facts to support the grounds challenging the validity of the alleged settlement agreement; the facts necessary to prove the same is contained in documentation that are not before the court.</w:t>
      </w:r>
    </w:p>
    <w:p w:rsidR="00074B79" w:rsidRDefault="00074B79" w:rsidP="00C140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74B79" w:rsidRPr="00CC1611" w:rsidRDefault="00074B79" w:rsidP="00C140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Held</w:t>
      </w:r>
      <w:r>
        <w:rPr>
          <w:rFonts w:ascii="Arial" w:hAnsi="Arial" w:cs="Arial"/>
          <w:i/>
          <w:sz w:val="24"/>
          <w:szCs w:val="24"/>
        </w:rPr>
        <w:tab/>
      </w:r>
      <w:r w:rsidR="00CC1611">
        <w:rPr>
          <w:rFonts w:ascii="Arial" w:hAnsi="Arial" w:cs="Arial"/>
          <w:sz w:val="24"/>
          <w:szCs w:val="24"/>
        </w:rPr>
        <w:t>that the document attached as ‘PG4’ to the founding affidavit is a valid settlement agreement between applicant and the first r</w:t>
      </w:r>
      <w:r w:rsidR="00A1169E">
        <w:rPr>
          <w:rFonts w:ascii="Arial" w:hAnsi="Arial" w:cs="Arial"/>
          <w:sz w:val="24"/>
          <w:szCs w:val="24"/>
        </w:rPr>
        <w:t xml:space="preserve">espondent, and </w:t>
      </w:r>
      <w:r w:rsidR="00CC1611">
        <w:rPr>
          <w:rFonts w:ascii="Arial" w:hAnsi="Arial" w:cs="Arial"/>
          <w:sz w:val="24"/>
          <w:szCs w:val="24"/>
        </w:rPr>
        <w:t>a competent outflow of conciliation proceedings.</w:t>
      </w:r>
      <w:proofErr w:type="gramEnd"/>
      <w:r w:rsidR="00CC1611">
        <w:rPr>
          <w:rFonts w:ascii="Arial" w:hAnsi="Arial" w:cs="Arial"/>
          <w:sz w:val="24"/>
          <w:szCs w:val="24"/>
        </w:rPr>
        <w:t xml:space="preserve"> </w:t>
      </w:r>
    </w:p>
    <w:p w:rsidR="00C1409E" w:rsidRDefault="00C1409E" w:rsidP="003249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1409E" w:rsidRDefault="00C1409E" w:rsidP="003249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68D3" w:rsidRDefault="004568D3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25FA3" w:rsidRPr="00762E7D" w:rsidRDefault="00642E2E" w:rsidP="00425FA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25FA3" w:rsidRPr="00762E7D" w:rsidRDefault="00425FA3" w:rsidP="00425FA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62E7D">
        <w:rPr>
          <w:rFonts w:ascii="Arial" w:hAnsi="Arial" w:cs="Arial"/>
          <w:b/>
          <w:bCs/>
          <w:sz w:val="24"/>
          <w:szCs w:val="24"/>
        </w:rPr>
        <w:t>ORDER</w:t>
      </w:r>
    </w:p>
    <w:p w:rsidR="00425FA3" w:rsidRPr="00762E7D" w:rsidRDefault="00642E2E" w:rsidP="00425FA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425FA3" w:rsidRPr="00D92C11" w:rsidRDefault="00425FA3" w:rsidP="00425FA3">
      <w:pPr>
        <w:spacing w:after="0" w:line="360" w:lineRule="auto"/>
        <w:ind w:left="851" w:hanging="851"/>
        <w:jc w:val="both"/>
        <w:rPr>
          <w:rFonts w:ascii="Arial" w:hAnsi="Arial" w:cs="Arial"/>
          <w:sz w:val="24"/>
          <w:szCs w:val="24"/>
        </w:rPr>
      </w:pPr>
    </w:p>
    <w:p w:rsidR="00011883" w:rsidRDefault="00011883" w:rsidP="00457379">
      <w:pPr>
        <w:pStyle w:val="ListParagraph"/>
        <w:numPr>
          <w:ilvl w:val="0"/>
          <w:numId w:val="1"/>
        </w:numPr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457379">
        <w:rPr>
          <w:rFonts w:ascii="Arial" w:hAnsi="Arial" w:cs="Arial"/>
          <w:sz w:val="24"/>
          <w:szCs w:val="24"/>
        </w:rPr>
        <w:t>The settlement agreement between applicant and the first respondent</w:t>
      </w:r>
      <w:r w:rsidR="007D7C6D">
        <w:rPr>
          <w:rFonts w:ascii="Arial" w:hAnsi="Arial" w:cs="Arial"/>
          <w:sz w:val="24"/>
          <w:szCs w:val="24"/>
        </w:rPr>
        <w:t>,</w:t>
      </w:r>
      <w:r w:rsidRPr="00457379">
        <w:rPr>
          <w:rFonts w:ascii="Arial" w:hAnsi="Arial" w:cs="Arial"/>
          <w:sz w:val="24"/>
          <w:szCs w:val="24"/>
        </w:rPr>
        <w:t xml:space="preserve"> dated 2 July </w:t>
      </w:r>
      <w:proofErr w:type="gramStart"/>
      <w:r w:rsidRPr="00457379">
        <w:rPr>
          <w:rFonts w:ascii="Arial" w:hAnsi="Arial" w:cs="Arial"/>
          <w:sz w:val="24"/>
          <w:szCs w:val="24"/>
        </w:rPr>
        <w:t>201</w:t>
      </w:r>
      <w:r w:rsidR="00F34DDF">
        <w:rPr>
          <w:rFonts w:ascii="Arial" w:hAnsi="Arial" w:cs="Arial"/>
          <w:sz w:val="24"/>
          <w:szCs w:val="24"/>
        </w:rPr>
        <w:t>4</w:t>
      </w:r>
      <w:r w:rsidR="007D7C6D">
        <w:rPr>
          <w:rFonts w:ascii="Arial" w:hAnsi="Arial" w:cs="Arial"/>
          <w:sz w:val="24"/>
          <w:szCs w:val="24"/>
        </w:rPr>
        <w:t>,</w:t>
      </w:r>
      <w:proofErr w:type="gramEnd"/>
      <w:r w:rsidRPr="00457379">
        <w:rPr>
          <w:rFonts w:ascii="Arial" w:hAnsi="Arial" w:cs="Arial"/>
          <w:sz w:val="24"/>
          <w:szCs w:val="24"/>
        </w:rPr>
        <w:t xml:space="preserve"> is valid and enforceable.</w:t>
      </w:r>
    </w:p>
    <w:p w:rsidR="00011883" w:rsidRPr="00457379" w:rsidRDefault="00011883" w:rsidP="00457379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11883" w:rsidRDefault="00011883" w:rsidP="0001188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The settlement agreement is made an order of court.</w:t>
      </w:r>
    </w:p>
    <w:p w:rsidR="00011883" w:rsidRDefault="00011883" w:rsidP="0001188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11883" w:rsidRPr="0000361A" w:rsidRDefault="00011883" w:rsidP="0001188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There is no order as to costs.</w:t>
      </w:r>
    </w:p>
    <w:p w:rsidR="00425FA3" w:rsidRPr="00D92C11" w:rsidRDefault="00425FA3" w:rsidP="00425FA3">
      <w:pPr>
        <w:spacing w:after="0" w:line="360" w:lineRule="auto"/>
        <w:ind w:left="851" w:hanging="851"/>
        <w:jc w:val="both"/>
        <w:rPr>
          <w:rFonts w:ascii="Arial" w:hAnsi="Arial" w:cs="Arial"/>
          <w:sz w:val="24"/>
          <w:szCs w:val="24"/>
        </w:rPr>
      </w:pPr>
    </w:p>
    <w:p w:rsidR="00425FA3" w:rsidRPr="00762E7D" w:rsidRDefault="00642E2E" w:rsidP="00425FA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425FA3" w:rsidRPr="00762E7D" w:rsidRDefault="00425FA3" w:rsidP="00425FA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62E7D">
        <w:rPr>
          <w:rFonts w:ascii="Arial" w:hAnsi="Arial" w:cs="Arial"/>
          <w:b/>
          <w:sz w:val="24"/>
          <w:szCs w:val="24"/>
        </w:rPr>
        <w:t>JUDGMENT</w:t>
      </w:r>
    </w:p>
    <w:p w:rsidR="00425FA3" w:rsidRPr="00762E7D" w:rsidRDefault="00642E2E" w:rsidP="00425FA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425FA3" w:rsidRPr="00762E7D" w:rsidRDefault="00425FA3" w:rsidP="00425FA3">
      <w:pPr>
        <w:spacing w:after="0" w:line="360" w:lineRule="auto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425FA3" w:rsidRPr="00762E7D" w:rsidRDefault="00425FA3" w:rsidP="00425FA3">
      <w:pPr>
        <w:spacing w:after="0" w:line="36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 WYK,</w:t>
      </w:r>
      <w:r w:rsidRPr="00762E7D">
        <w:rPr>
          <w:rFonts w:ascii="Arial" w:hAnsi="Arial" w:cs="Arial"/>
          <w:sz w:val="24"/>
          <w:szCs w:val="24"/>
        </w:rPr>
        <w:t xml:space="preserve"> AJ:</w:t>
      </w:r>
    </w:p>
    <w:p w:rsidR="004568D3" w:rsidRDefault="004568D3">
      <w:pPr>
        <w:rPr>
          <w:rFonts w:ascii="Arial" w:hAnsi="Arial" w:cs="Arial"/>
          <w:b/>
          <w:sz w:val="24"/>
          <w:szCs w:val="24"/>
        </w:rPr>
      </w:pPr>
    </w:p>
    <w:p w:rsidR="007A3749" w:rsidRDefault="009E41EE" w:rsidP="006D37A6">
      <w:pPr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9E41EE">
        <w:rPr>
          <w:rFonts w:ascii="Arial" w:hAnsi="Arial" w:cs="Arial"/>
          <w:b/>
          <w:sz w:val="24"/>
          <w:szCs w:val="24"/>
          <w:u w:val="single"/>
        </w:rPr>
        <w:t>Background</w:t>
      </w:r>
    </w:p>
    <w:p w:rsidR="00DB513F" w:rsidRDefault="006D37A6" w:rsidP="00425F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[1]</w:t>
      </w:r>
      <w:r>
        <w:rPr>
          <w:rFonts w:ascii="Arial" w:hAnsi="Arial" w:cs="Arial"/>
          <w:sz w:val="24"/>
          <w:szCs w:val="24"/>
        </w:rPr>
        <w:tab/>
        <w:t>In this matter</w:t>
      </w:r>
      <w:r w:rsidR="00425FA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the applicant was an employee of the first respondent and was found guilty of misconduct in a disciplinary hearing on 12 December 2013.</w:t>
      </w:r>
      <w:r w:rsidR="007D7C6D">
        <w:rPr>
          <w:rFonts w:ascii="Arial" w:hAnsi="Arial" w:cs="Arial"/>
          <w:sz w:val="24"/>
          <w:szCs w:val="24"/>
        </w:rPr>
        <w:t xml:space="preserve"> He filed an appeal and was informed of</w:t>
      </w:r>
      <w:r>
        <w:rPr>
          <w:rFonts w:ascii="Arial" w:hAnsi="Arial" w:cs="Arial"/>
          <w:sz w:val="24"/>
          <w:szCs w:val="24"/>
        </w:rPr>
        <w:t xml:space="preserve"> the outcome on 2 March 2014.</w:t>
      </w:r>
      <w:r>
        <w:rPr>
          <w:rFonts w:ascii="Arial" w:hAnsi="Arial" w:cs="Arial"/>
          <w:sz w:val="24"/>
          <w:szCs w:val="24"/>
        </w:rPr>
        <w:tab/>
      </w:r>
    </w:p>
    <w:p w:rsidR="00425FA3" w:rsidRDefault="00425FA3" w:rsidP="00425F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2D75" w:rsidRDefault="006D37A6" w:rsidP="00425F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[2]</w:t>
      </w:r>
      <w:r>
        <w:rPr>
          <w:rFonts w:ascii="Arial" w:hAnsi="Arial" w:cs="Arial"/>
          <w:sz w:val="24"/>
          <w:szCs w:val="24"/>
        </w:rPr>
        <w:tab/>
        <w:t>Applicant referred a dispute to the Office</w:t>
      </w:r>
      <w:r w:rsidR="00DB513F">
        <w:rPr>
          <w:rFonts w:ascii="Arial" w:hAnsi="Arial" w:cs="Arial"/>
          <w:sz w:val="24"/>
          <w:szCs w:val="24"/>
        </w:rPr>
        <w:t xml:space="preserve"> of the Labour Commissioner, which was </w:t>
      </w:r>
      <w:r>
        <w:rPr>
          <w:rFonts w:ascii="Arial" w:hAnsi="Arial" w:cs="Arial"/>
          <w:sz w:val="24"/>
          <w:szCs w:val="24"/>
        </w:rPr>
        <w:t xml:space="preserve">set down </w:t>
      </w:r>
      <w:r w:rsidR="000172CC">
        <w:rPr>
          <w:rFonts w:ascii="Arial" w:hAnsi="Arial" w:cs="Arial"/>
          <w:sz w:val="24"/>
          <w:szCs w:val="24"/>
        </w:rPr>
        <w:t>for conciliation and</w:t>
      </w:r>
      <w:r w:rsidR="00C74869">
        <w:rPr>
          <w:rFonts w:ascii="Arial" w:hAnsi="Arial" w:cs="Arial"/>
          <w:sz w:val="24"/>
          <w:szCs w:val="24"/>
        </w:rPr>
        <w:t xml:space="preserve"> </w:t>
      </w:r>
      <w:r w:rsidR="000172CC">
        <w:rPr>
          <w:rFonts w:ascii="Arial" w:hAnsi="Arial" w:cs="Arial"/>
          <w:sz w:val="24"/>
          <w:szCs w:val="24"/>
        </w:rPr>
        <w:t xml:space="preserve">arbitration proceedings </w:t>
      </w:r>
      <w:r w:rsidR="00DB513F">
        <w:rPr>
          <w:rFonts w:ascii="Arial" w:hAnsi="Arial" w:cs="Arial"/>
          <w:sz w:val="24"/>
          <w:szCs w:val="24"/>
        </w:rPr>
        <w:t>on 12 June 2014</w:t>
      </w:r>
      <w:r>
        <w:rPr>
          <w:rFonts w:ascii="Arial" w:hAnsi="Arial" w:cs="Arial"/>
          <w:sz w:val="24"/>
          <w:szCs w:val="24"/>
        </w:rPr>
        <w:t xml:space="preserve"> in Windhoek. The matter did not proceed on that day</w:t>
      </w:r>
      <w:r w:rsidR="00425FA3">
        <w:rPr>
          <w:rFonts w:ascii="Arial" w:hAnsi="Arial" w:cs="Arial"/>
          <w:sz w:val="24"/>
          <w:szCs w:val="24"/>
        </w:rPr>
        <w:t>, but</w:t>
      </w:r>
      <w:r>
        <w:rPr>
          <w:rFonts w:ascii="Arial" w:hAnsi="Arial" w:cs="Arial"/>
          <w:sz w:val="24"/>
          <w:szCs w:val="24"/>
        </w:rPr>
        <w:t xml:space="preserve"> </w:t>
      </w:r>
      <w:r w:rsidR="00DB513F">
        <w:rPr>
          <w:rFonts w:ascii="Arial" w:hAnsi="Arial" w:cs="Arial"/>
          <w:sz w:val="24"/>
          <w:szCs w:val="24"/>
        </w:rPr>
        <w:t xml:space="preserve">eventually proceeded on 2 July 2014 in </w:t>
      </w:r>
      <w:proofErr w:type="spellStart"/>
      <w:r w:rsidR="00DB513F">
        <w:rPr>
          <w:rFonts w:ascii="Arial" w:hAnsi="Arial" w:cs="Arial"/>
          <w:sz w:val="24"/>
          <w:szCs w:val="24"/>
        </w:rPr>
        <w:t>Otjiw</w:t>
      </w:r>
      <w:r w:rsidR="000172CC">
        <w:rPr>
          <w:rFonts w:ascii="Arial" w:hAnsi="Arial" w:cs="Arial"/>
          <w:sz w:val="24"/>
          <w:szCs w:val="24"/>
        </w:rPr>
        <w:t>arongo</w:t>
      </w:r>
      <w:proofErr w:type="spellEnd"/>
      <w:r w:rsidR="000172CC">
        <w:rPr>
          <w:rFonts w:ascii="Arial" w:hAnsi="Arial" w:cs="Arial"/>
          <w:sz w:val="24"/>
          <w:szCs w:val="24"/>
        </w:rPr>
        <w:t>.</w:t>
      </w:r>
    </w:p>
    <w:p w:rsidR="00011883" w:rsidRDefault="00011883" w:rsidP="00425F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17E9B" w:rsidRDefault="00DB513F" w:rsidP="00425F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[3]</w:t>
      </w:r>
      <w:r>
        <w:rPr>
          <w:rFonts w:ascii="Arial" w:hAnsi="Arial" w:cs="Arial"/>
          <w:sz w:val="24"/>
          <w:szCs w:val="24"/>
        </w:rPr>
        <w:tab/>
        <w:t>First respondent in his answering</w:t>
      </w:r>
      <w:r w:rsidR="00C74869">
        <w:rPr>
          <w:rFonts w:ascii="Arial" w:hAnsi="Arial" w:cs="Arial"/>
          <w:sz w:val="24"/>
          <w:szCs w:val="24"/>
        </w:rPr>
        <w:t xml:space="preserve"> affidavit found it necessary</w:t>
      </w:r>
      <w:r>
        <w:rPr>
          <w:rFonts w:ascii="Arial" w:hAnsi="Arial" w:cs="Arial"/>
          <w:sz w:val="24"/>
          <w:szCs w:val="24"/>
        </w:rPr>
        <w:t xml:space="preserve"> to mention that two notices of conciliation were issued</w:t>
      </w:r>
      <w:r w:rsidR="00425FA3">
        <w:rPr>
          <w:rFonts w:ascii="Arial" w:hAnsi="Arial" w:cs="Arial"/>
          <w:sz w:val="24"/>
          <w:szCs w:val="24"/>
        </w:rPr>
        <w:t>.</w:t>
      </w:r>
      <w:r w:rsidR="00B44B7B">
        <w:rPr>
          <w:rFonts w:ascii="Arial" w:hAnsi="Arial" w:cs="Arial"/>
          <w:sz w:val="24"/>
          <w:szCs w:val="24"/>
        </w:rPr>
        <w:t xml:space="preserve"> </w:t>
      </w:r>
      <w:r w:rsidR="00986317">
        <w:rPr>
          <w:rFonts w:ascii="Arial" w:hAnsi="Arial" w:cs="Arial"/>
          <w:sz w:val="24"/>
          <w:szCs w:val="24"/>
        </w:rPr>
        <w:t>A notice was issued on Form LC 28 by</w:t>
      </w:r>
      <w:r w:rsidR="0079263C">
        <w:rPr>
          <w:rFonts w:ascii="Arial" w:hAnsi="Arial" w:cs="Arial"/>
          <w:sz w:val="24"/>
          <w:szCs w:val="24"/>
        </w:rPr>
        <w:t xml:space="preserve"> the Labour Commissioner on 26 M</w:t>
      </w:r>
      <w:r w:rsidR="00986317">
        <w:rPr>
          <w:rFonts w:ascii="Arial" w:hAnsi="Arial" w:cs="Arial"/>
          <w:sz w:val="24"/>
          <w:szCs w:val="24"/>
        </w:rPr>
        <w:t>ay 2014</w:t>
      </w:r>
      <w:r w:rsidR="00425FA3">
        <w:rPr>
          <w:rFonts w:ascii="Arial" w:hAnsi="Arial" w:cs="Arial"/>
          <w:sz w:val="24"/>
          <w:szCs w:val="24"/>
        </w:rPr>
        <w:t>,</w:t>
      </w:r>
      <w:r w:rsidR="00986317">
        <w:rPr>
          <w:rFonts w:ascii="Arial" w:hAnsi="Arial" w:cs="Arial"/>
          <w:sz w:val="24"/>
          <w:szCs w:val="24"/>
        </w:rPr>
        <w:t xml:space="preserve"> cal</w:t>
      </w:r>
      <w:r w:rsidR="00B44B7B">
        <w:rPr>
          <w:rFonts w:ascii="Arial" w:hAnsi="Arial" w:cs="Arial"/>
          <w:sz w:val="24"/>
          <w:szCs w:val="24"/>
        </w:rPr>
        <w:t xml:space="preserve">ling on the applicant and </w:t>
      </w:r>
      <w:r w:rsidR="00425FA3">
        <w:rPr>
          <w:rFonts w:ascii="Arial" w:hAnsi="Arial" w:cs="Arial"/>
          <w:sz w:val="24"/>
          <w:szCs w:val="24"/>
        </w:rPr>
        <w:t xml:space="preserve">first </w:t>
      </w:r>
      <w:r w:rsidR="00986317">
        <w:rPr>
          <w:rFonts w:ascii="Arial" w:hAnsi="Arial" w:cs="Arial"/>
          <w:sz w:val="24"/>
          <w:szCs w:val="24"/>
        </w:rPr>
        <w:t xml:space="preserve">respondent for </w:t>
      </w:r>
      <w:r w:rsidR="00B44B7B">
        <w:rPr>
          <w:rFonts w:ascii="Arial" w:hAnsi="Arial" w:cs="Arial"/>
          <w:sz w:val="24"/>
          <w:szCs w:val="24"/>
        </w:rPr>
        <w:t xml:space="preserve">a </w:t>
      </w:r>
      <w:r w:rsidR="0079263C">
        <w:rPr>
          <w:rFonts w:ascii="Arial" w:hAnsi="Arial" w:cs="Arial"/>
          <w:sz w:val="24"/>
          <w:szCs w:val="24"/>
        </w:rPr>
        <w:t xml:space="preserve">conciliation meeting or </w:t>
      </w:r>
      <w:r w:rsidR="00986317">
        <w:rPr>
          <w:rFonts w:ascii="Arial" w:hAnsi="Arial" w:cs="Arial"/>
          <w:sz w:val="24"/>
          <w:szCs w:val="24"/>
        </w:rPr>
        <w:t xml:space="preserve">an arbitration hearing at </w:t>
      </w:r>
      <w:r w:rsidR="00425FA3">
        <w:rPr>
          <w:rFonts w:ascii="Arial" w:hAnsi="Arial" w:cs="Arial"/>
          <w:sz w:val="24"/>
          <w:szCs w:val="24"/>
        </w:rPr>
        <w:t>0</w:t>
      </w:r>
      <w:r w:rsidR="003869E5">
        <w:rPr>
          <w:rFonts w:ascii="Arial" w:hAnsi="Arial" w:cs="Arial"/>
          <w:sz w:val="24"/>
          <w:szCs w:val="24"/>
        </w:rPr>
        <w:t>9h00</w:t>
      </w:r>
      <w:r w:rsidR="00986317">
        <w:rPr>
          <w:rFonts w:ascii="Arial" w:hAnsi="Arial" w:cs="Arial"/>
          <w:sz w:val="24"/>
          <w:szCs w:val="24"/>
        </w:rPr>
        <w:t xml:space="preserve"> at the Office of the Labour Comm</w:t>
      </w:r>
      <w:r w:rsidR="0079263C">
        <w:rPr>
          <w:rFonts w:ascii="Arial" w:hAnsi="Arial" w:cs="Arial"/>
          <w:sz w:val="24"/>
          <w:szCs w:val="24"/>
        </w:rPr>
        <w:t xml:space="preserve">issioner, </w:t>
      </w:r>
      <w:proofErr w:type="spellStart"/>
      <w:r w:rsidR="0079263C">
        <w:rPr>
          <w:rFonts w:ascii="Arial" w:hAnsi="Arial" w:cs="Arial"/>
          <w:sz w:val="24"/>
          <w:szCs w:val="24"/>
        </w:rPr>
        <w:t>Khomasdal</w:t>
      </w:r>
      <w:proofErr w:type="spellEnd"/>
      <w:r w:rsidR="00425FA3">
        <w:rPr>
          <w:rFonts w:ascii="Arial" w:hAnsi="Arial" w:cs="Arial"/>
          <w:sz w:val="24"/>
          <w:szCs w:val="24"/>
        </w:rPr>
        <w:t>,</w:t>
      </w:r>
      <w:r w:rsidR="0079263C">
        <w:rPr>
          <w:rFonts w:ascii="Arial" w:hAnsi="Arial" w:cs="Arial"/>
          <w:sz w:val="24"/>
          <w:szCs w:val="24"/>
        </w:rPr>
        <w:t xml:space="preserve"> Windhoek, to be held on</w:t>
      </w:r>
      <w:r w:rsidR="00986317">
        <w:rPr>
          <w:rFonts w:ascii="Arial" w:hAnsi="Arial" w:cs="Arial"/>
          <w:sz w:val="24"/>
          <w:szCs w:val="24"/>
        </w:rPr>
        <w:t xml:space="preserve"> 12 June 2014. This notice was attached to the answering affidavit as </w:t>
      </w:r>
      <w:r w:rsidR="00425FA3">
        <w:rPr>
          <w:rFonts w:ascii="Arial" w:hAnsi="Arial" w:cs="Arial"/>
          <w:sz w:val="24"/>
          <w:szCs w:val="24"/>
        </w:rPr>
        <w:t>‘</w:t>
      </w:r>
      <w:r w:rsidR="00986317">
        <w:rPr>
          <w:rFonts w:ascii="Arial" w:hAnsi="Arial" w:cs="Arial"/>
          <w:sz w:val="24"/>
          <w:szCs w:val="24"/>
        </w:rPr>
        <w:t>ELCRN 1</w:t>
      </w:r>
      <w:r w:rsidR="00425FA3">
        <w:rPr>
          <w:rFonts w:ascii="Arial" w:hAnsi="Arial" w:cs="Arial"/>
          <w:sz w:val="24"/>
          <w:szCs w:val="24"/>
        </w:rPr>
        <w:t>’</w:t>
      </w:r>
      <w:r w:rsidR="00986317">
        <w:rPr>
          <w:rFonts w:ascii="Arial" w:hAnsi="Arial" w:cs="Arial"/>
          <w:sz w:val="24"/>
          <w:szCs w:val="24"/>
        </w:rPr>
        <w:t xml:space="preserve">. </w:t>
      </w:r>
      <w:r w:rsidR="00F259F7">
        <w:rPr>
          <w:rFonts w:ascii="Arial" w:hAnsi="Arial" w:cs="Arial"/>
          <w:sz w:val="24"/>
          <w:szCs w:val="24"/>
        </w:rPr>
        <w:t>For ease of reference this notice of set down is called the June-notice.</w:t>
      </w:r>
    </w:p>
    <w:p w:rsidR="00417E9B" w:rsidRDefault="00417E9B" w:rsidP="00425F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86317" w:rsidRDefault="00417E9B" w:rsidP="00425F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[4]</w:t>
      </w:r>
      <w:r>
        <w:rPr>
          <w:rFonts w:ascii="Arial" w:hAnsi="Arial" w:cs="Arial"/>
          <w:sz w:val="24"/>
          <w:szCs w:val="24"/>
        </w:rPr>
        <w:tab/>
      </w:r>
      <w:r w:rsidR="00F7108D">
        <w:rPr>
          <w:rFonts w:ascii="Arial" w:hAnsi="Arial" w:cs="Arial"/>
          <w:sz w:val="24"/>
          <w:szCs w:val="24"/>
        </w:rPr>
        <w:t xml:space="preserve">According </w:t>
      </w:r>
      <w:r w:rsidR="00B91CC2">
        <w:rPr>
          <w:rFonts w:ascii="Arial" w:hAnsi="Arial" w:cs="Arial"/>
          <w:sz w:val="24"/>
          <w:szCs w:val="24"/>
        </w:rPr>
        <w:t>to</w:t>
      </w:r>
      <w:r w:rsidR="00986317">
        <w:rPr>
          <w:rFonts w:ascii="Arial" w:hAnsi="Arial" w:cs="Arial"/>
          <w:sz w:val="24"/>
          <w:szCs w:val="24"/>
        </w:rPr>
        <w:t xml:space="preserve"> depon</w:t>
      </w:r>
      <w:r w:rsidR="00F259F7">
        <w:rPr>
          <w:rFonts w:ascii="Arial" w:hAnsi="Arial" w:cs="Arial"/>
          <w:sz w:val="24"/>
          <w:szCs w:val="24"/>
        </w:rPr>
        <w:t>ent</w:t>
      </w:r>
      <w:r w:rsidR="00B91CC2">
        <w:rPr>
          <w:rFonts w:ascii="Arial" w:hAnsi="Arial" w:cs="Arial"/>
          <w:sz w:val="24"/>
          <w:szCs w:val="24"/>
        </w:rPr>
        <w:t xml:space="preserve"> of</w:t>
      </w:r>
      <w:r w:rsidR="00F7108D">
        <w:rPr>
          <w:rFonts w:ascii="Arial" w:hAnsi="Arial" w:cs="Arial"/>
          <w:sz w:val="24"/>
          <w:szCs w:val="24"/>
        </w:rPr>
        <w:t xml:space="preserve"> the answering affidavit</w:t>
      </w:r>
      <w:r w:rsidR="00F259F7">
        <w:rPr>
          <w:rFonts w:ascii="Arial" w:hAnsi="Arial" w:cs="Arial"/>
          <w:sz w:val="24"/>
          <w:szCs w:val="24"/>
        </w:rPr>
        <w:t>, Bishop Ernst //</w:t>
      </w:r>
      <w:proofErr w:type="spellStart"/>
      <w:r w:rsidR="00F259F7">
        <w:rPr>
          <w:rFonts w:ascii="Arial" w:hAnsi="Arial" w:cs="Arial"/>
          <w:sz w:val="24"/>
          <w:szCs w:val="24"/>
        </w:rPr>
        <w:t>Gamxamub</w:t>
      </w:r>
      <w:proofErr w:type="spellEnd"/>
      <w:r w:rsidR="00F259F7">
        <w:rPr>
          <w:rFonts w:ascii="Arial" w:hAnsi="Arial" w:cs="Arial"/>
          <w:sz w:val="24"/>
          <w:szCs w:val="24"/>
        </w:rPr>
        <w:t>, the June-notice</w:t>
      </w:r>
      <w:r w:rsidR="00986317">
        <w:rPr>
          <w:rFonts w:ascii="Arial" w:hAnsi="Arial" w:cs="Arial"/>
          <w:sz w:val="24"/>
          <w:szCs w:val="24"/>
        </w:rPr>
        <w:t xml:space="preserve"> was the only </w:t>
      </w:r>
      <w:r>
        <w:rPr>
          <w:rFonts w:ascii="Arial" w:hAnsi="Arial" w:cs="Arial"/>
          <w:sz w:val="24"/>
          <w:szCs w:val="24"/>
        </w:rPr>
        <w:t>notice of</w:t>
      </w:r>
      <w:r w:rsidR="00986317">
        <w:rPr>
          <w:rFonts w:ascii="Arial" w:hAnsi="Arial" w:cs="Arial"/>
          <w:sz w:val="24"/>
          <w:szCs w:val="24"/>
        </w:rPr>
        <w:t xml:space="preserve"> set down received by the </w:t>
      </w:r>
      <w:r w:rsidR="00425FA3">
        <w:rPr>
          <w:rFonts w:ascii="Arial" w:hAnsi="Arial" w:cs="Arial"/>
          <w:sz w:val="24"/>
          <w:szCs w:val="24"/>
        </w:rPr>
        <w:t xml:space="preserve">first </w:t>
      </w:r>
      <w:r w:rsidR="00B44B7B">
        <w:rPr>
          <w:rFonts w:ascii="Arial" w:hAnsi="Arial" w:cs="Arial"/>
          <w:sz w:val="24"/>
          <w:szCs w:val="24"/>
        </w:rPr>
        <w:t xml:space="preserve">respondent, and </w:t>
      </w:r>
      <w:r w:rsidR="00F34DDF">
        <w:rPr>
          <w:rFonts w:ascii="Arial" w:hAnsi="Arial" w:cs="Arial"/>
          <w:sz w:val="24"/>
          <w:szCs w:val="24"/>
        </w:rPr>
        <w:t xml:space="preserve">he </w:t>
      </w:r>
      <w:r w:rsidR="00B44B7B">
        <w:rPr>
          <w:rFonts w:ascii="Arial" w:hAnsi="Arial" w:cs="Arial"/>
          <w:sz w:val="24"/>
          <w:szCs w:val="24"/>
        </w:rPr>
        <w:t xml:space="preserve">added that </w:t>
      </w:r>
      <w:r w:rsidR="00425FA3">
        <w:rPr>
          <w:rFonts w:ascii="Arial" w:hAnsi="Arial" w:cs="Arial"/>
          <w:sz w:val="24"/>
          <w:szCs w:val="24"/>
        </w:rPr>
        <w:t xml:space="preserve">second </w:t>
      </w:r>
      <w:r w:rsidR="00B44B7B">
        <w:rPr>
          <w:rFonts w:ascii="Arial" w:hAnsi="Arial" w:cs="Arial"/>
          <w:sz w:val="24"/>
          <w:szCs w:val="24"/>
        </w:rPr>
        <w:t>respondent transferred the matter</w:t>
      </w:r>
      <w:r w:rsidR="00425FA3">
        <w:rPr>
          <w:rFonts w:ascii="Arial" w:hAnsi="Arial" w:cs="Arial"/>
          <w:sz w:val="24"/>
          <w:szCs w:val="24"/>
        </w:rPr>
        <w:t xml:space="preserve"> to</w:t>
      </w:r>
      <w:r w:rsidR="00B44B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B7B">
        <w:rPr>
          <w:rFonts w:ascii="Arial" w:hAnsi="Arial" w:cs="Arial"/>
          <w:sz w:val="24"/>
          <w:szCs w:val="24"/>
        </w:rPr>
        <w:t>Otjiwarongo</w:t>
      </w:r>
      <w:proofErr w:type="spellEnd"/>
      <w:r w:rsidR="00B44B7B">
        <w:rPr>
          <w:rFonts w:ascii="Arial" w:hAnsi="Arial" w:cs="Arial"/>
          <w:sz w:val="24"/>
          <w:szCs w:val="24"/>
        </w:rPr>
        <w:t xml:space="preserve"> without </w:t>
      </w:r>
      <w:r w:rsidR="00F259F7">
        <w:rPr>
          <w:rFonts w:ascii="Arial" w:hAnsi="Arial" w:cs="Arial"/>
          <w:sz w:val="24"/>
          <w:szCs w:val="24"/>
        </w:rPr>
        <w:t xml:space="preserve">further </w:t>
      </w:r>
      <w:r w:rsidR="00B44B7B">
        <w:rPr>
          <w:rFonts w:ascii="Arial" w:hAnsi="Arial" w:cs="Arial"/>
          <w:sz w:val="24"/>
          <w:szCs w:val="24"/>
        </w:rPr>
        <w:t xml:space="preserve">notice to </w:t>
      </w:r>
      <w:r w:rsidR="00425FA3">
        <w:rPr>
          <w:rFonts w:ascii="Arial" w:hAnsi="Arial" w:cs="Arial"/>
          <w:sz w:val="24"/>
          <w:szCs w:val="24"/>
        </w:rPr>
        <w:t xml:space="preserve">the first </w:t>
      </w:r>
      <w:r w:rsidR="00F7108D">
        <w:rPr>
          <w:rFonts w:ascii="Arial" w:hAnsi="Arial" w:cs="Arial"/>
          <w:sz w:val="24"/>
          <w:szCs w:val="24"/>
        </w:rPr>
        <w:t xml:space="preserve">respondent. </w:t>
      </w:r>
      <w:r w:rsidR="00986317">
        <w:rPr>
          <w:rFonts w:ascii="Arial" w:hAnsi="Arial" w:cs="Arial"/>
          <w:sz w:val="24"/>
          <w:szCs w:val="24"/>
        </w:rPr>
        <w:t xml:space="preserve">He gave no explanation in the answering affidavit, how the </w:t>
      </w:r>
      <w:r w:rsidR="001E31B0">
        <w:rPr>
          <w:rFonts w:ascii="Arial" w:hAnsi="Arial" w:cs="Arial"/>
          <w:sz w:val="24"/>
          <w:szCs w:val="24"/>
        </w:rPr>
        <w:t xml:space="preserve">first </w:t>
      </w:r>
      <w:r w:rsidR="00986317">
        <w:rPr>
          <w:rFonts w:ascii="Arial" w:hAnsi="Arial" w:cs="Arial"/>
          <w:sz w:val="24"/>
          <w:szCs w:val="24"/>
        </w:rPr>
        <w:t xml:space="preserve">respondent </w:t>
      </w:r>
      <w:r w:rsidR="00B44B7B">
        <w:rPr>
          <w:rFonts w:ascii="Arial" w:hAnsi="Arial" w:cs="Arial"/>
          <w:sz w:val="24"/>
          <w:szCs w:val="24"/>
        </w:rPr>
        <w:t xml:space="preserve">eventually </w:t>
      </w:r>
      <w:r w:rsidR="00986317">
        <w:rPr>
          <w:rFonts w:ascii="Arial" w:hAnsi="Arial" w:cs="Arial"/>
          <w:sz w:val="24"/>
          <w:szCs w:val="24"/>
        </w:rPr>
        <w:t xml:space="preserve">became aware of the meeting that took place on 2 July </w:t>
      </w:r>
      <w:r w:rsidR="00B44B7B">
        <w:rPr>
          <w:rFonts w:ascii="Arial" w:hAnsi="Arial" w:cs="Arial"/>
          <w:sz w:val="24"/>
          <w:szCs w:val="24"/>
        </w:rPr>
        <w:t xml:space="preserve">2014 in </w:t>
      </w:r>
      <w:proofErr w:type="spellStart"/>
      <w:r w:rsidR="00B44B7B">
        <w:rPr>
          <w:rFonts w:ascii="Arial" w:hAnsi="Arial" w:cs="Arial"/>
          <w:sz w:val="24"/>
          <w:szCs w:val="24"/>
        </w:rPr>
        <w:t>Otjiwarongo</w:t>
      </w:r>
      <w:proofErr w:type="spellEnd"/>
      <w:r w:rsidR="00B44B7B">
        <w:rPr>
          <w:rFonts w:ascii="Arial" w:hAnsi="Arial" w:cs="Arial"/>
          <w:sz w:val="24"/>
          <w:szCs w:val="24"/>
        </w:rPr>
        <w:t>.</w:t>
      </w:r>
    </w:p>
    <w:p w:rsidR="00986317" w:rsidRDefault="00986317" w:rsidP="00425F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34DDF" w:rsidRDefault="00417E9B" w:rsidP="00425F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[5</w:t>
      </w:r>
      <w:r w:rsidR="00986317">
        <w:rPr>
          <w:rFonts w:ascii="Arial" w:hAnsi="Arial" w:cs="Arial"/>
          <w:sz w:val="24"/>
          <w:szCs w:val="24"/>
        </w:rPr>
        <w:t>]</w:t>
      </w:r>
      <w:r w:rsidR="00986317">
        <w:rPr>
          <w:rFonts w:ascii="Arial" w:hAnsi="Arial" w:cs="Arial"/>
          <w:sz w:val="24"/>
          <w:szCs w:val="24"/>
        </w:rPr>
        <w:tab/>
      </w:r>
      <w:r w:rsidR="00F259F7">
        <w:rPr>
          <w:rFonts w:ascii="Arial" w:hAnsi="Arial" w:cs="Arial"/>
          <w:sz w:val="24"/>
          <w:szCs w:val="24"/>
        </w:rPr>
        <w:t>In his founding affidavit, t</w:t>
      </w:r>
      <w:r w:rsidR="00986317">
        <w:rPr>
          <w:rFonts w:ascii="Arial" w:hAnsi="Arial" w:cs="Arial"/>
          <w:sz w:val="24"/>
          <w:szCs w:val="24"/>
        </w:rPr>
        <w:t xml:space="preserve">he applicant </w:t>
      </w:r>
      <w:r w:rsidR="00201DFF">
        <w:rPr>
          <w:rFonts w:ascii="Arial" w:hAnsi="Arial" w:cs="Arial"/>
          <w:sz w:val="24"/>
          <w:szCs w:val="24"/>
        </w:rPr>
        <w:t xml:space="preserve">only </w:t>
      </w:r>
      <w:r w:rsidR="00986317">
        <w:rPr>
          <w:rFonts w:ascii="Arial" w:hAnsi="Arial" w:cs="Arial"/>
          <w:sz w:val="24"/>
          <w:szCs w:val="24"/>
        </w:rPr>
        <w:t xml:space="preserve">referred to a second notice of set down, dated 10 June 2014, marked and attached to the founding affidavit as </w:t>
      </w:r>
      <w:r w:rsidR="001E31B0">
        <w:rPr>
          <w:rFonts w:ascii="Arial" w:hAnsi="Arial" w:cs="Arial"/>
          <w:sz w:val="24"/>
          <w:szCs w:val="24"/>
        </w:rPr>
        <w:t>‘</w:t>
      </w:r>
      <w:r w:rsidR="00986317">
        <w:rPr>
          <w:rFonts w:ascii="Arial" w:hAnsi="Arial" w:cs="Arial"/>
          <w:sz w:val="24"/>
          <w:szCs w:val="24"/>
        </w:rPr>
        <w:t>PG3</w:t>
      </w:r>
      <w:r w:rsidR="001E31B0">
        <w:rPr>
          <w:rFonts w:ascii="Arial" w:hAnsi="Arial" w:cs="Arial"/>
          <w:sz w:val="24"/>
          <w:szCs w:val="24"/>
        </w:rPr>
        <w:t>’</w:t>
      </w:r>
      <w:r w:rsidR="00741F85">
        <w:rPr>
          <w:rFonts w:ascii="Arial" w:hAnsi="Arial" w:cs="Arial"/>
          <w:sz w:val="24"/>
          <w:szCs w:val="24"/>
        </w:rPr>
        <w:t xml:space="preserve">. This notice set the matter down for a conciliation meeting or arbitration hearing on 2 July 2014, at </w:t>
      </w:r>
      <w:r w:rsidR="001E31B0">
        <w:rPr>
          <w:rFonts w:ascii="Arial" w:hAnsi="Arial" w:cs="Arial"/>
          <w:sz w:val="24"/>
          <w:szCs w:val="24"/>
        </w:rPr>
        <w:t>0</w:t>
      </w:r>
      <w:r w:rsidR="00F259F7">
        <w:rPr>
          <w:rFonts w:ascii="Arial" w:hAnsi="Arial" w:cs="Arial"/>
          <w:sz w:val="24"/>
          <w:szCs w:val="24"/>
        </w:rPr>
        <w:t>9h00</w:t>
      </w:r>
      <w:r w:rsidR="00741F85">
        <w:rPr>
          <w:rFonts w:ascii="Arial" w:hAnsi="Arial" w:cs="Arial"/>
          <w:sz w:val="24"/>
          <w:szCs w:val="24"/>
        </w:rPr>
        <w:t xml:space="preserve"> at the Office of the Labour Commissioner</w:t>
      </w:r>
      <w:r w:rsidR="00762F67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762F67">
        <w:rPr>
          <w:rFonts w:ascii="Arial" w:hAnsi="Arial" w:cs="Arial"/>
          <w:sz w:val="24"/>
          <w:szCs w:val="24"/>
        </w:rPr>
        <w:t>Otjiwarongo</w:t>
      </w:r>
      <w:proofErr w:type="spellEnd"/>
      <w:r w:rsidR="00762F67">
        <w:rPr>
          <w:rFonts w:ascii="Arial" w:hAnsi="Arial" w:cs="Arial"/>
          <w:sz w:val="24"/>
          <w:szCs w:val="24"/>
        </w:rPr>
        <w:t xml:space="preserve">, hereinafter called the </w:t>
      </w:r>
      <w:r w:rsidR="0094501B">
        <w:rPr>
          <w:rFonts w:ascii="Arial" w:hAnsi="Arial" w:cs="Arial"/>
          <w:sz w:val="24"/>
          <w:szCs w:val="24"/>
        </w:rPr>
        <w:t>‘</w:t>
      </w:r>
      <w:proofErr w:type="spellStart"/>
      <w:r w:rsidR="00762F67">
        <w:rPr>
          <w:rFonts w:ascii="Arial" w:hAnsi="Arial" w:cs="Arial"/>
          <w:sz w:val="24"/>
          <w:szCs w:val="24"/>
        </w:rPr>
        <w:t>Otjiwarongo</w:t>
      </w:r>
      <w:proofErr w:type="spellEnd"/>
      <w:r w:rsidR="00762F67">
        <w:rPr>
          <w:rFonts w:ascii="Arial" w:hAnsi="Arial" w:cs="Arial"/>
          <w:sz w:val="24"/>
          <w:szCs w:val="24"/>
        </w:rPr>
        <w:t xml:space="preserve"> meeting</w:t>
      </w:r>
      <w:r w:rsidR="0094501B">
        <w:rPr>
          <w:rFonts w:ascii="Arial" w:hAnsi="Arial" w:cs="Arial"/>
          <w:sz w:val="24"/>
          <w:szCs w:val="24"/>
        </w:rPr>
        <w:t>’.</w:t>
      </w:r>
      <w:r w:rsidR="00741F85">
        <w:rPr>
          <w:rFonts w:ascii="Arial" w:hAnsi="Arial" w:cs="Arial"/>
          <w:sz w:val="24"/>
          <w:szCs w:val="24"/>
        </w:rPr>
        <w:t xml:space="preserve"> </w:t>
      </w:r>
      <w:r w:rsidR="00F259F7">
        <w:rPr>
          <w:rFonts w:ascii="Arial" w:hAnsi="Arial" w:cs="Arial"/>
          <w:sz w:val="24"/>
          <w:szCs w:val="24"/>
        </w:rPr>
        <w:t>This notice is called the July-notice.</w:t>
      </w:r>
    </w:p>
    <w:p w:rsidR="00F34DDF" w:rsidRDefault="00F34DDF" w:rsidP="00425F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01DFF" w:rsidRDefault="00F34DDF" w:rsidP="00425F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417E9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="00741F85">
        <w:rPr>
          <w:rFonts w:ascii="Arial" w:hAnsi="Arial" w:cs="Arial"/>
          <w:sz w:val="24"/>
          <w:szCs w:val="24"/>
        </w:rPr>
        <w:t>The appl</w:t>
      </w:r>
      <w:r w:rsidR="00F259F7">
        <w:rPr>
          <w:rFonts w:ascii="Arial" w:hAnsi="Arial" w:cs="Arial"/>
          <w:sz w:val="24"/>
          <w:szCs w:val="24"/>
        </w:rPr>
        <w:t>icant did not mention the June-</w:t>
      </w:r>
      <w:r w:rsidR="00741F85">
        <w:rPr>
          <w:rFonts w:ascii="Arial" w:hAnsi="Arial" w:cs="Arial"/>
          <w:sz w:val="24"/>
          <w:szCs w:val="24"/>
        </w:rPr>
        <w:t xml:space="preserve">notice in his founding affidavit. </w:t>
      </w:r>
      <w:r w:rsidR="00762F67">
        <w:rPr>
          <w:rFonts w:ascii="Arial" w:hAnsi="Arial" w:cs="Arial"/>
          <w:sz w:val="24"/>
          <w:szCs w:val="24"/>
        </w:rPr>
        <w:t>Both applicant and two representatives</w:t>
      </w:r>
      <w:r w:rsidR="0079263C">
        <w:rPr>
          <w:rFonts w:ascii="Arial" w:hAnsi="Arial" w:cs="Arial"/>
          <w:sz w:val="24"/>
          <w:szCs w:val="24"/>
        </w:rPr>
        <w:t xml:space="preserve"> </w:t>
      </w:r>
      <w:r w:rsidR="00762F67">
        <w:rPr>
          <w:rFonts w:ascii="Arial" w:hAnsi="Arial" w:cs="Arial"/>
          <w:sz w:val="24"/>
          <w:szCs w:val="24"/>
        </w:rPr>
        <w:t xml:space="preserve">of the first respondent attended the </w:t>
      </w:r>
      <w:proofErr w:type="spellStart"/>
      <w:r w:rsidR="00762F67">
        <w:rPr>
          <w:rFonts w:ascii="Arial" w:hAnsi="Arial" w:cs="Arial"/>
          <w:sz w:val="24"/>
          <w:szCs w:val="24"/>
        </w:rPr>
        <w:t>Otjiwarongo</w:t>
      </w:r>
      <w:proofErr w:type="spellEnd"/>
      <w:r w:rsidR="00762F67">
        <w:rPr>
          <w:rFonts w:ascii="Arial" w:hAnsi="Arial" w:cs="Arial"/>
          <w:sz w:val="24"/>
          <w:szCs w:val="24"/>
        </w:rPr>
        <w:t xml:space="preserve"> meeting. </w:t>
      </w:r>
      <w:r w:rsidR="00417E9B">
        <w:rPr>
          <w:rFonts w:ascii="Arial" w:hAnsi="Arial" w:cs="Arial"/>
          <w:sz w:val="24"/>
          <w:szCs w:val="24"/>
        </w:rPr>
        <w:t>It is common cause that t</w:t>
      </w:r>
      <w:r w:rsidR="0079263C">
        <w:rPr>
          <w:rFonts w:ascii="Arial" w:hAnsi="Arial" w:cs="Arial"/>
          <w:sz w:val="24"/>
          <w:szCs w:val="24"/>
        </w:rPr>
        <w:t xml:space="preserve">he representatives </w:t>
      </w:r>
      <w:r w:rsidR="00B44B7B">
        <w:rPr>
          <w:rFonts w:ascii="Arial" w:hAnsi="Arial" w:cs="Arial"/>
          <w:sz w:val="24"/>
          <w:szCs w:val="24"/>
        </w:rPr>
        <w:t xml:space="preserve">of </w:t>
      </w:r>
      <w:r w:rsidR="001E31B0">
        <w:rPr>
          <w:rFonts w:ascii="Arial" w:hAnsi="Arial" w:cs="Arial"/>
          <w:sz w:val="24"/>
          <w:szCs w:val="24"/>
        </w:rPr>
        <w:t xml:space="preserve">first </w:t>
      </w:r>
      <w:r w:rsidR="00B44B7B">
        <w:rPr>
          <w:rFonts w:ascii="Arial" w:hAnsi="Arial" w:cs="Arial"/>
          <w:sz w:val="24"/>
          <w:szCs w:val="24"/>
        </w:rPr>
        <w:t xml:space="preserve">respondent, </w:t>
      </w:r>
      <w:r w:rsidR="0079263C">
        <w:rPr>
          <w:rFonts w:ascii="Arial" w:hAnsi="Arial" w:cs="Arial"/>
          <w:sz w:val="24"/>
          <w:szCs w:val="24"/>
        </w:rPr>
        <w:t xml:space="preserve">at various stages of the </w:t>
      </w:r>
      <w:proofErr w:type="spellStart"/>
      <w:r w:rsidR="0079263C">
        <w:rPr>
          <w:rFonts w:ascii="Arial" w:hAnsi="Arial" w:cs="Arial"/>
          <w:sz w:val="24"/>
          <w:szCs w:val="24"/>
        </w:rPr>
        <w:t>Otjiwarongo</w:t>
      </w:r>
      <w:proofErr w:type="spellEnd"/>
      <w:r w:rsidR="0079263C">
        <w:rPr>
          <w:rFonts w:ascii="Arial" w:hAnsi="Arial" w:cs="Arial"/>
          <w:sz w:val="24"/>
          <w:szCs w:val="24"/>
        </w:rPr>
        <w:t xml:space="preserve"> meeting, contacted the deponent of the answering affidavit to confirm their instruction</w:t>
      </w:r>
      <w:r w:rsidR="00201DFF">
        <w:rPr>
          <w:rFonts w:ascii="Arial" w:hAnsi="Arial" w:cs="Arial"/>
          <w:sz w:val="24"/>
          <w:szCs w:val="24"/>
        </w:rPr>
        <w:t xml:space="preserve">s </w:t>
      </w:r>
      <w:r w:rsidR="00417E9B">
        <w:rPr>
          <w:rFonts w:ascii="Arial" w:hAnsi="Arial" w:cs="Arial"/>
          <w:sz w:val="24"/>
          <w:szCs w:val="24"/>
        </w:rPr>
        <w:t>for participation</w:t>
      </w:r>
      <w:r w:rsidR="00201DFF">
        <w:rPr>
          <w:rFonts w:ascii="Arial" w:hAnsi="Arial" w:cs="Arial"/>
          <w:sz w:val="24"/>
          <w:szCs w:val="24"/>
        </w:rPr>
        <w:t xml:space="preserve"> in </w:t>
      </w:r>
      <w:r>
        <w:rPr>
          <w:rFonts w:ascii="Arial" w:hAnsi="Arial" w:cs="Arial"/>
          <w:sz w:val="24"/>
          <w:szCs w:val="24"/>
        </w:rPr>
        <w:t xml:space="preserve">negotiations during </w:t>
      </w:r>
      <w:r w:rsidR="00201DFF">
        <w:rPr>
          <w:rFonts w:ascii="Arial" w:hAnsi="Arial" w:cs="Arial"/>
          <w:sz w:val="24"/>
          <w:szCs w:val="24"/>
        </w:rPr>
        <w:t xml:space="preserve">the meeting. </w:t>
      </w:r>
    </w:p>
    <w:p w:rsidR="00417E9B" w:rsidRDefault="00417E9B" w:rsidP="00425F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01DFF" w:rsidRDefault="00201DFF" w:rsidP="00425F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417E9B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  <w:t>First r</w:t>
      </w:r>
      <w:r w:rsidR="00D57F83">
        <w:rPr>
          <w:rFonts w:ascii="Arial" w:hAnsi="Arial" w:cs="Arial"/>
          <w:sz w:val="24"/>
          <w:szCs w:val="24"/>
        </w:rPr>
        <w:t xml:space="preserve">espondent </w:t>
      </w:r>
      <w:r w:rsidR="00417E9B">
        <w:rPr>
          <w:rFonts w:ascii="Arial" w:hAnsi="Arial" w:cs="Arial"/>
          <w:sz w:val="24"/>
          <w:szCs w:val="24"/>
        </w:rPr>
        <w:t>in the answering affidavit</w:t>
      </w:r>
      <w:r w:rsidR="00B04AC2">
        <w:rPr>
          <w:rFonts w:ascii="Arial" w:hAnsi="Arial" w:cs="Arial"/>
          <w:sz w:val="24"/>
          <w:szCs w:val="24"/>
        </w:rPr>
        <w:t xml:space="preserve"> and during argument in </w:t>
      </w:r>
      <w:proofErr w:type="gramStart"/>
      <w:r w:rsidR="00B04AC2">
        <w:rPr>
          <w:rFonts w:ascii="Arial" w:hAnsi="Arial" w:cs="Arial"/>
          <w:sz w:val="24"/>
          <w:szCs w:val="24"/>
        </w:rPr>
        <w:t>court</w:t>
      </w:r>
      <w:r w:rsidR="00417E9B">
        <w:rPr>
          <w:rFonts w:ascii="Arial" w:hAnsi="Arial" w:cs="Arial"/>
          <w:sz w:val="24"/>
          <w:szCs w:val="24"/>
        </w:rPr>
        <w:t>,</w:t>
      </w:r>
      <w:proofErr w:type="gramEnd"/>
      <w:r w:rsidR="00417E9B">
        <w:rPr>
          <w:rFonts w:ascii="Arial" w:hAnsi="Arial" w:cs="Arial"/>
          <w:sz w:val="24"/>
          <w:szCs w:val="24"/>
        </w:rPr>
        <w:t xml:space="preserve"> </w:t>
      </w:r>
      <w:r w:rsidR="00D57F83">
        <w:rPr>
          <w:rFonts w:ascii="Arial" w:hAnsi="Arial" w:cs="Arial"/>
          <w:sz w:val="24"/>
          <w:szCs w:val="24"/>
        </w:rPr>
        <w:t>mentioned</w:t>
      </w:r>
      <w:r>
        <w:rPr>
          <w:rFonts w:ascii="Arial" w:hAnsi="Arial" w:cs="Arial"/>
          <w:sz w:val="24"/>
          <w:szCs w:val="24"/>
        </w:rPr>
        <w:t xml:space="preserve"> the </w:t>
      </w:r>
      <w:r w:rsidR="00F259F7">
        <w:rPr>
          <w:rFonts w:ascii="Arial" w:hAnsi="Arial" w:cs="Arial"/>
          <w:sz w:val="24"/>
          <w:szCs w:val="24"/>
        </w:rPr>
        <w:t xml:space="preserve">fact that there were two notices of set down, </w:t>
      </w:r>
      <w:r>
        <w:rPr>
          <w:rFonts w:ascii="Arial" w:hAnsi="Arial" w:cs="Arial"/>
          <w:sz w:val="24"/>
          <w:szCs w:val="24"/>
        </w:rPr>
        <w:t xml:space="preserve">but without taking the point to any </w:t>
      </w:r>
      <w:r w:rsidR="00B04AC2">
        <w:rPr>
          <w:rFonts w:ascii="Arial" w:hAnsi="Arial" w:cs="Arial"/>
          <w:sz w:val="24"/>
          <w:szCs w:val="24"/>
        </w:rPr>
        <w:t xml:space="preserve">meaningful </w:t>
      </w:r>
      <w:r>
        <w:rPr>
          <w:rFonts w:ascii="Arial" w:hAnsi="Arial" w:cs="Arial"/>
          <w:sz w:val="24"/>
          <w:szCs w:val="24"/>
        </w:rPr>
        <w:t>length</w:t>
      </w:r>
      <w:r w:rsidR="00B04AC2">
        <w:rPr>
          <w:rFonts w:ascii="Arial" w:hAnsi="Arial" w:cs="Arial"/>
          <w:sz w:val="24"/>
          <w:szCs w:val="24"/>
        </w:rPr>
        <w:t xml:space="preserve"> to become a concrete </w:t>
      </w:r>
      <w:r>
        <w:rPr>
          <w:rFonts w:ascii="Arial" w:hAnsi="Arial" w:cs="Arial"/>
          <w:sz w:val="24"/>
          <w:szCs w:val="24"/>
        </w:rPr>
        <w:t>attack on the case of the ap</w:t>
      </w:r>
      <w:r w:rsidR="002975E2">
        <w:rPr>
          <w:rFonts w:ascii="Arial" w:hAnsi="Arial" w:cs="Arial"/>
          <w:sz w:val="24"/>
          <w:szCs w:val="24"/>
        </w:rPr>
        <w:t xml:space="preserve">plicant. </w:t>
      </w:r>
    </w:p>
    <w:p w:rsidR="00D57F83" w:rsidRDefault="00D57F83" w:rsidP="00425F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01DFF" w:rsidRDefault="00201DFF" w:rsidP="00425F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B04AC2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  <w:t>Applicant di</w:t>
      </w:r>
      <w:r w:rsidR="00F259F7">
        <w:rPr>
          <w:rFonts w:ascii="Arial" w:hAnsi="Arial" w:cs="Arial"/>
          <w:sz w:val="24"/>
          <w:szCs w:val="24"/>
        </w:rPr>
        <w:t>d not explain the June-</w:t>
      </w:r>
      <w:r w:rsidR="008776D0">
        <w:rPr>
          <w:rFonts w:ascii="Arial" w:hAnsi="Arial" w:cs="Arial"/>
          <w:sz w:val="24"/>
          <w:szCs w:val="24"/>
        </w:rPr>
        <w:t>notice</w:t>
      </w:r>
      <w:r w:rsidR="00B04AC2" w:rsidRPr="00B04AC2">
        <w:rPr>
          <w:rFonts w:ascii="Arial" w:hAnsi="Arial" w:cs="Arial"/>
          <w:sz w:val="24"/>
          <w:szCs w:val="24"/>
        </w:rPr>
        <w:t xml:space="preserve"> </w:t>
      </w:r>
      <w:r w:rsidR="00B04AC2">
        <w:rPr>
          <w:rFonts w:ascii="Arial" w:hAnsi="Arial" w:cs="Arial"/>
          <w:sz w:val="24"/>
          <w:szCs w:val="24"/>
        </w:rPr>
        <w:t>in its founding affidavit</w:t>
      </w:r>
      <w:r w:rsidR="00F34DD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8776D0">
        <w:rPr>
          <w:rFonts w:ascii="Arial" w:hAnsi="Arial" w:cs="Arial"/>
          <w:sz w:val="24"/>
          <w:szCs w:val="24"/>
        </w:rPr>
        <w:t xml:space="preserve">They merely commenced their submissions </w:t>
      </w:r>
      <w:r w:rsidR="00F259F7">
        <w:rPr>
          <w:rFonts w:ascii="Arial" w:hAnsi="Arial" w:cs="Arial"/>
          <w:sz w:val="24"/>
          <w:szCs w:val="24"/>
        </w:rPr>
        <w:t>on the proceedings arising from the July-</w:t>
      </w:r>
      <w:r w:rsidR="008776D0">
        <w:rPr>
          <w:rFonts w:ascii="Arial" w:hAnsi="Arial" w:cs="Arial"/>
          <w:sz w:val="24"/>
          <w:szCs w:val="24"/>
        </w:rPr>
        <w:t xml:space="preserve">notice. </w:t>
      </w:r>
    </w:p>
    <w:p w:rsidR="00201DFF" w:rsidRDefault="00201DFF" w:rsidP="00425F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01DFF" w:rsidRDefault="00201DFF" w:rsidP="00425F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A509C7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  <w:t xml:space="preserve">First respondent </w:t>
      </w:r>
      <w:r w:rsidR="008776D0">
        <w:rPr>
          <w:rFonts w:ascii="Arial" w:hAnsi="Arial" w:cs="Arial"/>
          <w:sz w:val="24"/>
          <w:szCs w:val="24"/>
        </w:rPr>
        <w:t>did not advance</w:t>
      </w:r>
      <w:r>
        <w:rPr>
          <w:rFonts w:ascii="Arial" w:hAnsi="Arial" w:cs="Arial"/>
          <w:sz w:val="24"/>
          <w:szCs w:val="24"/>
        </w:rPr>
        <w:t xml:space="preserve"> an</w:t>
      </w:r>
      <w:r w:rsidR="008776D0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explanation for their attendance at the </w:t>
      </w:r>
      <w:proofErr w:type="spellStart"/>
      <w:r>
        <w:rPr>
          <w:rFonts w:ascii="Arial" w:hAnsi="Arial" w:cs="Arial"/>
          <w:sz w:val="24"/>
          <w:szCs w:val="24"/>
        </w:rPr>
        <w:t>Otjiwarongo</w:t>
      </w:r>
      <w:proofErr w:type="spellEnd"/>
      <w:r>
        <w:rPr>
          <w:rFonts w:ascii="Arial" w:hAnsi="Arial" w:cs="Arial"/>
          <w:sz w:val="24"/>
          <w:szCs w:val="24"/>
        </w:rPr>
        <w:t xml:space="preserve"> meeting, in light of the allegation that they did</w:t>
      </w:r>
      <w:r w:rsidR="00B91CC2">
        <w:rPr>
          <w:rFonts w:ascii="Arial" w:hAnsi="Arial" w:cs="Arial"/>
          <w:sz w:val="24"/>
          <w:szCs w:val="24"/>
        </w:rPr>
        <w:t xml:space="preserve"> not receive</w:t>
      </w:r>
      <w:r w:rsidR="008776D0">
        <w:rPr>
          <w:rFonts w:ascii="Arial" w:hAnsi="Arial" w:cs="Arial"/>
          <w:sz w:val="24"/>
          <w:szCs w:val="24"/>
        </w:rPr>
        <w:t xml:space="preserve"> the </w:t>
      </w:r>
      <w:r w:rsidR="00B91CC2">
        <w:rPr>
          <w:rFonts w:ascii="Arial" w:hAnsi="Arial" w:cs="Arial"/>
          <w:sz w:val="24"/>
          <w:szCs w:val="24"/>
        </w:rPr>
        <w:t>July-</w:t>
      </w:r>
      <w:r w:rsidR="008776D0">
        <w:rPr>
          <w:rFonts w:ascii="Arial" w:hAnsi="Arial" w:cs="Arial"/>
          <w:sz w:val="24"/>
          <w:szCs w:val="24"/>
        </w:rPr>
        <w:t>notice</w:t>
      </w:r>
      <w:r w:rsidR="00B91CC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I cannot</w:t>
      </w:r>
      <w:r w:rsidR="001E31B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but accept the submission of </w:t>
      </w:r>
      <w:proofErr w:type="spellStart"/>
      <w:r>
        <w:rPr>
          <w:rFonts w:ascii="Arial" w:hAnsi="Arial" w:cs="Arial"/>
          <w:sz w:val="24"/>
          <w:szCs w:val="24"/>
        </w:rPr>
        <w:t>Mr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E31B0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Beer that the applicant cann</w:t>
      </w:r>
      <w:r w:rsidR="00417E9B">
        <w:rPr>
          <w:rFonts w:ascii="Arial" w:hAnsi="Arial" w:cs="Arial"/>
          <w:sz w:val="24"/>
          <w:szCs w:val="24"/>
        </w:rPr>
        <w:t xml:space="preserve">ot account for the fact whether </w:t>
      </w:r>
      <w:r w:rsidR="001E31B0">
        <w:rPr>
          <w:rFonts w:ascii="Arial" w:hAnsi="Arial" w:cs="Arial"/>
          <w:sz w:val="24"/>
          <w:szCs w:val="24"/>
        </w:rPr>
        <w:t xml:space="preserve">the first </w:t>
      </w:r>
      <w:r>
        <w:rPr>
          <w:rFonts w:ascii="Arial" w:hAnsi="Arial" w:cs="Arial"/>
          <w:sz w:val="24"/>
          <w:szCs w:val="24"/>
        </w:rPr>
        <w:t xml:space="preserve">respondent duly received the </w:t>
      </w:r>
      <w:r w:rsidR="00B91CC2">
        <w:rPr>
          <w:rFonts w:ascii="Arial" w:hAnsi="Arial" w:cs="Arial"/>
          <w:sz w:val="24"/>
          <w:szCs w:val="24"/>
        </w:rPr>
        <w:t>July-</w:t>
      </w:r>
      <w:r>
        <w:rPr>
          <w:rFonts w:ascii="Arial" w:hAnsi="Arial" w:cs="Arial"/>
          <w:sz w:val="24"/>
          <w:szCs w:val="24"/>
        </w:rPr>
        <w:t>notice</w:t>
      </w:r>
      <w:r w:rsidR="00B91CC2">
        <w:rPr>
          <w:rFonts w:ascii="Arial" w:hAnsi="Arial" w:cs="Arial"/>
          <w:sz w:val="24"/>
          <w:szCs w:val="24"/>
        </w:rPr>
        <w:t xml:space="preserve"> or not.</w:t>
      </w:r>
      <w:r>
        <w:rPr>
          <w:rFonts w:ascii="Arial" w:hAnsi="Arial" w:cs="Arial"/>
          <w:sz w:val="24"/>
          <w:szCs w:val="24"/>
        </w:rPr>
        <w:t xml:space="preserve"> </w:t>
      </w:r>
      <w:r w:rsidR="008776D0">
        <w:rPr>
          <w:rFonts w:ascii="Arial" w:hAnsi="Arial" w:cs="Arial"/>
          <w:sz w:val="24"/>
          <w:szCs w:val="24"/>
        </w:rPr>
        <w:t>First respondent was</w:t>
      </w:r>
      <w:r>
        <w:rPr>
          <w:rFonts w:ascii="Arial" w:hAnsi="Arial" w:cs="Arial"/>
          <w:sz w:val="24"/>
          <w:szCs w:val="24"/>
        </w:rPr>
        <w:t xml:space="preserve"> present, applicant can only assume they were duly called upon to attend, in terms of the same notice that applicant received to attend. I therefore cannot </w:t>
      </w:r>
      <w:r w:rsidR="001E31B0">
        <w:rPr>
          <w:rFonts w:ascii="Arial" w:hAnsi="Arial" w:cs="Arial"/>
          <w:sz w:val="24"/>
          <w:szCs w:val="24"/>
        </w:rPr>
        <w:t>draw</w:t>
      </w:r>
      <w:r>
        <w:rPr>
          <w:rFonts w:ascii="Arial" w:hAnsi="Arial" w:cs="Arial"/>
          <w:sz w:val="24"/>
          <w:szCs w:val="24"/>
        </w:rPr>
        <w:t xml:space="preserve"> any negative inference </w:t>
      </w:r>
      <w:r w:rsidR="00DB66BF">
        <w:rPr>
          <w:rFonts w:ascii="Arial" w:hAnsi="Arial" w:cs="Arial"/>
          <w:sz w:val="24"/>
          <w:szCs w:val="24"/>
        </w:rPr>
        <w:t>against</w:t>
      </w:r>
      <w:r w:rsidR="00841F5C">
        <w:rPr>
          <w:rFonts w:ascii="Arial" w:hAnsi="Arial" w:cs="Arial"/>
          <w:sz w:val="24"/>
          <w:szCs w:val="24"/>
        </w:rPr>
        <w:t xml:space="preserve"> the case of the applicant </w:t>
      </w:r>
      <w:r w:rsidR="001E31B0">
        <w:rPr>
          <w:rFonts w:ascii="Arial" w:hAnsi="Arial" w:cs="Arial"/>
          <w:sz w:val="24"/>
          <w:szCs w:val="24"/>
        </w:rPr>
        <w:t>from</w:t>
      </w:r>
      <w:r>
        <w:rPr>
          <w:rFonts w:ascii="Arial" w:hAnsi="Arial" w:cs="Arial"/>
          <w:sz w:val="24"/>
          <w:szCs w:val="24"/>
        </w:rPr>
        <w:t xml:space="preserve"> the </w:t>
      </w:r>
      <w:r w:rsidR="008324DE">
        <w:rPr>
          <w:rFonts w:ascii="Arial" w:hAnsi="Arial" w:cs="Arial"/>
          <w:sz w:val="24"/>
          <w:szCs w:val="24"/>
        </w:rPr>
        <w:t xml:space="preserve">respondent’s </w:t>
      </w:r>
      <w:r>
        <w:rPr>
          <w:rFonts w:ascii="Arial" w:hAnsi="Arial" w:cs="Arial"/>
          <w:sz w:val="24"/>
          <w:szCs w:val="24"/>
        </w:rPr>
        <w:t>submissions regarding the two notices.</w:t>
      </w:r>
    </w:p>
    <w:p w:rsidR="004F26B9" w:rsidRDefault="004F26B9" w:rsidP="00425F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F26B9" w:rsidRDefault="004F26B9" w:rsidP="00314F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[10]</w:t>
      </w:r>
      <w:r>
        <w:rPr>
          <w:rFonts w:ascii="Arial" w:hAnsi="Arial" w:cs="Arial"/>
          <w:sz w:val="24"/>
          <w:szCs w:val="24"/>
        </w:rPr>
        <w:tab/>
        <w:t xml:space="preserve">In the premises, the applicant is now seeking an order to declare that the alleged settlement agreement concluded at the </w:t>
      </w:r>
      <w:proofErr w:type="spellStart"/>
      <w:r>
        <w:rPr>
          <w:rFonts w:ascii="Arial" w:hAnsi="Arial" w:cs="Arial"/>
          <w:sz w:val="24"/>
          <w:szCs w:val="24"/>
        </w:rPr>
        <w:t>Otjiwarongo</w:t>
      </w:r>
      <w:proofErr w:type="spellEnd"/>
      <w:r>
        <w:rPr>
          <w:rFonts w:ascii="Arial" w:hAnsi="Arial" w:cs="Arial"/>
          <w:sz w:val="24"/>
          <w:szCs w:val="24"/>
        </w:rPr>
        <w:t xml:space="preserve"> meeting is valid and enforceable, and to make it an order of court. The applicant submitted</w:t>
      </w:r>
      <w:r w:rsidR="00EC35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that the second respondent was competent to make the settlement an award, </w:t>
      </w:r>
      <w:r w:rsidR="00314F27">
        <w:rPr>
          <w:rFonts w:ascii="Arial" w:hAnsi="Arial" w:cs="Arial"/>
          <w:sz w:val="24"/>
          <w:szCs w:val="24"/>
        </w:rPr>
        <w:t xml:space="preserve">since the parties so expressed their desire in the handwritten clause of the document. This </w:t>
      </w:r>
      <w:r>
        <w:rPr>
          <w:rFonts w:ascii="Arial" w:hAnsi="Arial" w:cs="Arial"/>
          <w:sz w:val="24"/>
          <w:szCs w:val="24"/>
        </w:rPr>
        <w:t xml:space="preserve">administrative function was </w:t>
      </w:r>
      <w:r w:rsidR="00314F27">
        <w:rPr>
          <w:rFonts w:ascii="Arial" w:hAnsi="Arial" w:cs="Arial"/>
          <w:sz w:val="24"/>
          <w:szCs w:val="24"/>
        </w:rPr>
        <w:t xml:space="preserve">however </w:t>
      </w:r>
      <w:r>
        <w:rPr>
          <w:rFonts w:ascii="Arial" w:hAnsi="Arial" w:cs="Arial"/>
          <w:sz w:val="24"/>
          <w:szCs w:val="24"/>
        </w:rPr>
        <w:t>not concluded at the meeting</w:t>
      </w:r>
      <w:r w:rsidR="00314F27">
        <w:rPr>
          <w:rFonts w:ascii="Arial" w:hAnsi="Arial" w:cs="Arial"/>
          <w:sz w:val="24"/>
          <w:szCs w:val="24"/>
        </w:rPr>
        <w:t xml:space="preserve"> by the second respondent.</w:t>
      </w:r>
      <w:r>
        <w:rPr>
          <w:rFonts w:ascii="Arial" w:hAnsi="Arial" w:cs="Arial"/>
          <w:sz w:val="24"/>
          <w:szCs w:val="24"/>
        </w:rPr>
        <w:t xml:space="preserve"> </w:t>
      </w:r>
      <w:r w:rsidR="00314F27">
        <w:rPr>
          <w:rFonts w:ascii="Arial" w:hAnsi="Arial" w:cs="Arial"/>
          <w:sz w:val="24"/>
          <w:szCs w:val="24"/>
        </w:rPr>
        <w:t>If that had been done, the applicant would have been entitled to apply, i</w:t>
      </w:r>
      <w:r>
        <w:rPr>
          <w:rFonts w:ascii="Arial" w:hAnsi="Arial" w:cs="Arial"/>
          <w:sz w:val="24"/>
          <w:szCs w:val="24"/>
        </w:rPr>
        <w:t>n terms of s 87 (1) (b), of the Act,</w:t>
      </w:r>
      <w:r w:rsidR="00314F27">
        <w:rPr>
          <w:rFonts w:ascii="Arial" w:hAnsi="Arial" w:cs="Arial"/>
          <w:sz w:val="24"/>
          <w:szCs w:val="24"/>
        </w:rPr>
        <w:t xml:space="preserve"> that the award be made an order of this court.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01DFF" w:rsidRDefault="00201DFF" w:rsidP="00425F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162B3" w:rsidRDefault="00314F27" w:rsidP="00425F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[11</w:t>
      </w:r>
      <w:r w:rsidR="0079263C">
        <w:rPr>
          <w:rFonts w:ascii="Arial" w:hAnsi="Arial" w:cs="Arial"/>
          <w:sz w:val="24"/>
          <w:szCs w:val="24"/>
        </w:rPr>
        <w:t>]</w:t>
      </w:r>
      <w:r w:rsidR="009162B3">
        <w:rPr>
          <w:rFonts w:ascii="Arial" w:hAnsi="Arial" w:cs="Arial"/>
          <w:sz w:val="24"/>
          <w:szCs w:val="24"/>
        </w:rPr>
        <w:tab/>
      </w:r>
      <w:r w:rsidR="00123C17">
        <w:rPr>
          <w:rFonts w:ascii="Arial" w:hAnsi="Arial" w:cs="Arial"/>
          <w:sz w:val="24"/>
          <w:szCs w:val="24"/>
        </w:rPr>
        <w:t>Three legal points crystaliz</w:t>
      </w:r>
      <w:r w:rsidR="00887F48">
        <w:rPr>
          <w:rFonts w:ascii="Arial" w:hAnsi="Arial" w:cs="Arial"/>
          <w:sz w:val="24"/>
          <w:szCs w:val="24"/>
        </w:rPr>
        <w:t>ed from the answering affidavit</w:t>
      </w:r>
      <w:r w:rsidR="00DB66BF">
        <w:rPr>
          <w:rFonts w:ascii="Arial" w:hAnsi="Arial" w:cs="Arial"/>
          <w:sz w:val="24"/>
          <w:szCs w:val="24"/>
        </w:rPr>
        <w:t xml:space="preserve"> and were</w:t>
      </w:r>
      <w:r w:rsidR="008324DE">
        <w:rPr>
          <w:rFonts w:ascii="Arial" w:hAnsi="Arial" w:cs="Arial"/>
          <w:sz w:val="24"/>
          <w:szCs w:val="24"/>
        </w:rPr>
        <w:t xml:space="preserve"> accordingly argued in court by counsel for first respondent, </w:t>
      </w:r>
      <w:proofErr w:type="spellStart"/>
      <w:r w:rsidR="008324DE">
        <w:rPr>
          <w:rFonts w:ascii="Arial" w:hAnsi="Arial" w:cs="Arial"/>
          <w:sz w:val="24"/>
          <w:szCs w:val="24"/>
        </w:rPr>
        <w:t>Mr</w:t>
      </w:r>
      <w:proofErr w:type="spellEnd"/>
      <w:r w:rsidR="008324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24DE">
        <w:rPr>
          <w:rFonts w:ascii="Arial" w:hAnsi="Arial" w:cs="Arial"/>
          <w:sz w:val="24"/>
          <w:szCs w:val="24"/>
        </w:rPr>
        <w:t>Elago</w:t>
      </w:r>
      <w:proofErr w:type="spellEnd"/>
      <w:r w:rsidR="008324DE">
        <w:rPr>
          <w:rFonts w:ascii="Arial" w:hAnsi="Arial" w:cs="Arial"/>
          <w:sz w:val="24"/>
          <w:szCs w:val="24"/>
        </w:rPr>
        <w:t>.</w:t>
      </w:r>
      <w:r w:rsidR="00FC57F2">
        <w:rPr>
          <w:rFonts w:ascii="Arial" w:hAnsi="Arial" w:cs="Arial"/>
          <w:sz w:val="24"/>
          <w:szCs w:val="24"/>
        </w:rPr>
        <w:t xml:space="preserve"> </w:t>
      </w:r>
      <w:r w:rsidR="00DB66BF">
        <w:rPr>
          <w:rFonts w:ascii="Arial" w:hAnsi="Arial" w:cs="Arial"/>
          <w:sz w:val="24"/>
          <w:szCs w:val="24"/>
        </w:rPr>
        <w:t>Firs</w:t>
      </w:r>
      <w:r w:rsidR="001E31B0">
        <w:rPr>
          <w:rFonts w:ascii="Arial" w:hAnsi="Arial" w:cs="Arial"/>
          <w:sz w:val="24"/>
          <w:szCs w:val="24"/>
        </w:rPr>
        <w:t xml:space="preserve">t </w:t>
      </w:r>
      <w:r w:rsidR="00123C17">
        <w:rPr>
          <w:rFonts w:ascii="Arial" w:hAnsi="Arial" w:cs="Arial"/>
          <w:sz w:val="24"/>
          <w:szCs w:val="24"/>
        </w:rPr>
        <w:t>respo</w:t>
      </w:r>
      <w:r w:rsidR="00CA123D">
        <w:rPr>
          <w:rFonts w:ascii="Arial" w:hAnsi="Arial" w:cs="Arial"/>
          <w:sz w:val="24"/>
          <w:szCs w:val="24"/>
        </w:rPr>
        <w:t>ndent placed in dispute whether</w:t>
      </w:r>
      <w:r w:rsidR="00123C1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23C17">
        <w:rPr>
          <w:rFonts w:ascii="Arial" w:hAnsi="Arial" w:cs="Arial"/>
          <w:sz w:val="24"/>
          <w:szCs w:val="24"/>
        </w:rPr>
        <w:t>a conciliation</w:t>
      </w:r>
      <w:proofErr w:type="gramEnd"/>
      <w:r w:rsidR="00123C17">
        <w:rPr>
          <w:rFonts w:ascii="Arial" w:hAnsi="Arial" w:cs="Arial"/>
          <w:sz w:val="24"/>
          <w:szCs w:val="24"/>
        </w:rPr>
        <w:t xml:space="preserve"> took place</w:t>
      </w:r>
      <w:r w:rsidR="001E31B0">
        <w:rPr>
          <w:rFonts w:ascii="Arial" w:hAnsi="Arial" w:cs="Arial"/>
          <w:sz w:val="24"/>
          <w:szCs w:val="24"/>
        </w:rPr>
        <w:t>,</w:t>
      </w:r>
      <w:r w:rsidR="00123C17">
        <w:rPr>
          <w:rFonts w:ascii="Arial" w:hAnsi="Arial" w:cs="Arial"/>
          <w:sz w:val="24"/>
          <w:szCs w:val="24"/>
        </w:rPr>
        <w:t xml:space="preserve"> which resulted in the </w:t>
      </w:r>
      <w:r w:rsidR="009162B3">
        <w:rPr>
          <w:rFonts w:ascii="Arial" w:hAnsi="Arial" w:cs="Arial"/>
          <w:sz w:val="24"/>
          <w:szCs w:val="24"/>
        </w:rPr>
        <w:t>alleged</w:t>
      </w:r>
      <w:r w:rsidR="00123C17">
        <w:rPr>
          <w:rFonts w:ascii="Arial" w:hAnsi="Arial" w:cs="Arial"/>
          <w:sz w:val="24"/>
          <w:szCs w:val="24"/>
        </w:rPr>
        <w:t xml:space="preserve"> settlement agreement. Secondly, the </w:t>
      </w:r>
      <w:r w:rsidR="001E31B0">
        <w:rPr>
          <w:rFonts w:ascii="Arial" w:hAnsi="Arial" w:cs="Arial"/>
          <w:sz w:val="24"/>
          <w:szCs w:val="24"/>
        </w:rPr>
        <w:t xml:space="preserve">first </w:t>
      </w:r>
      <w:r w:rsidR="00123C17">
        <w:rPr>
          <w:rFonts w:ascii="Arial" w:hAnsi="Arial" w:cs="Arial"/>
          <w:sz w:val="24"/>
          <w:szCs w:val="24"/>
        </w:rPr>
        <w:t xml:space="preserve">respondent claimed that the document signed and attached as </w:t>
      </w:r>
      <w:r w:rsidR="001E31B0">
        <w:rPr>
          <w:rFonts w:ascii="Arial" w:hAnsi="Arial" w:cs="Arial"/>
          <w:sz w:val="24"/>
          <w:szCs w:val="24"/>
        </w:rPr>
        <w:t>‘</w:t>
      </w:r>
      <w:r w:rsidR="00123C17">
        <w:rPr>
          <w:rFonts w:ascii="Arial" w:hAnsi="Arial" w:cs="Arial"/>
          <w:sz w:val="24"/>
          <w:szCs w:val="24"/>
        </w:rPr>
        <w:t>PG4</w:t>
      </w:r>
      <w:r w:rsidR="001E31B0">
        <w:rPr>
          <w:rFonts w:ascii="Arial" w:hAnsi="Arial" w:cs="Arial"/>
          <w:sz w:val="24"/>
          <w:szCs w:val="24"/>
        </w:rPr>
        <w:t>’</w:t>
      </w:r>
      <w:r w:rsidR="00123C17">
        <w:rPr>
          <w:rFonts w:ascii="Arial" w:hAnsi="Arial" w:cs="Arial"/>
          <w:sz w:val="24"/>
          <w:szCs w:val="24"/>
        </w:rPr>
        <w:t xml:space="preserve"> to the founding</w:t>
      </w:r>
      <w:r w:rsidR="009162B3">
        <w:rPr>
          <w:rFonts w:ascii="Arial" w:hAnsi="Arial" w:cs="Arial"/>
          <w:sz w:val="24"/>
          <w:szCs w:val="24"/>
        </w:rPr>
        <w:t xml:space="preserve"> affidavit </w:t>
      </w:r>
      <w:r w:rsidR="00123C17">
        <w:rPr>
          <w:rFonts w:ascii="Arial" w:hAnsi="Arial" w:cs="Arial"/>
          <w:sz w:val="24"/>
          <w:szCs w:val="24"/>
        </w:rPr>
        <w:t xml:space="preserve">was not executed with the necessary authority. </w:t>
      </w:r>
      <w:r w:rsidR="001E31B0">
        <w:rPr>
          <w:rFonts w:ascii="Arial" w:hAnsi="Arial" w:cs="Arial"/>
          <w:sz w:val="24"/>
          <w:szCs w:val="24"/>
        </w:rPr>
        <w:t>Finally</w:t>
      </w:r>
      <w:r w:rsidR="00123C1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it is contended that </w:t>
      </w:r>
      <w:r w:rsidR="00123C17">
        <w:rPr>
          <w:rFonts w:ascii="Arial" w:hAnsi="Arial" w:cs="Arial"/>
          <w:sz w:val="24"/>
          <w:szCs w:val="24"/>
        </w:rPr>
        <w:t xml:space="preserve">the representatives of the </w:t>
      </w:r>
      <w:r w:rsidR="001E31B0">
        <w:rPr>
          <w:rFonts w:ascii="Arial" w:hAnsi="Arial" w:cs="Arial"/>
          <w:sz w:val="24"/>
          <w:szCs w:val="24"/>
        </w:rPr>
        <w:t xml:space="preserve">first </w:t>
      </w:r>
      <w:r w:rsidR="00123C17">
        <w:rPr>
          <w:rFonts w:ascii="Arial" w:hAnsi="Arial" w:cs="Arial"/>
          <w:sz w:val="24"/>
          <w:szCs w:val="24"/>
        </w:rPr>
        <w:t>respon</w:t>
      </w:r>
      <w:r w:rsidR="009162B3">
        <w:rPr>
          <w:rFonts w:ascii="Arial" w:hAnsi="Arial" w:cs="Arial"/>
          <w:sz w:val="24"/>
          <w:szCs w:val="24"/>
        </w:rPr>
        <w:t xml:space="preserve">dent who executed the </w:t>
      </w:r>
      <w:r w:rsidR="00820498">
        <w:rPr>
          <w:rFonts w:ascii="Arial" w:hAnsi="Arial" w:cs="Arial"/>
          <w:sz w:val="24"/>
          <w:szCs w:val="24"/>
        </w:rPr>
        <w:t>document, did so under duress. The allegation is th</w:t>
      </w:r>
      <w:r>
        <w:rPr>
          <w:rFonts w:ascii="Arial" w:hAnsi="Arial" w:cs="Arial"/>
          <w:sz w:val="24"/>
          <w:szCs w:val="24"/>
        </w:rPr>
        <w:t>at they were coerced or induced to sign the alleged settlement agreement.</w:t>
      </w:r>
    </w:p>
    <w:p w:rsidR="00C32282" w:rsidRDefault="00C32282" w:rsidP="00425FA3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E31B0" w:rsidRPr="00EF0038" w:rsidRDefault="008776D0" w:rsidP="00425FA3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F0038">
        <w:rPr>
          <w:rFonts w:ascii="Arial" w:hAnsi="Arial" w:cs="Arial"/>
          <w:b/>
          <w:sz w:val="24"/>
          <w:szCs w:val="24"/>
          <w:u w:val="single"/>
        </w:rPr>
        <w:t xml:space="preserve">Did a </w:t>
      </w:r>
      <w:r w:rsidR="008324DE" w:rsidRPr="00EF0038">
        <w:rPr>
          <w:rFonts w:ascii="Arial" w:hAnsi="Arial" w:cs="Arial"/>
          <w:b/>
          <w:sz w:val="24"/>
          <w:szCs w:val="24"/>
          <w:u w:val="single"/>
        </w:rPr>
        <w:t>C</w:t>
      </w:r>
      <w:r w:rsidRPr="00EF0038">
        <w:rPr>
          <w:rFonts w:ascii="Arial" w:hAnsi="Arial" w:cs="Arial"/>
          <w:b/>
          <w:sz w:val="24"/>
          <w:szCs w:val="24"/>
          <w:u w:val="single"/>
        </w:rPr>
        <w:t xml:space="preserve">onciliation </w:t>
      </w:r>
      <w:r w:rsidR="008324DE" w:rsidRPr="00EF0038">
        <w:rPr>
          <w:rFonts w:ascii="Arial" w:hAnsi="Arial" w:cs="Arial"/>
          <w:b/>
          <w:sz w:val="24"/>
          <w:szCs w:val="24"/>
          <w:u w:val="single"/>
        </w:rPr>
        <w:t>M</w:t>
      </w:r>
      <w:r w:rsidR="00EF0038">
        <w:rPr>
          <w:rFonts w:ascii="Arial" w:hAnsi="Arial" w:cs="Arial"/>
          <w:b/>
          <w:sz w:val="24"/>
          <w:szCs w:val="24"/>
          <w:u w:val="single"/>
        </w:rPr>
        <w:t>eeting take place</w:t>
      </w:r>
      <w:r w:rsidRPr="00EF0038">
        <w:rPr>
          <w:rFonts w:ascii="Arial" w:hAnsi="Arial" w:cs="Arial"/>
          <w:b/>
          <w:sz w:val="24"/>
          <w:szCs w:val="24"/>
          <w:u w:val="single"/>
        </w:rPr>
        <w:t>?</w:t>
      </w:r>
    </w:p>
    <w:p w:rsidR="00B64EE2" w:rsidRDefault="008776D0" w:rsidP="00425F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C229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B34877" w:rsidRDefault="00314F27" w:rsidP="00425F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[12</w:t>
      </w:r>
      <w:r w:rsidR="009162B3">
        <w:rPr>
          <w:rFonts w:ascii="Arial" w:hAnsi="Arial" w:cs="Arial"/>
          <w:sz w:val="24"/>
          <w:szCs w:val="24"/>
        </w:rPr>
        <w:t>]</w:t>
      </w:r>
      <w:r w:rsidR="009162B3">
        <w:rPr>
          <w:rFonts w:ascii="Arial" w:hAnsi="Arial" w:cs="Arial"/>
          <w:sz w:val="24"/>
          <w:szCs w:val="24"/>
        </w:rPr>
        <w:tab/>
      </w:r>
      <w:r w:rsidR="000C2291">
        <w:rPr>
          <w:rFonts w:ascii="Arial" w:hAnsi="Arial" w:cs="Arial"/>
          <w:sz w:val="24"/>
          <w:szCs w:val="24"/>
        </w:rPr>
        <w:t xml:space="preserve"> Mr. </w:t>
      </w:r>
      <w:r w:rsidR="001E31B0">
        <w:rPr>
          <w:rFonts w:ascii="Arial" w:hAnsi="Arial" w:cs="Arial"/>
          <w:sz w:val="24"/>
          <w:szCs w:val="24"/>
        </w:rPr>
        <w:t>D</w:t>
      </w:r>
      <w:r w:rsidR="000C2291">
        <w:rPr>
          <w:rFonts w:ascii="Arial" w:hAnsi="Arial" w:cs="Arial"/>
          <w:sz w:val="24"/>
          <w:szCs w:val="24"/>
        </w:rPr>
        <w:t>e B</w:t>
      </w:r>
      <w:r w:rsidR="009162B3">
        <w:rPr>
          <w:rFonts w:ascii="Arial" w:hAnsi="Arial" w:cs="Arial"/>
          <w:sz w:val="24"/>
          <w:szCs w:val="24"/>
        </w:rPr>
        <w:t>eer, counsel for the applicant made submissions to counter the claim in the answering affidavit that no conciliation took place. He explained the matter as follows.</w:t>
      </w:r>
      <w:r w:rsidR="000C2291">
        <w:rPr>
          <w:rFonts w:ascii="Arial" w:hAnsi="Arial" w:cs="Arial"/>
          <w:sz w:val="24"/>
          <w:szCs w:val="24"/>
        </w:rPr>
        <w:t xml:space="preserve"> </w:t>
      </w:r>
      <w:r w:rsidR="00383602">
        <w:rPr>
          <w:rFonts w:ascii="Arial" w:hAnsi="Arial" w:cs="Arial"/>
          <w:sz w:val="24"/>
          <w:szCs w:val="24"/>
        </w:rPr>
        <w:t xml:space="preserve">The very nature of the conciliation process is that if it is conducted successfully, it will result in a consensus between </w:t>
      </w:r>
      <w:r w:rsidR="00987CDA">
        <w:rPr>
          <w:rFonts w:ascii="Arial" w:hAnsi="Arial" w:cs="Arial"/>
          <w:sz w:val="24"/>
          <w:szCs w:val="24"/>
        </w:rPr>
        <w:t>t</w:t>
      </w:r>
      <w:r w:rsidR="00383602">
        <w:rPr>
          <w:rFonts w:ascii="Arial" w:hAnsi="Arial" w:cs="Arial"/>
          <w:sz w:val="24"/>
          <w:szCs w:val="24"/>
        </w:rPr>
        <w:t>he parties.</w:t>
      </w:r>
      <w:r w:rsidR="00E26966">
        <w:rPr>
          <w:rFonts w:ascii="Arial" w:hAnsi="Arial" w:cs="Arial"/>
          <w:sz w:val="24"/>
          <w:szCs w:val="24"/>
        </w:rPr>
        <w:t xml:space="preserve"> Second respondent </w:t>
      </w:r>
      <w:r w:rsidR="00142493">
        <w:rPr>
          <w:rFonts w:ascii="Arial" w:hAnsi="Arial" w:cs="Arial"/>
          <w:sz w:val="24"/>
          <w:szCs w:val="24"/>
        </w:rPr>
        <w:t xml:space="preserve">had a statutory duty to </w:t>
      </w:r>
      <w:r w:rsidR="00E26966">
        <w:rPr>
          <w:rFonts w:ascii="Arial" w:hAnsi="Arial" w:cs="Arial"/>
          <w:sz w:val="24"/>
          <w:szCs w:val="24"/>
        </w:rPr>
        <w:t xml:space="preserve">facilitate conciliation </w:t>
      </w:r>
      <w:r w:rsidR="00142493">
        <w:rPr>
          <w:rFonts w:ascii="Arial" w:hAnsi="Arial" w:cs="Arial"/>
          <w:sz w:val="24"/>
          <w:szCs w:val="24"/>
        </w:rPr>
        <w:t xml:space="preserve">and to attempt </w:t>
      </w:r>
      <w:r w:rsidR="00E26966">
        <w:rPr>
          <w:rFonts w:ascii="Arial" w:hAnsi="Arial" w:cs="Arial"/>
          <w:sz w:val="24"/>
          <w:szCs w:val="24"/>
        </w:rPr>
        <w:t>to move the p</w:t>
      </w:r>
      <w:r w:rsidR="00DF68EB">
        <w:rPr>
          <w:rFonts w:ascii="Arial" w:hAnsi="Arial" w:cs="Arial"/>
          <w:sz w:val="24"/>
          <w:szCs w:val="24"/>
        </w:rPr>
        <w:t>arties to a possible consensus.</w:t>
      </w:r>
      <w:r w:rsidR="000C2291" w:rsidRPr="000C2291">
        <w:rPr>
          <w:rFonts w:ascii="Arial" w:hAnsi="Arial" w:cs="Arial"/>
          <w:sz w:val="24"/>
          <w:szCs w:val="24"/>
        </w:rPr>
        <w:t xml:space="preserve"> </w:t>
      </w:r>
      <w:r w:rsidR="000C2291">
        <w:rPr>
          <w:rFonts w:ascii="Arial" w:hAnsi="Arial" w:cs="Arial"/>
          <w:sz w:val="24"/>
          <w:szCs w:val="24"/>
        </w:rPr>
        <w:t xml:space="preserve">The conciliation phase includes the opportunity to consider settlement in terms of </w:t>
      </w:r>
      <w:r w:rsidR="000C2291" w:rsidRPr="00457379">
        <w:rPr>
          <w:rFonts w:ascii="Arial" w:hAnsi="Arial" w:cs="Arial"/>
          <w:i/>
          <w:sz w:val="24"/>
          <w:szCs w:val="24"/>
        </w:rPr>
        <w:t xml:space="preserve">rule 20 (1) and (2) of the </w:t>
      </w:r>
      <w:r w:rsidR="009D27B0">
        <w:rPr>
          <w:rFonts w:ascii="Arial" w:hAnsi="Arial" w:cs="Arial"/>
          <w:i/>
          <w:sz w:val="24"/>
          <w:szCs w:val="24"/>
        </w:rPr>
        <w:t xml:space="preserve">Rules relating to the Conduct of </w:t>
      </w:r>
      <w:r w:rsidR="000C2291" w:rsidRPr="00457379">
        <w:rPr>
          <w:rFonts w:ascii="Arial" w:hAnsi="Arial" w:cs="Arial"/>
          <w:i/>
          <w:sz w:val="24"/>
          <w:szCs w:val="24"/>
        </w:rPr>
        <w:t xml:space="preserve">Conciliation and Arbitration </w:t>
      </w:r>
      <w:r w:rsidR="009D27B0">
        <w:rPr>
          <w:rFonts w:ascii="Arial" w:hAnsi="Arial" w:cs="Arial"/>
          <w:i/>
          <w:sz w:val="24"/>
          <w:szCs w:val="24"/>
        </w:rPr>
        <w:t>before the Labour Commissione</w:t>
      </w:r>
      <w:r>
        <w:rPr>
          <w:rFonts w:ascii="Arial" w:hAnsi="Arial" w:cs="Arial"/>
          <w:i/>
          <w:sz w:val="24"/>
          <w:szCs w:val="24"/>
        </w:rPr>
        <w:t>r</w:t>
      </w:r>
      <w:r w:rsidR="00142493">
        <w:rPr>
          <w:rFonts w:ascii="Arial" w:hAnsi="Arial" w:cs="Arial"/>
          <w:i/>
          <w:sz w:val="24"/>
          <w:szCs w:val="24"/>
        </w:rPr>
        <w:t>.</w:t>
      </w:r>
      <w:r w:rsidR="009D27B0">
        <w:rPr>
          <w:rStyle w:val="FootnoteReference"/>
          <w:rFonts w:ascii="Arial" w:hAnsi="Arial" w:cs="Arial"/>
          <w:i/>
          <w:sz w:val="24"/>
          <w:szCs w:val="24"/>
        </w:rPr>
        <w:footnoteReference w:id="1"/>
      </w:r>
    </w:p>
    <w:p w:rsidR="00DF68EB" w:rsidRDefault="00DF68EB" w:rsidP="00425F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34877" w:rsidRDefault="00DF68EB" w:rsidP="00425F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314F27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="00B73F0F">
        <w:rPr>
          <w:rFonts w:ascii="Arial" w:hAnsi="Arial" w:cs="Arial"/>
          <w:sz w:val="24"/>
          <w:szCs w:val="24"/>
        </w:rPr>
        <w:t xml:space="preserve">The Act, structured this process as follows: </w:t>
      </w:r>
      <w:r w:rsidR="00B34877">
        <w:rPr>
          <w:rFonts w:ascii="Arial" w:hAnsi="Arial" w:cs="Arial"/>
          <w:sz w:val="24"/>
          <w:szCs w:val="24"/>
        </w:rPr>
        <w:t xml:space="preserve">Section </w:t>
      </w:r>
      <w:r w:rsidR="00B34877" w:rsidRPr="00DF68EB">
        <w:rPr>
          <w:rFonts w:ascii="Arial" w:hAnsi="Arial" w:cs="Arial"/>
          <w:i/>
          <w:sz w:val="24"/>
          <w:szCs w:val="24"/>
        </w:rPr>
        <w:t>86</w:t>
      </w:r>
      <w:r w:rsidRPr="00DF68EB">
        <w:rPr>
          <w:rFonts w:ascii="Arial" w:hAnsi="Arial" w:cs="Arial"/>
          <w:i/>
          <w:sz w:val="24"/>
          <w:szCs w:val="24"/>
        </w:rPr>
        <w:t xml:space="preserve"> </w:t>
      </w:r>
      <w:r w:rsidR="00B34877" w:rsidRPr="00DF68EB">
        <w:rPr>
          <w:rFonts w:ascii="Arial" w:hAnsi="Arial" w:cs="Arial"/>
          <w:i/>
          <w:sz w:val="24"/>
          <w:szCs w:val="24"/>
        </w:rPr>
        <w:t>(5)</w:t>
      </w:r>
      <w:r w:rsidR="00B348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 the Act </w:t>
      </w:r>
      <w:r w:rsidR="00B34877">
        <w:rPr>
          <w:rFonts w:ascii="Arial" w:hAnsi="Arial" w:cs="Arial"/>
          <w:sz w:val="24"/>
          <w:szCs w:val="24"/>
        </w:rPr>
        <w:t>provides:</w:t>
      </w:r>
    </w:p>
    <w:p w:rsidR="00E85632" w:rsidRDefault="00E85632" w:rsidP="00425F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34877" w:rsidRDefault="00B34877" w:rsidP="00425FA3">
      <w:pPr>
        <w:spacing w:after="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‘</w:t>
      </w:r>
      <w:r w:rsidRPr="00E26966">
        <w:rPr>
          <w:rFonts w:ascii="Arial" w:hAnsi="Arial" w:cs="Arial"/>
        </w:rPr>
        <w:t>Unless the dispute has already been conciliated, the arbitrator must attempt to resolve the dispute through conciliation before beginning the arbitration.</w:t>
      </w:r>
      <w:r>
        <w:rPr>
          <w:rFonts w:ascii="Arial" w:hAnsi="Arial" w:cs="Arial"/>
        </w:rPr>
        <w:t>’</w:t>
      </w:r>
      <w:r w:rsidRPr="00E26966">
        <w:rPr>
          <w:rFonts w:ascii="Arial" w:hAnsi="Arial" w:cs="Arial"/>
        </w:rPr>
        <w:t xml:space="preserve"> </w:t>
      </w:r>
    </w:p>
    <w:p w:rsidR="00DF68EB" w:rsidRDefault="00DF68EB" w:rsidP="00425F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34877" w:rsidRPr="00B34877" w:rsidRDefault="00DF68EB" w:rsidP="00425F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314F27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]</w:t>
      </w:r>
      <w:r w:rsidR="001C1543">
        <w:rPr>
          <w:rFonts w:ascii="Arial" w:hAnsi="Arial" w:cs="Arial"/>
          <w:sz w:val="24"/>
          <w:szCs w:val="24"/>
        </w:rPr>
        <w:tab/>
        <w:t>The heading of F</w:t>
      </w:r>
      <w:r w:rsidR="00B34877">
        <w:rPr>
          <w:rFonts w:ascii="Arial" w:hAnsi="Arial" w:cs="Arial"/>
          <w:sz w:val="24"/>
          <w:szCs w:val="24"/>
        </w:rPr>
        <w:t>orm LC 28 also clearly denotes the process for which the parties are ca</w:t>
      </w:r>
      <w:r w:rsidR="001C1543">
        <w:rPr>
          <w:rFonts w:ascii="Arial" w:hAnsi="Arial" w:cs="Arial"/>
          <w:sz w:val="24"/>
          <w:szCs w:val="24"/>
        </w:rPr>
        <w:t>lled upon to attend</w:t>
      </w:r>
      <w:r w:rsidR="00B34877">
        <w:rPr>
          <w:rFonts w:ascii="Arial" w:hAnsi="Arial" w:cs="Arial"/>
          <w:sz w:val="24"/>
          <w:szCs w:val="24"/>
        </w:rPr>
        <w:t>: - ‘</w:t>
      </w:r>
      <w:r w:rsidR="00B34877" w:rsidRPr="00B34877">
        <w:rPr>
          <w:rFonts w:ascii="Arial" w:hAnsi="Arial" w:cs="Arial"/>
        </w:rPr>
        <w:t>conciliation meeting or arbitration hearing</w:t>
      </w:r>
      <w:r w:rsidR="00B34877">
        <w:rPr>
          <w:rFonts w:ascii="Arial" w:hAnsi="Arial" w:cs="Arial"/>
        </w:rPr>
        <w:t>’</w:t>
      </w:r>
      <w:r w:rsidR="00B34877">
        <w:rPr>
          <w:rFonts w:ascii="Arial" w:hAnsi="Arial" w:cs="Arial"/>
          <w:sz w:val="24"/>
          <w:szCs w:val="24"/>
        </w:rPr>
        <w:t>.</w:t>
      </w:r>
      <w:r w:rsidR="000C2291">
        <w:rPr>
          <w:rFonts w:ascii="Arial" w:hAnsi="Arial" w:cs="Arial"/>
          <w:sz w:val="24"/>
          <w:szCs w:val="24"/>
        </w:rPr>
        <w:t xml:space="preserve"> The notice</w:t>
      </w:r>
      <w:r w:rsidR="00B91CC2">
        <w:rPr>
          <w:rFonts w:ascii="Arial" w:hAnsi="Arial" w:cs="Arial"/>
          <w:sz w:val="24"/>
          <w:szCs w:val="24"/>
        </w:rPr>
        <w:t>s</w:t>
      </w:r>
      <w:r w:rsidR="000C2291">
        <w:rPr>
          <w:rFonts w:ascii="Arial" w:hAnsi="Arial" w:cs="Arial"/>
          <w:sz w:val="24"/>
          <w:szCs w:val="24"/>
        </w:rPr>
        <w:t xml:space="preserve"> issued by </w:t>
      </w:r>
      <w:r w:rsidR="00E85632">
        <w:rPr>
          <w:rFonts w:ascii="Arial" w:hAnsi="Arial" w:cs="Arial"/>
          <w:sz w:val="24"/>
          <w:szCs w:val="24"/>
        </w:rPr>
        <w:t xml:space="preserve">the second </w:t>
      </w:r>
      <w:r w:rsidR="000C2291">
        <w:rPr>
          <w:rFonts w:ascii="Arial" w:hAnsi="Arial" w:cs="Arial"/>
          <w:sz w:val="24"/>
          <w:szCs w:val="24"/>
        </w:rPr>
        <w:t xml:space="preserve">respondent in terms of </w:t>
      </w:r>
      <w:r w:rsidR="000C2291" w:rsidRPr="00437C65">
        <w:rPr>
          <w:rFonts w:ascii="Arial" w:hAnsi="Arial" w:cs="Arial"/>
          <w:i/>
          <w:sz w:val="24"/>
          <w:szCs w:val="24"/>
        </w:rPr>
        <w:t>s 86 (4)</w:t>
      </w:r>
      <w:r w:rsidR="000C2291">
        <w:rPr>
          <w:rFonts w:ascii="Arial" w:hAnsi="Arial" w:cs="Arial"/>
          <w:sz w:val="24"/>
          <w:szCs w:val="24"/>
        </w:rPr>
        <w:t xml:space="preserve"> of the Act, was indeed the correc</w:t>
      </w:r>
      <w:r w:rsidR="00343906">
        <w:rPr>
          <w:rFonts w:ascii="Arial" w:hAnsi="Arial" w:cs="Arial"/>
          <w:sz w:val="24"/>
          <w:szCs w:val="24"/>
        </w:rPr>
        <w:t>t notice</w:t>
      </w:r>
      <w:r w:rsidR="00B91CC2">
        <w:rPr>
          <w:rFonts w:ascii="Arial" w:hAnsi="Arial" w:cs="Arial"/>
          <w:sz w:val="24"/>
          <w:szCs w:val="24"/>
        </w:rPr>
        <w:t>s</w:t>
      </w:r>
      <w:r w:rsidR="00343906">
        <w:rPr>
          <w:rFonts w:ascii="Arial" w:hAnsi="Arial" w:cs="Arial"/>
          <w:sz w:val="24"/>
          <w:szCs w:val="24"/>
        </w:rPr>
        <w:t xml:space="preserve">. If </w:t>
      </w:r>
      <w:r w:rsidR="00437C65">
        <w:rPr>
          <w:rFonts w:ascii="Arial" w:hAnsi="Arial" w:cs="Arial"/>
          <w:sz w:val="24"/>
          <w:szCs w:val="24"/>
        </w:rPr>
        <w:t>s</w:t>
      </w:r>
      <w:r w:rsidR="000C2291">
        <w:rPr>
          <w:rFonts w:ascii="Arial" w:hAnsi="Arial" w:cs="Arial"/>
          <w:sz w:val="24"/>
          <w:szCs w:val="24"/>
        </w:rPr>
        <w:t xml:space="preserve"> </w:t>
      </w:r>
      <w:r w:rsidR="00343906">
        <w:rPr>
          <w:rFonts w:ascii="Arial" w:hAnsi="Arial" w:cs="Arial"/>
          <w:i/>
          <w:sz w:val="24"/>
          <w:szCs w:val="24"/>
        </w:rPr>
        <w:t>86 (4) and (5)</w:t>
      </w:r>
      <w:r w:rsidR="000C2291">
        <w:rPr>
          <w:rFonts w:ascii="Arial" w:hAnsi="Arial" w:cs="Arial"/>
          <w:sz w:val="24"/>
          <w:szCs w:val="24"/>
        </w:rPr>
        <w:t xml:space="preserve"> </w:t>
      </w:r>
      <w:r w:rsidR="00343906">
        <w:rPr>
          <w:rFonts w:ascii="Arial" w:hAnsi="Arial" w:cs="Arial"/>
          <w:sz w:val="24"/>
          <w:szCs w:val="24"/>
        </w:rPr>
        <w:t xml:space="preserve">are read together, it </w:t>
      </w:r>
      <w:r w:rsidR="000C2291">
        <w:rPr>
          <w:rFonts w:ascii="Arial" w:hAnsi="Arial" w:cs="Arial"/>
          <w:sz w:val="24"/>
          <w:szCs w:val="24"/>
        </w:rPr>
        <w:t>indeed provides the necessary context why a settl</w:t>
      </w:r>
      <w:r w:rsidR="00500617">
        <w:rPr>
          <w:rFonts w:ascii="Arial" w:hAnsi="Arial" w:cs="Arial"/>
          <w:sz w:val="24"/>
          <w:szCs w:val="24"/>
        </w:rPr>
        <w:t xml:space="preserve">ement agreement could </w:t>
      </w:r>
      <w:r w:rsidR="00C27684">
        <w:rPr>
          <w:rFonts w:ascii="Arial" w:hAnsi="Arial" w:cs="Arial"/>
          <w:sz w:val="24"/>
          <w:szCs w:val="24"/>
        </w:rPr>
        <w:t xml:space="preserve">have </w:t>
      </w:r>
      <w:r w:rsidR="00500617">
        <w:rPr>
          <w:rFonts w:ascii="Arial" w:hAnsi="Arial" w:cs="Arial"/>
          <w:sz w:val="24"/>
          <w:szCs w:val="24"/>
        </w:rPr>
        <w:t>be</w:t>
      </w:r>
      <w:r w:rsidR="00C27684">
        <w:rPr>
          <w:rFonts w:ascii="Arial" w:hAnsi="Arial" w:cs="Arial"/>
          <w:sz w:val="24"/>
          <w:szCs w:val="24"/>
        </w:rPr>
        <w:t>en</w:t>
      </w:r>
      <w:r w:rsidR="00500617">
        <w:rPr>
          <w:rFonts w:ascii="Arial" w:hAnsi="Arial" w:cs="Arial"/>
          <w:sz w:val="24"/>
          <w:szCs w:val="24"/>
        </w:rPr>
        <w:t xml:space="preserve"> a competent outcome of</w:t>
      </w:r>
      <w:r w:rsidR="000C2291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="000C2291">
        <w:rPr>
          <w:rFonts w:ascii="Arial" w:hAnsi="Arial" w:cs="Arial"/>
          <w:sz w:val="24"/>
          <w:szCs w:val="24"/>
        </w:rPr>
        <w:t>Otjiwarongo</w:t>
      </w:r>
      <w:proofErr w:type="spellEnd"/>
      <w:r w:rsidR="000C2291">
        <w:rPr>
          <w:rFonts w:ascii="Arial" w:hAnsi="Arial" w:cs="Arial"/>
          <w:sz w:val="24"/>
          <w:szCs w:val="24"/>
        </w:rPr>
        <w:t xml:space="preserve"> meeting. </w:t>
      </w:r>
    </w:p>
    <w:p w:rsidR="00B34877" w:rsidRDefault="00B34877" w:rsidP="00425F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27684" w:rsidRDefault="001C1543" w:rsidP="00425F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C37A72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="00760B71">
        <w:rPr>
          <w:rFonts w:ascii="Arial" w:hAnsi="Arial" w:cs="Arial"/>
          <w:sz w:val="24"/>
          <w:szCs w:val="24"/>
        </w:rPr>
        <w:t xml:space="preserve">In the founding affidavit the applicant describes the process of the conciliation and specifically the manner in which the </w:t>
      </w:r>
      <w:r>
        <w:rPr>
          <w:rFonts w:ascii="Arial" w:hAnsi="Arial" w:cs="Arial"/>
          <w:sz w:val="24"/>
          <w:szCs w:val="24"/>
        </w:rPr>
        <w:t>representatives</w:t>
      </w:r>
      <w:r w:rsidR="00760B71">
        <w:rPr>
          <w:rFonts w:ascii="Arial" w:hAnsi="Arial" w:cs="Arial"/>
          <w:sz w:val="24"/>
          <w:szCs w:val="24"/>
        </w:rPr>
        <w:t xml:space="preserve"> of the </w:t>
      </w:r>
      <w:r w:rsidR="00E85632">
        <w:rPr>
          <w:rFonts w:ascii="Arial" w:hAnsi="Arial" w:cs="Arial"/>
          <w:sz w:val="24"/>
          <w:szCs w:val="24"/>
        </w:rPr>
        <w:t xml:space="preserve">first </w:t>
      </w:r>
      <w:r w:rsidR="00760B71">
        <w:rPr>
          <w:rFonts w:ascii="Arial" w:hAnsi="Arial" w:cs="Arial"/>
          <w:sz w:val="24"/>
          <w:szCs w:val="24"/>
        </w:rPr>
        <w:t>respond</w:t>
      </w:r>
      <w:r w:rsidR="00201DFF">
        <w:rPr>
          <w:rFonts w:ascii="Arial" w:hAnsi="Arial" w:cs="Arial"/>
          <w:sz w:val="24"/>
          <w:szCs w:val="24"/>
        </w:rPr>
        <w:t xml:space="preserve">ent obtained instructions at various stages of </w:t>
      </w:r>
      <w:r w:rsidR="00760B71">
        <w:rPr>
          <w:rFonts w:ascii="Arial" w:hAnsi="Arial" w:cs="Arial"/>
          <w:sz w:val="24"/>
          <w:szCs w:val="24"/>
        </w:rPr>
        <w:t>the process</w:t>
      </w:r>
      <w:r>
        <w:rPr>
          <w:rFonts w:ascii="Arial" w:hAnsi="Arial" w:cs="Arial"/>
          <w:sz w:val="24"/>
          <w:szCs w:val="24"/>
        </w:rPr>
        <w:t xml:space="preserve"> from Bishop /</w:t>
      </w:r>
      <w:r w:rsidR="00437C65"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Gamxamub</w:t>
      </w:r>
      <w:proofErr w:type="spellEnd"/>
      <w:r w:rsidR="00760B71">
        <w:rPr>
          <w:rFonts w:ascii="Arial" w:hAnsi="Arial" w:cs="Arial"/>
          <w:sz w:val="24"/>
          <w:szCs w:val="24"/>
        </w:rPr>
        <w:t xml:space="preserve">. </w:t>
      </w:r>
      <w:r w:rsidR="00E85632">
        <w:rPr>
          <w:rFonts w:ascii="Arial" w:hAnsi="Arial" w:cs="Arial"/>
          <w:sz w:val="24"/>
          <w:szCs w:val="24"/>
        </w:rPr>
        <w:t xml:space="preserve">First </w:t>
      </w:r>
      <w:r w:rsidR="00760B71">
        <w:rPr>
          <w:rFonts w:ascii="Arial" w:hAnsi="Arial" w:cs="Arial"/>
          <w:sz w:val="24"/>
          <w:szCs w:val="24"/>
        </w:rPr>
        <w:t>respondent confirm</w:t>
      </w:r>
      <w:r w:rsidR="00002BAC">
        <w:rPr>
          <w:rFonts w:ascii="Arial" w:hAnsi="Arial" w:cs="Arial"/>
          <w:sz w:val="24"/>
          <w:szCs w:val="24"/>
        </w:rPr>
        <w:t>ed</w:t>
      </w:r>
      <w:r w:rsidR="00760B71">
        <w:rPr>
          <w:rFonts w:ascii="Arial" w:hAnsi="Arial" w:cs="Arial"/>
          <w:sz w:val="24"/>
          <w:szCs w:val="24"/>
        </w:rPr>
        <w:t xml:space="preserve"> this</w:t>
      </w:r>
      <w:r w:rsidR="00343906">
        <w:rPr>
          <w:rFonts w:ascii="Arial" w:hAnsi="Arial" w:cs="Arial"/>
          <w:sz w:val="24"/>
          <w:szCs w:val="24"/>
        </w:rPr>
        <w:t xml:space="preserve"> telephonic consultation</w:t>
      </w:r>
      <w:r w:rsidR="00760B71">
        <w:rPr>
          <w:rFonts w:ascii="Arial" w:hAnsi="Arial" w:cs="Arial"/>
          <w:sz w:val="24"/>
          <w:szCs w:val="24"/>
        </w:rPr>
        <w:t xml:space="preserve"> during the meeting</w:t>
      </w:r>
      <w:r w:rsidR="00002BAC">
        <w:rPr>
          <w:rFonts w:ascii="Arial" w:hAnsi="Arial" w:cs="Arial"/>
          <w:sz w:val="24"/>
          <w:szCs w:val="24"/>
        </w:rPr>
        <w:t xml:space="preserve"> in the answering affidavit</w:t>
      </w:r>
      <w:r w:rsidR="00760B71">
        <w:rPr>
          <w:rFonts w:ascii="Arial" w:hAnsi="Arial" w:cs="Arial"/>
          <w:sz w:val="24"/>
          <w:szCs w:val="24"/>
        </w:rPr>
        <w:t xml:space="preserve">. </w:t>
      </w:r>
    </w:p>
    <w:p w:rsidR="00C27684" w:rsidRDefault="00C27684" w:rsidP="00425F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56D4" w:rsidRDefault="00C27684" w:rsidP="00425F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C37A72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="00704967">
        <w:rPr>
          <w:rFonts w:ascii="Arial" w:hAnsi="Arial" w:cs="Arial"/>
          <w:sz w:val="24"/>
          <w:szCs w:val="24"/>
        </w:rPr>
        <w:t xml:space="preserve">Based on the above, it </w:t>
      </w:r>
      <w:r w:rsidR="00E85632">
        <w:rPr>
          <w:rFonts w:ascii="Arial" w:hAnsi="Arial" w:cs="Arial"/>
          <w:sz w:val="24"/>
          <w:szCs w:val="24"/>
        </w:rPr>
        <w:t xml:space="preserve">is </w:t>
      </w:r>
      <w:r w:rsidR="00704967">
        <w:rPr>
          <w:rFonts w:ascii="Arial" w:hAnsi="Arial" w:cs="Arial"/>
          <w:sz w:val="24"/>
          <w:szCs w:val="24"/>
        </w:rPr>
        <w:t>my</w:t>
      </w:r>
      <w:r w:rsidR="00760B71">
        <w:rPr>
          <w:rFonts w:ascii="Arial" w:hAnsi="Arial" w:cs="Arial"/>
          <w:sz w:val="24"/>
          <w:szCs w:val="24"/>
        </w:rPr>
        <w:t xml:space="preserve"> finding that the process did constitute </w:t>
      </w:r>
      <w:r w:rsidR="006C2A9F">
        <w:rPr>
          <w:rFonts w:ascii="Arial" w:hAnsi="Arial" w:cs="Arial"/>
          <w:sz w:val="24"/>
          <w:szCs w:val="24"/>
        </w:rPr>
        <w:t>a facili</w:t>
      </w:r>
      <w:r w:rsidR="001C1543">
        <w:rPr>
          <w:rFonts w:ascii="Arial" w:hAnsi="Arial" w:cs="Arial"/>
          <w:sz w:val="24"/>
          <w:szCs w:val="24"/>
        </w:rPr>
        <w:t>tation of reso</w:t>
      </w:r>
      <w:r w:rsidR="00002BAC">
        <w:rPr>
          <w:rFonts w:ascii="Arial" w:hAnsi="Arial" w:cs="Arial"/>
          <w:sz w:val="24"/>
          <w:szCs w:val="24"/>
        </w:rPr>
        <w:t xml:space="preserve">lving the dispute by the </w:t>
      </w:r>
      <w:r w:rsidR="00E85632">
        <w:rPr>
          <w:rFonts w:ascii="Arial" w:hAnsi="Arial" w:cs="Arial"/>
          <w:sz w:val="24"/>
          <w:szCs w:val="24"/>
        </w:rPr>
        <w:t xml:space="preserve">second </w:t>
      </w:r>
      <w:r w:rsidR="00002BAC">
        <w:rPr>
          <w:rFonts w:ascii="Arial" w:hAnsi="Arial" w:cs="Arial"/>
          <w:sz w:val="24"/>
          <w:szCs w:val="24"/>
        </w:rPr>
        <w:t>respondent</w:t>
      </w:r>
      <w:r w:rsidR="00437C65">
        <w:rPr>
          <w:rFonts w:ascii="Arial" w:hAnsi="Arial" w:cs="Arial"/>
          <w:sz w:val="24"/>
          <w:szCs w:val="24"/>
        </w:rPr>
        <w:t>,</w:t>
      </w:r>
      <w:r w:rsidR="00002BAC">
        <w:rPr>
          <w:rFonts w:ascii="Arial" w:hAnsi="Arial" w:cs="Arial"/>
          <w:sz w:val="24"/>
          <w:szCs w:val="24"/>
        </w:rPr>
        <w:t xml:space="preserve"> within </w:t>
      </w:r>
      <w:r w:rsidR="00343906">
        <w:rPr>
          <w:rFonts w:ascii="Arial" w:hAnsi="Arial" w:cs="Arial"/>
          <w:sz w:val="24"/>
          <w:szCs w:val="24"/>
        </w:rPr>
        <w:t xml:space="preserve">the provisions of </w:t>
      </w:r>
      <w:r w:rsidR="001C1543" w:rsidRPr="00457379">
        <w:rPr>
          <w:rFonts w:ascii="Arial" w:hAnsi="Arial" w:cs="Arial"/>
          <w:i/>
          <w:sz w:val="24"/>
          <w:szCs w:val="24"/>
        </w:rPr>
        <w:t>s 86 (5)</w:t>
      </w:r>
      <w:r w:rsidR="001C1543">
        <w:rPr>
          <w:rFonts w:ascii="Arial" w:hAnsi="Arial" w:cs="Arial"/>
          <w:sz w:val="24"/>
          <w:szCs w:val="24"/>
        </w:rPr>
        <w:t>.</w:t>
      </w:r>
      <w:r w:rsidR="00201DFF">
        <w:rPr>
          <w:rFonts w:ascii="Arial" w:hAnsi="Arial" w:cs="Arial"/>
          <w:sz w:val="24"/>
          <w:szCs w:val="24"/>
        </w:rPr>
        <w:t xml:space="preserve"> </w:t>
      </w:r>
      <w:r w:rsidR="00002BAC">
        <w:rPr>
          <w:rFonts w:ascii="Arial" w:hAnsi="Arial" w:cs="Arial"/>
          <w:sz w:val="24"/>
          <w:szCs w:val="24"/>
        </w:rPr>
        <w:t>I therefo</w:t>
      </w:r>
      <w:r w:rsidR="00437C65">
        <w:rPr>
          <w:rFonts w:ascii="Arial" w:hAnsi="Arial" w:cs="Arial"/>
          <w:sz w:val="24"/>
          <w:szCs w:val="24"/>
        </w:rPr>
        <w:t>r</w:t>
      </w:r>
      <w:r w:rsidR="00E85632">
        <w:rPr>
          <w:rFonts w:ascii="Arial" w:hAnsi="Arial" w:cs="Arial"/>
          <w:sz w:val="24"/>
          <w:szCs w:val="24"/>
        </w:rPr>
        <w:t>e</w:t>
      </w:r>
      <w:r w:rsidR="00343906">
        <w:rPr>
          <w:rFonts w:ascii="Arial" w:hAnsi="Arial" w:cs="Arial"/>
          <w:sz w:val="24"/>
          <w:szCs w:val="24"/>
        </w:rPr>
        <w:t xml:space="preserve"> reject</w:t>
      </w:r>
      <w:r w:rsidR="00437C65">
        <w:rPr>
          <w:rFonts w:ascii="Arial" w:hAnsi="Arial" w:cs="Arial"/>
          <w:sz w:val="24"/>
          <w:szCs w:val="24"/>
        </w:rPr>
        <w:t xml:space="preserve"> the argument that </w:t>
      </w:r>
      <w:r w:rsidR="00002BAC">
        <w:rPr>
          <w:rFonts w:ascii="Arial" w:hAnsi="Arial" w:cs="Arial"/>
          <w:sz w:val="24"/>
          <w:szCs w:val="24"/>
        </w:rPr>
        <w:t xml:space="preserve">no conciliation process took place. The </w:t>
      </w:r>
      <w:proofErr w:type="spellStart"/>
      <w:r w:rsidR="00002BAC">
        <w:rPr>
          <w:rFonts w:ascii="Arial" w:hAnsi="Arial" w:cs="Arial"/>
          <w:sz w:val="24"/>
          <w:szCs w:val="24"/>
        </w:rPr>
        <w:t>Otjiwarongo</w:t>
      </w:r>
      <w:proofErr w:type="spellEnd"/>
      <w:r w:rsidR="00002BAC">
        <w:rPr>
          <w:rFonts w:ascii="Arial" w:hAnsi="Arial" w:cs="Arial"/>
          <w:sz w:val="24"/>
          <w:szCs w:val="24"/>
        </w:rPr>
        <w:t xml:space="preserve"> meeting was intended to be a </w:t>
      </w:r>
      <w:r w:rsidR="00343906">
        <w:rPr>
          <w:rFonts w:ascii="Arial" w:hAnsi="Arial" w:cs="Arial"/>
          <w:sz w:val="24"/>
          <w:szCs w:val="24"/>
        </w:rPr>
        <w:t>conciliation meeting and if conciliation</w:t>
      </w:r>
      <w:r w:rsidR="00002BAC">
        <w:rPr>
          <w:rFonts w:ascii="Arial" w:hAnsi="Arial" w:cs="Arial"/>
          <w:sz w:val="24"/>
          <w:szCs w:val="24"/>
        </w:rPr>
        <w:t xml:space="preserve"> failed</w:t>
      </w:r>
      <w:r w:rsidR="00201DFF">
        <w:rPr>
          <w:rFonts w:ascii="Arial" w:hAnsi="Arial" w:cs="Arial"/>
          <w:sz w:val="24"/>
          <w:szCs w:val="24"/>
        </w:rPr>
        <w:t>,</w:t>
      </w:r>
      <w:r w:rsidR="00002BAC">
        <w:rPr>
          <w:rFonts w:ascii="Arial" w:hAnsi="Arial" w:cs="Arial"/>
          <w:sz w:val="24"/>
          <w:szCs w:val="24"/>
        </w:rPr>
        <w:t xml:space="preserve"> </w:t>
      </w:r>
      <w:r w:rsidR="00343906">
        <w:rPr>
          <w:rFonts w:ascii="Arial" w:hAnsi="Arial" w:cs="Arial"/>
          <w:sz w:val="24"/>
          <w:szCs w:val="24"/>
        </w:rPr>
        <w:t>arbitration of the dispute was to follow.</w:t>
      </w:r>
      <w:r w:rsidR="00002BAC">
        <w:rPr>
          <w:rFonts w:ascii="Arial" w:hAnsi="Arial" w:cs="Arial"/>
          <w:sz w:val="24"/>
          <w:szCs w:val="24"/>
        </w:rPr>
        <w:t xml:space="preserve"> </w:t>
      </w:r>
      <w:r w:rsidR="00DA6D46">
        <w:rPr>
          <w:rFonts w:ascii="Arial" w:hAnsi="Arial" w:cs="Arial"/>
          <w:sz w:val="24"/>
          <w:szCs w:val="24"/>
        </w:rPr>
        <w:t xml:space="preserve">The meeting ended before the stage of arbitration and resulted in the production of the document marked </w:t>
      </w:r>
      <w:r w:rsidR="00E85632">
        <w:rPr>
          <w:rFonts w:ascii="Arial" w:hAnsi="Arial" w:cs="Arial"/>
          <w:sz w:val="24"/>
          <w:szCs w:val="24"/>
        </w:rPr>
        <w:t>‘</w:t>
      </w:r>
      <w:r w:rsidR="00DA6D46">
        <w:rPr>
          <w:rFonts w:ascii="Arial" w:hAnsi="Arial" w:cs="Arial"/>
          <w:sz w:val="24"/>
          <w:szCs w:val="24"/>
        </w:rPr>
        <w:t>PG4</w:t>
      </w:r>
      <w:r w:rsidR="00E85632">
        <w:rPr>
          <w:rFonts w:ascii="Arial" w:hAnsi="Arial" w:cs="Arial"/>
          <w:sz w:val="24"/>
          <w:szCs w:val="24"/>
        </w:rPr>
        <w:t>’</w:t>
      </w:r>
      <w:r w:rsidR="00DA6D46">
        <w:rPr>
          <w:rFonts w:ascii="Arial" w:hAnsi="Arial" w:cs="Arial"/>
          <w:sz w:val="24"/>
          <w:szCs w:val="24"/>
        </w:rPr>
        <w:t xml:space="preserve"> in the founding affidavit.</w:t>
      </w:r>
    </w:p>
    <w:p w:rsidR="00FB2D75" w:rsidRPr="004956D4" w:rsidRDefault="00FB2D75" w:rsidP="00425F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39D8">
        <w:rPr>
          <w:rFonts w:ascii="Arial" w:hAnsi="Arial" w:cs="Arial"/>
          <w:b/>
          <w:sz w:val="24"/>
          <w:szCs w:val="24"/>
          <w:u w:val="single"/>
        </w:rPr>
        <w:t>Lack of Authority</w:t>
      </w:r>
      <w:r w:rsidR="00A0443F">
        <w:rPr>
          <w:rFonts w:ascii="Arial" w:hAnsi="Arial" w:cs="Arial"/>
          <w:b/>
          <w:sz w:val="24"/>
          <w:szCs w:val="24"/>
          <w:u w:val="single"/>
        </w:rPr>
        <w:t xml:space="preserve"> and Coercion </w:t>
      </w:r>
    </w:p>
    <w:p w:rsidR="00E85632" w:rsidRPr="002239D8" w:rsidRDefault="00E85632" w:rsidP="00425FA3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76D82" w:rsidRDefault="00437C65" w:rsidP="00425F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</w:t>
      </w:r>
      <w:r w:rsidR="00C37A72">
        <w:rPr>
          <w:rFonts w:ascii="Arial" w:hAnsi="Arial" w:cs="Arial"/>
          <w:sz w:val="24"/>
          <w:szCs w:val="24"/>
        </w:rPr>
        <w:t>7</w:t>
      </w:r>
      <w:r w:rsidR="006D37A6">
        <w:rPr>
          <w:rFonts w:ascii="Arial" w:hAnsi="Arial" w:cs="Arial"/>
          <w:sz w:val="24"/>
          <w:szCs w:val="24"/>
        </w:rPr>
        <w:t>]</w:t>
      </w:r>
      <w:r w:rsidR="002239D8">
        <w:rPr>
          <w:rFonts w:ascii="Arial" w:hAnsi="Arial" w:cs="Arial"/>
          <w:sz w:val="24"/>
          <w:szCs w:val="24"/>
        </w:rPr>
        <w:t xml:space="preserve"> </w:t>
      </w:r>
      <w:r w:rsidR="000E012F">
        <w:rPr>
          <w:rFonts w:ascii="Arial" w:hAnsi="Arial" w:cs="Arial"/>
          <w:sz w:val="24"/>
          <w:szCs w:val="24"/>
        </w:rPr>
        <w:tab/>
        <w:t>I proceed to deal</w:t>
      </w:r>
      <w:r>
        <w:rPr>
          <w:rFonts w:ascii="Arial" w:hAnsi="Arial" w:cs="Arial"/>
          <w:sz w:val="24"/>
          <w:szCs w:val="24"/>
        </w:rPr>
        <w:t xml:space="preserve"> </w:t>
      </w:r>
      <w:r w:rsidR="00676D82">
        <w:rPr>
          <w:rFonts w:ascii="Arial" w:hAnsi="Arial" w:cs="Arial"/>
          <w:sz w:val="24"/>
          <w:szCs w:val="24"/>
        </w:rPr>
        <w:t xml:space="preserve">with the </w:t>
      </w:r>
      <w:r>
        <w:rPr>
          <w:rFonts w:ascii="Arial" w:hAnsi="Arial" w:cs="Arial"/>
          <w:sz w:val="24"/>
          <w:szCs w:val="24"/>
        </w:rPr>
        <w:t xml:space="preserve">remaining </w:t>
      </w:r>
      <w:r w:rsidR="00704967">
        <w:rPr>
          <w:rFonts w:ascii="Arial" w:hAnsi="Arial" w:cs="Arial"/>
          <w:sz w:val="24"/>
          <w:szCs w:val="24"/>
        </w:rPr>
        <w:t xml:space="preserve">two legal points regarding </w:t>
      </w:r>
      <w:r w:rsidR="00466EDB">
        <w:rPr>
          <w:rFonts w:ascii="Arial" w:hAnsi="Arial" w:cs="Arial"/>
          <w:sz w:val="24"/>
          <w:szCs w:val="24"/>
        </w:rPr>
        <w:t>a lack of authority to enter into any settlement agre</w:t>
      </w:r>
      <w:r>
        <w:rPr>
          <w:rFonts w:ascii="Arial" w:hAnsi="Arial" w:cs="Arial"/>
          <w:sz w:val="24"/>
          <w:szCs w:val="24"/>
        </w:rPr>
        <w:t xml:space="preserve">ement </w:t>
      </w:r>
      <w:r w:rsidR="00704967">
        <w:rPr>
          <w:rFonts w:ascii="Arial" w:hAnsi="Arial" w:cs="Arial"/>
          <w:sz w:val="24"/>
          <w:szCs w:val="24"/>
        </w:rPr>
        <w:t>and the issue of coercion</w:t>
      </w:r>
      <w:r w:rsidR="00466EDB">
        <w:rPr>
          <w:rFonts w:ascii="Arial" w:hAnsi="Arial" w:cs="Arial"/>
          <w:sz w:val="24"/>
          <w:szCs w:val="24"/>
        </w:rPr>
        <w:t xml:space="preserve"> </w:t>
      </w:r>
      <w:r w:rsidR="00704967">
        <w:rPr>
          <w:rFonts w:ascii="Arial" w:hAnsi="Arial" w:cs="Arial"/>
          <w:sz w:val="24"/>
          <w:szCs w:val="24"/>
        </w:rPr>
        <w:t>to enter into the alleged settlement agreement</w:t>
      </w:r>
      <w:r w:rsidR="00466EDB">
        <w:rPr>
          <w:rFonts w:ascii="Arial" w:hAnsi="Arial" w:cs="Arial"/>
          <w:sz w:val="24"/>
          <w:szCs w:val="24"/>
        </w:rPr>
        <w:t>.</w:t>
      </w:r>
    </w:p>
    <w:p w:rsidR="00437C65" w:rsidRDefault="00437C65" w:rsidP="00425F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A13B6" w:rsidRDefault="00F23BEB" w:rsidP="00425F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437C65">
        <w:rPr>
          <w:rFonts w:ascii="Arial" w:hAnsi="Arial" w:cs="Arial"/>
          <w:sz w:val="24"/>
          <w:szCs w:val="24"/>
        </w:rPr>
        <w:t>1</w:t>
      </w:r>
      <w:r w:rsidR="00C37A72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="009B0CA6">
        <w:rPr>
          <w:rFonts w:ascii="Arial" w:hAnsi="Arial" w:cs="Arial"/>
          <w:sz w:val="24"/>
          <w:szCs w:val="24"/>
        </w:rPr>
        <w:t>The alleged settl</w:t>
      </w:r>
      <w:r w:rsidR="00437C65">
        <w:rPr>
          <w:rFonts w:ascii="Arial" w:hAnsi="Arial" w:cs="Arial"/>
          <w:sz w:val="24"/>
          <w:szCs w:val="24"/>
        </w:rPr>
        <w:t xml:space="preserve">ement agreement, </w:t>
      </w:r>
      <w:r w:rsidR="00E85632">
        <w:rPr>
          <w:rFonts w:ascii="Arial" w:hAnsi="Arial" w:cs="Arial"/>
          <w:sz w:val="24"/>
          <w:szCs w:val="24"/>
        </w:rPr>
        <w:t>‘</w:t>
      </w:r>
      <w:r w:rsidR="00437C65">
        <w:rPr>
          <w:rFonts w:ascii="Arial" w:hAnsi="Arial" w:cs="Arial"/>
          <w:sz w:val="24"/>
          <w:szCs w:val="24"/>
        </w:rPr>
        <w:t>PG4</w:t>
      </w:r>
      <w:r w:rsidR="00E85632">
        <w:rPr>
          <w:rFonts w:ascii="Arial" w:hAnsi="Arial" w:cs="Arial"/>
          <w:sz w:val="24"/>
          <w:szCs w:val="24"/>
        </w:rPr>
        <w:t>’</w:t>
      </w:r>
      <w:r w:rsidR="000E012F">
        <w:rPr>
          <w:rFonts w:ascii="Arial" w:hAnsi="Arial" w:cs="Arial"/>
          <w:sz w:val="24"/>
          <w:szCs w:val="24"/>
        </w:rPr>
        <w:t xml:space="preserve"> is not very neatly typed document.</w:t>
      </w:r>
      <w:r w:rsidR="009B0CA6">
        <w:rPr>
          <w:rFonts w:ascii="Arial" w:hAnsi="Arial" w:cs="Arial"/>
          <w:sz w:val="24"/>
          <w:szCs w:val="24"/>
        </w:rPr>
        <w:t xml:space="preserve"> </w:t>
      </w:r>
      <w:r w:rsidR="000E012F">
        <w:rPr>
          <w:rFonts w:ascii="Arial" w:hAnsi="Arial" w:cs="Arial"/>
          <w:sz w:val="24"/>
          <w:szCs w:val="24"/>
        </w:rPr>
        <w:t>It is c</w:t>
      </w:r>
      <w:r w:rsidR="009B0CA6">
        <w:rPr>
          <w:rFonts w:ascii="Arial" w:hAnsi="Arial" w:cs="Arial"/>
          <w:sz w:val="24"/>
          <w:szCs w:val="24"/>
        </w:rPr>
        <w:t>learly a templa</w:t>
      </w:r>
      <w:r w:rsidR="00437C65">
        <w:rPr>
          <w:rFonts w:ascii="Arial" w:hAnsi="Arial" w:cs="Arial"/>
          <w:sz w:val="24"/>
          <w:szCs w:val="24"/>
        </w:rPr>
        <w:t xml:space="preserve">te with handwritten terms </w:t>
      </w:r>
      <w:r w:rsidR="000E012F">
        <w:rPr>
          <w:rFonts w:ascii="Arial" w:hAnsi="Arial" w:cs="Arial"/>
          <w:sz w:val="24"/>
          <w:szCs w:val="24"/>
        </w:rPr>
        <w:t>inserted</w:t>
      </w:r>
      <w:r w:rsidR="009B0CA6">
        <w:rPr>
          <w:rFonts w:ascii="Arial" w:hAnsi="Arial" w:cs="Arial"/>
          <w:sz w:val="24"/>
          <w:szCs w:val="24"/>
        </w:rPr>
        <w:t xml:space="preserve">. It was signed </w:t>
      </w:r>
      <w:r w:rsidR="00437C65">
        <w:rPr>
          <w:rFonts w:ascii="Arial" w:hAnsi="Arial" w:cs="Arial"/>
          <w:sz w:val="24"/>
          <w:szCs w:val="24"/>
        </w:rPr>
        <w:t xml:space="preserve">by both parties </w:t>
      </w:r>
      <w:r w:rsidR="009B0CA6">
        <w:rPr>
          <w:rFonts w:ascii="Arial" w:hAnsi="Arial" w:cs="Arial"/>
          <w:sz w:val="24"/>
          <w:szCs w:val="24"/>
        </w:rPr>
        <w:t xml:space="preserve">and </w:t>
      </w:r>
      <w:r w:rsidR="00437C65">
        <w:rPr>
          <w:rFonts w:ascii="Arial" w:hAnsi="Arial" w:cs="Arial"/>
          <w:sz w:val="24"/>
          <w:szCs w:val="24"/>
        </w:rPr>
        <w:t xml:space="preserve">accordingly </w:t>
      </w:r>
      <w:r w:rsidR="009B0CA6">
        <w:rPr>
          <w:rFonts w:ascii="Arial" w:hAnsi="Arial" w:cs="Arial"/>
          <w:sz w:val="24"/>
          <w:szCs w:val="24"/>
        </w:rPr>
        <w:t>witnesse</w:t>
      </w:r>
      <w:r w:rsidR="00437C65">
        <w:rPr>
          <w:rFonts w:ascii="Arial" w:hAnsi="Arial" w:cs="Arial"/>
          <w:sz w:val="24"/>
          <w:szCs w:val="24"/>
        </w:rPr>
        <w:t>d by two signatories.</w:t>
      </w:r>
      <w:r w:rsidR="005A1CD9">
        <w:rPr>
          <w:rFonts w:ascii="Arial" w:hAnsi="Arial" w:cs="Arial"/>
          <w:sz w:val="24"/>
          <w:szCs w:val="24"/>
        </w:rPr>
        <w:t xml:space="preserve"> </w:t>
      </w:r>
      <w:r w:rsidR="000E012F">
        <w:rPr>
          <w:rFonts w:ascii="Arial" w:hAnsi="Arial" w:cs="Arial"/>
          <w:sz w:val="24"/>
          <w:szCs w:val="24"/>
        </w:rPr>
        <w:t>Be that as it may, t</w:t>
      </w:r>
      <w:r w:rsidR="001C1543">
        <w:rPr>
          <w:rFonts w:ascii="Arial" w:hAnsi="Arial" w:cs="Arial"/>
          <w:sz w:val="24"/>
          <w:szCs w:val="24"/>
        </w:rPr>
        <w:t xml:space="preserve">he </w:t>
      </w:r>
      <w:r w:rsidR="00437C65">
        <w:rPr>
          <w:rFonts w:ascii="Arial" w:hAnsi="Arial" w:cs="Arial"/>
          <w:sz w:val="24"/>
          <w:szCs w:val="24"/>
        </w:rPr>
        <w:t xml:space="preserve">undisputed </w:t>
      </w:r>
      <w:r w:rsidR="000E012F">
        <w:rPr>
          <w:rFonts w:ascii="Arial" w:hAnsi="Arial" w:cs="Arial"/>
          <w:sz w:val="24"/>
          <w:szCs w:val="24"/>
        </w:rPr>
        <w:t>facts</w:t>
      </w:r>
      <w:r w:rsidR="001C1543">
        <w:rPr>
          <w:rFonts w:ascii="Arial" w:hAnsi="Arial" w:cs="Arial"/>
          <w:sz w:val="24"/>
          <w:szCs w:val="24"/>
        </w:rPr>
        <w:t xml:space="preserve"> </w:t>
      </w:r>
      <w:r w:rsidR="000E012F">
        <w:rPr>
          <w:rFonts w:ascii="Arial" w:hAnsi="Arial" w:cs="Arial"/>
          <w:sz w:val="24"/>
          <w:szCs w:val="24"/>
        </w:rPr>
        <w:t>relating to the origin of this document is the following. A</w:t>
      </w:r>
      <w:r w:rsidR="001C1543">
        <w:rPr>
          <w:rFonts w:ascii="Arial" w:hAnsi="Arial" w:cs="Arial"/>
          <w:sz w:val="24"/>
          <w:szCs w:val="24"/>
        </w:rPr>
        <w:t xml:space="preserve"> meeting took place</w:t>
      </w:r>
      <w:r w:rsidR="000E012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0E012F">
        <w:rPr>
          <w:rFonts w:ascii="Arial" w:hAnsi="Arial" w:cs="Arial"/>
          <w:sz w:val="24"/>
          <w:szCs w:val="24"/>
        </w:rPr>
        <w:t>Otjiwarongo</w:t>
      </w:r>
      <w:proofErr w:type="spellEnd"/>
      <w:r w:rsidR="000E012F">
        <w:rPr>
          <w:rFonts w:ascii="Arial" w:hAnsi="Arial" w:cs="Arial"/>
          <w:sz w:val="24"/>
          <w:szCs w:val="24"/>
        </w:rPr>
        <w:t xml:space="preserve">, at the Office of the Labour </w:t>
      </w:r>
      <w:proofErr w:type="gramStart"/>
      <w:r w:rsidR="000E012F">
        <w:rPr>
          <w:rFonts w:ascii="Arial" w:hAnsi="Arial" w:cs="Arial"/>
          <w:sz w:val="24"/>
          <w:szCs w:val="24"/>
        </w:rPr>
        <w:t>Commissioner,</w:t>
      </w:r>
      <w:proofErr w:type="gramEnd"/>
      <w:r w:rsidR="001C1543">
        <w:rPr>
          <w:rFonts w:ascii="Arial" w:hAnsi="Arial" w:cs="Arial"/>
          <w:sz w:val="24"/>
          <w:szCs w:val="24"/>
        </w:rPr>
        <w:t xml:space="preserve"> the </w:t>
      </w:r>
      <w:r w:rsidR="00483A44">
        <w:rPr>
          <w:rFonts w:ascii="Arial" w:hAnsi="Arial" w:cs="Arial"/>
          <w:sz w:val="24"/>
          <w:szCs w:val="24"/>
        </w:rPr>
        <w:t xml:space="preserve">representatives of the </w:t>
      </w:r>
      <w:r w:rsidR="00E85632">
        <w:rPr>
          <w:rFonts w:ascii="Arial" w:hAnsi="Arial" w:cs="Arial"/>
          <w:sz w:val="24"/>
          <w:szCs w:val="24"/>
        </w:rPr>
        <w:t xml:space="preserve">first </w:t>
      </w:r>
      <w:r w:rsidR="001C1543">
        <w:rPr>
          <w:rFonts w:ascii="Arial" w:hAnsi="Arial" w:cs="Arial"/>
          <w:sz w:val="24"/>
          <w:szCs w:val="24"/>
        </w:rPr>
        <w:t xml:space="preserve">respondent took telephonic instructions during </w:t>
      </w:r>
      <w:r w:rsidR="00483A44">
        <w:rPr>
          <w:rFonts w:ascii="Arial" w:hAnsi="Arial" w:cs="Arial"/>
          <w:sz w:val="24"/>
          <w:szCs w:val="24"/>
        </w:rPr>
        <w:t>the meeting</w:t>
      </w:r>
      <w:r w:rsidR="001C1543">
        <w:rPr>
          <w:rFonts w:ascii="Arial" w:hAnsi="Arial" w:cs="Arial"/>
          <w:sz w:val="24"/>
          <w:szCs w:val="24"/>
        </w:rPr>
        <w:t xml:space="preserve"> from Bishop //</w:t>
      </w:r>
      <w:proofErr w:type="spellStart"/>
      <w:r w:rsidR="001C1543">
        <w:rPr>
          <w:rFonts w:ascii="Arial" w:hAnsi="Arial" w:cs="Arial"/>
          <w:sz w:val="24"/>
          <w:szCs w:val="24"/>
        </w:rPr>
        <w:t>Gamuxab</w:t>
      </w:r>
      <w:proofErr w:type="spellEnd"/>
      <w:r w:rsidR="001C1543">
        <w:rPr>
          <w:rFonts w:ascii="Arial" w:hAnsi="Arial" w:cs="Arial"/>
          <w:sz w:val="24"/>
          <w:szCs w:val="24"/>
        </w:rPr>
        <w:t>,</w:t>
      </w:r>
      <w:r w:rsidR="00CA13B6">
        <w:rPr>
          <w:rFonts w:ascii="Arial" w:hAnsi="Arial" w:cs="Arial"/>
          <w:sz w:val="24"/>
          <w:szCs w:val="24"/>
        </w:rPr>
        <w:t xml:space="preserve"> re</w:t>
      </w:r>
      <w:r w:rsidR="00C27684">
        <w:rPr>
          <w:rFonts w:ascii="Arial" w:hAnsi="Arial" w:cs="Arial"/>
          <w:sz w:val="24"/>
          <w:szCs w:val="24"/>
        </w:rPr>
        <w:t>turned</w:t>
      </w:r>
      <w:r w:rsidR="00CA13B6">
        <w:rPr>
          <w:rFonts w:ascii="Arial" w:hAnsi="Arial" w:cs="Arial"/>
          <w:sz w:val="24"/>
          <w:szCs w:val="24"/>
        </w:rPr>
        <w:t xml:space="preserve"> </w:t>
      </w:r>
      <w:r w:rsidR="00483A44">
        <w:rPr>
          <w:rFonts w:ascii="Arial" w:hAnsi="Arial" w:cs="Arial"/>
          <w:sz w:val="24"/>
          <w:szCs w:val="24"/>
        </w:rPr>
        <w:t xml:space="preserve">into the meeting </w:t>
      </w:r>
      <w:r w:rsidR="00CA13B6">
        <w:rPr>
          <w:rFonts w:ascii="Arial" w:hAnsi="Arial" w:cs="Arial"/>
          <w:sz w:val="24"/>
          <w:szCs w:val="24"/>
        </w:rPr>
        <w:t>and sign</w:t>
      </w:r>
      <w:r w:rsidR="001C1543">
        <w:rPr>
          <w:rFonts w:ascii="Arial" w:hAnsi="Arial" w:cs="Arial"/>
          <w:sz w:val="24"/>
          <w:szCs w:val="24"/>
        </w:rPr>
        <w:t>ed</w:t>
      </w:r>
      <w:r w:rsidR="000E012F">
        <w:rPr>
          <w:rFonts w:ascii="Arial" w:hAnsi="Arial" w:cs="Arial"/>
          <w:sz w:val="24"/>
          <w:szCs w:val="24"/>
        </w:rPr>
        <w:t xml:space="preserve"> the document</w:t>
      </w:r>
      <w:r w:rsidR="00CA13B6">
        <w:rPr>
          <w:rFonts w:ascii="Arial" w:hAnsi="Arial" w:cs="Arial"/>
          <w:sz w:val="24"/>
          <w:szCs w:val="24"/>
        </w:rPr>
        <w:t>.</w:t>
      </w:r>
      <w:r w:rsidR="001C1543">
        <w:rPr>
          <w:rFonts w:ascii="Arial" w:hAnsi="Arial" w:cs="Arial"/>
          <w:sz w:val="24"/>
          <w:szCs w:val="24"/>
        </w:rPr>
        <w:t xml:space="preserve"> </w:t>
      </w:r>
    </w:p>
    <w:p w:rsidR="001C1543" w:rsidRDefault="001C1543" w:rsidP="00425F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85632" w:rsidRDefault="002752AF" w:rsidP="00425F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23BEB">
        <w:rPr>
          <w:rFonts w:ascii="Arial" w:hAnsi="Arial" w:cs="Arial"/>
          <w:sz w:val="24"/>
          <w:szCs w:val="24"/>
        </w:rPr>
        <w:t>[</w:t>
      </w:r>
      <w:r w:rsidR="001B4C9E">
        <w:rPr>
          <w:rFonts w:ascii="Arial" w:hAnsi="Arial" w:cs="Arial"/>
          <w:sz w:val="24"/>
          <w:szCs w:val="24"/>
        </w:rPr>
        <w:t>1</w:t>
      </w:r>
      <w:r w:rsidR="00C37A72">
        <w:rPr>
          <w:rFonts w:ascii="Arial" w:hAnsi="Arial" w:cs="Arial"/>
          <w:sz w:val="24"/>
          <w:szCs w:val="24"/>
        </w:rPr>
        <w:t>9</w:t>
      </w:r>
      <w:r w:rsidR="00F23BEB">
        <w:rPr>
          <w:rFonts w:ascii="Arial" w:hAnsi="Arial" w:cs="Arial"/>
          <w:sz w:val="24"/>
          <w:szCs w:val="24"/>
        </w:rPr>
        <w:t>]</w:t>
      </w:r>
      <w:r w:rsidR="00F23BEB">
        <w:rPr>
          <w:rFonts w:ascii="Arial" w:hAnsi="Arial" w:cs="Arial"/>
          <w:sz w:val="24"/>
          <w:szCs w:val="24"/>
        </w:rPr>
        <w:tab/>
      </w:r>
      <w:r w:rsidR="00CA13B6">
        <w:rPr>
          <w:rFonts w:ascii="Arial" w:hAnsi="Arial" w:cs="Arial"/>
          <w:sz w:val="24"/>
          <w:szCs w:val="24"/>
        </w:rPr>
        <w:t xml:space="preserve">The </w:t>
      </w:r>
      <w:r w:rsidR="000E012F">
        <w:rPr>
          <w:rFonts w:ascii="Arial" w:hAnsi="Arial" w:cs="Arial"/>
          <w:sz w:val="24"/>
          <w:szCs w:val="24"/>
        </w:rPr>
        <w:t xml:space="preserve">deponent to the </w:t>
      </w:r>
      <w:r w:rsidR="00CA13B6">
        <w:rPr>
          <w:rFonts w:ascii="Arial" w:hAnsi="Arial" w:cs="Arial"/>
          <w:sz w:val="24"/>
          <w:szCs w:val="24"/>
        </w:rPr>
        <w:t>ans</w:t>
      </w:r>
      <w:r w:rsidR="00766BDB">
        <w:rPr>
          <w:rFonts w:ascii="Arial" w:hAnsi="Arial" w:cs="Arial"/>
          <w:sz w:val="24"/>
          <w:szCs w:val="24"/>
        </w:rPr>
        <w:t xml:space="preserve">wering affidavit </w:t>
      </w:r>
      <w:r w:rsidR="00704967">
        <w:rPr>
          <w:rFonts w:ascii="Arial" w:hAnsi="Arial" w:cs="Arial"/>
          <w:sz w:val="24"/>
          <w:szCs w:val="24"/>
        </w:rPr>
        <w:t xml:space="preserve">dealt with these </w:t>
      </w:r>
      <w:r w:rsidR="00CA13B6">
        <w:rPr>
          <w:rFonts w:ascii="Arial" w:hAnsi="Arial" w:cs="Arial"/>
          <w:sz w:val="24"/>
          <w:szCs w:val="24"/>
        </w:rPr>
        <w:t>attack</w:t>
      </w:r>
      <w:r w:rsidR="00704967">
        <w:rPr>
          <w:rFonts w:ascii="Arial" w:hAnsi="Arial" w:cs="Arial"/>
          <w:sz w:val="24"/>
          <w:szCs w:val="24"/>
        </w:rPr>
        <w:t>s</w:t>
      </w:r>
      <w:r w:rsidR="00CA13B6">
        <w:rPr>
          <w:rFonts w:ascii="Arial" w:hAnsi="Arial" w:cs="Arial"/>
          <w:sz w:val="24"/>
          <w:szCs w:val="24"/>
        </w:rPr>
        <w:t xml:space="preserve"> </w:t>
      </w:r>
      <w:r w:rsidR="00766BDB">
        <w:rPr>
          <w:rFonts w:ascii="Arial" w:hAnsi="Arial" w:cs="Arial"/>
          <w:sz w:val="24"/>
          <w:szCs w:val="24"/>
        </w:rPr>
        <w:t xml:space="preserve">on the </w:t>
      </w:r>
      <w:r w:rsidR="00483A44">
        <w:rPr>
          <w:rFonts w:ascii="Arial" w:hAnsi="Arial" w:cs="Arial"/>
          <w:sz w:val="24"/>
          <w:szCs w:val="24"/>
        </w:rPr>
        <w:t>validity of t</w:t>
      </w:r>
      <w:r w:rsidR="00704967">
        <w:rPr>
          <w:rFonts w:ascii="Arial" w:hAnsi="Arial" w:cs="Arial"/>
          <w:sz w:val="24"/>
          <w:szCs w:val="24"/>
        </w:rPr>
        <w:t>he alleged settlement agreement as follows:</w:t>
      </w:r>
      <w:r w:rsidR="00766BDB">
        <w:rPr>
          <w:rFonts w:ascii="Arial" w:hAnsi="Arial" w:cs="Arial"/>
          <w:sz w:val="24"/>
          <w:szCs w:val="24"/>
        </w:rPr>
        <w:t xml:space="preserve"> </w:t>
      </w:r>
    </w:p>
    <w:p w:rsidR="00704967" w:rsidRDefault="00704967" w:rsidP="00425F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66BDB" w:rsidRPr="00766BDB" w:rsidRDefault="00766BDB" w:rsidP="00425FA3">
      <w:pPr>
        <w:spacing w:after="0" w:line="360" w:lineRule="auto"/>
        <w:ind w:firstLine="720"/>
        <w:jc w:val="both"/>
        <w:rPr>
          <w:rFonts w:ascii="Arial" w:hAnsi="Arial" w:cs="Arial"/>
        </w:rPr>
      </w:pPr>
      <w:r w:rsidRPr="00766BDB">
        <w:rPr>
          <w:rFonts w:ascii="Arial" w:hAnsi="Arial" w:cs="Arial"/>
        </w:rPr>
        <w:t xml:space="preserve">‘I deny that there was an agreement owing to the lack of authority for the signatory to execute the agreement. I do not wish to reiterate what I have indicated in the founding papers of case number LC 114/14 suffice to state that the signatory was induced to </w:t>
      </w:r>
      <w:r w:rsidR="00483A44">
        <w:rPr>
          <w:rFonts w:ascii="Arial" w:hAnsi="Arial" w:cs="Arial"/>
        </w:rPr>
        <w:t>sign the agreement. Annexure PG4</w:t>
      </w:r>
      <w:r w:rsidRPr="00766BDB">
        <w:rPr>
          <w:rFonts w:ascii="Arial" w:hAnsi="Arial" w:cs="Arial"/>
        </w:rPr>
        <w:t xml:space="preserve"> is the very basis for launching the application which was struck from the roll. I submit that a consolidation of the two applications will be sought to enable the court to determine the two matters fully and arrive at a just and fair determination of the matters.’</w:t>
      </w:r>
    </w:p>
    <w:p w:rsidR="00766BDB" w:rsidRDefault="00766BDB" w:rsidP="00425F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A26F6" w:rsidRDefault="00C37A72" w:rsidP="00425F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[20</w:t>
      </w:r>
      <w:r w:rsidR="004A26F6">
        <w:rPr>
          <w:rFonts w:ascii="Arial" w:hAnsi="Arial" w:cs="Arial"/>
          <w:sz w:val="24"/>
          <w:szCs w:val="24"/>
        </w:rPr>
        <w:t>]</w:t>
      </w:r>
      <w:r w:rsidR="004A26F6">
        <w:rPr>
          <w:rFonts w:ascii="Arial" w:hAnsi="Arial" w:cs="Arial"/>
          <w:sz w:val="24"/>
          <w:szCs w:val="24"/>
        </w:rPr>
        <w:tab/>
      </w:r>
      <w:r w:rsidR="00C73F52">
        <w:rPr>
          <w:rFonts w:ascii="Arial" w:hAnsi="Arial" w:cs="Arial"/>
          <w:sz w:val="24"/>
          <w:szCs w:val="24"/>
        </w:rPr>
        <w:t>Further to the above, t</w:t>
      </w:r>
      <w:r w:rsidR="004A26F6">
        <w:rPr>
          <w:rFonts w:ascii="Arial" w:hAnsi="Arial" w:cs="Arial"/>
          <w:sz w:val="24"/>
          <w:szCs w:val="24"/>
        </w:rPr>
        <w:t>he deponent continues</w:t>
      </w:r>
      <w:r w:rsidR="00E85632">
        <w:rPr>
          <w:rFonts w:ascii="Arial" w:hAnsi="Arial" w:cs="Arial"/>
          <w:sz w:val="24"/>
          <w:szCs w:val="24"/>
        </w:rPr>
        <w:t>:</w:t>
      </w:r>
    </w:p>
    <w:p w:rsidR="00E85632" w:rsidRDefault="00E85632" w:rsidP="00425F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A26F6" w:rsidRPr="004A26F6" w:rsidRDefault="004A26F6" w:rsidP="00425FA3">
      <w:pPr>
        <w:spacing w:after="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‘</w:t>
      </w:r>
      <w:r w:rsidRPr="004A26F6">
        <w:rPr>
          <w:rFonts w:ascii="Arial" w:hAnsi="Arial" w:cs="Arial"/>
        </w:rPr>
        <w:t xml:space="preserve">I admit that in the application brought by the first respondent, the grounds relied upon are </w:t>
      </w:r>
      <w:r w:rsidR="000E012F">
        <w:rPr>
          <w:rFonts w:ascii="Arial" w:hAnsi="Arial" w:cs="Arial"/>
        </w:rPr>
        <w:t>that there was not consensus ow</w:t>
      </w:r>
      <w:r w:rsidRPr="004A26F6">
        <w:rPr>
          <w:rFonts w:ascii="Arial" w:hAnsi="Arial" w:cs="Arial"/>
        </w:rPr>
        <w:t>ing to the fact that the representatives of the 1</w:t>
      </w:r>
      <w:r w:rsidRPr="004A26F6">
        <w:rPr>
          <w:rFonts w:ascii="Arial" w:hAnsi="Arial" w:cs="Arial"/>
          <w:vertAlign w:val="superscript"/>
        </w:rPr>
        <w:t>st</w:t>
      </w:r>
      <w:r w:rsidRPr="004A26F6">
        <w:rPr>
          <w:rFonts w:ascii="Arial" w:hAnsi="Arial" w:cs="Arial"/>
        </w:rPr>
        <w:t xml:space="preserve"> respondent were coerced into signing the purported agreement. The full facts are contained in my affidavit that I attached the notice motion.</w:t>
      </w:r>
      <w:r>
        <w:rPr>
          <w:rFonts w:ascii="Arial" w:hAnsi="Arial" w:cs="Arial"/>
        </w:rPr>
        <w:t>’</w:t>
      </w:r>
    </w:p>
    <w:p w:rsidR="00483A44" w:rsidRDefault="00483A44" w:rsidP="00425F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E2A40" w:rsidRDefault="004A26F6" w:rsidP="00425F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C37A72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="00483A44">
        <w:rPr>
          <w:rFonts w:ascii="Arial" w:hAnsi="Arial" w:cs="Arial"/>
          <w:sz w:val="24"/>
          <w:szCs w:val="24"/>
        </w:rPr>
        <w:tab/>
        <w:t xml:space="preserve">In respect of both </w:t>
      </w:r>
      <w:r>
        <w:rPr>
          <w:rFonts w:ascii="Arial" w:hAnsi="Arial" w:cs="Arial"/>
          <w:sz w:val="24"/>
          <w:szCs w:val="24"/>
        </w:rPr>
        <w:t>grounds challenging the validity of the alleged settleme</w:t>
      </w:r>
      <w:r w:rsidR="001E31C8">
        <w:rPr>
          <w:rFonts w:ascii="Arial" w:hAnsi="Arial" w:cs="Arial"/>
          <w:sz w:val="24"/>
          <w:szCs w:val="24"/>
        </w:rPr>
        <w:t>nt agreement, the pleadings lack</w:t>
      </w:r>
      <w:r>
        <w:rPr>
          <w:rFonts w:ascii="Arial" w:hAnsi="Arial" w:cs="Arial"/>
          <w:sz w:val="24"/>
          <w:szCs w:val="24"/>
        </w:rPr>
        <w:t xml:space="preserve"> substantial facts to support the contentions made. </w:t>
      </w:r>
      <w:r w:rsidR="001E31C8">
        <w:rPr>
          <w:rFonts w:ascii="Arial" w:hAnsi="Arial" w:cs="Arial"/>
          <w:sz w:val="24"/>
          <w:szCs w:val="24"/>
        </w:rPr>
        <w:t xml:space="preserve">The </w:t>
      </w:r>
      <w:r w:rsidR="00D17716">
        <w:rPr>
          <w:rFonts w:ascii="Arial" w:hAnsi="Arial" w:cs="Arial"/>
          <w:sz w:val="24"/>
          <w:szCs w:val="24"/>
        </w:rPr>
        <w:t xml:space="preserve">first </w:t>
      </w:r>
      <w:r w:rsidR="001E31C8">
        <w:rPr>
          <w:rFonts w:ascii="Arial" w:hAnsi="Arial" w:cs="Arial"/>
          <w:sz w:val="24"/>
          <w:szCs w:val="24"/>
        </w:rPr>
        <w:t xml:space="preserve">respondent </w:t>
      </w:r>
      <w:r w:rsidR="002E2A40">
        <w:rPr>
          <w:rFonts w:ascii="Arial" w:hAnsi="Arial" w:cs="Arial"/>
          <w:sz w:val="24"/>
          <w:szCs w:val="24"/>
        </w:rPr>
        <w:t xml:space="preserve">relies on reasons provided in the founding papers filed under case </w:t>
      </w:r>
      <w:r w:rsidR="00483A44">
        <w:rPr>
          <w:rFonts w:ascii="Arial" w:hAnsi="Arial" w:cs="Arial"/>
          <w:sz w:val="24"/>
          <w:szCs w:val="24"/>
        </w:rPr>
        <w:t xml:space="preserve">number </w:t>
      </w:r>
      <w:r w:rsidR="002E2A40">
        <w:rPr>
          <w:rFonts w:ascii="Arial" w:hAnsi="Arial" w:cs="Arial"/>
          <w:sz w:val="24"/>
          <w:szCs w:val="24"/>
        </w:rPr>
        <w:t>LC 114/14</w:t>
      </w:r>
      <w:r w:rsidR="001E31C8">
        <w:rPr>
          <w:rFonts w:ascii="Arial" w:hAnsi="Arial" w:cs="Arial"/>
          <w:sz w:val="24"/>
          <w:szCs w:val="24"/>
        </w:rPr>
        <w:t xml:space="preserve">, whilst that </w:t>
      </w:r>
      <w:r w:rsidR="002E2A40">
        <w:rPr>
          <w:rFonts w:ascii="Arial" w:hAnsi="Arial" w:cs="Arial"/>
          <w:sz w:val="24"/>
          <w:szCs w:val="24"/>
        </w:rPr>
        <w:t>a different matter and not before this court. In the premises</w:t>
      </w:r>
      <w:r w:rsidR="00D17716">
        <w:rPr>
          <w:rFonts w:ascii="Arial" w:hAnsi="Arial" w:cs="Arial"/>
          <w:sz w:val="24"/>
          <w:szCs w:val="24"/>
        </w:rPr>
        <w:t>,</w:t>
      </w:r>
      <w:r w:rsidR="002E2A40">
        <w:rPr>
          <w:rFonts w:ascii="Arial" w:hAnsi="Arial" w:cs="Arial"/>
          <w:sz w:val="24"/>
          <w:szCs w:val="24"/>
        </w:rPr>
        <w:t xml:space="preserve"> this court is confronted with a situation where </w:t>
      </w:r>
      <w:r w:rsidR="001E31C8">
        <w:rPr>
          <w:rFonts w:ascii="Arial" w:hAnsi="Arial" w:cs="Arial"/>
          <w:sz w:val="24"/>
          <w:szCs w:val="24"/>
        </w:rPr>
        <w:t xml:space="preserve">certain </w:t>
      </w:r>
      <w:r w:rsidR="002E2A40">
        <w:rPr>
          <w:rFonts w:ascii="Arial" w:hAnsi="Arial" w:cs="Arial"/>
          <w:sz w:val="24"/>
          <w:szCs w:val="24"/>
        </w:rPr>
        <w:t>facts are alleged</w:t>
      </w:r>
      <w:r w:rsidR="001E31C8">
        <w:rPr>
          <w:rFonts w:ascii="Arial" w:hAnsi="Arial" w:cs="Arial"/>
          <w:sz w:val="24"/>
          <w:szCs w:val="24"/>
        </w:rPr>
        <w:t xml:space="preserve"> regarding the validity and </w:t>
      </w:r>
      <w:proofErr w:type="spellStart"/>
      <w:r w:rsidR="001E31C8">
        <w:rPr>
          <w:rFonts w:ascii="Arial" w:hAnsi="Arial" w:cs="Arial"/>
          <w:sz w:val="24"/>
          <w:szCs w:val="24"/>
        </w:rPr>
        <w:t>voidability</w:t>
      </w:r>
      <w:proofErr w:type="spellEnd"/>
      <w:r w:rsidR="001E31C8">
        <w:rPr>
          <w:rFonts w:ascii="Arial" w:hAnsi="Arial" w:cs="Arial"/>
          <w:sz w:val="24"/>
          <w:szCs w:val="24"/>
        </w:rPr>
        <w:t xml:space="preserve"> of the settlement agreement, </w:t>
      </w:r>
      <w:r w:rsidR="002E2A40">
        <w:rPr>
          <w:rFonts w:ascii="Arial" w:hAnsi="Arial" w:cs="Arial"/>
          <w:sz w:val="24"/>
          <w:szCs w:val="24"/>
        </w:rPr>
        <w:t>but the f</w:t>
      </w:r>
      <w:r w:rsidR="001E31C8">
        <w:rPr>
          <w:rFonts w:ascii="Arial" w:hAnsi="Arial" w:cs="Arial"/>
          <w:sz w:val="24"/>
          <w:szCs w:val="24"/>
        </w:rPr>
        <w:t>acts necessary to prove the allegations are</w:t>
      </w:r>
      <w:r w:rsidR="002E2A40">
        <w:rPr>
          <w:rFonts w:ascii="Arial" w:hAnsi="Arial" w:cs="Arial"/>
          <w:sz w:val="24"/>
          <w:szCs w:val="24"/>
        </w:rPr>
        <w:t xml:space="preserve"> </w:t>
      </w:r>
      <w:r w:rsidR="00483A44">
        <w:rPr>
          <w:rFonts w:ascii="Arial" w:hAnsi="Arial" w:cs="Arial"/>
          <w:sz w:val="24"/>
          <w:szCs w:val="24"/>
        </w:rPr>
        <w:t xml:space="preserve">contained </w:t>
      </w:r>
      <w:r w:rsidR="002E2A40">
        <w:rPr>
          <w:rFonts w:ascii="Arial" w:hAnsi="Arial" w:cs="Arial"/>
          <w:sz w:val="24"/>
          <w:szCs w:val="24"/>
        </w:rPr>
        <w:t xml:space="preserve">in documentation that are not part </w:t>
      </w:r>
      <w:r w:rsidR="001E31C8">
        <w:rPr>
          <w:rFonts w:ascii="Arial" w:hAnsi="Arial" w:cs="Arial"/>
          <w:sz w:val="24"/>
          <w:szCs w:val="24"/>
        </w:rPr>
        <w:t>of the papers</w:t>
      </w:r>
      <w:r w:rsidR="00483A44">
        <w:rPr>
          <w:rFonts w:ascii="Arial" w:hAnsi="Arial" w:cs="Arial"/>
          <w:sz w:val="24"/>
          <w:szCs w:val="24"/>
        </w:rPr>
        <w:t xml:space="preserve"> in this matter.</w:t>
      </w:r>
    </w:p>
    <w:p w:rsidR="002E2A40" w:rsidRDefault="002E2A40" w:rsidP="00425F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173F5" w:rsidRDefault="009173F5" w:rsidP="00425FA3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173F5">
        <w:rPr>
          <w:rFonts w:ascii="Arial" w:hAnsi="Arial" w:cs="Arial"/>
          <w:b/>
          <w:sz w:val="24"/>
          <w:szCs w:val="24"/>
          <w:u w:val="single"/>
        </w:rPr>
        <w:t>The Law</w:t>
      </w:r>
      <w:r>
        <w:rPr>
          <w:rFonts w:ascii="Arial" w:hAnsi="Arial" w:cs="Arial"/>
          <w:b/>
          <w:sz w:val="24"/>
          <w:szCs w:val="24"/>
          <w:u w:val="single"/>
        </w:rPr>
        <w:t xml:space="preserve"> – a party stands or falls by its pleadings</w:t>
      </w:r>
    </w:p>
    <w:p w:rsidR="009173F5" w:rsidRPr="009173F5" w:rsidRDefault="009173F5" w:rsidP="00425FA3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A1FA2" w:rsidRDefault="002E2A40" w:rsidP="00425F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C37A72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  <w:t>It is trite law</w:t>
      </w:r>
      <w:r w:rsidR="00D17716">
        <w:rPr>
          <w:rFonts w:ascii="Arial" w:hAnsi="Arial" w:cs="Arial"/>
          <w:sz w:val="24"/>
          <w:szCs w:val="24"/>
        </w:rPr>
        <w:t>,</w:t>
      </w:r>
      <w:r w:rsidR="00BF3EA9">
        <w:rPr>
          <w:rStyle w:val="FootnoteReference"/>
          <w:rFonts w:ascii="Arial" w:hAnsi="Arial" w:cs="Arial"/>
          <w:sz w:val="24"/>
          <w:szCs w:val="24"/>
        </w:rPr>
        <w:footnoteReference w:id="2"/>
      </w:r>
      <w:r w:rsidR="00BF3EA9">
        <w:rPr>
          <w:rFonts w:ascii="Arial" w:hAnsi="Arial" w:cs="Arial"/>
          <w:sz w:val="24"/>
          <w:szCs w:val="24"/>
        </w:rPr>
        <w:t xml:space="preserve"> that</w:t>
      </w:r>
      <w:r>
        <w:rPr>
          <w:rFonts w:ascii="Arial" w:hAnsi="Arial" w:cs="Arial"/>
          <w:sz w:val="24"/>
          <w:szCs w:val="24"/>
        </w:rPr>
        <w:t xml:space="preserve"> </w:t>
      </w:r>
      <w:r w:rsidR="00BF3EA9" w:rsidRPr="0044366E">
        <w:rPr>
          <w:rFonts w:ascii="Arial" w:hAnsi="Arial" w:cs="Arial"/>
          <w:sz w:val="24"/>
          <w:szCs w:val="24"/>
        </w:rPr>
        <w:t xml:space="preserve">the affidavits of the parties </w:t>
      </w:r>
      <w:r w:rsidR="00A379B6">
        <w:rPr>
          <w:rFonts w:ascii="Arial" w:hAnsi="Arial" w:cs="Arial"/>
          <w:sz w:val="24"/>
          <w:szCs w:val="24"/>
        </w:rPr>
        <w:t>in motion proceedings</w:t>
      </w:r>
      <w:r w:rsidR="00A379B6" w:rsidRPr="0044366E">
        <w:rPr>
          <w:rFonts w:ascii="Arial" w:hAnsi="Arial" w:cs="Arial"/>
          <w:sz w:val="24"/>
          <w:szCs w:val="24"/>
        </w:rPr>
        <w:t xml:space="preserve"> </w:t>
      </w:r>
      <w:r w:rsidR="00BF3EA9" w:rsidRPr="0044366E">
        <w:rPr>
          <w:rFonts w:ascii="Arial" w:hAnsi="Arial" w:cs="Arial"/>
          <w:sz w:val="24"/>
          <w:szCs w:val="24"/>
        </w:rPr>
        <w:t xml:space="preserve">constitute both pleadings and the evidence. </w:t>
      </w:r>
      <w:r w:rsidR="00CF6054" w:rsidRPr="00B119D6">
        <w:rPr>
          <w:rFonts w:ascii="Arial" w:hAnsi="Arial" w:cs="Arial"/>
          <w:sz w:val="24"/>
          <w:szCs w:val="24"/>
        </w:rPr>
        <w:t xml:space="preserve">This rule is based on </w:t>
      </w:r>
      <w:r w:rsidR="00BF3EA9">
        <w:rPr>
          <w:rFonts w:ascii="Arial" w:hAnsi="Arial" w:cs="Arial"/>
          <w:sz w:val="24"/>
          <w:szCs w:val="24"/>
        </w:rPr>
        <w:t>the principle that a party</w:t>
      </w:r>
      <w:r w:rsidR="00CF6054" w:rsidRPr="00B119D6">
        <w:rPr>
          <w:rFonts w:ascii="Arial" w:hAnsi="Arial" w:cs="Arial"/>
          <w:sz w:val="24"/>
          <w:szCs w:val="24"/>
        </w:rPr>
        <w:t xml:space="preserve"> stands or fa</w:t>
      </w:r>
      <w:r w:rsidR="00BF3EA9">
        <w:rPr>
          <w:rFonts w:ascii="Arial" w:hAnsi="Arial" w:cs="Arial"/>
          <w:sz w:val="24"/>
          <w:szCs w:val="24"/>
        </w:rPr>
        <w:t>lls by his affidavits</w:t>
      </w:r>
      <w:r w:rsidR="00D17716">
        <w:rPr>
          <w:rFonts w:ascii="Arial" w:hAnsi="Arial" w:cs="Arial"/>
          <w:sz w:val="24"/>
          <w:szCs w:val="24"/>
        </w:rPr>
        <w:t>.</w:t>
      </w:r>
      <w:r w:rsidR="00BF3EA9">
        <w:rPr>
          <w:rStyle w:val="FootnoteReference"/>
          <w:rFonts w:ascii="Arial" w:hAnsi="Arial" w:cs="Arial"/>
          <w:sz w:val="24"/>
          <w:szCs w:val="24"/>
        </w:rPr>
        <w:footnoteReference w:id="3"/>
      </w:r>
      <w:r w:rsidR="009173F5">
        <w:rPr>
          <w:rFonts w:ascii="Arial" w:hAnsi="Arial" w:cs="Arial"/>
          <w:sz w:val="24"/>
          <w:szCs w:val="24"/>
        </w:rPr>
        <w:t xml:space="preserve"> It emanates</w:t>
      </w:r>
      <w:r w:rsidR="00CF6054" w:rsidRPr="00B119D6">
        <w:rPr>
          <w:rFonts w:ascii="Arial" w:hAnsi="Arial" w:cs="Arial"/>
          <w:sz w:val="24"/>
          <w:szCs w:val="24"/>
        </w:rPr>
        <w:t xml:space="preserve"> </w:t>
      </w:r>
      <w:r w:rsidR="009173F5">
        <w:rPr>
          <w:rFonts w:ascii="Arial" w:hAnsi="Arial" w:cs="Arial"/>
          <w:sz w:val="24"/>
          <w:szCs w:val="24"/>
        </w:rPr>
        <w:t xml:space="preserve">from </w:t>
      </w:r>
      <w:r w:rsidR="00CF6054" w:rsidRPr="00B119D6">
        <w:rPr>
          <w:rFonts w:ascii="Arial" w:hAnsi="Arial" w:cs="Arial"/>
          <w:sz w:val="24"/>
          <w:szCs w:val="24"/>
        </w:rPr>
        <w:t xml:space="preserve">the procedural requirement of motion </w:t>
      </w:r>
      <w:r w:rsidR="009173F5" w:rsidRPr="00B119D6">
        <w:rPr>
          <w:rFonts w:ascii="Arial" w:hAnsi="Arial" w:cs="Arial"/>
          <w:sz w:val="24"/>
          <w:szCs w:val="24"/>
        </w:rPr>
        <w:t>proceedings</w:t>
      </w:r>
      <w:r w:rsidR="009173F5">
        <w:rPr>
          <w:rFonts w:ascii="Arial" w:hAnsi="Arial" w:cs="Arial"/>
          <w:sz w:val="24"/>
          <w:szCs w:val="24"/>
        </w:rPr>
        <w:t xml:space="preserve"> that</w:t>
      </w:r>
      <w:r w:rsidR="00A379B6">
        <w:rPr>
          <w:rFonts w:ascii="Arial" w:hAnsi="Arial" w:cs="Arial"/>
          <w:sz w:val="24"/>
          <w:szCs w:val="24"/>
        </w:rPr>
        <w:t xml:space="preserve"> the </w:t>
      </w:r>
      <w:r w:rsidR="00BF3EA9">
        <w:rPr>
          <w:rFonts w:ascii="Arial" w:hAnsi="Arial" w:cs="Arial"/>
          <w:sz w:val="24"/>
          <w:szCs w:val="24"/>
        </w:rPr>
        <w:t>p</w:t>
      </w:r>
      <w:r w:rsidR="00A379B6">
        <w:rPr>
          <w:rFonts w:ascii="Arial" w:hAnsi="Arial" w:cs="Arial"/>
          <w:sz w:val="24"/>
          <w:szCs w:val="24"/>
        </w:rPr>
        <w:t>arties</w:t>
      </w:r>
      <w:r w:rsidR="00CF6054" w:rsidRPr="00B119D6">
        <w:rPr>
          <w:rFonts w:ascii="Arial" w:hAnsi="Arial" w:cs="Arial"/>
          <w:sz w:val="24"/>
          <w:szCs w:val="24"/>
        </w:rPr>
        <w:t xml:space="preserve"> should set out the cause of action </w:t>
      </w:r>
      <w:r w:rsidR="00A379B6">
        <w:rPr>
          <w:rFonts w:ascii="Arial" w:hAnsi="Arial" w:cs="Arial"/>
          <w:sz w:val="24"/>
          <w:szCs w:val="24"/>
        </w:rPr>
        <w:t xml:space="preserve">and the very basis of its opposition to the application </w:t>
      </w:r>
      <w:r w:rsidR="00CF6054" w:rsidRPr="00B119D6">
        <w:rPr>
          <w:rFonts w:ascii="Arial" w:hAnsi="Arial" w:cs="Arial"/>
          <w:sz w:val="24"/>
          <w:szCs w:val="24"/>
        </w:rPr>
        <w:t xml:space="preserve">in </w:t>
      </w:r>
      <w:r w:rsidR="00A379B6">
        <w:rPr>
          <w:rFonts w:ascii="Arial" w:hAnsi="Arial" w:cs="Arial"/>
          <w:sz w:val="24"/>
          <w:szCs w:val="24"/>
        </w:rPr>
        <w:t xml:space="preserve">the affidavits. </w:t>
      </w:r>
      <w:r w:rsidR="009173F5">
        <w:rPr>
          <w:rFonts w:ascii="Arial" w:hAnsi="Arial" w:cs="Arial"/>
          <w:sz w:val="24"/>
          <w:szCs w:val="24"/>
        </w:rPr>
        <w:t xml:space="preserve">In other words, </w:t>
      </w:r>
      <w:r w:rsidR="00CF6054" w:rsidRPr="00B119D6">
        <w:rPr>
          <w:rFonts w:ascii="Arial" w:hAnsi="Arial" w:cs="Arial"/>
          <w:sz w:val="24"/>
          <w:szCs w:val="24"/>
        </w:rPr>
        <w:t>relief sought has to be found in the evidence supported by th</w:t>
      </w:r>
      <w:r w:rsidR="00483A44">
        <w:rPr>
          <w:rFonts w:ascii="Arial" w:hAnsi="Arial" w:cs="Arial"/>
          <w:sz w:val="24"/>
          <w:szCs w:val="24"/>
        </w:rPr>
        <w:t xml:space="preserve">e facts set </w:t>
      </w:r>
      <w:r w:rsidR="009173F5">
        <w:rPr>
          <w:rFonts w:ascii="Arial" w:hAnsi="Arial" w:cs="Arial"/>
          <w:sz w:val="24"/>
          <w:szCs w:val="24"/>
        </w:rPr>
        <w:t xml:space="preserve">as </w:t>
      </w:r>
      <w:r w:rsidR="00483A44">
        <w:rPr>
          <w:rFonts w:ascii="Arial" w:hAnsi="Arial" w:cs="Arial"/>
          <w:sz w:val="24"/>
          <w:szCs w:val="24"/>
        </w:rPr>
        <w:t xml:space="preserve">out in the </w:t>
      </w:r>
      <w:r w:rsidR="001E31C8">
        <w:rPr>
          <w:rFonts w:ascii="Arial" w:hAnsi="Arial" w:cs="Arial"/>
          <w:sz w:val="24"/>
          <w:szCs w:val="24"/>
        </w:rPr>
        <w:t>papers</w:t>
      </w:r>
      <w:r w:rsidR="009A1FA2">
        <w:rPr>
          <w:rFonts w:ascii="Arial" w:hAnsi="Arial" w:cs="Arial"/>
          <w:sz w:val="24"/>
          <w:szCs w:val="24"/>
        </w:rPr>
        <w:t>.</w:t>
      </w:r>
      <w:r w:rsidR="009A1FA2">
        <w:rPr>
          <w:rStyle w:val="FootnoteReference"/>
          <w:rFonts w:ascii="Arial" w:hAnsi="Arial" w:cs="Arial"/>
          <w:sz w:val="24"/>
          <w:szCs w:val="24"/>
        </w:rPr>
        <w:footnoteReference w:id="4"/>
      </w:r>
      <w:r w:rsidR="009463D3" w:rsidRPr="0044366E">
        <w:rPr>
          <w:rFonts w:ascii="Arial" w:hAnsi="Arial" w:cs="Arial"/>
          <w:sz w:val="24"/>
          <w:szCs w:val="24"/>
        </w:rPr>
        <w:t xml:space="preserve"> </w:t>
      </w:r>
    </w:p>
    <w:p w:rsidR="00483A44" w:rsidRDefault="00483A44" w:rsidP="00425F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E6772" w:rsidRDefault="009A1FA2" w:rsidP="00425F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C37A72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="002752AF">
        <w:rPr>
          <w:rFonts w:ascii="Arial" w:hAnsi="Arial" w:cs="Arial"/>
          <w:sz w:val="24"/>
          <w:szCs w:val="24"/>
        </w:rPr>
        <w:t xml:space="preserve">In the </w:t>
      </w:r>
      <w:r w:rsidR="00766BDB">
        <w:rPr>
          <w:rFonts w:ascii="Arial" w:hAnsi="Arial" w:cs="Arial"/>
          <w:sz w:val="24"/>
          <w:szCs w:val="24"/>
        </w:rPr>
        <w:t>answering</w:t>
      </w:r>
      <w:r w:rsidR="002752AF">
        <w:rPr>
          <w:rFonts w:ascii="Arial" w:hAnsi="Arial" w:cs="Arial"/>
          <w:sz w:val="24"/>
          <w:szCs w:val="24"/>
        </w:rPr>
        <w:t xml:space="preserve"> affidavit</w:t>
      </w:r>
      <w:r w:rsidR="00D17716">
        <w:rPr>
          <w:rFonts w:ascii="Arial" w:hAnsi="Arial" w:cs="Arial"/>
          <w:sz w:val="24"/>
          <w:szCs w:val="24"/>
        </w:rPr>
        <w:t>,</w:t>
      </w:r>
      <w:r w:rsidR="002752AF">
        <w:rPr>
          <w:rFonts w:ascii="Arial" w:hAnsi="Arial" w:cs="Arial"/>
          <w:sz w:val="24"/>
          <w:szCs w:val="24"/>
        </w:rPr>
        <w:t xml:space="preserve"> </w:t>
      </w:r>
      <w:r w:rsidR="00D17716">
        <w:rPr>
          <w:rFonts w:ascii="Arial" w:hAnsi="Arial" w:cs="Arial"/>
          <w:sz w:val="24"/>
          <w:szCs w:val="24"/>
        </w:rPr>
        <w:t xml:space="preserve">the first </w:t>
      </w:r>
      <w:r w:rsidR="002752AF">
        <w:rPr>
          <w:rFonts w:ascii="Arial" w:hAnsi="Arial" w:cs="Arial"/>
          <w:sz w:val="24"/>
          <w:szCs w:val="24"/>
        </w:rPr>
        <w:t>respondent relies on the facts more fully in his founding aff</w:t>
      </w:r>
      <w:r w:rsidR="009173F5">
        <w:rPr>
          <w:rFonts w:ascii="Arial" w:hAnsi="Arial" w:cs="Arial"/>
          <w:sz w:val="24"/>
          <w:szCs w:val="24"/>
        </w:rPr>
        <w:t>idavit in an application to the Labour C</w:t>
      </w:r>
      <w:r w:rsidR="002752AF">
        <w:rPr>
          <w:rFonts w:ascii="Arial" w:hAnsi="Arial" w:cs="Arial"/>
          <w:sz w:val="24"/>
          <w:szCs w:val="24"/>
        </w:rPr>
        <w:t>ourt under case number LC 114/14</w:t>
      </w:r>
      <w:r w:rsidR="000E6772">
        <w:rPr>
          <w:rFonts w:ascii="Arial" w:hAnsi="Arial" w:cs="Arial"/>
          <w:sz w:val="24"/>
          <w:szCs w:val="24"/>
        </w:rPr>
        <w:t>.</w:t>
      </w:r>
      <w:r w:rsidR="00CA13B6">
        <w:rPr>
          <w:rFonts w:ascii="Arial" w:hAnsi="Arial" w:cs="Arial"/>
          <w:sz w:val="24"/>
          <w:szCs w:val="24"/>
        </w:rPr>
        <w:t xml:space="preserve"> </w:t>
      </w:r>
      <w:r w:rsidR="000E6772">
        <w:rPr>
          <w:rFonts w:ascii="Arial" w:hAnsi="Arial" w:cs="Arial"/>
          <w:sz w:val="24"/>
          <w:szCs w:val="24"/>
        </w:rPr>
        <w:t xml:space="preserve">It </w:t>
      </w:r>
      <w:r w:rsidR="00CA13B6">
        <w:rPr>
          <w:rFonts w:ascii="Arial" w:hAnsi="Arial" w:cs="Arial"/>
          <w:sz w:val="24"/>
          <w:szCs w:val="24"/>
        </w:rPr>
        <w:t>refers to the application do</w:t>
      </w:r>
      <w:r w:rsidR="00684317">
        <w:rPr>
          <w:rFonts w:ascii="Arial" w:hAnsi="Arial" w:cs="Arial"/>
          <w:sz w:val="24"/>
          <w:szCs w:val="24"/>
        </w:rPr>
        <w:t xml:space="preserve">ne by the </w:t>
      </w:r>
      <w:r w:rsidR="00D17716">
        <w:rPr>
          <w:rFonts w:ascii="Arial" w:hAnsi="Arial" w:cs="Arial"/>
          <w:sz w:val="24"/>
          <w:szCs w:val="24"/>
        </w:rPr>
        <w:t xml:space="preserve">first </w:t>
      </w:r>
      <w:r w:rsidR="00CA13B6">
        <w:rPr>
          <w:rFonts w:ascii="Arial" w:hAnsi="Arial" w:cs="Arial"/>
          <w:sz w:val="24"/>
          <w:szCs w:val="24"/>
        </w:rPr>
        <w:t xml:space="preserve">respondent that preceded the application currently before </w:t>
      </w:r>
      <w:r w:rsidR="009173F5">
        <w:rPr>
          <w:rFonts w:ascii="Arial" w:hAnsi="Arial" w:cs="Arial"/>
          <w:sz w:val="24"/>
          <w:szCs w:val="24"/>
        </w:rPr>
        <w:t>me.</w:t>
      </w:r>
      <w:r w:rsidR="00F23BEB">
        <w:rPr>
          <w:rStyle w:val="FootnoteReference"/>
          <w:rFonts w:ascii="Arial" w:hAnsi="Arial" w:cs="Arial"/>
          <w:sz w:val="24"/>
          <w:szCs w:val="24"/>
        </w:rPr>
        <w:footnoteReference w:id="5"/>
      </w:r>
      <w:r w:rsidR="00CA13B6">
        <w:rPr>
          <w:rFonts w:ascii="Arial" w:hAnsi="Arial" w:cs="Arial"/>
          <w:sz w:val="24"/>
          <w:szCs w:val="24"/>
        </w:rPr>
        <w:t xml:space="preserve"> This application was stru</w:t>
      </w:r>
      <w:r w:rsidR="002752AF">
        <w:rPr>
          <w:rFonts w:ascii="Arial" w:hAnsi="Arial" w:cs="Arial"/>
          <w:sz w:val="24"/>
          <w:szCs w:val="24"/>
        </w:rPr>
        <w:t xml:space="preserve">ck from the roll on 11 March 2015. It </w:t>
      </w:r>
      <w:r w:rsidR="000E6772">
        <w:rPr>
          <w:rFonts w:ascii="Arial" w:hAnsi="Arial" w:cs="Arial"/>
          <w:sz w:val="24"/>
          <w:szCs w:val="24"/>
        </w:rPr>
        <w:t>was never</w:t>
      </w:r>
      <w:r w:rsidR="00CA13B6">
        <w:rPr>
          <w:rFonts w:ascii="Arial" w:hAnsi="Arial" w:cs="Arial"/>
          <w:sz w:val="24"/>
          <w:szCs w:val="24"/>
        </w:rPr>
        <w:t xml:space="preserve"> re-enrolled</w:t>
      </w:r>
      <w:r w:rsidR="002752AF">
        <w:rPr>
          <w:rFonts w:ascii="Arial" w:hAnsi="Arial" w:cs="Arial"/>
          <w:sz w:val="24"/>
          <w:szCs w:val="24"/>
        </w:rPr>
        <w:t>.</w:t>
      </w:r>
      <w:r w:rsidR="00CA13B6">
        <w:rPr>
          <w:rFonts w:ascii="Arial" w:hAnsi="Arial" w:cs="Arial"/>
          <w:sz w:val="24"/>
          <w:szCs w:val="24"/>
        </w:rPr>
        <w:t xml:space="preserve"> </w:t>
      </w:r>
      <w:r w:rsidR="002752AF">
        <w:rPr>
          <w:rFonts w:ascii="Arial" w:hAnsi="Arial" w:cs="Arial"/>
          <w:sz w:val="24"/>
          <w:szCs w:val="24"/>
        </w:rPr>
        <w:t xml:space="preserve">An interlocutory application was filed </w:t>
      </w:r>
      <w:r w:rsidR="00CA13B6">
        <w:rPr>
          <w:rFonts w:ascii="Arial" w:hAnsi="Arial" w:cs="Arial"/>
          <w:sz w:val="24"/>
          <w:szCs w:val="24"/>
        </w:rPr>
        <w:t xml:space="preserve">for </w:t>
      </w:r>
      <w:r w:rsidR="002752AF">
        <w:rPr>
          <w:rFonts w:ascii="Arial" w:hAnsi="Arial" w:cs="Arial"/>
          <w:sz w:val="24"/>
          <w:szCs w:val="24"/>
        </w:rPr>
        <w:t xml:space="preserve">the </w:t>
      </w:r>
      <w:r w:rsidR="00CA13B6">
        <w:rPr>
          <w:rFonts w:ascii="Arial" w:hAnsi="Arial" w:cs="Arial"/>
          <w:sz w:val="24"/>
          <w:szCs w:val="24"/>
        </w:rPr>
        <w:t xml:space="preserve">consolidation </w:t>
      </w:r>
      <w:r w:rsidR="002752AF">
        <w:rPr>
          <w:rFonts w:ascii="Arial" w:hAnsi="Arial" w:cs="Arial"/>
          <w:sz w:val="24"/>
          <w:szCs w:val="24"/>
        </w:rPr>
        <w:t>of cases LC 114/14 and LC 52/2015</w:t>
      </w:r>
      <w:r w:rsidR="000E6772">
        <w:rPr>
          <w:rFonts w:ascii="Arial" w:hAnsi="Arial" w:cs="Arial"/>
          <w:sz w:val="24"/>
          <w:szCs w:val="24"/>
        </w:rPr>
        <w:t>, but same was also struck from the roll on</w:t>
      </w:r>
      <w:r w:rsidR="002752AF">
        <w:rPr>
          <w:rFonts w:ascii="Arial" w:hAnsi="Arial" w:cs="Arial"/>
          <w:sz w:val="24"/>
          <w:szCs w:val="24"/>
        </w:rPr>
        <w:t xml:space="preserve"> 14 August 2015</w:t>
      </w:r>
      <w:r w:rsidR="000E6772">
        <w:rPr>
          <w:rFonts w:ascii="Arial" w:hAnsi="Arial" w:cs="Arial"/>
          <w:sz w:val="24"/>
          <w:szCs w:val="24"/>
        </w:rPr>
        <w:t>.</w:t>
      </w:r>
    </w:p>
    <w:p w:rsidR="00CA13B6" w:rsidRDefault="002752AF" w:rsidP="00425F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871BF" w:rsidRDefault="00F23BEB" w:rsidP="00425F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C37A72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>]</w:t>
      </w:r>
      <w:r w:rsidR="006F0338">
        <w:rPr>
          <w:rFonts w:ascii="Arial" w:hAnsi="Arial" w:cs="Arial"/>
          <w:sz w:val="24"/>
          <w:szCs w:val="24"/>
        </w:rPr>
        <w:tab/>
      </w:r>
      <w:r w:rsidR="000E6772">
        <w:rPr>
          <w:rFonts w:ascii="Arial" w:hAnsi="Arial" w:cs="Arial"/>
          <w:sz w:val="24"/>
          <w:szCs w:val="24"/>
        </w:rPr>
        <w:t xml:space="preserve">I am </w:t>
      </w:r>
      <w:r w:rsidR="001E31C8">
        <w:rPr>
          <w:rFonts w:ascii="Arial" w:hAnsi="Arial" w:cs="Arial"/>
          <w:sz w:val="24"/>
          <w:szCs w:val="24"/>
        </w:rPr>
        <w:t>thus faced with a situation where</w:t>
      </w:r>
      <w:r w:rsidR="000E6772">
        <w:rPr>
          <w:rFonts w:ascii="Arial" w:hAnsi="Arial" w:cs="Arial"/>
          <w:sz w:val="24"/>
          <w:szCs w:val="24"/>
        </w:rPr>
        <w:t xml:space="preserve"> the </w:t>
      </w:r>
      <w:r w:rsidR="009A1FA2">
        <w:rPr>
          <w:rFonts w:ascii="Arial" w:hAnsi="Arial" w:cs="Arial"/>
          <w:sz w:val="24"/>
          <w:szCs w:val="24"/>
        </w:rPr>
        <w:t>answering</w:t>
      </w:r>
      <w:r w:rsidR="000E6772">
        <w:rPr>
          <w:rFonts w:ascii="Arial" w:hAnsi="Arial" w:cs="Arial"/>
          <w:sz w:val="24"/>
          <w:szCs w:val="24"/>
        </w:rPr>
        <w:t xml:space="preserve"> affid</w:t>
      </w:r>
      <w:r w:rsidR="001E31C8">
        <w:rPr>
          <w:rFonts w:ascii="Arial" w:hAnsi="Arial" w:cs="Arial"/>
          <w:sz w:val="24"/>
          <w:szCs w:val="24"/>
        </w:rPr>
        <w:t>avit is relying on facts that are</w:t>
      </w:r>
      <w:r w:rsidR="000E6772">
        <w:rPr>
          <w:rFonts w:ascii="Arial" w:hAnsi="Arial" w:cs="Arial"/>
          <w:sz w:val="24"/>
          <w:szCs w:val="24"/>
        </w:rPr>
        <w:t xml:space="preserve"> not before </w:t>
      </w:r>
      <w:r w:rsidR="009A1FA2">
        <w:rPr>
          <w:rFonts w:ascii="Arial" w:hAnsi="Arial" w:cs="Arial"/>
          <w:sz w:val="24"/>
          <w:szCs w:val="24"/>
        </w:rPr>
        <w:t xml:space="preserve">this </w:t>
      </w:r>
      <w:r w:rsidR="000E6772">
        <w:rPr>
          <w:rFonts w:ascii="Arial" w:hAnsi="Arial" w:cs="Arial"/>
          <w:sz w:val="24"/>
          <w:szCs w:val="24"/>
        </w:rPr>
        <w:t xml:space="preserve">court. </w:t>
      </w:r>
      <w:r w:rsidR="009A1FA2">
        <w:rPr>
          <w:rFonts w:ascii="Arial" w:hAnsi="Arial" w:cs="Arial"/>
          <w:sz w:val="24"/>
          <w:szCs w:val="24"/>
        </w:rPr>
        <w:t>In terms of the legal principles</w:t>
      </w:r>
      <w:r w:rsidR="00D17716">
        <w:rPr>
          <w:rFonts w:ascii="Arial" w:hAnsi="Arial" w:cs="Arial"/>
          <w:sz w:val="24"/>
          <w:szCs w:val="24"/>
        </w:rPr>
        <w:t xml:space="preserve"> stated </w:t>
      </w:r>
      <w:r w:rsidR="009A1FA2">
        <w:rPr>
          <w:rFonts w:ascii="Arial" w:hAnsi="Arial" w:cs="Arial"/>
          <w:sz w:val="24"/>
          <w:szCs w:val="24"/>
        </w:rPr>
        <w:t>above</w:t>
      </w:r>
      <w:r w:rsidR="009173F5">
        <w:rPr>
          <w:rFonts w:ascii="Arial" w:hAnsi="Arial" w:cs="Arial"/>
          <w:sz w:val="24"/>
          <w:szCs w:val="24"/>
        </w:rPr>
        <w:t xml:space="preserve">, I am constraint to make </w:t>
      </w:r>
      <w:r w:rsidR="009A1FA2">
        <w:rPr>
          <w:rFonts w:ascii="Arial" w:hAnsi="Arial" w:cs="Arial"/>
          <w:sz w:val="24"/>
          <w:szCs w:val="24"/>
        </w:rPr>
        <w:t xml:space="preserve">a finding on the allegations </w:t>
      </w:r>
      <w:r w:rsidR="009173F5">
        <w:rPr>
          <w:rFonts w:ascii="Arial" w:hAnsi="Arial" w:cs="Arial"/>
          <w:sz w:val="24"/>
          <w:szCs w:val="24"/>
        </w:rPr>
        <w:t xml:space="preserve">of lack of authority and coercion </w:t>
      </w:r>
      <w:r w:rsidR="009A1FA2">
        <w:rPr>
          <w:rFonts w:ascii="Arial" w:hAnsi="Arial" w:cs="Arial"/>
          <w:sz w:val="24"/>
          <w:szCs w:val="24"/>
        </w:rPr>
        <w:t>in the pleadings</w:t>
      </w:r>
      <w:r w:rsidR="009173F5">
        <w:rPr>
          <w:rFonts w:ascii="Arial" w:hAnsi="Arial" w:cs="Arial"/>
          <w:sz w:val="24"/>
          <w:szCs w:val="24"/>
        </w:rPr>
        <w:t>,</w:t>
      </w:r>
      <w:r w:rsidR="009A1FA2">
        <w:rPr>
          <w:rFonts w:ascii="Arial" w:hAnsi="Arial" w:cs="Arial"/>
          <w:sz w:val="24"/>
          <w:szCs w:val="24"/>
        </w:rPr>
        <w:t xml:space="preserve"> as the evidence for such allegations </w:t>
      </w:r>
      <w:proofErr w:type="gramStart"/>
      <w:r w:rsidR="009A1FA2">
        <w:rPr>
          <w:rFonts w:ascii="Arial" w:hAnsi="Arial" w:cs="Arial"/>
          <w:sz w:val="24"/>
          <w:szCs w:val="24"/>
        </w:rPr>
        <w:t>are</w:t>
      </w:r>
      <w:proofErr w:type="gramEnd"/>
      <w:r w:rsidR="009A1FA2">
        <w:rPr>
          <w:rFonts w:ascii="Arial" w:hAnsi="Arial" w:cs="Arial"/>
          <w:sz w:val="24"/>
          <w:szCs w:val="24"/>
        </w:rPr>
        <w:t xml:space="preserve"> not before me. </w:t>
      </w:r>
    </w:p>
    <w:p w:rsidR="004871BF" w:rsidRDefault="004871BF" w:rsidP="00425F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3461D" w:rsidRDefault="004871BF" w:rsidP="00425F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C37A72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="006F0338">
        <w:rPr>
          <w:rFonts w:ascii="Arial" w:hAnsi="Arial" w:cs="Arial"/>
          <w:sz w:val="24"/>
          <w:szCs w:val="24"/>
        </w:rPr>
        <w:t xml:space="preserve">The deponent </w:t>
      </w:r>
      <w:r w:rsidR="00CA5D49">
        <w:rPr>
          <w:rFonts w:ascii="Arial" w:hAnsi="Arial" w:cs="Arial"/>
          <w:sz w:val="24"/>
          <w:szCs w:val="24"/>
        </w:rPr>
        <w:t xml:space="preserve">failed to explain how he arrived at the conclusion that there was a lack of authority, </w:t>
      </w:r>
      <w:r w:rsidR="006F0338">
        <w:rPr>
          <w:rFonts w:ascii="Arial" w:hAnsi="Arial" w:cs="Arial"/>
          <w:sz w:val="24"/>
          <w:szCs w:val="24"/>
        </w:rPr>
        <w:t>considering the fact that</w:t>
      </w:r>
      <w:r w:rsidR="00CA5D49">
        <w:rPr>
          <w:rFonts w:ascii="Arial" w:hAnsi="Arial" w:cs="Arial"/>
          <w:sz w:val="24"/>
          <w:szCs w:val="24"/>
        </w:rPr>
        <w:t xml:space="preserve"> the two representatives of the </w:t>
      </w:r>
      <w:r w:rsidR="00D17716">
        <w:rPr>
          <w:rFonts w:ascii="Arial" w:hAnsi="Arial" w:cs="Arial"/>
          <w:sz w:val="24"/>
          <w:szCs w:val="24"/>
        </w:rPr>
        <w:t xml:space="preserve">first </w:t>
      </w:r>
      <w:r w:rsidR="00CA5D49">
        <w:rPr>
          <w:rFonts w:ascii="Arial" w:hAnsi="Arial" w:cs="Arial"/>
          <w:sz w:val="24"/>
          <w:szCs w:val="24"/>
        </w:rPr>
        <w:t>respondent participated in the conciliation meeting</w:t>
      </w:r>
      <w:r w:rsidR="00B0271B">
        <w:rPr>
          <w:rFonts w:ascii="Arial" w:hAnsi="Arial" w:cs="Arial"/>
          <w:sz w:val="24"/>
          <w:szCs w:val="24"/>
        </w:rPr>
        <w:t>, they</w:t>
      </w:r>
      <w:r w:rsidR="009173F5">
        <w:rPr>
          <w:rFonts w:ascii="Arial" w:hAnsi="Arial" w:cs="Arial"/>
          <w:sz w:val="24"/>
          <w:szCs w:val="24"/>
        </w:rPr>
        <w:t xml:space="preserve"> </w:t>
      </w:r>
      <w:r w:rsidR="001E31C8">
        <w:rPr>
          <w:rFonts w:ascii="Arial" w:hAnsi="Arial" w:cs="Arial"/>
          <w:sz w:val="24"/>
          <w:szCs w:val="24"/>
        </w:rPr>
        <w:t>consulted the deponent to the answering affidavit</w:t>
      </w:r>
      <w:r w:rsidR="00CA5D49">
        <w:rPr>
          <w:rFonts w:ascii="Arial" w:hAnsi="Arial" w:cs="Arial"/>
          <w:sz w:val="24"/>
          <w:szCs w:val="24"/>
        </w:rPr>
        <w:t xml:space="preserve"> telephonically and subsequent t</w:t>
      </w:r>
      <w:r w:rsidR="009173F5">
        <w:rPr>
          <w:rFonts w:ascii="Arial" w:hAnsi="Arial" w:cs="Arial"/>
          <w:sz w:val="24"/>
          <w:szCs w:val="24"/>
        </w:rPr>
        <w:t xml:space="preserve">hereto, </w:t>
      </w:r>
      <w:r w:rsidR="00CA5D49">
        <w:rPr>
          <w:rFonts w:ascii="Arial" w:hAnsi="Arial" w:cs="Arial"/>
          <w:sz w:val="24"/>
          <w:szCs w:val="24"/>
        </w:rPr>
        <w:t>signed the agreement.</w:t>
      </w:r>
      <w:r w:rsidR="006F0338">
        <w:rPr>
          <w:rFonts w:ascii="Arial" w:hAnsi="Arial" w:cs="Arial"/>
          <w:sz w:val="24"/>
          <w:szCs w:val="24"/>
        </w:rPr>
        <w:t xml:space="preserve"> </w:t>
      </w:r>
    </w:p>
    <w:p w:rsidR="0073461D" w:rsidRDefault="0073461D" w:rsidP="00425F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3461D" w:rsidRDefault="0073461D" w:rsidP="00425F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C37A72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="00B0271B">
        <w:rPr>
          <w:rFonts w:ascii="Arial" w:hAnsi="Arial" w:cs="Arial"/>
          <w:sz w:val="24"/>
          <w:szCs w:val="24"/>
        </w:rPr>
        <w:t>In terms of s</w:t>
      </w:r>
      <w:r w:rsidR="006F0338">
        <w:rPr>
          <w:rFonts w:ascii="Arial" w:hAnsi="Arial" w:cs="Arial"/>
          <w:sz w:val="24"/>
          <w:szCs w:val="24"/>
        </w:rPr>
        <w:t xml:space="preserve"> 86 (12) </w:t>
      </w:r>
      <w:r w:rsidR="00B0271B">
        <w:rPr>
          <w:rFonts w:ascii="Arial" w:hAnsi="Arial" w:cs="Arial"/>
          <w:sz w:val="24"/>
          <w:szCs w:val="24"/>
        </w:rPr>
        <w:t xml:space="preserve">of the Act, </w:t>
      </w:r>
      <w:r w:rsidR="006F0338">
        <w:rPr>
          <w:rFonts w:ascii="Arial" w:hAnsi="Arial" w:cs="Arial"/>
          <w:sz w:val="24"/>
          <w:szCs w:val="24"/>
        </w:rPr>
        <w:t xml:space="preserve">it is competent for first respondent to have delegated representation </w:t>
      </w:r>
      <w:r w:rsidR="001E31C8">
        <w:rPr>
          <w:rFonts w:ascii="Arial" w:hAnsi="Arial" w:cs="Arial"/>
          <w:sz w:val="24"/>
          <w:szCs w:val="24"/>
        </w:rPr>
        <w:t xml:space="preserve">at the conciliation meeting. </w:t>
      </w:r>
      <w:r w:rsidR="00B0271B">
        <w:rPr>
          <w:rFonts w:ascii="Arial" w:hAnsi="Arial" w:cs="Arial"/>
          <w:sz w:val="24"/>
          <w:szCs w:val="24"/>
        </w:rPr>
        <w:t xml:space="preserve">The section allows representation, and if two representatives arrive at a conciliation meeting, participate in the proceedings, telephonically confirm their mandates and thereafter sign a document, </w:t>
      </w:r>
      <w:r>
        <w:rPr>
          <w:rFonts w:ascii="Arial" w:hAnsi="Arial" w:cs="Arial"/>
          <w:sz w:val="24"/>
          <w:szCs w:val="24"/>
        </w:rPr>
        <w:t xml:space="preserve">it is my considered view that the first respondent must explain their lack of authority in evidence </w:t>
      </w:r>
      <w:r w:rsidR="007D33E1">
        <w:rPr>
          <w:rFonts w:ascii="Arial" w:hAnsi="Arial" w:cs="Arial"/>
          <w:sz w:val="24"/>
          <w:szCs w:val="24"/>
        </w:rPr>
        <w:t>before the court, before a finding can be made that the document lack</w:t>
      </w:r>
      <w:r w:rsidR="001E31C8">
        <w:rPr>
          <w:rFonts w:ascii="Arial" w:hAnsi="Arial" w:cs="Arial"/>
          <w:sz w:val="24"/>
          <w:szCs w:val="24"/>
        </w:rPr>
        <w:t>s</w:t>
      </w:r>
      <w:r w:rsidR="007D33E1">
        <w:rPr>
          <w:rFonts w:ascii="Arial" w:hAnsi="Arial" w:cs="Arial"/>
          <w:sz w:val="24"/>
          <w:szCs w:val="24"/>
        </w:rPr>
        <w:t xml:space="preserve"> the necessary authority.</w:t>
      </w:r>
      <w:r>
        <w:rPr>
          <w:rFonts w:ascii="Arial" w:hAnsi="Arial" w:cs="Arial"/>
          <w:sz w:val="24"/>
          <w:szCs w:val="24"/>
        </w:rPr>
        <w:t xml:space="preserve"> </w:t>
      </w:r>
      <w:r w:rsidR="00B0271B">
        <w:rPr>
          <w:rFonts w:ascii="Arial" w:hAnsi="Arial" w:cs="Arial"/>
          <w:sz w:val="24"/>
          <w:szCs w:val="24"/>
        </w:rPr>
        <w:t>I</w:t>
      </w:r>
      <w:r w:rsidR="006F0338">
        <w:rPr>
          <w:rFonts w:ascii="Arial" w:hAnsi="Arial" w:cs="Arial"/>
          <w:sz w:val="24"/>
          <w:szCs w:val="24"/>
        </w:rPr>
        <w:t xml:space="preserve">n the absence of </w:t>
      </w:r>
      <w:r>
        <w:rPr>
          <w:rFonts w:ascii="Arial" w:hAnsi="Arial" w:cs="Arial"/>
          <w:sz w:val="24"/>
          <w:szCs w:val="24"/>
        </w:rPr>
        <w:t xml:space="preserve">an explanation, </w:t>
      </w:r>
      <w:r w:rsidR="006F0338">
        <w:rPr>
          <w:rFonts w:ascii="Arial" w:hAnsi="Arial" w:cs="Arial"/>
          <w:sz w:val="24"/>
          <w:szCs w:val="24"/>
        </w:rPr>
        <w:t>the facts in common cause</w:t>
      </w:r>
      <w:r w:rsidR="001E31C8">
        <w:rPr>
          <w:rFonts w:ascii="Arial" w:hAnsi="Arial" w:cs="Arial"/>
          <w:sz w:val="24"/>
          <w:szCs w:val="24"/>
        </w:rPr>
        <w:t xml:space="preserve"> clearly point</w:t>
      </w:r>
      <w:r>
        <w:rPr>
          <w:rFonts w:ascii="Arial" w:hAnsi="Arial" w:cs="Arial"/>
          <w:sz w:val="24"/>
          <w:szCs w:val="24"/>
        </w:rPr>
        <w:t xml:space="preserve"> toward a valid settlement a</w:t>
      </w:r>
      <w:r w:rsidR="007D33E1">
        <w:rPr>
          <w:rFonts w:ascii="Arial" w:hAnsi="Arial" w:cs="Arial"/>
          <w:sz w:val="24"/>
          <w:szCs w:val="24"/>
        </w:rPr>
        <w:t xml:space="preserve">greement signed at the </w:t>
      </w:r>
      <w:proofErr w:type="spellStart"/>
      <w:r w:rsidR="007D33E1">
        <w:rPr>
          <w:rFonts w:ascii="Arial" w:hAnsi="Arial" w:cs="Arial"/>
          <w:sz w:val="24"/>
          <w:szCs w:val="24"/>
        </w:rPr>
        <w:t>Otjiwarongo</w:t>
      </w:r>
      <w:proofErr w:type="spellEnd"/>
      <w:r w:rsidR="007D33E1">
        <w:rPr>
          <w:rFonts w:ascii="Arial" w:hAnsi="Arial" w:cs="Arial"/>
          <w:sz w:val="24"/>
          <w:szCs w:val="24"/>
        </w:rPr>
        <w:t xml:space="preserve"> meeting.</w:t>
      </w:r>
    </w:p>
    <w:p w:rsidR="008F1E3A" w:rsidRDefault="008F1E3A" w:rsidP="00425F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41B71" w:rsidRDefault="008F1E3A" w:rsidP="00C41B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C37A72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="001E7F93">
        <w:rPr>
          <w:rFonts w:ascii="Arial" w:hAnsi="Arial" w:cs="Arial"/>
          <w:sz w:val="24"/>
          <w:szCs w:val="24"/>
        </w:rPr>
        <w:t>Clearly, the deponent of</w:t>
      </w:r>
      <w:r w:rsidR="00C41B71">
        <w:rPr>
          <w:rFonts w:ascii="Arial" w:hAnsi="Arial" w:cs="Arial"/>
          <w:sz w:val="24"/>
          <w:szCs w:val="24"/>
        </w:rPr>
        <w:t xml:space="preserve"> the answering affidavit assumed that the interlocutory application for the consolidation of the two matters would be granted an</w:t>
      </w:r>
      <w:r w:rsidR="001E7F93">
        <w:rPr>
          <w:rFonts w:ascii="Arial" w:hAnsi="Arial" w:cs="Arial"/>
          <w:sz w:val="24"/>
          <w:szCs w:val="24"/>
        </w:rPr>
        <w:t>d that consolidation</w:t>
      </w:r>
      <w:r w:rsidR="00C41B71">
        <w:rPr>
          <w:rFonts w:ascii="Arial" w:hAnsi="Arial" w:cs="Arial"/>
          <w:sz w:val="24"/>
          <w:szCs w:val="24"/>
        </w:rPr>
        <w:t xml:space="preserve"> will cure the lack of evidence in his answering affidavit in </w:t>
      </w:r>
      <w:r w:rsidR="001E7F93">
        <w:rPr>
          <w:rFonts w:ascii="Arial" w:hAnsi="Arial" w:cs="Arial"/>
          <w:sz w:val="24"/>
          <w:szCs w:val="24"/>
        </w:rPr>
        <w:t xml:space="preserve">the instant </w:t>
      </w:r>
      <w:r w:rsidR="00C41B71">
        <w:rPr>
          <w:rFonts w:ascii="Arial" w:hAnsi="Arial" w:cs="Arial"/>
          <w:sz w:val="24"/>
          <w:szCs w:val="24"/>
        </w:rPr>
        <w:t>case</w:t>
      </w:r>
      <w:r w:rsidR="001E7F93">
        <w:rPr>
          <w:rFonts w:ascii="Arial" w:hAnsi="Arial" w:cs="Arial"/>
          <w:sz w:val="24"/>
          <w:szCs w:val="24"/>
        </w:rPr>
        <w:t xml:space="preserve">. </w:t>
      </w:r>
      <w:r w:rsidR="004871BF">
        <w:rPr>
          <w:rFonts w:ascii="Arial" w:hAnsi="Arial" w:cs="Arial"/>
          <w:sz w:val="24"/>
          <w:szCs w:val="24"/>
        </w:rPr>
        <w:t>The interlocutory application for consolidation of the two matters was struck from the roll</w:t>
      </w:r>
      <w:r w:rsidR="004871BF">
        <w:rPr>
          <w:rStyle w:val="FootnoteReference"/>
          <w:rFonts w:ascii="Arial" w:hAnsi="Arial" w:cs="Arial"/>
          <w:sz w:val="24"/>
          <w:szCs w:val="24"/>
        </w:rPr>
        <w:footnoteReference w:id="6"/>
      </w:r>
      <w:r w:rsidR="00BB34DD">
        <w:rPr>
          <w:rFonts w:ascii="Arial" w:hAnsi="Arial" w:cs="Arial"/>
          <w:sz w:val="24"/>
          <w:szCs w:val="24"/>
        </w:rPr>
        <w:t xml:space="preserve"> and </w:t>
      </w:r>
      <w:r w:rsidR="001E7F93">
        <w:rPr>
          <w:rFonts w:ascii="Arial" w:hAnsi="Arial" w:cs="Arial"/>
          <w:sz w:val="24"/>
          <w:szCs w:val="24"/>
        </w:rPr>
        <w:t xml:space="preserve">was </w:t>
      </w:r>
      <w:r w:rsidR="00BB34DD">
        <w:rPr>
          <w:rFonts w:ascii="Arial" w:hAnsi="Arial" w:cs="Arial"/>
          <w:sz w:val="24"/>
          <w:szCs w:val="24"/>
        </w:rPr>
        <w:t>never re-enrolled</w:t>
      </w:r>
      <w:r w:rsidR="004871BF">
        <w:rPr>
          <w:rFonts w:ascii="Arial" w:hAnsi="Arial" w:cs="Arial"/>
          <w:sz w:val="24"/>
          <w:szCs w:val="24"/>
        </w:rPr>
        <w:t xml:space="preserve">. </w:t>
      </w:r>
      <w:r w:rsidR="00A57C2B">
        <w:rPr>
          <w:rFonts w:ascii="Arial" w:hAnsi="Arial" w:cs="Arial"/>
          <w:sz w:val="24"/>
          <w:szCs w:val="24"/>
        </w:rPr>
        <w:t>Hence the case of the first respondent, regardless of its merits, is not before me for consideration.</w:t>
      </w:r>
      <w:r w:rsidR="00C41B71">
        <w:rPr>
          <w:rFonts w:ascii="Arial" w:hAnsi="Arial" w:cs="Arial"/>
          <w:sz w:val="24"/>
          <w:szCs w:val="24"/>
        </w:rPr>
        <w:t xml:space="preserve"> </w:t>
      </w:r>
    </w:p>
    <w:p w:rsidR="00D5495C" w:rsidRDefault="00D5495C" w:rsidP="00425F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F21B4" w:rsidRDefault="008F1E3A" w:rsidP="00425F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D37A6">
        <w:rPr>
          <w:rFonts w:ascii="Arial" w:hAnsi="Arial" w:cs="Arial"/>
          <w:sz w:val="24"/>
          <w:szCs w:val="24"/>
        </w:rPr>
        <w:t>[</w:t>
      </w:r>
      <w:r w:rsidR="00C37A72">
        <w:rPr>
          <w:rFonts w:ascii="Arial" w:hAnsi="Arial" w:cs="Arial"/>
          <w:sz w:val="24"/>
          <w:szCs w:val="24"/>
        </w:rPr>
        <w:t>28</w:t>
      </w:r>
      <w:r w:rsidR="006D37A6">
        <w:rPr>
          <w:rFonts w:ascii="Arial" w:hAnsi="Arial" w:cs="Arial"/>
          <w:sz w:val="24"/>
          <w:szCs w:val="24"/>
        </w:rPr>
        <w:t>]</w:t>
      </w:r>
      <w:r w:rsidR="009173F5">
        <w:rPr>
          <w:rFonts w:ascii="Arial" w:hAnsi="Arial" w:cs="Arial"/>
          <w:sz w:val="24"/>
          <w:szCs w:val="24"/>
        </w:rPr>
        <w:tab/>
      </w:r>
      <w:r w:rsidR="0000361A">
        <w:rPr>
          <w:rFonts w:ascii="Arial" w:hAnsi="Arial" w:cs="Arial"/>
          <w:sz w:val="24"/>
          <w:szCs w:val="24"/>
        </w:rPr>
        <w:t xml:space="preserve">In the premises, I find that the document attached as </w:t>
      </w:r>
      <w:r w:rsidR="00D17716">
        <w:rPr>
          <w:rFonts w:ascii="Arial" w:hAnsi="Arial" w:cs="Arial"/>
          <w:sz w:val="24"/>
          <w:szCs w:val="24"/>
        </w:rPr>
        <w:t>‘</w:t>
      </w:r>
      <w:r w:rsidR="0000361A">
        <w:rPr>
          <w:rFonts w:ascii="Arial" w:hAnsi="Arial" w:cs="Arial"/>
          <w:sz w:val="24"/>
          <w:szCs w:val="24"/>
        </w:rPr>
        <w:t>PG4</w:t>
      </w:r>
      <w:r w:rsidR="00D17716">
        <w:rPr>
          <w:rFonts w:ascii="Arial" w:hAnsi="Arial" w:cs="Arial"/>
          <w:sz w:val="24"/>
          <w:szCs w:val="24"/>
        </w:rPr>
        <w:t>’</w:t>
      </w:r>
      <w:r w:rsidR="0002471F">
        <w:rPr>
          <w:rFonts w:ascii="Arial" w:hAnsi="Arial" w:cs="Arial"/>
          <w:sz w:val="24"/>
          <w:szCs w:val="24"/>
        </w:rPr>
        <w:t xml:space="preserve"> to the founding affidavit is a </w:t>
      </w:r>
      <w:r w:rsidR="00463ED9">
        <w:rPr>
          <w:rFonts w:ascii="Arial" w:hAnsi="Arial" w:cs="Arial"/>
          <w:sz w:val="24"/>
          <w:szCs w:val="24"/>
        </w:rPr>
        <w:t xml:space="preserve">valid </w:t>
      </w:r>
      <w:r w:rsidR="0000361A">
        <w:rPr>
          <w:rFonts w:ascii="Arial" w:hAnsi="Arial" w:cs="Arial"/>
          <w:sz w:val="24"/>
          <w:szCs w:val="24"/>
        </w:rPr>
        <w:t xml:space="preserve">settlement agreement between applicant and </w:t>
      </w:r>
      <w:r w:rsidR="00D17716">
        <w:rPr>
          <w:rFonts w:ascii="Arial" w:hAnsi="Arial" w:cs="Arial"/>
          <w:sz w:val="24"/>
          <w:szCs w:val="24"/>
        </w:rPr>
        <w:t xml:space="preserve">the first </w:t>
      </w:r>
      <w:r w:rsidR="0000361A">
        <w:rPr>
          <w:rFonts w:ascii="Arial" w:hAnsi="Arial" w:cs="Arial"/>
          <w:sz w:val="24"/>
          <w:szCs w:val="24"/>
        </w:rPr>
        <w:t>r</w:t>
      </w:r>
      <w:r w:rsidR="00463ED9">
        <w:rPr>
          <w:rFonts w:ascii="Arial" w:hAnsi="Arial" w:cs="Arial"/>
          <w:sz w:val="24"/>
          <w:szCs w:val="24"/>
        </w:rPr>
        <w:t>espondent. I</w:t>
      </w:r>
      <w:r w:rsidR="009173F5">
        <w:rPr>
          <w:rFonts w:ascii="Arial" w:hAnsi="Arial" w:cs="Arial"/>
          <w:sz w:val="24"/>
          <w:szCs w:val="24"/>
        </w:rPr>
        <w:t>t is a competent outflow of</w:t>
      </w:r>
      <w:r w:rsidR="0000361A">
        <w:rPr>
          <w:rFonts w:ascii="Arial" w:hAnsi="Arial" w:cs="Arial"/>
          <w:sz w:val="24"/>
          <w:szCs w:val="24"/>
        </w:rPr>
        <w:t xml:space="preserve"> conciliation proceedings. </w:t>
      </w:r>
      <w:r w:rsidR="00463ED9">
        <w:rPr>
          <w:rFonts w:ascii="Arial" w:hAnsi="Arial" w:cs="Arial"/>
          <w:sz w:val="24"/>
          <w:szCs w:val="24"/>
        </w:rPr>
        <w:t>There is n</w:t>
      </w:r>
      <w:r w:rsidR="0002471F">
        <w:rPr>
          <w:rFonts w:ascii="Arial" w:hAnsi="Arial" w:cs="Arial"/>
          <w:sz w:val="24"/>
          <w:szCs w:val="24"/>
        </w:rPr>
        <w:t xml:space="preserve">o </w:t>
      </w:r>
      <w:r w:rsidR="00C035E5">
        <w:rPr>
          <w:rFonts w:ascii="Arial" w:hAnsi="Arial" w:cs="Arial"/>
          <w:sz w:val="24"/>
          <w:szCs w:val="24"/>
        </w:rPr>
        <w:t xml:space="preserve">evidence before this court proving </w:t>
      </w:r>
      <w:r w:rsidR="00463ED9">
        <w:rPr>
          <w:rFonts w:ascii="Arial" w:hAnsi="Arial" w:cs="Arial"/>
          <w:sz w:val="24"/>
          <w:szCs w:val="24"/>
        </w:rPr>
        <w:t xml:space="preserve">invalidity or </w:t>
      </w:r>
      <w:proofErr w:type="spellStart"/>
      <w:r w:rsidR="00463ED9">
        <w:rPr>
          <w:rFonts w:ascii="Arial" w:hAnsi="Arial" w:cs="Arial"/>
          <w:sz w:val="24"/>
          <w:szCs w:val="24"/>
        </w:rPr>
        <w:t>voidability</w:t>
      </w:r>
      <w:proofErr w:type="spellEnd"/>
      <w:r w:rsidR="00463ED9">
        <w:rPr>
          <w:rFonts w:ascii="Arial" w:hAnsi="Arial" w:cs="Arial"/>
          <w:sz w:val="24"/>
          <w:szCs w:val="24"/>
        </w:rPr>
        <w:t>.</w:t>
      </w:r>
    </w:p>
    <w:p w:rsidR="0002471F" w:rsidRDefault="0002471F" w:rsidP="00425F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56D4" w:rsidRDefault="004956D4" w:rsidP="00425F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471F" w:rsidRDefault="0002471F" w:rsidP="00425F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C37A72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="001E7F93">
        <w:rPr>
          <w:rFonts w:ascii="Arial" w:hAnsi="Arial" w:cs="Arial"/>
          <w:sz w:val="24"/>
          <w:szCs w:val="24"/>
        </w:rPr>
        <w:t xml:space="preserve">Based on the above reasoning, I make the following order: </w:t>
      </w:r>
    </w:p>
    <w:p w:rsidR="00D17716" w:rsidRDefault="00D17716" w:rsidP="00425F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03264" w:rsidRDefault="00503264" w:rsidP="00425FA3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ab/>
        <w:t xml:space="preserve">The settlement agreement between applicant and </w:t>
      </w:r>
      <w:r w:rsidR="00D17716">
        <w:rPr>
          <w:rFonts w:ascii="Arial" w:hAnsi="Arial" w:cs="Arial"/>
          <w:sz w:val="24"/>
          <w:szCs w:val="24"/>
        </w:rPr>
        <w:t xml:space="preserve">the first </w:t>
      </w:r>
      <w:r>
        <w:rPr>
          <w:rFonts w:ascii="Arial" w:hAnsi="Arial" w:cs="Arial"/>
          <w:sz w:val="24"/>
          <w:szCs w:val="24"/>
        </w:rPr>
        <w:t>respondent dated 2 July 201</w:t>
      </w:r>
      <w:r w:rsidR="00F34DD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is valid and enforceable.</w:t>
      </w:r>
    </w:p>
    <w:p w:rsidR="00F34DDF" w:rsidRDefault="00F34DDF" w:rsidP="00425FA3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503264" w:rsidRDefault="00503264" w:rsidP="00425F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The settlement agreement is made an order of court.</w:t>
      </w:r>
    </w:p>
    <w:p w:rsidR="00D17716" w:rsidRDefault="00D17716" w:rsidP="00425F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03264" w:rsidRPr="0000361A" w:rsidRDefault="00503264" w:rsidP="00425F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There is no order as to costs.</w:t>
      </w:r>
    </w:p>
    <w:p w:rsidR="007A3749" w:rsidRDefault="007A3749">
      <w:pPr>
        <w:rPr>
          <w:rFonts w:ascii="Arial" w:hAnsi="Arial" w:cs="Arial"/>
          <w:sz w:val="24"/>
          <w:szCs w:val="24"/>
        </w:rPr>
      </w:pPr>
    </w:p>
    <w:p w:rsidR="00425FA3" w:rsidRDefault="00425FA3">
      <w:pPr>
        <w:rPr>
          <w:rFonts w:ascii="Arial" w:hAnsi="Arial" w:cs="Arial"/>
          <w:b/>
          <w:sz w:val="24"/>
          <w:szCs w:val="24"/>
        </w:rPr>
      </w:pPr>
    </w:p>
    <w:p w:rsidR="007A3749" w:rsidRDefault="007A3749" w:rsidP="007A3749">
      <w:pPr>
        <w:pStyle w:val="NoSpacing"/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A3749" w:rsidRPr="00457379" w:rsidRDefault="007A3749" w:rsidP="007A3749">
      <w:pPr>
        <w:spacing w:after="0" w:line="360" w:lineRule="auto"/>
        <w:ind w:left="5761"/>
        <w:jc w:val="right"/>
        <w:rPr>
          <w:rFonts w:ascii="Arial" w:hAnsi="Arial" w:cs="Arial"/>
          <w:sz w:val="24"/>
          <w:szCs w:val="24"/>
        </w:rPr>
      </w:pPr>
      <w:r w:rsidRPr="00457379">
        <w:rPr>
          <w:rFonts w:ascii="Arial" w:hAnsi="Arial" w:cs="Arial"/>
          <w:sz w:val="24"/>
          <w:szCs w:val="24"/>
        </w:rPr>
        <w:t>---------------------------------------------</w:t>
      </w:r>
    </w:p>
    <w:p w:rsidR="007A3749" w:rsidRPr="00457379" w:rsidRDefault="007A3749" w:rsidP="007A3749">
      <w:pPr>
        <w:spacing w:after="0" w:line="360" w:lineRule="auto"/>
        <w:ind w:left="5761"/>
        <w:rPr>
          <w:rFonts w:ascii="Arial" w:hAnsi="Arial" w:cs="Arial"/>
          <w:sz w:val="24"/>
          <w:szCs w:val="24"/>
        </w:rPr>
      </w:pPr>
      <w:r w:rsidRPr="00457379">
        <w:rPr>
          <w:rFonts w:ascii="Arial" w:hAnsi="Arial" w:cs="Arial"/>
          <w:sz w:val="24"/>
          <w:szCs w:val="24"/>
        </w:rPr>
        <w:t xml:space="preserve"> L VAN WYK</w:t>
      </w:r>
    </w:p>
    <w:p w:rsidR="007A3749" w:rsidRPr="00457379" w:rsidRDefault="007A3749" w:rsidP="007A3749">
      <w:pPr>
        <w:spacing w:after="0" w:line="360" w:lineRule="auto"/>
        <w:ind w:left="5040" w:firstLine="720"/>
        <w:jc w:val="both"/>
        <w:rPr>
          <w:rFonts w:ascii="Arial" w:hAnsi="Arial" w:cs="Arial"/>
          <w:sz w:val="24"/>
          <w:szCs w:val="24"/>
        </w:rPr>
      </w:pPr>
      <w:r w:rsidRPr="00457379">
        <w:rPr>
          <w:rFonts w:ascii="Arial" w:hAnsi="Arial" w:cs="Arial"/>
          <w:sz w:val="24"/>
          <w:szCs w:val="24"/>
        </w:rPr>
        <w:t xml:space="preserve"> A</w:t>
      </w:r>
      <w:r w:rsidR="00011883">
        <w:rPr>
          <w:rFonts w:ascii="Arial" w:hAnsi="Arial" w:cs="Arial"/>
          <w:sz w:val="24"/>
          <w:szCs w:val="24"/>
        </w:rPr>
        <w:t>cting</w:t>
      </w:r>
      <w:r w:rsidRPr="00457379">
        <w:rPr>
          <w:rFonts w:ascii="Arial" w:hAnsi="Arial" w:cs="Arial"/>
          <w:sz w:val="24"/>
          <w:szCs w:val="24"/>
        </w:rPr>
        <w:t xml:space="preserve"> J</w:t>
      </w:r>
      <w:r w:rsidR="00011883">
        <w:rPr>
          <w:rFonts w:ascii="Arial" w:hAnsi="Arial" w:cs="Arial"/>
          <w:sz w:val="24"/>
          <w:szCs w:val="24"/>
        </w:rPr>
        <w:t>udge</w:t>
      </w:r>
    </w:p>
    <w:p w:rsidR="007A3749" w:rsidRDefault="007A3749" w:rsidP="007A3749">
      <w:pPr>
        <w:spacing w:after="0" w:line="360" w:lineRule="auto"/>
        <w:ind w:left="5040" w:firstLine="720"/>
        <w:jc w:val="both"/>
        <w:rPr>
          <w:rFonts w:ascii="Arial" w:hAnsi="Arial" w:cs="Arial"/>
          <w:sz w:val="24"/>
          <w:szCs w:val="24"/>
        </w:rPr>
      </w:pPr>
    </w:p>
    <w:p w:rsidR="007A3749" w:rsidRPr="00955EB3" w:rsidRDefault="007A3749" w:rsidP="007A3749">
      <w:pPr>
        <w:spacing w:after="0" w:line="360" w:lineRule="auto"/>
        <w:ind w:left="5040" w:firstLine="720"/>
        <w:jc w:val="both"/>
        <w:rPr>
          <w:rFonts w:ascii="Arial" w:hAnsi="Arial" w:cs="Arial"/>
          <w:sz w:val="24"/>
          <w:szCs w:val="24"/>
        </w:rPr>
      </w:pPr>
    </w:p>
    <w:p w:rsidR="00FC5006" w:rsidRDefault="00FC5006" w:rsidP="007A3749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FC5006" w:rsidRDefault="00FC5006" w:rsidP="007A3749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FC5006" w:rsidRDefault="00FC5006" w:rsidP="007A3749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FC5006" w:rsidRDefault="00FC5006" w:rsidP="007A3749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FC5006" w:rsidRDefault="00FC5006" w:rsidP="007A3749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FC5006" w:rsidRDefault="00FC5006" w:rsidP="007A3749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FC5006" w:rsidRDefault="00FC5006" w:rsidP="007A3749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FC5006" w:rsidRDefault="00FC5006" w:rsidP="007A3749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FC5006" w:rsidRDefault="00FC5006" w:rsidP="007A3749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4956D4" w:rsidRDefault="004956D4" w:rsidP="00FC50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56D4" w:rsidRDefault="004956D4" w:rsidP="00FC50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56D4" w:rsidRDefault="004956D4" w:rsidP="00FC50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56D4" w:rsidRDefault="004956D4" w:rsidP="00FC50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56D4" w:rsidRDefault="004956D4" w:rsidP="00FC50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56D4" w:rsidRDefault="004956D4" w:rsidP="00FC50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3749" w:rsidRPr="00457379" w:rsidRDefault="007A3749" w:rsidP="00FC50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57379">
        <w:rPr>
          <w:rFonts w:ascii="Arial" w:hAnsi="Arial" w:cs="Arial"/>
          <w:sz w:val="24"/>
          <w:szCs w:val="24"/>
        </w:rPr>
        <w:t>APPEARANCES</w:t>
      </w:r>
    </w:p>
    <w:p w:rsidR="007A3749" w:rsidRPr="00457379" w:rsidRDefault="007A3749" w:rsidP="00FC50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11883" w:rsidRDefault="007A3749" w:rsidP="00FC50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57379">
        <w:rPr>
          <w:rFonts w:ascii="Arial" w:hAnsi="Arial" w:cs="Arial"/>
          <w:sz w:val="24"/>
          <w:szCs w:val="24"/>
        </w:rPr>
        <w:t>APPLICANT:</w:t>
      </w:r>
      <w:r w:rsidRPr="00457379">
        <w:rPr>
          <w:rFonts w:ascii="Arial" w:hAnsi="Arial" w:cs="Arial"/>
          <w:sz w:val="24"/>
          <w:szCs w:val="24"/>
        </w:rPr>
        <w:tab/>
      </w:r>
      <w:r w:rsidR="00011883" w:rsidRPr="00457379">
        <w:rPr>
          <w:rFonts w:ascii="Arial" w:hAnsi="Arial" w:cs="Arial"/>
          <w:sz w:val="24"/>
          <w:szCs w:val="24"/>
        </w:rPr>
        <w:tab/>
      </w:r>
      <w:r w:rsidR="00011883">
        <w:rPr>
          <w:rFonts w:ascii="Arial" w:hAnsi="Arial" w:cs="Arial"/>
          <w:sz w:val="24"/>
          <w:szCs w:val="24"/>
        </w:rPr>
        <w:tab/>
      </w:r>
      <w:r w:rsidR="00FC5006">
        <w:rPr>
          <w:rFonts w:ascii="Arial" w:hAnsi="Arial" w:cs="Arial"/>
          <w:sz w:val="24"/>
          <w:szCs w:val="24"/>
        </w:rPr>
        <w:tab/>
      </w:r>
      <w:r w:rsidR="00011883">
        <w:rPr>
          <w:rFonts w:ascii="Arial" w:hAnsi="Arial" w:cs="Arial"/>
          <w:sz w:val="24"/>
          <w:szCs w:val="24"/>
        </w:rPr>
        <w:t>PJ De Beer</w:t>
      </w:r>
    </w:p>
    <w:p w:rsidR="007A3749" w:rsidRPr="00457379" w:rsidRDefault="00BA2880" w:rsidP="00FC5006">
      <w:pPr>
        <w:spacing w:after="0" w:line="360" w:lineRule="auto"/>
        <w:ind w:left="2880" w:firstLine="720"/>
        <w:jc w:val="both"/>
        <w:rPr>
          <w:rFonts w:ascii="Arial" w:hAnsi="Arial" w:cs="Arial"/>
          <w:sz w:val="24"/>
          <w:szCs w:val="24"/>
        </w:rPr>
      </w:pPr>
      <w:r w:rsidRPr="00457379">
        <w:rPr>
          <w:rFonts w:ascii="Arial" w:hAnsi="Arial" w:cs="Arial"/>
          <w:sz w:val="24"/>
          <w:szCs w:val="24"/>
        </w:rPr>
        <w:t>DE BEER LAW CHAMBERS</w:t>
      </w:r>
      <w:r w:rsidR="007A3749" w:rsidRPr="00457379">
        <w:rPr>
          <w:rFonts w:ascii="Arial" w:hAnsi="Arial" w:cs="Arial"/>
          <w:sz w:val="24"/>
          <w:szCs w:val="24"/>
        </w:rPr>
        <w:tab/>
        <w:t xml:space="preserve"> </w:t>
      </w:r>
    </w:p>
    <w:p w:rsidR="007A3749" w:rsidRPr="00457379" w:rsidRDefault="007A3749" w:rsidP="00FC50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11883" w:rsidRDefault="00BA2880" w:rsidP="00FC50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57379">
        <w:rPr>
          <w:rFonts w:ascii="Arial" w:hAnsi="Arial" w:cs="Arial"/>
          <w:sz w:val="24"/>
          <w:szCs w:val="24"/>
        </w:rPr>
        <w:t xml:space="preserve"> </w:t>
      </w:r>
      <w:r w:rsidR="00011883">
        <w:rPr>
          <w:rFonts w:ascii="Arial" w:hAnsi="Arial" w:cs="Arial"/>
          <w:sz w:val="24"/>
          <w:szCs w:val="24"/>
        </w:rPr>
        <w:t xml:space="preserve">FIRST </w:t>
      </w:r>
      <w:r w:rsidR="007A3749" w:rsidRPr="00457379">
        <w:rPr>
          <w:rFonts w:ascii="Arial" w:hAnsi="Arial" w:cs="Arial"/>
          <w:sz w:val="24"/>
          <w:szCs w:val="24"/>
        </w:rPr>
        <w:t>RESPONDENT:</w:t>
      </w:r>
      <w:r w:rsidR="007A3749" w:rsidRPr="00457379">
        <w:rPr>
          <w:rFonts w:ascii="Arial" w:hAnsi="Arial" w:cs="Arial"/>
          <w:sz w:val="24"/>
          <w:szCs w:val="24"/>
        </w:rPr>
        <w:tab/>
      </w:r>
      <w:r w:rsidR="00FC5006">
        <w:rPr>
          <w:rFonts w:ascii="Arial" w:hAnsi="Arial" w:cs="Arial"/>
          <w:sz w:val="24"/>
          <w:szCs w:val="24"/>
        </w:rPr>
        <w:tab/>
        <w:t xml:space="preserve">PS </w:t>
      </w:r>
      <w:proofErr w:type="spellStart"/>
      <w:r w:rsidR="00FC5006">
        <w:rPr>
          <w:rFonts w:ascii="Arial" w:hAnsi="Arial" w:cs="Arial"/>
          <w:sz w:val="24"/>
          <w:szCs w:val="24"/>
        </w:rPr>
        <w:t>Elago</w:t>
      </w:r>
      <w:proofErr w:type="spellEnd"/>
      <w:r w:rsidRPr="00457379">
        <w:rPr>
          <w:rFonts w:ascii="Arial" w:hAnsi="Arial" w:cs="Arial"/>
          <w:sz w:val="24"/>
          <w:szCs w:val="24"/>
        </w:rPr>
        <w:tab/>
      </w:r>
    </w:p>
    <w:p w:rsidR="00FC5006" w:rsidRDefault="00BA2880" w:rsidP="00FC5006">
      <w:pPr>
        <w:spacing w:after="0" w:line="360" w:lineRule="auto"/>
        <w:ind w:left="3600"/>
        <w:jc w:val="both"/>
        <w:rPr>
          <w:rFonts w:ascii="Arial" w:hAnsi="Arial" w:cs="Arial"/>
          <w:sz w:val="24"/>
          <w:szCs w:val="24"/>
        </w:rPr>
      </w:pPr>
      <w:r w:rsidRPr="00457379">
        <w:rPr>
          <w:rFonts w:ascii="Arial" w:hAnsi="Arial" w:cs="Arial"/>
          <w:sz w:val="24"/>
          <w:szCs w:val="24"/>
        </w:rPr>
        <w:t>TJOMBE ELAGO LAW FIRM INCORPORATED</w:t>
      </w:r>
    </w:p>
    <w:p w:rsidR="00FC5006" w:rsidRDefault="00FC5006" w:rsidP="00FC5006">
      <w:pPr>
        <w:spacing w:after="0" w:line="360" w:lineRule="auto"/>
        <w:ind w:left="3600"/>
        <w:jc w:val="both"/>
        <w:rPr>
          <w:rFonts w:ascii="Arial" w:hAnsi="Arial" w:cs="Arial"/>
          <w:sz w:val="24"/>
          <w:szCs w:val="24"/>
        </w:rPr>
      </w:pPr>
    </w:p>
    <w:p w:rsidR="00FC5006" w:rsidRDefault="00FC5006" w:rsidP="00FC50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 RESPONDENT: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appearance</w:t>
      </w:r>
    </w:p>
    <w:p w:rsidR="00FC5006" w:rsidRDefault="00FC5006" w:rsidP="00FC50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5006" w:rsidRDefault="00FC5006" w:rsidP="00FC50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3749" w:rsidRPr="00A12183" w:rsidRDefault="007A3749" w:rsidP="00FC500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12183">
        <w:rPr>
          <w:rFonts w:ascii="Arial" w:hAnsi="Arial" w:cs="Arial"/>
          <w:b/>
          <w:sz w:val="24"/>
          <w:szCs w:val="24"/>
        </w:rPr>
        <w:tab/>
      </w:r>
      <w:r w:rsidRPr="00A12183">
        <w:rPr>
          <w:rFonts w:ascii="Arial" w:hAnsi="Arial" w:cs="Arial"/>
          <w:b/>
          <w:sz w:val="24"/>
          <w:szCs w:val="24"/>
        </w:rPr>
        <w:tab/>
      </w:r>
    </w:p>
    <w:p w:rsidR="007A3749" w:rsidRDefault="007A3749">
      <w:pPr>
        <w:rPr>
          <w:rFonts w:ascii="Arial" w:hAnsi="Arial" w:cs="Arial"/>
          <w:b/>
          <w:sz w:val="24"/>
          <w:szCs w:val="24"/>
        </w:rPr>
      </w:pPr>
    </w:p>
    <w:p w:rsidR="007A3749" w:rsidRDefault="007A3749">
      <w:pPr>
        <w:rPr>
          <w:rFonts w:ascii="Arial" w:hAnsi="Arial" w:cs="Arial"/>
          <w:b/>
          <w:sz w:val="24"/>
          <w:szCs w:val="24"/>
        </w:rPr>
      </w:pPr>
    </w:p>
    <w:p w:rsidR="007A3749" w:rsidRPr="004568D3" w:rsidRDefault="007A3749">
      <w:pPr>
        <w:rPr>
          <w:rFonts w:ascii="Arial" w:hAnsi="Arial" w:cs="Arial"/>
          <w:b/>
          <w:sz w:val="24"/>
          <w:szCs w:val="24"/>
        </w:rPr>
      </w:pPr>
    </w:p>
    <w:sectPr w:rsidR="007A3749" w:rsidRPr="004568D3" w:rsidSect="006F0338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E2E" w:rsidRDefault="00642E2E" w:rsidP="00820498">
      <w:pPr>
        <w:spacing w:after="0" w:line="240" w:lineRule="auto"/>
      </w:pPr>
      <w:r>
        <w:separator/>
      </w:r>
    </w:p>
  </w:endnote>
  <w:endnote w:type="continuationSeparator" w:id="0">
    <w:p w:rsidR="00642E2E" w:rsidRDefault="00642E2E" w:rsidP="00820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E2E" w:rsidRDefault="00642E2E" w:rsidP="00820498">
      <w:pPr>
        <w:spacing w:after="0" w:line="240" w:lineRule="auto"/>
      </w:pPr>
      <w:r>
        <w:separator/>
      </w:r>
    </w:p>
  </w:footnote>
  <w:footnote w:type="continuationSeparator" w:id="0">
    <w:p w:rsidR="00642E2E" w:rsidRDefault="00642E2E" w:rsidP="00820498">
      <w:pPr>
        <w:spacing w:after="0" w:line="240" w:lineRule="auto"/>
      </w:pPr>
      <w:r>
        <w:continuationSeparator/>
      </w:r>
    </w:p>
  </w:footnote>
  <w:footnote w:id="1">
    <w:p w:rsidR="009D27B0" w:rsidRPr="00457379" w:rsidRDefault="009D27B0">
      <w:pPr>
        <w:pStyle w:val="FootnoteText"/>
        <w:rPr>
          <w:rFonts w:ascii="Arial" w:hAnsi="Arial" w:cs="Arial"/>
        </w:rPr>
      </w:pPr>
      <w:r w:rsidRPr="00457379">
        <w:rPr>
          <w:rStyle w:val="FootnoteReference"/>
          <w:rFonts w:ascii="Arial" w:hAnsi="Arial" w:cs="Arial"/>
        </w:rPr>
        <w:footnoteRef/>
      </w:r>
      <w:r w:rsidRPr="00457379">
        <w:rPr>
          <w:rFonts w:ascii="Arial" w:hAnsi="Arial" w:cs="Arial"/>
        </w:rPr>
        <w:t xml:space="preserve"> </w:t>
      </w:r>
      <w:r w:rsidRPr="00457379">
        <w:rPr>
          <w:rFonts w:ascii="Arial" w:hAnsi="Arial" w:cs="Arial"/>
        </w:rPr>
        <w:tab/>
        <w:t>Labour Act 11 of 2007</w:t>
      </w:r>
    </w:p>
  </w:footnote>
  <w:footnote w:id="2">
    <w:p w:rsidR="00BF3EA9" w:rsidRPr="00C32282" w:rsidRDefault="00BF3EA9" w:rsidP="00457379">
      <w:pPr>
        <w:pStyle w:val="FootnoteText"/>
        <w:ind w:left="720" w:hanging="720"/>
        <w:jc w:val="both"/>
        <w:rPr>
          <w:rFonts w:ascii="Arial" w:hAnsi="Arial" w:cs="Arial"/>
        </w:rPr>
      </w:pPr>
      <w:r w:rsidRPr="00457379">
        <w:rPr>
          <w:rStyle w:val="FootnoteReference"/>
          <w:rFonts w:ascii="Arial" w:hAnsi="Arial" w:cs="Arial"/>
        </w:rPr>
        <w:footnoteRef/>
      </w:r>
      <w:r w:rsidRPr="00457379">
        <w:rPr>
          <w:rFonts w:ascii="Arial" w:hAnsi="Arial" w:cs="Arial"/>
        </w:rPr>
        <w:t xml:space="preserve"> </w:t>
      </w:r>
      <w:r w:rsidRPr="00457379">
        <w:rPr>
          <w:rFonts w:ascii="Arial" w:hAnsi="Arial" w:cs="Arial"/>
        </w:rPr>
        <w:tab/>
      </w:r>
      <w:r w:rsidRPr="00011883">
        <w:rPr>
          <w:rFonts w:ascii="Arial" w:hAnsi="Arial" w:cs="Arial"/>
          <w:i/>
        </w:rPr>
        <w:t xml:space="preserve">South African Poultry Association v The Ministry of Trade and Industry </w:t>
      </w:r>
      <w:r w:rsidRPr="00C32282">
        <w:rPr>
          <w:rFonts w:ascii="Arial" w:hAnsi="Arial" w:cs="Arial"/>
        </w:rPr>
        <w:t>(A 94/2014) [2014] NAHCMD 331 (07 November 2014) Para 38</w:t>
      </w:r>
    </w:p>
  </w:footnote>
  <w:footnote w:id="3">
    <w:p w:rsidR="00BF3EA9" w:rsidRPr="00011883" w:rsidRDefault="00BF3EA9" w:rsidP="00457379">
      <w:pPr>
        <w:pStyle w:val="FootnoteText"/>
        <w:ind w:left="720" w:hanging="720"/>
        <w:jc w:val="both"/>
        <w:rPr>
          <w:rFonts w:ascii="Arial" w:hAnsi="Arial" w:cs="Arial"/>
        </w:rPr>
      </w:pPr>
      <w:r w:rsidRPr="00011883">
        <w:rPr>
          <w:rStyle w:val="FootnoteReference"/>
          <w:rFonts w:ascii="Arial" w:hAnsi="Arial" w:cs="Arial"/>
        </w:rPr>
        <w:footnoteRef/>
      </w:r>
      <w:r w:rsidRPr="00011883">
        <w:rPr>
          <w:rFonts w:ascii="Arial" w:hAnsi="Arial" w:cs="Arial"/>
        </w:rPr>
        <w:t xml:space="preserve"> </w:t>
      </w:r>
      <w:r w:rsidRPr="00011883">
        <w:rPr>
          <w:rFonts w:ascii="Arial" w:hAnsi="Arial" w:cs="Arial"/>
        </w:rPr>
        <w:tab/>
      </w:r>
      <w:proofErr w:type="spellStart"/>
      <w:r w:rsidRPr="00011883">
        <w:rPr>
          <w:rFonts w:ascii="Arial" w:hAnsi="Arial" w:cs="Arial"/>
          <w:i/>
        </w:rPr>
        <w:t>Kleynhaans</w:t>
      </w:r>
      <w:proofErr w:type="spellEnd"/>
      <w:r w:rsidRPr="00011883">
        <w:rPr>
          <w:rFonts w:ascii="Arial" w:hAnsi="Arial" w:cs="Arial"/>
          <w:i/>
        </w:rPr>
        <w:t xml:space="preserve"> v van der </w:t>
      </w:r>
      <w:proofErr w:type="spellStart"/>
      <w:r w:rsidRPr="00011883">
        <w:rPr>
          <w:rFonts w:ascii="Arial" w:hAnsi="Arial" w:cs="Arial"/>
          <w:i/>
        </w:rPr>
        <w:t>Westhuizen</w:t>
      </w:r>
      <w:proofErr w:type="spellEnd"/>
      <w:r w:rsidRPr="00011883">
        <w:rPr>
          <w:rFonts w:ascii="Arial" w:hAnsi="Arial" w:cs="Arial"/>
          <w:i/>
        </w:rPr>
        <w:t xml:space="preserve"> </w:t>
      </w:r>
      <w:r w:rsidRPr="00011883">
        <w:rPr>
          <w:rFonts w:ascii="Arial" w:hAnsi="Arial" w:cs="Arial"/>
        </w:rPr>
        <w:t>NO 1970 (1) SA 565 (O) at 568E) (</w:t>
      </w:r>
      <w:r w:rsidRPr="00011883">
        <w:rPr>
          <w:rFonts w:ascii="Arial" w:hAnsi="Arial" w:cs="Arial"/>
          <w:i/>
        </w:rPr>
        <w:t>Director of Hospital Services v Mistry</w:t>
      </w:r>
      <w:r w:rsidRPr="00011883">
        <w:rPr>
          <w:rFonts w:ascii="Arial" w:hAnsi="Arial" w:cs="Arial"/>
        </w:rPr>
        <w:t xml:space="preserve"> 1979 (1) SA 626 (A) at 645H)</w:t>
      </w:r>
    </w:p>
  </w:footnote>
  <w:footnote w:id="4">
    <w:p w:rsidR="009A1FA2" w:rsidRPr="00011883" w:rsidRDefault="009A1FA2" w:rsidP="00457379">
      <w:pPr>
        <w:pStyle w:val="FootnoteText"/>
        <w:jc w:val="both"/>
        <w:rPr>
          <w:rFonts w:ascii="Arial" w:hAnsi="Arial" w:cs="Arial"/>
          <w:i/>
        </w:rPr>
      </w:pPr>
      <w:r w:rsidRPr="00457379">
        <w:rPr>
          <w:rStyle w:val="FootnoteReference"/>
          <w:rFonts w:ascii="Arial" w:hAnsi="Arial" w:cs="Arial"/>
        </w:rPr>
        <w:footnoteRef/>
      </w:r>
      <w:r w:rsidRPr="00457379">
        <w:rPr>
          <w:rFonts w:ascii="Arial" w:hAnsi="Arial" w:cs="Arial"/>
        </w:rPr>
        <w:t xml:space="preserve"> </w:t>
      </w:r>
      <w:r w:rsidRPr="00457379">
        <w:rPr>
          <w:rFonts w:ascii="Arial" w:hAnsi="Arial" w:cs="Arial"/>
        </w:rPr>
        <w:tab/>
      </w:r>
      <w:proofErr w:type="spellStart"/>
      <w:r w:rsidRPr="00011883">
        <w:rPr>
          <w:rFonts w:ascii="Arial" w:hAnsi="Arial" w:cs="Arial"/>
          <w:i/>
        </w:rPr>
        <w:t>Kleynhaans</w:t>
      </w:r>
      <w:proofErr w:type="spellEnd"/>
      <w:r w:rsidRPr="00011883">
        <w:rPr>
          <w:rFonts w:ascii="Arial" w:hAnsi="Arial" w:cs="Arial"/>
          <w:i/>
        </w:rPr>
        <w:t xml:space="preserve"> supra</w:t>
      </w:r>
    </w:p>
  </w:footnote>
  <w:footnote w:id="5">
    <w:p w:rsidR="00F23BEB" w:rsidRPr="00457379" w:rsidRDefault="00F23BEB" w:rsidP="00457379">
      <w:pPr>
        <w:pStyle w:val="FootnoteText"/>
        <w:jc w:val="both"/>
        <w:rPr>
          <w:rFonts w:ascii="Arial" w:hAnsi="Arial" w:cs="Arial"/>
        </w:rPr>
      </w:pPr>
      <w:r w:rsidRPr="00457379">
        <w:rPr>
          <w:rStyle w:val="FootnoteReference"/>
          <w:rFonts w:ascii="Arial" w:hAnsi="Arial" w:cs="Arial"/>
        </w:rPr>
        <w:footnoteRef/>
      </w:r>
      <w:r w:rsidRPr="00457379">
        <w:rPr>
          <w:rFonts w:ascii="Arial" w:hAnsi="Arial" w:cs="Arial"/>
        </w:rPr>
        <w:t xml:space="preserve"> </w:t>
      </w:r>
      <w:r w:rsidRPr="00457379">
        <w:rPr>
          <w:rFonts w:ascii="Arial" w:hAnsi="Arial" w:cs="Arial"/>
        </w:rPr>
        <w:tab/>
        <w:t>Case number: LC 114/14</w:t>
      </w:r>
    </w:p>
  </w:footnote>
  <w:footnote w:id="6">
    <w:p w:rsidR="004871BF" w:rsidRPr="004871BF" w:rsidRDefault="004871BF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4871BF">
        <w:rPr>
          <w:rFonts w:ascii="Arial" w:hAnsi="Arial" w:cs="Arial"/>
        </w:rPr>
        <w:t>Page 4 of bundle of court orders and joint case managemen</w:t>
      </w:r>
      <w:r>
        <w:rPr>
          <w:rFonts w:ascii="Arial" w:hAnsi="Arial" w:cs="Arial"/>
        </w:rPr>
        <w:t>t orders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47730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011883" w:rsidRDefault="0001188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4D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1883" w:rsidRDefault="000118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432D4"/>
    <w:multiLevelType w:val="hybridMultilevel"/>
    <w:tmpl w:val="3B4A18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555"/>
    <w:rsid w:val="00002BAC"/>
    <w:rsid w:val="0000361A"/>
    <w:rsid w:val="00011883"/>
    <w:rsid w:val="000172CC"/>
    <w:rsid w:val="0002471F"/>
    <w:rsid w:val="00031EC2"/>
    <w:rsid w:val="00070555"/>
    <w:rsid w:val="00074B79"/>
    <w:rsid w:val="00091D64"/>
    <w:rsid w:val="000B6015"/>
    <w:rsid w:val="000C2291"/>
    <w:rsid w:val="000C6D30"/>
    <w:rsid w:val="000D0F83"/>
    <w:rsid w:val="000E012F"/>
    <w:rsid w:val="000E6772"/>
    <w:rsid w:val="00104FA3"/>
    <w:rsid w:val="00123C17"/>
    <w:rsid w:val="00132EF0"/>
    <w:rsid w:val="00142493"/>
    <w:rsid w:val="001B2FDC"/>
    <w:rsid w:val="001B4C9E"/>
    <w:rsid w:val="001C1543"/>
    <w:rsid w:val="001E31B0"/>
    <w:rsid w:val="001E31C8"/>
    <w:rsid w:val="001E7F93"/>
    <w:rsid w:val="00201DFF"/>
    <w:rsid w:val="002239D8"/>
    <w:rsid w:val="0024697E"/>
    <w:rsid w:val="00257E33"/>
    <w:rsid w:val="002752AF"/>
    <w:rsid w:val="002975E2"/>
    <w:rsid w:val="002D1032"/>
    <w:rsid w:val="002E2A40"/>
    <w:rsid w:val="00314F27"/>
    <w:rsid w:val="003249C1"/>
    <w:rsid w:val="00326D6A"/>
    <w:rsid w:val="00343906"/>
    <w:rsid w:val="00383602"/>
    <w:rsid w:val="0038367C"/>
    <w:rsid w:val="00385C8D"/>
    <w:rsid w:val="003869E5"/>
    <w:rsid w:val="00417E9B"/>
    <w:rsid w:val="004232BD"/>
    <w:rsid w:val="00425FA3"/>
    <w:rsid w:val="00437C65"/>
    <w:rsid w:val="004568D3"/>
    <w:rsid w:val="00457379"/>
    <w:rsid w:val="00463ED9"/>
    <w:rsid w:val="00466EDB"/>
    <w:rsid w:val="00483A44"/>
    <w:rsid w:val="004871BF"/>
    <w:rsid w:val="004956D4"/>
    <w:rsid w:val="004A26F6"/>
    <w:rsid w:val="004F26B9"/>
    <w:rsid w:val="004F6C83"/>
    <w:rsid w:val="00500617"/>
    <w:rsid w:val="00503264"/>
    <w:rsid w:val="00504DF2"/>
    <w:rsid w:val="0053042F"/>
    <w:rsid w:val="005404F5"/>
    <w:rsid w:val="005A1CD9"/>
    <w:rsid w:val="005D72BE"/>
    <w:rsid w:val="005F7058"/>
    <w:rsid w:val="00604840"/>
    <w:rsid w:val="00636725"/>
    <w:rsid w:val="00642E2E"/>
    <w:rsid w:val="006630A5"/>
    <w:rsid w:val="00666AFF"/>
    <w:rsid w:val="00676D82"/>
    <w:rsid w:val="00684317"/>
    <w:rsid w:val="00692D2D"/>
    <w:rsid w:val="006B4DDA"/>
    <w:rsid w:val="006C0FE1"/>
    <w:rsid w:val="006C2A9F"/>
    <w:rsid w:val="006D37A6"/>
    <w:rsid w:val="006E2226"/>
    <w:rsid w:val="006F0338"/>
    <w:rsid w:val="00704967"/>
    <w:rsid w:val="00706236"/>
    <w:rsid w:val="0073461D"/>
    <w:rsid w:val="00741F85"/>
    <w:rsid w:val="00760B71"/>
    <w:rsid w:val="00762F67"/>
    <w:rsid w:val="00765CDB"/>
    <w:rsid w:val="00765D47"/>
    <w:rsid w:val="00766BDB"/>
    <w:rsid w:val="00784276"/>
    <w:rsid w:val="0079263C"/>
    <w:rsid w:val="007A3749"/>
    <w:rsid w:val="007B254A"/>
    <w:rsid w:val="007D33E1"/>
    <w:rsid w:val="007D7C6D"/>
    <w:rsid w:val="007F79C4"/>
    <w:rsid w:val="00807E91"/>
    <w:rsid w:val="00820498"/>
    <w:rsid w:val="00827323"/>
    <w:rsid w:val="008324DE"/>
    <w:rsid w:val="00841F5C"/>
    <w:rsid w:val="008427F1"/>
    <w:rsid w:val="008776D0"/>
    <w:rsid w:val="00877FDD"/>
    <w:rsid w:val="00887F48"/>
    <w:rsid w:val="008F1E3A"/>
    <w:rsid w:val="008F21B4"/>
    <w:rsid w:val="009162B3"/>
    <w:rsid w:val="009173F5"/>
    <w:rsid w:val="009264B3"/>
    <w:rsid w:val="00933C09"/>
    <w:rsid w:val="0094501B"/>
    <w:rsid w:val="009463D3"/>
    <w:rsid w:val="00954265"/>
    <w:rsid w:val="00986317"/>
    <w:rsid w:val="00987CDA"/>
    <w:rsid w:val="009A1136"/>
    <w:rsid w:val="009A1FA2"/>
    <w:rsid w:val="009B0CA6"/>
    <w:rsid w:val="009D27B0"/>
    <w:rsid w:val="009D7ACB"/>
    <w:rsid w:val="009E41EE"/>
    <w:rsid w:val="009F1360"/>
    <w:rsid w:val="00A0127D"/>
    <w:rsid w:val="00A0443F"/>
    <w:rsid w:val="00A1169E"/>
    <w:rsid w:val="00A379B6"/>
    <w:rsid w:val="00A5091D"/>
    <w:rsid w:val="00A509C7"/>
    <w:rsid w:val="00A57C2B"/>
    <w:rsid w:val="00A96947"/>
    <w:rsid w:val="00AC7991"/>
    <w:rsid w:val="00B0271B"/>
    <w:rsid w:val="00B04AC2"/>
    <w:rsid w:val="00B12772"/>
    <w:rsid w:val="00B34877"/>
    <w:rsid w:val="00B42B8B"/>
    <w:rsid w:val="00B44B7B"/>
    <w:rsid w:val="00B64EE2"/>
    <w:rsid w:val="00B73F0F"/>
    <w:rsid w:val="00B91CC2"/>
    <w:rsid w:val="00BA2880"/>
    <w:rsid w:val="00BB34DD"/>
    <w:rsid w:val="00BB7794"/>
    <w:rsid w:val="00BF1E99"/>
    <w:rsid w:val="00BF3EA9"/>
    <w:rsid w:val="00C035E5"/>
    <w:rsid w:val="00C10EA9"/>
    <w:rsid w:val="00C1409E"/>
    <w:rsid w:val="00C27684"/>
    <w:rsid w:val="00C32282"/>
    <w:rsid w:val="00C37A72"/>
    <w:rsid w:val="00C41B71"/>
    <w:rsid w:val="00C73F52"/>
    <w:rsid w:val="00C74869"/>
    <w:rsid w:val="00C82B0C"/>
    <w:rsid w:val="00CA123D"/>
    <w:rsid w:val="00CA13B6"/>
    <w:rsid w:val="00CA5D49"/>
    <w:rsid w:val="00CC1611"/>
    <w:rsid w:val="00CD7F6A"/>
    <w:rsid w:val="00CF51DC"/>
    <w:rsid w:val="00CF6054"/>
    <w:rsid w:val="00D17716"/>
    <w:rsid w:val="00D2475E"/>
    <w:rsid w:val="00D3260B"/>
    <w:rsid w:val="00D424EA"/>
    <w:rsid w:val="00D46BBE"/>
    <w:rsid w:val="00D51F38"/>
    <w:rsid w:val="00D5495C"/>
    <w:rsid w:val="00D57F83"/>
    <w:rsid w:val="00D80AD8"/>
    <w:rsid w:val="00DA6D46"/>
    <w:rsid w:val="00DB513F"/>
    <w:rsid w:val="00DB66BF"/>
    <w:rsid w:val="00DD4AB1"/>
    <w:rsid w:val="00DF68EB"/>
    <w:rsid w:val="00E25A9C"/>
    <w:rsid w:val="00E26966"/>
    <w:rsid w:val="00E85632"/>
    <w:rsid w:val="00E86B46"/>
    <w:rsid w:val="00E95598"/>
    <w:rsid w:val="00E955F0"/>
    <w:rsid w:val="00EA2DDE"/>
    <w:rsid w:val="00EB1A6C"/>
    <w:rsid w:val="00EC35BD"/>
    <w:rsid w:val="00EF0038"/>
    <w:rsid w:val="00EF082B"/>
    <w:rsid w:val="00F23BEB"/>
    <w:rsid w:val="00F259F7"/>
    <w:rsid w:val="00F261CB"/>
    <w:rsid w:val="00F330F8"/>
    <w:rsid w:val="00F34DDF"/>
    <w:rsid w:val="00F366DF"/>
    <w:rsid w:val="00F60583"/>
    <w:rsid w:val="00F60DA0"/>
    <w:rsid w:val="00F67A9F"/>
    <w:rsid w:val="00F7108D"/>
    <w:rsid w:val="00F7375B"/>
    <w:rsid w:val="00F9189B"/>
    <w:rsid w:val="00FB2D75"/>
    <w:rsid w:val="00FC3EBE"/>
    <w:rsid w:val="00FC5006"/>
    <w:rsid w:val="00FC57F2"/>
    <w:rsid w:val="00FF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3749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04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04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049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7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18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18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883"/>
  </w:style>
  <w:style w:type="paragraph" w:styleId="Footer">
    <w:name w:val="footer"/>
    <w:basedOn w:val="Normal"/>
    <w:link w:val="FooterChar"/>
    <w:uiPriority w:val="99"/>
    <w:unhideWhenUsed/>
    <w:rsid w:val="000118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8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3749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04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04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049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7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18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18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883"/>
  </w:style>
  <w:style w:type="paragraph" w:styleId="Footer">
    <w:name w:val="footer"/>
    <w:basedOn w:val="Normal"/>
    <w:link w:val="FooterChar"/>
    <w:uiPriority w:val="99"/>
    <w:unhideWhenUsed/>
    <w:rsid w:val="000118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CF6D66F229EE4D8B714E6AF2A2557D" ma:contentTypeVersion="7" ma:contentTypeDescription="Create a new document." ma:contentTypeScope="" ma:versionID="082ed5d5d7e8de724d1d2f901d13c4b0">
  <xsd:schema xmlns:xsd="http://www.w3.org/2001/XMLSchema" xmlns:xs="http://www.w3.org/2001/XMLSchema" xmlns:p="http://schemas.microsoft.com/office/2006/metadata/properties" xmlns:ns2="17a0f4bd-1162-49ac-b85f-dfe96a90bc01" xmlns:ns3="aec0a7e9-5f5c-4ba9-87b2-85cfc8a38b86" targetNamespace="http://schemas.microsoft.com/office/2006/metadata/properties" ma:root="true" ma:fieldsID="ac30371d6207c949c56949e31d2c72b9" ns2:_="" ns3:_="">
    <xsd:import namespace="17a0f4bd-1162-49ac-b85f-dfe96a90bc01"/>
    <xsd:import namespace="aec0a7e9-5f5c-4ba9-87b2-85cfc8a38b86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0a7e9-5f5c-4ba9-87b2-85cfc8a38b86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udgment_x0020_Date xmlns="17a0f4bd-1162-49ac-b85f-dfe96a90bc01">2016-09-22T18:30:00+00:00</Judgment_x0020_Date>
    <Year xmlns="aec0a7e9-5f5c-4ba9-87b2-85cfc8a38b86">2016</Year>
  </documentManagement>
</p:properties>
</file>

<file path=customXml/itemProps1.xml><?xml version="1.0" encoding="utf-8"?>
<ds:datastoreItem xmlns:ds="http://schemas.openxmlformats.org/officeDocument/2006/customXml" ds:itemID="{8E5ECEDD-48E1-4747-8915-2FFA6F173EB5}"/>
</file>

<file path=customXml/itemProps2.xml><?xml version="1.0" encoding="utf-8"?>
<ds:datastoreItem xmlns:ds="http://schemas.openxmlformats.org/officeDocument/2006/customXml" ds:itemID="{26ADBCB9-3330-4B77-9599-7C30633FDA42}"/>
</file>

<file path=customXml/itemProps3.xml><?xml version="1.0" encoding="utf-8"?>
<ds:datastoreItem xmlns:ds="http://schemas.openxmlformats.org/officeDocument/2006/customXml" ds:itemID="{7463C3B1-D30F-4266-9593-FADEC91F89C4}"/>
</file>

<file path=customXml/itemProps4.xml><?xml version="1.0" encoding="utf-8"?>
<ds:datastoreItem xmlns:ds="http://schemas.openxmlformats.org/officeDocument/2006/customXml" ds:itemID="{3E36F076-14DC-45F4-B64F-01EB3D8D8A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2290</Words>
  <Characters>13055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Leehzel van wyk</dc:creator>
  <cp:lastModifiedBy>User</cp:lastModifiedBy>
  <cp:revision>2</cp:revision>
  <dcterms:created xsi:type="dcterms:W3CDTF">2016-10-10T12:00:00Z</dcterms:created>
  <dcterms:modified xsi:type="dcterms:W3CDTF">2016-10-10T12:00:00Z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0x0101008CCF6D66F229EE4D8B714E6AF2A2557D</vt:lpwstr>
  </property>
</Properties>
</file>