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79" w:rsidRPr="004F085B" w:rsidRDefault="00855A79" w:rsidP="00F07B23">
      <w:pPr>
        <w:spacing w:line="480" w:lineRule="auto"/>
        <w:jc w:val="right"/>
        <w:rPr>
          <w:rFonts w:ascii="Arial" w:hAnsi="Arial" w:cs="Arial"/>
        </w:rPr>
      </w:pPr>
      <w:r w:rsidRPr="004F085B">
        <w:rPr>
          <w:rFonts w:ascii="Arial" w:hAnsi="Arial" w:cs="Arial"/>
        </w:rPr>
        <w:t>NOT REPORTABLE</w:t>
      </w:r>
    </w:p>
    <w:p w:rsidR="00855A79" w:rsidRPr="00D352D7" w:rsidRDefault="00313EA7" w:rsidP="00F07B23">
      <w:pPr>
        <w:spacing w:line="48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874395" cy="13843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38430"/>
                        </a:xfrm>
                        <a:prstGeom prst="rect">
                          <a:avLst/>
                        </a:prstGeom>
                        <a:solidFill>
                          <a:srgbClr val="FFFFFF"/>
                        </a:solidFill>
                        <a:ln w="9525">
                          <a:solidFill>
                            <a:srgbClr val="FFFFFF"/>
                          </a:solidFill>
                          <a:miter lim="800000"/>
                          <a:headEnd/>
                          <a:tailEnd/>
                        </a:ln>
                      </wps:spPr>
                      <wps:txbx>
                        <w:txbxContent>
                          <w:p w:rsidR="002B6A91" w:rsidRPr="001329E3" w:rsidRDefault="002B6A91" w:rsidP="00855A79">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68.8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" strokecolor="white">
                <v:textbox>
                  <w:txbxContent>
                    <w:p w:rsidR="002B6A91" w:rsidRPr="001329E3" w:rsidRDefault="002B6A91" w:rsidP="00855A79">
                      <w:pPr>
                        <w:jc w:val="right"/>
                        <w:rPr>
                          <w:rFonts w:ascii="Calibri" w:hAnsi="Calibri" w:cs="Calibri"/>
                        </w:rPr>
                      </w:pPr>
                    </w:p>
                  </w:txbxContent>
                </v:textbox>
              </v:shape>
            </w:pict>
          </mc:Fallback>
        </mc:AlternateContent>
      </w:r>
      <w:r w:rsidR="00855A79" w:rsidRPr="00D352D7">
        <w:rPr>
          <w:rFonts w:ascii="Arial" w:hAnsi="Arial" w:cs="Arial"/>
          <w:b/>
          <w:sz w:val="24"/>
          <w:szCs w:val="24"/>
        </w:rPr>
        <w:t>REPUBLIC OF NAMIBIA</w:t>
      </w:r>
    </w:p>
    <w:p w:rsidR="00855A79" w:rsidRPr="00D352D7" w:rsidRDefault="00855A79" w:rsidP="00F07B23">
      <w:pPr>
        <w:spacing w:line="480" w:lineRule="auto"/>
        <w:jc w:val="center"/>
        <w:rPr>
          <w:rFonts w:ascii="Arial" w:hAnsi="Arial" w:cs="Arial"/>
          <w:b/>
          <w:sz w:val="24"/>
          <w:szCs w:val="24"/>
        </w:rPr>
      </w:pPr>
      <w:r w:rsidRPr="00D352D7">
        <w:rPr>
          <w:rFonts w:ascii="Arial" w:hAnsi="Arial" w:cs="Arial"/>
          <w:b/>
          <w:noProof/>
          <w:sz w:val="24"/>
          <w:szCs w:val="24"/>
        </w:rPr>
        <w:drawing>
          <wp:inline distT="0" distB="0" distL="0" distR="0">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855A79" w:rsidRPr="00D352D7" w:rsidRDefault="00855A79" w:rsidP="00F07B23">
      <w:pPr>
        <w:spacing w:after="0" w:line="480" w:lineRule="auto"/>
        <w:jc w:val="center"/>
        <w:rPr>
          <w:rFonts w:ascii="Arial" w:hAnsi="Arial" w:cs="Arial"/>
          <w:bCs/>
          <w:sz w:val="24"/>
          <w:szCs w:val="24"/>
        </w:rPr>
      </w:pPr>
      <w:r>
        <w:rPr>
          <w:rFonts w:ascii="Arial" w:hAnsi="Arial" w:cs="Arial"/>
          <w:b/>
          <w:sz w:val="24"/>
          <w:szCs w:val="24"/>
        </w:rPr>
        <w:t>LABOUR</w:t>
      </w:r>
      <w:r w:rsidRPr="00D352D7">
        <w:rPr>
          <w:rFonts w:ascii="Arial" w:hAnsi="Arial" w:cs="Arial"/>
          <w:b/>
          <w:sz w:val="24"/>
          <w:szCs w:val="24"/>
        </w:rPr>
        <w:t xml:space="preserve"> COURT OF NAMIBIA MAIN DIVISION, WINDHOEK</w:t>
      </w:r>
    </w:p>
    <w:p w:rsidR="00855A79" w:rsidRPr="00EB07A8" w:rsidRDefault="00855A79" w:rsidP="00F07B23">
      <w:pPr>
        <w:spacing w:after="0" w:line="480" w:lineRule="auto"/>
        <w:jc w:val="center"/>
        <w:rPr>
          <w:rFonts w:ascii="Arial" w:hAnsi="Arial" w:cs="Arial"/>
          <w:b/>
          <w:sz w:val="24"/>
          <w:szCs w:val="24"/>
        </w:rPr>
      </w:pPr>
      <w:r w:rsidRPr="00D352D7">
        <w:rPr>
          <w:rFonts w:ascii="Arial" w:hAnsi="Arial" w:cs="Arial"/>
          <w:b/>
          <w:sz w:val="24"/>
          <w:szCs w:val="24"/>
        </w:rPr>
        <w:t>JUDGMENT</w:t>
      </w:r>
    </w:p>
    <w:p w:rsidR="00855A79" w:rsidRPr="00D352D7" w:rsidRDefault="00855A79" w:rsidP="00F07B23">
      <w:pPr>
        <w:spacing w:line="480" w:lineRule="auto"/>
        <w:ind w:left="5040" w:firstLine="720"/>
        <w:jc w:val="both"/>
        <w:rPr>
          <w:rFonts w:ascii="Arial" w:hAnsi="Arial" w:cs="Arial"/>
          <w:sz w:val="24"/>
          <w:szCs w:val="24"/>
        </w:rPr>
      </w:pPr>
      <w:r>
        <w:rPr>
          <w:rFonts w:ascii="Arial" w:hAnsi="Arial" w:cs="Arial"/>
          <w:sz w:val="24"/>
          <w:szCs w:val="24"/>
        </w:rPr>
        <w:t xml:space="preserve">               </w:t>
      </w:r>
      <w:r w:rsidR="00A2132D">
        <w:rPr>
          <w:rFonts w:ascii="Arial" w:hAnsi="Arial" w:cs="Arial"/>
          <w:sz w:val="24"/>
          <w:szCs w:val="24"/>
        </w:rPr>
        <w:t>CASE NO.: LC</w:t>
      </w:r>
      <w:r w:rsidR="00517640">
        <w:rPr>
          <w:rFonts w:ascii="Arial" w:hAnsi="Arial" w:cs="Arial"/>
          <w:sz w:val="24"/>
          <w:szCs w:val="24"/>
        </w:rPr>
        <w:t>A</w:t>
      </w:r>
      <w:r w:rsidR="00A2132D">
        <w:rPr>
          <w:rFonts w:ascii="Arial" w:hAnsi="Arial" w:cs="Arial"/>
          <w:sz w:val="24"/>
          <w:szCs w:val="24"/>
        </w:rPr>
        <w:t xml:space="preserve"> 60</w:t>
      </w:r>
      <w:r>
        <w:rPr>
          <w:rFonts w:ascii="Arial" w:hAnsi="Arial" w:cs="Arial"/>
          <w:sz w:val="24"/>
          <w:szCs w:val="24"/>
        </w:rPr>
        <w:t>/15</w:t>
      </w:r>
    </w:p>
    <w:p w:rsidR="001104C9" w:rsidRDefault="00855A79" w:rsidP="001104C9">
      <w:pPr>
        <w:spacing w:line="480" w:lineRule="auto"/>
        <w:jc w:val="both"/>
        <w:rPr>
          <w:rFonts w:ascii="Arial" w:hAnsi="Arial" w:cs="Arial"/>
          <w:sz w:val="24"/>
          <w:szCs w:val="24"/>
        </w:rPr>
      </w:pPr>
      <w:r w:rsidRPr="00D352D7">
        <w:rPr>
          <w:rFonts w:ascii="Arial" w:hAnsi="Arial" w:cs="Arial"/>
          <w:sz w:val="24"/>
          <w:szCs w:val="24"/>
        </w:rPr>
        <w:t>In the matter between:</w:t>
      </w:r>
    </w:p>
    <w:p w:rsidR="004B7D37" w:rsidRPr="001104C9" w:rsidRDefault="00A2132D" w:rsidP="001104C9">
      <w:pPr>
        <w:spacing w:line="480" w:lineRule="auto"/>
        <w:jc w:val="both"/>
        <w:rPr>
          <w:rFonts w:ascii="Arial" w:hAnsi="Arial" w:cs="Arial"/>
          <w:sz w:val="24"/>
          <w:szCs w:val="24"/>
        </w:rPr>
      </w:pPr>
      <w:r>
        <w:rPr>
          <w:rFonts w:ascii="Arial" w:hAnsi="Arial" w:cs="Arial"/>
          <w:b/>
          <w:sz w:val="24"/>
          <w:szCs w:val="24"/>
        </w:rPr>
        <w:t>STANDARD BANK NAMIBIA LIMITED</w:t>
      </w:r>
      <w:r w:rsidR="00855A79" w:rsidRPr="00D352D7">
        <w:rPr>
          <w:rFonts w:ascii="Arial" w:hAnsi="Arial" w:cs="Arial"/>
          <w:b/>
          <w:sz w:val="24"/>
          <w:szCs w:val="24"/>
        </w:rPr>
        <w:t xml:space="preserve">                                  </w:t>
      </w:r>
      <w:r w:rsidR="00095CEF">
        <w:rPr>
          <w:rFonts w:ascii="Arial" w:hAnsi="Arial" w:cs="Arial"/>
          <w:b/>
          <w:sz w:val="24"/>
          <w:szCs w:val="24"/>
        </w:rPr>
        <w:t xml:space="preserve">              </w:t>
      </w:r>
      <w:r>
        <w:rPr>
          <w:rFonts w:ascii="Arial" w:hAnsi="Arial" w:cs="Arial"/>
          <w:b/>
          <w:sz w:val="24"/>
          <w:szCs w:val="24"/>
        </w:rPr>
        <w:t xml:space="preserve"> </w:t>
      </w:r>
      <w:r w:rsidR="00BA5153">
        <w:rPr>
          <w:rFonts w:ascii="Arial" w:hAnsi="Arial" w:cs="Arial"/>
          <w:b/>
          <w:sz w:val="24"/>
          <w:szCs w:val="24"/>
        </w:rPr>
        <w:t xml:space="preserve">    </w:t>
      </w:r>
      <w:r w:rsidR="00A3519A">
        <w:rPr>
          <w:rFonts w:ascii="Arial" w:hAnsi="Arial" w:cs="Arial"/>
          <w:b/>
          <w:sz w:val="24"/>
          <w:szCs w:val="24"/>
        </w:rPr>
        <w:t>APPELLANT</w:t>
      </w:r>
    </w:p>
    <w:p w:rsidR="00855A79" w:rsidRDefault="00855A79" w:rsidP="00F07B23">
      <w:pPr>
        <w:spacing w:line="480" w:lineRule="auto"/>
        <w:jc w:val="both"/>
        <w:rPr>
          <w:rFonts w:ascii="Arial" w:hAnsi="Arial" w:cs="Arial"/>
          <w:sz w:val="24"/>
          <w:szCs w:val="24"/>
        </w:rPr>
      </w:pPr>
      <w:r w:rsidRPr="00D352D7">
        <w:rPr>
          <w:rFonts w:ascii="Arial" w:hAnsi="Arial" w:cs="Arial"/>
          <w:sz w:val="24"/>
          <w:szCs w:val="24"/>
        </w:rPr>
        <w:t>And</w:t>
      </w:r>
    </w:p>
    <w:p w:rsidR="00855A79" w:rsidRPr="00A3519A" w:rsidRDefault="00095CEF" w:rsidP="00F07B23">
      <w:pPr>
        <w:spacing w:line="480" w:lineRule="auto"/>
        <w:jc w:val="both"/>
        <w:rPr>
          <w:rFonts w:ascii="Arial" w:hAnsi="Arial" w:cs="Arial"/>
          <w:b/>
          <w:sz w:val="24"/>
          <w:szCs w:val="24"/>
        </w:rPr>
      </w:pPr>
      <w:proofErr w:type="gramStart"/>
      <w:r>
        <w:rPr>
          <w:rFonts w:ascii="Arial" w:hAnsi="Arial" w:cs="Arial"/>
          <w:b/>
          <w:sz w:val="24"/>
          <w:szCs w:val="24"/>
        </w:rPr>
        <w:t xml:space="preserve">MERVIN </w:t>
      </w:r>
      <w:r w:rsidR="001104C9">
        <w:rPr>
          <w:rFonts w:ascii="Arial" w:hAnsi="Arial" w:cs="Arial"/>
          <w:b/>
          <w:sz w:val="24"/>
          <w:szCs w:val="24"/>
        </w:rPr>
        <w:t>!GASEB</w:t>
      </w:r>
      <w:proofErr w:type="gramEnd"/>
      <w:r w:rsidR="001104C9">
        <w:rPr>
          <w:rFonts w:ascii="Arial" w:hAnsi="Arial" w:cs="Arial"/>
          <w:b/>
          <w:sz w:val="24"/>
          <w:szCs w:val="24"/>
        </w:rPr>
        <w:tab/>
      </w:r>
      <w:r w:rsidR="001104C9">
        <w:rPr>
          <w:rFonts w:ascii="Arial" w:hAnsi="Arial" w:cs="Arial"/>
          <w:b/>
          <w:sz w:val="24"/>
          <w:szCs w:val="24"/>
        </w:rPr>
        <w:tab/>
      </w:r>
      <w:r w:rsidR="001104C9">
        <w:rPr>
          <w:rFonts w:ascii="Arial" w:hAnsi="Arial" w:cs="Arial"/>
          <w:b/>
          <w:sz w:val="24"/>
          <w:szCs w:val="24"/>
        </w:rPr>
        <w:tab/>
      </w:r>
      <w:r w:rsidR="001104C9">
        <w:rPr>
          <w:rFonts w:ascii="Arial" w:hAnsi="Arial" w:cs="Arial"/>
          <w:b/>
          <w:sz w:val="24"/>
          <w:szCs w:val="24"/>
        </w:rPr>
        <w:tab/>
      </w:r>
      <w:r w:rsidR="001104C9">
        <w:rPr>
          <w:rFonts w:ascii="Arial" w:hAnsi="Arial" w:cs="Arial"/>
          <w:b/>
          <w:sz w:val="24"/>
          <w:szCs w:val="24"/>
        </w:rPr>
        <w:tab/>
        <w:t xml:space="preserve">            </w:t>
      </w:r>
      <w:r w:rsidR="00BA5153">
        <w:rPr>
          <w:rFonts w:ascii="Arial" w:hAnsi="Arial" w:cs="Arial"/>
          <w:b/>
          <w:sz w:val="24"/>
          <w:szCs w:val="24"/>
        </w:rPr>
        <w:t xml:space="preserve">         </w:t>
      </w:r>
      <w:r w:rsidR="001104C9">
        <w:rPr>
          <w:rFonts w:ascii="Arial" w:hAnsi="Arial" w:cs="Arial"/>
          <w:b/>
          <w:sz w:val="24"/>
          <w:szCs w:val="24"/>
        </w:rPr>
        <w:t xml:space="preserve"> </w:t>
      </w:r>
      <w:r w:rsidR="00BA5153">
        <w:rPr>
          <w:rFonts w:ascii="Arial" w:hAnsi="Arial" w:cs="Arial"/>
          <w:b/>
          <w:sz w:val="24"/>
          <w:szCs w:val="24"/>
        </w:rPr>
        <w:t xml:space="preserve">    </w:t>
      </w:r>
      <w:r w:rsidR="001104C9">
        <w:rPr>
          <w:rFonts w:ascii="Arial" w:hAnsi="Arial" w:cs="Arial"/>
          <w:b/>
          <w:sz w:val="24"/>
          <w:szCs w:val="24"/>
        </w:rPr>
        <w:t xml:space="preserve"> FIRST</w:t>
      </w:r>
      <w:r>
        <w:rPr>
          <w:rFonts w:ascii="Arial" w:hAnsi="Arial" w:cs="Arial"/>
          <w:b/>
          <w:sz w:val="24"/>
          <w:szCs w:val="24"/>
        </w:rPr>
        <w:t xml:space="preserve"> </w:t>
      </w:r>
      <w:r w:rsidR="00855A79" w:rsidRPr="00D352D7">
        <w:rPr>
          <w:rFonts w:ascii="Arial" w:hAnsi="Arial" w:cs="Arial"/>
          <w:b/>
          <w:sz w:val="24"/>
          <w:szCs w:val="24"/>
        </w:rPr>
        <w:t>RESPONDENT</w:t>
      </w:r>
    </w:p>
    <w:p w:rsidR="00EC3B9B" w:rsidRPr="00A3519A" w:rsidRDefault="00DF0EEB" w:rsidP="00EC3B9B">
      <w:pPr>
        <w:spacing w:line="480" w:lineRule="auto"/>
        <w:jc w:val="both"/>
        <w:rPr>
          <w:rFonts w:ascii="Arial" w:hAnsi="Arial" w:cs="Arial"/>
          <w:b/>
          <w:sz w:val="24"/>
          <w:szCs w:val="24"/>
        </w:rPr>
      </w:pPr>
      <w:r>
        <w:rPr>
          <w:rFonts w:ascii="Arial" w:hAnsi="Arial" w:cs="Arial"/>
          <w:b/>
          <w:sz w:val="24"/>
          <w:szCs w:val="24"/>
        </w:rPr>
        <w:t>KYLLIKKI SIHLAHLA</w:t>
      </w:r>
      <w:r>
        <w:rPr>
          <w:rFonts w:ascii="Arial" w:hAnsi="Arial" w:cs="Arial"/>
          <w:b/>
          <w:sz w:val="24"/>
          <w:szCs w:val="24"/>
        </w:rPr>
        <w:tab/>
      </w:r>
      <w:r>
        <w:rPr>
          <w:rFonts w:ascii="Arial" w:hAnsi="Arial" w:cs="Arial"/>
          <w:b/>
          <w:sz w:val="24"/>
          <w:szCs w:val="24"/>
        </w:rPr>
        <w:tab/>
      </w:r>
      <w:r w:rsidR="00EC3B9B">
        <w:rPr>
          <w:rFonts w:ascii="Arial" w:hAnsi="Arial" w:cs="Arial"/>
          <w:b/>
          <w:sz w:val="24"/>
          <w:szCs w:val="24"/>
        </w:rPr>
        <w:tab/>
      </w:r>
      <w:r w:rsidR="00EC3B9B">
        <w:rPr>
          <w:rFonts w:ascii="Arial" w:hAnsi="Arial" w:cs="Arial"/>
          <w:b/>
          <w:sz w:val="24"/>
          <w:szCs w:val="24"/>
        </w:rPr>
        <w:tab/>
      </w:r>
      <w:r w:rsidR="00EC3B9B">
        <w:rPr>
          <w:rFonts w:ascii="Arial" w:hAnsi="Arial" w:cs="Arial"/>
          <w:b/>
          <w:sz w:val="24"/>
          <w:szCs w:val="24"/>
        </w:rPr>
        <w:tab/>
      </w:r>
      <w:r w:rsidR="00BA5153">
        <w:rPr>
          <w:rFonts w:ascii="Arial" w:hAnsi="Arial" w:cs="Arial"/>
          <w:b/>
          <w:sz w:val="24"/>
          <w:szCs w:val="24"/>
        </w:rPr>
        <w:t xml:space="preserve">          </w:t>
      </w:r>
      <w:r w:rsidR="001104C9">
        <w:rPr>
          <w:rFonts w:ascii="Arial" w:hAnsi="Arial" w:cs="Arial"/>
          <w:b/>
          <w:sz w:val="24"/>
          <w:szCs w:val="24"/>
        </w:rPr>
        <w:t xml:space="preserve">  </w:t>
      </w:r>
      <w:r w:rsidR="00EC3B9B" w:rsidRPr="00DF0EEB">
        <w:rPr>
          <w:rFonts w:ascii="Arial" w:hAnsi="Arial" w:cs="Arial"/>
          <w:b/>
          <w:sz w:val="24"/>
          <w:szCs w:val="24"/>
        </w:rPr>
        <w:t>SECOND RESPONDENT</w:t>
      </w:r>
    </w:p>
    <w:p w:rsidR="005A768B" w:rsidRDefault="005A768B" w:rsidP="00F07B23">
      <w:pPr>
        <w:spacing w:after="0" w:line="480" w:lineRule="auto"/>
        <w:ind w:left="2160" w:hanging="2160"/>
        <w:jc w:val="both"/>
        <w:rPr>
          <w:rFonts w:ascii="Arial" w:hAnsi="Arial" w:cs="Arial"/>
          <w:b/>
          <w:sz w:val="24"/>
          <w:szCs w:val="24"/>
        </w:rPr>
      </w:pPr>
    </w:p>
    <w:p w:rsidR="00EC3B9B" w:rsidRPr="001104C9" w:rsidRDefault="00855A79" w:rsidP="00EC3B9B">
      <w:pPr>
        <w:spacing w:after="0" w:line="360" w:lineRule="auto"/>
        <w:ind w:left="2160" w:hanging="2160"/>
        <w:jc w:val="both"/>
        <w:rPr>
          <w:rFonts w:ascii="Arial" w:hAnsi="Arial" w:cs="Arial"/>
          <w:sz w:val="24"/>
          <w:szCs w:val="24"/>
        </w:rPr>
      </w:pPr>
      <w:r w:rsidRPr="00D352D7">
        <w:rPr>
          <w:rFonts w:ascii="Arial" w:hAnsi="Arial" w:cs="Arial"/>
          <w:b/>
          <w:sz w:val="24"/>
          <w:szCs w:val="24"/>
        </w:rPr>
        <w:t>Neutral citation:</w:t>
      </w:r>
      <w:r w:rsidRPr="00D352D7">
        <w:rPr>
          <w:rFonts w:ascii="Arial" w:hAnsi="Arial" w:cs="Arial"/>
          <w:i/>
          <w:sz w:val="24"/>
          <w:szCs w:val="24"/>
        </w:rPr>
        <w:t xml:space="preserve"> </w:t>
      </w:r>
      <w:r w:rsidRPr="00D352D7">
        <w:rPr>
          <w:rFonts w:ascii="Arial" w:hAnsi="Arial" w:cs="Arial"/>
          <w:i/>
          <w:sz w:val="24"/>
          <w:szCs w:val="24"/>
        </w:rPr>
        <w:tab/>
      </w:r>
      <w:r w:rsidR="00EC3B9B">
        <w:rPr>
          <w:rFonts w:ascii="Arial" w:hAnsi="Arial" w:cs="Arial"/>
          <w:i/>
          <w:sz w:val="24"/>
          <w:szCs w:val="24"/>
        </w:rPr>
        <w:t xml:space="preserve">Standard Bank Namibia Ltd </w:t>
      </w:r>
      <w:proofErr w:type="gramStart"/>
      <w:r w:rsidR="00EC3B9B">
        <w:rPr>
          <w:rFonts w:ascii="Arial" w:hAnsi="Arial" w:cs="Arial"/>
          <w:i/>
          <w:sz w:val="24"/>
          <w:szCs w:val="24"/>
        </w:rPr>
        <w:t>v !</w:t>
      </w:r>
      <w:proofErr w:type="spellStart"/>
      <w:r w:rsidR="00EC3B9B">
        <w:rPr>
          <w:rFonts w:ascii="Arial" w:hAnsi="Arial" w:cs="Arial"/>
          <w:i/>
          <w:sz w:val="24"/>
          <w:szCs w:val="24"/>
        </w:rPr>
        <w:t>Gaseb</w:t>
      </w:r>
      <w:proofErr w:type="spellEnd"/>
      <w:proofErr w:type="gramEnd"/>
      <w:r w:rsidR="00EC3B9B">
        <w:rPr>
          <w:rFonts w:ascii="Arial" w:hAnsi="Arial" w:cs="Arial"/>
          <w:i/>
          <w:sz w:val="24"/>
          <w:szCs w:val="24"/>
        </w:rPr>
        <w:t xml:space="preserve"> </w:t>
      </w:r>
      <w:r w:rsidR="00D4113E">
        <w:rPr>
          <w:rFonts w:ascii="Arial" w:hAnsi="Arial" w:cs="Arial"/>
          <w:sz w:val="24"/>
          <w:szCs w:val="24"/>
        </w:rPr>
        <w:t>(LC</w:t>
      </w:r>
      <w:r w:rsidR="00517640">
        <w:rPr>
          <w:rFonts w:ascii="Arial" w:hAnsi="Arial" w:cs="Arial"/>
          <w:sz w:val="24"/>
          <w:szCs w:val="24"/>
        </w:rPr>
        <w:t>A</w:t>
      </w:r>
      <w:r w:rsidR="00D4113E">
        <w:rPr>
          <w:rFonts w:ascii="Arial" w:hAnsi="Arial" w:cs="Arial"/>
          <w:sz w:val="24"/>
          <w:szCs w:val="24"/>
        </w:rPr>
        <w:t xml:space="preserve"> 60/2015) [2017] NALCMD 1</w:t>
      </w:r>
      <w:r w:rsidR="00EC3B9B" w:rsidRPr="001104C9">
        <w:rPr>
          <w:rFonts w:ascii="Arial" w:hAnsi="Arial" w:cs="Arial"/>
          <w:sz w:val="24"/>
          <w:szCs w:val="24"/>
        </w:rPr>
        <w:t xml:space="preserve"> (27 January 2017)</w:t>
      </w:r>
    </w:p>
    <w:p w:rsidR="00855A79" w:rsidRPr="00D352D7" w:rsidRDefault="00855A79" w:rsidP="00F07B23">
      <w:pPr>
        <w:spacing w:line="480" w:lineRule="auto"/>
        <w:jc w:val="both"/>
        <w:rPr>
          <w:rFonts w:ascii="Arial" w:hAnsi="Arial" w:cs="Arial"/>
          <w:b/>
          <w:sz w:val="24"/>
          <w:szCs w:val="24"/>
        </w:rPr>
      </w:pPr>
    </w:p>
    <w:p w:rsidR="00855A79" w:rsidRPr="00D352D7" w:rsidRDefault="00855A79" w:rsidP="00F07B23">
      <w:pPr>
        <w:spacing w:line="480" w:lineRule="auto"/>
        <w:jc w:val="both"/>
        <w:rPr>
          <w:rFonts w:ascii="Arial" w:hAnsi="Arial" w:cs="Arial"/>
          <w:sz w:val="24"/>
          <w:szCs w:val="24"/>
        </w:rPr>
      </w:pPr>
      <w:r w:rsidRPr="00D352D7">
        <w:rPr>
          <w:rFonts w:ascii="Arial" w:hAnsi="Arial" w:cs="Arial"/>
          <w:b/>
          <w:sz w:val="24"/>
          <w:szCs w:val="24"/>
        </w:rPr>
        <w:t>CORAM:</w:t>
      </w:r>
      <w:r w:rsidRPr="00D352D7">
        <w:rPr>
          <w:rFonts w:ascii="Arial" w:hAnsi="Arial" w:cs="Arial"/>
          <w:sz w:val="24"/>
          <w:szCs w:val="24"/>
        </w:rPr>
        <w:tab/>
      </w:r>
      <w:r w:rsidRPr="00EB07A8">
        <w:rPr>
          <w:rFonts w:ascii="Arial" w:hAnsi="Arial" w:cs="Arial"/>
          <w:sz w:val="24"/>
          <w:szCs w:val="24"/>
        </w:rPr>
        <w:t>VAN WYK, ACTING</w:t>
      </w:r>
    </w:p>
    <w:p w:rsidR="00855A79" w:rsidRPr="00720C27" w:rsidRDefault="00855A79" w:rsidP="00F07B23">
      <w:pPr>
        <w:spacing w:line="480" w:lineRule="auto"/>
        <w:jc w:val="both"/>
        <w:rPr>
          <w:rFonts w:ascii="Arial" w:hAnsi="Arial" w:cs="Arial"/>
          <w:b/>
          <w:sz w:val="24"/>
          <w:szCs w:val="24"/>
        </w:rPr>
      </w:pPr>
      <w:r w:rsidRPr="00DF0EEB">
        <w:rPr>
          <w:rFonts w:ascii="Arial" w:hAnsi="Arial" w:cs="Arial"/>
          <w:b/>
          <w:sz w:val="24"/>
          <w:szCs w:val="24"/>
        </w:rPr>
        <w:t>Heard:</w:t>
      </w:r>
      <w:r w:rsidRPr="00DF0EEB">
        <w:rPr>
          <w:rFonts w:ascii="Arial" w:hAnsi="Arial" w:cs="Arial"/>
          <w:b/>
          <w:sz w:val="24"/>
          <w:szCs w:val="24"/>
        </w:rPr>
        <w:tab/>
      </w:r>
      <w:r w:rsidR="00DF0EEB" w:rsidRPr="00DF0EEB">
        <w:rPr>
          <w:rFonts w:ascii="Arial" w:hAnsi="Arial" w:cs="Arial"/>
          <w:b/>
          <w:sz w:val="24"/>
          <w:szCs w:val="24"/>
        </w:rPr>
        <w:t>22 July 2016</w:t>
      </w:r>
    </w:p>
    <w:p w:rsidR="00855A79" w:rsidRPr="00E55A64" w:rsidRDefault="00855A79" w:rsidP="00F07B23">
      <w:pPr>
        <w:spacing w:line="480" w:lineRule="auto"/>
        <w:contextualSpacing/>
        <w:jc w:val="both"/>
        <w:rPr>
          <w:rFonts w:ascii="Arial" w:hAnsi="Arial" w:cs="Arial"/>
          <w:b/>
          <w:sz w:val="24"/>
          <w:szCs w:val="24"/>
        </w:rPr>
      </w:pPr>
      <w:r w:rsidRPr="00D352D7">
        <w:rPr>
          <w:rFonts w:ascii="Arial" w:hAnsi="Arial" w:cs="Arial"/>
          <w:b/>
          <w:sz w:val="24"/>
          <w:szCs w:val="24"/>
        </w:rPr>
        <w:t>Delivered:</w:t>
      </w:r>
      <w:r w:rsidRPr="00D352D7">
        <w:rPr>
          <w:rFonts w:ascii="Arial" w:hAnsi="Arial" w:cs="Arial"/>
          <w:b/>
          <w:sz w:val="24"/>
          <w:szCs w:val="24"/>
        </w:rPr>
        <w:tab/>
      </w:r>
      <w:r w:rsidR="00024E48">
        <w:rPr>
          <w:rFonts w:ascii="Arial" w:hAnsi="Arial" w:cs="Arial"/>
          <w:b/>
          <w:sz w:val="24"/>
          <w:szCs w:val="24"/>
        </w:rPr>
        <w:t>27 January 2017</w:t>
      </w:r>
    </w:p>
    <w:p w:rsidR="00855A79" w:rsidRPr="004568D3" w:rsidRDefault="00855A79" w:rsidP="00F07B23">
      <w:pPr>
        <w:spacing w:line="480" w:lineRule="auto"/>
        <w:contextualSpacing/>
        <w:jc w:val="both"/>
        <w:rPr>
          <w:rFonts w:ascii="Arial" w:hAnsi="Arial" w:cs="Arial"/>
          <w:b/>
          <w:sz w:val="24"/>
          <w:szCs w:val="24"/>
        </w:rPr>
      </w:pPr>
    </w:p>
    <w:p w:rsidR="00855A79" w:rsidRPr="00024E48" w:rsidRDefault="00855A79" w:rsidP="002C5C93">
      <w:pPr>
        <w:spacing w:line="240" w:lineRule="auto"/>
        <w:jc w:val="both"/>
        <w:rPr>
          <w:rFonts w:ascii="Arial" w:hAnsi="Arial" w:cs="Arial"/>
          <w:i/>
          <w:sz w:val="24"/>
          <w:szCs w:val="24"/>
        </w:rPr>
      </w:pPr>
      <w:proofErr w:type="spellStart"/>
      <w:r w:rsidRPr="004568D3">
        <w:rPr>
          <w:rFonts w:ascii="Arial" w:hAnsi="Arial" w:cs="Arial"/>
          <w:b/>
          <w:sz w:val="24"/>
          <w:szCs w:val="24"/>
        </w:rPr>
        <w:t>Flynote</w:t>
      </w:r>
      <w:proofErr w:type="spellEnd"/>
      <w:r>
        <w:rPr>
          <w:rFonts w:ascii="Arial" w:hAnsi="Arial" w:cs="Arial"/>
          <w:b/>
          <w:sz w:val="24"/>
          <w:szCs w:val="24"/>
        </w:rPr>
        <w:t>:</w:t>
      </w:r>
      <w:r w:rsidR="00E55A64">
        <w:rPr>
          <w:rFonts w:ascii="Arial" w:hAnsi="Arial" w:cs="Arial"/>
          <w:b/>
          <w:sz w:val="24"/>
          <w:szCs w:val="24"/>
        </w:rPr>
        <w:tab/>
      </w:r>
      <w:r w:rsidR="00A41F3D" w:rsidRPr="00024E48">
        <w:rPr>
          <w:rFonts w:ascii="Arial" w:hAnsi="Arial" w:cs="Arial"/>
          <w:i/>
          <w:sz w:val="24"/>
          <w:szCs w:val="24"/>
        </w:rPr>
        <w:t xml:space="preserve">Labour Law – </w:t>
      </w:r>
      <w:r w:rsidR="00A05A40" w:rsidRPr="00024E48">
        <w:rPr>
          <w:rFonts w:ascii="Arial" w:hAnsi="Arial" w:cs="Arial"/>
          <w:i/>
          <w:sz w:val="24"/>
          <w:szCs w:val="24"/>
        </w:rPr>
        <w:t xml:space="preserve">the arbitrator is the final trier of fact - section 89 (1) </w:t>
      </w:r>
      <w:r w:rsidR="00E833DB" w:rsidRPr="00024E48">
        <w:rPr>
          <w:rFonts w:ascii="Arial" w:hAnsi="Arial" w:cs="Arial"/>
          <w:i/>
          <w:sz w:val="24"/>
          <w:szCs w:val="24"/>
        </w:rPr>
        <w:t>of the Labour Act,</w:t>
      </w:r>
      <w:r w:rsidR="00584EE9">
        <w:rPr>
          <w:rFonts w:ascii="Arial" w:hAnsi="Arial" w:cs="Arial"/>
          <w:i/>
          <w:sz w:val="24"/>
          <w:szCs w:val="24"/>
        </w:rPr>
        <w:t xml:space="preserve"> </w:t>
      </w:r>
      <w:r w:rsidR="002E1FD6">
        <w:rPr>
          <w:rFonts w:ascii="Arial" w:hAnsi="Arial" w:cs="Arial"/>
          <w:i/>
          <w:sz w:val="24"/>
          <w:szCs w:val="24"/>
        </w:rPr>
        <w:t>11 of 2007, hereinafter called the “Act”</w:t>
      </w:r>
      <w:r w:rsidR="00E833DB" w:rsidRPr="00024E48">
        <w:rPr>
          <w:rFonts w:ascii="Arial" w:hAnsi="Arial" w:cs="Arial"/>
          <w:i/>
          <w:sz w:val="24"/>
          <w:szCs w:val="24"/>
        </w:rPr>
        <w:t xml:space="preserve"> </w:t>
      </w:r>
      <w:r w:rsidR="00A05A40" w:rsidRPr="00024E48">
        <w:rPr>
          <w:rFonts w:ascii="Arial" w:hAnsi="Arial" w:cs="Arial"/>
          <w:i/>
          <w:sz w:val="24"/>
          <w:szCs w:val="24"/>
        </w:rPr>
        <w:t xml:space="preserve">- </w:t>
      </w:r>
      <w:r w:rsidR="00F5476E" w:rsidRPr="00024E48">
        <w:rPr>
          <w:rFonts w:ascii="Arial" w:hAnsi="Arial" w:cs="Arial"/>
          <w:i/>
          <w:sz w:val="24"/>
          <w:szCs w:val="24"/>
        </w:rPr>
        <w:t>unless the finding is so vitiated by lack of reason as to be tantamount to no finding at all – Parity principle – demands like misconduct to be disciplined alike – unless there is a justified reason to make a distinction between employees</w:t>
      </w:r>
    </w:p>
    <w:p w:rsidR="00491E97" w:rsidRDefault="00491E97" w:rsidP="00F07B23">
      <w:pPr>
        <w:spacing w:after="0" w:line="480" w:lineRule="auto"/>
        <w:jc w:val="both"/>
        <w:rPr>
          <w:rFonts w:ascii="Arial" w:hAnsi="Arial" w:cs="Arial"/>
          <w:b/>
          <w:sz w:val="24"/>
          <w:szCs w:val="24"/>
        </w:rPr>
      </w:pPr>
    </w:p>
    <w:p w:rsidR="00856694" w:rsidRDefault="00855A79" w:rsidP="002C5C93">
      <w:pPr>
        <w:spacing w:after="0" w:line="360" w:lineRule="auto"/>
        <w:jc w:val="both"/>
        <w:rPr>
          <w:rFonts w:ascii="Arial" w:hAnsi="Arial" w:cs="Arial"/>
          <w:sz w:val="24"/>
          <w:szCs w:val="24"/>
        </w:rPr>
      </w:pPr>
      <w:r w:rsidRPr="004568D3">
        <w:rPr>
          <w:rFonts w:ascii="Arial" w:hAnsi="Arial" w:cs="Arial"/>
          <w:b/>
          <w:sz w:val="24"/>
          <w:szCs w:val="24"/>
        </w:rPr>
        <w:t>Summary</w:t>
      </w:r>
      <w:r>
        <w:rPr>
          <w:rFonts w:ascii="Arial" w:hAnsi="Arial" w:cs="Arial"/>
          <w:b/>
          <w:sz w:val="24"/>
          <w:szCs w:val="24"/>
        </w:rPr>
        <w:t>:</w:t>
      </w:r>
      <w:r w:rsidR="00A41F3D">
        <w:rPr>
          <w:rFonts w:ascii="Arial" w:hAnsi="Arial" w:cs="Arial"/>
          <w:b/>
          <w:sz w:val="24"/>
          <w:szCs w:val="24"/>
        </w:rPr>
        <w:t xml:space="preserve"> </w:t>
      </w:r>
      <w:r w:rsidR="00A41F3D">
        <w:rPr>
          <w:rFonts w:ascii="Arial" w:hAnsi="Arial" w:cs="Arial"/>
          <w:b/>
          <w:sz w:val="24"/>
          <w:szCs w:val="24"/>
        </w:rPr>
        <w:tab/>
      </w:r>
      <w:r w:rsidR="00C802E5" w:rsidRPr="00C802E5">
        <w:rPr>
          <w:rFonts w:ascii="Arial" w:hAnsi="Arial" w:cs="Arial"/>
          <w:sz w:val="24"/>
          <w:szCs w:val="24"/>
        </w:rPr>
        <w:t>In this matter</w:t>
      </w:r>
      <w:r w:rsidR="00C802E5">
        <w:rPr>
          <w:rFonts w:ascii="Arial" w:hAnsi="Arial" w:cs="Arial"/>
          <w:b/>
          <w:sz w:val="24"/>
          <w:szCs w:val="24"/>
        </w:rPr>
        <w:t xml:space="preserve"> </w:t>
      </w:r>
      <w:r w:rsidR="00C802E5">
        <w:rPr>
          <w:rFonts w:ascii="Arial" w:hAnsi="Arial" w:cs="Arial"/>
          <w:sz w:val="24"/>
          <w:szCs w:val="24"/>
        </w:rPr>
        <w:t xml:space="preserve">seven employees were working in a call centre under leadership of the first respondent. All of them completed timesheets indicating daily arrivals and departures from work, on a monthly basis. A number of incidences of absenteeism came to light after an incident which sparked an investigation into the comings and goings of call centre staff. </w:t>
      </w:r>
      <w:r w:rsidR="002A3193">
        <w:rPr>
          <w:rFonts w:ascii="Arial" w:hAnsi="Arial" w:cs="Arial"/>
          <w:sz w:val="24"/>
          <w:szCs w:val="24"/>
        </w:rPr>
        <w:t>The absenteeism shown on the video footage</w:t>
      </w:r>
      <w:r w:rsidR="00856694">
        <w:rPr>
          <w:rFonts w:ascii="Arial" w:hAnsi="Arial" w:cs="Arial"/>
          <w:sz w:val="24"/>
          <w:szCs w:val="24"/>
        </w:rPr>
        <w:t xml:space="preserve"> did not correlate with the timesheets in respect of all of them. </w:t>
      </w:r>
    </w:p>
    <w:p w:rsidR="00856694" w:rsidRDefault="00856694" w:rsidP="002C5C93">
      <w:pPr>
        <w:spacing w:after="0" w:line="360" w:lineRule="auto"/>
        <w:jc w:val="both"/>
        <w:rPr>
          <w:rFonts w:ascii="Arial" w:hAnsi="Arial" w:cs="Arial"/>
          <w:sz w:val="24"/>
          <w:szCs w:val="24"/>
        </w:rPr>
      </w:pPr>
    </w:p>
    <w:p w:rsidR="00855A79" w:rsidRDefault="00C802E5" w:rsidP="002C5C93">
      <w:pPr>
        <w:spacing w:after="0" w:line="360" w:lineRule="auto"/>
        <w:jc w:val="both"/>
        <w:rPr>
          <w:rFonts w:ascii="Arial" w:hAnsi="Arial" w:cs="Arial"/>
          <w:sz w:val="24"/>
          <w:szCs w:val="24"/>
        </w:rPr>
      </w:pPr>
      <w:r>
        <w:rPr>
          <w:rFonts w:ascii="Arial" w:hAnsi="Arial" w:cs="Arial"/>
          <w:sz w:val="24"/>
          <w:szCs w:val="24"/>
        </w:rPr>
        <w:t xml:space="preserve">The first respondent being the team leader was charged </w:t>
      </w:r>
      <w:r w:rsidR="00856694">
        <w:rPr>
          <w:rFonts w:ascii="Arial" w:hAnsi="Arial" w:cs="Arial"/>
          <w:sz w:val="24"/>
          <w:szCs w:val="24"/>
        </w:rPr>
        <w:t xml:space="preserve">with falsification of bank records and being absent without a valid reason; he was </w:t>
      </w:r>
      <w:r>
        <w:rPr>
          <w:rFonts w:ascii="Arial" w:hAnsi="Arial" w:cs="Arial"/>
          <w:sz w:val="24"/>
          <w:szCs w:val="24"/>
        </w:rPr>
        <w:t xml:space="preserve">dismissed.  Four of his fellow employees, </w:t>
      </w:r>
      <w:r w:rsidR="00856694">
        <w:rPr>
          <w:rFonts w:ascii="Arial" w:hAnsi="Arial" w:cs="Arial"/>
          <w:sz w:val="24"/>
          <w:szCs w:val="24"/>
        </w:rPr>
        <w:t>following this same incident and investigation, were charged with negligence and only received warnings</w:t>
      </w:r>
      <w:r>
        <w:rPr>
          <w:rFonts w:ascii="Arial" w:hAnsi="Arial" w:cs="Arial"/>
          <w:sz w:val="24"/>
          <w:szCs w:val="24"/>
        </w:rPr>
        <w:t xml:space="preserve">. </w:t>
      </w:r>
    </w:p>
    <w:p w:rsidR="00C802E5" w:rsidRDefault="00C802E5" w:rsidP="002C5C93">
      <w:pPr>
        <w:spacing w:after="0" w:line="360" w:lineRule="auto"/>
        <w:jc w:val="both"/>
        <w:rPr>
          <w:rFonts w:ascii="Arial" w:hAnsi="Arial" w:cs="Arial"/>
          <w:sz w:val="24"/>
          <w:szCs w:val="24"/>
        </w:rPr>
      </w:pPr>
    </w:p>
    <w:p w:rsidR="00C802E5" w:rsidRDefault="00C802E5" w:rsidP="002C5C93">
      <w:pPr>
        <w:spacing w:after="0" w:line="360" w:lineRule="auto"/>
        <w:jc w:val="both"/>
        <w:rPr>
          <w:rFonts w:ascii="Arial" w:hAnsi="Arial" w:cs="Arial"/>
          <w:sz w:val="24"/>
          <w:szCs w:val="24"/>
        </w:rPr>
      </w:pPr>
      <w:r w:rsidRPr="002C5C93">
        <w:rPr>
          <w:rFonts w:ascii="Arial" w:hAnsi="Arial" w:cs="Arial"/>
          <w:i/>
          <w:sz w:val="24"/>
          <w:szCs w:val="24"/>
        </w:rPr>
        <w:t>Held</w:t>
      </w:r>
      <w:r>
        <w:rPr>
          <w:rFonts w:ascii="Arial" w:hAnsi="Arial" w:cs="Arial"/>
          <w:sz w:val="24"/>
          <w:szCs w:val="24"/>
        </w:rPr>
        <w:t xml:space="preserve">, the parity principle demands like disciplinary action for like </w:t>
      </w:r>
      <w:r w:rsidR="002C5C93">
        <w:rPr>
          <w:rFonts w:ascii="Arial" w:hAnsi="Arial" w:cs="Arial"/>
          <w:sz w:val="24"/>
          <w:szCs w:val="24"/>
        </w:rPr>
        <w:t xml:space="preserve">cases of misconduct, unless there is a justifiable reason to distinguish between employees in terms of disciplinary action. </w:t>
      </w:r>
    </w:p>
    <w:p w:rsidR="002C5C93" w:rsidRDefault="002C5C93" w:rsidP="002C5C93">
      <w:pPr>
        <w:spacing w:after="0" w:line="360" w:lineRule="auto"/>
        <w:jc w:val="both"/>
        <w:rPr>
          <w:rFonts w:ascii="Arial" w:hAnsi="Arial" w:cs="Arial"/>
          <w:sz w:val="24"/>
          <w:szCs w:val="24"/>
        </w:rPr>
      </w:pPr>
    </w:p>
    <w:p w:rsidR="00930B4D" w:rsidRDefault="00C802E5" w:rsidP="002C5C93">
      <w:pPr>
        <w:spacing w:after="0" w:line="360" w:lineRule="auto"/>
        <w:jc w:val="both"/>
        <w:rPr>
          <w:rFonts w:ascii="Arial" w:hAnsi="Arial" w:cs="Arial"/>
          <w:sz w:val="24"/>
          <w:szCs w:val="24"/>
        </w:rPr>
      </w:pPr>
      <w:r w:rsidRPr="002C5C93">
        <w:rPr>
          <w:rFonts w:ascii="Arial" w:hAnsi="Arial" w:cs="Arial"/>
          <w:i/>
          <w:sz w:val="24"/>
          <w:szCs w:val="24"/>
        </w:rPr>
        <w:t>Held</w:t>
      </w:r>
      <w:r>
        <w:rPr>
          <w:rFonts w:ascii="Arial" w:hAnsi="Arial" w:cs="Arial"/>
          <w:sz w:val="24"/>
          <w:szCs w:val="24"/>
        </w:rPr>
        <w:t xml:space="preserve">, the arbitrator </w:t>
      </w:r>
      <w:r w:rsidR="00F6195E">
        <w:rPr>
          <w:rFonts w:ascii="Arial" w:hAnsi="Arial" w:cs="Arial"/>
          <w:sz w:val="24"/>
          <w:szCs w:val="24"/>
        </w:rPr>
        <w:t xml:space="preserve">made an unreasonable </w:t>
      </w:r>
      <w:r w:rsidR="002C5C93">
        <w:rPr>
          <w:rFonts w:ascii="Arial" w:hAnsi="Arial" w:cs="Arial"/>
          <w:sz w:val="24"/>
          <w:szCs w:val="24"/>
        </w:rPr>
        <w:t>factual</w:t>
      </w:r>
      <w:r>
        <w:rPr>
          <w:rFonts w:ascii="Arial" w:hAnsi="Arial" w:cs="Arial"/>
          <w:sz w:val="24"/>
          <w:szCs w:val="24"/>
        </w:rPr>
        <w:t xml:space="preserve"> finding on the evidence of the appellant, in </w:t>
      </w:r>
      <w:r w:rsidR="002C5C93">
        <w:rPr>
          <w:rFonts w:ascii="Arial" w:hAnsi="Arial" w:cs="Arial"/>
          <w:sz w:val="24"/>
          <w:szCs w:val="24"/>
        </w:rPr>
        <w:t xml:space="preserve">her </w:t>
      </w:r>
      <w:r>
        <w:rPr>
          <w:rFonts w:ascii="Arial" w:hAnsi="Arial" w:cs="Arial"/>
          <w:sz w:val="24"/>
          <w:szCs w:val="24"/>
        </w:rPr>
        <w:t xml:space="preserve">finding that </w:t>
      </w:r>
      <w:r w:rsidR="002C5C93">
        <w:rPr>
          <w:rFonts w:ascii="Arial" w:hAnsi="Arial" w:cs="Arial"/>
          <w:sz w:val="24"/>
          <w:szCs w:val="24"/>
        </w:rPr>
        <w:t xml:space="preserve">there </w:t>
      </w:r>
      <w:r>
        <w:rPr>
          <w:rFonts w:ascii="Arial" w:hAnsi="Arial" w:cs="Arial"/>
          <w:sz w:val="24"/>
          <w:szCs w:val="24"/>
        </w:rPr>
        <w:t xml:space="preserve">was no </w:t>
      </w:r>
      <w:r w:rsidR="002C5C93">
        <w:rPr>
          <w:rFonts w:ascii="Arial" w:hAnsi="Arial" w:cs="Arial"/>
          <w:sz w:val="24"/>
          <w:szCs w:val="24"/>
        </w:rPr>
        <w:t>justifiable</w:t>
      </w:r>
      <w:r>
        <w:rPr>
          <w:rFonts w:ascii="Arial" w:hAnsi="Arial" w:cs="Arial"/>
          <w:sz w:val="24"/>
          <w:szCs w:val="24"/>
        </w:rPr>
        <w:t xml:space="preserve"> reason to </w:t>
      </w:r>
      <w:r w:rsidR="00856694">
        <w:rPr>
          <w:rFonts w:ascii="Arial" w:hAnsi="Arial" w:cs="Arial"/>
          <w:sz w:val="24"/>
          <w:szCs w:val="24"/>
        </w:rPr>
        <w:t xml:space="preserve">apply a different disciplinary measure to </w:t>
      </w:r>
      <w:r w:rsidR="002C5C93">
        <w:rPr>
          <w:rFonts w:ascii="Arial" w:hAnsi="Arial" w:cs="Arial"/>
          <w:sz w:val="24"/>
          <w:szCs w:val="24"/>
        </w:rPr>
        <w:t>first respondent</w:t>
      </w:r>
      <w:r w:rsidR="00856694">
        <w:rPr>
          <w:rFonts w:ascii="Arial" w:hAnsi="Arial" w:cs="Arial"/>
          <w:sz w:val="24"/>
          <w:szCs w:val="24"/>
        </w:rPr>
        <w:t>.</w:t>
      </w:r>
      <w:r w:rsidR="002C5C93">
        <w:rPr>
          <w:rFonts w:ascii="Arial" w:hAnsi="Arial" w:cs="Arial"/>
          <w:sz w:val="24"/>
          <w:szCs w:val="24"/>
        </w:rPr>
        <w:t xml:space="preserve"> </w:t>
      </w:r>
      <w:r w:rsidR="00930B4D">
        <w:rPr>
          <w:rFonts w:ascii="Arial" w:hAnsi="Arial" w:cs="Arial"/>
          <w:sz w:val="24"/>
          <w:szCs w:val="24"/>
        </w:rPr>
        <w:t xml:space="preserve">The evidence is such that </w:t>
      </w:r>
      <w:r w:rsidR="00E62734">
        <w:rPr>
          <w:rFonts w:ascii="Arial" w:hAnsi="Arial" w:cs="Arial"/>
          <w:sz w:val="24"/>
          <w:szCs w:val="24"/>
        </w:rPr>
        <w:t>no reasonable arbitrator</w:t>
      </w:r>
      <w:r w:rsidR="00F6195E">
        <w:rPr>
          <w:rFonts w:ascii="Arial" w:hAnsi="Arial" w:cs="Arial"/>
          <w:sz w:val="24"/>
          <w:szCs w:val="24"/>
        </w:rPr>
        <w:t xml:space="preserve"> of fact could have reached this conclusion.</w:t>
      </w:r>
    </w:p>
    <w:p w:rsidR="000C7E1B" w:rsidRDefault="000C7E1B" w:rsidP="00F07B23">
      <w:pPr>
        <w:spacing w:after="0" w:line="480" w:lineRule="auto"/>
        <w:jc w:val="both"/>
        <w:rPr>
          <w:rFonts w:ascii="Arial" w:hAnsi="Arial" w:cs="Arial"/>
          <w:sz w:val="24"/>
          <w:szCs w:val="24"/>
        </w:rPr>
      </w:pPr>
    </w:p>
    <w:p w:rsidR="000952C8" w:rsidRDefault="000952C8" w:rsidP="00F07B23">
      <w:pPr>
        <w:spacing w:after="0" w:line="480" w:lineRule="auto"/>
        <w:jc w:val="both"/>
        <w:rPr>
          <w:rFonts w:ascii="Arial" w:hAnsi="Arial" w:cs="Arial"/>
          <w:sz w:val="24"/>
          <w:szCs w:val="24"/>
        </w:rPr>
      </w:pPr>
      <w:r w:rsidRPr="00BD3B22">
        <w:rPr>
          <w:rFonts w:ascii="Arial" w:hAnsi="Arial" w:cs="Arial"/>
          <w:i/>
          <w:sz w:val="24"/>
          <w:szCs w:val="24"/>
        </w:rPr>
        <w:t>Held</w:t>
      </w:r>
      <w:r>
        <w:rPr>
          <w:rFonts w:ascii="Arial" w:hAnsi="Arial" w:cs="Arial"/>
          <w:sz w:val="24"/>
          <w:szCs w:val="24"/>
        </w:rPr>
        <w:t xml:space="preserve">, there is a justifiable reason for the appellant to have taken harsher action against the first respondent.  </w:t>
      </w:r>
    </w:p>
    <w:p w:rsidR="000C7E1B" w:rsidRPr="00762E7D" w:rsidRDefault="00E45EDF" w:rsidP="00F07B23">
      <w:pPr>
        <w:spacing w:after="0" w:line="480" w:lineRule="auto"/>
        <w:jc w:val="both"/>
        <w:rPr>
          <w:rFonts w:ascii="Arial" w:hAnsi="Arial" w:cs="Arial"/>
          <w:bCs/>
          <w:sz w:val="24"/>
          <w:szCs w:val="24"/>
        </w:rPr>
      </w:pPr>
      <w:bookmarkStart w:id="0" w:name="_GoBack"/>
      <w:r>
        <w:rPr>
          <w:rFonts w:ascii="Arial" w:hAnsi="Arial" w:cs="Arial"/>
          <w:bCs/>
          <w:sz w:val="24"/>
          <w:szCs w:val="24"/>
        </w:rPr>
        <w:pict>
          <v:rect id="_x0000_i1025" style="width:0;height:1.5pt" o:hralign="center" o:hrstd="t" o:hr="t" fillcolor="#a0a0a0" stroked="f"/>
        </w:pict>
      </w:r>
      <w:bookmarkEnd w:id="0"/>
    </w:p>
    <w:p w:rsidR="000C7E1B" w:rsidRPr="00762E7D" w:rsidRDefault="000C7E1B" w:rsidP="00F07B23">
      <w:pPr>
        <w:spacing w:after="0" w:line="480" w:lineRule="auto"/>
        <w:jc w:val="center"/>
        <w:rPr>
          <w:rFonts w:ascii="Arial" w:hAnsi="Arial" w:cs="Arial"/>
          <w:b/>
          <w:bCs/>
          <w:sz w:val="24"/>
          <w:szCs w:val="24"/>
        </w:rPr>
      </w:pPr>
      <w:r w:rsidRPr="00762E7D">
        <w:rPr>
          <w:rFonts w:ascii="Arial" w:hAnsi="Arial" w:cs="Arial"/>
          <w:b/>
          <w:bCs/>
          <w:sz w:val="24"/>
          <w:szCs w:val="24"/>
        </w:rPr>
        <w:t>ORDER</w:t>
      </w:r>
    </w:p>
    <w:p w:rsidR="000C7E1B" w:rsidRPr="00762E7D" w:rsidRDefault="00E45EDF" w:rsidP="00F07B23">
      <w:pPr>
        <w:spacing w:after="0" w:line="48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2C5C93" w:rsidRDefault="002C5C93" w:rsidP="002C5C93">
      <w:pPr>
        <w:pStyle w:val="ListParagraph"/>
        <w:numPr>
          <w:ilvl w:val="0"/>
          <w:numId w:val="3"/>
        </w:numPr>
        <w:spacing w:after="0" w:line="480" w:lineRule="auto"/>
        <w:ind w:left="1418" w:hanging="709"/>
        <w:jc w:val="both"/>
        <w:rPr>
          <w:rFonts w:ascii="Arial" w:hAnsi="Arial" w:cs="Arial"/>
          <w:sz w:val="24"/>
          <w:szCs w:val="24"/>
        </w:rPr>
      </w:pPr>
      <w:r>
        <w:rPr>
          <w:rFonts w:ascii="Arial" w:hAnsi="Arial" w:cs="Arial"/>
          <w:sz w:val="24"/>
          <w:szCs w:val="24"/>
        </w:rPr>
        <w:t>The appeal is upheld.</w:t>
      </w:r>
    </w:p>
    <w:p w:rsidR="002C5C93" w:rsidRPr="00A2132D" w:rsidRDefault="002C5C93" w:rsidP="002C5C93">
      <w:pPr>
        <w:pStyle w:val="ListParagraph"/>
        <w:numPr>
          <w:ilvl w:val="0"/>
          <w:numId w:val="3"/>
        </w:numPr>
        <w:spacing w:after="0" w:line="480" w:lineRule="auto"/>
        <w:ind w:left="1418" w:hanging="709"/>
        <w:jc w:val="both"/>
        <w:rPr>
          <w:rFonts w:ascii="Arial" w:hAnsi="Arial" w:cs="Arial"/>
          <w:sz w:val="24"/>
          <w:szCs w:val="24"/>
        </w:rPr>
      </w:pPr>
      <w:r>
        <w:rPr>
          <w:rFonts w:ascii="Arial" w:hAnsi="Arial" w:cs="Arial"/>
          <w:sz w:val="24"/>
          <w:szCs w:val="24"/>
        </w:rPr>
        <w:t>The arbitration a</w:t>
      </w:r>
      <w:r w:rsidR="00024E48">
        <w:rPr>
          <w:rFonts w:ascii="Arial" w:hAnsi="Arial" w:cs="Arial"/>
          <w:sz w:val="24"/>
          <w:szCs w:val="24"/>
        </w:rPr>
        <w:t>ward under Case number CRWK-107–</w:t>
      </w:r>
      <w:r>
        <w:rPr>
          <w:rFonts w:ascii="Arial" w:hAnsi="Arial" w:cs="Arial"/>
          <w:sz w:val="24"/>
          <w:szCs w:val="24"/>
        </w:rPr>
        <w:t xml:space="preserve">15, delivered on 12 October 2015, is wholly set aside. </w:t>
      </w:r>
    </w:p>
    <w:p w:rsidR="002C5C93" w:rsidRDefault="002C5C93" w:rsidP="002C5C93">
      <w:pPr>
        <w:spacing w:after="0" w:line="480" w:lineRule="auto"/>
        <w:ind w:left="720" w:hanging="11"/>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There is no order in respect of costs.</w:t>
      </w:r>
    </w:p>
    <w:p w:rsidR="000C7E1B" w:rsidRPr="000C7E1B" w:rsidRDefault="000C7E1B" w:rsidP="00F07B23">
      <w:pPr>
        <w:pStyle w:val="ListParagraph"/>
        <w:spacing w:line="480" w:lineRule="auto"/>
        <w:rPr>
          <w:rFonts w:ascii="Arial" w:hAnsi="Arial" w:cs="Arial"/>
          <w:b/>
          <w:sz w:val="24"/>
          <w:szCs w:val="24"/>
          <w:u w:val="single"/>
        </w:rPr>
      </w:pPr>
    </w:p>
    <w:p w:rsidR="000C7E1B" w:rsidRPr="00762E7D" w:rsidRDefault="00E45EDF" w:rsidP="00F07B23">
      <w:pPr>
        <w:spacing w:after="0" w:line="48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C7E1B" w:rsidRPr="00762E7D" w:rsidRDefault="000C7E1B" w:rsidP="00F07B23">
      <w:pPr>
        <w:spacing w:after="0" w:line="480" w:lineRule="auto"/>
        <w:jc w:val="center"/>
        <w:rPr>
          <w:rFonts w:ascii="Arial" w:hAnsi="Arial" w:cs="Arial"/>
          <w:b/>
          <w:sz w:val="24"/>
          <w:szCs w:val="24"/>
        </w:rPr>
      </w:pPr>
      <w:r w:rsidRPr="00762E7D">
        <w:rPr>
          <w:rFonts w:ascii="Arial" w:hAnsi="Arial" w:cs="Arial"/>
          <w:b/>
          <w:sz w:val="24"/>
          <w:szCs w:val="24"/>
        </w:rPr>
        <w:t>JUDGMENT</w:t>
      </w:r>
    </w:p>
    <w:p w:rsidR="00C171AD" w:rsidRPr="00762E7D" w:rsidRDefault="00E45EDF" w:rsidP="00F07B23">
      <w:pPr>
        <w:spacing w:after="0" w:line="48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C171AD" w:rsidRDefault="00C171AD" w:rsidP="00F07B23">
      <w:pPr>
        <w:spacing w:line="480" w:lineRule="auto"/>
        <w:rPr>
          <w:rFonts w:ascii="Arial" w:hAnsi="Arial" w:cs="Arial"/>
          <w:sz w:val="24"/>
          <w:szCs w:val="24"/>
        </w:rPr>
      </w:pPr>
    </w:p>
    <w:p w:rsidR="00B93FC9" w:rsidRPr="00341204" w:rsidRDefault="00C171AD" w:rsidP="00F07B23">
      <w:pPr>
        <w:spacing w:line="480" w:lineRule="auto"/>
        <w:rPr>
          <w:rFonts w:ascii="Arial" w:hAnsi="Arial" w:cs="Arial"/>
          <w:sz w:val="24"/>
          <w:szCs w:val="24"/>
        </w:rPr>
      </w:pPr>
      <w:r>
        <w:rPr>
          <w:rFonts w:ascii="Arial" w:hAnsi="Arial" w:cs="Arial"/>
          <w:sz w:val="24"/>
          <w:szCs w:val="24"/>
        </w:rPr>
        <w:t>VAN WYK, AJ</w:t>
      </w:r>
    </w:p>
    <w:p w:rsidR="00B93FC9" w:rsidRPr="000C7E1B" w:rsidRDefault="00B93FC9" w:rsidP="00F07B23">
      <w:pPr>
        <w:spacing w:line="480" w:lineRule="auto"/>
        <w:rPr>
          <w:rFonts w:ascii="Arial" w:hAnsi="Arial" w:cs="Arial"/>
          <w:b/>
          <w:sz w:val="24"/>
          <w:szCs w:val="24"/>
          <w:u w:val="single"/>
        </w:rPr>
      </w:pPr>
    </w:p>
    <w:p w:rsidR="00327D88" w:rsidRDefault="00152077" w:rsidP="00F07B23">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27D88">
        <w:rPr>
          <w:rFonts w:ascii="Arial" w:hAnsi="Arial" w:cs="Arial"/>
          <w:sz w:val="24"/>
          <w:szCs w:val="24"/>
        </w:rPr>
        <w:t>In this</w:t>
      </w:r>
      <w:r w:rsidR="007A37E3">
        <w:rPr>
          <w:rFonts w:ascii="Arial" w:hAnsi="Arial" w:cs="Arial"/>
          <w:sz w:val="24"/>
          <w:szCs w:val="24"/>
        </w:rPr>
        <w:t xml:space="preserve"> matter an appeal was filed </w:t>
      </w:r>
      <w:r w:rsidR="00327D88">
        <w:rPr>
          <w:rFonts w:ascii="Arial" w:hAnsi="Arial" w:cs="Arial"/>
          <w:sz w:val="24"/>
          <w:szCs w:val="24"/>
        </w:rPr>
        <w:t>against a decision by</w:t>
      </w:r>
      <w:r w:rsidR="00F6195E">
        <w:rPr>
          <w:rFonts w:ascii="Arial" w:hAnsi="Arial" w:cs="Arial"/>
          <w:sz w:val="24"/>
          <w:szCs w:val="24"/>
        </w:rPr>
        <w:t xml:space="preserve"> the second respondent in Case N</w:t>
      </w:r>
      <w:r w:rsidR="00024E48">
        <w:rPr>
          <w:rFonts w:ascii="Arial" w:hAnsi="Arial" w:cs="Arial"/>
          <w:sz w:val="24"/>
          <w:szCs w:val="24"/>
        </w:rPr>
        <w:t>umber CRWK-107–</w:t>
      </w:r>
      <w:r w:rsidR="00327D88">
        <w:rPr>
          <w:rFonts w:ascii="Arial" w:hAnsi="Arial" w:cs="Arial"/>
          <w:sz w:val="24"/>
          <w:szCs w:val="24"/>
        </w:rPr>
        <w:t>15, delivered on 12 October 2015. The appeal is against a reward that the first respondent’s dismissal is substantially unfair. It was further order</w:t>
      </w:r>
      <w:r w:rsidR="00F6195E">
        <w:rPr>
          <w:rFonts w:ascii="Arial" w:hAnsi="Arial" w:cs="Arial"/>
          <w:sz w:val="24"/>
          <w:szCs w:val="24"/>
        </w:rPr>
        <w:t>ed</w:t>
      </w:r>
      <w:r w:rsidR="00327D88">
        <w:rPr>
          <w:rFonts w:ascii="Arial" w:hAnsi="Arial" w:cs="Arial"/>
          <w:sz w:val="24"/>
          <w:szCs w:val="24"/>
        </w:rPr>
        <w:t xml:space="preserve"> that the appellant must reinstate the first respondent in a similar or comparable position as the one he held prior to his dismissal, with effect 1</w:t>
      </w:r>
      <w:r w:rsidR="00327D88" w:rsidRPr="00327D88">
        <w:rPr>
          <w:rFonts w:ascii="Arial" w:hAnsi="Arial" w:cs="Arial"/>
          <w:sz w:val="24"/>
          <w:szCs w:val="24"/>
          <w:vertAlign w:val="superscript"/>
        </w:rPr>
        <w:t>st</w:t>
      </w:r>
      <w:r w:rsidR="00327D88">
        <w:rPr>
          <w:rFonts w:ascii="Arial" w:hAnsi="Arial" w:cs="Arial"/>
          <w:sz w:val="24"/>
          <w:szCs w:val="24"/>
        </w:rPr>
        <w:t xml:space="preserve"> November 2015. </w:t>
      </w:r>
    </w:p>
    <w:p w:rsidR="00327D88" w:rsidRDefault="00327D88" w:rsidP="00F07B23">
      <w:pPr>
        <w:spacing w:after="0"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341204" w:rsidRDefault="00341204" w:rsidP="00341204">
      <w:pPr>
        <w:spacing w:after="0" w:line="480" w:lineRule="auto"/>
        <w:jc w:val="both"/>
        <w:rPr>
          <w:rFonts w:ascii="Arial" w:hAnsi="Arial" w:cs="Arial"/>
          <w:b/>
          <w:sz w:val="24"/>
          <w:szCs w:val="24"/>
          <w:u w:val="single"/>
        </w:rPr>
      </w:pPr>
      <w:r w:rsidRPr="00327D88">
        <w:rPr>
          <w:rFonts w:ascii="Arial" w:hAnsi="Arial" w:cs="Arial"/>
          <w:b/>
          <w:sz w:val="24"/>
          <w:szCs w:val="24"/>
          <w:u w:val="single"/>
        </w:rPr>
        <w:t>Facts</w:t>
      </w:r>
    </w:p>
    <w:p w:rsidR="00327D88" w:rsidRPr="00584AC5" w:rsidRDefault="00341204" w:rsidP="00F07B23">
      <w:pPr>
        <w:spacing w:after="0" w:line="480" w:lineRule="auto"/>
        <w:jc w:val="both"/>
        <w:rPr>
          <w:rFonts w:ascii="Arial" w:hAnsi="Arial" w:cs="Arial"/>
          <w:sz w:val="24"/>
          <w:szCs w:val="24"/>
        </w:rPr>
      </w:pPr>
      <w:r>
        <w:rPr>
          <w:rFonts w:ascii="Arial" w:hAnsi="Arial" w:cs="Arial"/>
          <w:sz w:val="24"/>
          <w:szCs w:val="24"/>
        </w:rPr>
        <w:t xml:space="preserve"> </w:t>
      </w:r>
      <w:r w:rsidR="00327D88">
        <w:rPr>
          <w:rFonts w:ascii="Arial" w:hAnsi="Arial" w:cs="Arial"/>
          <w:sz w:val="24"/>
          <w:szCs w:val="24"/>
        </w:rPr>
        <w:t>[2]</w:t>
      </w:r>
      <w:r w:rsidR="00327D88" w:rsidRPr="00341204">
        <w:rPr>
          <w:rFonts w:ascii="Arial" w:hAnsi="Arial" w:cs="Arial"/>
          <w:sz w:val="24"/>
          <w:szCs w:val="24"/>
        </w:rPr>
        <w:tab/>
      </w:r>
      <w:r w:rsidRPr="00341204">
        <w:rPr>
          <w:rFonts w:ascii="Arial" w:hAnsi="Arial" w:cs="Arial"/>
          <w:b/>
          <w:sz w:val="24"/>
          <w:szCs w:val="24"/>
        </w:rPr>
        <w:tab/>
      </w:r>
      <w:r w:rsidR="00327D88">
        <w:rPr>
          <w:rFonts w:ascii="Arial" w:hAnsi="Arial" w:cs="Arial"/>
          <w:sz w:val="24"/>
          <w:szCs w:val="24"/>
        </w:rPr>
        <w:t>Respondent was employed by the appella</w:t>
      </w:r>
      <w:r w:rsidR="00F6195E">
        <w:rPr>
          <w:rFonts w:ascii="Arial" w:hAnsi="Arial" w:cs="Arial"/>
          <w:sz w:val="24"/>
          <w:szCs w:val="24"/>
        </w:rPr>
        <w:t>nt at a call centre with seven</w:t>
      </w:r>
      <w:r w:rsidR="00327D88">
        <w:rPr>
          <w:rFonts w:ascii="Arial" w:hAnsi="Arial" w:cs="Arial"/>
          <w:sz w:val="24"/>
          <w:szCs w:val="24"/>
        </w:rPr>
        <w:t xml:space="preserve"> other employees</w:t>
      </w:r>
      <w:r w:rsidR="00F6195E">
        <w:rPr>
          <w:rFonts w:ascii="Arial" w:hAnsi="Arial" w:cs="Arial"/>
          <w:sz w:val="24"/>
          <w:szCs w:val="24"/>
        </w:rPr>
        <w:t>.</w:t>
      </w:r>
      <w:r w:rsidR="00327D88">
        <w:rPr>
          <w:rFonts w:ascii="Arial" w:hAnsi="Arial" w:cs="Arial"/>
          <w:sz w:val="24"/>
          <w:szCs w:val="24"/>
        </w:rPr>
        <w:t xml:space="preserve"> The respondent commenced employment on 1 July 2007, in terms of</w:t>
      </w:r>
      <w:r w:rsidR="00001255">
        <w:rPr>
          <w:rFonts w:ascii="Arial" w:hAnsi="Arial" w:cs="Arial"/>
          <w:sz w:val="24"/>
          <w:szCs w:val="24"/>
        </w:rPr>
        <w:t xml:space="preserve"> a written employment agreement, and was at the time of his dismissal employed in a position of senior customer consultant, a supervisory position in the call centre.</w:t>
      </w:r>
      <w:r w:rsidR="008A2B52">
        <w:rPr>
          <w:rFonts w:ascii="Arial" w:hAnsi="Arial" w:cs="Arial"/>
          <w:sz w:val="24"/>
          <w:szCs w:val="24"/>
        </w:rPr>
        <w:t xml:space="preserve"> </w:t>
      </w:r>
      <w:r w:rsidR="00584AC5">
        <w:rPr>
          <w:rFonts w:ascii="Arial" w:hAnsi="Arial" w:cs="Arial"/>
          <w:sz w:val="24"/>
          <w:szCs w:val="24"/>
        </w:rPr>
        <w:t>He was commonly referred to as the team leader. Employees in the call centre were</w:t>
      </w:r>
      <w:r w:rsidR="008A2B52">
        <w:rPr>
          <w:rFonts w:ascii="Arial" w:hAnsi="Arial" w:cs="Arial"/>
          <w:sz w:val="24"/>
          <w:szCs w:val="24"/>
        </w:rPr>
        <w:t xml:space="preserve"> working shifts due to </w:t>
      </w:r>
      <w:r w:rsidR="007A37E3">
        <w:rPr>
          <w:rFonts w:ascii="Arial" w:hAnsi="Arial" w:cs="Arial"/>
          <w:sz w:val="24"/>
          <w:szCs w:val="24"/>
        </w:rPr>
        <w:t xml:space="preserve">the </w:t>
      </w:r>
      <w:r w:rsidR="008A2B52">
        <w:rPr>
          <w:rFonts w:ascii="Arial" w:hAnsi="Arial" w:cs="Arial"/>
          <w:sz w:val="24"/>
          <w:szCs w:val="24"/>
        </w:rPr>
        <w:t xml:space="preserve">operating hours of the centre, and remuneration was </w:t>
      </w:r>
      <w:r w:rsidR="008A2B52" w:rsidRPr="008A2B52">
        <w:rPr>
          <w:rFonts w:ascii="Arial" w:hAnsi="Arial" w:cs="Arial"/>
          <w:i/>
          <w:sz w:val="24"/>
          <w:szCs w:val="24"/>
        </w:rPr>
        <w:t>inter alia</w:t>
      </w:r>
      <w:r w:rsidR="008A2B52">
        <w:rPr>
          <w:rFonts w:ascii="Arial" w:hAnsi="Arial" w:cs="Arial"/>
          <w:sz w:val="24"/>
          <w:szCs w:val="24"/>
        </w:rPr>
        <w:t xml:space="preserve"> linked to the working hours calculated on the basis of the shifts each has worked for the month.</w:t>
      </w:r>
    </w:p>
    <w:p w:rsidR="008A2B52" w:rsidRDefault="008A2B52" w:rsidP="00F07B23">
      <w:pPr>
        <w:spacing w:after="0" w:line="480" w:lineRule="auto"/>
        <w:jc w:val="both"/>
        <w:rPr>
          <w:rFonts w:ascii="Arial" w:hAnsi="Arial" w:cs="Arial"/>
          <w:sz w:val="24"/>
          <w:szCs w:val="24"/>
        </w:rPr>
      </w:pPr>
    </w:p>
    <w:p w:rsidR="008A2B52" w:rsidRDefault="007351D3" w:rsidP="00F07B2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A2B52">
        <w:rPr>
          <w:rFonts w:ascii="Arial" w:hAnsi="Arial" w:cs="Arial"/>
          <w:sz w:val="24"/>
          <w:szCs w:val="24"/>
        </w:rPr>
        <w:t>The employees were required t</w:t>
      </w:r>
      <w:r w:rsidR="00584AC5">
        <w:rPr>
          <w:rFonts w:ascii="Arial" w:hAnsi="Arial" w:cs="Arial"/>
          <w:sz w:val="24"/>
          <w:szCs w:val="24"/>
        </w:rPr>
        <w:t>o complete daily timesheets, indicating</w:t>
      </w:r>
      <w:r w:rsidR="008A2B52">
        <w:rPr>
          <w:rFonts w:ascii="Arial" w:hAnsi="Arial" w:cs="Arial"/>
          <w:sz w:val="24"/>
          <w:szCs w:val="24"/>
        </w:rPr>
        <w:t xml:space="preserve"> the exact times worked at the centre. It is common cause that employees did not diligently do this </w:t>
      </w:r>
      <w:r w:rsidR="004602F0">
        <w:rPr>
          <w:rFonts w:ascii="Arial" w:hAnsi="Arial" w:cs="Arial"/>
          <w:sz w:val="24"/>
          <w:szCs w:val="24"/>
        </w:rPr>
        <w:t xml:space="preserve">on a daily basis </w:t>
      </w:r>
      <w:r w:rsidR="008A2B52">
        <w:rPr>
          <w:rFonts w:ascii="Arial" w:hAnsi="Arial" w:cs="Arial"/>
          <w:sz w:val="24"/>
          <w:szCs w:val="24"/>
        </w:rPr>
        <w:t>and completed the timesheets o</w:t>
      </w:r>
      <w:r w:rsidR="00741687">
        <w:rPr>
          <w:rFonts w:ascii="Arial" w:hAnsi="Arial" w:cs="Arial"/>
          <w:sz w:val="24"/>
          <w:szCs w:val="24"/>
        </w:rPr>
        <w:t>nce a month. In August 2014, an incident occurred during which an employee was locked out of the call centre, a</w:t>
      </w:r>
      <w:r w:rsidR="00584AC5">
        <w:rPr>
          <w:rFonts w:ascii="Arial" w:hAnsi="Arial" w:cs="Arial"/>
          <w:sz w:val="24"/>
          <w:szCs w:val="24"/>
        </w:rPr>
        <w:t xml:space="preserve">nd could not access the </w:t>
      </w:r>
      <w:r w:rsidR="00184258">
        <w:rPr>
          <w:rFonts w:ascii="Arial" w:hAnsi="Arial" w:cs="Arial"/>
          <w:sz w:val="24"/>
          <w:szCs w:val="24"/>
        </w:rPr>
        <w:t>centre;</w:t>
      </w:r>
      <w:r w:rsidR="007A37E3">
        <w:rPr>
          <w:rFonts w:ascii="Arial" w:hAnsi="Arial" w:cs="Arial"/>
          <w:sz w:val="24"/>
          <w:szCs w:val="24"/>
        </w:rPr>
        <w:t xml:space="preserve"> I will refer to this as</w:t>
      </w:r>
      <w:r w:rsidR="00584AC5">
        <w:rPr>
          <w:rFonts w:ascii="Arial" w:hAnsi="Arial" w:cs="Arial"/>
          <w:sz w:val="24"/>
          <w:szCs w:val="24"/>
        </w:rPr>
        <w:t xml:space="preserve"> “the lock-out incident”. </w:t>
      </w:r>
      <w:r w:rsidR="006E54D6">
        <w:rPr>
          <w:rFonts w:ascii="Arial" w:hAnsi="Arial" w:cs="Arial"/>
          <w:sz w:val="24"/>
          <w:szCs w:val="24"/>
        </w:rPr>
        <w:t>Following the lock-</w:t>
      </w:r>
      <w:r w:rsidR="00DD62A8">
        <w:rPr>
          <w:rFonts w:ascii="Arial" w:hAnsi="Arial" w:cs="Arial"/>
          <w:sz w:val="24"/>
          <w:szCs w:val="24"/>
        </w:rPr>
        <w:t>out incident</w:t>
      </w:r>
      <w:r w:rsidR="00741687">
        <w:rPr>
          <w:rFonts w:ascii="Arial" w:hAnsi="Arial" w:cs="Arial"/>
          <w:sz w:val="24"/>
          <w:szCs w:val="24"/>
        </w:rPr>
        <w:t xml:space="preserve"> the appellant decided to investigate the actual attendance of all employees in the call cent</w:t>
      </w:r>
      <w:r w:rsidR="008C14DF">
        <w:rPr>
          <w:rFonts w:ascii="Arial" w:hAnsi="Arial" w:cs="Arial"/>
          <w:sz w:val="24"/>
          <w:szCs w:val="24"/>
        </w:rPr>
        <w:t>r</w:t>
      </w:r>
      <w:r w:rsidR="00741687">
        <w:rPr>
          <w:rFonts w:ascii="Arial" w:hAnsi="Arial" w:cs="Arial"/>
          <w:sz w:val="24"/>
          <w:szCs w:val="24"/>
        </w:rPr>
        <w:t>e</w:t>
      </w:r>
      <w:r w:rsidR="006E54D6">
        <w:rPr>
          <w:rFonts w:ascii="Arial" w:hAnsi="Arial" w:cs="Arial"/>
          <w:sz w:val="24"/>
          <w:szCs w:val="24"/>
        </w:rPr>
        <w:t>. I</w:t>
      </w:r>
      <w:r w:rsidR="00741687">
        <w:rPr>
          <w:rFonts w:ascii="Arial" w:hAnsi="Arial" w:cs="Arial"/>
          <w:sz w:val="24"/>
          <w:szCs w:val="24"/>
        </w:rPr>
        <w:t>t became apparent, th</w:t>
      </w:r>
      <w:r w:rsidR="008C14DF">
        <w:rPr>
          <w:rFonts w:ascii="Arial" w:hAnsi="Arial" w:cs="Arial"/>
          <w:sz w:val="24"/>
          <w:szCs w:val="24"/>
        </w:rPr>
        <w:t>r</w:t>
      </w:r>
      <w:r w:rsidR="00741687">
        <w:rPr>
          <w:rFonts w:ascii="Arial" w:hAnsi="Arial" w:cs="Arial"/>
          <w:sz w:val="24"/>
          <w:szCs w:val="24"/>
        </w:rPr>
        <w:t xml:space="preserve">ough the scrutiny of CCTV footage, that the first respondent was </w:t>
      </w:r>
      <w:r w:rsidR="00584AC5">
        <w:rPr>
          <w:rFonts w:ascii="Arial" w:hAnsi="Arial" w:cs="Arial"/>
          <w:sz w:val="24"/>
          <w:szCs w:val="24"/>
        </w:rPr>
        <w:t>absent from work, coming late</w:t>
      </w:r>
      <w:r w:rsidR="00124876">
        <w:rPr>
          <w:rFonts w:ascii="Arial" w:hAnsi="Arial" w:cs="Arial"/>
          <w:sz w:val="24"/>
          <w:szCs w:val="24"/>
        </w:rPr>
        <w:t xml:space="preserve"> and or leaving early on dates in 2014, 26 July, 27 July, 3 August, 23 August and 24 August. </w:t>
      </w:r>
    </w:p>
    <w:p w:rsidR="008C14DF" w:rsidRDefault="008C14DF" w:rsidP="00F07B23">
      <w:pPr>
        <w:spacing w:after="0" w:line="480" w:lineRule="auto"/>
        <w:jc w:val="both"/>
        <w:rPr>
          <w:rFonts w:ascii="Arial" w:hAnsi="Arial" w:cs="Arial"/>
          <w:sz w:val="24"/>
          <w:szCs w:val="24"/>
        </w:rPr>
      </w:pPr>
    </w:p>
    <w:p w:rsidR="00741687" w:rsidRDefault="007351D3" w:rsidP="00F07B23">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C14DF">
        <w:rPr>
          <w:rFonts w:ascii="Arial" w:hAnsi="Arial" w:cs="Arial"/>
          <w:sz w:val="24"/>
          <w:szCs w:val="24"/>
        </w:rPr>
        <w:t>Appellant charged the first respondent with falsification of bank records and absence from work without a valid and fair reason.</w:t>
      </w:r>
      <w:r w:rsidR="00584AC5">
        <w:rPr>
          <w:rFonts w:ascii="Arial" w:hAnsi="Arial" w:cs="Arial"/>
          <w:sz w:val="24"/>
          <w:szCs w:val="24"/>
        </w:rPr>
        <w:t xml:space="preserve"> He was</w:t>
      </w:r>
      <w:r w:rsidR="00940A21">
        <w:rPr>
          <w:rFonts w:ascii="Arial" w:hAnsi="Arial" w:cs="Arial"/>
          <w:sz w:val="24"/>
          <w:szCs w:val="24"/>
        </w:rPr>
        <w:t xml:space="preserve"> found guilty of falsification of bank records and absence without authorization and valid reason and was dismissed.</w:t>
      </w:r>
      <w:r w:rsidR="008C14DF">
        <w:rPr>
          <w:rFonts w:ascii="Arial" w:hAnsi="Arial" w:cs="Arial"/>
          <w:sz w:val="24"/>
          <w:szCs w:val="24"/>
        </w:rPr>
        <w:t xml:space="preserve"> </w:t>
      </w:r>
      <w:r w:rsidR="003F1B3F">
        <w:rPr>
          <w:rFonts w:ascii="Arial" w:hAnsi="Arial" w:cs="Arial"/>
          <w:sz w:val="24"/>
          <w:szCs w:val="24"/>
        </w:rPr>
        <w:t>Two other call centre employees were also dismissed on similar charges</w:t>
      </w:r>
      <w:r w:rsidR="003F1B3F">
        <w:rPr>
          <w:rStyle w:val="FootnoteReference"/>
          <w:rFonts w:ascii="Arial" w:hAnsi="Arial" w:cs="Arial"/>
          <w:sz w:val="24"/>
          <w:szCs w:val="24"/>
        </w:rPr>
        <w:footnoteReference w:id="1"/>
      </w:r>
      <w:r w:rsidR="00911CCF">
        <w:rPr>
          <w:rFonts w:ascii="Arial" w:hAnsi="Arial" w:cs="Arial"/>
          <w:sz w:val="24"/>
          <w:szCs w:val="24"/>
        </w:rPr>
        <w:t xml:space="preserve"> from the same investigation.</w:t>
      </w:r>
      <w:r w:rsidR="003F1B3F">
        <w:rPr>
          <w:rFonts w:ascii="Arial" w:hAnsi="Arial" w:cs="Arial"/>
          <w:sz w:val="24"/>
          <w:szCs w:val="24"/>
        </w:rPr>
        <w:t xml:space="preserve"> </w:t>
      </w:r>
      <w:r w:rsidR="00124876">
        <w:rPr>
          <w:rFonts w:ascii="Arial" w:hAnsi="Arial" w:cs="Arial"/>
          <w:sz w:val="24"/>
          <w:szCs w:val="24"/>
        </w:rPr>
        <w:t>It was common cause between the parties at the arbit</w:t>
      </w:r>
      <w:r w:rsidR="003F1B3F">
        <w:rPr>
          <w:rFonts w:ascii="Arial" w:hAnsi="Arial" w:cs="Arial"/>
          <w:sz w:val="24"/>
          <w:szCs w:val="24"/>
        </w:rPr>
        <w:t>ration that all seven employees of the call centre</w:t>
      </w:r>
      <w:r w:rsidR="00124876">
        <w:rPr>
          <w:rFonts w:ascii="Arial" w:hAnsi="Arial" w:cs="Arial"/>
          <w:sz w:val="24"/>
          <w:szCs w:val="24"/>
        </w:rPr>
        <w:t xml:space="preserve"> falsified bank records, yet only three of them were dismissed, </w:t>
      </w:r>
      <w:r w:rsidR="003F1B3F">
        <w:rPr>
          <w:rFonts w:ascii="Arial" w:hAnsi="Arial" w:cs="Arial"/>
          <w:sz w:val="24"/>
          <w:szCs w:val="24"/>
        </w:rPr>
        <w:t xml:space="preserve">whilst the </w:t>
      </w:r>
      <w:r w:rsidR="004A42BB">
        <w:rPr>
          <w:rFonts w:ascii="Arial" w:hAnsi="Arial" w:cs="Arial"/>
          <w:sz w:val="24"/>
          <w:szCs w:val="24"/>
        </w:rPr>
        <w:t xml:space="preserve">four other employees </w:t>
      </w:r>
      <w:r w:rsidR="00124876">
        <w:rPr>
          <w:rFonts w:ascii="Arial" w:hAnsi="Arial" w:cs="Arial"/>
          <w:sz w:val="24"/>
          <w:szCs w:val="24"/>
        </w:rPr>
        <w:t>each received a written warning.</w:t>
      </w:r>
      <w:r w:rsidR="00124876">
        <w:rPr>
          <w:rStyle w:val="FootnoteReference"/>
          <w:rFonts w:ascii="Arial" w:hAnsi="Arial" w:cs="Arial"/>
          <w:sz w:val="24"/>
          <w:szCs w:val="24"/>
        </w:rPr>
        <w:footnoteReference w:id="2"/>
      </w:r>
      <w:r w:rsidR="00124876" w:rsidRPr="00124876">
        <w:rPr>
          <w:rFonts w:ascii="Arial" w:hAnsi="Arial" w:cs="Arial"/>
          <w:sz w:val="24"/>
          <w:szCs w:val="24"/>
        </w:rPr>
        <w:t xml:space="preserve"> </w:t>
      </w:r>
      <w:r w:rsidR="00491655">
        <w:rPr>
          <w:rFonts w:ascii="Arial" w:hAnsi="Arial" w:cs="Arial"/>
          <w:sz w:val="24"/>
          <w:szCs w:val="24"/>
        </w:rPr>
        <w:t xml:space="preserve"> For ease of reference I will refer to this group of four employees as the </w:t>
      </w:r>
      <w:r w:rsidR="00F3083C">
        <w:rPr>
          <w:rFonts w:ascii="Arial" w:hAnsi="Arial" w:cs="Arial"/>
          <w:sz w:val="24"/>
          <w:szCs w:val="24"/>
        </w:rPr>
        <w:t>“</w:t>
      </w:r>
      <w:r w:rsidR="00491655">
        <w:rPr>
          <w:rFonts w:ascii="Arial" w:hAnsi="Arial" w:cs="Arial"/>
          <w:sz w:val="24"/>
          <w:szCs w:val="24"/>
        </w:rPr>
        <w:t>comparable group</w:t>
      </w:r>
      <w:r w:rsidR="00F3083C">
        <w:rPr>
          <w:rFonts w:ascii="Arial" w:hAnsi="Arial" w:cs="Arial"/>
          <w:sz w:val="24"/>
          <w:szCs w:val="24"/>
        </w:rPr>
        <w:t>”</w:t>
      </w:r>
      <w:r w:rsidR="00491655">
        <w:rPr>
          <w:rFonts w:ascii="Arial" w:hAnsi="Arial" w:cs="Arial"/>
          <w:sz w:val="24"/>
          <w:szCs w:val="24"/>
        </w:rPr>
        <w:t>, going forward.</w:t>
      </w:r>
    </w:p>
    <w:p w:rsidR="00741687" w:rsidRDefault="00741687" w:rsidP="00F07B23">
      <w:pPr>
        <w:spacing w:after="0" w:line="480" w:lineRule="auto"/>
        <w:jc w:val="both"/>
        <w:rPr>
          <w:rFonts w:ascii="Arial" w:hAnsi="Arial" w:cs="Arial"/>
          <w:sz w:val="24"/>
          <w:szCs w:val="24"/>
        </w:rPr>
      </w:pPr>
    </w:p>
    <w:p w:rsidR="00A43890" w:rsidRDefault="007351D3" w:rsidP="00F07B23">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40A21">
        <w:rPr>
          <w:rFonts w:ascii="Arial" w:hAnsi="Arial" w:cs="Arial"/>
          <w:sz w:val="24"/>
          <w:szCs w:val="24"/>
        </w:rPr>
        <w:t xml:space="preserve">The first </w:t>
      </w:r>
      <w:r w:rsidR="00327D88">
        <w:rPr>
          <w:rFonts w:ascii="Arial" w:hAnsi="Arial" w:cs="Arial"/>
          <w:sz w:val="24"/>
          <w:szCs w:val="24"/>
        </w:rPr>
        <w:t xml:space="preserve">respondent </w:t>
      </w:r>
      <w:r w:rsidR="00A43890">
        <w:rPr>
          <w:rFonts w:ascii="Arial" w:hAnsi="Arial" w:cs="Arial"/>
          <w:sz w:val="24"/>
          <w:szCs w:val="24"/>
        </w:rPr>
        <w:t>appealed</w:t>
      </w:r>
      <w:r w:rsidR="00327D88">
        <w:rPr>
          <w:rFonts w:ascii="Arial" w:hAnsi="Arial" w:cs="Arial"/>
          <w:sz w:val="24"/>
          <w:szCs w:val="24"/>
        </w:rPr>
        <w:t xml:space="preserve"> the outcome of the disciplinary</w:t>
      </w:r>
      <w:r w:rsidR="00A43890">
        <w:rPr>
          <w:rFonts w:ascii="Arial" w:hAnsi="Arial" w:cs="Arial"/>
          <w:sz w:val="24"/>
          <w:szCs w:val="24"/>
        </w:rPr>
        <w:t xml:space="preserve"> hearing, the appeal </w:t>
      </w:r>
      <w:r w:rsidR="00327D88">
        <w:rPr>
          <w:rFonts w:ascii="Arial" w:hAnsi="Arial" w:cs="Arial"/>
          <w:sz w:val="24"/>
          <w:szCs w:val="24"/>
        </w:rPr>
        <w:t xml:space="preserve">was dismissed </w:t>
      </w:r>
      <w:r w:rsidR="00A43890">
        <w:rPr>
          <w:rFonts w:ascii="Arial" w:hAnsi="Arial" w:cs="Arial"/>
          <w:sz w:val="24"/>
          <w:szCs w:val="24"/>
        </w:rPr>
        <w:t>and his employment was terminated in December 2014.</w:t>
      </w:r>
      <w:r w:rsidR="00327D88">
        <w:rPr>
          <w:rStyle w:val="FootnoteReference"/>
          <w:rFonts w:ascii="Arial" w:hAnsi="Arial" w:cs="Arial"/>
          <w:sz w:val="24"/>
          <w:szCs w:val="24"/>
        </w:rPr>
        <w:footnoteReference w:id="3"/>
      </w:r>
    </w:p>
    <w:p w:rsidR="00327D88" w:rsidRDefault="00327D88" w:rsidP="00F07B23">
      <w:pPr>
        <w:spacing w:after="0" w:line="480" w:lineRule="auto"/>
        <w:jc w:val="both"/>
        <w:rPr>
          <w:rFonts w:ascii="Arial" w:hAnsi="Arial" w:cs="Arial"/>
          <w:sz w:val="24"/>
          <w:szCs w:val="24"/>
        </w:rPr>
      </w:pPr>
      <w:r>
        <w:rPr>
          <w:rFonts w:ascii="Arial" w:hAnsi="Arial" w:cs="Arial"/>
          <w:sz w:val="24"/>
          <w:szCs w:val="24"/>
        </w:rPr>
        <w:t xml:space="preserve"> </w:t>
      </w:r>
    </w:p>
    <w:p w:rsidR="00327D88" w:rsidRDefault="007351D3" w:rsidP="00F07B23">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43890">
        <w:rPr>
          <w:rFonts w:ascii="Arial" w:hAnsi="Arial" w:cs="Arial"/>
          <w:sz w:val="24"/>
          <w:szCs w:val="24"/>
        </w:rPr>
        <w:t xml:space="preserve">First respondent filed a complaint at the Office of the Labour Commissioner, under case number CRWK 107-15 and it was heard on 12 October 2015. </w:t>
      </w:r>
    </w:p>
    <w:p w:rsidR="00EA18C8" w:rsidRDefault="00EA18C8" w:rsidP="00F07B23">
      <w:pPr>
        <w:spacing w:after="0" w:line="480" w:lineRule="auto"/>
        <w:jc w:val="both"/>
        <w:rPr>
          <w:rFonts w:ascii="Arial" w:hAnsi="Arial" w:cs="Arial"/>
          <w:b/>
          <w:sz w:val="24"/>
          <w:szCs w:val="24"/>
          <w:u w:val="single"/>
        </w:rPr>
      </w:pPr>
    </w:p>
    <w:p w:rsidR="00327D88" w:rsidRDefault="00EA18C8" w:rsidP="00F07B23">
      <w:pPr>
        <w:spacing w:after="0" w:line="480" w:lineRule="auto"/>
        <w:jc w:val="both"/>
        <w:rPr>
          <w:rFonts w:ascii="Arial" w:hAnsi="Arial" w:cs="Arial"/>
          <w:b/>
          <w:sz w:val="24"/>
          <w:szCs w:val="24"/>
          <w:u w:val="single"/>
        </w:rPr>
      </w:pPr>
      <w:r>
        <w:rPr>
          <w:rFonts w:ascii="Arial" w:hAnsi="Arial" w:cs="Arial"/>
          <w:b/>
          <w:sz w:val="24"/>
          <w:szCs w:val="24"/>
          <w:u w:val="single"/>
        </w:rPr>
        <w:t>Arbitration Award</w:t>
      </w:r>
    </w:p>
    <w:p w:rsidR="007351D3" w:rsidRDefault="007351D3" w:rsidP="00F07B23">
      <w:pPr>
        <w:spacing w:after="0" w:line="480" w:lineRule="auto"/>
        <w:jc w:val="both"/>
        <w:rPr>
          <w:rFonts w:ascii="Arial" w:hAnsi="Arial" w:cs="Arial"/>
          <w:sz w:val="24"/>
          <w:szCs w:val="24"/>
        </w:rPr>
      </w:pPr>
    </w:p>
    <w:p w:rsidR="00EA18C8" w:rsidRDefault="007351D3" w:rsidP="00F07B23">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A18C8" w:rsidRPr="00EA18C8">
        <w:rPr>
          <w:rFonts w:ascii="Arial" w:hAnsi="Arial" w:cs="Arial"/>
          <w:sz w:val="24"/>
          <w:szCs w:val="24"/>
        </w:rPr>
        <w:t>The arbitrator made the following findings.</w:t>
      </w:r>
      <w:r w:rsidR="00EA18C8">
        <w:rPr>
          <w:rFonts w:ascii="Arial" w:hAnsi="Arial" w:cs="Arial"/>
          <w:sz w:val="24"/>
          <w:szCs w:val="24"/>
        </w:rPr>
        <w:t xml:space="preserve"> In respect of the charges of falsification of bank records, she confirmed this factual finding by the appellant in the internal disciplinary hearing</w:t>
      </w:r>
      <w:r w:rsidR="00EA18C8">
        <w:rPr>
          <w:rStyle w:val="FootnoteReference"/>
          <w:rFonts w:ascii="Arial" w:hAnsi="Arial" w:cs="Arial"/>
          <w:sz w:val="24"/>
          <w:szCs w:val="24"/>
        </w:rPr>
        <w:footnoteReference w:id="4"/>
      </w:r>
      <w:r w:rsidR="00EA18C8">
        <w:rPr>
          <w:rFonts w:ascii="Arial" w:hAnsi="Arial" w:cs="Arial"/>
          <w:sz w:val="24"/>
          <w:szCs w:val="24"/>
        </w:rPr>
        <w:t>. In the respect of the charge of absence without authorization and valid reason</w:t>
      </w:r>
      <w:r w:rsidR="00EC4FEE">
        <w:rPr>
          <w:rFonts w:ascii="Arial" w:hAnsi="Arial" w:cs="Arial"/>
          <w:sz w:val="24"/>
          <w:szCs w:val="24"/>
        </w:rPr>
        <w:t>, she found</w:t>
      </w:r>
      <w:r w:rsidR="00EA18C8">
        <w:rPr>
          <w:rFonts w:ascii="Arial" w:hAnsi="Arial" w:cs="Arial"/>
          <w:sz w:val="24"/>
          <w:szCs w:val="24"/>
        </w:rPr>
        <w:t xml:space="preserve">: </w:t>
      </w:r>
    </w:p>
    <w:p w:rsidR="004A42BB" w:rsidRPr="00EA18C8" w:rsidRDefault="004A42BB" w:rsidP="00F07B23">
      <w:pPr>
        <w:spacing w:after="0" w:line="480" w:lineRule="auto"/>
        <w:jc w:val="both"/>
        <w:rPr>
          <w:rFonts w:ascii="Arial" w:hAnsi="Arial" w:cs="Arial"/>
          <w:sz w:val="24"/>
          <w:szCs w:val="24"/>
        </w:rPr>
      </w:pPr>
    </w:p>
    <w:p w:rsidR="00EA18C8" w:rsidRPr="00410B7F" w:rsidRDefault="00EA18C8" w:rsidP="00F07B23">
      <w:pPr>
        <w:spacing w:after="0" w:line="480" w:lineRule="auto"/>
        <w:ind w:firstLine="720"/>
        <w:jc w:val="both"/>
        <w:rPr>
          <w:rFonts w:ascii="Arial" w:hAnsi="Arial" w:cs="Arial"/>
        </w:rPr>
      </w:pPr>
      <w:r>
        <w:rPr>
          <w:rFonts w:ascii="Arial" w:hAnsi="Arial" w:cs="Arial"/>
        </w:rPr>
        <w:t>‘</w:t>
      </w:r>
      <w:r w:rsidRPr="00410B7F">
        <w:rPr>
          <w:rFonts w:ascii="Arial" w:hAnsi="Arial" w:cs="Arial"/>
        </w:rPr>
        <w:t xml:space="preserve">In view of the above, I am inclined to believe that the applicant contravened the rules </w:t>
      </w:r>
      <w:r w:rsidR="002C3DEF">
        <w:rPr>
          <w:rFonts w:ascii="Arial" w:hAnsi="Arial" w:cs="Arial"/>
        </w:rPr>
        <w:t>or standards of falsifying the b</w:t>
      </w:r>
      <w:r w:rsidRPr="00410B7F">
        <w:rPr>
          <w:rFonts w:ascii="Arial" w:hAnsi="Arial" w:cs="Arial"/>
        </w:rPr>
        <w:t>ank records and that of absence without authorization, but I failed to find that his absence was without a valid and fair reason.</w:t>
      </w:r>
      <w:r>
        <w:rPr>
          <w:rFonts w:ascii="Arial" w:hAnsi="Arial" w:cs="Arial"/>
        </w:rPr>
        <w:t>’</w:t>
      </w:r>
      <w:r>
        <w:rPr>
          <w:rStyle w:val="FootnoteReference"/>
          <w:rFonts w:ascii="Arial" w:hAnsi="Arial" w:cs="Arial"/>
        </w:rPr>
        <w:footnoteReference w:id="5"/>
      </w:r>
    </w:p>
    <w:p w:rsidR="00EA18C8" w:rsidRDefault="00EA18C8" w:rsidP="00F07B23">
      <w:pPr>
        <w:spacing w:after="0" w:line="480" w:lineRule="auto"/>
        <w:jc w:val="both"/>
        <w:rPr>
          <w:rFonts w:ascii="Arial" w:hAnsi="Arial" w:cs="Arial"/>
          <w:b/>
          <w:sz w:val="24"/>
          <w:szCs w:val="24"/>
          <w:u w:val="single"/>
        </w:rPr>
      </w:pPr>
    </w:p>
    <w:p w:rsidR="00847151" w:rsidRDefault="007351D3" w:rsidP="00F07B23">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847151" w:rsidRPr="00847151">
        <w:rPr>
          <w:rFonts w:ascii="Arial" w:hAnsi="Arial" w:cs="Arial"/>
          <w:sz w:val="24"/>
          <w:szCs w:val="24"/>
        </w:rPr>
        <w:t xml:space="preserve">The arbitrator </w:t>
      </w:r>
      <w:r w:rsidR="002713EE">
        <w:rPr>
          <w:rFonts w:ascii="Arial" w:hAnsi="Arial" w:cs="Arial"/>
          <w:sz w:val="24"/>
          <w:szCs w:val="24"/>
        </w:rPr>
        <w:t>also made</w:t>
      </w:r>
      <w:r w:rsidR="00847151" w:rsidRPr="00847151">
        <w:rPr>
          <w:rFonts w:ascii="Arial" w:hAnsi="Arial" w:cs="Arial"/>
          <w:sz w:val="24"/>
          <w:szCs w:val="24"/>
        </w:rPr>
        <w:t xml:space="preserve"> a finding on the aspect of consistency in respect of sanctions agains</w:t>
      </w:r>
      <w:r w:rsidR="00847151">
        <w:rPr>
          <w:rFonts w:ascii="Arial" w:hAnsi="Arial" w:cs="Arial"/>
          <w:sz w:val="24"/>
          <w:szCs w:val="24"/>
        </w:rPr>
        <w:t>t</w:t>
      </w:r>
      <w:r w:rsidR="00847151" w:rsidRPr="00847151">
        <w:rPr>
          <w:rFonts w:ascii="Arial" w:hAnsi="Arial" w:cs="Arial"/>
          <w:sz w:val="24"/>
          <w:szCs w:val="24"/>
        </w:rPr>
        <w:t xml:space="preserve"> the employees</w:t>
      </w:r>
      <w:r w:rsidR="002713EE">
        <w:rPr>
          <w:rStyle w:val="FootnoteReference"/>
          <w:rFonts w:ascii="Arial" w:hAnsi="Arial" w:cs="Arial"/>
          <w:sz w:val="24"/>
          <w:szCs w:val="24"/>
        </w:rPr>
        <w:footnoteReference w:id="6"/>
      </w:r>
      <w:r w:rsidR="00847151">
        <w:rPr>
          <w:rFonts w:ascii="Arial" w:hAnsi="Arial" w:cs="Arial"/>
          <w:sz w:val="24"/>
          <w:szCs w:val="24"/>
        </w:rPr>
        <w:t>:</w:t>
      </w:r>
    </w:p>
    <w:p w:rsidR="00242169" w:rsidRDefault="00242169" w:rsidP="00F07B23">
      <w:pPr>
        <w:spacing w:after="0" w:line="480" w:lineRule="auto"/>
        <w:jc w:val="both"/>
        <w:rPr>
          <w:rFonts w:ascii="Arial" w:hAnsi="Arial" w:cs="Arial"/>
        </w:rPr>
      </w:pPr>
    </w:p>
    <w:p w:rsidR="00847151" w:rsidRPr="00242169" w:rsidRDefault="00752832" w:rsidP="00F07B23">
      <w:pPr>
        <w:spacing w:after="0" w:line="480" w:lineRule="auto"/>
        <w:ind w:firstLine="720"/>
        <w:jc w:val="both"/>
        <w:rPr>
          <w:rFonts w:ascii="Arial" w:hAnsi="Arial" w:cs="Arial"/>
        </w:rPr>
      </w:pPr>
      <w:r>
        <w:rPr>
          <w:rFonts w:ascii="Arial" w:hAnsi="Arial" w:cs="Arial"/>
        </w:rPr>
        <w:t>‘</w:t>
      </w:r>
      <w:r w:rsidR="00242169" w:rsidRPr="00242169">
        <w:rPr>
          <w:rFonts w:ascii="Arial" w:hAnsi="Arial" w:cs="Arial"/>
        </w:rPr>
        <w:t>[109]</w:t>
      </w:r>
      <w:r w:rsidR="00242169" w:rsidRPr="00242169">
        <w:rPr>
          <w:rFonts w:ascii="Arial" w:hAnsi="Arial" w:cs="Arial"/>
        </w:rPr>
        <w:tab/>
      </w:r>
      <w:r w:rsidR="00847151" w:rsidRPr="00242169">
        <w:rPr>
          <w:rFonts w:ascii="Arial" w:hAnsi="Arial" w:cs="Arial"/>
        </w:rPr>
        <w:t>Taking into consideration the circumstances of the instant matter, it is not justified in law why the respondent deemed a dismissal to be appropriate in the case of the applicant, and not in the case of the other co-employee</w:t>
      </w:r>
      <w:r w:rsidR="00BD3B22">
        <w:rPr>
          <w:rFonts w:ascii="Arial" w:hAnsi="Arial" w:cs="Arial"/>
        </w:rPr>
        <w:t>s who committed similar act(s)</w:t>
      </w:r>
      <w:r>
        <w:rPr>
          <w:rFonts w:ascii="Arial" w:hAnsi="Arial" w:cs="Arial"/>
        </w:rPr>
        <w:t xml:space="preserve"> </w:t>
      </w:r>
      <w:r w:rsidR="00BD3B22">
        <w:rPr>
          <w:rFonts w:ascii="Arial" w:hAnsi="Arial" w:cs="Arial"/>
          <w:i/>
        </w:rPr>
        <w:t>(sic)</w:t>
      </w:r>
      <w:r>
        <w:rPr>
          <w:rFonts w:ascii="Arial" w:hAnsi="Arial" w:cs="Arial"/>
        </w:rPr>
        <w:t xml:space="preserve">. </w:t>
      </w:r>
      <w:r w:rsidR="00847151" w:rsidRPr="00242169">
        <w:rPr>
          <w:rFonts w:ascii="Arial" w:hAnsi="Arial" w:cs="Arial"/>
        </w:rPr>
        <w:t>For fairness to prevail</w:t>
      </w:r>
      <w:r w:rsidR="00242169" w:rsidRPr="00242169">
        <w:rPr>
          <w:rFonts w:ascii="Arial" w:hAnsi="Arial" w:cs="Arial"/>
        </w:rPr>
        <w:t xml:space="preserve">, respondent must mete out similar punishment for similar misconduct to all offenders. Similar cases must be treated the same. </w:t>
      </w:r>
    </w:p>
    <w:p w:rsidR="00242169" w:rsidRPr="00242169" w:rsidRDefault="00242169" w:rsidP="00F07B23">
      <w:pPr>
        <w:spacing w:after="0" w:line="480" w:lineRule="auto"/>
        <w:jc w:val="both"/>
        <w:rPr>
          <w:rFonts w:ascii="Arial" w:hAnsi="Arial" w:cs="Arial"/>
        </w:rPr>
      </w:pPr>
    </w:p>
    <w:p w:rsidR="00242169" w:rsidRPr="00242169" w:rsidRDefault="00242169" w:rsidP="00F07B23">
      <w:pPr>
        <w:spacing w:after="0" w:line="480" w:lineRule="auto"/>
        <w:jc w:val="both"/>
        <w:rPr>
          <w:rFonts w:ascii="Arial" w:hAnsi="Arial" w:cs="Arial"/>
        </w:rPr>
      </w:pPr>
      <w:r>
        <w:rPr>
          <w:rFonts w:ascii="Arial" w:hAnsi="Arial" w:cs="Arial"/>
        </w:rPr>
        <w:t>[110]</w:t>
      </w:r>
      <w:r>
        <w:rPr>
          <w:rFonts w:ascii="Arial" w:hAnsi="Arial" w:cs="Arial"/>
        </w:rPr>
        <w:tab/>
      </w:r>
      <w:r w:rsidRPr="00242169">
        <w:rPr>
          <w:rFonts w:ascii="Arial" w:hAnsi="Arial" w:cs="Arial"/>
        </w:rPr>
        <w:t>In light of the above, I am inclined to believe that there was no consistency in the application of the rules of standard.</w:t>
      </w:r>
      <w:r w:rsidR="00CB6515">
        <w:rPr>
          <w:rFonts w:ascii="Arial" w:hAnsi="Arial" w:cs="Arial"/>
        </w:rPr>
        <w:t>’</w:t>
      </w:r>
    </w:p>
    <w:p w:rsidR="00847151" w:rsidRDefault="00847151" w:rsidP="00F07B23">
      <w:pPr>
        <w:spacing w:after="0" w:line="480" w:lineRule="auto"/>
        <w:jc w:val="both"/>
        <w:rPr>
          <w:rFonts w:ascii="Arial" w:hAnsi="Arial" w:cs="Arial"/>
          <w:sz w:val="24"/>
          <w:szCs w:val="24"/>
        </w:rPr>
      </w:pPr>
    </w:p>
    <w:p w:rsidR="00EA18C8" w:rsidRPr="007B52B0" w:rsidRDefault="007351D3" w:rsidP="00F07B23">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210A2">
        <w:rPr>
          <w:rFonts w:ascii="Arial" w:hAnsi="Arial" w:cs="Arial"/>
          <w:sz w:val="24"/>
          <w:szCs w:val="24"/>
        </w:rPr>
        <w:t xml:space="preserve">She </w:t>
      </w:r>
      <w:r w:rsidR="00EA18C8">
        <w:rPr>
          <w:rFonts w:ascii="Arial" w:hAnsi="Arial" w:cs="Arial"/>
          <w:sz w:val="24"/>
          <w:szCs w:val="24"/>
        </w:rPr>
        <w:t>made the following order:</w:t>
      </w:r>
    </w:p>
    <w:p w:rsidR="00EA18C8" w:rsidRPr="007B52B0" w:rsidRDefault="00EA18C8" w:rsidP="00F07B23">
      <w:pPr>
        <w:pStyle w:val="ListParagraph"/>
        <w:numPr>
          <w:ilvl w:val="0"/>
          <w:numId w:val="7"/>
        </w:numPr>
        <w:spacing w:after="0" w:line="480" w:lineRule="auto"/>
        <w:jc w:val="both"/>
        <w:rPr>
          <w:rFonts w:ascii="Arial" w:hAnsi="Arial" w:cs="Arial"/>
          <w:sz w:val="24"/>
          <w:szCs w:val="24"/>
        </w:rPr>
      </w:pPr>
      <w:r w:rsidRPr="007B52B0">
        <w:rPr>
          <w:rFonts w:ascii="Arial" w:hAnsi="Arial" w:cs="Arial"/>
          <w:sz w:val="24"/>
          <w:szCs w:val="24"/>
        </w:rPr>
        <w:t>That the first respondent’s dismissal was substantially unfair.</w:t>
      </w:r>
    </w:p>
    <w:p w:rsidR="00EA18C8" w:rsidRPr="007B52B0" w:rsidRDefault="00EA18C8" w:rsidP="00F07B23">
      <w:pPr>
        <w:pStyle w:val="ListParagraph"/>
        <w:numPr>
          <w:ilvl w:val="0"/>
          <w:numId w:val="7"/>
        </w:numPr>
        <w:spacing w:after="0" w:line="480" w:lineRule="auto"/>
        <w:jc w:val="both"/>
        <w:rPr>
          <w:rFonts w:ascii="Arial" w:hAnsi="Arial" w:cs="Arial"/>
          <w:sz w:val="24"/>
          <w:szCs w:val="24"/>
        </w:rPr>
      </w:pPr>
      <w:r w:rsidRPr="007B52B0">
        <w:rPr>
          <w:rFonts w:ascii="Arial" w:hAnsi="Arial" w:cs="Arial"/>
          <w:sz w:val="24"/>
          <w:szCs w:val="24"/>
        </w:rPr>
        <w:t xml:space="preserve">That the appellant must reinstate the first respondent in a similar or comparable position as the one he had held prior to his dismissal. The </w:t>
      </w:r>
      <w:r w:rsidR="005210A2" w:rsidRPr="007B52B0">
        <w:rPr>
          <w:rFonts w:ascii="Arial" w:hAnsi="Arial" w:cs="Arial"/>
          <w:sz w:val="24"/>
          <w:szCs w:val="24"/>
        </w:rPr>
        <w:t>reinstatement</w:t>
      </w:r>
      <w:r w:rsidRPr="007B52B0">
        <w:rPr>
          <w:rFonts w:ascii="Arial" w:hAnsi="Arial" w:cs="Arial"/>
          <w:sz w:val="24"/>
          <w:szCs w:val="24"/>
        </w:rPr>
        <w:t xml:space="preserve"> to take effect from 1</w:t>
      </w:r>
      <w:r w:rsidRPr="007B52B0">
        <w:rPr>
          <w:rFonts w:ascii="Arial" w:hAnsi="Arial" w:cs="Arial"/>
          <w:sz w:val="24"/>
          <w:szCs w:val="24"/>
          <w:vertAlign w:val="superscript"/>
        </w:rPr>
        <w:t>st</w:t>
      </w:r>
      <w:r w:rsidRPr="007B52B0">
        <w:rPr>
          <w:rFonts w:ascii="Arial" w:hAnsi="Arial" w:cs="Arial"/>
          <w:sz w:val="24"/>
          <w:szCs w:val="24"/>
        </w:rPr>
        <w:t xml:space="preserve"> of November 2015.</w:t>
      </w:r>
    </w:p>
    <w:p w:rsidR="00EA18C8" w:rsidRPr="007B52B0" w:rsidRDefault="00EA18C8" w:rsidP="00F07B23">
      <w:pPr>
        <w:pStyle w:val="ListParagraph"/>
        <w:numPr>
          <w:ilvl w:val="0"/>
          <w:numId w:val="7"/>
        </w:numPr>
        <w:spacing w:after="0" w:line="480" w:lineRule="auto"/>
        <w:jc w:val="both"/>
        <w:rPr>
          <w:rFonts w:ascii="Arial" w:hAnsi="Arial" w:cs="Arial"/>
          <w:sz w:val="24"/>
          <w:szCs w:val="24"/>
        </w:rPr>
      </w:pPr>
      <w:r w:rsidRPr="007B52B0">
        <w:rPr>
          <w:rFonts w:ascii="Arial" w:hAnsi="Arial" w:cs="Arial"/>
          <w:sz w:val="24"/>
          <w:szCs w:val="24"/>
        </w:rPr>
        <w:t>That the appellant must pay the first respondent an amount of N$ 165 000, (thus being his salary for 11 months), as compensation for loss of income</w:t>
      </w:r>
      <w:r w:rsidR="005210A2" w:rsidRPr="007B52B0">
        <w:rPr>
          <w:rFonts w:ascii="Arial" w:hAnsi="Arial" w:cs="Arial"/>
          <w:sz w:val="24"/>
          <w:szCs w:val="24"/>
        </w:rPr>
        <w:t>.</w:t>
      </w:r>
    </w:p>
    <w:p w:rsidR="005210A2" w:rsidRPr="007B52B0" w:rsidRDefault="005210A2" w:rsidP="00F07B23">
      <w:pPr>
        <w:pStyle w:val="ListParagraph"/>
        <w:numPr>
          <w:ilvl w:val="0"/>
          <w:numId w:val="7"/>
        </w:numPr>
        <w:spacing w:after="0" w:line="480" w:lineRule="auto"/>
        <w:jc w:val="both"/>
        <w:rPr>
          <w:rFonts w:ascii="Arial" w:hAnsi="Arial" w:cs="Arial"/>
          <w:sz w:val="24"/>
          <w:szCs w:val="24"/>
        </w:rPr>
      </w:pPr>
      <w:r w:rsidRPr="007B52B0">
        <w:rPr>
          <w:rFonts w:ascii="Arial" w:hAnsi="Arial" w:cs="Arial"/>
          <w:sz w:val="24"/>
          <w:szCs w:val="24"/>
        </w:rPr>
        <w:t>No order was made as to costs.</w:t>
      </w:r>
    </w:p>
    <w:p w:rsidR="005210A2" w:rsidRPr="00327D88" w:rsidRDefault="005210A2" w:rsidP="00F07B23">
      <w:pPr>
        <w:spacing w:after="0" w:line="480" w:lineRule="auto"/>
        <w:jc w:val="both"/>
        <w:rPr>
          <w:rFonts w:ascii="Arial" w:hAnsi="Arial" w:cs="Arial"/>
          <w:b/>
          <w:sz w:val="24"/>
          <w:szCs w:val="24"/>
          <w:u w:val="single"/>
        </w:rPr>
      </w:pPr>
    </w:p>
    <w:p w:rsidR="005448AA" w:rsidRDefault="007351D3" w:rsidP="00F07B23">
      <w:pPr>
        <w:spacing w:after="0" w:line="480" w:lineRule="auto"/>
        <w:jc w:val="both"/>
        <w:rPr>
          <w:rFonts w:ascii="Arial" w:hAnsi="Arial" w:cs="Arial"/>
          <w:b/>
          <w:sz w:val="24"/>
          <w:szCs w:val="24"/>
          <w:u w:val="single"/>
        </w:rPr>
      </w:pPr>
      <w:r>
        <w:rPr>
          <w:rFonts w:ascii="Arial" w:hAnsi="Arial" w:cs="Arial"/>
          <w:b/>
          <w:sz w:val="24"/>
          <w:szCs w:val="24"/>
          <w:u w:val="single"/>
        </w:rPr>
        <w:t>Grounds of Appeal</w:t>
      </w:r>
      <w:r w:rsidR="00E13983">
        <w:rPr>
          <w:rFonts w:ascii="Arial" w:hAnsi="Arial" w:cs="Arial"/>
          <w:b/>
          <w:sz w:val="24"/>
          <w:szCs w:val="24"/>
          <w:u w:val="single"/>
        </w:rPr>
        <w:t xml:space="preserve"> and Key submissions</w:t>
      </w:r>
    </w:p>
    <w:p w:rsidR="007351D3" w:rsidRPr="005448AA" w:rsidRDefault="007351D3" w:rsidP="00F07B23">
      <w:pPr>
        <w:spacing w:after="0" w:line="480" w:lineRule="auto"/>
        <w:jc w:val="both"/>
        <w:rPr>
          <w:rFonts w:ascii="Arial" w:hAnsi="Arial" w:cs="Arial"/>
          <w:b/>
          <w:sz w:val="24"/>
          <w:szCs w:val="24"/>
          <w:u w:val="single"/>
        </w:rPr>
      </w:pPr>
    </w:p>
    <w:p w:rsidR="00000A1D" w:rsidRDefault="007351D3" w:rsidP="00F07B23">
      <w:pPr>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448AA">
        <w:rPr>
          <w:rFonts w:ascii="Arial" w:hAnsi="Arial" w:cs="Arial"/>
          <w:sz w:val="24"/>
          <w:szCs w:val="24"/>
        </w:rPr>
        <w:t>Ms. Angu</w:t>
      </w:r>
      <w:r w:rsidR="00254CB1">
        <w:rPr>
          <w:rFonts w:ascii="Arial" w:hAnsi="Arial" w:cs="Arial"/>
          <w:sz w:val="24"/>
          <w:szCs w:val="24"/>
        </w:rPr>
        <w:t>I</w:t>
      </w:r>
      <w:r w:rsidR="005448AA">
        <w:rPr>
          <w:rFonts w:ascii="Arial" w:hAnsi="Arial" w:cs="Arial"/>
          <w:sz w:val="24"/>
          <w:szCs w:val="24"/>
        </w:rPr>
        <w:t xml:space="preserve">a acted on behalf of the appellant. The </w:t>
      </w:r>
      <w:r w:rsidR="00000A1D">
        <w:rPr>
          <w:rFonts w:ascii="Arial" w:hAnsi="Arial" w:cs="Arial"/>
          <w:sz w:val="24"/>
          <w:szCs w:val="24"/>
        </w:rPr>
        <w:t xml:space="preserve">appeal </w:t>
      </w:r>
      <w:r w:rsidR="005448AA">
        <w:rPr>
          <w:rFonts w:ascii="Arial" w:hAnsi="Arial" w:cs="Arial"/>
          <w:sz w:val="24"/>
          <w:szCs w:val="24"/>
        </w:rPr>
        <w:t xml:space="preserve">was filed </w:t>
      </w:r>
      <w:r w:rsidR="00000A1D">
        <w:rPr>
          <w:rFonts w:ascii="Arial" w:hAnsi="Arial" w:cs="Arial"/>
          <w:sz w:val="24"/>
          <w:szCs w:val="24"/>
        </w:rPr>
        <w:t>on the following grounds</w:t>
      </w:r>
      <w:r w:rsidR="00451806">
        <w:rPr>
          <w:rStyle w:val="FootnoteReference"/>
          <w:rFonts w:ascii="Arial" w:hAnsi="Arial" w:cs="Arial"/>
        </w:rPr>
        <w:footnoteReference w:id="7"/>
      </w:r>
      <w:r w:rsidR="00000A1D">
        <w:rPr>
          <w:rFonts w:ascii="Arial" w:hAnsi="Arial" w:cs="Arial"/>
          <w:sz w:val="24"/>
          <w:szCs w:val="24"/>
        </w:rPr>
        <w:t>:</w:t>
      </w:r>
    </w:p>
    <w:p w:rsidR="00000A1D" w:rsidRDefault="005720D7" w:rsidP="00F07B23">
      <w:pPr>
        <w:spacing w:after="0" w:line="480" w:lineRule="auto"/>
        <w:jc w:val="both"/>
        <w:rPr>
          <w:rFonts w:ascii="Arial" w:hAnsi="Arial" w:cs="Arial"/>
          <w:sz w:val="24"/>
          <w:szCs w:val="24"/>
        </w:rPr>
      </w:pPr>
      <w:r>
        <w:rPr>
          <w:rFonts w:ascii="Arial" w:hAnsi="Arial" w:cs="Arial"/>
          <w:sz w:val="24"/>
          <w:szCs w:val="24"/>
        </w:rPr>
        <w:t>‘</w:t>
      </w:r>
    </w:p>
    <w:p w:rsidR="00BE3562" w:rsidRPr="00586A39" w:rsidRDefault="00BE3562" w:rsidP="005720D7">
      <w:pPr>
        <w:pStyle w:val="ListParagraph"/>
        <w:numPr>
          <w:ilvl w:val="1"/>
          <w:numId w:val="4"/>
        </w:numPr>
        <w:spacing w:after="0" w:line="360" w:lineRule="auto"/>
        <w:jc w:val="both"/>
        <w:rPr>
          <w:rFonts w:ascii="Arial" w:hAnsi="Arial" w:cs="Arial"/>
        </w:rPr>
      </w:pPr>
      <w:r w:rsidRPr="00586A39">
        <w:rPr>
          <w:rFonts w:ascii="Arial" w:hAnsi="Arial" w:cs="Arial"/>
        </w:rPr>
        <w:t xml:space="preserve">First question of law - </w:t>
      </w:r>
      <w:r w:rsidR="00000A1D" w:rsidRPr="00586A39">
        <w:rPr>
          <w:rFonts w:ascii="Arial" w:hAnsi="Arial" w:cs="Arial"/>
        </w:rPr>
        <w:t xml:space="preserve">The arbitrator </w:t>
      </w:r>
      <w:r w:rsidRPr="00586A39">
        <w:rPr>
          <w:rFonts w:ascii="Arial" w:hAnsi="Arial" w:cs="Arial"/>
        </w:rPr>
        <w:t>erred in law when, on the evidence placed before her, she concluded that the respondent was unduly found guilty and dismissed on both charges</w:t>
      </w:r>
      <w:r w:rsidR="00E6440C" w:rsidRPr="00586A39">
        <w:rPr>
          <w:rFonts w:ascii="Arial" w:hAnsi="Arial" w:cs="Arial"/>
        </w:rPr>
        <w:t xml:space="preserve"> of</w:t>
      </w:r>
      <w:r w:rsidRPr="00586A39">
        <w:rPr>
          <w:rFonts w:ascii="Arial" w:hAnsi="Arial" w:cs="Arial"/>
        </w:rPr>
        <w:t xml:space="preserve"> falsification</w:t>
      </w:r>
      <w:r w:rsidR="00E6440C" w:rsidRPr="00586A39">
        <w:rPr>
          <w:rFonts w:ascii="Arial" w:hAnsi="Arial" w:cs="Arial"/>
        </w:rPr>
        <w:t xml:space="preserve"> of appellant’s </w:t>
      </w:r>
      <w:r w:rsidRPr="00586A39">
        <w:rPr>
          <w:rFonts w:ascii="Arial" w:hAnsi="Arial" w:cs="Arial"/>
        </w:rPr>
        <w:t xml:space="preserve">records and being absent </w:t>
      </w:r>
      <w:r w:rsidR="00E6440C" w:rsidRPr="00586A39">
        <w:rPr>
          <w:rFonts w:ascii="Arial" w:hAnsi="Arial" w:cs="Arial"/>
        </w:rPr>
        <w:t xml:space="preserve">from work, without a valid </w:t>
      </w:r>
      <w:r w:rsidRPr="00586A39">
        <w:rPr>
          <w:rFonts w:ascii="Arial" w:hAnsi="Arial" w:cs="Arial"/>
        </w:rPr>
        <w:t>reason.</w:t>
      </w:r>
      <w:r w:rsidR="00E6440C" w:rsidRPr="00586A39">
        <w:rPr>
          <w:rFonts w:ascii="Arial" w:hAnsi="Arial" w:cs="Arial"/>
        </w:rPr>
        <w:t xml:space="preserve"> She erred in law in failing to apply the appropriate test to the facts in determining this issue.</w:t>
      </w:r>
    </w:p>
    <w:p w:rsidR="00561769" w:rsidRPr="00586A39" w:rsidRDefault="00561769" w:rsidP="005720D7">
      <w:pPr>
        <w:pStyle w:val="ListParagraph"/>
        <w:spacing w:after="0" w:line="360" w:lineRule="auto"/>
        <w:ind w:left="1080"/>
        <w:jc w:val="both"/>
        <w:rPr>
          <w:rFonts w:ascii="Arial" w:hAnsi="Arial" w:cs="Arial"/>
        </w:rPr>
      </w:pPr>
    </w:p>
    <w:p w:rsidR="001807AC" w:rsidRPr="00586A39" w:rsidRDefault="00561769" w:rsidP="005720D7">
      <w:pPr>
        <w:pStyle w:val="ListParagraph"/>
        <w:numPr>
          <w:ilvl w:val="1"/>
          <w:numId w:val="4"/>
        </w:numPr>
        <w:spacing w:after="0" w:line="360" w:lineRule="auto"/>
        <w:jc w:val="both"/>
        <w:rPr>
          <w:rFonts w:ascii="Arial" w:hAnsi="Arial" w:cs="Arial"/>
        </w:rPr>
      </w:pPr>
      <w:r w:rsidRPr="00586A39">
        <w:rPr>
          <w:rFonts w:ascii="Arial" w:hAnsi="Arial" w:cs="Arial"/>
        </w:rPr>
        <w:t xml:space="preserve">Second question of law – </w:t>
      </w:r>
      <w:r w:rsidR="00581EB7" w:rsidRPr="00586A39">
        <w:rPr>
          <w:rFonts w:ascii="Arial" w:hAnsi="Arial" w:cs="Arial"/>
        </w:rPr>
        <w:t>‘</w:t>
      </w:r>
      <w:r w:rsidRPr="00586A39">
        <w:rPr>
          <w:rFonts w:ascii="Arial" w:hAnsi="Arial" w:cs="Arial"/>
        </w:rPr>
        <w:t>The arbitrator erred in law, in finding that the respondent’s circumstances in contravention of the appellant’s policies and rules were comparable to other employees. There is no evidence on record from which this finding could follow.</w:t>
      </w:r>
    </w:p>
    <w:p w:rsidR="001807AC" w:rsidRPr="00586A39" w:rsidRDefault="001807AC" w:rsidP="005720D7">
      <w:pPr>
        <w:pStyle w:val="ListParagraph"/>
        <w:spacing w:line="360" w:lineRule="auto"/>
        <w:rPr>
          <w:rFonts w:ascii="Arial" w:hAnsi="Arial" w:cs="Arial"/>
        </w:rPr>
      </w:pPr>
    </w:p>
    <w:p w:rsidR="001807AC" w:rsidRPr="00586A39" w:rsidRDefault="001807AC" w:rsidP="005720D7">
      <w:pPr>
        <w:pStyle w:val="ListParagraph"/>
        <w:numPr>
          <w:ilvl w:val="1"/>
          <w:numId w:val="4"/>
        </w:numPr>
        <w:spacing w:after="0" w:line="360" w:lineRule="auto"/>
        <w:jc w:val="both"/>
        <w:rPr>
          <w:rFonts w:ascii="Arial" w:hAnsi="Arial" w:cs="Arial"/>
        </w:rPr>
      </w:pPr>
      <w:r w:rsidRPr="00586A39">
        <w:rPr>
          <w:rFonts w:ascii="Arial" w:hAnsi="Arial" w:cs="Arial"/>
        </w:rPr>
        <w:t xml:space="preserve">Third question </w:t>
      </w:r>
      <w:r w:rsidR="00CA49D8" w:rsidRPr="00586A39">
        <w:rPr>
          <w:rFonts w:ascii="Arial" w:hAnsi="Arial" w:cs="Arial"/>
        </w:rPr>
        <w:t xml:space="preserve">of law </w:t>
      </w:r>
      <w:r w:rsidRPr="00586A39">
        <w:rPr>
          <w:rFonts w:ascii="Arial" w:hAnsi="Arial" w:cs="Arial"/>
        </w:rPr>
        <w:t xml:space="preserve">– </w:t>
      </w:r>
      <w:r w:rsidR="005720D7">
        <w:rPr>
          <w:rFonts w:ascii="Arial" w:hAnsi="Arial" w:cs="Arial"/>
        </w:rPr>
        <w:t>T</w:t>
      </w:r>
      <w:r w:rsidRPr="00586A39">
        <w:rPr>
          <w:rFonts w:ascii="Arial" w:hAnsi="Arial" w:cs="Arial"/>
        </w:rPr>
        <w:t>he arbitrator erred in law in finding that the respondent’s recording of incorrect time entries , although amounting to falsification should not attract any disciplinary sanction from the appell</w:t>
      </w:r>
      <w:r w:rsidR="002B6B33" w:rsidRPr="00586A39">
        <w:rPr>
          <w:rFonts w:ascii="Arial" w:hAnsi="Arial" w:cs="Arial"/>
        </w:rPr>
        <w:t>ant because of the respondent</w:t>
      </w:r>
      <w:r w:rsidR="00075264" w:rsidRPr="00586A39">
        <w:rPr>
          <w:rFonts w:ascii="Arial" w:hAnsi="Arial" w:cs="Arial"/>
        </w:rPr>
        <w:t>’s perceived ignorance of the rule and because such practice had purportedly, become common practice amongst employees of the appellant.</w:t>
      </w:r>
    </w:p>
    <w:p w:rsidR="00CA49D8" w:rsidRPr="00586A39" w:rsidRDefault="00CA49D8" w:rsidP="005720D7">
      <w:pPr>
        <w:pStyle w:val="ListParagraph"/>
        <w:spacing w:line="360" w:lineRule="auto"/>
        <w:rPr>
          <w:rFonts w:ascii="Arial" w:hAnsi="Arial" w:cs="Arial"/>
        </w:rPr>
      </w:pPr>
    </w:p>
    <w:p w:rsidR="00CA49D8" w:rsidRPr="00586A39" w:rsidRDefault="00CA49D8" w:rsidP="005720D7">
      <w:pPr>
        <w:pStyle w:val="ListParagraph"/>
        <w:numPr>
          <w:ilvl w:val="1"/>
          <w:numId w:val="4"/>
        </w:numPr>
        <w:spacing w:after="0" w:line="360" w:lineRule="auto"/>
        <w:jc w:val="both"/>
        <w:rPr>
          <w:rFonts w:ascii="Arial" w:hAnsi="Arial" w:cs="Arial"/>
        </w:rPr>
      </w:pPr>
      <w:r w:rsidRPr="00586A39">
        <w:rPr>
          <w:rFonts w:ascii="Arial" w:hAnsi="Arial" w:cs="Arial"/>
        </w:rPr>
        <w:t>Fourth question of law</w:t>
      </w:r>
      <w:r w:rsidR="005720D7">
        <w:rPr>
          <w:rFonts w:ascii="Arial" w:hAnsi="Arial" w:cs="Arial"/>
        </w:rPr>
        <w:t xml:space="preserve"> – </w:t>
      </w:r>
      <w:r w:rsidR="00581EB7" w:rsidRPr="00586A39">
        <w:rPr>
          <w:rFonts w:ascii="Arial" w:hAnsi="Arial" w:cs="Arial"/>
        </w:rPr>
        <w:t>T</w:t>
      </w:r>
      <w:r w:rsidRPr="00586A39">
        <w:rPr>
          <w:rFonts w:ascii="Arial" w:hAnsi="Arial" w:cs="Arial"/>
        </w:rPr>
        <w:t xml:space="preserve">he arbitrator erred in law in finding that the trust relationship between the respondent and the appellant has broken down merely because other employees were purportedly in a similar situation. As such the argument goes that the trust relationship between the appellant and the respondent could not have been broken. The arbitrator’s finding on this aspect is one of which no arbitrator could reasonably have arrived. </w:t>
      </w:r>
    </w:p>
    <w:p w:rsidR="00CA49D8" w:rsidRPr="00586A39" w:rsidRDefault="00CA49D8" w:rsidP="005720D7">
      <w:pPr>
        <w:pStyle w:val="ListParagraph"/>
        <w:spacing w:line="360" w:lineRule="auto"/>
        <w:rPr>
          <w:rFonts w:ascii="Arial" w:hAnsi="Arial" w:cs="Arial"/>
        </w:rPr>
      </w:pPr>
    </w:p>
    <w:p w:rsidR="00CA49D8" w:rsidRPr="00586A39" w:rsidRDefault="00CA49D8" w:rsidP="005720D7">
      <w:pPr>
        <w:pStyle w:val="ListParagraph"/>
        <w:numPr>
          <w:ilvl w:val="1"/>
          <w:numId w:val="4"/>
        </w:numPr>
        <w:spacing w:after="0" w:line="360" w:lineRule="auto"/>
        <w:jc w:val="both"/>
        <w:rPr>
          <w:rFonts w:ascii="Arial" w:hAnsi="Arial" w:cs="Arial"/>
        </w:rPr>
      </w:pPr>
      <w:r w:rsidRPr="00586A39">
        <w:rPr>
          <w:rFonts w:ascii="Arial" w:hAnsi="Arial" w:cs="Arial"/>
        </w:rPr>
        <w:t>Fifth question of law – the arbitrator erred in law in failing to take into account the respondent’s</w:t>
      </w:r>
      <w:r w:rsidR="00581EB7" w:rsidRPr="00586A39">
        <w:rPr>
          <w:rFonts w:ascii="Arial" w:hAnsi="Arial" w:cs="Arial"/>
        </w:rPr>
        <w:t xml:space="preserve"> seniority and position of supervision in the workplace in assessing t</w:t>
      </w:r>
      <w:r w:rsidR="00586A39">
        <w:rPr>
          <w:rFonts w:ascii="Arial" w:hAnsi="Arial" w:cs="Arial"/>
        </w:rPr>
        <w:t>he ramifications of his conduct</w:t>
      </w:r>
      <w:r w:rsidR="00581EB7" w:rsidRPr="00586A39">
        <w:rPr>
          <w:rFonts w:ascii="Arial" w:hAnsi="Arial" w:cs="Arial"/>
        </w:rPr>
        <w:t xml:space="preserve"> </w:t>
      </w:r>
      <w:r w:rsidR="00586A39">
        <w:rPr>
          <w:rFonts w:ascii="Arial" w:hAnsi="Arial" w:cs="Arial"/>
        </w:rPr>
        <w:t>‘</w:t>
      </w:r>
    </w:p>
    <w:p w:rsidR="00EC4FEE" w:rsidRDefault="00EC4FEE" w:rsidP="00F07B23">
      <w:pPr>
        <w:spacing w:after="0" w:line="480" w:lineRule="auto"/>
        <w:jc w:val="both"/>
        <w:rPr>
          <w:rFonts w:ascii="Arial" w:hAnsi="Arial" w:cs="Arial"/>
          <w:sz w:val="24"/>
          <w:szCs w:val="24"/>
        </w:rPr>
      </w:pPr>
    </w:p>
    <w:p w:rsidR="005448AA" w:rsidRDefault="007351D3" w:rsidP="00F07B23">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448AA" w:rsidRPr="005A6EA4">
        <w:rPr>
          <w:rFonts w:ascii="Arial" w:hAnsi="Arial" w:cs="Arial"/>
          <w:sz w:val="24"/>
          <w:szCs w:val="24"/>
        </w:rPr>
        <w:t xml:space="preserve">Ms. </w:t>
      </w:r>
      <w:r w:rsidR="00DD62A8" w:rsidRPr="005A6EA4">
        <w:rPr>
          <w:rFonts w:ascii="Arial" w:hAnsi="Arial" w:cs="Arial"/>
          <w:sz w:val="24"/>
          <w:szCs w:val="24"/>
        </w:rPr>
        <w:t>Angula</w:t>
      </w:r>
      <w:r w:rsidR="005448AA" w:rsidRPr="005A6EA4">
        <w:rPr>
          <w:rFonts w:ascii="Arial" w:hAnsi="Arial" w:cs="Arial"/>
          <w:sz w:val="24"/>
          <w:szCs w:val="24"/>
        </w:rPr>
        <w:t xml:space="preserve"> </w:t>
      </w:r>
      <w:r w:rsidR="005448AA">
        <w:rPr>
          <w:rFonts w:ascii="Arial" w:hAnsi="Arial" w:cs="Arial"/>
          <w:sz w:val="24"/>
          <w:szCs w:val="24"/>
        </w:rPr>
        <w:t>did not deal with all th</w:t>
      </w:r>
      <w:r w:rsidR="00451806">
        <w:rPr>
          <w:rFonts w:ascii="Arial" w:hAnsi="Arial" w:cs="Arial"/>
          <w:sz w:val="24"/>
          <w:szCs w:val="24"/>
        </w:rPr>
        <w:t>e grounds of appeal in the above stated order</w:t>
      </w:r>
      <w:r w:rsidR="00120C3B">
        <w:rPr>
          <w:rFonts w:ascii="Arial" w:hAnsi="Arial" w:cs="Arial"/>
          <w:sz w:val="24"/>
          <w:szCs w:val="24"/>
        </w:rPr>
        <w:t xml:space="preserve"> in her heads of argument;</w:t>
      </w:r>
      <w:r w:rsidR="005448AA">
        <w:rPr>
          <w:rFonts w:ascii="Arial" w:hAnsi="Arial" w:cs="Arial"/>
          <w:sz w:val="24"/>
          <w:szCs w:val="24"/>
        </w:rPr>
        <w:t xml:space="preserve"> her heads centered around two main </w:t>
      </w:r>
      <w:r w:rsidR="00EC4FEE">
        <w:rPr>
          <w:rFonts w:ascii="Arial" w:hAnsi="Arial" w:cs="Arial"/>
          <w:sz w:val="24"/>
          <w:szCs w:val="24"/>
        </w:rPr>
        <w:t>lines of argument</w:t>
      </w:r>
      <w:r w:rsidR="005448AA">
        <w:rPr>
          <w:rFonts w:ascii="Arial" w:hAnsi="Arial" w:cs="Arial"/>
          <w:sz w:val="24"/>
          <w:szCs w:val="24"/>
        </w:rPr>
        <w:t>:</w:t>
      </w:r>
    </w:p>
    <w:p w:rsidR="005448AA" w:rsidRDefault="005448AA" w:rsidP="00F07B23">
      <w:pPr>
        <w:spacing w:after="0" w:line="480" w:lineRule="auto"/>
        <w:jc w:val="both"/>
        <w:rPr>
          <w:rFonts w:ascii="Arial" w:hAnsi="Arial" w:cs="Arial"/>
          <w:sz w:val="24"/>
          <w:szCs w:val="24"/>
        </w:rPr>
      </w:pPr>
    </w:p>
    <w:p w:rsidR="005448AA" w:rsidRDefault="005448AA" w:rsidP="00F07B23">
      <w:pPr>
        <w:pStyle w:val="ListParagraph"/>
        <w:numPr>
          <w:ilvl w:val="0"/>
          <w:numId w:val="5"/>
        </w:numPr>
        <w:spacing w:after="0" w:line="480" w:lineRule="auto"/>
        <w:jc w:val="both"/>
        <w:rPr>
          <w:rFonts w:ascii="Arial" w:hAnsi="Arial" w:cs="Arial"/>
          <w:sz w:val="24"/>
          <w:szCs w:val="24"/>
        </w:rPr>
      </w:pPr>
      <w:r w:rsidRPr="00120C3B">
        <w:rPr>
          <w:rFonts w:ascii="Arial" w:hAnsi="Arial" w:cs="Arial"/>
          <w:sz w:val="24"/>
          <w:szCs w:val="24"/>
        </w:rPr>
        <w:t xml:space="preserve"> </w:t>
      </w:r>
      <w:r w:rsidR="00451806" w:rsidRPr="00120C3B">
        <w:rPr>
          <w:rFonts w:ascii="Arial" w:hAnsi="Arial" w:cs="Arial"/>
          <w:sz w:val="24"/>
          <w:szCs w:val="24"/>
        </w:rPr>
        <w:t xml:space="preserve">An argument was advanced that the </w:t>
      </w:r>
      <w:r w:rsidRPr="00120C3B">
        <w:rPr>
          <w:rFonts w:ascii="Arial" w:hAnsi="Arial" w:cs="Arial"/>
          <w:sz w:val="24"/>
          <w:szCs w:val="24"/>
        </w:rPr>
        <w:t xml:space="preserve">arbitrator’s factual determinations, with regard </w:t>
      </w:r>
      <w:r w:rsidR="005720D7">
        <w:rPr>
          <w:rFonts w:ascii="Arial" w:hAnsi="Arial" w:cs="Arial"/>
          <w:sz w:val="24"/>
          <w:szCs w:val="24"/>
        </w:rPr>
        <w:t xml:space="preserve">to </w:t>
      </w:r>
      <w:r w:rsidRPr="00120C3B">
        <w:rPr>
          <w:rFonts w:ascii="Arial" w:hAnsi="Arial" w:cs="Arial"/>
          <w:sz w:val="24"/>
          <w:szCs w:val="24"/>
        </w:rPr>
        <w:t>the validity of the reasons offered by the respondent why</w:t>
      </w:r>
      <w:r w:rsidR="005720D7">
        <w:rPr>
          <w:rFonts w:ascii="Arial" w:hAnsi="Arial" w:cs="Arial"/>
          <w:sz w:val="24"/>
          <w:szCs w:val="24"/>
        </w:rPr>
        <w:t xml:space="preserve"> he was absent</w:t>
      </w:r>
      <w:r w:rsidR="00451806" w:rsidRPr="00120C3B">
        <w:rPr>
          <w:rFonts w:ascii="Arial" w:hAnsi="Arial" w:cs="Arial"/>
          <w:sz w:val="24"/>
          <w:szCs w:val="24"/>
        </w:rPr>
        <w:t>, was without reason,</w:t>
      </w:r>
      <w:r w:rsidR="00120C3B" w:rsidRPr="00120C3B">
        <w:rPr>
          <w:rFonts w:ascii="Arial" w:hAnsi="Arial" w:cs="Arial"/>
          <w:sz w:val="24"/>
          <w:szCs w:val="24"/>
        </w:rPr>
        <w:t xml:space="preserve"> it was tantamount to no finding</w:t>
      </w:r>
      <w:r w:rsidR="002B4E5C">
        <w:rPr>
          <w:rFonts w:ascii="Arial" w:hAnsi="Arial" w:cs="Arial"/>
          <w:sz w:val="24"/>
          <w:szCs w:val="24"/>
        </w:rPr>
        <w:t xml:space="preserve"> at all and this court was </w:t>
      </w:r>
      <w:r w:rsidR="00120C3B" w:rsidRPr="00120C3B">
        <w:rPr>
          <w:rFonts w:ascii="Arial" w:hAnsi="Arial" w:cs="Arial"/>
          <w:sz w:val="24"/>
          <w:szCs w:val="24"/>
        </w:rPr>
        <w:t>requested to review the finding</w:t>
      </w:r>
      <w:r w:rsidR="00120C3B">
        <w:rPr>
          <w:rFonts w:ascii="Arial" w:hAnsi="Arial" w:cs="Arial"/>
          <w:sz w:val="24"/>
          <w:szCs w:val="24"/>
        </w:rPr>
        <w:t>s</w:t>
      </w:r>
      <w:r w:rsidR="00120C3B" w:rsidRPr="00120C3B">
        <w:rPr>
          <w:rFonts w:ascii="Arial" w:hAnsi="Arial" w:cs="Arial"/>
          <w:sz w:val="24"/>
          <w:szCs w:val="24"/>
        </w:rPr>
        <w:t xml:space="preserve"> as a question of law. </w:t>
      </w:r>
    </w:p>
    <w:p w:rsidR="00120C3B" w:rsidRPr="00120C3B" w:rsidRDefault="00120C3B" w:rsidP="00120C3B">
      <w:pPr>
        <w:pStyle w:val="ListParagraph"/>
        <w:spacing w:after="0" w:line="480" w:lineRule="auto"/>
        <w:jc w:val="both"/>
        <w:rPr>
          <w:rFonts w:ascii="Arial" w:hAnsi="Arial" w:cs="Arial"/>
          <w:sz w:val="24"/>
          <w:szCs w:val="24"/>
        </w:rPr>
      </w:pPr>
    </w:p>
    <w:p w:rsidR="005448AA" w:rsidRDefault="00E13983" w:rsidP="00F07B23">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A further argument against consistency of sanction between employees was</w:t>
      </w:r>
      <w:r w:rsidR="00120C3B">
        <w:rPr>
          <w:rFonts w:ascii="Arial" w:hAnsi="Arial" w:cs="Arial"/>
          <w:sz w:val="24"/>
          <w:szCs w:val="24"/>
        </w:rPr>
        <w:t xml:space="preserve"> raised</w:t>
      </w:r>
      <w:r>
        <w:rPr>
          <w:rFonts w:ascii="Arial" w:hAnsi="Arial" w:cs="Arial"/>
          <w:sz w:val="24"/>
          <w:szCs w:val="24"/>
        </w:rPr>
        <w:t xml:space="preserve">. She advanced reasons </w:t>
      </w:r>
      <w:r w:rsidR="00C04FAF">
        <w:rPr>
          <w:rFonts w:ascii="Arial" w:hAnsi="Arial" w:cs="Arial"/>
          <w:sz w:val="24"/>
          <w:szCs w:val="24"/>
        </w:rPr>
        <w:t xml:space="preserve">why there was justification </w:t>
      </w:r>
      <w:r w:rsidR="00EC4FEE">
        <w:rPr>
          <w:rFonts w:ascii="Arial" w:hAnsi="Arial" w:cs="Arial"/>
          <w:sz w:val="24"/>
          <w:szCs w:val="24"/>
        </w:rPr>
        <w:t xml:space="preserve">to </w:t>
      </w:r>
      <w:r w:rsidR="00C04FAF">
        <w:rPr>
          <w:rFonts w:ascii="Arial" w:hAnsi="Arial" w:cs="Arial"/>
          <w:sz w:val="24"/>
          <w:szCs w:val="24"/>
        </w:rPr>
        <w:t xml:space="preserve">apply a different measure of discipline to </w:t>
      </w:r>
      <w:r>
        <w:rPr>
          <w:rFonts w:ascii="Arial" w:hAnsi="Arial" w:cs="Arial"/>
          <w:sz w:val="24"/>
          <w:szCs w:val="24"/>
        </w:rPr>
        <w:t>the first respondent, when compared to the comparable group.</w:t>
      </w:r>
      <w:r w:rsidR="00CC4BE4">
        <w:rPr>
          <w:rFonts w:ascii="Arial" w:hAnsi="Arial" w:cs="Arial"/>
          <w:sz w:val="24"/>
          <w:szCs w:val="24"/>
        </w:rPr>
        <w:t xml:space="preserve"> This argument will be referred to as the “consistency argument</w:t>
      </w:r>
      <w:r w:rsidR="00082A0E">
        <w:rPr>
          <w:rFonts w:ascii="Arial" w:hAnsi="Arial" w:cs="Arial"/>
          <w:sz w:val="24"/>
          <w:szCs w:val="24"/>
        </w:rPr>
        <w:t>”</w:t>
      </w:r>
      <w:r w:rsidR="00CC4BE4">
        <w:rPr>
          <w:rFonts w:ascii="Arial" w:hAnsi="Arial" w:cs="Arial"/>
          <w:sz w:val="24"/>
          <w:szCs w:val="24"/>
        </w:rPr>
        <w:t xml:space="preserve"> going forth.</w:t>
      </w:r>
    </w:p>
    <w:p w:rsidR="00EC4FEE" w:rsidRPr="00EC4FEE" w:rsidRDefault="00EC4FEE" w:rsidP="00F07B23">
      <w:pPr>
        <w:spacing w:after="0" w:line="480" w:lineRule="auto"/>
        <w:jc w:val="both"/>
        <w:rPr>
          <w:rFonts w:ascii="Arial" w:hAnsi="Arial" w:cs="Arial"/>
          <w:sz w:val="24"/>
          <w:szCs w:val="24"/>
        </w:rPr>
      </w:pPr>
    </w:p>
    <w:p w:rsidR="005448AA" w:rsidRPr="005A6EA4" w:rsidRDefault="0045573D" w:rsidP="0045573D">
      <w:pPr>
        <w:spacing w:after="0" w:line="480" w:lineRule="auto"/>
        <w:ind w:left="360" w:hanging="36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448AA">
        <w:rPr>
          <w:rFonts w:ascii="Arial" w:hAnsi="Arial" w:cs="Arial"/>
          <w:sz w:val="24"/>
          <w:szCs w:val="24"/>
        </w:rPr>
        <w:t>I am going to consider</w:t>
      </w:r>
      <w:r w:rsidR="00C04FAF">
        <w:rPr>
          <w:rFonts w:ascii="Arial" w:hAnsi="Arial" w:cs="Arial"/>
          <w:sz w:val="24"/>
          <w:szCs w:val="24"/>
        </w:rPr>
        <w:t xml:space="preserve"> her</w:t>
      </w:r>
      <w:r w:rsidR="00150098">
        <w:rPr>
          <w:rFonts w:ascii="Arial" w:hAnsi="Arial" w:cs="Arial"/>
          <w:sz w:val="24"/>
          <w:szCs w:val="24"/>
        </w:rPr>
        <w:t xml:space="preserve"> above stated key submissions</w:t>
      </w:r>
      <w:r w:rsidR="00F13132">
        <w:rPr>
          <w:rFonts w:ascii="Arial" w:hAnsi="Arial" w:cs="Arial"/>
          <w:sz w:val="24"/>
          <w:szCs w:val="24"/>
        </w:rPr>
        <w:t xml:space="preserve"> </w:t>
      </w:r>
      <w:r w:rsidR="005448AA">
        <w:rPr>
          <w:rFonts w:ascii="Arial" w:hAnsi="Arial" w:cs="Arial"/>
          <w:sz w:val="24"/>
          <w:szCs w:val="24"/>
        </w:rPr>
        <w:t>as the basis for the appeal.</w:t>
      </w:r>
    </w:p>
    <w:p w:rsidR="005448AA" w:rsidRDefault="005448AA" w:rsidP="00F07B23">
      <w:pPr>
        <w:spacing w:after="0" w:line="480" w:lineRule="auto"/>
        <w:jc w:val="both"/>
        <w:rPr>
          <w:rFonts w:ascii="Arial" w:hAnsi="Arial" w:cs="Arial"/>
        </w:rPr>
      </w:pPr>
    </w:p>
    <w:p w:rsidR="005448AA" w:rsidRDefault="00E13983" w:rsidP="00F07B23">
      <w:pPr>
        <w:spacing w:after="0" w:line="480" w:lineRule="auto"/>
        <w:jc w:val="both"/>
        <w:rPr>
          <w:rFonts w:ascii="Arial" w:hAnsi="Arial" w:cs="Arial"/>
          <w:b/>
          <w:sz w:val="24"/>
          <w:szCs w:val="24"/>
          <w:u w:val="single"/>
        </w:rPr>
      </w:pPr>
      <w:r>
        <w:rPr>
          <w:rFonts w:ascii="Arial" w:hAnsi="Arial" w:cs="Arial"/>
          <w:b/>
          <w:sz w:val="24"/>
          <w:szCs w:val="24"/>
          <w:u w:val="single"/>
        </w:rPr>
        <w:t xml:space="preserve">Grounds of Opposition and </w:t>
      </w:r>
      <w:r w:rsidR="00C04FAF">
        <w:rPr>
          <w:rFonts w:ascii="Arial" w:hAnsi="Arial" w:cs="Arial"/>
          <w:b/>
          <w:sz w:val="24"/>
          <w:szCs w:val="24"/>
          <w:u w:val="single"/>
        </w:rPr>
        <w:t>Key Submissions</w:t>
      </w:r>
    </w:p>
    <w:p w:rsidR="005448AA" w:rsidRDefault="005448AA" w:rsidP="00F07B23">
      <w:pPr>
        <w:spacing w:after="0" w:line="480" w:lineRule="auto"/>
        <w:jc w:val="both"/>
        <w:rPr>
          <w:rFonts w:ascii="Arial" w:hAnsi="Arial" w:cs="Arial"/>
          <w:b/>
          <w:sz w:val="24"/>
          <w:szCs w:val="24"/>
          <w:u w:val="single"/>
        </w:rPr>
      </w:pPr>
    </w:p>
    <w:p w:rsidR="00935622" w:rsidRPr="005448AA" w:rsidRDefault="0045573D" w:rsidP="00F07B23">
      <w:pPr>
        <w:spacing w:after="0" w:line="480" w:lineRule="auto"/>
        <w:jc w:val="both"/>
        <w:rPr>
          <w:rFonts w:ascii="Arial" w:hAnsi="Arial" w:cs="Arial"/>
          <w:b/>
          <w:sz w:val="24"/>
          <w:szCs w:val="24"/>
          <w:u w:val="single"/>
        </w:rPr>
      </w:pPr>
      <w:r>
        <w:rPr>
          <w:rFonts w:ascii="Arial" w:hAnsi="Arial" w:cs="Arial"/>
          <w:sz w:val="24"/>
          <w:szCs w:val="24"/>
        </w:rPr>
        <w:t>[14]</w:t>
      </w:r>
      <w:r>
        <w:rPr>
          <w:rFonts w:ascii="Arial" w:hAnsi="Arial" w:cs="Arial"/>
          <w:sz w:val="24"/>
          <w:szCs w:val="24"/>
        </w:rPr>
        <w:tab/>
      </w:r>
      <w:r w:rsidR="00935622">
        <w:rPr>
          <w:rFonts w:ascii="Arial" w:hAnsi="Arial" w:cs="Arial"/>
          <w:sz w:val="24"/>
          <w:szCs w:val="24"/>
        </w:rPr>
        <w:t>The grounds of opposition are:</w:t>
      </w:r>
    </w:p>
    <w:p w:rsidR="00935622" w:rsidRDefault="00935622" w:rsidP="00F07B23">
      <w:pPr>
        <w:spacing w:after="0" w:line="480" w:lineRule="auto"/>
        <w:jc w:val="both"/>
        <w:rPr>
          <w:rFonts w:ascii="Arial" w:hAnsi="Arial" w:cs="Arial"/>
          <w:sz w:val="24"/>
          <w:szCs w:val="24"/>
        </w:rPr>
      </w:pPr>
    </w:p>
    <w:p w:rsidR="00935622" w:rsidRDefault="00B1440C" w:rsidP="00F07B23">
      <w:pPr>
        <w:spacing w:after="0" w:line="480" w:lineRule="auto"/>
        <w:jc w:val="both"/>
        <w:rPr>
          <w:rFonts w:ascii="Arial" w:hAnsi="Arial" w:cs="Arial"/>
          <w:sz w:val="24"/>
          <w:szCs w:val="24"/>
        </w:rPr>
      </w:pPr>
      <w:r>
        <w:rPr>
          <w:rFonts w:ascii="Arial" w:hAnsi="Arial" w:cs="Arial"/>
          <w:sz w:val="24"/>
          <w:szCs w:val="24"/>
        </w:rPr>
        <w:tab/>
      </w:r>
      <w:r w:rsidR="00935622">
        <w:rPr>
          <w:rFonts w:ascii="Arial" w:hAnsi="Arial" w:cs="Arial"/>
          <w:sz w:val="24"/>
          <w:szCs w:val="24"/>
        </w:rPr>
        <w:t>2.1</w:t>
      </w:r>
      <w:r w:rsidR="00935622">
        <w:rPr>
          <w:rFonts w:ascii="Arial" w:hAnsi="Arial" w:cs="Arial"/>
          <w:sz w:val="24"/>
          <w:szCs w:val="24"/>
        </w:rPr>
        <w:tab/>
        <w:t>The appellant principally relates to factual findings made by the arbitrator.</w:t>
      </w:r>
    </w:p>
    <w:p w:rsidR="00935622" w:rsidRDefault="00935622" w:rsidP="00F07B23">
      <w:pPr>
        <w:spacing w:after="0" w:line="480" w:lineRule="auto"/>
        <w:jc w:val="both"/>
        <w:rPr>
          <w:rFonts w:ascii="Arial" w:hAnsi="Arial" w:cs="Arial"/>
          <w:sz w:val="24"/>
          <w:szCs w:val="24"/>
        </w:rPr>
      </w:pPr>
    </w:p>
    <w:p w:rsidR="00733606" w:rsidRDefault="00935622" w:rsidP="00F07B23">
      <w:pPr>
        <w:spacing w:after="0" w:line="480" w:lineRule="auto"/>
        <w:ind w:left="144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The appeal should further fail on what was the central issue of consideration at the arbitration proceedings, namely the issue of consistency.</w:t>
      </w:r>
      <w:r w:rsidR="00916EDE">
        <w:rPr>
          <w:rFonts w:ascii="Arial" w:hAnsi="Arial" w:cs="Arial"/>
          <w:sz w:val="24"/>
          <w:szCs w:val="24"/>
        </w:rPr>
        <w:t xml:space="preserve"> </w:t>
      </w:r>
    </w:p>
    <w:p w:rsidR="00733606" w:rsidRDefault="00733606" w:rsidP="00F07B23">
      <w:pPr>
        <w:spacing w:after="0" w:line="480" w:lineRule="auto"/>
        <w:jc w:val="both"/>
        <w:rPr>
          <w:rFonts w:ascii="Arial" w:hAnsi="Arial" w:cs="Arial"/>
          <w:sz w:val="24"/>
          <w:szCs w:val="24"/>
        </w:rPr>
      </w:pPr>
    </w:p>
    <w:p w:rsidR="009D2731" w:rsidRDefault="0045573D" w:rsidP="00F07B23">
      <w:pPr>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E09DD">
        <w:rPr>
          <w:rFonts w:ascii="Arial" w:hAnsi="Arial" w:cs="Arial"/>
          <w:sz w:val="24"/>
          <w:szCs w:val="24"/>
        </w:rPr>
        <w:t xml:space="preserve">Mr. Kasper, counsel for the respondent, pointed out </w:t>
      </w:r>
      <w:r w:rsidR="00150098">
        <w:rPr>
          <w:rFonts w:ascii="Arial" w:hAnsi="Arial" w:cs="Arial"/>
          <w:sz w:val="24"/>
          <w:szCs w:val="24"/>
        </w:rPr>
        <w:t xml:space="preserve">in his heads of argument </w:t>
      </w:r>
      <w:r w:rsidR="005E09DD">
        <w:rPr>
          <w:rFonts w:ascii="Arial" w:hAnsi="Arial" w:cs="Arial"/>
          <w:sz w:val="24"/>
          <w:szCs w:val="24"/>
        </w:rPr>
        <w:t xml:space="preserve">that the appeal </w:t>
      </w:r>
      <w:r w:rsidR="00150098">
        <w:rPr>
          <w:rFonts w:ascii="Arial" w:hAnsi="Arial" w:cs="Arial"/>
          <w:sz w:val="24"/>
          <w:szCs w:val="24"/>
        </w:rPr>
        <w:t>principally relates to factual findings made by the arbitrator</w:t>
      </w:r>
      <w:r w:rsidR="005E09DD">
        <w:rPr>
          <w:rFonts w:ascii="Arial" w:hAnsi="Arial" w:cs="Arial"/>
          <w:sz w:val="24"/>
          <w:szCs w:val="24"/>
        </w:rPr>
        <w:t>, and in terms of her powers in t</w:t>
      </w:r>
      <w:r w:rsidR="00A05A40">
        <w:rPr>
          <w:rFonts w:ascii="Arial" w:hAnsi="Arial" w:cs="Arial"/>
          <w:sz w:val="24"/>
          <w:szCs w:val="24"/>
        </w:rPr>
        <w:t>he Act, she is the final arbitrator</w:t>
      </w:r>
      <w:r w:rsidR="005E09DD">
        <w:rPr>
          <w:rFonts w:ascii="Arial" w:hAnsi="Arial" w:cs="Arial"/>
          <w:sz w:val="24"/>
          <w:szCs w:val="24"/>
        </w:rPr>
        <w:t xml:space="preserve"> of </w:t>
      </w:r>
      <w:r w:rsidR="00A05A40">
        <w:rPr>
          <w:rFonts w:ascii="Arial" w:hAnsi="Arial" w:cs="Arial"/>
          <w:sz w:val="24"/>
          <w:szCs w:val="24"/>
        </w:rPr>
        <w:t>f</w:t>
      </w:r>
      <w:r w:rsidR="005E09DD">
        <w:rPr>
          <w:rFonts w:ascii="Arial" w:hAnsi="Arial" w:cs="Arial"/>
          <w:sz w:val="24"/>
          <w:szCs w:val="24"/>
        </w:rPr>
        <w:t xml:space="preserve">act. </w:t>
      </w:r>
      <w:r w:rsidR="00A05A40">
        <w:rPr>
          <w:rFonts w:ascii="Arial" w:hAnsi="Arial" w:cs="Arial"/>
          <w:sz w:val="24"/>
          <w:szCs w:val="24"/>
        </w:rPr>
        <w:t>It is trite law that s</w:t>
      </w:r>
      <w:r w:rsidR="009D2731">
        <w:rPr>
          <w:rFonts w:ascii="Arial" w:hAnsi="Arial" w:cs="Arial"/>
          <w:sz w:val="24"/>
          <w:szCs w:val="24"/>
        </w:rPr>
        <w:t xml:space="preserve">ection 89 (1) </w:t>
      </w:r>
      <w:r w:rsidR="00A9752D">
        <w:rPr>
          <w:rFonts w:ascii="Arial" w:hAnsi="Arial" w:cs="Arial"/>
          <w:sz w:val="24"/>
          <w:szCs w:val="24"/>
        </w:rPr>
        <w:t xml:space="preserve">of the Act, </w:t>
      </w:r>
      <w:r w:rsidR="009D2731">
        <w:rPr>
          <w:rFonts w:ascii="Arial" w:hAnsi="Arial" w:cs="Arial"/>
          <w:sz w:val="24"/>
          <w:szCs w:val="24"/>
        </w:rPr>
        <w:t xml:space="preserve">restricts the powers of the Labour Court to consideration of a question of law on appeal, and not to </w:t>
      </w:r>
      <w:r w:rsidR="00654BC2">
        <w:rPr>
          <w:rFonts w:ascii="Arial" w:hAnsi="Arial" w:cs="Arial"/>
          <w:sz w:val="24"/>
          <w:szCs w:val="24"/>
        </w:rPr>
        <w:t>reconsider the factual</w:t>
      </w:r>
      <w:r w:rsidR="009D2731">
        <w:rPr>
          <w:rFonts w:ascii="Arial" w:hAnsi="Arial" w:cs="Arial"/>
          <w:sz w:val="24"/>
          <w:szCs w:val="24"/>
        </w:rPr>
        <w:t xml:space="preserve"> findings of the arbitrator. </w:t>
      </w:r>
    </w:p>
    <w:p w:rsidR="009D2731" w:rsidRDefault="009D2731" w:rsidP="00F07B23">
      <w:pPr>
        <w:spacing w:after="0" w:line="480" w:lineRule="auto"/>
        <w:jc w:val="both"/>
        <w:rPr>
          <w:rFonts w:ascii="Arial" w:hAnsi="Arial" w:cs="Arial"/>
          <w:sz w:val="24"/>
          <w:szCs w:val="24"/>
        </w:rPr>
      </w:pPr>
    </w:p>
    <w:p w:rsidR="000C677F" w:rsidRDefault="0045573D" w:rsidP="00F07B23">
      <w:pPr>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D2731">
        <w:rPr>
          <w:rFonts w:ascii="Arial" w:hAnsi="Arial" w:cs="Arial"/>
          <w:sz w:val="24"/>
          <w:szCs w:val="24"/>
        </w:rPr>
        <w:t xml:space="preserve">I am inclined to uphold this argument </w:t>
      </w:r>
      <w:r w:rsidR="00654BC2">
        <w:rPr>
          <w:rFonts w:ascii="Arial" w:hAnsi="Arial" w:cs="Arial"/>
          <w:sz w:val="24"/>
          <w:szCs w:val="24"/>
        </w:rPr>
        <w:t xml:space="preserve">made by Mr. Kasper. </w:t>
      </w:r>
      <w:r w:rsidR="00CE392A">
        <w:rPr>
          <w:rFonts w:ascii="Arial" w:hAnsi="Arial" w:cs="Arial"/>
          <w:sz w:val="24"/>
          <w:szCs w:val="24"/>
        </w:rPr>
        <w:t>Ms</w:t>
      </w:r>
      <w:r w:rsidR="0003729C">
        <w:rPr>
          <w:rFonts w:ascii="Arial" w:hAnsi="Arial" w:cs="Arial"/>
          <w:sz w:val="24"/>
          <w:szCs w:val="24"/>
        </w:rPr>
        <w:t>.</w:t>
      </w:r>
      <w:r w:rsidR="00CE392A">
        <w:rPr>
          <w:rFonts w:ascii="Arial" w:hAnsi="Arial" w:cs="Arial"/>
          <w:sz w:val="24"/>
          <w:szCs w:val="24"/>
        </w:rPr>
        <w:t xml:space="preserve"> Angula</w:t>
      </w:r>
      <w:r w:rsidR="009D2731">
        <w:rPr>
          <w:rFonts w:ascii="Arial" w:hAnsi="Arial" w:cs="Arial"/>
          <w:sz w:val="24"/>
          <w:szCs w:val="24"/>
        </w:rPr>
        <w:t xml:space="preserve"> is indeed asking this court to re</w:t>
      </w:r>
      <w:r w:rsidR="005A6EA4">
        <w:rPr>
          <w:rFonts w:ascii="Arial" w:hAnsi="Arial" w:cs="Arial"/>
          <w:sz w:val="24"/>
          <w:szCs w:val="24"/>
        </w:rPr>
        <w:t xml:space="preserve">view a factual finding made by the second respondent. Mr Kasper correctly points out that an </w:t>
      </w:r>
      <w:r w:rsidR="000C677F">
        <w:rPr>
          <w:rFonts w:ascii="Arial" w:hAnsi="Arial" w:cs="Arial"/>
          <w:sz w:val="24"/>
          <w:szCs w:val="24"/>
        </w:rPr>
        <w:t>enquiry</w:t>
      </w:r>
      <w:r w:rsidR="005A6EA4">
        <w:rPr>
          <w:rFonts w:ascii="Arial" w:hAnsi="Arial" w:cs="Arial"/>
          <w:sz w:val="24"/>
          <w:szCs w:val="24"/>
        </w:rPr>
        <w:t xml:space="preserve"> into a factual finding of an arbitrator would only amount to a question of law where there was no evidence which could reasonably support a finding of fact or where the evidence is such that a proper evaluation of that evidence leads </w:t>
      </w:r>
      <w:r w:rsidR="000C677F">
        <w:rPr>
          <w:rFonts w:ascii="Arial" w:hAnsi="Arial" w:cs="Arial"/>
          <w:sz w:val="24"/>
          <w:szCs w:val="24"/>
        </w:rPr>
        <w:t>inexorably to a conclusion that no r</w:t>
      </w:r>
      <w:r w:rsidR="00842954">
        <w:rPr>
          <w:rFonts w:ascii="Arial" w:hAnsi="Arial" w:cs="Arial"/>
          <w:sz w:val="24"/>
          <w:szCs w:val="24"/>
        </w:rPr>
        <w:t>easonable court could have made.</w:t>
      </w:r>
      <w:r w:rsidR="00906223">
        <w:rPr>
          <w:rFonts w:ascii="Arial" w:hAnsi="Arial" w:cs="Arial"/>
          <w:sz w:val="24"/>
          <w:szCs w:val="24"/>
        </w:rPr>
        <w:t xml:space="preserve"> Authority for this contention is am</w:t>
      </w:r>
      <w:r w:rsidR="00EF3E35">
        <w:rPr>
          <w:rFonts w:ascii="Arial" w:hAnsi="Arial" w:cs="Arial"/>
          <w:sz w:val="24"/>
          <w:szCs w:val="24"/>
        </w:rPr>
        <w:t>ple.</w:t>
      </w:r>
      <w:r w:rsidR="00906223">
        <w:rPr>
          <w:rStyle w:val="FootnoteReference"/>
          <w:rFonts w:ascii="Arial" w:hAnsi="Arial" w:cs="Arial"/>
          <w:sz w:val="24"/>
          <w:szCs w:val="24"/>
        </w:rPr>
        <w:footnoteReference w:id="8"/>
      </w:r>
      <w:r w:rsidR="000C677F">
        <w:rPr>
          <w:rFonts w:ascii="Arial" w:hAnsi="Arial" w:cs="Arial"/>
          <w:sz w:val="24"/>
          <w:szCs w:val="24"/>
        </w:rPr>
        <w:t xml:space="preserve"> </w:t>
      </w:r>
    </w:p>
    <w:p w:rsidR="000C677F" w:rsidRDefault="000C677F" w:rsidP="00F07B23">
      <w:pPr>
        <w:spacing w:after="0" w:line="480" w:lineRule="auto"/>
        <w:jc w:val="both"/>
        <w:rPr>
          <w:rFonts w:ascii="Arial" w:hAnsi="Arial" w:cs="Arial"/>
          <w:sz w:val="24"/>
          <w:szCs w:val="24"/>
        </w:rPr>
      </w:pPr>
    </w:p>
    <w:p w:rsidR="000C677F" w:rsidRDefault="0045573D" w:rsidP="00F07B23">
      <w:pPr>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E392A">
        <w:rPr>
          <w:rFonts w:ascii="Arial" w:hAnsi="Arial" w:cs="Arial"/>
          <w:sz w:val="24"/>
          <w:szCs w:val="24"/>
        </w:rPr>
        <w:t>In my determination of the matter, I am not convinced that the</w:t>
      </w:r>
      <w:r w:rsidR="000C677F" w:rsidRPr="000C677F">
        <w:rPr>
          <w:rFonts w:ascii="Arial" w:hAnsi="Arial" w:cs="Arial"/>
          <w:sz w:val="24"/>
          <w:szCs w:val="24"/>
        </w:rPr>
        <w:t xml:space="preserve"> factual finding </w:t>
      </w:r>
      <w:r w:rsidR="00CE392A">
        <w:rPr>
          <w:rFonts w:ascii="Arial" w:hAnsi="Arial" w:cs="Arial"/>
          <w:sz w:val="24"/>
          <w:szCs w:val="24"/>
        </w:rPr>
        <w:t xml:space="preserve">made by </w:t>
      </w:r>
      <w:r w:rsidR="000C677F" w:rsidRPr="000C677F">
        <w:rPr>
          <w:rFonts w:ascii="Arial" w:hAnsi="Arial" w:cs="Arial"/>
          <w:sz w:val="24"/>
          <w:szCs w:val="24"/>
        </w:rPr>
        <w:t>the second respondent regarding</w:t>
      </w:r>
      <w:r w:rsidR="00893F01">
        <w:rPr>
          <w:rStyle w:val="FootnoteReference"/>
          <w:rFonts w:ascii="Arial" w:hAnsi="Arial" w:cs="Arial"/>
          <w:sz w:val="24"/>
          <w:szCs w:val="24"/>
        </w:rPr>
        <w:footnoteReference w:id="9"/>
      </w:r>
      <w:r w:rsidR="002B4E5C">
        <w:rPr>
          <w:rFonts w:ascii="Arial" w:hAnsi="Arial" w:cs="Arial"/>
          <w:sz w:val="24"/>
          <w:szCs w:val="24"/>
        </w:rPr>
        <w:t xml:space="preserve"> </w:t>
      </w:r>
      <w:r w:rsidR="000C677F" w:rsidRPr="000C677F">
        <w:rPr>
          <w:rFonts w:ascii="Arial" w:hAnsi="Arial" w:cs="Arial"/>
          <w:sz w:val="24"/>
          <w:szCs w:val="24"/>
        </w:rPr>
        <w:t>validity of the reasons offered by the respondent why he was absent, is completely without</w:t>
      </w:r>
      <w:r w:rsidR="00CE392A">
        <w:rPr>
          <w:rFonts w:ascii="Arial" w:hAnsi="Arial" w:cs="Arial"/>
          <w:sz w:val="24"/>
          <w:szCs w:val="24"/>
        </w:rPr>
        <w:t xml:space="preserve"> a reasonable basis. The </w:t>
      </w:r>
      <w:r w:rsidR="000C677F" w:rsidRPr="000C677F">
        <w:rPr>
          <w:rFonts w:ascii="Arial" w:hAnsi="Arial" w:cs="Arial"/>
          <w:sz w:val="24"/>
          <w:szCs w:val="24"/>
        </w:rPr>
        <w:t>arbitrator, within the context of the evidence offe</w:t>
      </w:r>
      <w:r w:rsidR="000C677F">
        <w:rPr>
          <w:rFonts w:ascii="Arial" w:hAnsi="Arial" w:cs="Arial"/>
          <w:sz w:val="24"/>
          <w:szCs w:val="24"/>
        </w:rPr>
        <w:t>red</w:t>
      </w:r>
      <w:r w:rsidR="00906223">
        <w:rPr>
          <w:rStyle w:val="FootnoteReference"/>
          <w:rFonts w:ascii="Arial" w:hAnsi="Arial" w:cs="Arial"/>
          <w:sz w:val="24"/>
          <w:szCs w:val="24"/>
        </w:rPr>
        <w:footnoteReference w:id="10"/>
      </w:r>
      <w:r w:rsidR="00AA3D32">
        <w:rPr>
          <w:rFonts w:ascii="Arial" w:hAnsi="Arial" w:cs="Arial"/>
          <w:sz w:val="24"/>
          <w:szCs w:val="24"/>
        </w:rPr>
        <w:t>, has</w:t>
      </w:r>
      <w:r w:rsidR="000C677F">
        <w:rPr>
          <w:rFonts w:ascii="Arial" w:hAnsi="Arial" w:cs="Arial"/>
          <w:sz w:val="24"/>
          <w:szCs w:val="24"/>
        </w:rPr>
        <w:t xml:space="preserve"> made a determination</w:t>
      </w:r>
      <w:r w:rsidR="000C677F" w:rsidRPr="000C677F">
        <w:rPr>
          <w:rFonts w:ascii="Arial" w:hAnsi="Arial" w:cs="Arial"/>
          <w:sz w:val="24"/>
          <w:szCs w:val="24"/>
        </w:rPr>
        <w:t xml:space="preserve"> </w:t>
      </w:r>
      <w:r w:rsidR="00AA3D32">
        <w:rPr>
          <w:rFonts w:ascii="Arial" w:hAnsi="Arial" w:cs="Arial"/>
          <w:sz w:val="24"/>
          <w:szCs w:val="24"/>
        </w:rPr>
        <w:t xml:space="preserve">that </w:t>
      </w:r>
      <w:r w:rsidR="000C677F">
        <w:rPr>
          <w:rFonts w:ascii="Arial" w:hAnsi="Arial" w:cs="Arial"/>
          <w:sz w:val="24"/>
          <w:szCs w:val="24"/>
        </w:rPr>
        <w:t>the explanations offered by the first respondent for the absences are valid.</w:t>
      </w:r>
      <w:r w:rsidR="00EC4FEE">
        <w:rPr>
          <w:rFonts w:ascii="Arial" w:hAnsi="Arial" w:cs="Arial"/>
          <w:sz w:val="24"/>
          <w:szCs w:val="24"/>
        </w:rPr>
        <w:t xml:space="preserve"> I am cons</w:t>
      </w:r>
      <w:r w:rsidR="00CE392A">
        <w:rPr>
          <w:rFonts w:ascii="Arial" w:hAnsi="Arial" w:cs="Arial"/>
          <w:sz w:val="24"/>
          <w:szCs w:val="24"/>
        </w:rPr>
        <w:t xml:space="preserve">trained to make a finding </w:t>
      </w:r>
      <w:r w:rsidR="007F6618">
        <w:rPr>
          <w:rFonts w:ascii="Arial" w:hAnsi="Arial" w:cs="Arial"/>
          <w:sz w:val="24"/>
          <w:szCs w:val="24"/>
        </w:rPr>
        <w:t xml:space="preserve">that no </w:t>
      </w:r>
      <w:r w:rsidR="00893F01">
        <w:rPr>
          <w:rFonts w:ascii="Arial" w:hAnsi="Arial" w:cs="Arial"/>
          <w:sz w:val="24"/>
          <w:szCs w:val="24"/>
        </w:rPr>
        <w:t>reasonable arbitrator</w:t>
      </w:r>
      <w:r w:rsidR="00CE392A">
        <w:rPr>
          <w:rFonts w:ascii="Arial" w:hAnsi="Arial" w:cs="Arial"/>
          <w:sz w:val="24"/>
          <w:szCs w:val="24"/>
        </w:rPr>
        <w:t xml:space="preserve"> of fact could have made such a finding.</w:t>
      </w:r>
      <w:r w:rsidR="00C04FAF">
        <w:rPr>
          <w:rFonts w:ascii="Arial" w:hAnsi="Arial" w:cs="Arial"/>
          <w:sz w:val="24"/>
          <w:szCs w:val="24"/>
        </w:rPr>
        <w:t xml:space="preserve"> </w:t>
      </w:r>
      <w:r w:rsidR="002B4E5C">
        <w:rPr>
          <w:rFonts w:ascii="Arial" w:hAnsi="Arial" w:cs="Arial"/>
          <w:sz w:val="24"/>
          <w:szCs w:val="24"/>
        </w:rPr>
        <w:t xml:space="preserve">Hence, this </w:t>
      </w:r>
      <w:r w:rsidR="00B90EEF">
        <w:rPr>
          <w:rFonts w:ascii="Arial" w:hAnsi="Arial" w:cs="Arial"/>
          <w:sz w:val="24"/>
          <w:szCs w:val="24"/>
        </w:rPr>
        <w:t>court is not</w:t>
      </w:r>
      <w:r w:rsidR="00C04FAF">
        <w:rPr>
          <w:rFonts w:ascii="Arial" w:hAnsi="Arial" w:cs="Arial"/>
          <w:sz w:val="24"/>
          <w:szCs w:val="24"/>
        </w:rPr>
        <w:t xml:space="preserve"> r</w:t>
      </w:r>
      <w:r w:rsidR="00893F01">
        <w:rPr>
          <w:rFonts w:ascii="Arial" w:hAnsi="Arial" w:cs="Arial"/>
          <w:sz w:val="24"/>
          <w:szCs w:val="24"/>
        </w:rPr>
        <w:t>e-assess</w:t>
      </w:r>
      <w:r w:rsidR="00B90EEF">
        <w:rPr>
          <w:rFonts w:ascii="Arial" w:hAnsi="Arial" w:cs="Arial"/>
          <w:sz w:val="24"/>
          <w:szCs w:val="24"/>
        </w:rPr>
        <w:t>ing</w:t>
      </w:r>
      <w:r w:rsidR="00893F01">
        <w:rPr>
          <w:rFonts w:ascii="Arial" w:hAnsi="Arial" w:cs="Arial"/>
          <w:sz w:val="24"/>
          <w:szCs w:val="24"/>
        </w:rPr>
        <w:t xml:space="preserve"> such </w:t>
      </w:r>
      <w:r w:rsidR="0008309C">
        <w:rPr>
          <w:rFonts w:ascii="Arial" w:hAnsi="Arial" w:cs="Arial"/>
          <w:sz w:val="24"/>
          <w:szCs w:val="24"/>
        </w:rPr>
        <w:t xml:space="preserve">a </w:t>
      </w:r>
      <w:r w:rsidR="00893F01">
        <w:rPr>
          <w:rFonts w:ascii="Arial" w:hAnsi="Arial" w:cs="Arial"/>
          <w:sz w:val="24"/>
          <w:szCs w:val="24"/>
        </w:rPr>
        <w:t xml:space="preserve">factual question in relation to the second charge in the internal disciplinary hearing of the first respondent. </w:t>
      </w:r>
    </w:p>
    <w:p w:rsidR="007F6618" w:rsidRDefault="007F6618" w:rsidP="00F07B23">
      <w:pPr>
        <w:spacing w:after="0" w:line="480" w:lineRule="auto"/>
        <w:jc w:val="both"/>
        <w:rPr>
          <w:rFonts w:ascii="Arial" w:hAnsi="Arial" w:cs="Arial"/>
          <w:sz w:val="24"/>
          <w:szCs w:val="24"/>
        </w:rPr>
      </w:pPr>
    </w:p>
    <w:p w:rsidR="002C3DEF" w:rsidRPr="002C3DEF" w:rsidRDefault="002647EC" w:rsidP="00F07B23">
      <w:pPr>
        <w:spacing w:after="0" w:line="480" w:lineRule="auto"/>
        <w:jc w:val="both"/>
        <w:rPr>
          <w:rFonts w:ascii="Arial" w:hAnsi="Arial" w:cs="Arial"/>
          <w:b/>
          <w:sz w:val="24"/>
          <w:szCs w:val="24"/>
          <w:u w:val="single"/>
        </w:rPr>
      </w:pPr>
      <w:r>
        <w:rPr>
          <w:rFonts w:ascii="Arial" w:hAnsi="Arial" w:cs="Arial"/>
          <w:b/>
          <w:sz w:val="24"/>
          <w:szCs w:val="24"/>
          <w:u w:val="single"/>
        </w:rPr>
        <w:t>The Consistency Argument</w:t>
      </w:r>
    </w:p>
    <w:p w:rsidR="0045573D" w:rsidRDefault="0045573D" w:rsidP="00F07B23">
      <w:pPr>
        <w:spacing w:after="0" w:line="480" w:lineRule="auto"/>
        <w:jc w:val="both"/>
        <w:rPr>
          <w:rFonts w:ascii="Arial" w:hAnsi="Arial" w:cs="Arial"/>
          <w:sz w:val="24"/>
          <w:szCs w:val="24"/>
        </w:rPr>
      </w:pPr>
    </w:p>
    <w:p w:rsidR="009D2731" w:rsidRDefault="0045573D" w:rsidP="00F07B23">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E392A">
        <w:rPr>
          <w:rFonts w:ascii="Arial" w:hAnsi="Arial" w:cs="Arial"/>
          <w:sz w:val="24"/>
          <w:szCs w:val="24"/>
        </w:rPr>
        <w:t xml:space="preserve">I am moving on to </w:t>
      </w:r>
      <w:r w:rsidR="006A4231">
        <w:rPr>
          <w:rFonts w:ascii="Arial" w:hAnsi="Arial" w:cs="Arial"/>
          <w:sz w:val="24"/>
          <w:szCs w:val="24"/>
        </w:rPr>
        <w:t xml:space="preserve">consider the </w:t>
      </w:r>
      <w:r w:rsidR="009F3D7A">
        <w:rPr>
          <w:rFonts w:ascii="Arial" w:hAnsi="Arial" w:cs="Arial"/>
          <w:sz w:val="24"/>
          <w:szCs w:val="24"/>
        </w:rPr>
        <w:t xml:space="preserve">consistency </w:t>
      </w:r>
      <w:r w:rsidR="00847151">
        <w:rPr>
          <w:rFonts w:ascii="Arial" w:hAnsi="Arial" w:cs="Arial"/>
          <w:sz w:val="24"/>
          <w:szCs w:val="24"/>
        </w:rPr>
        <w:t xml:space="preserve">argument </w:t>
      </w:r>
      <w:r w:rsidR="003040DB">
        <w:rPr>
          <w:rFonts w:ascii="Arial" w:hAnsi="Arial" w:cs="Arial"/>
          <w:sz w:val="24"/>
          <w:szCs w:val="24"/>
        </w:rPr>
        <w:t xml:space="preserve">made by </w:t>
      </w:r>
      <w:r w:rsidR="009F3D7A">
        <w:rPr>
          <w:rFonts w:ascii="Arial" w:hAnsi="Arial" w:cs="Arial"/>
          <w:sz w:val="24"/>
          <w:szCs w:val="24"/>
        </w:rPr>
        <w:t xml:space="preserve">Ms. Angula. </w:t>
      </w:r>
      <w:r w:rsidR="003040DB">
        <w:rPr>
          <w:rFonts w:ascii="Arial" w:hAnsi="Arial" w:cs="Arial"/>
          <w:sz w:val="24"/>
          <w:szCs w:val="24"/>
        </w:rPr>
        <w:t xml:space="preserve">An argument was advanced that </w:t>
      </w:r>
      <w:r w:rsidR="009F3D7A">
        <w:rPr>
          <w:rFonts w:ascii="Arial" w:hAnsi="Arial" w:cs="Arial"/>
          <w:sz w:val="24"/>
          <w:szCs w:val="24"/>
        </w:rPr>
        <w:t xml:space="preserve">first respondent was </w:t>
      </w:r>
      <w:r w:rsidR="003040DB">
        <w:rPr>
          <w:rFonts w:ascii="Arial" w:hAnsi="Arial" w:cs="Arial"/>
          <w:sz w:val="24"/>
          <w:szCs w:val="24"/>
        </w:rPr>
        <w:t xml:space="preserve">in </w:t>
      </w:r>
      <w:r w:rsidR="009D0701">
        <w:rPr>
          <w:rFonts w:ascii="Arial" w:hAnsi="Arial" w:cs="Arial"/>
          <w:sz w:val="24"/>
          <w:szCs w:val="24"/>
        </w:rPr>
        <w:t xml:space="preserve">a supervisory position in </w:t>
      </w:r>
      <w:r w:rsidR="003040DB">
        <w:rPr>
          <w:rFonts w:ascii="Arial" w:hAnsi="Arial" w:cs="Arial"/>
          <w:sz w:val="24"/>
          <w:szCs w:val="24"/>
        </w:rPr>
        <w:t xml:space="preserve">the call centre </w:t>
      </w:r>
      <w:r w:rsidR="003040DB" w:rsidRPr="00654BC2">
        <w:rPr>
          <w:rFonts w:ascii="Arial" w:hAnsi="Arial" w:cs="Arial"/>
          <w:i/>
          <w:sz w:val="24"/>
          <w:szCs w:val="24"/>
        </w:rPr>
        <w:t>vis-a</w:t>
      </w:r>
      <w:r w:rsidR="00654BC2" w:rsidRPr="00654BC2">
        <w:rPr>
          <w:rFonts w:ascii="Arial" w:hAnsi="Arial" w:cs="Arial"/>
          <w:i/>
          <w:sz w:val="24"/>
          <w:szCs w:val="24"/>
        </w:rPr>
        <w:t>-</w:t>
      </w:r>
      <w:r w:rsidR="003040DB" w:rsidRPr="00654BC2">
        <w:rPr>
          <w:rFonts w:ascii="Arial" w:hAnsi="Arial" w:cs="Arial"/>
          <w:i/>
          <w:sz w:val="24"/>
          <w:szCs w:val="24"/>
        </w:rPr>
        <w:t>vis</w:t>
      </w:r>
      <w:r w:rsidR="003040DB">
        <w:rPr>
          <w:rFonts w:ascii="Arial" w:hAnsi="Arial" w:cs="Arial"/>
          <w:sz w:val="24"/>
          <w:szCs w:val="24"/>
        </w:rPr>
        <w:t xml:space="preserve"> the </w:t>
      </w:r>
      <w:r w:rsidR="009D0701">
        <w:rPr>
          <w:rFonts w:ascii="Arial" w:hAnsi="Arial" w:cs="Arial"/>
          <w:sz w:val="24"/>
          <w:szCs w:val="24"/>
        </w:rPr>
        <w:t>other</w:t>
      </w:r>
      <w:r w:rsidR="003040DB">
        <w:rPr>
          <w:rFonts w:ascii="Arial" w:hAnsi="Arial" w:cs="Arial"/>
          <w:sz w:val="24"/>
          <w:szCs w:val="24"/>
        </w:rPr>
        <w:t xml:space="preserve"> employees</w:t>
      </w:r>
      <w:r w:rsidR="00E210A1">
        <w:rPr>
          <w:rFonts w:ascii="Arial" w:hAnsi="Arial" w:cs="Arial"/>
          <w:sz w:val="24"/>
          <w:szCs w:val="24"/>
        </w:rPr>
        <w:t xml:space="preserve">. </w:t>
      </w:r>
      <w:r w:rsidR="003040DB">
        <w:rPr>
          <w:rFonts w:ascii="Arial" w:hAnsi="Arial" w:cs="Arial"/>
          <w:sz w:val="24"/>
          <w:szCs w:val="24"/>
        </w:rPr>
        <w:t>He knew</w:t>
      </w:r>
      <w:r w:rsidR="009D0701">
        <w:rPr>
          <w:rFonts w:ascii="Arial" w:hAnsi="Arial" w:cs="Arial"/>
          <w:sz w:val="24"/>
          <w:szCs w:val="24"/>
        </w:rPr>
        <w:t xml:space="preserve"> what his responsibilities were in respect of reporting his own absenteeism</w:t>
      </w:r>
      <w:r w:rsidR="00E210A1">
        <w:rPr>
          <w:rFonts w:ascii="Arial" w:hAnsi="Arial" w:cs="Arial"/>
          <w:sz w:val="24"/>
          <w:szCs w:val="24"/>
        </w:rPr>
        <w:t>,</w:t>
      </w:r>
      <w:r w:rsidR="009D0701">
        <w:rPr>
          <w:rFonts w:ascii="Arial" w:hAnsi="Arial" w:cs="Arial"/>
          <w:sz w:val="24"/>
          <w:szCs w:val="24"/>
        </w:rPr>
        <w:t xml:space="preserve"> </w:t>
      </w:r>
      <w:r w:rsidR="00E210A1">
        <w:rPr>
          <w:rFonts w:ascii="Arial" w:hAnsi="Arial" w:cs="Arial"/>
          <w:sz w:val="24"/>
          <w:szCs w:val="24"/>
        </w:rPr>
        <w:t xml:space="preserve">he knew he had to make prior arrangements or at least inform his supervisor by email at his earliest opportunity. </w:t>
      </w:r>
      <w:r w:rsidR="003040DB">
        <w:rPr>
          <w:rFonts w:ascii="Arial" w:hAnsi="Arial" w:cs="Arial"/>
          <w:sz w:val="24"/>
          <w:szCs w:val="24"/>
        </w:rPr>
        <w:t xml:space="preserve">Secondly, the misconduct of the first </w:t>
      </w:r>
      <w:r w:rsidR="00654BC2">
        <w:rPr>
          <w:rFonts w:ascii="Arial" w:hAnsi="Arial" w:cs="Arial"/>
          <w:sz w:val="24"/>
          <w:szCs w:val="24"/>
        </w:rPr>
        <w:t>respondent</w:t>
      </w:r>
      <w:r w:rsidR="003040DB">
        <w:rPr>
          <w:rFonts w:ascii="Arial" w:hAnsi="Arial" w:cs="Arial"/>
          <w:sz w:val="24"/>
          <w:szCs w:val="24"/>
        </w:rPr>
        <w:t xml:space="preserve"> only came to the fore</w:t>
      </w:r>
      <w:r w:rsidR="002647EC">
        <w:rPr>
          <w:rFonts w:ascii="Arial" w:hAnsi="Arial" w:cs="Arial"/>
          <w:sz w:val="24"/>
          <w:szCs w:val="24"/>
        </w:rPr>
        <w:t xml:space="preserve"> as a result of the </w:t>
      </w:r>
      <w:r w:rsidR="003040DB">
        <w:rPr>
          <w:rFonts w:ascii="Arial" w:hAnsi="Arial" w:cs="Arial"/>
          <w:sz w:val="24"/>
          <w:szCs w:val="24"/>
        </w:rPr>
        <w:t>lo</w:t>
      </w:r>
      <w:r w:rsidR="00E210A1">
        <w:rPr>
          <w:rFonts w:ascii="Arial" w:hAnsi="Arial" w:cs="Arial"/>
          <w:sz w:val="24"/>
          <w:szCs w:val="24"/>
        </w:rPr>
        <w:t xml:space="preserve">ck-out </w:t>
      </w:r>
      <w:r w:rsidR="002647EC">
        <w:rPr>
          <w:rFonts w:ascii="Arial" w:hAnsi="Arial" w:cs="Arial"/>
          <w:sz w:val="24"/>
          <w:szCs w:val="24"/>
        </w:rPr>
        <w:t xml:space="preserve">incident </w:t>
      </w:r>
      <w:r w:rsidR="00E210A1">
        <w:rPr>
          <w:rFonts w:ascii="Arial" w:hAnsi="Arial" w:cs="Arial"/>
          <w:sz w:val="24"/>
          <w:szCs w:val="24"/>
        </w:rPr>
        <w:t xml:space="preserve">which sparked the </w:t>
      </w:r>
      <w:r w:rsidR="003040DB">
        <w:rPr>
          <w:rFonts w:ascii="Arial" w:hAnsi="Arial" w:cs="Arial"/>
          <w:sz w:val="24"/>
          <w:szCs w:val="24"/>
        </w:rPr>
        <w:t xml:space="preserve">investigation. Ms. Angula advanced these reasons as the distinguishing factors, </w:t>
      </w:r>
      <w:r w:rsidR="006C6672">
        <w:rPr>
          <w:rFonts w:ascii="Arial" w:hAnsi="Arial" w:cs="Arial"/>
          <w:sz w:val="24"/>
          <w:szCs w:val="24"/>
        </w:rPr>
        <w:t xml:space="preserve">between </w:t>
      </w:r>
      <w:r w:rsidR="00E210A1">
        <w:rPr>
          <w:rFonts w:ascii="Arial" w:hAnsi="Arial" w:cs="Arial"/>
          <w:sz w:val="24"/>
          <w:szCs w:val="24"/>
        </w:rPr>
        <w:t xml:space="preserve">the first respondent and the comparable </w:t>
      </w:r>
      <w:r w:rsidR="006C6672">
        <w:rPr>
          <w:rFonts w:ascii="Arial" w:hAnsi="Arial" w:cs="Arial"/>
          <w:sz w:val="24"/>
          <w:szCs w:val="24"/>
        </w:rPr>
        <w:t>employees and hence there is a rational basis for the different outcomes of the disciplinary process in respect of them</w:t>
      </w:r>
      <w:r w:rsidR="003B56B2">
        <w:rPr>
          <w:rFonts w:ascii="Arial" w:hAnsi="Arial" w:cs="Arial"/>
          <w:sz w:val="24"/>
          <w:szCs w:val="24"/>
        </w:rPr>
        <w:t>.</w:t>
      </w:r>
      <w:r w:rsidR="006C6672">
        <w:rPr>
          <w:rFonts w:ascii="Arial" w:hAnsi="Arial" w:cs="Arial"/>
          <w:sz w:val="24"/>
          <w:szCs w:val="24"/>
        </w:rPr>
        <w:t xml:space="preserve"> </w:t>
      </w:r>
      <w:r w:rsidR="007C6A72">
        <w:rPr>
          <w:rFonts w:ascii="Arial" w:hAnsi="Arial" w:cs="Arial"/>
          <w:sz w:val="24"/>
          <w:szCs w:val="24"/>
        </w:rPr>
        <w:t>I will deal with this argument within the context of</w:t>
      </w:r>
      <w:r w:rsidR="003B56B2">
        <w:rPr>
          <w:rFonts w:ascii="Arial" w:hAnsi="Arial" w:cs="Arial"/>
          <w:sz w:val="24"/>
          <w:szCs w:val="24"/>
        </w:rPr>
        <w:t xml:space="preserve"> my reading of the record further down.</w:t>
      </w:r>
      <w:r w:rsidR="007C6A72">
        <w:rPr>
          <w:rFonts w:ascii="Arial" w:hAnsi="Arial" w:cs="Arial"/>
          <w:sz w:val="24"/>
          <w:szCs w:val="24"/>
        </w:rPr>
        <w:t xml:space="preserve"> </w:t>
      </w:r>
    </w:p>
    <w:p w:rsidR="005E09DD" w:rsidRDefault="005E09DD" w:rsidP="00F07B23">
      <w:pPr>
        <w:spacing w:after="0" w:line="480" w:lineRule="auto"/>
        <w:jc w:val="both"/>
        <w:rPr>
          <w:rFonts w:ascii="Arial" w:hAnsi="Arial" w:cs="Arial"/>
          <w:sz w:val="24"/>
          <w:szCs w:val="24"/>
        </w:rPr>
      </w:pPr>
    </w:p>
    <w:p w:rsidR="002A000B" w:rsidRDefault="0045573D" w:rsidP="00F07B23">
      <w:pPr>
        <w:spacing w:after="0" w:line="480" w:lineRule="auto"/>
        <w:jc w:val="both"/>
        <w:rPr>
          <w:rFonts w:ascii="Arial" w:hAnsi="Arial" w:cs="Arial"/>
          <w:sz w:val="24"/>
          <w:szCs w:val="24"/>
        </w:rPr>
      </w:pPr>
      <w:r>
        <w:rPr>
          <w:rFonts w:ascii="Arial" w:hAnsi="Arial" w:cs="Arial"/>
          <w:sz w:val="24"/>
          <w:szCs w:val="24"/>
        </w:rPr>
        <w:t>[19</w:t>
      </w:r>
      <w:r w:rsidR="00E5460F">
        <w:rPr>
          <w:rFonts w:ascii="Arial" w:hAnsi="Arial" w:cs="Arial"/>
          <w:sz w:val="24"/>
          <w:szCs w:val="24"/>
        </w:rPr>
        <w:t>]</w:t>
      </w:r>
      <w:r w:rsidR="00E5460F">
        <w:rPr>
          <w:rFonts w:ascii="Arial" w:hAnsi="Arial" w:cs="Arial"/>
          <w:sz w:val="24"/>
          <w:szCs w:val="24"/>
        </w:rPr>
        <w:tab/>
      </w:r>
      <w:r w:rsidR="00FC05C4">
        <w:rPr>
          <w:rFonts w:ascii="Arial" w:hAnsi="Arial" w:cs="Arial"/>
          <w:sz w:val="24"/>
          <w:szCs w:val="24"/>
        </w:rPr>
        <w:t xml:space="preserve"> </w:t>
      </w:r>
      <w:r w:rsidR="00843B87">
        <w:rPr>
          <w:rFonts w:ascii="Arial" w:hAnsi="Arial" w:cs="Arial"/>
          <w:sz w:val="24"/>
          <w:szCs w:val="24"/>
        </w:rPr>
        <w:t xml:space="preserve">In defense of the ruling made by the second respondent, </w:t>
      </w:r>
      <w:r w:rsidR="003B56B2">
        <w:rPr>
          <w:rFonts w:ascii="Arial" w:hAnsi="Arial" w:cs="Arial"/>
          <w:sz w:val="24"/>
          <w:szCs w:val="24"/>
        </w:rPr>
        <w:t xml:space="preserve">Mr. Kasper advanced his </w:t>
      </w:r>
      <w:r w:rsidR="00351B44">
        <w:rPr>
          <w:rFonts w:ascii="Arial" w:hAnsi="Arial" w:cs="Arial"/>
          <w:sz w:val="24"/>
          <w:szCs w:val="24"/>
        </w:rPr>
        <w:t>argument</w:t>
      </w:r>
      <w:r w:rsidR="003B56B2">
        <w:rPr>
          <w:rFonts w:ascii="Arial" w:hAnsi="Arial" w:cs="Arial"/>
          <w:sz w:val="24"/>
          <w:szCs w:val="24"/>
        </w:rPr>
        <w:t>s for</w:t>
      </w:r>
      <w:r w:rsidR="00351B44">
        <w:rPr>
          <w:rFonts w:ascii="Arial" w:hAnsi="Arial" w:cs="Arial"/>
          <w:sz w:val="24"/>
          <w:szCs w:val="24"/>
        </w:rPr>
        <w:t xml:space="preserve"> consistency or parity</w:t>
      </w:r>
      <w:r w:rsidR="002258EE">
        <w:rPr>
          <w:rFonts w:ascii="Arial" w:hAnsi="Arial" w:cs="Arial"/>
          <w:sz w:val="24"/>
          <w:szCs w:val="24"/>
        </w:rPr>
        <w:t xml:space="preserve">. </w:t>
      </w:r>
      <w:r w:rsidR="00E77EAD">
        <w:rPr>
          <w:rFonts w:ascii="Arial" w:hAnsi="Arial" w:cs="Arial"/>
          <w:sz w:val="24"/>
          <w:szCs w:val="24"/>
        </w:rPr>
        <w:t xml:space="preserve">He argued that </w:t>
      </w:r>
      <w:r w:rsidR="0099639E">
        <w:rPr>
          <w:rFonts w:ascii="Arial" w:hAnsi="Arial" w:cs="Arial"/>
          <w:sz w:val="24"/>
          <w:szCs w:val="24"/>
        </w:rPr>
        <w:t xml:space="preserve">to treat </w:t>
      </w:r>
      <w:r w:rsidR="00E77EAD">
        <w:rPr>
          <w:rFonts w:ascii="Arial" w:hAnsi="Arial" w:cs="Arial"/>
          <w:sz w:val="24"/>
          <w:szCs w:val="24"/>
        </w:rPr>
        <w:t>employees who committed the same</w:t>
      </w:r>
      <w:r w:rsidR="0099639E">
        <w:rPr>
          <w:rFonts w:ascii="Arial" w:hAnsi="Arial" w:cs="Arial"/>
          <w:sz w:val="24"/>
          <w:szCs w:val="24"/>
        </w:rPr>
        <w:t xml:space="preserve"> misconduct, differently</w:t>
      </w:r>
      <w:r w:rsidR="003B56B2">
        <w:rPr>
          <w:rFonts w:ascii="Arial" w:hAnsi="Arial" w:cs="Arial"/>
          <w:sz w:val="24"/>
          <w:szCs w:val="24"/>
        </w:rPr>
        <w:t xml:space="preserve">, is as a general rule </w:t>
      </w:r>
      <w:r w:rsidR="0099639E">
        <w:rPr>
          <w:rFonts w:ascii="Arial" w:hAnsi="Arial" w:cs="Arial"/>
          <w:sz w:val="24"/>
          <w:szCs w:val="24"/>
        </w:rPr>
        <w:t xml:space="preserve">unfair. Consistency is simply an element of disciplinary fairness and every employee must be measured by the same standards. It is the perception of bias inherent in selective discipline which makes it unfair. In </w:t>
      </w:r>
      <w:r w:rsidR="002258EE">
        <w:rPr>
          <w:rFonts w:ascii="Arial" w:hAnsi="Arial" w:cs="Arial"/>
          <w:sz w:val="24"/>
          <w:szCs w:val="24"/>
        </w:rPr>
        <w:t>Labour</w:t>
      </w:r>
      <w:r w:rsidR="00654BC2">
        <w:rPr>
          <w:rFonts w:ascii="Arial" w:hAnsi="Arial" w:cs="Arial"/>
          <w:sz w:val="24"/>
          <w:szCs w:val="24"/>
        </w:rPr>
        <w:t xml:space="preserve"> L</w:t>
      </w:r>
      <w:r w:rsidR="002258EE">
        <w:rPr>
          <w:rFonts w:ascii="Arial" w:hAnsi="Arial" w:cs="Arial"/>
          <w:sz w:val="24"/>
          <w:szCs w:val="24"/>
        </w:rPr>
        <w:t>aw</w:t>
      </w:r>
      <w:r w:rsidR="0099639E">
        <w:rPr>
          <w:rFonts w:ascii="Arial" w:hAnsi="Arial" w:cs="Arial"/>
          <w:sz w:val="24"/>
          <w:szCs w:val="24"/>
        </w:rPr>
        <w:t>, so his argument continued,</w:t>
      </w:r>
      <w:r w:rsidR="002258EE">
        <w:rPr>
          <w:rFonts w:ascii="Arial" w:hAnsi="Arial" w:cs="Arial"/>
          <w:sz w:val="24"/>
          <w:szCs w:val="24"/>
        </w:rPr>
        <w:t xml:space="preserve"> a distinction is made between historical inconsistency and contemporaneous inconsistency. Historical inconsistency is where an employer, has</w:t>
      </w:r>
      <w:r w:rsidR="00654BC2">
        <w:rPr>
          <w:rFonts w:ascii="Arial" w:hAnsi="Arial" w:cs="Arial"/>
          <w:sz w:val="24"/>
          <w:szCs w:val="24"/>
        </w:rPr>
        <w:t xml:space="preserve"> a matter of practice used a </w:t>
      </w:r>
      <w:r w:rsidR="002258EE">
        <w:rPr>
          <w:rFonts w:ascii="Arial" w:hAnsi="Arial" w:cs="Arial"/>
          <w:sz w:val="24"/>
          <w:szCs w:val="24"/>
        </w:rPr>
        <w:t xml:space="preserve">certain punishment for a certain type of offence. Contemporaneous inconsistency is where two or more employees engaged in the same or similar conduct at roughly the same time but only one of them are disciplined or different penalties are imposed. </w:t>
      </w:r>
    </w:p>
    <w:p w:rsidR="002A000B" w:rsidRDefault="002A000B" w:rsidP="00F07B23">
      <w:pPr>
        <w:spacing w:after="0" w:line="480" w:lineRule="auto"/>
        <w:jc w:val="both"/>
        <w:rPr>
          <w:rFonts w:ascii="Arial" w:hAnsi="Arial" w:cs="Arial"/>
          <w:sz w:val="24"/>
          <w:szCs w:val="24"/>
        </w:rPr>
      </w:pPr>
    </w:p>
    <w:p w:rsidR="00980539" w:rsidRPr="00980539" w:rsidRDefault="00980539" w:rsidP="00F07B23">
      <w:pPr>
        <w:spacing w:after="0" w:line="480" w:lineRule="auto"/>
        <w:jc w:val="both"/>
        <w:rPr>
          <w:rFonts w:ascii="Arial" w:hAnsi="Arial" w:cs="Arial"/>
          <w:b/>
          <w:sz w:val="24"/>
          <w:szCs w:val="24"/>
          <w:u w:val="single"/>
        </w:rPr>
      </w:pPr>
      <w:r w:rsidRPr="00980539">
        <w:rPr>
          <w:rFonts w:ascii="Arial" w:hAnsi="Arial" w:cs="Arial"/>
          <w:b/>
          <w:sz w:val="24"/>
          <w:szCs w:val="24"/>
          <w:u w:val="single"/>
        </w:rPr>
        <w:t>The Law</w:t>
      </w:r>
    </w:p>
    <w:p w:rsidR="002A000B" w:rsidRDefault="002A000B" w:rsidP="00F07B23">
      <w:pPr>
        <w:spacing w:after="0" w:line="480" w:lineRule="auto"/>
        <w:jc w:val="both"/>
        <w:rPr>
          <w:rFonts w:ascii="Arial" w:hAnsi="Arial" w:cs="Arial"/>
          <w:sz w:val="24"/>
          <w:szCs w:val="24"/>
        </w:rPr>
      </w:pPr>
    </w:p>
    <w:p w:rsidR="0099162A" w:rsidRDefault="0045573D" w:rsidP="00F07B23">
      <w:pPr>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A000B">
        <w:rPr>
          <w:rFonts w:ascii="Arial" w:hAnsi="Arial" w:cs="Arial"/>
          <w:sz w:val="24"/>
          <w:szCs w:val="24"/>
        </w:rPr>
        <w:t>Mr Kasper</w:t>
      </w:r>
      <w:r w:rsidR="0099639E">
        <w:rPr>
          <w:rFonts w:ascii="Arial" w:hAnsi="Arial" w:cs="Arial"/>
          <w:sz w:val="24"/>
          <w:szCs w:val="24"/>
        </w:rPr>
        <w:t xml:space="preserve"> cited the following three cases, which this court </w:t>
      </w:r>
      <w:r w:rsidR="000C15A8">
        <w:rPr>
          <w:rFonts w:ascii="Arial" w:hAnsi="Arial" w:cs="Arial"/>
          <w:sz w:val="24"/>
          <w:szCs w:val="24"/>
        </w:rPr>
        <w:t xml:space="preserve">respectfully </w:t>
      </w:r>
      <w:r w:rsidR="0099639E">
        <w:rPr>
          <w:rFonts w:ascii="Arial" w:hAnsi="Arial" w:cs="Arial"/>
          <w:sz w:val="24"/>
          <w:szCs w:val="24"/>
        </w:rPr>
        <w:t xml:space="preserve">considered as part its decision in this matter. </w:t>
      </w:r>
      <w:r w:rsidR="0099639E" w:rsidRPr="0099639E">
        <w:rPr>
          <w:rFonts w:ascii="Arial" w:hAnsi="Arial" w:cs="Arial"/>
          <w:i/>
          <w:sz w:val="24"/>
          <w:szCs w:val="24"/>
        </w:rPr>
        <w:t>Edgards Stores (Namibia) Limited v Laurika Oiliver and others</w:t>
      </w:r>
      <w:r w:rsidR="0099639E">
        <w:rPr>
          <w:rFonts w:ascii="Arial" w:hAnsi="Arial" w:cs="Arial"/>
          <w:sz w:val="24"/>
          <w:szCs w:val="24"/>
        </w:rPr>
        <w:t xml:space="preserve">, Case No LCA 67/2009. </w:t>
      </w:r>
      <w:r w:rsidR="0099639E" w:rsidRPr="0099639E">
        <w:rPr>
          <w:rFonts w:ascii="Arial" w:hAnsi="Arial" w:cs="Arial"/>
          <w:i/>
          <w:sz w:val="24"/>
          <w:szCs w:val="24"/>
        </w:rPr>
        <w:t>Rosh Pinah Corporation (Pty) Ltd v Dirkse</w:t>
      </w:r>
      <w:r w:rsidR="0099639E">
        <w:rPr>
          <w:rFonts w:ascii="Arial" w:hAnsi="Arial" w:cs="Arial"/>
          <w:sz w:val="24"/>
          <w:szCs w:val="24"/>
        </w:rPr>
        <w:t xml:space="preserve"> (LC 13/2012) [2015] NALCMD 4 (13 March 2015</w:t>
      </w:r>
      <w:r w:rsidR="00540908">
        <w:rPr>
          <w:rFonts w:ascii="Arial" w:hAnsi="Arial" w:cs="Arial"/>
          <w:sz w:val="24"/>
          <w:szCs w:val="24"/>
        </w:rPr>
        <w:t xml:space="preserve">); </w:t>
      </w:r>
      <w:r w:rsidR="00540908" w:rsidRPr="00955807">
        <w:rPr>
          <w:rFonts w:ascii="Arial" w:hAnsi="Arial" w:cs="Arial"/>
          <w:i/>
          <w:sz w:val="24"/>
          <w:szCs w:val="24"/>
        </w:rPr>
        <w:t xml:space="preserve">Namibia </w:t>
      </w:r>
      <w:r w:rsidR="00955807" w:rsidRPr="00955807">
        <w:rPr>
          <w:rFonts w:ascii="Arial" w:hAnsi="Arial" w:cs="Arial"/>
          <w:i/>
          <w:sz w:val="24"/>
          <w:szCs w:val="24"/>
        </w:rPr>
        <w:t>Wildlife</w:t>
      </w:r>
      <w:r w:rsidR="001A513B">
        <w:rPr>
          <w:rFonts w:ascii="Arial" w:hAnsi="Arial" w:cs="Arial"/>
          <w:i/>
          <w:sz w:val="24"/>
          <w:szCs w:val="24"/>
        </w:rPr>
        <w:t xml:space="preserve"> Resorts Limited v Il</w:t>
      </w:r>
      <w:r w:rsidR="00540908" w:rsidRPr="00955807">
        <w:rPr>
          <w:rFonts w:ascii="Arial" w:hAnsi="Arial" w:cs="Arial"/>
          <w:i/>
          <w:sz w:val="24"/>
          <w:szCs w:val="24"/>
        </w:rPr>
        <w:t xml:space="preserve">onga </w:t>
      </w:r>
      <w:r w:rsidR="00540908">
        <w:rPr>
          <w:rFonts w:ascii="Arial" w:hAnsi="Arial" w:cs="Arial"/>
          <w:sz w:val="24"/>
          <w:szCs w:val="24"/>
        </w:rPr>
        <w:t>NLLP 2013 (7) 251 LCN</w:t>
      </w:r>
      <w:r w:rsidR="00955807">
        <w:rPr>
          <w:rFonts w:ascii="Arial" w:hAnsi="Arial" w:cs="Arial"/>
          <w:sz w:val="24"/>
          <w:szCs w:val="24"/>
        </w:rPr>
        <w:t>.</w:t>
      </w:r>
      <w:r w:rsidR="003C1215">
        <w:rPr>
          <w:rFonts w:ascii="Arial" w:hAnsi="Arial" w:cs="Arial"/>
          <w:sz w:val="24"/>
          <w:szCs w:val="24"/>
        </w:rPr>
        <w:t xml:space="preserve"> </w:t>
      </w:r>
    </w:p>
    <w:p w:rsidR="0099162A" w:rsidRDefault="0099162A" w:rsidP="00F07B23">
      <w:pPr>
        <w:spacing w:after="0" w:line="480" w:lineRule="auto"/>
        <w:jc w:val="both"/>
        <w:rPr>
          <w:rFonts w:ascii="Arial" w:hAnsi="Arial" w:cs="Arial"/>
          <w:sz w:val="24"/>
          <w:szCs w:val="24"/>
        </w:rPr>
      </w:pPr>
    </w:p>
    <w:p w:rsidR="007668AC" w:rsidRDefault="0045573D" w:rsidP="007668AC">
      <w:pPr>
        <w:spacing w:line="480" w:lineRule="auto"/>
        <w:ind w:right="-59"/>
        <w:jc w:val="both"/>
        <w:rPr>
          <w:rFonts w:ascii="Arial" w:hAnsi="Arial" w:cs="Arial"/>
          <w:snapToGrid w:val="0"/>
          <w:sz w:val="24"/>
          <w:szCs w:val="24"/>
        </w:rPr>
      </w:pPr>
      <w:r>
        <w:rPr>
          <w:rFonts w:ascii="Arial" w:hAnsi="Arial" w:cs="Arial"/>
          <w:sz w:val="24"/>
          <w:szCs w:val="24"/>
        </w:rPr>
        <w:t>[21]</w:t>
      </w:r>
      <w:r>
        <w:rPr>
          <w:rFonts w:ascii="Arial" w:hAnsi="Arial" w:cs="Arial"/>
          <w:sz w:val="24"/>
          <w:szCs w:val="24"/>
        </w:rPr>
        <w:tab/>
      </w:r>
      <w:r w:rsidR="00955807">
        <w:rPr>
          <w:rFonts w:ascii="Arial" w:hAnsi="Arial" w:cs="Arial"/>
          <w:sz w:val="24"/>
          <w:szCs w:val="24"/>
        </w:rPr>
        <w:t xml:space="preserve">I respectfully considered the </w:t>
      </w:r>
      <w:r w:rsidR="007E2C2B">
        <w:rPr>
          <w:rFonts w:ascii="Arial" w:hAnsi="Arial" w:cs="Arial"/>
          <w:sz w:val="24"/>
          <w:szCs w:val="24"/>
        </w:rPr>
        <w:t>decision</w:t>
      </w:r>
      <w:r w:rsidR="00955807">
        <w:rPr>
          <w:rFonts w:ascii="Arial" w:hAnsi="Arial" w:cs="Arial"/>
          <w:sz w:val="24"/>
          <w:szCs w:val="24"/>
        </w:rPr>
        <w:t xml:space="preserve"> in the unreported case of </w:t>
      </w:r>
      <w:r w:rsidR="0099162A">
        <w:rPr>
          <w:rFonts w:ascii="Arial" w:hAnsi="Arial" w:cs="Arial"/>
          <w:sz w:val="24"/>
          <w:szCs w:val="24"/>
        </w:rPr>
        <w:t xml:space="preserve">Parker AJ in </w:t>
      </w:r>
      <w:r w:rsidR="00955807">
        <w:rPr>
          <w:rFonts w:ascii="Arial" w:hAnsi="Arial" w:cs="Arial"/>
          <w:sz w:val="24"/>
          <w:szCs w:val="24"/>
        </w:rPr>
        <w:t>Edgards Stores</w:t>
      </w:r>
      <w:r w:rsidR="00955807">
        <w:rPr>
          <w:rStyle w:val="FootnoteReference"/>
          <w:rFonts w:ascii="Arial" w:hAnsi="Arial" w:cs="Arial"/>
          <w:sz w:val="24"/>
          <w:szCs w:val="24"/>
        </w:rPr>
        <w:footnoteReference w:id="11"/>
      </w:r>
      <w:r w:rsidR="007E2C2B">
        <w:rPr>
          <w:rFonts w:ascii="Arial" w:hAnsi="Arial" w:cs="Arial"/>
          <w:sz w:val="24"/>
          <w:szCs w:val="24"/>
        </w:rPr>
        <w:t xml:space="preserve">. </w:t>
      </w:r>
      <w:r w:rsidR="007E2C2B">
        <w:rPr>
          <w:rFonts w:ascii="Arial" w:hAnsi="Arial" w:cs="Arial"/>
          <w:snapToGrid w:val="0"/>
          <w:sz w:val="24"/>
          <w:szCs w:val="24"/>
        </w:rPr>
        <w:t xml:space="preserve">The </w:t>
      </w:r>
      <w:r w:rsidR="0018313A">
        <w:rPr>
          <w:rFonts w:ascii="Arial" w:hAnsi="Arial" w:cs="Arial"/>
          <w:snapToGrid w:val="0"/>
          <w:sz w:val="24"/>
          <w:szCs w:val="24"/>
        </w:rPr>
        <w:t>fac</w:t>
      </w:r>
      <w:r w:rsidR="009315C0">
        <w:rPr>
          <w:rFonts w:ascii="Arial" w:hAnsi="Arial" w:cs="Arial"/>
          <w:snapToGrid w:val="0"/>
          <w:sz w:val="24"/>
          <w:szCs w:val="24"/>
        </w:rPr>
        <w:t xml:space="preserve">ts of the Edgars Stores case were that two fellow employees </w:t>
      </w:r>
      <w:r w:rsidR="007E2C2B">
        <w:rPr>
          <w:rFonts w:ascii="Arial" w:hAnsi="Arial" w:cs="Arial"/>
          <w:snapToGrid w:val="0"/>
          <w:sz w:val="24"/>
          <w:szCs w:val="24"/>
        </w:rPr>
        <w:t xml:space="preserve">had a </w:t>
      </w:r>
      <w:r w:rsidR="0018313A">
        <w:rPr>
          <w:rFonts w:ascii="Arial" w:hAnsi="Arial" w:cs="Arial"/>
          <w:snapToGrid w:val="0"/>
          <w:sz w:val="24"/>
          <w:szCs w:val="24"/>
        </w:rPr>
        <w:t>lover’s</w:t>
      </w:r>
      <w:r w:rsidR="009315C0">
        <w:rPr>
          <w:rFonts w:ascii="Arial" w:hAnsi="Arial" w:cs="Arial"/>
          <w:snapToGrid w:val="0"/>
          <w:sz w:val="24"/>
          <w:szCs w:val="24"/>
        </w:rPr>
        <w:t xml:space="preserve"> quarrel at work. Things</w:t>
      </w:r>
      <w:r w:rsidR="007E2C2B">
        <w:rPr>
          <w:rFonts w:ascii="Arial" w:hAnsi="Arial" w:cs="Arial"/>
          <w:snapToGrid w:val="0"/>
          <w:sz w:val="24"/>
          <w:szCs w:val="24"/>
        </w:rPr>
        <w:t xml:space="preserve"> ended in a physi</w:t>
      </w:r>
      <w:r w:rsidR="009315C0">
        <w:rPr>
          <w:rFonts w:ascii="Arial" w:hAnsi="Arial" w:cs="Arial"/>
          <w:snapToGrid w:val="0"/>
          <w:sz w:val="24"/>
          <w:szCs w:val="24"/>
        </w:rPr>
        <w:t xml:space="preserve">cal fight with </w:t>
      </w:r>
      <w:r w:rsidR="000C15A8">
        <w:rPr>
          <w:rFonts w:ascii="Arial" w:hAnsi="Arial" w:cs="Arial"/>
          <w:snapToGrid w:val="0"/>
          <w:sz w:val="24"/>
          <w:szCs w:val="24"/>
        </w:rPr>
        <w:t xml:space="preserve">both of them </w:t>
      </w:r>
      <w:r w:rsidR="009F3806">
        <w:rPr>
          <w:rFonts w:ascii="Arial" w:hAnsi="Arial" w:cs="Arial"/>
          <w:snapToGrid w:val="0"/>
          <w:sz w:val="24"/>
          <w:szCs w:val="24"/>
        </w:rPr>
        <w:t>being charged</w:t>
      </w:r>
      <w:r w:rsidR="007E2C2B">
        <w:rPr>
          <w:rFonts w:ascii="Arial" w:hAnsi="Arial" w:cs="Arial"/>
          <w:snapToGrid w:val="0"/>
          <w:sz w:val="24"/>
          <w:szCs w:val="24"/>
        </w:rPr>
        <w:t xml:space="preserve"> with the same charge </w:t>
      </w:r>
      <w:r w:rsidR="00ED028B">
        <w:rPr>
          <w:rFonts w:ascii="Arial" w:hAnsi="Arial" w:cs="Arial"/>
          <w:snapToGrid w:val="0"/>
          <w:sz w:val="24"/>
          <w:szCs w:val="24"/>
        </w:rPr>
        <w:t xml:space="preserve">of </w:t>
      </w:r>
      <w:r w:rsidR="007E2C2B">
        <w:rPr>
          <w:rFonts w:ascii="Arial" w:hAnsi="Arial" w:cs="Arial"/>
          <w:snapToGrid w:val="0"/>
          <w:sz w:val="24"/>
          <w:szCs w:val="24"/>
        </w:rPr>
        <w:t xml:space="preserve">assault </w:t>
      </w:r>
      <w:r w:rsidR="009315C0">
        <w:rPr>
          <w:rFonts w:ascii="Arial" w:hAnsi="Arial" w:cs="Arial"/>
          <w:snapToGrid w:val="0"/>
          <w:sz w:val="24"/>
          <w:szCs w:val="24"/>
        </w:rPr>
        <w:t xml:space="preserve">or manhandling. </w:t>
      </w:r>
      <w:r w:rsidR="0018313A">
        <w:rPr>
          <w:rFonts w:ascii="Arial" w:hAnsi="Arial" w:cs="Arial"/>
          <w:snapToGrid w:val="0"/>
          <w:sz w:val="24"/>
          <w:szCs w:val="24"/>
        </w:rPr>
        <w:t>Ms.</w:t>
      </w:r>
      <w:r w:rsidR="007E2C2B">
        <w:rPr>
          <w:rFonts w:ascii="Arial" w:hAnsi="Arial" w:cs="Arial"/>
          <w:snapToGrid w:val="0"/>
          <w:sz w:val="24"/>
          <w:szCs w:val="24"/>
        </w:rPr>
        <w:t xml:space="preserve"> Oli</w:t>
      </w:r>
      <w:r w:rsidR="009F3806">
        <w:rPr>
          <w:rFonts w:ascii="Arial" w:hAnsi="Arial" w:cs="Arial"/>
          <w:snapToGrid w:val="0"/>
          <w:sz w:val="24"/>
          <w:szCs w:val="24"/>
        </w:rPr>
        <w:t>ver</w:t>
      </w:r>
      <w:r w:rsidR="00ED028B">
        <w:rPr>
          <w:rFonts w:ascii="Arial" w:hAnsi="Arial" w:cs="Arial"/>
          <w:snapToGrid w:val="0"/>
          <w:sz w:val="24"/>
          <w:szCs w:val="24"/>
        </w:rPr>
        <w:t xml:space="preserve"> was dismissed and her boyfriend</w:t>
      </w:r>
      <w:r w:rsidR="007E2C2B">
        <w:rPr>
          <w:rFonts w:ascii="Arial" w:hAnsi="Arial" w:cs="Arial"/>
          <w:snapToGrid w:val="0"/>
          <w:sz w:val="24"/>
          <w:szCs w:val="24"/>
        </w:rPr>
        <w:t>, Mr. Rooi, received a warning. Parker AJ assessed the facts</w:t>
      </w:r>
      <w:r w:rsidR="00ED028B">
        <w:rPr>
          <w:rFonts w:ascii="Arial" w:hAnsi="Arial" w:cs="Arial"/>
          <w:snapToGrid w:val="0"/>
          <w:sz w:val="24"/>
          <w:szCs w:val="24"/>
        </w:rPr>
        <w:t xml:space="preserve"> as follows</w:t>
      </w:r>
      <w:r w:rsidR="007668AC">
        <w:rPr>
          <w:rStyle w:val="FootnoteReference"/>
          <w:rFonts w:ascii="Arial" w:hAnsi="Arial" w:cs="Arial"/>
          <w:snapToGrid w:val="0"/>
          <w:sz w:val="24"/>
          <w:szCs w:val="24"/>
        </w:rPr>
        <w:footnoteReference w:id="12"/>
      </w:r>
      <w:r w:rsidR="007E2C2B">
        <w:rPr>
          <w:rFonts w:ascii="Arial" w:hAnsi="Arial" w:cs="Arial"/>
          <w:snapToGrid w:val="0"/>
          <w:sz w:val="24"/>
          <w:szCs w:val="24"/>
        </w:rPr>
        <w:t xml:space="preserve">: </w:t>
      </w:r>
    </w:p>
    <w:p w:rsidR="009F3806" w:rsidRPr="007668AC" w:rsidRDefault="009F3806" w:rsidP="007668AC">
      <w:pPr>
        <w:spacing w:line="480" w:lineRule="auto"/>
        <w:ind w:right="-59"/>
        <w:jc w:val="both"/>
        <w:rPr>
          <w:rFonts w:ascii="Arial" w:hAnsi="Arial" w:cs="Arial"/>
          <w:snapToGrid w:val="0"/>
          <w:sz w:val="24"/>
          <w:szCs w:val="24"/>
        </w:rPr>
      </w:pPr>
    </w:p>
    <w:p w:rsidR="0099162A" w:rsidRPr="0099162A" w:rsidRDefault="0099162A" w:rsidP="007668AC">
      <w:pPr>
        <w:spacing w:line="360" w:lineRule="auto"/>
        <w:ind w:right="-57" w:firstLine="720"/>
        <w:jc w:val="both"/>
        <w:rPr>
          <w:rFonts w:ascii="Arial" w:hAnsi="Arial" w:cs="Arial"/>
        </w:rPr>
      </w:pPr>
      <w:r>
        <w:rPr>
          <w:rFonts w:ascii="Bookman Old Style" w:hAnsi="Bookman Old Style"/>
        </w:rPr>
        <w:t>[5]</w:t>
      </w:r>
      <w:r>
        <w:rPr>
          <w:rFonts w:ascii="Bookman Old Style" w:hAnsi="Bookman Old Style"/>
        </w:rPr>
        <w:tab/>
      </w:r>
      <w:r w:rsidRPr="0099162A">
        <w:rPr>
          <w:rFonts w:ascii="Arial" w:hAnsi="Arial" w:cs="Arial"/>
        </w:rPr>
        <w:t>On the record, I find that the following are not disputed or are, in my opinion, indisputable.  The genesis of this matter lies in the 1</w:t>
      </w:r>
      <w:r w:rsidRPr="0099162A">
        <w:rPr>
          <w:rFonts w:ascii="Arial" w:hAnsi="Arial" w:cs="Arial"/>
          <w:position w:val="10"/>
        </w:rPr>
        <w:t>st</w:t>
      </w:r>
      <w:r w:rsidRPr="0099162A">
        <w:rPr>
          <w:rFonts w:ascii="Arial" w:hAnsi="Arial" w:cs="Arial"/>
        </w:rPr>
        <w:t xml:space="preserve"> respondent and a co-employee (Mr. Willem Rooi) being charged as follows:  ‘Assault or Manhandling in that on 20/02/2009 you allegedly got into a fight on the sales floor which resulted in serious breach of the company regulations and made the relationship between yourself and colleagues, customers and management intolerable.’</w:t>
      </w:r>
    </w:p>
    <w:p w:rsidR="0099162A" w:rsidRPr="0099162A" w:rsidRDefault="0099162A" w:rsidP="007668AC">
      <w:pPr>
        <w:spacing w:line="360" w:lineRule="auto"/>
        <w:ind w:right="-57"/>
        <w:jc w:val="both"/>
        <w:rPr>
          <w:rFonts w:ascii="Arial" w:hAnsi="Arial" w:cs="Arial"/>
          <w:snapToGrid w:val="0"/>
        </w:rPr>
      </w:pPr>
    </w:p>
    <w:p w:rsidR="007E2C2B" w:rsidRDefault="0099162A" w:rsidP="007668AC">
      <w:pPr>
        <w:spacing w:line="360" w:lineRule="auto"/>
        <w:ind w:right="-57"/>
        <w:jc w:val="both"/>
        <w:rPr>
          <w:rFonts w:ascii="Arial" w:hAnsi="Arial" w:cs="Arial"/>
          <w:snapToGrid w:val="0"/>
        </w:rPr>
      </w:pPr>
      <w:r w:rsidRPr="0099162A">
        <w:rPr>
          <w:rFonts w:ascii="Arial" w:hAnsi="Arial" w:cs="Arial"/>
          <w:snapToGrid w:val="0"/>
        </w:rPr>
        <w:t>[6]</w:t>
      </w:r>
      <w:r w:rsidRPr="0099162A">
        <w:rPr>
          <w:rFonts w:ascii="Arial" w:hAnsi="Arial" w:cs="Arial"/>
          <w:snapToGrid w:val="0"/>
        </w:rPr>
        <w:tab/>
        <w:t>It would seem the two employees pleaded guilty to the charge at the aforementioned disciplinary heari</w:t>
      </w:r>
      <w:r w:rsidR="007E2C2B">
        <w:rPr>
          <w:rFonts w:ascii="Arial" w:hAnsi="Arial" w:cs="Arial"/>
          <w:snapToGrid w:val="0"/>
        </w:rPr>
        <w:t xml:space="preserve">ng conducted by the appellant. </w:t>
      </w:r>
      <w:r w:rsidRPr="0099162A">
        <w:rPr>
          <w:rFonts w:ascii="Arial" w:hAnsi="Arial" w:cs="Arial"/>
          <w:snapToGrid w:val="0"/>
        </w:rPr>
        <w:t>The 1</w:t>
      </w:r>
      <w:r w:rsidRPr="0099162A">
        <w:rPr>
          <w:rFonts w:ascii="Arial" w:hAnsi="Arial" w:cs="Arial"/>
          <w:snapToGrid w:val="0"/>
          <w:position w:val="10"/>
        </w:rPr>
        <w:t>st</w:t>
      </w:r>
      <w:r w:rsidRPr="0099162A">
        <w:rPr>
          <w:rFonts w:ascii="Arial" w:hAnsi="Arial" w:cs="Arial"/>
          <w:snapToGrid w:val="0"/>
        </w:rPr>
        <w:t xml:space="preserve"> respondent was dismissed by the disciplinary committee and as respects Mr. Rooi, the committee recommended to Management to ‘seriously warn him against love affairs at the work place’.  </w:t>
      </w:r>
    </w:p>
    <w:p w:rsidR="00ED028B" w:rsidRDefault="00ED028B" w:rsidP="00F07B23">
      <w:pPr>
        <w:spacing w:line="480" w:lineRule="auto"/>
        <w:ind w:right="-59"/>
        <w:jc w:val="both"/>
        <w:rPr>
          <w:rFonts w:ascii="Arial" w:hAnsi="Arial" w:cs="Arial"/>
          <w:snapToGrid w:val="0"/>
          <w:sz w:val="24"/>
          <w:szCs w:val="24"/>
        </w:rPr>
      </w:pPr>
    </w:p>
    <w:p w:rsidR="00926986" w:rsidRPr="00926986" w:rsidRDefault="003B76D5" w:rsidP="00F07B23">
      <w:pPr>
        <w:spacing w:line="480" w:lineRule="auto"/>
        <w:ind w:right="-59"/>
        <w:jc w:val="both"/>
        <w:rPr>
          <w:rFonts w:ascii="Arial" w:hAnsi="Arial" w:cs="Arial"/>
          <w:snapToGrid w:val="0"/>
          <w:sz w:val="24"/>
          <w:szCs w:val="24"/>
        </w:rPr>
      </w:pPr>
      <w:r>
        <w:rPr>
          <w:rFonts w:ascii="Arial" w:hAnsi="Arial" w:cs="Arial"/>
          <w:snapToGrid w:val="0"/>
          <w:sz w:val="24"/>
          <w:szCs w:val="24"/>
        </w:rPr>
        <w:t>[22]</w:t>
      </w:r>
      <w:r>
        <w:rPr>
          <w:rFonts w:ascii="Arial" w:hAnsi="Arial" w:cs="Arial"/>
          <w:snapToGrid w:val="0"/>
          <w:sz w:val="24"/>
          <w:szCs w:val="24"/>
        </w:rPr>
        <w:tab/>
      </w:r>
      <w:r w:rsidR="00926986">
        <w:rPr>
          <w:rFonts w:ascii="Arial" w:hAnsi="Arial" w:cs="Arial"/>
          <w:snapToGrid w:val="0"/>
          <w:sz w:val="24"/>
          <w:szCs w:val="24"/>
        </w:rPr>
        <w:t>Parker AJ continued</w:t>
      </w:r>
      <w:r w:rsidR="00742073">
        <w:rPr>
          <w:rStyle w:val="FootnoteReference"/>
          <w:rFonts w:ascii="Arial" w:hAnsi="Arial" w:cs="Arial"/>
          <w:snapToGrid w:val="0"/>
          <w:sz w:val="24"/>
          <w:szCs w:val="24"/>
        </w:rPr>
        <w:footnoteReference w:id="13"/>
      </w:r>
      <w:r w:rsidR="00ED028B">
        <w:rPr>
          <w:rFonts w:ascii="Arial" w:hAnsi="Arial" w:cs="Arial"/>
          <w:snapToGrid w:val="0"/>
          <w:sz w:val="24"/>
          <w:szCs w:val="24"/>
        </w:rPr>
        <w:t xml:space="preserve">: </w:t>
      </w:r>
    </w:p>
    <w:p w:rsidR="0099162A" w:rsidRPr="00ED028B" w:rsidRDefault="00434D2A" w:rsidP="00434D2A">
      <w:pPr>
        <w:spacing w:line="360" w:lineRule="auto"/>
        <w:ind w:right="-57" w:firstLine="720"/>
        <w:jc w:val="both"/>
        <w:rPr>
          <w:rFonts w:ascii="Arial" w:hAnsi="Arial" w:cs="Arial"/>
        </w:rPr>
      </w:pPr>
      <w:r>
        <w:rPr>
          <w:rFonts w:ascii="Arial" w:hAnsi="Arial" w:cs="Arial"/>
        </w:rPr>
        <w:t xml:space="preserve">‘[11] </w:t>
      </w:r>
      <w:r w:rsidR="0099162A" w:rsidRPr="0099162A">
        <w:rPr>
          <w:rFonts w:ascii="Arial" w:hAnsi="Arial" w:cs="Arial"/>
        </w:rPr>
        <w:t>In Labour Law, fairness is at the root of its rules and practice.  It cannot be seriously argued on any pan of scale that the sort of conduct of some employees of the appellant that abounds the present record and which the appellant’s disciplinary hearings dealt with on different occasions in the recent past is so different in nature from the 1</w:t>
      </w:r>
      <w:r w:rsidR="0099162A" w:rsidRPr="0099162A">
        <w:rPr>
          <w:rFonts w:ascii="Arial" w:hAnsi="Arial" w:cs="Arial"/>
          <w:position w:val="10"/>
        </w:rPr>
        <w:t>st</w:t>
      </w:r>
      <w:r w:rsidR="0099162A" w:rsidRPr="0099162A">
        <w:rPr>
          <w:rFonts w:ascii="Arial" w:hAnsi="Arial" w:cs="Arial"/>
        </w:rPr>
        <w:t xml:space="preserve"> respondent’s conduct that the participants in such conduct in the past should be treated differently from the 1</w:t>
      </w:r>
      <w:r w:rsidR="0099162A" w:rsidRPr="0099162A">
        <w:rPr>
          <w:rFonts w:ascii="Arial" w:hAnsi="Arial" w:cs="Arial"/>
          <w:position w:val="10"/>
        </w:rPr>
        <w:t>st</w:t>
      </w:r>
      <w:r w:rsidR="0099162A" w:rsidRPr="0099162A">
        <w:rPr>
          <w:rFonts w:ascii="Arial" w:hAnsi="Arial" w:cs="Arial"/>
        </w:rPr>
        <w:t xml:space="preserve"> respondent. In my opinion, no amount of theorizing about the parity principle and the inconsistency principle can put a different colour on this irrefragably unfair reality.</w:t>
      </w:r>
    </w:p>
    <w:p w:rsidR="00ED028B" w:rsidRPr="00ED028B" w:rsidRDefault="00ED028B" w:rsidP="00926986">
      <w:pPr>
        <w:spacing w:line="360" w:lineRule="auto"/>
        <w:ind w:right="-57"/>
        <w:jc w:val="both"/>
        <w:rPr>
          <w:rFonts w:ascii="Arial" w:hAnsi="Arial" w:cs="Arial"/>
          <w:snapToGrid w:val="0"/>
        </w:rPr>
      </w:pPr>
    </w:p>
    <w:p w:rsidR="00ED028B" w:rsidRPr="00ED028B" w:rsidRDefault="00ED028B" w:rsidP="00926986">
      <w:pPr>
        <w:spacing w:line="360" w:lineRule="auto"/>
        <w:ind w:right="-57"/>
        <w:jc w:val="both"/>
        <w:rPr>
          <w:rFonts w:ascii="Arial" w:hAnsi="Arial" w:cs="Arial"/>
          <w:snapToGrid w:val="0"/>
        </w:rPr>
      </w:pPr>
      <w:r w:rsidRPr="00ED028B">
        <w:rPr>
          <w:rFonts w:ascii="Arial" w:hAnsi="Arial" w:cs="Arial"/>
          <w:snapToGrid w:val="0"/>
        </w:rPr>
        <w:t>[12]</w:t>
      </w:r>
      <w:r w:rsidRPr="00ED028B">
        <w:rPr>
          <w:rFonts w:ascii="Arial" w:hAnsi="Arial" w:cs="Arial"/>
          <w:snapToGrid w:val="0"/>
        </w:rPr>
        <w:tab/>
        <w:t>In a matter like the present, one must always keep in one’s mental spectacle the facts and circumstances of the particular case.  A closer look at the facts and circumstances of the instant case and the aforegoing reasoning and conclusions propel me to the inexorable and reasonable conclusion that the appellant has not shown that the arbitrator did exercise her discretion for unsound reason or that she exercised her discretion with bias and caprice or that she applied a wrong principle when she held that the dismissal of the 1</w:t>
      </w:r>
      <w:r w:rsidRPr="00ED028B">
        <w:rPr>
          <w:rFonts w:ascii="Arial" w:hAnsi="Arial" w:cs="Arial"/>
          <w:snapToGrid w:val="0"/>
          <w:position w:val="10"/>
        </w:rPr>
        <w:t>st</w:t>
      </w:r>
      <w:r w:rsidRPr="00ED028B">
        <w:rPr>
          <w:rFonts w:ascii="Arial" w:hAnsi="Arial" w:cs="Arial"/>
          <w:snapToGrid w:val="0"/>
        </w:rPr>
        <w:t xml:space="preserve"> respondent is substantively unfair on the basis that an inconsistent punitive measure was applied unfairly in the case of the 1</w:t>
      </w:r>
      <w:r w:rsidRPr="00ED028B">
        <w:rPr>
          <w:rFonts w:ascii="Arial" w:hAnsi="Arial" w:cs="Arial"/>
          <w:snapToGrid w:val="0"/>
          <w:position w:val="10"/>
        </w:rPr>
        <w:t>st</w:t>
      </w:r>
      <w:r w:rsidRPr="00ED028B">
        <w:rPr>
          <w:rFonts w:ascii="Arial" w:hAnsi="Arial" w:cs="Arial"/>
          <w:snapToGrid w:val="0"/>
        </w:rPr>
        <w:t xml:space="preserve"> respondent.</w:t>
      </w:r>
      <w:r w:rsidR="00434D2A">
        <w:rPr>
          <w:rFonts w:ascii="Arial" w:hAnsi="Arial" w:cs="Arial"/>
          <w:snapToGrid w:val="0"/>
        </w:rPr>
        <w:t>’</w:t>
      </w:r>
    </w:p>
    <w:p w:rsidR="00654BC2" w:rsidRDefault="00654BC2" w:rsidP="00F07B23">
      <w:pPr>
        <w:spacing w:after="0" w:line="480" w:lineRule="auto"/>
        <w:jc w:val="both"/>
        <w:rPr>
          <w:rFonts w:ascii="Arial" w:hAnsi="Arial" w:cs="Arial"/>
          <w:sz w:val="24"/>
          <w:szCs w:val="24"/>
        </w:rPr>
      </w:pPr>
    </w:p>
    <w:p w:rsidR="00F07B23" w:rsidRDefault="0045573D" w:rsidP="00F07B23">
      <w:pPr>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07B23">
        <w:rPr>
          <w:rFonts w:ascii="Arial" w:hAnsi="Arial" w:cs="Arial"/>
          <w:sz w:val="24"/>
          <w:szCs w:val="24"/>
        </w:rPr>
        <w:t>The decision in the Edgars Stores case</w:t>
      </w:r>
      <w:r w:rsidR="0045133C">
        <w:rPr>
          <w:rFonts w:ascii="Arial" w:hAnsi="Arial" w:cs="Arial"/>
          <w:sz w:val="24"/>
          <w:szCs w:val="24"/>
        </w:rPr>
        <w:t xml:space="preserve"> is </w:t>
      </w:r>
      <w:r w:rsidR="0078282E">
        <w:rPr>
          <w:rFonts w:ascii="Arial" w:hAnsi="Arial" w:cs="Arial"/>
          <w:sz w:val="24"/>
          <w:szCs w:val="24"/>
        </w:rPr>
        <w:t xml:space="preserve">firmly articulating the </w:t>
      </w:r>
      <w:r w:rsidR="00F07B23">
        <w:rPr>
          <w:rFonts w:ascii="Arial" w:hAnsi="Arial" w:cs="Arial"/>
          <w:sz w:val="24"/>
          <w:szCs w:val="24"/>
        </w:rPr>
        <w:t xml:space="preserve">concept of </w:t>
      </w:r>
      <w:r w:rsidR="0078282E">
        <w:rPr>
          <w:rFonts w:ascii="Arial" w:hAnsi="Arial" w:cs="Arial"/>
          <w:sz w:val="24"/>
          <w:szCs w:val="24"/>
        </w:rPr>
        <w:t>consis</w:t>
      </w:r>
      <w:r w:rsidR="00F07B23">
        <w:rPr>
          <w:rFonts w:ascii="Arial" w:hAnsi="Arial" w:cs="Arial"/>
          <w:sz w:val="24"/>
          <w:szCs w:val="24"/>
        </w:rPr>
        <w:t xml:space="preserve">tence or parity as part case law in </w:t>
      </w:r>
      <w:r w:rsidR="0078282E">
        <w:rPr>
          <w:rFonts w:ascii="Arial" w:hAnsi="Arial" w:cs="Arial"/>
          <w:sz w:val="24"/>
          <w:szCs w:val="24"/>
        </w:rPr>
        <w:t xml:space="preserve">Namibian Labour Law. I also considered the decision of Hoff J in the regard, in </w:t>
      </w:r>
      <w:r w:rsidR="0078282E" w:rsidRPr="00F07B23">
        <w:rPr>
          <w:rFonts w:ascii="Arial" w:hAnsi="Arial" w:cs="Arial"/>
          <w:i/>
          <w:sz w:val="24"/>
          <w:szCs w:val="24"/>
        </w:rPr>
        <w:t>Namibia Wildlife Resorts Limited v Ilonga</w:t>
      </w:r>
      <w:r w:rsidR="0078282E">
        <w:rPr>
          <w:rFonts w:ascii="Arial" w:hAnsi="Arial" w:cs="Arial"/>
          <w:sz w:val="24"/>
          <w:szCs w:val="24"/>
        </w:rPr>
        <w:t xml:space="preserve"> NLLP 2013 (7) 251 LCN, </w:t>
      </w:r>
      <w:r w:rsidR="00287180">
        <w:rPr>
          <w:rFonts w:ascii="Arial" w:hAnsi="Arial" w:cs="Arial"/>
          <w:sz w:val="24"/>
          <w:szCs w:val="24"/>
        </w:rPr>
        <w:t>“</w:t>
      </w:r>
      <w:r w:rsidR="001A3BA6">
        <w:rPr>
          <w:rFonts w:ascii="Arial" w:hAnsi="Arial" w:cs="Arial"/>
          <w:sz w:val="24"/>
          <w:szCs w:val="24"/>
        </w:rPr>
        <w:t xml:space="preserve">the </w:t>
      </w:r>
      <w:r w:rsidR="001A3BA6" w:rsidRPr="00E70155">
        <w:rPr>
          <w:rFonts w:ascii="Arial" w:hAnsi="Arial" w:cs="Arial"/>
          <w:i/>
          <w:sz w:val="24"/>
          <w:szCs w:val="24"/>
        </w:rPr>
        <w:t>NWR</w:t>
      </w:r>
      <w:r w:rsidR="00287180">
        <w:rPr>
          <w:rFonts w:ascii="Arial" w:hAnsi="Arial" w:cs="Arial"/>
          <w:sz w:val="24"/>
          <w:szCs w:val="24"/>
        </w:rPr>
        <w:t xml:space="preserve"> case” </w:t>
      </w:r>
      <w:r w:rsidR="0078282E">
        <w:rPr>
          <w:rFonts w:ascii="Arial" w:hAnsi="Arial" w:cs="Arial"/>
          <w:sz w:val="24"/>
          <w:szCs w:val="24"/>
        </w:rPr>
        <w:t xml:space="preserve">to </w:t>
      </w:r>
      <w:r w:rsidR="00F07B23">
        <w:rPr>
          <w:rFonts w:ascii="Arial" w:hAnsi="Arial" w:cs="Arial"/>
          <w:sz w:val="24"/>
          <w:szCs w:val="24"/>
        </w:rPr>
        <w:t xml:space="preserve">see </w:t>
      </w:r>
      <w:r w:rsidR="0078282E">
        <w:rPr>
          <w:rFonts w:ascii="Arial" w:hAnsi="Arial" w:cs="Arial"/>
          <w:sz w:val="24"/>
          <w:szCs w:val="24"/>
        </w:rPr>
        <w:t>how this principle might have developed over time in our law.</w:t>
      </w:r>
      <w:r w:rsidR="00F07B23">
        <w:rPr>
          <w:rFonts w:ascii="Arial" w:hAnsi="Arial" w:cs="Arial"/>
          <w:sz w:val="24"/>
          <w:szCs w:val="24"/>
        </w:rPr>
        <w:t xml:space="preserve"> </w:t>
      </w:r>
    </w:p>
    <w:p w:rsidR="00F07B23" w:rsidRDefault="00F07B23" w:rsidP="00F07B23">
      <w:pPr>
        <w:spacing w:after="0" w:line="480" w:lineRule="auto"/>
        <w:jc w:val="both"/>
        <w:rPr>
          <w:rFonts w:ascii="Arial" w:hAnsi="Arial" w:cs="Arial"/>
          <w:sz w:val="24"/>
          <w:szCs w:val="24"/>
        </w:rPr>
      </w:pPr>
    </w:p>
    <w:p w:rsidR="00ED028B" w:rsidRDefault="0045133C" w:rsidP="00F07B23">
      <w:pPr>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287180">
        <w:rPr>
          <w:rFonts w:ascii="Arial" w:hAnsi="Arial" w:cs="Arial"/>
          <w:sz w:val="24"/>
          <w:szCs w:val="24"/>
        </w:rPr>
        <w:t xml:space="preserve">In the </w:t>
      </w:r>
      <w:r w:rsidR="00287180" w:rsidRPr="00E70155">
        <w:rPr>
          <w:rFonts w:ascii="Arial" w:hAnsi="Arial" w:cs="Arial"/>
          <w:i/>
          <w:sz w:val="24"/>
          <w:szCs w:val="24"/>
        </w:rPr>
        <w:t>NWR</w:t>
      </w:r>
      <w:r w:rsidR="00F07B23">
        <w:rPr>
          <w:rFonts w:ascii="Arial" w:hAnsi="Arial" w:cs="Arial"/>
          <w:sz w:val="24"/>
          <w:szCs w:val="24"/>
        </w:rPr>
        <w:t xml:space="preserve"> case, the respondent was dismissed by the appellant after she was found guilty of theft of alcohol in a disciplinary hearing. The court a quo, found her dismissal was unfair, due to the appellant not being consistent in its punishment of similar previous offences by other employees. The insights on the subject matter of Hoff J </w:t>
      </w:r>
      <w:r w:rsidR="00287180">
        <w:rPr>
          <w:rFonts w:ascii="Arial" w:hAnsi="Arial" w:cs="Arial"/>
          <w:sz w:val="24"/>
          <w:szCs w:val="24"/>
        </w:rPr>
        <w:t xml:space="preserve">follow </w:t>
      </w:r>
      <w:r w:rsidR="00F07B23">
        <w:rPr>
          <w:rFonts w:ascii="Arial" w:hAnsi="Arial" w:cs="Arial"/>
          <w:sz w:val="24"/>
          <w:szCs w:val="24"/>
        </w:rPr>
        <w:t>below</w:t>
      </w:r>
      <w:r w:rsidR="00287180">
        <w:rPr>
          <w:rStyle w:val="FootnoteReference"/>
          <w:rFonts w:ascii="Arial" w:hAnsi="Arial" w:cs="Arial"/>
          <w:sz w:val="24"/>
          <w:szCs w:val="24"/>
        </w:rPr>
        <w:footnoteReference w:id="14"/>
      </w:r>
      <w:r w:rsidR="00F07B23">
        <w:rPr>
          <w:rFonts w:ascii="Arial" w:hAnsi="Arial" w:cs="Arial"/>
          <w:sz w:val="24"/>
          <w:szCs w:val="24"/>
        </w:rPr>
        <w:t xml:space="preserve">: </w:t>
      </w:r>
    </w:p>
    <w:p w:rsidR="00F07B23" w:rsidRDefault="00F07B23" w:rsidP="00F07B23">
      <w:pPr>
        <w:pStyle w:val="NoSpacing"/>
        <w:spacing w:line="360" w:lineRule="auto"/>
        <w:jc w:val="both"/>
        <w:rPr>
          <w:rFonts w:ascii="Arial" w:hAnsi="Arial" w:cs="Arial"/>
        </w:rPr>
      </w:pPr>
    </w:p>
    <w:p w:rsidR="00F07B23" w:rsidRPr="00F07B23" w:rsidRDefault="00F07B23" w:rsidP="00F07B23">
      <w:pPr>
        <w:pStyle w:val="NoSpacing"/>
        <w:spacing w:line="360" w:lineRule="auto"/>
        <w:ind w:firstLine="720"/>
        <w:jc w:val="both"/>
        <w:rPr>
          <w:rFonts w:ascii="Arial" w:hAnsi="Arial" w:cs="Arial"/>
        </w:rPr>
      </w:pPr>
      <w:r>
        <w:rPr>
          <w:rFonts w:ascii="Arial" w:hAnsi="Arial" w:cs="Arial"/>
        </w:rPr>
        <w:t>‘[4]</w:t>
      </w:r>
      <w:r w:rsidRPr="00F07B23">
        <w:rPr>
          <w:rFonts w:ascii="Arial" w:hAnsi="Arial" w:cs="Arial"/>
        </w:rPr>
        <w:tab/>
        <w:t xml:space="preserve">The only issue to be considered in this appeal is whether the arbitrator, erred in law, by finding on the evidence presented at the arbitration hearing, that the appellant had been inconsistent in the application of its disciplinary code as it treated the respondent differently from another of its employees, Limbo Engelbrecht, and thus acted inconsistent with Article 10(1) of the Namibian Constitution and section 33(1) of the Labour Act, 11 of 2007.  Article 10(1) of the Constitution states that all persons shall be equal before the law.  Section 33(1) of Act 11 of 2007 prohibits the dismissal of an employee without a valid and fair reason and without a fair procedure.  </w:t>
      </w:r>
    </w:p>
    <w:p w:rsidR="00F07B23" w:rsidRPr="00F07B23" w:rsidRDefault="00F07B23" w:rsidP="00F07B23">
      <w:pPr>
        <w:pStyle w:val="NoSpacing"/>
        <w:spacing w:line="360" w:lineRule="auto"/>
        <w:jc w:val="both"/>
        <w:rPr>
          <w:rFonts w:ascii="Arial" w:hAnsi="Arial" w:cs="Arial"/>
        </w:rPr>
      </w:pPr>
    </w:p>
    <w:p w:rsidR="00F07B23" w:rsidRPr="00F07B23" w:rsidRDefault="00F07B23" w:rsidP="00F07B23">
      <w:pPr>
        <w:pStyle w:val="NoSpacing"/>
        <w:spacing w:line="360" w:lineRule="auto"/>
        <w:jc w:val="both"/>
        <w:rPr>
          <w:rFonts w:ascii="Arial" w:hAnsi="Arial" w:cs="Arial"/>
        </w:rPr>
      </w:pPr>
      <w:r w:rsidRPr="00F07B23">
        <w:rPr>
          <w:rFonts w:ascii="Arial" w:hAnsi="Arial" w:cs="Arial"/>
        </w:rPr>
        <w:t>[5]</w:t>
      </w:r>
      <w:r w:rsidRPr="00F07B23">
        <w:rPr>
          <w:rFonts w:ascii="Arial" w:hAnsi="Arial" w:cs="Arial"/>
        </w:rPr>
        <w:tab/>
        <w:t xml:space="preserve">In addition to the award of remuneration, the arbitrator ordered the reinstatement of the respondent solely on the basis of a perceived inconsistent application of disciplinary sanctions in respect of the same transgression.  </w:t>
      </w:r>
    </w:p>
    <w:p w:rsidR="00F07B23" w:rsidRPr="00F07B23" w:rsidRDefault="00F07B23" w:rsidP="00F07B23">
      <w:pPr>
        <w:pStyle w:val="NoSpacing"/>
        <w:spacing w:line="360" w:lineRule="auto"/>
        <w:jc w:val="both"/>
        <w:rPr>
          <w:rFonts w:ascii="Arial" w:hAnsi="Arial" w:cs="Arial"/>
        </w:rPr>
      </w:pPr>
    </w:p>
    <w:p w:rsidR="00F07B23" w:rsidRPr="00F07B23" w:rsidRDefault="00F07B23" w:rsidP="00F07B23">
      <w:pPr>
        <w:pStyle w:val="NoSpacing"/>
        <w:spacing w:line="360" w:lineRule="auto"/>
        <w:jc w:val="both"/>
        <w:rPr>
          <w:rFonts w:ascii="Arial" w:hAnsi="Arial" w:cs="Arial"/>
        </w:rPr>
      </w:pPr>
      <w:r w:rsidRPr="00F07B23">
        <w:rPr>
          <w:rFonts w:ascii="Arial" w:hAnsi="Arial" w:cs="Arial"/>
        </w:rPr>
        <w:t>[6]</w:t>
      </w:r>
      <w:r w:rsidRPr="00F07B23">
        <w:rPr>
          <w:rFonts w:ascii="Arial" w:hAnsi="Arial" w:cs="Arial"/>
        </w:rPr>
        <w:tab/>
        <w:t>An employee seeking to rely on the inconsist application of discipline by the employer must mount a proper challenge.  This in turn requires evidence of other similar cases which attracted different and less severe disciplinary sanctions to warrant the inference that the employer had been inconsistent.</w:t>
      </w:r>
    </w:p>
    <w:p w:rsidR="00F07B23" w:rsidRPr="00F07B23" w:rsidRDefault="00F07B23" w:rsidP="00F07B23">
      <w:pPr>
        <w:pStyle w:val="NoSpacing"/>
        <w:spacing w:line="360" w:lineRule="auto"/>
        <w:jc w:val="both"/>
        <w:rPr>
          <w:rFonts w:ascii="Arial" w:hAnsi="Arial" w:cs="Arial"/>
        </w:rPr>
      </w:pPr>
    </w:p>
    <w:p w:rsidR="00F07B23" w:rsidRPr="00F07B23" w:rsidRDefault="00F07B23" w:rsidP="00F07B23">
      <w:pPr>
        <w:pStyle w:val="NoSpacing"/>
        <w:spacing w:line="360" w:lineRule="auto"/>
        <w:jc w:val="both"/>
        <w:rPr>
          <w:rFonts w:ascii="Arial" w:hAnsi="Arial" w:cs="Arial"/>
        </w:rPr>
      </w:pPr>
      <w:r w:rsidRPr="00F07B23">
        <w:rPr>
          <w:rFonts w:ascii="Arial" w:hAnsi="Arial" w:cs="Arial"/>
        </w:rPr>
        <w:t>[7]</w:t>
      </w:r>
      <w:r w:rsidRPr="00F07B23">
        <w:rPr>
          <w:rFonts w:ascii="Arial" w:hAnsi="Arial" w:cs="Arial"/>
        </w:rPr>
        <w:tab/>
        <w:t xml:space="preserve">John Grogan in his work </w:t>
      </w:r>
      <w:r w:rsidRPr="00F07B23">
        <w:rPr>
          <w:rFonts w:ascii="Arial" w:hAnsi="Arial" w:cs="Arial"/>
          <w:i/>
        </w:rPr>
        <w:t xml:space="preserve">Dismissal, Discrimination &amp; Unfair Labour Practices </w:t>
      </w:r>
      <w:r w:rsidRPr="00F07B23">
        <w:rPr>
          <w:rFonts w:ascii="Arial" w:hAnsi="Arial" w:cs="Arial"/>
        </w:rPr>
        <w:t>August 2005</w:t>
      </w:r>
      <w:r w:rsidRPr="00F07B23">
        <w:rPr>
          <w:rFonts w:ascii="Arial" w:hAnsi="Arial" w:cs="Arial"/>
          <w:i/>
        </w:rPr>
        <w:t xml:space="preserve"> </w:t>
      </w:r>
      <w:r w:rsidRPr="00F07B23">
        <w:rPr>
          <w:rFonts w:ascii="Arial" w:hAnsi="Arial" w:cs="Arial"/>
        </w:rPr>
        <w:t>at 225 - 226 stated the following regarding a claim of inconsistency:</w:t>
      </w:r>
    </w:p>
    <w:p w:rsidR="00F07B23" w:rsidRPr="00F07B23" w:rsidRDefault="00F07B23" w:rsidP="00F07B23">
      <w:pPr>
        <w:pStyle w:val="NoSpacing"/>
        <w:spacing w:line="360" w:lineRule="auto"/>
        <w:jc w:val="both"/>
        <w:rPr>
          <w:rFonts w:ascii="Arial" w:hAnsi="Arial" w:cs="Arial"/>
        </w:rPr>
      </w:pPr>
    </w:p>
    <w:p w:rsidR="00F07B23" w:rsidRPr="00F07B23" w:rsidRDefault="00F07B23" w:rsidP="00F07B23">
      <w:pPr>
        <w:pStyle w:val="NoSpacing"/>
        <w:spacing w:line="360" w:lineRule="auto"/>
        <w:ind w:left="737" w:right="737"/>
        <w:jc w:val="both"/>
        <w:rPr>
          <w:rFonts w:ascii="Arial" w:hAnsi="Arial" w:cs="Arial"/>
        </w:rPr>
      </w:pPr>
      <w:r w:rsidRPr="00F07B23">
        <w:rPr>
          <w:rFonts w:ascii="Arial" w:hAnsi="Arial" w:cs="Arial"/>
        </w:rPr>
        <w:t xml:space="preserve">“Consistency challenges should be properly mounted.  Little purpose is served by employees simply claiming at the beginning of an arbitration hearing that the employer has treated other employees more leniently in some earlier case or cases.  Where this occurs, the employer’s representative can justifiably raise the objection that he or she is unaware of the details of the earlier case(s).  The arbitrator must then disallow the objection or grant a postponement.  Furthermore, a claim of inconsistency can be sustained only if the earlier cases relied on are sufficiently similar to the case at hand to warrant the inference that the employer has indeed been inconsistent.  Comparison between cases for this purpose requires consideration not only to the respective employees’ conduct, but also of such factors as the employees’ remorse and disciplinary record, whether the workforce has been warned that such offences will be treated more severely in future, and the circumstances surrounding the respective cases”.  </w:t>
      </w:r>
    </w:p>
    <w:p w:rsidR="00F07B23" w:rsidRPr="00F07B23" w:rsidRDefault="00F07B23" w:rsidP="00F07B23">
      <w:pPr>
        <w:pStyle w:val="NoSpacing"/>
        <w:spacing w:line="360" w:lineRule="auto"/>
        <w:jc w:val="both"/>
        <w:rPr>
          <w:rFonts w:ascii="Arial" w:hAnsi="Arial" w:cs="Arial"/>
        </w:rPr>
      </w:pPr>
    </w:p>
    <w:p w:rsidR="00F07B23" w:rsidRPr="00F07B23" w:rsidRDefault="00F07B23" w:rsidP="00F07B23">
      <w:pPr>
        <w:pStyle w:val="NoSpacing"/>
        <w:spacing w:line="360" w:lineRule="auto"/>
        <w:jc w:val="both"/>
        <w:rPr>
          <w:rFonts w:ascii="Arial" w:hAnsi="Arial" w:cs="Arial"/>
        </w:rPr>
      </w:pPr>
      <w:r w:rsidRPr="00F07B23">
        <w:rPr>
          <w:rFonts w:ascii="Arial" w:hAnsi="Arial" w:cs="Arial"/>
        </w:rPr>
        <w:t>[8]</w:t>
      </w:r>
      <w:r w:rsidRPr="00F07B23">
        <w:rPr>
          <w:rFonts w:ascii="Arial" w:hAnsi="Arial" w:cs="Arial"/>
        </w:rPr>
        <w:tab/>
        <w:t xml:space="preserve">In </w:t>
      </w:r>
      <w:r w:rsidRPr="00F07B23">
        <w:rPr>
          <w:rFonts w:ascii="Arial" w:hAnsi="Arial" w:cs="Arial"/>
          <w:i/>
        </w:rPr>
        <w:t>Southern Sun Hotels Interests (Pty) Ltd v CCMA and Others</w:t>
      </w:r>
      <w:r w:rsidRPr="00F07B23">
        <w:rPr>
          <w:rFonts w:ascii="Arial" w:hAnsi="Arial" w:cs="Arial"/>
        </w:rPr>
        <w:t xml:space="preserve"> [2009] 11 BLLR 1128 (LC) [at para 10] the following was said in relation to the issue of inconsistency by van Niekerk J.  </w:t>
      </w:r>
    </w:p>
    <w:p w:rsidR="00F07B23" w:rsidRPr="00F07B23" w:rsidRDefault="00F07B23" w:rsidP="00F07B23">
      <w:pPr>
        <w:pStyle w:val="NoSpacing"/>
        <w:spacing w:line="360" w:lineRule="auto"/>
        <w:ind w:left="737" w:right="737"/>
        <w:jc w:val="both"/>
        <w:rPr>
          <w:rFonts w:ascii="Arial" w:hAnsi="Arial" w:cs="Arial"/>
        </w:rPr>
      </w:pPr>
      <w:r w:rsidRPr="00F07B23">
        <w:rPr>
          <w:rFonts w:ascii="Arial" w:hAnsi="Arial" w:cs="Arial"/>
        </w:rPr>
        <w:t xml:space="preserve">“The legal principles applicable to consistency in the exercise of discipline are set out in item 7(b)(iii) of the </w:t>
      </w:r>
      <w:r w:rsidRPr="00F07B23">
        <w:rPr>
          <w:rFonts w:ascii="Arial" w:hAnsi="Arial" w:cs="Arial"/>
          <w:i/>
        </w:rPr>
        <w:t>Code of</w:t>
      </w:r>
      <w:r w:rsidRPr="00F07B23">
        <w:rPr>
          <w:rFonts w:ascii="Arial" w:hAnsi="Arial" w:cs="Arial"/>
        </w:rPr>
        <w:t xml:space="preserve"> </w:t>
      </w:r>
      <w:r w:rsidRPr="00F07B23">
        <w:rPr>
          <w:rFonts w:ascii="Arial" w:hAnsi="Arial" w:cs="Arial"/>
          <w:i/>
        </w:rPr>
        <w:t>Good Practice:  Dismissal</w:t>
      </w:r>
      <w:r w:rsidRPr="00F07B23">
        <w:rPr>
          <w:rFonts w:ascii="Arial" w:hAnsi="Arial" w:cs="Arial"/>
        </w:rPr>
        <w:t xml:space="preserve"> establishes as a guideline for testing the fairness of a dismissal for misconduct whether ‘the rule or standard has been consistently applied by the employer’.  This is often referred to as the “parity principle”, a basic tenet of fairness that requires like cases to be treated alike.  The courts have distinguished two forms of inconsistency – historical and contemporaneous inconsistency.  The former requires that an employee apply the penalty of dismissal consistently with the way in which the penalty has been applied to other employees in the past;  the latter requires that the penalty be applied consistently as between two or more employees who commit the same misconduct.  A claim of inconsistency (in either historical or contemporaneous terms) must satisfy a subjective element – an inconsistency challenge will fail where the employer did not know of the misconduct allegedly committed by the employee used as a comparator (see, for example </w:t>
      </w:r>
      <w:r w:rsidRPr="00F07B23">
        <w:rPr>
          <w:rFonts w:ascii="Arial" w:hAnsi="Arial" w:cs="Arial"/>
          <w:i/>
        </w:rPr>
        <w:t>Gcwensha v CCMA &amp; Others</w:t>
      </w:r>
      <w:r w:rsidRPr="00F07B23">
        <w:rPr>
          <w:rFonts w:ascii="Arial" w:hAnsi="Arial" w:cs="Arial"/>
        </w:rPr>
        <w:t xml:space="preserve"> [2006] 3 BLLR 234 (LAC) at paragraphs [37] – [38] ).  The objective element of the test to be applied is a comparator in the form of a similarly circumstanced employee subjected to a different treatment, usually in the form of a disciplinary penalty less severe than that imposed to the claimant (see </w:t>
      </w:r>
      <w:r w:rsidRPr="00F07B23">
        <w:rPr>
          <w:rFonts w:ascii="Arial" w:hAnsi="Arial" w:cs="Arial"/>
          <w:i/>
        </w:rPr>
        <w:t>Shoprite Checkers (Pty) Ltd v CCMA &amp; Others</w:t>
      </w:r>
      <w:r w:rsidRPr="00F07B23">
        <w:rPr>
          <w:rFonts w:ascii="Arial" w:hAnsi="Arial" w:cs="Arial"/>
        </w:rPr>
        <w:t xml:space="preserve"> [2001] 7 BLLR 840 (LC) at paragraph [3] ).  Similarity of circumstance is the inevitably most controversial component of this test.  An inconsistency challenge will fail where the employer is able to differentiate between employees who have committed similar transgressions on the basis of, inter alia, differences in personal circumstances, the severity of the misconduct or on the basis of other material factors.”</w:t>
      </w:r>
      <w:r>
        <w:rPr>
          <w:rFonts w:ascii="Arial" w:hAnsi="Arial" w:cs="Arial"/>
        </w:rPr>
        <w:t>’</w:t>
      </w:r>
    </w:p>
    <w:p w:rsidR="00F07B23" w:rsidRDefault="00F07B23" w:rsidP="00F07B23">
      <w:pPr>
        <w:pStyle w:val="NoSpacing"/>
        <w:spacing w:line="480" w:lineRule="auto"/>
        <w:jc w:val="both"/>
        <w:rPr>
          <w:rFonts w:ascii="Arial" w:hAnsi="Arial" w:cs="Arial"/>
        </w:rPr>
      </w:pPr>
    </w:p>
    <w:p w:rsidR="005B4EA5" w:rsidRDefault="0045133C" w:rsidP="005B4EA5">
      <w:pPr>
        <w:pStyle w:val="NoSpacing"/>
        <w:spacing w:line="480" w:lineRule="auto"/>
        <w:jc w:val="both"/>
        <w:rPr>
          <w:rFonts w:ascii="Arial" w:hAnsi="Arial" w:cs="Arial"/>
          <w:sz w:val="24"/>
          <w:szCs w:val="24"/>
        </w:rPr>
      </w:pPr>
      <w:r>
        <w:rPr>
          <w:rFonts w:ascii="Arial" w:hAnsi="Arial" w:cs="Arial"/>
          <w:sz w:val="24"/>
          <w:szCs w:val="24"/>
        </w:rPr>
        <w:t>[25</w:t>
      </w:r>
      <w:r w:rsidR="0045573D">
        <w:rPr>
          <w:rFonts w:ascii="Arial" w:hAnsi="Arial" w:cs="Arial"/>
          <w:sz w:val="24"/>
          <w:szCs w:val="24"/>
        </w:rPr>
        <w:t>]</w:t>
      </w:r>
      <w:r w:rsidR="0045573D">
        <w:rPr>
          <w:rFonts w:ascii="Arial" w:hAnsi="Arial" w:cs="Arial"/>
          <w:sz w:val="24"/>
          <w:szCs w:val="24"/>
        </w:rPr>
        <w:tab/>
      </w:r>
      <w:r>
        <w:rPr>
          <w:rFonts w:ascii="Arial" w:hAnsi="Arial" w:cs="Arial"/>
          <w:sz w:val="24"/>
          <w:szCs w:val="24"/>
        </w:rPr>
        <w:t xml:space="preserve">Finally, </w:t>
      </w:r>
      <w:r w:rsidR="00F07B23">
        <w:rPr>
          <w:rFonts w:ascii="Arial" w:hAnsi="Arial" w:cs="Arial"/>
          <w:sz w:val="24"/>
          <w:szCs w:val="24"/>
        </w:rPr>
        <w:t xml:space="preserve">I am also considering the case of </w:t>
      </w:r>
      <w:r w:rsidR="00F07B23" w:rsidRPr="00F07B23">
        <w:rPr>
          <w:rFonts w:ascii="Arial" w:hAnsi="Arial" w:cs="Arial"/>
          <w:i/>
          <w:sz w:val="24"/>
          <w:szCs w:val="24"/>
        </w:rPr>
        <w:t>Rosh Pinah Corporation (Pty) Ltd v Dirkse</w:t>
      </w:r>
      <w:r w:rsidR="00F07B23">
        <w:rPr>
          <w:rFonts w:ascii="Arial" w:hAnsi="Arial" w:cs="Arial"/>
          <w:sz w:val="24"/>
          <w:szCs w:val="24"/>
        </w:rPr>
        <w:t xml:space="preserve"> (LC 13/2012 [2015] NALCMD (13 MARCH 2015)</w:t>
      </w:r>
      <w:r w:rsidR="005B4EA5">
        <w:rPr>
          <w:rFonts w:ascii="Arial" w:hAnsi="Arial" w:cs="Arial"/>
          <w:sz w:val="24"/>
          <w:szCs w:val="24"/>
        </w:rPr>
        <w:t xml:space="preserve"> in this regard. In the headnote of his judgement</w:t>
      </w:r>
      <w:r w:rsidR="000C2B08">
        <w:rPr>
          <w:rFonts w:ascii="Arial" w:hAnsi="Arial" w:cs="Arial"/>
          <w:sz w:val="24"/>
          <w:szCs w:val="24"/>
        </w:rPr>
        <w:t>,</w:t>
      </w:r>
      <w:r w:rsidR="005B4EA5">
        <w:rPr>
          <w:rFonts w:ascii="Arial" w:hAnsi="Arial" w:cs="Arial"/>
          <w:sz w:val="24"/>
          <w:szCs w:val="24"/>
        </w:rPr>
        <w:t xml:space="preserve"> Hoff </w:t>
      </w:r>
      <w:r w:rsidR="000C2B08">
        <w:rPr>
          <w:rFonts w:ascii="Arial" w:hAnsi="Arial" w:cs="Arial"/>
          <w:sz w:val="24"/>
          <w:szCs w:val="24"/>
        </w:rPr>
        <w:t>J</w:t>
      </w:r>
      <w:r w:rsidR="005B4EA5">
        <w:rPr>
          <w:rFonts w:ascii="Arial" w:hAnsi="Arial" w:cs="Arial"/>
          <w:sz w:val="24"/>
          <w:szCs w:val="24"/>
        </w:rPr>
        <w:t xml:space="preserve"> articulated the principle of consistency in disciplinary fairness</w:t>
      </w:r>
      <w:r w:rsidR="000C2B08">
        <w:rPr>
          <w:rFonts w:ascii="Arial" w:hAnsi="Arial" w:cs="Arial"/>
          <w:sz w:val="24"/>
          <w:szCs w:val="24"/>
        </w:rPr>
        <w:t xml:space="preserve">; </w:t>
      </w:r>
      <w:r w:rsidR="005B4EA5">
        <w:rPr>
          <w:rFonts w:ascii="Arial" w:hAnsi="Arial" w:cs="Arial"/>
          <w:sz w:val="24"/>
          <w:szCs w:val="24"/>
        </w:rPr>
        <w:t xml:space="preserve">he also formulated </w:t>
      </w:r>
      <w:r w:rsidR="00C1487D">
        <w:rPr>
          <w:rFonts w:ascii="Arial" w:hAnsi="Arial" w:cs="Arial"/>
          <w:sz w:val="24"/>
          <w:szCs w:val="24"/>
        </w:rPr>
        <w:t>a qualification on</w:t>
      </w:r>
      <w:r w:rsidR="005B4EA5">
        <w:rPr>
          <w:rFonts w:ascii="Arial" w:hAnsi="Arial" w:cs="Arial"/>
          <w:sz w:val="24"/>
          <w:szCs w:val="24"/>
        </w:rPr>
        <w:t xml:space="preserve"> the parity principle</w:t>
      </w:r>
      <w:r w:rsidR="00C1487D">
        <w:rPr>
          <w:rFonts w:ascii="Arial" w:hAnsi="Arial" w:cs="Arial"/>
          <w:sz w:val="24"/>
          <w:szCs w:val="24"/>
        </w:rPr>
        <w:t>, in aid of an employer who wants to overcome a consistency challenge</w:t>
      </w:r>
      <w:r w:rsidR="005B4EA5">
        <w:rPr>
          <w:rFonts w:ascii="Arial" w:hAnsi="Arial" w:cs="Arial"/>
          <w:sz w:val="24"/>
          <w:szCs w:val="24"/>
        </w:rPr>
        <w:t xml:space="preserve"> as follows: </w:t>
      </w:r>
    </w:p>
    <w:p w:rsidR="005B4EA5" w:rsidRPr="005B4EA5" w:rsidRDefault="005B4EA5" w:rsidP="005B4EA5">
      <w:pPr>
        <w:pStyle w:val="NoSpacing"/>
        <w:spacing w:line="480" w:lineRule="auto"/>
        <w:jc w:val="both"/>
        <w:rPr>
          <w:rFonts w:ascii="Arial" w:hAnsi="Arial" w:cs="Arial"/>
          <w:sz w:val="24"/>
          <w:szCs w:val="24"/>
        </w:rPr>
      </w:pPr>
    </w:p>
    <w:p w:rsidR="005B4EA5" w:rsidRPr="005B4EA5" w:rsidRDefault="005B4EA5" w:rsidP="005B4EA5">
      <w:pPr>
        <w:spacing w:line="360" w:lineRule="auto"/>
        <w:ind w:firstLine="720"/>
        <w:jc w:val="both"/>
        <w:rPr>
          <w:rFonts w:ascii="Arial" w:hAnsi="Arial" w:cs="Arial"/>
          <w:lang w:val="en-ZA"/>
        </w:rPr>
      </w:pPr>
      <w:r>
        <w:rPr>
          <w:rFonts w:ascii="Arial" w:hAnsi="Arial" w:cs="Arial"/>
          <w:b/>
          <w:lang w:val="en-ZA"/>
        </w:rPr>
        <w:t>‘</w:t>
      </w:r>
      <w:r w:rsidRPr="005B4EA5">
        <w:rPr>
          <w:rFonts w:ascii="Arial" w:hAnsi="Arial" w:cs="Arial"/>
          <w:b/>
          <w:lang w:val="en-ZA"/>
        </w:rPr>
        <w:t xml:space="preserve">Unfair labour practice </w:t>
      </w:r>
      <w:r w:rsidRPr="005B4EA5">
        <w:rPr>
          <w:rFonts w:ascii="Arial" w:hAnsi="Arial" w:cs="Arial"/>
          <w:lang w:val="en-ZA"/>
        </w:rPr>
        <w:t>– To treat employees, who have committed similar misconduct differently, is as a general rule, unfair. Consistency is simply an element of disciplinary fairness and every employee must be measured by the same standards. It is the perception of bias inherent in selective discipline which makes it unfair. Unfair disciplinary action short of dismissal amounts to an unfair labour practice. In order to overcome a consistency challenge the employer must be able to show that there was a valid reason for differentiating between groups of employees guilty of the same offence. Onus of proof in allegation of unfair labour practice rests on employee to prove not only the existence of the practice but also that it was unfair.</w:t>
      </w:r>
      <w:r>
        <w:rPr>
          <w:rFonts w:ascii="Arial" w:hAnsi="Arial" w:cs="Arial"/>
          <w:lang w:val="en-ZA"/>
        </w:rPr>
        <w:t>’</w:t>
      </w:r>
      <w:r w:rsidR="00613E16">
        <w:rPr>
          <w:rStyle w:val="FootnoteReference"/>
          <w:rFonts w:ascii="Arial" w:hAnsi="Arial" w:cs="Arial"/>
          <w:lang w:val="en-ZA"/>
        </w:rPr>
        <w:footnoteReference w:id="15"/>
      </w:r>
    </w:p>
    <w:p w:rsidR="000C2B08" w:rsidRDefault="000C2B08" w:rsidP="00F07B23">
      <w:pPr>
        <w:spacing w:after="0" w:line="480" w:lineRule="auto"/>
        <w:jc w:val="both"/>
        <w:rPr>
          <w:rFonts w:ascii="Arial" w:hAnsi="Arial" w:cs="Arial"/>
          <w:sz w:val="24"/>
          <w:szCs w:val="24"/>
        </w:rPr>
      </w:pPr>
    </w:p>
    <w:p w:rsidR="00ED2F26" w:rsidRDefault="0045133C" w:rsidP="00ED2F26">
      <w:pPr>
        <w:pStyle w:val="NoSpacing"/>
        <w:spacing w:line="360" w:lineRule="auto"/>
        <w:ind w:right="737"/>
        <w:jc w:val="both"/>
        <w:rPr>
          <w:rFonts w:ascii="Arial" w:hAnsi="Arial" w:cs="Arial"/>
          <w:sz w:val="24"/>
          <w:szCs w:val="24"/>
        </w:rPr>
      </w:pPr>
      <w:r>
        <w:rPr>
          <w:rFonts w:ascii="Arial" w:hAnsi="Arial" w:cs="Arial"/>
          <w:sz w:val="24"/>
          <w:szCs w:val="24"/>
        </w:rPr>
        <w:t>[26</w:t>
      </w:r>
      <w:r w:rsidR="0045573D">
        <w:rPr>
          <w:rFonts w:ascii="Arial" w:hAnsi="Arial" w:cs="Arial"/>
          <w:sz w:val="24"/>
          <w:szCs w:val="24"/>
        </w:rPr>
        <w:t>]</w:t>
      </w:r>
      <w:r w:rsidR="0045573D">
        <w:rPr>
          <w:rFonts w:ascii="Arial" w:hAnsi="Arial" w:cs="Arial"/>
          <w:sz w:val="24"/>
          <w:szCs w:val="24"/>
        </w:rPr>
        <w:tab/>
      </w:r>
      <w:r w:rsidR="00C1487D">
        <w:rPr>
          <w:rFonts w:ascii="Arial" w:hAnsi="Arial" w:cs="Arial"/>
          <w:sz w:val="24"/>
          <w:szCs w:val="24"/>
        </w:rPr>
        <w:t xml:space="preserve">Having </w:t>
      </w:r>
      <w:r w:rsidR="000C2B08">
        <w:rPr>
          <w:rFonts w:ascii="Arial" w:hAnsi="Arial" w:cs="Arial"/>
          <w:sz w:val="24"/>
          <w:szCs w:val="24"/>
        </w:rPr>
        <w:t>cons</w:t>
      </w:r>
      <w:r w:rsidR="001701B5">
        <w:rPr>
          <w:rFonts w:ascii="Arial" w:hAnsi="Arial" w:cs="Arial"/>
          <w:sz w:val="24"/>
          <w:szCs w:val="24"/>
        </w:rPr>
        <w:t xml:space="preserve">idered the above stated dicta, I </w:t>
      </w:r>
      <w:r w:rsidR="009F3806">
        <w:rPr>
          <w:rFonts w:ascii="Arial" w:hAnsi="Arial" w:cs="Arial"/>
          <w:sz w:val="24"/>
          <w:szCs w:val="24"/>
        </w:rPr>
        <w:t xml:space="preserve">respectfully </w:t>
      </w:r>
      <w:r w:rsidR="001701B5">
        <w:rPr>
          <w:rFonts w:ascii="Arial" w:hAnsi="Arial" w:cs="Arial"/>
          <w:sz w:val="24"/>
          <w:szCs w:val="24"/>
        </w:rPr>
        <w:t>conclude that t</w:t>
      </w:r>
      <w:r w:rsidR="000C2B08">
        <w:rPr>
          <w:rFonts w:ascii="Arial" w:hAnsi="Arial" w:cs="Arial"/>
          <w:sz w:val="24"/>
          <w:szCs w:val="24"/>
        </w:rPr>
        <w:t xml:space="preserve">he principle of consistency when imposing </w:t>
      </w:r>
      <w:r w:rsidR="001701B5">
        <w:rPr>
          <w:rFonts w:ascii="Arial" w:hAnsi="Arial" w:cs="Arial"/>
          <w:sz w:val="24"/>
          <w:szCs w:val="24"/>
        </w:rPr>
        <w:t xml:space="preserve">disciplinary </w:t>
      </w:r>
      <w:r w:rsidR="000C2B08">
        <w:rPr>
          <w:rFonts w:ascii="Arial" w:hAnsi="Arial" w:cs="Arial"/>
          <w:sz w:val="24"/>
          <w:szCs w:val="24"/>
        </w:rPr>
        <w:t>sanctions</w:t>
      </w:r>
      <w:r w:rsidR="00274461">
        <w:rPr>
          <w:rFonts w:ascii="Arial" w:hAnsi="Arial" w:cs="Arial"/>
          <w:sz w:val="24"/>
          <w:szCs w:val="24"/>
        </w:rPr>
        <w:t xml:space="preserve"> on employees</w:t>
      </w:r>
      <w:r w:rsidR="000C2B08">
        <w:rPr>
          <w:rFonts w:ascii="Arial" w:hAnsi="Arial" w:cs="Arial"/>
          <w:sz w:val="24"/>
          <w:szCs w:val="24"/>
        </w:rPr>
        <w:t xml:space="preserve"> is part of our law. Further to that</w:t>
      </w:r>
      <w:r w:rsidR="00274461">
        <w:rPr>
          <w:rFonts w:ascii="Arial" w:hAnsi="Arial" w:cs="Arial"/>
          <w:sz w:val="24"/>
          <w:szCs w:val="24"/>
        </w:rPr>
        <w:t>,</w:t>
      </w:r>
      <w:r w:rsidR="000C2B08">
        <w:rPr>
          <w:rFonts w:ascii="Arial" w:hAnsi="Arial" w:cs="Arial"/>
          <w:sz w:val="24"/>
          <w:szCs w:val="24"/>
        </w:rPr>
        <w:t xml:space="preserve"> Hoff J</w:t>
      </w:r>
      <w:r w:rsidR="001D2AEA">
        <w:rPr>
          <w:rFonts w:ascii="Arial" w:hAnsi="Arial" w:cs="Arial"/>
          <w:sz w:val="24"/>
          <w:szCs w:val="24"/>
        </w:rPr>
        <w:t>,</w:t>
      </w:r>
      <w:r w:rsidR="000C2B08">
        <w:rPr>
          <w:rFonts w:ascii="Arial" w:hAnsi="Arial" w:cs="Arial"/>
          <w:sz w:val="24"/>
          <w:szCs w:val="24"/>
        </w:rPr>
        <w:t xml:space="preserve"> in both his above stated </w:t>
      </w:r>
      <w:r w:rsidR="001D2AEA">
        <w:rPr>
          <w:rFonts w:ascii="Arial" w:hAnsi="Arial" w:cs="Arial"/>
          <w:sz w:val="24"/>
          <w:szCs w:val="24"/>
        </w:rPr>
        <w:t>judgements</w:t>
      </w:r>
      <w:r w:rsidR="000C2B08">
        <w:rPr>
          <w:rFonts w:ascii="Arial" w:hAnsi="Arial" w:cs="Arial"/>
          <w:sz w:val="24"/>
          <w:szCs w:val="24"/>
        </w:rPr>
        <w:t xml:space="preserve"> had it clear that the employer can </w:t>
      </w:r>
      <w:r w:rsidR="001D2AEA">
        <w:rPr>
          <w:rFonts w:ascii="Arial" w:hAnsi="Arial" w:cs="Arial"/>
          <w:sz w:val="24"/>
          <w:szCs w:val="24"/>
        </w:rPr>
        <w:t xml:space="preserve">only </w:t>
      </w:r>
      <w:r w:rsidR="000C2B08">
        <w:rPr>
          <w:rFonts w:ascii="Arial" w:hAnsi="Arial" w:cs="Arial"/>
          <w:sz w:val="24"/>
          <w:szCs w:val="24"/>
        </w:rPr>
        <w:t>overcome</w:t>
      </w:r>
      <w:r w:rsidR="001D2AEA">
        <w:rPr>
          <w:rFonts w:ascii="Arial" w:hAnsi="Arial" w:cs="Arial"/>
          <w:sz w:val="24"/>
          <w:szCs w:val="24"/>
        </w:rPr>
        <w:t xml:space="preserve"> a challenge of inconsistency</w:t>
      </w:r>
      <w:r w:rsidR="000C2B08">
        <w:rPr>
          <w:rFonts w:ascii="Arial" w:hAnsi="Arial" w:cs="Arial"/>
          <w:sz w:val="24"/>
          <w:szCs w:val="24"/>
        </w:rPr>
        <w:t xml:space="preserve"> if there is a valid reason for differentiating between employees guilty of the same offence. This principle was also confirmed by Van Niekerk J</w:t>
      </w:r>
      <w:r w:rsidR="000C2B08">
        <w:rPr>
          <w:rStyle w:val="FootnoteReference"/>
          <w:rFonts w:ascii="Arial" w:hAnsi="Arial" w:cs="Arial"/>
          <w:sz w:val="24"/>
          <w:szCs w:val="24"/>
        </w:rPr>
        <w:footnoteReference w:id="16"/>
      </w:r>
      <w:r w:rsidR="00ED2F26">
        <w:rPr>
          <w:rFonts w:ascii="Arial" w:hAnsi="Arial" w:cs="Arial"/>
          <w:sz w:val="24"/>
          <w:szCs w:val="24"/>
        </w:rPr>
        <w:t xml:space="preserve"> cited above. </w:t>
      </w:r>
    </w:p>
    <w:p w:rsidR="00ED2F26" w:rsidRDefault="00ED2F26" w:rsidP="00ED2F26">
      <w:pPr>
        <w:pStyle w:val="NoSpacing"/>
        <w:spacing w:line="360" w:lineRule="auto"/>
        <w:ind w:right="737"/>
        <w:jc w:val="both"/>
        <w:rPr>
          <w:rFonts w:ascii="Arial" w:hAnsi="Arial" w:cs="Arial"/>
          <w:sz w:val="24"/>
          <w:szCs w:val="24"/>
        </w:rPr>
      </w:pPr>
    </w:p>
    <w:p w:rsidR="00ED2F26" w:rsidRPr="00ED2F26" w:rsidRDefault="00ED2F26" w:rsidP="00ED2F26">
      <w:pPr>
        <w:pStyle w:val="NoSpacing"/>
        <w:spacing w:line="360" w:lineRule="auto"/>
        <w:ind w:right="737" w:firstLine="720"/>
        <w:jc w:val="both"/>
        <w:rPr>
          <w:rFonts w:ascii="Arial" w:hAnsi="Arial" w:cs="Arial"/>
          <w:sz w:val="24"/>
          <w:szCs w:val="24"/>
        </w:rPr>
      </w:pPr>
      <w:r>
        <w:rPr>
          <w:rFonts w:ascii="Arial" w:hAnsi="Arial" w:cs="Arial"/>
          <w:sz w:val="24"/>
          <w:szCs w:val="24"/>
        </w:rPr>
        <w:t>‘</w:t>
      </w:r>
      <w:r w:rsidRPr="00F07B23">
        <w:rPr>
          <w:rFonts w:ascii="Arial" w:hAnsi="Arial" w:cs="Arial"/>
        </w:rPr>
        <w:t>Similarity of circumstance is the inevitably most controversial component of this test.  An inconsistency challenge will fail where the employer is able to differentiate between employees who have committed similar transgressions on the basis of, inter alia, differences in personal circumstances, the severity of the misconduct or on the b</w:t>
      </w:r>
      <w:r>
        <w:rPr>
          <w:rFonts w:ascii="Arial" w:hAnsi="Arial" w:cs="Arial"/>
        </w:rPr>
        <w:t>asis of other material factors.’</w:t>
      </w:r>
    </w:p>
    <w:p w:rsidR="000C2B08" w:rsidRDefault="000C2B08" w:rsidP="00F07B23">
      <w:pPr>
        <w:spacing w:after="0" w:line="480" w:lineRule="auto"/>
        <w:jc w:val="both"/>
        <w:rPr>
          <w:rFonts w:ascii="Arial" w:hAnsi="Arial" w:cs="Arial"/>
          <w:sz w:val="24"/>
          <w:szCs w:val="24"/>
        </w:rPr>
      </w:pPr>
    </w:p>
    <w:p w:rsidR="00980539" w:rsidRPr="00980539" w:rsidRDefault="00980539" w:rsidP="00F07B23">
      <w:pPr>
        <w:spacing w:after="0" w:line="480" w:lineRule="auto"/>
        <w:jc w:val="both"/>
        <w:rPr>
          <w:rFonts w:ascii="Arial" w:hAnsi="Arial" w:cs="Arial"/>
          <w:b/>
          <w:sz w:val="24"/>
          <w:szCs w:val="24"/>
          <w:u w:val="single"/>
        </w:rPr>
      </w:pPr>
      <w:r w:rsidRPr="00980539">
        <w:rPr>
          <w:rFonts w:ascii="Arial" w:hAnsi="Arial" w:cs="Arial"/>
          <w:b/>
          <w:sz w:val="24"/>
          <w:szCs w:val="24"/>
          <w:u w:val="single"/>
        </w:rPr>
        <w:t>Application of the law in this matter</w:t>
      </w:r>
    </w:p>
    <w:p w:rsidR="00980539" w:rsidRDefault="00980539" w:rsidP="00F07B23">
      <w:pPr>
        <w:spacing w:after="0" w:line="480" w:lineRule="auto"/>
        <w:jc w:val="both"/>
        <w:rPr>
          <w:rFonts w:ascii="Arial" w:hAnsi="Arial" w:cs="Arial"/>
          <w:sz w:val="24"/>
          <w:szCs w:val="24"/>
        </w:rPr>
      </w:pPr>
    </w:p>
    <w:p w:rsidR="00342B06" w:rsidRDefault="0045133C" w:rsidP="00F07B23">
      <w:pPr>
        <w:spacing w:after="0" w:line="480" w:lineRule="auto"/>
        <w:jc w:val="both"/>
        <w:rPr>
          <w:rFonts w:ascii="Arial" w:hAnsi="Arial" w:cs="Arial"/>
          <w:sz w:val="24"/>
          <w:szCs w:val="24"/>
        </w:rPr>
      </w:pPr>
      <w:r>
        <w:rPr>
          <w:rFonts w:ascii="Arial" w:hAnsi="Arial" w:cs="Arial"/>
          <w:sz w:val="24"/>
          <w:szCs w:val="24"/>
        </w:rPr>
        <w:t>[27</w:t>
      </w:r>
      <w:r w:rsidR="0045573D">
        <w:rPr>
          <w:rFonts w:ascii="Arial" w:hAnsi="Arial" w:cs="Arial"/>
          <w:sz w:val="24"/>
          <w:szCs w:val="24"/>
        </w:rPr>
        <w:t>]</w:t>
      </w:r>
      <w:r w:rsidR="0045573D">
        <w:rPr>
          <w:rFonts w:ascii="Arial" w:hAnsi="Arial" w:cs="Arial"/>
          <w:sz w:val="24"/>
          <w:szCs w:val="24"/>
        </w:rPr>
        <w:tab/>
      </w:r>
      <w:r w:rsidR="00043DD5">
        <w:rPr>
          <w:rFonts w:ascii="Arial" w:hAnsi="Arial" w:cs="Arial"/>
          <w:sz w:val="24"/>
          <w:szCs w:val="24"/>
        </w:rPr>
        <w:t>I respectfully associate myself with the above stated dicta</w:t>
      </w:r>
      <w:r w:rsidR="00541956">
        <w:rPr>
          <w:rFonts w:ascii="Arial" w:hAnsi="Arial" w:cs="Arial"/>
          <w:sz w:val="24"/>
          <w:szCs w:val="24"/>
        </w:rPr>
        <w:t xml:space="preserve">. </w:t>
      </w:r>
      <w:r w:rsidR="000A2B7E">
        <w:rPr>
          <w:rFonts w:ascii="Arial" w:hAnsi="Arial" w:cs="Arial"/>
          <w:sz w:val="24"/>
          <w:szCs w:val="24"/>
        </w:rPr>
        <w:t>However, in the matter currently under my consideration, I have to distinguish the following. In this matter the employees were not disciplined on the</w:t>
      </w:r>
      <w:r w:rsidR="00541956">
        <w:rPr>
          <w:rFonts w:ascii="Arial" w:hAnsi="Arial" w:cs="Arial"/>
          <w:sz w:val="24"/>
          <w:szCs w:val="24"/>
        </w:rPr>
        <w:t xml:space="preserve"> same charges, </w:t>
      </w:r>
      <w:r w:rsidR="00980539">
        <w:rPr>
          <w:rFonts w:ascii="Arial" w:hAnsi="Arial" w:cs="Arial"/>
          <w:sz w:val="24"/>
          <w:szCs w:val="24"/>
        </w:rPr>
        <w:t>as was the case</w:t>
      </w:r>
      <w:r w:rsidR="00541956">
        <w:rPr>
          <w:rFonts w:ascii="Arial" w:hAnsi="Arial" w:cs="Arial"/>
          <w:sz w:val="24"/>
          <w:szCs w:val="24"/>
        </w:rPr>
        <w:t xml:space="preserve"> in the matter of Edgars Stores. </w:t>
      </w:r>
      <w:r w:rsidR="000A2B7E">
        <w:rPr>
          <w:rFonts w:ascii="Arial" w:hAnsi="Arial" w:cs="Arial"/>
          <w:sz w:val="24"/>
          <w:szCs w:val="24"/>
        </w:rPr>
        <w:t xml:space="preserve">Three of them were disciplined on falsification of bank records and absence without a fair and valid reason and were dismissed. The </w:t>
      </w:r>
      <w:r w:rsidR="00541956">
        <w:rPr>
          <w:rFonts w:ascii="Arial" w:hAnsi="Arial" w:cs="Arial"/>
          <w:sz w:val="24"/>
          <w:szCs w:val="24"/>
        </w:rPr>
        <w:t>comparable group</w:t>
      </w:r>
      <w:r w:rsidR="00980539">
        <w:rPr>
          <w:rFonts w:ascii="Arial" w:hAnsi="Arial" w:cs="Arial"/>
          <w:sz w:val="24"/>
          <w:szCs w:val="24"/>
        </w:rPr>
        <w:t xml:space="preserve"> was</w:t>
      </w:r>
      <w:r w:rsidR="000A2B7E">
        <w:rPr>
          <w:rFonts w:ascii="Arial" w:hAnsi="Arial" w:cs="Arial"/>
          <w:sz w:val="24"/>
          <w:szCs w:val="24"/>
        </w:rPr>
        <w:t xml:space="preserve"> charged with negligence and received a warning. It was common cause in the investigation and arbitration that all of them falsified the bank records. </w:t>
      </w:r>
      <w:r w:rsidR="002B6A91">
        <w:rPr>
          <w:rFonts w:ascii="Arial" w:hAnsi="Arial" w:cs="Arial"/>
          <w:sz w:val="24"/>
          <w:szCs w:val="24"/>
        </w:rPr>
        <w:t>That cleared and d</w:t>
      </w:r>
      <w:r w:rsidR="000A2B7E">
        <w:rPr>
          <w:rFonts w:ascii="Arial" w:hAnsi="Arial" w:cs="Arial"/>
          <w:sz w:val="24"/>
          <w:szCs w:val="24"/>
        </w:rPr>
        <w:t xml:space="preserve">espite its slightly </w:t>
      </w:r>
      <w:r w:rsidR="002B6A91">
        <w:rPr>
          <w:rFonts w:ascii="Arial" w:hAnsi="Arial" w:cs="Arial"/>
          <w:sz w:val="24"/>
          <w:szCs w:val="24"/>
        </w:rPr>
        <w:t xml:space="preserve">distinguishable </w:t>
      </w:r>
      <w:r w:rsidR="000A2B7E">
        <w:rPr>
          <w:rFonts w:ascii="Arial" w:hAnsi="Arial" w:cs="Arial"/>
          <w:sz w:val="24"/>
          <w:szCs w:val="24"/>
        </w:rPr>
        <w:t>factual matrix, I still find it an applicable case to apply the reasoning in the case law above.</w:t>
      </w:r>
      <w:r w:rsidR="00342B06">
        <w:rPr>
          <w:rFonts w:ascii="Arial" w:hAnsi="Arial" w:cs="Arial"/>
          <w:sz w:val="24"/>
          <w:szCs w:val="24"/>
        </w:rPr>
        <w:t xml:space="preserve"> </w:t>
      </w:r>
    </w:p>
    <w:p w:rsidR="00342B06" w:rsidRDefault="00342B06" w:rsidP="00F07B23">
      <w:pPr>
        <w:spacing w:after="0" w:line="480" w:lineRule="auto"/>
        <w:jc w:val="both"/>
        <w:rPr>
          <w:rFonts w:ascii="Arial" w:hAnsi="Arial" w:cs="Arial"/>
          <w:sz w:val="24"/>
          <w:szCs w:val="24"/>
        </w:rPr>
      </w:pPr>
    </w:p>
    <w:p w:rsidR="000F632A" w:rsidRDefault="00342B06" w:rsidP="00F07B23">
      <w:pPr>
        <w:spacing w:after="0" w:line="480" w:lineRule="auto"/>
        <w:jc w:val="both"/>
        <w:rPr>
          <w:rFonts w:ascii="Arial" w:hAnsi="Arial" w:cs="Arial"/>
          <w:sz w:val="24"/>
          <w:szCs w:val="24"/>
        </w:rPr>
      </w:pPr>
      <w:r>
        <w:rPr>
          <w:rFonts w:ascii="Arial" w:hAnsi="Arial" w:cs="Arial"/>
          <w:sz w:val="24"/>
          <w:szCs w:val="24"/>
        </w:rPr>
        <w:t xml:space="preserve">[28] </w:t>
      </w:r>
      <w:r w:rsidR="002B6A91">
        <w:rPr>
          <w:rFonts w:ascii="Arial" w:hAnsi="Arial" w:cs="Arial"/>
          <w:sz w:val="24"/>
          <w:szCs w:val="24"/>
        </w:rPr>
        <w:tab/>
      </w:r>
      <w:r>
        <w:rPr>
          <w:rFonts w:ascii="Arial" w:hAnsi="Arial" w:cs="Arial"/>
          <w:sz w:val="24"/>
          <w:szCs w:val="24"/>
        </w:rPr>
        <w:t xml:space="preserve">In doing so, </w:t>
      </w:r>
      <w:r w:rsidR="002B6A91">
        <w:rPr>
          <w:rFonts w:ascii="Arial" w:hAnsi="Arial" w:cs="Arial"/>
          <w:sz w:val="24"/>
          <w:szCs w:val="24"/>
        </w:rPr>
        <w:t xml:space="preserve">going forward, </w:t>
      </w:r>
      <w:r>
        <w:rPr>
          <w:rFonts w:ascii="Arial" w:hAnsi="Arial" w:cs="Arial"/>
          <w:sz w:val="24"/>
          <w:szCs w:val="24"/>
        </w:rPr>
        <w:t xml:space="preserve">I consider the finding of the </w:t>
      </w:r>
      <w:r w:rsidR="0091372A">
        <w:rPr>
          <w:rFonts w:ascii="Arial" w:hAnsi="Arial" w:cs="Arial"/>
          <w:sz w:val="24"/>
          <w:szCs w:val="24"/>
        </w:rPr>
        <w:t xml:space="preserve">second respondent </w:t>
      </w:r>
      <w:r w:rsidR="00684887">
        <w:rPr>
          <w:rFonts w:ascii="Arial" w:hAnsi="Arial" w:cs="Arial"/>
          <w:sz w:val="24"/>
          <w:szCs w:val="24"/>
        </w:rPr>
        <w:t xml:space="preserve">that </w:t>
      </w:r>
      <w:r w:rsidR="0091372A">
        <w:rPr>
          <w:rFonts w:ascii="Arial" w:hAnsi="Arial" w:cs="Arial"/>
          <w:sz w:val="24"/>
          <w:szCs w:val="24"/>
        </w:rPr>
        <w:t>there was no justification for inconsistency in the disciplinary measures between the respondent and the comparable group</w:t>
      </w:r>
      <w:r w:rsidR="0091372A">
        <w:rPr>
          <w:rStyle w:val="FootnoteReference"/>
          <w:rFonts w:ascii="Arial" w:hAnsi="Arial" w:cs="Arial"/>
          <w:sz w:val="24"/>
          <w:szCs w:val="24"/>
        </w:rPr>
        <w:footnoteReference w:id="17"/>
      </w:r>
      <w:r w:rsidR="002B6A91">
        <w:rPr>
          <w:rFonts w:ascii="Arial" w:hAnsi="Arial" w:cs="Arial"/>
          <w:sz w:val="24"/>
          <w:szCs w:val="24"/>
        </w:rPr>
        <w:t xml:space="preserve">. I respectfully disagree with this finding. </w:t>
      </w:r>
    </w:p>
    <w:p w:rsidR="0033024E" w:rsidRDefault="0033024E" w:rsidP="00F07B23">
      <w:pPr>
        <w:spacing w:after="0" w:line="480" w:lineRule="auto"/>
        <w:jc w:val="both"/>
        <w:rPr>
          <w:rFonts w:ascii="Arial" w:hAnsi="Arial" w:cs="Arial"/>
          <w:sz w:val="24"/>
          <w:szCs w:val="24"/>
        </w:rPr>
      </w:pPr>
    </w:p>
    <w:p w:rsidR="00ED2F26" w:rsidRDefault="002B6A91" w:rsidP="00F07B23">
      <w:pPr>
        <w:spacing w:after="0" w:line="480" w:lineRule="auto"/>
        <w:jc w:val="both"/>
        <w:rPr>
          <w:rFonts w:ascii="Arial" w:hAnsi="Arial" w:cs="Arial"/>
          <w:sz w:val="24"/>
          <w:szCs w:val="24"/>
        </w:rPr>
      </w:pPr>
      <w:r>
        <w:rPr>
          <w:rFonts w:ascii="Arial" w:hAnsi="Arial" w:cs="Arial"/>
          <w:sz w:val="24"/>
          <w:szCs w:val="24"/>
        </w:rPr>
        <w:t>[29</w:t>
      </w:r>
      <w:r w:rsidR="0045573D">
        <w:rPr>
          <w:rFonts w:ascii="Arial" w:hAnsi="Arial" w:cs="Arial"/>
          <w:sz w:val="24"/>
          <w:szCs w:val="24"/>
        </w:rPr>
        <w:t>]</w:t>
      </w:r>
      <w:r w:rsidR="0045573D">
        <w:rPr>
          <w:rFonts w:ascii="Arial" w:hAnsi="Arial" w:cs="Arial"/>
          <w:sz w:val="24"/>
          <w:szCs w:val="24"/>
        </w:rPr>
        <w:tab/>
      </w:r>
      <w:r w:rsidR="008166CF">
        <w:rPr>
          <w:rFonts w:ascii="Arial" w:hAnsi="Arial" w:cs="Arial"/>
          <w:sz w:val="24"/>
          <w:szCs w:val="24"/>
        </w:rPr>
        <w:t xml:space="preserve">My view is that </w:t>
      </w:r>
      <w:r w:rsidR="00E07E8B">
        <w:rPr>
          <w:rFonts w:ascii="Arial" w:hAnsi="Arial" w:cs="Arial"/>
          <w:sz w:val="24"/>
          <w:szCs w:val="24"/>
        </w:rPr>
        <w:t xml:space="preserve">the </w:t>
      </w:r>
      <w:r w:rsidR="008166CF">
        <w:rPr>
          <w:rFonts w:ascii="Arial" w:hAnsi="Arial" w:cs="Arial"/>
          <w:sz w:val="24"/>
          <w:szCs w:val="24"/>
        </w:rPr>
        <w:t>factual finding that there is no justification of the differentiation between first respondent and the warned employees, ‘</w:t>
      </w:r>
      <w:r w:rsidR="008166CF" w:rsidRPr="008166CF">
        <w:rPr>
          <w:rFonts w:ascii="Arial" w:hAnsi="Arial" w:cs="Arial"/>
        </w:rPr>
        <w:t>is so vit</w:t>
      </w:r>
      <w:r w:rsidR="008166CF">
        <w:rPr>
          <w:rFonts w:ascii="Arial" w:hAnsi="Arial" w:cs="Arial"/>
        </w:rPr>
        <w:t>ia</w:t>
      </w:r>
      <w:r w:rsidR="008166CF" w:rsidRPr="008166CF">
        <w:rPr>
          <w:rFonts w:ascii="Arial" w:hAnsi="Arial" w:cs="Arial"/>
        </w:rPr>
        <w:t>ted by lack of reason as to be ta</w:t>
      </w:r>
      <w:r w:rsidR="008166CF">
        <w:rPr>
          <w:rFonts w:ascii="Arial" w:hAnsi="Arial" w:cs="Arial"/>
        </w:rPr>
        <w:t>n</w:t>
      </w:r>
      <w:r w:rsidR="008166CF" w:rsidRPr="008166CF">
        <w:rPr>
          <w:rFonts w:ascii="Arial" w:hAnsi="Arial" w:cs="Arial"/>
        </w:rPr>
        <w:t>tamount to no finding at al</w:t>
      </w:r>
      <w:r w:rsidR="008166CF">
        <w:rPr>
          <w:rFonts w:ascii="Arial" w:hAnsi="Arial" w:cs="Arial"/>
        </w:rPr>
        <w:t>l</w:t>
      </w:r>
      <w:r w:rsidR="008166CF" w:rsidRPr="008166CF">
        <w:rPr>
          <w:rFonts w:ascii="Arial" w:hAnsi="Arial" w:cs="Arial"/>
        </w:rPr>
        <w:t>.</w:t>
      </w:r>
      <w:r w:rsidR="008166CF">
        <w:rPr>
          <w:rFonts w:ascii="Arial" w:hAnsi="Arial" w:cs="Arial"/>
        </w:rPr>
        <w:t>’</w:t>
      </w:r>
      <w:r w:rsidR="008166CF">
        <w:rPr>
          <w:rStyle w:val="FootnoteReference"/>
          <w:rFonts w:ascii="Arial" w:hAnsi="Arial" w:cs="Arial"/>
        </w:rPr>
        <w:footnoteReference w:id="18"/>
      </w:r>
      <w:r w:rsidR="008166CF" w:rsidRPr="008166CF">
        <w:rPr>
          <w:rFonts w:ascii="Arial" w:hAnsi="Arial" w:cs="Arial"/>
        </w:rPr>
        <w:t xml:space="preserve"> </w:t>
      </w:r>
      <w:r w:rsidR="0033024E">
        <w:rPr>
          <w:rFonts w:ascii="Arial" w:hAnsi="Arial" w:cs="Arial"/>
          <w:sz w:val="24"/>
          <w:szCs w:val="24"/>
        </w:rPr>
        <w:t>The evidence is such that on</w:t>
      </w:r>
      <w:r w:rsidR="00A520D0">
        <w:rPr>
          <w:rFonts w:ascii="Arial" w:hAnsi="Arial" w:cs="Arial"/>
          <w:sz w:val="24"/>
          <w:szCs w:val="24"/>
        </w:rPr>
        <w:t xml:space="preserve"> proper evaluation</w:t>
      </w:r>
      <w:r w:rsidR="0033024E">
        <w:rPr>
          <w:rFonts w:ascii="Arial" w:hAnsi="Arial" w:cs="Arial"/>
          <w:sz w:val="24"/>
          <w:szCs w:val="24"/>
        </w:rPr>
        <w:t>, it</w:t>
      </w:r>
      <w:r w:rsidR="00A520D0">
        <w:rPr>
          <w:rFonts w:ascii="Arial" w:hAnsi="Arial" w:cs="Arial"/>
          <w:sz w:val="24"/>
          <w:szCs w:val="24"/>
        </w:rPr>
        <w:t xml:space="preserve"> inexorably </w:t>
      </w:r>
      <w:r w:rsidR="0033024E">
        <w:rPr>
          <w:rFonts w:ascii="Arial" w:hAnsi="Arial" w:cs="Arial"/>
          <w:sz w:val="24"/>
          <w:szCs w:val="24"/>
        </w:rPr>
        <w:t xml:space="preserve">leads </w:t>
      </w:r>
      <w:r w:rsidR="00A520D0">
        <w:rPr>
          <w:rFonts w:ascii="Arial" w:hAnsi="Arial" w:cs="Arial"/>
          <w:sz w:val="24"/>
          <w:szCs w:val="24"/>
        </w:rPr>
        <w:t xml:space="preserve">to the conclusion that no reasonable </w:t>
      </w:r>
      <w:r w:rsidR="0033024E">
        <w:rPr>
          <w:rFonts w:ascii="Arial" w:hAnsi="Arial" w:cs="Arial"/>
          <w:sz w:val="24"/>
          <w:szCs w:val="24"/>
        </w:rPr>
        <w:t xml:space="preserve">arbitrator </w:t>
      </w:r>
      <w:r w:rsidR="00757252">
        <w:rPr>
          <w:rFonts w:ascii="Arial" w:hAnsi="Arial" w:cs="Arial"/>
          <w:sz w:val="24"/>
          <w:szCs w:val="24"/>
        </w:rPr>
        <w:t xml:space="preserve">of </w:t>
      </w:r>
      <w:r w:rsidR="0018313A">
        <w:rPr>
          <w:rFonts w:ascii="Arial" w:hAnsi="Arial" w:cs="Arial"/>
          <w:sz w:val="24"/>
          <w:szCs w:val="24"/>
        </w:rPr>
        <w:t>fact</w:t>
      </w:r>
      <w:r w:rsidR="00757252">
        <w:rPr>
          <w:rFonts w:ascii="Arial" w:hAnsi="Arial" w:cs="Arial"/>
          <w:sz w:val="24"/>
          <w:szCs w:val="24"/>
        </w:rPr>
        <w:t xml:space="preserve"> </w:t>
      </w:r>
      <w:r w:rsidR="0033024E">
        <w:rPr>
          <w:rFonts w:ascii="Arial" w:hAnsi="Arial" w:cs="Arial"/>
          <w:sz w:val="24"/>
          <w:szCs w:val="24"/>
        </w:rPr>
        <w:t xml:space="preserve">could have made </w:t>
      </w:r>
      <w:r w:rsidR="00A520D0">
        <w:rPr>
          <w:rFonts w:ascii="Arial" w:hAnsi="Arial" w:cs="Arial"/>
          <w:sz w:val="24"/>
          <w:szCs w:val="24"/>
        </w:rPr>
        <w:t xml:space="preserve">such a finding. </w:t>
      </w:r>
    </w:p>
    <w:p w:rsidR="00E07E8B" w:rsidRDefault="00E07E8B" w:rsidP="00F07B23">
      <w:pPr>
        <w:spacing w:after="0" w:line="480" w:lineRule="auto"/>
        <w:jc w:val="both"/>
        <w:rPr>
          <w:rFonts w:ascii="Arial" w:hAnsi="Arial" w:cs="Arial"/>
          <w:sz w:val="24"/>
          <w:szCs w:val="24"/>
        </w:rPr>
      </w:pPr>
    </w:p>
    <w:p w:rsidR="007C6A72" w:rsidRDefault="000F53F8" w:rsidP="007C6A72">
      <w:pPr>
        <w:spacing w:after="0" w:line="480" w:lineRule="auto"/>
        <w:jc w:val="both"/>
        <w:rPr>
          <w:rFonts w:ascii="Arial" w:hAnsi="Arial" w:cs="Arial"/>
          <w:sz w:val="24"/>
          <w:szCs w:val="24"/>
        </w:rPr>
      </w:pPr>
      <w:r>
        <w:rPr>
          <w:rFonts w:ascii="Arial" w:hAnsi="Arial" w:cs="Arial"/>
          <w:sz w:val="24"/>
          <w:szCs w:val="24"/>
        </w:rPr>
        <w:t>[30</w:t>
      </w:r>
      <w:r w:rsidR="0045573D">
        <w:rPr>
          <w:rFonts w:ascii="Arial" w:hAnsi="Arial" w:cs="Arial"/>
          <w:sz w:val="24"/>
          <w:szCs w:val="24"/>
        </w:rPr>
        <w:t>]</w:t>
      </w:r>
      <w:r w:rsidR="0045573D">
        <w:rPr>
          <w:rFonts w:ascii="Arial" w:hAnsi="Arial" w:cs="Arial"/>
          <w:sz w:val="24"/>
          <w:szCs w:val="24"/>
        </w:rPr>
        <w:tab/>
      </w:r>
      <w:r>
        <w:rPr>
          <w:rFonts w:ascii="Arial" w:hAnsi="Arial" w:cs="Arial"/>
          <w:sz w:val="24"/>
          <w:szCs w:val="24"/>
        </w:rPr>
        <w:t xml:space="preserve">The evidence I am referring to, is </w:t>
      </w:r>
      <w:r w:rsidR="0033024E">
        <w:rPr>
          <w:rFonts w:ascii="Arial" w:hAnsi="Arial" w:cs="Arial"/>
          <w:sz w:val="24"/>
          <w:szCs w:val="24"/>
        </w:rPr>
        <w:t xml:space="preserve">the testimony of </w:t>
      </w:r>
      <w:r w:rsidR="00F90803">
        <w:rPr>
          <w:rFonts w:ascii="Arial" w:hAnsi="Arial" w:cs="Arial"/>
          <w:sz w:val="24"/>
          <w:szCs w:val="24"/>
        </w:rPr>
        <w:t>Mrs. Swartz</w:t>
      </w:r>
      <w:r w:rsidR="00F90803">
        <w:rPr>
          <w:rStyle w:val="FootnoteReference"/>
          <w:rFonts w:ascii="Arial" w:hAnsi="Arial" w:cs="Arial"/>
          <w:sz w:val="24"/>
          <w:szCs w:val="24"/>
        </w:rPr>
        <w:footnoteReference w:id="19"/>
      </w:r>
      <w:r w:rsidR="00E07E8B">
        <w:rPr>
          <w:rFonts w:ascii="Arial" w:hAnsi="Arial" w:cs="Arial"/>
          <w:sz w:val="24"/>
          <w:szCs w:val="24"/>
        </w:rPr>
        <w:t xml:space="preserve"> that the first respondent was in a leadership position vis-as-vis</w:t>
      </w:r>
      <w:r w:rsidR="0053473E">
        <w:rPr>
          <w:rFonts w:ascii="Arial" w:hAnsi="Arial" w:cs="Arial"/>
          <w:sz w:val="24"/>
          <w:szCs w:val="24"/>
        </w:rPr>
        <w:t xml:space="preserve"> the other employees. </w:t>
      </w:r>
      <w:r w:rsidR="00F90803">
        <w:rPr>
          <w:rFonts w:ascii="Arial" w:hAnsi="Arial" w:cs="Arial"/>
          <w:sz w:val="24"/>
          <w:szCs w:val="24"/>
        </w:rPr>
        <w:t>He was leading a team in the call centre</w:t>
      </w:r>
      <w:r w:rsidR="0045133C">
        <w:rPr>
          <w:rFonts w:ascii="Arial" w:hAnsi="Arial" w:cs="Arial"/>
          <w:sz w:val="24"/>
          <w:szCs w:val="24"/>
        </w:rPr>
        <w:t xml:space="preserve"> </w:t>
      </w:r>
      <w:r>
        <w:rPr>
          <w:rFonts w:ascii="Arial" w:hAnsi="Arial" w:cs="Arial"/>
          <w:sz w:val="24"/>
          <w:szCs w:val="24"/>
        </w:rPr>
        <w:t xml:space="preserve">of the bank. The call centre </w:t>
      </w:r>
      <w:r w:rsidR="00F90803">
        <w:rPr>
          <w:rFonts w:ascii="Arial" w:hAnsi="Arial" w:cs="Arial"/>
          <w:sz w:val="24"/>
          <w:szCs w:val="24"/>
        </w:rPr>
        <w:t>is a critical function in the bank. It was described as the ‘</w:t>
      </w:r>
      <w:r w:rsidR="00F90803" w:rsidRPr="00F90803">
        <w:rPr>
          <w:rFonts w:ascii="Arial" w:hAnsi="Arial" w:cs="Arial"/>
        </w:rPr>
        <w:t>voice of the bank</w:t>
      </w:r>
      <w:r w:rsidR="00F90803">
        <w:rPr>
          <w:rFonts w:ascii="Arial" w:hAnsi="Arial" w:cs="Arial"/>
        </w:rPr>
        <w:t>’</w:t>
      </w:r>
      <w:r w:rsidR="00C91BF8">
        <w:rPr>
          <w:rStyle w:val="FootnoteReference"/>
          <w:rFonts w:ascii="Arial" w:hAnsi="Arial" w:cs="Arial"/>
        </w:rPr>
        <w:footnoteReference w:id="20"/>
      </w:r>
      <w:r w:rsidR="00F90803">
        <w:rPr>
          <w:rFonts w:ascii="Arial" w:hAnsi="Arial" w:cs="Arial"/>
          <w:sz w:val="24"/>
          <w:szCs w:val="24"/>
        </w:rPr>
        <w:t xml:space="preserve"> in evidence. In execution o</w:t>
      </w:r>
      <w:r w:rsidR="00003AC9">
        <w:rPr>
          <w:rFonts w:ascii="Arial" w:hAnsi="Arial" w:cs="Arial"/>
          <w:sz w:val="24"/>
          <w:szCs w:val="24"/>
        </w:rPr>
        <w:t>f his</w:t>
      </w:r>
      <w:r w:rsidR="00B45159">
        <w:rPr>
          <w:rFonts w:ascii="Arial" w:hAnsi="Arial" w:cs="Arial"/>
          <w:sz w:val="24"/>
          <w:szCs w:val="24"/>
        </w:rPr>
        <w:t xml:space="preserve"> function </w:t>
      </w:r>
      <w:r w:rsidR="00003AC9">
        <w:rPr>
          <w:rFonts w:ascii="Arial" w:hAnsi="Arial" w:cs="Arial"/>
          <w:sz w:val="24"/>
          <w:szCs w:val="24"/>
        </w:rPr>
        <w:t xml:space="preserve">as team leader in this important department of the bank, </w:t>
      </w:r>
      <w:r w:rsidR="004D154D">
        <w:rPr>
          <w:rFonts w:ascii="Arial" w:hAnsi="Arial" w:cs="Arial"/>
          <w:sz w:val="24"/>
          <w:szCs w:val="24"/>
        </w:rPr>
        <w:t xml:space="preserve">the first respondent </w:t>
      </w:r>
      <w:r w:rsidR="00B45159">
        <w:rPr>
          <w:rFonts w:ascii="Arial" w:hAnsi="Arial" w:cs="Arial"/>
          <w:sz w:val="24"/>
          <w:szCs w:val="24"/>
        </w:rPr>
        <w:t>had five</w:t>
      </w:r>
      <w:r w:rsidR="00F90803">
        <w:rPr>
          <w:rFonts w:ascii="Arial" w:hAnsi="Arial" w:cs="Arial"/>
          <w:sz w:val="24"/>
          <w:szCs w:val="24"/>
        </w:rPr>
        <w:t xml:space="preserve"> instances of absenteeism, which he was </w:t>
      </w:r>
      <w:r w:rsidR="004D154D">
        <w:rPr>
          <w:rFonts w:ascii="Arial" w:hAnsi="Arial" w:cs="Arial"/>
          <w:sz w:val="24"/>
          <w:szCs w:val="24"/>
        </w:rPr>
        <w:t>concealing</w:t>
      </w:r>
      <w:r w:rsidR="00C91BF8">
        <w:rPr>
          <w:rStyle w:val="FootnoteReference"/>
          <w:rFonts w:ascii="Arial" w:hAnsi="Arial" w:cs="Arial"/>
          <w:sz w:val="24"/>
          <w:szCs w:val="24"/>
        </w:rPr>
        <w:footnoteReference w:id="21"/>
      </w:r>
      <w:r w:rsidR="00757252">
        <w:rPr>
          <w:rFonts w:ascii="Arial" w:hAnsi="Arial" w:cs="Arial"/>
          <w:sz w:val="24"/>
          <w:szCs w:val="24"/>
        </w:rPr>
        <w:t xml:space="preserve"> from management. His absenteeism</w:t>
      </w:r>
      <w:r w:rsidR="00F90803">
        <w:rPr>
          <w:rFonts w:ascii="Arial" w:hAnsi="Arial" w:cs="Arial"/>
          <w:sz w:val="24"/>
          <w:szCs w:val="24"/>
        </w:rPr>
        <w:t xml:space="preserve"> only came </w:t>
      </w:r>
      <w:r w:rsidR="00757252">
        <w:rPr>
          <w:rFonts w:ascii="Arial" w:hAnsi="Arial" w:cs="Arial"/>
          <w:sz w:val="24"/>
          <w:szCs w:val="24"/>
        </w:rPr>
        <w:t>to light when management reviewed the CCTV footage, following</w:t>
      </w:r>
      <w:r w:rsidR="00F90803">
        <w:rPr>
          <w:rFonts w:ascii="Arial" w:hAnsi="Arial" w:cs="Arial"/>
          <w:sz w:val="24"/>
          <w:szCs w:val="24"/>
        </w:rPr>
        <w:t xml:space="preserve"> the lock-out incident. </w:t>
      </w:r>
      <w:r w:rsidR="00757252">
        <w:rPr>
          <w:rFonts w:ascii="Arial" w:hAnsi="Arial" w:cs="Arial"/>
          <w:sz w:val="24"/>
          <w:szCs w:val="24"/>
        </w:rPr>
        <w:t>The essence of her testimony is that it was h</w:t>
      </w:r>
      <w:r w:rsidR="00F90803">
        <w:rPr>
          <w:rFonts w:ascii="Arial" w:hAnsi="Arial" w:cs="Arial"/>
          <w:sz w:val="24"/>
          <w:szCs w:val="24"/>
        </w:rPr>
        <w:t>is leadership role, combined with</w:t>
      </w:r>
      <w:r w:rsidR="004D154D">
        <w:rPr>
          <w:rFonts w:ascii="Arial" w:hAnsi="Arial" w:cs="Arial"/>
          <w:sz w:val="24"/>
          <w:szCs w:val="24"/>
        </w:rPr>
        <w:t xml:space="preserve"> him concealing</w:t>
      </w:r>
      <w:r w:rsidR="00F90803">
        <w:rPr>
          <w:rFonts w:ascii="Arial" w:hAnsi="Arial" w:cs="Arial"/>
          <w:sz w:val="24"/>
          <w:szCs w:val="24"/>
        </w:rPr>
        <w:t xml:space="preserve"> his of</w:t>
      </w:r>
      <w:r w:rsidR="007C6A72">
        <w:rPr>
          <w:rFonts w:ascii="Arial" w:hAnsi="Arial" w:cs="Arial"/>
          <w:sz w:val="24"/>
          <w:szCs w:val="24"/>
        </w:rPr>
        <w:t xml:space="preserve">fences, </w:t>
      </w:r>
      <w:r w:rsidR="0045133C">
        <w:rPr>
          <w:rFonts w:ascii="Arial" w:hAnsi="Arial" w:cs="Arial"/>
          <w:sz w:val="24"/>
          <w:szCs w:val="24"/>
        </w:rPr>
        <w:t xml:space="preserve">which </w:t>
      </w:r>
      <w:r w:rsidR="00757252">
        <w:rPr>
          <w:rFonts w:ascii="Arial" w:hAnsi="Arial" w:cs="Arial"/>
          <w:sz w:val="24"/>
          <w:szCs w:val="24"/>
        </w:rPr>
        <w:t>formed a critical factor to</w:t>
      </w:r>
      <w:r w:rsidR="00F90803">
        <w:rPr>
          <w:rFonts w:ascii="Arial" w:hAnsi="Arial" w:cs="Arial"/>
          <w:sz w:val="24"/>
          <w:szCs w:val="24"/>
        </w:rPr>
        <w:t xml:space="preserve"> </w:t>
      </w:r>
      <w:r w:rsidR="00757252">
        <w:rPr>
          <w:rFonts w:ascii="Arial" w:hAnsi="Arial" w:cs="Arial"/>
          <w:sz w:val="24"/>
          <w:szCs w:val="24"/>
        </w:rPr>
        <w:t>distinguish</w:t>
      </w:r>
      <w:r w:rsidR="00F90803">
        <w:rPr>
          <w:rFonts w:ascii="Arial" w:hAnsi="Arial" w:cs="Arial"/>
          <w:sz w:val="24"/>
          <w:szCs w:val="24"/>
        </w:rPr>
        <w:t xml:space="preserve"> him from the other</w:t>
      </w:r>
      <w:r w:rsidR="00757252">
        <w:rPr>
          <w:rFonts w:ascii="Arial" w:hAnsi="Arial" w:cs="Arial"/>
          <w:sz w:val="24"/>
          <w:szCs w:val="24"/>
        </w:rPr>
        <w:t>s.</w:t>
      </w:r>
      <w:r w:rsidR="00F90803">
        <w:rPr>
          <w:rFonts w:ascii="Arial" w:hAnsi="Arial" w:cs="Arial"/>
          <w:sz w:val="24"/>
          <w:szCs w:val="24"/>
        </w:rPr>
        <w:t xml:space="preserve"> </w:t>
      </w:r>
      <w:r w:rsidR="007C6A72">
        <w:rPr>
          <w:rFonts w:ascii="Arial" w:hAnsi="Arial" w:cs="Arial"/>
          <w:sz w:val="24"/>
          <w:szCs w:val="24"/>
        </w:rPr>
        <w:t>It is so</w:t>
      </w:r>
      <w:r w:rsidR="00B45159">
        <w:rPr>
          <w:rFonts w:ascii="Arial" w:hAnsi="Arial" w:cs="Arial"/>
          <w:sz w:val="24"/>
          <w:szCs w:val="24"/>
        </w:rPr>
        <w:t>,</w:t>
      </w:r>
      <w:r w:rsidR="007C6A72">
        <w:rPr>
          <w:rFonts w:ascii="Arial" w:hAnsi="Arial" w:cs="Arial"/>
          <w:sz w:val="24"/>
          <w:szCs w:val="24"/>
        </w:rPr>
        <w:t xml:space="preserve"> that all seven employees gave explanations for their absenteeism only after they were requested to do so by the investigation team</w:t>
      </w:r>
      <w:r w:rsidR="007C6A72">
        <w:rPr>
          <w:rStyle w:val="FootnoteReference"/>
          <w:rFonts w:ascii="Arial" w:hAnsi="Arial" w:cs="Arial"/>
          <w:sz w:val="24"/>
          <w:szCs w:val="24"/>
        </w:rPr>
        <w:footnoteReference w:id="22"/>
      </w:r>
      <w:r w:rsidR="007C6A72">
        <w:rPr>
          <w:rFonts w:ascii="Arial" w:hAnsi="Arial" w:cs="Arial"/>
          <w:sz w:val="24"/>
          <w:szCs w:val="24"/>
        </w:rPr>
        <w:t xml:space="preserve">. However, </w:t>
      </w:r>
      <w:r w:rsidR="00FA309A">
        <w:rPr>
          <w:rFonts w:ascii="Arial" w:hAnsi="Arial" w:cs="Arial"/>
          <w:sz w:val="24"/>
          <w:szCs w:val="24"/>
        </w:rPr>
        <w:t xml:space="preserve">the </w:t>
      </w:r>
      <w:r w:rsidR="007C6A72">
        <w:rPr>
          <w:rFonts w:ascii="Arial" w:hAnsi="Arial" w:cs="Arial"/>
          <w:sz w:val="24"/>
          <w:szCs w:val="24"/>
        </w:rPr>
        <w:t xml:space="preserve">first respondent’s role as team leader makes his hiding of the information a worse kind of misconduct.  </w:t>
      </w:r>
      <w:r w:rsidR="00FA309A">
        <w:rPr>
          <w:rFonts w:ascii="Arial" w:hAnsi="Arial" w:cs="Arial"/>
          <w:sz w:val="24"/>
          <w:szCs w:val="24"/>
        </w:rPr>
        <w:t>He knew what his responsibilit</w:t>
      </w:r>
      <w:r w:rsidR="004D154D">
        <w:rPr>
          <w:rFonts w:ascii="Arial" w:hAnsi="Arial" w:cs="Arial"/>
          <w:sz w:val="24"/>
          <w:szCs w:val="24"/>
        </w:rPr>
        <w:t xml:space="preserve">ies were and he failed in that was her contention. </w:t>
      </w:r>
    </w:p>
    <w:p w:rsidR="00C91BF8" w:rsidRDefault="00C91BF8" w:rsidP="00F07B23">
      <w:pPr>
        <w:spacing w:after="0" w:line="480" w:lineRule="auto"/>
        <w:jc w:val="both"/>
        <w:rPr>
          <w:rFonts w:ascii="Arial" w:hAnsi="Arial" w:cs="Arial"/>
          <w:sz w:val="24"/>
          <w:szCs w:val="24"/>
        </w:rPr>
      </w:pPr>
    </w:p>
    <w:p w:rsidR="004A42BB" w:rsidRDefault="004D154D" w:rsidP="004A42BB">
      <w:pPr>
        <w:spacing w:after="0" w:line="480" w:lineRule="auto"/>
        <w:jc w:val="both"/>
        <w:rPr>
          <w:rFonts w:ascii="Arial" w:hAnsi="Arial" w:cs="Arial"/>
          <w:sz w:val="24"/>
          <w:szCs w:val="24"/>
        </w:rPr>
      </w:pPr>
      <w:r>
        <w:rPr>
          <w:rFonts w:ascii="Arial" w:hAnsi="Arial" w:cs="Arial"/>
          <w:sz w:val="24"/>
          <w:szCs w:val="24"/>
        </w:rPr>
        <w:t>[31</w:t>
      </w:r>
      <w:r w:rsidR="00A77D19">
        <w:rPr>
          <w:rFonts w:ascii="Arial" w:hAnsi="Arial" w:cs="Arial"/>
          <w:sz w:val="24"/>
          <w:szCs w:val="24"/>
        </w:rPr>
        <w:t>]</w:t>
      </w:r>
      <w:r w:rsidR="00A77D19">
        <w:rPr>
          <w:rFonts w:ascii="Arial" w:hAnsi="Arial" w:cs="Arial"/>
          <w:sz w:val="24"/>
          <w:szCs w:val="24"/>
        </w:rPr>
        <w:tab/>
      </w:r>
      <w:r w:rsidR="00C91BF8">
        <w:rPr>
          <w:rFonts w:ascii="Arial" w:hAnsi="Arial" w:cs="Arial"/>
          <w:sz w:val="24"/>
          <w:szCs w:val="24"/>
        </w:rPr>
        <w:t xml:space="preserve">In my assessment, </w:t>
      </w:r>
      <w:r w:rsidR="004A42BB">
        <w:rPr>
          <w:rFonts w:ascii="Arial" w:hAnsi="Arial" w:cs="Arial"/>
          <w:sz w:val="24"/>
          <w:szCs w:val="24"/>
        </w:rPr>
        <w:t xml:space="preserve">the </w:t>
      </w:r>
      <w:r w:rsidR="00C91BF8">
        <w:rPr>
          <w:rFonts w:ascii="Arial" w:hAnsi="Arial" w:cs="Arial"/>
          <w:sz w:val="24"/>
          <w:szCs w:val="24"/>
        </w:rPr>
        <w:t xml:space="preserve">reasoning </w:t>
      </w:r>
      <w:r w:rsidR="004A42BB">
        <w:rPr>
          <w:rFonts w:ascii="Arial" w:hAnsi="Arial" w:cs="Arial"/>
          <w:sz w:val="24"/>
          <w:szCs w:val="24"/>
        </w:rPr>
        <w:t>of Ms. Swartz in</w:t>
      </w:r>
      <w:r w:rsidR="00C91BF8">
        <w:rPr>
          <w:rFonts w:ascii="Arial" w:hAnsi="Arial" w:cs="Arial"/>
          <w:sz w:val="24"/>
          <w:szCs w:val="24"/>
        </w:rPr>
        <w:t xml:space="preserve"> </w:t>
      </w:r>
      <w:r w:rsidR="00FA309A">
        <w:rPr>
          <w:rFonts w:ascii="Arial" w:hAnsi="Arial" w:cs="Arial"/>
          <w:sz w:val="24"/>
          <w:szCs w:val="24"/>
        </w:rPr>
        <w:t xml:space="preserve">the above stated </w:t>
      </w:r>
      <w:r>
        <w:rPr>
          <w:rFonts w:ascii="Arial" w:hAnsi="Arial" w:cs="Arial"/>
          <w:sz w:val="24"/>
          <w:szCs w:val="24"/>
        </w:rPr>
        <w:t xml:space="preserve">evidence </w:t>
      </w:r>
      <w:r w:rsidR="00C91BF8">
        <w:rPr>
          <w:rFonts w:ascii="Arial" w:hAnsi="Arial" w:cs="Arial"/>
          <w:sz w:val="24"/>
          <w:szCs w:val="24"/>
        </w:rPr>
        <w:t>per</w:t>
      </w:r>
      <w:r w:rsidR="004A42BB">
        <w:rPr>
          <w:rFonts w:ascii="Arial" w:hAnsi="Arial" w:cs="Arial"/>
          <w:sz w:val="24"/>
          <w:szCs w:val="24"/>
        </w:rPr>
        <w:t>fectly acceptable. She explained the</w:t>
      </w:r>
      <w:r w:rsidR="00C91BF8">
        <w:rPr>
          <w:rFonts w:ascii="Arial" w:hAnsi="Arial" w:cs="Arial"/>
          <w:sz w:val="24"/>
          <w:szCs w:val="24"/>
        </w:rPr>
        <w:t xml:space="preserve"> role </w:t>
      </w:r>
      <w:r w:rsidR="004A42BB">
        <w:rPr>
          <w:rFonts w:ascii="Arial" w:hAnsi="Arial" w:cs="Arial"/>
          <w:sz w:val="24"/>
          <w:szCs w:val="24"/>
        </w:rPr>
        <w:t>of the call centre</w:t>
      </w:r>
      <w:r w:rsidR="00C91BF8">
        <w:rPr>
          <w:rFonts w:ascii="Arial" w:hAnsi="Arial" w:cs="Arial"/>
          <w:sz w:val="24"/>
          <w:szCs w:val="24"/>
        </w:rPr>
        <w:t xml:space="preserve">, </w:t>
      </w:r>
      <w:r w:rsidR="004A42BB">
        <w:rPr>
          <w:rFonts w:ascii="Arial" w:hAnsi="Arial" w:cs="Arial"/>
          <w:sz w:val="24"/>
          <w:szCs w:val="24"/>
        </w:rPr>
        <w:t xml:space="preserve">she emphasized the need for </w:t>
      </w:r>
      <w:r w:rsidR="00C91BF8">
        <w:rPr>
          <w:rFonts w:ascii="Arial" w:hAnsi="Arial" w:cs="Arial"/>
          <w:sz w:val="24"/>
          <w:szCs w:val="24"/>
        </w:rPr>
        <w:t xml:space="preserve">a constant and reliable presence of the staff </w:t>
      </w:r>
      <w:r w:rsidR="004A42BB">
        <w:rPr>
          <w:rFonts w:ascii="Arial" w:hAnsi="Arial" w:cs="Arial"/>
          <w:sz w:val="24"/>
          <w:szCs w:val="24"/>
        </w:rPr>
        <w:t xml:space="preserve">in the centre, given </w:t>
      </w:r>
      <w:r w:rsidR="0045133C">
        <w:rPr>
          <w:rFonts w:ascii="Arial" w:hAnsi="Arial" w:cs="Arial"/>
          <w:sz w:val="24"/>
          <w:szCs w:val="24"/>
        </w:rPr>
        <w:t xml:space="preserve">that </w:t>
      </w:r>
      <w:r w:rsidR="004A42BB">
        <w:rPr>
          <w:rFonts w:ascii="Arial" w:hAnsi="Arial" w:cs="Arial"/>
          <w:sz w:val="24"/>
          <w:szCs w:val="24"/>
        </w:rPr>
        <w:t>the reputa</w:t>
      </w:r>
      <w:r w:rsidR="00FA309A">
        <w:rPr>
          <w:rFonts w:ascii="Arial" w:hAnsi="Arial" w:cs="Arial"/>
          <w:sz w:val="24"/>
          <w:szCs w:val="24"/>
        </w:rPr>
        <w:t>tion of the appellant as a bank at stake.</w:t>
      </w:r>
      <w:r w:rsidR="00757252">
        <w:rPr>
          <w:rFonts w:ascii="Arial" w:hAnsi="Arial" w:cs="Arial"/>
          <w:sz w:val="24"/>
          <w:szCs w:val="24"/>
        </w:rPr>
        <w:t xml:space="preserve"> I</w:t>
      </w:r>
      <w:r w:rsidR="00C91BF8">
        <w:rPr>
          <w:rFonts w:ascii="Arial" w:hAnsi="Arial" w:cs="Arial"/>
          <w:sz w:val="24"/>
          <w:szCs w:val="24"/>
        </w:rPr>
        <w:t xml:space="preserve">f the </w:t>
      </w:r>
      <w:r w:rsidR="004A42BB">
        <w:rPr>
          <w:rFonts w:ascii="Arial" w:hAnsi="Arial" w:cs="Arial"/>
          <w:sz w:val="24"/>
          <w:szCs w:val="24"/>
        </w:rPr>
        <w:t xml:space="preserve">call centre </w:t>
      </w:r>
      <w:r w:rsidR="00C91BF8">
        <w:rPr>
          <w:rFonts w:ascii="Arial" w:hAnsi="Arial" w:cs="Arial"/>
          <w:sz w:val="24"/>
          <w:szCs w:val="24"/>
        </w:rPr>
        <w:t>team</w:t>
      </w:r>
      <w:r w:rsidR="003B3000">
        <w:rPr>
          <w:rFonts w:ascii="Arial" w:hAnsi="Arial" w:cs="Arial"/>
          <w:sz w:val="24"/>
          <w:szCs w:val="24"/>
        </w:rPr>
        <w:t xml:space="preserve"> leader is concealing</w:t>
      </w:r>
      <w:r w:rsidR="00B45159">
        <w:rPr>
          <w:rFonts w:ascii="Arial" w:hAnsi="Arial" w:cs="Arial"/>
          <w:sz w:val="24"/>
          <w:szCs w:val="24"/>
        </w:rPr>
        <w:t xml:space="preserve"> five counts </w:t>
      </w:r>
      <w:r w:rsidR="00757252">
        <w:rPr>
          <w:rFonts w:ascii="Arial" w:hAnsi="Arial" w:cs="Arial"/>
          <w:sz w:val="24"/>
          <w:szCs w:val="24"/>
        </w:rPr>
        <w:t xml:space="preserve">of </w:t>
      </w:r>
      <w:r w:rsidR="00C91BF8">
        <w:rPr>
          <w:rFonts w:ascii="Arial" w:hAnsi="Arial" w:cs="Arial"/>
          <w:sz w:val="24"/>
          <w:szCs w:val="24"/>
        </w:rPr>
        <w:t>unauthorized absenteeism unt</w:t>
      </w:r>
      <w:r w:rsidR="004A42BB">
        <w:rPr>
          <w:rFonts w:ascii="Arial" w:hAnsi="Arial" w:cs="Arial"/>
          <w:sz w:val="24"/>
          <w:szCs w:val="24"/>
        </w:rPr>
        <w:t>il such time that his fortune ru</w:t>
      </w:r>
      <w:r w:rsidR="00C91BF8">
        <w:rPr>
          <w:rFonts w:ascii="Arial" w:hAnsi="Arial" w:cs="Arial"/>
          <w:sz w:val="24"/>
          <w:szCs w:val="24"/>
        </w:rPr>
        <w:t>n</w:t>
      </w:r>
      <w:r w:rsidR="004A42BB">
        <w:rPr>
          <w:rFonts w:ascii="Arial" w:hAnsi="Arial" w:cs="Arial"/>
          <w:sz w:val="24"/>
          <w:szCs w:val="24"/>
        </w:rPr>
        <w:t>s</w:t>
      </w:r>
      <w:r w:rsidR="0045133C">
        <w:rPr>
          <w:rFonts w:ascii="Arial" w:hAnsi="Arial" w:cs="Arial"/>
          <w:sz w:val="24"/>
          <w:szCs w:val="24"/>
        </w:rPr>
        <w:t xml:space="preserve"> out, there is certainly a</w:t>
      </w:r>
      <w:r w:rsidR="00FA309A">
        <w:rPr>
          <w:rFonts w:ascii="Arial" w:hAnsi="Arial" w:cs="Arial"/>
          <w:sz w:val="24"/>
          <w:szCs w:val="24"/>
        </w:rPr>
        <w:t xml:space="preserve"> reason for concern and </w:t>
      </w:r>
      <w:r w:rsidR="0045133C">
        <w:rPr>
          <w:rFonts w:ascii="Arial" w:hAnsi="Arial" w:cs="Arial"/>
          <w:sz w:val="24"/>
          <w:szCs w:val="24"/>
        </w:rPr>
        <w:t xml:space="preserve">a </w:t>
      </w:r>
      <w:r w:rsidR="00C91BF8">
        <w:rPr>
          <w:rFonts w:ascii="Arial" w:hAnsi="Arial" w:cs="Arial"/>
          <w:sz w:val="24"/>
          <w:szCs w:val="24"/>
        </w:rPr>
        <w:t>basis</w:t>
      </w:r>
      <w:r w:rsidR="004A42BB">
        <w:rPr>
          <w:rFonts w:ascii="Arial" w:hAnsi="Arial" w:cs="Arial"/>
          <w:sz w:val="24"/>
          <w:szCs w:val="24"/>
        </w:rPr>
        <w:t xml:space="preserve"> to single</w:t>
      </w:r>
      <w:r w:rsidR="00C91BF8">
        <w:rPr>
          <w:rFonts w:ascii="Arial" w:hAnsi="Arial" w:cs="Arial"/>
          <w:sz w:val="24"/>
          <w:szCs w:val="24"/>
        </w:rPr>
        <w:t xml:space="preserve"> him out. </w:t>
      </w:r>
      <w:r w:rsidR="004A42BB">
        <w:rPr>
          <w:rFonts w:ascii="Arial" w:hAnsi="Arial" w:cs="Arial"/>
          <w:sz w:val="24"/>
          <w:szCs w:val="24"/>
        </w:rPr>
        <w:t>After all, the other employees were not hiding their absenteeism from their supe</w:t>
      </w:r>
      <w:r w:rsidR="003B3000">
        <w:rPr>
          <w:rFonts w:ascii="Arial" w:hAnsi="Arial" w:cs="Arial"/>
          <w:sz w:val="24"/>
          <w:szCs w:val="24"/>
        </w:rPr>
        <w:t>rvisor. He was their supervisor. H</w:t>
      </w:r>
      <w:r w:rsidR="004A42BB">
        <w:rPr>
          <w:rFonts w:ascii="Arial" w:hAnsi="Arial" w:cs="Arial"/>
          <w:sz w:val="24"/>
          <w:szCs w:val="24"/>
        </w:rPr>
        <w:t xml:space="preserve">e was with them in call centre and instead of reporting the </w:t>
      </w:r>
      <w:r w:rsidR="003B3000">
        <w:rPr>
          <w:rFonts w:ascii="Arial" w:hAnsi="Arial" w:cs="Arial"/>
          <w:sz w:val="24"/>
          <w:szCs w:val="24"/>
        </w:rPr>
        <w:t>absenteeism;</w:t>
      </w:r>
      <w:r w:rsidR="00E85FA0">
        <w:rPr>
          <w:rFonts w:ascii="Arial" w:hAnsi="Arial" w:cs="Arial"/>
          <w:sz w:val="24"/>
          <w:szCs w:val="24"/>
        </w:rPr>
        <w:t xml:space="preserve"> he was joining his team</w:t>
      </w:r>
      <w:r w:rsidR="004A42BB">
        <w:rPr>
          <w:rFonts w:ascii="Arial" w:hAnsi="Arial" w:cs="Arial"/>
          <w:sz w:val="24"/>
          <w:szCs w:val="24"/>
        </w:rPr>
        <w:t xml:space="preserve"> in such conduct. </w:t>
      </w:r>
    </w:p>
    <w:p w:rsidR="00F90803" w:rsidRDefault="00F90803" w:rsidP="00F07B23">
      <w:pPr>
        <w:spacing w:after="0" w:line="480" w:lineRule="auto"/>
        <w:jc w:val="both"/>
        <w:rPr>
          <w:rFonts w:ascii="Arial" w:hAnsi="Arial" w:cs="Arial"/>
          <w:sz w:val="24"/>
          <w:szCs w:val="24"/>
        </w:rPr>
      </w:pPr>
    </w:p>
    <w:p w:rsidR="00CD1CBB" w:rsidRPr="00A520D0" w:rsidRDefault="00EE7A53" w:rsidP="00F07B23">
      <w:pPr>
        <w:spacing w:after="0" w:line="480" w:lineRule="auto"/>
        <w:jc w:val="both"/>
        <w:rPr>
          <w:rFonts w:ascii="Arial" w:hAnsi="Arial" w:cs="Arial"/>
          <w:sz w:val="24"/>
          <w:szCs w:val="24"/>
        </w:rPr>
      </w:pPr>
      <w:r>
        <w:rPr>
          <w:rFonts w:ascii="Arial" w:hAnsi="Arial" w:cs="Arial"/>
          <w:sz w:val="24"/>
          <w:szCs w:val="24"/>
        </w:rPr>
        <w:t>[32</w:t>
      </w:r>
      <w:r w:rsidR="0045573D">
        <w:rPr>
          <w:rFonts w:ascii="Arial" w:hAnsi="Arial" w:cs="Arial"/>
          <w:sz w:val="24"/>
          <w:szCs w:val="24"/>
        </w:rPr>
        <w:t>]</w:t>
      </w:r>
      <w:r w:rsidR="0045573D">
        <w:rPr>
          <w:rFonts w:ascii="Arial" w:hAnsi="Arial" w:cs="Arial"/>
          <w:sz w:val="24"/>
          <w:szCs w:val="24"/>
        </w:rPr>
        <w:tab/>
      </w:r>
      <w:r w:rsidR="00A02107">
        <w:rPr>
          <w:rFonts w:ascii="Arial" w:hAnsi="Arial" w:cs="Arial"/>
          <w:sz w:val="24"/>
          <w:szCs w:val="24"/>
        </w:rPr>
        <w:t>With the above stated evidence adduced, my</w:t>
      </w:r>
      <w:r w:rsidR="00700E7F">
        <w:rPr>
          <w:rFonts w:ascii="Arial" w:hAnsi="Arial" w:cs="Arial"/>
          <w:sz w:val="24"/>
          <w:szCs w:val="24"/>
        </w:rPr>
        <w:t xml:space="preserve"> finding is </w:t>
      </w:r>
      <w:r w:rsidR="00B0231E">
        <w:rPr>
          <w:rFonts w:ascii="Arial" w:hAnsi="Arial" w:cs="Arial"/>
          <w:sz w:val="24"/>
          <w:szCs w:val="24"/>
        </w:rPr>
        <w:t xml:space="preserve">the arbitrator made an incorrect legal finding. Her factual </w:t>
      </w:r>
      <w:r w:rsidR="00CD1CBB">
        <w:rPr>
          <w:rFonts w:ascii="Arial" w:hAnsi="Arial" w:cs="Arial"/>
          <w:sz w:val="24"/>
          <w:szCs w:val="24"/>
        </w:rPr>
        <w:t>finding</w:t>
      </w:r>
      <w:r w:rsidR="0027326C">
        <w:rPr>
          <w:rStyle w:val="FootnoteReference"/>
          <w:rFonts w:ascii="Arial" w:hAnsi="Arial" w:cs="Arial"/>
          <w:sz w:val="24"/>
          <w:szCs w:val="24"/>
        </w:rPr>
        <w:footnoteReference w:id="23"/>
      </w:r>
      <w:r w:rsidR="00CD1CBB">
        <w:rPr>
          <w:rFonts w:ascii="Arial" w:hAnsi="Arial" w:cs="Arial"/>
          <w:sz w:val="24"/>
          <w:szCs w:val="24"/>
        </w:rPr>
        <w:t xml:space="preserve"> </w:t>
      </w:r>
      <w:r w:rsidR="00707843">
        <w:rPr>
          <w:rFonts w:ascii="Arial" w:hAnsi="Arial" w:cs="Arial"/>
          <w:sz w:val="24"/>
          <w:szCs w:val="24"/>
        </w:rPr>
        <w:t xml:space="preserve">that there is no basis to distinguish between first respondent and the comparable group is simply </w:t>
      </w:r>
      <w:r w:rsidR="00E85FA0">
        <w:rPr>
          <w:rFonts w:ascii="Arial" w:hAnsi="Arial" w:cs="Arial"/>
          <w:sz w:val="24"/>
          <w:szCs w:val="24"/>
        </w:rPr>
        <w:t>unreasonable</w:t>
      </w:r>
      <w:r w:rsidR="00707843">
        <w:rPr>
          <w:rFonts w:ascii="Arial" w:hAnsi="Arial" w:cs="Arial"/>
          <w:sz w:val="24"/>
          <w:szCs w:val="24"/>
        </w:rPr>
        <w:t xml:space="preserve"> </w:t>
      </w:r>
      <w:r w:rsidR="00D92CBC">
        <w:rPr>
          <w:rFonts w:ascii="Arial" w:hAnsi="Arial" w:cs="Arial"/>
          <w:sz w:val="24"/>
          <w:szCs w:val="24"/>
        </w:rPr>
        <w:t xml:space="preserve">in the </w:t>
      </w:r>
      <w:r w:rsidR="0027326C">
        <w:rPr>
          <w:rFonts w:ascii="Arial" w:hAnsi="Arial" w:cs="Arial"/>
          <w:sz w:val="24"/>
          <w:szCs w:val="24"/>
        </w:rPr>
        <w:t xml:space="preserve">bigger scheme of the </w:t>
      </w:r>
      <w:r w:rsidR="00D92CBC">
        <w:rPr>
          <w:rFonts w:ascii="Arial" w:hAnsi="Arial" w:cs="Arial"/>
          <w:sz w:val="24"/>
          <w:szCs w:val="24"/>
        </w:rPr>
        <w:t>employment context sketched</w:t>
      </w:r>
      <w:r w:rsidR="0027326C">
        <w:rPr>
          <w:rFonts w:ascii="Arial" w:hAnsi="Arial" w:cs="Arial"/>
          <w:sz w:val="24"/>
          <w:szCs w:val="24"/>
        </w:rPr>
        <w:t xml:space="preserve"> in this matter,</w:t>
      </w:r>
      <w:r w:rsidR="009205DE">
        <w:rPr>
          <w:rFonts w:ascii="Arial" w:hAnsi="Arial" w:cs="Arial"/>
          <w:sz w:val="24"/>
          <w:szCs w:val="24"/>
        </w:rPr>
        <w:t xml:space="preserve"> </w:t>
      </w:r>
      <w:r w:rsidR="00A02107">
        <w:rPr>
          <w:rFonts w:ascii="Arial" w:hAnsi="Arial" w:cs="Arial"/>
          <w:sz w:val="24"/>
          <w:szCs w:val="24"/>
        </w:rPr>
        <w:t>and</w:t>
      </w:r>
      <w:r w:rsidR="00FA309A">
        <w:rPr>
          <w:rFonts w:ascii="Arial" w:hAnsi="Arial" w:cs="Arial"/>
          <w:sz w:val="24"/>
          <w:szCs w:val="24"/>
        </w:rPr>
        <w:t xml:space="preserve"> </w:t>
      </w:r>
      <w:r w:rsidR="0027326C">
        <w:rPr>
          <w:rFonts w:ascii="Arial" w:hAnsi="Arial" w:cs="Arial"/>
          <w:sz w:val="24"/>
          <w:szCs w:val="24"/>
        </w:rPr>
        <w:t xml:space="preserve">is </w:t>
      </w:r>
      <w:r w:rsidR="00FA309A">
        <w:rPr>
          <w:rFonts w:ascii="Arial" w:hAnsi="Arial" w:cs="Arial"/>
          <w:sz w:val="24"/>
          <w:szCs w:val="24"/>
        </w:rPr>
        <w:t>tantamount to an incorrect finding in</w:t>
      </w:r>
      <w:r w:rsidR="00CD1CBB">
        <w:rPr>
          <w:rFonts w:ascii="Arial" w:hAnsi="Arial" w:cs="Arial"/>
          <w:sz w:val="24"/>
          <w:szCs w:val="24"/>
        </w:rPr>
        <w:t xml:space="preserve"> law</w:t>
      </w:r>
      <w:r w:rsidR="00707843">
        <w:rPr>
          <w:rFonts w:ascii="Arial" w:hAnsi="Arial" w:cs="Arial"/>
          <w:sz w:val="24"/>
          <w:szCs w:val="24"/>
        </w:rPr>
        <w:t>.</w:t>
      </w:r>
      <w:r w:rsidR="00CD1CBB">
        <w:rPr>
          <w:rFonts w:ascii="Arial" w:hAnsi="Arial" w:cs="Arial"/>
          <w:sz w:val="24"/>
          <w:szCs w:val="24"/>
        </w:rPr>
        <w:t xml:space="preserve"> </w:t>
      </w:r>
      <w:r w:rsidR="00707843">
        <w:rPr>
          <w:rFonts w:ascii="Arial" w:hAnsi="Arial" w:cs="Arial"/>
          <w:sz w:val="24"/>
          <w:szCs w:val="24"/>
        </w:rPr>
        <w:t>It is abundantly clear to me that t</w:t>
      </w:r>
      <w:r w:rsidR="00CD1CBB">
        <w:rPr>
          <w:rFonts w:ascii="Arial" w:hAnsi="Arial" w:cs="Arial"/>
          <w:sz w:val="24"/>
          <w:szCs w:val="24"/>
        </w:rPr>
        <w:t xml:space="preserve">he employer was justified </w:t>
      </w:r>
      <w:r w:rsidR="00700E7F">
        <w:rPr>
          <w:rFonts w:ascii="Arial" w:hAnsi="Arial" w:cs="Arial"/>
          <w:sz w:val="24"/>
          <w:szCs w:val="24"/>
        </w:rPr>
        <w:t>in taking a firmer</w:t>
      </w:r>
      <w:r w:rsidR="00CD1CBB">
        <w:rPr>
          <w:rFonts w:ascii="Arial" w:hAnsi="Arial" w:cs="Arial"/>
          <w:sz w:val="24"/>
          <w:szCs w:val="24"/>
        </w:rPr>
        <w:t xml:space="preserve"> approach to discipline </w:t>
      </w:r>
      <w:r w:rsidR="0027326C">
        <w:rPr>
          <w:rFonts w:ascii="Arial" w:hAnsi="Arial" w:cs="Arial"/>
          <w:sz w:val="24"/>
          <w:szCs w:val="24"/>
        </w:rPr>
        <w:t xml:space="preserve">in respect of </w:t>
      </w:r>
      <w:r w:rsidR="00CD1CBB">
        <w:rPr>
          <w:rFonts w:ascii="Arial" w:hAnsi="Arial" w:cs="Arial"/>
          <w:sz w:val="24"/>
          <w:szCs w:val="24"/>
        </w:rPr>
        <w:t>the first respo</w:t>
      </w:r>
      <w:r w:rsidR="00707843">
        <w:rPr>
          <w:rFonts w:ascii="Arial" w:hAnsi="Arial" w:cs="Arial"/>
          <w:sz w:val="24"/>
          <w:szCs w:val="24"/>
        </w:rPr>
        <w:t xml:space="preserve">ndent, vis-a vis the </w:t>
      </w:r>
      <w:r w:rsidR="00CD1CBB">
        <w:rPr>
          <w:rFonts w:ascii="Arial" w:hAnsi="Arial" w:cs="Arial"/>
          <w:sz w:val="24"/>
          <w:szCs w:val="24"/>
        </w:rPr>
        <w:t xml:space="preserve">comparable </w:t>
      </w:r>
      <w:r w:rsidR="00707843">
        <w:rPr>
          <w:rFonts w:ascii="Arial" w:hAnsi="Arial" w:cs="Arial"/>
          <w:sz w:val="24"/>
          <w:szCs w:val="24"/>
        </w:rPr>
        <w:t xml:space="preserve">group of </w:t>
      </w:r>
      <w:r w:rsidR="00CD1CBB">
        <w:rPr>
          <w:rFonts w:ascii="Arial" w:hAnsi="Arial" w:cs="Arial"/>
          <w:sz w:val="24"/>
          <w:szCs w:val="24"/>
        </w:rPr>
        <w:t>employees.</w:t>
      </w:r>
    </w:p>
    <w:p w:rsidR="00ED2F26" w:rsidRDefault="00ED2F26" w:rsidP="00F07B23">
      <w:pPr>
        <w:spacing w:after="0" w:line="480" w:lineRule="auto"/>
        <w:jc w:val="both"/>
        <w:rPr>
          <w:rFonts w:ascii="Arial" w:hAnsi="Arial" w:cs="Arial"/>
          <w:sz w:val="24"/>
          <w:szCs w:val="24"/>
        </w:rPr>
      </w:pPr>
    </w:p>
    <w:p w:rsidR="00A77D19" w:rsidRDefault="0079422C" w:rsidP="00F07B23">
      <w:pPr>
        <w:spacing w:after="0" w:line="480" w:lineRule="auto"/>
        <w:jc w:val="both"/>
        <w:rPr>
          <w:rFonts w:ascii="Arial" w:hAnsi="Arial" w:cs="Arial"/>
          <w:sz w:val="24"/>
          <w:szCs w:val="24"/>
        </w:rPr>
      </w:pPr>
      <w:r>
        <w:rPr>
          <w:rFonts w:ascii="Arial" w:hAnsi="Arial" w:cs="Arial"/>
          <w:sz w:val="24"/>
          <w:szCs w:val="24"/>
        </w:rPr>
        <w:t>[33</w:t>
      </w:r>
      <w:r w:rsidR="0045573D">
        <w:rPr>
          <w:rFonts w:ascii="Arial" w:hAnsi="Arial" w:cs="Arial"/>
          <w:sz w:val="24"/>
          <w:szCs w:val="24"/>
        </w:rPr>
        <w:t>]</w:t>
      </w:r>
      <w:r w:rsidR="0045573D">
        <w:rPr>
          <w:rFonts w:ascii="Arial" w:hAnsi="Arial" w:cs="Arial"/>
          <w:sz w:val="24"/>
          <w:szCs w:val="24"/>
        </w:rPr>
        <w:tab/>
      </w:r>
      <w:r w:rsidR="00CD1CBB">
        <w:rPr>
          <w:rFonts w:ascii="Arial" w:hAnsi="Arial" w:cs="Arial"/>
          <w:sz w:val="24"/>
          <w:szCs w:val="24"/>
        </w:rPr>
        <w:t xml:space="preserve">In the premises, </w:t>
      </w:r>
      <w:r w:rsidR="00A77D19">
        <w:rPr>
          <w:rFonts w:ascii="Arial" w:hAnsi="Arial" w:cs="Arial"/>
          <w:sz w:val="24"/>
          <w:szCs w:val="24"/>
        </w:rPr>
        <w:t>it was common cause that t</w:t>
      </w:r>
      <w:r w:rsidR="009205DE">
        <w:rPr>
          <w:rFonts w:ascii="Arial" w:hAnsi="Arial" w:cs="Arial"/>
          <w:sz w:val="24"/>
          <w:szCs w:val="24"/>
        </w:rPr>
        <w:t>he first respondent and the comparable group</w:t>
      </w:r>
      <w:r w:rsidR="00A77D19">
        <w:rPr>
          <w:rFonts w:ascii="Arial" w:hAnsi="Arial" w:cs="Arial"/>
          <w:sz w:val="24"/>
          <w:szCs w:val="24"/>
        </w:rPr>
        <w:t xml:space="preserve"> all falsified bank records. </w:t>
      </w:r>
      <w:r w:rsidR="009205DE">
        <w:rPr>
          <w:rFonts w:ascii="Arial" w:hAnsi="Arial" w:cs="Arial"/>
          <w:sz w:val="24"/>
          <w:szCs w:val="24"/>
        </w:rPr>
        <w:t>Only the first respondent was charged with falsification of bank records</w:t>
      </w:r>
      <w:r w:rsidR="00BC61BF">
        <w:rPr>
          <w:rFonts w:ascii="Arial" w:hAnsi="Arial" w:cs="Arial"/>
          <w:sz w:val="24"/>
          <w:szCs w:val="24"/>
        </w:rPr>
        <w:t xml:space="preserve"> and dismissed. </w:t>
      </w:r>
      <w:r w:rsidR="00A77D19">
        <w:rPr>
          <w:rFonts w:ascii="Arial" w:hAnsi="Arial" w:cs="Arial"/>
          <w:sz w:val="24"/>
          <w:szCs w:val="24"/>
        </w:rPr>
        <w:t>The parity principle demands like discipline for like misconduct, unless there is a justified reason</w:t>
      </w:r>
      <w:r w:rsidR="00E833DB">
        <w:rPr>
          <w:rFonts w:ascii="Arial" w:hAnsi="Arial" w:cs="Arial"/>
          <w:sz w:val="24"/>
          <w:szCs w:val="24"/>
        </w:rPr>
        <w:t xml:space="preserve"> to distinguish</w:t>
      </w:r>
      <w:r w:rsidR="00A77D19">
        <w:rPr>
          <w:rFonts w:ascii="Arial" w:hAnsi="Arial" w:cs="Arial"/>
          <w:sz w:val="24"/>
          <w:szCs w:val="24"/>
        </w:rPr>
        <w:t xml:space="preserve"> between employees. In this matter </w:t>
      </w:r>
      <w:r w:rsidR="00757252">
        <w:rPr>
          <w:rFonts w:ascii="Arial" w:hAnsi="Arial" w:cs="Arial"/>
          <w:sz w:val="24"/>
          <w:szCs w:val="24"/>
        </w:rPr>
        <w:t xml:space="preserve">I find that there was a justified reason to distinguish </w:t>
      </w:r>
      <w:r w:rsidR="00A77D19">
        <w:rPr>
          <w:rFonts w:ascii="Arial" w:hAnsi="Arial" w:cs="Arial"/>
          <w:sz w:val="24"/>
          <w:szCs w:val="24"/>
        </w:rPr>
        <w:t>the first respondent for the reasons above stated.</w:t>
      </w:r>
    </w:p>
    <w:p w:rsidR="00A77D19" w:rsidRDefault="00A77D19" w:rsidP="00F07B23">
      <w:pPr>
        <w:spacing w:after="0" w:line="480" w:lineRule="auto"/>
        <w:jc w:val="both"/>
        <w:rPr>
          <w:rFonts w:ascii="Arial" w:hAnsi="Arial" w:cs="Arial"/>
          <w:sz w:val="24"/>
          <w:szCs w:val="24"/>
        </w:rPr>
      </w:pPr>
    </w:p>
    <w:p w:rsidR="0078282E" w:rsidRDefault="0079422C" w:rsidP="00F07B23">
      <w:pPr>
        <w:spacing w:after="0" w:line="480" w:lineRule="auto"/>
        <w:jc w:val="both"/>
        <w:rPr>
          <w:rFonts w:ascii="Arial" w:hAnsi="Arial" w:cs="Arial"/>
          <w:sz w:val="24"/>
          <w:szCs w:val="24"/>
        </w:rPr>
      </w:pPr>
      <w:r>
        <w:rPr>
          <w:rFonts w:ascii="Arial" w:hAnsi="Arial" w:cs="Arial"/>
          <w:sz w:val="24"/>
          <w:szCs w:val="24"/>
        </w:rPr>
        <w:t>[34</w:t>
      </w:r>
      <w:r w:rsidR="00A77D19">
        <w:rPr>
          <w:rFonts w:ascii="Arial" w:hAnsi="Arial" w:cs="Arial"/>
          <w:sz w:val="24"/>
          <w:szCs w:val="24"/>
        </w:rPr>
        <w:t>]</w:t>
      </w:r>
      <w:r w:rsidR="00A77D19">
        <w:rPr>
          <w:rFonts w:ascii="Arial" w:hAnsi="Arial" w:cs="Arial"/>
          <w:sz w:val="24"/>
          <w:szCs w:val="24"/>
        </w:rPr>
        <w:tab/>
        <w:t>T</w:t>
      </w:r>
      <w:r w:rsidR="00CD1CBB">
        <w:rPr>
          <w:rFonts w:ascii="Arial" w:hAnsi="Arial" w:cs="Arial"/>
          <w:sz w:val="24"/>
          <w:szCs w:val="24"/>
        </w:rPr>
        <w:t>he appeal is upheld. In respect to the aspect of costs, I see no reason to depart from the</w:t>
      </w:r>
      <w:r w:rsidR="00700E7F">
        <w:rPr>
          <w:rFonts w:ascii="Arial" w:hAnsi="Arial" w:cs="Arial"/>
          <w:sz w:val="24"/>
          <w:szCs w:val="24"/>
        </w:rPr>
        <w:t xml:space="preserve"> normal rule in Labour cases</w:t>
      </w:r>
      <w:r w:rsidR="00CD1CBB">
        <w:rPr>
          <w:rFonts w:ascii="Arial" w:hAnsi="Arial" w:cs="Arial"/>
          <w:sz w:val="24"/>
          <w:szCs w:val="24"/>
        </w:rPr>
        <w:t xml:space="preserve"> that each party pays its o</w:t>
      </w:r>
      <w:r w:rsidR="00700E7F">
        <w:rPr>
          <w:rFonts w:ascii="Arial" w:hAnsi="Arial" w:cs="Arial"/>
          <w:sz w:val="24"/>
          <w:szCs w:val="24"/>
        </w:rPr>
        <w:t>wn cost.</w:t>
      </w:r>
    </w:p>
    <w:p w:rsidR="00FC05C4" w:rsidRDefault="00FC05C4" w:rsidP="00F07B23">
      <w:pPr>
        <w:spacing w:after="0" w:line="480" w:lineRule="auto"/>
        <w:jc w:val="both"/>
        <w:rPr>
          <w:rFonts w:ascii="Arial" w:hAnsi="Arial" w:cs="Arial"/>
          <w:sz w:val="24"/>
          <w:szCs w:val="24"/>
        </w:rPr>
      </w:pPr>
    </w:p>
    <w:p w:rsidR="001A7B9E" w:rsidRDefault="00CD1CBB" w:rsidP="00F07B23">
      <w:pPr>
        <w:spacing w:after="0" w:line="480" w:lineRule="auto"/>
        <w:jc w:val="both"/>
        <w:rPr>
          <w:rFonts w:ascii="Arial" w:hAnsi="Arial" w:cs="Arial"/>
          <w:sz w:val="24"/>
          <w:szCs w:val="24"/>
        </w:rPr>
      </w:pPr>
      <w:r>
        <w:rPr>
          <w:rFonts w:ascii="Arial" w:hAnsi="Arial" w:cs="Arial"/>
          <w:sz w:val="24"/>
          <w:szCs w:val="24"/>
        </w:rPr>
        <w:t xml:space="preserve"> </w:t>
      </w:r>
      <w:r w:rsidR="00D27BB7">
        <w:rPr>
          <w:rFonts w:ascii="Arial" w:hAnsi="Arial" w:cs="Arial"/>
          <w:sz w:val="24"/>
          <w:szCs w:val="24"/>
        </w:rPr>
        <w:t>[</w:t>
      </w:r>
      <w:r w:rsidR="0079422C">
        <w:rPr>
          <w:rFonts w:ascii="Arial" w:hAnsi="Arial" w:cs="Arial"/>
          <w:sz w:val="24"/>
          <w:szCs w:val="24"/>
        </w:rPr>
        <w:t>35</w:t>
      </w:r>
      <w:r w:rsidR="00D27BB7">
        <w:rPr>
          <w:rFonts w:ascii="Arial" w:hAnsi="Arial" w:cs="Arial"/>
          <w:sz w:val="24"/>
          <w:szCs w:val="24"/>
        </w:rPr>
        <w:t>]</w:t>
      </w:r>
      <w:r w:rsidR="00D27BB7">
        <w:rPr>
          <w:rFonts w:ascii="Arial" w:hAnsi="Arial" w:cs="Arial"/>
          <w:sz w:val="24"/>
          <w:szCs w:val="24"/>
        </w:rPr>
        <w:tab/>
        <w:t>Based on the above, I make the following order:</w:t>
      </w:r>
    </w:p>
    <w:p w:rsidR="00BF04A5" w:rsidRDefault="00BF04A5" w:rsidP="00F07B23">
      <w:pPr>
        <w:spacing w:after="0" w:line="480" w:lineRule="auto"/>
        <w:jc w:val="both"/>
        <w:rPr>
          <w:rFonts w:ascii="Arial" w:hAnsi="Arial" w:cs="Arial"/>
          <w:sz w:val="24"/>
          <w:szCs w:val="24"/>
        </w:rPr>
      </w:pPr>
    </w:p>
    <w:p w:rsidR="00BF04A5" w:rsidRDefault="00CD1CBB" w:rsidP="00F07B23">
      <w:pPr>
        <w:pStyle w:val="ListParagraph"/>
        <w:numPr>
          <w:ilvl w:val="0"/>
          <w:numId w:val="3"/>
        </w:numPr>
        <w:spacing w:after="0" w:line="480" w:lineRule="auto"/>
        <w:ind w:left="1418" w:hanging="709"/>
        <w:jc w:val="both"/>
        <w:rPr>
          <w:rFonts w:ascii="Arial" w:hAnsi="Arial" w:cs="Arial"/>
          <w:sz w:val="24"/>
          <w:szCs w:val="24"/>
        </w:rPr>
      </w:pPr>
      <w:r>
        <w:rPr>
          <w:rFonts w:ascii="Arial" w:hAnsi="Arial" w:cs="Arial"/>
          <w:sz w:val="24"/>
          <w:szCs w:val="24"/>
        </w:rPr>
        <w:t>The appeal is upheld.</w:t>
      </w:r>
    </w:p>
    <w:p w:rsidR="00CD1CBB" w:rsidRPr="00A2132D" w:rsidRDefault="00EB3703" w:rsidP="00F07B23">
      <w:pPr>
        <w:pStyle w:val="ListParagraph"/>
        <w:numPr>
          <w:ilvl w:val="0"/>
          <w:numId w:val="3"/>
        </w:numPr>
        <w:spacing w:after="0" w:line="480" w:lineRule="auto"/>
        <w:ind w:left="1418" w:hanging="709"/>
        <w:jc w:val="both"/>
        <w:rPr>
          <w:rFonts w:ascii="Arial" w:hAnsi="Arial" w:cs="Arial"/>
          <w:sz w:val="24"/>
          <w:szCs w:val="24"/>
        </w:rPr>
      </w:pPr>
      <w:r>
        <w:rPr>
          <w:rFonts w:ascii="Arial" w:hAnsi="Arial" w:cs="Arial"/>
          <w:sz w:val="24"/>
          <w:szCs w:val="24"/>
        </w:rPr>
        <w:t>The arbitration a</w:t>
      </w:r>
      <w:r w:rsidR="00184258">
        <w:rPr>
          <w:rFonts w:ascii="Arial" w:hAnsi="Arial" w:cs="Arial"/>
          <w:sz w:val="24"/>
          <w:szCs w:val="24"/>
        </w:rPr>
        <w:t>ward under Case number CRWK-107–</w:t>
      </w:r>
      <w:r>
        <w:rPr>
          <w:rFonts w:ascii="Arial" w:hAnsi="Arial" w:cs="Arial"/>
          <w:sz w:val="24"/>
          <w:szCs w:val="24"/>
        </w:rPr>
        <w:t xml:space="preserve">15, delivered on 12 October 2015, is wholly set aside. </w:t>
      </w:r>
    </w:p>
    <w:p w:rsidR="00D27BB7" w:rsidRDefault="00D27BB7" w:rsidP="00F07B23">
      <w:pPr>
        <w:spacing w:after="0" w:line="480" w:lineRule="auto"/>
        <w:ind w:left="720" w:hanging="11"/>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There is no order in respect of costs.</w:t>
      </w:r>
    </w:p>
    <w:p w:rsidR="00BF04A5" w:rsidRDefault="00BF04A5" w:rsidP="00F07B23">
      <w:pPr>
        <w:spacing w:after="0" w:line="480" w:lineRule="auto"/>
        <w:rPr>
          <w:rFonts w:ascii="Arial" w:hAnsi="Arial" w:cs="Arial"/>
          <w:sz w:val="24"/>
          <w:szCs w:val="24"/>
        </w:rPr>
      </w:pPr>
    </w:p>
    <w:p w:rsidR="00BF04A5" w:rsidRPr="00B719CC" w:rsidRDefault="00BF04A5" w:rsidP="00F07B23">
      <w:pPr>
        <w:spacing w:after="0" w:line="480" w:lineRule="auto"/>
        <w:rPr>
          <w:rFonts w:ascii="Arial" w:hAnsi="Arial" w:cs="Arial"/>
          <w:b/>
          <w:sz w:val="24"/>
          <w:szCs w:val="24"/>
        </w:rPr>
      </w:pPr>
    </w:p>
    <w:p w:rsidR="00BF04A5" w:rsidRPr="00B719CC" w:rsidRDefault="00BF04A5" w:rsidP="00F07B23">
      <w:pPr>
        <w:spacing w:after="0" w:line="480" w:lineRule="auto"/>
        <w:rPr>
          <w:rFonts w:ascii="Arial" w:hAnsi="Arial" w:cs="Arial"/>
          <w:b/>
          <w:sz w:val="24"/>
          <w:szCs w:val="24"/>
        </w:rPr>
      </w:pPr>
    </w:p>
    <w:p w:rsidR="00BF04A5" w:rsidRPr="00B719CC" w:rsidRDefault="00BF04A5" w:rsidP="00F07B23">
      <w:pPr>
        <w:spacing w:after="0" w:line="480" w:lineRule="auto"/>
        <w:jc w:val="right"/>
        <w:rPr>
          <w:rFonts w:ascii="Arial" w:hAnsi="Arial" w:cs="Arial"/>
          <w:b/>
          <w:sz w:val="24"/>
          <w:szCs w:val="24"/>
        </w:rPr>
      </w:pPr>
      <w:r w:rsidRPr="00B719CC">
        <w:rPr>
          <w:rFonts w:ascii="Arial" w:hAnsi="Arial" w:cs="Arial"/>
          <w:b/>
          <w:sz w:val="24"/>
          <w:szCs w:val="24"/>
        </w:rPr>
        <w:t>----------------------------------</w:t>
      </w:r>
    </w:p>
    <w:p w:rsidR="00BF04A5" w:rsidRPr="00B719CC" w:rsidRDefault="00BF04A5" w:rsidP="00F07B23">
      <w:pPr>
        <w:spacing w:after="0" w:line="480" w:lineRule="auto"/>
        <w:jc w:val="right"/>
        <w:rPr>
          <w:rFonts w:ascii="Arial" w:hAnsi="Arial" w:cs="Arial"/>
          <w:b/>
          <w:sz w:val="24"/>
          <w:szCs w:val="24"/>
        </w:rPr>
      </w:pPr>
      <w:r w:rsidRPr="00B719CC">
        <w:rPr>
          <w:rFonts w:ascii="Arial" w:hAnsi="Arial" w:cs="Arial"/>
          <w:b/>
          <w:sz w:val="24"/>
          <w:szCs w:val="24"/>
        </w:rPr>
        <w:t>L VAN WYK</w:t>
      </w:r>
    </w:p>
    <w:p w:rsidR="00BF04A5" w:rsidRPr="00B719CC" w:rsidRDefault="00BF04A5" w:rsidP="00F07B23">
      <w:pPr>
        <w:spacing w:after="0" w:line="480" w:lineRule="auto"/>
        <w:jc w:val="right"/>
        <w:rPr>
          <w:rFonts w:ascii="Arial" w:hAnsi="Arial" w:cs="Arial"/>
          <w:b/>
          <w:sz w:val="24"/>
          <w:szCs w:val="24"/>
        </w:rPr>
      </w:pPr>
      <w:r w:rsidRPr="00B719CC">
        <w:rPr>
          <w:rFonts w:ascii="Arial" w:hAnsi="Arial" w:cs="Arial"/>
          <w:b/>
          <w:sz w:val="24"/>
          <w:szCs w:val="24"/>
        </w:rPr>
        <w:t>Acting Judge</w:t>
      </w:r>
    </w:p>
    <w:p w:rsidR="004B7D37" w:rsidRPr="00B719CC" w:rsidRDefault="004B7D37" w:rsidP="00F07B23">
      <w:pPr>
        <w:spacing w:after="0" w:line="480" w:lineRule="auto"/>
        <w:ind w:left="5040" w:firstLine="720"/>
        <w:jc w:val="both"/>
        <w:rPr>
          <w:rFonts w:ascii="Arial" w:hAnsi="Arial" w:cs="Arial"/>
          <w:b/>
          <w:sz w:val="24"/>
          <w:szCs w:val="24"/>
        </w:rPr>
      </w:pPr>
    </w:p>
    <w:p w:rsidR="00BF04A5" w:rsidRPr="00B719CC" w:rsidRDefault="00BF04A5" w:rsidP="00F07B23">
      <w:pPr>
        <w:spacing w:after="0" w:line="480" w:lineRule="auto"/>
        <w:jc w:val="both"/>
        <w:rPr>
          <w:rFonts w:ascii="Arial" w:hAnsi="Arial" w:cs="Arial"/>
          <w:b/>
          <w:sz w:val="24"/>
          <w:szCs w:val="24"/>
        </w:rPr>
      </w:pPr>
    </w:p>
    <w:p w:rsidR="00BF04A5" w:rsidRPr="00B719CC" w:rsidRDefault="00BF04A5" w:rsidP="00F07B23">
      <w:pPr>
        <w:spacing w:after="0" w:line="480" w:lineRule="auto"/>
        <w:jc w:val="both"/>
        <w:rPr>
          <w:rFonts w:ascii="Arial" w:hAnsi="Arial" w:cs="Arial"/>
          <w:b/>
          <w:sz w:val="24"/>
          <w:szCs w:val="24"/>
        </w:rPr>
      </w:pPr>
    </w:p>
    <w:p w:rsidR="00BF04A5" w:rsidRPr="00B719CC" w:rsidRDefault="00BF04A5" w:rsidP="00F07B23">
      <w:pPr>
        <w:autoSpaceDE w:val="0"/>
        <w:autoSpaceDN w:val="0"/>
        <w:adjustRightInd w:val="0"/>
        <w:spacing w:after="0" w:line="480" w:lineRule="auto"/>
        <w:jc w:val="both"/>
        <w:rPr>
          <w:rFonts w:ascii="Arial" w:eastAsia="Times New Roman" w:hAnsi="Arial" w:cs="Arial"/>
          <w:b/>
          <w:sz w:val="24"/>
          <w:szCs w:val="24"/>
          <w:lang w:val="en-GB"/>
        </w:rPr>
      </w:pPr>
      <w:r w:rsidRPr="00B719CC">
        <w:rPr>
          <w:rFonts w:ascii="Arial" w:eastAsia="Times New Roman" w:hAnsi="Arial" w:cs="Arial"/>
          <w:b/>
          <w:sz w:val="24"/>
          <w:szCs w:val="24"/>
          <w:lang w:val="en-GB"/>
        </w:rPr>
        <w:t>APPEARANCES</w:t>
      </w:r>
    </w:p>
    <w:p w:rsidR="00BF04A5" w:rsidRPr="00B719CC" w:rsidRDefault="00BF04A5" w:rsidP="00F07B23">
      <w:pPr>
        <w:autoSpaceDE w:val="0"/>
        <w:autoSpaceDN w:val="0"/>
        <w:adjustRightInd w:val="0"/>
        <w:spacing w:after="0" w:line="480" w:lineRule="auto"/>
        <w:jc w:val="both"/>
        <w:rPr>
          <w:rFonts w:ascii="Arial" w:eastAsia="Times New Roman" w:hAnsi="Arial" w:cs="Arial"/>
          <w:b/>
          <w:sz w:val="24"/>
          <w:szCs w:val="24"/>
          <w:lang w:val="en-GB"/>
        </w:rPr>
      </w:pPr>
    </w:p>
    <w:p w:rsidR="00BF04A5" w:rsidRDefault="00BF04A5" w:rsidP="00F07B23">
      <w:pPr>
        <w:autoSpaceDE w:val="0"/>
        <w:autoSpaceDN w:val="0"/>
        <w:adjustRightInd w:val="0"/>
        <w:spacing w:after="0" w:line="480" w:lineRule="auto"/>
        <w:ind w:left="3780" w:hanging="3780"/>
        <w:jc w:val="both"/>
        <w:rPr>
          <w:rFonts w:ascii="Arial" w:hAnsi="Arial" w:cs="Arial"/>
          <w:b/>
          <w:sz w:val="24"/>
          <w:szCs w:val="24"/>
        </w:rPr>
      </w:pPr>
      <w:r w:rsidRPr="00B719CC">
        <w:rPr>
          <w:rFonts w:ascii="Arial" w:hAnsi="Arial" w:cs="Arial"/>
          <w:b/>
          <w:sz w:val="24"/>
          <w:szCs w:val="24"/>
        </w:rPr>
        <w:t>APPELLANT:</w:t>
      </w:r>
      <w:r w:rsidRPr="00B719CC">
        <w:rPr>
          <w:rFonts w:ascii="Arial" w:hAnsi="Arial" w:cs="Arial"/>
          <w:b/>
          <w:sz w:val="24"/>
          <w:szCs w:val="24"/>
        </w:rPr>
        <w:tab/>
      </w:r>
      <w:r w:rsidR="00DF0EEB">
        <w:rPr>
          <w:rFonts w:ascii="Arial" w:hAnsi="Arial" w:cs="Arial"/>
          <w:b/>
          <w:sz w:val="24"/>
          <w:szCs w:val="24"/>
        </w:rPr>
        <w:t>E ANGULA</w:t>
      </w:r>
    </w:p>
    <w:p w:rsidR="00DF0EEB" w:rsidRPr="00B719CC" w:rsidRDefault="00DF0EEB" w:rsidP="00F07B23">
      <w:pPr>
        <w:autoSpaceDE w:val="0"/>
        <w:autoSpaceDN w:val="0"/>
        <w:adjustRightInd w:val="0"/>
        <w:spacing w:after="0" w:line="480" w:lineRule="auto"/>
        <w:ind w:left="3780" w:hanging="3780"/>
        <w:jc w:val="both"/>
        <w:rPr>
          <w:rFonts w:ascii="Arial" w:hAnsi="Arial" w:cs="Arial"/>
          <w:b/>
          <w:sz w:val="24"/>
          <w:szCs w:val="24"/>
        </w:rPr>
      </w:pPr>
      <w:r>
        <w:rPr>
          <w:rFonts w:ascii="Arial" w:hAnsi="Arial" w:cs="Arial"/>
          <w:b/>
          <w:sz w:val="24"/>
          <w:szCs w:val="24"/>
        </w:rPr>
        <w:tab/>
        <w:t>A</w:t>
      </w:r>
      <w:r w:rsidR="003100D1">
        <w:rPr>
          <w:rFonts w:ascii="Arial" w:hAnsi="Arial" w:cs="Arial"/>
          <w:b/>
          <w:sz w:val="24"/>
          <w:szCs w:val="24"/>
        </w:rPr>
        <w:t>ngulaCo.Inc.</w:t>
      </w:r>
    </w:p>
    <w:p w:rsidR="00BF04A5" w:rsidRPr="00B719CC" w:rsidRDefault="00BF04A5" w:rsidP="00F07B23">
      <w:pPr>
        <w:autoSpaceDE w:val="0"/>
        <w:autoSpaceDN w:val="0"/>
        <w:adjustRightInd w:val="0"/>
        <w:spacing w:after="0" w:line="480" w:lineRule="auto"/>
        <w:jc w:val="both"/>
        <w:rPr>
          <w:rFonts w:ascii="Arial" w:hAnsi="Arial" w:cs="Arial"/>
          <w:b/>
          <w:sz w:val="24"/>
          <w:szCs w:val="24"/>
        </w:rPr>
      </w:pPr>
    </w:p>
    <w:p w:rsidR="004B7D37" w:rsidRDefault="00BF04A5" w:rsidP="00F07B23">
      <w:pPr>
        <w:autoSpaceDE w:val="0"/>
        <w:autoSpaceDN w:val="0"/>
        <w:adjustRightInd w:val="0"/>
        <w:spacing w:after="0" w:line="480" w:lineRule="auto"/>
        <w:ind w:left="3780" w:hanging="3780"/>
        <w:jc w:val="both"/>
        <w:rPr>
          <w:rFonts w:ascii="Arial" w:hAnsi="Arial" w:cs="Arial"/>
          <w:b/>
          <w:sz w:val="24"/>
          <w:szCs w:val="24"/>
        </w:rPr>
      </w:pPr>
      <w:r w:rsidRPr="00B719CC">
        <w:rPr>
          <w:rFonts w:ascii="Arial" w:hAnsi="Arial" w:cs="Arial"/>
          <w:b/>
          <w:sz w:val="24"/>
          <w:szCs w:val="24"/>
        </w:rPr>
        <w:t>RESPONDENT:</w:t>
      </w:r>
      <w:r w:rsidRPr="00B719CC">
        <w:rPr>
          <w:rFonts w:ascii="Arial" w:hAnsi="Arial" w:cs="Arial"/>
          <w:b/>
          <w:sz w:val="24"/>
          <w:szCs w:val="24"/>
        </w:rPr>
        <w:tab/>
      </w:r>
      <w:r w:rsidR="003100D1">
        <w:rPr>
          <w:rFonts w:ascii="Arial" w:hAnsi="Arial" w:cs="Arial"/>
          <w:b/>
          <w:sz w:val="24"/>
          <w:szCs w:val="24"/>
        </w:rPr>
        <w:t>G KASPER</w:t>
      </w:r>
    </w:p>
    <w:p w:rsidR="003100D1" w:rsidRPr="00B719CC" w:rsidRDefault="003100D1" w:rsidP="00F07B23">
      <w:pPr>
        <w:autoSpaceDE w:val="0"/>
        <w:autoSpaceDN w:val="0"/>
        <w:adjustRightInd w:val="0"/>
        <w:spacing w:after="0" w:line="480" w:lineRule="auto"/>
        <w:ind w:left="3780" w:hanging="3780"/>
        <w:jc w:val="both"/>
        <w:rPr>
          <w:rFonts w:ascii="Arial" w:hAnsi="Arial" w:cs="Arial"/>
          <w:b/>
          <w:sz w:val="24"/>
          <w:szCs w:val="24"/>
        </w:rPr>
      </w:pPr>
      <w:r>
        <w:rPr>
          <w:rFonts w:ascii="Arial" w:hAnsi="Arial" w:cs="Arial"/>
          <w:b/>
          <w:sz w:val="24"/>
          <w:szCs w:val="24"/>
        </w:rPr>
        <w:tab/>
        <w:t>Murorua &amp; Associates</w:t>
      </w:r>
    </w:p>
    <w:p w:rsidR="004B7D37" w:rsidRPr="00B719CC" w:rsidRDefault="004B7D37" w:rsidP="00F07B23">
      <w:pPr>
        <w:spacing w:line="480" w:lineRule="auto"/>
        <w:rPr>
          <w:rFonts w:ascii="Arial" w:hAnsi="Arial" w:cs="Arial"/>
          <w:b/>
          <w:sz w:val="24"/>
          <w:szCs w:val="24"/>
        </w:rPr>
      </w:pPr>
    </w:p>
    <w:p w:rsidR="0000160F" w:rsidRDefault="0000160F" w:rsidP="00F07B23">
      <w:pPr>
        <w:spacing w:line="480" w:lineRule="auto"/>
      </w:pPr>
    </w:p>
    <w:sectPr w:rsidR="0000160F" w:rsidSect="00C171AD">
      <w:headerReference w:type="default" r:id="rId10"/>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DF" w:rsidRDefault="00E45EDF" w:rsidP="00430AF5">
      <w:pPr>
        <w:spacing w:after="0" w:line="240" w:lineRule="auto"/>
      </w:pPr>
      <w:r>
        <w:separator/>
      </w:r>
    </w:p>
  </w:endnote>
  <w:endnote w:type="continuationSeparator" w:id="0">
    <w:p w:rsidR="00E45EDF" w:rsidRDefault="00E45EDF" w:rsidP="0043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DF" w:rsidRDefault="00E45EDF" w:rsidP="00430AF5">
      <w:pPr>
        <w:spacing w:after="0" w:line="240" w:lineRule="auto"/>
      </w:pPr>
      <w:r>
        <w:separator/>
      </w:r>
    </w:p>
  </w:footnote>
  <w:footnote w:type="continuationSeparator" w:id="0">
    <w:p w:rsidR="00E45EDF" w:rsidRDefault="00E45EDF" w:rsidP="00430AF5">
      <w:pPr>
        <w:spacing w:after="0" w:line="240" w:lineRule="auto"/>
      </w:pPr>
      <w:r>
        <w:continuationSeparator/>
      </w:r>
    </w:p>
  </w:footnote>
  <w:footnote w:id="1">
    <w:p w:rsidR="002B6A91" w:rsidRPr="003F1B3F" w:rsidRDefault="002B6A91">
      <w:pPr>
        <w:pStyle w:val="FootnoteText"/>
        <w:rPr>
          <w:lang w:val="en-ZA"/>
        </w:rPr>
      </w:pPr>
      <w:r>
        <w:rPr>
          <w:rStyle w:val="FootnoteReference"/>
        </w:rPr>
        <w:footnoteRef/>
      </w:r>
      <w:r>
        <w:t xml:space="preserve"> </w:t>
      </w:r>
      <w:r>
        <w:rPr>
          <w:lang w:val="en-ZA"/>
        </w:rPr>
        <w:tab/>
        <w:t>Page 881 of the Record</w:t>
      </w:r>
    </w:p>
  </w:footnote>
  <w:footnote w:id="2">
    <w:p w:rsidR="002B6A91" w:rsidRPr="00124876" w:rsidRDefault="002B6A91" w:rsidP="00124876">
      <w:pPr>
        <w:pStyle w:val="FootnoteText"/>
        <w:rPr>
          <w:lang w:val="en-ZA"/>
        </w:rPr>
      </w:pPr>
      <w:r>
        <w:rPr>
          <w:rStyle w:val="FootnoteReference"/>
        </w:rPr>
        <w:footnoteRef/>
      </w:r>
      <w:r>
        <w:t xml:space="preserve"> </w:t>
      </w:r>
      <w:r>
        <w:rPr>
          <w:lang w:val="en-ZA"/>
        </w:rPr>
        <w:tab/>
        <w:t xml:space="preserve">Page 882 of the Record </w:t>
      </w:r>
    </w:p>
  </w:footnote>
  <w:footnote w:id="3">
    <w:p w:rsidR="002B6A91" w:rsidRPr="00CC7557" w:rsidRDefault="002B6A91" w:rsidP="00327D88">
      <w:pPr>
        <w:pStyle w:val="FootnoteText"/>
        <w:rPr>
          <w:lang w:val="en-ZA"/>
        </w:rPr>
      </w:pPr>
      <w:r>
        <w:rPr>
          <w:rStyle w:val="FootnoteReference"/>
        </w:rPr>
        <w:footnoteRef/>
      </w:r>
      <w:r>
        <w:t xml:space="preserve"> </w:t>
      </w:r>
      <w:r>
        <w:rPr>
          <w:lang w:val="en-ZA"/>
        </w:rPr>
        <w:tab/>
        <w:t>Page 877 of the record</w:t>
      </w:r>
    </w:p>
  </w:footnote>
  <w:footnote w:id="4">
    <w:p w:rsidR="002B6A91" w:rsidRPr="00747A4E" w:rsidRDefault="002B6A91" w:rsidP="00EA18C8">
      <w:pPr>
        <w:pStyle w:val="FootnoteText"/>
        <w:rPr>
          <w:lang w:val="en-ZA"/>
        </w:rPr>
      </w:pPr>
      <w:r>
        <w:rPr>
          <w:rStyle w:val="FootnoteReference"/>
        </w:rPr>
        <w:footnoteRef/>
      </w:r>
      <w:r>
        <w:t xml:space="preserve"> </w:t>
      </w:r>
      <w:r>
        <w:rPr>
          <w:lang w:val="en-ZA"/>
        </w:rPr>
        <w:tab/>
        <w:t>Page 880 of the record</w:t>
      </w:r>
    </w:p>
  </w:footnote>
  <w:footnote w:id="5">
    <w:p w:rsidR="002B6A91" w:rsidRPr="00410B7F" w:rsidRDefault="002B6A91" w:rsidP="00EA18C8">
      <w:pPr>
        <w:pStyle w:val="FootnoteText"/>
        <w:rPr>
          <w:lang w:val="en-ZA"/>
        </w:rPr>
      </w:pPr>
      <w:r>
        <w:rPr>
          <w:rStyle w:val="FootnoteReference"/>
        </w:rPr>
        <w:footnoteRef/>
      </w:r>
      <w:r>
        <w:t xml:space="preserve"> </w:t>
      </w:r>
      <w:r>
        <w:rPr>
          <w:lang w:val="en-ZA"/>
        </w:rPr>
        <w:tab/>
        <w:t>Page 880 of the record</w:t>
      </w:r>
    </w:p>
  </w:footnote>
  <w:footnote w:id="6">
    <w:p w:rsidR="002B6A91" w:rsidRPr="002713EE" w:rsidRDefault="002B6A91">
      <w:pPr>
        <w:pStyle w:val="FootnoteText"/>
        <w:rPr>
          <w:lang w:val="en-ZA"/>
        </w:rPr>
      </w:pPr>
      <w:r>
        <w:rPr>
          <w:rStyle w:val="FootnoteReference"/>
        </w:rPr>
        <w:footnoteRef/>
      </w:r>
      <w:r>
        <w:t xml:space="preserve"> </w:t>
      </w:r>
      <w:r>
        <w:rPr>
          <w:lang w:val="en-ZA"/>
        </w:rPr>
        <w:tab/>
        <w:t>Page 884 of the Record</w:t>
      </w:r>
    </w:p>
  </w:footnote>
  <w:footnote w:id="7">
    <w:p w:rsidR="002B6A91" w:rsidRPr="000469FE" w:rsidRDefault="002B6A91" w:rsidP="00451806">
      <w:pPr>
        <w:pStyle w:val="FootnoteText"/>
        <w:rPr>
          <w:lang w:val="en-ZA"/>
        </w:rPr>
      </w:pPr>
      <w:r>
        <w:rPr>
          <w:rStyle w:val="FootnoteReference"/>
        </w:rPr>
        <w:footnoteRef/>
      </w:r>
      <w:r>
        <w:t xml:space="preserve"> </w:t>
      </w:r>
      <w:r>
        <w:rPr>
          <w:lang w:val="en-ZA"/>
        </w:rPr>
        <w:tab/>
        <w:t>The grounds of appeal 1-5 are quoted from the Notice of Appeal.</w:t>
      </w:r>
    </w:p>
  </w:footnote>
  <w:footnote w:id="8">
    <w:p w:rsidR="002B6A91" w:rsidRPr="00906223" w:rsidRDefault="002B6A91" w:rsidP="00906223">
      <w:pPr>
        <w:pStyle w:val="FootnoteText"/>
        <w:tabs>
          <w:tab w:val="left" w:pos="360"/>
        </w:tabs>
        <w:spacing w:line="276" w:lineRule="auto"/>
        <w:ind w:left="360" w:hanging="360"/>
        <w:rPr>
          <w:i/>
        </w:rPr>
      </w:pPr>
      <w:r>
        <w:rPr>
          <w:rStyle w:val="FootnoteReference"/>
        </w:rPr>
        <w:footnoteRef/>
      </w:r>
      <w:r>
        <w:t xml:space="preserve"> </w:t>
      </w:r>
      <w:r>
        <w:tab/>
      </w:r>
      <w:proofErr w:type="spellStart"/>
      <w:r w:rsidRPr="00842954">
        <w:rPr>
          <w:rFonts w:ascii="Arial" w:eastAsia="Calibri" w:hAnsi="Arial" w:cs="Arial"/>
          <w:i/>
          <w:iCs/>
        </w:rPr>
        <w:t>Visagie</w:t>
      </w:r>
      <w:proofErr w:type="spellEnd"/>
      <w:r w:rsidRPr="00842954">
        <w:rPr>
          <w:rFonts w:ascii="Arial" w:eastAsia="Calibri" w:hAnsi="Arial" w:cs="Arial"/>
          <w:i/>
          <w:iCs/>
        </w:rPr>
        <w:t xml:space="preserve"> v Namibia Development Corporation </w:t>
      </w:r>
      <w:r w:rsidRPr="00842954">
        <w:rPr>
          <w:rFonts w:ascii="Arial" w:hAnsi="Arial" w:cs="Arial"/>
        </w:rPr>
        <w:t>1999 NR 219 at 224.</w:t>
      </w:r>
      <w:r w:rsidRPr="00842954">
        <w:rPr>
          <w:rFonts w:ascii="Arial" w:eastAsia="Calibri" w:hAnsi="Arial" w:cs="Arial"/>
          <w:i/>
          <w:iCs/>
        </w:rPr>
        <w:t xml:space="preserve"> </w:t>
      </w:r>
      <w:proofErr w:type="spellStart"/>
      <w:r w:rsidRPr="00842954">
        <w:rPr>
          <w:rFonts w:ascii="Arial" w:eastAsia="Calibri" w:hAnsi="Arial" w:cs="Arial"/>
          <w:i/>
          <w:iCs/>
        </w:rPr>
        <w:t>Betha</w:t>
      </w:r>
      <w:proofErr w:type="spellEnd"/>
      <w:r w:rsidRPr="00842954">
        <w:rPr>
          <w:rFonts w:ascii="Arial" w:eastAsia="Calibri" w:hAnsi="Arial" w:cs="Arial"/>
          <w:i/>
          <w:iCs/>
        </w:rPr>
        <w:t xml:space="preserve"> and </w:t>
      </w:r>
      <w:proofErr w:type="gramStart"/>
      <w:r w:rsidRPr="00842954">
        <w:rPr>
          <w:rFonts w:ascii="Arial" w:eastAsia="Calibri" w:hAnsi="Arial" w:cs="Arial"/>
          <w:i/>
          <w:iCs/>
        </w:rPr>
        <w:t>Others</w:t>
      </w:r>
      <w:proofErr w:type="gramEnd"/>
      <w:r w:rsidRPr="00842954">
        <w:rPr>
          <w:rFonts w:ascii="Arial" w:eastAsia="Calibri" w:hAnsi="Arial" w:cs="Arial"/>
          <w:i/>
          <w:iCs/>
        </w:rPr>
        <w:t xml:space="preserve"> v BTR </w:t>
      </w:r>
      <w:proofErr w:type="spellStart"/>
      <w:r w:rsidRPr="00842954">
        <w:rPr>
          <w:rFonts w:ascii="Arial" w:eastAsia="Calibri" w:hAnsi="Arial" w:cs="Arial"/>
          <w:i/>
          <w:iCs/>
        </w:rPr>
        <w:t>Sarmcol</w:t>
      </w:r>
      <w:proofErr w:type="spellEnd"/>
      <w:r w:rsidRPr="00842954">
        <w:rPr>
          <w:rFonts w:ascii="Arial" w:eastAsia="Calibri" w:hAnsi="Arial" w:cs="Arial"/>
          <w:i/>
          <w:iCs/>
        </w:rPr>
        <w:t>, A Division of BTR Dunlop Ltd</w:t>
      </w:r>
      <w:r>
        <w:rPr>
          <w:rFonts w:ascii="Arial" w:eastAsia="Calibri" w:hAnsi="Arial" w:cs="Arial"/>
          <w:i/>
          <w:iCs/>
        </w:rPr>
        <w:t xml:space="preserve"> </w:t>
      </w:r>
      <w:r w:rsidRPr="00842954">
        <w:rPr>
          <w:rFonts w:ascii="Arial" w:hAnsi="Arial" w:cs="Arial"/>
        </w:rPr>
        <w:t>1998 (3) SA 349 (SCA);</w:t>
      </w:r>
      <w:r w:rsidRPr="00842954">
        <w:rPr>
          <w:rFonts w:ascii="Arial" w:hAnsi="Arial" w:cs="Arial"/>
          <w:i/>
        </w:rPr>
        <w:t xml:space="preserve"> House and Home v Majiedt and Others (LCA 46/2011) [2012] NALC 31 (22 August 2012) at para [7].</w:t>
      </w:r>
    </w:p>
  </w:footnote>
  <w:footnote w:id="9">
    <w:p w:rsidR="002B6A91" w:rsidRPr="00893F01" w:rsidRDefault="002B6A91">
      <w:pPr>
        <w:pStyle w:val="FootnoteText"/>
        <w:rPr>
          <w:lang w:val="en-ZA"/>
        </w:rPr>
      </w:pPr>
    </w:p>
  </w:footnote>
  <w:footnote w:id="10">
    <w:p w:rsidR="002B6A91" w:rsidRPr="00D151C7" w:rsidRDefault="002B6A91">
      <w:pPr>
        <w:pStyle w:val="FootnoteText"/>
        <w:rPr>
          <w:rFonts w:ascii="Arial" w:hAnsi="Arial" w:cs="Arial"/>
          <w:lang w:val="en-ZA"/>
        </w:rPr>
      </w:pPr>
      <w:r>
        <w:rPr>
          <w:rStyle w:val="FootnoteReference"/>
        </w:rPr>
        <w:footnoteRef/>
      </w:r>
      <w:r>
        <w:t xml:space="preserve">    </w:t>
      </w:r>
      <w:r>
        <w:rPr>
          <w:rFonts w:ascii="Arial" w:hAnsi="Arial" w:cs="Arial"/>
        </w:rPr>
        <w:t>Page 665 of the Record</w:t>
      </w:r>
    </w:p>
  </w:footnote>
  <w:footnote w:id="11">
    <w:p w:rsidR="002B6A91" w:rsidRPr="00955807" w:rsidRDefault="002B6A91">
      <w:pPr>
        <w:pStyle w:val="FootnoteText"/>
        <w:rPr>
          <w:lang w:val="en-ZA"/>
        </w:rPr>
      </w:pPr>
      <w:r>
        <w:rPr>
          <w:rStyle w:val="FootnoteReference"/>
        </w:rPr>
        <w:footnoteRef/>
      </w:r>
      <w:r>
        <w:t xml:space="preserve"> </w:t>
      </w:r>
      <w:r>
        <w:rPr>
          <w:lang w:val="en-ZA"/>
        </w:rPr>
        <w:tab/>
      </w:r>
      <w:r>
        <w:rPr>
          <w:rFonts w:ascii="Arial" w:hAnsi="Arial" w:cs="Arial"/>
          <w:i/>
        </w:rPr>
        <w:t>Edgar</w:t>
      </w:r>
      <w:r w:rsidRPr="00955807">
        <w:rPr>
          <w:rFonts w:ascii="Arial" w:hAnsi="Arial" w:cs="Arial"/>
          <w:i/>
        </w:rPr>
        <w:t xml:space="preserve">s Stores (Namibia) Limited v </w:t>
      </w:r>
      <w:proofErr w:type="spellStart"/>
      <w:r w:rsidRPr="00955807">
        <w:rPr>
          <w:rFonts w:ascii="Arial" w:hAnsi="Arial" w:cs="Arial"/>
          <w:i/>
        </w:rPr>
        <w:t>Laurika</w:t>
      </w:r>
      <w:proofErr w:type="spellEnd"/>
      <w:r w:rsidRPr="00955807">
        <w:rPr>
          <w:rFonts w:ascii="Arial" w:hAnsi="Arial" w:cs="Arial"/>
          <w:i/>
        </w:rPr>
        <w:t xml:space="preserve"> </w:t>
      </w:r>
      <w:proofErr w:type="spellStart"/>
      <w:r w:rsidRPr="00955807">
        <w:rPr>
          <w:rFonts w:ascii="Arial" w:hAnsi="Arial" w:cs="Arial"/>
          <w:i/>
        </w:rPr>
        <w:t>Oiliver</w:t>
      </w:r>
      <w:proofErr w:type="spellEnd"/>
      <w:r w:rsidRPr="00955807">
        <w:rPr>
          <w:rFonts w:ascii="Arial" w:hAnsi="Arial" w:cs="Arial"/>
          <w:i/>
        </w:rPr>
        <w:t xml:space="preserve"> and others</w:t>
      </w:r>
      <w:r w:rsidRPr="00955807">
        <w:rPr>
          <w:rFonts w:ascii="Arial" w:hAnsi="Arial" w:cs="Arial"/>
        </w:rPr>
        <w:t>, Case No LCA 67/2009.</w:t>
      </w:r>
    </w:p>
  </w:footnote>
  <w:footnote w:id="12">
    <w:p w:rsidR="002B6A91" w:rsidRPr="007668AC" w:rsidRDefault="002B6A91">
      <w:pPr>
        <w:pStyle w:val="FootnoteText"/>
        <w:rPr>
          <w:lang w:val="en-ZA"/>
        </w:rPr>
      </w:pPr>
      <w:r>
        <w:rPr>
          <w:rStyle w:val="FootnoteReference"/>
        </w:rPr>
        <w:footnoteRef/>
      </w:r>
      <w:r>
        <w:t xml:space="preserve"> </w:t>
      </w:r>
      <w:r>
        <w:rPr>
          <w:lang w:val="en-ZA"/>
        </w:rPr>
        <w:tab/>
      </w:r>
      <w:r w:rsidRPr="001A3BA6">
        <w:rPr>
          <w:rFonts w:ascii="Arial" w:hAnsi="Arial" w:cs="Arial"/>
          <w:i/>
          <w:lang w:val="en-ZA"/>
        </w:rPr>
        <w:t>Edgars Stores</w:t>
      </w:r>
      <w:r w:rsidRPr="001A3BA6">
        <w:rPr>
          <w:rFonts w:ascii="Arial" w:hAnsi="Arial" w:cs="Arial"/>
          <w:lang w:val="en-ZA"/>
        </w:rPr>
        <w:t xml:space="preserve"> supra,</w:t>
      </w:r>
      <w:r>
        <w:rPr>
          <w:lang w:val="en-ZA"/>
        </w:rPr>
        <w:t xml:space="preserve"> paragraphs 5-6</w:t>
      </w:r>
    </w:p>
  </w:footnote>
  <w:footnote w:id="13">
    <w:p w:rsidR="002B6A91" w:rsidRPr="00742073" w:rsidRDefault="002B6A91">
      <w:pPr>
        <w:pStyle w:val="FootnoteText"/>
        <w:rPr>
          <w:lang w:val="en-ZA"/>
        </w:rPr>
      </w:pPr>
      <w:r>
        <w:rPr>
          <w:rStyle w:val="FootnoteReference"/>
        </w:rPr>
        <w:footnoteRef/>
      </w:r>
      <w:r>
        <w:t xml:space="preserve"> </w:t>
      </w:r>
      <w:r>
        <w:rPr>
          <w:lang w:val="en-ZA"/>
        </w:rPr>
        <w:tab/>
      </w:r>
      <w:r w:rsidRPr="001A3BA6">
        <w:rPr>
          <w:rFonts w:ascii="Arial" w:hAnsi="Arial" w:cs="Arial"/>
          <w:i/>
          <w:lang w:val="en-ZA"/>
        </w:rPr>
        <w:t>Edgars Stores</w:t>
      </w:r>
      <w:r w:rsidRPr="001A3BA6">
        <w:rPr>
          <w:rFonts w:ascii="Arial" w:hAnsi="Arial" w:cs="Arial"/>
          <w:lang w:val="en-ZA"/>
        </w:rPr>
        <w:t xml:space="preserve"> supra,</w:t>
      </w:r>
      <w:r>
        <w:rPr>
          <w:lang w:val="en-ZA"/>
        </w:rPr>
        <w:t xml:space="preserve"> paragraphs 11-12</w:t>
      </w:r>
    </w:p>
  </w:footnote>
  <w:footnote w:id="14">
    <w:p w:rsidR="002B6A91" w:rsidRPr="00E70155" w:rsidRDefault="002B6A91">
      <w:pPr>
        <w:pStyle w:val="FootnoteText"/>
        <w:rPr>
          <w:rFonts w:ascii="Arial" w:hAnsi="Arial" w:cs="Arial"/>
          <w:lang w:val="en-ZA"/>
        </w:rPr>
      </w:pPr>
      <w:r>
        <w:rPr>
          <w:rStyle w:val="FootnoteReference"/>
        </w:rPr>
        <w:footnoteRef/>
      </w:r>
      <w:r>
        <w:t xml:space="preserve"> </w:t>
      </w:r>
      <w:r>
        <w:tab/>
      </w:r>
      <w:r w:rsidRPr="00E70155">
        <w:rPr>
          <w:rFonts w:ascii="Arial" w:hAnsi="Arial" w:cs="Arial"/>
          <w:i/>
        </w:rPr>
        <w:t xml:space="preserve">Namibia Wildlife Resorts Limited v </w:t>
      </w:r>
      <w:proofErr w:type="spellStart"/>
      <w:r w:rsidRPr="00E70155">
        <w:rPr>
          <w:rFonts w:ascii="Arial" w:hAnsi="Arial" w:cs="Arial"/>
          <w:i/>
        </w:rPr>
        <w:t>Ilonga</w:t>
      </w:r>
      <w:proofErr w:type="spellEnd"/>
      <w:r w:rsidRPr="00E70155">
        <w:rPr>
          <w:rFonts w:ascii="Arial" w:hAnsi="Arial" w:cs="Arial"/>
        </w:rPr>
        <w:t xml:space="preserve"> NLLP 2013 (7) 251 LCN, paragraphs 4-8</w:t>
      </w:r>
    </w:p>
  </w:footnote>
  <w:footnote w:id="15">
    <w:p w:rsidR="002B6A91" w:rsidRPr="00613E16" w:rsidRDefault="002B6A91" w:rsidP="00613E16">
      <w:pPr>
        <w:pStyle w:val="FootnoteText"/>
        <w:ind w:left="709" w:hanging="709"/>
        <w:rPr>
          <w:lang w:val="en-ZA"/>
        </w:rPr>
      </w:pPr>
      <w:r>
        <w:rPr>
          <w:rStyle w:val="FootnoteReference"/>
        </w:rPr>
        <w:footnoteRef/>
      </w:r>
      <w:r>
        <w:t xml:space="preserve"> </w:t>
      </w:r>
      <w:r>
        <w:rPr>
          <w:lang w:val="en-ZA"/>
        </w:rPr>
        <w:tab/>
      </w:r>
      <w:r w:rsidRPr="00613E16">
        <w:rPr>
          <w:rFonts w:ascii="Arial" w:hAnsi="Arial" w:cs="Arial"/>
          <w:i/>
        </w:rPr>
        <w:t xml:space="preserve">Rosh </w:t>
      </w:r>
      <w:proofErr w:type="spellStart"/>
      <w:r w:rsidRPr="00613E16">
        <w:rPr>
          <w:rFonts w:ascii="Arial" w:hAnsi="Arial" w:cs="Arial"/>
          <w:i/>
        </w:rPr>
        <w:t>Pinah</w:t>
      </w:r>
      <w:proofErr w:type="spellEnd"/>
      <w:r w:rsidRPr="00613E16">
        <w:rPr>
          <w:rFonts w:ascii="Arial" w:hAnsi="Arial" w:cs="Arial"/>
          <w:i/>
        </w:rPr>
        <w:t xml:space="preserve"> Corporation (Pty) Ltd v </w:t>
      </w:r>
      <w:proofErr w:type="spellStart"/>
      <w:r w:rsidRPr="00613E16">
        <w:rPr>
          <w:rFonts w:ascii="Arial" w:hAnsi="Arial" w:cs="Arial"/>
          <w:i/>
        </w:rPr>
        <w:t>Dirkse</w:t>
      </w:r>
      <w:proofErr w:type="spellEnd"/>
      <w:r w:rsidRPr="00613E16">
        <w:rPr>
          <w:rFonts w:ascii="Arial" w:hAnsi="Arial" w:cs="Arial"/>
        </w:rPr>
        <w:t xml:space="preserve"> (LC 13/2012 [2015</w:t>
      </w:r>
      <w:r>
        <w:rPr>
          <w:rFonts w:ascii="Arial" w:hAnsi="Arial" w:cs="Arial"/>
        </w:rPr>
        <w:t>] NALCMD (13 March</w:t>
      </w:r>
      <w:r w:rsidRPr="00613E16">
        <w:rPr>
          <w:rFonts w:ascii="Arial" w:hAnsi="Arial" w:cs="Arial"/>
        </w:rPr>
        <w:t xml:space="preserve"> 2015)</w:t>
      </w:r>
      <w:r>
        <w:rPr>
          <w:rFonts w:ascii="Arial" w:hAnsi="Arial" w:cs="Arial"/>
        </w:rPr>
        <w:t>, [in the headnote]</w:t>
      </w:r>
    </w:p>
  </w:footnote>
  <w:footnote w:id="16">
    <w:p w:rsidR="002B6A91" w:rsidRPr="000C2B08" w:rsidRDefault="002B6A91" w:rsidP="00885B41">
      <w:pPr>
        <w:pStyle w:val="FootnoteText"/>
        <w:ind w:left="709" w:hanging="709"/>
        <w:rPr>
          <w:lang w:val="en-ZA"/>
        </w:rPr>
      </w:pPr>
      <w:r>
        <w:rPr>
          <w:rStyle w:val="FootnoteReference"/>
        </w:rPr>
        <w:footnoteRef/>
      </w:r>
      <w:r>
        <w:t xml:space="preserve"> </w:t>
      </w:r>
      <w:r>
        <w:rPr>
          <w:lang w:val="en-ZA"/>
        </w:rPr>
        <w:tab/>
      </w:r>
      <w:r w:rsidRPr="000C2B08">
        <w:rPr>
          <w:rFonts w:ascii="Arial" w:hAnsi="Arial" w:cs="Arial"/>
          <w:i/>
        </w:rPr>
        <w:t>Southern Sun Hotels Interests (Pty) Ltd v CCMA and Others</w:t>
      </w:r>
      <w:r w:rsidRPr="000C2B08">
        <w:rPr>
          <w:rFonts w:ascii="Arial" w:hAnsi="Arial" w:cs="Arial"/>
        </w:rPr>
        <w:t xml:space="preserve"> [2009] 11 BLLR 1128 (LC) [at para 10]</w:t>
      </w:r>
    </w:p>
  </w:footnote>
  <w:footnote w:id="17">
    <w:p w:rsidR="002B6A91" w:rsidRPr="00B705F8" w:rsidRDefault="002B6A91" w:rsidP="0091372A">
      <w:pPr>
        <w:pStyle w:val="FootnoteText"/>
        <w:rPr>
          <w:rFonts w:ascii="Arial" w:hAnsi="Arial" w:cs="Arial"/>
          <w:lang w:val="en-ZA"/>
        </w:rPr>
      </w:pPr>
      <w:r>
        <w:rPr>
          <w:rStyle w:val="FootnoteReference"/>
        </w:rPr>
        <w:footnoteRef/>
      </w:r>
      <w:r>
        <w:t xml:space="preserve"> </w:t>
      </w:r>
      <w:r>
        <w:rPr>
          <w:lang w:val="en-ZA"/>
        </w:rPr>
        <w:tab/>
      </w:r>
      <w:r w:rsidRPr="00B705F8">
        <w:rPr>
          <w:rFonts w:ascii="Arial" w:hAnsi="Arial" w:cs="Arial"/>
          <w:lang w:val="en-ZA"/>
        </w:rPr>
        <w:t>Page 884 of the Record</w:t>
      </w:r>
    </w:p>
  </w:footnote>
  <w:footnote w:id="18">
    <w:p w:rsidR="002B6A91" w:rsidRPr="00B705F8" w:rsidRDefault="002B6A91" w:rsidP="00B705F8">
      <w:pPr>
        <w:pStyle w:val="FootnoteText"/>
        <w:ind w:left="709" w:hanging="709"/>
        <w:rPr>
          <w:rFonts w:ascii="Arial" w:hAnsi="Arial" w:cs="Arial"/>
          <w:lang w:val="en-ZA"/>
        </w:rPr>
      </w:pPr>
      <w:r w:rsidRPr="00B705F8">
        <w:rPr>
          <w:rStyle w:val="FootnoteReference"/>
          <w:rFonts w:ascii="Arial" w:hAnsi="Arial" w:cs="Arial"/>
        </w:rPr>
        <w:footnoteRef/>
      </w:r>
      <w:r w:rsidRPr="00B705F8">
        <w:rPr>
          <w:rFonts w:ascii="Arial" w:hAnsi="Arial" w:cs="Arial"/>
        </w:rPr>
        <w:t xml:space="preserve"> </w:t>
      </w:r>
      <w:r w:rsidRPr="00B705F8">
        <w:rPr>
          <w:rFonts w:ascii="Arial" w:hAnsi="Arial" w:cs="Arial"/>
          <w:lang w:val="en-ZA"/>
        </w:rPr>
        <w:tab/>
      </w:r>
      <w:proofErr w:type="spellStart"/>
      <w:r w:rsidRPr="00B705F8">
        <w:rPr>
          <w:rFonts w:ascii="Arial" w:hAnsi="Arial" w:cs="Arial"/>
          <w:i/>
          <w:lang w:val="en-ZA"/>
        </w:rPr>
        <w:t>Betha</w:t>
      </w:r>
      <w:proofErr w:type="spellEnd"/>
      <w:r w:rsidRPr="00B705F8">
        <w:rPr>
          <w:rFonts w:ascii="Arial" w:hAnsi="Arial" w:cs="Arial"/>
          <w:i/>
          <w:lang w:val="en-ZA"/>
        </w:rPr>
        <w:t xml:space="preserve"> and </w:t>
      </w:r>
      <w:proofErr w:type="gramStart"/>
      <w:r w:rsidRPr="00B705F8">
        <w:rPr>
          <w:rFonts w:ascii="Arial" w:hAnsi="Arial" w:cs="Arial"/>
          <w:i/>
          <w:lang w:val="en-ZA"/>
        </w:rPr>
        <w:t>Others</w:t>
      </w:r>
      <w:proofErr w:type="gramEnd"/>
      <w:r w:rsidRPr="00B705F8">
        <w:rPr>
          <w:rFonts w:ascii="Arial" w:hAnsi="Arial" w:cs="Arial"/>
          <w:i/>
          <w:lang w:val="en-ZA"/>
        </w:rPr>
        <w:t xml:space="preserve"> v BTR </w:t>
      </w:r>
      <w:proofErr w:type="spellStart"/>
      <w:r w:rsidRPr="00B705F8">
        <w:rPr>
          <w:rFonts w:ascii="Arial" w:hAnsi="Arial" w:cs="Arial"/>
          <w:i/>
          <w:lang w:val="en-ZA"/>
        </w:rPr>
        <w:t>Sarmcor</w:t>
      </w:r>
      <w:proofErr w:type="spellEnd"/>
      <w:r w:rsidRPr="00B705F8">
        <w:rPr>
          <w:rFonts w:ascii="Arial" w:hAnsi="Arial" w:cs="Arial"/>
          <w:lang w:val="en-ZA"/>
        </w:rPr>
        <w:t xml:space="preserve"> 1998 (3) SA 349. Confirmed in </w:t>
      </w:r>
      <w:r w:rsidRPr="00B705F8">
        <w:rPr>
          <w:rFonts w:ascii="Arial" w:hAnsi="Arial" w:cs="Arial"/>
          <w:i/>
          <w:lang w:val="en-ZA"/>
        </w:rPr>
        <w:t>Namibia Power Corporation (Pty) Ltd v Geral</w:t>
      </w:r>
      <w:r w:rsidRPr="00B705F8">
        <w:rPr>
          <w:rFonts w:ascii="Arial" w:hAnsi="Arial" w:cs="Arial"/>
          <w:lang w:val="en-ZA"/>
        </w:rPr>
        <w:t>d 38/2008 [22 March 2014]</w:t>
      </w:r>
    </w:p>
  </w:footnote>
  <w:footnote w:id="19">
    <w:p w:rsidR="002B6A91" w:rsidRPr="00B705F8" w:rsidRDefault="002B6A91">
      <w:pPr>
        <w:pStyle w:val="FootnoteText"/>
        <w:rPr>
          <w:rFonts w:ascii="Arial" w:hAnsi="Arial" w:cs="Arial"/>
          <w:lang w:val="en-ZA"/>
        </w:rPr>
      </w:pPr>
      <w:r w:rsidRPr="00B705F8">
        <w:rPr>
          <w:rStyle w:val="FootnoteReference"/>
          <w:rFonts w:ascii="Arial" w:hAnsi="Arial" w:cs="Arial"/>
        </w:rPr>
        <w:footnoteRef/>
      </w:r>
      <w:r w:rsidRPr="00B705F8">
        <w:rPr>
          <w:rFonts w:ascii="Arial" w:hAnsi="Arial" w:cs="Arial"/>
        </w:rPr>
        <w:t xml:space="preserve"> </w:t>
      </w:r>
      <w:r w:rsidRPr="00B705F8">
        <w:rPr>
          <w:rFonts w:ascii="Arial" w:hAnsi="Arial" w:cs="Arial"/>
          <w:lang w:val="en-ZA"/>
        </w:rPr>
        <w:tab/>
        <w:t>Pages 125, 130, 182, 197, 229, 272,273 of the Record</w:t>
      </w:r>
    </w:p>
  </w:footnote>
  <w:footnote w:id="20">
    <w:p w:rsidR="002B6A91" w:rsidRPr="00B705F8" w:rsidRDefault="002B6A91">
      <w:pPr>
        <w:pStyle w:val="FootnoteText"/>
        <w:rPr>
          <w:rFonts w:ascii="Arial" w:hAnsi="Arial" w:cs="Arial"/>
          <w:lang w:val="en-ZA"/>
        </w:rPr>
      </w:pPr>
      <w:r w:rsidRPr="00B705F8">
        <w:rPr>
          <w:rStyle w:val="FootnoteReference"/>
          <w:rFonts w:ascii="Arial" w:hAnsi="Arial" w:cs="Arial"/>
        </w:rPr>
        <w:footnoteRef/>
      </w:r>
      <w:r w:rsidRPr="00B705F8">
        <w:rPr>
          <w:rFonts w:ascii="Arial" w:hAnsi="Arial" w:cs="Arial"/>
        </w:rPr>
        <w:t xml:space="preserve"> </w:t>
      </w:r>
      <w:r w:rsidRPr="00B705F8">
        <w:rPr>
          <w:rFonts w:ascii="Arial" w:hAnsi="Arial" w:cs="Arial"/>
          <w:lang w:val="en-ZA"/>
        </w:rPr>
        <w:tab/>
        <w:t>Page 273 of the Record</w:t>
      </w:r>
    </w:p>
  </w:footnote>
  <w:footnote w:id="21">
    <w:p w:rsidR="002B6A91" w:rsidRPr="00B705F8" w:rsidRDefault="002B6A91">
      <w:pPr>
        <w:pStyle w:val="FootnoteText"/>
        <w:rPr>
          <w:rFonts w:ascii="Arial" w:hAnsi="Arial" w:cs="Arial"/>
          <w:lang w:val="en-ZA"/>
        </w:rPr>
      </w:pPr>
      <w:r w:rsidRPr="00B705F8">
        <w:rPr>
          <w:rStyle w:val="FootnoteReference"/>
          <w:rFonts w:ascii="Arial" w:hAnsi="Arial" w:cs="Arial"/>
        </w:rPr>
        <w:footnoteRef/>
      </w:r>
      <w:r w:rsidRPr="00B705F8">
        <w:rPr>
          <w:rFonts w:ascii="Arial" w:hAnsi="Arial" w:cs="Arial"/>
        </w:rPr>
        <w:t xml:space="preserve"> </w:t>
      </w:r>
      <w:r w:rsidRPr="00B705F8">
        <w:rPr>
          <w:rFonts w:ascii="Arial" w:hAnsi="Arial" w:cs="Arial"/>
          <w:lang w:val="en-ZA"/>
        </w:rPr>
        <w:tab/>
        <w:t>Page 229 of the Record</w:t>
      </w:r>
    </w:p>
  </w:footnote>
  <w:footnote w:id="22">
    <w:p w:rsidR="002B6A91" w:rsidRPr="007C6A72" w:rsidRDefault="002B6A91" w:rsidP="007C6A72">
      <w:pPr>
        <w:pStyle w:val="FootnoteText"/>
        <w:rPr>
          <w:lang w:val="en-ZA"/>
        </w:rPr>
      </w:pPr>
      <w:r>
        <w:rPr>
          <w:rStyle w:val="FootnoteReference"/>
        </w:rPr>
        <w:footnoteRef/>
      </w:r>
      <w:r>
        <w:t xml:space="preserve"> </w:t>
      </w:r>
      <w:r w:rsidR="0072313D">
        <w:rPr>
          <w:lang w:val="en-ZA"/>
        </w:rPr>
        <w:tab/>
        <w:t>Page 199 of the record</w:t>
      </w:r>
    </w:p>
  </w:footnote>
  <w:footnote w:id="23">
    <w:p w:rsidR="0027326C" w:rsidRPr="00E85FA0" w:rsidRDefault="0027326C" w:rsidP="0027326C">
      <w:pPr>
        <w:pStyle w:val="FootnoteText"/>
        <w:rPr>
          <w:lang w:val="en-ZA"/>
        </w:rPr>
      </w:pPr>
      <w:r>
        <w:rPr>
          <w:rStyle w:val="FootnoteReference"/>
        </w:rPr>
        <w:footnoteRef/>
      </w:r>
      <w:r>
        <w:t xml:space="preserve"> </w:t>
      </w:r>
      <w:r>
        <w:rPr>
          <w:lang w:val="en-ZA"/>
        </w:rPr>
        <w:tab/>
        <w:t>Page 884 of the Record, paragraphs 109 and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51351"/>
      <w:docPartObj>
        <w:docPartGallery w:val="Page Numbers (Top of Page)"/>
        <w:docPartUnique/>
      </w:docPartObj>
    </w:sdtPr>
    <w:sdtEndPr>
      <w:rPr>
        <w:noProof/>
      </w:rPr>
    </w:sdtEndPr>
    <w:sdtContent>
      <w:p w:rsidR="002B6A91" w:rsidRDefault="008845DC">
        <w:pPr>
          <w:pStyle w:val="Header"/>
          <w:jc w:val="right"/>
        </w:pPr>
        <w:r>
          <w:fldChar w:fldCharType="begin"/>
        </w:r>
        <w:r>
          <w:instrText xml:space="preserve"> PAGE   \* MERGEFORMAT </w:instrText>
        </w:r>
        <w:r>
          <w:fldChar w:fldCharType="separate"/>
        </w:r>
        <w:r w:rsidR="00BA5153">
          <w:rPr>
            <w:noProof/>
          </w:rPr>
          <w:t>2</w:t>
        </w:r>
        <w:r>
          <w:rPr>
            <w:noProof/>
          </w:rPr>
          <w:fldChar w:fldCharType="end"/>
        </w:r>
      </w:p>
    </w:sdtContent>
  </w:sdt>
  <w:p w:rsidR="002B6A91" w:rsidRDefault="002B6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9C6"/>
    <w:multiLevelType w:val="hybridMultilevel"/>
    <w:tmpl w:val="7BFE58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A6A5E54"/>
    <w:multiLevelType w:val="hybridMultilevel"/>
    <w:tmpl w:val="58E47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00DFD"/>
    <w:multiLevelType w:val="hybridMultilevel"/>
    <w:tmpl w:val="E1924750"/>
    <w:lvl w:ilvl="0" w:tplc="B9BE31F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2BD13573"/>
    <w:multiLevelType w:val="multilevel"/>
    <w:tmpl w:val="9BEE8F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14D30CA"/>
    <w:multiLevelType w:val="hybridMultilevel"/>
    <w:tmpl w:val="7F508E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73C0F4C"/>
    <w:multiLevelType w:val="hybridMultilevel"/>
    <w:tmpl w:val="7F508E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A5E28B2"/>
    <w:multiLevelType w:val="hybridMultilevel"/>
    <w:tmpl w:val="21A63E66"/>
    <w:lvl w:ilvl="0" w:tplc="62BAF4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9"/>
    <w:rsid w:val="000005EF"/>
    <w:rsid w:val="00000A1D"/>
    <w:rsid w:val="00001255"/>
    <w:rsid w:val="0000160F"/>
    <w:rsid w:val="00001A4F"/>
    <w:rsid w:val="00003AC9"/>
    <w:rsid w:val="0002039D"/>
    <w:rsid w:val="0002277A"/>
    <w:rsid w:val="00024E48"/>
    <w:rsid w:val="0003729C"/>
    <w:rsid w:val="00043DD5"/>
    <w:rsid w:val="000469FE"/>
    <w:rsid w:val="000653E9"/>
    <w:rsid w:val="00066D5F"/>
    <w:rsid w:val="00075264"/>
    <w:rsid w:val="00082A0E"/>
    <w:rsid w:val="0008309C"/>
    <w:rsid w:val="000948AB"/>
    <w:rsid w:val="000952C8"/>
    <w:rsid w:val="00095CEF"/>
    <w:rsid w:val="000A2B7E"/>
    <w:rsid w:val="000A70A9"/>
    <w:rsid w:val="000B3D0F"/>
    <w:rsid w:val="000B77AD"/>
    <w:rsid w:val="000C15A8"/>
    <w:rsid w:val="000C2B08"/>
    <w:rsid w:val="000C677F"/>
    <w:rsid w:val="000C7E1B"/>
    <w:rsid w:val="000D7CCA"/>
    <w:rsid w:val="000F0538"/>
    <w:rsid w:val="000F1F8F"/>
    <w:rsid w:val="000F53F8"/>
    <w:rsid w:val="000F632A"/>
    <w:rsid w:val="001104C9"/>
    <w:rsid w:val="001132A9"/>
    <w:rsid w:val="00116366"/>
    <w:rsid w:val="00120C3B"/>
    <w:rsid w:val="00121856"/>
    <w:rsid w:val="00124876"/>
    <w:rsid w:val="0013588F"/>
    <w:rsid w:val="00144608"/>
    <w:rsid w:val="00147BEC"/>
    <w:rsid w:val="00150098"/>
    <w:rsid w:val="00152077"/>
    <w:rsid w:val="001636E3"/>
    <w:rsid w:val="00164C8A"/>
    <w:rsid w:val="00166DE3"/>
    <w:rsid w:val="00167E7F"/>
    <w:rsid w:val="001701B5"/>
    <w:rsid w:val="001807AC"/>
    <w:rsid w:val="0018313A"/>
    <w:rsid w:val="00184258"/>
    <w:rsid w:val="001A3BA6"/>
    <w:rsid w:val="001A489C"/>
    <w:rsid w:val="001A4DCC"/>
    <w:rsid w:val="001A513B"/>
    <w:rsid w:val="001A7B9E"/>
    <w:rsid w:val="001D2AEA"/>
    <w:rsid w:val="00206473"/>
    <w:rsid w:val="00206844"/>
    <w:rsid w:val="002258EE"/>
    <w:rsid w:val="00235E67"/>
    <w:rsid w:val="00242169"/>
    <w:rsid w:val="00250739"/>
    <w:rsid w:val="00254CB1"/>
    <w:rsid w:val="00255146"/>
    <w:rsid w:val="0025566C"/>
    <w:rsid w:val="002647EC"/>
    <w:rsid w:val="002713EE"/>
    <w:rsid w:val="0027326C"/>
    <w:rsid w:val="00274461"/>
    <w:rsid w:val="002826B5"/>
    <w:rsid w:val="00283323"/>
    <w:rsid w:val="002860C0"/>
    <w:rsid w:val="00287180"/>
    <w:rsid w:val="002933D9"/>
    <w:rsid w:val="00294174"/>
    <w:rsid w:val="00297F46"/>
    <w:rsid w:val="002A000B"/>
    <w:rsid w:val="002A0CFB"/>
    <w:rsid w:val="002A3193"/>
    <w:rsid w:val="002A43D9"/>
    <w:rsid w:val="002B4E5C"/>
    <w:rsid w:val="002B5264"/>
    <w:rsid w:val="002B6A91"/>
    <w:rsid w:val="002B6B33"/>
    <w:rsid w:val="002C3DEF"/>
    <w:rsid w:val="002C5C93"/>
    <w:rsid w:val="002D6638"/>
    <w:rsid w:val="002E1FD6"/>
    <w:rsid w:val="002E6971"/>
    <w:rsid w:val="003009D2"/>
    <w:rsid w:val="00301563"/>
    <w:rsid w:val="003040DB"/>
    <w:rsid w:val="003100D1"/>
    <w:rsid w:val="00313EA7"/>
    <w:rsid w:val="00327D88"/>
    <w:rsid w:val="0033024E"/>
    <w:rsid w:val="00336E8A"/>
    <w:rsid w:val="00341204"/>
    <w:rsid w:val="00342B06"/>
    <w:rsid w:val="00342D75"/>
    <w:rsid w:val="003436DC"/>
    <w:rsid w:val="0034587E"/>
    <w:rsid w:val="00350250"/>
    <w:rsid w:val="0035057D"/>
    <w:rsid w:val="00351B44"/>
    <w:rsid w:val="00361C35"/>
    <w:rsid w:val="00361C59"/>
    <w:rsid w:val="00371B77"/>
    <w:rsid w:val="00372E3C"/>
    <w:rsid w:val="0038016E"/>
    <w:rsid w:val="003A6F74"/>
    <w:rsid w:val="003B3000"/>
    <w:rsid w:val="003B56B2"/>
    <w:rsid w:val="003B76D5"/>
    <w:rsid w:val="003C1215"/>
    <w:rsid w:val="003C6A37"/>
    <w:rsid w:val="003D5437"/>
    <w:rsid w:val="003D5AAE"/>
    <w:rsid w:val="003E28AF"/>
    <w:rsid w:val="003E400E"/>
    <w:rsid w:val="003E7152"/>
    <w:rsid w:val="003F0913"/>
    <w:rsid w:val="003F160D"/>
    <w:rsid w:val="003F1B3F"/>
    <w:rsid w:val="003F7BFE"/>
    <w:rsid w:val="00407D14"/>
    <w:rsid w:val="004104B0"/>
    <w:rsid w:val="00410B7F"/>
    <w:rsid w:val="00430AF5"/>
    <w:rsid w:val="00434D2A"/>
    <w:rsid w:val="00442DAB"/>
    <w:rsid w:val="00445AD4"/>
    <w:rsid w:val="004502A7"/>
    <w:rsid w:val="0045133C"/>
    <w:rsid w:val="00451806"/>
    <w:rsid w:val="00453892"/>
    <w:rsid w:val="0045573D"/>
    <w:rsid w:val="004602F0"/>
    <w:rsid w:val="0047384F"/>
    <w:rsid w:val="00477998"/>
    <w:rsid w:val="004848CE"/>
    <w:rsid w:val="00491655"/>
    <w:rsid w:val="00491E97"/>
    <w:rsid w:val="0049783E"/>
    <w:rsid w:val="004A42BB"/>
    <w:rsid w:val="004B1735"/>
    <w:rsid w:val="004B7D37"/>
    <w:rsid w:val="004C2BB8"/>
    <w:rsid w:val="004C5640"/>
    <w:rsid w:val="004C6B1D"/>
    <w:rsid w:val="004C7275"/>
    <w:rsid w:val="004D154D"/>
    <w:rsid w:val="004D5C33"/>
    <w:rsid w:val="004E1F2C"/>
    <w:rsid w:val="005039A9"/>
    <w:rsid w:val="00517640"/>
    <w:rsid w:val="005210A2"/>
    <w:rsid w:val="00523E61"/>
    <w:rsid w:val="00531E50"/>
    <w:rsid w:val="0053473E"/>
    <w:rsid w:val="005376D4"/>
    <w:rsid w:val="00540487"/>
    <w:rsid w:val="00540908"/>
    <w:rsid w:val="00541956"/>
    <w:rsid w:val="00543796"/>
    <w:rsid w:val="005448AA"/>
    <w:rsid w:val="00561769"/>
    <w:rsid w:val="005720D7"/>
    <w:rsid w:val="00581EB7"/>
    <w:rsid w:val="00582491"/>
    <w:rsid w:val="00584AC5"/>
    <w:rsid w:val="00584EE9"/>
    <w:rsid w:val="00586A39"/>
    <w:rsid w:val="00590E29"/>
    <w:rsid w:val="005A6EA4"/>
    <w:rsid w:val="005A768B"/>
    <w:rsid w:val="005B1E90"/>
    <w:rsid w:val="005B4EA5"/>
    <w:rsid w:val="005C1E78"/>
    <w:rsid w:val="005C3ABF"/>
    <w:rsid w:val="005C7A2B"/>
    <w:rsid w:val="005D2A74"/>
    <w:rsid w:val="005E09DD"/>
    <w:rsid w:val="005E2123"/>
    <w:rsid w:val="00613301"/>
    <w:rsid w:val="00613E16"/>
    <w:rsid w:val="00643A86"/>
    <w:rsid w:val="00644313"/>
    <w:rsid w:val="0064679F"/>
    <w:rsid w:val="00654BC2"/>
    <w:rsid w:val="006626F9"/>
    <w:rsid w:val="00684887"/>
    <w:rsid w:val="00686EF6"/>
    <w:rsid w:val="006879F3"/>
    <w:rsid w:val="006A4231"/>
    <w:rsid w:val="006B3DCE"/>
    <w:rsid w:val="006C3F25"/>
    <w:rsid w:val="006C6672"/>
    <w:rsid w:val="006E22DB"/>
    <w:rsid w:val="006E54D6"/>
    <w:rsid w:val="00700E7F"/>
    <w:rsid w:val="00705A57"/>
    <w:rsid w:val="00707843"/>
    <w:rsid w:val="007172AD"/>
    <w:rsid w:val="00720C27"/>
    <w:rsid w:val="0072313D"/>
    <w:rsid w:val="00733606"/>
    <w:rsid w:val="007351D3"/>
    <w:rsid w:val="0073777B"/>
    <w:rsid w:val="007402C7"/>
    <w:rsid w:val="00740EB4"/>
    <w:rsid w:val="00741687"/>
    <w:rsid w:val="00742073"/>
    <w:rsid w:val="00747A4E"/>
    <w:rsid w:val="00752832"/>
    <w:rsid w:val="00757252"/>
    <w:rsid w:val="007634B8"/>
    <w:rsid w:val="007668AC"/>
    <w:rsid w:val="00770472"/>
    <w:rsid w:val="0077328B"/>
    <w:rsid w:val="00777793"/>
    <w:rsid w:val="007812C8"/>
    <w:rsid w:val="0078282E"/>
    <w:rsid w:val="0079422C"/>
    <w:rsid w:val="007A05AF"/>
    <w:rsid w:val="007A37E3"/>
    <w:rsid w:val="007B0B96"/>
    <w:rsid w:val="007B52B0"/>
    <w:rsid w:val="007C6A72"/>
    <w:rsid w:val="007D170C"/>
    <w:rsid w:val="007E2C2B"/>
    <w:rsid w:val="007F6618"/>
    <w:rsid w:val="0080465C"/>
    <w:rsid w:val="00813336"/>
    <w:rsid w:val="008155A1"/>
    <w:rsid w:val="008166CF"/>
    <w:rsid w:val="00820969"/>
    <w:rsid w:val="008235C4"/>
    <w:rsid w:val="00834FC4"/>
    <w:rsid w:val="00842954"/>
    <w:rsid w:val="00843B87"/>
    <w:rsid w:val="00847151"/>
    <w:rsid w:val="00855A79"/>
    <w:rsid w:val="00856694"/>
    <w:rsid w:val="0086098E"/>
    <w:rsid w:val="008845DC"/>
    <w:rsid w:val="00885B41"/>
    <w:rsid w:val="00893F01"/>
    <w:rsid w:val="00894988"/>
    <w:rsid w:val="008A2B52"/>
    <w:rsid w:val="008B01F6"/>
    <w:rsid w:val="008C14DF"/>
    <w:rsid w:val="008C39BC"/>
    <w:rsid w:val="008C640E"/>
    <w:rsid w:val="008C769A"/>
    <w:rsid w:val="008D56A7"/>
    <w:rsid w:val="008F3626"/>
    <w:rsid w:val="009023C2"/>
    <w:rsid w:val="00906223"/>
    <w:rsid w:val="00911CCF"/>
    <w:rsid w:val="0091372A"/>
    <w:rsid w:val="009154B1"/>
    <w:rsid w:val="00916EDE"/>
    <w:rsid w:val="009205DE"/>
    <w:rsid w:val="00922732"/>
    <w:rsid w:val="00926986"/>
    <w:rsid w:val="00930B4D"/>
    <w:rsid w:val="009315C0"/>
    <w:rsid w:val="00935622"/>
    <w:rsid w:val="00940A21"/>
    <w:rsid w:val="00955807"/>
    <w:rsid w:val="009613E1"/>
    <w:rsid w:val="00966B3B"/>
    <w:rsid w:val="00975DCD"/>
    <w:rsid w:val="00977976"/>
    <w:rsid w:val="00980539"/>
    <w:rsid w:val="00984F74"/>
    <w:rsid w:val="009902ED"/>
    <w:rsid w:val="0099162A"/>
    <w:rsid w:val="0099639E"/>
    <w:rsid w:val="009A63AD"/>
    <w:rsid w:val="009B7B67"/>
    <w:rsid w:val="009C011B"/>
    <w:rsid w:val="009D066E"/>
    <w:rsid w:val="009D0701"/>
    <w:rsid w:val="009D2731"/>
    <w:rsid w:val="009D79AB"/>
    <w:rsid w:val="009E38BA"/>
    <w:rsid w:val="009E51E0"/>
    <w:rsid w:val="009F0E6C"/>
    <w:rsid w:val="009F199D"/>
    <w:rsid w:val="009F2E43"/>
    <w:rsid w:val="009F3806"/>
    <w:rsid w:val="009F3D7A"/>
    <w:rsid w:val="00A02107"/>
    <w:rsid w:val="00A05A40"/>
    <w:rsid w:val="00A2132D"/>
    <w:rsid w:val="00A34F7A"/>
    <w:rsid w:val="00A3519A"/>
    <w:rsid w:val="00A41D01"/>
    <w:rsid w:val="00A41F3D"/>
    <w:rsid w:val="00A43890"/>
    <w:rsid w:val="00A520D0"/>
    <w:rsid w:val="00A67550"/>
    <w:rsid w:val="00A75E50"/>
    <w:rsid w:val="00A77D19"/>
    <w:rsid w:val="00A80591"/>
    <w:rsid w:val="00A9752D"/>
    <w:rsid w:val="00AA3D32"/>
    <w:rsid w:val="00AB2560"/>
    <w:rsid w:val="00AB5B8A"/>
    <w:rsid w:val="00AC6E0E"/>
    <w:rsid w:val="00B01F49"/>
    <w:rsid w:val="00B0231E"/>
    <w:rsid w:val="00B1440C"/>
    <w:rsid w:val="00B21F8F"/>
    <w:rsid w:val="00B27C56"/>
    <w:rsid w:val="00B45159"/>
    <w:rsid w:val="00B47DA8"/>
    <w:rsid w:val="00B63833"/>
    <w:rsid w:val="00B705F8"/>
    <w:rsid w:val="00B719CC"/>
    <w:rsid w:val="00B77B5B"/>
    <w:rsid w:val="00B90EEF"/>
    <w:rsid w:val="00B93FC9"/>
    <w:rsid w:val="00B94D93"/>
    <w:rsid w:val="00BA5153"/>
    <w:rsid w:val="00BB302B"/>
    <w:rsid w:val="00BC61BF"/>
    <w:rsid w:val="00BD3B22"/>
    <w:rsid w:val="00BD5546"/>
    <w:rsid w:val="00BE1A43"/>
    <w:rsid w:val="00BE3562"/>
    <w:rsid w:val="00BE469F"/>
    <w:rsid w:val="00BE5E9A"/>
    <w:rsid w:val="00BF04A5"/>
    <w:rsid w:val="00BF2DBE"/>
    <w:rsid w:val="00C04FAF"/>
    <w:rsid w:val="00C07A5D"/>
    <w:rsid w:val="00C144D6"/>
    <w:rsid w:val="00C1487D"/>
    <w:rsid w:val="00C171AD"/>
    <w:rsid w:val="00C74FAE"/>
    <w:rsid w:val="00C779E6"/>
    <w:rsid w:val="00C802E5"/>
    <w:rsid w:val="00C82961"/>
    <w:rsid w:val="00C844C1"/>
    <w:rsid w:val="00C91BF8"/>
    <w:rsid w:val="00C96434"/>
    <w:rsid w:val="00CA250A"/>
    <w:rsid w:val="00CA49D8"/>
    <w:rsid w:val="00CA76FA"/>
    <w:rsid w:val="00CB4053"/>
    <w:rsid w:val="00CB6515"/>
    <w:rsid w:val="00CC4BE4"/>
    <w:rsid w:val="00CC6ACA"/>
    <w:rsid w:val="00CC7557"/>
    <w:rsid w:val="00CD1CBB"/>
    <w:rsid w:val="00CE392A"/>
    <w:rsid w:val="00D02294"/>
    <w:rsid w:val="00D0542C"/>
    <w:rsid w:val="00D14AE6"/>
    <w:rsid w:val="00D151C7"/>
    <w:rsid w:val="00D27BB7"/>
    <w:rsid w:val="00D31CAE"/>
    <w:rsid w:val="00D4113E"/>
    <w:rsid w:val="00D412DC"/>
    <w:rsid w:val="00D45A58"/>
    <w:rsid w:val="00D5677E"/>
    <w:rsid w:val="00D60C08"/>
    <w:rsid w:val="00D61AB9"/>
    <w:rsid w:val="00D625F6"/>
    <w:rsid w:val="00D70B57"/>
    <w:rsid w:val="00D751A6"/>
    <w:rsid w:val="00D82F3D"/>
    <w:rsid w:val="00D86464"/>
    <w:rsid w:val="00D92CBC"/>
    <w:rsid w:val="00DC7894"/>
    <w:rsid w:val="00DD0934"/>
    <w:rsid w:val="00DD62A8"/>
    <w:rsid w:val="00DE7EB2"/>
    <w:rsid w:val="00DF0EEB"/>
    <w:rsid w:val="00DF3AB7"/>
    <w:rsid w:val="00E07A0F"/>
    <w:rsid w:val="00E07E8B"/>
    <w:rsid w:val="00E13983"/>
    <w:rsid w:val="00E210A1"/>
    <w:rsid w:val="00E21AA2"/>
    <w:rsid w:val="00E334DD"/>
    <w:rsid w:val="00E45EDF"/>
    <w:rsid w:val="00E5460F"/>
    <w:rsid w:val="00E55A64"/>
    <w:rsid w:val="00E61E4D"/>
    <w:rsid w:val="00E62734"/>
    <w:rsid w:val="00E6440C"/>
    <w:rsid w:val="00E64506"/>
    <w:rsid w:val="00E70155"/>
    <w:rsid w:val="00E724ED"/>
    <w:rsid w:val="00E77EAD"/>
    <w:rsid w:val="00E8026A"/>
    <w:rsid w:val="00E833DB"/>
    <w:rsid w:val="00E85FA0"/>
    <w:rsid w:val="00EA18C8"/>
    <w:rsid w:val="00EA6C20"/>
    <w:rsid w:val="00EB3703"/>
    <w:rsid w:val="00EB6736"/>
    <w:rsid w:val="00EC3B9B"/>
    <w:rsid w:val="00EC4FEE"/>
    <w:rsid w:val="00EC74C6"/>
    <w:rsid w:val="00ED028B"/>
    <w:rsid w:val="00ED1964"/>
    <w:rsid w:val="00ED2F26"/>
    <w:rsid w:val="00EE7A53"/>
    <w:rsid w:val="00EF3E35"/>
    <w:rsid w:val="00F069F9"/>
    <w:rsid w:val="00F07B23"/>
    <w:rsid w:val="00F13132"/>
    <w:rsid w:val="00F155BC"/>
    <w:rsid w:val="00F3083C"/>
    <w:rsid w:val="00F329B6"/>
    <w:rsid w:val="00F450A5"/>
    <w:rsid w:val="00F5476E"/>
    <w:rsid w:val="00F6195E"/>
    <w:rsid w:val="00F72B35"/>
    <w:rsid w:val="00F86F01"/>
    <w:rsid w:val="00F90803"/>
    <w:rsid w:val="00F920E9"/>
    <w:rsid w:val="00F967A4"/>
    <w:rsid w:val="00FA06D9"/>
    <w:rsid w:val="00FA1541"/>
    <w:rsid w:val="00FA2255"/>
    <w:rsid w:val="00FA2ABC"/>
    <w:rsid w:val="00FA309A"/>
    <w:rsid w:val="00FA789E"/>
    <w:rsid w:val="00FB2E77"/>
    <w:rsid w:val="00FC05C4"/>
    <w:rsid w:val="00FC6E31"/>
    <w:rsid w:val="00FD4BCD"/>
    <w:rsid w:val="00FF07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79"/>
  </w:style>
  <w:style w:type="paragraph" w:styleId="Heading2">
    <w:name w:val="heading 2"/>
    <w:basedOn w:val="Normal"/>
    <w:link w:val="Heading2Char"/>
    <w:uiPriority w:val="9"/>
    <w:qFormat/>
    <w:rsid w:val="00350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D3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30AF5"/>
    <w:rPr>
      <w:sz w:val="16"/>
      <w:szCs w:val="16"/>
    </w:rPr>
  </w:style>
  <w:style w:type="paragraph" w:styleId="CommentText">
    <w:name w:val="annotation text"/>
    <w:basedOn w:val="Normal"/>
    <w:link w:val="CommentTextChar"/>
    <w:uiPriority w:val="99"/>
    <w:semiHidden/>
    <w:unhideWhenUsed/>
    <w:rsid w:val="00430AF5"/>
    <w:pPr>
      <w:spacing w:line="240" w:lineRule="auto"/>
    </w:pPr>
    <w:rPr>
      <w:sz w:val="20"/>
      <w:szCs w:val="20"/>
    </w:rPr>
  </w:style>
  <w:style w:type="character" w:customStyle="1" w:styleId="CommentTextChar">
    <w:name w:val="Comment Text Char"/>
    <w:basedOn w:val="DefaultParagraphFont"/>
    <w:link w:val="CommentText"/>
    <w:uiPriority w:val="99"/>
    <w:semiHidden/>
    <w:rsid w:val="00430AF5"/>
    <w:rPr>
      <w:sz w:val="20"/>
      <w:szCs w:val="20"/>
    </w:rPr>
  </w:style>
  <w:style w:type="paragraph" w:styleId="CommentSubject">
    <w:name w:val="annotation subject"/>
    <w:basedOn w:val="CommentText"/>
    <w:next w:val="CommentText"/>
    <w:link w:val="CommentSubjectChar"/>
    <w:uiPriority w:val="99"/>
    <w:semiHidden/>
    <w:unhideWhenUsed/>
    <w:rsid w:val="00430AF5"/>
    <w:rPr>
      <w:b/>
      <w:bCs/>
    </w:rPr>
  </w:style>
  <w:style w:type="character" w:customStyle="1" w:styleId="CommentSubjectChar">
    <w:name w:val="Comment Subject Char"/>
    <w:basedOn w:val="CommentTextChar"/>
    <w:link w:val="CommentSubject"/>
    <w:uiPriority w:val="99"/>
    <w:semiHidden/>
    <w:rsid w:val="00430AF5"/>
    <w:rPr>
      <w:b/>
      <w:bCs/>
      <w:sz w:val="20"/>
      <w:szCs w:val="20"/>
    </w:rPr>
  </w:style>
  <w:style w:type="paragraph" w:styleId="BalloonText">
    <w:name w:val="Balloon Text"/>
    <w:basedOn w:val="Normal"/>
    <w:link w:val="BalloonTextChar"/>
    <w:uiPriority w:val="99"/>
    <w:semiHidden/>
    <w:unhideWhenUsed/>
    <w:rsid w:val="00430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5"/>
    <w:rPr>
      <w:rFonts w:ascii="Segoe UI" w:hAnsi="Segoe UI" w:cs="Segoe UI"/>
      <w:sz w:val="18"/>
      <w:szCs w:val="18"/>
    </w:rPr>
  </w:style>
  <w:style w:type="paragraph" w:styleId="FootnoteText">
    <w:name w:val="footnote text"/>
    <w:basedOn w:val="Normal"/>
    <w:link w:val="FootnoteTextChar"/>
    <w:uiPriority w:val="99"/>
    <w:unhideWhenUsed/>
    <w:rsid w:val="00430AF5"/>
    <w:pPr>
      <w:spacing w:after="0" w:line="240" w:lineRule="auto"/>
    </w:pPr>
    <w:rPr>
      <w:sz w:val="20"/>
      <w:szCs w:val="20"/>
    </w:rPr>
  </w:style>
  <w:style w:type="character" w:customStyle="1" w:styleId="FootnoteTextChar">
    <w:name w:val="Footnote Text Char"/>
    <w:basedOn w:val="DefaultParagraphFont"/>
    <w:link w:val="FootnoteText"/>
    <w:uiPriority w:val="99"/>
    <w:rsid w:val="00430AF5"/>
    <w:rPr>
      <w:sz w:val="20"/>
      <w:szCs w:val="20"/>
    </w:rPr>
  </w:style>
  <w:style w:type="character" w:styleId="FootnoteReference">
    <w:name w:val="footnote reference"/>
    <w:basedOn w:val="DefaultParagraphFont"/>
    <w:uiPriority w:val="99"/>
    <w:unhideWhenUsed/>
    <w:rsid w:val="00430AF5"/>
    <w:rPr>
      <w:vertAlign w:val="superscript"/>
    </w:rPr>
  </w:style>
  <w:style w:type="paragraph" w:styleId="ListParagraph">
    <w:name w:val="List Paragraph"/>
    <w:basedOn w:val="Normal"/>
    <w:uiPriority w:val="34"/>
    <w:qFormat/>
    <w:rsid w:val="0035057D"/>
    <w:pPr>
      <w:spacing w:after="200" w:line="276" w:lineRule="auto"/>
      <w:ind w:left="720"/>
    </w:pPr>
    <w:rPr>
      <w:rFonts w:ascii="Calibri" w:eastAsia="Times New Roman" w:hAnsi="Calibri" w:cs="Times New Roman"/>
      <w:lang w:val="en-ZW"/>
    </w:rPr>
  </w:style>
  <w:style w:type="character" w:customStyle="1" w:styleId="Heading2Char">
    <w:name w:val="Heading 2 Char"/>
    <w:basedOn w:val="DefaultParagraphFont"/>
    <w:link w:val="Heading2"/>
    <w:uiPriority w:val="9"/>
    <w:rsid w:val="0035057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6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C8A"/>
  </w:style>
  <w:style w:type="paragraph" w:styleId="Footer">
    <w:name w:val="footer"/>
    <w:basedOn w:val="Normal"/>
    <w:link w:val="FooterChar"/>
    <w:uiPriority w:val="99"/>
    <w:unhideWhenUsed/>
    <w:rsid w:val="00C17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79"/>
  </w:style>
  <w:style w:type="paragraph" w:styleId="Heading2">
    <w:name w:val="heading 2"/>
    <w:basedOn w:val="Normal"/>
    <w:link w:val="Heading2Char"/>
    <w:uiPriority w:val="9"/>
    <w:qFormat/>
    <w:rsid w:val="00350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D3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30AF5"/>
    <w:rPr>
      <w:sz w:val="16"/>
      <w:szCs w:val="16"/>
    </w:rPr>
  </w:style>
  <w:style w:type="paragraph" w:styleId="CommentText">
    <w:name w:val="annotation text"/>
    <w:basedOn w:val="Normal"/>
    <w:link w:val="CommentTextChar"/>
    <w:uiPriority w:val="99"/>
    <w:semiHidden/>
    <w:unhideWhenUsed/>
    <w:rsid w:val="00430AF5"/>
    <w:pPr>
      <w:spacing w:line="240" w:lineRule="auto"/>
    </w:pPr>
    <w:rPr>
      <w:sz w:val="20"/>
      <w:szCs w:val="20"/>
    </w:rPr>
  </w:style>
  <w:style w:type="character" w:customStyle="1" w:styleId="CommentTextChar">
    <w:name w:val="Comment Text Char"/>
    <w:basedOn w:val="DefaultParagraphFont"/>
    <w:link w:val="CommentText"/>
    <w:uiPriority w:val="99"/>
    <w:semiHidden/>
    <w:rsid w:val="00430AF5"/>
    <w:rPr>
      <w:sz w:val="20"/>
      <w:szCs w:val="20"/>
    </w:rPr>
  </w:style>
  <w:style w:type="paragraph" w:styleId="CommentSubject">
    <w:name w:val="annotation subject"/>
    <w:basedOn w:val="CommentText"/>
    <w:next w:val="CommentText"/>
    <w:link w:val="CommentSubjectChar"/>
    <w:uiPriority w:val="99"/>
    <w:semiHidden/>
    <w:unhideWhenUsed/>
    <w:rsid w:val="00430AF5"/>
    <w:rPr>
      <w:b/>
      <w:bCs/>
    </w:rPr>
  </w:style>
  <w:style w:type="character" w:customStyle="1" w:styleId="CommentSubjectChar">
    <w:name w:val="Comment Subject Char"/>
    <w:basedOn w:val="CommentTextChar"/>
    <w:link w:val="CommentSubject"/>
    <w:uiPriority w:val="99"/>
    <w:semiHidden/>
    <w:rsid w:val="00430AF5"/>
    <w:rPr>
      <w:b/>
      <w:bCs/>
      <w:sz w:val="20"/>
      <w:szCs w:val="20"/>
    </w:rPr>
  </w:style>
  <w:style w:type="paragraph" w:styleId="BalloonText">
    <w:name w:val="Balloon Text"/>
    <w:basedOn w:val="Normal"/>
    <w:link w:val="BalloonTextChar"/>
    <w:uiPriority w:val="99"/>
    <w:semiHidden/>
    <w:unhideWhenUsed/>
    <w:rsid w:val="00430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5"/>
    <w:rPr>
      <w:rFonts w:ascii="Segoe UI" w:hAnsi="Segoe UI" w:cs="Segoe UI"/>
      <w:sz w:val="18"/>
      <w:szCs w:val="18"/>
    </w:rPr>
  </w:style>
  <w:style w:type="paragraph" w:styleId="FootnoteText">
    <w:name w:val="footnote text"/>
    <w:basedOn w:val="Normal"/>
    <w:link w:val="FootnoteTextChar"/>
    <w:uiPriority w:val="99"/>
    <w:unhideWhenUsed/>
    <w:rsid w:val="00430AF5"/>
    <w:pPr>
      <w:spacing w:after="0" w:line="240" w:lineRule="auto"/>
    </w:pPr>
    <w:rPr>
      <w:sz w:val="20"/>
      <w:szCs w:val="20"/>
    </w:rPr>
  </w:style>
  <w:style w:type="character" w:customStyle="1" w:styleId="FootnoteTextChar">
    <w:name w:val="Footnote Text Char"/>
    <w:basedOn w:val="DefaultParagraphFont"/>
    <w:link w:val="FootnoteText"/>
    <w:uiPriority w:val="99"/>
    <w:rsid w:val="00430AF5"/>
    <w:rPr>
      <w:sz w:val="20"/>
      <w:szCs w:val="20"/>
    </w:rPr>
  </w:style>
  <w:style w:type="character" w:styleId="FootnoteReference">
    <w:name w:val="footnote reference"/>
    <w:basedOn w:val="DefaultParagraphFont"/>
    <w:uiPriority w:val="99"/>
    <w:unhideWhenUsed/>
    <w:rsid w:val="00430AF5"/>
    <w:rPr>
      <w:vertAlign w:val="superscript"/>
    </w:rPr>
  </w:style>
  <w:style w:type="paragraph" w:styleId="ListParagraph">
    <w:name w:val="List Paragraph"/>
    <w:basedOn w:val="Normal"/>
    <w:uiPriority w:val="34"/>
    <w:qFormat/>
    <w:rsid w:val="0035057D"/>
    <w:pPr>
      <w:spacing w:after="200" w:line="276" w:lineRule="auto"/>
      <w:ind w:left="720"/>
    </w:pPr>
    <w:rPr>
      <w:rFonts w:ascii="Calibri" w:eastAsia="Times New Roman" w:hAnsi="Calibri" w:cs="Times New Roman"/>
      <w:lang w:val="en-ZW"/>
    </w:rPr>
  </w:style>
  <w:style w:type="character" w:customStyle="1" w:styleId="Heading2Char">
    <w:name w:val="Heading 2 Char"/>
    <w:basedOn w:val="DefaultParagraphFont"/>
    <w:link w:val="Heading2"/>
    <w:uiPriority w:val="9"/>
    <w:rsid w:val="0035057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6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C8A"/>
  </w:style>
  <w:style w:type="paragraph" w:styleId="Footer">
    <w:name w:val="footer"/>
    <w:basedOn w:val="Normal"/>
    <w:link w:val="FooterChar"/>
    <w:uiPriority w:val="99"/>
    <w:unhideWhenUsed/>
    <w:rsid w:val="00C17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9052">
      <w:bodyDiv w:val="1"/>
      <w:marLeft w:val="0"/>
      <w:marRight w:val="0"/>
      <w:marTop w:val="0"/>
      <w:marBottom w:val="0"/>
      <w:divBdr>
        <w:top w:val="none" w:sz="0" w:space="0" w:color="auto"/>
        <w:left w:val="none" w:sz="0" w:space="0" w:color="auto"/>
        <w:bottom w:val="none" w:sz="0" w:space="0" w:color="auto"/>
        <w:right w:val="none" w:sz="0" w:space="0" w:color="auto"/>
      </w:divBdr>
    </w:div>
    <w:div w:id="532962169">
      <w:bodyDiv w:val="1"/>
      <w:marLeft w:val="0"/>
      <w:marRight w:val="0"/>
      <w:marTop w:val="0"/>
      <w:marBottom w:val="0"/>
      <w:divBdr>
        <w:top w:val="none" w:sz="0" w:space="0" w:color="auto"/>
        <w:left w:val="none" w:sz="0" w:space="0" w:color="auto"/>
        <w:bottom w:val="none" w:sz="0" w:space="0" w:color="auto"/>
        <w:right w:val="none" w:sz="0" w:space="0" w:color="auto"/>
      </w:divBdr>
    </w:div>
    <w:div w:id="687411181">
      <w:bodyDiv w:val="1"/>
      <w:marLeft w:val="0"/>
      <w:marRight w:val="0"/>
      <w:marTop w:val="0"/>
      <w:marBottom w:val="0"/>
      <w:divBdr>
        <w:top w:val="none" w:sz="0" w:space="0" w:color="auto"/>
        <w:left w:val="none" w:sz="0" w:space="0" w:color="auto"/>
        <w:bottom w:val="none" w:sz="0" w:space="0" w:color="auto"/>
        <w:right w:val="none" w:sz="0" w:space="0" w:color="auto"/>
      </w:divBdr>
    </w:div>
    <w:div w:id="814567741">
      <w:bodyDiv w:val="1"/>
      <w:marLeft w:val="0"/>
      <w:marRight w:val="0"/>
      <w:marTop w:val="0"/>
      <w:marBottom w:val="0"/>
      <w:divBdr>
        <w:top w:val="none" w:sz="0" w:space="0" w:color="auto"/>
        <w:left w:val="none" w:sz="0" w:space="0" w:color="auto"/>
        <w:bottom w:val="none" w:sz="0" w:space="0" w:color="auto"/>
        <w:right w:val="none" w:sz="0" w:space="0" w:color="auto"/>
      </w:divBdr>
    </w:div>
    <w:div w:id="1063794048">
      <w:bodyDiv w:val="1"/>
      <w:marLeft w:val="0"/>
      <w:marRight w:val="0"/>
      <w:marTop w:val="0"/>
      <w:marBottom w:val="0"/>
      <w:divBdr>
        <w:top w:val="none" w:sz="0" w:space="0" w:color="auto"/>
        <w:left w:val="none" w:sz="0" w:space="0" w:color="auto"/>
        <w:bottom w:val="none" w:sz="0" w:space="0" w:color="auto"/>
        <w:right w:val="none" w:sz="0" w:space="0" w:color="auto"/>
      </w:divBdr>
    </w:div>
    <w:div w:id="16914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2017-01-26T18:30:00+00:00</Judgment_x0020_Date>
    <Year xmlns="aec0a7e9-5f5c-4ba9-87b2-85cfc8a38b86">2017</Year>
  </documentManagement>
</p:properties>
</file>

<file path=customXml/itemProps1.xml><?xml version="1.0" encoding="utf-8"?>
<ds:datastoreItem xmlns:ds="http://schemas.openxmlformats.org/officeDocument/2006/customXml" ds:itemID="{AF9C47C2-FD79-48AC-8D04-D7C058BF37A4}"/>
</file>

<file path=customXml/itemProps2.xml><?xml version="1.0" encoding="utf-8"?>
<ds:datastoreItem xmlns:ds="http://schemas.openxmlformats.org/officeDocument/2006/customXml" ds:itemID="{03294CA8-18C4-45D5-A9C6-D180498CD469}"/>
</file>

<file path=customXml/itemProps3.xml><?xml version="1.0" encoding="utf-8"?>
<ds:datastoreItem xmlns:ds="http://schemas.openxmlformats.org/officeDocument/2006/customXml" ds:itemID="{A4327C4A-92DC-4B9F-97BF-F671355EA566}"/>
</file>

<file path=customXml/itemProps4.xml><?xml version="1.0" encoding="utf-8"?>
<ds:datastoreItem xmlns:ds="http://schemas.openxmlformats.org/officeDocument/2006/customXml" ds:itemID="{44CE5EA7-EB62-48B7-BD03-685263AEB51F}"/>
</file>

<file path=docProps/app.xml><?xml version="1.0" encoding="utf-8"?>
<Properties xmlns="http://schemas.openxmlformats.org/officeDocument/2006/extended-properties" xmlns:vt="http://schemas.openxmlformats.org/officeDocument/2006/docPropsVTypes">
  <Template>Normal</Template>
  <TotalTime>1</TotalTime>
  <Pages>20</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Leehzel van wyk</dc:creator>
  <cp:lastModifiedBy>User</cp:lastModifiedBy>
  <cp:revision>2</cp:revision>
  <cp:lastPrinted>2017-01-25T10:45:00Z</cp:lastPrinted>
  <dcterms:created xsi:type="dcterms:W3CDTF">2017-01-30T07:41:00Z</dcterms:created>
  <dcterms:modified xsi:type="dcterms:W3CDTF">2017-01-30T07:41:00Z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