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E6B" w:rsidRDefault="00495E6B" w:rsidP="00495E6B">
      <w:pPr>
        <w:spacing w:after="0" w:line="240" w:lineRule="auto"/>
        <w:jc w:val="center"/>
        <w:rPr>
          <w:rFonts w:ascii="Arial Narrow" w:hAnsi="Arial Narrow"/>
          <w:sz w:val="28"/>
          <w:szCs w:val="28"/>
        </w:rPr>
      </w:pPr>
      <w:r w:rsidRPr="003D5FF3">
        <w:rPr>
          <w:rFonts w:ascii="Arial Narrow" w:hAnsi="Arial Narrow"/>
          <w:sz w:val="28"/>
          <w:szCs w:val="28"/>
        </w:rPr>
        <w:t>“ANNEXURE 11”</w:t>
      </w:r>
    </w:p>
    <w:p w:rsidR="00495E6B" w:rsidRPr="003D5FF3" w:rsidRDefault="00495E6B" w:rsidP="00495E6B">
      <w:pPr>
        <w:spacing w:after="0" w:line="240" w:lineRule="auto"/>
        <w:jc w:val="center"/>
        <w:rPr>
          <w:rFonts w:ascii="Arial Narrow" w:hAnsi="Arial Narrow"/>
          <w:sz w:val="28"/>
          <w:szCs w:val="28"/>
        </w:rPr>
      </w:pPr>
      <w:r>
        <w:rPr>
          <w:rFonts w:ascii="Arial Narrow" w:hAnsi="Arial Narrow"/>
          <w:sz w:val="28"/>
          <w:szCs w:val="28"/>
        </w:rPr>
        <w:t>Practice Directive 61</w:t>
      </w:r>
    </w:p>
    <w:p w:rsidR="00495E6B" w:rsidRPr="003D5FF3" w:rsidRDefault="00495E6B" w:rsidP="00495E6B">
      <w:pPr>
        <w:spacing w:after="0" w:line="360" w:lineRule="auto"/>
        <w:jc w:val="both"/>
        <w:rPr>
          <w:rFonts w:ascii="Arial Narrow" w:hAnsi="Arial Narrow"/>
          <w:sz w:val="16"/>
          <w:szCs w:val="16"/>
        </w:rPr>
      </w:pPr>
    </w:p>
    <w:p w:rsidR="00495E6B" w:rsidRPr="009B096F" w:rsidRDefault="00495E6B" w:rsidP="00495E6B">
      <w:pPr>
        <w:spacing w:after="0" w:line="360" w:lineRule="auto"/>
        <w:jc w:val="center"/>
        <w:rPr>
          <w:rFonts w:ascii="Arial Narrow" w:hAnsi="Arial Narrow"/>
          <w:b/>
          <w:sz w:val="24"/>
          <w:szCs w:val="24"/>
        </w:rPr>
      </w:pPr>
      <w:r w:rsidRPr="009B096F">
        <w:rPr>
          <w:rFonts w:ascii="Arial Narrow" w:hAnsi="Arial Narrow"/>
          <w:b/>
          <w:sz w:val="24"/>
          <w:szCs w:val="24"/>
        </w:rPr>
        <w:t xml:space="preserve">IN THE </w:t>
      </w:r>
      <w:r w:rsidR="007C39FF">
        <w:rPr>
          <w:rFonts w:ascii="Arial Narrow" w:hAnsi="Arial Narrow"/>
          <w:b/>
          <w:sz w:val="24"/>
          <w:szCs w:val="24"/>
        </w:rPr>
        <w:t xml:space="preserve">LABOUR </w:t>
      </w:r>
      <w:r w:rsidRPr="009B096F">
        <w:rPr>
          <w:rFonts w:ascii="Arial Narrow" w:hAnsi="Arial Narrow"/>
          <w:b/>
          <w:sz w:val="24"/>
          <w:szCs w:val="24"/>
        </w:rPr>
        <w:t>COURT OF NAMIBIA</w:t>
      </w:r>
    </w:p>
    <w:p w:rsidR="00495E6B" w:rsidRPr="006475B1" w:rsidRDefault="00495E6B" w:rsidP="00495E6B">
      <w:pPr>
        <w:spacing w:after="0" w:line="360" w:lineRule="auto"/>
        <w:jc w:val="both"/>
        <w:rPr>
          <w:rFonts w:ascii="Arial Narrow" w:hAnsi="Arial Narrow"/>
          <w:sz w:val="20"/>
          <w:szCs w:val="20"/>
        </w:rPr>
      </w:pPr>
    </w:p>
    <w:tbl>
      <w:tblPr>
        <w:tblStyle w:val="TableGrid"/>
        <w:tblW w:w="9720" w:type="dxa"/>
        <w:tblInd w:w="-275" w:type="dxa"/>
        <w:tblLook w:val="04A0" w:firstRow="1" w:lastRow="0" w:firstColumn="1" w:lastColumn="0" w:noHBand="0" w:noVBand="1"/>
      </w:tblPr>
      <w:tblGrid>
        <w:gridCol w:w="4770"/>
        <w:gridCol w:w="627"/>
        <w:gridCol w:w="4323"/>
      </w:tblGrid>
      <w:tr w:rsidR="00495E6B" w:rsidRPr="00C73154" w:rsidTr="009B446D">
        <w:trPr>
          <w:trHeight w:val="744"/>
        </w:trPr>
        <w:tc>
          <w:tcPr>
            <w:tcW w:w="5397" w:type="dxa"/>
            <w:gridSpan w:val="2"/>
            <w:vMerge w:val="restart"/>
          </w:tcPr>
          <w:p w:rsidR="00495E6B" w:rsidRDefault="00495E6B" w:rsidP="009B446D">
            <w:pPr>
              <w:spacing w:line="360" w:lineRule="auto"/>
              <w:jc w:val="both"/>
              <w:rPr>
                <w:rFonts w:ascii="Arial Narrow" w:hAnsi="Arial Narrow" w:cs="Arial"/>
                <w:sz w:val="24"/>
                <w:szCs w:val="24"/>
              </w:rPr>
            </w:pPr>
            <w:r w:rsidRPr="00C73154">
              <w:rPr>
                <w:rFonts w:ascii="Arial Narrow" w:hAnsi="Arial Narrow" w:cs="Arial"/>
                <w:b/>
                <w:sz w:val="24"/>
                <w:szCs w:val="24"/>
              </w:rPr>
              <w:t>Case Title:</w:t>
            </w:r>
          </w:p>
          <w:p w:rsidR="00E564A3" w:rsidRPr="00C73154" w:rsidRDefault="00E564A3" w:rsidP="00F35E30">
            <w:pPr>
              <w:spacing w:line="360" w:lineRule="auto"/>
              <w:jc w:val="both"/>
              <w:rPr>
                <w:rFonts w:ascii="Arial Narrow" w:hAnsi="Arial Narrow" w:cs="Arial"/>
                <w:sz w:val="24"/>
                <w:szCs w:val="24"/>
              </w:rPr>
            </w:pPr>
            <w:r>
              <w:rPr>
                <w:rFonts w:ascii="Arial Narrow" w:hAnsi="Arial Narrow" w:cs="Arial"/>
                <w:sz w:val="24"/>
                <w:szCs w:val="24"/>
              </w:rPr>
              <w:t xml:space="preserve">LANGER HEINRICH URANIUM </w:t>
            </w:r>
            <w:r w:rsidR="00F35E30">
              <w:rPr>
                <w:rFonts w:ascii="Arial Narrow" w:hAnsi="Arial Narrow" w:cs="Arial"/>
                <w:sz w:val="24"/>
                <w:szCs w:val="24"/>
              </w:rPr>
              <w:t>(PTY) LTD AND DAVID JOHANNES G</w:t>
            </w:r>
            <w:r>
              <w:rPr>
                <w:rFonts w:ascii="Arial Narrow" w:hAnsi="Arial Narrow" w:cs="Arial"/>
                <w:sz w:val="24"/>
                <w:szCs w:val="24"/>
              </w:rPr>
              <w:t>O</w:t>
            </w:r>
            <w:r w:rsidR="00F35E30">
              <w:rPr>
                <w:rFonts w:ascii="Arial Narrow" w:hAnsi="Arial Narrow" w:cs="Arial"/>
                <w:sz w:val="24"/>
                <w:szCs w:val="24"/>
              </w:rPr>
              <w:t>L</w:t>
            </w:r>
            <w:r>
              <w:rPr>
                <w:rFonts w:ascii="Arial Narrow" w:hAnsi="Arial Narrow" w:cs="Arial"/>
                <w:sz w:val="24"/>
                <w:szCs w:val="24"/>
              </w:rPr>
              <w:t xml:space="preserve">IATH AND </w:t>
            </w:r>
            <w:r w:rsidR="00F35E30">
              <w:rPr>
                <w:rFonts w:ascii="Arial Narrow" w:hAnsi="Arial Narrow" w:cs="Arial"/>
                <w:sz w:val="24"/>
                <w:szCs w:val="24"/>
              </w:rPr>
              <w:t>ANOTHER</w:t>
            </w:r>
          </w:p>
        </w:tc>
        <w:tc>
          <w:tcPr>
            <w:tcW w:w="4323" w:type="dxa"/>
          </w:tcPr>
          <w:p w:rsidR="00495E6B" w:rsidRPr="00E564A3" w:rsidRDefault="00495E6B" w:rsidP="009B446D">
            <w:pPr>
              <w:spacing w:line="360" w:lineRule="auto"/>
              <w:jc w:val="both"/>
              <w:rPr>
                <w:rFonts w:ascii="Arial Narrow" w:hAnsi="Arial Narrow"/>
                <w:sz w:val="24"/>
                <w:szCs w:val="24"/>
              </w:rPr>
            </w:pPr>
            <w:r w:rsidRPr="00C73154">
              <w:rPr>
                <w:rFonts w:ascii="Arial Narrow" w:hAnsi="Arial Narrow"/>
                <w:b/>
                <w:sz w:val="24"/>
                <w:szCs w:val="24"/>
              </w:rPr>
              <w:t>Case No:</w:t>
            </w:r>
          </w:p>
          <w:p w:rsidR="00E564A3" w:rsidRPr="00E564A3" w:rsidRDefault="00E564A3" w:rsidP="009B446D">
            <w:pPr>
              <w:spacing w:line="360" w:lineRule="auto"/>
              <w:jc w:val="both"/>
              <w:rPr>
                <w:rFonts w:ascii="Arial Narrow" w:hAnsi="Arial Narrow"/>
                <w:b/>
                <w:sz w:val="24"/>
                <w:szCs w:val="24"/>
              </w:rPr>
            </w:pPr>
            <w:r w:rsidRPr="00E564A3">
              <w:rPr>
                <w:rFonts w:ascii="Arial Narrow" w:hAnsi="Arial Narrow"/>
                <w:sz w:val="24"/>
                <w:szCs w:val="24"/>
              </w:rPr>
              <w:t>LC</w:t>
            </w:r>
            <w:r w:rsidR="00B653A1">
              <w:rPr>
                <w:rFonts w:ascii="Arial Narrow" w:hAnsi="Arial Narrow"/>
                <w:sz w:val="24"/>
                <w:szCs w:val="24"/>
              </w:rPr>
              <w:t xml:space="preserve"> </w:t>
            </w:r>
            <w:r>
              <w:rPr>
                <w:rFonts w:ascii="Arial Narrow" w:hAnsi="Arial Narrow"/>
                <w:sz w:val="24"/>
                <w:szCs w:val="24"/>
              </w:rPr>
              <w:t>119/2017</w:t>
            </w:r>
          </w:p>
        </w:tc>
      </w:tr>
      <w:tr w:rsidR="00495E6B" w:rsidRPr="00C73154" w:rsidTr="009B446D">
        <w:trPr>
          <w:trHeight w:val="844"/>
        </w:trPr>
        <w:tc>
          <w:tcPr>
            <w:tcW w:w="5397" w:type="dxa"/>
            <w:gridSpan w:val="2"/>
            <w:vMerge/>
          </w:tcPr>
          <w:p w:rsidR="00495E6B" w:rsidRPr="00C73154" w:rsidRDefault="00495E6B" w:rsidP="009B446D">
            <w:pPr>
              <w:spacing w:line="360" w:lineRule="auto"/>
              <w:jc w:val="both"/>
              <w:rPr>
                <w:rFonts w:ascii="Arial Narrow" w:hAnsi="Arial Narrow" w:cs="Arial"/>
                <w:sz w:val="24"/>
                <w:szCs w:val="24"/>
              </w:rPr>
            </w:pPr>
          </w:p>
        </w:tc>
        <w:tc>
          <w:tcPr>
            <w:tcW w:w="4323" w:type="dxa"/>
          </w:tcPr>
          <w:p w:rsidR="00495E6B" w:rsidRPr="00C73154" w:rsidRDefault="00495E6B" w:rsidP="009B446D">
            <w:pPr>
              <w:spacing w:line="360" w:lineRule="auto"/>
              <w:jc w:val="both"/>
              <w:rPr>
                <w:rFonts w:ascii="Arial Narrow" w:hAnsi="Arial Narrow"/>
                <w:sz w:val="24"/>
                <w:szCs w:val="24"/>
              </w:rPr>
            </w:pPr>
            <w:r w:rsidRPr="00C73154">
              <w:rPr>
                <w:rFonts w:ascii="Arial Narrow" w:hAnsi="Arial Narrow"/>
                <w:b/>
                <w:sz w:val="24"/>
                <w:szCs w:val="24"/>
              </w:rPr>
              <w:t>Division of Court:</w:t>
            </w:r>
          </w:p>
          <w:p w:rsidR="00495E6B" w:rsidRPr="00C73154" w:rsidRDefault="00495E6B" w:rsidP="009B446D">
            <w:pPr>
              <w:spacing w:line="360" w:lineRule="auto"/>
              <w:jc w:val="both"/>
              <w:rPr>
                <w:rFonts w:ascii="Arial Narrow" w:hAnsi="Arial Narrow"/>
                <w:sz w:val="24"/>
                <w:szCs w:val="24"/>
              </w:rPr>
            </w:pPr>
            <w:r w:rsidRPr="00C73154">
              <w:rPr>
                <w:rFonts w:ascii="Arial Narrow" w:hAnsi="Arial Narrow"/>
                <w:sz w:val="24"/>
                <w:szCs w:val="24"/>
              </w:rPr>
              <w:t>H</w:t>
            </w:r>
            <w:r>
              <w:rPr>
                <w:rFonts w:ascii="Arial Narrow" w:hAnsi="Arial Narrow"/>
                <w:sz w:val="24"/>
                <w:szCs w:val="24"/>
              </w:rPr>
              <w:t>IGH COURT (MAIN DIVISION)</w:t>
            </w:r>
          </w:p>
        </w:tc>
      </w:tr>
      <w:tr w:rsidR="00495E6B" w:rsidRPr="00C73154" w:rsidTr="009B446D">
        <w:trPr>
          <w:trHeight w:val="645"/>
        </w:trPr>
        <w:tc>
          <w:tcPr>
            <w:tcW w:w="5397" w:type="dxa"/>
            <w:gridSpan w:val="2"/>
            <w:vMerge w:val="restart"/>
          </w:tcPr>
          <w:p w:rsidR="00495E6B" w:rsidRPr="00C73154" w:rsidRDefault="00495E6B" w:rsidP="009B446D">
            <w:pPr>
              <w:spacing w:line="360" w:lineRule="auto"/>
              <w:jc w:val="both"/>
              <w:rPr>
                <w:rFonts w:ascii="Arial Narrow" w:hAnsi="Arial Narrow" w:cs="Arial"/>
                <w:b/>
                <w:sz w:val="24"/>
                <w:szCs w:val="24"/>
              </w:rPr>
            </w:pPr>
            <w:r w:rsidRPr="00C73154">
              <w:rPr>
                <w:rFonts w:ascii="Arial Narrow" w:hAnsi="Arial Narrow" w:cs="Arial"/>
                <w:b/>
                <w:sz w:val="24"/>
                <w:szCs w:val="24"/>
              </w:rPr>
              <w:t>Heard before:</w:t>
            </w:r>
          </w:p>
          <w:p w:rsidR="00495E6B" w:rsidRPr="00C73154" w:rsidRDefault="00495E6B" w:rsidP="009B446D">
            <w:pPr>
              <w:spacing w:line="360" w:lineRule="auto"/>
              <w:jc w:val="both"/>
              <w:rPr>
                <w:rFonts w:ascii="Arial Narrow" w:hAnsi="Arial Narrow" w:cs="Arial"/>
                <w:sz w:val="24"/>
                <w:szCs w:val="24"/>
              </w:rPr>
            </w:pPr>
            <w:r w:rsidRPr="00C73154">
              <w:rPr>
                <w:rFonts w:ascii="Arial Narrow" w:hAnsi="Arial Narrow" w:cs="Arial"/>
                <w:sz w:val="24"/>
                <w:szCs w:val="24"/>
              </w:rPr>
              <w:t>H</w:t>
            </w:r>
            <w:r>
              <w:rPr>
                <w:rFonts w:ascii="Arial Narrow" w:hAnsi="Arial Narrow" w:cs="Arial"/>
                <w:sz w:val="24"/>
                <w:szCs w:val="24"/>
              </w:rPr>
              <w:t>ONOURABLE LA</w:t>
            </w:r>
            <w:r w:rsidR="00B653A1">
              <w:rPr>
                <w:rFonts w:ascii="Arial Narrow" w:hAnsi="Arial Narrow" w:cs="Arial"/>
                <w:sz w:val="24"/>
                <w:szCs w:val="24"/>
              </w:rPr>
              <w:t xml:space="preserve">DY JUSTICE CLAASEN, ACTING </w:t>
            </w:r>
          </w:p>
        </w:tc>
        <w:tc>
          <w:tcPr>
            <w:tcW w:w="4323" w:type="dxa"/>
          </w:tcPr>
          <w:p w:rsidR="00495E6B" w:rsidRPr="00C73154" w:rsidRDefault="00495E6B" w:rsidP="009B446D">
            <w:pPr>
              <w:spacing w:line="360" w:lineRule="auto"/>
              <w:jc w:val="both"/>
              <w:rPr>
                <w:rFonts w:ascii="Arial Narrow" w:hAnsi="Arial Narrow"/>
                <w:b/>
                <w:sz w:val="24"/>
                <w:szCs w:val="24"/>
              </w:rPr>
            </w:pPr>
            <w:r w:rsidRPr="00C73154">
              <w:rPr>
                <w:rFonts w:ascii="Arial Narrow" w:hAnsi="Arial Narrow"/>
                <w:b/>
                <w:sz w:val="24"/>
                <w:szCs w:val="24"/>
              </w:rPr>
              <w:t>Date of hearing:</w:t>
            </w:r>
          </w:p>
          <w:p w:rsidR="00495E6B" w:rsidRPr="00C73154" w:rsidRDefault="00495E6B" w:rsidP="00E564A3">
            <w:pPr>
              <w:spacing w:line="360" w:lineRule="auto"/>
              <w:rPr>
                <w:rFonts w:ascii="Arial Narrow" w:hAnsi="Arial Narrow"/>
                <w:sz w:val="24"/>
                <w:szCs w:val="24"/>
              </w:rPr>
            </w:pPr>
            <w:r>
              <w:rPr>
                <w:rFonts w:ascii="Arial Narrow" w:hAnsi="Arial Narrow"/>
                <w:sz w:val="24"/>
                <w:szCs w:val="24"/>
              </w:rPr>
              <w:t>1</w:t>
            </w:r>
            <w:r w:rsidR="00E564A3">
              <w:rPr>
                <w:rFonts w:ascii="Arial Narrow" w:hAnsi="Arial Narrow"/>
                <w:sz w:val="24"/>
                <w:szCs w:val="24"/>
              </w:rPr>
              <w:t xml:space="preserve">4 FEBRUARY </w:t>
            </w:r>
            <w:r>
              <w:rPr>
                <w:rFonts w:ascii="Arial Narrow" w:hAnsi="Arial Narrow"/>
                <w:sz w:val="24"/>
                <w:szCs w:val="24"/>
              </w:rPr>
              <w:t>2019</w:t>
            </w:r>
          </w:p>
        </w:tc>
      </w:tr>
      <w:tr w:rsidR="00495E6B" w:rsidRPr="00C73154" w:rsidTr="009B446D">
        <w:trPr>
          <w:trHeight w:val="588"/>
        </w:trPr>
        <w:tc>
          <w:tcPr>
            <w:tcW w:w="5397" w:type="dxa"/>
            <w:gridSpan w:val="2"/>
            <w:vMerge/>
          </w:tcPr>
          <w:p w:rsidR="00495E6B" w:rsidRPr="00C73154" w:rsidRDefault="00495E6B" w:rsidP="009B446D">
            <w:pPr>
              <w:spacing w:line="360" w:lineRule="auto"/>
              <w:jc w:val="both"/>
              <w:rPr>
                <w:rFonts w:ascii="Arial Narrow" w:hAnsi="Arial Narrow" w:cs="Arial"/>
                <w:b/>
                <w:sz w:val="24"/>
                <w:szCs w:val="24"/>
              </w:rPr>
            </w:pPr>
          </w:p>
        </w:tc>
        <w:tc>
          <w:tcPr>
            <w:tcW w:w="4323" w:type="dxa"/>
          </w:tcPr>
          <w:p w:rsidR="00495E6B" w:rsidRPr="00C73154" w:rsidRDefault="00495E6B" w:rsidP="009B446D">
            <w:pPr>
              <w:spacing w:line="360" w:lineRule="auto"/>
              <w:jc w:val="both"/>
              <w:rPr>
                <w:rFonts w:ascii="Arial Narrow" w:hAnsi="Arial Narrow"/>
                <w:b/>
                <w:sz w:val="24"/>
                <w:szCs w:val="24"/>
              </w:rPr>
            </w:pPr>
            <w:r>
              <w:rPr>
                <w:rFonts w:ascii="Arial Narrow" w:hAnsi="Arial Narrow"/>
                <w:b/>
                <w:sz w:val="24"/>
                <w:szCs w:val="24"/>
              </w:rPr>
              <w:t>Delivered on</w:t>
            </w:r>
            <w:r w:rsidRPr="00C73154">
              <w:rPr>
                <w:rFonts w:ascii="Arial Narrow" w:hAnsi="Arial Narrow"/>
                <w:b/>
                <w:sz w:val="24"/>
                <w:szCs w:val="24"/>
              </w:rPr>
              <w:t>:</w:t>
            </w:r>
          </w:p>
          <w:p w:rsidR="00495E6B" w:rsidRPr="00C73154" w:rsidRDefault="00495E6B" w:rsidP="009B446D">
            <w:pPr>
              <w:spacing w:line="360" w:lineRule="auto"/>
              <w:jc w:val="both"/>
              <w:rPr>
                <w:rFonts w:ascii="Arial Narrow" w:hAnsi="Arial Narrow"/>
                <w:b/>
                <w:sz w:val="24"/>
                <w:szCs w:val="24"/>
              </w:rPr>
            </w:pPr>
            <w:r w:rsidRPr="00420FFA">
              <w:rPr>
                <w:rFonts w:ascii="Arial Narrow" w:hAnsi="Arial Narrow"/>
                <w:sz w:val="24"/>
                <w:szCs w:val="24"/>
              </w:rPr>
              <w:t xml:space="preserve"> </w:t>
            </w:r>
            <w:r w:rsidR="00E564A3">
              <w:rPr>
                <w:rFonts w:ascii="Arial Narrow" w:hAnsi="Arial Narrow"/>
                <w:sz w:val="24"/>
                <w:szCs w:val="24"/>
              </w:rPr>
              <w:t>14 FEBRUARY 2019</w:t>
            </w:r>
          </w:p>
        </w:tc>
      </w:tr>
      <w:tr w:rsidR="00495E6B" w:rsidRPr="00C73154" w:rsidTr="009B446D">
        <w:tc>
          <w:tcPr>
            <w:tcW w:w="9720" w:type="dxa"/>
            <w:gridSpan w:val="3"/>
          </w:tcPr>
          <w:p w:rsidR="00495E6B" w:rsidRPr="00F35E30" w:rsidRDefault="00495E6B" w:rsidP="00495E6B">
            <w:pPr>
              <w:pStyle w:val="form-control-static"/>
              <w:shd w:val="clear" w:color="auto" w:fill="FFFFFF"/>
              <w:spacing w:before="0" w:beforeAutospacing="0" w:after="0" w:afterAutospacing="0"/>
              <w:rPr>
                <w:rFonts w:ascii="Arial" w:hAnsi="Arial" w:cs="Arial"/>
                <w:color w:val="333333"/>
                <w:sz w:val="20"/>
                <w:szCs w:val="20"/>
              </w:rPr>
            </w:pPr>
            <w:r w:rsidRPr="005955B1">
              <w:rPr>
                <w:rFonts w:ascii="Arial Narrow" w:hAnsi="Arial Narrow" w:cs="Arial"/>
                <w:b/>
              </w:rPr>
              <w:t>Neutral citation:</w:t>
            </w:r>
            <w:r>
              <w:rPr>
                <w:rFonts w:ascii="Arial Narrow" w:hAnsi="Arial Narrow" w:cs="Arial"/>
                <w:b/>
              </w:rPr>
              <w:t xml:space="preserve"> </w:t>
            </w:r>
            <w:bookmarkStart w:id="0" w:name="_GoBack"/>
            <w:r w:rsidR="00F35E30" w:rsidRPr="00647E98">
              <w:rPr>
                <w:rFonts w:ascii="Arial" w:hAnsi="Arial" w:cs="Arial"/>
                <w:i/>
              </w:rPr>
              <w:t>Langer Heinrich Uranium (Pty) Ltd  v Goliath</w:t>
            </w:r>
            <w:r w:rsidR="00F35E30" w:rsidRPr="00F35E30">
              <w:rPr>
                <w:rFonts w:ascii="Arial Narrow" w:hAnsi="Arial Narrow" w:cs="Arial"/>
              </w:rPr>
              <w:t xml:space="preserve"> (LC 119/2017) [2019]</w:t>
            </w:r>
            <w:r w:rsidR="00F35E30">
              <w:rPr>
                <w:rFonts w:ascii="Arial Narrow" w:hAnsi="Arial Narrow" w:cs="Arial"/>
              </w:rPr>
              <w:t xml:space="preserve"> </w:t>
            </w:r>
            <w:r w:rsidR="00F35E30" w:rsidRPr="00F35E30">
              <w:rPr>
                <w:rFonts w:ascii="Arial Narrow" w:hAnsi="Arial Narrow" w:cs="Arial"/>
              </w:rPr>
              <w:t>NALCMD 6</w:t>
            </w:r>
            <w:r w:rsidR="00F35E30">
              <w:rPr>
                <w:rFonts w:ascii="Arial Narrow" w:hAnsi="Arial Narrow" w:cs="Arial"/>
              </w:rPr>
              <w:t xml:space="preserve"> </w:t>
            </w:r>
            <w:r w:rsidR="00F35E30" w:rsidRPr="00F35E30">
              <w:rPr>
                <w:rFonts w:ascii="Arial Narrow" w:hAnsi="Arial Narrow" w:cs="Arial"/>
              </w:rPr>
              <w:t>(14</w:t>
            </w:r>
            <w:r w:rsidR="00F35E30">
              <w:rPr>
                <w:rFonts w:ascii="Arial Narrow" w:hAnsi="Arial Narrow" w:cs="Arial"/>
              </w:rPr>
              <w:t xml:space="preserve"> </w:t>
            </w:r>
            <w:r w:rsidR="00F35E30" w:rsidRPr="00F35E30">
              <w:rPr>
                <w:rFonts w:ascii="Arial Narrow" w:hAnsi="Arial Narrow" w:cs="Arial"/>
              </w:rPr>
              <w:t>February 2019)</w:t>
            </w:r>
            <w:bookmarkEnd w:id="0"/>
          </w:p>
        </w:tc>
      </w:tr>
      <w:tr w:rsidR="002428EC" w:rsidRPr="00C73154" w:rsidTr="009B446D">
        <w:tc>
          <w:tcPr>
            <w:tcW w:w="9720" w:type="dxa"/>
            <w:gridSpan w:val="3"/>
          </w:tcPr>
          <w:p w:rsidR="002428EC" w:rsidRDefault="002428EC" w:rsidP="00495E6B">
            <w:pPr>
              <w:pStyle w:val="form-control-static"/>
              <w:shd w:val="clear" w:color="auto" w:fill="FFFFFF"/>
              <w:spacing w:before="0" w:beforeAutospacing="0" w:after="0" w:afterAutospacing="0"/>
              <w:rPr>
                <w:rFonts w:ascii="Arial Narrow" w:hAnsi="Arial Narrow" w:cs="Arial"/>
                <w:b/>
              </w:rPr>
            </w:pPr>
            <w:r>
              <w:rPr>
                <w:rFonts w:ascii="Arial Narrow" w:hAnsi="Arial Narrow" w:cs="Arial"/>
                <w:b/>
              </w:rPr>
              <w:t>Results on merits:</w:t>
            </w:r>
          </w:p>
          <w:p w:rsidR="002428EC" w:rsidRPr="002428EC" w:rsidRDefault="00C10D24" w:rsidP="00495E6B">
            <w:pPr>
              <w:pStyle w:val="form-control-static"/>
              <w:shd w:val="clear" w:color="auto" w:fill="FFFFFF"/>
              <w:spacing w:before="0" w:beforeAutospacing="0" w:after="0" w:afterAutospacing="0"/>
              <w:rPr>
                <w:rFonts w:ascii="Arial Narrow" w:hAnsi="Arial Narrow" w:cs="Arial"/>
              </w:rPr>
            </w:pPr>
            <w:r>
              <w:rPr>
                <w:rFonts w:ascii="Arial Narrow" w:hAnsi="Arial Narrow" w:cs="Arial"/>
              </w:rPr>
              <w:t>Not on the merits.</w:t>
            </w:r>
          </w:p>
        </w:tc>
      </w:tr>
      <w:tr w:rsidR="00495E6B" w:rsidRPr="00C73154" w:rsidTr="009B446D">
        <w:tc>
          <w:tcPr>
            <w:tcW w:w="9720" w:type="dxa"/>
            <w:gridSpan w:val="3"/>
          </w:tcPr>
          <w:p w:rsidR="00495E6B" w:rsidRPr="00184DEA" w:rsidRDefault="00495E6B" w:rsidP="009B446D">
            <w:pPr>
              <w:spacing w:line="360" w:lineRule="auto"/>
              <w:jc w:val="both"/>
              <w:rPr>
                <w:rFonts w:ascii="Arial Narrow" w:hAnsi="Arial Narrow" w:cs="Arial"/>
                <w:b/>
                <w:sz w:val="24"/>
                <w:szCs w:val="24"/>
              </w:rPr>
            </w:pPr>
            <w:r w:rsidRPr="00890143">
              <w:rPr>
                <w:rFonts w:ascii="Arial Narrow" w:hAnsi="Arial Narrow" w:cs="Arial"/>
                <w:b/>
                <w:sz w:val="24"/>
                <w:szCs w:val="24"/>
              </w:rPr>
              <w:t>The order:</w:t>
            </w:r>
          </w:p>
          <w:p w:rsidR="00495E6B" w:rsidRPr="00890143" w:rsidRDefault="00495E6B" w:rsidP="009B446D">
            <w:pPr>
              <w:spacing w:line="360" w:lineRule="auto"/>
              <w:jc w:val="both"/>
              <w:rPr>
                <w:rFonts w:ascii="Arial Narrow" w:hAnsi="Arial Narrow" w:cs="Arial"/>
                <w:sz w:val="24"/>
                <w:szCs w:val="24"/>
              </w:rPr>
            </w:pPr>
            <w:r w:rsidRPr="00890143">
              <w:rPr>
                <w:rFonts w:ascii="Arial Narrow" w:hAnsi="Arial Narrow" w:cs="Arial"/>
                <w:sz w:val="24"/>
                <w:szCs w:val="24"/>
              </w:rPr>
              <w:t xml:space="preserve">Having heard </w:t>
            </w:r>
            <w:r>
              <w:rPr>
                <w:rFonts w:ascii="Arial Narrow" w:hAnsi="Arial Narrow" w:cs="Arial"/>
                <w:b/>
                <w:sz w:val="24"/>
                <w:szCs w:val="24"/>
              </w:rPr>
              <w:t>Mr</w:t>
            </w:r>
            <w:r w:rsidR="00E564A3">
              <w:rPr>
                <w:rFonts w:ascii="Arial Narrow" w:hAnsi="Arial Narrow" w:cs="Arial"/>
                <w:b/>
                <w:sz w:val="24"/>
                <w:szCs w:val="24"/>
              </w:rPr>
              <w:t xml:space="preserve"> Philander </w:t>
            </w:r>
            <w:r w:rsidR="00E564A3" w:rsidRPr="00E564A3">
              <w:rPr>
                <w:rFonts w:ascii="Arial Narrow" w:hAnsi="Arial Narrow" w:cs="Arial"/>
                <w:sz w:val="24"/>
                <w:szCs w:val="24"/>
              </w:rPr>
              <w:t xml:space="preserve">for the applicant </w:t>
            </w:r>
            <w:r w:rsidRPr="00890143">
              <w:rPr>
                <w:rFonts w:ascii="Arial Narrow" w:hAnsi="Arial Narrow" w:cs="Arial"/>
                <w:sz w:val="24"/>
                <w:szCs w:val="24"/>
              </w:rPr>
              <w:t xml:space="preserve">and </w:t>
            </w:r>
            <w:r w:rsidR="00E564A3">
              <w:rPr>
                <w:rFonts w:ascii="Arial Narrow" w:hAnsi="Arial Narrow" w:cs="Arial"/>
                <w:b/>
                <w:sz w:val="24"/>
                <w:szCs w:val="24"/>
              </w:rPr>
              <w:t>Ms Angula</w:t>
            </w:r>
            <w:r w:rsidRPr="00890143">
              <w:rPr>
                <w:rFonts w:ascii="Arial Narrow" w:hAnsi="Arial Narrow" w:cs="Arial"/>
                <w:sz w:val="24"/>
                <w:szCs w:val="24"/>
              </w:rPr>
              <w:t xml:space="preserve">, </w:t>
            </w:r>
            <w:r w:rsidR="000659E5">
              <w:rPr>
                <w:rFonts w:ascii="Arial Narrow" w:hAnsi="Arial Narrow" w:cs="Arial"/>
                <w:sz w:val="24"/>
                <w:szCs w:val="24"/>
              </w:rPr>
              <w:t xml:space="preserve">for the </w:t>
            </w:r>
            <w:r w:rsidR="00E95DA2">
              <w:rPr>
                <w:rFonts w:ascii="Arial Narrow" w:hAnsi="Arial Narrow" w:cs="Arial"/>
                <w:sz w:val="24"/>
                <w:szCs w:val="24"/>
              </w:rPr>
              <w:t>first r</w:t>
            </w:r>
            <w:r>
              <w:rPr>
                <w:rFonts w:ascii="Arial Narrow" w:hAnsi="Arial Narrow" w:cs="Arial"/>
                <w:sz w:val="24"/>
                <w:szCs w:val="24"/>
              </w:rPr>
              <w:t>espondent</w:t>
            </w:r>
            <w:r w:rsidRPr="00890143">
              <w:rPr>
                <w:rFonts w:ascii="Arial Narrow" w:hAnsi="Arial Narrow" w:cs="Arial"/>
                <w:sz w:val="24"/>
                <w:szCs w:val="24"/>
              </w:rPr>
              <w:t>, and having read the documents filed of record:</w:t>
            </w:r>
          </w:p>
          <w:p w:rsidR="00495E6B" w:rsidRPr="009C7093" w:rsidRDefault="00495E6B" w:rsidP="009B446D">
            <w:pPr>
              <w:spacing w:line="360" w:lineRule="auto"/>
              <w:jc w:val="both"/>
              <w:rPr>
                <w:rFonts w:ascii="Arial Narrow" w:hAnsi="Arial Narrow" w:cs="Arial"/>
                <w:sz w:val="20"/>
                <w:szCs w:val="20"/>
              </w:rPr>
            </w:pPr>
          </w:p>
          <w:p w:rsidR="00495E6B" w:rsidRPr="00890143" w:rsidRDefault="00495E6B" w:rsidP="009B446D">
            <w:pPr>
              <w:spacing w:line="360" w:lineRule="auto"/>
              <w:jc w:val="both"/>
              <w:rPr>
                <w:rFonts w:ascii="Arial Narrow" w:hAnsi="Arial Narrow" w:cs="Arial"/>
                <w:b/>
                <w:sz w:val="24"/>
                <w:szCs w:val="24"/>
              </w:rPr>
            </w:pPr>
            <w:r w:rsidRPr="00890143">
              <w:rPr>
                <w:rFonts w:ascii="Arial Narrow" w:hAnsi="Arial Narrow" w:cs="Arial"/>
                <w:b/>
                <w:sz w:val="24"/>
                <w:szCs w:val="24"/>
              </w:rPr>
              <w:t>IT IS ORDERED THAT:</w:t>
            </w:r>
          </w:p>
          <w:p w:rsidR="00495E6B" w:rsidRPr="009C7093" w:rsidRDefault="00495E6B" w:rsidP="009B446D">
            <w:pPr>
              <w:spacing w:line="360" w:lineRule="auto"/>
              <w:jc w:val="both"/>
              <w:rPr>
                <w:rFonts w:ascii="Arial Narrow" w:hAnsi="Arial Narrow" w:cs="Arial"/>
                <w:b/>
                <w:sz w:val="20"/>
                <w:szCs w:val="20"/>
              </w:rPr>
            </w:pPr>
          </w:p>
          <w:p w:rsidR="00E564A3" w:rsidRPr="00E564A3" w:rsidRDefault="00A777DF" w:rsidP="009B446D">
            <w:pPr>
              <w:pStyle w:val="ListParagraph"/>
              <w:numPr>
                <w:ilvl w:val="0"/>
                <w:numId w:val="1"/>
              </w:numPr>
              <w:spacing w:line="360" w:lineRule="auto"/>
              <w:ind w:left="446" w:hanging="426"/>
              <w:jc w:val="both"/>
              <w:rPr>
                <w:rFonts w:ascii="Arial Narrow" w:hAnsi="Arial Narrow" w:cs="Arial"/>
                <w:sz w:val="24"/>
                <w:szCs w:val="24"/>
              </w:rPr>
            </w:pPr>
            <w:r>
              <w:rPr>
                <w:rFonts w:ascii="Arial Narrow" w:hAnsi="Arial Narrow"/>
                <w:sz w:val="24"/>
                <w:szCs w:val="24"/>
              </w:rPr>
              <w:t>Th</w:t>
            </w:r>
            <w:r w:rsidR="00E564A3">
              <w:rPr>
                <w:rFonts w:ascii="Arial Narrow" w:hAnsi="Arial Narrow"/>
                <w:sz w:val="24"/>
                <w:szCs w:val="24"/>
              </w:rPr>
              <w:t>is court has no jurisdiction to review and set aside the proceedings and decisions of the second respondent in terms of section 117(1)(b)(i), read with section 89(4) and (5) of the Labour Act 11, of 2007 as no award was made.</w:t>
            </w:r>
          </w:p>
          <w:p w:rsidR="00495E6B" w:rsidRPr="00E564A3" w:rsidRDefault="00E564A3" w:rsidP="009B446D">
            <w:pPr>
              <w:pStyle w:val="ListParagraph"/>
              <w:numPr>
                <w:ilvl w:val="0"/>
                <w:numId w:val="1"/>
              </w:numPr>
              <w:spacing w:line="360" w:lineRule="auto"/>
              <w:ind w:left="446" w:hanging="426"/>
              <w:jc w:val="both"/>
              <w:rPr>
                <w:rFonts w:ascii="Arial Narrow" w:hAnsi="Arial Narrow" w:cs="Arial"/>
                <w:sz w:val="24"/>
                <w:szCs w:val="24"/>
              </w:rPr>
            </w:pPr>
            <w:r>
              <w:rPr>
                <w:rFonts w:ascii="Arial Narrow" w:hAnsi="Arial Narrow"/>
                <w:sz w:val="24"/>
                <w:szCs w:val="24"/>
              </w:rPr>
              <w:t xml:space="preserve">This court has no jurisdiction to grant the declaratory orders prayed for because it is not the only relief sought as provided for in terms of section 117(1)(d) of the Labour Act 11 of 2007. </w:t>
            </w:r>
          </w:p>
          <w:p w:rsidR="00E564A3" w:rsidRPr="00E564A3" w:rsidRDefault="00E564A3" w:rsidP="009B446D">
            <w:pPr>
              <w:pStyle w:val="ListParagraph"/>
              <w:numPr>
                <w:ilvl w:val="0"/>
                <w:numId w:val="1"/>
              </w:numPr>
              <w:spacing w:line="360" w:lineRule="auto"/>
              <w:ind w:left="446" w:hanging="426"/>
              <w:jc w:val="both"/>
              <w:rPr>
                <w:rFonts w:ascii="Arial Narrow" w:hAnsi="Arial Narrow" w:cs="Arial"/>
                <w:sz w:val="24"/>
                <w:szCs w:val="24"/>
              </w:rPr>
            </w:pPr>
            <w:r>
              <w:rPr>
                <w:rFonts w:ascii="Arial Narrow" w:hAnsi="Arial Narrow"/>
                <w:sz w:val="24"/>
                <w:szCs w:val="24"/>
              </w:rPr>
              <w:t>The application is accordingly struck from the roll</w:t>
            </w:r>
            <w:r w:rsidR="006E5946">
              <w:rPr>
                <w:rFonts w:ascii="Arial Narrow" w:hAnsi="Arial Narrow"/>
                <w:sz w:val="24"/>
                <w:szCs w:val="24"/>
              </w:rPr>
              <w:t>.</w:t>
            </w:r>
          </w:p>
          <w:p w:rsidR="00E564A3" w:rsidRPr="008D5B8D" w:rsidRDefault="00E564A3" w:rsidP="009B446D">
            <w:pPr>
              <w:pStyle w:val="ListParagraph"/>
              <w:numPr>
                <w:ilvl w:val="0"/>
                <w:numId w:val="1"/>
              </w:numPr>
              <w:spacing w:line="360" w:lineRule="auto"/>
              <w:ind w:left="446" w:hanging="426"/>
              <w:jc w:val="both"/>
              <w:rPr>
                <w:rFonts w:ascii="Arial Narrow" w:hAnsi="Arial Narrow" w:cs="Arial"/>
                <w:sz w:val="24"/>
                <w:szCs w:val="24"/>
              </w:rPr>
            </w:pPr>
            <w:r>
              <w:rPr>
                <w:rFonts w:ascii="Arial Narrow" w:hAnsi="Arial Narrow"/>
                <w:sz w:val="24"/>
                <w:szCs w:val="24"/>
              </w:rPr>
              <w:t>No order as to cost is made.</w:t>
            </w:r>
          </w:p>
          <w:p w:rsidR="00495E6B" w:rsidRPr="00E564A3" w:rsidRDefault="00495E6B" w:rsidP="00E564A3">
            <w:pPr>
              <w:spacing w:line="360" w:lineRule="auto"/>
              <w:jc w:val="both"/>
              <w:rPr>
                <w:rFonts w:ascii="Arial Narrow" w:hAnsi="Arial Narrow" w:cs="Arial"/>
                <w:sz w:val="24"/>
                <w:szCs w:val="24"/>
              </w:rPr>
            </w:pPr>
          </w:p>
          <w:p w:rsidR="00495E6B" w:rsidRPr="00393E41" w:rsidRDefault="00495E6B" w:rsidP="009B446D">
            <w:pPr>
              <w:spacing w:line="360" w:lineRule="auto"/>
              <w:jc w:val="both"/>
              <w:rPr>
                <w:rFonts w:ascii="Arial Narrow" w:hAnsi="Arial Narrow" w:cs="Arial"/>
                <w:sz w:val="20"/>
                <w:szCs w:val="20"/>
              </w:rPr>
            </w:pPr>
          </w:p>
        </w:tc>
      </w:tr>
      <w:tr w:rsidR="00495E6B" w:rsidRPr="00C73154" w:rsidTr="009B446D">
        <w:tc>
          <w:tcPr>
            <w:tcW w:w="9720" w:type="dxa"/>
            <w:gridSpan w:val="3"/>
          </w:tcPr>
          <w:p w:rsidR="00495E6B" w:rsidRPr="00C73154" w:rsidRDefault="00495E6B" w:rsidP="009B446D">
            <w:pPr>
              <w:spacing w:line="360" w:lineRule="auto"/>
              <w:jc w:val="both"/>
              <w:rPr>
                <w:rFonts w:ascii="Arial Narrow" w:hAnsi="Arial Narrow" w:cs="Arial"/>
                <w:b/>
                <w:sz w:val="24"/>
                <w:szCs w:val="24"/>
              </w:rPr>
            </w:pPr>
            <w:r w:rsidRPr="00C73154">
              <w:rPr>
                <w:rFonts w:ascii="Arial Narrow" w:hAnsi="Arial Narrow" w:cs="Arial"/>
                <w:b/>
                <w:sz w:val="24"/>
                <w:szCs w:val="24"/>
              </w:rPr>
              <w:t>Reasons for orders:</w:t>
            </w:r>
          </w:p>
        </w:tc>
      </w:tr>
      <w:tr w:rsidR="00495E6B" w:rsidRPr="00C73154" w:rsidTr="009B446D">
        <w:tc>
          <w:tcPr>
            <w:tcW w:w="9720" w:type="dxa"/>
            <w:gridSpan w:val="3"/>
          </w:tcPr>
          <w:p w:rsidR="00495E6B" w:rsidRPr="0008352E" w:rsidRDefault="00495E6B" w:rsidP="009B446D">
            <w:pPr>
              <w:pStyle w:val="ListParagraph"/>
              <w:spacing w:line="360" w:lineRule="auto"/>
              <w:ind w:left="0"/>
              <w:jc w:val="both"/>
              <w:rPr>
                <w:rFonts w:ascii="Arial" w:hAnsi="Arial" w:cs="Arial"/>
                <w:b/>
                <w:color w:val="000000" w:themeColor="text1"/>
                <w:sz w:val="24"/>
                <w:szCs w:val="24"/>
              </w:rPr>
            </w:pPr>
          </w:p>
          <w:p w:rsidR="00C10D24" w:rsidRDefault="00AB7C1C" w:rsidP="00AB7C1C">
            <w:pPr>
              <w:spacing w:line="360" w:lineRule="auto"/>
              <w:jc w:val="both"/>
              <w:rPr>
                <w:rFonts w:ascii="Arial Narrow" w:hAnsi="Arial Narrow" w:cs="Arial"/>
                <w:sz w:val="24"/>
                <w:szCs w:val="24"/>
                <w:lang w:val="en-US"/>
              </w:rPr>
            </w:pPr>
            <w:r>
              <w:rPr>
                <w:rFonts w:ascii="Arial Narrow" w:hAnsi="Arial Narrow" w:cs="Arial"/>
                <w:sz w:val="24"/>
                <w:szCs w:val="24"/>
                <w:lang w:val="en-US"/>
              </w:rPr>
              <w:t xml:space="preserve">[1] </w:t>
            </w:r>
            <w:r w:rsidR="00E564A3">
              <w:rPr>
                <w:rFonts w:ascii="Arial Narrow" w:hAnsi="Arial Narrow" w:cs="Arial"/>
                <w:sz w:val="24"/>
                <w:szCs w:val="24"/>
                <w:lang w:val="en-US"/>
              </w:rPr>
              <w:t>The applicant</w:t>
            </w:r>
            <w:r w:rsidR="00293B7C">
              <w:rPr>
                <w:rFonts w:ascii="Arial Narrow" w:hAnsi="Arial Narrow" w:cs="Arial"/>
                <w:sz w:val="24"/>
                <w:szCs w:val="24"/>
                <w:lang w:val="en-US"/>
              </w:rPr>
              <w:t xml:space="preserve"> herein is a company that conducts mining operations in the Erongo region. The </w:t>
            </w:r>
            <w:r w:rsidR="00D81003">
              <w:rPr>
                <w:rFonts w:ascii="Arial Narrow" w:hAnsi="Arial Narrow" w:cs="Arial"/>
                <w:sz w:val="24"/>
                <w:szCs w:val="24"/>
                <w:lang w:val="en-US"/>
              </w:rPr>
              <w:t xml:space="preserve">first respondent was </w:t>
            </w:r>
            <w:r w:rsidR="00293B7C">
              <w:rPr>
                <w:rFonts w:ascii="Arial Narrow" w:hAnsi="Arial Narrow" w:cs="Arial"/>
                <w:sz w:val="24"/>
                <w:szCs w:val="24"/>
                <w:lang w:val="en-US"/>
              </w:rPr>
              <w:t xml:space="preserve">employed at the said mine as a Senior Plant Protection Technician.   On 21 August 2015 the services of the first respondent was terminated. This was after </w:t>
            </w:r>
            <w:r w:rsidR="00D81003">
              <w:rPr>
                <w:rFonts w:ascii="Arial Narrow" w:hAnsi="Arial Narrow" w:cs="Arial"/>
                <w:sz w:val="24"/>
                <w:szCs w:val="24"/>
                <w:lang w:val="en-US"/>
              </w:rPr>
              <w:t xml:space="preserve">a disciplinary </w:t>
            </w:r>
            <w:r w:rsidR="00293B7C">
              <w:rPr>
                <w:rFonts w:ascii="Arial Narrow" w:hAnsi="Arial Narrow" w:cs="Arial"/>
                <w:sz w:val="24"/>
                <w:szCs w:val="24"/>
                <w:lang w:val="en-US"/>
              </w:rPr>
              <w:t>hearing was conducted</w:t>
            </w:r>
            <w:r w:rsidR="00E36DC5">
              <w:rPr>
                <w:rFonts w:ascii="Arial Narrow" w:hAnsi="Arial Narrow" w:cs="Arial"/>
                <w:sz w:val="24"/>
                <w:szCs w:val="24"/>
                <w:lang w:val="en-US"/>
              </w:rPr>
              <w:t xml:space="preserve">. As a </w:t>
            </w:r>
            <w:r w:rsidR="00E36DC5">
              <w:rPr>
                <w:rFonts w:ascii="Arial Narrow" w:hAnsi="Arial Narrow" w:cs="Arial"/>
                <w:sz w:val="24"/>
                <w:szCs w:val="24"/>
                <w:lang w:val="en-US"/>
              </w:rPr>
              <w:lastRenderedPageBreak/>
              <w:t>result</w:t>
            </w:r>
            <w:r w:rsidR="00F046F2">
              <w:rPr>
                <w:rFonts w:ascii="Arial Narrow" w:hAnsi="Arial Narrow" w:cs="Arial"/>
                <w:sz w:val="24"/>
                <w:szCs w:val="24"/>
                <w:lang w:val="en-US"/>
              </w:rPr>
              <w:t>,</w:t>
            </w:r>
            <w:r w:rsidR="00E36DC5">
              <w:rPr>
                <w:rFonts w:ascii="Arial Narrow" w:hAnsi="Arial Narrow" w:cs="Arial"/>
                <w:sz w:val="24"/>
                <w:szCs w:val="24"/>
                <w:lang w:val="en-US"/>
              </w:rPr>
              <w:t xml:space="preserve"> the first respondent registered a dispute of unfai</w:t>
            </w:r>
            <w:r w:rsidR="00E1033C">
              <w:rPr>
                <w:rFonts w:ascii="Arial Narrow" w:hAnsi="Arial Narrow" w:cs="Arial"/>
                <w:sz w:val="24"/>
                <w:szCs w:val="24"/>
                <w:lang w:val="en-US"/>
              </w:rPr>
              <w:t>r dismissal at</w:t>
            </w:r>
            <w:r w:rsidR="00E36DC5">
              <w:rPr>
                <w:rFonts w:ascii="Arial Narrow" w:hAnsi="Arial Narrow" w:cs="Arial"/>
                <w:sz w:val="24"/>
                <w:szCs w:val="24"/>
                <w:lang w:val="en-US"/>
              </w:rPr>
              <w:t xml:space="preserve"> the Office of the Labour Commissioner, which culminated in proceedings before the second respondent, being an arbitrator at the tribunal. </w:t>
            </w:r>
            <w:r w:rsidR="00D81003">
              <w:rPr>
                <w:rFonts w:ascii="Arial Narrow" w:hAnsi="Arial Narrow" w:cs="Arial"/>
                <w:sz w:val="24"/>
                <w:szCs w:val="24"/>
                <w:lang w:val="en-US"/>
              </w:rPr>
              <w:t xml:space="preserve"> </w:t>
            </w:r>
          </w:p>
          <w:p w:rsidR="00C10D24" w:rsidRDefault="00C10D24" w:rsidP="00AB7C1C">
            <w:pPr>
              <w:spacing w:line="360" w:lineRule="auto"/>
              <w:jc w:val="both"/>
              <w:rPr>
                <w:rFonts w:ascii="Arial Narrow" w:hAnsi="Arial Narrow" w:cs="Arial"/>
                <w:sz w:val="24"/>
                <w:szCs w:val="24"/>
                <w:lang w:val="en-US"/>
              </w:rPr>
            </w:pPr>
          </w:p>
          <w:p w:rsidR="00702B6E" w:rsidRDefault="005D0058" w:rsidP="00AB7C1C">
            <w:pPr>
              <w:spacing w:line="360" w:lineRule="auto"/>
              <w:jc w:val="both"/>
              <w:rPr>
                <w:rFonts w:ascii="Arial Narrow" w:hAnsi="Arial Narrow" w:cs="Arial"/>
                <w:sz w:val="24"/>
                <w:szCs w:val="24"/>
                <w:lang w:val="en-US"/>
              </w:rPr>
            </w:pPr>
            <w:r>
              <w:rPr>
                <w:rFonts w:ascii="Arial Narrow" w:hAnsi="Arial Narrow" w:cs="Arial"/>
                <w:sz w:val="24"/>
                <w:szCs w:val="24"/>
                <w:lang w:val="en-US"/>
              </w:rPr>
              <w:t>[</w:t>
            </w:r>
            <w:r w:rsidR="007C39FF">
              <w:rPr>
                <w:rFonts w:ascii="Arial Narrow" w:hAnsi="Arial Narrow" w:cs="Arial"/>
                <w:sz w:val="24"/>
                <w:szCs w:val="24"/>
                <w:lang w:val="en-US"/>
              </w:rPr>
              <w:t>2</w:t>
            </w:r>
            <w:r>
              <w:rPr>
                <w:rFonts w:ascii="Arial Narrow" w:hAnsi="Arial Narrow" w:cs="Arial"/>
                <w:sz w:val="24"/>
                <w:szCs w:val="24"/>
                <w:lang w:val="en-US"/>
              </w:rPr>
              <w:t>]</w:t>
            </w:r>
            <w:r w:rsidR="00C10D24">
              <w:rPr>
                <w:rFonts w:ascii="Arial Narrow" w:hAnsi="Arial Narrow" w:cs="Arial"/>
                <w:sz w:val="24"/>
                <w:szCs w:val="24"/>
                <w:lang w:val="en-US"/>
              </w:rPr>
              <w:t xml:space="preserve"> </w:t>
            </w:r>
            <w:r w:rsidR="00F046F2">
              <w:rPr>
                <w:rFonts w:ascii="Arial Narrow" w:hAnsi="Arial Narrow" w:cs="Arial"/>
                <w:sz w:val="24"/>
                <w:szCs w:val="24"/>
                <w:lang w:val="en-US"/>
              </w:rPr>
              <w:t xml:space="preserve">  </w:t>
            </w:r>
            <w:r w:rsidR="00D83524">
              <w:rPr>
                <w:rFonts w:ascii="Arial Narrow" w:hAnsi="Arial Narrow" w:cs="Arial"/>
                <w:sz w:val="24"/>
                <w:szCs w:val="24"/>
                <w:lang w:val="en-US"/>
              </w:rPr>
              <w:t xml:space="preserve">It appears from the </w:t>
            </w:r>
            <w:r w:rsidR="00A5339F">
              <w:rPr>
                <w:rFonts w:ascii="Arial Narrow" w:hAnsi="Arial Narrow" w:cs="Arial"/>
                <w:sz w:val="24"/>
                <w:szCs w:val="24"/>
                <w:lang w:val="en-US"/>
              </w:rPr>
              <w:t xml:space="preserve">tribunal’s </w:t>
            </w:r>
            <w:r w:rsidR="00F046F2">
              <w:rPr>
                <w:rFonts w:ascii="Arial Narrow" w:hAnsi="Arial Narrow" w:cs="Arial"/>
                <w:sz w:val="24"/>
                <w:szCs w:val="24"/>
                <w:lang w:val="en-US"/>
              </w:rPr>
              <w:t xml:space="preserve">record </w:t>
            </w:r>
            <w:r w:rsidR="00D83524">
              <w:rPr>
                <w:rFonts w:ascii="Arial Narrow" w:hAnsi="Arial Narrow" w:cs="Arial"/>
                <w:sz w:val="24"/>
                <w:szCs w:val="24"/>
                <w:lang w:val="en-US"/>
              </w:rPr>
              <w:t xml:space="preserve">that </w:t>
            </w:r>
            <w:r w:rsidR="00F046F2">
              <w:rPr>
                <w:rFonts w:ascii="Arial Narrow" w:hAnsi="Arial Narrow" w:cs="Arial"/>
                <w:sz w:val="24"/>
                <w:szCs w:val="24"/>
                <w:lang w:val="en-US"/>
              </w:rPr>
              <w:t xml:space="preserve">two </w:t>
            </w:r>
            <w:r w:rsidR="00F2276D">
              <w:rPr>
                <w:rFonts w:ascii="Arial Narrow" w:hAnsi="Arial Narrow" w:cs="Arial"/>
                <w:sz w:val="24"/>
                <w:szCs w:val="24"/>
                <w:lang w:val="en-US"/>
              </w:rPr>
              <w:t xml:space="preserve">meetings </w:t>
            </w:r>
            <w:r w:rsidR="00F046F2">
              <w:rPr>
                <w:rFonts w:ascii="Arial Narrow" w:hAnsi="Arial Narrow" w:cs="Arial"/>
                <w:sz w:val="24"/>
                <w:szCs w:val="24"/>
                <w:lang w:val="en-US"/>
              </w:rPr>
              <w:t xml:space="preserve">were </w:t>
            </w:r>
            <w:r>
              <w:rPr>
                <w:rFonts w:ascii="Arial Narrow" w:hAnsi="Arial Narrow" w:cs="Arial"/>
                <w:sz w:val="24"/>
                <w:szCs w:val="24"/>
                <w:lang w:val="en-US"/>
              </w:rPr>
              <w:t xml:space="preserve">convened </w:t>
            </w:r>
            <w:r w:rsidR="00F046F2">
              <w:rPr>
                <w:rFonts w:ascii="Arial Narrow" w:hAnsi="Arial Narrow" w:cs="Arial"/>
                <w:sz w:val="24"/>
                <w:szCs w:val="24"/>
                <w:lang w:val="en-US"/>
              </w:rPr>
              <w:t>before the said arbitrator</w:t>
            </w:r>
            <w:r w:rsidR="00D83524">
              <w:rPr>
                <w:rFonts w:ascii="Arial Narrow" w:hAnsi="Arial Narrow" w:cs="Arial"/>
                <w:sz w:val="24"/>
                <w:szCs w:val="24"/>
                <w:lang w:val="en-US"/>
              </w:rPr>
              <w:t xml:space="preserve">, one on </w:t>
            </w:r>
            <w:r w:rsidR="00FE6A00">
              <w:rPr>
                <w:rFonts w:ascii="Arial Narrow" w:hAnsi="Arial Narrow" w:cs="Arial"/>
                <w:sz w:val="24"/>
                <w:szCs w:val="24"/>
                <w:lang w:val="en-US"/>
              </w:rPr>
              <w:t xml:space="preserve">7 </w:t>
            </w:r>
            <w:r w:rsidR="00A5339F">
              <w:rPr>
                <w:rFonts w:ascii="Arial Narrow" w:hAnsi="Arial Narrow" w:cs="Arial"/>
                <w:sz w:val="24"/>
                <w:szCs w:val="24"/>
                <w:lang w:val="en-US"/>
              </w:rPr>
              <w:t>February 2017 and</w:t>
            </w:r>
            <w:r>
              <w:rPr>
                <w:rFonts w:ascii="Arial Narrow" w:hAnsi="Arial Narrow" w:cs="Arial"/>
                <w:sz w:val="24"/>
                <w:szCs w:val="24"/>
                <w:lang w:val="en-US"/>
              </w:rPr>
              <w:t xml:space="preserve"> </w:t>
            </w:r>
            <w:r w:rsidR="00D83524">
              <w:rPr>
                <w:rFonts w:ascii="Arial Narrow" w:hAnsi="Arial Narrow" w:cs="Arial"/>
                <w:sz w:val="24"/>
                <w:szCs w:val="24"/>
                <w:lang w:val="en-US"/>
              </w:rPr>
              <w:t>another one on 1</w:t>
            </w:r>
            <w:r w:rsidR="00F2276D">
              <w:rPr>
                <w:rFonts w:ascii="Arial Narrow" w:hAnsi="Arial Narrow" w:cs="Arial"/>
                <w:sz w:val="24"/>
                <w:szCs w:val="24"/>
                <w:lang w:val="en-US"/>
              </w:rPr>
              <w:t>0 July 2017.  The session of 10 July 2017 was stopped on account of a request by the applicant to stay the proceedings, pending a r</w:t>
            </w:r>
            <w:r w:rsidR="00C07767">
              <w:rPr>
                <w:rFonts w:ascii="Arial Narrow" w:hAnsi="Arial Narrow" w:cs="Arial"/>
                <w:sz w:val="24"/>
                <w:szCs w:val="24"/>
                <w:lang w:val="en-US"/>
              </w:rPr>
              <w:t>eview</w:t>
            </w:r>
            <w:r w:rsidR="00F2276D">
              <w:rPr>
                <w:rFonts w:ascii="Arial Narrow" w:hAnsi="Arial Narrow" w:cs="Arial"/>
                <w:sz w:val="24"/>
                <w:szCs w:val="24"/>
                <w:lang w:val="en-US"/>
              </w:rPr>
              <w:t xml:space="preserve"> thereof </w:t>
            </w:r>
            <w:r w:rsidR="00C07767">
              <w:rPr>
                <w:rFonts w:ascii="Arial Narrow" w:hAnsi="Arial Narrow" w:cs="Arial"/>
                <w:sz w:val="24"/>
                <w:szCs w:val="24"/>
                <w:lang w:val="en-US"/>
              </w:rPr>
              <w:t>by the High Cour</w:t>
            </w:r>
            <w:r w:rsidR="00F2276D">
              <w:rPr>
                <w:rFonts w:ascii="Arial Narrow" w:hAnsi="Arial Narrow" w:cs="Arial"/>
                <w:sz w:val="24"/>
                <w:szCs w:val="24"/>
                <w:lang w:val="en-US"/>
              </w:rPr>
              <w:t>t. At the time</w:t>
            </w:r>
            <w:r w:rsidR="00702B6E">
              <w:rPr>
                <w:rFonts w:ascii="Arial Narrow" w:hAnsi="Arial Narrow" w:cs="Arial"/>
                <w:sz w:val="24"/>
                <w:szCs w:val="24"/>
                <w:lang w:val="en-US"/>
              </w:rPr>
              <w:t xml:space="preserve"> </w:t>
            </w:r>
            <w:r w:rsidR="008B6508">
              <w:rPr>
                <w:rFonts w:ascii="Arial Narrow" w:hAnsi="Arial Narrow" w:cs="Arial"/>
                <w:sz w:val="24"/>
                <w:szCs w:val="24"/>
                <w:lang w:val="en-US"/>
              </w:rPr>
              <w:t xml:space="preserve">that the proceedings were brought to a halt, the representatives were making oral submissions before the arbitrator, </w:t>
            </w:r>
            <w:r w:rsidR="00702B6E">
              <w:rPr>
                <w:rFonts w:ascii="Arial Narrow" w:hAnsi="Arial Narrow" w:cs="Arial"/>
                <w:sz w:val="24"/>
                <w:szCs w:val="24"/>
                <w:lang w:val="en-US"/>
              </w:rPr>
              <w:t xml:space="preserve">no evidence </w:t>
            </w:r>
            <w:r w:rsidR="00212A9A">
              <w:rPr>
                <w:rFonts w:ascii="Arial Narrow" w:hAnsi="Arial Narrow" w:cs="Arial"/>
                <w:sz w:val="24"/>
                <w:szCs w:val="24"/>
                <w:lang w:val="en-US"/>
              </w:rPr>
              <w:t>commenced and no award was made.</w:t>
            </w:r>
          </w:p>
          <w:p w:rsidR="00212A9A" w:rsidRDefault="00212A9A" w:rsidP="00AB7C1C">
            <w:pPr>
              <w:spacing w:line="360" w:lineRule="auto"/>
              <w:jc w:val="both"/>
              <w:rPr>
                <w:rFonts w:ascii="Arial Narrow" w:hAnsi="Arial Narrow" w:cs="Arial"/>
                <w:sz w:val="24"/>
                <w:szCs w:val="24"/>
                <w:lang w:val="en-US"/>
              </w:rPr>
            </w:pPr>
          </w:p>
          <w:p w:rsidR="00E564A3" w:rsidRDefault="005D0058" w:rsidP="00AB7C1C">
            <w:pPr>
              <w:spacing w:line="360" w:lineRule="auto"/>
              <w:jc w:val="both"/>
              <w:rPr>
                <w:rFonts w:ascii="Arial Narrow" w:hAnsi="Arial Narrow" w:cs="Arial"/>
                <w:sz w:val="24"/>
                <w:szCs w:val="24"/>
                <w:lang w:val="en-US"/>
              </w:rPr>
            </w:pPr>
            <w:r>
              <w:rPr>
                <w:rFonts w:ascii="Arial Narrow" w:hAnsi="Arial Narrow" w:cs="Arial"/>
                <w:sz w:val="24"/>
                <w:szCs w:val="24"/>
                <w:lang w:val="en-US"/>
              </w:rPr>
              <w:t>[3]</w:t>
            </w:r>
            <w:r w:rsidR="00212A9A">
              <w:rPr>
                <w:rFonts w:ascii="Arial Narrow" w:hAnsi="Arial Narrow" w:cs="Arial"/>
                <w:sz w:val="24"/>
                <w:szCs w:val="24"/>
                <w:lang w:val="en-US"/>
              </w:rPr>
              <w:t xml:space="preserve"> </w:t>
            </w:r>
            <w:r w:rsidR="00702B6E">
              <w:rPr>
                <w:rFonts w:ascii="Arial Narrow" w:hAnsi="Arial Narrow" w:cs="Arial"/>
                <w:sz w:val="24"/>
                <w:szCs w:val="24"/>
                <w:lang w:val="en-US"/>
              </w:rPr>
              <w:t xml:space="preserve">The applicant approached the Labor Court for relief in the following terms: </w:t>
            </w:r>
            <w:r w:rsidR="00F046F2">
              <w:rPr>
                <w:rFonts w:ascii="Arial Narrow" w:hAnsi="Arial Narrow" w:cs="Arial"/>
                <w:sz w:val="24"/>
                <w:szCs w:val="24"/>
                <w:lang w:val="en-US"/>
              </w:rPr>
              <w:t xml:space="preserve"> </w:t>
            </w:r>
          </w:p>
          <w:p w:rsidR="007C39FF" w:rsidRDefault="007C39FF" w:rsidP="00AB7C1C">
            <w:pPr>
              <w:spacing w:line="360" w:lineRule="auto"/>
              <w:jc w:val="both"/>
              <w:rPr>
                <w:rFonts w:ascii="Arial Narrow" w:hAnsi="Arial Narrow" w:cs="Arial"/>
                <w:sz w:val="24"/>
                <w:szCs w:val="24"/>
                <w:lang w:val="en-US"/>
              </w:rPr>
            </w:pPr>
          </w:p>
          <w:p w:rsidR="00FD2688" w:rsidRDefault="00FD2688" w:rsidP="00AB7C1C">
            <w:pPr>
              <w:spacing w:line="360" w:lineRule="auto"/>
              <w:jc w:val="both"/>
              <w:rPr>
                <w:rFonts w:ascii="Arial Narrow" w:hAnsi="Arial Narrow" w:cs="Arial"/>
                <w:sz w:val="24"/>
                <w:szCs w:val="24"/>
                <w:lang w:val="en-US"/>
              </w:rPr>
            </w:pPr>
            <w:r>
              <w:rPr>
                <w:rFonts w:ascii="Arial Narrow" w:hAnsi="Arial Narrow" w:cs="Arial"/>
                <w:sz w:val="24"/>
                <w:szCs w:val="24"/>
                <w:lang w:val="en-US"/>
              </w:rPr>
              <w:t>1.1. Reviewing and setting aside the proceedings and decisions of the second respondent handed down on 10 July 1017 insofar as the following decisions are concerned:</w:t>
            </w:r>
          </w:p>
          <w:p w:rsidR="00FD2688" w:rsidRDefault="00FD2688" w:rsidP="00AB7C1C">
            <w:pPr>
              <w:spacing w:line="360" w:lineRule="auto"/>
              <w:jc w:val="both"/>
              <w:rPr>
                <w:rFonts w:ascii="Arial Narrow" w:hAnsi="Arial Narrow" w:cs="Arial"/>
                <w:sz w:val="24"/>
                <w:szCs w:val="24"/>
                <w:lang w:val="en-US"/>
              </w:rPr>
            </w:pPr>
            <w:r>
              <w:rPr>
                <w:rFonts w:ascii="Arial Narrow" w:hAnsi="Arial Narrow" w:cs="Arial"/>
                <w:sz w:val="24"/>
                <w:szCs w:val="24"/>
                <w:lang w:val="en-US"/>
              </w:rPr>
              <w:t xml:space="preserve">1.1. That the applicant ( the respondent in the proceedings a quo) may not raise points </w:t>
            </w:r>
            <w:r w:rsidRPr="00842E17">
              <w:rPr>
                <w:rFonts w:ascii="Arial Narrow" w:hAnsi="Arial Narrow" w:cs="Arial"/>
                <w:i/>
                <w:sz w:val="24"/>
                <w:szCs w:val="24"/>
                <w:lang w:val="en-US"/>
              </w:rPr>
              <w:t>in limine</w:t>
            </w:r>
            <w:r>
              <w:rPr>
                <w:rFonts w:ascii="Arial Narrow" w:hAnsi="Arial Narrow" w:cs="Arial"/>
                <w:sz w:val="24"/>
                <w:szCs w:val="24"/>
                <w:lang w:val="en-US"/>
              </w:rPr>
              <w:t>;</w:t>
            </w:r>
          </w:p>
          <w:p w:rsidR="00FD2688" w:rsidRDefault="00FD2688" w:rsidP="00AB7C1C">
            <w:pPr>
              <w:spacing w:line="360" w:lineRule="auto"/>
              <w:jc w:val="both"/>
              <w:rPr>
                <w:rFonts w:ascii="Arial Narrow" w:hAnsi="Arial Narrow" w:cs="Arial"/>
                <w:sz w:val="24"/>
                <w:szCs w:val="24"/>
                <w:lang w:val="en-US"/>
              </w:rPr>
            </w:pPr>
            <w:r>
              <w:rPr>
                <w:rFonts w:ascii="Arial Narrow" w:hAnsi="Arial Narrow" w:cs="Arial"/>
                <w:sz w:val="24"/>
                <w:szCs w:val="24"/>
                <w:lang w:val="en-US"/>
              </w:rPr>
              <w:t>1.2 That the dispute referred should be adjudicated upon the document filed on 16 May 2016 be reviewed and set aside.</w:t>
            </w:r>
          </w:p>
          <w:p w:rsidR="00FD2688" w:rsidRDefault="00FD2688" w:rsidP="00AB7C1C">
            <w:pPr>
              <w:spacing w:line="360" w:lineRule="auto"/>
              <w:jc w:val="both"/>
              <w:rPr>
                <w:rFonts w:ascii="Arial Narrow" w:hAnsi="Arial Narrow" w:cs="Arial"/>
                <w:sz w:val="24"/>
                <w:szCs w:val="24"/>
                <w:lang w:val="en-US"/>
              </w:rPr>
            </w:pPr>
            <w:r>
              <w:rPr>
                <w:rFonts w:ascii="Arial Narrow" w:hAnsi="Arial Narrow" w:cs="Arial"/>
                <w:sz w:val="24"/>
                <w:szCs w:val="24"/>
                <w:lang w:val="en-US"/>
              </w:rPr>
              <w:t>1.3 Declaring that the referral notice by the first respondent dated 16 May 2016 was defective;</w:t>
            </w:r>
          </w:p>
          <w:p w:rsidR="00FD2688" w:rsidRDefault="00FD2688" w:rsidP="00AB7C1C">
            <w:pPr>
              <w:spacing w:line="360" w:lineRule="auto"/>
              <w:jc w:val="both"/>
              <w:rPr>
                <w:rFonts w:ascii="Arial Narrow" w:hAnsi="Arial Narrow" w:cs="Arial"/>
                <w:sz w:val="24"/>
                <w:szCs w:val="24"/>
                <w:lang w:val="en-US"/>
              </w:rPr>
            </w:pPr>
            <w:r>
              <w:rPr>
                <w:rFonts w:ascii="Arial Narrow" w:hAnsi="Arial Narrow" w:cs="Arial"/>
                <w:sz w:val="24"/>
                <w:szCs w:val="24"/>
                <w:lang w:val="en-US"/>
              </w:rPr>
              <w:t>1.4 Declaring further that a complete referral notice was only served by 27 June 2016;</w:t>
            </w:r>
          </w:p>
          <w:p w:rsidR="00FD2688" w:rsidRDefault="00FD2688" w:rsidP="00AB7C1C">
            <w:pPr>
              <w:spacing w:line="360" w:lineRule="auto"/>
              <w:jc w:val="both"/>
              <w:rPr>
                <w:rFonts w:ascii="Arial Narrow" w:hAnsi="Arial Narrow" w:cs="Arial"/>
                <w:sz w:val="24"/>
                <w:szCs w:val="24"/>
                <w:lang w:val="en-US"/>
              </w:rPr>
            </w:pPr>
            <w:r>
              <w:rPr>
                <w:rFonts w:ascii="Arial Narrow" w:hAnsi="Arial Narrow" w:cs="Arial"/>
                <w:sz w:val="24"/>
                <w:szCs w:val="24"/>
                <w:lang w:val="en-US"/>
              </w:rPr>
              <w:t>1.5 That the arbitration proceedings (if any) be commenced with de novo before a different arbitrator.</w:t>
            </w:r>
          </w:p>
          <w:p w:rsidR="00FD2688" w:rsidRDefault="00FD2688" w:rsidP="00AB7C1C">
            <w:pPr>
              <w:spacing w:line="360" w:lineRule="auto"/>
              <w:jc w:val="both"/>
              <w:rPr>
                <w:rFonts w:ascii="Arial Narrow" w:hAnsi="Arial Narrow" w:cs="Arial"/>
                <w:sz w:val="24"/>
                <w:szCs w:val="24"/>
                <w:lang w:val="en-US"/>
              </w:rPr>
            </w:pPr>
            <w:r>
              <w:rPr>
                <w:rFonts w:ascii="Arial Narrow" w:hAnsi="Arial Narrow" w:cs="Arial"/>
                <w:sz w:val="24"/>
                <w:szCs w:val="24"/>
                <w:lang w:val="en-US"/>
              </w:rPr>
              <w:t>2. Cost of suit ( if the application is opposed)</w:t>
            </w:r>
          </w:p>
          <w:p w:rsidR="00FD2688" w:rsidRDefault="00FD2688" w:rsidP="00AB7C1C">
            <w:pPr>
              <w:spacing w:line="360" w:lineRule="auto"/>
              <w:jc w:val="both"/>
              <w:rPr>
                <w:rFonts w:ascii="Arial Narrow" w:hAnsi="Arial Narrow" w:cs="Arial"/>
                <w:sz w:val="24"/>
                <w:szCs w:val="24"/>
                <w:lang w:val="en-US"/>
              </w:rPr>
            </w:pPr>
            <w:r>
              <w:rPr>
                <w:rFonts w:ascii="Arial Narrow" w:hAnsi="Arial Narrow" w:cs="Arial"/>
                <w:sz w:val="24"/>
                <w:szCs w:val="24"/>
                <w:lang w:val="en-US"/>
              </w:rPr>
              <w:t>3. Further and or alternative relief.</w:t>
            </w:r>
          </w:p>
          <w:p w:rsidR="00FD2688" w:rsidRDefault="00FD2688" w:rsidP="00AB7C1C">
            <w:pPr>
              <w:spacing w:line="360" w:lineRule="auto"/>
              <w:jc w:val="both"/>
              <w:rPr>
                <w:rFonts w:ascii="Arial Narrow" w:hAnsi="Arial Narrow" w:cs="Arial"/>
                <w:sz w:val="24"/>
                <w:szCs w:val="24"/>
                <w:lang w:val="en-US"/>
              </w:rPr>
            </w:pPr>
          </w:p>
          <w:p w:rsidR="00FD2688" w:rsidRDefault="007C39FF" w:rsidP="00AB7C1C">
            <w:pPr>
              <w:spacing w:line="360" w:lineRule="auto"/>
              <w:jc w:val="both"/>
              <w:rPr>
                <w:rFonts w:ascii="Arial Narrow" w:hAnsi="Arial Narrow" w:cs="Arial"/>
                <w:sz w:val="24"/>
                <w:szCs w:val="24"/>
                <w:lang w:val="en-US"/>
              </w:rPr>
            </w:pPr>
            <w:r>
              <w:rPr>
                <w:rFonts w:ascii="Arial Narrow" w:hAnsi="Arial Narrow" w:cs="Arial"/>
                <w:sz w:val="24"/>
                <w:szCs w:val="24"/>
                <w:lang w:val="en-US"/>
              </w:rPr>
              <w:t>[4</w:t>
            </w:r>
            <w:r w:rsidR="005D0058">
              <w:rPr>
                <w:rFonts w:ascii="Arial Narrow" w:hAnsi="Arial Narrow" w:cs="Arial"/>
                <w:sz w:val="24"/>
                <w:szCs w:val="24"/>
                <w:lang w:val="en-US"/>
              </w:rPr>
              <w:t>]</w:t>
            </w:r>
            <w:r w:rsidR="00212A9A">
              <w:rPr>
                <w:rFonts w:ascii="Arial Narrow" w:hAnsi="Arial Narrow" w:cs="Arial"/>
                <w:sz w:val="24"/>
                <w:szCs w:val="24"/>
                <w:lang w:val="en-US"/>
              </w:rPr>
              <w:t xml:space="preserve"> </w:t>
            </w:r>
            <w:r w:rsidR="00044F2B">
              <w:rPr>
                <w:rFonts w:ascii="Arial Narrow" w:hAnsi="Arial Narrow" w:cs="Arial"/>
                <w:sz w:val="24"/>
                <w:szCs w:val="24"/>
                <w:lang w:val="en-US"/>
              </w:rPr>
              <w:t xml:space="preserve">The matter was </w:t>
            </w:r>
            <w:r w:rsidR="001F0E32">
              <w:rPr>
                <w:rFonts w:ascii="Arial Narrow" w:hAnsi="Arial Narrow" w:cs="Arial"/>
                <w:sz w:val="24"/>
                <w:szCs w:val="24"/>
                <w:lang w:val="en-US"/>
              </w:rPr>
              <w:t>oppo</w:t>
            </w:r>
            <w:r w:rsidR="00FE6A00">
              <w:rPr>
                <w:rFonts w:ascii="Arial Narrow" w:hAnsi="Arial Narrow" w:cs="Arial"/>
                <w:sz w:val="24"/>
                <w:szCs w:val="24"/>
                <w:lang w:val="en-US"/>
              </w:rPr>
              <w:t xml:space="preserve">sed by the first respondent </w:t>
            </w:r>
            <w:r w:rsidR="001F0E32">
              <w:rPr>
                <w:rFonts w:ascii="Arial Narrow" w:hAnsi="Arial Narrow" w:cs="Arial"/>
                <w:sz w:val="24"/>
                <w:szCs w:val="24"/>
                <w:lang w:val="en-US"/>
              </w:rPr>
              <w:t xml:space="preserve">and was </w:t>
            </w:r>
            <w:r w:rsidR="00044F2B">
              <w:rPr>
                <w:rFonts w:ascii="Arial Narrow" w:hAnsi="Arial Narrow" w:cs="Arial"/>
                <w:sz w:val="24"/>
                <w:szCs w:val="24"/>
                <w:lang w:val="en-US"/>
              </w:rPr>
              <w:t>set down for hearing on 14 February 2019</w:t>
            </w:r>
            <w:r w:rsidR="001F0E32">
              <w:rPr>
                <w:rFonts w:ascii="Arial Narrow" w:hAnsi="Arial Narrow" w:cs="Arial"/>
                <w:sz w:val="24"/>
                <w:szCs w:val="24"/>
                <w:lang w:val="en-US"/>
              </w:rPr>
              <w:t>. At the</w:t>
            </w:r>
            <w:r w:rsidR="00044F2B">
              <w:rPr>
                <w:rFonts w:ascii="Arial Narrow" w:hAnsi="Arial Narrow" w:cs="Arial"/>
                <w:sz w:val="24"/>
                <w:szCs w:val="24"/>
                <w:lang w:val="en-US"/>
              </w:rPr>
              <w:t xml:space="preserve"> time</w:t>
            </w:r>
            <w:r>
              <w:rPr>
                <w:rFonts w:ascii="Arial Narrow" w:hAnsi="Arial Narrow" w:cs="Arial"/>
                <w:sz w:val="24"/>
                <w:szCs w:val="24"/>
                <w:lang w:val="en-US"/>
              </w:rPr>
              <w:t>,</w:t>
            </w:r>
            <w:r w:rsidR="00044F2B">
              <w:rPr>
                <w:rFonts w:ascii="Arial Narrow" w:hAnsi="Arial Narrow" w:cs="Arial"/>
                <w:sz w:val="24"/>
                <w:szCs w:val="24"/>
                <w:lang w:val="en-US"/>
              </w:rPr>
              <w:t xml:space="preserve"> I directed the parties to address the court on the question of wheth</w:t>
            </w:r>
            <w:r w:rsidR="001F0E32">
              <w:rPr>
                <w:rFonts w:ascii="Arial Narrow" w:hAnsi="Arial Narrow" w:cs="Arial"/>
                <w:sz w:val="24"/>
                <w:szCs w:val="24"/>
                <w:lang w:val="en-US"/>
              </w:rPr>
              <w:t>er the Labor Court has the jurisdiction or power</w:t>
            </w:r>
            <w:r w:rsidR="00044F2B">
              <w:rPr>
                <w:rFonts w:ascii="Arial Narrow" w:hAnsi="Arial Narrow" w:cs="Arial"/>
                <w:sz w:val="24"/>
                <w:szCs w:val="24"/>
                <w:lang w:val="en-US"/>
              </w:rPr>
              <w:t xml:space="preserve"> to h</w:t>
            </w:r>
            <w:r w:rsidR="008050F6">
              <w:rPr>
                <w:rFonts w:ascii="Arial Narrow" w:hAnsi="Arial Narrow" w:cs="Arial"/>
                <w:sz w:val="24"/>
                <w:szCs w:val="24"/>
                <w:lang w:val="en-US"/>
              </w:rPr>
              <w:t>ear the matter in terms of the Labour Act 11 of 2007.</w:t>
            </w:r>
          </w:p>
          <w:p w:rsidR="00044F2B" w:rsidRDefault="00044F2B" w:rsidP="00AB7C1C">
            <w:pPr>
              <w:spacing w:line="360" w:lineRule="auto"/>
              <w:jc w:val="both"/>
              <w:rPr>
                <w:rFonts w:ascii="Arial Narrow" w:hAnsi="Arial Narrow" w:cs="Arial"/>
                <w:sz w:val="24"/>
                <w:szCs w:val="24"/>
                <w:lang w:val="en-US"/>
              </w:rPr>
            </w:pPr>
          </w:p>
          <w:p w:rsidR="00044F2B" w:rsidRPr="005D0058" w:rsidRDefault="007C39FF" w:rsidP="005D0058">
            <w:pPr>
              <w:spacing w:line="360" w:lineRule="auto"/>
              <w:jc w:val="both"/>
              <w:rPr>
                <w:rFonts w:ascii="Arial Narrow" w:hAnsi="Arial Narrow" w:cs="Arial"/>
                <w:sz w:val="24"/>
                <w:szCs w:val="24"/>
                <w:lang w:val="en-US"/>
              </w:rPr>
            </w:pPr>
            <w:r>
              <w:rPr>
                <w:rFonts w:ascii="Arial Narrow" w:hAnsi="Arial Narrow" w:cs="Arial"/>
                <w:sz w:val="24"/>
                <w:szCs w:val="24"/>
                <w:lang w:val="en-US"/>
              </w:rPr>
              <w:t>[5</w:t>
            </w:r>
            <w:r w:rsidR="005D0058">
              <w:rPr>
                <w:rFonts w:ascii="Arial Narrow" w:hAnsi="Arial Narrow" w:cs="Arial"/>
                <w:sz w:val="24"/>
                <w:szCs w:val="24"/>
                <w:lang w:val="en-US"/>
              </w:rPr>
              <w:t xml:space="preserve">] </w:t>
            </w:r>
            <w:r w:rsidR="00AB660B">
              <w:rPr>
                <w:rFonts w:ascii="Arial Narrow" w:hAnsi="Arial Narrow" w:cs="Arial"/>
                <w:sz w:val="24"/>
                <w:szCs w:val="24"/>
                <w:lang w:val="en-US"/>
              </w:rPr>
              <w:t>Couns</w:t>
            </w:r>
            <w:r w:rsidR="00E1033C">
              <w:rPr>
                <w:rFonts w:ascii="Arial Narrow" w:hAnsi="Arial Narrow" w:cs="Arial"/>
                <w:sz w:val="24"/>
                <w:szCs w:val="24"/>
                <w:lang w:val="en-US"/>
              </w:rPr>
              <w:t>e</w:t>
            </w:r>
            <w:r w:rsidR="001F0E32" w:rsidRPr="005D0058">
              <w:rPr>
                <w:rFonts w:ascii="Arial Narrow" w:hAnsi="Arial Narrow" w:cs="Arial"/>
                <w:sz w:val="24"/>
                <w:szCs w:val="24"/>
                <w:lang w:val="en-US"/>
              </w:rPr>
              <w:t>l for the a</w:t>
            </w:r>
            <w:r w:rsidR="004E30D1" w:rsidRPr="005D0058">
              <w:rPr>
                <w:rFonts w:ascii="Arial Narrow" w:hAnsi="Arial Narrow" w:cs="Arial"/>
                <w:sz w:val="24"/>
                <w:szCs w:val="24"/>
                <w:lang w:val="en-US"/>
              </w:rPr>
              <w:t xml:space="preserve">pplicant submitted that the Labour Court has the </w:t>
            </w:r>
            <w:r w:rsidR="001F0E32" w:rsidRPr="005D0058">
              <w:rPr>
                <w:rFonts w:ascii="Arial Narrow" w:hAnsi="Arial Narrow" w:cs="Arial"/>
                <w:sz w:val="24"/>
                <w:szCs w:val="24"/>
                <w:lang w:val="en-US"/>
              </w:rPr>
              <w:t xml:space="preserve">necessary jurisdiction </w:t>
            </w:r>
            <w:r w:rsidR="00697B28">
              <w:rPr>
                <w:rFonts w:ascii="Arial Narrow" w:hAnsi="Arial Narrow" w:cs="Arial"/>
                <w:sz w:val="24"/>
                <w:szCs w:val="24"/>
                <w:lang w:val="en-US"/>
              </w:rPr>
              <w:t xml:space="preserve">to review the matter </w:t>
            </w:r>
            <w:r w:rsidR="001F0E32" w:rsidRPr="005D0058">
              <w:rPr>
                <w:rFonts w:ascii="Arial Narrow" w:hAnsi="Arial Narrow" w:cs="Arial"/>
                <w:sz w:val="24"/>
                <w:szCs w:val="24"/>
                <w:lang w:val="en-US"/>
              </w:rPr>
              <w:t>by virtue of s</w:t>
            </w:r>
            <w:r w:rsidR="00E1033C">
              <w:rPr>
                <w:rFonts w:ascii="Arial Narrow" w:hAnsi="Arial Narrow" w:cs="Arial"/>
                <w:sz w:val="24"/>
                <w:szCs w:val="24"/>
                <w:lang w:val="en-US"/>
              </w:rPr>
              <w:t>.</w:t>
            </w:r>
            <w:r w:rsidR="001F0E32" w:rsidRPr="005D0058">
              <w:rPr>
                <w:rFonts w:ascii="Arial Narrow" w:hAnsi="Arial Narrow" w:cs="Arial"/>
                <w:sz w:val="24"/>
                <w:szCs w:val="24"/>
                <w:lang w:val="en-US"/>
              </w:rPr>
              <w:t xml:space="preserve"> 89(4) and (5) of </w:t>
            </w:r>
            <w:r w:rsidR="008050F6">
              <w:rPr>
                <w:rFonts w:ascii="Arial Narrow" w:hAnsi="Arial Narrow" w:cs="Arial"/>
                <w:sz w:val="24"/>
                <w:szCs w:val="24"/>
                <w:lang w:val="en-US"/>
              </w:rPr>
              <w:t>the Act</w:t>
            </w:r>
            <w:r w:rsidR="00E95DA2">
              <w:rPr>
                <w:rFonts w:ascii="Arial Narrow" w:hAnsi="Arial Narrow" w:cs="Arial"/>
                <w:sz w:val="24"/>
                <w:szCs w:val="24"/>
                <w:lang w:val="en-US"/>
              </w:rPr>
              <w:t>. C</w:t>
            </w:r>
            <w:r w:rsidR="00AB660B">
              <w:rPr>
                <w:rFonts w:ascii="Arial Narrow" w:hAnsi="Arial Narrow" w:cs="Arial"/>
                <w:sz w:val="24"/>
                <w:szCs w:val="24"/>
                <w:lang w:val="en-US"/>
              </w:rPr>
              <w:t>ouns</w:t>
            </w:r>
            <w:r w:rsidR="00E1033C">
              <w:rPr>
                <w:rFonts w:ascii="Arial Narrow" w:hAnsi="Arial Narrow" w:cs="Arial"/>
                <w:sz w:val="24"/>
                <w:szCs w:val="24"/>
                <w:lang w:val="en-US"/>
              </w:rPr>
              <w:t>el for the first respondent</w:t>
            </w:r>
            <w:r w:rsidR="00E95DA2">
              <w:rPr>
                <w:rFonts w:ascii="Arial Narrow" w:hAnsi="Arial Narrow" w:cs="Arial"/>
                <w:sz w:val="24"/>
                <w:szCs w:val="24"/>
                <w:lang w:val="en-US"/>
              </w:rPr>
              <w:t xml:space="preserve">’s position was that </w:t>
            </w:r>
            <w:r w:rsidR="00F35E30">
              <w:rPr>
                <w:rFonts w:ascii="Arial Narrow" w:hAnsi="Arial Narrow" w:cs="Arial"/>
                <w:sz w:val="24"/>
                <w:szCs w:val="24"/>
                <w:lang w:val="en-US"/>
              </w:rPr>
              <w:t>though</w:t>
            </w:r>
            <w:r w:rsidR="00E95DA2">
              <w:rPr>
                <w:rFonts w:ascii="Arial Narrow" w:hAnsi="Arial Narrow" w:cs="Arial"/>
                <w:sz w:val="24"/>
                <w:szCs w:val="24"/>
                <w:lang w:val="en-US"/>
              </w:rPr>
              <w:t xml:space="preserve"> </w:t>
            </w:r>
            <w:r w:rsidR="00F35E30">
              <w:rPr>
                <w:rFonts w:ascii="Arial Narrow" w:hAnsi="Arial Narrow" w:cs="Arial"/>
                <w:sz w:val="24"/>
                <w:szCs w:val="24"/>
                <w:lang w:val="en-US"/>
              </w:rPr>
              <w:t xml:space="preserve">the court may </w:t>
            </w:r>
            <w:r w:rsidR="00E95DA2">
              <w:rPr>
                <w:rFonts w:ascii="Arial Narrow" w:hAnsi="Arial Narrow" w:cs="Arial"/>
                <w:sz w:val="24"/>
                <w:szCs w:val="24"/>
                <w:lang w:val="en-US"/>
              </w:rPr>
              <w:t xml:space="preserve">proceed to </w:t>
            </w:r>
            <w:r w:rsidR="00F35E30">
              <w:rPr>
                <w:rFonts w:ascii="Arial Narrow" w:hAnsi="Arial Narrow" w:cs="Arial"/>
                <w:sz w:val="24"/>
                <w:szCs w:val="24"/>
                <w:lang w:val="en-US"/>
              </w:rPr>
              <w:t xml:space="preserve">hear the </w:t>
            </w:r>
            <w:r w:rsidR="00E95DA2">
              <w:rPr>
                <w:rFonts w:ascii="Arial Narrow" w:hAnsi="Arial Narrow" w:cs="Arial"/>
                <w:sz w:val="24"/>
                <w:szCs w:val="24"/>
                <w:lang w:val="en-US"/>
              </w:rPr>
              <w:t xml:space="preserve">case, in the context of the matter </w:t>
            </w:r>
            <w:r w:rsidR="00F35E30">
              <w:rPr>
                <w:rFonts w:ascii="Arial Narrow" w:hAnsi="Arial Narrow" w:cs="Arial"/>
                <w:sz w:val="24"/>
                <w:szCs w:val="24"/>
                <w:lang w:val="en-US"/>
              </w:rPr>
              <w:t xml:space="preserve">it is only an </w:t>
            </w:r>
            <w:r w:rsidR="001F0E32" w:rsidRPr="005D0058">
              <w:rPr>
                <w:rFonts w:ascii="Arial Narrow" w:hAnsi="Arial Narrow" w:cs="Arial"/>
                <w:sz w:val="24"/>
                <w:szCs w:val="24"/>
                <w:lang w:val="en-US"/>
              </w:rPr>
              <w:t xml:space="preserve">award </w:t>
            </w:r>
            <w:r w:rsidR="00F35E30">
              <w:rPr>
                <w:rFonts w:ascii="Arial Narrow" w:hAnsi="Arial Narrow" w:cs="Arial"/>
                <w:sz w:val="24"/>
                <w:szCs w:val="24"/>
                <w:lang w:val="en-US"/>
              </w:rPr>
              <w:t xml:space="preserve">that can be taken on review. </w:t>
            </w:r>
          </w:p>
          <w:p w:rsidR="00E46D6E" w:rsidRDefault="00E46D6E" w:rsidP="00E46D6E">
            <w:pPr>
              <w:pStyle w:val="ListParagraph"/>
              <w:spacing w:line="360" w:lineRule="auto"/>
              <w:jc w:val="both"/>
              <w:rPr>
                <w:rFonts w:ascii="Arial Narrow" w:hAnsi="Arial Narrow" w:cs="Arial"/>
                <w:sz w:val="24"/>
                <w:szCs w:val="24"/>
                <w:lang w:val="en-US"/>
              </w:rPr>
            </w:pPr>
          </w:p>
          <w:p w:rsidR="001F0E32" w:rsidRPr="005D0058" w:rsidRDefault="007C39FF" w:rsidP="005D0058">
            <w:pPr>
              <w:spacing w:line="360" w:lineRule="auto"/>
              <w:jc w:val="both"/>
              <w:rPr>
                <w:rFonts w:ascii="Arial Narrow" w:hAnsi="Arial Narrow" w:cs="Arial"/>
                <w:sz w:val="24"/>
                <w:szCs w:val="24"/>
                <w:lang w:val="en-US"/>
              </w:rPr>
            </w:pPr>
            <w:r>
              <w:rPr>
                <w:rFonts w:ascii="Arial Narrow" w:hAnsi="Arial Narrow" w:cs="Arial"/>
                <w:sz w:val="24"/>
                <w:szCs w:val="24"/>
                <w:lang w:val="en-US"/>
              </w:rPr>
              <w:t>[6</w:t>
            </w:r>
            <w:r w:rsidR="005D0058">
              <w:rPr>
                <w:rFonts w:ascii="Arial Narrow" w:hAnsi="Arial Narrow" w:cs="Arial"/>
                <w:sz w:val="24"/>
                <w:szCs w:val="24"/>
                <w:lang w:val="en-US"/>
              </w:rPr>
              <w:t xml:space="preserve">] </w:t>
            </w:r>
            <w:r w:rsidR="001F0E32" w:rsidRPr="005D0058">
              <w:rPr>
                <w:rFonts w:ascii="Arial Narrow" w:hAnsi="Arial Narrow" w:cs="Arial"/>
                <w:sz w:val="24"/>
                <w:szCs w:val="24"/>
                <w:lang w:val="en-US"/>
              </w:rPr>
              <w:t>The court</w:t>
            </w:r>
            <w:r w:rsidR="00C10D24" w:rsidRPr="005D0058">
              <w:rPr>
                <w:rFonts w:ascii="Arial Narrow" w:hAnsi="Arial Narrow" w:cs="Arial"/>
                <w:sz w:val="24"/>
                <w:szCs w:val="24"/>
                <w:lang w:val="en-US"/>
              </w:rPr>
              <w:t xml:space="preserve"> </w:t>
            </w:r>
            <w:r w:rsidR="00A71AC3" w:rsidRPr="005D0058">
              <w:rPr>
                <w:rFonts w:ascii="Arial Narrow" w:hAnsi="Arial Narrow" w:cs="Arial"/>
                <w:sz w:val="24"/>
                <w:szCs w:val="24"/>
                <w:lang w:val="en-US"/>
              </w:rPr>
              <w:t>struck the matter from the rol</w:t>
            </w:r>
            <w:r w:rsidR="00D701BF">
              <w:rPr>
                <w:rFonts w:ascii="Arial Narrow" w:hAnsi="Arial Narrow" w:cs="Arial"/>
                <w:sz w:val="24"/>
                <w:szCs w:val="24"/>
                <w:lang w:val="en-US"/>
              </w:rPr>
              <w:t>l on the basis that it does not</w:t>
            </w:r>
            <w:r w:rsidR="00C10D24" w:rsidRPr="005D0058">
              <w:rPr>
                <w:rFonts w:ascii="Arial Narrow" w:hAnsi="Arial Narrow" w:cs="Arial"/>
                <w:sz w:val="24"/>
                <w:szCs w:val="24"/>
                <w:lang w:val="en-US"/>
              </w:rPr>
              <w:t xml:space="preserve"> have the jurisdiction to hear the matter, in terms of the </w:t>
            </w:r>
            <w:r w:rsidR="00CF183F" w:rsidRPr="005D0058">
              <w:rPr>
                <w:rFonts w:ascii="Arial Narrow" w:hAnsi="Arial Narrow" w:cs="Arial"/>
                <w:sz w:val="24"/>
                <w:szCs w:val="24"/>
                <w:lang w:val="en-US"/>
              </w:rPr>
              <w:t xml:space="preserve">provisions of the </w:t>
            </w:r>
            <w:r w:rsidR="00C10D24" w:rsidRPr="005D0058">
              <w:rPr>
                <w:rFonts w:ascii="Arial Narrow" w:hAnsi="Arial Narrow" w:cs="Arial"/>
                <w:sz w:val="24"/>
                <w:szCs w:val="24"/>
                <w:lang w:val="en-US"/>
              </w:rPr>
              <w:t>Labour Act.</w:t>
            </w:r>
          </w:p>
          <w:p w:rsidR="00E46D6E" w:rsidRPr="00E46D6E" w:rsidRDefault="00E46D6E" w:rsidP="00E46D6E">
            <w:pPr>
              <w:pStyle w:val="ListParagraph"/>
              <w:rPr>
                <w:rFonts w:ascii="Arial Narrow" w:hAnsi="Arial Narrow" w:cs="Arial"/>
                <w:sz w:val="24"/>
                <w:szCs w:val="24"/>
                <w:lang w:val="en-US"/>
              </w:rPr>
            </w:pPr>
          </w:p>
          <w:p w:rsidR="00580C0D" w:rsidRPr="005D0058" w:rsidRDefault="007C39FF" w:rsidP="005D0058">
            <w:pPr>
              <w:spacing w:line="360" w:lineRule="auto"/>
              <w:jc w:val="both"/>
              <w:rPr>
                <w:rFonts w:ascii="Arial Narrow" w:hAnsi="Arial Narrow" w:cs="Arial"/>
                <w:sz w:val="24"/>
                <w:szCs w:val="24"/>
                <w:lang w:val="en-US"/>
              </w:rPr>
            </w:pPr>
            <w:r>
              <w:rPr>
                <w:rFonts w:ascii="Arial Narrow" w:hAnsi="Arial Narrow" w:cs="Arial"/>
                <w:sz w:val="24"/>
                <w:szCs w:val="24"/>
                <w:lang w:val="en-US"/>
              </w:rPr>
              <w:lastRenderedPageBreak/>
              <w:t>[7</w:t>
            </w:r>
            <w:r w:rsidR="005D0058">
              <w:rPr>
                <w:rFonts w:ascii="Arial Narrow" w:hAnsi="Arial Narrow" w:cs="Arial"/>
                <w:sz w:val="24"/>
                <w:szCs w:val="24"/>
                <w:lang w:val="en-US"/>
              </w:rPr>
              <w:t>] T</w:t>
            </w:r>
            <w:r w:rsidR="00580C0D" w:rsidRPr="005D0058">
              <w:rPr>
                <w:rFonts w:ascii="Arial Narrow" w:hAnsi="Arial Narrow" w:cs="Arial"/>
                <w:sz w:val="24"/>
                <w:szCs w:val="24"/>
                <w:lang w:val="en-US"/>
              </w:rPr>
              <w:t xml:space="preserve">he </w:t>
            </w:r>
            <w:r w:rsidR="00CF183F" w:rsidRPr="005D0058">
              <w:rPr>
                <w:rFonts w:ascii="Arial Narrow" w:hAnsi="Arial Narrow" w:cs="Arial"/>
                <w:sz w:val="24"/>
                <w:szCs w:val="24"/>
                <w:lang w:val="en-US"/>
              </w:rPr>
              <w:t xml:space="preserve">crux of the matter is that the </w:t>
            </w:r>
            <w:r w:rsidR="00FE6A00">
              <w:rPr>
                <w:rFonts w:ascii="Arial Narrow" w:hAnsi="Arial Narrow" w:cs="Arial"/>
                <w:sz w:val="24"/>
                <w:szCs w:val="24"/>
                <w:lang w:val="en-US"/>
              </w:rPr>
              <w:t>power</w:t>
            </w:r>
            <w:r w:rsidR="00580C0D" w:rsidRPr="005D0058">
              <w:rPr>
                <w:rFonts w:ascii="Arial Narrow" w:hAnsi="Arial Narrow" w:cs="Arial"/>
                <w:sz w:val="24"/>
                <w:szCs w:val="24"/>
                <w:lang w:val="en-US"/>
              </w:rPr>
              <w:t xml:space="preserve"> of the Labour Court to review matters and to grant declaratory rel</w:t>
            </w:r>
            <w:r w:rsidR="00D701BF">
              <w:rPr>
                <w:rFonts w:ascii="Arial Narrow" w:hAnsi="Arial Narrow" w:cs="Arial"/>
                <w:sz w:val="24"/>
                <w:szCs w:val="24"/>
                <w:lang w:val="en-US"/>
              </w:rPr>
              <w:t>ief is circumscribed by</w:t>
            </w:r>
            <w:r w:rsidR="005D0058">
              <w:rPr>
                <w:rFonts w:ascii="Arial Narrow" w:hAnsi="Arial Narrow" w:cs="Arial"/>
                <w:sz w:val="24"/>
                <w:szCs w:val="24"/>
                <w:lang w:val="en-US"/>
              </w:rPr>
              <w:t xml:space="preserve"> the Act.</w:t>
            </w:r>
            <w:r w:rsidR="00697B28">
              <w:rPr>
                <w:rFonts w:ascii="Arial Narrow" w:hAnsi="Arial Narrow" w:cs="Arial"/>
                <w:sz w:val="24"/>
                <w:szCs w:val="24"/>
                <w:lang w:val="en-US"/>
              </w:rPr>
              <w:t xml:space="preserve"> </w:t>
            </w:r>
          </w:p>
          <w:p w:rsidR="00CF183F" w:rsidRPr="00CF183F" w:rsidRDefault="00CF183F" w:rsidP="00CF183F">
            <w:pPr>
              <w:pStyle w:val="ListParagraph"/>
              <w:rPr>
                <w:rFonts w:ascii="Arial Narrow" w:hAnsi="Arial Narrow" w:cs="Arial"/>
                <w:sz w:val="24"/>
                <w:szCs w:val="24"/>
                <w:lang w:val="en-US"/>
              </w:rPr>
            </w:pPr>
          </w:p>
          <w:p w:rsidR="001F0E32" w:rsidRPr="005D0058" w:rsidRDefault="007C39FF" w:rsidP="005D0058">
            <w:pPr>
              <w:spacing w:line="360" w:lineRule="auto"/>
              <w:jc w:val="both"/>
              <w:rPr>
                <w:rFonts w:ascii="Arial Narrow" w:hAnsi="Arial Narrow" w:cs="Arial"/>
                <w:sz w:val="24"/>
                <w:szCs w:val="24"/>
                <w:lang w:val="en-US"/>
              </w:rPr>
            </w:pPr>
            <w:r>
              <w:rPr>
                <w:rFonts w:ascii="Arial Narrow" w:hAnsi="Arial Narrow" w:cs="Arial"/>
                <w:sz w:val="24"/>
                <w:szCs w:val="24"/>
                <w:lang w:val="en-US"/>
              </w:rPr>
              <w:t>[8</w:t>
            </w:r>
            <w:r w:rsidR="005D0058">
              <w:rPr>
                <w:rFonts w:ascii="Arial Narrow" w:hAnsi="Arial Narrow" w:cs="Arial"/>
                <w:sz w:val="24"/>
                <w:szCs w:val="24"/>
                <w:lang w:val="en-US"/>
              </w:rPr>
              <w:t xml:space="preserve">] </w:t>
            </w:r>
            <w:r w:rsidR="00E46D6E" w:rsidRPr="005D0058">
              <w:rPr>
                <w:rFonts w:ascii="Arial Narrow" w:hAnsi="Arial Narrow" w:cs="Arial"/>
                <w:sz w:val="24"/>
                <w:szCs w:val="24"/>
                <w:lang w:val="en-US"/>
              </w:rPr>
              <w:t>As far</w:t>
            </w:r>
            <w:r w:rsidR="00BF21F2">
              <w:rPr>
                <w:rFonts w:ascii="Arial Narrow" w:hAnsi="Arial Narrow" w:cs="Arial"/>
                <w:sz w:val="24"/>
                <w:szCs w:val="24"/>
                <w:lang w:val="en-US"/>
              </w:rPr>
              <w:t xml:space="preserve"> as </w:t>
            </w:r>
            <w:r w:rsidR="00E46D6E" w:rsidRPr="005D0058">
              <w:rPr>
                <w:rFonts w:ascii="Arial Narrow" w:hAnsi="Arial Narrow" w:cs="Arial"/>
                <w:sz w:val="24"/>
                <w:szCs w:val="24"/>
                <w:lang w:val="en-US"/>
              </w:rPr>
              <w:t>review power is co</w:t>
            </w:r>
            <w:r w:rsidR="005D0058" w:rsidRPr="005D0058">
              <w:rPr>
                <w:rFonts w:ascii="Arial Narrow" w:hAnsi="Arial Narrow" w:cs="Arial"/>
                <w:sz w:val="24"/>
                <w:szCs w:val="24"/>
                <w:lang w:val="en-US"/>
              </w:rPr>
              <w:t>ncerned</w:t>
            </w:r>
            <w:r w:rsidR="00E46D6E" w:rsidRPr="005D0058">
              <w:rPr>
                <w:rFonts w:ascii="Arial Narrow" w:hAnsi="Arial Narrow" w:cs="Arial"/>
                <w:sz w:val="24"/>
                <w:szCs w:val="24"/>
                <w:lang w:val="en-US"/>
              </w:rPr>
              <w:t>, the starting point is s 117(1)(b)(i) and (c) of the Act. As this matter relates to arbitration proceedings</w:t>
            </w:r>
            <w:r>
              <w:rPr>
                <w:rFonts w:ascii="Arial Narrow" w:hAnsi="Arial Narrow" w:cs="Arial"/>
                <w:sz w:val="24"/>
                <w:szCs w:val="24"/>
                <w:lang w:val="en-US"/>
              </w:rPr>
              <w:t>,</w:t>
            </w:r>
            <w:r w:rsidR="00E46D6E" w:rsidRPr="005D0058">
              <w:rPr>
                <w:rFonts w:ascii="Arial Narrow" w:hAnsi="Arial Narrow" w:cs="Arial"/>
                <w:sz w:val="24"/>
                <w:szCs w:val="24"/>
                <w:lang w:val="en-US"/>
              </w:rPr>
              <w:t xml:space="preserve"> section 117(1)(b)(i) finds application </w:t>
            </w:r>
            <w:r w:rsidR="005D0058">
              <w:rPr>
                <w:rFonts w:ascii="Arial Narrow" w:hAnsi="Arial Narrow" w:cs="Arial"/>
                <w:sz w:val="24"/>
                <w:szCs w:val="24"/>
                <w:lang w:val="en-US"/>
              </w:rPr>
              <w:t xml:space="preserve"> and </w:t>
            </w:r>
            <w:r w:rsidR="00E46D6E" w:rsidRPr="005D0058">
              <w:rPr>
                <w:rFonts w:ascii="Arial Narrow" w:hAnsi="Arial Narrow" w:cs="Arial"/>
                <w:sz w:val="24"/>
                <w:szCs w:val="24"/>
                <w:lang w:val="en-US"/>
              </w:rPr>
              <w:t xml:space="preserve">has to be read with section 89(4) and (5) of the Act. The </w:t>
            </w:r>
            <w:r w:rsidR="00BF21F2">
              <w:rPr>
                <w:rFonts w:ascii="Arial Narrow" w:hAnsi="Arial Narrow" w:cs="Arial"/>
                <w:sz w:val="24"/>
                <w:szCs w:val="24"/>
                <w:lang w:val="en-US"/>
              </w:rPr>
              <w:t xml:space="preserve">door to review under the Labour Act is </w:t>
            </w:r>
            <w:r w:rsidR="00D701BF">
              <w:rPr>
                <w:rFonts w:ascii="Arial Narrow" w:hAnsi="Arial Narrow" w:cs="Arial"/>
                <w:sz w:val="24"/>
                <w:szCs w:val="24"/>
                <w:lang w:val="en-US"/>
              </w:rPr>
              <w:t>open only to</w:t>
            </w:r>
            <w:r w:rsidR="00BF21F2">
              <w:rPr>
                <w:rFonts w:ascii="Arial Narrow" w:hAnsi="Arial Narrow" w:cs="Arial"/>
                <w:sz w:val="24"/>
                <w:szCs w:val="24"/>
                <w:lang w:val="en-US"/>
              </w:rPr>
              <w:t xml:space="preserve"> ‘arb</w:t>
            </w:r>
            <w:r w:rsidR="00E46D6E" w:rsidRPr="005D0058">
              <w:rPr>
                <w:rFonts w:ascii="Arial Narrow" w:hAnsi="Arial Narrow" w:cs="Arial"/>
                <w:sz w:val="24"/>
                <w:szCs w:val="24"/>
                <w:lang w:val="en-US"/>
              </w:rPr>
              <w:t xml:space="preserve">itration </w:t>
            </w:r>
            <w:r w:rsidR="00647E98" w:rsidRPr="005D0058">
              <w:rPr>
                <w:rFonts w:ascii="Arial Narrow" w:hAnsi="Arial Narrow" w:cs="Arial"/>
                <w:sz w:val="24"/>
                <w:szCs w:val="24"/>
                <w:lang w:val="en-US"/>
              </w:rPr>
              <w:t>tribunal’s</w:t>
            </w:r>
            <w:r w:rsidR="00E46D6E" w:rsidRPr="005D0058">
              <w:rPr>
                <w:rFonts w:ascii="Arial Narrow" w:hAnsi="Arial Narrow" w:cs="Arial"/>
                <w:sz w:val="24"/>
                <w:szCs w:val="24"/>
                <w:lang w:val="en-US"/>
              </w:rPr>
              <w:t xml:space="preserve"> awards</w:t>
            </w:r>
            <w:r w:rsidR="00BF21F2">
              <w:rPr>
                <w:rFonts w:ascii="Arial Narrow" w:hAnsi="Arial Narrow" w:cs="Arial"/>
                <w:sz w:val="24"/>
                <w:szCs w:val="24"/>
                <w:lang w:val="en-US"/>
              </w:rPr>
              <w:t>.</w:t>
            </w:r>
            <w:r w:rsidR="00F906B0">
              <w:rPr>
                <w:rFonts w:ascii="Arial Narrow" w:hAnsi="Arial Narrow" w:cs="Arial"/>
                <w:sz w:val="24"/>
                <w:szCs w:val="24"/>
                <w:lang w:val="en-US"/>
              </w:rPr>
              <w:t>’</w:t>
            </w:r>
            <w:r w:rsidR="008930C0" w:rsidRPr="005D0058">
              <w:rPr>
                <w:rFonts w:ascii="Arial Narrow" w:hAnsi="Arial Narrow" w:cs="Arial"/>
                <w:sz w:val="24"/>
                <w:szCs w:val="24"/>
                <w:lang w:val="en-US"/>
              </w:rPr>
              <w:t xml:space="preserve"> </w:t>
            </w:r>
            <w:r w:rsidR="00BF21F2">
              <w:rPr>
                <w:rFonts w:ascii="Arial Narrow" w:hAnsi="Arial Narrow" w:cs="Arial"/>
                <w:sz w:val="24"/>
                <w:szCs w:val="24"/>
                <w:lang w:val="en-US"/>
              </w:rPr>
              <w:t>It co</w:t>
            </w:r>
            <w:r w:rsidR="008930C0" w:rsidRPr="005D0058">
              <w:rPr>
                <w:rFonts w:ascii="Arial Narrow" w:hAnsi="Arial Narrow" w:cs="Arial"/>
                <w:sz w:val="24"/>
                <w:szCs w:val="24"/>
                <w:lang w:val="en-US"/>
              </w:rPr>
              <w:t>ntemplates that an award ha</w:t>
            </w:r>
            <w:r w:rsidR="00F906B0">
              <w:rPr>
                <w:rFonts w:ascii="Arial Narrow" w:hAnsi="Arial Narrow" w:cs="Arial"/>
                <w:sz w:val="24"/>
                <w:szCs w:val="24"/>
                <w:lang w:val="en-US"/>
              </w:rPr>
              <w:t>s</w:t>
            </w:r>
            <w:r w:rsidR="008930C0" w:rsidRPr="005D0058">
              <w:rPr>
                <w:rFonts w:ascii="Arial Narrow" w:hAnsi="Arial Narrow" w:cs="Arial"/>
                <w:sz w:val="24"/>
                <w:szCs w:val="24"/>
                <w:lang w:val="en-US"/>
              </w:rPr>
              <w:t xml:space="preserve"> been made. </w:t>
            </w:r>
            <w:r w:rsidR="008930C0" w:rsidRPr="00BF21F2">
              <w:rPr>
                <w:rFonts w:ascii="Arial Narrow" w:hAnsi="Arial Narrow" w:cs="Arial"/>
                <w:i/>
                <w:sz w:val="24"/>
                <w:szCs w:val="24"/>
                <w:lang w:val="en-US"/>
              </w:rPr>
              <w:t>In casu,</w:t>
            </w:r>
            <w:r w:rsidR="008930C0" w:rsidRPr="005D0058">
              <w:rPr>
                <w:rFonts w:ascii="Arial Narrow" w:hAnsi="Arial Narrow" w:cs="Arial"/>
                <w:sz w:val="24"/>
                <w:szCs w:val="24"/>
                <w:lang w:val="en-US"/>
              </w:rPr>
              <w:t xml:space="preserve"> the proceedings </w:t>
            </w:r>
            <w:r w:rsidR="00A01AB3" w:rsidRPr="005D0058">
              <w:rPr>
                <w:rFonts w:ascii="Arial Narrow" w:hAnsi="Arial Narrow" w:cs="Arial"/>
                <w:sz w:val="24"/>
                <w:szCs w:val="24"/>
                <w:lang w:val="en-US"/>
              </w:rPr>
              <w:t>before the arbitrator</w:t>
            </w:r>
            <w:r w:rsidR="008930C0" w:rsidRPr="005D0058">
              <w:rPr>
                <w:rFonts w:ascii="Arial Narrow" w:hAnsi="Arial Narrow" w:cs="Arial"/>
                <w:sz w:val="24"/>
                <w:szCs w:val="24"/>
                <w:lang w:val="en-US"/>
              </w:rPr>
              <w:t xml:space="preserve"> were </w:t>
            </w:r>
            <w:r w:rsidR="00BF21F2">
              <w:rPr>
                <w:rFonts w:ascii="Arial Narrow" w:hAnsi="Arial Narrow" w:cs="Arial"/>
                <w:sz w:val="24"/>
                <w:szCs w:val="24"/>
                <w:lang w:val="en-US"/>
              </w:rPr>
              <w:t xml:space="preserve">still underway and no award has been made. </w:t>
            </w:r>
            <w:r w:rsidR="008930C0" w:rsidRPr="005D0058">
              <w:rPr>
                <w:rFonts w:ascii="Arial Narrow" w:hAnsi="Arial Narrow" w:cs="Arial"/>
                <w:sz w:val="24"/>
                <w:szCs w:val="24"/>
                <w:lang w:val="en-US"/>
              </w:rPr>
              <w:t xml:space="preserve"> </w:t>
            </w:r>
            <w:r w:rsidR="00D701BF">
              <w:rPr>
                <w:rFonts w:ascii="Arial Narrow" w:hAnsi="Arial Narrow" w:cs="Arial"/>
                <w:sz w:val="24"/>
                <w:szCs w:val="24"/>
                <w:lang w:val="en-US"/>
              </w:rPr>
              <w:t>The defects that can be the subject of review are listed under s 89(5) and the defects relates to the making of arbitral awards.</w:t>
            </w:r>
          </w:p>
          <w:p w:rsidR="00FD2688" w:rsidRDefault="00FD2688" w:rsidP="00AB7C1C">
            <w:pPr>
              <w:spacing w:line="360" w:lineRule="auto"/>
              <w:jc w:val="both"/>
              <w:rPr>
                <w:rFonts w:ascii="Arial Narrow" w:hAnsi="Arial Narrow" w:cs="Arial"/>
                <w:sz w:val="24"/>
                <w:szCs w:val="24"/>
                <w:lang w:val="en-US"/>
              </w:rPr>
            </w:pPr>
            <w:r>
              <w:rPr>
                <w:rFonts w:ascii="Arial Narrow" w:hAnsi="Arial Narrow" w:cs="Arial"/>
                <w:sz w:val="24"/>
                <w:szCs w:val="24"/>
                <w:lang w:val="en-US"/>
              </w:rPr>
              <w:t xml:space="preserve"> </w:t>
            </w:r>
          </w:p>
          <w:p w:rsidR="00AB7C1C" w:rsidRDefault="005D0058" w:rsidP="00FD2688">
            <w:pPr>
              <w:spacing w:line="360" w:lineRule="auto"/>
              <w:jc w:val="both"/>
              <w:rPr>
                <w:rFonts w:ascii="Arial Narrow" w:hAnsi="Arial Narrow" w:cs="Arial"/>
                <w:sz w:val="24"/>
                <w:szCs w:val="24"/>
                <w:lang w:val="en-US"/>
              </w:rPr>
            </w:pPr>
            <w:r>
              <w:rPr>
                <w:rFonts w:ascii="Arial Narrow" w:hAnsi="Arial Narrow" w:cs="Arial"/>
                <w:sz w:val="24"/>
                <w:szCs w:val="24"/>
                <w:lang w:val="en-US"/>
              </w:rPr>
              <w:t>[</w:t>
            </w:r>
            <w:r w:rsidR="007C39FF">
              <w:rPr>
                <w:rFonts w:ascii="Arial Narrow" w:hAnsi="Arial Narrow" w:cs="Arial"/>
                <w:sz w:val="24"/>
                <w:szCs w:val="24"/>
                <w:lang w:val="en-US"/>
              </w:rPr>
              <w:t>9</w:t>
            </w:r>
            <w:r w:rsidR="00647E98">
              <w:rPr>
                <w:rFonts w:ascii="Arial Narrow" w:hAnsi="Arial Narrow" w:cs="Arial"/>
                <w:sz w:val="24"/>
                <w:szCs w:val="24"/>
                <w:lang w:val="en-US"/>
              </w:rPr>
              <w:t>] In</w:t>
            </w:r>
            <w:r w:rsidR="00C10D24">
              <w:rPr>
                <w:rFonts w:ascii="Arial Narrow" w:hAnsi="Arial Narrow" w:cs="Arial"/>
                <w:sz w:val="24"/>
                <w:szCs w:val="24"/>
                <w:lang w:val="en-US"/>
              </w:rPr>
              <w:t xml:space="preserve"> the same vein, the power of the Labour Court to grant declaratory relief is contained in section 117(1)(d)</w:t>
            </w:r>
            <w:r w:rsidR="00A5339F">
              <w:rPr>
                <w:rFonts w:ascii="Arial Narrow" w:hAnsi="Arial Narrow" w:cs="Arial"/>
                <w:sz w:val="24"/>
                <w:szCs w:val="24"/>
                <w:lang w:val="en-US"/>
              </w:rPr>
              <w:t xml:space="preserve"> of the Act. It subjects the granting of decl</w:t>
            </w:r>
            <w:r w:rsidR="008C017C">
              <w:rPr>
                <w:rFonts w:ascii="Arial Narrow" w:hAnsi="Arial Narrow" w:cs="Arial"/>
                <w:sz w:val="24"/>
                <w:szCs w:val="24"/>
                <w:lang w:val="en-US"/>
              </w:rPr>
              <w:t>aratory relief to the condition</w:t>
            </w:r>
            <w:r w:rsidR="00BF21F2">
              <w:rPr>
                <w:rFonts w:ascii="Arial Narrow" w:hAnsi="Arial Narrow" w:cs="Arial"/>
                <w:sz w:val="24"/>
                <w:szCs w:val="24"/>
                <w:lang w:val="en-US"/>
              </w:rPr>
              <w:t xml:space="preserve"> </w:t>
            </w:r>
            <w:r w:rsidR="00A5339F">
              <w:rPr>
                <w:rFonts w:ascii="Arial Narrow" w:hAnsi="Arial Narrow" w:cs="Arial"/>
                <w:sz w:val="24"/>
                <w:szCs w:val="24"/>
                <w:lang w:val="en-US"/>
              </w:rPr>
              <w:t xml:space="preserve">that it should be the only relief sought, which was not the case in the matter before me. </w:t>
            </w:r>
          </w:p>
          <w:p w:rsidR="00AB7C1C" w:rsidRPr="00AB7C1C" w:rsidRDefault="00AB7C1C" w:rsidP="00AB7C1C">
            <w:pPr>
              <w:spacing w:line="360" w:lineRule="auto"/>
              <w:jc w:val="both"/>
              <w:rPr>
                <w:rFonts w:ascii="Arial Narrow" w:hAnsi="Arial Narrow" w:cs="Arial"/>
                <w:sz w:val="24"/>
                <w:szCs w:val="24"/>
                <w:lang w:val="en-US"/>
              </w:rPr>
            </w:pPr>
          </w:p>
          <w:p w:rsidR="00495E6B" w:rsidRPr="00AB7C1C" w:rsidRDefault="00A5339F" w:rsidP="009B446D">
            <w:pPr>
              <w:spacing w:line="360" w:lineRule="auto"/>
              <w:jc w:val="both"/>
              <w:rPr>
                <w:rFonts w:ascii="Arial Narrow" w:hAnsi="Arial Narrow" w:cs="Arial"/>
                <w:sz w:val="24"/>
                <w:szCs w:val="24"/>
                <w:lang w:val="en-US"/>
              </w:rPr>
            </w:pPr>
            <w:r>
              <w:rPr>
                <w:rFonts w:ascii="Arial Narrow" w:hAnsi="Arial Narrow" w:cs="Arial"/>
                <w:sz w:val="24"/>
                <w:szCs w:val="24"/>
                <w:lang w:val="en-US"/>
              </w:rPr>
              <w:t>[10]</w:t>
            </w:r>
            <w:r w:rsidR="00AB7C1C">
              <w:rPr>
                <w:rFonts w:ascii="Arial Narrow" w:hAnsi="Arial Narrow" w:cs="Arial"/>
                <w:sz w:val="24"/>
                <w:szCs w:val="24"/>
                <w:lang w:val="en-US"/>
              </w:rPr>
              <w:t xml:space="preserve"> </w:t>
            </w:r>
            <w:r w:rsidR="00AB7C1C" w:rsidRPr="00AB7C1C">
              <w:rPr>
                <w:rFonts w:ascii="Arial Narrow" w:hAnsi="Arial Narrow" w:cs="Arial"/>
                <w:sz w:val="24"/>
                <w:szCs w:val="24"/>
                <w:lang w:val="en-US"/>
              </w:rPr>
              <w:t>For</w:t>
            </w:r>
            <w:r>
              <w:rPr>
                <w:rFonts w:ascii="Arial Narrow" w:hAnsi="Arial Narrow" w:cs="Arial"/>
                <w:sz w:val="24"/>
                <w:szCs w:val="24"/>
                <w:lang w:val="en-US"/>
              </w:rPr>
              <w:t xml:space="preserve"> these reasons the court held that it does not have the jurisdiction to grant the relief </w:t>
            </w:r>
            <w:r w:rsidR="00D701BF">
              <w:rPr>
                <w:rFonts w:ascii="Arial Narrow" w:hAnsi="Arial Narrow" w:cs="Arial"/>
                <w:sz w:val="24"/>
                <w:szCs w:val="24"/>
                <w:lang w:val="en-US"/>
              </w:rPr>
              <w:t xml:space="preserve">sought by the </w:t>
            </w:r>
            <w:r w:rsidR="00647E98">
              <w:rPr>
                <w:rFonts w:ascii="Arial Narrow" w:hAnsi="Arial Narrow" w:cs="Arial"/>
                <w:sz w:val="24"/>
                <w:szCs w:val="24"/>
                <w:lang w:val="en-US"/>
              </w:rPr>
              <w:t>applicant that</w:t>
            </w:r>
            <w:r w:rsidR="00D701BF">
              <w:rPr>
                <w:rFonts w:ascii="Arial Narrow" w:hAnsi="Arial Narrow" w:cs="Arial"/>
                <w:sz w:val="24"/>
                <w:szCs w:val="24"/>
                <w:lang w:val="en-US"/>
              </w:rPr>
              <w:t xml:space="preserve"> is review and declaratory orders.</w:t>
            </w:r>
          </w:p>
          <w:p w:rsidR="00495E6B" w:rsidRPr="00B8518D" w:rsidRDefault="00495E6B" w:rsidP="009B446D">
            <w:pPr>
              <w:spacing w:line="360" w:lineRule="auto"/>
              <w:jc w:val="both"/>
              <w:rPr>
                <w:rFonts w:ascii="Arial Narrow" w:hAnsi="Arial Narrow" w:cs="Arial"/>
                <w:sz w:val="24"/>
                <w:szCs w:val="24"/>
              </w:rPr>
            </w:pPr>
          </w:p>
        </w:tc>
      </w:tr>
      <w:tr w:rsidR="00495E6B" w:rsidRPr="00C73154" w:rsidTr="009B446D">
        <w:tc>
          <w:tcPr>
            <w:tcW w:w="4770" w:type="dxa"/>
          </w:tcPr>
          <w:p w:rsidR="00495E6B" w:rsidRPr="00C73154" w:rsidRDefault="00495E6B" w:rsidP="009B446D">
            <w:pPr>
              <w:spacing w:line="360" w:lineRule="auto"/>
              <w:jc w:val="center"/>
              <w:rPr>
                <w:rFonts w:ascii="Arial Narrow" w:hAnsi="Arial Narrow" w:cs="Arial"/>
                <w:b/>
                <w:sz w:val="24"/>
                <w:szCs w:val="24"/>
              </w:rPr>
            </w:pPr>
            <w:r w:rsidRPr="00C73154">
              <w:rPr>
                <w:rFonts w:ascii="Arial Narrow" w:hAnsi="Arial Narrow" w:cs="Arial"/>
                <w:b/>
                <w:sz w:val="24"/>
                <w:szCs w:val="24"/>
              </w:rPr>
              <w:lastRenderedPageBreak/>
              <w:t>Judge’s signature:</w:t>
            </w:r>
          </w:p>
        </w:tc>
        <w:tc>
          <w:tcPr>
            <w:tcW w:w="4950" w:type="dxa"/>
            <w:gridSpan w:val="2"/>
          </w:tcPr>
          <w:p w:rsidR="00495E6B" w:rsidRPr="00C73154" w:rsidRDefault="00495E6B" w:rsidP="009B446D">
            <w:pPr>
              <w:spacing w:line="360" w:lineRule="auto"/>
              <w:jc w:val="center"/>
              <w:rPr>
                <w:rFonts w:ascii="Arial Narrow" w:hAnsi="Arial Narrow" w:cs="Arial"/>
                <w:b/>
                <w:sz w:val="24"/>
                <w:szCs w:val="24"/>
              </w:rPr>
            </w:pPr>
            <w:r w:rsidRPr="00C73154">
              <w:rPr>
                <w:rFonts w:ascii="Arial Narrow" w:hAnsi="Arial Narrow" w:cs="Arial"/>
                <w:b/>
                <w:sz w:val="24"/>
                <w:szCs w:val="24"/>
              </w:rPr>
              <w:t>Note to the parties:</w:t>
            </w:r>
          </w:p>
        </w:tc>
      </w:tr>
      <w:tr w:rsidR="00495E6B" w:rsidRPr="00C73154" w:rsidTr="009B446D">
        <w:trPr>
          <w:trHeight w:val="1114"/>
        </w:trPr>
        <w:tc>
          <w:tcPr>
            <w:tcW w:w="4770" w:type="dxa"/>
          </w:tcPr>
          <w:p w:rsidR="00495E6B" w:rsidRPr="00C73154" w:rsidRDefault="00495E6B" w:rsidP="009B446D">
            <w:pPr>
              <w:spacing w:line="360" w:lineRule="auto"/>
              <w:jc w:val="both"/>
              <w:rPr>
                <w:rFonts w:ascii="Arial Narrow" w:hAnsi="Arial Narrow" w:cs="Arial"/>
                <w:sz w:val="24"/>
                <w:szCs w:val="24"/>
              </w:rPr>
            </w:pPr>
          </w:p>
          <w:p w:rsidR="00495E6B" w:rsidRPr="00C73154" w:rsidRDefault="00495E6B" w:rsidP="009B446D">
            <w:pPr>
              <w:spacing w:line="360" w:lineRule="auto"/>
              <w:jc w:val="both"/>
              <w:rPr>
                <w:rFonts w:ascii="Arial Narrow" w:hAnsi="Arial Narrow" w:cs="Arial"/>
                <w:sz w:val="24"/>
                <w:szCs w:val="24"/>
              </w:rPr>
            </w:pPr>
          </w:p>
          <w:p w:rsidR="00495E6B" w:rsidRPr="00C73154" w:rsidRDefault="00495E6B" w:rsidP="009B446D">
            <w:pPr>
              <w:spacing w:line="360" w:lineRule="auto"/>
              <w:jc w:val="both"/>
              <w:rPr>
                <w:rFonts w:ascii="Arial Narrow" w:hAnsi="Arial Narrow" w:cs="Arial"/>
                <w:sz w:val="24"/>
                <w:szCs w:val="24"/>
              </w:rPr>
            </w:pPr>
          </w:p>
        </w:tc>
        <w:tc>
          <w:tcPr>
            <w:tcW w:w="4950" w:type="dxa"/>
            <w:gridSpan w:val="2"/>
          </w:tcPr>
          <w:p w:rsidR="00495E6B" w:rsidRPr="00C73154" w:rsidRDefault="00495E6B" w:rsidP="009B446D">
            <w:pPr>
              <w:spacing w:line="360" w:lineRule="auto"/>
              <w:jc w:val="both"/>
              <w:rPr>
                <w:rFonts w:ascii="Arial Narrow" w:hAnsi="Arial Narrow" w:cs="Arial"/>
                <w:sz w:val="24"/>
                <w:szCs w:val="24"/>
              </w:rPr>
            </w:pPr>
            <w:r>
              <w:rPr>
                <w:rFonts w:ascii="Arial Narrow" w:hAnsi="Arial Narrow" w:cs="Arial"/>
                <w:sz w:val="24"/>
                <w:szCs w:val="24"/>
              </w:rPr>
              <w:t>Not applicable.</w:t>
            </w:r>
          </w:p>
        </w:tc>
      </w:tr>
      <w:tr w:rsidR="00495E6B" w:rsidRPr="00C73154" w:rsidTr="009B446D">
        <w:tc>
          <w:tcPr>
            <w:tcW w:w="9720" w:type="dxa"/>
            <w:gridSpan w:val="3"/>
          </w:tcPr>
          <w:p w:rsidR="00495E6B" w:rsidRPr="00C73154" w:rsidRDefault="00495E6B" w:rsidP="009B446D">
            <w:pPr>
              <w:spacing w:line="360" w:lineRule="auto"/>
              <w:jc w:val="center"/>
              <w:rPr>
                <w:rFonts w:ascii="Arial Narrow" w:hAnsi="Arial Narrow" w:cs="Arial"/>
                <w:b/>
                <w:sz w:val="24"/>
                <w:szCs w:val="24"/>
              </w:rPr>
            </w:pPr>
            <w:r w:rsidRPr="00C73154">
              <w:rPr>
                <w:rFonts w:ascii="Arial Narrow" w:hAnsi="Arial Narrow" w:cs="Arial"/>
                <w:b/>
                <w:sz w:val="24"/>
                <w:szCs w:val="24"/>
              </w:rPr>
              <w:t>Counsel:</w:t>
            </w:r>
          </w:p>
        </w:tc>
      </w:tr>
      <w:tr w:rsidR="00495E6B" w:rsidRPr="00C73154" w:rsidTr="009B446D">
        <w:tc>
          <w:tcPr>
            <w:tcW w:w="4770" w:type="dxa"/>
          </w:tcPr>
          <w:p w:rsidR="00495E6B" w:rsidRPr="00C73154" w:rsidRDefault="00495E6B" w:rsidP="009B446D">
            <w:pPr>
              <w:spacing w:line="360" w:lineRule="auto"/>
              <w:jc w:val="center"/>
              <w:rPr>
                <w:rFonts w:ascii="Arial Narrow" w:hAnsi="Arial Narrow" w:cs="Arial"/>
                <w:b/>
                <w:sz w:val="24"/>
                <w:szCs w:val="24"/>
              </w:rPr>
            </w:pPr>
            <w:r>
              <w:rPr>
                <w:rFonts w:ascii="Arial Narrow" w:hAnsi="Arial Narrow" w:cs="Arial"/>
                <w:b/>
                <w:sz w:val="24"/>
                <w:szCs w:val="24"/>
              </w:rPr>
              <w:t>Applicant</w:t>
            </w:r>
          </w:p>
        </w:tc>
        <w:tc>
          <w:tcPr>
            <w:tcW w:w="4950" w:type="dxa"/>
            <w:gridSpan w:val="2"/>
          </w:tcPr>
          <w:p w:rsidR="00495E6B" w:rsidRPr="00C73154" w:rsidRDefault="00495E6B" w:rsidP="009B446D">
            <w:pPr>
              <w:spacing w:line="360" w:lineRule="auto"/>
              <w:jc w:val="center"/>
              <w:rPr>
                <w:rFonts w:ascii="Arial Narrow" w:hAnsi="Arial Narrow" w:cs="Arial"/>
                <w:b/>
                <w:sz w:val="24"/>
                <w:szCs w:val="24"/>
              </w:rPr>
            </w:pPr>
            <w:r>
              <w:rPr>
                <w:rFonts w:ascii="Arial Narrow" w:hAnsi="Arial Narrow" w:cs="Arial"/>
                <w:b/>
                <w:sz w:val="24"/>
                <w:szCs w:val="24"/>
              </w:rPr>
              <w:t xml:space="preserve"> Respondent</w:t>
            </w:r>
          </w:p>
        </w:tc>
      </w:tr>
      <w:tr w:rsidR="00495E6B" w:rsidRPr="00C73154" w:rsidTr="009B446D">
        <w:tc>
          <w:tcPr>
            <w:tcW w:w="4770" w:type="dxa"/>
          </w:tcPr>
          <w:p w:rsidR="00495E6B" w:rsidRPr="003D3863" w:rsidRDefault="003D3863" w:rsidP="009B446D">
            <w:pPr>
              <w:spacing w:line="360" w:lineRule="auto"/>
              <w:jc w:val="center"/>
              <w:rPr>
                <w:rFonts w:ascii="Arial Narrow" w:hAnsi="Arial Narrow" w:cs="Arial"/>
                <w:i/>
                <w:sz w:val="24"/>
                <w:szCs w:val="24"/>
              </w:rPr>
            </w:pPr>
            <w:r w:rsidRPr="003D3863">
              <w:rPr>
                <w:rFonts w:ascii="Arial Narrow" w:hAnsi="Arial Narrow" w:cs="Arial"/>
                <w:i/>
                <w:sz w:val="24"/>
                <w:szCs w:val="24"/>
              </w:rPr>
              <w:t>Mr R Philander</w:t>
            </w:r>
          </w:p>
          <w:p w:rsidR="003D3863" w:rsidRPr="003D3863" w:rsidRDefault="003D3863" w:rsidP="009B446D">
            <w:pPr>
              <w:spacing w:line="360" w:lineRule="auto"/>
              <w:jc w:val="center"/>
              <w:rPr>
                <w:rFonts w:ascii="Arial Narrow" w:hAnsi="Arial Narrow" w:cs="Arial"/>
                <w:i/>
                <w:sz w:val="24"/>
                <w:szCs w:val="24"/>
              </w:rPr>
            </w:pPr>
            <w:r w:rsidRPr="003D3863">
              <w:rPr>
                <w:rFonts w:ascii="Arial Narrow" w:hAnsi="Arial Narrow" w:cs="Arial"/>
                <w:i/>
                <w:sz w:val="24"/>
                <w:szCs w:val="24"/>
              </w:rPr>
              <w:t xml:space="preserve">Of </w:t>
            </w:r>
          </w:p>
          <w:p w:rsidR="003D3863" w:rsidRPr="003D3863" w:rsidRDefault="003D3863" w:rsidP="009B446D">
            <w:pPr>
              <w:spacing w:line="360" w:lineRule="auto"/>
              <w:jc w:val="center"/>
              <w:rPr>
                <w:rFonts w:ascii="Arial Narrow" w:hAnsi="Arial Narrow" w:cs="Arial"/>
                <w:i/>
                <w:sz w:val="24"/>
                <w:szCs w:val="24"/>
              </w:rPr>
            </w:pPr>
            <w:r w:rsidRPr="003D3863">
              <w:rPr>
                <w:rFonts w:ascii="Arial Narrow" w:hAnsi="Arial Narrow" w:cs="Arial"/>
                <w:i/>
                <w:sz w:val="24"/>
                <w:szCs w:val="24"/>
              </w:rPr>
              <w:t>ENS Africa (Inc as Lorenz Angula)</w:t>
            </w:r>
          </w:p>
          <w:p w:rsidR="00495E6B" w:rsidRPr="00393E41" w:rsidRDefault="00495E6B" w:rsidP="008158CA">
            <w:pPr>
              <w:spacing w:line="360" w:lineRule="auto"/>
              <w:jc w:val="center"/>
              <w:rPr>
                <w:rFonts w:ascii="Arial Narrow" w:hAnsi="Arial Narrow" w:cs="Arial"/>
                <w:sz w:val="24"/>
                <w:szCs w:val="24"/>
              </w:rPr>
            </w:pPr>
          </w:p>
        </w:tc>
        <w:tc>
          <w:tcPr>
            <w:tcW w:w="4950" w:type="dxa"/>
            <w:gridSpan w:val="2"/>
          </w:tcPr>
          <w:p w:rsidR="00495E6B" w:rsidRPr="003D3863" w:rsidRDefault="003D3863" w:rsidP="009B446D">
            <w:pPr>
              <w:spacing w:line="360" w:lineRule="auto"/>
              <w:jc w:val="center"/>
              <w:rPr>
                <w:rFonts w:ascii="Arial Narrow" w:hAnsi="Arial Narrow" w:cs="Arial"/>
                <w:i/>
                <w:sz w:val="24"/>
                <w:szCs w:val="24"/>
              </w:rPr>
            </w:pPr>
            <w:r w:rsidRPr="003D3863">
              <w:rPr>
                <w:rFonts w:ascii="Arial Narrow" w:hAnsi="Arial Narrow" w:cs="Arial"/>
                <w:i/>
                <w:sz w:val="24"/>
                <w:szCs w:val="24"/>
              </w:rPr>
              <w:t xml:space="preserve">Ms E Angula </w:t>
            </w:r>
          </w:p>
          <w:p w:rsidR="003D3863" w:rsidRPr="003D3863" w:rsidRDefault="003D3863" w:rsidP="009B446D">
            <w:pPr>
              <w:spacing w:line="360" w:lineRule="auto"/>
              <w:jc w:val="center"/>
              <w:rPr>
                <w:rFonts w:ascii="Arial Narrow" w:hAnsi="Arial Narrow" w:cs="Arial"/>
                <w:i/>
                <w:sz w:val="24"/>
                <w:szCs w:val="24"/>
              </w:rPr>
            </w:pPr>
            <w:r w:rsidRPr="003D3863">
              <w:rPr>
                <w:rFonts w:ascii="Arial Narrow" w:hAnsi="Arial Narrow" w:cs="Arial"/>
                <w:i/>
                <w:sz w:val="24"/>
                <w:szCs w:val="24"/>
              </w:rPr>
              <w:t xml:space="preserve">Of </w:t>
            </w:r>
          </w:p>
          <w:p w:rsidR="003D3863" w:rsidRPr="00C73154" w:rsidRDefault="003D3863" w:rsidP="009B446D">
            <w:pPr>
              <w:spacing w:line="360" w:lineRule="auto"/>
              <w:jc w:val="center"/>
              <w:rPr>
                <w:rFonts w:ascii="Arial Narrow" w:hAnsi="Arial Narrow" w:cs="Arial"/>
                <w:sz w:val="24"/>
                <w:szCs w:val="24"/>
              </w:rPr>
            </w:pPr>
            <w:r w:rsidRPr="003D3863">
              <w:rPr>
                <w:rFonts w:ascii="Arial Narrow" w:hAnsi="Arial Narrow" w:cs="Arial"/>
                <w:i/>
                <w:sz w:val="24"/>
                <w:szCs w:val="24"/>
              </w:rPr>
              <w:t>AngulaCo Inc</w:t>
            </w:r>
          </w:p>
        </w:tc>
      </w:tr>
    </w:tbl>
    <w:p w:rsidR="00495E6B" w:rsidRDefault="00495E6B" w:rsidP="00495E6B">
      <w:pPr>
        <w:spacing w:after="0" w:line="360" w:lineRule="auto"/>
        <w:jc w:val="both"/>
        <w:rPr>
          <w:rFonts w:ascii="Arial Narrow" w:hAnsi="Arial Narrow"/>
          <w:sz w:val="24"/>
          <w:szCs w:val="24"/>
        </w:rPr>
      </w:pPr>
    </w:p>
    <w:p w:rsidR="00495E6B" w:rsidRDefault="00495E6B" w:rsidP="00495E6B"/>
    <w:p w:rsidR="004662DE" w:rsidRDefault="00F25D47"/>
    <w:sectPr w:rsidR="004662DE" w:rsidSect="009C7093">
      <w:headerReference w:type="default" r:id="rId7"/>
      <w:footerReference w:type="default" r:id="rId8"/>
      <w:pgSz w:w="11906" w:h="16838"/>
      <w:pgMar w:top="1080" w:right="1440" w:bottom="1134" w:left="1440" w:header="708" w:footer="7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D47" w:rsidRDefault="00F25D47" w:rsidP="00AB7C1C">
      <w:pPr>
        <w:spacing w:after="0" w:line="240" w:lineRule="auto"/>
      </w:pPr>
      <w:r>
        <w:separator/>
      </w:r>
    </w:p>
  </w:endnote>
  <w:endnote w:type="continuationSeparator" w:id="0">
    <w:p w:rsidR="00F25D47" w:rsidRDefault="00F25D47" w:rsidP="00AB7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60B" w:rsidRDefault="00AB660B">
    <w:pPr>
      <w:pStyle w:val="Footer"/>
      <w:jc w:val="right"/>
    </w:pPr>
  </w:p>
  <w:p w:rsidR="00A23F8A" w:rsidRDefault="00F25D4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D47" w:rsidRDefault="00F25D47" w:rsidP="00AB7C1C">
      <w:pPr>
        <w:spacing w:after="0" w:line="240" w:lineRule="auto"/>
      </w:pPr>
      <w:r>
        <w:separator/>
      </w:r>
    </w:p>
  </w:footnote>
  <w:footnote w:type="continuationSeparator" w:id="0">
    <w:p w:rsidR="00F25D47" w:rsidRDefault="00F25D47" w:rsidP="00AB7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267483"/>
      <w:docPartObj>
        <w:docPartGallery w:val="Page Numbers (Top of Page)"/>
        <w:docPartUnique/>
      </w:docPartObj>
    </w:sdtPr>
    <w:sdtEndPr>
      <w:rPr>
        <w:noProof/>
      </w:rPr>
    </w:sdtEndPr>
    <w:sdtContent>
      <w:p w:rsidR="00AB660B" w:rsidRDefault="00AB660B">
        <w:pPr>
          <w:pStyle w:val="Header"/>
          <w:jc w:val="right"/>
        </w:pPr>
        <w:r>
          <w:fldChar w:fldCharType="begin"/>
        </w:r>
        <w:r>
          <w:instrText xml:space="preserve"> PAGE   \* MERGEFORMAT </w:instrText>
        </w:r>
        <w:r>
          <w:fldChar w:fldCharType="separate"/>
        </w:r>
        <w:r w:rsidR="007C39FF">
          <w:rPr>
            <w:noProof/>
          </w:rPr>
          <w:t>1</w:t>
        </w:r>
        <w:r>
          <w:rPr>
            <w:noProof/>
          </w:rPr>
          <w:fldChar w:fldCharType="end"/>
        </w:r>
      </w:p>
    </w:sdtContent>
  </w:sdt>
  <w:p w:rsidR="00AB660B" w:rsidRDefault="00AB66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E6B"/>
    <w:rsid w:val="00015CE6"/>
    <w:rsid w:val="00044F2B"/>
    <w:rsid w:val="000659E5"/>
    <w:rsid w:val="00071ED1"/>
    <w:rsid w:val="000F374B"/>
    <w:rsid w:val="00142E32"/>
    <w:rsid w:val="00171C97"/>
    <w:rsid w:val="00186749"/>
    <w:rsid w:val="001F0E32"/>
    <w:rsid w:val="00212A9A"/>
    <w:rsid w:val="002428EC"/>
    <w:rsid w:val="00293B7C"/>
    <w:rsid w:val="002E5EDB"/>
    <w:rsid w:val="0036457A"/>
    <w:rsid w:val="003836D6"/>
    <w:rsid w:val="003D3863"/>
    <w:rsid w:val="0040489C"/>
    <w:rsid w:val="00420FFA"/>
    <w:rsid w:val="00456B8F"/>
    <w:rsid w:val="0046469D"/>
    <w:rsid w:val="00495E6B"/>
    <w:rsid w:val="004B7346"/>
    <w:rsid w:val="004D44BF"/>
    <w:rsid w:val="004E30D1"/>
    <w:rsid w:val="005054C5"/>
    <w:rsid w:val="00514A38"/>
    <w:rsid w:val="00580C0D"/>
    <w:rsid w:val="0059621C"/>
    <w:rsid w:val="005D0058"/>
    <w:rsid w:val="00647E98"/>
    <w:rsid w:val="00656B02"/>
    <w:rsid w:val="00670A13"/>
    <w:rsid w:val="00697B28"/>
    <w:rsid w:val="006E5946"/>
    <w:rsid w:val="00702B6E"/>
    <w:rsid w:val="007C39FF"/>
    <w:rsid w:val="008050F6"/>
    <w:rsid w:val="008158CA"/>
    <w:rsid w:val="00842E17"/>
    <w:rsid w:val="008930C0"/>
    <w:rsid w:val="008B6508"/>
    <w:rsid w:val="008C017C"/>
    <w:rsid w:val="008E16C6"/>
    <w:rsid w:val="00975EC0"/>
    <w:rsid w:val="009A3807"/>
    <w:rsid w:val="009B7BED"/>
    <w:rsid w:val="00A01AB3"/>
    <w:rsid w:val="00A30FAB"/>
    <w:rsid w:val="00A5339F"/>
    <w:rsid w:val="00A71AC3"/>
    <w:rsid w:val="00A777DF"/>
    <w:rsid w:val="00AB660B"/>
    <w:rsid w:val="00AB7C1C"/>
    <w:rsid w:val="00AE2643"/>
    <w:rsid w:val="00B40749"/>
    <w:rsid w:val="00B54584"/>
    <w:rsid w:val="00B61B66"/>
    <w:rsid w:val="00B653A1"/>
    <w:rsid w:val="00B65F83"/>
    <w:rsid w:val="00B96896"/>
    <w:rsid w:val="00BA3073"/>
    <w:rsid w:val="00BF21F2"/>
    <w:rsid w:val="00C07767"/>
    <w:rsid w:val="00C10D24"/>
    <w:rsid w:val="00CC1C3E"/>
    <w:rsid w:val="00CF183F"/>
    <w:rsid w:val="00D659D8"/>
    <w:rsid w:val="00D701BF"/>
    <w:rsid w:val="00D81003"/>
    <w:rsid w:val="00D83524"/>
    <w:rsid w:val="00DE2BBF"/>
    <w:rsid w:val="00E1033C"/>
    <w:rsid w:val="00E36DC5"/>
    <w:rsid w:val="00E46D6E"/>
    <w:rsid w:val="00E564A3"/>
    <w:rsid w:val="00E63C34"/>
    <w:rsid w:val="00E95DA2"/>
    <w:rsid w:val="00EF3F4E"/>
    <w:rsid w:val="00F046F2"/>
    <w:rsid w:val="00F2276D"/>
    <w:rsid w:val="00F25D47"/>
    <w:rsid w:val="00F35E30"/>
    <w:rsid w:val="00F614E3"/>
    <w:rsid w:val="00F67118"/>
    <w:rsid w:val="00F906B0"/>
    <w:rsid w:val="00FC441A"/>
    <w:rsid w:val="00FD2688"/>
    <w:rsid w:val="00FE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D8255F-CD69-4EAF-958E-1DE864FF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E6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E6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95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E6B"/>
    <w:rPr>
      <w:lang w:val="en-ZA"/>
    </w:rPr>
  </w:style>
  <w:style w:type="paragraph" w:styleId="ListParagraph">
    <w:name w:val="List Paragraph"/>
    <w:basedOn w:val="Normal"/>
    <w:uiPriority w:val="34"/>
    <w:qFormat/>
    <w:rsid w:val="00495E6B"/>
    <w:pPr>
      <w:ind w:left="720"/>
      <w:contextualSpacing/>
    </w:pPr>
  </w:style>
  <w:style w:type="character" w:styleId="Hyperlink">
    <w:name w:val="Hyperlink"/>
    <w:basedOn w:val="DefaultParagraphFont"/>
    <w:uiPriority w:val="99"/>
    <w:unhideWhenUsed/>
    <w:rsid w:val="00495E6B"/>
    <w:rPr>
      <w:color w:val="0563C1" w:themeColor="hyperlink"/>
      <w:u w:val="single"/>
    </w:rPr>
  </w:style>
  <w:style w:type="paragraph" w:customStyle="1" w:styleId="form-control-static">
    <w:name w:val="form-control-static"/>
    <w:basedOn w:val="Normal"/>
    <w:rsid w:val="00495E6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AB7C1C"/>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AB7C1C"/>
    <w:rPr>
      <w:sz w:val="20"/>
      <w:szCs w:val="20"/>
    </w:rPr>
  </w:style>
  <w:style w:type="character" w:styleId="FootnoteReference">
    <w:name w:val="footnote reference"/>
    <w:basedOn w:val="DefaultParagraphFont"/>
    <w:uiPriority w:val="99"/>
    <w:semiHidden/>
    <w:unhideWhenUsed/>
    <w:rsid w:val="00AB7C1C"/>
    <w:rPr>
      <w:vertAlign w:val="superscript"/>
    </w:rPr>
  </w:style>
  <w:style w:type="paragraph" w:styleId="BalloonText">
    <w:name w:val="Balloon Text"/>
    <w:basedOn w:val="Normal"/>
    <w:link w:val="BalloonTextChar"/>
    <w:uiPriority w:val="99"/>
    <w:semiHidden/>
    <w:unhideWhenUsed/>
    <w:rsid w:val="00670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A13"/>
    <w:rPr>
      <w:rFonts w:ascii="Segoe UI" w:hAnsi="Segoe UI" w:cs="Segoe UI"/>
      <w:sz w:val="18"/>
      <w:szCs w:val="18"/>
      <w:lang w:val="en-ZA"/>
    </w:rPr>
  </w:style>
  <w:style w:type="paragraph" w:styleId="Header">
    <w:name w:val="header"/>
    <w:basedOn w:val="Normal"/>
    <w:link w:val="HeaderChar"/>
    <w:uiPriority w:val="99"/>
    <w:unhideWhenUsed/>
    <w:rsid w:val="00AB6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60B"/>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022190">
      <w:bodyDiv w:val="1"/>
      <w:marLeft w:val="0"/>
      <w:marRight w:val="0"/>
      <w:marTop w:val="0"/>
      <w:marBottom w:val="0"/>
      <w:divBdr>
        <w:top w:val="none" w:sz="0" w:space="0" w:color="auto"/>
        <w:left w:val="none" w:sz="0" w:space="0" w:color="auto"/>
        <w:bottom w:val="none" w:sz="0" w:space="0" w:color="auto"/>
        <w:right w:val="none" w:sz="0" w:space="0" w:color="auto"/>
      </w:divBdr>
      <w:divsChild>
        <w:div w:id="1179851730">
          <w:marLeft w:val="0"/>
          <w:marRight w:val="0"/>
          <w:marTop w:val="0"/>
          <w:marBottom w:val="0"/>
          <w:divBdr>
            <w:top w:val="none" w:sz="0" w:space="0" w:color="auto"/>
            <w:left w:val="none" w:sz="0" w:space="0" w:color="auto"/>
            <w:bottom w:val="none" w:sz="0" w:space="0" w:color="auto"/>
            <w:right w:val="none" w:sz="0" w:space="0" w:color="auto"/>
          </w:divBdr>
          <w:divsChild>
            <w:div w:id="1892570203">
              <w:marLeft w:val="-195"/>
              <w:marRight w:val="-195"/>
              <w:marTop w:val="0"/>
              <w:marBottom w:val="225"/>
              <w:divBdr>
                <w:top w:val="none" w:sz="0" w:space="0" w:color="auto"/>
                <w:left w:val="none" w:sz="0" w:space="0" w:color="auto"/>
                <w:bottom w:val="none" w:sz="0" w:space="0" w:color="auto"/>
                <w:right w:val="none" w:sz="0" w:space="0" w:color="auto"/>
              </w:divBdr>
              <w:divsChild>
                <w:div w:id="159424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2019-02-13T18:30:00+00:00</Judgment_x0020_Date>
    <Year xmlns="aec0a7e9-5f5c-4ba9-87b2-85cfc8a38b86">2019</Year>
  </documentManagement>
</p:properties>
</file>

<file path=customXml/itemProps1.xml><?xml version="1.0" encoding="utf-8"?>
<ds:datastoreItem xmlns:ds="http://schemas.openxmlformats.org/officeDocument/2006/customXml" ds:itemID="{A412F2CC-C5CD-450C-AFD7-B78ED482DAD6}"/>
</file>

<file path=customXml/itemProps2.xml><?xml version="1.0" encoding="utf-8"?>
<ds:datastoreItem xmlns:ds="http://schemas.openxmlformats.org/officeDocument/2006/customXml" ds:itemID="{09997609-59C6-4436-B111-ED850C363413}"/>
</file>

<file path=customXml/itemProps3.xml><?xml version="1.0" encoding="utf-8"?>
<ds:datastoreItem xmlns:ds="http://schemas.openxmlformats.org/officeDocument/2006/customXml" ds:itemID="{E40AE53A-0471-4DE5-9D0A-E9F92D5FBA48}"/>
</file>

<file path=docProps/app.xml><?xml version="1.0" encoding="utf-8"?>
<Properties xmlns="http://schemas.openxmlformats.org/officeDocument/2006/extended-properties" xmlns:vt="http://schemas.openxmlformats.org/officeDocument/2006/docPropsVTypes">
  <Template>Normal</Template>
  <TotalTime>0</TotalTime>
  <Pages>1</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Langer Heinrich Uranium (Pty) Ltd  v Goliath (LC 119-2017) [2019] NALCMD 6 (14 February 2019)</dc:title>
  <dc:subject/>
  <dc:creator>Mbeurora Karamata</dc:creator>
  <cp:keywords/>
  <dc:description/>
  <cp:lastModifiedBy>Martha Nambahu</cp:lastModifiedBy>
  <cp:revision>3</cp:revision>
  <cp:lastPrinted>2019-02-20T08:23:00Z</cp:lastPrinted>
  <dcterms:created xsi:type="dcterms:W3CDTF">2019-03-07T12:14:00Z</dcterms:created>
  <dcterms:modified xsi:type="dcterms:W3CDTF">2019-03-07T12:14:00Z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