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98" w:rsidRPr="00496CEE" w:rsidRDefault="00C05498" w:rsidP="00A52DF2">
      <w:pPr>
        <w:ind w:left="0"/>
        <w:jc w:val="right"/>
        <w:rPr>
          <w:rFonts w:ascii="Arial" w:hAnsi="Arial" w:cs="Arial"/>
          <w:b/>
          <w:sz w:val="24"/>
          <w:szCs w:val="24"/>
        </w:rPr>
      </w:pPr>
      <w:bookmarkStart w:id="0" w:name="_GoBack"/>
      <w:bookmarkEnd w:id="0"/>
      <w:r w:rsidRPr="00496CEE">
        <w:rPr>
          <w:rFonts w:ascii="Arial" w:hAnsi="Arial" w:cs="Arial"/>
          <w:b/>
          <w:sz w:val="24"/>
          <w:szCs w:val="24"/>
        </w:rPr>
        <w:t>REPORTABLE</w:t>
      </w:r>
    </w:p>
    <w:p w:rsidR="00316E8E" w:rsidRPr="00496CEE" w:rsidRDefault="00D37627" w:rsidP="00A52DF2">
      <w:pPr>
        <w:ind w:left="0"/>
        <w:jc w:val="right"/>
        <w:rPr>
          <w:rFonts w:ascii="Arial" w:hAnsi="Arial" w:cs="Arial"/>
          <w:sz w:val="24"/>
          <w:szCs w:val="24"/>
        </w:rPr>
      </w:pPr>
      <w:r w:rsidRPr="00496CEE">
        <w:rPr>
          <w:rFonts w:ascii="Arial" w:hAnsi="Arial" w:cs="Arial"/>
          <w:sz w:val="24"/>
          <w:szCs w:val="24"/>
        </w:rPr>
        <w:t>CASE NO</w:t>
      </w:r>
      <w:r w:rsidR="00C05498" w:rsidRPr="00496CEE">
        <w:rPr>
          <w:rFonts w:ascii="Arial" w:hAnsi="Arial" w:cs="Arial"/>
          <w:sz w:val="24"/>
          <w:szCs w:val="24"/>
        </w:rPr>
        <w:t xml:space="preserve">: SA </w:t>
      </w:r>
      <w:r w:rsidR="00074EF2">
        <w:rPr>
          <w:rFonts w:ascii="Arial" w:hAnsi="Arial" w:cs="Arial"/>
          <w:sz w:val="24"/>
          <w:szCs w:val="24"/>
        </w:rPr>
        <w:t>7</w:t>
      </w:r>
      <w:r w:rsidR="00963836" w:rsidRPr="00496CEE">
        <w:rPr>
          <w:rFonts w:ascii="Arial" w:hAnsi="Arial" w:cs="Arial"/>
          <w:sz w:val="24"/>
          <w:szCs w:val="24"/>
        </w:rPr>
        <w:t>/</w:t>
      </w:r>
      <w:r w:rsidR="006F7699" w:rsidRPr="00496CEE">
        <w:rPr>
          <w:rFonts w:ascii="Arial" w:hAnsi="Arial" w:cs="Arial"/>
          <w:sz w:val="24"/>
          <w:szCs w:val="24"/>
        </w:rPr>
        <w:t>201</w:t>
      </w:r>
      <w:r w:rsidR="00074EF2">
        <w:rPr>
          <w:rFonts w:ascii="Arial" w:hAnsi="Arial" w:cs="Arial"/>
          <w:sz w:val="24"/>
          <w:szCs w:val="24"/>
        </w:rPr>
        <w:t>5</w:t>
      </w:r>
    </w:p>
    <w:p w:rsidR="007D23A3" w:rsidRPr="00496CEE" w:rsidRDefault="007D23A3" w:rsidP="00A52DF2">
      <w:pPr>
        <w:ind w:left="0"/>
        <w:jc w:val="both"/>
        <w:rPr>
          <w:rFonts w:ascii="Arial" w:hAnsi="Arial" w:cs="Arial"/>
          <w:b/>
          <w:sz w:val="24"/>
          <w:szCs w:val="24"/>
        </w:rPr>
      </w:pPr>
      <w:r w:rsidRPr="00496CEE">
        <w:rPr>
          <w:rFonts w:ascii="Arial" w:hAnsi="Arial" w:cs="Arial"/>
          <w:b/>
          <w:sz w:val="24"/>
          <w:szCs w:val="24"/>
        </w:rPr>
        <w:t>IN THE SUPREME COURT OF NAMIBIA</w:t>
      </w:r>
    </w:p>
    <w:p w:rsidR="007D23A3" w:rsidRPr="00496CEE" w:rsidRDefault="00F90F7B" w:rsidP="00A52DF2">
      <w:pPr>
        <w:ind w:left="0"/>
        <w:jc w:val="both"/>
        <w:rPr>
          <w:rFonts w:ascii="Arial" w:hAnsi="Arial" w:cs="Arial"/>
          <w:sz w:val="24"/>
          <w:szCs w:val="24"/>
        </w:rPr>
      </w:pPr>
      <w:r w:rsidRPr="00496CEE">
        <w:rPr>
          <w:rFonts w:ascii="Arial" w:hAnsi="Arial" w:cs="Arial"/>
          <w:sz w:val="24"/>
          <w:szCs w:val="24"/>
        </w:rPr>
        <w:t>In the matter between</w:t>
      </w:r>
      <w:r w:rsidR="007D23A3" w:rsidRPr="00496CEE">
        <w:rPr>
          <w:rFonts w:ascii="Arial" w:hAnsi="Arial" w:cs="Arial"/>
          <w:sz w:val="24"/>
          <w:szCs w:val="24"/>
        </w:rPr>
        <w:t>:</w:t>
      </w:r>
    </w:p>
    <w:p w:rsidR="00CF6A18" w:rsidRPr="00496CEE" w:rsidRDefault="00CF6A18" w:rsidP="00A52DF2">
      <w:pPr>
        <w:ind w:left="0"/>
        <w:jc w:val="both"/>
        <w:rPr>
          <w:rFonts w:ascii="Arial" w:hAnsi="Arial" w:cs="Arial"/>
          <w:sz w:val="24"/>
          <w:szCs w:val="24"/>
        </w:rPr>
      </w:pPr>
    </w:p>
    <w:tbl>
      <w:tblPr>
        <w:tblW w:w="8897" w:type="dxa"/>
        <w:tblInd w:w="-142" w:type="dxa"/>
        <w:tblLook w:val="04A0" w:firstRow="1" w:lastRow="0" w:firstColumn="1" w:lastColumn="0" w:noHBand="0" w:noVBand="1"/>
      </w:tblPr>
      <w:tblGrid>
        <w:gridCol w:w="6204"/>
        <w:gridCol w:w="2693"/>
      </w:tblGrid>
      <w:tr w:rsidR="00496CEE" w:rsidRPr="00496CEE" w:rsidTr="009C79A7">
        <w:tc>
          <w:tcPr>
            <w:tcW w:w="6204" w:type="dxa"/>
            <w:shd w:val="clear" w:color="auto" w:fill="auto"/>
          </w:tcPr>
          <w:p w:rsidR="00BD22D9" w:rsidRPr="00496CEE" w:rsidRDefault="00074EF2" w:rsidP="003E45AA">
            <w:pPr>
              <w:spacing w:line="240" w:lineRule="auto"/>
              <w:ind w:left="34" w:hanging="34"/>
              <w:jc w:val="both"/>
              <w:rPr>
                <w:rFonts w:ascii="Arial" w:hAnsi="Arial" w:cs="Arial"/>
                <w:b/>
                <w:sz w:val="24"/>
                <w:szCs w:val="24"/>
                <w:lang w:val="fr-BE"/>
              </w:rPr>
            </w:pPr>
            <w:r>
              <w:rPr>
                <w:rFonts w:ascii="Arial" w:hAnsi="Arial" w:cs="Arial"/>
                <w:b/>
                <w:sz w:val="24"/>
                <w:szCs w:val="24"/>
                <w:lang w:val="fr-BE"/>
              </w:rPr>
              <w:t>WILLEM MARTHINUS SNYMAN</w:t>
            </w:r>
          </w:p>
          <w:p w:rsidR="00CF6A18" w:rsidRPr="00496CEE" w:rsidRDefault="00CF6A18" w:rsidP="003E45AA">
            <w:pPr>
              <w:spacing w:line="240" w:lineRule="auto"/>
              <w:ind w:left="34" w:hanging="34"/>
              <w:jc w:val="both"/>
              <w:rPr>
                <w:rFonts w:ascii="Arial" w:hAnsi="Arial" w:cs="Arial"/>
                <w:b/>
                <w:sz w:val="24"/>
                <w:szCs w:val="24"/>
              </w:rPr>
            </w:pPr>
          </w:p>
        </w:tc>
        <w:tc>
          <w:tcPr>
            <w:tcW w:w="2693" w:type="dxa"/>
            <w:shd w:val="clear" w:color="auto" w:fill="auto"/>
          </w:tcPr>
          <w:p w:rsidR="0009602D" w:rsidRPr="00496CEE" w:rsidRDefault="003E45AA" w:rsidP="003E45AA">
            <w:pPr>
              <w:spacing w:line="240" w:lineRule="auto"/>
              <w:ind w:left="0"/>
              <w:jc w:val="right"/>
              <w:rPr>
                <w:rFonts w:ascii="Arial" w:hAnsi="Arial" w:cs="Arial"/>
                <w:b/>
                <w:sz w:val="24"/>
                <w:szCs w:val="24"/>
              </w:rPr>
            </w:pPr>
            <w:r>
              <w:rPr>
                <w:rFonts w:ascii="Arial" w:hAnsi="Arial" w:cs="Arial"/>
                <w:b/>
                <w:sz w:val="24"/>
                <w:szCs w:val="24"/>
              </w:rPr>
              <w:t xml:space="preserve">First </w:t>
            </w:r>
            <w:r w:rsidR="009505F5" w:rsidRPr="00496CEE">
              <w:rPr>
                <w:rFonts w:ascii="Arial" w:hAnsi="Arial" w:cs="Arial"/>
                <w:b/>
                <w:sz w:val="24"/>
                <w:szCs w:val="24"/>
              </w:rPr>
              <w:t>Appellant</w:t>
            </w:r>
          </w:p>
        </w:tc>
      </w:tr>
      <w:tr w:rsidR="00074EF2" w:rsidRPr="00496CEE" w:rsidTr="009C79A7">
        <w:tc>
          <w:tcPr>
            <w:tcW w:w="6204" w:type="dxa"/>
            <w:shd w:val="clear" w:color="auto" w:fill="auto"/>
          </w:tcPr>
          <w:p w:rsidR="00074EF2" w:rsidRDefault="00074EF2" w:rsidP="00180A72">
            <w:pPr>
              <w:spacing w:line="240" w:lineRule="auto"/>
              <w:ind w:left="34" w:hanging="34"/>
              <w:jc w:val="both"/>
              <w:rPr>
                <w:rFonts w:ascii="Arial" w:hAnsi="Arial" w:cs="Arial"/>
                <w:b/>
                <w:sz w:val="24"/>
                <w:szCs w:val="24"/>
                <w:lang w:val="fr-BE"/>
              </w:rPr>
            </w:pPr>
            <w:r>
              <w:rPr>
                <w:rFonts w:ascii="Arial" w:hAnsi="Arial" w:cs="Arial"/>
                <w:b/>
                <w:sz w:val="24"/>
                <w:szCs w:val="24"/>
                <w:lang w:val="fr-BE"/>
              </w:rPr>
              <w:t>HUIB</w:t>
            </w:r>
            <w:r w:rsidR="00180A72">
              <w:rPr>
                <w:rFonts w:ascii="Arial" w:hAnsi="Arial" w:cs="Arial"/>
                <w:b/>
                <w:sz w:val="24"/>
                <w:szCs w:val="24"/>
                <w:lang w:val="fr-BE"/>
              </w:rPr>
              <w:t>RECHT</w:t>
            </w:r>
            <w:r>
              <w:rPr>
                <w:rFonts w:ascii="Arial" w:hAnsi="Arial" w:cs="Arial"/>
                <w:b/>
                <w:sz w:val="24"/>
                <w:szCs w:val="24"/>
                <w:lang w:val="fr-BE"/>
              </w:rPr>
              <w:t xml:space="preserve"> ELIZABETH SNYMAN</w:t>
            </w:r>
          </w:p>
        </w:tc>
        <w:tc>
          <w:tcPr>
            <w:tcW w:w="2693" w:type="dxa"/>
            <w:shd w:val="clear" w:color="auto" w:fill="auto"/>
          </w:tcPr>
          <w:p w:rsidR="00074EF2" w:rsidRDefault="003E45AA" w:rsidP="003E45AA">
            <w:pPr>
              <w:spacing w:line="240" w:lineRule="auto"/>
              <w:ind w:left="0"/>
              <w:jc w:val="right"/>
              <w:rPr>
                <w:rFonts w:ascii="Arial" w:hAnsi="Arial" w:cs="Arial"/>
                <w:b/>
                <w:sz w:val="24"/>
                <w:szCs w:val="24"/>
              </w:rPr>
            </w:pPr>
            <w:r>
              <w:rPr>
                <w:rFonts w:ascii="Arial" w:hAnsi="Arial" w:cs="Arial"/>
                <w:b/>
                <w:sz w:val="24"/>
                <w:szCs w:val="24"/>
              </w:rPr>
              <w:t xml:space="preserve">Second </w:t>
            </w:r>
            <w:r w:rsidR="00074EF2">
              <w:rPr>
                <w:rFonts w:ascii="Arial" w:hAnsi="Arial" w:cs="Arial"/>
                <w:b/>
                <w:sz w:val="24"/>
                <w:szCs w:val="24"/>
              </w:rPr>
              <w:t>Appellant</w:t>
            </w:r>
          </w:p>
        </w:tc>
      </w:tr>
      <w:tr w:rsidR="00496CEE" w:rsidRPr="00496CEE" w:rsidTr="009C79A7">
        <w:tc>
          <w:tcPr>
            <w:tcW w:w="6204" w:type="dxa"/>
            <w:shd w:val="clear" w:color="auto" w:fill="auto"/>
          </w:tcPr>
          <w:p w:rsidR="003E45AA" w:rsidRDefault="003E45AA" w:rsidP="003E45AA">
            <w:pPr>
              <w:pStyle w:val="NoSpacing"/>
              <w:spacing w:line="240" w:lineRule="auto"/>
              <w:ind w:left="34" w:hanging="34"/>
              <w:jc w:val="both"/>
              <w:rPr>
                <w:rFonts w:ascii="Arial" w:hAnsi="Arial" w:cs="Arial"/>
                <w:sz w:val="24"/>
                <w:szCs w:val="24"/>
              </w:rPr>
            </w:pPr>
          </w:p>
          <w:p w:rsidR="0009602D" w:rsidRDefault="00EA5DB4" w:rsidP="003E45AA">
            <w:pPr>
              <w:pStyle w:val="NoSpacing"/>
              <w:spacing w:line="240" w:lineRule="auto"/>
              <w:ind w:left="34" w:hanging="34"/>
              <w:jc w:val="both"/>
              <w:rPr>
                <w:rFonts w:ascii="Arial" w:hAnsi="Arial" w:cs="Arial"/>
                <w:sz w:val="24"/>
                <w:szCs w:val="24"/>
              </w:rPr>
            </w:pPr>
            <w:r w:rsidRPr="00496CEE">
              <w:rPr>
                <w:rFonts w:ascii="Arial" w:hAnsi="Arial" w:cs="Arial"/>
                <w:sz w:val="24"/>
                <w:szCs w:val="24"/>
              </w:rPr>
              <w:t>A</w:t>
            </w:r>
            <w:r w:rsidR="006F7699" w:rsidRPr="00496CEE">
              <w:rPr>
                <w:rFonts w:ascii="Arial" w:hAnsi="Arial" w:cs="Arial"/>
                <w:sz w:val="24"/>
                <w:szCs w:val="24"/>
              </w:rPr>
              <w:t>nd</w:t>
            </w:r>
          </w:p>
          <w:p w:rsidR="003E45AA" w:rsidRPr="00496CEE" w:rsidRDefault="003E45AA" w:rsidP="003E45AA">
            <w:pPr>
              <w:pStyle w:val="NoSpacing"/>
              <w:spacing w:line="240" w:lineRule="auto"/>
              <w:ind w:left="34" w:hanging="34"/>
              <w:jc w:val="both"/>
              <w:rPr>
                <w:rFonts w:ascii="Arial" w:hAnsi="Arial" w:cs="Arial"/>
                <w:sz w:val="24"/>
                <w:szCs w:val="24"/>
              </w:rPr>
            </w:pPr>
          </w:p>
        </w:tc>
        <w:tc>
          <w:tcPr>
            <w:tcW w:w="2693" w:type="dxa"/>
            <w:shd w:val="clear" w:color="auto" w:fill="auto"/>
          </w:tcPr>
          <w:p w:rsidR="0009602D" w:rsidRPr="00496CEE" w:rsidRDefault="0009602D" w:rsidP="003E45AA">
            <w:pPr>
              <w:pStyle w:val="NoSpacing"/>
              <w:spacing w:line="240" w:lineRule="auto"/>
              <w:ind w:left="0"/>
              <w:jc w:val="both"/>
              <w:rPr>
                <w:rFonts w:ascii="Arial" w:hAnsi="Arial" w:cs="Arial"/>
                <w:b/>
                <w:sz w:val="24"/>
                <w:szCs w:val="24"/>
              </w:rPr>
            </w:pPr>
          </w:p>
        </w:tc>
      </w:tr>
      <w:tr w:rsidR="003E45AA" w:rsidRPr="00496CEE" w:rsidTr="009C79A7">
        <w:tc>
          <w:tcPr>
            <w:tcW w:w="6204" w:type="dxa"/>
            <w:shd w:val="clear" w:color="auto" w:fill="auto"/>
          </w:tcPr>
          <w:p w:rsidR="003E45AA" w:rsidRDefault="003E45AA" w:rsidP="003E45AA">
            <w:pPr>
              <w:pStyle w:val="NoSpacing"/>
              <w:spacing w:line="240" w:lineRule="auto"/>
              <w:ind w:left="34" w:hanging="34"/>
              <w:jc w:val="both"/>
              <w:rPr>
                <w:rFonts w:ascii="Arial" w:hAnsi="Arial" w:cs="Arial"/>
                <w:sz w:val="24"/>
                <w:szCs w:val="24"/>
              </w:rPr>
            </w:pPr>
            <w:r>
              <w:rPr>
                <w:rFonts w:ascii="Arial" w:hAnsi="Arial" w:cs="Arial"/>
                <w:b/>
                <w:sz w:val="24"/>
                <w:szCs w:val="24"/>
              </w:rPr>
              <w:t>PETRUS CORNELIUS JORDAAN N.O.</w:t>
            </w:r>
          </w:p>
        </w:tc>
        <w:tc>
          <w:tcPr>
            <w:tcW w:w="2693" w:type="dxa"/>
            <w:shd w:val="clear" w:color="auto" w:fill="auto"/>
          </w:tcPr>
          <w:p w:rsidR="003E45AA" w:rsidRPr="00496CEE" w:rsidRDefault="003E45AA" w:rsidP="003E45AA">
            <w:pPr>
              <w:pStyle w:val="NoSpacing"/>
              <w:spacing w:line="240" w:lineRule="auto"/>
              <w:ind w:left="0"/>
              <w:jc w:val="right"/>
              <w:rPr>
                <w:rFonts w:ascii="Arial" w:hAnsi="Arial" w:cs="Arial"/>
                <w:b/>
                <w:sz w:val="24"/>
                <w:szCs w:val="24"/>
              </w:rPr>
            </w:pPr>
            <w:r>
              <w:rPr>
                <w:rFonts w:ascii="Arial" w:hAnsi="Arial" w:cs="Arial"/>
                <w:b/>
                <w:sz w:val="24"/>
                <w:szCs w:val="24"/>
              </w:rPr>
              <w:t>Respondent</w:t>
            </w:r>
          </w:p>
        </w:tc>
      </w:tr>
    </w:tbl>
    <w:p w:rsidR="003E45AA" w:rsidRDefault="003E45AA" w:rsidP="00A52DF2">
      <w:pPr>
        <w:ind w:left="0"/>
        <w:jc w:val="both"/>
        <w:rPr>
          <w:rFonts w:ascii="Arial" w:hAnsi="Arial" w:cs="Arial"/>
          <w:b/>
          <w:sz w:val="24"/>
          <w:szCs w:val="24"/>
          <w:lang w:val="en-US"/>
        </w:rPr>
      </w:pPr>
    </w:p>
    <w:p w:rsidR="003E45AA" w:rsidRDefault="003E45AA" w:rsidP="00A52DF2">
      <w:pPr>
        <w:ind w:left="0"/>
        <w:jc w:val="both"/>
        <w:rPr>
          <w:rFonts w:ascii="Arial" w:hAnsi="Arial" w:cs="Arial"/>
          <w:b/>
          <w:sz w:val="24"/>
          <w:szCs w:val="24"/>
          <w:lang w:val="en-US"/>
        </w:rPr>
      </w:pPr>
    </w:p>
    <w:p w:rsidR="0069254F" w:rsidRDefault="0069254F" w:rsidP="00A52DF2">
      <w:pPr>
        <w:ind w:left="0"/>
        <w:jc w:val="both"/>
        <w:rPr>
          <w:rFonts w:ascii="Arial" w:hAnsi="Arial" w:cs="Arial"/>
          <w:b/>
          <w:sz w:val="24"/>
          <w:szCs w:val="24"/>
          <w:lang w:val="en-US"/>
        </w:rPr>
      </w:pPr>
    </w:p>
    <w:p w:rsidR="00F00CC4" w:rsidRDefault="00C301D8" w:rsidP="00A52DF2">
      <w:pPr>
        <w:ind w:left="0"/>
        <w:jc w:val="both"/>
        <w:rPr>
          <w:rFonts w:ascii="Arial" w:hAnsi="Arial" w:cs="Arial"/>
          <w:sz w:val="24"/>
          <w:szCs w:val="24"/>
          <w:lang w:val="en-US"/>
        </w:rPr>
      </w:pPr>
      <w:r w:rsidRPr="00496CEE">
        <w:rPr>
          <w:rFonts w:ascii="Arial" w:hAnsi="Arial" w:cs="Arial"/>
          <w:b/>
          <w:sz w:val="24"/>
          <w:szCs w:val="24"/>
          <w:lang w:val="en-US"/>
        </w:rPr>
        <w:t>Coram:</w:t>
      </w:r>
      <w:r w:rsidRPr="00496CEE">
        <w:rPr>
          <w:rFonts w:ascii="Arial" w:hAnsi="Arial" w:cs="Arial"/>
          <w:sz w:val="24"/>
          <w:szCs w:val="24"/>
          <w:lang w:val="en-US"/>
        </w:rPr>
        <w:tab/>
      </w:r>
      <w:r w:rsidRPr="00496CEE">
        <w:rPr>
          <w:rFonts w:ascii="Arial" w:hAnsi="Arial" w:cs="Arial"/>
          <w:sz w:val="24"/>
          <w:szCs w:val="24"/>
          <w:lang w:val="en-US"/>
        </w:rPr>
        <w:tab/>
      </w:r>
      <w:r w:rsidR="00F00CC4">
        <w:rPr>
          <w:rFonts w:ascii="Arial" w:hAnsi="Arial" w:cs="Arial"/>
          <w:sz w:val="24"/>
          <w:szCs w:val="24"/>
          <w:lang w:val="en-US"/>
        </w:rPr>
        <w:t>MAINGA JA,</w:t>
      </w:r>
      <w:r w:rsidR="00F00CC4" w:rsidRPr="00496CEE">
        <w:rPr>
          <w:rFonts w:ascii="Arial" w:hAnsi="Arial" w:cs="Arial"/>
          <w:sz w:val="24"/>
          <w:szCs w:val="24"/>
          <w:lang w:val="en-US"/>
        </w:rPr>
        <w:t xml:space="preserve"> </w:t>
      </w:r>
      <w:r w:rsidR="008600BA" w:rsidRPr="00496CEE">
        <w:rPr>
          <w:rFonts w:ascii="Arial" w:hAnsi="Arial" w:cs="Arial"/>
          <w:sz w:val="24"/>
          <w:szCs w:val="24"/>
          <w:lang w:val="en-US"/>
        </w:rPr>
        <w:t>SMUTS</w:t>
      </w:r>
      <w:r w:rsidR="00401A23" w:rsidRPr="00496CEE">
        <w:rPr>
          <w:rFonts w:ascii="Arial" w:hAnsi="Arial" w:cs="Arial"/>
          <w:sz w:val="24"/>
          <w:szCs w:val="24"/>
          <w:lang w:val="en-US"/>
        </w:rPr>
        <w:t xml:space="preserve"> </w:t>
      </w:r>
      <w:r w:rsidR="008600BA" w:rsidRPr="00496CEE">
        <w:rPr>
          <w:rFonts w:ascii="Arial" w:hAnsi="Arial" w:cs="Arial"/>
          <w:sz w:val="24"/>
          <w:szCs w:val="24"/>
          <w:lang w:val="en-US"/>
        </w:rPr>
        <w:t>JA</w:t>
      </w:r>
      <w:r w:rsidR="00F00CC4" w:rsidRPr="00F00CC4">
        <w:rPr>
          <w:rFonts w:ascii="Arial" w:hAnsi="Arial" w:cs="Arial"/>
          <w:sz w:val="24"/>
          <w:szCs w:val="24"/>
          <w:lang w:val="en-US"/>
        </w:rPr>
        <w:t xml:space="preserve"> </w:t>
      </w:r>
      <w:r w:rsidR="00F00CC4" w:rsidRPr="00496CEE">
        <w:rPr>
          <w:rFonts w:ascii="Arial" w:hAnsi="Arial" w:cs="Arial"/>
          <w:sz w:val="24"/>
          <w:szCs w:val="24"/>
          <w:lang w:val="en-US"/>
        </w:rPr>
        <w:t>and</w:t>
      </w:r>
      <w:r w:rsidR="00F00CC4">
        <w:rPr>
          <w:rFonts w:ascii="Arial" w:hAnsi="Arial" w:cs="Arial"/>
          <w:sz w:val="24"/>
          <w:szCs w:val="24"/>
          <w:lang w:val="en-US"/>
        </w:rPr>
        <w:t xml:space="preserve"> HOFF JA</w:t>
      </w:r>
    </w:p>
    <w:p w:rsidR="007D23A3" w:rsidRPr="00496CEE" w:rsidRDefault="007D23A3" w:rsidP="00A52DF2">
      <w:pPr>
        <w:ind w:left="0"/>
        <w:jc w:val="both"/>
        <w:rPr>
          <w:rFonts w:ascii="Arial" w:hAnsi="Arial" w:cs="Arial"/>
          <w:b/>
          <w:sz w:val="24"/>
          <w:szCs w:val="24"/>
        </w:rPr>
      </w:pPr>
      <w:r w:rsidRPr="00496CEE">
        <w:rPr>
          <w:rFonts w:ascii="Arial" w:hAnsi="Arial" w:cs="Arial"/>
          <w:b/>
          <w:sz w:val="24"/>
          <w:szCs w:val="24"/>
        </w:rPr>
        <w:t>H</w:t>
      </w:r>
      <w:r w:rsidR="00C05498" w:rsidRPr="00496CEE">
        <w:rPr>
          <w:rFonts w:ascii="Arial" w:hAnsi="Arial" w:cs="Arial"/>
          <w:b/>
          <w:sz w:val="24"/>
          <w:szCs w:val="24"/>
        </w:rPr>
        <w:t>eard</w:t>
      </w:r>
      <w:r w:rsidRPr="00496CEE">
        <w:rPr>
          <w:rFonts w:ascii="Arial" w:hAnsi="Arial" w:cs="Arial"/>
          <w:b/>
          <w:sz w:val="24"/>
          <w:szCs w:val="24"/>
        </w:rPr>
        <w:t>:</w:t>
      </w:r>
      <w:r w:rsidRPr="00496CEE">
        <w:rPr>
          <w:rFonts w:ascii="Arial" w:hAnsi="Arial" w:cs="Arial"/>
          <w:b/>
          <w:sz w:val="24"/>
          <w:szCs w:val="24"/>
        </w:rPr>
        <w:tab/>
      </w:r>
      <w:r w:rsidRPr="00496CEE">
        <w:rPr>
          <w:rFonts w:ascii="Arial" w:hAnsi="Arial" w:cs="Arial"/>
          <w:b/>
          <w:sz w:val="24"/>
          <w:szCs w:val="24"/>
        </w:rPr>
        <w:tab/>
      </w:r>
      <w:r w:rsidR="00F00CC4">
        <w:rPr>
          <w:rFonts w:ascii="Arial" w:hAnsi="Arial" w:cs="Arial"/>
          <w:b/>
          <w:sz w:val="24"/>
          <w:szCs w:val="24"/>
        </w:rPr>
        <w:t>4 November</w:t>
      </w:r>
      <w:r w:rsidR="00360184" w:rsidRPr="00496CEE">
        <w:rPr>
          <w:rFonts w:ascii="Arial" w:hAnsi="Arial" w:cs="Arial"/>
          <w:b/>
          <w:sz w:val="24"/>
          <w:szCs w:val="24"/>
        </w:rPr>
        <w:t xml:space="preserve"> </w:t>
      </w:r>
      <w:r w:rsidRPr="00496CEE">
        <w:rPr>
          <w:rFonts w:ascii="Arial" w:hAnsi="Arial" w:cs="Arial"/>
          <w:b/>
          <w:sz w:val="24"/>
          <w:szCs w:val="24"/>
        </w:rPr>
        <w:t>201</w:t>
      </w:r>
      <w:r w:rsidR="00360184" w:rsidRPr="00496CEE">
        <w:rPr>
          <w:rFonts w:ascii="Arial" w:hAnsi="Arial" w:cs="Arial"/>
          <w:b/>
          <w:sz w:val="24"/>
          <w:szCs w:val="24"/>
        </w:rPr>
        <w:t>6</w:t>
      </w:r>
    </w:p>
    <w:p w:rsidR="009C2702" w:rsidRDefault="00C05498" w:rsidP="00A52DF2">
      <w:pPr>
        <w:ind w:left="0"/>
        <w:jc w:val="both"/>
        <w:rPr>
          <w:rFonts w:ascii="Arial" w:hAnsi="Arial" w:cs="Arial"/>
          <w:b/>
          <w:sz w:val="24"/>
          <w:szCs w:val="24"/>
        </w:rPr>
      </w:pPr>
      <w:r w:rsidRPr="00496CEE">
        <w:rPr>
          <w:rFonts w:ascii="Arial" w:hAnsi="Arial" w:cs="Arial"/>
          <w:b/>
          <w:sz w:val="24"/>
          <w:szCs w:val="24"/>
        </w:rPr>
        <w:t>Delivered</w:t>
      </w:r>
      <w:r w:rsidR="007D23A3" w:rsidRPr="00496CEE">
        <w:rPr>
          <w:rFonts w:ascii="Arial" w:hAnsi="Arial" w:cs="Arial"/>
          <w:b/>
          <w:sz w:val="24"/>
          <w:szCs w:val="24"/>
        </w:rPr>
        <w:t>:</w:t>
      </w:r>
      <w:r w:rsidR="00642639" w:rsidRPr="00496CEE">
        <w:rPr>
          <w:rFonts w:ascii="Arial" w:hAnsi="Arial" w:cs="Arial"/>
          <w:b/>
          <w:sz w:val="24"/>
          <w:szCs w:val="24"/>
        </w:rPr>
        <w:tab/>
      </w:r>
      <w:r w:rsidR="00BB3B17" w:rsidRPr="00496CEE">
        <w:rPr>
          <w:rFonts w:ascii="Arial" w:hAnsi="Arial" w:cs="Arial"/>
          <w:b/>
          <w:sz w:val="24"/>
          <w:szCs w:val="24"/>
        </w:rPr>
        <w:tab/>
      </w:r>
      <w:r w:rsidR="00327AD3">
        <w:rPr>
          <w:rFonts w:ascii="Arial" w:hAnsi="Arial" w:cs="Arial"/>
          <w:b/>
          <w:sz w:val="24"/>
          <w:szCs w:val="24"/>
        </w:rPr>
        <w:t xml:space="preserve">29 </w:t>
      </w:r>
      <w:r w:rsidR="006A23AE" w:rsidRPr="00496CEE">
        <w:rPr>
          <w:rFonts w:ascii="Arial" w:hAnsi="Arial" w:cs="Arial"/>
          <w:b/>
          <w:sz w:val="24"/>
          <w:szCs w:val="24"/>
        </w:rPr>
        <w:t>November</w:t>
      </w:r>
      <w:r w:rsidR="00360184" w:rsidRPr="00496CEE">
        <w:rPr>
          <w:rFonts w:ascii="Arial" w:hAnsi="Arial" w:cs="Arial"/>
          <w:b/>
          <w:sz w:val="24"/>
          <w:szCs w:val="24"/>
        </w:rPr>
        <w:t xml:space="preserve"> 2016</w:t>
      </w:r>
    </w:p>
    <w:p w:rsidR="0069254F" w:rsidRPr="00496CEE" w:rsidRDefault="0069254F" w:rsidP="00A52DF2">
      <w:pPr>
        <w:ind w:left="0"/>
        <w:jc w:val="both"/>
        <w:rPr>
          <w:rFonts w:ascii="Arial" w:hAnsi="Arial" w:cs="Arial"/>
          <w:b/>
          <w:sz w:val="24"/>
          <w:szCs w:val="24"/>
        </w:rPr>
      </w:pPr>
    </w:p>
    <w:p w:rsidR="007D23A3" w:rsidRPr="00496CEE" w:rsidRDefault="007D23A3" w:rsidP="00A52DF2">
      <w:pPr>
        <w:spacing w:line="240" w:lineRule="auto"/>
        <w:ind w:left="0"/>
        <w:jc w:val="both"/>
        <w:rPr>
          <w:rFonts w:ascii="Arial" w:hAnsi="Arial" w:cs="Arial"/>
          <w:b/>
          <w:sz w:val="24"/>
          <w:szCs w:val="24"/>
        </w:rPr>
      </w:pPr>
    </w:p>
    <w:p w:rsidR="00C05498" w:rsidRPr="00496CEE" w:rsidRDefault="00C05498" w:rsidP="00A52DF2">
      <w:pPr>
        <w:pBdr>
          <w:top w:val="single" w:sz="12" w:space="1" w:color="auto"/>
          <w:bottom w:val="single" w:sz="12" w:space="1" w:color="auto"/>
        </w:pBdr>
        <w:spacing w:line="240" w:lineRule="auto"/>
        <w:ind w:left="0"/>
        <w:jc w:val="both"/>
        <w:rPr>
          <w:rFonts w:ascii="Arial" w:hAnsi="Arial" w:cs="Arial"/>
          <w:b/>
          <w:sz w:val="24"/>
          <w:szCs w:val="24"/>
        </w:rPr>
      </w:pPr>
    </w:p>
    <w:p w:rsidR="007D23A3" w:rsidRPr="00496CEE" w:rsidRDefault="00C05498" w:rsidP="00A52DF2">
      <w:pPr>
        <w:pBdr>
          <w:top w:val="single" w:sz="12" w:space="1" w:color="auto"/>
          <w:bottom w:val="single" w:sz="12" w:space="1" w:color="auto"/>
        </w:pBdr>
        <w:spacing w:line="240" w:lineRule="auto"/>
        <w:ind w:left="0"/>
        <w:jc w:val="center"/>
        <w:rPr>
          <w:rFonts w:ascii="Arial" w:hAnsi="Arial" w:cs="Arial"/>
          <w:b/>
          <w:sz w:val="24"/>
          <w:szCs w:val="24"/>
        </w:rPr>
      </w:pPr>
      <w:r w:rsidRPr="00496CEE">
        <w:rPr>
          <w:rFonts w:ascii="Arial" w:hAnsi="Arial" w:cs="Arial"/>
          <w:b/>
          <w:sz w:val="24"/>
          <w:szCs w:val="24"/>
        </w:rPr>
        <w:t>APPEAL JUDGMENT</w:t>
      </w:r>
    </w:p>
    <w:p w:rsidR="00C05498" w:rsidRPr="00496CEE" w:rsidRDefault="00C05498" w:rsidP="00A52DF2">
      <w:pPr>
        <w:pBdr>
          <w:top w:val="single" w:sz="12" w:space="1" w:color="auto"/>
          <w:bottom w:val="single" w:sz="12" w:space="1" w:color="auto"/>
        </w:pBdr>
        <w:spacing w:line="240" w:lineRule="auto"/>
        <w:ind w:left="0"/>
        <w:jc w:val="both"/>
        <w:rPr>
          <w:rFonts w:ascii="Arial" w:hAnsi="Arial" w:cs="Arial"/>
          <w:b/>
          <w:sz w:val="24"/>
          <w:szCs w:val="24"/>
        </w:rPr>
      </w:pPr>
    </w:p>
    <w:p w:rsidR="00814008" w:rsidRPr="00496CEE" w:rsidRDefault="00814008" w:rsidP="00A52DF2">
      <w:pPr>
        <w:ind w:left="0"/>
        <w:jc w:val="both"/>
        <w:rPr>
          <w:rFonts w:ascii="Arial" w:hAnsi="Arial" w:cs="Arial"/>
          <w:sz w:val="24"/>
          <w:szCs w:val="24"/>
          <w:lang w:val="en-US"/>
        </w:rPr>
      </w:pPr>
    </w:p>
    <w:p w:rsidR="00BE11B8" w:rsidRPr="00496CEE" w:rsidRDefault="00E9044B" w:rsidP="00A52DF2">
      <w:pPr>
        <w:ind w:left="0"/>
        <w:jc w:val="both"/>
        <w:rPr>
          <w:rFonts w:ascii="Arial" w:hAnsi="Arial" w:cs="Arial"/>
          <w:sz w:val="24"/>
          <w:szCs w:val="24"/>
          <w:lang w:val="en-US"/>
        </w:rPr>
      </w:pPr>
      <w:r w:rsidRPr="00496CEE">
        <w:rPr>
          <w:rFonts w:ascii="Arial" w:hAnsi="Arial" w:cs="Arial"/>
          <w:sz w:val="24"/>
          <w:szCs w:val="24"/>
          <w:lang w:val="en-US"/>
        </w:rPr>
        <w:t xml:space="preserve">SMUTS </w:t>
      </w:r>
      <w:r w:rsidR="00C05498" w:rsidRPr="00496CEE">
        <w:rPr>
          <w:rFonts w:ascii="Arial" w:hAnsi="Arial" w:cs="Arial"/>
          <w:sz w:val="24"/>
          <w:szCs w:val="24"/>
          <w:lang w:val="en-US"/>
        </w:rPr>
        <w:t>JA (</w:t>
      </w:r>
      <w:r w:rsidR="00F00CC4">
        <w:rPr>
          <w:rFonts w:ascii="Arial" w:hAnsi="Arial" w:cs="Arial"/>
          <w:sz w:val="24"/>
          <w:szCs w:val="24"/>
          <w:lang w:val="en-US"/>
        </w:rPr>
        <w:t xml:space="preserve">MAINGA </w:t>
      </w:r>
      <w:r w:rsidR="00CE3EA8" w:rsidRPr="00496CEE">
        <w:rPr>
          <w:rFonts w:ascii="Arial" w:hAnsi="Arial" w:cs="Arial"/>
          <w:sz w:val="24"/>
          <w:szCs w:val="24"/>
          <w:lang w:val="en-US"/>
        </w:rPr>
        <w:t>JA</w:t>
      </w:r>
      <w:r w:rsidR="00E53266" w:rsidRPr="00496CEE">
        <w:rPr>
          <w:rFonts w:ascii="Arial" w:hAnsi="Arial" w:cs="Arial"/>
          <w:sz w:val="24"/>
          <w:szCs w:val="24"/>
          <w:lang w:val="en-US"/>
        </w:rPr>
        <w:t xml:space="preserve"> </w:t>
      </w:r>
      <w:r w:rsidR="00965DC0" w:rsidRPr="00496CEE">
        <w:rPr>
          <w:rFonts w:ascii="Arial" w:hAnsi="Arial" w:cs="Arial"/>
          <w:sz w:val="24"/>
          <w:szCs w:val="24"/>
          <w:lang w:val="en-US"/>
        </w:rPr>
        <w:t xml:space="preserve">and </w:t>
      </w:r>
      <w:r w:rsidR="00F00CC4">
        <w:rPr>
          <w:rFonts w:ascii="Arial" w:hAnsi="Arial" w:cs="Arial"/>
          <w:sz w:val="24"/>
          <w:szCs w:val="24"/>
          <w:lang w:val="en-US"/>
        </w:rPr>
        <w:t xml:space="preserve">HOFF </w:t>
      </w:r>
      <w:r w:rsidR="00B9123F" w:rsidRPr="00496CEE">
        <w:rPr>
          <w:rFonts w:ascii="Arial" w:hAnsi="Arial" w:cs="Arial"/>
          <w:sz w:val="24"/>
          <w:szCs w:val="24"/>
          <w:lang w:val="en-US"/>
        </w:rPr>
        <w:t xml:space="preserve">JA </w:t>
      </w:r>
      <w:r w:rsidR="00C05498" w:rsidRPr="00496CEE">
        <w:rPr>
          <w:rFonts w:ascii="Arial" w:hAnsi="Arial" w:cs="Arial"/>
          <w:sz w:val="24"/>
          <w:szCs w:val="24"/>
          <w:lang w:val="en-US"/>
        </w:rPr>
        <w:t>concurring):</w:t>
      </w:r>
    </w:p>
    <w:p w:rsidR="00BD22D9" w:rsidRDefault="002B233F"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The respondent in this appeal is the executor in Namibia of the estates of his deceased parents, Mr and Mrs Jordaan. In that capacity, he instituted an action for eviction against Mr and Mrs Snyman, the appellants, from the farm Marwil No 541 registered in the name of his father, the late Mr Jordaan. His parents were married in community of property. He also claimed damages for h</w:t>
      </w:r>
      <w:r w:rsidR="00A52DF2">
        <w:rPr>
          <w:rFonts w:ascii="Arial" w:hAnsi="Arial" w:cs="Arial"/>
          <w:sz w:val="24"/>
          <w:szCs w:val="24"/>
        </w:rPr>
        <w:t xml:space="preserve">olding over </w:t>
      </w:r>
      <w:r w:rsidR="00A52DF2">
        <w:rPr>
          <w:rFonts w:ascii="Arial" w:hAnsi="Arial" w:cs="Arial"/>
          <w:sz w:val="24"/>
          <w:szCs w:val="24"/>
        </w:rPr>
        <w:lastRenderedPageBreak/>
        <w:t xml:space="preserve">against the Snymans. The High Court on 6 February 2015 upheld the executor’s claims with costs, ordering the eviction of the Snymans from the farm and </w:t>
      </w:r>
      <w:r w:rsidR="006F7D69">
        <w:rPr>
          <w:rFonts w:ascii="Arial" w:hAnsi="Arial" w:cs="Arial"/>
          <w:sz w:val="24"/>
          <w:szCs w:val="24"/>
        </w:rPr>
        <w:t xml:space="preserve">the payment of </w:t>
      </w:r>
      <w:r w:rsidR="00A52DF2">
        <w:rPr>
          <w:rFonts w:ascii="Arial" w:hAnsi="Arial" w:cs="Arial"/>
          <w:sz w:val="24"/>
          <w:szCs w:val="24"/>
        </w:rPr>
        <w:t xml:space="preserve">damages </w:t>
      </w:r>
      <w:r w:rsidR="003E45AA">
        <w:rPr>
          <w:rFonts w:ascii="Arial" w:hAnsi="Arial" w:cs="Arial"/>
          <w:sz w:val="24"/>
          <w:szCs w:val="24"/>
        </w:rPr>
        <w:t xml:space="preserve">against them </w:t>
      </w:r>
      <w:r w:rsidR="00A52DF2">
        <w:rPr>
          <w:rFonts w:ascii="Arial" w:hAnsi="Arial" w:cs="Arial"/>
          <w:sz w:val="24"/>
          <w:szCs w:val="24"/>
        </w:rPr>
        <w:t xml:space="preserve">for holding over. </w:t>
      </w:r>
    </w:p>
    <w:p w:rsidR="00A52DF2" w:rsidRDefault="00A52DF2" w:rsidP="00A52DF2">
      <w:pPr>
        <w:pStyle w:val="ListParagraph"/>
        <w:ind w:left="0"/>
        <w:jc w:val="both"/>
        <w:rPr>
          <w:rFonts w:ascii="Arial" w:hAnsi="Arial" w:cs="Arial"/>
          <w:sz w:val="24"/>
          <w:szCs w:val="24"/>
        </w:rPr>
      </w:pPr>
    </w:p>
    <w:p w:rsidR="00A52DF2" w:rsidRDefault="00A52DF2"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Snymans timeously noted an appeal against the judgment of the High Court on 9 March 2015. The appeal record was to be filed on 5 May 2015. But </w:t>
      </w:r>
      <w:r w:rsidR="00764826">
        <w:rPr>
          <w:rFonts w:ascii="Arial" w:hAnsi="Arial" w:cs="Arial"/>
          <w:sz w:val="24"/>
          <w:szCs w:val="24"/>
        </w:rPr>
        <w:t>t</w:t>
      </w:r>
      <w:r>
        <w:rPr>
          <w:rFonts w:ascii="Arial" w:hAnsi="Arial" w:cs="Arial"/>
          <w:sz w:val="24"/>
          <w:szCs w:val="24"/>
        </w:rPr>
        <w:t>his did not occur. Instead</w:t>
      </w:r>
      <w:r w:rsidR="003E45AA">
        <w:rPr>
          <w:rFonts w:ascii="Arial" w:hAnsi="Arial" w:cs="Arial"/>
          <w:sz w:val="24"/>
          <w:szCs w:val="24"/>
        </w:rPr>
        <w:t>,</w:t>
      </w:r>
      <w:r>
        <w:rPr>
          <w:rFonts w:ascii="Arial" w:hAnsi="Arial" w:cs="Arial"/>
          <w:sz w:val="24"/>
          <w:szCs w:val="24"/>
        </w:rPr>
        <w:t xml:space="preserve"> </w:t>
      </w:r>
      <w:r w:rsidR="003E45AA">
        <w:rPr>
          <w:rFonts w:ascii="Arial" w:hAnsi="Arial" w:cs="Arial"/>
          <w:sz w:val="24"/>
          <w:szCs w:val="24"/>
        </w:rPr>
        <w:t>five</w:t>
      </w:r>
      <w:r>
        <w:rPr>
          <w:rFonts w:ascii="Arial" w:hAnsi="Arial" w:cs="Arial"/>
          <w:sz w:val="24"/>
          <w:szCs w:val="24"/>
        </w:rPr>
        <w:t xml:space="preserve"> volumes</w:t>
      </w:r>
      <w:r w:rsidR="003E45AA">
        <w:rPr>
          <w:rFonts w:ascii="Arial" w:hAnsi="Arial" w:cs="Arial"/>
          <w:sz w:val="24"/>
          <w:szCs w:val="24"/>
        </w:rPr>
        <w:t>,</w:t>
      </w:r>
      <w:r>
        <w:rPr>
          <w:rFonts w:ascii="Arial" w:hAnsi="Arial" w:cs="Arial"/>
          <w:sz w:val="24"/>
          <w:szCs w:val="24"/>
        </w:rPr>
        <w:t xml:space="preserve"> said to constitute the record</w:t>
      </w:r>
      <w:r w:rsidR="003E45AA">
        <w:rPr>
          <w:rFonts w:ascii="Arial" w:hAnsi="Arial" w:cs="Arial"/>
          <w:sz w:val="24"/>
          <w:szCs w:val="24"/>
        </w:rPr>
        <w:t>,</w:t>
      </w:r>
      <w:r>
        <w:rPr>
          <w:rFonts w:ascii="Arial" w:hAnsi="Arial" w:cs="Arial"/>
          <w:sz w:val="24"/>
          <w:szCs w:val="24"/>
        </w:rPr>
        <w:t xml:space="preserve"> </w:t>
      </w:r>
      <w:r w:rsidR="003E45AA">
        <w:rPr>
          <w:rFonts w:ascii="Arial" w:hAnsi="Arial" w:cs="Arial"/>
          <w:sz w:val="24"/>
          <w:szCs w:val="24"/>
        </w:rPr>
        <w:t>were</w:t>
      </w:r>
      <w:r>
        <w:rPr>
          <w:rFonts w:ascii="Arial" w:hAnsi="Arial" w:cs="Arial"/>
          <w:sz w:val="24"/>
          <w:szCs w:val="24"/>
        </w:rPr>
        <w:t xml:space="preserve"> lodged on 17 June 2015.</w:t>
      </w:r>
    </w:p>
    <w:p w:rsidR="00A52DF2" w:rsidRDefault="00A52DF2" w:rsidP="003E45AA">
      <w:pPr>
        <w:ind w:left="0"/>
        <w:rPr>
          <w:rFonts w:ascii="Arial" w:hAnsi="Arial" w:cs="Arial"/>
          <w:sz w:val="24"/>
          <w:szCs w:val="24"/>
        </w:rPr>
      </w:pPr>
    </w:p>
    <w:p w:rsidR="003E45AA" w:rsidRPr="003E45AA" w:rsidRDefault="003E45AA" w:rsidP="003E45AA">
      <w:pPr>
        <w:ind w:left="0"/>
        <w:rPr>
          <w:rFonts w:ascii="Arial" w:hAnsi="Arial" w:cs="Arial"/>
          <w:sz w:val="24"/>
          <w:szCs w:val="24"/>
          <w:u w:val="single"/>
        </w:rPr>
      </w:pPr>
      <w:r>
        <w:rPr>
          <w:rFonts w:ascii="Arial" w:hAnsi="Arial" w:cs="Arial"/>
          <w:sz w:val="24"/>
          <w:szCs w:val="24"/>
          <w:u w:val="single"/>
        </w:rPr>
        <w:t>First condonation application</w:t>
      </w:r>
    </w:p>
    <w:p w:rsidR="003E45AA" w:rsidRDefault="00A52DF2"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Shortly afterwards and on 7 July 2015, a condonation application was filed on behalf of the Snymans. I refer to this as the first condonation application. </w:t>
      </w:r>
    </w:p>
    <w:p w:rsidR="003E45AA" w:rsidRDefault="003E45AA" w:rsidP="003E45AA">
      <w:pPr>
        <w:pStyle w:val="ListParagraph"/>
        <w:ind w:left="0"/>
        <w:jc w:val="both"/>
        <w:rPr>
          <w:rFonts w:ascii="Arial" w:hAnsi="Arial" w:cs="Arial"/>
          <w:sz w:val="24"/>
          <w:szCs w:val="24"/>
        </w:rPr>
      </w:pPr>
    </w:p>
    <w:p w:rsidR="003E45AA" w:rsidRDefault="00A52DF2"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The founding affidavit was deposed to by junior counsel in the matter. In a detailed explanation, he said</w:t>
      </w:r>
      <w:r w:rsidR="00ED5453">
        <w:rPr>
          <w:rFonts w:ascii="Arial" w:hAnsi="Arial" w:cs="Arial"/>
          <w:sz w:val="24"/>
          <w:szCs w:val="24"/>
        </w:rPr>
        <w:t xml:space="preserve"> that</w:t>
      </w:r>
      <w:r>
        <w:rPr>
          <w:rFonts w:ascii="Arial" w:hAnsi="Arial" w:cs="Arial"/>
          <w:sz w:val="24"/>
          <w:szCs w:val="24"/>
        </w:rPr>
        <w:t xml:space="preserve"> he had </w:t>
      </w:r>
      <w:r w:rsidR="003E45AA">
        <w:rPr>
          <w:rFonts w:ascii="Arial" w:hAnsi="Arial" w:cs="Arial"/>
          <w:sz w:val="24"/>
          <w:szCs w:val="24"/>
        </w:rPr>
        <w:t>caused</w:t>
      </w:r>
      <w:r>
        <w:rPr>
          <w:rFonts w:ascii="Arial" w:hAnsi="Arial" w:cs="Arial"/>
          <w:sz w:val="24"/>
          <w:szCs w:val="24"/>
        </w:rPr>
        <w:t xml:space="preserve"> a memorandum </w:t>
      </w:r>
      <w:r w:rsidR="003E45AA">
        <w:rPr>
          <w:rFonts w:ascii="Arial" w:hAnsi="Arial" w:cs="Arial"/>
          <w:sz w:val="24"/>
          <w:szCs w:val="24"/>
        </w:rPr>
        <w:t xml:space="preserve">to be prepared </w:t>
      </w:r>
      <w:r>
        <w:rPr>
          <w:rFonts w:ascii="Arial" w:hAnsi="Arial" w:cs="Arial"/>
          <w:sz w:val="24"/>
          <w:szCs w:val="24"/>
        </w:rPr>
        <w:t xml:space="preserve">setting out </w:t>
      </w:r>
      <w:r w:rsidR="003E45AA">
        <w:rPr>
          <w:rFonts w:ascii="Arial" w:hAnsi="Arial" w:cs="Arial"/>
          <w:sz w:val="24"/>
          <w:szCs w:val="24"/>
        </w:rPr>
        <w:t xml:space="preserve">the dates for taking the various steps to prosecute </w:t>
      </w:r>
      <w:r>
        <w:rPr>
          <w:rFonts w:ascii="Arial" w:hAnsi="Arial" w:cs="Arial"/>
          <w:sz w:val="24"/>
          <w:szCs w:val="24"/>
        </w:rPr>
        <w:t xml:space="preserve">the </w:t>
      </w:r>
      <w:r w:rsidR="00ED15FD">
        <w:rPr>
          <w:rFonts w:ascii="Arial" w:hAnsi="Arial" w:cs="Arial"/>
          <w:sz w:val="24"/>
          <w:szCs w:val="24"/>
        </w:rPr>
        <w:t xml:space="preserve">appeal in accordance with the rules of this court. He did so because the instructing practitioner through the lengthy trial had in the meantime sold her practice to join the bar. </w:t>
      </w:r>
      <w:r w:rsidR="003E45AA">
        <w:rPr>
          <w:rFonts w:ascii="Arial" w:hAnsi="Arial" w:cs="Arial"/>
          <w:sz w:val="24"/>
          <w:szCs w:val="24"/>
        </w:rPr>
        <w:t>The</w:t>
      </w:r>
      <w:r w:rsidR="00ED15FD">
        <w:rPr>
          <w:rFonts w:ascii="Arial" w:hAnsi="Arial" w:cs="Arial"/>
          <w:sz w:val="24"/>
          <w:szCs w:val="24"/>
        </w:rPr>
        <w:t xml:space="preserve"> draft of the memorandum setting the dates had in fact been prepared by the erstwhile instructing practitioner, then</w:t>
      </w:r>
      <w:r w:rsidR="003E45AA">
        <w:rPr>
          <w:rFonts w:ascii="Arial" w:hAnsi="Arial" w:cs="Arial"/>
          <w:sz w:val="24"/>
          <w:szCs w:val="24"/>
        </w:rPr>
        <w:t xml:space="preserve"> a</w:t>
      </w:r>
      <w:r w:rsidR="00ED15FD">
        <w:rPr>
          <w:rFonts w:ascii="Arial" w:hAnsi="Arial" w:cs="Arial"/>
          <w:sz w:val="24"/>
          <w:szCs w:val="24"/>
        </w:rPr>
        <w:t xml:space="preserve"> pupil at the bar. Unbeknown to counsel</w:t>
      </w:r>
      <w:r w:rsidR="003E45AA">
        <w:rPr>
          <w:rFonts w:ascii="Arial" w:hAnsi="Arial" w:cs="Arial"/>
          <w:sz w:val="24"/>
          <w:szCs w:val="24"/>
        </w:rPr>
        <w:t>, the</w:t>
      </w:r>
      <w:r w:rsidR="00ED15FD">
        <w:rPr>
          <w:rFonts w:ascii="Arial" w:hAnsi="Arial" w:cs="Arial"/>
          <w:sz w:val="24"/>
          <w:szCs w:val="24"/>
        </w:rPr>
        <w:t xml:space="preserve"> memorandum however contained an error. The date for </w:t>
      </w:r>
      <w:r w:rsidR="00ED5453">
        <w:rPr>
          <w:rFonts w:ascii="Arial" w:hAnsi="Arial" w:cs="Arial"/>
          <w:sz w:val="24"/>
          <w:szCs w:val="24"/>
        </w:rPr>
        <w:t>lodging</w:t>
      </w:r>
      <w:r w:rsidR="00ED15FD">
        <w:rPr>
          <w:rFonts w:ascii="Arial" w:hAnsi="Arial" w:cs="Arial"/>
          <w:sz w:val="24"/>
          <w:szCs w:val="24"/>
        </w:rPr>
        <w:t xml:space="preserve"> the record was incorrectly given as 18 June 2015. (</w:t>
      </w:r>
      <w:r w:rsidR="003E45AA">
        <w:rPr>
          <w:rFonts w:ascii="Arial" w:hAnsi="Arial" w:cs="Arial"/>
          <w:sz w:val="24"/>
          <w:szCs w:val="24"/>
        </w:rPr>
        <w:t>The three month period in rule 5(5)</w:t>
      </w:r>
      <w:r w:rsidR="00ED15FD">
        <w:rPr>
          <w:rFonts w:ascii="Arial" w:hAnsi="Arial" w:cs="Arial"/>
          <w:sz w:val="24"/>
          <w:szCs w:val="24"/>
        </w:rPr>
        <w:t xml:space="preserve"> had </w:t>
      </w:r>
      <w:r w:rsidR="003E45AA">
        <w:rPr>
          <w:rFonts w:ascii="Arial" w:hAnsi="Arial" w:cs="Arial"/>
          <w:sz w:val="24"/>
          <w:szCs w:val="24"/>
        </w:rPr>
        <w:t>erroneously been</w:t>
      </w:r>
      <w:r w:rsidR="00ED15FD">
        <w:rPr>
          <w:rFonts w:ascii="Arial" w:hAnsi="Arial" w:cs="Arial"/>
          <w:sz w:val="24"/>
          <w:szCs w:val="24"/>
        </w:rPr>
        <w:t xml:space="preserve"> calculated as 90 </w:t>
      </w:r>
      <w:r w:rsidR="003E45AA">
        <w:rPr>
          <w:rFonts w:ascii="Arial" w:hAnsi="Arial" w:cs="Arial"/>
          <w:sz w:val="24"/>
          <w:szCs w:val="24"/>
        </w:rPr>
        <w:t xml:space="preserve">court </w:t>
      </w:r>
      <w:r w:rsidR="00ED15FD">
        <w:rPr>
          <w:rFonts w:ascii="Arial" w:hAnsi="Arial" w:cs="Arial"/>
          <w:sz w:val="24"/>
          <w:szCs w:val="24"/>
        </w:rPr>
        <w:t xml:space="preserve">days). Counsel only became </w:t>
      </w:r>
      <w:r w:rsidR="00891D3A">
        <w:rPr>
          <w:rFonts w:ascii="Arial" w:hAnsi="Arial" w:cs="Arial"/>
          <w:sz w:val="24"/>
          <w:szCs w:val="24"/>
        </w:rPr>
        <w:t>aware of the error in late March 2015 after the memorandum had been dispatched</w:t>
      </w:r>
      <w:r w:rsidR="003E45AA">
        <w:rPr>
          <w:rFonts w:ascii="Arial" w:hAnsi="Arial" w:cs="Arial"/>
          <w:sz w:val="24"/>
          <w:szCs w:val="24"/>
        </w:rPr>
        <w:t>. This was because</w:t>
      </w:r>
      <w:r w:rsidR="00891D3A">
        <w:rPr>
          <w:rFonts w:ascii="Arial" w:hAnsi="Arial" w:cs="Arial"/>
          <w:sz w:val="24"/>
          <w:szCs w:val="24"/>
        </w:rPr>
        <w:t xml:space="preserve"> he was engaged in a </w:t>
      </w:r>
      <w:r w:rsidR="003E45AA">
        <w:rPr>
          <w:rFonts w:ascii="Arial" w:hAnsi="Arial" w:cs="Arial"/>
          <w:sz w:val="24"/>
          <w:szCs w:val="24"/>
        </w:rPr>
        <w:t xml:space="preserve">demanding </w:t>
      </w:r>
      <w:r w:rsidR="00891D3A">
        <w:rPr>
          <w:rFonts w:ascii="Arial" w:hAnsi="Arial" w:cs="Arial"/>
          <w:sz w:val="24"/>
          <w:szCs w:val="24"/>
        </w:rPr>
        <w:t xml:space="preserve">lengthy trial. He had at the time requested his experienced secretary to check that </w:t>
      </w:r>
      <w:r w:rsidR="006F7D69">
        <w:rPr>
          <w:rFonts w:ascii="Arial" w:hAnsi="Arial" w:cs="Arial"/>
          <w:sz w:val="24"/>
          <w:szCs w:val="24"/>
        </w:rPr>
        <w:t xml:space="preserve">the </w:t>
      </w:r>
      <w:r w:rsidR="00891D3A">
        <w:rPr>
          <w:rFonts w:ascii="Arial" w:hAnsi="Arial" w:cs="Arial"/>
          <w:sz w:val="24"/>
          <w:szCs w:val="24"/>
        </w:rPr>
        <w:t>calculated</w:t>
      </w:r>
      <w:r w:rsidR="003E45AA">
        <w:rPr>
          <w:rFonts w:ascii="Arial" w:hAnsi="Arial" w:cs="Arial"/>
          <w:sz w:val="24"/>
          <w:szCs w:val="24"/>
        </w:rPr>
        <w:t xml:space="preserve"> dates accorded with the rules.</w:t>
      </w:r>
    </w:p>
    <w:p w:rsidR="003E45AA" w:rsidRPr="003E45AA" w:rsidRDefault="003E45AA" w:rsidP="003E45AA">
      <w:pPr>
        <w:pStyle w:val="ListParagraph"/>
        <w:rPr>
          <w:rFonts w:ascii="Arial" w:hAnsi="Arial" w:cs="Arial"/>
          <w:sz w:val="24"/>
          <w:szCs w:val="24"/>
        </w:rPr>
      </w:pPr>
    </w:p>
    <w:p w:rsidR="00A52DF2" w:rsidRDefault="00891D3A"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Counsel </w:t>
      </w:r>
      <w:r w:rsidR="00C57CF9">
        <w:rPr>
          <w:rFonts w:ascii="Arial" w:hAnsi="Arial" w:cs="Arial"/>
          <w:sz w:val="24"/>
          <w:szCs w:val="24"/>
        </w:rPr>
        <w:t xml:space="preserve">then </w:t>
      </w:r>
      <w:r>
        <w:rPr>
          <w:rFonts w:ascii="Arial" w:hAnsi="Arial" w:cs="Arial"/>
          <w:sz w:val="24"/>
          <w:szCs w:val="24"/>
        </w:rPr>
        <w:t>prepared an amended memorandum to reflect the correct calculations but realised in late June 2015 that his amended memorandum had not been sent to the instructing legal practitioners</w:t>
      </w:r>
      <w:r w:rsidR="00ED5453">
        <w:rPr>
          <w:rFonts w:ascii="Arial" w:hAnsi="Arial" w:cs="Arial"/>
          <w:sz w:val="24"/>
          <w:szCs w:val="24"/>
        </w:rPr>
        <w:t xml:space="preserve">. The realisation no doubt </w:t>
      </w:r>
      <w:r w:rsidR="00267F8D">
        <w:rPr>
          <w:rFonts w:ascii="Arial" w:hAnsi="Arial" w:cs="Arial"/>
          <w:sz w:val="24"/>
          <w:szCs w:val="24"/>
        </w:rPr>
        <w:t>came about</w:t>
      </w:r>
      <w:r>
        <w:rPr>
          <w:rFonts w:ascii="Arial" w:hAnsi="Arial" w:cs="Arial"/>
          <w:sz w:val="24"/>
          <w:szCs w:val="24"/>
        </w:rPr>
        <w:t xml:space="preserve"> after a letter was sent by an assistant registrar on 22 June 2015</w:t>
      </w:r>
      <w:r w:rsidR="00ED5453">
        <w:rPr>
          <w:rFonts w:ascii="Arial" w:hAnsi="Arial" w:cs="Arial"/>
          <w:sz w:val="24"/>
          <w:szCs w:val="24"/>
        </w:rPr>
        <w:t>,</w:t>
      </w:r>
      <w:r>
        <w:rPr>
          <w:rFonts w:ascii="Arial" w:hAnsi="Arial" w:cs="Arial"/>
          <w:sz w:val="24"/>
          <w:szCs w:val="24"/>
        </w:rPr>
        <w:t xml:space="preserve"> point</w:t>
      </w:r>
      <w:r w:rsidR="00ED5453">
        <w:rPr>
          <w:rFonts w:ascii="Arial" w:hAnsi="Arial" w:cs="Arial"/>
          <w:sz w:val="24"/>
          <w:szCs w:val="24"/>
        </w:rPr>
        <w:t>ing</w:t>
      </w:r>
      <w:r>
        <w:rPr>
          <w:rFonts w:ascii="Arial" w:hAnsi="Arial" w:cs="Arial"/>
          <w:sz w:val="24"/>
          <w:szCs w:val="24"/>
        </w:rPr>
        <w:t xml:space="preserve"> out that the appeal was deemed to be withdrawn because the record was filed out of time (in accordance with rule 5(5)(a)). Security for costs, to be given </w:t>
      </w:r>
      <w:r w:rsidR="00267F8D">
        <w:rPr>
          <w:rFonts w:ascii="Arial" w:hAnsi="Arial" w:cs="Arial"/>
          <w:sz w:val="24"/>
          <w:szCs w:val="24"/>
        </w:rPr>
        <w:t>before</w:t>
      </w:r>
      <w:r>
        <w:rPr>
          <w:rFonts w:ascii="Arial" w:hAnsi="Arial" w:cs="Arial"/>
          <w:sz w:val="24"/>
          <w:szCs w:val="24"/>
        </w:rPr>
        <w:t xml:space="preserve"> the record is filed, was also out of time as a consequence.</w:t>
      </w:r>
    </w:p>
    <w:p w:rsidR="00891D3A" w:rsidRDefault="00891D3A" w:rsidP="00891D3A">
      <w:pPr>
        <w:pStyle w:val="ListParagraph"/>
        <w:ind w:left="0"/>
        <w:jc w:val="both"/>
        <w:rPr>
          <w:rFonts w:ascii="Arial" w:hAnsi="Arial" w:cs="Arial"/>
          <w:sz w:val="24"/>
          <w:szCs w:val="24"/>
        </w:rPr>
      </w:pPr>
    </w:p>
    <w:p w:rsidR="00891D3A" w:rsidRDefault="00891D3A"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series of errors then became apparent </w:t>
      </w:r>
      <w:r w:rsidR="00C57CF9">
        <w:rPr>
          <w:rFonts w:ascii="Arial" w:hAnsi="Arial" w:cs="Arial"/>
          <w:sz w:val="24"/>
          <w:szCs w:val="24"/>
        </w:rPr>
        <w:t xml:space="preserve">and </w:t>
      </w:r>
      <w:r>
        <w:rPr>
          <w:rFonts w:ascii="Arial" w:hAnsi="Arial" w:cs="Arial"/>
          <w:sz w:val="24"/>
          <w:szCs w:val="24"/>
        </w:rPr>
        <w:t xml:space="preserve">the first condonation application was filed on 7 July 2015. It </w:t>
      </w:r>
      <w:r w:rsidR="00C57CF9">
        <w:rPr>
          <w:rFonts w:ascii="Arial" w:hAnsi="Arial" w:cs="Arial"/>
          <w:sz w:val="24"/>
          <w:szCs w:val="24"/>
        </w:rPr>
        <w:t>i</w:t>
      </w:r>
      <w:r>
        <w:rPr>
          <w:rFonts w:ascii="Arial" w:hAnsi="Arial" w:cs="Arial"/>
          <w:sz w:val="24"/>
          <w:szCs w:val="24"/>
        </w:rPr>
        <w:t>s opposed by the executor, the respondent</w:t>
      </w:r>
      <w:r w:rsidR="00ED5453">
        <w:rPr>
          <w:rFonts w:ascii="Arial" w:hAnsi="Arial" w:cs="Arial"/>
          <w:sz w:val="24"/>
          <w:szCs w:val="24"/>
        </w:rPr>
        <w:t xml:space="preserve"> in the appeal</w:t>
      </w:r>
      <w:r w:rsidR="00267F8D">
        <w:rPr>
          <w:rFonts w:ascii="Arial" w:hAnsi="Arial" w:cs="Arial"/>
          <w:sz w:val="24"/>
          <w:szCs w:val="24"/>
        </w:rPr>
        <w:t>. H</w:t>
      </w:r>
      <w:r>
        <w:rPr>
          <w:rFonts w:ascii="Arial" w:hAnsi="Arial" w:cs="Arial"/>
          <w:sz w:val="24"/>
          <w:szCs w:val="24"/>
        </w:rPr>
        <w:t>is opposing</w:t>
      </w:r>
      <w:r w:rsidR="00C57CF9">
        <w:rPr>
          <w:rFonts w:ascii="Arial" w:hAnsi="Arial" w:cs="Arial"/>
          <w:sz w:val="24"/>
          <w:szCs w:val="24"/>
        </w:rPr>
        <w:t xml:space="preserve"> affidavit comprised mostly legal contentions</w:t>
      </w:r>
      <w:r>
        <w:rPr>
          <w:rFonts w:ascii="Arial" w:hAnsi="Arial" w:cs="Arial"/>
          <w:sz w:val="24"/>
          <w:szCs w:val="24"/>
        </w:rPr>
        <w:t>, disputing the adequacy of the explanation</w:t>
      </w:r>
      <w:r w:rsidR="0036742F">
        <w:rPr>
          <w:rFonts w:ascii="Arial" w:hAnsi="Arial" w:cs="Arial"/>
          <w:sz w:val="24"/>
          <w:szCs w:val="24"/>
        </w:rPr>
        <w:t xml:space="preserve"> tendered. It was also said that condonation should not be granted because the appeal enjoyed no reasonable prospects of success.</w:t>
      </w:r>
    </w:p>
    <w:p w:rsidR="0036742F" w:rsidRDefault="0036742F" w:rsidP="001B06DB">
      <w:pPr>
        <w:ind w:left="0"/>
        <w:rPr>
          <w:rFonts w:ascii="Arial" w:hAnsi="Arial" w:cs="Arial"/>
          <w:sz w:val="24"/>
          <w:szCs w:val="24"/>
        </w:rPr>
      </w:pPr>
    </w:p>
    <w:p w:rsidR="001B06DB" w:rsidRPr="001B06DB" w:rsidRDefault="001B06DB" w:rsidP="001B06DB">
      <w:pPr>
        <w:ind w:left="0"/>
        <w:rPr>
          <w:rFonts w:ascii="Arial" w:hAnsi="Arial" w:cs="Arial"/>
          <w:sz w:val="24"/>
          <w:szCs w:val="24"/>
          <w:u w:val="single"/>
        </w:rPr>
      </w:pPr>
      <w:r>
        <w:rPr>
          <w:rFonts w:ascii="Arial" w:hAnsi="Arial" w:cs="Arial"/>
          <w:sz w:val="24"/>
          <w:szCs w:val="24"/>
          <w:u w:val="single"/>
        </w:rPr>
        <w:t>The second condonation application</w:t>
      </w:r>
    </w:p>
    <w:p w:rsidR="0036742F" w:rsidRDefault="00267F8D"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About five weeks</w:t>
      </w:r>
      <w:r w:rsidR="0036742F">
        <w:rPr>
          <w:rFonts w:ascii="Arial" w:hAnsi="Arial" w:cs="Arial"/>
          <w:sz w:val="24"/>
          <w:szCs w:val="24"/>
        </w:rPr>
        <w:t xml:space="preserve"> before the hearing and on 29 </w:t>
      </w:r>
      <w:r w:rsidR="001B06DB">
        <w:rPr>
          <w:rFonts w:ascii="Arial" w:hAnsi="Arial" w:cs="Arial"/>
          <w:sz w:val="24"/>
          <w:szCs w:val="24"/>
        </w:rPr>
        <w:t xml:space="preserve">September 2016, the appellants filed a second application for condonation. Shortly before that </w:t>
      </w:r>
      <w:r w:rsidR="00C57CF9">
        <w:rPr>
          <w:rFonts w:ascii="Arial" w:hAnsi="Arial" w:cs="Arial"/>
          <w:sz w:val="24"/>
          <w:szCs w:val="24"/>
        </w:rPr>
        <w:t xml:space="preserve">and </w:t>
      </w:r>
      <w:r w:rsidR="001B06DB">
        <w:rPr>
          <w:rFonts w:ascii="Arial" w:hAnsi="Arial" w:cs="Arial"/>
          <w:sz w:val="24"/>
          <w:szCs w:val="24"/>
        </w:rPr>
        <w:t>in early September 2016, counsel discovered that the record which had been filed was materially incomplete.</w:t>
      </w:r>
    </w:p>
    <w:p w:rsidR="001B06DB" w:rsidRPr="001B06DB" w:rsidRDefault="001B06DB" w:rsidP="001B06DB">
      <w:pPr>
        <w:pStyle w:val="ListParagraph"/>
        <w:rPr>
          <w:rFonts w:ascii="Arial" w:hAnsi="Arial" w:cs="Arial"/>
          <w:sz w:val="24"/>
          <w:szCs w:val="24"/>
        </w:rPr>
      </w:pPr>
    </w:p>
    <w:p w:rsidR="001B06DB" w:rsidRDefault="001B06DB"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Evidence in the trial had been heard in two phases. At the conclusion of the plaintiff’s (the executor’s) case in October 2008</w:t>
      </w:r>
      <w:r w:rsidR="00C57CF9">
        <w:rPr>
          <w:rFonts w:ascii="Arial" w:hAnsi="Arial" w:cs="Arial"/>
          <w:sz w:val="24"/>
          <w:szCs w:val="24"/>
        </w:rPr>
        <w:t>,</w:t>
      </w:r>
      <w:r>
        <w:rPr>
          <w:rFonts w:ascii="Arial" w:hAnsi="Arial" w:cs="Arial"/>
          <w:sz w:val="24"/>
          <w:szCs w:val="24"/>
        </w:rPr>
        <w:t xml:space="preserve"> the Snymans applied for absolution from the instance. The presiding judge reserved judgment and took some considerable time to decide that issue</w:t>
      </w:r>
      <w:r w:rsidR="00C57CF9">
        <w:rPr>
          <w:rFonts w:ascii="Arial" w:hAnsi="Arial" w:cs="Arial"/>
          <w:sz w:val="24"/>
          <w:szCs w:val="24"/>
        </w:rPr>
        <w:t>. I</w:t>
      </w:r>
      <w:r>
        <w:rPr>
          <w:rFonts w:ascii="Arial" w:hAnsi="Arial" w:cs="Arial"/>
          <w:sz w:val="24"/>
          <w:szCs w:val="24"/>
        </w:rPr>
        <w:t>n a written judgment delivered on 28 August 2012, absolution</w:t>
      </w:r>
      <w:r w:rsidR="00C57CF9" w:rsidRPr="00C57CF9">
        <w:rPr>
          <w:rFonts w:ascii="Arial" w:hAnsi="Arial" w:cs="Arial"/>
          <w:sz w:val="24"/>
          <w:szCs w:val="24"/>
        </w:rPr>
        <w:t xml:space="preserve"> </w:t>
      </w:r>
      <w:r w:rsidR="00C57CF9">
        <w:rPr>
          <w:rFonts w:ascii="Arial" w:hAnsi="Arial" w:cs="Arial"/>
          <w:sz w:val="24"/>
          <w:szCs w:val="24"/>
        </w:rPr>
        <w:t>was refused</w:t>
      </w:r>
      <w:r>
        <w:rPr>
          <w:rFonts w:ascii="Arial" w:hAnsi="Arial" w:cs="Arial"/>
          <w:sz w:val="24"/>
          <w:szCs w:val="24"/>
        </w:rPr>
        <w:t>. The trial resumed in September 2014 when the Snymans each testified. Judgment was delivered on 6 February 2015.</w:t>
      </w:r>
    </w:p>
    <w:p w:rsidR="001B06DB" w:rsidRPr="001B06DB" w:rsidRDefault="001B06DB" w:rsidP="001B06DB">
      <w:pPr>
        <w:pStyle w:val="ListParagraph"/>
        <w:rPr>
          <w:rFonts w:ascii="Arial" w:hAnsi="Arial" w:cs="Arial"/>
          <w:sz w:val="24"/>
          <w:szCs w:val="24"/>
        </w:rPr>
      </w:pPr>
    </w:p>
    <w:p w:rsidR="001B06DB" w:rsidRDefault="001B06DB"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The record initially filed included only the transcribed evidence prior to the application for absolution and the judgment on that issue</w:t>
      </w:r>
      <w:r w:rsidR="00C57CF9">
        <w:rPr>
          <w:rFonts w:ascii="Arial" w:hAnsi="Arial" w:cs="Arial"/>
          <w:sz w:val="24"/>
          <w:szCs w:val="24"/>
        </w:rPr>
        <w:t xml:space="preserve"> as well as the final judgment of 6 February 2015</w:t>
      </w:r>
      <w:r>
        <w:rPr>
          <w:rFonts w:ascii="Arial" w:hAnsi="Arial" w:cs="Arial"/>
          <w:sz w:val="24"/>
          <w:szCs w:val="24"/>
        </w:rPr>
        <w:t xml:space="preserve">. Whilst it included the pleadings and notices, it also included </w:t>
      </w:r>
      <w:r w:rsidR="00267F8D">
        <w:rPr>
          <w:rFonts w:ascii="Arial" w:hAnsi="Arial" w:cs="Arial"/>
          <w:sz w:val="24"/>
          <w:szCs w:val="24"/>
        </w:rPr>
        <w:t>a large body</w:t>
      </w:r>
      <w:r>
        <w:rPr>
          <w:rFonts w:ascii="Arial" w:hAnsi="Arial" w:cs="Arial"/>
          <w:sz w:val="24"/>
          <w:szCs w:val="24"/>
        </w:rPr>
        <w:t xml:space="preserve"> of material which does not form part of the record such as transcribed oral argument and discovery bundles. It was thus defective as well as being incomplete.</w:t>
      </w:r>
    </w:p>
    <w:p w:rsidR="001B06DB" w:rsidRPr="001B06DB" w:rsidRDefault="001B06DB" w:rsidP="001B06DB">
      <w:pPr>
        <w:pStyle w:val="ListParagraph"/>
        <w:rPr>
          <w:rFonts w:ascii="Arial" w:hAnsi="Arial" w:cs="Arial"/>
          <w:sz w:val="24"/>
          <w:szCs w:val="24"/>
        </w:rPr>
      </w:pPr>
    </w:p>
    <w:p w:rsidR="001B06DB" w:rsidRDefault="001B06DB"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In support of the second condonation application, the instructing legal practitioner for the Snymans point</w:t>
      </w:r>
      <w:r w:rsidR="006F7D69">
        <w:rPr>
          <w:rFonts w:ascii="Arial" w:hAnsi="Arial" w:cs="Arial"/>
          <w:sz w:val="24"/>
          <w:szCs w:val="24"/>
        </w:rPr>
        <w:t>ed</w:t>
      </w:r>
      <w:r>
        <w:rPr>
          <w:rFonts w:ascii="Arial" w:hAnsi="Arial" w:cs="Arial"/>
          <w:sz w:val="24"/>
          <w:szCs w:val="24"/>
        </w:rPr>
        <w:t xml:space="preserve"> out that this was her first appeal to this court. The initial record was completed from the court file which only had copies of the transcribed evidence </w:t>
      </w:r>
      <w:r w:rsidR="00C57CF9">
        <w:rPr>
          <w:rFonts w:ascii="Arial" w:hAnsi="Arial" w:cs="Arial"/>
          <w:sz w:val="24"/>
          <w:szCs w:val="24"/>
        </w:rPr>
        <w:t xml:space="preserve">up to the absolution application </w:t>
      </w:r>
      <w:r>
        <w:rPr>
          <w:rFonts w:ascii="Arial" w:hAnsi="Arial" w:cs="Arial"/>
          <w:sz w:val="24"/>
          <w:szCs w:val="24"/>
        </w:rPr>
        <w:t xml:space="preserve">which was bound and lodged. She had not been in the trial and </w:t>
      </w:r>
      <w:r w:rsidR="00C57CF9">
        <w:rPr>
          <w:rFonts w:ascii="Arial" w:hAnsi="Arial" w:cs="Arial"/>
          <w:sz w:val="24"/>
          <w:szCs w:val="24"/>
        </w:rPr>
        <w:t xml:space="preserve">had </w:t>
      </w:r>
      <w:r>
        <w:rPr>
          <w:rFonts w:ascii="Arial" w:hAnsi="Arial" w:cs="Arial"/>
          <w:sz w:val="24"/>
          <w:szCs w:val="24"/>
        </w:rPr>
        <w:t>compiled that record with reference to what was in the court file and the file in her office and said she compared the contents of the two respective files. It is pointed out that the full record containing all the</w:t>
      </w:r>
      <w:r w:rsidR="00C57CF9">
        <w:rPr>
          <w:rFonts w:ascii="Arial" w:hAnsi="Arial" w:cs="Arial"/>
          <w:sz w:val="24"/>
          <w:szCs w:val="24"/>
        </w:rPr>
        <w:t xml:space="preserve"> transcribed</w:t>
      </w:r>
      <w:r>
        <w:rPr>
          <w:rFonts w:ascii="Arial" w:hAnsi="Arial" w:cs="Arial"/>
          <w:sz w:val="24"/>
          <w:szCs w:val="24"/>
        </w:rPr>
        <w:t xml:space="preserve"> evidence </w:t>
      </w:r>
      <w:r w:rsidR="00C57CF9">
        <w:rPr>
          <w:rFonts w:ascii="Arial" w:hAnsi="Arial" w:cs="Arial"/>
          <w:sz w:val="24"/>
          <w:szCs w:val="24"/>
        </w:rPr>
        <w:t xml:space="preserve">must have </w:t>
      </w:r>
      <w:r>
        <w:rPr>
          <w:rFonts w:ascii="Arial" w:hAnsi="Arial" w:cs="Arial"/>
          <w:sz w:val="24"/>
          <w:szCs w:val="24"/>
        </w:rPr>
        <w:t xml:space="preserve">become separated from the court file. This was confirmed when a thorough search for that portion of the record could not be found </w:t>
      </w:r>
      <w:r w:rsidR="00C57CF9">
        <w:rPr>
          <w:rFonts w:ascii="Arial" w:hAnsi="Arial" w:cs="Arial"/>
          <w:sz w:val="24"/>
          <w:szCs w:val="24"/>
        </w:rPr>
        <w:t>after</w:t>
      </w:r>
      <w:r>
        <w:rPr>
          <w:rFonts w:ascii="Arial" w:hAnsi="Arial" w:cs="Arial"/>
          <w:sz w:val="24"/>
          <w:szCs w:val="24"/>
        </w:rPr>
        <w:t xml:space="preserve"> the inadequacy of the </w:t>
      </w:r>
      <w:r w:rsidR="00ED5453">
        <w:rPr>
          <w:rFonts w:ascii="Arial" w:hAnsi="Arial" w:cs="Arial"/>
          <w:sz w:val="24"/>
          <w:szCs w:val="24"/>
        </w:rPr>
        <w:t xml:space="preserve">initially lodged </w:t>
      </w:r>
      <w:r>
        <w:rPr>
          <w:rFonts w:ascii="Arial" w:hAnsi="Arial" w:cs="Arial"/>
          <w:sz w:val="24"/>
          <w:szCs w:val="24"/>
        </w:rPr>
        <w:t xml:space="preserve">record </w:t>
      </w:r>
      <w:r w:rsidR="00C57CF9">
        <w:rPr>
          <w:rFonts w:ascii="Arial" w:hAnsi="Arial" w:cs="Arial"/>
          <w:sz w:val="24"/>
          <w:szCs w:val="24"/>
        </w:rPr>
        <w:t>had been</w:t>
      </w:r>
      <w:r>
        <w:rPr>
          <w:rFonts w:ascii="Arial" w:hAnsi="Arial" w:cs="Arial"/>
          <w:sz w:val="24"/>
          <w:szCs w:val="24"/>
        </w:rPr>
        <w:t xml:space="preserve"> discovered. It is speculated that this portion may have become mislaid and lost when the presiding judge vacated her chambers.</w:t>
      </w:r>
    </w:p>
    <w:p w:rsidR="007642FD" w:rsidRPr="007642FD" w:rsidRDefault="007642FD" w:rsidP="007642FD">
      <w:pPr>
        <w:pStyle w:val="ListParagraph"/>
        <w:rPr>
          <w:rFonts w:ascii="Arial" w:hAnsi="Arial" w:cs="Arial"/>
          <w:sz w:val="24"/>
          <w:szCs w:val="24"/>
        </w:rPr>
      </w:pPr>
    </w:p>
    <w:p w:rsidR="007642FD" w:rsidRDefault="00C57CF9"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A call to the presiding judge revealed</w:t>
      </w:r>
      <w:r w:rsidR="007642FD">
        <w:rPr>
          <w:rFonts w:ascii="Arial" w:hAnsi="Arial" w:cs="Arial"/>
          <w:sz w:val="24"/>
          <w:szCs w:val="24"/>
        </w:rPr>
        <w:t xml:space="preserve"> that the second portion of evidence had been transcribed and may have been put in a separate lever arch file. This file could not be traced. Nor could any copies of the transcribed record be found in the court archives or at the offices of the transcribers. The missing portion had to be transcribed afresh</w:t>
      </w:r>
      <w:r w:rsidR="008D338F">
        <w:rPr>
          <w:rFonts w:ascii="Arial" w:hAnsi="Arial" w:cs="Arial"/>
          <w:sz w:val="24"/>
          <w:szCs w:val="24"/>
        </w:rPr>
        <w:t xml:space="preserve"> and</w:t>
      </w:r>
      <w:r w:rsidR="007642FD">
        <w:rPr>
          <w:rFonts w:ascii="Arial" w:hAnsi="Arial" w:cs="Arial"/>
          <w:sz w:val="24"/>
          <w:szCs w:val="24"/>
        </w:rPr>
        <w:t xml:space="preserve"> exhibits comp</w:t>
      </w:r>
      <w:r w:rsidR="00267F8D">
        <w:rPr>
          <w:rFonts w:ascii="Arial" w:hAnsi="Arial" w:cs="Arial"/>
          <w:sz w:val="24"/>
          <w:szCs w:val="24"/>
        </w:rPr>
        <w:t>ile</w:t>
      </w:r>
      <w:r w:rsidR="007642FD">
        <w:rPr>
          <w:rFonts w:ascii="Arial" w:hAnsi="Arial" w:cs="Arial"/>
          <w:sz w:val="24"/>
          <w:szCs w:val="24"/>
        </w:rPr>
        <w:t>d and appended</w:t>
      </w:r>
      <w:r w:rsidR="008D338F">
        <w:rPr>
          <w:rFonts w:ascii="Arial" w:hAnsi="Arial" w:cs="Arial"/>
          <w:sz w:val="24"/>
          <w:szCs w:val="24"/>
        </w:rPr>
        <w:t>. T</w:t>
      </w:r>
      <w:r w:rsidR="007642FD">
        <w:rPr>
          <w:rFonts w:ascii="Arial" w:hAnsi="Arial" w:cs="Arial"/>
          <w:sz w:val="24"/>
          <w:szCs w:val="24"/>
        </w:rPr>
        <w:t xml:space="preserve">he further </w:t>
      </w:r>
      <w:r w:rsidR="008D338F">
        <w:rPr>
          <w:rFonts w:ascii="Arial" w:hAnsi="Arial" w:cs="Arial"/>
          <w:sz w:val="24"/>
          <w:szCs w:val="24"/>
        </w:rPr>
        <w:t xml:space="preserve">four </w:t>
      </w:r>
      <w:r w:rsidR="007642FD">
        <w:rPr>
          <w:rFonts w:ascii="Arial" w:hAnsi="Arial" w:cs="Arial"/>
          <w:sz w:val="24"/>
          <w:szCs w:val="24"/>
        </w:rPr>
        <w:t xml:space="preserve">volumes comprising the Snyman’s evidence and exhibits were </w:t>
      </w:r>
      <w:r w:rsidR="00267F8D">
        <w:rPr>
          <w:rFonts w:ascii="Arial" w:hAnsi="Arial" w:cs="Arial"/>
          <w:sz w:val="24"/>
          <w:szCs w:val="24"/>
        </w:rPr>
        <w:t>lodged</w:t>
      </w:r>
      <w:r w:rsidR="007642FD">
        <w:rPr>
          <w:rFonts w:ascii="Arial" w:hAnsi="Arial" w:cs="Arial"/>
          <w:sz w:val="24"/>
          <w:szCs w:val="24"/>
        </w:rPr>
        <w:t xml:space="preserve"> on 29 September 2016. The second condonation application was</w:t>
      </w:r>
      <w:r w:rsidR="00ED5453">
        <w:rPr>
          <w:rFonts w:ascii="Arial" w:hAnsi="Arial" w:cs="Arial"/>
          <w:sz w:val="24"/>
          <w:szCs w:val="24"/>
        </w:rPr>
        <w:t xml:space="preserve"> also</w:t>
      </w:r>
      <w:r w:rsidR="007642FD">
        <w:rPr>
          <w:rFonts w:ascii="Arial" w:hAnsi="Arial" w:cs="Arial"/>
          <w:sz w:val="24"/>
          <w:szCs w:val="24"/>
        </w:rPr>
        <w:t xml:space="preserve"> filed on the same date.</w:t>
      </w:r>
    </w:p>
    <w:p w:rsidR="007642FD" w:rsidRDefault="007642FD" w:rsidP="007642FD">
      <w:pPr>
        <w:ind w:left="0"/>
        <w:rPr>
          <w:rFonts w:ascii="Arial" w:hAnsi="Arial" w:cs="Arial"/>
          <w:sz w:val="24"/>
          <w:szCs w:val="24"/>
        </w:rPr>
      </w:pPr>
    </w:p>
    <w:p w:rsidR="00FC6B03" w:rsidRPr="00267F8D" w:rsidRDefault="007642FD" w:rsidP="00267F8D">
      <w:pPr>
        <w:ind w:left="0"/>
        <w:rPr>
          <w:rFonts w:ascii="Arial" w:hAnsi="Arial" w:cs="Arial"/>
          <w:sz w:val="24"/>
          <w:szCs w:val="24"/>
          <w:u w:val="single"/>
        </w:rPr>
      </w:pPr>
      <w:r>
        <w:rPr>
          <w:rFonts w:ascii="Arial" w:hAnsi="Arial" w:cs="Arial"/>
          <w:sz w:val="24"/>
          <w:szCs w:val="24"/>
          <w:u w:val="single"/>
        </w:rPr>
        <w:t>Principles applicable to condonation</w:t>
      </w:r>
    </w:p>
    <w:p w:rsidR="00FC6B03" w:rsidRDefault="00823A23" w:rsidP="00FC6B03">
      <w:pPr>
        <w:pStyle w:val="ListParagraph"/>
        <w:numPr>
          <w:ilvl w:val="0"/>
          <w:numId w:val="18"/>
        </w:numPr>
        <w:ind w:left="0" w:firstLine="0"/>
        <w:jc w:val="both"/>
        <w:rPr>
          <w:rFonts w:ascii="Arial" w:hAnsi="Arial" w:cs="Arial"/>
          <w:sz w:val="24"/>
          <w:szCs w:val="24"/>
        </w:rPr>
      </w:pPr>
      <w:r w:rsidRPr="00FC6B03">
        <w:rPr>
          <w:rFonts w:ascii="Arial" w:hAnsi="Arial" w:cs="Arial"/>
          <w:sz w:val="24"/>
          <w:szCs w:val="24"/>
        </w:rPr>
        <w:t xml:space="preserve">It is well </w:t>
      </w:r>
      <w:r w:rsidR="00ED5453" w:rsidRPr="00FC6B03">
        <w:rPr>
          <w:rFonts w:ascii="Arial" w:hAnsi="Arial" w:cs="Arial"/>
          <w:sz w:val="24"/>
          <w:szCs w:val="24"/>
        </w:rPr>
        <w:t>established</w:t>
      </w:r>
      <w:r w:rsidRPr="00FC6B03">
        <w:rPr>
          <w:rFonts w:ascii="Arial" w:hAnsi="Arial" w:cs="Arial"/>
          <w:sz w:val="24"/>
          <w:szCs w:val="24"/>
        </w:rPr>
        <w:t xml:space="preserve"> that applicant</w:t>
      </w:r>
      <w:r w:rsidR="00ED5453" w:rsidRPr="00FC6B03">
        <w:rPr>
          <w:rFonts w:ascii="Arial" w:hAnsi="Arial" w:cs="Arial"/>
          <w:sz w:val="24"/>
          <w:szCs w:val="24"/>
        </w:rPr>
        <w:t>s</w:t>
      </w:r>
      <w:r w:rsidRPr="00FC6B03">
        <w:rPr>
          <w:rFonts w:ascii="Arial" w:hAnsi="Arial" w:cs="Arial"/>
          <w:sz w:val="24"/>
          <w:szCs w:val="24"/>
        </w:rPr>
        <w:t xml:space="preserve"> for condonation </w:t>
      </w:r>
      <w:r w:rsidR="00267F8D">
        <w:rPr>
          <w:rFonts w:ascii="Arial" w:hAnsi="Arial" w:cs="Arial"/>
          <w:sz w:val="24"/>
          <w:szCs w:val="24"/>
        </w:rPr>
        <w:t>are</w:t>
      </w:r>
      <w:r w:rsidRPr="00FC6B03">
        <w:rPr>
          <w:rFonts w:ascii="Arial" w:hAnsi="Arial" w:cs="Arial"/>
          <w:sz w:val="24"/>
          <w:szCs w:val="24"/>
        </w:rPr>
        <w:t xml:space="preserve"> required to meet the two requisites of good cause before </w:t>
      </w:r>
      <w:r w:rsidR="00ED5453" w:rsidRPr="00FC6B03">
        <w:rPr>
          <w:rFonts w:ascii="Arial" w:hAnsi="Arial" w:cs="Arial"/>
          <w:sz w:val="24"/>
          <w:szCs w:val="24"/>
        </w:rPr>
        <w:t>they</w:t>
      </w:r>
      <w:r w:rsidRPr="00FC6B03">
        <w:rPr>
          <w:rFonts w:ascii="Arial" w:hAnsi="Arial" w:cs="Arial"/>
          <w:sz w:val="24"/>
          <w:szCs w:val="24"/>
        </w:rPr>
        <w:t xml:space="preserve"> can succeed in such an application. These firstly entail establishing a reasonable and acceptable explanation for the non-compliance with the rule(s) in question and secondly satisfying the court that there are reasonable prospects of success on appeal.</w:t>
      </w:r>
    </w:p>
    <w:p w:rsidR="00FC6B03" w:rsidRPr="00FC6B03" w:rsidRDefault="00FC6B03" w:rsidP="00FC6B03">
      <w:pPr>
        <w:pStyle w:val="ListParagraph"/>
        <w:rPr>
          <w:rFonts w:ascii="Arial" w:hAnsi="Arial" w:cs="Arial"/>
          <w:sz w:val="24"/>
          <w:szCs w:val="24"/>
        </w:rPr>
      </w:pPr>
    </w:p>
    <w:p w:rsidR="00FC6B03" w:rsidRDefault="00823A23" w:rsidP="00FC6B03">
      <w:pPr>
        <w:pStyle w:val="ListParagraph"/>
        <w:numPr>
          <w:ilvl w:val="0"/>
          <w:numId w:val="18"/>
        </w:numPr>
        <w:ind w:left="0" w:firstLine="0"/>
        <w:jc w:val="both"/>
        <w:rPr>
          <w:rFonts w:ascii="Arial" w:hAnsi="Arial" w:cs="Arial"/>
          <w:sz w:val="24"/>
          <w:szCs w:val="24"/>
        </w:rPr>
      </w:pPr>
      <w:r w:rsidRPr="00FC6B03">
        <w:rPr>
          <w:rFonts w:ascii="Arial" w:hAnsi="Arial" w:cs="Arial"/>
          <w:sz w:val="24"/>
          <w:szCs w:val="24"/>
        </w:rPr>
        <w:t>This court</w:t>
      </w:r>
      <w:r w:rsidR="00ED5453" w:rsidRPr="00FC6B03">
        <w:rPr>
          <w:rFonts w:ascii="Arial" w:hAnsi="Arial" w:cs="Arial"/>
          <w:sz w:val="24"/>
          <w:szCs w:val="24"/>
        </w:rPr>
        <w:t xml:space="preserve"> has been required to deal with th</w:t>
      </w:r>
      <w:r w:rsidR="00D83FBA">
        <w:rPr>
          <w:rFonts w:ascii="Arial" w:hAnsi="Arial" w:cs="Arial"/>
          <w:sz w:val="24"/>
          <w:szCs w:val="24"/>
        </w:rPr>
        <w:t>ese forms of applications with u</w:t>
      </w:r>
      <w:r w:rsidR="00ED5453" w:rsidRPr="00FC6B03">
        <w:rPr>
          <w:rFonts w:ascii="Arial" w:hAnsi="Arial" w:cs="Arial"/>
          <w:sz w:val="24"/>
          <w:szCs w:val="24"/>
        </w:rPr>
        <w:t xml:space="preserve">nacceptable frequency over the years and </w:t>
      </w:r>
      <w:r w:rsidR="00267F8D" w:rsidRPr="00FC6B03">
        <w:rPr>
          <w:rFonts w:ascii="Arial" w:hAnsi="Arial" w:cs="Arial"/>
          <w:sz w:val="24"/>
          <w:szCs w:val="24"/>
        </w:rPr>
        <w:t xml:space="preserve">in </w:t>
      </w:r>
      <w:r w:rsidR="00267F8D" w:rsidRPr="00FC6B03">
        <w:rPr>
          <w:rFonts w:ascii="Arial" w:hAnsi="Arial" w:cs="Arial"/>
          <w:i/>
          <w:sz w:val="24"/>
          <w:szCs w:val="24"/>
        </w:rPr>
        <w:t>Arangies</w:t>
      </w:r>
      <w:r w:rsidR="00267F8D">
        <w:rPr>
          <w:rFonts w:ascii="Arial" w:hAnsi="Arial" w:cs="Arial"/>
          <w:sz w:val="24"/>
          <w:szCs w:val="24"/>
        </w:rPr>
        <w:t xml:space="preserve"> </w:t>
      </w:r>
      <w:r w:rsidR="00267F8D" w:rsidRPr="00267F8D">
        <w:rPr>
          <w:rFonts w:ascii="Arial" w:hAnsi="Arial" w:cs="Arial"/>
          <w:i/>
          <w:sz w:val="24"/>
          <w:szCs w:val="24"/>
        </w:rPr>
        <w:t>t/a</w:t>
      </w:r>
      <w:r w:rsidR="00267F8D">
        <w:rPr>
          <w:rFonts w:ascii="Arial" w:hAnsi="Arial" w:cs="Arial"/>
          <w:i/>
          <w:sz w:val="24"/>
          <w:szCs w:val="24"/>
        </w:rPr>
        <w:t xml:space="preserve"> Auto Tech v Quick Build </w:t>
      </w:r>
      <w:r w:rsidR="00267F8D">
        <w:rPr>
          <w:rFonts w:ascii="Arial" w:hAnsi="Arial" w:cs="Arial"/>
          <w:sz w:val="24"/>
          <w:szCs w:val="24"/>
        </w:rPr>
        <w:t>2014</w:t>
      </w:r>
      <w:r w:rsidR="00E06D87">
        <w:rPr>
          <w:rFonts w:ascii="Arial" w:hAnsi="Arial" w:cs="Arial"/>
          <w:sz w:val="24"/>
          <w:szCs w:val="24"/>
        </w:rPr>
        <w:t xml:space="preserve"> </w:t>
      </w:r>
      <w:r w:rsidR="00267F8D">
        <w:rPr>
          <w:rFonts w:ascii="Arial" w:hAnsi="Arial" w:cs="Arial"/>
          <w:sz w:val="24"/>
          <w:szCs w:val="24"/>
        </w:rPr>
        <w:t>(1) NR 187 (S</w:t>
      </w:r>
      <w:r w:rsidR="00052F47">
        <w:rPr>
          <w:rFonts w:ascii="Arial" w:hAnsi="Arial" w:cs="Arial"/>
          <w:sz w:val="24"/>
          <w:szCs w:val="24"/>
        </w:rPr>
        <w:t>C</w:t>
      </w:r>
      <w:r w:rsidR="00267F8D">
        <w:rPr>
          <w:rFonts w:ascii="Arial" w:hAnsi="Arial" w:cs="Arial"/>
          <w:sz w:val="24"/>
          <w:szCs w:val="24"/>
        </w:rPr>
        <w:t xml:space="preserve">) at </w:t>
      </w:r>
      <w:r w:rsidR="003654A2">
        <w:rPr>
          <w:rFonts w:ascii="Arial" w:hAnsi="Arial" w:cs="Arial"/>
          <w:sz w:val="24"/>
          <w:szCs w:val="24"/>
        </w:rPr>
        <w:t>para 5</w:t>
      </w:r>
      <w:r w:rsidRPr="00FC6B03">
        <w:rPr>
          <w:rFonts w:ascii="Arial" w:hAnsi="Arial" w:cs="Arial"/>
          <w:sz w:val="24"/>
          <w:szCs w:val="24"/>
        </w:rPr>
        <w:t xml:space="preserve"> usefully summarised the jurisprudence of this court on the subject of condonation applications</w:t>
      </w:r>
      <w:r w:rsidR="00ED5453" w:rsidRPr="00FC6B03">
        <w:rPr>
          <w:rFonts w:ascii="Arial" w:hAnsi="Arial" w:cs="Arial"/>
          <w:sz w:val="24"/>
          <w:szCs w:val="24"/>
        </w:rPr>
        <w:t xml:space="preserve"> for the benefit of practitioners</w:t>
      </w:r>
      <w:r w:rsidRPr="00FC6B03">
        <w:rPr>
          <w:rFonts w:ascii="Arial" w:hAnsi="Arial" w:cs="Arial"/>
          <w:sz w:val="24"/>
          <w:szCs w:val="24"/>
        </w:rPr>
        <w:t xml:space="preserve"> in the following way:</w:t>
      </w:r>
    </w:p>
    <w:p w:rsidR="003654A2" w:rsidRPr="003654A2" w:rsidRDefault="003654A2" w:rsidP="003654A2">
      <w:pPr>
        <w:pStyle w:val="ListParagraph"/>
        <w:rPr>
          <w:rFonts w:ascii="Arial" w:hAnsi="Arial" w:cs="Arial"/>
          <w:sz w:val="24"/>
          <w:szCs w:val="24"/>
        </w:rPr>
      </w:pPr>
    </w:p>
    <w:p w:rsidR="003654A2" w:rsidRPr="00CB2990" w:rsidRDefault="003654A2" w:rsidP="003654A2">
      <w:pPr>
        <w:pStyle w:val="NoSpacing"/>
        <w:spacing w:line="360" w:lineRule="auto"/>
        <w:ind w:left="1560"/>
        <w:jc w:val="both"/>
        <w:rPr>
          <w:rFonts w:ascii="Arial" w:hAnsi="Arial" w:cs="Arial"/>
        </w:rPr>
      </w:pPr>
      <w:r>
        <w:rPr>
          <w:rFonts w:ascii="Arial" w:hAnsi="Arial" w:cs="Arial"/>
          <w:sz w:val="24"/>
          <w:szCs w:val="24"/>
        </w:rPr>
        <w:t>‘</w:t>
      </w:r>
      <w:r w:rsidRPr="00CB2990">
        <w:rPr>
          <w:rFonts w:ascii="Arial" w:hAnsi="Arial" w:cs="Arial"/>
        </w:rPr>
        <w:t>The application for condonation must thus be lodged without</w:t>
      </w:r>
      <w:r>
        <w:rPr>
          <w:rFonts w:ascii="Arial" w:hAnsi="Arial" w:cs="Arial"/>
        </w:rPr>
        <w:t xml:space="preserve"> </w:t>
      </w:r>
      <w:r w:rsidRPr="00CB2990">
        <w:rPr>
          <w:rFonts w:ascii="Arial" w:hAnsi="Arial" w:cs="Arial"/>
        </w:rPr>
        <w:t>delay, and must provide a full, detailed and a</w:t>
      </w:r>
      <w:r>
        <w:rPr>
          <w:rFonts w:ascii="Arial" w:hAnsi="Arial" w:cs="Arial"/>
        </w:rPr>
        <w:t xml:space="preserve">ccurate explanation for it. </w:t>
      </w:r>
      <w:r w:rsidRPr="00CB2990">
        <w:rPr>
          <w:rFonts w:ascii="Arial" w:hAnsi="Arial" w:cs="Arial"/>
        </w:rPr>
        <w:t>This court has also recently considered the range of factors relevant to determining whether an application for condonation for the late filing of an appeal should be granted. They include —</w:t>
      </w:r>
    </w:p>
    <w:p w:rsidR="003654A2" w:rsidRDefault="003654A2" w:rsidP="003654A2">
      <w:pPr>
        <w:pStyle w:val="NoSpacing"/>
        <w:spacing w:line="360" w:lineRule="auto"/>
        <w:jc w:val="both"/>
        <w:rPr>
          <w:rFonts w:ascii="Arial" w:hAnsi="Arial" w:cs="Arial"/>
        </w:rPr>
      </w:pPr>
      <w:r w:rsidRPr="00CB2990">
        <w:rPr>
          <w:rFonts w:ascii="Arial" w:hAnsi="Arial" w:cs="Arial"/>
        </w:rPr>
        <w:tab/>
      </w:r>
      <w:r w:rsidRPr="00CB2990">
        <w:rPr>
          <w:rFonts w:ascii="Arial" w:hAnsi="Arial" w:cs="Arial"/>
        </w:rPr>
        <w:tab/>
      </w:r>
    </w:p>
    <w:p w:rsidR="003654A2" w:rsidRPr="00CB2990" w:rsidRDefault="003654A2" w:rsidP="003654A2">
      <w:pPr>
        <w:pStyle w:val="NoSpacing"/>
        <w:spacing w:line="360" w:lineRule="auto"/>
        <w:ind w:left="2160"/>
        <w:jc w:val="both"/>
        <w:rPr>
          <w:rFonts w:ascii="Arial" w:hAnsi="Arial" w:cs="Arial"/>
        </w:rPr>
      </w:pPr>
      <w:r>
        <w:rPr>
          <w:rFonts w:ascii="Arial" w:hAnsi="Arial" w:cs="Arial"/>
        </w:rPr>
        <w:t>“</w:t>
      </w:r>
      <w:r w:rsidRPr="00CB2990">
        <w:rPr>
          <w:rFonts w:ascii="Arial" w:hAnsi="Arial" w:cs="Arial"/>
        </w:rPr>
        <w:t>the extent of the non-compliance with the rule in question, the</w:t>
      </w:r>
      <w:r>
        <w:rPr>
          <w:rFonts w:ascii="Arial" w:hAnsi="Arial" w:cs="Arial"/>
        </w:rPr>
        <w:t xml:space="preserve"> </w:t>
      </w:r>
      <w:r w:rsidRPr="00CB2990">
        <w:rPr>
          <w:rFonts w:ascii="Arial" w:hAnsi="Arial" w:cs="Arial"/>
        </w:rPr>
        <w:t xml:space="preserve"> reasonableness of the explanation offered for the non-compliance, the </w:t>
      </w:r>
      <w:r w:rsidRPr="004A7693">
        <w:rPr>
          <w:rFonts w:ascii="Arial" w:hAnsi="Arial" w:cs="Arial"/>
          <w:i/>
        </w:rPr>
        <w:t>bona fides</w:t>
      </w:r>
      <w:r w:rsidRPr="00CB2990">
        <w:rPr>
          <w:rFonts w:ascii="Arial" w:hAnsi="Arial" w:cs="Arial"/>
        </w:rPr>
        <w:t xml:space="preserve"> of the application, the prospects of success on the merits of the case, the importance of the case, the respondent's (and where applicable, the public's) interest in the finality of the judgment, the prejudice suffered by the other litigants as a result of the non-compliance, the convenience of the court and the avoidance of unnecessary delay in t</w:t>
      </w:r>
      <w:r>
        <w:rPr>
          <w:rFonts w:ascii="Arial" w:hAnsi="Arial" w:cs="Arial"/>
        </w:rPr>
        <w:t>he administration of justice.”</w:t>
      </w:r>
    </w:p>
    <w:p w:rsidR="003654A2" w:rsidRDefault="003654A2" w:rsidP="003654A2">
      <w:pPr>
        <w:pStyle w:val="NoSpacing"/>
        <w:spacing w:line="360" w:lineRule="auto"/>
        <w:jc w:val="both"/>
        <w:rPr>
          <w:rFonts w:ascii="Arial" w:hAnsi="Arial" w:cs="Arial"/>
        </w:rPr>
      </w:pPr>
      <w:r w:rsidRPr="00CB2990">
        <w:rPr>
          <w:rFonts w:ascii="Arial" w:hAnsi="Arial" w:cs="Arial"/>
        </w:rPr>
        <w:tab/>
      </w:r>
    </w:p>
    <w:p w:rsidR="003654A2" w:rsidRDefault="003654A2" w:rsidP="003654A2">
      <w:pPr>
        <w:pStyle w:val="ListParagraph"/>
        <w:jc w:val="both"/>
        <w:rPr>
          <w:rFonts w:ascii="Arial" w:hAnsi="Arial" w:cs="Arial"/>
          <w:sz w:val="24"/>
          <w:szCs w:val="24"/>
        </w:rPr>
      </w:pPr>
      <w:r w:rsidRPr="00CB2990">
        <w:rPr>
          <w:rFonts w:ascii="Arial" w:hAnsi="Arial" w:cs="Arial"/>
        </w:rPr>
        <w:t xml:space="preserve">These factors are not individually determinative, but must be weighed, one </w:t>
      </w:r>
      <w:r>
        <w:rPr>
          <w:rFonts w:ascii="Arial" w:hAnsi="Arial" w:cs="Arial"/>
        </w:rPr>
        <w:t xml:space="preserve">against the other. </w:t>
      </w:r>
      <w:r w:rsidRPr="00CB2990">
        <w:rPr>
          <w:rFonts w:ascii="Arial" w:hAnsi="Arial" w:cs="Arial"/>
        </w:rPr>
        <w:t>Nor will all the factors necessarily be considered in each case. There are times, for example, where this court has held that it will not consider the prospects of</w:t>
      </w:r>
      <w:r>
        <w:rPr>
          <w:rFonts w:ascii="Arial" w:hAnsi="Arial" w:cs="Arial"/>
        </w:rPr>
        <w:t xml:space="preserve"> success in determining the </w:t>
      </w:r>
      <w:r w:rsidRPr="00CB2990">
        <w:rPr>
          <w:rFonts w:ascii="Arial" w:hAnsi="Arial" w:cs="Arial"/>
        </w:rPr>
        <w:t>application because the non-compliance with the rules has been glar</w:t>
      </w:r>
      <w:r>
        <w:rPr>
          <w:rFonts w:ascii="Arial" w:hAnsi="Arial" w:cs="Arial"/>
        </w:rPr>
        <w:t>ing, flagrant and inexplicable</w:t>
      </w:r>
      <w:r>
        <w:rPr>
          <w:rFonts w:ascii="Arial" w:hAnsi="Arial" w:cs="Arial"/>
          <w:sz w:val="24"/>
          <w:szCs w:val="24"/>
        </w:rPr>
        <w:t>.’</w:t>
      </w:r>
    </w:p>
    <w:p w:rsidR="00FC6B03" w:rsidRPr="00FC6B03" w:rsidRDefault="00FC6B03" w:rsidP="00FC6B03">
      <w:pPr>
        <w:pStyle w:val="ListParagraph"/>
        <w:rPr>
          <w:rFonts w:ascii="Arial" w:hAnsi="Arial" w:cs="Arial"/>
          <w:sz w:val="24"/>
          <w:szCs w:val="24"/>
        </w:rPr>
      </w:pPr>
    </w:p>
    <w:p w:rsidR="00823A23" w:rsidRDefault="00823A23" w:rsidP="00860DC9">
      <w:pPr>
        <w:pStyle w:val="ListParagraph"/>
        <w:numPr>
          <w:ilvl w:val="0"/>
          <w:numId w:val="18"/>
        </w:numPr>
        <w:ind w:left="0" w:firstLine="0"/>
        <w:jc w:val="both"/>
        <w:rPr>
          <w:rFonts w:ascii="Arial" w:hAnsi="Arial" w:cs="Arial"/>
          <w:sz w:val="24"/>
          <w:szCs w:val="24"/>
        </w:rPr>
      </w:pPr>
      <w:r w:rsidRPr="00FC6B03">
        <w:rPr>
          <w:rFonts w:ascii="Arial" w:hAnsi="Arial" w:cs="Arial"/>
          <w:sz w:val="24"/>
          <w:szCs w:val="24"/>
        </w:rPr>
        <w:t xml:space="preserve">This court has </w:t>
      </w:r>
      <w:r w:rsidR="003654A2">
        <w:rPr>
          <w:rFonts w:ascii="Arial" w:hAnsi="Arial" w:cs="Arial"/>
          <w:sz w:val="24"/>
          <w:szCs w:val="24"/>
        </w:rPr>
        <w:t xml:space="preserve">also </w:t>
      </w:r>
      <w:r w:rsidRPr="00FC6B03">
        <w:rPr>
          <w:rFonts w:ascii="Arial" w:hAnsi="Arial" w:cs="Arial"/>
          <w:sz w:val="24"/>
          <w:szCs w:val="24"/>
        </w:rPr>
        <w:t xml:space="preserve">on </w:t>
      </w:r>
      <w:r w:rsidR="00ED5453" w:rsidRPr="00FC6B03">
        <w:rPr>
          <w:rFonts w:ascii="Arial" w:hAnsi="Arial" w:cs="Arial"/>
          <w:sz w:val="24"/>
          <w:szCs w:val="24"/>
        </w:rPr>
        <w:t>several</w:t>
      </w:r>
      <w:r w:rsidRPr="00FC6B03">
        <w:rPr>
          <w:rFonts w:ascii="Arial" w:hAnsi="Arial" w:cs="Arial"/>
          <w:sz w:val="24"/>
          <w:szCs w:val="24"/>
        </w:rPr>
        <w:t xml:space="preserve"> occasion</w:t>
      </w:r>
      <w:r w:rsidR="00ED5453" w:rsidRPr="00FC6B03">
        <w:rPr>
          <w:rFonts w:ascii="Arial" w:hAnsi="Arial" w:cs="Arial"/>
          <w:sz w:val="24"/>
          <w:szCs w:val="24"/>
        </w:rPr>
        <w:t>s</w:t>
      </w:r>
      <w:r w:rsidRPr="00FC6B03">
        <w:rPr>
          <w:rFonts w:ascii="Arial" w:hAnsi="Arial" w:cs="Arial"/>
          <w:sz w:val="24"/>
          <w:szCs w:val="24"/>
        </w:rPr>
        <w:t xml:space="preserve"> emphasised the frequency of failures to comply with the rules of this court and the consequent deleterious effects for the administration of justice.</w:t>
      </w:r>
      <w:r w:rsidR="003654A2">
        <w:rPr>
          <w:rFonts w:ascii="Arial" w:hAnsi="Arial" w:cs="Arial"/>
          <w:sz w:val="24"/>
          <w:szCs w:val="24"/>
        </w:rPr>
        <w:t xml:space="preserve"> (See </w:t>
      </w:r>
      <w:r w:rsidR="003654A2">
        <w:rPr>
          <w:rFonts w:ascii="Arial" w:hAnsi="Arial" w:cs="Arial"/>
          <w:i/>
          <w:sz w:val="24"/>
          <w:szCs w:val="24"/>
        </w:rPr>
        <w:t>Chann</w:t>
      </w:r>
      <w:r w:rsidR="001B0419">
        <w:rPr>
          <w:rFonts w:ascii="Arial" w:hAnsi="Arial" w:cs="Arial"/>
          <w:i/>
          <w:sz w:val="24"/>
          <w:szCs w:val="24"/>
        </w:rPr>
        <w:t>el Life Namibia (Pty) Ltd v Otto</w:t>
      </w:r>
      <w:r w:rsidR="003654A2">
        <w:rPr>
          <w:rFonts w:ascii="Arial" w:hAnsi="Arial" w:cs="Arial"/>
          <w:i/>
          <w:sz w:val="24"/>
          <w:szCs w:val="24"/>
        </w:rPr>
        <w:t xml:space="preserve"> </w:t>
      </w:r>
      <w:r w:rsidR="003654A2">
        <w:rPr>
          <w:rFonts w:ascii="Arial" w:hAnsi="Arial" w:cs="Arial"/>
          <w:sz w:val="24"/>
          <w:szCs w:val="24"/>
        </w:rPr>
        <w:t>2008</w:t>
      </w:r>
      <w:r w:rsidR="00E06D87">
        <w:rPr>
          <w:rFonts w:ascii="Arial" w:hAnsi="Arial" w:cs="Arial"/>
          <w:sz w:val="24"/>
          <w:szCs w:val="24"/>
        </w:rPr>
        <w:t xml:space="preserve"> </w:t>
      </w:r>
      <w:r w:rsidR="003654A2">
        <w:rPr>
          <w:rFonts w:ascii="Arial" w:hAnsi="Arial" w:cs="Arial"/>
          <w:sz w:val="24"/>
          <w:szCs w:val="24"/>
        </w:rPr>
        <w:t>(2) NR 432 (SC)).</w:t>
      </w:r>
      <w:r w:rsidRPr="00FC6B03">
        <w:rPr>
          <w:rFonts w:ascii="Arial" w:hAnsi="Arial" w:cs="Arial"/>
          <w:sz w:val="24"/>
          <w:szCs w:val="24"/>
        </w:rPr>
        <w:t xml:space="preserve"> </w:t>
      </w:r>
    </w:p>
    <w:p w:rsidR="00860DC9" w:rsidRDefault="00860DC9" w:rsidP="00860DC9">
      <w:pPr>
        <w:pStyle w:val="ListParagraph"/>
        <w:ind w:left="0"/>
        <w:jc w:val="both"/>
        <w:rPr>
          <w:rFonts w:ascii="Arial" w:hAnsi="Arial" w:cs="Arial"/>
          <w:sz w:val="24"/>
          <w:szCs w:val="24"/>
        </w:rPr>
      </w:pPr>
    </w:p>
    <w:p w:rsidR="006766A1" w:rsidRDefault="00ED5453" w:rsidP="006766A1">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One of the recurring failures on the part of practitioners concerns the filling of the appeal record. </w:t>
      </w:r>
      <w:r w:rsidR="007642FD" w:rsidRPr="00823A23">
        <w:rPr>
          <w:rFonts w:ascii="Arial" w:hAnsi="Arial" w:cs="Arial"/>
          <w:sz w:val="24"/>
          <w:szCs w:val="24"/>
        </w:rPr>
        <w:t xml:space="preserve">As was also recently said by this court in </w:t>
      </w:r>
      <w:r w:rsidR="007642FD" w:rsidRPr="00823A23">
        <w:rPr>
          <w:rFonts w:ascii="Arial" w:hAnsi="Arial" w:cs="Arial"/>
          <w:i/>
          <w:sz w:val="24"/>
          <w:szCs w:val="24"/>
        </w:rPr>
        <w:t xml:space="preserve">Tweya and others v Herbert and others, </w:t>
      </w:r>
      <w:r w:rsidR="007642FD" w:rsidRPr="00823A23">
        <w:rPr>
          <w:rFonts w:ascii="Arial" w:hAnsi="Arial" w:cs="Arial"/>
          <w:sz w:val="24"/>
          <w:szCs w:val="24"/>
        </w:rPr>
        <w:t>Case no SA 76/2014 (6 July 2016) at para 26</w:t>
      </w:r>
      <w:r w:rsidR="00D83FBA">
        <w:rPr>
          <w:rFonts w:ascii="Arial" w:hAnsi="Arial" w:cs="Arial"/>
          <w:sz w:val="24"/>
          <w:szCs w:val="24"/>
        </w:rPr>
        <w:t>:</w:t>
      </w:r>
    </w:p>
    <w:p w:rsidR="006766A1" w:rsidRDefault="006766A1" w:rsidP="006766A1">
      <w:pPr>
        <w:pStyle w:val="ListParagraph"/>
        <w:ind w:left="0"/>
        <w:jc w:val="both"/>
        <w:rPr>
          <w:rFonts w:ascii="Arial" w:hAnsi="Arial" w:cs="Arial"/>
          <w:sz w:val="24"/>
          <w:szCs w:val="24"/>
        </w:rPr>
      </w:pPr>
    </w:p>
    <w:p w:rsidR="006766A1" w:rsidRPr="00197300" w:rsidRDefault="00197300" w:rsidP="00197300">
      <w:pPr>
        <w:shd w:val="clear" w:color="auto" w:fill="FFFFFF"/>
        <w:spacing w:line="360" w:lineRule="auto"/>
        <w:ind w:left="709" w:firstLine="11"/>
        <w:jc w:val="both"/>
        <w:rPr>
          <w:rFonts w:ascii="Arial" w:eastAsia="Times New Roman" w:hAnsi="Arial" w:cs="Arial"/>
          <w:color w:val="242121"/>
          <w:lang w:val="en-ZA" w:eastAsia="en-ZA"/>
        </w:rPr>
      </w:pPr>
      <w:r w:rsidRPr="00197300">
        <w:rPr>
          <w:rFonts w:ascii="Arial" w:eastAsia="Times New Roman" w:hAnsi="Arial" w:cs="Arial"/>
          <w:color w:val="242121"/>
          <w:lang w:eastAsia="en-ZA"/>
        </w:rPr>
        <w:t>‘</w:t>
      </w:r>
      <w:r w:rsidR="006766A1" w:rsidRPr="00197300">
        <w:rPr>
          <w:rFonts w:ascii="Arial" w:eastAsia="Times New Roman" w:hAnsi="Arial" w:cs="Arial"/>
          <w:color w:val="242121"/>
          <w:lang w:eastAsia="en-ZA"/>
        </w:rPr>
        <w:t>A recurring theme over the past several years in this court has been repeated failures by practitioners to comply with the rules of this court. This had led to delays in finalising appeals and severely disrupts the administration of justice and the functioning of this court. A common occurrence in the non-compliance with the rules has been the frequent failure to file records on time and also lodging records which are incomplete or fail to comply with the rules. There was emphatic reference to this recurring theme in </w:t>
      </w:r>
      <w:r w:rsidR="006766A1" w:rsidRPr="00197300">
        <w:rPr>
          <w:rFonts w:ascii="Arial" w:eastAsia="Times New Roman" w:hAnsi="Arial" w:cs="Arial"/>
          <w:i/>
          <w:iCs/>
          <w:color w:val="242121"/>
          <w:lang w:eastAsia="en-ZA"/>
        </w:rPr>
        <w:t>Katjaimo</w:t>
      </w:r>
      <w:r>
        <w:rPr>
          <w:rStyle w:val="FootnoteReference"/>
          <w:rFonts w:ascii="Arial" w:eastAsia="Times New Roman" w:hAnsi="Arial" w:cs="Arial"/>
          <w:i/>
          <w:iCs/>
          <w:color w:val="242121"/>
          <w:lang w:eastAsia="en-ZA"/>
        </w:rPr>
        <w:footnoteReference w:id="1"/>
      </w:r>
      <w:r w:rsidR="006766A1" w:rsidRPr="00197300">
        <w:rPr>
          <w:rFonts w:ascii="Arial" w:eastAsia="Times New Roman" w:hAnsi="Arial" w:cs="Arial"/>
          <w:color w:val="242121"/>
          <w:lang w:eastAsia="en-ZA"/>
        </w:rPr>
        <w:t> by Damaseb, DCJ:</w:t>
      </w:r>
    </w:p>
    <w:p w:rsidR="006766A1" w:rsidRPr="00197300" w:rsidRDefault="006766A1" w:rsidP="00197300">
      <w:pPr>
        <w:shd w:val="clear" w:color="auto" w:fill="FFFFFF"/>
        <w:spacing w:after="288" w:line="360" w:lineRule="auto"/>
        <w:ind w:left="0"/>
        <w:jc w:val="both"/>
        <w:rPr>
          <w:rFonts w:ascii="Arial" w:eastAsia="Times New Roman" w:hAnsi="Arial" w:cs="Arial"/>
          <w:color w:val="242121"/>
          <w:lang w:val="en-ZA" w:eastAsia="en-ZA"/>
        </w:rPr>
      </w:pPr>
    </w:p>
    <w:p w:rsidR="006766A1" w:rsidRDefault="00525CF5" w:rsidP="00197300">
      <w:pPr>
        <w:shd w:val="clear" w:color="auto" w:fill="FFFFFF"/>
        <w:spacing w:after="288" w:line="360" w:lineRule="auto"/>
        <w:ind w:left="1418"/>
        <w:jc w:val="both"/>
        <w:rPr>
          <w:rFonts w:ascii="Arial" w:eastAsia="Times New Roman" w:hAnsi="Arial" w:cs="Arial"/>
          <w:color w:val="242121"/>
          <w:lang w:eastAsia="en-ZA"/>
        </w:rPr>
      </w:pPr>
      <w:r>
        <w:rPr>
          <w:rFonts w:ascii="Arial" w:eastAsia="Times New Roman" w:hAnsi="Arial" w:cs="Arial"/>
          <w:color w:val="242121"/>
          <w:lang w:val="en-ZA" w:eastAsia="en-ZA"/>
        </w:rPr>
        <w:t>“</w:t>
      </w:r>
      <w:r w:rsidR="006766A1" w:rsidRPr="00197300">
        <w:rPr>
          <w:rFonts w:ascii="Arial" w:eastAsia="Times New Roman" w:hAnsi="Arial" w:cs="Arial"/>
          <w:color w:val="242121"/>
          <w:lang w:eastAsia="en-ZA"/>
        </w:rPr>
        <w:t>Strydom AJA in </w:t>
      </w:r>
      <w:r w:rsidR="006766A1" w:rsidRPr="00197300">
        <w:rPr>
          <w:rFonts w:ascii="Arial" w:eastAsia="Times New Roman" w:hAnsi="Arial" w:cs="Arial"/>
          <w:i/>
          <w:iCs/>
          <w:color w:val="242121"/>
          <w:lang w:eastAsia="en-ZA"/>
        </w:rPr>
        <w:t>Channel Life Namibia (Pty) Ltd v Otto</w:t>
      </w:r>
      <w:r w:rsidR="006766A1" w:rsidRPr="00197300">
        <w:rPr>
          <w:rFonts w:ascii="Arial" w:eastAsia="Times New Roman" w:hAnsi="Arial" w:cs="Arial"/>
          <w:color w:val="242121"/>
          <w:lang w:eastAsia="en-ZA"/>
        </w:rPr>
        <w:t> lamented the problems that have been caused by delays and non-compliance with the rules of this court when he said:</w:t>
      </w:r>
    </w:p>
    <w:p w:rsidR="00197300" w:rsidRPr="00197300" w:rsidRDefault="00197300" w:rsidP="00197300">
      <w:pPr>
        <w:shd w:val="clear" w:color="auto" w:fill="FFFFFF"/>
        <w:spacing w:line="360" w:lineRule="auto"/>
        <w:ind w:left="1418"/>
        <w:jc w:val="both"/>
        <w:rPr>
          <w:rFonts w:ascii="Arial" w:eastAsia="Times New Roman" w:hAnsi="Arial" w:cs="Arial"/>
          <w:color w:val="242121"/>
          <w:lang w:val="en-ZA" w:eastAsia="en-ZA"/>
        </w:rPr>
      </w:pPr>
    </w:p>
    <w:p w:rsidR="006766A1" w:rsidRDefault="00525CF5" w:rsidP="00197300">
      <w:pPr>
        <w:shd w:val="clear" w:color="auto" w:fill="FFFFFF"/>
        <w:spacing w:after="288" w:line="360" w:lineRule="auto"/>
        <w:ind w:left="2127" w:firstLine="26"/>
        <w:jc w:val="both"/>
        <w:rPr>
          <w:rFonts w:ascii="Arial" w:eastAsia="Times New Roman" w:hAnsi="Arial" w:cs="Arial"/>
          <w:color w:val="242121"/>
          <w:lang w:eastAsia="en-ZA"/>
        </w:rPr>
      </w:pPr>
      <w:r>
        <w:rPr>
          <w:rFonts w:ascii="Arial" w:eastAsia="Times New Roman" w:hAnsi="Arial" w:cs="Arial"/>
          <w:color w:val="242121"/>
          <w:lang w:val="en-ZA" w:eastAsia="en-ZA"/>
        </w:rPr>
        <w:t>‘</w:t>
      </w:r>
      <w:r w:rsidR="006766A1" w:rsidRPr="00197300">
        <w:rPr>
          <w:rFonts w:ascii="Arial" w:eastAsia="Times New Roman" w:hAnsi="Arial" w:cs="Arial"/>
          <w:color w:val="242121"/>
          <w:lang w:eastAsia="en-ZA"/>
        </w:rPr>
        <w:t>. . . (A)t each session of the Supreme Court there are various applications for condonation because of non-compliance with some or other of the rules of the court. Many of these applications could have been avoided through the application of diligence and by giving the process a little more attention. Practitioners should inform themselves of the provisions of the Rules of the Supreme Court and cannot accept that those rules are the same as that of the High Court. It further seems that it has become the practice of legal practitioners to leave the compilation of the record entirely in the hands of the recording company. That, however, does not relieve an appellant, who is responsible for the preparing of the appeal record, from ensuring that the record is complete and complying with the rules of this court.</w:t>
      </w:r>
    </w:p>
    <w:p w:rsidR="0069254F" w:rsidRDefault="0069254F" w:rsidP="0069254F">
      <w:pPr>
        <w:shd w:val="clear" w:color="auto" w:fill="FFFFFF"/>
        <w:spacing w:line="360" w:lineRule="auto"/>
        <w:ind w:left="2126" w:firstLine="28"/>
        <w:jc w:val="both"/>
        <w:rPr>
          <w:rFonts w:ascii="Arial" w:eastAsia="Times New Roman" w:hAnsi="Arial" w:cs="Arial"/>
          <w:color w:val="242121"/>
          <w:lang w:val="en-ZA" w:eastAsia="en-ZA"/>
        </w:rPr>
      </w:pPr>
    </w:p>
    <w:p w:rsidR="0069254F" w:rsidRPr="00197300" w:rsidRDefault="0069254F" w:rsidP="0069254F">
      <w:pPr>
        <w:shd w:val="clear" w:color="auto" w:fill="FFFFFF"/>
        <w:spacing w:line="360" w:lineRule="auto"/>
        <w:ind w:left="2126" w:firstLine="28"/>
        <w:jc w:val="both"/>
        <w:rPr>
          <w:rFonts w:ascii="Arial" w:eastAsia="Times New Roman" w:hAnsi="Arial" w:cs="Arial"/>
          <w:color w:val="242121"/>
          <w:lang w:val="en-ZA" w:eastAsia="en-ZA"/>
        </w:rPr>
      </w:pPr>
    </w:p>
    <w:p w:rsidR="006766A1" w:rsidRDefault="006766A1" w:rsidP="00197300">
      <w:pPr>
        <w:shd w:val="clear" w:color="auto" w:fill="FFFFFF"/>
        <w:spacing w:after="288" w:line="360" w:lineRule="auto"/>
        <w:ind w:left="2153"/>
        <w:jc w:val="both"/>
        <w:rPr>
          <w:rFonts w:ascii="Arial" w:eastAsia="Times New Roman" w:hAnsi="Arial" w:cs="Arial"/>
          <w:color w:val="242121"/>
          <w:lang w:eastAsia="en-ZA"/>
        </w:rPr>
      </w:pPr>
      <w:r w:rsidRPr="00197300">
        <w:rPr>
          <w:rFonts w:ascii="Arial" w:eastAsia="Times New Roman" w:hAnsi="Arial" w:cs="Arial"/>
          <w:color w:val="242121"/>
          <w:lang w:eastAsia="en-ZA"/>
        </w:rPr>
        <w:t>The past session again saw five to six records which were not complete. This is an inconvenience to judges who must prepare for the coming session and further places a burden on the staff of the court to get practitioners to rectify the failures. All this add to the costs of appeal and the time is fast approaching where the court will have to either refuse to hear such matters or order the legal practitioner responsible to pay the unnecessary costs occasioned by</w:t>
      </w:r>
      <w:r w:rsidR="00525CF5">
        <w:rPr>
          <w:rFonts w:ascii="Arial" w:eastAsia="Times New Roman" w:hAnsi="Arial" w:cs="Arial"/>
          <w:color w:val="242121"/>
          <w:lang w:eastAsia="en-ZA"/>
        </w:rPr>
        <w:t xml:space="preserve"> his or her failure.’</w:t>
      </w:r>
    </w:p>
    <w:p w:rsidR="0069254F" w:rsidRPr="00197300" w:rsidRDefault="0069254F" w:rsidP="0069254F">
      <w:pPr>
        <w:shd w:val="clear" w:color="auto" w:fill="FFFFFF"/>
        <w:spacing w:line="360" w:lineRule="auto"/>
        <w:ind w:left="2155"/>
        <w:jc w:val="both"/>
        <w:rPr>
          <w:rFonts w:ascii="Arial" w:eastAsia="Times New Roman" w:hAnsi="Arial" w:cs="Arial"/>
          <w:color w:val="242121"/>
          <w:lang w:eastAsia="en-ZA"/>
        </w:rPr>
      </w:pPr>
    </w:p>
    <w:p w:rsidR="006766A1" w:rsidRDefault="006766A1" w:rsidP="00197300">
      <w:pPr>
        <w:shd w:val="clear" w:color="auto" w:fill="FFFFFF"/>
        <w:spacing w:after="288" w:line="360" w:lineRule="auto"/>
        <w:ind w:left="1418"/>
        <w:jc w:val="both"/>
        <w:rPr>
          <w:rFonts w:ascii="Arial" w:eastAsia="Times New Roman" w:hAnsi="Arial" w:cs="Arial"/>
          <w:color w:val="242121"/>
          <w:lang w:eastAsia="en-ZA"/>
        </w:rPr>
      </w:pPr>
      <w:r w:rsidRPr="00197300">
        <w:rPr>
          <w:rFonts w:ascii="Arial" w:eastAsia="Times New Roman" w:hAnsi="Arial" w:cs="Arial"/>
          <w:color w:val="242121"/>
          <w:lang w:eastAsia="en-ZA"/>
        </w:rPr>
        <w:t>This warning was echoed by none other than the Chief Justice recently in </w:t>
      </w:r>
      <w:r w:rsidRPr="00197300">
        <w:rPr>
          <w:rFonts w:ascii="Arial" w:eastAsia="Times New Roman" w:hAnsi="Arial" w:cs="Arial"/>
          <w:i/>
          <w:iCs/>
          <w:color w:val="242121"/>
          <w:lang w:eastAsia="en-ZA"/>
        </w:rPr>
        <w:t>Shilongo v Church Council of the Evangelical Lutheran Church</w:t>
      </w:r>
      <w:r w:rsidRPr="00197300">
        <w:rPr>
          <w:rFonts w:ascii="Arial" w:eastAsia="Times New Roman" w:hAnsi="Arial" w:cs="Arial"/>
          <w:color w:val="242121"/>
          <w:lang w:eastAsia="en-ZA"/>
        </w:rPr>
        <w:t> </w:t>
      </w:r>
      <w:r w:rsidRPr="00197300">
        <w:rPr>
          <w:rFonts w:ascii="Arial" w:eastAsia="Times New Roman" w:hAnsi="Arial" w:cs="Arial"/>
          <w:i/>
          <w:iCs/>
          <w:color w:val="242121"/>
          <w:lang w:eastAsia="en-ZA"/>
        </w:rPr>
        <w:t>in the Republic of Namibia</w:t>
      </w:r>
      <w:r w:rsidR="00197300">
        <w:rPr>
          <w:rFonts w:ascii="Arial" w:eastAsia="Times New Roman" w:hAnsi="Arial" w:cs="Arial"/>
          <w:iCs/>
          <w:color w:val="242121"/>
          <w:lang w:eastAsia="en-ZA"/>
        </w:rPr>
        <w:t xml:space="preserve"> SA 87/2011 (SC)</w:t>
      </w:r>
      <w:r w:rsidRPr="00197300">
        <w:rPr>
          <w:rFonts w:ascii="Arial" w:eastAsia="Times New Roman" w:hAnsi="Arial" w:cs="Arial"/>
          <w:i/>
          <w:iCs/>
          <w:color w:val="242121"/>
          <w:lang w:eastAsia="en-ZA"/>
        </w:rPr>
        <w:t>,</w:t>
      </w:r>
      <w:r w:rsidRPr="00197300">
        <w:rPr>
          <w:rFonts w:ascii="Arial" w:eastAsia="Times New Roman" w:hAnsi="Arial" w:cs="Arial"/>
          <w:color w:val="242121"/>
          <w:lang w:eastAsia="en-ZA"/>
        </w:rPr>
        <w:t> when he observed as follows:</w:t>
      </w:r>
    </w:p>
    <w:p w:rsidR="0069254F" w:rsidRPr="00197300" w:rsidRDefault="0069254F" w:rsidP="0069254F">
      <w:pPr>
        <w:shd w:val="clear" w:color="auto" w:fill="FFFFFF"/>
        <w:spacing w:line="360" w:lineRule="auto"/>
        <w:ind w:left="1418"/>
        <w:jc w:val="both"/>
        <w:rPr>
          <w:rFonts w:ascii="Arial" w:eastAsia="Times New Roman" w:hAnsi="Arial" w:cs="Arial"/>
          <w:color w:val="242121"/>
          <w:lang w:eastAsia="en-ZA"/>
        </w:rPr>
      </w:pPr>
    </w:p>
    <w:p w:rsidR="006766A1" w:rsidRDefault="00525CF5" w:rsidP="0069254F">
      <w:pPr>
        <w:shd w:val="clear" w:color="auto" w:fill="FFFFFF"/>
        <w:spacing w:line="360" w:lineRule="auto"/>
        <w:ind w:left="2160"/>
        <w:jc w:val="both"/>
        <w:rPr>
          <w:rFonts w:ascii="Arial" w:eastAsia="Times New Roman" w:hAnsi="Arial" w:cs="Arial"/>
          <w:color w:val="242121"/>
          <w:lang w:eastAsia="en-ZA"/>
        </w:rPr>
      </w:pPr>
      <w:r>
        <w:rPr>
          <w:rFonts w:ascii="Arial" w:eastAsia="Times New Roman" w:hAnsi="Arial" w:cs="Arial"/>
          <w:color w:val="242121"/>
          <w:lang w:eastAsia="en-ZA"/>
        </w:rPr>
        <w:t>“</w:t>
      </w:r>
      <w:r w:rsidR="006766A1" w:rsidRPr="00197300">
        <w:rPr>
          <w:rFonts w:ascii="Arial" w:eastAsia="Times New Roman" w:hAnsi="Arial" w:cs="Arial"/>
          <w:color w:val="242121"/>
          <w:lang w:eastAsia="en-ZA"/>
        </w:rPr>
        <w:t>Virtually every appeal that I was involved in during the recent session of the court was preceded by an application for condonation for the failure to comply with one or other rule of the Rules of Court. In all those appeal matters, valuable time and resources were spent on arguing preliminary issues relating to condonation instead of dealing with the merits of the appeals. In spite of observations in the past that the court views the disregard of the rules in a serious light, the situation continues unabated and the attitude of some legal practitioners appears to be that it is all well as long as an application for condonation is made. Such an attitude is unh</w:t>
      </w:r>
      <w:r>
        <w:rPr>
          <w:rFonts w:ascii="Arial" w:eastAsia="Times New Roman" w:hAnsi="Arial" w:cs="Arial"/>
          <w:color w:val="242121"/>
          <w:lang w:eastAsia="en-ZA"/>
        </w:rPr>
        <w:t>elpful and is to be deprecated.”</w:t>
      </w:r>
    </w:p>
    <w:p w:rsidR="0069254F" w:rsidRPr="00197300" w:rsidRDefault="0069254F" w:rsidP="0069254F">
      <w:pPr>
        <w:shd w:val="clear" w:color="auto" w:fill="FFFFFF"/>
        <w:spacing w:line="360" w:lineRule="auto"/>
        <w:ind w:left="2160"/>
        <w:jc w:val="both"/>
        <w:rPr>
          <w:rFonts w:ascii="Arial" w:eastAsia="Times New Roman" w:hAnsi="Arial" w:cs="Arial"/>
          <w:color w:val="242121"/>
          <w:lang w:eastAsia="en-ZA"/>
        </w:rPr>
      </w:pPr>
    </w:p>
    <w:p w:rsidR="006766A1" w:rsidRDefault="006766A1" w:rsidP="0069254F">
      <w:pPr>
        <w:shd w:val="clear" w:color="auto" w:fill="FFFFFF"/>
        <w:spacing w:line="360" w:lineRule="auto"/>
        <w:ind w:left="0" w:firstLine="720"/>
        <w:jc w:val="both"/>
        <w:rPr>
          <w:rFonts w:ascii="Arial" w:eastAsia="Times New Roman" w:hAnsi="Arial" w:cs="Arial"/>
          <w:color w:val="242121"/>
          <w:lang w:eastAsia="en-ZA"/>
        </w:rPr>
      </w:pPr>
      <w:r w:rsidRPr="00197300">
        <w:rPr>
          <w:rFonts w:ascii="Arial" w:eastAsia="Times New Roman" w:hAnsi="Arial" w:cs="Arial"/>
          <w:color w:val="242121"/>
          <w:lang w:eastAsia="en-ZA"/>
        </w:rPr>
        <w:t>The learned Chief Justice added (para 6):</w:t>
      </w:r>
    </w:p>
    <w:p w:rsidR="0069254F" w:rsidRPr="00197300" w:rsidRDefault="0069254F" w:rsidP="0069254F">
      <w:pPr>
        <w:shd w:val="clear" w:color="auto" w:fill="FFFFFF"/>
        <w:spacing w:line="360" w:lineRule="auto"/>
        <w:ind w:left="0" w:firstLine="720"/>
        <w:jc w:val="both"/>
        <w:rPr>
          <w:rFonts w:ascii="Arial" w:eastAsia="Times New Roman" w:hAnsi="Arial" w:cs="Arial"/>
          <w:color w:val="242121"/>
          <w:lang w:eastAsia="en-ZA"/>
        </w:rPr>
      </w:pPr>
    </w:p>
    <w:p w:rsidR="006766A1" w:rsidRPr="00197300" w:rsidRDefault="00525CF5" w:rsidP="0069254F">
      <w:pPr>
        <w:shd w:val="clear" w:color="auto" w:fill="FFFFFF"/>
        <w:spacing w:line="360" w:lineRule="auto"/>
        <w:ind w:left="2160"/>
        <w:jc w:val="both"/>
        <w:rPr>
          <w:rFonts w:ascii="Arial" w:eastAsia="Times New Roman" w:hAnsi="Arial" w:cs="Arial"/>
          <w:color w:val="242121"/>
          <w:lang w:val="en-ZA" w:eastAsia="en-ZA"/>
        </w:rPr>
      </w:pPr>
      <w:r>
        <w:rPr>
          <w:rFonts w:ascii="Arial" w:eastAsia="Times New Roman" w:hAnsi="Arial" w:cs="Arial"/>
          <w:color w:val="242121"/>
          <w:lang w:eastAsia="en-ZA"/>
        </w:rPr>
        <w:t>“</w:t>
      </w:r>
      <w:r w:rsidR="006766A1" w:rsidRPr="00197300">
        <w:rPr>
          <w:rFonts w:ascii="Arial" w:eastAsia="Times New Roman" w:hAnsi="Arial" w:cs="Arial"/>
          <w:color w:val="242121"/>
          <w:lang w:eastAsia="en-ZA"/>
        </w:rPr>
        <w:t>It is therefore of cardinal importance that practitioners who intend to practice at the Supreme Court and who are not familiar with its rules take time to study the rules and apply them correctly to turn the tide of applications for condonation that is seriously hampering the court's ability to deal with the merits of appeals brought to it with attendant expedition.”’</w:t>
      </w:r>
    </w:p>
    <w:p w:rsidR="006766A1" w:rsidRDefault="006766A1" w:rsidP="006766A1">
      <w:pPr>
        <w:pStyle w:val="ListParagraph"/>
        <w:ind w:left="0"/>
        <w:jc w:val="both"/>
        <w:rPr>
          <w:rFonts w:ascii="Arial" w:hAnsi="Arial" w:cs="Arial"/>
          <w:sz w:val="24"/>
          <w:szCs w:val="24"/>
        </w:rPr>
      </w:pPr>
    </w:p>
    <w:p w:rsidR="003743A2" w:rsidRPr="003743A2" w:rsidRDefault="003959CE" w:rsidP="003743A2">
      <w:pPr>
        <w:pStyle w:val="ListParagraph"/>
        <w:numPr>
          <w:ilvl w:val="0"/>
          <w:numId w:val="18"/>
        </w:numPr>
        <w:ind w:left="0" w:firstLine="0"/>
        <w:jc w:val="both"/>
        <w:rPr>
          <w:rFonts w:ascii="Arial" w:hAnsi="Arial" w:cs="Arial"/>
          <w:sz w:val="24"/>
          <w:szCs w:val="24"/>
        </w:rPr>
      </w:pPr>
      <w:r w:rsidRPr="006766A1">
        <w:rPr>
          <w:rFonts w:ascii="Arial" w:eastAsia="Times New Roman" w:hAnsi="Arial" w:cs="Arial"/>
          <w:color w:val="242121"/>
          <w:sz w:val="24"/>
          <w:szCs w:val="24"/>
          <w:lang w:eastAsia="en-ZA"/>
        </w:rPr>
        <w:t xml:space="preserve">The duties of practitioners in connection with lodging records were </w:t>
      </w:r>
      <w:r w:rsidR="00ED5453" w:rsidRPr="006766A1">
        <w:rPr>
          <w:rFonts w:ascii="Arial" w:eastAsia="Times New Roman" w:hAnsi="Arial" w:cs="Arial"/>
          <w:color w:val="242121"/>
          <w:sz w:val="24"/>
          <w:szCs w:val="24"/>
          <w:lang w:eastAsia="en-ZA"/>
        </w:rPr>
        <w:t>succinctly</w:t>
      </w:r>
      <w:r w:rsidRPr="006766A1">
        <w:rPr>
          <w:rFonts w:ascii="Arial" w:eastAsia="Times New Roman" w:hAnsi="Arial" w:cs="Arial"/>
          <w:color w:val="242121"/>
          <w:sz w:val="24"/>
          <w:szCs w:val="24"/>
          <w:lang w:eastAsia="en-ZA"/>
        </w:rPr>
        <w:t xml:space="preserve"> summarised by Strydom AJA in </w:t>
      </w:r>
      <w:r w:rsidRPr="006766A1">
        <w:rPr>
          <w:rFonts w:ascii="Arial" w:eastAsia="Times New Roman" w:hAnsi="Arial" w:cs="Arial"/>
          <w:i/>
          <w:iCs/>
          <w:color w:val="242121"/>
          <w:sz w:val="24"/>
          <w:szCs w:val="24"/>
          <w:lang w:eastAsia="en-ZA"/>
        </w:rPr>
        <w:t>Channel Life</w:t>
      </w:r>
      <w:r w:rsidR="00764826">
        <w:rPr>
          <w:rFonts w:ascii="Arial" w:eastAsia="Times New Roman" w:hAnsi="Arial" w:cs="Arial"/>
          <w:i/>
          <w:iCs/>
          <w:color w:val="242121"/>
          <w:sz w:val="24"/>
          <w:szCs w:val="24"/>
          <w:lang w:eastAsia="en-ZA"/>
        </w:rPr>
        <w:t xml:space="preserve"> </w:t>
      </w:r>
      <w:r w:rsidR="00764826">
        <w:rPr>
          <w:rFonts w:ascii="Arial" w:eastAsia="Times New Roman" w:hAnsi="Arial" w:cs="Arial"/>
          <w:iCs/>
          <w:color w:val="242121"/>
          <w:sz w:val="24"/>
          <w:szCs w:val="24"/>
          <w:lang w:eastAsia="en-ZA"/>
        </w:rPr>
        <w:t>in para 48 of the judgment</w:t>
      </w:r>
      <w:r w:rsidRPr="006766A1">
        <w:rPr>
          <w:rFonts w:ascii="Arial" w:eastAsia="Times New Roman" w:hAnsi="Arial" w:cs="Arial"/>
          <w:i/>
          <w:iCs/>
          <w:color w:val="242121"/>
          <w:sz w:val="24"/>
          <w:szCs w:val="24"/>
          <w:lang w:eastAsia="en-ZA"/>
        </w:rPr>
        <w:t>:</w:t>
      </w:r>
    </w:p>
    <w:p w:rsidR="003743A2" w:rsidRPr="003743A2" w:rsidRDefault="003743A2" w:rsidP="003743A2">
      <w:pPr>
        <w:spacing w:line="360" w:lineRule="auto"/>
        <w:ind w:left="0"/>
        <w:jc w:val="both"/>
        <w:rPr>
          <w:rFonts w:ascii="Arial" w:hAnsi="Arial" w:cs="Arial"/>
        </w:rPr>
      </w:pPr>
    </w:p>
    <w:p w:rsidR="003743A2" w:rsidRPr="0069254F" w:rsidRDefault="003743A2" w:rsidP="003743A2">
      <w:pPr>
        <w:shd w:val="clear" w:color="auto" w:fill="FFFFFF"/>
        <w:spacing w:before="144" w:after="288" w:line="360" w:lineRule="auto"/>
        <w:jc w:val="both"/>
        <w:rPr>
          <w:rFonts w:ascii="Arial" w:eastAsia="Times New Roman" w:hAnsi="Arial" w:cs="Arial"/>
          <w:color w:val="242121"/>
          <w:lang w:val="en-ZA" w:eastAsia="en-ZA"/>
        </w:rPr>
      </w:pPr>
      <w:r w:rsidRPr="0069254F">
        <w:rPr>
          <w:rFonts w:ascii="Arial" w:eastAsia="Times New Roman" w:hAnsi="Arial" w:cs="Arial"/>
          <w:color w:val="242121"/>
          <w:lang w:val="en-ZA" w:eastAsia="en-ZA"/>
        </w:rPr>
        <w:t>‘</w:t>
      </w:r>
      <w:r w:rsidRPr="0069254F">
        <w:rPr>
          <w:rFonts w:ascii="Arial" w:eastAsia="Times New Roman" w:hAnsi="Arial" w:cs="Arial"/>
          <w:color w:val="242121"/>
          <w:lang w:eastAsia="en-ZA"/>
        </w:rPr>
        <w:t>In regard to the record of appeal, practitioners must check the record to ensure —</w:t>
      </w:r>
    </w:p>
    <w:p w:rsidR="003743A2" w:rsidRPr="0069254F" w:rsidRDefault="003743A2" w:rsidP="003743A2">
      <w:pPr>
        <w:shd w:val="clear" w:color="auto" w:fill="FFFFFF"/>
        <w:spacing w:before="144" w:after="288" w:line="360" w:lineRule="auto"/>
        <w:ind w:firstLine="720"/>
        <w:jc w:val="both"/>
        <w:rPr>
          <w:rFonts w:ascii="Arial" w:eastAsia="Times New Roman" w:hAnsi="Arial" w:cs="Arial"/>
          <w:color w:val="242121"/>
          <w:lang w:val="en-ZA" w:eastAsia="en-ZA"/>
        </w:rPr>
      </w:pPr>
      <w:r w:rsidRPr="0069254F">
        <w:rPr>
          <w:rFonts w:ascii="Arial" w:eastAsia="Times New Roman" w:hAnsi="Arial" w:cs="Arial"/>
          <w:color w:val="242121"/>
          <w:lang w:eastAsia="en-ZA"/>
        </w:rPr>
        <w:t>(i) that there are no pages missing from the record;</w:t>
      </w:r>
    </w:p>
    <w:p w:rsidR="003743A2" w:rsidRPr="0069254F" w:rsidRDefault="003743A2" w:rsidP="003743A2">
      <w:pPr>
        <w:shd w:val="clear" w:color="auto" w:fill="FFFFFF"/>
        <w:spacing w:before="144" w:after="288" w:line="360" w:lineRule="auto"/>
        <w:ind w:firstLine="720"/>
        <w:jc w:val="both"/>
        <w:rPr>
          <w:rFonts w:ascii="Arial" w:eastAsia="Times New Roman" w:hAnsi="Arial" w:cs="Arial"/>
          <w:color w:val="242121"/>
          <w:lang w:val="en-ZA" w:eastAsia="en-ZA"/>
        </w:rPr>
      </w:pPr>
      <w:r w:rsidRPr="0069254F">
        <w:rPr>
          <w:rFonts w:ascii="Arial" w:eastAsia="Times New Roman" w:hAnsi="Arial" w:cs="Arial"/>
          <w:color w:val="242121"/>
          <w:lang w:eastAsia="en-ZA"/>
        </w:rPr>
        <w:t>(ii) that all the relevant documentary exhibits are before the court;</w:t>
      </w:r>
    </w:p>
    <w:p w:rsidR="003743A2" w:rsidRPr="0069254F" w:rsidRDefault="003743A2" w:rsidP="003743A2">
      <w:pPr>
        <w:shd w:val="clear" w:color="auto" w:fill="FFFFFF"/>
        <w:spacing w:before="144" w:after="288" w:line="360" w:lineRule="auto"/>
        <w:ind w:left="1440"/>
        <w:jc w:val="both"/>
        <w:rPr>
          <w:rFonts w:ascii="Arial" w:eastAsia="Times New Roman" w:hAnsi="Arial" w:cs="Arial"/>
          <w:color w:val="242121"/>
          <w:lang w:val="en-ZA" w:eastAsia="en-ZA"/>
        </w:rPr>
      </w:pPr>
      <w:r w:rsidRPr="0069254F">
        <w:rPr>
          <w:rFonts w:ascii="Arial" w:eastAsia="Times New Roman" w:hAnsi="Arial" w:cs="Arial"/>
          <w:color w:val="242121"/>
          <w:lang w:eastAsia="en-ZA"/>
        </w:rPr>
        <w:t>(iii) that there are no unnecessary documents included in the record, such as heads of argument used in the court </w:t>
      </w:r>
      <w:r w:rsidRPr="0069254F">
        <w:rPr>
          <w:rFonts w:ascii="Arial" w:eastAsia="Times New Roman" w:hAnsi="Arial" w:cs="Arial"/>
          <w:i/>
          <w:iCs/>
          <w:color w:val="242121"/>
          <w:lang w:eastAsia="en-ZA"/>
        </w:rPr>
        <w:t>a quo</w:t>
      </w:r>
      <w:r w:rsidRPr="0069254F">
        <w:rPr>
          <w:rFonts w:ascii="Arial" w:eastAsia="Times New Roman" w:hAnsi="Arial" w:cs="Arial"/>
          <w:color w:val="242121"/>
          <w:lang w:eastAsia="en-ZA"/>
        </w:rPr>
        <w:t> and arguments raised in that court, unless such heads of argument are relevant to some or other aspect of the appeal, eg to show a concession made by the opposite party;</w:t>
      </w:r>
    </w:p>
    <w:p w:rsidR="003743A2" w:rsidRPr="0069254F" w:rsidRDefault="003743A2" w:rsidP="003743A2">
      <w:pPr>
        <w:shd w:val="clear" w:color="auto" w:fill="FFFFFF"/>
        <w:spacing w:before="144" w:after="288" w:line="360" w:lineRule="auto"/>
        <w:ind w:left="1440"/>
        <w:jc w:val="both"/>
        <w:rPr>
          <w:rFonts w:ascii="Arial" w:eastAsia="Times New Roman" w:hAnsi="Arial" w:cs="Arial"/>
          <w:color w:val="242121"/>
          <w:lang w:eastAsia="en-ZA"/>
        </w:rPr>
      </w:pPr>
      <w:r w:rsidRPr="0069254F">
        <w:rPr>
          <w:rFonts w:ascii="Arial" w:eastAsia="Times New Roman" w:hAnsi="Arial" w:cs="Arial"/>
          <w:color w:val="242121"/>
          <w:lang w:eastAsia="en-ZA"/>
        </w:rPr>
        <w:t xml:space="preserve">(iv) that the record complies in every respect with the provisions of </w:t>
      </w:r>
      <w:r w:rsidR="00C9718C" w:rsidRPr="0069254F">
        <w:rPr>
          <w:rFonts w:ascii="Arial" w:eastAsia="Times New Roman" w:hAnsi="Arial" w:cs="Arial"/>
          <w:color w:val="242121"/>
          <w:lang w:eastAsia="en-ZA"/>
        </w:rPr>
        <w:t xml:space="preserve"> </w:t>
      </w:r>
      <w:r w:rsidRPr="0069254F">
        <w:rPr>
          <w:rFonts w:ascii="Arial" w:eastAsia="Times New Roman" w:hAnsi="Arial" w:cs="Arial"/>
          <w:color w:val="242121"/>
          <w:lang w:eastAsia="en-ZA"/>
        </w:rPr>
        <w:t>rule 5</w:t>
      </w:r>
      <w:r w:rsidR="00C9718C" w:rsidRPr="0069254F">
        <w:rPr>
          <w:rFonts w:ascii="Arial" w:eastAsia="Times New Roman" w:hAnsi="Arial" w:cs="Arial"/>
          <w:color w:val="242121"/>
          <w:lang w:eastAsia="en-ZA"/>
        </w:rPr>
        <w:t xml:space="preserve"> </w:t>
      </w:r>
      <w:r w:rsidRPr="0069254F">
        <w:rPr>
          <w:rFonts w:ascii="Arial" w:eastAsia="Times New Roman" w:hAnsi="Arial" w:cs="Arial"/>
          <w:color w:val="242121"/>
          <w:lang w:eastAsia="en-ZA"/>
        </w:rPr>
        <w:t>(8), (9), (10), (11), (12), (13) and (14) of the Rules of the Supreme Court.’</w:t>
      </w:r>
    </w:p>
    <w:p w:rsidR="003743A2" w:rsidRPr="003743A2" w:rsidRDefault="003743A2" w:rsidP="003743A2">
      <w:pPr>
        <w:spacing w:line="360" w:lineRule="auto"/>
        <w:jc w:val="both"/>
        <w:rPr>
          <w:rFonts w:ascii="Arial" w:hAnsi="Arial" w:cs="Arial"/>
        </w:rPr>
      </w:pPr>
    </w:p>
    <w:p w:rsidR="00ED5453" w:rsidRPr="003743A2" w:rsidRDefault="00ED5453" w:rsidP="003743A2">
      <w:pPr>
        <w:pStyle w:val="ListParagraph"/>
        <w:numPr>
          <w:ilvl w:val="0"/>
          <w:numId w:val="18"/>
        </w:numPr>
        <w:ind w:left="0" w:firstLine="0"/>
        <w:jc w:val="both"/>
        <w:rPr>
          <w:rFonts w:ascii="Arial" w:hAnsi="Arial" w:cs="Arial"/>
          <w:sz w:val="24"/>
          <w:szCs w:val="24"/>
        </w:rPr>
      </w:pPr>
      <w:r w:rsidRPr="003743A2">
        <w:rPr>
          <w:rFonts w:ascii="Arial" w:eastAsia="Times New Roman" w:hAnsi="Arial" w:cs="Arial"/>
          <w:color w:val="242121"/>
          <w:sz w:val="24"/>
          <w:szCs w:val="24"/>
          <w:lang w:eastAsia="en-ZA"/>
        </w:rPr>
        <w:t xml:space="preserve">As was said in para 28 of </w:t>
      </w:r>
      <w:r w:rsidRPr="003743A2">
        <w:rPr>
          <w:rFonts w:ascii="Arial" w:eastAsia="Times New Roman" w:hAnsi="Arial" w:cs="Arial"/>
          <w:i/>
          <w:color w:val="242121"/>
          <w:sz w:val="24"/>
          <w:szCs w:val="24"/>
          <w:lang w:eastAsia="en-ZA"/>
        </w:rPr>
        <w:t>Tweya:</w:t>
      </w:r>
    </w:p>
    <w:p w:rsidR="003959CE" w:rsidRPr="0069254F" w:rsidRDefault="00FC6B03" w:rsidP="005943DF">
      <w:pPr>
        <w:shd w:val="clear" w:color="auto" w:fill="FFFFFF"/>
        <w:spacing w:before="144" w:line="360" w:lineRule="auto"/>
        <w:ind w:left="1440" w:hanging="720"/>
        <w:jc w:val="both"/>
        <w:rPr>
          <w:rFonts w:ascii="Arial" w:eastAsia="Times New Roman" w:hAnsi="Arial" w:cs="Arial"/>
          <w:color w:val="242121"/>
          <w:lang w:val="en-ZA" w:eastAsia="en-ZA"/>
        </w:rPr>
      </w:pPr>
      <w:r w:rsidRPr="0069254F">
        <w:rPr>
          <w:rFonts w:ascii="Arial" w:eastAsia="Times New Roman" w:hAnsi="Arial" w:cs="Arial"/>
          <w:color w:val="242121"/>
          <w:lang w:eastAsia="en-ZA"/>
        </w:rPr>
        <w:t>‘</w:t>
      </w:r>
      <w:r w:rsidR="003959CE" w:rsidRPr="0069254F">
        <w:rPr>
          <w:rFonts w:ascii="Arial" w:eastAsia="Times New Roman" w:hAnsi="Arial" w:cs="Arial"/>
          <w:color w:val="242121"/>
          <w:lang w:eastAsia="en-ZA"/>
        </w:rPr>
        <w:t>[28]</w:t>
      </w:r>
      <w:r w:rsidR="003959CE" w:rsidRPr="0069254F">
        <w:rPr>
          <w:rFonts w:ascii="Arial" w:eastAsia="Times New Roman" w:hAnsi="Arial" w:cs="Arial"/>
          <w:color w:val="242121"/>
          <w:lang w:eastAsia="en-ZA"/>
        </w:rPr>
        <w:tab/>
        <w:t>This passage was again drawn to the attention of practitioners by Damaseb DCJ in </w:t>
      </w:r>
      <w:r w:rsidR="003959CE" w:rsidRPr="0069254F">
        <w:rPr>
          <w:rFonts w:ascii="Arial" w:eastAsia="Times New Roman" w:hAnsi="Arial" w:cs="Arial"/>
          <w:i/>
          <w:iCs/>
          <w:color w:val="242121"/>
          <w:lang w:eastAsia="en-ZA"/>
        </w:rPr>
        <w:t>Katjaimo</w:t>
      </w:r>
      <w:r w:rsidR="003959CE" w:rsidRPr="0069254F">
        <w:rPr>
          <w:rFonts w:ascii="Arial" w:eastAsia="Times New Roman" w:hAnsi="Arial" w:cs="Arial"/>
          <w:color w:val="242121"/>
          <w:lang w:eastAsia="en-ZA"/>
        </w:rPr>
        <w:t>. Both of these judgments have been reported. The Deputy Chief Justice directed the following unequivocal admonition to practitioners in </w:t>
      </w:r>
      <w:r w:rsidR="003959CE" w:rsidRPr="0069254F">
        <w:rPr>
          <w:rFonts w:ascii="Arial" w:eastAsia="Times New Roman" w:hAnsi="Arial" w:cs="Arial"/>
          <w:i/>
          <w:iCs/>
          <w:color w:val="242121"/>
          <w:lang w:eastAsia="en-ZA"/>
        </w:rPr>
        <w:t>Katjaimo</w:t>
      </w:r>
      <w:r w:rsidR="003959CE" w:rsidRPr="0069254F">
        <w:rPr>
          <w:rFonts w:ascii="Arial" w:eastAsia="Times New Roman" w:hAnsi="Arial" w:cs="Arial"/>
          <w:color w:val="242121"/>
          <w:lang w:eastAsia="en-ZA"/>
        </w:rPr>
        <w:t>:</w:t>
      </w:r>
    </w:p>
    <w:p w:rsidR="003959CE" w:rsidRPr="0069254F" w:rsidRDefault="003959CE" w:rsidP="003959CE">
      <w:pPr>
        <w:shd w:val="clear" w:color="auto" w:fill="FFFFFF"/>
        <w:spacing w:before="144" w:line="360" w:lineRule="auto"/>
        <w:ind w:left="1440" w:hanging="720"/>
        <w:jc w:val="both"/>
        <w:rPr>
          <w:rFonts w:ascii="Arial" w:eastAsia="Times New Roman" w:hAnsi="Arial" w:cs="Arial"/>
          <w:color w:val="242121"/>
          <w:lang w:val="en-ZA" w:eastAsia="en-ZA"/>
        </w:rPr>
      </w:pPr>
    </w:p>
    <w:p w:rsidR="003959CE" w:rsidRDefault="00FC6B03" w:rsidP="005943DF">
      <w:pPr>
        <w:shd w:val="clear" w:color="auto" w:fill="FFFFFF"/>
        <w:spacing w:before="144" w:line="360" w:lineRule="auto"/>
        <w:ind w:left="2160" w:hanging="720"/>
        <w:jc w:val="both"/>
        <w:rPr>
          <w:rFonts w:ascii="Arial" w:eastAsia="Times New Roman" w:hAnsi="Arial" w:cs="Arial"/>
          <w:color w:val="242121"/>
          <w:lang w:eastAsia="en-ZA"/>
        </w:rPr>
      </w:pPr>
      <w:r w:rsidRPr="0069254F">
        <w:rPr>
          <w:rFonts w:ascii="Arial" w:eastAsia="Times New Roman" w:hAnsi="Arial" w:cs="Arial"/>
          <w:color w:val="242121"/>
          <w:lang w:val="en-ZA" w:eastAsia="en-ZA"/>
        </w:rPr>
        <w:t>“</w:t>
      </w:r>
      <w:r w:rsidR="003959CE" w:rsidRPr="0069254F">
        <w:rPr>
          <w:rFonts w:ascii="Arial" w:eastAsia="Times New Roman" w:hAnsi="Arial" w:cs="Arial"/>
          <w:color w:val="242121"/>
          <w:lang w:eastAsia="en-ZA"/>
        </w:rPr>
        <w:t>[34]</w:t>
      </w:r>
      <w:r w:rsidR="003959CE" w:rsidRPr="0069254F">
        <w:rPr>
          <w:rFonts w:ascii="Arial" w:eastAsia="Times New Roman" w:hAnsi="Arial" w:cs="Arial"/>
          <w:color w:val="242121"/>
          <w:lang w:eastAsia="en-ZA"/>
        </w:rPr>
        <w:tab/>
        <w:t>Sufficient warning has been given by this court that the non-compliance with its rules is hampering the work of the court. The rules of this court, regrettably, are often more honoured in the breach than in the observance. That is intolerable. The excuse that a practitioner did not understand the rules can no longer be allowed to pass without greater scrutiny. The time is fast approaching when this court will shut the door to a litigant for the unreasonable non-observance of the rules by his or her legal practitioner. After all, such a litigant may not be without recourse as he or she would in appropriate instances be able to institute a damages claim against the errant legal practitioner for their negligence under the Acquilian action. I wish to repeat what was said by O'Regan AJA in </w:t>
      </w:r>
      <w:r w:rsidR="003959CE" w:rsidRPr="0069254F">
        <w:rPr>
          <w:rFonts w:ascii="Arial" w:eastAsia="Times New Roman" w:hAnsi="Arial" w:cs="Arial"/>
          <w:i/>
          <w:iCs/>
          <w:color w:val="242121"/>
          <w:lang w:eastAsia="en-ZA"/>
        </w:rPr>
        <w:t>Arangies</w:t>
      </w:r>
      <w:r w:rsidR="003959CE" w:rsidRPr="0069254F">
        <w:rPr>
          <w:rFonts w:ascii="Arial" w:eastAsia="Times New Roman" w:hAnsi="Arial" w:cs="Arial"/>
          <w:color w:val="242121"/>
          <w:lang w:eastAsia="en-ZA"/>
        </w:rPr>
        <w:t>:</w:t>
      </w:r>
    </w:p>
    <w:p w:rsidR="0069254F" w:rsidRPr="0069254F" w:rsidRDefault="0069254F" w:rsidP="005943DF">
      <w:pPr>
        <w:shd w:val="clear" w:color="auto" w:fill="FFFFFF"/>
        <w:spacing w:before="144" w:line="360" w:lineRule="auto"/>
        <w:ind w:left="2160" w:hanging="720"/>
        <w:jc w:val="both"/>
        <w:rPr>
          <w:rFonts w:ascii="Arial" w:eastAsia="Times New Roman" w:hAnsi="Arial" w:cs="Arial"/>
          <w:color w:val="242121"/>
          <w:lang w:val="en-ZA" w:eastAsia="en-ZA"/>
        </w:rPr>
      </w:pPr>
    </w:p>
    <w:p w:rsidR="003959CE" w:rsidRPr="0069254F" w:rsidRDefault="003959CE" w:rsidP="0069254F">
      <w:pPr>
        <w:shd w:val="clear" w:color="auto" w:fill="FFFFFF"/>
        <w:spacing w:before="144" w:line="360" w:lineRule="auto"/>
        <w:ind w:left="2880"/>
        <w:jc w:val="both"/>
        <w:rPr>
          <w:rFonts w:ascii="Arial" w:eastAsia="Times New Roman" w:hAnsi="Arial" w:cs="Arial"/>
          <w:color w:val="242121"/>
          <w:lang w:val="en-ZA" w:eastAsia="en-ZA"/>
        </w:rPr>
      </w:pPr>
      <w:r w:rsidRPr="0069254F">
        <w:rPr>
          <w:rFonts w:ascii="Arial" w:eastAsia="Times New Roman" w:hAnsi="Arial" w:cs="Arial"/>
          <w:color w:val="242121"/>
          <w:lang w:val="en-ZA" w:eastAsia="en-ZA"/>
        </w:rPr>
        <w:t>“</w:t>
      </w:r>
      <w:r w:rsidRPr="0069254F">
        <w:rPr>
          <w:rFonts w:ascii="Arial" w:eastAsia="Times New Roman" w:hAnsi="Arial" w:cs="Arial"/>
          <w:color w:val="242121"/>
          <w:lang w:eastAsia="en-ZA"/>
        </w:rPr>
        <w:t>There are times . . . where this court . . . will not consider the prospects of success in determining the application [for condonation] because the non-compliance with the rules has been glaring, flagrant and inexplicable.”</w:t>
      </w:r>
    </w:p>
    <w:p w:rsidR="003959CE" w:rsidRPr="0069254F" w:rsidRDefault="003959CE" w:rsidP="003959CE">
      <w:pPr>
        <w:shd w:val="clear" w:color="auto" w:fill="FFFFFF"/>
        <w:spacing w:before="144" w:line="360" w:lineRule="auto"/>
        <w:ind w:left="0"/>
        <w:jc w:val="both"/>
        <w:rPr>
          <w:rFonts w:ascii="Arial" w:eastAsia="Times New Roman" w:hAnsi="Arial" w:cs="Arial"/>
          <w:color w:val="242121"/>
          <w:lang w:val="en-ZA" w:eastAsia="en-ZA"/>
        </w:rPr>
      </w:pPr>
    </w:p>
    <w:p w:rsidR="003959CE" w:rsidRPr="0069254F" w:rsidRDefault="003959CE" w:rsidP="005943DF">
      <w:pPr>
        <w:shd w:val="clear" w:color="auto" w:fill="FFFFFF"/>
        <w:spacing w:before="144" w:line="360" w:lineRule="auto"/>
        <w:ind w:left="2160" w:hanging="720"/>
        <w:jc w:val="both"/>
        <w:rPr>
          <w:rFonts w:ascii="Arial" w:eastAsia="Times New Roman" w:hAnsi="Arial" w:cs="Arial"/>
          <w:color w:val="242121"/>
          <w:lang w:val="en-ZA" w:eastAsia="en-ZA"/>
        </w:rPr>
      </w:pPr>
      <w:r w:rsidRPr="0069254F">
        <w:rPr>
          <w:rFonts w:ascii="Arial" w:eastAsia="Times New Roman" w:hAnsi="Arial" w:cs="Arial"/>
          <w:color w:val="242121"/>
          <w:lang w:eastAsia="en-ZA"/>
        </w:rPr>
        <w:t>[35]</w:t>
      </w:r>
      <w:r w:rsidRPr="0069254F">
        <w:rPr>
          <w:rFonts w:ascii="Arial" w:eastAsia="Times New Roman" w:hAnsi="Arial" w:cs="Arial"/>
          <w:color w:val="242121"/>
          <w:lang w:eastAsia="en-ZA"/>
        </w:rPr>
        <w:tab/>
        <w:t>We hope that the cautionary observations made in this judgment will be taken seriously by all legal practitioners who practise in the Supreme Court. A legal practitioner has a duty to read the decided cases that emanate from the courts (both reported and unreported) and not simply grope around in the dark as seems to have become the norm for some legal practitioners, if judged by the explanations offered under oath in support of the condonation applications that come before the court.’</w:t>
      </w:r>
      <w:r w:rsidR="003743A2" w:rsidRPr="0069254F">
        <w:rPr>
          <w:rFonts w:ascii="Arial" w:eastAsia="Times New Roman" w:hAnsi="Arial" w:cs="Arial"/>
          <w:color w:val="242121"/>
          <w:lang w:val="en-ZA" w:eastAsia="en-ZA"/>
        </w:rPr>
        <w:t xml:space="preserve"> </w:t>
      </w:r>
    </w:p>
    <w:p w:rsidR="00860DC9" w:rsidRDefault="00860DC9" w:rsidP="005C718F">
      <w:pPr>
        <w:pStyle w:val="ListParagraph"/>
        <w:ind w:left="0"/>
        <w:jc w:val="both"/>
        <w:rPr>
          <w:rFonts w:ascii="Arial" w:hAnsi="Arial" w:cs="Arial"/>
          <w:sz w:val="24"/>
          <w:szCs w:val="24"/>
          <w:u w:val="single"/>
        </w:rPr>
      </w:pPr>
    </w:p>
    <w:p w:rsidR="005C718F" w:rsidRPr="005C718F" w:rsidRDefault="005C718F" w:rsidP="005C718F">
      <w:pPr>
        <w:pStyle w:val="ListParagraph"/>
        <w:ind w:left="0"/>
        <w:jc w:val="both"/>
        <w:rPr>
          <w:rFonts w:ascii="Arial" w:hAnsi="Arial" w:cs="Arial"/>
          <w:sz w:val="24"/>
          <w:szCs w:val="24"/>
          <w:u w:val="single"/>
        </w:rPr>
      </w:pPr>
      <w:r>
        <w:rPr>
          <w:rFonts w:ascii="Arial" w:hAnsi="Arial" w:cs="Arial"/>
          <w:sz w:val="24"/>
          <w:szCs w:val="24"/>
          <w:u w:val="single"/>
        </w:rPr>
        <w:t xml:space="preserve">Application </w:t>
      </w:r>
      <w:r w:rsidR="00860DC9">
        <w:rPr>
          <w:rFonts w:ascii="Arial" w:hAnsi="Arial" w:cs="Arial"/>
          <w:sz w:val="24"/>
          <w:szCs w:val="24"/>
          <w:u w:val="single"/>
        </w:rPr>
        <w:t>of</w:t>
      </w:r>
      <w:r>
        <w:rPr>
          <w:rFonts w:ascii="Arial" w:hAnsi="Arial" w:cs="Arial"/>
          <w:sz w:val="24"/>
          <w:szCs w:val="24"/>
          <w:u w:val="single"/>
        </w:rPr>
        <w:t xml:space="preserve"> these principles to the facts</w:t>
      </w:r>
    </w:p>
    <w:p w:rsidR="005943DF" w:rsidRDefault="005C718F"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defective record initially lodged was some 6 weeks late. A very detailed </w:t>
      </w:r>
      <w:r w:rsidR="00FC6B03">
        <w:rPr>
          <w:rFonts w:ascii="Arial" w:hAnsi="Arial" w:cs="Arial"/>
          <w:sz w:val="24"/>
          <w:szCs w:val="24"/>
        </w:rPr>
        <w:t xml:space="preserve">and candid </w:t>
      </w:r>
      <w:r>
        <w:rPr>
          <w:rFonts w:ascii="Arial" w:hAnsi="Arial" w:cs="Arial"/>
          <w:sz w:val="24"/>
          <w:szCs w:val="24"/>
        </w:rPr>
        <w:t>explanation was provided for the erroneous advice given as to when it was to be filed. A further explanation is provided for the failure to have rectified that incorrect</w:t>
      </w:r>
      <w:r w:rsidR="005943DF">
        <w:rPr>
          <w:rFonts w:ascii="Arial" w:hAnsi="Arial" w:cs="Arial"/>
          <w:sz w:val="24"/>
          <w:szCs w:val="24"/>
        </w:rPr>
        <w:t xml:space="preserve"> advice. The memorandum correcting </w:t>
      </w:r>
      <w:r>
        <w:rPr>
          <w:rFonts w:ascii="Arial" w:hAnsi="Arial" w:cs="Arial"/>
          <w:sz w:val="24"/>
          <w:szCs w:val="24"/>
        </w:rPr>
        <w:t xml:space="preserve">the wrong advice was unfortunately not </w:t>
      </w:r>
      <w:r w:rsidR="003743A2">
        <w:rPr>
          <w:rFonts w:ascii="Arial" w:hAnsi="Arial" w:cs="Arial"/>
          <w:sz w:val="24"/>
          <w:szCs w:val="24"/>
        </w:rPr>
        <w:t>sent</w:t>
      </w:r>
      <w:r>
        <w:rPr>
          <w:rFonts w:ascii="Arial" w:hAnsi="Arial" w:cs="Arial"/>
          <w:sz w:val="24"/>
          <w:szCs w:val="24"/>
        </w:rPr>
        <w:t xml:space="preserve"> to the instructing legal practitioner responsible</w:t>
      </w:r>
      <w:r w:rsidR="005943DF">
        <w:rPr>
          <w:rFonts w:ascii="Arial" w:hAnsi="Arial" w:cs="Arial"/>
          <w:sz w:val="24"/>
          <w:szCs w:val="24"/>
        </w:rPr>
        <w:t xml:space="preserve"> for the lodging of the record.</w:t>
      </w:r>
    </w:p>
    <w:p w:rsidR="005943DF" w:rsidRDefault="005943DF" w:rsidP="005943DF">
      <w:pPr>
        <w:pStyle w:val="ListParagraph"/>
        <w:ind w:left="0"/>
        <w:jc w:val="both"/>
        <w:rPr>
          <w:rFonts w:ascii="Arial" w:hAnsi="Arial" w:cs="Arial"/>
          <w:sz w:val="24"/>
          <w:szCs w:val="24"/>
        </w:rPr>
      </w:pPr>
    </w:p>
    <w:p w:rsidR="007642FD" w:rsidRDefault="005C718F"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Although the explanation for the errors and lapses i</w:t>
      </w:r>
      <w:r w:rsidR="005943DF">
        <w:rPr>
          <w:rFonts w:ascii="Arial" w:hAnsi="Arial" w:cs="Arial"/>
          <w:sz w:val="24"/>
          <w:szCs w:val="24"/>
        </w:rPr>
        <w:t>s</w:t>
      </w:r>
      <w:r>
        <w:rPr>
          <w:rFonts w:ascii="Arial" w:hAnsi="Arial" w:cs="Arial"/>
          <w:sz w:val="24"/>
          <w:szCs w:val="24"/>
        </w:rPr>
        <w:t xml:space="preserve"> full and detailed, it is however clear that there was some negligence. </w:t>
      </w:r>
      <w:r w:rsidR="005943DF">
        <w:rPr>
          <w:rFonts w:ascii="Arial" w:hAnsi="Arial" w:cs="Arial"/>
          <w:sz w:val="24"/>
          <w:szCs w:val="24"/>
        </w:rPr>
        <w:t>But</w:t>
      </w:r>
      <w:r>
        <w:rPr>
          <w:rFonts w:ascii="Arial" w:hAnsi="Arial" w:cs="Arial"/>
          <w:sz w:val="24"/>
          <w:szCs w:val="24"/>
        </w:rPr>
        <w:t xml:space="preserve"> unlike so many of</w:t>
      </w:r>
      <w:r w:rsidR="005943DF">
        <w:rPr>
          <w:rFonts w:ascii="Arial" w:hAnsi="Arial" w:cs="Arial"/>
          <w:sz w:val="24"/>
          <w:szCs w:val="24"/>
        </w:rPr>
        <w:t xml:space="preserve"> the</w:t>
      </w:r>
      <w:r>
        <w:rPr>
          <w:rFonts w:ascii="Arial" w:hAnsi="Arial" w:cs="Arial"/>
          <w:sz w:val="24"/>
          <w:szCs w:val="24"/>
        </w:rPr>
        <w:t xml:space="preserve"> instances o</w:t>
      </w:r>
      <w:r w:rsidR="005943DF">
        <w:rPr>
          <w:rFonts w:ascii="Arial" w:hAnsi="Arial" w:cs="Arial"/>
          <w:sz w:val="24"/>
          <w:szCs w:val="24"/>
        </w:rPr>
        <w:t>f</w:t>
      </w:r>
      <w:r>
        <w:rPr>
          <w:rFonts w:ascii="Arial" w:hAnsi="Arial" w:cs="Arial"/>
          <w:sz w:val="24"/>
          <w:szCs w:val="24"/>
        </w:rPr>
        <w:t xml:space="preserve"> non-compliance with the rules </w:t>
      </w:r>
      <w:r w:rsidR="005943DF">
        <w:rPr>
          <w:rFonts w:ascii="Arial" w:hAnsi="Arial" w:cs="Arial"/>
          <w:sz w:val="24"/>
          <w:szCs w:val="24"/>
        </w:rPr>
        <w:t>encountered in this court</w:t>
      </w:r>
      <w:r w:rsidR="00FC6B03">
        <w:rPr>
          <w:rFonts w:ascii="Arial" w:hAnsi="Arial" w:cs="Arial"/>
          <w:sz w:val="24"/>
          <w:szCs w:val="24"/>
        </w:rPr>
        <w:t>,</w:t>
      </w:r>
      <w:r w:rsidR="005943DF">
        <w:rPr>
          <w:rFonts w:ascii="Arial" w:hAnsi="Arial" w:cs="Arial"/>
          <w:sz w:val="24"/>
          <w:szCs w:val="24"/>
        </w:rPr>
        <w:t xml:space="preserve"> </w:t>
      </w:r>
      <w:r>
        <w:rPr>
          <w:rFonts w:ascii="Arial" w:hAnsi="Arial" w:cs="Arial"/>
          <w:sz w:val="24"/>
          <w:szCs w:val="24"/>
        </w:rPr>
        <w:t>the practitioners involved had not simply sat back</w:t>
      </w:r>
      <w:r w:rsidR="00FC6B03">
        <w:rPr>
          <w:rFonts w:ascii="Arial" w:hAnsi="Arial" w:cs="Arial"/>
          <w:sz w:val="24"/>
          <w:szCs w:val="24"/>
        </w:rPr>
        <w:t>, lacking any</w:t>
      </w:r>
      <w:r w:rsidR="005943DF">
        <w:rPr>
          <w:rFonts w:ascii="Arial" w:hAnsi="Arial" w:cs="Arial"/>
          <w:sz w:val="24"/>
          <w:szCs w:val="24"/>
        </w:rPr>
        <w:t xml:space="preserve"> alacrity</w:t>
      </w:r>
      <w:r>
        <w:rPr>
          <w:rFonts w:ascii="Arial" w:hAnsi="Arial" w:cs="Arial"/>
          <w:sz w:val="24"/>
          <w:szCs w:val="24"/>
        </w:rPr>
        <w:t xml:space="preserve">. There had been wrong advice given on the calculation of the relevant period (within which the record was to be lodged). Had the initial lateness been the only instance of non-compliance, the inadequacy of the explanation could well </w:t>
      </w:r>
      <w:r w:rsidR="00FC6B03">
        <w:rPr>
          <w:rFonts w:ascii="Arial" w:hAnsi="Arial" w:cs="Arial"/>
          <w:sz w:val="24"/>
          <w:szCs w:val="24"/>
        </w:rPr>
        <w:t xml:space="preserve">have </w:t>
      </w:r>
      <w:r>
        <w:rPr>
          <w:rFonts w:ascii="Arial" w:hAnsi="Arial" w:cs="Arial"/>
          <w:sz w:val="24"/>
          <w:szCs w:val="24"/>
        </w:rPr>
        <w:t>be</w:t>
      </w:r>
      <w:r w:rsidR="00FC6B03">
        <w:rPr>
          <w:rFonts w:ascii="Arial" w:hAnsi="Arial" w:cs="Arial"/>
          <w:sz w:val="24"/>
          <w:szCs w:val="24"/>
        </w:rPr>
        <w:t>en</w:t>
      </w:r>
      <w:r>
        <w:rPr>
          <w:rFonts w:ascii="Arial" w:hAnsi="Arial" w:cs="Arial"/>
          <w:sz w:val="24"/>
          <w:szCs w:val="24"/>
        </w:rPr>
        <w:t xml:space="preserve"> saved by strong prospects of success in the appeal.</w:t>
      </w:r>
    </w:p>
    <w:p w:rsidR="007642FD" w:rsidRPr="007642FD" w:rsidRDefault="007642FD" w:rsidP="007642FD">
      <w:pPr>
        <w:pStyle w:val="ListParagraph"/>
        <w:rPr>
          <w:rFonts w:ascii="Arial" w:hAnsi="Arial" w:cs="Arial"/>
          <w:sz w:val="24"/>
          <w:szCs w:val="24"/>
        </w:rPr>
      </w:pPr>
    </w:p>
    <w:p w:rsidR="007642FD" w:rsidRPr="00B342CC" w:rsidRDefault="003767B2" w:rsidP="00B342CC">
      <w:pPr>
        <w:pStyle w:val="ListParagraph"/>
        <w:numPr>
          <w:ilvl w:val="0"/>
          <w:numId w:val="18"/>
        </w:numPr>
        <w:ind w:left="0" w:firstLine="0"/>
        <w:jc w:val="both"/>
        <w:rPr>
          <w:rFonts w:ascii="Arial" w:hAnsi="Arial" w:cs="Arial"/>
          <w:sz w:val="24"/>
          <w:szCs w:val="24"/>
        </w:rPr>
      </w:pPr>
      <w:r>
        <w:rPr>
          <w:rFonts w:ascii="Arial" w:hAnsi="Arial" w:cs="Arial"/>
          <w:sz w:val="24"/>
          <w:szCs w:val="24"/>
        </w:rPr>
        <w:t>But as is already stated, this was not the extent of the non-compliance with rule 5. The record itself was hopelessly deficient and excluded the evidence given by the defendants (the Snymans) after absolution had been refused</w:t>
      </w:r>
      <w:r w:rsidR="005943DF">
        <w:rPr>
          <w:rFonts w:ascii="Arial" w:hAnsi="Arial" w:cs="Arial"/>
          <w:sz w:val="24"/>
          <w:szCs w:val="24"/>
        </w:rPr>
        <w:t xml:space="preserve"> – a very material omission</w:t>
      </w:r>
      <w:r>
        <w:rPr>
          <w:rFonts w:ascii="Arial" w:hAnsi="Arial" w:cs="Arial"/>
          <w:sz w:val="24"/>
          <w:szCs w:val="24"/>
        </w:rPr>
        <w:t xml:space="preserve">. </w:t>
      </w:r>
      <w:r w:rsidR="00860DC9">
        <w:rPr>
          <w:rFonts w:ascii="Arial" w:hAnsi="Arial" w:cs="Arial"/>
          <w:sz w:val="24"/>
          <w:szCs w:val="24"/>
        </w:rPr>
        <w:t>T</w:t>
      </w:r>
      <w:r>
        <w:rPr>
          <w:rFonts w:ascii="Arial" w:hAnsi="Arial" w:cs="Arial"/>
          <w:sz w:val="24"/>
          <w:szCs w:val="24"/>
        </w:rPr>
        <w:t xml:space="preserve">hat is </w:t>
      </w:r>
      <w:r w:rsidR="00860DC9">
        <w:rPr>
          <w:rFonts w:ascii="Arial" w:hAnsi="Arial" w:cs="Arial"/>
          <w:sz w:val="24"/>
          <w:szCs w:val="24"/>
        </w:rPr>
        <w:t xml:space="preserve">however </w:t>
      </w:r>
      <w:r>
        <w:rPr>
          <w:rFonts w:ascii="Arial" w:hAnsi="Arial" w:cs="Arial"/>
          <w:sz w:val="24"/>
          <w:szCs w:val="24"/>
        </w:rPr>
        <w:t xml:space="preserve">not the only defect in the original record. It did not include exhibits. The discovery bundles included </w:t>
      </w:r>
      <w:r w:rsidR="00FC6B03">
        <w:rPr>
          <w:rFonts w:ascii="Arial" w:hAnsi="Arial" w:cs="Arial"/>
          <w:sz w:val="24"/>
          <w:szCs w:val="24"/>
        </w:rPr>
        <w:t>in the initial record should</w:t>
      </w:r>
      <w:r>
        <w:rPr>
          <w:rFonts w:ascii="Arial" w:hAnsi="Arial" w:cs="Arial"/>
          <w:sz w:val="24"/>
          <w:szCs w:val="24"/>
        </w:rPr>
        <w:t xml:space="preserve"> not</w:t>
      </w:r>
      <w:r w:rsidR="005943DF">
        <w:rPr>
          <w:rFonts w:ascii="Arial" w:hAnsi="Arial" w:cs="Arial"/>
          <w:sz w:val="24"/>
          <w:szCs w:val="24"/>
        </w:rPr>
        <w:t xml:space="preserve"> </w:t>
      </w:r>
      <w:r w:rsidR="00FC6B03">
        <w:rPr>
          <w:rFonts w:ascii="Arial" w:hAnsi="Arial" w:cs="Arial"/>
          <w:sz w:val="24"/>
          <w:szCs w:val="24"/>
        </w:rPr>
        <w:t>have been there</w:t>
      </w:r>
      <w:r>
        <w:rPr>
          <w:rFonts w:ascii="Arial" w:hAnsi="Arial" w:cs="Arial"/>
          <w:sz w:val="24"/>
          <w:szCs w:val="24"/>
        </w:rPr>
        <w:t>. They were erroneously inserted as part of the pre-trial process.</w:t>
      </w:r>
      <w:r w:rsidR="003743A2">
        <w:rPr>
          <w:rFonts w:ascii="Arial" w:hAnsi="Arial" w:cs="Arial"/>
          <w:sz w:val="24"/>
          <w:szCs w:val="24"/>
        </w:rPr>
        <w:t xml:space="preserve"> The fact that these bundles included the exhibits does not avail the appellants. The exhibits should be properly identified </w:t>
      </w:r>
      <w:r w:rsidR="00D83FBA">
        <w:rPr>
          <w:rFonts w:ascii="Arial" w:hAnsi="Arial" w:cs="Arial"/>
          <w:sz w:val="24"/>
          <w:szCs w:val="24"/>
        </w:rPr>
        <w:t xml:space="preserve">and </w:t>
      </w:r>
      <w:r w:rsidR="003743A2">
        <w:rPr>
          <w:rFonts w:ascii="Arial" w:hAnsi="Arial" w:cs="Arial"/>
          <w:sz w:val="24"/>
          <w:szCs w:val="24"/>
        </w:rPr>
        <w:t>included as exhibits and discovery bundles should be omitted as they do not form part of the record.</w:t>
      </w:r>
      <w:r>
        <w:rPr>
          <w:rFonts w:ascii="Arial" w:hAnsi="Arial" w:cs="Arial"/>
          <w:sz w:val="24"/>
          <w:szCs w:val="24"/>
        </w:rPr>
        <w:t xml:space="preserve"> </w:t>
      </w:r>
      <w:r w:rsidR="005943DF">
        <w:rPr>
          <w:rFonts w:ascii="Arial" w:hAnsi="Arial" w:cs="Arial"/>
          <w:sz w:val="24"/>
          <w:szCs w:val="24"/>
        </w:rPr>
        <w:t>The initial record</w:t>
      </w:r>
      <w:r>
        <w:rPr>
          <w:rFonts w:ascii="Arial" w:hAnsi="Arial" w:cs="Arial"/>
          <w:sz w:val="24"/>
          <w:szCs w:val="24"/>
        </w:rPr>
        <w:t xml:space="preserve"> also wrongly included transcribed oral argument. It ended with not one but two judgments. The first was in respect of absolution from the instance</w:t>
      </w:r>
      <w:r w:rsidR="005943DF">
        <w:rPr>
          <w:rFonts w:ascii="Arial" w:hAnsi="Arial" w:cs="Arial"/>
          <w:sz w:val="24"/>
          <w:szCs w:val="24"/>
        </w:rPr>
        <w:t>. It was</w:t>
      </w:r>
      <w:r>
        <w:rPr>
          <w:rFonts w:ascii="Arial" w:hAnsi="Arial" w:cs="Arial"/>
          <w:sz w:val="24"/>
          <w:szCs w:val="24"/>
        </w:rPr>
        <w:t xml:space="preserve"> immediately followed by subsequent court order</w:t>
      </w:r>
      <w:r w:rsidR="00FC6B03">
        <w:rPr>
          <w:rFonts w:ascii="Arial" w:hAnsi="Arial" w:cs="Arial"/>
          <w:sz w:val="24"/>
          <w:szCs w:val="24"/>
        </w:rPr>
        <w:t>s</w:t>
      </w:r>
      <w:r>
        <w:rPr>
          <w:rFonts w:ascii="Arial" w:hAnsi="Arial" w:cs="Arial"/>
          <w:sz w:val="24"/>
          <w:szCs w:val="24"/>
        </w:rPr>
        <w:t xml:space="preserve"> in case management</w:t>
      </w:r>
      <w:r w:rsidR="00FC6B03">
        <w:rPr>
          <w:rFonts w:ascii="Arial" w:hAnsi="Arial" w:cs="Arial"/>
          <w:sz w:val="24"/>
          <w:szCs w:val="24"/>
        </w:rPr>
        <w:t>,</w:t>
      </w:r>
      <w:r>
        <w:rPr>
          <w:rFonts w:ascii="Arial" w:hAnsi="Arial" w:cs="Arial"/>
          <w:sz w:val="24"/>
          <w:szCs w:val="24"/>
        </w:rPr>
        <w:t xml:space="preserve"> postponing the matter to 15 April 2014 and then another postponing i</w:t>
      </w:r>
      <w:r w:rsidR="00860DC9">
        <w:rPr>
          <w:rFonts w:ascii="Arial" w:hAnsi="Arial" w:cs="Arial"/>
          <w:sz w:val="24"/>
          <w:szCs w:val="24"/>
        </w:rPr>
        <w:t>t</w:t>
      </w:r>
      <w:r>
        <w:rPr>
          <w:rFonts w:ascii="Arial" w:hAnsi="Arial" w:cs="Arial"/>
          <w:sz w:val="24"/>
          <w:szCs w:val="24"/>
        </w:rPr>
        <w:t xml:space="preserve"> to 3 June 2014 to see if another judge would be allocated</w:t>
      </w:r>
      <w:r w:rsidR="00860DC9">
        <w:rPr>
          <w:rFonts w:ascii="Arial" w:hAnsi="Arial" w:cs="Arial"/>
          <w:sz w:val="24"/>
          <w:szCs w:val="24"/>
        </w:rPr>
        <w:t>. T</w:t>
      </w:r>
      <w:r>
        <w:rPr>
          <w:rFonts w:ascii="Arial" w:hAnsi="Arial" w:cs="Arial"/>
          <w:sz w:val="24"/>
          <w:szCs w:val="24"/>
        </w:rPr>
        <w:t xml:space="preserve">hen </w:t>
      </w:r>
      <w:r w:rsidR="00860DC9">
        <w:rPr>
          <w:rFonts w:ascii="Arial" w:hAnsi="Arial" w:cs="Arial"/>
          <w:sz w:val="24"/>
          <w:szCs w:val="24"/>
        </w:rPr>
        <w:t xml:space="preserve">there was </w:t>
      </w:r>
      <w:r w:rsidR="00FC6B03">
        <w:rPr>
          <w:rFonts w:ascii="Arial" w:hAnsi="Arial" w:cs="Arial"/>
          <w:sz w:val="24"/>
          <w:szCs w:val="24"/>
        </w:rPr>
        <w:t xml:space="preserve">yet </w:t>
      </w:r>
      <w:r>
        <w:rPr>
          <w:rFonts w:ascii="Arial" w:hAnsi="Arial" w:cs="Arial"/>
          <w:sz w:val="24"/>
          <w:szCs w:val="24"/>
        </w:rPr>
        <w:t xml:space="preserve">another </w:t>
      </w:r>
      <w:r w:rsidR="005943DF">
        <w:rPr>
          <w:rFonts w:ascii="Arial" w:hAnsi="Arial" w:cs="Arial"/>
          <w:sz w:val="24"/>
          <w:szCs w:val="24"/>
        </w:rPr>
        <w:t xml:space="preserve">order </w:t>
      </w:r>
      <w:r>
        <w:rPr>
          <w:rFonts w:ascii="Arial" w:hAnsi="Arial" w:cs="Arial"/>
          <w:sz w:val="24"/>
          <w:szCs w:val="24"/>
        </w:rPr>
        <w:t>postponing the matter for hearing on the fixed roll to 8 – 12 September 2014.</w:t>
      </w:r>
      <w:r w:rsidR="00B342CC">
        <w:rPr>
          <w:rFonts w:ascii="Arial" w:hAnsi="Arial" w:cs="Arial"/>
          <w:sz w:val="24"/>
          <w:szCs w:val="24"/>
        </w:rPr>
        <w:t xml:space="preserve"> </w:t>
      </w:r>
      <w:r w:rsidR="008879B0" w:rsidRPr="00B342CC">
        <w:rPr>
          <w:rFonts w:ascii="Arial" w:hAnsi="Arial" w:cs="Arial"/>
          <w:sz w:val="24"/>
          <w:szCs w:val="24"/>
        </w:rPr>
        <w:t>There then follows the judgment of the court of 6 February</w:t>
      </w:r>
      <w:r w:rsidR="005943DF">
        <w:rPr>
          <w:rFonts w:ascii="Arial" w:hAnsi="Arial" w:cs="Arial"/>
          <w:sz w:val="24"/>
          <w:szCs w:val="24"/>
        </w:rPr>
        <w:t xml:space="preserve"> 2016</w:t>
      </w:r>
      <w:r w:rsidR="00FC6B03">
        <w:rPr>
          <w:rFonts w:ascii="Arial" w:hAnsi="Arial" w:cs="Arial"/>
          <w:sz w:val="24"/>
          <w:szCs w:val="24"/>
        </w:rPr>
        <w:t>. It confirmed</w:t>
      </w:r>
      <w:r w:rsidR="008879B0" w:rsidRPr="00B342CC">
        <w:rPr>
          <w:rFonts w:ascii="Arial" w:hAnsi="Arial" w:cs="Arial"/>
          <w:sz w:val="24"/>
          <w:szCs w:val="24"/>
        </w:rPr>
        <w:t xml:space="preserve"> that the </w:t>
      </w:r>
      <w:r w:rsidR="00B342CC">
        <w:rPr>
          <w:rFonts w:ascii="Arial" w:hAnsi="Arial" w:cs="Arial"/>
          <w:sz w:val="24"/>
          <w:szCs w:val="24"/>
        </w:rPr>
        <w:t>trial</w:t>
      </w:r>
      <w:r w:rsidR="008879B0" w:rsidRPr="00B342CC">
        <w:rPr>
          <w:rFonts w:ascii="Arial" w:hAnsi="Arial" w:cs="Arial"/>
          <w:sz w:val="24"/>
          <w:szCs w:val="24"/>
        </w:rPr>
        <w:t xml:space="preserve"> had proceeded on 8 until 10 September 2014</w:t>
      </w:r>
      <w:r w:rsidR="00FC6B03">
        <w:rPr>
          <w:rFonts w:ascii="Arial" w:hAnsi="Arial" w:cs="Arial"/>
          <w:sz w:val="24"/>
          <w:szCs w:val="24"/>
        </w:rPr>
        <w:t>. This was</w:t>
      </w:r>
      <w:r w:rsidR="008879B0" w:rsidRPr="00B342CC">
        <w:rPr>
          <w:rFonts w:ascii="Arial" w:hAnsi="Arial" w:cs="Arial"/>
          <w:sz w:val="24"/>
          <w:szCs w:val="24"/>
        </w:rPr>
        <w:t xml:space="preserve"> in addition to the earlier proceedings on </w:t>
      </w:r>
      <w:r w:rsidR="00C9718C">
        <w:rPr>
          <w:rFonts w:ascii="Arial" w:hAnsi="Arial" w:cs="Arial"/>
          <w:sz w:val="24"/>
          <w:szCs w:val="24"/>
        </w:rPr>
        <w:t xml:space="preserve">  </w:t>
      </w:r>
      <w:r w:rsidR="008879B0" w:rsidRPr="00B342CC">
        <w:rPr>
          <w:rFonts w:ascii="Arial" w:hAnsi="Arial" w:cs="Arial"/>
          <w:sz w:val="24"/>
          <w:szCs w:val="24"/>
        </w:rPr>
        <w:t xml:space="preserve">21 – 24 October 2008. </w:t>
      </w:r>
    </w:p>
    <w:p w:rsidR="007642FD" w:rsidRPr="007642FD" w:rsidRDefault="007642FD" w:rsidP="007642FD">
      <w:pPr>
        <w:pStyle w:val="ListParagraph"/>
        <w:rPr>
          <w:rFonts w:ascii="Arial" w:hAnsi="Arial" w:cs="Arial"/>
          <w:sz w:val="24"/>
          <w:szCs w:val="24"/>
        </w:rPr>
      </w:pPr>
    </w:p>
    <w:p w:rsidR="007642FD" w:rsidRDefault="005943DF"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judgment </w:t>
      </w:r>
      <w:r w:rsidR="00FC6B03">
        <w:rPr>
          <w:rFonts w:ascii="Arial" w:hAnsi="Arial" w:cs="Arial"/>
          <w:sz w:val="24"/>
          <w:szCs w:val="24"/>
        </w:rPr>
        <w:t>in respect of the application for</w:t>
      </w:r>
      <w:r>
        <w:rPr>
          <w:rFonts w:ascii="Arial" w:hAnsi="Arial" w:cs="Arial"/>
          <w:sz w:val="24"/>
          <w:szCs w:val="24"/>
        </w:rPr>
        <w:t xml:space="preserve"> absolution followed by</w:t>
      </w:r>
      <w:r w:rsidR="008879B0">
        <w:rPr>
          <w:rFonts w:ascii="Arial" w:hAnsi="Arial" w:cs="Arial"/>
          <w:sz w:val="24"/>
          <w:szCs w:val="24"/>
        </w:rPr>
        <w:t xml:space="preserve"> these three court orders</w:t>
      </w:r>
      <w:r>
        <w:rPr>
          <w:rFonts w:ascii="Arial" w:hAnsi="Arial" w:cs="Arial"/>
          <w:sz w:val="24"/>
          <w:szCs w:val="24"/>
        </w:rPr>
        <w:t xml:space="preserve">, </w:t>
      </w:r>
      <w:r w:rsidR="008879B0">
        <w:rPr>
          <w:rFonts w:ascii="Arial" w:hAnsi="Arial" w:cs="Arial"/>
          <w:sz w:val="24"/>
          <w:szCs w:val="24"/>
        </w:rPr>
        <w:t xml:space="preserve">then immediately followed by the judgment on the merits should </w:t>
      </w:r>
      <w:r w:rsidR="00FC6B03">
        <w:rPr>
          <w:rFonts w:ascii="Arial" w:hAnsi="Arial" w:cs="Arial"/>
          <w:sz w:val="24"/>
          <w:szCs w:val="24"/>
        </w:rPr>
        <w:t xml:space="preserve">at the very minimum </w:t>
      </w:r>
      <w:r w:rsidR="008879B0">
        <w:rPr>
          <w:rFonts w:ascii="Arial" w:hAnsi="Arial" w:cs="Arial"/>
          <w:sz w:val="24"/>
          <w:szCs w:val="24"/>
        </w:rPr>
        <w:t xml:space="preserve">have alerted that practitioner to the fact that </w:t>
      </w:r>
      <w:r>
        <w:rPr>
          <w:rFonts w:ascii="Arial" w:hAnsi="Arial" w:cs="Arial"/>
          <w:sz w:val="24"/>
          <w:szCs w:val="24"/>
        </w:rPr>
        <w:t xml:space="preserve">the </w:t>
      </w:r>
      <w:r w:rsidR="008879B0">
        <w:rPr>
          <w:rFonts w:ascii="Arial" w:hAnsi="Arial" w:cs="Arial"/>
          <w:sz w:val="24"/>
          <w:szCs w:val="24"/>
        </w:rPr>
        <w:t xml:space="preserve">evidence </w:t>
      </w:r>
      <w:r>
        <w:rPr>
          <w:rFonts w:ascii="Arial" w:hAnsi="Arial" w:cs="Arial"/>
          <w:sz w:val="24"/>
          <w:szCs w:val="24"/>
        </w:rPr>
        <w:t xml:space="preserve">had been </w:t>
      </w:r>
      <w:r w:rsidR="008879B0">
        <w:rPr>
          <w:rFonts w:ascii="Arial" w:hAnsi="Arial" w:cs="Arial"/>
          <w:sz w:val="24"/>
          <w:szCs w:val="24"/>
        </w:rPr>
        <w:t>given after absolution was missing</w:t>
      </w:r>
      <w:r w:rsidR="00FC6B03">
        <w:rPr>
          <w:rFonts w:ascii="Arial" w:hAnsi="Arial" w:cs="Arial"/>
          <w:sz w:val="24"/>
          <w:szCs w:val="24"/>
        </w:rPr>
        <w:t>. T</w:t>
      </w:r>
      <w:r w:rsidR="008879B0">
        <w:rPr>
          <w:rFonts w:ascii="Arial" w:hAnsi="Arial" w:cs="Arial"/>
          <w:sz w:val="24"/>
          <w:szCs w:val="24"/>
        </w:rPr>
        <w:t>his sequence should have caused her to enquire from those who had been in the matter as to what had transpire</w:t>
      </w:r>
      <w:r w:rsidR="00FC6B03">
        <w:rPr>
          <w:rFonts w:ascii="Arial" w:hAnsi="Arial" w:cs="Arial"/>
          <w:sz w:val="24"/>
          <w:szCs w:val="24"/>
        </w:rPr>
        <w:t>d</w:t>
      </w:r>
      <w:r w:rsidR="008879B0">
        <w:rPr>
          <w:rFonts w:ascii="Arial" w:hAnsi="Arial" w:cs="Arial"/>
          <w:sz w:val="24"/>
          <w:szCs w:val="24"/>
        </w:rPr>
        <w:t xml:space="preserve"> after the abortive absolution application </w:t>
      </w:r>
      <w:r w:rsidR="00FC6B03">
        <w:rPr>
          <w:rFonts w:ascii="Arial" w:hAnsi="Arial" w:cs="Arial"/>
          <w:sz w:val="24"/>
          <w:szCs w:val="24"/>
        </w:rPr>
        <w:t>up until</w:t>
      </w:r>
      <w:r w:rsidR="008879B0">
        <w:rPr>
          <w:rFonts w:ascii="Arial" w:hAnsi="Arial" w:cs="Arial"/>
          <w:sz w:val="24"/>
          <w:szCs w:val="24"/>
        </w:rPr>
        <w:t xml:space="preserve"> the judgment on the merits.</w:t>
      </w:r>
    </w:p>
    <w:p w:rsidR="007642FD" w:rsidRPr="007642FD" w:rsidRDefault="007642FD" w:rsidP="007642FD">
      <w:pPr>
        <w:pStyle w:val="ListParagraph"/>
        <w:rPr>
          <w:rFonts w:ascii="Arial" w:hAnsi="Arial" w:cs="Arial"/>
          <w:sz w:val="24"/>
          <w:szCs w:val="24"/>
        </w:rPr>
      </w:pPr>
    </w:p>
    <w:p w:rsidR="00FC6B03" w:rsidRDefault="005943DF"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T</w:t>
      </w:r>
      <w:r w:rsidR="008879B0">
        <w:rPr>
          <w:rFonts w:ascii="Arial" w:hAnsi="Arial" w:cs="Arial"/>
          <w:sz w:val="24"/>
          <w:szCs w:val="24"/>
        </w:rPr>
        <w:t xml:space="preserve">he duties of practitioners in putting together a record, </w:t>
      </w:r>
      <w:r w:rsidR="00B342CC">
        <w:rPr>
          <w:rFonts w:ascii="Arial" w:hAnsi="Arial" w:cs="Arial"/>
          <w:sz w:val="24"/>
          <w:szCs w:val="24"/>
        </w:rPr>
        <w:t xml:space="preserve">cogently summarised by Strydom AJA in </w:t>
      </w:r>
      <w:r w:rsidR="00B342CC">
        <w:rPr>
          <w:rFonts w:ascii="Arial" w:hAnsi="Arial" w:cs="Arial"/>
          <w:i/>
          <w:sz w:val="24"/>
          <w:szCs w:val="24"/>
        </w:rPr>
        <w:t xml:space="preserve">Channel Life </w:t>
      </w:r>
      <w:r w:rsidR="00B342CC">
        <w:rPr>
          <w:rFonts w:ascii="Arial" w:hAnsi="Arial" w:cs="Arial"/>
          <w:sz w:val="24"/>
          <w:szCs w:val="24"/>
        </w:rPr>
        <w:t>and quoted above</w:t>
      </w:r>
      <w:r w:rsidR="003743A2">
        <w:rPr>
          <w:rFonts w:ascii="Arial" w:hAnsi="Arial" w:cs="Arial"/>
          <w:sz w:val="24"/>
          <w:szCs w:val="24"/>
        </w:rPr>
        <w:t>,</w:t>
      </w:r>
      <w:r w:rsidR="00B342CC">
        <w:rPr>
          <w:rFonts w:ascii="Arial" w:hAnsi="Arial" w:cs="Arial"/>
          <w:sz w:val="24"/>
          <w:szCs w:val="24"/>
        </w:rPr>
        <w:t xml:space="preserve"> had not been complied with </w:t>
      </w:r>
      <w:r>
        <w:rPr>
          <w:rFonts w:ascii="Arial" w:hAnsi="Arial" w:cs="Arial"/>
          <w:sz w:val="24"/>
          <w:szCs w:val="24"/>
        </w:rPr>
        <w:t xml:space="preserve">when lodging </w:t>
      </w:r>
      <w:r w:rsidR="00B342CC">
        <w:rPr>
          <w:rFonts w:ascii="Arial" w:hAnsi="Arial" w:cs="Arial"/>
          <w:sz w:val="24"/>
          <w:szCs w:val="24"/>
        </w:rPr>
        <w:t xml:space="preserve">that first attempt at the record. The first </w:t>
      </w:r>
      <w:r w:rsidR="003743A2">
        <w:rPr>
          <w:rFonts w:ascii="Arial" w:hAnsi="Arial" w:cs="Arial"/>
          <w:sz w:val="24"/>
          <w:szCs w:val="24"/>
        </w:rPr>
        <w:t xml:space="preserve">duty </w:t>
      </w:r>
      <w:r w:rsidR="00B342CC">
        <w:rPr>
          <w:rFonts w:ascii="Arial" w:hAnsi="Arial" w:cs="Arial"/>
          <w:sz w:val="24"/>
          <w:szCs w:val="24"/>
        </w:rPr>
        <w:t xml:space="preserve">requires practitioners to check the record to ensure that </w:t>
      </w:r>
      <w:r w:rsidR="0010048B">
        <w:rPr>
          <w:rFonts w:ascii="Arial" w:hAnsi="Arial" w:cs="Arial"/>
          <w:sz w:val="24"/>
          <w:szCs w:val="24"/>
        </w:rPr>
        <w:t xml:space="preserve">there are no pages missing from the record. Counsel for the appellants argued that a practitioner is entitled to assume that a court record is complete. But this submission misses the point. </w:t>
      </w:r>
    </w:p>
    <w:p w:rsidR="00FC6B03" w:rsidRPr="00FC6B03" w:rsidRDefault="00FC6B03" w:rsidP="00FC6B03">
      <w:pPr>
        <w:pStyle w:val="ListParagraph"/>
        <w:rPr>
          <w:rFonts w:ascii="Arial" w:hAnsi="Arial" w:cs="Arial"/>
          <w:sz w:val="24"/>
          <w:szCs w:val="24"/>
        </w:rPr>
      </w:pPr>
    </w:p>
    <w:p w:rsidR="007642FD" w:rsidRDefault="003743A2"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A</w:t>
      </w:r>
      <w:r w:rsidR="006766A1">
        <w:rPr>
          <w:rFonts w:ascii="Arial" w:hAnsi="Arial" w:cs="Arial"/>
          <w:sz w:val="24"/>
          <w:szCs w:val="24"/>
        </w:rPr>
        <w:t xml:space="preserve">n appeal record does not include everything on the court file – a frequently encountered fallacy. Written heads of argument </w:t>
      </w:r>
      <w:r>
        <w:rPr>
          <w:rFonts w:ascii="Arial" w:hAnsi="Arial" w:cs="Arial"/>
          <w:sz w:val="24"/>
          <w:szCs w:val="24"/>
        </w:rPr>
        <w:t xml:space="preserve">found in the court file </w:t>
      </w:r>
      <w:r w:rsidR="006766A1">
        <w:rPr>
          <w:rFonts w:ascii="Arial" w:hAnsi="Arial" w:cs="Arial"/>
          <w:sz w:val="24"/>
          <w:szCs w:val="24"/>
        </w:rPr>
        <w:t>are often included, as well as oral transcript</w:t>
      </w:r>
      <w:r w:rsidR="00D83FBA">
        <w:rPr>
          <w:rFonts w:ascii="Arial" w:hAnsi="Arial" w:cs="Arial"/>
          <w:sz w:val="24"/>
          <w:szCs w:val="24"/>
        </w:rPr>
        <w:t>s</w:t>
      </w:r>
      <w:r w:rsidR="006766A1">
        <w:rPr>
          <w:rFonts w:ascii="Arial" w:hAnsi="Arial" w:cs="Arial"/>
          <w:sz w:val="24"/>
          <w:szCs w:val="24"/>
        </w:rPr>
        <w:t xml:space="preserve"> of arguments and discovery bundles. </w:t>
      </w:r>
      <w:r w:rsidR="0010048B">
        <w:rPr>
          <w:rFonts w:ascii="Arial" w:hAnsi="Arial" w:cs="Arial"/>
          <w:sz w:val="24"/>
          <w:szCs w:val="24"/>
        </w:rPr>
        <w:t xml:space="preserve">The practitioner </w:t>
      </w:r>
      <w:r w:rsidR="00FC6B03">
        <w:rPr>
          <w:rFonts w:ascii="Arial" w:hAnsi="Arial" w:cs="Arial"/>
          <w:sz w:val="24"/>
          <w:szCs w:val="24"/>
        </w:rPr>
        <w:t xml:space="preserve">however </w:t>
      </w:r>
      <w:r w:rsidR="0010048B">
        <w:rPr>
          <w:rFonts w:ascii="Arial" w:hAnsi="Arial" w:cs="Arial"/>
          <w:sz w:val="24"/>
          <w:szCs w:val="24"/>
        </w:rPr>
        <w:t xml:space="preserve">states that the court file was checked </w:t>
      </w:r>
      <w:r w:rsidR="005943DF">
        <w:rPr>
          <w:rFonts w:ascii="Arial" w:hAnsi="Arial" w:cs="Arial"/>
          <w:sz w:val="24"/>
          <w:szCs w:val="24"/>
        </w:rPr>
        <w:t>by comparing it with</w:t>
      </w:r>
      <w:r w:rsidR="0010048B">
        <w:rPr>
          <w:rFonts w:ascii="Arial" w:hAnsi="Arial" w:cs="Arial"/>
          <w:sz w:val="24"/>
          <w:szCs w:val="24"/>
        </w:rPr>
        <w:t xml:space="preserve"> the file o</w:t>
      </w:r>
      <w:r w:rsidR="005943DF">
        <w:rPr>
          <w:rFonts w:ascii="Arial" w:hAnsi="Arial" w:cs="Arial"/>
          <w:sz w:val="24"/>
          <w:szCs w:val="24"/>
        </w:rPr>
        <w:t>f</w:t>
      </w:r>
      <w:r w:rsidR="0010048B">
        <w:rPr>
          <w:rFonts w:ascii="Arial" w:hAnsi="Arial" w:cs="Arial"/>
          <w:sz w:val="24"/>
          <w:szCs w:val="24"/>
        </w:rPr>
        <w:t xml:space="preserve"> her office. This </w:t>
      </w:r>
      <w:r w:rsidR="005943DF">
        <w:rPr>
          <w:rFonts w:ascii="Arial" w:hAnsi="Arial" w:cs="Arial"/>
          <w:sz w:val="24"/>
          <w:szCs w:val="24"/>
        </w:rPr>
        <w:t xml:space="preserve">exercise </w:t>
      </w:r>
      <w:r w:rsidR="0010048B">
        <w:rPr>
          <w:rFonts w:ascii="Arial" w:hAnsi="Arial" w:cs="Arial"/>
          <w:sz w:val="24"/>
          <w:szCs w:val="24"/>
        </w:rPr>
        <w:t xml:space="preserve">would have included the court orders after the absolution judgment which should have alerted her to evidence given on 8 </w:t>
      </w:r>
      <w:r w:rsidR="00D83FBA">
        <w:rPr>
          <w:rFonts w:ascii="Arial" w:hAnsi="Arial" w:cs="Arial"/>
          <w:sz w:val="24"/>
          <w:szCs w:val="24"/>
        </w:rPr>
        <w:t>to</w:t>
      </w:r>
      <w:r w:rsidR="0010048B">
        <w:rPr>
          <w:rFonts w:ascii="Arial" w:hAnsi="Arial" w:cs="Arial"/>
          <w:sz w:val="24"/>
          <w:szCs w:val="24"/>
        </w:rPr>
        <w:t xml:space="preserve"> 10 September 2014. A cursory consideration of these documents should have revealed that a significant portion of the record was missing. Steps should have been </w:t>
      </w:r>
      <w:r w:rsidR="00993978">
        <w:rPr>
          <w:rFonts w:ascii="Arial" w:hAnsi="Arial" w:cs="Arial"/>
          <w:sz w:val="24"/>
          <w:szCs w:val="24"/>
        </w:rPr>
        <w:t>taken to establish whether evidence was heard and the whereabouts of the transcript. I cannot accept that the practitioner’s file would have had no reference to the subsequent evidence</w:t>
      </w:r>
      <w:r w:rsidR="006766A1">
        <w:rPr>
          <w:rFonts w:ascii="Arial" w:hAnsi="Arial" w:cs="Arial"/>
          <w:sz w:val="24"/>
          <w:szCs w:val="24"/>
        </w:rPr>
        <w:t xml:space="preserve"> and proceedings</w:t>
      </w:r>
      <w:r w:rsidR="00993978">
        <w:rPr>
          <w:rFonts w:ascii="Arial" w:hAnsi="Arial" w:cs="Arial"/>
          <w:sz w:val="24"/>
          <w:szCs w:val="24"/>
        </w:rPr>
        <w:t>.</w:t>
      </w:r>
    </w:p>
    <w:p w:rsidR="00B342CC" w:rsidRPr="00B342CC" w:rsidRDefault="00B342CC" w:rsidP="00B342CC">
      <w:pPr>
        <w:pStyle w:val="ListParagraph"/>
        <w:rPr>
          <w:rFonts w:ascii="Arial" w:hAnsi="Arial" w:cs="Arial"/>
          <w:sz w:val="24"/>
          <w:szCs w:val="24"/>
        </w:rPr>
      </w:pPr>
    </w:p>
    <w:p w:rsidR="00B342CC" w:rsidRDefault="0010048B"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In the second instance a practitioner must ensure that all relevant documentary exhibits form part of the record. The discovery of the respective parties may and </w:t>
      </w:r>
      <w:r w:rsidR="00DD390C">
        <w:rPr>
          <w:rFonts w:ascii="Arial" w:hAnsi="Arial" w:cs="Arial"/>
          <w:sz w:val="24"/>
          <w:szCs w:val="24"/>
        </w:rPr>
        <w:t xml:space="preserve">often </w:t>
      </w:r>
      <w:r w:rsidR="003743A2">
        <w:rPr>
          <w:rFonts w:ascii="Arial" w:hAnsi="Arial" w:cs="Arial"/>
          <w:sz w:val="24"/>
          <w:szCs w:val="24"/>
        </w:rPr>
        <w:t xml:space="preserve">does </w:t>
      </w:r>
      <w:r w:rsidR="00DD390C">
        <w:rPr>
          <w:rFonts w:ascii="Arial" w:hAnsi="Arial" w:cs="Arial"/>
          <w:sz w:val="24"/>
          <w:szCs w:val="24"/>
        </w:rPr>
        <w:t>turn out to</w:t>
      </w:r>
      <w:r w:rsidR="00993978">
        <w:rPr>
          <w:rFonts w:ascii="Arial" w:hAnsi="Arial" w:cs="Arial"/>
          <w:sz w:val="24"/>
          <w:szCs w:val="24"/>
        </w:rPr>
        <w:t xml:space="preserve"> </w:t>
      </w:r>
      <w:r>
        <w:rPr>
          <w:rFonts w:ascii="Arial" w:hAnsi="Arial" w:cs="Arial"/>
          <w:sz w:val="24"/>
          <w:szCs w:val="24"/>
        </w:rPr>
        <w:t>include exhibits</w:t>
      </w:r>
      <w:r w:rsidR="00993978">
        <w:rPr>
          <w:rFonts w:ascii="Arial" w:hAnsi="Arial" w:cs="Arial"/>
          <w:sz w:val="24"/>
          <w:szCs w:val="24"/>
        </w:rPr>
        <w:t>. But</w:t>
      </w:r>
      <w:r>
        <w:rPr>
          <w:rFonts w:ascii="Arial" w:hAnsi="Arial" w:cs="Arial"/>
          <w:sz w:val="24"/>
          <w:szCs w:val="24"/>
        </w:rPr>
        <w:t xml:space="preserve"> not all discovered documents are</w:t>
      </w:r>
      <w:r w:rsidR="00993978">
        <w:rPr>
          <w:rFonts w:ascii="Arial" w:hAnsi="Arial" w:cs="Arial"/>
          <w:sz w:val="24"/>
          <w:szCs w:val="24"/>
        </w:rPr>
        <w:t xml:space="preserve"> usually</w:t>
      </w:r>
      <w:r>
        <w:rPr>
          <w:rFonts w:ascii="Arial" w:hAnsi="Arial" w:cs="Arial"/>
          <w:sz w:val="24"/>
          <w:szCs w:val="24"/>
        </w:rPr>
        <w:t xml:space="preserve"> proven as exhibits</w:t>
      </w:r>
      <w:r w:rsidR="00993978">
        <w:rPr>
          <w:rFonts w:ascii="Arial" w:hAnsi="Arial" w:cs="Arial"/>
          <w:sz w:val="24"/>
          <w:szCs w:val="24"/>
        </w:rPr>
        <w:t>. S</w:t>
      </w:r>
      <w:r>
        <w:rPr>
          <w:rFonts w:ascii="Arial" w:hAnsi="Arial" w:cs="Arial"/>
          <w:sz w:val="24"/>
          <w:szCs w:val="24"/>
        </w:rPr>
        <w:t xml:space="preserve">ome </w:t>
      </w:r>
      <w:r w:rsidR="00993978">
        <w:rPr>
          <w:rFonts w:ascii="Arial" w:hAnsi="Arial" w:cs="Arial"/>
          <w:sz w:val="24"/>
          <w:szCs w:val="24"/>
        </w:rPr>
        <w:t>exhibits may</w:t>
      </w:r>
      <w:r>
        <w:rPr>
          <w:rFonts w:ascii="Arial" w:hAnsi="Arial" w:cs="Arial"/>
          <w:sz w:val="24"/>
          <w:szCs w:val="24"/>
        </w:rPr>
        <w:t xml:space="preserve"> </w:t>
      </w:r>
      <w:r w:rsidR="003743A2">
        <w:rPr>
          <w:rFonts w:ascii="Arial" w:hAnsi="Arial" w:cs="Arial"/>
          <w:sz w:val="24"/>
          <w:szCs w:val="24"/>
        </w:rPr>
        <w:t xml:space="preserve">also </w:t>
      </w:r>
      <w:r>
        <w:rPr>
          <w:rFonts w:ascii="Arial" w:hAnsi="Arial" w:cs="Arial"/>
          <w:sz w:val="24"/>
          <w:szCs w:val="24"/>
        </w:rPr>
        <w:t>not</w:t>
      </w:r>
      <w:r w:rsidR="00993978">
        <w:rPr>
          <w:rFonts w:ascii="Arial" w:hAnsi="Arial" w:cs="Arial"/>
          <w:sz w:val="24"/>
          <w:szCs w:val="24"/>
        </w:rPr>
        <w:t xml:space="preserve"> have</w:t>
      </w:r>
      <w:r>
        <w:rPr>
          <w:rFonts w:ascii="Arial" w:hAnsi="Arial" w:cs="Arial"/>
          <w:sz w:val="24"/>
          <w:szCs w:val="24"/>
        </w:rPr>
        <w:t xml:space="preserve"> been discovered </w:t>
      </w:r>
      <w:r w:rsidR="00993978">
        <w:rPr>
          <w:rFonts w:ascii="Arial" w:hAnsi="Arial" w:cs="Arial"/>
          <w:sz w:val="24"/>
          <w:szCs w:val="24"/>
        </w:rPr>
        <w:t xml:space="preserve">and </w:t>
      </w:r>
      <w:r>
        <w:rPr>
          <w:rFonts w:ascii="Arial" w:hAnsi="Arial" w:cs="Arial"/>
          <w:sz w:val="24"/>
          <w:szCs w:val="24"/>
        </w:rPr>
        <w:t xml:space="preserve">may be permitted </w:t>
      </w:r>
      <w:r w:rsidR="00993978">
        <w:rPr>
          <w:rFonts w:ascii="Arial" w:hAnsi="Arial" w:cs="Arial"/>
          <w:sz w:val="24"/>
          <w:szCs w:val="24"/>
        </w:rPr>
        <w:t xml:space="preserve">to be </w:t>
      </w:r>
      <w:r w:rsidR="003743A2">
        <w:rPr>
          <w:rFonts w:ascii="Arial" w:hAnsi="Arial" w:cs="Arial"/>
          <w:sz w:val="24"/>
          <w:szCs w:val="24"/>
        </w:rPr>
        <w:t>adduced</w:t>
      </w:r>
      <w:r w:rsidR="00993978">
        <w:rPr>
          <w:rFonts w:ascii="Arial" w:hAnsi="Arial" w:cs="Arial"/>
          <w:sz w:val="24"/>
          <w:szCs w:val="24"/>
        </w:rPr>
        <w:t xml:space="preserve"> in evidence</w:t>
      </w:r>
      <w:r>
        <w:rPr>
          <w:rFonts w:ascii="Arial" w:hAnsi="Arial" w:cs="Arial"/>
          <w:sz w:val="24"/>
          <w:szCs w:val="24"/>
        </w:rPr>
        <w:t>. But this fact –</w:t>
      </w:r>
      <w:r w:rsidR="00DD390C">
        <w:rPr>
          <w:rFonts w:ascii="Arial" w:hAnsi="Arial" w:cs="Arial"/>
          <w:sz w:val="24"/>
          <w:szCs w:val="24"/>
        </w:rPr>
        <w:t xml:space="preserve"> </w:t>
      </w:r>
      <w:r>
        <w:rPr>
          <w:rFonts w:ascii="Arial" w:hAnsi="Arial" w:cs="Arial"/>
          <w:sz w:val="24"/>
          <w:szCs w:val="24"/>
        </w:rPr>
        <w:t>discover</w:t>
      </w:r>
      <w:r w:rsidR="00993978">
        <w:rPr>
          <w:rFonts w:ascii="Arial" w:hAnsi="Arial" w:cs="Arial"/>
          <w:sz w:val="24"/>
          <w:szCs w:val="24"/>
        </w:rPr>
        <w:t xml:space="preserve">ed documents </w:t>
      </w:r>
      <w:r w:rsidR="00DD390C">
        <w:rPr>
          <w:rFonts w:ascii="Arial" w:hAnsi="Arial" w:cs="Arial"/>
          <w:sz w:val="24"/>
          <w:szCs w:val="24"/>
        </w:rPr>
        <w:t xml:space="preserve">included as such </w:t>
      </w:r>
      <w:r w:rsidR="00860DC9">
        <w:rPr>
          <w:rFonts w:ascii="Arial" w:hAnsi="Arial" w:cs="Arial"/>
          <w:sz w:val="24"/>
          <w:szCs w:val="24"/>
        </w:rPr>
        <w:t>and</w:t>
      </w:r>
      <w:r w:rsidR="00993978">
        <w:rPr>
          <w:rFonts w:ascii="Arial" w:hAnsi="Arial" w:cs="Arial"/>
          <w:sz w:val="24"/>
          <w:szCs w:val="24"/>
        </w:rPr>
        <w:t xml:space="preserve"> no exhibits - </w:t>
      </w:r>
      <w:r>
        <w:rPr>
          <w:rFonts w:ascii="Arial" w:hAnsi="Arial" w:cs="Arial"/>
          <w:sz w:val="24"/>
          <w:szCs w:val="24"/>
        </w:rPr>
        <w:t>should have alerted the practitioner to the fact that</w:t>
      </w:r>
      <w:r w:rsidR="00993978">
        <w:rPr>
          <w:rFonts w:ascii="Arial" w:hAnsi="Arial" w:cs="Arial"/>
          <w:sz w:val="24"/>
          <w:szCs w:val="24"/>
        </w:rPr>
        <w:t xml:space="preserve"> a portion </w:t>
      </w:r>
      <w:r>
        <w:rPr>
          <w:rFonts w:ascii="Arial" w:hAnsi="Arial" w:cs="Arial"/>
          <w:sz w:val="24"/>
          <w:szCs w:val="24"/>
        </w:rPr>
        <w:t xml:space="preserve">of the record – in the form of exhibits – was </w:t>
      </w:r>
      <w:r w:rsidR="00D83FBA">
        <w:rPr>
          <w:rFonts w:ascii="Arial" w:hAnsi="Arial" w:cs="Arial"/>
          <w:sz w:val="24"/>
          <w:szCs w:val="24"/>
        </w:rPr>
        <w:t xml:space="preserve">also </w:t>
      </w:r>
      <w:r>
        <w:rPr>
          <w:rFonts w:ascii="Arial" w:hAnsi="Arial" w:cs="Arial"/>
          <w:sz w:val="24"/>
          <w:szCs w:val="24"/>
        </w:rPr>
        <w:t>missing.</w:t>
      </w:r>
    </w:p>
    <w:p w:rsidR="007642FD" w:rsidRPr="007642FD" w:rsidRDefault="007642FD" w:rsidP="007642FD">
      <w:pPr>
        <w:pStyle w:val="ListParagraph"/>
        <w:rPr>
          <w:rFonts w:ascii="Arial" w:hAnsi="Arial" w:cs="Arial"/>
          <w:sz w:val="24"/>
          <w:szCs w:val="24"/>
        </w:rPr>
      </w:pPr>
    </w:p>
    <w:p w:rsidR="007642FD" w:rsidRDefault="0010048B"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Finally the defective initial </w:t>
      </w:r>
      <w:r w:rsidR="00840422">
        <w:rPr>
          <w:rFonts w:ascii="Arial" w:hAnsi="Arial" w:cs="Arial"/>
          <w:sz w:val="24"/>
          <w:szCs w:val="24"/>
        </w:rPr>
        <w:t>record also included items such</w:t>
      </w:r>
      <w:r w:rsidR="00197300">
        <w:rPr>
          <w:rFonts w:ascii="Arial" w:hAnsi="Arial" w:cs="Arial"/>
          <w:sz w:val="24"/>
          <w:szCs w:val="24"/>
        </w:rPr>
        <w:t xml:space="preserve"> as</w:t>
      </w:r>
      <w:r w:rsidR="00840422">
        <w:rPr>
          <w:rFonts w:ascii="Arial" w:hAnsi="Arial" w:cs="Arial"/>
          <w:sz w:val="24"/>
          <w:szCs w:val="24"/>
        </w:rPr>
        <w:t xml:space="preserve"> discovered documents and transcribed oral argument which do not form part of the record.</w:t>
      </w:r>
      <w:r w:rsidR="00DD390C">
        <w:rPr>
          <w:rFonts w:ascii="Arial" w:hAnsi="Arial" w:cs="Arial"/>
          <w:sz w:val="24"/>
          <w:szCs w:val="24"/>
        </w:rPr>
        <w:t xml:space="preserve"> The practice by practitioners to indiscriminately include discovery bundles</w:t>
      </w:r>
      <w:r w:rsidR="003743A2">
        <w:rPr>
          <w:rFonts w:ascii="Arial" w:hAnsi="Arial" w:cs="Arial"/>
          <w:sz w:val="24"/>
          <w:szCs w:val="24"/>
        </w:rPr>
        <w:t xml:space="preserve"> and argument</w:t>
      </w:r>
      <w:r w:rsidR="00DD390C">
        <w:rPr>
          <w:rFonts w:ascii="Arial" w:hAnsi="Arial" w:cs="Arial"/>
          <w:sz w:val="24"/>
          <w:szCs w:val="24"/>
        </w:rPr>
        <w:t xml:space="preserve"> in appeal records is to be deprecated</w:t>
      </w:r>
      <w:r w:rsidR="00D83FBA">
        <w:rPr>
          <w:rFonts w:ascii="Arial" w:hAnsi="Arial" w:cs="Arial"/>
          <w:sz w:val="24"/>
          <w:szCs w:val="24"/>
        </w:rPr>
        <w:t xml:space="preserve"> and should in the future at the very least be visited with appropriate cost orders</w:t>
      </w:r>
      <w:r w:rsidR="00DD390C">
        <w:rPr>
          <w:rFonts w:ascii="Arial" w:hAnsi="Arial" w:cs="Arial"/>
          <w:sz w:val="24"/>
          <w:szCs w:val="24"/>
        </w:rPr>
        <w:t>.</w:t>
      </w:r>
    </w:p>
    <w:p w:rsidR="00D15E9B" w:rsidRPr="00D15E9B" w:rsidRDefault="00D15E9B" w:rsidP="00D15E9B">
      <w:pPr>
        <w:pStyle w:val="ListParagraph"/>
        <w:rPr>
          <w:rFonts w:ascii="Arial" w:hAnsi="Arial" w:cs="Arial"/>
          <w:sz w:val="24"/>
          <w:szCs w:val="24"/>
        </w:rPr>
      </w:pPr>
    </w:p>
    <w:p w:rsidR="00D15E9B" w:rsidRDefault="00840422"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complete but defective record (because of the inclusion of unnecessary matter) was lodged some 19 months late. The cumulative effect of the </w:t>
      </w:r>
      <w:r w:rsidR="00DD390C">
        <w:rPr>
          <w:rFonts w:ascii="Arial" w:hAnsi="Arial" w:cs="Arial"/>
          <w:sz w:val="24"/>
          <w:szCs w:val="24"/>
        </w:rPr>
        <w:t>overall</w:t>
      </w:r>
      <w:r w:rsidR="003743A2">
        <w:rPr>
          <w:rFonts w:ascii="Arial" w:hAnsi="Arial" w:cs="Arial"/>
          <w:sz w:val="24"/>
          <w:szCs w:val="24"/>
        </w:rPr>
        <w:t xml:space="preserve"> </w:t>
      </w:r>
      <w:r>
        <w:rPr>
          <w:rFonts w:ascii="Arial" w:hAnsi="Arial" w:cs="Arial"/>
          <w:sz w:val="24"/>
          <w:szCs w:val="24"/>
        </w:rPr>
        <w:t xml:space="preserve">non-compliance with rule 5 relating to records renders the explanation provided as less than cogent and </w:t>
      </w:r>
      <w:r w:rsidR="00993978">
        <w:rPr>
          <w:rFonts w:ascii="Arial" w:hAnsi="Arial" w:cs="Arial"/>
          <w:sz w:val="24"/>
          <w:szCs w:val="24"/>
        </w:rPr>
        <w:t xml:space="preserve">thus </w:t>
      </w:r>
      <w:r>
        <w:rPr>
          <w:rFonts w:ascii="Arial" w:hAnsi="Arial" w:cs="Arial"/>
          <w:sz w:val="24"/>
          <w:szCs w:val="24"/>
        </w:rPr>
        <w:t xml:space="preserve">inadequate in the circumstances. But before </w:t>
      </w:r>
      <w:r w:rsidR="00993978">
        <w:rPr>
          <w:rFonts w:ascii="Arial" w:hAnsi="Arial" w:cs="Arial"/>
          <w:sz w:val="24"/>
          <w:szCs w:val="24"/>
        </w:rPr>
        <w:t>finally</w:t>
      </w:r>
      <w:r>
        <w:rPr>
          <w:rFonts w:ascii="Arial" w:hAnsi="Arial" w:cs="Arial"/>
          <w:sz w:val="24"/>
          <w:szCs w:val="24"/>
        </w:rPr>
        <w:t xml:space="preserve"> determining whether condonation and reinstatement should be granted, it is appropriate to briefly consider the prospects of success</w:t>
      </w:r>
      <w:r w:rsidR="00993978">
        <w:rPr>
          <w:rFonts w:ascii="Arial" w:hAnsi="Arial" w:cs="Arial"/>
          <w:sz w:val="24"/>
          <w:szCs w:val="24"/>
        </w:rPr>
        <w:t xml:space="preserve"> on appeal against the High Court’s judgment.</w:t>
      </w:r>
    </w:p>
    <w:p w:rsidR="007642FD" w:rsidRDefault="007642FD" w:rsidP="00840422">
      <w:pPr>
        <w:ind w:left="0"/>
        <w:rPr>
          <w:rFonts w:ascii="Arial" w:hAnsi="Arial" w:cs="Arial"/>
          <w:sz w:val="24"/>
          <w:szCs w:val="24"/>
          <w:u w:val="single"/>
        </w:rPr>
      </w:pPr>
    </w:p>
    <w:p w:rsidR="00840422" w:rsidRPr="00840422" w:rsidRDefault="00840422" w:rsidP="00840422">
      <w:pPr>
        <w:ind w:left="0"/>
        <w:rPr>
          <w:rFonts w:ascii="Arial" w:hAnsi="Arial" w:cs="Arial"/>
          <w:sz w:val="24"/>
          <w:szCs w:val="24"/>
          <w:u w:val="single"/>
        </w:rPr>
      </w:pPr>
      <w:r>
        <w:rPr>
          <w:rFonts w:ascii="Arial" w:hAnsi="Arial" w:cs="Arial"/>
          <w:sz w:val="24"/>
          <w:szCs w:val="24"/>
          <w:u w:val="single"/>
        </w:rPr>
        <w:t>Prospects of success</w:t>
      </w:r>
    </w:p>
    <w:p w:rsidR="007642FD" w:rsidRDefault="001F1B74"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In order to access whether the Snymans’ appeal against the judgment of the High Court enjoys prospects of success, the background facts to the claim</w:t>
      </w:r>
      <w:r w:rsidR="00D83FBA">
        <w:rPr>
          <w:rFonts w:ascii="Arial" w:hAnsi="Arial" w:cs="Arial"/>
          <w:sz w:val="24"/>
          <w:szCs w:val="24"/>
        </w:rPr>
        <w:t>s</w:t>
      </w:r>
      <w:r>
        <w:rPr>
          <w:rFonts w:ascii="Arial" w:hAnsi="Arial" w:cs="Arial"/>
          <w:sz w:val="24"/>
          <w:szCs w:val="24"/>
        </w:rPr>
        <w:t xml:space="preserve">, the pleadings and certain of the evidence are </w:t>
      </w:r>
      <w:r w:rsidR="00993978">
        <w:rPr>
          <w:rFonts w:ascii="Arial" w:hAnsi="Arial" w:cs="Arial"/>
          <w:sz w:val="24"/>
          <w:szCs w:val="24"/>
        </w:rPr>
        <w:t xml:space="preserve">briefly </w:t>
      </w:r>
      <w:r>
        <w:rPr>
          <w:rFonts w:ascii="Arial" w:hAnsi="Arial" w:cs="Arial"/>
          <w:sz w:val="24"/>
          <w:szCs w:val="24"/>
        </w:rPr>
        <w:t>referred to.</w:t>
      </w:r>
    </w:p>
    <w:p w:rsidR="007642FD" w:rsidRPr="007642FD" w:rsidRDefault="007642FD" w:rsidP="007642FD">
      <w:pPr>
        <w:pStyle w:val="ListParagraph"/>
        <w:rPr>
          <w:rFonts w:ascii="Arial" w:hAnsi="Arial" w:cs="Arial"/>
          <w:sz w:val="24"/>
          <w:szCs w:val="24"/>
        </w:rPr>
      </w:pPr>
    </w:p>
    <w:p w:rsidR="003743A2" w:rsidRDefault="001F1B74" w:rsidP="003743A2">
      <w:pPr>
        <w:pStyle w:val="ListParagraph"/>
        <w:numPr>
          <w:ilvl w:val="0"/>
          <w:numId w:val="18"/>
        </w:numPr>
        <w:ind w:left="0" w:firstLine="0"/>
        <w:jc w:val="both"/>
        <w:rPr>
          <w:rFonts w:ascii="Arial" w:hAnsi="Arial" w:cs="Arial"/>
          <w:sz w:val="24"/>
          <w:szCs w:val="24"/>
        </w:rPr>
      </w:pPr>
      <w:r>
        <w:rPr>
          <w:rFonts w:ascii="Arial" w:hAnsi="Arial" w:cs="Arial"/>
          <w:sz w:val="24"/>
          <w:szCs w:val="24"/>
        </w:rPr>
        <w:t>The late Mr and Mrs Jordaan</w:t>
      </w:r>
      <w:r w:rsidR="003743A2">
        <w:rPr>
          <w:rFonts w:ascii="Arial" w:hAnsi="Arial" w:cs="Arial"/>
          <w:sz w:val="24"/>
          <w:szCs w:val="24"/>
        </w:rPr>
        <w:t xml:space="preserve"> d</w:t>
      </w:r>
      <w:r>
        <w:rPr>
          <w:rFonts w:ascii="Arial" w:hAnsi="Arial" w:cs="Arial"/>
          <w:sz w:val="24"/>
          <w:szCs w:val="24"/>
        </w:rPr>
        <w:t xml:space="preserve">uring their marriage </w:t>
      </w:r>
      <w:r w:rsidR="003743A2">
        <w:rPr>
          <w:rFonts w:ascii="Arial" w:hAnsi="Arial" w:cs="Arial"/>
          <w:sz w:val="24"/>
          <w:szCs w:val="24"/>
        </w:rPr>
        <w:t xml:space="preserve">in community of property acquired </w:t>
      </w:r>
      <w:r>
        <w:rPr>
          <w:rFonts w:ascii="Arial" w:hAnsi="Arial" w:cs="Arial"/>
          <w:sz w:val="24"/>
          <w:szCs w:val="24"/>
        </w:rPr>
        <w:t xml:space="preserve">the farm Marwil </w:t>
      </w:r>
      <w:r w:rsidR="00DD390C">
        <w:rPr>
          <w:rFonts w:ascii="Arial" w:hAnsi="Arial" w:cs="Arial"/>
          <w:sz w:val="24"/>
          <w:szCs w:val="24"/>
        </w:rPr>
        <w:t xml:space="preserve">(the farm) </w:t>
      </w:r>
      <w:r>
        <w:rPr>
          <w:rFonts w:ascii="Arial" w:hAnsi="Arial" w:cs="Arial"/>
          <w:sz w:val="24"/>
          <w:szCs w:val="24"/>
        </w:rPr>
        <w:t xml:space="preserve">in 1984 in the name of the late Mr Jordaan. In a joint will they executed in 1993, they each bequeathed their respective estates of the first dying to the survivor. A subsequent will was prepared in 2000 </w:t>
      </w:r>
      <w:r w:rsidR="00993978">
        <w:rPr>
          <w:rFonts w:ascii="Arial" w:hAnsi="Arial" w:cs="Arial"/>
          <w:sz w:val="24"/>
          <w:szCs w:val="24"/>
        </w:rPr>
        <w:t>but</w:t>
      </w:r>
      <w:r>
        <w:rPr>
          <w:rFonts w:ascii="Arial" w:hAnsi="Arial" w:cs="Arial"/>
          <w:sz w:val="24"/>
          <w:szCs w:val="24"/>
        </w:rPr>
        <w:t xml:space="preserve"> only Mr Jordaan signed</w:t>
      </w:r>
      <w:r w:rsidR="00993978">
        <w:rPr>
          <w:rFonts w:ascii="Arial" w:hAnsi="Arial" w:cs="Arial"/>
          <w:sz w:val="24"/>
          <w:szCs w:val="24"/>
        </w:rPr>
        <w:t xml:space="preserve"> it</w:t>
      </w:r>
      <w:r>
        <w:rPr>
          <w:rFonts w:ascii="Arial" w:hAnsi="Arial" w:cs="Arial"/>
          <w:sz w:val="24"/>
          <w:szCs w:val="24"/>
        </w:rPr>
        <w:t>. Mrs Jordaan died o</w:t>
      </w:r>
      <w:r w:rsidR="00764826">
        <w:rPr>
          <w:rFonts w:ascii="Arial" w:hAnsi="Arial" w:cs="Arial"/>
          <w:sz w:val="24"/>
          <w:szCs w:val="24"/>
        </w:rPr>
        <w:t>n 20 February 2000 before she c</w:t>
      </w:r>
      <w:r>
        <w:rPr>
          <w:rFonts w:ascii="Arial" w:hAnsi="Arial" w:cs="Arial"/>
          <w:sz w:val="24"/>
          <w:szCs w:val="24"/>
        </w:rPr>
        <w:t>ould sign that will.</w:t>
      </w:r>
      <w:r w:rsidR="003743A2">
        <w:rPr>
          <w:rFonts w:ascii="Arial" w:hAnsi="Arial" w:cs="Arial"/>
          <w:sz w:val="24"/>
          <w:szCs w:val="24"/>
        </w:rPr>
        <w:t xml:space="preserve"> </w:t>
      </w:r>
      <w:r w:rsidRPr="003743A2">
        <w:rPr>
          <w:rFonts w:ascii="Arial" w:hAnsi="Arial" w:cs="Arial"/>
          <w:sz w:val="24"/>
          <w:szCs w:val="24"/>
        </w:rPr>
        <w:t xml:space="preserve">Some months later on 4 July 2000 and before any executor was appointed in her deceased estate, the late Mr Jordaan and Mr Snyman entered into a written lease agreement in which the former leased the farm to the latter. </w:t>
      </w:r>
    </w:p>
    <w:p w:rsidR="003743A2" w:rsidRPr="003743A2" w:rsidRDefault="003743A2" w:rsidP="003743A2">
      <w:pPr>
        <w:pStyle w:val="ListParagraph"/>
        <w:rPr>
          <w:rFonts w:ascii="Arial" w:hAnsi="Arial" w:cs="Arial"/>
          <w:sz w:val="24"/>
          <w:szCs w:val="24"/>
        </w:rPr>
      </w:pPr>
    </w:p>
    <w:p w:rsidR="007642FD" w:rsidRPr="003743A2" w:rsidRDefault="001F1B74" w:rsidP="003743A2">
      <w:pPr>
        <w:pStyle w:val="ListParagraph"/>
        <w:numPr>
          <w:ilvl w:val="0"/>
          <w:numId w:val="18"/>
        </w:numPr>
        <w:ind w:left="0" w:firstLine="0"/>
        <w:jc w:val="both"/>
        <w:rPr>
          <w:rFonts w:ascii="Arial" w:hAnsi="Arial" w:cs="Arial"/>
          <w:sz w:val="24"/>
          <w:szCs w:val="24"/>
        </w:rPr>
      </w:pPr>
      <w:r w:rsidRPr="003743A2">
        <w:rPr>
          <w:rFonts w:ascii="Arial" w:hAnsi="Arial" w:cs="Arial"/>
          <w:sz w:val="24"/>
          <w:szCs w:val="24"/>
        </w:rPr>
        <w:t>The lease agreement included an option clause for the purchase and sale of the farm at a given price. The option required that ‘in the event of the lessee wanting to exercise this option to purchase the property, he shall notify the lessor in writing on or before 1 March 2003 of his intention’.</w:t>
      </w:r>
    </w:p>
    <w:p w:rsidR="007642FD" w:rsidRPr="007642FD" w:rsidRDefault="007642FD" w:rsidP="007642FD">
      <w:pPr>
        <w:pStyle w:val="ListParagraph"/>
        <w:rPr>
          <w:rFonts w:ascii="Arial" w:hAnsi="Arial" w:cs="Arial"/>
          <w:sz w:val="24"/>
          <w:szCs w:val="24"/>
        </w:rPr>
      </w:pPr>
    </w:p>
    <w:p w:rsidR="007642FD" w:rsidRDefault="001F1B74"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The late Mr Jordaan was on 20 February 2001 appointed as executor in Mrs Jordaan’s South African estate. He subsequently died on 25 September 2002. After that date, the rental for the farm was received by his attorney, Mr Waldemar Strauss of Schweizer-Reyneke in South Africa. The latter had also been nominated as executor in a codicil to Mr Jordaan’s will but was never appointed to that position by the Master. His address was provided as the less</w:t>
      </w:r>
      <w:r w:rsidR="00DD390C">
        <w:rPr>
          <w:rFonts w:ascii="Arial" w:hAnsi="Arial" w:cs="Arial"/>
          <w:sz w:val="24"/>
          <w:szCs w:val="24"/>
        </w:rPr>
        <w:t>o</w:t>
      </w:r>
      <w:r>
        <w:rPr>
          <w:rFonts w:ascii="Arial" w:hAnsi="Arial" w:cs="Arial"/>
          <w:sz w:val="24"/>
          <w:szCs w:val="24"/>
        </w:rPr>
        <w:t>r’s domicilium in the lease agreement.</w:t>
      </w:r>
    </w:p>
    <w:p w:rsidR="007642FD" w:rsidRPr="007642FD" w:rsidRDefault="007642FD" w:rsidP="007642FD">
      <w:pPr>
        <w:pStyle w:val="ListParagraph"/>
        <w:rPr>
          <w:rFonts w:ascii="Arial" w:hAnsi="Arial" w:cs="Arial"/>
          <w:sz w:val="24"/>
          <w:szCs w:val="24"/>
        </w:rPr>
      </w:pPr>
    </w:p>
    <w:p w:rsidR="007642FD" w:rsidRDefault="001F1B74"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Mr Snyman telephoned Mr Strauss on 19 February 2003 to inform him that he intended to exercise the option. A letter dated 17 February 2003 giving notice of that intention was sent by registered mail from nearby Potchefstroom to Mr Strauss’s address in Schweizer-Reyneke. That letter was</w:t>
      </w:r>
      <w:r w:rsidR="00C9718C">
        <w:rPr>
          <w:rFonts w:ascii="Arial" w:hAnsi="Arial" w:cs="Arial"/>
          <w:sz w:val="24"/>
          <w:szCs w:val="24"/>
        </w:rPr>
        <w:t xml:space="preserve"> received by the post office on </w:t>
      </w:r>
      <w:r>
        <w:rPr>
          <w:rFonts w:ascii="Arial" w:hAnsi="Arial" w:cs="Arial"/>
          <w:sz w:val="24"/>
          <w:szCs w:val="24"/>
        </w:rPr>
        <w:t>27 February 2003 but only collected by Mr Strauss’s staff on 4 March 2003.</w:t>
      </w:r>
    </w:p>
    <w:p w:rsidR="007642FD" w:rsidRPr="007642FD" w:rsidRDefault="007642FD" w:rsidP="007642FD">
      <w:pPr>
        <w:pStyle w:val="ListParagraph"/>
        <w:rPr>
          <w:rFonts w:ascii="Arial" w:hAnsi="Arial" w:cs="Arial"/>
          <w:sz w:val="24"/>
          <w:szCs w:val="24"/>
        </w:rPr>
      </w:pPr>
    </w:p>
    <w:p w:rsidR="007642FD" w:rsidRDefault="00860761"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respondent was </w:t>
      </w:r>
      <w:r w:rsidR="00DD390C">
        <w:rPr>
          <w:rFonts w:ascii="Arial" w:hAnsi="Arial" w:cs="Arial"/>
          <w:sz w:val="24"/>
          <w:szCs w:val="24"/>
        </w:rPr>
        <w:t xml:space="preserve">subsequently </w:t>
      </w:r>
      <w:r>
        <w:rPr>
          <w:rFonts w:ascii="Arial" w:hAnsi="Arial" w:cs="Arial"/>
          <w:sz w:val="24"/>
          <w:szCs w:val="24"/>
        </w:rPr>
        <w:t>appointed as executor in Mr Jordaan’s estate. This was followed by an appointment as executor in respect of his late father’s estate in Namibia as well as that of his late mother in Namibia.</w:t>
      </w:r>
    </w:p>
    <w:p w:rsidR="007642FD" w:rsidRPr="007642FD" w:rsidRDefault="007642FD" w:rsidP="007642FD">
      <w:pPr>
        <w:pStyle w:val="ListParagraph"/>
        <w:rPr>
          <w:rFonts w:ascii="Arial" w:hAnsi="Arial" w:cs="Arial"/>
          <w:sz w:val="24"/>
          <w:szCs w:val="24"/>
        </w:rPr>
      </w:pPr>
    </w:p>
    <w:p w:rsidR="007642FD" w:rsidRDefault="00860761"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On 25 July 2005, the executor </w:t>
      </w:r>
      <w:r w:rsidR="00993978">
        <w:rPr>
          <w:rFonts w:ascii="Arial" w:hAnsi="Arial" w:cs="Arial"/>
          <w:sz w:val="24"/>
          <w:szCs w:val="24"/>
        </w:rPr>
        <w:t>instituted an action against the Snymans for</w:t>
      </w:r>
      <w:r>
        <w:rPr>
          <w:rFonts w:ascii="Arial" w:hAnsi="Arial" w:cs="Arial"/>
          <w:sz w:val="24"/>
          <w:szCs w:val="24"/>
        </w:rPr>
        <w:t xml:space="preserve"> their eviction from the farm and for damages for holding over in the sum of N$204 480 as representing the fair and reasonable rental for the farm from 1 March 2004 to 1 March 2007 and or further damages in the sum of N$6680 plus VAT per month for the Snymans’ occupation of the farm thereafter until the delivery of the farm to the executor.</w:t>
      </w:r>
    </w:p>
    <w:p w:rsidR="007642FD" w:rsidRPr="007642FD" w:rsidRDefault="007642FD" w:rsidP="007642FD">
      <w:pPr>
        <w:pStyle w:val="ListParagraph"/>
        <w:rPr>
          <w:rFonts w:ascii="Arial" w:hAnsi="Arial" w:cs="Arial"/>
          <w:sz w:val="24"/>
          <w:szCs w:val="24"/>
        </w:rPr>
      </w:pPr>
    </w:p>
    <w:p w:rsidR="007642FD" w:rsidRDefault="00860761"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In defence to the claim, the Snymans pleaded that th</w:t>
      </w:r>
      <w:r w:rsidR="003743A2">
        <w:rPr>
          <w:rFonts w:ascii="Arial" w:hAnsi="Arial" w:cs="Arial"/>
          <w:sz w:val="24"/>
          <w:szCs w:val="24"/>
        </w:rPr>
        <w:t>eir</w:t>
      </w:r>
      <w:r>
        <w:rPr>
          <w:rFonts w:ascii="Arial" w:hAnsi="Arial" w:cs="Arial"/>
          <w:sz w:val="24"/>
          <w:szCs w:val="24"/>
        </w:rPr>
        <w:t xml:space="preserve"> occupation and possession </w:t>
      </w:r>
      <w:r w:rsidR="003743A2">
        <w:rPr>
          <w:rFonts w:ascii="Arial" w:hAnsi="Arial" w:cs="Arial"/>
          <w:sz w:val="24"/>
          <w:szCs w:val="24"/>
        </w:rPr>
        <w:t xml:space="preserve">of the farm </w:t>
      </w:r>
      <w:r>
        <w:rPr>
          <w:rFonts w:ascii="Arial" w:hAnsi="Arial" w:cs="Arial"/>
          <w:sz w:val="24"/>
          <w:szCs w:val="24"/>
        </w:rPr>
        <w:t xml:space="preserve">arises from the lease. They pleaded that the option had been validly exercised and entitled them to possession. They </w:t>
      </w:r>
      <w:r w:rsidR="003743A2">
        <w:rPr>
          <w:rFonts w:ascii="Arial" w:hAnsi="Arial" w:cs="Arial"/>
          <w:sz w:val="24"/>
          <w:szCs w:val="24"/>
        </w:rPr>
        <w:t xml:space="preserve">also </w:t>
      </w:r>
      <w:r>
        <w:rPr>
          <w:rFonts w:ascii="Arial" w:hAnsi="Arial" w:cs="Arial"/>
          <w:sz w:val="24"/>
          <w:szCs w:val="24"/>
        </w:rPr>
        <w:t>denied being married in community of property and Mrs Snyman denied being married.</w:t>
      </w:r>
    </w:p>
    <w:p w:rsidR="007642FD" w:rsidRPr="007642FD" w:rsidRDefault="007642FD" w:rsidP="007642FD">
      <w:pPr>
        <w:pStyle w:val="ListParagraph"/>
        <w:rPr>
          <w:rFonts w:ascii="Arial" w:hAnsi="Arial" w:cs="Arial"/>
          <w:sz w:val="24"/>
          <w:szCs w:val="24"/>
        </w:rPr>
      </w:pPr>
    </w:p>
    <w:p w:rsidR="007642FD" w:rsidRDefault="00860761"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An extensive replication was filed on behalf of the executor. It pointed out that no executor was appointed for Mrs Jordaan’s estate at the time Mr Snyman and the late Mr Jordaan entered the lease including the option. It was pleaded that</w:t>
      </w:r>
      <w:r w:rsidR="00993978">
        <w:rPr>
          <w:rFonts w:ascii="Arial" w:hAnsi="Arial" w:cs="Arial"/>
          <w:sz w:val="24"/>
          <w:szCs w:val="24"/>
        </w:rPr>
        <w:t>,</w:t>
      </w:r>
      <w:r>
        <w:rPr>
          <w:rFonts w:ascii="Arial" w:hAnsi="Arial" w:cs="Arial"/>
          <w:sz w:val="24"/>
          <w:szCs w:val="24"/>
        </w:rPr>
        <w:t xml:space="preserve"> in the absence of being duly appointed as executor at that time, the late Mr Jordaan could not validly grant a valid option and that it was of no force and effect</w:t>
      </w:r>
      <w:r w:rsidR="00993978">
        <w:rPr>
          <w:rFonts w:ascii="Arial" w:hAnsi="Arial" w:cs="Arial"/>
          <w:sz w:val="24"/>
          <w:szCs w:val="24"/>
        </w:rPr>
        <w:t xml:space="preserve"> for this reason</w:t>
      </w:r>
      <w:r>
        <w:rPr>
          <w:rFonts w:ascii="Arial" w:hAnsi="Arial" w:cs="Arial"/>
          <w:sz w:val="24"/>
          <w:szCs w:val="24"/>
        </w:rPr>
        <w:t>.</w:t>
      </w:r>
    </w:p>
    <w:p w:rsidR="007642FD" w:rsidRPr="007642FD" w:rsidRDefault="007642FD" w:rsidP="007642FD">
      <w:pPr>
        <w:pStyle w:val="ListParagraph"/>
        <w:rPr>
          <w:rFonts w:ascii="Arial" w:hAnsi="Arial" w:cs="Arial"/>
          <w:sz w:val="24"/>
          <w:szCs w:val="24"/>
        </w:rPr>
      </w:pPr>
    </w:p>
    <w:p w:rsidR="007642FD" w:rsidRDefault="00860761"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The replication referred to the letter dated 17 February 2003 and pleaded that ‘the purported acceptance is . . . invalid and of no force and effect’.</w:t>
      </w:r>
    </w:p>
    <w:p w:rsidR="007642FD" w:rsidRPr="007642FD" w:rsidRDefault="007642FD" w:rsidP="007642FD">
      <w:pPr>
        <w:pStyle w:val="ListParagraph"/>
        <w:rPr>
          <w:rFonts w:ascii="Arial" w:hAnsi="Arial" w:cs="Arial"/>
          <w:sz w:val="24"/>
          <w:szCs w:val="24"/>
        </w:rPr>
      </w:pPr>
    </w:p>
    <w:p w:rsidR="00DD390C" w:rsidRDefault="00860761"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In the alternative, it was contended that the option was not timeously exercised. </w:t>
      </w:r>
    </w:p>
    <w:p w:rsidR="00DD390C" w:rsidRPr="00DD390C" w:rsidRDefault="00DD390C" w:rsidP="00DD390C">
      <w:pPr>
        <w:pStyle w:val="ListParagraph"/>
        <w:rPr>
          <w:rFonts w:ascii="Arial" w:hAnsi="Arial" w:cs="Arial"/>
          <w:sz w:val="24"/>
          <w:szCs w:val="24"/>
        </w:rPr>
      </w:pPr>
    </w:p>
    <w:p w:rsidR="007642FD" w:rsidRDefault="00860761"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It was also pleaded that the exercise of the option was invalid as being in conflict with s 17(2) of the Agricultur</w:t>
      </w:r>
      <w:r w:rsidR="00525CF5">
        <w:rPr>
          <w:rFonts w:ascii="Arial" w:hAnsi="Arial" w:cs="Arial"/>
          <w:sz w:val="24"/>
          <w:szCs w:val="24"/>
        </w:rPr>
        <w:t>al</w:t>
      </w:r>
      <w:r>
        <w:rPr>
          <w:rFonts w:ascii="Arial" w:hAnsi="Arial" w:cs="Arial"/>
          <w:sz w:val="24"/>
          <w:szCs w:val="24"/>
        </w:rPr>
        <w:t xml:space="preserve"> (Commercial) Land </w:t>
      </w:r>
      <w:r w:rsidR="00993978">
        <w:rPr>
          <w:rFonts w:ascii="Arial" w:hAnsi="Arial" w:cs="Arial"/>
          <w:sz w:val="24"/>
          <w:szCs w:val="24"/>
        </w:rPr>
        <w:t xml:space="preserve">Reform </w:t>
      </w:r>
      <w:r>
        <w:rPr>
          <w:rFonts w:ascii="Arial" w:hAnsi="Arial" w:cs="Arial"/>
          <w:sz w:val="24"/>
          <w:szCs w:val="24"/>
        </w:rPr>
        <w:t>Act, 6 of 1995</w:t>
      </w:r>
      <w:r w:rsidR="00993978">
        <w:rPr>
          <w:rFonts w:ascii="Arial" w:hAnsi="Arial" w:cs="Arial"/>
          <w:sz w:val="24"/>
          <w:szCs w:val="24"/>
        </w:rPr>
        <w:t xml:space="preserve"> (the Land Reform Act) </w:t>
      </w:r>
      <w:r w:rsidR="002516C9">
        <w:rPr>
          <w:rFonts w:ascii="Arial" w:hAnsi="Arial" w:cs="Arial"/>
          <w:sz w:val="24"/>
          <w:szCs w:val="24"/>
        </w:rPr>
        <w:t>in that s 17 required that the farm should first be offered to the State and</w:t>
      </w:r>
      <w:r w:rsidR="00993978">
        <w:rPr>
          <w:rFonts w:ascii="Arial" w:hAnsi="Arial" w:cs="Arial"/>
          <w:sz w:val="24"/>
          <w:szCs w:val="24"/>
        </w:rPr>
        <w:t xml:space="preserve"> for </w:t>
      </w:r>
      <w:r w:rsidR="002516C9">
        <w:rPr>
          <w:rFonts w:ascii="Arial" w:hAnsi="Arial" w:cs="Arial"/>
          <w:sz w:val="24"/>
          <w:szCs w:val="24"/>
        </w:rPr>
        <w:t xml:space="preserve">a certificate of waiver </w:t>
      </w:r>
      <w:r w:rsidR="00993978">
        <w:rPr>
          <w:rFonts w:ascii="Arial" w:hAnsi="Arial" w:cs="Arial"/>
          <w:sz w:val="24"/>
          <w:szCs w:val="24"/>
        </w:rPr>
        <w:t xml:space="preserve">to be </w:t>
      </w:r>
      <w:r w:rsidR="002516C9">
        <w:rPr>
          <w:rFonts w:ascii="Arial" w:hAnsi="Arial" w:cs="Arial"/>
          <w:sz w:val="24"/>
          <w:szCs w:val="24"/>
        </w:rPr>
        <w:t xml:space="preserve">issued. It was pleaded that it had not been offered to the State and </w:t>
      </w:r>
      <w:r w:rsidR="00993978">
        <w:rPr>
          <w:rFonts w:ascii="Arial" w:hAnsi="Arial" w:cs="Arial"/>
          <w:sz w:val="24"/>
          <w:szCs w:val="24"/>
        </w:rPr>
        <w:t xml:space="preserve">that </w:t>
      </w:r>
      <w:r w:rsidR="002516C9">
        <w:rPr>
          <w:rFonts w:ascii="Arial" w:hAnsi="Arial" w:cs="Arial"/>
          <w:sz w:val="24"/>
          <w:szCs w:val="24"/>
        </w:rPr>
        <w:t>no certificate of waiver had been issued.</w:t>
      </w:r>
    </w:p>
    <w:p w:rsidR="007642FD" w:rsidRPr="007642FD" w:rsidRDefault="007642FD" w:rsidP="007642FD">
      <w:pPr>
        <w:pStyle w:val="ListParagraph"/>
        <w:rPr>
          <w:rFonts w:ascii="Arial" w:hAnsi="Arial" w:cs="Arial"/>
          <w:sz w:val="24"/>
          <w:szCs w:val="24"/>
        </w:rPr>
      </w:pPr>
    </w:p>
    <w:p w:rsidR="007642FD" w:rsidRDefault="006A23C7"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It was also raised in the replication that the exercise of the option did not comply with the provisions of s 1 of the Formalities of Contracts of the Sale of Land Act, 71 of 1969 and is for that reason also of no force and effect.</w:t>
      </w:r>
    </w:p>
    <w:p w:rsidR="006A23C7" w:rsidRDefault="006A23C7" w:rsidP="003743A2">
      <w:pPr>
        <w:ind w:left="0"/>
        <w:rPr>
          <w:rFonts w:ascii="Arial" w:hAnsi="Arial" w:cs="Arial"/>
          <w:sz w:val="24"/>
          <w:szCs w:val="24"/>
        </w:rPr>
      </w:pPr>
    </w:p>
    <w:p w:rsidR="003743A2" w:rsidRPr="003743A2" w:rsidRDefault="003743A2" w:rsidP="003743A2">
      <w:pPr>
        <w:ind w:left="0"/>
        <w:rPr>
          <w:rFonts w:ascii="Arial" w:hAnsi="Arial" w:cs="Arial"/>
          <w:sz w:val="24"/>
          <w:szCs w:val="24"/>
          <w:u w:val="single"/>
        </w:rPr>
      </w:pPr>
      <w:r>
        <w:rPr>
          <w:rFonts w:ascii="Arial" w:hAnsi="Arial" w:cs="Arial"/>
          <w:sz w:val="24"/>
          <w:szCs w:val="24"/>
          <w:u w:val="single"/>
        </w:rPr>
        <w:t>The approach of the High Court</w:t>
      </w:r>
    </w:p>
    <w:p w:rsidR="006A23C7" w:rsidRDefault="006A23C7"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The High Court concluded that</w:t>
      </w:r>
      <w:r w:rsidR="00DD390C">
        <w:rPr>
          <w:rFonts w:ascii="Arial" w:hAnsi="Arial" w:cs="Arial"/>
          <w:sz w:val="24"/>
          <w:szCs w:val="24"/>
        </w:rPr>
        <w:t xml:space="preserve"> the</w:t>
      </w:r>
      <w:r>
        <w:rPr>
          <w:rFonts w:ascii="Arial" w:hAnsi="Arial" w:cs="Arial"/>
          <w:sz w:val="24"/>
          <w:szCs w:val="24"/>
        </w:rPr>
        <w:t xml:space="preserve"> exercise of the option conflicted with s 17 of the Land Reform Act and found that it was void and unenforceable for that reason</w:t>
      </w:r>
      <w:r w:rsidR="00DD390C">
        <w:rPr>
          <w:rFonts w:ascii="Arial" w:hAnsi="Arial" w:cs="Arial"/>
          <w:sz w:val="24"/>
          <w:szCs w:val="24"/>
        </w:rPr>
        <w:t>. That court</w:t>
      </w:r>
      <w:r>
        <w:rPr>
          <w:rFonts w:ascii="Arial" w:hAnsi="Arial" w:cs="Arial"/>
          <w:sz w:val="24"/>
          <w:szCs w:val="24"/>
        </w:rPr>
        <w:t xml:space="preserve"> found it unnecessary to express a view on the other grounds upon which the executor contended that the exercise of the option was invalid. The High Court thus found that the Snymans had not establish</w:t>
      </w:r>
      <w:r w:rsidR="00764826">
        <w:rPr>
          <w:rFonts w:ascii="Arial" w:hAnsi="Arial" w:cs="Arial"/>
          <w:sz w:val="24"/>
          <w:szCs w:val="24"/>
        </w:rPr>
        <w:t>ed</w:t>
      </w:r>
      <w:r>
        <w:rPr>
          <w:rFonts w:ascii="Arial" w:hAnsi="Arial" w:cs="Arial"/>
          <w:sz w:val="24"/>
          <w:szCs w:val="24"/>
        </w:rPr>
        <w:t xml:space="preserve"> a right of possession and ordered their eviction.</w:t>
      </w:r>
    </w:p>
    <w:p w:rsidR="006A23C7" w:rsidRPr="006A23C7" w:rsidRDefault="006A23C7" w:rsidP="006A23C7">
      <w:pPr>
        <w:pStyle w:val="ListParagraph"/>
        <w:rPr>
          <w:rFonts w:ascii="Arial" w:hAnsi="Arial" w:cs="Arial"/>
          <w:sz w:val="24"/>
          <w:szCs w:val="24"/>
        </w:rPr>
      </w:pPr>
    </w:p>
    <w:p w:rsidR="007642FD" w:rsidRPr="00DD390C" w:rsidRDefault="006A23C7" w:rsidP="00163E27">
      <w:pPr>
        <w:pStyle w:val="ListParagraph"/>
        <w:numPr>
          <w:ilvl w:val="0"/>
          <w:numId w:val="18"/>
        </w:numPr>
        <w:ind w:left="0" w:firstLine="0"/>
        <w:jc w:val="both"/>
        <w:rPr>
          <w:rFonts w:ascii="Arial" w:hAnsi="Arial" w:cs="Arial"/>
          <w:sz w:val="24"/>
          <w:szCs w:val="24"/>
        </w:rPr>
      </w:pPr>
      <w:r w:rsidRPr="00DD390C">
        <w:rPr>
          <w:rFonts w:ascii="Arial" w:hAnsi="Arial" w:cs="Arial"/>
          <w:sz w:val="24"/>
          <w:szCs w:val="24"/>
        </w:rPr>
        <w:t xml:space="preserve">As for the damages claim, the High Court rejected a point taken in the closing submissions that the claim should fail because no expert evidence was led as to a fair and reasonable rental for the farm. The reason for rejecting this argument was founded on an admission by Mr Snyman in cross examination that the rental for the farm was fair and reasonable. There was also an admission by him of </w:t>
      </w:r>
      <w:r w:rsidR="00DD390C" w:rsidRPr="00DD390C">
        <w:rPr>
          <w:rFonts w:ascii="Arial" w:hAnsi="Arial" w:cs="Arial"/>
          <w:sz w:val="24"/>
          <w:szCs w:val="24"/>
        </w:rPr>
        <w:t xml:space="preserve">subletting the farm for a greater sum. The court </w:t>
      </w:r>
      <w:r w:rsidR="00F96280" w:rsidRPr="00DD390C">
        <w:rPr>
          <w:rFonts w:ascii="Arial" w:hAnsi="Arial" w:cs="Arial"/>
          <w:sz w:val="24"/>
          <w:szCs w:val="24"/>
        </w:rPr>
        <w:t xml:space="preserve">also took into account that rentals </w:t>
      </w:r>
      <w:r w:rsidR="00DD390C">
        <w:rPr>
          <w:rFonts w:ascii="Arial" w:hAnsi="Arial" w:cs="Arial"/>
          <w:sz w:val="24"/>
          <w:szCs w:val="24"/>
        </w:rPr>
        <w:t xml:space="preserve">had </w:t>
      </w:r>
      <w:r w:rsidR="00F96280" w:rsidRPr="00DD390C">
        <w:rPr>
          <w:rFonts w:ascii="Arial" w:hAnsi="Arial" w:cs="Arial"/>
          <w:sz w:val="24"/>
          <w:szCs w:val="24"/>
        </w:rPr>
        <w:t xml:space="preserve">increased over the years </w:t>
      </w:r>
      <w:r w:rsidR="00DD390C">
        <w:rPr>
          <w:rFonts w:ascii="Arial" w:hAnsi="Arial" w:cs="Arial"/>
          <w:sz w:val="24"/>
          <w:szCs w:val="24"/>
        </w:rPr>
        <w:t xml:space="preserve">and that the rental claimed was agreed upon for 2003/2004 </w:t>
      </w:r>
      <w:r w:rsidR="00F96280" w:rsidRPr="00DD390C">
        <w:rPr>
          <w:rFonts w:ascii="Arial" w:hAnsi="Arial" w:cs="Arial"/>
          <w:sz w:val="24"/>
          <w:szCs w:val="24"/>
        </w:rPr>
        <w:t>and that the Snymans were still in occupation of that farm when their evidence was given some 10 years after the written lease had come to an end. The damages as claimed were awarded.</w:t>
      </w:r>
    </w:p>
    <w:p w:rsidR="00F96280" w:rsidRDefault="00F96280" w:rsidP="00E72710">
      <w:pPr>
        <w:ind w:left="0"/>
        <w:rPr>
          <w:rFonts w:ascii="Arial" w:hAnsi="Arial" w:cs="Arial"/>
          <w:sz w:val="24"/>
          <w:szCs w:val="24"/>
        </w:rPr>
      </w:pPr>
    </w:p>
    <w:p w:rsidR="00F96280" w:rsidRDefault="00F96280"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Snymans sought to appeal against the High Court’s rulings on both claims. Detailed written and oral argument was advanced by the Snymans’ counsel in respect of the enforceability of the option, addressing each of the grounds for illegality or unenforceability raised in the replication. It was also </w:t>
      </w:r>
      <w:r w:rsidR="00DD390C">
        <w:rPr>
          <w:rFonts w:ascii="Arial" w:hAnsi="Arial" w:cs="Arial"/>
          <w:sz w:val="24"/>
          <w:szCs w:val="24"/>
        </w:rPr>
        <w:t xml:space="preserve">again </w:t>
      </w:r>
      <w:r>
        <w:rPr>
          <w:rFonts w:ascii="Arial" w:hAnsi="Arial" w:cs="Arial"/>
          <w:sz w:val="24"/>
          <w:szCs w:val="24"/>
        </w:rPr>
        <w:t xml:space="preserve">argued that in the absence of expert evidence as to a reasonable rental, the damages claim should have failed. Counsel also pointed out that the damages award was </w:t>
      </w:r>
      <w:r w:rsidR="00DD390C">
        <w:rPr>
          <w:rFonts w:ascii="Arial" w:hAnsi="Arial" w:cs="Arial"/>
          <w:sz w:val="24"/>
          <w:szCs w:val="24"/>
        </w:rPr>
        <w:t xml:space="preserve">made </w:t>
      </w:r>
      <w:r>
        <w:rPr>
          <w:rFonts w:ascii="Arial" w:hAnsi="Arial" w:cs="Arial"/>
          <w:sz w:val="24"/>
          <w:szCs w:val="24"/>
        </w:rPr>
        <w:t xml:space="preserve">jointly and severally against </w:t>
      </w:r>
      <w:r w:rsidR="00DD390C">
        <w:rPr>
          <w:rFonts w:ascii="Arial" w:hAnsi="Arial" w:cs="Arial"/>
          <w:sz w:val="24"/>
          <w:szCs w:val="24"/>
        </w:rPr>
        <w:t xml:space="preserve">both Mr and </w:t>
      </w:r>
      <w:r>
        <w:rPr>
          <w:rFonts w:ascii="Arial" w:hAnsi="Arial" w:cs="Arial"/>
          <w:sz w:val="24"/>
          <w:szCs w:val="24"/>
        </w:rPr>
        <w:t xml:space="preserve">Mrs Snyman even though the parties were married out of community of property. Counsel for the executor conceded that this was done in error by the High Court. </w:t>
      </w:r>
    </w:p>
    <w:p w:rsidR="00F96280" w:rsidRPr="00F96280" w:rsidRDefault="00F96280" w:rsidP="00F96280">
      <w:pPr>
        <w:pStyle w:val="ListParagraph"/>
        <w:rPr>
          <w:rFonts w:ascii="Arial" w:hAnsi="Arial" w:cs="Arial"/>
          <w:sz w:val="24"/>
          <w:szCs w:val="24"/>
        </w:rPr>
      </w:pPr>
    </w:p>
    <w:p w:rsidR="00F96280" w:rsidRDefault="00F96280"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amended claim alleged that the Snymans were married in community of property and </w:t>
      </w:r>
      <w:r w:rsidR="00DD390C">
        <w:rPr>
          <w:rFonts w:ascii="Arial" w:hAnsi="Arial" w:cs="Arial"/>
          <w:sz w:val="24"/>
          <w:szCs w:val="24"/>
        </w:rPr>
        <w:t>claimed damages against them</w:t>
      </w:r>
      <w:r>
        <w:rPr>
          <w:rFonts w:ascii="Arial" w:hAnsi="Arial" w:cs="Arial"/>
          <w:sz w:val="24"/>
          <w:szCs w:val="24"/>
        </w:rPr>
        <w:t xml:space="preserve"> jointly and severally. The plea denied that proprietary regime and </w:t>
      </w:r>
      <w:r w:rsidR="00957753">
        <w:rPr>
          <w:rFonts w:ascii="Arial" w:hAnsi="Arial" w:cs="Arial"/>
          <w:sz w:val="24"/>
          <w:szCs w:val="24"/>
        </w:rPr>
        <w:t>Mrs Snyman went further and denied being married. During their testimony, it emerged and was accepted that they were married out of community of property. At the conclusion of the High Court’s judgment, it was merely stated in the order:</w:t>
      </w:r>
    </w:p>
    <w:p w:rsidR="00957753" w:rsidRPr="00957753" w:rsidRDefault="00957753" w:rsidP="00957753">
      <w:pPr>
        <w:pStyle w:val="ListParagraph"/>
        <w:rPr>
          <w:rFonts w:ascii="Arial" w:hAnsi="Arial" w:cs="Arial"/>
          <w:sz w:val="24"/>
          <w:szCs w:val="24"/>
        </w:rPr>
      </w:pPr>
    </w:p>
    <w:p w:rsidR="00957753" w:rsidRPr="00957753" w:rsidRDefault="00957753" w:rsidP="00957753">
      <w:pPr>
        <w:pStyle w:val="ListParagraph"/>
        <w:spacing w:line="360" w:lineRule="auto"/>
        <w:jc w:val="both"/>
        <w:rPr>
          <w:rFonts w:ascii="Arial" w:hAnsi="Arial" w:cs="Arial"/>
        </w:rPr>
      </w:pPr>
      <w:r>
        <w:rPr>
          <w:rFonts w:ascii="Arial" w:hAnsi="Arial" w:cs="Arial"/>
        </w:rPr>
        <w:t>‘The plaintiff’s claims are</w:t>
      </w:r>
      <w:r w:rsidR="00525CF5">
        <w:rPr>
          <w:rFonts w:ascii="Arial" w:hAnsi="Arial" w:cs="Arial"/>
        </w:rPr>
        <w:t xml:space="preserve"> upheld with costs . . . ’</w:t>
      </w:r>
      <w:r>
        <w:rPr>
          <w:rFonts w:ascii="Arial" w:hAnsi="Arial" w:cs="Arial"/>
        </w:rPr>
        <w:t>.</w:t>
      </w:r>
    </w:p>
    <w:p w:rsidR="00957753" w:rsidRDefault="00957753" w:rsidP="00957753">
      <w:pPr>
        <w:ind w:left="0"/>
        <w:rPr>
          <w:rFonts w:ascii="Arial" w:hAnsi="Arial" w:cs="Arial"/>
          <w:sz w:val="24"/>
          <w:szCs w:val="24"/>
        </w:rPr>
      </w:pPr>
    </w:p>
    <w:p w:rsidR="00957753" w:rsidRDefault="00DD390C" w:rsidP="006753BD">
      <w:pPr>
        <w:ind w:left="0"/>
        <w:jc w:val="both"/>
        <w:rPr>
          <w:rFonts w:ascii="Arial" w:hAnsi="Arial" w:cs="Arial"/>
          <w:sz w:val="24"/>
          <w:szCs w:val="24"/>
        </w:rPr>
      </w:pPr>
      <w:r>
        <w:rPr>
          <w:rFonts w:ascii="Arial" w:hAnsi="Arial" w:cs="Arial"/>
          <w:sz w:val="24"/>
          <w:szCs w:val="24"/>
        </w:rPr>
        <w:t>w</w:t>
      </w:r>
      <w:r w:rsidR="00957753">
        <w:rPr>
          <w:rFonts w:ascii="Arial" w:hAnsi="Arial" w:cs="Arial"/>
          <w:sz w:val="24"/>
          <w:szCs w:val="24"/>
        </w:rPr>
        <w:t xml:space="preserve">ithout further specifying them. The court below acknowledged that the Snymans are married out of community of property. In upholding the claims, the High Court should have </w:t>
      </w:r>
      <w:r w:rsidR="006753BD">
        <w:rPr>
          <w:rFonts w:ascii="Arial" w:hAnsi="Arial" w:cs="Arial"/>
          <w:sz w:val="24"/>
          <w:szCs w:val="24"/>
        </w:rPr>
        <w:t xml:space="preserve">qualified the damages and only granted </w:t>
      </w:r>
      <w:r>
        <w:rPr>
          <w:rFonts w:ascii="Arial" w:hAnsi="Arial" w:cs="Arial"/>
          <w:sz w:val="24"/>
          <w:szCs w:val="24"/>
        </w:rPr>
        <w:t>the award as</w:t>
      </w:r>
      <w:r w:rsidR="006753BD">
        <w:rPr>
          <w:rFonts w:ascii="Arial" w:hAnsi="Arial" w:cs="Arial"/>
          <w:sz w:val="24"/>
          <w:szCs w:val="24"/>
        </w:rPr>
        <w:t xml:space="preserve"> against Mr Snyman. At the </w:t>
      </w:r>
      <w:r>
        <w:rPr>
          <w:rFonts w:ascii="Arial" w:hAnsi="Arial" w:cs="Arial"/>
          <w:sz w:val="24"/>
          <w:szCs w:val="24"/>
        </w:rPr>
        <w:t xml:space="preserve">very </w:t>
      </w:r>
      <w:r w:rsidR="006753BD">
        <w:rPr>
          <w:rFonts w:ascii="Arial" w:hAnsi="Arial" w:cs="Arial"/>
          <w:sz w:val="24"/>
          <w:szCs w:val="24"/>
        </w:rPr>
        <w:t>least</w:t>
      </w:r>
      <w:r>
        <w:rPr>
          <w:rFonts w:ascii="Arial" w:hAnsi="Arial" w:cs="Arial"/>
          <w:sz w:val="24"/>
          <w:szCs w:val="24"/>
        </w:rPr>
        <w:t>,</w:t>
      </w:r>
      <w:r w:rsidR="006753BD">
        <w:rPr>
          <w:rFonts w:ascii="Arial" w:hAnsi="Arial" w:cs="Arial"/>
          <w:sz w:val="24"/>
          <w:szCs w:val="24"/>
        </w:rPr>
        <w:t xml:space="preserve"> the High Court’s order would need to be rectified under s 19</w:t>
      </w:r>
      <w:r w:rsidR="006753BD" w:rsidRPr="00525CF5">
        <w:rPr>
          <w:rFonts w:ascii="Arial" w:hAnsi="Arial" w:cs="Arial"/>
          <w:i/>
          <w:sz w:val="24"/>
          <w:szCs w:val="24"/>
        </w:rPr>
        <w:t>(b)</w:t>
      </w:r>
      <w:r w:rsidR="006753BD">
        <w:rPr>
          <w:rFonts w:ascii="Arial" w:hAnsi="Arial" w:cs="Arial"/>
          <w:sz w:val="24"/>
          <w:szCs w:val="24"/>
        </w:rPr>
        <w:t xml:space="preserve"> of the Supreme Court Act, 15 of 1990 to address this error.</w:t>
      </w:r>
    </w:p>
    <w:p w:rsidR="00957753" w:rsidRDefault="00957753" w:rsidP="006753BD">
      <w:pPr>
        <w:ind w:left="0"/>
        <w:jc w:val="both"/>
        <w:rPr>
          <w:rFonts w:ascii="Arial" w:hAnsi="Arial" w:cs="Arial"/>
          <w:sz w:val="24"/>
          <w:szCs w:val="24"/>
        </w:rPr>
      </w:pPr>
    </w:p>
    <w:p w:rsidR="00D83FBA" w:rsidRPr="00D83FBA" w:rsidRDefault="00D83FBA" w:rsidP="006753BD">
      <w:pPr>
        <w:ind w:left="0"/>
        <w:jc w:val="both"/>
        <w:rPr>
          <w:rFonts w:ascii="Arial" w:hAnsi="Arial" w:cs="Arial"/>
          <w:sz w:val="24"/>
          <w:szCs w:val="24"/>
          <w:u w:val="single"/>
        </w:rPr>
      </w:pPr>
      <w:r>
        <w:rPr>
          <w:rFonts w:ascii="Arial" w:hAnsi="Arial" w:cs="Arial"/>
          <w:sz w:val="24"/>
          <w:szCs w:val="24"/>
          <w:u w:val="single"/>
        </w:rPr>
        <w:t>Was the option validly exercised?</w:t>
      </w:r>
    </w:p>
    <w:p w:rsidR="00151772" w:rsidRDefault="006753BD" w:rsidP="006753BD">
      <w:pPr>
        <w:pStyle w:val="ListParagraph"/>
        <w:numPr>
          <w:ilvl w:val="0"/>
          <w:numId w:val="18"/>
        </w:numPr>
        <w:ind w:left="0" w:firstLine="0"/>
        <w:jc w:val="both"/>
        <w:rPr>
          <w:rFonts w:ascii="Arial" w:hAnsi="Arial" w:cs="Arial"/>
          <w:sz w:val="24"/>
          <w:szCs w:val="24"/>
        </w:rPr>
      </w:pPr>
      <w:r>
        <w:rPr>
          <w:rFonts w:ascii="Arial" w:hAnsi="Arial" w:cs="Arial"/>
          <w:sz w:val="24"/>
          <w:szCs w:val="24"/>
        </w:rPr>
        <w:t>In both the written and oral argument advanced on behalf of the executor, it was also contended that the option had not been validly exercised because the purported acceptance was not unequivocal and unambiguous</w:t>
      </w:r>
      <w:r w:rsidR="00151772">
        <w:rPr>
          <w:rFonts w:ascii="Arial" w:hAnsi="Arial" w:cs="Arial"/>
          <w:sz w:val="24"/>
          <w:szCs w:val="24"/>
        </w:rPr>
        <w:t>. Mr Snym</w:t>
      </w:r>
      <w:r w:rsidR="00E72710">
        <w:rPr>
          <w:rFonts w:ascii="Arial" w:hAnsi="Arial" w:cs="Arial"/>
          <w:sz w:val="24"/>
          <w:szCs w:val="24"/>
        </w:rPr>
        <w:t xml:space="preserve">an’s letter of 17 February 2003, as translated, </w:t>
      </w:r>
      <w:r w:rsidR="00151772">
        <w:rPr>
          <w:rFonts w:ascii="Arial" w:hAnsi="Arial" w:cs="Arial"/>
          <w:sz w:val="24"/>
          <w:szCs w:val="24"/>
        </w:rPr>
        <w:t>stated:</w:t>
      </w:r>
    </w:p>
    <w:p w:rsidR="00151772" w:rsidRDefault="00151772" w:rsidP="00151772">
      <w:pPr>
        <w:pStyle w:val="ListParagraph"/>
        <w:ind w:left="0"/>
        <w:jc w:val="both"/>
        <w:rPr>
          <w:rFonts w:ascii="Arial" w:hAnsi="Arial" w:cs="Arial"/>
          <w:sz w:val="24"/>
          <w:szCs w:val="24"/>
        </w:rPr>
      </w:pPr>
    </w:p>
    <w:p w:rsidR="00E72710" w:rsidRPr="00E72710" w:rsidRDefault="006753BD" w:rsidP="00C9718C">
      <w:pPr>
        <w:pStyle w:val="ListParagraph"/>
        <w:spacing w:line="360" w:lineRule="auto"/>
        <w:jc w:val="both"/>
        <w:rPr>
          <w:rFonts w:ascii="Arial" w:hAnsi="Arial" w:cs="Arial"/>
        </w:rPr>
      </w:pPr>
      <w:r>
        <w:rPr>
          <w:rFonts w:ascii="Arial" w:hAnsi="Arial" w:cs="Arial"/>
          <w:sz w:val="24"/>
          <w:szCs w:val="24"/>
        </w:rPr>
        <w:t xml:space="preserve">  </w:t>
      </w:r>
      <w:r w:rsidR="00E72710">
        <w:rPr>
          <w:rFonts w:ascii="Arial" w:hAnsi="Arial" w:cs="Arial"/>
          <w:sz w:val="24"/>
          <w:szCs w:val="24"/>
        </w:rPr>
        <w:tab/>
      </w:r>
      <w:r w:rsidR="00E72710">
        <w:rPr>
          <w:rFonts w:ascii="Arial" w:hAnsi="Arial" w:cs="Arial"/>
          <w:sz w:val="24"/>
          <w:szCs w:val="24"/>
        </w:rPr>
        <w:tab/>
      </w:r>
      <w:r w:rsidR="00E72710">
        <w:rPr>
          <w:rFonts w:ascii="Arial" w:hAnsi="Arial" w:cs="Arial"/>
          <w:sz w:val="24"/>
          <w:szCs w:val="24"/>
        </w:rPr>
        <w:tab/>
      </w:r>
      <w:r w:rsidR="00E72710">
        <w:rPr>
          <w:rFonts w:ascii="Arial" w:hAnsi="Arial" w:cs="Arial"/>
          <w:sz w:val="24"/>
          <w:szCs w:val="24"/>
        </w:rPr>
        <w:tab/>
      </w:r>
      <w:r w:rsidR="00E72710">
        <w:rPr>
          <w:rFonts w:ascii="Arial" w:hAnsi="Arial" w:cs="Arial"/>
          <w:sz w:val="24"/>
          <w:szCs w:val="24"/>
        </w:rPr>
        <w:tab/>
      </w:r>
      <w:r w:rsidR="00E72710">
        <w:rPr>
          <w:rFonts w:ascii="Arial" w:hAnsi="Arial" w:cs="Arial"/>
          <w:sz w:val="24"/>
          <w:szCs w:val="24"/>
        </w:rPr>
        <w:tab/>
      </w:r>
      <w:r w:rsidR="00E72710">
        <w:rPr>
          <w:rFonts w:ascii="Arial" w:hAnsi="Arial" w:cs="Arial"/>
          <w:sz w:val="24"/>
          <w:szCs w:val="24"/>
        </w:rPr>
        <w:tab/>
      </w:r>
      <w:r w:rsidR="00E72710">
        <w:rPr>
          <w:rFonts w:ascii="Arial" w:hAnsi="Arial" w:cs="Arial"/>
          <w:sz w:val="24"/>
          <w:szCs w:val="24"/>
        </w:rPr>
        <w:tab/>
      </w:r>
      <w:r w:rsidR="00E72710" w:rsidRPr="00E72710">
        <w:rPr>
          <w:rFonts w:ascii="Arial" w:hAnsi="Arial" w:cs="Arial"/>
        </w:rPr>
        <w:t>‘17/02/2003</w:t>
      </w:r>
    </w:p>
    <w:p w:rsidR="00E72710" w:rsidRPr="00E72710" w:rsidRDefault="00E72710" w:rsidP="00C9718C">
      <w:pPr>
        <w:pStyle w:val="ListParagraph"/>
        <w:spacing w:line="360" w:lineRule="auto"/>
        <w:jc w:val="both"/>
        <w:rPr>
          <w:rFonts w:ascii="Arial" w:hAnsi="Arial" w:cs="Arial"/>
        </w:rPr>
      </w:pPr>
    </w:p>
    <w:p w:rsidR="00957753" w:rsidRPr="00E72710" w:rsidRDefault="00E72710" w:rsidP="00C9718C">
      <w:pPr>
        <w:pStyle w:val="ListParagraph"/>
        <w:spacing w:line="360" w:lineRule="auto"/>
        <w:jc w:val="both"/>
        <w:rPr>
          <w:rFonts w:ascii="Arial" w:hAnsi="Arial" w:cs="Arial"/>
        </w:rPr>
      </w:pPr>
      <w:r w:rsidRPr="00E72710">
        <w:rPr>
          <w:rFonts w:ascii="Arial" w:hAnsi="Arial" w:cs="Arial"/>
        </w:rPr>
        <w:t>THE EXECUTOR</w:t>
      </w:r>
    </w:p>
    <w:p w:rsidR="00E72710" w:rsidRPr="00E72710" w:rsidRDefault="00E72710" w:rsidP="00C9718C">
      <w:pPr>
        <w:pStyle w:val="ListParagraph"/>
        <w:spacing w:line="360" w:lineRule="auto"/>
        <w:jc w:val="both"/>
        <w:rPr>
          <w:rFonts w:ascii="Arial" w:hAnsi="Arial" w:cs="Arial"/>
        </w:rPr>
      </w:pPr>
      <w:r w:rsidRPr="00E72710">
        <w:rPr>
          <w:rFonts w:ascii="Arial" w:hAnsi="Arial" w:cs="Arial"/>
        </w:rPr>
        <w:t>ESTATE: LATE A.J.J. JORDAAN</w:t>
      </w:r>
    </w:p>
    <w:p w:rsidR="00E72710" w:rsidRPr="00E72710" w:rsidRDefault="00E72710" w:rsidP="00C9718C">
      <w:pPr>
        <w:pStyle w:val="ListParagraph"/>
        <w:spacing w:line="360" w:lineRule="auto"/>
        <w:jc w:val="both"/>
        <w:rPr>
          <w:rFonts w:ascii="Arial" w:hAnsi="Arial" w:cs="Arial"/>
        </w:rPr>
      </w:pPr>
    </w:p>
    <w:p w:rsidR="00E72710" w:rsidRPr="00E72710" w:rsidRDefault="00E72710" w:rsidP="00C9718C">
      <w:pPr>
        <w:pStyle w:val="ListParagraph"/>
        <w:spacing w:line="360" w:lineRule="auto"/>
        <w:jc w:val="both"/>
        <w:rPr>
          <w:rFonts w:ascii="Arial" w:hAnsi="Arial" w:cs="Arial"/>
        </w:rPr>
      </w:pPr>
      <w:r w:rsidRPr="00E72710">
        <w:rPr>
          <w:rFonts w:ascii="Arial" w:hAnsi="Arial" w:cs="Arial"/>
        </w:rPr>
        <w:t>Dear Sir</w:t>
      </w:r>
    </w:p>
    <w:p w:rsidR="00E72710" w:rsidRPr="00E72710" w:rsidRDefault="00E72710" w:rsidP="00C9718C">
      <w:pPr>
        <w:pStyle w:val="ListParagraph"/>
        <w:spacing w:line="360" w:lineRule="auto"/>
        <w:jc w:val="both"/>
        <w:rPr>
          <w:rFonts w:ascii="Arial" w:hAnsi="Arial" w:cs="Arial"/>
        </w:rPr>
      </w:pPr>
    </w:p>
    <w:p w:rsidR="00E72710" w:rsidRPr="00E72710" w:rsidRDefault="00E72710" w:rsidP="00C9718C">
      <w:pPr>
        <w:pStyle w:val="ListParagraph"/>
        <w:spacing w:line="360" w:lineRule="auto"/>
        <w:jc w:val="both"/>
        <w:rPr>
          <w:rFonts w:ascii="Arial" w:hAnsi="Arial" w:cs="Arial"/>
        </w:rPr>
      </w:pPr>
      <w:r w:rsidRPr="00E72710">
        <w:rPr>
          <w:rFonts w:ascii="Arial" w:hAnsi="Arial" w:cs="Arial"/>
        </w:rPr>
        <w:t>RE MY OPTION TO PURCHASE FARM MARWIL</w:t>
      </w:r>
    </w:p>
    <w:p w:rsidR="00E72710" w:rsidRPr="00E72710" w:rsidRDefault="00E72710" w:rsidP="00C9718C">
      <w:pPr>
        <w:pStyle w:val="ListParagraph"/>
        <w:spacing w:line="360" w:lineRule="auto"/>
        <w:jc w:val="both"/>
        <w:rPr>
          <w:rFonts w:ascii="Arial" w:hAnsi="Arial" w:cs="Arial"/>
        </w:rPr>
      </w:pPr>
    </w:p>
    <w:p w:rsidR="00E72710" w:rsidRPr="00E72710" w:rsidRDefault="00E72710" w:rsidP="00E72710">
      <w:pPr>
        <w:pStyle w:val="ListParagraph"/>
        <w:spacing w:line="360" w:lineRule="auto"/>
        <w:jc w:val="both"/>
        <w:rPr>
          <w:rFonts w:ascii="Arial" w:hAnsi="Arial" w:cs="Arial"/>
        </w:rPr>
      </w:pPr>
      <w:r w:rsidRPr="00E72710">
        <w:rPr>
          <w:rFonts w:ascii="Arial" w:hAnsi="Arial" w:cs="Arial"/>
        </w:rPr>
        <w:t>I refer you to the contract between myself and the late Mr Jordaan. Item 19 of the contract determines the following: “The LESSOR herewith grants to the LESSEE the right to purchase the property from him upon expiry of this agreement . . .”</w:t>
      </w:r>
    </w:p>
    <w:p w:rsidR="00E72710" w:rsidRPr="00E72710" w:rsidRDefault="00E72710" w:rsidP="00E72710">
      <w:pPr>
        <w:pStyle w:val="ListParagraph"/>
        <w:spacing w:line="360" w:lineRule="auto"/>
        <w:jc w:val="both"/>
        <w:rPr>
          <w:rFonts w:ascii="Arial" w:hAnsi="Arial" w:cs="Arial"/>
        </w:rPr>
      </w:pPr>
    </w:p>
    <w:p w:rsidR="00E72710" w:rsidRPr="00E72710" w:rsidRDefault="00E72710" w:rsidP="00E72710">
      <w:pPr>
        <w:pStyle w:val="ListParagraph"/>
        <w:spacing w:line="360" w:lineRule="auto"/>
        <w:jc w:val="both"/>
        <w:rPr>
          <w:rFonts w:ascii="Arial" w:hAnsi="Arial" w:cs="Arial"/>
        </w:rPr>
      </w:pPr>
      <w:r w:rsidRPr="00E72710">
        <w:rPr>
          <w:rFonts w:ascii="Arial" w:hAnsi="Arial" w:cs="Arial"/>
        </w:rPr>
        <w:t>Herewith I then want to give written notice that I intend to exercise this option DV as determined by the agreement.</w:t>
      </w:r>
    </w:p>
    <w:p w:rsidR="00E72710" w:rsidRPr="00E72710" w:rsidRDefault="00E72710" w:rsidP="00E72710">
      <w:pPr>
        <w:pStyle w:val="ListParagraph"/>
        <w:spacing w:line="360" w:lineRule="auto"/>
        <w:jc w:val="both"/>
        <w:rPr>
          <w:rFonts w:ascii="Arial" w:hAnsi="Arial" w:cs="Arial"/>
        </w:rPr>
      </w:pPr>
    </w:p>
    <w:p w:rsidR="00E72710" w:rsidRPr="00E72710" w:rsidRDefault="00E72710" w:rsidP="00E72710">
      <w:pPr>
        <w:pStyle w:val="ListParagraph"/>
        <w:spacing w:line="360" w:lineRule="auto"/>
        <w:jc w:val="both"/>
        <w:rPr>
          <w:rFonts w:ascii="Arial" w:hAnsi="Arial" w:cs="Arial"/>
        </w:rPr>
      </w:pPr>
      <w:r w:rsidRPr="00E72710">
        <w:rPr>
          <w:rFonts w:ascii="Arial" w:hAnsi="Arial" w:cs="Arial"/>
        </w:rPr>
        <w:t xml:space="preserve">I should like to receive notification in writing from you whether you are willing to sell this property to a Limited </w:t>
      </w:r>
      <w:r w:rsidR="00D83FBA">
        <w:rPr>
          <w:rFonts w:ascii="Arial" w:hAnsi="Arial" w:cs="Arial"/>
        </w:rPr>
        <w:t>(Close) Corporation</w:t>
      </w:r>
      <w:r w:rsidRPr="00E72710">
        <w:rPr>
          <w:rFonts w:ascii="Arial" w:hAnsi="Arial" w:cs="Arial"/>
        </w:rPr>
        <w:t>.</w:t>
      </w:r>
    </w:p>
    <w:p w:rsidR="00E72710" w:rsidRPr="00E72710" w:rsidRDefault="00E72710" w:rsidP="00E72710">
      <w:pPr>
        <w:pStyle w:val="ListParagraph"/>
        <w:spacing w:line="360" w:lineRule="auto"/>
        <w:jc w:val="both"/>
        <w:rPr>
          <w:rFonts w:ascii="Arial" w:hAnsi="Arial" w:cs="Arial"/>
        </w:rPr>
      </w:pPr>
    </w:p>
    <w:p w:rsidR="00E72710" w:rsidRPr="00E72710" w:rsidRDefault="00E72710" w:rsidP="00E72710">
      <w:pPr>
        <w:pStyle w:val="ListParagraph"/>
        <w:spacing w:line="360" w:lineRule="auto"/>
        <w:jc w:val="both"/>
        <w:rPr>
          <w:rFonts w:ascii="Arial" w:hAnsi="Arial" w:cs="Arial"/>
        </w:rPr>
      </w:pPr>
      <w:r w:rsidRPr="00E72710">
        <w:rPr>
          <w:rFonts w:ascii="Arial" w:hAnsi="Arial" w:cs="Arial"/>
        </w:rPr>
        <w:t>I should like to hear from you soon.</w:t>
      </w:r>
    </w:p>
    <w:p w:rsidR="00E72710" w:rsidRPr="00E72710" w:rsidRDefault="00E72710" w:rsidP="00E72710">
      <w:pPr>
        <w:pStyle w:val="ListParagraph"/>
        <w:spacing w:line="360" w:lineRule="auto"/>
        <w:jc w:val="both"/>
        <w:rPr>
          <w:rFonts w:ascii="Arial" w:hAnsi="Arial" w:cs="Arial"/>
        </w:rPr>
      </w:pPr>
    </w:p>
    <w:p w:rsidR="00E72710" w:rsidRPr="00E72710" w:rsidRDefault="00E72710" w:rsidP="00E72710">
      <w:pPr>
        <w:pStyle w:val="ListParagraph"/>
        <w:spacing w:line="360" w:lineRule="auto"/>
        <w:jc w:val="both"/>
        <w:rPr>
          <w:rFonts w:ascii="Arial" w:hAnsi="Arial" w:cs="Arial"/>
        </w:rPr>
      </w:pPr>
      <w:r w:rsidRPr="00E72710">
        <w:rPr>
          <w:rFonts w:ascii="Arial" w:hAnsi="Arial" w:cs="Arial"/>
        </w:rPr>
        <w:t>Regards</w:t>
      </w:r>
    </w:p>
    <w:p w:rsidR="00E72710" w:rsidRPr="00E72710" w:rsidRDefault="00E72710" w:rsidP="00E72710">
      <w:pPr>
        <w:pStyle w:val="ListParagraph"/>
        <w:spacing w:line="360" w:lineRule="auto"/>
        <w:jc w:val="both"/>
        <w:rPr>
          <w:rFonts w:ascii="Arial" w:hAnsi="Arial" w:cs="Arial"/>
        </w:rPr>
      </w:pPr>
    </w:p>
    <w:p w:rsidR="00E72710" w:rsidRPr="00E72710" w:rsidRDefault="00E72710" w:rsidP="00E72710">
      <w:pPr>
        <w:pStyle w:val="ListParagraph"/>
        <w:spacing w:line="360" w:lineRule="auto"/>
        <w:jc w:val="both"/>
        <w:rPr>
          <w:rFonts w:ascii="Arial" w:hAnsi="Arial" w:cs="Arial"/>
        </w:rPr>
      </w:pPr>
      <w:r w:rsidRPr="00E72710">
        <w:rPr>
          <w:rFonts w:ascii="Arial" w:hAnsi="Arial" w:cs="Arial"/>
        </w:rPr>
        <w:t>W.M. Snyman’</w:t>
      </w:r>
    </w:p>
    <w:p w:rsidR="00957753" w:rsidRPr="00957753" w:rsidRDefault="00957753" w:rsidP="006753BD">
      <w:pPr>
        <w:pStyle w:val="ListParagraph"/>
        <w:jc w:val="both"/>
        <w:rPr>
          <w:rFonts w:ascii="Arial" w:hAnsi="Arial" w:cs="Arial"/>
          <w:sz w:val="24"/>
          <w:szCs w:val="24"/>
        </w:rPr>
      </w:pPr>
    </w:p>
    <w:p w:rsidR="00957753" w:rsidRDefault="00DD390C" w:rsidP="006753BD">
      <w:pPr>
        <w:pStyle w:val="ListParagraph"/>
        <w:numPr>
          <w:ilvl w:val="0"/>
          <w:numId w:val="18"/>
        </w:numPr>
        <w:ind w:left="0" w:firstLine="0"/>
        <w:jc w:val="both"/>
        <w:rPr>
          <w:rFonts w:ascii="Arial" w:hAnsi="Arial" w:cs="Arial"/>
          <w:sz w:val="24"/>
          <w:szCs w:val="24"/>
        </w:rPr>
      </w:pPr>
      <w:r>
        <w:rPr>
          <w:rFonts w:ascii="Arial" w:hAnsi="Arial" w:cs="Arial"/>
          <w:sz w:val="24"/>
          <w:szCs w:val="24"/>
        </w:rPr>
        <w:t>Counsel for the Snymans objected to this point being argued as it was not separately</w:t>
      </w:r>
      <w:r w:rsidR="00151772">
        <w:rPr>
          <w:rFonts w:ascii="Arial" w:hAnsi="Arial" w:cs="Arial"/>
          <w:sz w:val="24"/>
          <w:szCs w:val="24"/>
        </w:rPr>
        <w:t xml:space="preserve"> raised in the replication. But the executor had contested that the option had been validly exercised. Several grounds with reference to statutory provisions were enumerated, although this specific point was not referred to. But what is clear is that in eviction proceedings, a plaintiff is required to prove ownership of the thing and that the defendants are in possession of the thing at the time of institution of the action. (See </w:t>
      </w:r>
      <w:r w:rsidR="00151772">
        <w:rPr>
          <w:rFonts w:ascii="Arial" w:hAnsi="Arial" w:cs="Arial"/>
          <w:i/>
          <w:sz w:val="24"/>
          <w:szCs w:val="24"/>
        </w:rPr>
        <w:t>Chet</w:t>
      </w:r>
      <w:r w:rsidR="0033765B">
        <w:rPr>
          <w:rFonts w:ascii="Arial" w:hAnsi="Arial" w:cs="Arial"/>
          <w:i/>
          <w:sz w:val="24"/>
          <w:szCs w:val="24"/>
        </w:rPr>
        <w:t>t</w:t>
      </w:r>
      <w:r w:rsidR="00151772">
        <w:rPr>
          <w:rFonts w:ascii="Arial" w:hAnsi="Arial" w:cs="Arial"/>
          <w:i/>
          <w:sz w:val="24"/>
          <w:szCs w:val="24"/>
        </w:rPr>
        <w:t xml:space="preserve">y v Naidoo </w:t>
      </w:r>
      <w:r w:rsidR="00151772">
        <w:rPr>
          <w:rFonts w:ascii="Arial" w:hAnsi="Arial" w:cs="Arial"/>
          <w:sz w:val="24"/>
          <w:szCs w:val="24"/>
        </w:rPr>
        <w:t>1974</w:t>
      </w:r>
      <w:r w:rsidR="00C9718C">
        <w:rPr>
          <w:rFonts w:ascii="Arial" w:hAnsi="Arial" w:cs="Arial"/>
          <w:sz w:val="24"/>
          <w:szCs w:val="24"/>
        </w:rPr>
        <w:t xml:space="preserve"> </w:t>
      </w:r>
      <w:r w:rsidR="00151772">
        <w:rPr>
          <w:rFonts w:ascii="Arial" w:hAnsi="Arial" w:cs="Arial"/>
          <w:sz w:val="24"/>
          <w:szCs w:val="24"/>
        </w:rPr>
        <w:t xml:space="preserve">(3) SA 13 (A), </w:t>
      </w:r>
      <w:r w:rsidR="00180A72">
        <w:rPr>
          <w:rFonts w:ascii="Arial" w:hAnsi="Arial" w:cs="Arial"/>
          <w:sz w:val="24"/>
          <w:szCs w:val="24"/>
        </w:rPr>
        <w:t xml:space="preserve">at </w:t>
      </w:r>
      <w:r w:rsidR="0033765B">
        <w:rPr>
          <w:rFonts w:ascii="Arial" w:hAnsi="Arial" w:cs="Arial"/>
          <w:sz w:val="24"/>
          <w:szCs w:val="24"/>
        </w:rPr>
        <w:t>18</w:t>
      </w:r>
      <w:r w:rsidR="00151772">
        <w:rPr>
          <w:rFonts w:ascii="Arial" w:hAnsi="Arial" w:cs="Arial"/>
          <w:sz w:val="24"/>
          <w:szCs w:val="24"/>
        </w:rPr>
        <w:t>)</w:t>
      </w:r>
      <w:r w:rsidR="00D4624D">
        <w:rPr>
          <w:rFonts w:ascii="Arial" w:hAnsi="Arial" w:cs="Arial"/>
          <w:sz w:val="24"/>
          <w:szCs w:val="24"/>
        </w:rPr>
        <w:t>. If the defendants wish to reply on a right to possess, they must allege and prove the right (</w:t>
      </w:r>
      <w:r w:rsidR="00D4624D">
        <w:rPr>
          <w:rFonts w:ascii="Arial" w:hAnsi="Arial" w:cs="Arial"/>
          <w:i/>
          <w:sz w:val="24"/>
          <w:szCs w:val="24"/>
        </w:rPr>
        <w:t>Chet</w:t>
      </w:r>
      <w:r w:rsidR="0033765B">
        <w:rPr>
          <w:rFonts w:ascii="Arial" w:hAnsi="Arial" w:cs="Arial"/>
          <w:i/>
          <w:sz w:val="24"/>
          <w:szCs w:val="24"/>
        </w:rPr>
        <w:t>t</w:t>
      </w:r>
      <w:r w:rsidR="00D4624D">
        <w:rPr>
          <w:rFonts w:ascii="Arial" w:hAnsi="Arial" w:cs="Arial"/>
          <w:i/>
          <w:sz w:val="24"/>
          <w:szCs w:val="24"/>
        </w:rPr>
        <w:t xml:space="preserve">y </w:t>
      </w:r>
      <w:r w:rsidR="00D4624D">
        <w:rPr>
          <w:rFonts w:ascii="Arial" w:hAnsi="Arial" w:cs="Arial"/>
          <w:sz w:val="24"/>
          <w:szCs w:val="24"/>
        </w:rPr>
        <w:t xml:space="preserve">at </w:t>
      </w:r>
      <w:r w:rsidR="0033765B">
        <w:rPr>
          <w:rFonts w:ascii="Arial" w:hAnsi="Arial" w:cs="Arial"/>
          <w:sz w:val="24"/>
          <w:szCs w:val="24"/>
        </w:rPr>
        <w:t xml:space="preserve">18G-H; </w:t>
      </w:r>
      <w:r w:rsidR="0033765B">
        <w:rPr>
          <w:rFonts w:ascii="Arial" w:hAnsi="Arial" w:cs="Arial"/>
          <w:i/>
          <w:sz w:val="24"/>
          <w:szCs w:val="24"/>
        </w:rPr>
        <w:t xml:space="preserve">Myaka v Havemann </w:t>
      </w:r>
      <w:r w:rsidR="00525CF5">
        <w:rPr>
          <w:rFonts w:ascii="Arial" w:hAnsi="Arial" w:cs="Arial"/>
          <w:i/>
          <w:sz w:val="24"/>
          <w:szCs w:val="24"/>
        </w:rPr>
        <w:t>&amp; a</w:t>
      </w:r>
      <w:r w:rsidR="0033765B">
        <w:rPr>
          <w:rFonts w:ascii="Arial" w:hAnsi="Arial" w:cs="Arial"/>
          <w:i/>
          <w:sz w:val="24"/>
          <w:szCs w:val="24"/>
        </w:rPr>
        <w:t xml:space="preserve">nother </w:t>
      </w:r>
      <w:r w:rsidR="0033765B">
        <w:rPr>
          <w:rFonts w:ascii="Arial" w:hAnsi="Arial" w:cs="Arial"/>
          <w:sz w:val="24"/>
          <w:szCs w:val="24"/>
        </w:rPr>
        <w:t>1948</w:t>
      </w:r>
      <w:r w:rsidR="00C9718C">
        <w:rPr>
          <w:rFonts w:ascii="Arial" w:hAnsi="Arial" w:cs="Arial"/>
          <w:sz w:val="24"/>
          <w:szCs w:val="24"/>
        </w:rPr>
        <w:t xml:space="preserve"> </w:t>
      </w:r>
      <w:r w:rsidR="0033765B">
        <w:rPr>
          <w:rFonts w:ascii="Arial" w:hAnsi="Arial" w:cs="Arial"/>
          <w:sz w:val="24"/>
          <w:szCs w:val="24"/>
        </w:rPr>
        <w:t>(3) SA 457 (A)</w:t>
      </w:r>
      <w:r w:rsidR="00D4624D">
        <w:rPr>
          <w:rFonts w:ascii="Arial" w:hAnsi="Arial" w:cs="Arial"/>
          <w:sz w:val="24"/>
          <w:szCs w:val="24"/>
        </w:rPr>
        <w:t>).</w:t>
      </w:r>
    </w:p>
    <w:p w:rsidR="00957753" w:rsidRPr="00957753" w:rsidRDefault="00957753" w:rsidP="006753BD">
      <w:pPr>
        <w:pStyle w:val="ListParagraph"/>
        <w:jc w:val="both"/>
        <w:rPr>
          <w:rFonts w:ascii="Arial" w:hAnsi="Arial" w:cs="Arial"/>
          <w:sz w:val="24"/>
          <w:szCs w:val="24"/>
        </w:rPr>
      </w:pPr>
    </w:p>
    <w:p w:rsidR="00957753" w:rsidRDefault="00D4624D" w:rsidP="006753BD">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In this instance the Snymans admitted possession and alleged their right to possess arose by virtue of exercising the option. The validity of that was </w:t>
      </w:r>
      <w:r w:rsidR="00E72710">
        <w:rPr>
          <w:rFonts w:ascii="Arial" w:hAnsi="Arial" w:cs="Arial"/>
          <w:sz w:val="24"/>
          <w:szCs w:val="24"/>
        </w:rPr>
        <w:t>squarely</w:t>
      </w:r>
      <w:r w:rsidR="0033765B">
        <w:rPr>
          <w:rFonts w:ascii="Arial" w:hAnsi="Arial" w:cs="Arial"/>
          <w:sz w:val="24"/>
          <w:szCs w:val="24"/>
        </w:rPr>
        <w:t xml:space="preserve"> </w:t>
      </w:r>
      <w:r>
        <w:rPr>
          <w:rFonts w:ascii="Arial" w:hAnsi="Arial" w:cs="Arial"/>
          <w:sz w:val="24"/>
          <w:szCs w:val="24"/>
        </w:rPr>
        <w:t xml:space="preserve">placed in issue in the replication on the grounds referred to. Even though the lack of being unequivocal was not referred to in the replication, Mr Snyman was extensively cross examined on the wording employed in his letter of 17 February 2003. In particular, he was questioned at some length as to why </w:t>
      </w:r>
      <w:r w:rsidR="00052F47">
        <w:rPr>
          <w:rFonts w:ascii="Arial" w:hAnsi="Arial" w:cs="Arial"/>
          <w:sz w:val="24"/>
          <w:szCs w:val="24"/>
        </w:rPr>
        <w:t xml:space="preserve">he </w:t>
      </w:r>
      <w:r>
        <w:rPr>
          <w:rFonts w:ascii="Arial" w:hAnsi="Arial" w:cs="Arial"/>
          <w:sz w:val="24"/>
          <w:szCs w:val="24"/>
        </w:rPr>
        <w:t>had proposed purchasing the farm in a close corporation.</w:t>
      </w:r>
    </w:p>
    <w:p w:rsidR="00D4624D" w:rsidRPr="00D4624D" w:rsidRDefault="00D4624D" w:rsidP="00D4624D">
      <w:pPr>
        <w:pStyle w:val="ListParagraph"/>
        <w:rPr>
          <w:rFonts w:ascii="Arial" w:hAnsi="Arial" w:cs="Arial"/>
          <w:sz w:val="24"/>
          <w:szCs w:val="24"/>
        </w:rPr>
      </w:pPr>
    </w:p>
    <w:p w:rsidR="00D4624D" w:rsidRDefault="00D4624D" w:rsidP="006753BD">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Counsel for the executor submitted that </w:t>
      </w:r>
      <w:r w:rsidR="0033765B">
        <w:rPr>
          <w:rFonts w:ascii="Arial" w:hAnsi="Arial" w:cs="Arial"/>
          <w:sz w:val="24"/>
          <w:szCs w:val="24"/>
        </w:rPr>
        <w:t>by requesting whether the executor would</w:t>
      </w:r>
      <w:r>
        <w:rPr>
          <w:rFonts w:ascii="Arial" w:hAnsi="Arial" w:cs="Arial"/>
          <w:sz w:val="24"/>
          <w:szCs w:val="24"/>
        </w:rPr>
        <w:t xml:space="preserve"> be prepared to sell the farm to a close corporation opened a new set of negotiations and that the letter of 17 February</w:t>
      </w:r>
      <w:r w:rsidR="00180A72">
        <w:rPr>
          <w:rFonts w:ascii="Arial" w:hAnsi="Arial" w:cs="Arial"/>
          <w:sz w:val="24"/>
          <w:szCs w:val="24"/>
        </w:rPr>
        <w:t xml:space="preserve"> 2003</w:t>
      </w:r>
      <w:r w:rsidR="00E72710">
        <w:rPr>
          <w:rFonts w:ascii="Arial" w:hAnsi="Arial" w:cs="Arial"/>
          <w:sz w:val="24"/>
          <w:szCs w:val="24"/>
        </w:rPr>
        <w:t xml:space="preserve"> construed as a whole</w:t>
      </w:r>
      <w:r>
        <w:rPr>
          <w:rFonts w:ascii="Arial" w:hAnsi="Arial" w:cs="Arial"/>
          <w:sz w:val="24"/>
          <w:szCs w:val="24"/>
        </w:rPr>
        <w:t xml:space="preserve"> did not constitute an unequivocal exercise of the option.</w:t>
      </w:r>
    </w:p>
    <w:p w:rsidR="00D4624D" w:rsidRPr="00D4624D" w:rsidRDefault="00D4624D" w:rsidP="00D4624D">
      <w:pPr>
        <w:pStyle w:val="ListParagraph"/>
        <w:rPr>
          <w:rFonts w:ascii="Arial" w:hAnsi="Arial" w:cs="Arial"/>
          <w:sz w:val="24"/>
          <w:szCs w:val="24"/>
        </w:rPr>
      </w:pPr>
    </w:p>
    <w:p w:rsidR="00D4624D" w:rsidRDefault="00D4624D" w:rsidP="006753BD">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importance of purchasing the farm through a close corporation was also emphasised in correspondence </w:t>
      </w:r>
      <w:r w:rsidR="0033765B">
        <w:rPr>
          <w:rFonts w:ascii="Arial" w:hAnsi="Arial" w:cs="Arial"/>
          <w:sz w:val="24"/>
          <w:szCs w:val="24"/>
        </w:rPr>
        <w:t>in December 2003</w:t>
      </w:r>
      <w:r w:rsidR="00E72710">
        <w:rPr>
          <w:rFonts w:ascii="Arial" w:hAnsi="Arial" w:cs="Arial"/>
          <w:sz w:val="24"/>
          <w:szCs w:val="24"/>
        </w:rPr>
        <w:t xml:space="preserve"> by Mr Snyman’s attorney in Gobabis </w:t>
      </w:r>
      <w:r>
        <w:rPr>
          <w:rFonts w:ascii="Arial" w:hAnsi="Arial" w:cs="Arial"/>
          <w:sz w:val="24"/>
          <w:szCs w:val="24"/>
        </w:rPr>
        <w:t xml:space="preserve">following up the </w:t>
      </w:r>
      <w:r w:rsidR="00E72710">
        <w:rPr>
          <w:rFonts w:ascii="Arial" w:hAnsi="Arial" w:cs="Arial"/>
          <w:sz w:val="24"/>
          <w:szCs w:val="24"/>
        </w:rPr>
        <w:t xml:space="preserve">purported </w:t>
      </w:r>
      <w:r>
        <w:rPr>
          <w:rFonts w:ascii="Arial" w:hAnsi="Arial" w:cs="Arial"/>
          <w:sz w:val="24"/>
          <w:szCs w:val="24"/>
        </w:rPr>
        <w:t>exercise of the option. In cross examination, Mr Snyman confirmed that he was not a Namibian citizen when he wrote the letter of 17 February 2003.</w:t>
      </w:r>
      <w:r w:rsidR="0033765B">
        <w:rPr>
          <w:rFonts w:ascii="Arial" w:hAnsi="Arial" w:cs="Arial"/>
          <w:sz w:val="24"/>
          <w:szCs w:val="24"/>
        </w:rPr>
        <w:t xml:space="preserve"> It transpired that he only became a citizen more than a year later in March 2004.</w:t>
      </w:r>
    </w:p>
    <w:p w:rsidR="00D4624D" w:rsidRPr="00D4624D" w:rsidRDefault="00D4624D" w:rsidP="00D4624D">
      <w:pPr>
        <w:pStyle w:val="ListParagraph"/>
        <w:rPr>
          <w:rFonts w:ascii="Arial" w:hAnsi="Arial" w:cs="Arial"/>
          <w:sz w:val="24"/>
          <w:szCs w:val="24"/>
        </w:rPr>
      </w:pPr>
    </w:p>
    <w:p w:rsidR="00D4624D" w:rsidRDefault="00D4624D" w:rsidP="006753BD">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When questioned as to why he had made that request, his answers in cross examination were entirely unsatisfactory. He at first said it would make ‘managing the property easier when it was in a close corporation’. But he was unable to explain in what manner management would become easier. His answers to the question as to whether he had received legal advice on the issue before sending his letter of </w:t>
      </w:r>
      <w:r w:rsidR="00C9718C">
        <w:rPr>
          <w:rFonts w:ascii="Arial" w:hAnsi="Arial" w:cs="Arial"/>
          <w:sz w:val="24"/>
          <w:szCs w:val="24"/>
        </w:rPr>
        <w:t xml:space="preserve">   </w:t>
      </w:r>
      <w:r>
        <w:rPr>
          <w:rFonts w:ascii="Arial" w:hAnsi="Arial" w:cs="Arial"/>
          <w:sz w:val="24"/>
          <w:szCs w:val="24"/>
        </w:rPr>
        <w:t xml:space="preserve">17 February </w:t>
      </w:r>
      <w:r w:rsidR="0033765B">
        <w:rPr>
          <w:rFonts w:ascii="Arial" w:hAnsi="Arial" w:cs="Arial"/>
          <w:sz w:val="24"/>
          <w:szCs w:val="24"/>
        </w:rPr>
        <w:t xml:space="preserve">2003 </w:t>
      </w:r>
      <w:r>
        <w:rPr>
          <w:rFonts w:ascii="Arial" w:hAnsi="Arial" w:cs="Arial"/>
          <w:sz w:val="24"/>
          <w:szCs w:val="24"/>
        </w:rPr>
        <w:t xml:space="preserve">were also evasive. </w:t>
      </w:r>
      <w:r w:rsidR="0033765B">
        <w:rPr>
          <w:rFonts w:ascii="Arial" w:hAnsi="Arial" w:cs="Arial"/>
          <w:sz w:val="24"/>
          <w:szCs w:val="24"/>
        </w:rPr>
        <w:t>At</w:t>
      </w:r>
      <w:r>
        <w:rPr>
          <w:rFonts w:ascii="Arial" w:hAnsi="Arial" w:cs="Arial"/>
          <w:sz w:val="24"/>
          <w:szCs w:val="24"/>
        </w:rPr>
        <w:t xml:space="preserve"> first </w:t>
      </w:r>
      <w:r w:rsidR="0033765B">
        <w:rPr>
          <w:rFonts w:ascii="Arial" w:hAnsi="Arial" w:cs="Arial"/>
          <w:sz w:val="24"/>
          <w:szCs w:val="24"/>
        </w:rPr>
        <w:t>he repeatedly</w:t>
      </w:r>
      <w:r>
        <w:rPr>
          <w:rFonts w:ascii="Arial" w:hAnsi="Arial" w:cs="Arial"/>
          <w:sz w:val="24"/>
          <w:szCs w:val="24"/>
        </w:rPr>
        <w:t xml:space="preserve"> </w:t>
      </w:r>
      <w:r w:rsidR="00E72710">
        <w:rPr>
          <w:rFonts w:ascii="Arial" w:hAnsi="Arial" w:cs="Arial"/>
          <w:sz w:val="24"/>
          <w:szCs w:val="24"/>
        </w:rPr>
        <w:t xml:space="preserve">denied </w:t>
      </w:r>
      <w:r>
        <w:rPr>
          <w:rFonts w:ascii="Arial" w:hAnsi="Arial" w:cs="Arial"/>
          <w:sz w:val="24"/>
          <w:szCs w:val="24"/>
        </w:rPr>
        <w:t>that he had received</w:t>
      </w:r>
      <w:r w:rsidR="00E06D87">
        <w:rPr>
          <w:rFonts w:ascii="Arial" w:hAnsi="Arial" w:cs="Arial"/>
          <w:sz w:val="24"/>
          <w:szCs w:val="24"/>
        </w:rPr>
        <w:t xml:space="preserve"> legal</w:t>
      </w:r>
      <w:r>
        <w:rPr>
          <w:rFonts w:ascii="Arial" w:hAnsi="Arial" w:cs="Arial"/>
          <w:sz w:val="24"/>
          <w:szCs w:val="24"/>
        </w:rPr>
        <w:t xml:space="preserve"> advice </w:t>
      </w:r>
      <w:r w:rsidR="0033765B">
        <w:rPr>
          <w:rFonts w:ascii="Arial" w:hAnsi="Arial" w:cs="Arial"/>
          <w:sz w:val="24"/>
          <w:szCs w:val="24"/>
        </w:rPr>
        <w:t>before sending that letter</w:t>
      </w:r>
      <w:r>
        <w:rPr>
          <w:rFonts w:ascii="Arial" w:hAnsi="Arial" w:cs="Arial"/>
          <w:sz w:val="24"/>
          <w:szCs w:val="24"/>
        </w:rPr>
        <w:t xml:space="preserve">. After being confronted with what was put by senior counsel representing him </w:t>
      </w:r>
      <w:r w:rsidR="00AD595C">
        <w:rPr>
          <w:rFonts w:ascii="Arial" w:hAnsi="Arial" w:cs="Arial"/>
          <w:sz w:val="24"/>
          <w:szCs w:val="24"/>
        </w:rPr>
        <w:t xml:space="preserve">to Mr Strauss </w:t>
      </w:r>
      <w:r w:rsidR="00E72710">
        <w:rPr>
          <w:rFonts w:ascii="Arial" w:hAnsi="Arial" w:cs="Arial"/>
          <w:sz w:val="24"/>
          <w:szCs w:val="24"/>
        </w:rPr>
        <w:t>(</w:t>
      </w:r>
      <w:r w:rsidR="00AD595C">
        <w:rPr>
          <w:rFonts w:ascii="Arial" w:hAnsi="Arial" w:cs="Arial"/>
          <w:sz w:val="24"/>
          <w:szCs w:val="24"/>
        </w:rPr>
        <w:t xml:space="preserve">to the effect that he had received advice that there could be advantages according to Namibian law if he did </w:t>
      </w:r>
      <w:r w:rsidR="0033765B">
        <w:rPr>
          <w:rFonts w:ascii="Arial" w:hAnsi="Arial" w:cs="Arial"/>
          <w:sz w:val="24"/>
          <w:szCs w:val="24"/>
        </w:rPr>
        <w:t>purchase through a close corporation</w:t>
      </w:r>
      <w:r w:rsidR="00AD595C">
        <w:rPr>
          <w:rFonts w:ascii="Arial" w:hAnsi="Arial" w:cs="Arial"/>
          <w:sz w:val="24"/>
          <w:szCs w:val="24"/>
        </w:rPr>
        <w:t xml:space="preserve"> </w:t>
      </w:r>
      <w:r w:rsidR="00FE6B2B">
        <w:rPr>
          <w:rFonts w:ascii="Arial" w:hAnsi="Arial" w:cs="Arial"/>
          <w:sz w:val="24"/>
          <w:szCs w:val="24"/>
        </w:rPr>
        <w:t xml:space="preserve">- </w:t>
      </w:r>
      <w:r w:rsidR="00AD595C">
        <w:rPr>
          <w:rFonts w:ascii="Arial" w:hAnsi="Arial" w:cs="Arial"/>
          <w:sz w:val="24"/>
          <w:szCs w:val="24"/>
        </w:rPr>
        <w:t xml:space="preserve">which vague statement was unfortunately not further explained), Mr Snyman was eventually constrained to admit that he may have received advice before sending his letter of 17 February 2003. It was also apparent from his cross examination that he was conversant with some of the features of the Land Reform Act. </w:t>
      </w:r>
      <w:r w:rsidR="00FE6B2B">
        <w:rPr>
          <w:rFonts w:ascii="Arial" w:hAnsi="Arial" w:cs="Arial"/>
          <w:sz w:val="24"/>
          <w:szCs w:val="24"/>
        </w:rPr>
        <w:t>It was directly put to him</w:t>
      </w:r>
      <w:r w:rsidR="00AD595C">
        <w:rPr>
          <w:rFonts w:ascii="Arial" w:hAnsi="Arial" w:cs="Arial"/>
          <w:sz w:val="24"/>
          <w:szCs w:val="24"/>
        </w:rPr>
        <w:t xml:space="preserve"> that the attempt to purchase the farm through a close corporation was for the purpose of avoiding the prohibition on purchases </w:t>
      </w:r>
      <w:r w:rsidR="00D83FBA">
        <w:rPr>
          <w:rFonts w:ascii="Arial" w:hAnsi="Arial" w:cs="Arial"/>
          <w:sz w:val="24"/>
          <w:szCs w:val="24"/>
        </w:rPr>
        <w:t xml:space="preserve">of agricultural land </w:t>
      </w:r>
      <w:r w:rsidR="00AD595C">
        <w:rPr>
          <w:rFonts w:ascii="Arial" w:hAnsi="Arial" w:cs="Arial"/>
          <w:sz w:val="24"/>
          <w:szCs w:val="24"/>
        </w:rPr>
        <w:t>by foreigners as he was not a Namibian citizen</w:t>
      </w:r>
      <w:r w:rsidR="00E06D87" w:rsidRPr="00E06D87">
        <w:rPr>
          <w:rFonts w:ascii="Arial" w:hAnsi="Arial" w:cs="Arial"/>
          <w:sz w:val="24"/>
          <w:szCs w:val="24"/>
        </w:rPr>
        <w:t xml:space="preserve"> </w:t>
      </w:r>
      <w:r w:rsidR="00E06D87">
        <w:rPr>
          <w:rFonts w:ascii="Arial" w:hAnsi="Arial" w:cs="Arial"/>
          <w:sz w:val="24"/>
          <w:szCs w:val="24"/>
        </w:rPr>
        <w:t>at that time</w:t>
      </w:r>
      <w:r w:rsidR="00AD595C">
        <w:rPr>
          <w:rFonts w:ascii="Arial" w:hAnsi="Arial" w:cs="Arial"/>
          <w:sz w:val="24"/>
          <w:szCs w:val="24"/>
        </w:rPr>
        <w:t>.</w:t>
      </w:r>
      <w:r w:rsidR="00FE6B2B">
        <w:rPr>
          <w:rFonts w:ascii="Arial" w:hAnsi="Arial" w:cs="Arial"/>
          <w:sz w:val="24"/>
          <w:szCs w:val="24"/>
        </w:rPr>
        <w:t xml:space="preserve"> He denied this.</w:t>
      </w:r>
    </w:p>
    <w:p w:rsidR="00957753" w:rsidRPr="00957753" w:rsidRDefault="00957753" w:rsidP="006753BD">
      <w:pPr>
        <w:pStyle w:val="ListParagraph"/>
        <w:jc w:val="both"/>
        <w:rPr>
          <w:rFonts w:ascii="Arial" w:hAnsi="Arial" w:cs="Arial"/>
          <w:sz w:val="24"/>
          <w:szCs w:val="24"/>
        </w:rPr>
      </w:pPr>
    </w:p>
    <w:p w:rsidR="00957753" w:rsidRDefault="00AD595C" w:rsidP="006753BD">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terms of the purported exercise of the option were thus </w:t>
      </w:r>
      <w:r w:rsidR="0033765B">
        <w:rPr>
          <w:rFonts w:ascii="Arial" w:hAnsi="Arial" w:cs="Arial"/>
          <w:sz w:val="24"/>
          <w:szCs w:val="24"/>
        </w:rPr>
        <w:t xml:space="preserve">extensively </w:t>
      </w:r>
      <w:r>
        <w:rPr>
          <w:rFonts w:ascii="Arial" w:hAnsi="Arial" w:cs="Arial"/>
          <w:sz w:val="24"/>
          <w:szCs w:val="24"/>
        </w:rPr>
        <w:t>canvas</w:t>
      </w:r>
      <w:r w:rsidR="0033765B">
        <w:rPr>
          <w:rFonts w:ascii="Arial" w:hAnsi="Arial" w:cs="Arial"/>
          <w:sz w:val="24"/>
          <w:szCs w:val="24"/>
        </w:rPr>
        <w:t>s</w:t>
      </w:r>
      <w:r>
        <w:rPr>
          <w:rFonts w:ascii="Arial" w:hAnsi="Arial" w:cs="Arial"/>
          <w:sz w:val="24"/>
          <w:szCs w:val="24"/>
        </w:rPr>
        <w:t>ed in cross examination</w:t>
      </w:r>
      <w:r w:rsidR="0033765B">
        <w:rPr>
          <w:rFonts w:ascii="Arial" w:hAnsi="Arial" w:cs="Arial"/>
          <w:sz w:val="24"/>
          <w:szCs w:val="24"/>
        </w:rPr>
        <w:t xml:space="preserve"> </w:t>
      </w:r>
      <w:r w:rsidR="00FE6B2B">
        <w:rPr>
          <w:rFonts w:ascii="Arial" w:hAnsi="Arial" w:cs="Arial"/>
          <w:sz w:val="24"/>
          <w:szCs w:val="24"/>
        </w:rPr>
        <w:t xml:space="preserve">and </w:t>
      </w:r>
      <w:r w:rsidR="0033765B">
        <w:rPr>
          <w:rFonts w:ascii="Arial" w:hAnsi="Arial" w:cs="Arial"/>
          <w:sz w:val="24"/>
          <w:szCs w:val="24"/>
        </w:rPr>
        <w:t>in particular his request to acquire ownership of the farm through a close corporation</w:t>
      </w:r>
      <w:r>
        <w:rPr>
          <w:rFonts w:ascii="Arial" w:hAnsi="Arial" w:cs="Arial"/>
          <w:sz w:val="24"/>
          <w:szCs w:val="24"/>
        </w:rPr>
        <w:t>.</w:t>
      </w:r>
      <w:r w:rsidR="00E478DA">
        <w:rPr>
          <w:rFonts w:ascii="Arial" w:hAnsi="Arial" w:cs="Arial"/>
          <w:sz w:val="24"/>
          <w:szCs w:val="24"/>
        </w:rPr>
        <w:t xml:space="preserve"> The executor</w:t>
      </w:r>
      <w:r w:rsidR="00FE6B2B">
        <w:rPr>
          <w:rFonts w:ascii="Arial" w:hAnsi="Arial" w:cs="Arial"/>
          <w:sz w:val="24"/>
          <w:szCs w:val="24"/>
        </w:rPr>
        <w:t xml:space="preserve"> had in the replication expressly </w:t>
      </w:r>
      <w:r w:rsidR="00E478DA">
        <w:rPr>
          <w:rFonts w:ascii="Arial" w:hAnsi="Arial" w:cs="Arial"/>
          <w:sz w:val="24"/>
          <w:szCs w:val="24"/>
        </w:rPr>
        <w:t>placed in issue that the option had been validly exercised. The issue was also raised in some detail in the written heads of argument filed on behalf of the executor well in advance of the hearing. Whether or not the letter of 17 February 2003 constitute</w:t>
      </w:r>
      <w:r w:rsidR="0033765B">
        <w:rPr>
          <w:rFonts w:ascii="Arial" w:hAnsi="Arial" w:cs="Arial"/>
          <w:sz w:val="24"/>
          <w:szCs w:val="24"/>
        </w:rPr>
        <w:t>s</w:t>
      </w:r>
      <w:r w:rsidR="00E478DA">
        <w:rPr>
          <w:rFonts w:ascii="Arial" w:hAnsi="Arial" w:cs="Arial"/>
          <w:sz w:val="24"/>
          <w:szCs w:val="24"/>
        </w:rPr>
        <w:t xml:space="preserve"> an unequivocal acceptance of the terms of the option is furthermore a matter of construction of that letter in the light of the circumstances. Th</w:t>
      </w:r>
      <w:r w:rsidR="0033765B">
        <w:rPr>
          <w:rFonts w:ascii="Arial" w:hAnsi="Arial" w:cs="Arial"/>
          <w:sz w:val="24"/>
          <w:szCs w:val="24"/>
        </w:rPr>
        <w:t>e</w:t>
      </w:r>
      <w:r w:rsidR="00E478DA">
        <w:rPr>
          <w:rFonts w:ascii="Arial" w:hAnsi="Arial" w:cs="Arial"/>
          <w:sz w:val="24"/>
          <w:szCs w:val="24"/>
        </w:rPr>
        <w:t xml:space="preserve"> letter </w:t>
      </w:r>
      <w:r w:rsidR="0033765B">
        <w:rPr>
          <w:rFonts w:ascii="Arial" w:hAnsi="Arial" w:cs="Arial"/>
          <w:sz w:val="24"/>
          <w:szCs w:val="24"/>
        </w:rPr>
        <w:t xml:space="preserve">itself </w:t>
      </w:r>
      <w:r w:rsidR="00E478DA">
        <w:rPr>
          <w:rFonts w:ascii="Arial" w:hAnsi="Arial" w:cs="Arial"/>
          <w:sz w:val="24"/>
          <w:szCs w:val="24"/>
        </w:rPr>
        <w:t>is to be construed as a whole. No</w:t>
      </w:r>
      <w:r w:rsidR="0033765B">
        <w:rPr>
          <w:rFonts w:ascii="Arial" w:hAnsi="Arial" w:cs="Arial"/>
          <w:sz w:val="24"/>
          <w:szCs w:val="24"/>
        </w:rPr>
        <w:t xml:space="preserve"> additional evidence should be necessary to prove the</w:t>
      </w:r>
      <w:r w:rsidR="00E478DA">
        <w:rPr>
          <w:rFonts w:ascii="Arial" w:hAnsi="Arial" w:cs="Arial"/>
          <w:sz w:val="24"/>
          <w:szCs w:val="24"/>
        </w:rPr>
        <w:t xml:space="preserve"> intention of the party accepting an offer.</w:t>
      </w:r>
      <w:r w:rsidR="00FE6B2B">
        <w:rPr>
          <w:rFonts w:ascii="Arial" w:hAnsi="Arial" w:cs="Arial"/>
          <w:sz w:val="24"/>
          <w:szCs w:val="24"/>
        </w:rPr>
        <w:t xml:space="preserve"> The objection to this point being raised in argument is thus without substance. It had been sufficiently pleaded and had been canvassed extensively in cross-examination – without objection.</w:t>
      </w:r>
    </w:p>
    <w:p w:rsidR="00957753" w:rsidRPr="00957753" w:rsidRDefault="00957753" w:rsidP="006753BD">
      <w:pPr>
        <w:pStyle w:val="ListParagraph"/>
        <w:jc w:val="both"/>
        <w:rPr>
          <w:rFonts w:ascii="Arial" w:hAnsi="Arial" w:cs="Arial"/>
          <w:sz w:val="24"/>
          <w:szCs w:val="24"/>
        </w:rPr>
      </w:pPr>
    </w:p>
    <w:p w:rsidR="00957753" w:rsidRDefault="00E478DA" w:rsidP="006753BD">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It is well established that the acceptance of an offer and exercise of an option must be unequivocal. (R H Christie </w:t>
      </w:r>
      <w:r>
        <w:rPr>
          <w:rFonts w:ascii="Arial" w:hAnsi="Arial" w:cs="Arial"/>
          <w:i/>
          <w:sz w:val="24"/>
          <w:szCs w:val="24"/>
        </w:rPr>
        <w:t xml:space="preserve">The </w:t>
      </w:r>
      <w:r w:rsidR="0033765B">
        <w:rPr>
          <w:rFonts w:ascii="Arial" w:hAnsi="Arial" w:cs="Arial"/>
          <w:i/>
          <w:sz w:val="24"/>
          <w:szCs w:val="24"/>
        </w:rPr>
        <w:t>L</w:t>
      </w:r>
      <w:r>
        <w:rPr>
          <w:rFonts w:ascii="Arial" w:hAnsi="Arial" w:cs="Arial"/>
          <w:i/>
          <w:sz w:val="24"/>
          <w:szCs w:val="24"/>
        </w:rPr>
        <w:t>aw of Contract in South Africa</w:t>
      </w:r>
      <w:r>
        <w:rPr>
          <w:rFonts w:ascii="Arial" w:hAnsi="Arial" w:cs="Arial"/>
          <w:sz w:val="24"/>
          <w:szCs w:val="24"/>
        </w:rPr>
        <w:t xml:space="preserve">, 5 </w:t>
      </w:r>
      <w:r w:rsidR="00180A72">
        <w:rPr>
          <w:rFonts w:ascii="Arial" w:hAnsi="Arial" w:cs="Arial"/>
          <w:sz w:val="24"/>
          <w:szCs w:val="24"/>
        </w:rPr>
        <w:t>e</w:t>
      </w:r>
      <w:r>
        <w:rPr>
          <w:rFonts w:ascii="Arial" w:hAnsi="Arial" w:cs="Arial"/>
          <w:sz w:val="24"/>
          <w:szCs w:val="24"/>
        </w:rPr>
        <w:t xml:space="preserve">d, p 60 and the authorities collected there). As was stated by Greenberg JA in </w:t>
      </w:r>
      <w:r>
        <w:rPr>
          <w:rFonts w:ascii="Arial" w:hAnsi="Arial" w:cs="Arial"/>
          <w:i/>
          <w:sz w:val="24"/>
          <w:szCs w:val="24"/>
        </w:rPr>
        <w:t xml:space="preserve">Boerne v Harris </w:t>
      </w:r>
      <w:r>
        <w:rPr>
          <w:rFonts w:ascii="Arial" w:hAnsi="Arial" w:cs="Arial"/>
          <w:sz w:val="24"/>
          <w:szCs w:val="24"/>
        </w:rPr>
        <w:t>1949</w:t>
      </w:r>
      <w:r w:rsidR="00C9718C">
        <w:rPr>
          <w:rFonts w:ascii="Arial" w:hAnsi="Arial" w:cs="Arial"/>
          <w:sz w:val="24"/>
          <w:szCs w:val="24"/>
        </w:rPr>
        <w:t xml:space="preserve"> </w:t>
      </w:r>
      <w:r>
        <w:rPr>
          <w:rFonts w:ascii="Arial" w:hAnsi="Arial" w:cs="Arial"/>
          <w:sz w:val="24"/>
          <w:szCs w:val="24"/>
        </w:rPr>
        <w:t>(1) SA 793 (A) at 801:</w:t>
      </w:r>
    </w:p>
    <w:p w:rsidR="00E478DA" w:rsidRPr="00E478DA" w:rsidRDefault="00E478DA" w:rsidP="00E478DA">
      <w:pPr>
        <w:pStyle w:val="ListParagraph"/>
        <w:rPr>
          <w:rFonts w:ascii="Arial" w:hAnsi="Arial" w:cs="Arial"/>
          <w:sz w:val="24"/>
          <w:szCs w:val="24"/>
        </w:rPr>
      </w:pPr>
    </w:p>
    <w:p w:rsidR="00E478DA" w:rsidRPr="00E478DA" w:rsidRDefault="005230D0" w:rsidP="00E478DA">
      <w:pPr>
        <w:pStyle w:val="ListParagraph"/>
        <w:spacing w:line="360" w:lineRule="auto"/>
        <w:jc w:val="both"/>
        <w:rPr>
          <w:rFonts w:ascii="Arial" w:hAnsi="Arial" w:cs="Arial"/>
        </w:rPr>
      </w:pPr>
      <w:r>
        <w:rPr>
          <w:rFonts w:ascii="Arial" w:hAnsi="Arial" w:cs="Arial"/>
        </w:rPr>
        <w:t>‘</w:t>
      </w:r>
      <w:r w:rsidR="00FE6B2B">
        <w:rPr>
          <w:rFonts w:ascii="Arial" w:hAnsi="Arial" w:cs="Arial"/>
        </w:rPr>
        <w:t>It seems to me to follow that the letter, in order to be effective as an exercise of the right of renewal, must unequivocally convey to the recipient, using ordinary reason and knowledge, that it is intended to be such an exercise. It must leave no room for doubt. This recipient is not required to apply any special knowledge or ingenuity in ascertaining the meaning of the letter.</w:t>
      </w:r>
      <w:r>
        <w:rPr>
          <w:rFonts w:ascii="Arial" w:hAnsi="Arial" w:cs="Arial"/>
        </w:rPr>
        <w:t>’</w:t>
      </w:r>
    </w:p>
    <w:p w:rsidR="00957753" w:rsidRPr="00957753" w:rsidRDefault="00957753" w:rsidP="006753BD">
      <w:pPr>
        <w:pStyle w:val="ListParagraph"/>
        <w:jc w:val="both"/>
        <w:rPr>
          <w:rFonts w:ascii="Arial" w:hAnsi="Arial" w:cs="Arial"/>
          <w:sz w:val="24"/>
          <w:szCs w:val="24"/>
        </w:rPr>
      </w:pPr>
    </w:p>
    <w:p w:rsidR="00957753" w:rsidRDefault="005230D0"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In the course of his judgment, Greenberg JA</w:t>
      </w:r>
      <w:r w:rsidR="0033765B">
        <w:rPr>
          <w:rFonts w:ascii="Arial" w:hAnsi="Arial" w:cs="Arial"/>
          <w:sz w:val="24"/>
          <w:szCs w:val="24"/>
        </w:rPr>
        <w:t>,</w:t>
      </w:r>
      <w:r>
        <w:rPr>
          <w:rFonts w:ascii="Arial" w:hAnsi="Arial" w:cs="Arial"/>
          <w:sz w:val="24"/>
          <w:szCs w:val="24"/>
        </w:rPr>
        <w:t xml:space="preserve"> with reference to authority at 800 – 801</w:t>
      </w:r>
      <w:r w:rsidR="0033765B">
        <w:rPr>
          <w:rFonts w:ascii="Arial" w:hAnsi="Arial" w:cs="Arial"/>
          <w:sz w:val="24"/>
          <w:szCs w:val="24"/>
        </w:rPr>
        <w:t>, drew a distinction</w:t>
      </w:r>
      <w:r>
        <w:rPr>
          <w:rFonts w:ascii="Arial" w:hAnsi="Arial" w:cs="Arial"/>
          <w:sz w:val="24"/>
          <w:szCs w:val="24"/>
        </w:rPr>
        <w:t xml:space="preserve"> between ambiguous provisions in a contract and ambiguous provisions in a letter of acceptance. He concluded that the contract is to be interpreted by a court as best it can, leaning in favour of </w:t>
      </w:r>
      <w:r w:rsidR="0033765B">
        <w:rPr>
          <w:rFonts w:ascii="Arial" w:hAnsi="Arial" w:cs="Arial"/>
          <w:sz w:val="24"/>
          <w:szCs w:val="24"/>
        </w:rPr>
        <w:t>lending</w:t>
      </w:r>
      <w:r>
        <w:rPr>
          <w:rFonts w:ascii="Arial" w:hAnsi="Arial" w:cs="Arial"/>
          <w:sz w:val="24"/>
          <w:szCs w:val="24"/>
        </w:rPr>
        <w:t xml:space="preserve"> validity</w:t>
      </w:r>
      <w:r w:rsidR="0033765B">
        <w:rPr>
          <w:rFonts w:ascii="Arial" w:hAnsi="Arial" w:cs="Arial"/>
          <w:sz w:val="24"/>
          <w:szCs w:val="24"/>
        </w:rPr>
        <w:t xml:space="preserve"> to it</w:t>
      </w:r>
      <w:r>
        <w:rPr>
          <w:rFonts w:ascii="Arial" w:hAnsi="Arial" w:cs="Arial"/>
          <w:sz w:val="24"/>
          <w:szCs w:val="24"/>
        </w:rPr>
        <w:t xml:space="preserve">. </w:t>
      </w:r>
      <w:r w:rsidR="0033765B">
        <w:rPr>
          <w:rFonts w:ascii="Arial" w:hAnsi="Arial" w:cs="Arial"/>
          <w:sz w:val="24"/>
          <w:szCs w:val="24"/>
        </w:rPr>
        <w:t xml:space="preserve"> On the other hand, a</w:t>
      </w:r>
      <w:r>
        <w:rPr>
          <w:rFonts w:ascii="Arial" w:hAnsi="Arial" w:cs="Arial"/>
          <w:sz w:val="24"/>
          <w:szCs w:val="24"/>
        </w:rPr>
        <w:t xml:space="preserve"> letter of acceptance, emanating as it does from one party, cannot be imposed upon the other party unless the provision</w:t>
      </w:r>
      <w:r w:rsidR="0033765B">
        <w:rPr>
          <w:rFonts w:ascii="Arial" w:hAnsi="Arial" w:cs="Arial"/>
          <w:sz w:val="24"/>
          <w:szCs w:val="24"/>
        </w:rPr>
        <w:t>s</w:t>
      </w:r>
      <w:r>
        <w:rPr>
          <w:rFonts w:ascii="Arial" w:hAnsi="Arial" w:cs="Arial"/>
          <w:sz w:val="24"/>
          <w:szCs w:val="24"/>
        </w:rPr>
        <w:t xml:space="preserve"> of that letter are unequivocal in its terms. (See Christie at p 61).</w:t>
      </w:r>
    </w:p>
    <w:p w:rsidR="00957753" w:rsidRPr="00957753" w:rsidRDefault="00957753" w:rsidP="00957753">
      <w:pPr>
        <w:pStyle w:val="ListParagraph"/>
        <w:rPr>
          <w:rFonts w:ascii="Arial" w:hAnsi="Arial" w:cs="Arial"/>
          <w:sz w:val="24"/>
          <w:szCs w:val="24"/>
        </w:rPr>
      </w:pPr>
    </w:p>
    <w:p w:rsidR="00957753" w:rsidRDefault="00FE6B2B"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T</w:t>
      </w:r>
      <w:r w:rsidR="0033765B">
        <w:rPr>
          <w:rFonts w:ascii="Arial" w:hAnsi="Arial" w:cs="Arial"/>
          <w:sz w:val="24"/>
          <w:szCs w:val="24"/>
        </w:rPr>
        <w:t xml:space="preserve">he </w:t>
      </w:r>
      <w:r w:rsidR="0033765B">
        <w:rPr>
          <w:rFonts w:ascii="Arial" w:hAnsi="Arial" w:cs="Arial"/>
          <w:i/>
          <w:sz w:val="24"/>
          <w:szCs w:val="24"/>
        </w:rPr>
        <w:t>Boerne</w:t>
      </w:r>
      <w:r w:rsidR="005230D0">
        <w:rPr>
          <w:rFonts w:ascii="Arial" w:hAnsi="Arial" w:cs="Arial"/>
          <w:sz w:val="24"/>
          <w:szCs w:val="24"/>
        </w:rPr>
        <w:t xml:space="preserve"> matter </w:t>
      </w:r>
      <w:r>
        <w:rPr>
          <w:rFonts w:ascii="Arial" w:hAnsi="Arial" w:cs="Arial"/>
          <w:sz w:val="24"/>
          <w:szCs w:val="24"/>
        </w:rPr>
        <w:t xml:space="preserve">concerned </w:t>
      </w:r>
      <w:r w:rsidR="005230D0">
        <w:rPr>
          <w:rFonts w:ascii="Arial" w:hAnsi="Arial" w:cs="Arial"/>
          <w:sz w:val="24"/>
          <w:szCs w:val="24"/>
        </w:rPr>
        <w:t xml:space="preserve">a lease </w:t>
      </w:r>
      <w:r>
        <w:rPr>
          <w:rFonts w:ascii="Arial" w:hAnsi="Arial" w:cs="Arial"/>
          <w:sz w:val="24"/>
          <w:szCs w:val="24"/>
        </w:rPr>
        <w:t xml:space="preserve">which </w:t>
      </w:r>
      <w:r w:rsidR="005230D0">
        <w:rPr>
          <w:rFonts w:ascii="Arial" w:hAnsi="Arial" w:cs="Arial"/>
          <w:sz w:val="24"/>
          <w:szCs w:val="24"/>
        </w:rPr>
        <w:t xml:space="preserve">conferred an option to renew upon a lessee for renewal of the lease for a further 5 years from the expiration of the initial period (on 15 April </w:t>
      </w:r>
      <w:r w:rsidR="0033765B">
        <w:rPr>
          <w:rFonts w:ascii="Arial" w:hAnsi="Arial" w:cs="Arial"/>
          <w:sz w:val="24"/>
          <w:szCs w:val="24"/>
        </w:rPr>
        <w:t>19</w:t>
      </w:r>
      <w:r>
        <w:rPr>
          <w:rFonts w:ascii="Arial" w:hAnsi="Arial" w:cs="Arial"/>
          <w:sz w:val="24"/>
          <w:szCs w:val="24"/>
        </w:rPr>
        <w:t>47</w:t>
      </w:r>
      <w:r w:rsidR="0033765B">
        <w:rPr>
          <w:rFonts w:ascii="Arial" w:hAnsi="Arial" w:cs="Arial"/>
          <w:sz w:val="24"/>
          <w:szCs w:val="24"/>
        </w:rPr>
        <w:t>). The lessee’s attorney addressed a letter</w:t>
      </w:r>
      <w:r w:rsidR="005230D0">
        <w:rPr>
          <w:rFonts w:ascii="Arial" w:hAnsi="Arial" w:cs="Arial"/>
          <w:sz w:val="24"/>
          <w:szCs w:val="24"/>
        </w:rPr>
        <w:t xml:space="preserve"> to renew the lease for 5 years </w:t>
      </w:r>
      <w:r w:rsidR="0033765B">
        <w:rPr>
          <w:rFonts w:ascii="Arial" w:hAnsi="Arial" w:cs="Arial"/>
          <w:sz w:val="24"/>
          <w:szCs w:val="24"/>
        </w:rPr>
        <w:t xml:space="preserve">with effect </w:t>
      </w:r>
      <w:r w:rsidR="005230D0">
        <w:rPr>
          <w:rFonts w:ascii="Arial" w:hAnsi="Arial" w:cs="Arial"/>
          <w:sz w:val="24"/>
          <w:szCs w:val="24"/>
        </w:rPr>
        <w:t>from 15 October 1946. The majority of the court found (per Greenberg, JA) that the letter was too ambiguous to constitute a</w:t>
      </w:r>
      <w:r w:rsidR="00032317">
        <w:rPr>
          <w:rFonts w:ascii="Arial" w:hAnsi="Arial" w:cs="Arial"/>
          <w:sz w:val="24"/>
          <w:szCs w:val="24"/>
        </w:rPr>
        <w:t xml:space="preserve"> valid acceptance of the offer contain</w:t>
      </w:r>
      <w:r>
        <w:rPr>
          <w:rFonts w:ascii="Arial" w:hAnsi="Arial" w:cs="Arial"/>
          <w:sz w:val="24"/>
          <w:szCs w:val="24"/>
        </w:rPr>
        <w:t>ed</w:t>
      </w:r>
      <w:r w:rsidR="00032317">
        <w:rPr>
          <w:rFonts w:ascii="Arial" w:hAnsi="Arial" w:cs="Arial"/>
          <w:sz w:val="24"/>
          <w:szCs w:val="24"/>
        </w:rPr>
        <w:t xml:space="preserve"> in the lease.</w:t>
      </w:r>
    </w:p>
    <w:p w:rsidR="00957753" w:rsidRPr="00957753" w:rsidRDefault="00957753" w:rsidP="00957753">
      <w:pPr>
        <w:pStyle w:val="ListParagraph"/>
        <w:rPr>
          <w:rFonts w:ascii="Arial" w:hAnsi="Arial" w:cs="Arial"/>
          <w:sz w:val="24"/>
          <w:szCs w:val="24"/>
        </w:rPr>
      </w:pPr>
    </w:p>
    <w:p w:rsidR="00957753" w:rsidRDefault="005230D0"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letter of 17 February </w:t>
      </w:r>
      <w:r w:rsidR="00032317">
        <w:rPr>
          <w:rFonts w:ascii="Arial" w:hAnsi="Arial" w:cs="Arial"/>
          <w:sz w:val="24"/>
          <w:szCs w:val="24"/>
        </w:rPr>
        <w:t xml:space="preserve">2003 </w:t>
      </w:r>
      <w:r>
        <w:rPr>
          <w:rFonts w:ascii="Arial" w:hAnsi="Arial" w:cs="Arial"/>
          <w:sz w:val="24"/>
          <w:szCs w:val="24"/>
        </w:rPr>
        <w:t xml:space="preserve">is </w:t>
      </w:r>
      <w:r w:rsidR="00032317">
        <w:rPr>
          <w:rFonts w:ascii="Arial" w:hAnsi="Arial" w:cs="Arial"/>
          <w:sz w:val="24"/>
          <w:szCs w:val="24"/>
        </w:rPr>
        <w:t xml:space="preserve">also </w:t>
      </w:r>
      <w:r>
        <w:rPr>
          <w:rFonts w:ascii="Arial" w:hAnsi="Arial" w:cs="Arial"/>
          <w:sz w:val="24"/>
          <w:szCs w:val="24"/>
        </w:rPr>
        <w:t>to be read with the lease. It affords Mr Snyman an option to purchase. That option is extended to the lessee, Mr Snyman.</w:t>
      </w:r>
    </w:p>
    <w:p w:rsidR="00957753" w:rsidRPr="00957753" w:rsidRDefault="00957753" w:rsidP="00957753">
      <w:pPr>
        <w:pStyle w:val="ListParagraph"/>
        <w:rPr>
          <w:rFonts w:ascii="Arial" w:hAnsi="Arial" w:cs="Arial"/>
          <w:sz w:val="24"/>
          <w:szCs w:val="24"/>
        </w:rPr>
      </w:pPr>
    </w:p>
    <w:p w:rsidR="00957753" w:rsidRDefault="005230D0"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Counsel for the executor contended that the letter merely manifested an intention to exercise the option </w:t>
      </w:r>
      <w:r w:rsidR="00FE6B2B">
        <w:rPr>
          <w:rFonts w:ascii="Arial" w:hAnsi="Arial" w:cs="Arial"/>
          <w:sz w:val="24"/>
          <w:szCs w:val="24"/>
        </w:rPr>
        <w:t xml:space="preserve">(and not actually exercising the option) </w:t>
      </w:r>
      <w:r>
        <w:rPr>
          <w:rFonts w:ascii="Arial" w:hAnsi="Arial" w:cs="Arial"/>
          <w:sz w:val="24"/>
          <w:szCs w:val="24"/>
        </w:rPr>
        <w:t xml:space="preserve">and secondly opened up a new set of negotiations by proposing that </w:t>
      </w:r>
      <w:r w:rsidR="00E06D87">
        <w:rPr>
          <w:rFonts w:ascii="Arial" w:hAnsi="Arial" w:cs="Arial"/>
          <w:sz w:val="24"/>
          <w:szCs w:val="24"/>
        </w:rPr>
        <w:t>the farm</w:t>
      </w:r>
      <w:r>
        <w:rPr>
          <w:rFonts w:ascii="Arial" w:hAnsi="Arial" w:cs="Arial"/>
          <w:sz w:val="24"/>
          <w:szCs w:val="24"/>
        </w:rPr>
        <w:t xml:space="preserve"> be purchased by a close corporation. By stating an intention to exercise the option would in my view be sufficient to exercise the option. (See </w:t>
      </w:r>
      <w:r>
        <w:rPr>
          <w:rFonts w:ascii="Arial" w:hAnsi="Arial" w:cs="Arial"/>
          <w:i/>
          <w:sz w:val="24"/>
          <w:szCs w:val="24"/>
        </w:rPr>
        <w:t xml:space="preserve">Kahn v Raatz </w:t>
      </w:r>
      <w:r>
        <w:rPr>
          <w:rFonts w:ascii="Arial" w:hAnsi="Arial" w:cs="Arial"/>
          <w:sz w:val="24"/>
          <w:szCs w:val="24"/>
        </w:rPr>
        <w:t>1976</w:t>
      </w:r>
      <w:r w:rsidR="00C9718C">
        <w:rPr>
          <w:rFonts w:ascii="Arial" w:hAnsi="Arial" w:cs="Arial"/>
          <w:sz w:val="24"/>
          <w:szCs w:val="24"/>
        </w:rPr>
        <w:t xml:space="preserve"> </w:t>
      </w:r>
      <w:r>
        <w:rPr>
          <w:rFonts w:ascii="Arial" w:hAnsi="Arial" w:cs="Arial"/>
          <w:sz w:val="24"/>
          <w:szCs w:val="24"/>
        </w:rPr>
        <w:t xml:space="preserve">(4) SA 543 (A)). </w:t>
      </w:r>
      <w:r w:rsidR="00E06D87">
        <w:rPr>
          <w:rFonts w:ascii="Arial" w:hAnsi="Arial" w:cs="Arial"/>
          <w:sz w:val="24"/>
          <w:szCs w:val="24"/>
        </w:rPr>
        <w:t>C</w:t>
      </w:r>
      <w:r>
        <w:rPr>
          <w:rFonts w:ascii="Arial" w:hAnsi="Arial" w:cs="Arial"/>
          <w:sz w:val="24"/>
          <w:szCs w:val="24"/>
        </w:rPr>
        <w:t>ounsel</w:t>
      </w:r>
      <w:r w:rsidR="00E06D87">
        <w:rPr>
          <w:rFonts w:ascii="Arial" w:hAnsi="Arial" w:cs="Arial"/>
          <w:sz w:val="24"/>
          <w:szCs w:val="24"/>
        </w:rPr>
        <w:t xml:space="preserve"> however</w:t>
      </w:r>
      <w:r>
        <w:rPr>
          <w:rFonts w:ascii="Arial" w:hAnsi="Arial" w:cs="Arial"/>
          <w:sz w:val="24"/>
          <w:szCs w:val="24"/>
        </w:rPr>
        <w:t xml:space="preserve"> also argued that the letter </w:t>
      </w:r>
      <w:r w:rsidR="00FE6B2B">
        <w:rPr>
          <w:rFonts w:ascii="Arial" w:hAnsi="Arial" w:cs="Arial"/>
          <w:sz w:val="24"/>
          <w:szCs w:val="24"/>
        </w:rPr>
        <w:t xml:space="preserve">construed as a whole </w:t>
      </w:r>
      <w:r>
        <w:rPr>
          <w:rFonts w:ascii="Arial" w:hAnsi="Arial" w:cs="Arial"/>
          <w:sz w:val="24"/>
          <w:szCs w:val="24"/>
        </w:rPr>
        <w:t xml:space="preserve">conveyed an intention to </w:t>
      </w:r>
      <w:r w:rsidR="00032317">
        <w:rPr>
          <w:rFonts w:ascii="Arial" w:hAnsi="Arial" w:cs="Arial"/>
          <w:sz w:val="24"/>
          <w:szCs w:val="24"/>
        </w:rPr>
        <w:t xml:space="preserve">purchase to </w:t>
      </w:r>
      <w:r>
        <w:rPr>
          <w:rFonts w:ascii="Arial" w:hAnsi="Arial" w:cs="Arial"/>
          <w:sz w:val="24"/>
          <w:szCs w:val="24"/>
        </w:rPr>
        <w:t xml:space="preserve">be exercised through a close corporation. There is much merit in this submission. There would in my view be insufficient separation between the expressed intention to accept </w:t>
      </w:r>
      <w:r w:rsidR="00032317">
        <w:rPr>
          <w:rFonts w:ascii="Arial" w:hAnsi="Arial" w:cs="Arial"/>
          <w:sz w:val="24"/>
          <w:szCs w:val="24"/>
        </w:rPr>
        <w:t xml:space="preserve">the option </w:t>
      </w:r>
      <w:r>
        <w:rPr>
          <w:rFonts w:ascii="Arial" w:hAnsi="Arial" w:cs="Arial"/>
          <w:sz w:val="24"/>
          <w:szCs w:val="24"/>
        </w:rPr>
        <w:t>and the proposal to do so through a close corporation.</w:t>
      </w:r>
      <w:r w:rsidR="00FE6B2B">
        <w:rPr>
          <w:rFonts w:ascii="Arial" w:hAnsi="Arial" w:cs="Arial"/>
          <w:sz w:val="24"/>
          <w:szCs w:val="24"/>
        </w:rPr>
        <w:t xml:space="preserve"> This construction is also borne out of the facts as Mr Snyman was not in a position to take transfer of the farm given the prohibition in s 58 of the Land Reform Act for foreigners to take transfer of agriculture land as defined.</w:t>
      </w:r>
    </w:p>
    <w:p w:rsidR="00957753" w:rsidRPr="00957753" w:rsidRDefault="00957753" w:rsidP="00957753">
      <w:pPr>
        <w:pStyle w:val="ListParagraph"/>
        <w:rPr>
          <w:rFonts w:ascii="Arial" w:hAnsi="Arial" w:cs="Arial"/>
          <w:sz w:val="24"/>
          <w:szCs w:val="24"/>
        </w:rPr>
      </w:pPr>
    </w:p>
    <w:p w:rsidR="00957753" w:rsidRDefault="005230D0"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As this court stated in </w:t>
      </w:r>
      <w:r>
        <w:rPr>
          <w:rFonts w:ascii="Arial" w:hAnsi="Arial" w:cs="Arial"/>
          <w:i/>
          <w:sz w:val="24"/>
          <w:szCs w:val="24"/>
        </w:rPr>
        <w:t>Witvlei Meat (Pty) Ltd v Agricultural Bank of Namibia</w:t>
      </w:r>
      <w:r>
        <w:rPr>
          <w:rFonts w:ascii="Arial" w:hAnsi="Arial" w:cs="Arial"/>
          <w:sz w:val="24"/>
          <w:szCs w:val="24"/>
        </w:rPr>
        <w:t xml:space="preserve"> 2014</w:t>
      </w:r>
      <w:r w:rsidR="00C9718C">
        <w:rPr>
          <w:rFonts w:ascii="Arial" w:hAnsi="Arial" w:cs="Arial"/>
          <w:sz w:val="24"/>
          <w:szCs w:val="24"/>
        </w:rPr>
        <w:t xml:space="preserve"> </w:t>
      </w:r>
      <w:r>
        <w:rPr>
          <w:rFonts w:ascii="Arial" w:hAnsi="Arial" w:cs="Arial"/>
          <w:sz w:val="24"/>
          <w:szCs w:val="24"/>
        </w:rPr>
        <w:t>(2) NR 464 (SC) par</w:t>
      </w:r>
      <w:r w:rsidR="00197300">
        <w:rPr>
          <w:rFonts w:ascii="Arial" w:hAnsi="Arial" w:cs="Arial"/>
          <w:sz w:val="24"/>
          <w:szCs w:val="24"/>
        </w:rPr>
        <w:t>a</w:t>
      </w:r>
      <w:r>
        <w:rPr>
          <w:rFonts w:ascii="Arial" w:hAnsi="Arial" w:cs="Arial"/>
          <w:sz w:val="24"/>
          <w:szCs w:val="24"/>
        </w:rPr>
        <w:t xml:space="preserve"> 71</w:t>
      </w:r>
      <w:r w:rsidR="00271367">
        <w:rPr>
          <w:rFonts w:ascii="Arial" w:hAnsi="Arial" w:cs="Arial"/>
          <w:sz w:val="24"/>
          <w:szCs w:val="24"/>
        </w:rPr>
        <w:t>:</w:t>
      </w:r>
    </w:p>
    <w:p w:rsidR="00957753" w:rsidRPr="00957753" w:rsidRDefault="00957753" w:rsidP="00957753">
      <w:pPr>
        <w:pStyle w:val="ListParagraph"/>
        <w:rPr>
          <w:rFonts w:ascii="Arial" w:hAnsi="Arial" w:cs="Arial"/>
          <w:sz w:val="24"/>
          <w:szCs w:val="24"/>
        </w:rPr>
      </w:pPr>
    </w:p>
    <w:p w:rsidR="00957753" w:rsidRPr="00271367" w:rsidRDefault="00271367" w:rsidP="00271367">
      <w:pPr>
        <w:pStyle w:val="ListParagraph"/>
        <w:spacing w:line="360" w:lineRule="auto"/>
        <w:jc w:val="both"/>
        <w:rPr>
          <w:rFonts w:ascii="Arial" w:hAnsi="Arial" w:cs="Arial"/>
        </w:rPr>
      </w:pPr>
      <w:r>
        <w:rPr>
          <w:rFonts w:ascii="Arial" w:hAnsi="Arial" w:cs="Arial"/>
        </w:rPr>
        <w:t>‘Where the option granted did not</w:t>
      </w:r>
      <w:r w:rsidR="007A6E01">
        <w:rPr>
          <w:rFonts w:ascii="Arial" w:hAnsi="Arial" w:cs="Arial"/>
        </w:rPr>
        <w:t xml:space="preserve"> </w:t>
      </w:r>
      <w:r w:rsidR="007A6E01" w:rsidRPr="007A6E01">
        <w:rPr>
          <w:rFonts w:ascii="Arial" w:hAnsi="Arial" w:cs="Arial"/>
        </w:rPr>
        <w:t>provide for a date of transfer of the property, once the option had been exercised, transfer must take place within a reasonable time. (See Visagie v Gerryts en 'n Ander 2000 (3) SA 670 (C) at 676C.)</w:t>
      </w:r>
      <w:r>
        <w:rPr>
          <w:rFonts w:ascii="Arial" w:hAnsi="Arial" w:cs="Arial"/>
        </w:rPr>
        <w:t>’</w:t>
      </w:r>
    </w:p>
    <w:p w:rsidR="00957753" w:rsidRPr="00957753" w:rsidRDefault="00957753" w:rsidP="00957753">
      <w:pPr>
        <w:pStyle w:val="ListParagraph"/>
        <w:rPr>
          <w:rFonts w:ascii="Arial" w:hAnsi="Arial" w:cs="Arial"/>
          <w:sz w:val="24"/>
          <w:szCs w:val="24"/>
        </w:rPr>
      </w:pPr>
    </w:p>
    <w:p w:rsidR="00EF4A53" w:rsidRDefault="00EF4A53" w:rsidP="00EF4A53">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I agree with counsel for the executor that the letter construed as a whole in the light of the circumstances evinces an intention to exercise the option through a close corporation. Mr Snyman was at that time (on 17 February 2003) </w:t>
      </w:r>
      <w:r w:rsidR="0088711B">
        <w:rPr>
          <w:rFonts w:ascii="Arial" w:hAnsi="Arial" w:cs="Arial"/>
          <w:sz w:val="24"/>
          <w:szCs w:val="24"/>
        </w:rPr>
        <w:t xml:space="preserve">not </w:t>
      </w:r>
      <w:r>
        <w:rPr>
          <w:rFonts w:ascii="Arial" w:hAnsi="Arial" w:cs="Arial"/>
          <w:sz w:val="24"/>
          <w:szCs w:val="24"/>
        </w:rPr>
        <w:t xml:space="preserve">a Namibian citizen. He was thus precluded by s 58 of the Land Reform Act from taking transfer of the farm. This no doubt accounted for his proposal to acquire it in a close corporation even though he </w:t>
      </w:r>
      <w:r w:rsidR="00D83FBA">
        <w:rPr>
          <w:rFonts w:ascii="Arial" w:hAnsi="Arial" w:cs="Arial"/>
          <w:sz w:val="24"/>
          <w:szCs w:val="24"/>
        </w:rPr>
        <w:t>un</w:t>
      </w:r>
      <w:r w:rsidR="00FE6B2B">
        <w:rPr>
          <w:rFonts w:ascii="Arial" w:hAnsi="Arial" w:cs="Arial"/>
          <w:sz w:val="24"/>
          <w:szCs w:val="24"/>
        </w:rPr>
        <w:t xml:space="preserve">convincingly </w:t>
      </w:r>
      <w:r>
        <w:rPr>
          <w:rFonts w:ascii="Arial" w:hAnsi="Arial" w:cs="Arial"/>
          <w:sz w:val="24"/>
          <w:szCs w:val="24"/>
        </w:rPr>
        <w:t xml:space="preserve">denied a proposition to that effect. </w:t>
      </w:r>
      <w:r w:rsidR="00FE6B2B">
        <w:rPr>
          <w:rFonts w:ascii="Arial" w:hAnsi="Arial" w:cs="Arial"/>
          <w:sz w:val="24"/>
          <w:szCs w:val="24"/>
        </w:rPr>
        <w:t>His</w:t>
      </w:r>
      <w:r>
        <w:rPr>
          <w:rFonts w:ascii="Arial" w:hAnsi="Arial" w:cs="Arial"/>
          <w:sz w:val="24"/>
          <w:szCs w:val="24"/>
        </w:rPr>
        <w:t xml:space="preserve"> evidence on this issue was wholly unsatisfactory and falls to be rejected.</w:t>
      </w:r>
    </w:p>
    <w:p w:rsidR="00EF4A53" w:rsidRDefault="00EF4A53" w:rsidP="00EF4A53">
      <w:pPr>
        <w:pStyle w:val="ListParagraph"/>
        <w:rPr>
          <w:rFonts w:ascii="Arial" w:hAnsi="Arial" w:cs="Arial"/>
          <w:sz w:val="24"/>
          <w:szCs w:val="24"/>
        </w:rPr>
      </w:pPr>
    </w:p>
    <w:p w:rsidR="0069254F" w:rsidRPr="00E46C22" w:rsidRDefault="0069254F" w:rsidP="00EF4A53">
      <w:pPr>
        <w:pStyle w:val="ListParagraph"/>
        <w:rPr>
          <w:rFonts w:ascii="Arial" w:hAnsi="Arial" w:cs="Arial"/>
          <w:sz w:val="24"/>
          <w:szCs w:val="24"/>
        </w:rPr>
      </w:pPr>
    </w:p>
    <w:p w:rsidR="00032317" w:rsidRPr="00EF4A53" w:rsidRDefault="00EF4A53" w:rsidP="00EF4A53">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There is thus insufficient separation between the intention to exercise the option and the proposal to do so through a close corporation. The latter proposal is indicative of the letter </w:t>
      </w:r>
      <w:r w:rsidR="00FE6B2B">
        <w:rPr>
          <w:rFonts w:ascii="Arial" w:hAnsi="Arial" w:cs="Arial"/>
          <w:sz w:val="24"/>
          <w:szCs w:val="24"/>
        </w:rPr>
        <w:t xml:space="preserve">of 17 February 2003 </w:t>
      </w:r>
      <w:r>
        <w:rPr>
          <w:rFonts w:ascii="Arial" w:hAnsi="Arial" w:cs="Arial"/>
          <w:sz w:val="24"/>
          <w:szCs w:val="24"/>
        </w:rPr>
        <w:t xml:space="preserve">not being severed into independent parts as stated in </w:t>
      </w:r>
      <w:r>
        <w:rPr>
          <w:rFonts w:ascii="Arial" w:hAnsi="Arial" w:cs="Arial"/>
          <w:i/>
          <w:sz w:val="24"/>
          <w:szCs w:val="24"/>
        </w:rPr>
        <w:t xml:space="preserve">JRM Furniture Holdings v Cowlin </w:t>
      </w:r>
      <w:r>
        <w:rPr>
          <w:rFonts w:ascii="Arial" w:hAnsi="Arial" w:cs="Arial"/>
          <w:sz w:val="24"/>
          <w:szCs w:val="24"/>
        </w:rPr>
        <w:t>1983</w:t>
      </w:r>
      <w:r w:rsidR="00C9718C">
        <w:rPr>
          <w:rFonts w:ascii="Arial" w:hAnsi="Arial" w:cs="Arial"/>
          <w:sz w:val="24"/>
          <w:szCs w:val="24"/>
        </w:rPr>
        <w:t xml:space="preserve"> </w:t>
      </w:r>
      <w:r>
        <w:rPr>
          <w:rFonts w:ascii="Arial" w:hAnsi="Arial" w:cs="Arial"/>
          <w:sz w:val="24"/>
          <w:szCs w:val="24"/>
        </w:rPr>
        <w:t xml:space="preserve">(4) 541 (W) applied by this court in </w:t>
      </w:r>
      <w:r>
        <w:rPr>
          <w:rFonts w:ascii="Arial" w:hAnsi="Arial" w:cs="Arial"/>
          <w:i/>
          <w:sz w:val="24"/>
          <w:szCs w:val="24"/>
        </w:rPr>
        <w:t xml:space="preserve">Witvlei Meat </w:t>
      </w:r>
      <w:r>
        <w:rPr>
          <w:rFonts w:ascii="Arial" w:hAnsi="Arial" w:cs="Arial"/>
          <w:sz w:val="24"/>
          <w:szCs w:val="24"/>
        </w:rPr>
        <w:t xml:space="preserve">para 76. As was stated in </w:t>
      </w:r>
      <w:r w:rsidR="00FE6B2B">
        <w:rPr>
          <w:rFonts w:ascii="Arial" w:hAnsi="Arial" w:cs="Arial"/>
          <w:i/>
          <w:sz w:val="24"/>
          <w:szCs w:val="24"/>
        </w:rPr>
        <w:t xml:space="preserve">JRM Furniture Holdings </w:t>
      </w:r>
      <w:r>
        <w:rPr>
          <w:rFonts w:ascii="Arial" w:hAnsi="Arial" w:cs="Arial"/>
          <w:sz w:val="24"/>
          <w:szCs w:val="24"/>
        </w:rPr>
        <w:t>matter (at 547 B-C)</w:t>
      </w:r>
      <w:r w:rsidR="00FE6B2B">
        <w:rPr>
          <w:rFonts w:ascii="Arial" w:hAnsi="Arial" w:cs="Arial"/>
          <w:sz w:val="24"/>
          <w:szCs w:val="24"/>
        </w:rPr>
        <w:t>,</w:t>
      </w:r>
      <w:r>
        <w:rPr>
          <w:rFonts w:ascii="Arial" w:hAnsi="Arial" w:cs="Arial"/>
          <w:sz w:val="24"/>
          <w:szCs w:val="24"/>
        </w:rPr>
        <w:t xml:space="preserve"> the condition sought to be imposed was ‘part and parcel’ of the acceptance which in the result is invalid due to ‘non correspondence with the offer</w:t>
      </w:r>
      <w:r w:rsidR="00FE6B2B">
        <w:rPr>
          <w:rFonts w:ascii="Arial" w:hAnsi="Arial" w:cs="Arial"/>
          <w:sz w:val="24"/>
          <w:szCs w:val="24"/>
        </w:rPr>
        <w:t>’</w:t>
      </w:r>
      <w:r>
        <w:rPr>
          <w:rFonts w:ascii="Arial" w:hAnsi="Arial" w:cs="Arial"/>
          <w:sz w:val="24"/>
          <w:szCs w:val="24"/>
        </w:rPr>
        <w:t>. The same result arises in this matter as the letter of 17 February</w:t>
      </w:r>
      <w:r w:rsidR="00FE6B2B">
        <w:rPr>
          <w:rFonts w:ascii="Arial" w:hAnsi="Arial" w:cs="Arial"/>
          <w:sz w:val="24"/>
          <w:szCs w:val="24"/>
        </w:rPr>
        <w:t xml:space="preserve"> 2003</w:t>
      </w:r>
      <w:r>
        <w:rPr>
          <w:rFonts w:ascii="Arial" w:hAnsi="Arial" w:cs="Arial"/>
          <w:sz w:val="24"/>
          <w:szCs w:val="24"/>
        </w:rPr>
        <w:t xml:space="preserve"> by proposing that the purchase and sale be to a close corporation</w:t>
      </w:r>
      <w:r w:rsidR="00FE6B2B">
        <w:rPr>
          <w:rFonts w:ascii="Arial" w:hAnsi="Arial" w:cs="Arial"/>
          <w:sz w:val="24"/>
          <w:szCs w:val="24"/>
        </w:rPr>
        <w:t>,</w:t>
      </w:r>
      <w:r>
        <w:rPr>
          <w:rFonts w:ascii="Arial" w:hAnsi="Arial" w:cs="Arial"/>
          <w:sz w:val="24"/>
          <w:szCs w:val="24"/>
        </w:rPr>
        <w:t xml:space="preserve"> resulted in an invalid exercise of the option. It amounted to an attempt to vary the terms of an offer which destroyed the validity of the attempt to accept it.</w:t>
      </w:r>
    </w:p>
    <w:p w:rsidR="00032317" w:rsidRDefault="00032317" w:rsidP="00032317">
      <w:pPr>
        <w:pStyle w:val="ListParagraph"/>
        <w:ind w:left="0"/>
        <w:jc w:val="both"/>
        <w:rPr>
          <w:rFonts w:ascii="Arial" w:hAnsi="Arial" w:cs="Arial"/>
          <w:sz w:val="24"/>
          <w:szCs w:val="24"/>
        </w:rPr>
      </w:pPr>
    </w:p>
    <w:p w:rsidR="00957753" w:rsidRDefault="00271367"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It follows that Mr Snyman did not validly exercise the option for this reason alone. Given this conclusion (of invalidity of the exercise of the option on this ground), it is not necessary to address the other grounds upon which the exercise of the option was challenged.</w:t>
      </w:r>
    </w:p>
    <w:p w:rsidR="00957753" w:rsidRPr="00957753" w:rsidRDefault="00957753" w:rsidP="00957753">
      <w:pPr>
        <w:pStyle w:val="ListParagraph"/>
        <w:rPr>
          <w:rFonts w:ascii="Arial" w:hAnsi="Arial" w:cs="Arial"/>
          <w:sz w:val="24"/>
          <w:szCs w:val="24"/>
        </w:rPr>
      </w:pPr>
    </w:p>
    <w:p w:rsidR="00957753" w:rsidRDefault="00271367"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It follows that an appeal against the first claim does not enjoy prospects of success.</w:t>
      </w:r>
    </w:p>
    <w:p w:rsidR="00271367" w:rsidRDefault="00271367" w:rsidP="00D83FBA">
      <w:pPr>
        <w:ind w:left="0"/>
        <w:rPr>
          <w:rFonts w:ascii="Arial" w:hAnsi="Arial" w:cs="Arial"/>
          <w:sz w:val="24"/>
          <w:szCs w:val="24"/>
        </w:rPr>
      </w:pPr>
    </w:p>
    <w:p w:rsidR="00D83FBA" w:rsidRPr="00D83FBA" w:rsidRDefault="00D83FBA" w:rsidP="00D83FBA">
      <w:pPr>
        <w:ind w:left="0"/>
        <w:rPr>
          <w:rFonts w:ascii="Arial" w:hAnsi="Arial" w:cs="Arial"/>
          <w:sz w:val="24"/>
          <w:szCs w:val="24"/>
          <w:u w:val="single"/>
        </w:rPr>
      </w:pPr>
      <w:r>
        <w:rPr>
          <w:rFonts w:ascii="Arial" w:hAnsi="Arial" w:cs="Arial"/>
          <w:sz w:val="24"/>
          <w:szCs w:val="24"/>
          <w:u w:val="single"/>
        </w:rPr>
        <w:t>Claim 2</w:t>
      </w:r>
    </w:p>
    <w:p w:rsidR="00271367" w:rsidRDefault="00271367"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As for the second claim, the Snymans did not apply for absolution in respect of this claim. That application was confi</w:t>
      </w:r>
      <w:r w:rsidR="00032317">
        <w:rPr>
          <w:rFonts w:ascii="Arial" w:hAnsi="Arial" w:cs="Arial"/>
          <w:sz w:val="24"/>
          <w:szCs w:val="24"/>
        </w:rPr>
        <w:t>n</w:t>
      </w:r>
      <w:r>
        <w:rPr>
          <w:rFonts w:ascii="Arial" w:hAnsi="Arial" w:cs="Arial"/>
          <w:sz w:val="24"/>
          <w:szCs w:val="24"/>
        </w:rPr>
        <w:t>ed to the claim for eviction</w:t>
      </w:r>
      <w:r w:rsidR="00032317">
        <w:rPr>
          <w:rFonts w:ascii="Arial" w:hAnsi="Arial" w:cs="Arial"/>
          <w:sz w:val="24"/>
          <w:szCs w:val="24"/>
        </w:rPr>
        <w:t>.</w:t>
      </w:r>
      <w:r>
        <w:rPr>
          <w:rFonts w:ascii="Arial" w:hAnsi="Arial" w:cs="Arial"/>
          <w:sz w:val="24"/>
          <w:szCs w:val="24"/>
        </w:rPr>
        <w:t xml:space="preserve"> </w:t>
      </w:r>
    </w:p>
    <w:p w:rsidR="00271367" w:rsidRPr="00271367" w:rsidRDefault="00271367" w:rsidP="00271367">
      <w:pPr>
        <w:pStyle w:val="ListParagraph"/>
        <w:rPr>
          <w:rFonts w:ascii="Arial" w:hAnsi="Arial" w:cs="Arial"/>
          <w:sz w:val="24"/>
          <w:szCs w:val="24"/>
        </w:rPr>
      </w:pPr>
    </w:p>
    <w:p w:rsidR="00FE6B2B" w:rsidRDefault="00271367"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The lease agreement expired at the end of February 2004. During the trial it emerged that the Snymans continued to occupy the farm since March 2004 until they gave their evidence (in September 2014) and ha</w:t>
      </w:r>
      <w:r w:rsidR="00032317">
        <w:rPr>
          <w:rFonts w:ascii="Arial" w:hAnsi="Arial" w:cs="Arial"/>
          <w:sz w:val="24"/>
          <w:szCs w:val="24"/>
        </w:rPr>
        <w:t>d</w:t>
      </w:r>
      <w:r>
        <w:rPr>
          <w:rFonts w:ascii="Arial" w:hAnsi="Arial" w:cs="Arial"/>
          <w:sz w:val="24"/>
          <w:szCs w:val="24"/>
        </w:rPr>
        <w:t xml:space="preserve"> not paid any rental </w:t>
      </w:r>
      <w:r w:rsidR="00FE6B2B">
        <w:rPr>
          <w:rFonts w:ascii="Arial" w:hAnsi="Arial" w:cs="Arial"/>
          <w:sz w:val="24"/>
          <w:szCs w:val="24"/>
        </w:rPr>
        <w:t>for</w:t>
      </w:r>
      <w:r>
        <w:rPr>
          <w:rFonts w:ascii="Arial" w:hAnsi="Arial" w:cs="Arial"/>
          <w:sz w:val="24"/>
          <w:szCs w:val="24"/>
        </w:rPr>
        <w:t xml:space="preserve"> the farm since </w:t>
      </w:r>
      <w:r w:rsidR="00FE6B2B">
        <w:rPr>
          <w:rFonts w:ascii="Arial" w:hAnsi="Arial" w:cs="Arial"/>
          <w:sz w:val="24"/>
          <w:szCs w:val="24"/>
        </w:rPr>
        <w:t>March 2004</w:t>
      </w:r>
      <w:r>
        <w:rPr>
          <w:rFonts w:ascii="Arial" w:hAnsi="Arial" w:cs="Arial"/>
          <w:sz w:val="24"/>
          <w:szCs w:val="24"/>
        </w:rPr>
        <w:t xml:space="preserve">. Mr Snyman in </w:t>
      </w:r>
      <w:r w:rsidR="00032317">
        <w:rPr>
          <w:rFonts w:ascii="Arial" w:hAnsi="Arial" w:cs="Arial"/>
          <w:sz w:val="24"/>
          <w:szCs w:val="24"/>
        </w:rPr>
        <w:t>cross-examination expressly acknowledged that</w:t>
      </w:r>
      <w:r>
        <w:rPr>
          <w:rFonts w:ascii="Arial" w:hAnsi="Arial" w:cs="Arial"/>
          <w:sz w:val="24"/>
          <w:szCs w:val="24"/>
        </w:rPr>
        <w:t xml:space="preserve"> the rental payable in the last year of the lease was both fair and reasonable. The High Court had no difficulty in rejecting the point that no award should be made in the absence of expert evidence that the rental was fair and reasonable and in my view correctly so. Mr Snyman’s acknowledgment to that effect would plainly suffice. </w:t>
      </w:r>
      <w:r w:rsidR="00FE6B2B">
        <w:rPr>
          <w:rFonts w:ascii="Arial" w:hAnsi="Arial" w:cs="Arial"/>
          <w:sz w:val="24"/>
          <w:szCs w:val="24"/>
        </w:rPr>
        <w:t xml:space="preserve">Once he admitted and accepted that, there was no need for expert evidence to that effect. </w:t>
      </w:r>
      <w:r>
        <w:rPr>
          <w:rFonts w:ascii="Arial" w:hAnsi="Arial" w:cs="Arial"/>
          <w:sz w:val="24"/>
          <w:szCs w:val="24"/>
        </w:rPr>
        <w:t xml:space="preserve">This point taking cannot avail Mr Snyman. </w:t>
      </w:r>
    </w:p>
    <w:p w:rsidR="00FE6B2B" w:rsidRPr="00FE6B2B" w:rsidRDefault="00FE6B2B" w:rsidP="00FE6B2B">
      <w:pPr>
        <w:pStyle w:val="ListParagraph"/>
        <w:rPr>
          <w:rFonts w:ascii="Arial" w:hAnsi="Arial" w:cs="Arial"/>
          <w:sz w:val="24"/>
          <w:szCs w:val="24"/>
        </w:rPr>
      </w:pPr>
    </w:p>
    <w:p w:rsidR="00271367" w:rsidRDefault="00271367"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 xml:space="preserve">The court below was correct in upholding the claim for damages, but as was pointed out, it should only be made against Mr Snyman and the order would need to be corrected to </w:t>
      </w:r>
      <w:r w:rsidR="00032317">
        <w:rPr>
          <w:rFonts w:ascii="Arial" w:hAnsi="Arial" w:cs="Arial"/>
          <w:sz w:val="24"/>
          <w:szCs w:val="24"/>
        </w:rPr>
        <w:t>reflect</w:t>
      </w:r>
      <w:r>
        <w:rPr>
          <w:rFonts w:ascii="Arial" w:hAnsi="Arial" w:cs="Arial"/>
          <w:sz w:val="24"/>
          <w:szCs w:val="24"/>
        </w:rPr>
        <w:t xml:space="preserve"> that.</w:t>
      </w:r>
    </w:p>
    <w:p w:rsidR="00271367" w:rsidRPr="00271367" w:rsidRDefault="00271367" w:rsidP="00271367">
      <w:pPr>
        <w:pStyle w:val="ListParagraph"/>
        <w:rPr>
          <w:rFonts w:ascii="Arial" w:hAnsi="Arial" w:cs="Arial"/>
          <w:sz w:val="24"/>
          <w:szCs w:val="24"/>
        </w:rPr>
      </w:pPr>
    </w:p>
    <w:p w:rsidR="00271367" w:rsidRDefault="00271367" w:rsidP="00A52DF2">
      <w:pPr>
        <w:pStyle w:val="ListParagraph"/>
        <w:numPr>
          <w:ilvl w:val="0"/>
          <w:numId w:val="18"/>
        </w:numPr>
        <w:ind w:left="0" w:firstLine="0"/>
        <w:jc w:val="both"/>
        <w:rPr>
          <w:rFonts w:ascii="Arial" w:hAnsi="Arial" w:cs="Arial"/>
          <w:sz w:val="24"/>
          <w:szCs w:val="24"/>
        </w:rPr>
      </w:pPr>
      <w:r>
        <w:rPr>
          <w:rFonts w:ascii="Arial" w:hAnsi="Arial" w:cs="Arial"/>
          <w:sz w:val="24"/>
          <w:szCs w:val="24"/>
        </w:rPr>
        <w:t>It follows that an appeal against the second claim likewise does not enjoy prospects of success.</w:t>
      </w:r>
    </w:p>
    <w:p w:rsidR="00957753" w:rsidRDefault="00957753" w:rsidP="00271367">
      <w:pPr>
        <w:ind w:left="0"/>
        <w:rPr>
          <w:rFonts w:ascii="Arial" w:hAnsi="Arial" w:cs="Arial"/>
          <w:sz w:val="24"/>
          <w:szCs w:val="24"/>
        </w:rPr>
      </w:pPr>
    </w:p>
    <w:p w:rsidR="00271367" w:rsidRPr="00271367" w:rsidRDefault="00271367" w:rsidP="00271367">
      <w:pPr>
        <w:ind w:left="0"/>
        <w:rPr>
          <w:rFonts w:ascii="Arial" w:hAnsi="Arial" w:cs="Arial"/>
          <w:sz w:val="24"/>
          <w:szCs w:val="24"/>
          <w:u w:val="single"/>
        </w:rPr>
      </w:pPr>
      <w:r>
        <w:rPr>
          <w:rFonts w:ascii="Arial" w:hAnsi="Arial" w:cs="Arial"/>
          <w:sz w:val="24"/>
          <w:szCs w:val="24"/>
          <w:u w:val="single"/>
        </w:rPr>
        <w:t xml:space="preserve">Conclusion </w:t>
      </w:r>
    </w:p>
    <w:p w:rsidR="007642FD" w:rsidRPr="00FE6B2B" w:rsidRDefault="00271367" w:rsidP="00F95F20">
      <w:pPr>
        <w:pStyle w:val="ListParagraph"/>
        <w:numPr>
          <w:ilvl w:val="0"/>
          <w:numId w:val="18"/>
        </w:numPr>
        <w:ind w:left="0" w:firstLine="0"/>
        <w:jc w:val="both"/>
        <w:rPr>
          <w:rFonts w:ascii="Arial" w:hAnsi="Arial" w:cs="Arial"/>
          <w:sz w:val="24"/>
          <w:szCs w:val="24"/>
        </w:rPr>
      </w:pPr>
      <w:r w:rsidRPr="00FE6B2B">
        <w:rPr>
          <w:rFonts w:ascii="Arial" w:hAnsi="Arial" w:cs="Arial"/>
          <w:sz w:val="24"/>
          <w:szCs w:val="24"/>
        </w:rPr>
        <w:t xml:space="preserve">Given the finding of this court that there are no prospects of success in this appeal </w:t>
      </w:r>
      <w:r w:rsidR="00E46C22" w:rsidRPr="00FE6B2B">
        <w:rPr>
          <w:rFonts w:ascii="Arial" w:hAnsi="Arial" w:cs="Arial"/>
          <w:sz w:val="24"/>
          <w:szCs w:val="24"/>
        </w:rPr>
        <w:t xml:space="preserve">and the finding that an adequate explanation had not been provided for the non-compliance with rule 5, the applications for condonation for the late filing of the appeal record and the reinstatement of the appeal fall to be dismissed. </w:t>
      </w:r>
    </w:p>
    <w:p w:rsidR="00EF4A53" w:rsidRDefault="00EF4A53" w:rsidP="008212E6">
      <w:pPr>
        <w:ind w:left="0"/>
        <w:rPr>
          <w:rFonts w:ascii="Arial" w:hAnsi="Arial" w:cs="Arial"/>
          <w:sz w:val="24"/>
          <w:szCs w:val="24"/>
          <w:u w:val="single"/>
        </w:rPr>
      </w:pPr>
    </w:p>
    <w:p w:rsidR="00197300" w:rsidRDefault="00197300" w:rsidP="008212E6">
      <w:pPr>
        <w:ind w:left="0"/>
        <w:rPr>
          <w:rFonts w:ascii="Arial" w:hAnsi="Arial" w:cs="Arial"/>
          <w:sz w:val="24"/>
          <w:szCs w:val="24"/>
          <w:u w:val="single"/>
        </w:rPr>
      </w:pPr>
    </w:p>
    <w:p w:rsidR="00197300" w:rsidRDefault="00197300" w:rsidP="008212E6">
      <w:pPr>
        <w:ind w:left="0"/>
        <w:rPr>
          <w:rFonts w:ascii="Arial" w:hAnsi="Arial" w:cs="Arial"/>
          <w:sz w:val="24"/>
          <w:szCs w:val="24"/>
          <w:u w:val="single"/>
        </w:rPr>
      </w:pPr>
    </w:p>
    <w:p w:rsidR="008212E6" w:rsidRPr="008212E6" w:rsidRDefault="008212E6" w:rsidP="008212E6">
      <w:pPr>
        <w:ind w:left="0"/>
        <w:rPr>
          <w:rFonts w:ascii="Arial" w:hAnsi="Arial" w:cs="Arial"/>
          <w:sz w:val="24"/>
          <w:szCs w:val="24"/>
          <w:u w:val="single"/>
        </w:rPr>
      </w:pPr>
      <w:r>
        <w:rPr>
          <w:rFonts w:ascii="Arial" w:hAnsi="Arial" w:cs="Arial"/>
          <w:sz w:val="24"/>
          <w:szCs w:val="24"/>
          <w:u w:val="single"/>
        </w:rPr>
        <w:t>Order</w:t>
      </w:r>
    </w:p>
    <w:p w:rsidR="008212E6" w:rsidRDefault="008212E6" w:rsidP="008212E6">
      <w:pPr>
        <w:pStyle w:val="ListParagraph"/>
        <w:numPr>
          <w:ilvl w:val="0"/>
          <w:numId w:val="18"/>
        </w:numPr>
        <w:ind w:left="0" w:firstLine="0"/>
        <w:jc w:val="both"/>
        <w:rPr>
          <w:rFonts w:ascii="Arial" w:hAnsi="Arial" w:cs="Arial"/>
          <w:sz w:val="24"/>
          <w:szCs w:val="24"/>
        </w:rPr>
      </w:pPr>
      <w:r>
        <w:rPr>
          <w:rFonts w:ascii="Arial" w:hAnsi="Arial" w:cs="Arial"/>
          <w:sz w:val="24"/>
          <w:szCs w:val="24"/>
        </w:rPr>
        <w:t>The following order is made:</w:t>
      </w:r>
    </w:p>
    <w:p w:rsidR="008212E6" w:rsidRPr="008212E6" w:rsidRDefault="008212E6" w:rsidP="008212E6">
      <w:pPr>
        <w:pStyle w:val="ListParagraph"/>
        <w:ind w:left="0"/>
        <w:jc w:val="both"/>
        <w:rPr>
          <w:rFonts w:ascii="Arial" w:hAnsi="Arial" w:cs="Arial"/>
          <w:sz w:val="24"/>
          <w:szCs w:val="24"/>
        </w:rPr>
      </w:pPr>
    </w:p>
    <w:p w:rsidR="008212E6" w:rsidRDefault="008212E6" w:rsidP="00EF4A53">
      <w:pPr>
        <w:pStyle w:val="ListParagraph"/>
        <w:numPr>
          <w:ilvl w:val="0"/>
          <w:numId w:val="19"/>
        </w:numPr>
        <w:ind w:left="1418" w:hanging="698"/>
        <w:jc w:val="both"/>
        <w:rPr>
          <w:rFonts w:ascii="Arial" w:hAnsi="Arial" w:cs="Arial"/>
          <w:sz w:val="24"/>
          <w:szCs w:val="24"/>
        </w:rPr>
      </w:pPr>
      <w:r>
        <w:rPr>
          <w:rFonts w:ascii="Arial" w:hAnsi="Arial" w:cs="Arial"/>
          <w:sz w:val="24"/>
          <w:szCs w:val="24"/>
        </w:rPr>
        <w:t>The application</w:t>
      </w:r>
      <w:r w:rsidR="00032317">
        <w:rPr>
          <w:rFonts w:ascii="Arial" w:hAnsi="Arial" w:cs="Arial"/>
          <w:sz w:val="24"/>
          <w:szCs w:val="24"/>
        </w:rPr>
        <w:t>s</w:t>
      </w:r>
      <w:r>
        <w:rPr>
          <w:rFonts w:ascii="Arial" w:hAnsi="Arial" w:cs="Arial"/>
          <w:sz w:val="24"/>
          <w:szCs w:val="24"/>
        </w:rPr>
        <w:t xml:space="preserve"> for condonation for the late filing of the record of appeal and reinstatement of the appeal are dismissed.</w:t>
      </w:r>
    </w:p>
    <w:p w:rsidR="008212E6" w:rsidRDefault="008212E6" w:rsidP="00EF4A53">
      <w:pPr>
        <w:pStyle w:val="ListParagraph"/>
        <w:ind w:left="1418" w:hanging="698"/>
        <w:jc w:val="both"/>
        <w:rPr>
          <w:rFonts w:ascii="Arial" w:hAnsi="Arial" w:cs="Arial"/>
          <w:sz w:val="24"/>
          <w:szCs w:val="24"/>
        </w:rPr>
      </w:pPr>
    </w:p>
    <w:p w:rsidR="008212E6" w:rsidRDefault="008212E6" w:rsidP="00EF4A53">
      <w:pPr>
        <w:pStyle w:val="ListParagraph"/>
        <w:numPr>
          <w:ilvl w:val="0"/>
          <w:numId w:val="19"/>
        </w:numPr>
        <w:ind w:left="1418" w:hanging="698"/>
        <w:jc w:val="both"/>
        <w:rPr>
          <w:rFonts w:ascii="Arial" w:hAnsi="Arial" w:cs="Arial"/>
          <w:sz w:val="24"/>
          <w:szCs w:val="24"/>
        </w:rPr>
      </w:pPr>
      <w:r>
        <w:rPr>
          <w:rFonts w:ascii="Arial" w:hAnsi="Arial" w:cs="Arial"/>
          <w:sz w:val="24"/>
          <w:szCs w:val="24"/>
        </w:rPr>
        <w:t>The appeal is struck from the roll.</w:t>
      </w:r>
    </w:p>
    <w:p w:rsidR="008212E6" w:rsidRPr="008212E6" w:rsidRDefault="008212E6" w:rsidP="00EF4A53">
      <w:pPr>
        <w:ind w:left="1418" w:hanging="698"/>
        <w:jc w:val="both"/>
        <w:rPr>
          <w:rFonts w:ascii="Arial" w:hAnsi="Arial" w:cs="Arial"/>
          <w:sz w:val="24"/>
          <w:szCs w:val="24"/>
        </w:rPr>
      </w:pPr>
    </w:p>
    <w:p w:rsidR="008212E6" w:rsidRDefault="008212E6" w:rsidP="00EF4A53">
      <w:pPr>
        <w:pStyle w:val="ListParagraph"/>
        <w:numPr>
          <w:ilvl w:val="0"/>
          <w:numId w:val="19"/>
        </w:numPr>
        <w:ind w:left="1418" w:hanging="698"/>
        <w:jc w:val="both"/>
        <w:rPr>
          <w:rFonts w:ascii="Arial" w:hAnsi="Arial" w:cs="Arial"/>
          <w:sz w:val="24"/>
          <w:szCs w:val="24"/>
        </w:rPr>
      </w:pPr>
      <w:r>
        <w:rPr>
          <w:rFonts w:ascii="Arial" w:hAnsi="Arial" w:cs="Arial"/>
          <w:sz w:val="24"/>
          <w:szCs w:val="24"/>
        </w:rPr>
        <w:t>The appellants are ordered to pay the costs of the respondent</w:t>
      </w:r>
      <w:r w:rsidR="00032317">
        <w:rPr>
          <w:rFonts w:ascii="Arial" w:hAnsi="Arial" w:cs="Arial"/>
          <w:sz w:val="24"/>
          <w:szCs w:val="24"/>
        </w:rPr>
        <w:t>. These costs</w:t>
      </w:r>
      <w:r>
        <w:rPr>
          <w:rFonts w:ascii="Arial" w:hAnsi="Arial" w:cs="Arial"/>
          <w:sz w:val="24"/>
          <w:szCs w:val="24"/>
        </w:rPr>
        <w:t xml:space="preserve"> include the cost</w:t>
      </w:r>
      <w:r w:rsidR="00FE6B2B">
        <w:rPr>
          <w:rFonts w:ascii="Arial" w:hAnsi="Arial" w:cs="Arial"/>
          <w:sz w:val="24"/>
          <w:szCs w:val="24"/>
        </w:rPr>
        <w:t>s</w:t>
      </w:r>
      <w:r>
        <w:rPr>
          <w:rFonts w:ascii="Arial" w:hAnsi="Arial" w:cs="Arial"/>
          <w:sz w:val="24"/>
          <w:szCs w:val="24"/>
        </w:rPr>
        <w:t xml:space="preserve"> of one instructed and one instructing counsel.</w:t>
      </w:r>
    </w:p>
    <w:p w:rsidR="008212E6" w:rsidRPr="008212E6" w:rsidRDefault="008212E6" w:rsidP="00EF4A53">
      <w:pPr>
        <w:ind w:left="1418" w:hanging="698"/>
        <w:jc w:val="both"/>
        <w:rPr>
          <w:rFonts w:ascii="Arial" w:hAnsi="Arial" w:cs="Arial"/>
          <w:sz w:val="24"/>
          <w:szCs w:val="24"/>
        </w:rPr>
      </w:pPr>
    </w:p>
    <w:p w:rsidR="008212E6" w:rsidRDefault="008212E6" w:rsidP="00EF4A53">
      <w:pPr>
        <w:pStyle w:val="ListParagraph"/>
        <w:numPr>
          <w:ilvl w:val="0"/>
          <w:numId w:val="19"/>
        </w:numPr>
        <w:ind w:left="1418" w:hanging="698"/>
        <w:jc w:val="both"/>
        <w:rPr>
          <w:rFonts w:ascii="Arial" w:hAnsi="Arial" w:cs="Arial"/>
          <w:sz w:val="24"/>
          <w:szCs w:val="24"/>
        </w:rPr>
      </w:pPr>
      <w:r>
        <w:rPr>
          <w:rFonts w:ascii="Arial" w:hAnsi="Arial" w:cs="Arial"/>
          <w:sz w:val="24"/>
          <w:szCs w:val="24"/>
        </w:rPr>
        <w:t>The order of the High Court is amended to read:</w:t>
      </w:r>
    </w:p>
    <w:p w:rsidR="008212E6" w:rsidRDefault="008212E6" w:rsidP="008212E6">
      <w:pPr>
        <w:pStyle w:val="ListParagraph"/>
        <w:ind w:left="1134"/>
        <w:jc w:val="both"/>
        <w:rPr>
          <w:rFonts w:ascii="Arial" w:hAnsi="Arial" w:cs="Arial"/>
          <w:sz w:val="24"/>
          <w:szCs w:val="24"/>
        </w:rPr>
      </w:pPr>
    </w:p>
    <w:p w:rsidR="008212E6" w:rsidRDefault="008212E6" w:rsidP="008212E6">
      <w:pPr>
        <w:pStyle w:val="ListParagraph"/>
        <w:ind w:left="1440"/>
        <w:jc w:val="both"/>
        <w:rPr>
          <w:rFonts w:ascii="Arial" w:hAnsi="Arial" w:cs="Arial"/>
          <w:sz w:val="24"/>
          <w:szCs w:val="24"/>
        </w:rPr>
      </w:pPr>
      <w:r>
        <w:rPr>
          <w:rFonts w:ascii="Arial" w:hAnsi="Arial" w:cs="Arial"/>
          <w:sz w:val="24"/>
          <w:szCs w:val="24"/>
        </w:rPr>
        <w:t>‘</w:t>
      </w:r>
      <w:r w:rsidR="00032317">
        <w:rPr>
          <w:rFonts w:ascii="Arial" w:hAnsi="Arial" w:cs="Arial"/>
          <w:sz w:val="24"/>
          <w:szCs w:val="24"/>
        </w:rPr>
        <w:t>a</w:t>
      </w:r>
      <w:r>
        <w:rPr>
          <w:rFonts w:ascii="Arial" w:hAnsi="Arial" w:cs="Arial"/>
          <w:sz w:val="24"/>
          <w:szCs w:val="24"/>
        </w:rPr>
        <w:t>.</w:t>
      </w:r>
      <w:r>
        <w:rPr>
          <w:rFonts w:ascii="Arial" w:hAnsi="Arial" w:cs="Arial"/>
          <w:sz w:val="24"/>
          <w:szCs w:val="24"/>
        </w:rPr>
        <w:tab/>
      </w:r>
      <w:r w:rsidR="00032317">
        <w:rPr>
          <w:rFonts w:ascii="Arial" w:hAnsi="Arial" w:cs="Arial"/>
          <w:sz w:val="24"/>
          <w:szCs w:val="24"/>
        </w:rPr>
        <w:t>P</w:t>
      </w:r>
      <w:r>
        <w:rPr>
          <w:rFonts w:ascii="Arial" w:hAnsi="Arial" w:cs="Arial"/>
          <w:sz w:val="24"/>
          <w:szCs w:val="24"/>
        </w:rPr>
        <w:t>laintiff</w:t>
      </w:r>
      <w:r w:rsidR="00032317">
        <w:rPr>
          <w:rFonts w:ascii="Arial" w:hAnsi="Arial" w:cs="Arial"/>
          <w:sz w:val="24"/>
          <w:szCs w:val="24"/>
        </w:rPr>
        <w:t>’</w:t>
      </w:r>
      <w:r>
        <w:rPr>
          <w:rFonts w:ascii="Arial" w:hAnsi="Arial" w:cs="Arial"/>
          <w:sz w:val="24"/>
          <w:szCs w:val="24"/>
        </w:rPr>
        <w:t>s claim 1 is upheld with costs.</w:t>
      </w:r>
    </w:p>
    <w:p w:rsidR="00610DCF" w:rsidRDefault="00610DCF" w:rsidP="008212E6">
      <w:pPr>
        <w:pStyle w:val="ListParagraph"/>
        <w:ind w:left="1440"/>
        <w:jc w:val="both"/>
        <w:rPr>
          <w:rFonts w:ascii="Arial" w:hAnsi="Arial" w:cs="Arial"/>
          <w:sz w:val="24"/>
          <w:szCs w:val="24"/>
        </w:rPr>
      </w:pPr>
    </w:p>
    <w:p w:rsidR="008212E6" w:rsidRDefault="00032317" w:rsidP="00032317">
      <w:pPr>
        <w:pStyle w:val="ListParagraph"/>
        <w:ind w:left="2160" w:hanging="720"/>
        <w:jc w:val="both"/>
        <w:rPr>
          <w:rFonts w:ascii="Arial" w:hAnsi="Arial" w:cs="Arial"/>
          <w:sz w:val="24"/>
          <w:szCs w:val="24"/>
        </w:rPr>
      </w:pPr>
      <w:r>
        <w:rPr>
          <w:rFonts w:ascii="Arial" w:hAnsi="Arial" w:cs="Arial"/>
          <w:sz w:val="24"/>
          <w:szCs w:val="24"/>
        </w:rPr>
        <w:t>b</w:t>
      </w:r>
      <w:r w:rsidR="008212E6">
        <w:rPr>
          <w:rFonts w:ascii="Arial" w:hAnsi="Arial" w:cs="Arial"/>
          <w:sz w:val="24"/>
          <w:szCs w:val="24"/>
        </w:rPr>
        <w:t>.</w:t>
      </w:r>
      <w:r w:rsidR="008212E6">
        <w:rPr>
          <w:rFonts w:ascii="Arial" w:hAnsi="Arial" w:cs="Arial"/>
          <w:sz w:val="24"/>
          <w:szCs w:val="24"/>
        </w:rPr>
        <w:tab/>
      </w:r>
      <w:r>
        <w:rPr>
          <w:rFonts w:ascii="Arial" w:hAnsi="Arial" w:cs="Arial"/>
          <w:sz w:val="24"/>
          <w:szCs w:val="24"/>
        </w:rPr>
        <w:t>Plaintiff’s claim 2 is upheld with costs, against the first defendant only.</w:t>
      </w:r>
    </w:p>
    <w:p w:rsidR="00610DCF" w:rsidRDefault="00610DCF" w:rsidP="008212E6">
      <w:pPr>
        <w:pStyle w:val="ListParagraph"/>
        <w:ind w:left="2160" w:hanging="720"/>
        <w:jc w:val="both"/>
        <w:rPr>
          <w:rFonts w:ascii="Arial" w:hAnsi="Arial" w:cs="Arial"/>
          <w:sz w:val="24"/>
          <w:szCs w:val="24"/>
        </w:rPr>
      </w:pPr>
    </w:p>
    <w:p w:rsidR="008212E6" w:rsidRDefault="00032317" w:rsidP="008212E6">
      <w:pPr>
        <w:pStyle w:val="ListParagraph"/>
        <w:ind w:left="2160" w:hanging="720"/>
        <w:jc w:val="both"/>
        <w:rPr>
          <w:rFonts w:ascii="Arial" w:hAnsi="Arial" w:cs="Arial"/>
          <w:sz w:val="24"/>
          <w:szCs w:val="24"/>
        </w:rPr>
      </w:pPr>
      <w:r>
        <w:rPr>
          <w:rFonts w:ascii="Arial" w:hAnsi="Arial" w:cs="Arial"/>
          <w:sz w:val="24"/>
          <w:szCs w:val="24"/>
        </w:rPr>
        <w:t>c</w:t>
      </w:r>
      <w:r w:rsidR="008212E6">
        <w:rPr>
          <w:rFonts w:ascii="Arial" w:hAnsi="Arial" w:cs="Arial"/>
          <w:sz w:val="24"/>
          <w:szCs w:val="24"/>
        </w:rPr>
        <w:t>.</w:t>
      </w:r>
      <w:r w:rsidR="008212E6">
        <w:rPr>
          <w:rFonts w:ascii="Arial" w:hAnsi="Arial" w:cs="Arial"/>
          <w:sz w:val="24"/>
          <w:szCs w:val="24"/>
        </w:rPr>
        <w:tab/>
        <w:t>The costs of the application for absolution are awarded in favour of the plaintiff.</w:t>
      </w:r>
    </w:p>
    <w:p w:rsidR="00610DCF" w:rsidRDefault="00610DCF" w:rsidP="008212E6">
      <w:pPr>
        <w:pStyle w:val="ListParagraph"/>
        <w:ind w:left="2160" w:hanging="720"/>
        <w:jc w:val="both"/>
        <w:rPr>
          <w:rFonts w:ascii="Arial" w:hAnsi="Arial" w:cs="Arial"/>
          <w:sz w:val="24"/>
          <w:szCs w:val="24"/>
        </w:rPr>
      </w:pPr>
    </w:p>
    <w:p w:rsidR="008212E6" w:rsidRDefault="00032317" w:rsidP="008212E6">
      <w:pPr>
        <w:pStyle w:val="ListParagraph"/>
        <w:ind w:left="2160" w:hanging="720"/>
        <w:jc w:val="both"/>
        <w:rPr>
          <w:rFonts w:ascii="Arial" w:hAnsi="Arial" w:cs="Arial"/>
          <w:sz w:val="24"/>
          <w:szCs w:val="24"/>
        </w:rPr>
      </w:pPr>
      <w:r>
        <w:rPr>
          <w:rFonts w:ascii="Arial" w:hAnsi="Arial" w:cs="Arial"/>
          <w:sz w:val="24"/>
          <w:szCs w:val="24"/>
        </w:rPr>
        <w:t>d</w:t>
      </w:r>
      <w:r w:rsidR="008212E6">
        <w:rPr>
          <w:rFonts w:ascii="Arial" w:hAnsi="Arial" w:cs="Arial"/>
          <w:sz w:val="24"/>
          <w:szCs w:val="24"/>
        </w:rPr>
        <w:t>.</w:t>
      </w:r>
      <w:r w:rsidR="008212E6">
        <w:rPr>
          <w:rFonts w:ascii="Arial" w:hAnsi="Arial" w:cs="Arial"/>
          <w:sz w:val="24"/>
          <w:szCs w:val="24"/>
        </w:rPr>
        <w:tab/>
        <w:t>The costs awarded above are to include the costs of one instructed and one instructing counsel.’</w:t>
      </w:r>
    </w:p>
    <w:p w:rsidR="006C3DDF" w:rsidRPr="00496CEE" w:rsidRDefault="006C3DDF" w:rsidP="00BD22D9">
      <w:pPr>
        <w:jc w:val="both"/>
        <w:rPr>
          <w:rFonts w:ascii="Arial" w:hAnsi="Arial" w:cs="Arial"/>
          <w:b/>
          <w:sz w:val="24"/>
          <w:szCs w:val="24"/>
          <w:lang w:val="nl-NL"/>
        </w:rPr>
      </w:pPr>
    </w:p>
    <w:p w:rsidR="00453966" w:rsidRDefault="00453966" w:rsidP="00BD22D9">
      <w:pPr>
        <w:jc w:val="both"/>
        <w:rPr>
          <w:rFonts w:ascii="Arial" w:hAnsi="Arial" w:cs="Arial"/>
          <w:b/>
          <w:sz w:val="24"/>
          <w:szCs w:val="24"/>
          <w:lang w:val="nl-NL"/>
        </w:rPr>
      </w:pPr>
    </w:p>
    <w:p w:rsidR="00B77392" w:rsidRPr="00496CEE" w:rsidRDefault="00B77392" w:rsidP="00BD22D9">
      <w:pPr>
        <w:jc w:val="both"/>
        <w:rPr>
          <w:rFonts w:ascii="Arial" w:hAnsi="Arial" w:cs="Arial"/>
          <w:b/>
          <w:sz w:val="24"/>
          <w:szCs w:val="24"/>
          <w:lang w:val="nl-NL"/>
        </w:rPr>
      </w:pPr>
    </w:p>
    <w:p w:rsidR="006C3DDF" w:rsidRPr="00496CEE" w:rsidRDefault="006C3DDF" w:rsidP="00BD22D9">
      <w:pPr>
        <w:spacing w:line="360" w:lineRule="auto"/>
        <w:jc w:val="both"/>
        <w:rPr>
          <w:rFonts w:ascii="Arial" w:hAnsi="Arial" w:cs="Arial"/>
          <w:sz w:val="24"/>
          <w:szCs w:val="24"/>
          <w:lang w:val="nl-NL"/>
        </w:rPr>
      </w:pPr>
      <w:r w:rsidRPr="00496CEE">
        <w:rPr>
          <w:rFonts w:ascii="Arial" w:hAnsi="Arial" w:cs="Arial"/>
          <w:sz w:val="24"/>
          <w:szCs w:val="24"/>
          <w:lang w:val="nl-NL"/>
        </w:rPr>
        <w:t>_____________________</w:t>
      </w:r>
    </w:p>
    <w:p w:rsidR="006C3DDF" w:rsidRPr="00496CEE" w:rsidRDefault="006C3DDF" w:rsidP="00BD22D9">
      <w:pPr>
        <w:spacing w:line="360" w:lineRule="auto"/>
        <w:jc w:val="both"/>
        <w:rPr>
          <w:rFonts w:ascii="Arial" w:hAnsi="Arial" w:cs="Arial"/>
          <w:b/>
          <w:sz w:val="24"/>
          <w:szCs w:val="24"/>
          <w:lang w:val="nl-NL"/>
        </w:rPr>
      </w:pPr>
      <w:r w:rsidRPr="00496CEE">
        <w:rPr>
          <w:rFonts w:ascii="Arial" w:hAnsi="Arial" w:cs="Arial"/>
          <w:b/>
          <w:sz w:val="24"/>
          <w:szCs w:val="24"/>
          <w:lang w:val="nl-NL"/>
        </w:rPr>
        <w:t>SMUTS JA</w:t>
      </w:r>
    </w:p>
    <w:p w:rsidR="00BD22D9" w:rsidRPr="00496CEE" w:rsidRDefault="00BD22D9" w:rsidP="00BD22D9">
      <w:pPr>
        <w:spacing w:line="240" w:lineRule="auto"/>
        <w:jc w:val="both"/>
        <w:rPr>
          <w:rFonts w:ascii="Arial" w:hAnsi="Arial" w:cs="Arial"/>
          <w:b/>
          <w:sz w:val="24"/>
          <w:szCs w:val="24"/>
          <w:lang w:val="nl-NL"/>
        </w:rPr>
      </w:pPr>
    </w:p>
    <w:p w:rsidR="00BD22D9" w:rsidRDefault="00BD22D9" w:rsidP="00BD22D9">
      <w:pPr>
        <w:spacing w:line="240" w:lineRule="auto"/>
        <w:jc w:val="both"/>
        <w:rPr>
          <w:rFonts w:ascii="Arial" w:hAnsi="Arial" w:cs="Arial"/>
          <w:b/>
          <w:sz w:val="24"/>
          <w:szCs w:val="24"/>
          <w:lang w:val="nl-NL"/>
        </w:rPr>
      </w:pPr>
    </w:p>
    <w:p w:rsidR="000C6E64" w:rsidRPr="00496CEE" w:rsidRDefault="000C6E64" w:rsidP="00BD22D9">
      <w:pPr>
        <w:spacing w:line="240" w:lineRule="auto"/>
        <w:jc w:val="both"/>
        <w:rPr>
          <w:rFonts w:ascii="Arial" w:hAnsi="Arial" w:cs="Arial"/>
          <w:b/>
          <w:sz w:val="24"/>
          <w:szCs w:val="24"/>
          <w:lang w:val="nl-NL"/>
        </w:rPr>
      </w:pPr>
    </w:p>
    <w:p w:rsidR="00921BB7" w:rsidRPr="00496CEE" w:rsidRDefault="00921BB7" w:rsidP="00BD22D9">
      <w:pPr>
        <w:spacing w:line="240" w:lineRule="auto"/>
        <w:jc w:val="both"/>
        <w:rPr>
          <w:rFonts w:ascii="Arial" w:hAnsi="Arial" w:cs="Arial"/>
          <w:b/>
          <w:sz w:val="24"/>
          <w:szCs w:val="24"/>
          <w:lang w:val="nl-NL"/>
        </w:rPr>
      </w:pPr>
    </w:p>
    <w:p w:rsidR="006C3DDF" w:rsidRPr="00496CEE" w:rsidRDefault="006C3DDF" w:rsidP="00BD22D9">
      <w:pPr>
        <w:spacing w:line="360" w:lineRule="auto"/>
        <w:jc w:val="both"/>
        <w:rPr>
          <w:rFonts w:ascii="Arial" w:hAnsi="Arial" w:cs="Arial"/>
          <w:sz w:val="24"/>
          <w:szCs w:val="24"/>
          <w:lang w:val="nl-NL"/>
        </w:rPr>
      </w:pPr>
      <w:r w:rsidRPr="00496CEE">
        <w:rPr>
          <w:rFonts w:ascii="Arial" w:hAnsi="Arial" w:cs="Arial"/>
          <w:sz w:val="24"/>
          <w:szCs w:val="24"/>
          <w:lang w:val="nl-NL"/>
        </w:rPr>
        <w:t>_____________________</w:t>
      </w:r>
    </w:p>
    <w:p w:rsidR="006C3DDF" w:rsidRPr="00496CEE" w:rsidRDefault="00F00CC4" w:rsidP="00BD22D9">
      <w:pPr>
        <w:spacing w:line="360" w:lineRule="auto"/>
        <w:jc w:val="both"/>
        <w:rPr>
          <w:rFonts w:ascii="Arial" w:hAnsi="Arial" w:cs="Arial"/>
          <w:b/>
          <w:sz w:val="24"/>
          <w:szCs w:val="24"/>
          <w:lang w:val="nl-NL"/>
        </w:rPr>
      </w:pPr>
      <w:r>
        <w:rPr>
          <w:rFonts w:ascii="Arial" w:hAnsi="Arial" w:cs="Arial"/>
          <w:b/>
          <w:sz w:val="24"/>
          <w:szCs w:val="24"/>
          <w:lang w:val="nl-NL"/>
        </w:rPr>
        <w:t xml:space="preserve">MAINGA </w:t>
      </w:r>
      <w:r w:rsidR="006C3DDF" w:rsidRPr="00496CEE">
        <w:rPr>
          <w:rFonts w:ascii="Arial" w:hAnsi="Arial" w:cs="Arial"/>
          <w:b/>
          <w:sz w:val="24"/>
          <w:szCs w:val="24"/>
          <w:lang w:val="nl-NL"/>
        </w:rPr>
        <w:t>JA</w:t>
      </w:r>
    </w:p>
    <w:p w:rsidR="00B813CE" w:rsidRPr="00496CEE" w:rsidRDefault="00B813CE" w:rsidP="00BD22D9">
      <w:pPr>
        <w:spacing w:line="240" w:lineRule="auto"/>
        <w:jc w:val="both"/>
        <w:rPr>
          <w:rFonts w:ascii="Arial" w:hAnsi="Arial" w:cs="Arial"/>
          <w:sz w:val="24"/>
          <w:szCs w:val="24"/>
          <w:lang w:val="nl-NL"/>
        </w:rPr>
      </w:pPr>
    </w:p>
    <w:p w:rsidR="00BD22D9" w:rsidRDefault="00BD22D9" w:rsidP="00BD22D9">
      <w:pPr>
        <w:spacing w:line="240" w:lineRule="auto"/>
        <w:jc w:val="both"/>
        <w:rPr>
          <w:rFonts w:ascii="Arial" w:hAnsi="Arial" w:cs="Arial"/>
          <w:sz w:val="24"/>
          <w:szCs w:val="24"/>
          <w:lang w:val="nl-NL"/>
        </w:rPr>
      </w:pPr>
    </w:p>
    <w:p w:rsidR="000C6E64" w:rsidRPr="00496CEE" w:rsidRDefault="000C6E64" w:rsidP="00BD22D9">
      <w:pPr>
        <w:spacing w:line="240" w:lineRule="auto"/>
        <w:jc w:val="both"/>
        <w:rPr>
          <w:rFonts w:ascii="Arial" w:hAnsi="Arial" w:cs="Arial"/>
          <w:sz w:val="24"/>
          <w:szCs w:val="24"/>
          <w:lang w:val="nl-NL"/>
        </w:rPr>
      </w:pPr>
    </w:p>
    <w:p w:rsidR="00BD22D9" w:rsidRPr="00496CEE" w:rsidRDefault="00BD22D9" w:rsidP="00BD22D9">
      <w:pPr>
        <w:spacing w:line="240" w:lineRule="auto"/>
        <w:jc w:val="both"/>
        <w:rPr>
          <w:rFonts w:ascii="Arial" w:hAnsi="Arial" w:cs="Arial"/>
          <w:sz w:val="24"/>
          <w:szCs w:val="24"/>
          <w:lang w:val="nl-NL"/>
        </w:rPr>
      </w:pPr>
    </w:p>
    <w:p w:rsidR="00B66B25" w:rsidRPr="00496CEE" w:rsidRDefault="00B66B25" w:rsidP="00BD22D9">
      <w:pPr>
        <w:spacing w:line="360" w:lineRule="auto"/>
        <w:jc w:val="both"/>
        <w:rPr>
          <w:rFonts w:ascii="Arial" w:hAnsi="Arial" w:cs="Arial"/>
          <w:sz w:val="24"/>
          <w:szCs w:val="24"/>
          <w:lang w:val="nl-NL"/>
        </w:rPr>
      </w:pPr>
      <w:r w:rsidRPr="00496CEE">
        <w:rPr>
          <w:rFonts w:ascii="Arial" w:hAnsi="Arial" w:cs="Arial"/>
          <w:sz w:val="24"/>
          <w:szCs w:val="24"/>
          <w:lang w:val="nl-NL"/>
        </w:rPr>
        <w:t>____________________</w:t>
      </w:r>
      <w:r w:rsidR="00CE4D5B" w:rsidRPr="00496CEE">
        <w:rPr>
          <w:rFonts w:ascii="Arial" w:hAnsi="Arial" w:cs="Arial"/>
          <w:sz w:val="24"/>
          <w:szCs w:val="24"/>
          <w:lang w:val="nl-NL"/>
        </w:rPr>
        <w:t>_</w:t>
      </w:r>
    </w:p>
    <w:p w:rsidR="00B66B25" w:rsidRPr="00496CEE" w:rsidRDefault="00F00CC4" w:rsidP="00BD22D9">
      <w:pPr>
        <w:spacing w:line="360" w:lineRule="auto"/>
        <w:jc w:val="both"/>
        <w:rPr>
          <w:rFonts w:ascii="Arial" w:hAnsi="Arial" w:cs="Arial"/>
          <w:b/>
          <w:sz w:val="24"/>
          <w:szCs w:val="24"/>
          <w:lang w:val="nl-NL"/>
        </w:rPr>
      </w:pPr>
      <w:r>
        <w:rPr>
          <w:rFonts w:ascii="Arial" w:hAnsi="Arial" w:cs="Arial"/>
          <w:b/>
          <w:sz w:val="24"/>
          <w:szCs w:val="24"/>
          <w:lang w:val="nl-NL"/>
        </w:rPr>
        <w:t xml:space="preserve">HOFF </w:t>
      </w:r>
      <w:r w:rsidR="00CE3EA8" w:rsidRPr="00496CEE">
        <w:rPr>
          <w:rFonts w:ascii="Arial" w:hAnsi="Arial" w:cs="Arial"/>
          <w:b/>
          <w:sz w:val="24"/>
          <w:szCs w:val="24"/>
          <w:lang w:val="nl-NL"/>
        </w:rPr>
        <w:t>JA</w:t>
      </w:r>
    </w:p>
    <w:p w:rsidR="00466A73" w:rsidRPr="00496CEE" w:rsidRDefault="009A0DF8" w:rsidP="008212E6">
      <w:pPr>
        <w:ind w:left="0"/>
        <w:jc w:val="both"/>
        <w:rPr>
          <w:rFonts w:ascii="Arial" w:hAnsi="Arial" w:cs="Arial"/>
          <w:sz w:val="24"/>
          <w:szCs w:val="24"/>
          <w:lang w:val="en-US"/>
        </w:rPr>
      </w:pPr>
      <w:r w:rsidRPr="00496CEE">
        <w:rPr>
          <w:rFonts w:ascii="Arial" w:hAnsi="Arial" w:cs="Arial"/>
          <w:b/>
          <w:sz w:val="24"/>
          <w:szCs w:val="24"/>
          <w:lang w:val="nl-NL"/>
        </w:rPr>
        <w:br w:type="page"/>
      </w:r>
      <w:r w:rsidR="00466A73" w:rsidRPr="00496CEE">
        <w:rPr>
          <w:rFonts w:ascii="Arial" w:hAnsi="Arial" w:cs="Arial"/>
          <w:sz w:val="24"/>
          <w:szCs w:val="24"/>
          <w:lang w:val="en-US"/>
        </w:rPr>
        <w:t>APPEARANCES</w:t>
      </w:r>
    </w:p>
    <w:p w:rsidR="00466A73" w:rsidRPr="00496CEE" w:rsidRDefault="00466A73" w:rsidP="00BD22D9">
      <w:pPr>
        <w:spacing w:line="360" w:lineRule="auto"/>
        <w:jc w:val="both"/>
        <w:rPr>
          <w:rFonts w:ascii="Arial" w:hAnsi="Arial" w:cs="Arial"/>
          <w:sz w:val="24"/>
          <w:szCs w:val="24"/>
          <w:lang w:val="en-US"/>
        </w:rPr>
      </w:pPr>
    </w:p>
    <w:tbl>
      <w:tblPr>
        <w:tblW w:w="0" w:type="auto"/>
        <w:tblLook w:val="04A0" w:firstRow="1" w:lastRow="0" w:firstColumn="1" w:lastColumn="0" w:noHBand="0" w:noVBand="1"/>
      </w:tblPr>
      <w:tblGrid>
        <w:gridCol w:w="4476"/>
        <w:gridCol w:w="4527"/>
      </w:tblGrid>
      <w:tr w:rsidR="00496CEE" w:rsidRPr="00496CEE" w:rsidTr="00466A73">
        <w:tc>
          <w:tcPr>
            <w:tcW w:w="4476" w:type="dxa"/>
            <w:shd w:val="clear" w:color="auto" w:fill="auto"/>
          </w:tcPr>
          <w:p w:rsidR="00466A73" w:rsidRPr="00496CEE" w:rsidRDefault="00466A73" w:rsidP="00666656">
            <w:pPr>
              <w:spacing w:line="360" w:lineRule="auto"/>
              <w:ind w:left="-108"/>
              <w:jc w:val="both"/>
              <w:rPr>
                <w:rFonts w:ascii="Arial" w:hAnsi="Arial" w:cs="Arial"/>
                <w:sz w:val="24"/>
                <w:szCs w:val="24"/>
                <w:lang w:val="nl-NL"/>
              </w:rPr>
            </w:pPr>
            <w:r w:rsidRPr="00496CEE">
              <w:rPr>
                <w:rFonts w:ascii="Arial" w:hAnsi="Arial" w:cs="Arial"/>
                <w:sz w:val="24"/>
                <w:szCs w:val="24"/>
                <w:lang w:val="nl-NL"/>
              </w:rPr>
              <w:t>APPELLANT</w:t>
            </w:r>
            <w:r w:rsidR="00B17F7F" w:rsidRPr="00496CEE">
              <w:rPr>
                <w:rFonts w:ascii="Arial" w:hAnsi="Arial" w:cs="Arial"/>
                <w:sz w:val="24"/>
                <w:szCs w:val="24"/>
                <w:lang w:val="nl-NL"/>
              </w:rPr>
              <w:t>:</w:t>
            </w:r>
          </w:p>
        </w:tc>
        <w:tc>
          <w:tcPr>
            <w:tcW w:w="4527" w:type="dxa"/>
            <w:shd w:val="clear" w:color="auto" w:fill="auto"/>
          </w:tcPr>
          <w:p w:rsidR="00666656" w:rsidRPr="00496CEE" w:rsidRDefault="00F00CC4" w:rsidP="00666656">
            <w:pPr>
              <w:spacing w:line="360" w:lineRule="auto"/>
              <w:jc w:val="both"/>
              <w:rPr>
                <w:rFonts w:ascii="Arial" w:hAnsi="Arial" w:cs="Arial"/>
                <w:sz w:val="24"/>
                <w:szCs w:val="24"/>
                <w:lang w:val="en-US"/>
              </w:rPr>
            </w:pPr>
            <w:r w:rsidRPr="00496CEE">
              <w:rPr>
                <w:rFonts w:ascii="Arial" w:hAnsi="Arial" w:cs="Arial"/>
                <w:sz w:val="24"/>
                <w:szCs w:val="24"/>
                <w:lang w:val="en-US"/>
              </w:rPr>
              <w:t>R Heathcote</w:t>
            </w:r>
            <w:r w:rsidR="00666656" w:rsidRPr="00496CEE">
              <w:rPr>
                <w:rFonts w:ascii="Arial" w:hAnsi="Arial" w:cs="Arial"/>
                <w:sz w:val="24"/>
                <w:szCs w:val="24"/>
                <w:lang w:val="en-US"/>
              </w:rPr>
              <w:t>, SC</w:t>
            </w:r>
          </w:p>
          <w:p w:rsidR="00666656" w:rsidRPr="00496CEE" w:rsidRDefault="00666656" w:rsidP="002B233F">
            <w:pPr>
              <w:spacing w:line="360" w:lineRule="auto"/>
              <w:jc w:val="both"/>
              <w:rPr>
                <w:rFonts w:ascii="Arial" w:hAnsi="Arial" w:cs="Arial"/>
                <w:sz w:val="24"/>
                <w:szCs w:val="24"/>
                <w:lang w:val="en-US"/>
              </w:rPr>
            </w:pPr>
            <w:r w:rsidRPr="00496CEE">
              <w:rPr>
                <w:rFonts w:ascii="Arial" w:hAnsi="Arial" w:cs="Arial"/>
                <w:sz w:val="24"/>
                <w:szCs w:val="24"/>
                <w:lang w:val="en-US"/>
              </w:rPr>
              <w:t xml:space="preserve">(with him </w:t>
            </w:r>
            <w:r w:rsidR="002B233F">
              <w:rPr>
                <w:rFonts w:ascii="Arial" w:hAnsi="Arial" w:cs="Arial"/>
                <w:sz w:val="24"/>
                <w:szCs w:val="24"/>
                <w:lang w:val="en-US"/>
              </w:rPr>
              <w:t>Mr G Dicks</w:t>
            </w:r>
            <w:r w:rsidRPr="00496CEE">
              <w:rPr>
                <w:rFonts w:ascii="Arial" w:hAnsi="Arial" w:cs="Arial"/>
                <w:sz w:val="24"/>
                <w:szCs w:val="24"/>
                <w:lang w:val="en-US"/>
              </w:rPr>
              <w:t>)</w:t>
            </w:r>
          </w:p>
        </w:tc>
      </w:tr>
      <w:tr w:rsidR="00496CEE" w:rsidRPr="00496CEE" w:rsidTr="00466A73">
        <w:tc>
          <w:tcPr>
            <w:tcW w:w="4476" w:type="dxa"/>
            <w:shd w:val="clear" w:color="auto" w:fill="auto"/>
          </w:tcPr>
          <w:p w:rsidR="00466A73" w:rsidRPr="00496CEE" w:rsidRDefault="00466A73" w:rsidP="00BD22D9">
            <w:pPr>
              <w:spacing w:line="360" w:lineRule="auto"/>
              <w:jc w:val="both"/>
              <w:rPr>
                <w:rFonts w:ascii="Arial" w:hAnsi="Arial" w:cs="Arial"/>
                <w:sz w:val="24"/>
                <w:szCs w:val="24"/>
              </w:rPr>
            </w:pPr>
          </w:p>
        </w:tc>
        <w:tc>
          <w:tcPr>
            <w:tcW w:w="4527" w:type="dxa"/>
            <w:shd w:val="clear" w:color="auto" w:fill="auto"/>
          </w:tcPr>
          <w:p w:rsidR="00666656" w:rsidRPr="00496CEE" w:rsidRDefault="00666656" w:rsidP="00BD22D9">
            <w:pPr>
              <w:spacing w:line="360" w:lineRule="auto"/>
              <w:jc w:val="both"/>
              <w:rPr>
                <w:rFonts w:ascii="Arial" w:hAnsi="Arial" w:cs="Arial"/>
                <w:sz w:val="24"/>
                <w:szCs w:val="24"/>
              </w:rPr>
            </w:pPr>
          </w:p>
          <w:p w:rsidR="00466A73" w:rsidRPr="00496CEE" w:rsidRDefault="00666656" w:rsidP="00BD22D9">
            <w:pPr>
              <w:spacing w:line="360" w:lineRule="auto"/>
              <w:jc w:val="both"/>
              <w:rPr>
                <w:rFonts w:ascii="Arial" w:hAnsi="Arial" w:cs="Arial"/>
                <w:sz w:val="24"/>
                <w:szCs w:val="24"/>
              </w:rPr>
            </w:pPr>
            <w:r w:rsidRPr="00496CEE">
              <w:rPr>
                <w:rFonts w:ascii="Arial" w:hAnsi="Arial" w:cs="Arial"/>
                <w:sz w:val="24"/>
                <w:szCs w:val="24"/>
              </w:rPr>
              <w:t xml:space="preserve">Instructed by </w:t>
            </w:r>
            <w:r w:rsidR="002B233F">
              <w:rPr>
                <w:rFonts w:ascii="Arial" w:hAnsi="Arial" w:cs="Arial"/>
                <w:sz w:val="24"/>
                <w:szCs w:val="24"/>
              </w:rPr>
              <w:t>Kirsten &amp; Co</w:t>
            </w:r>
          </w:p>
          <w:p w:rsidR="00CE4D5B" w:rsidRPr="00496CEE" w:rsidRDefault="00CE4D5B" w:rsidP="00BD22D9">
            <w:pPr>
              <w:spacing w:line="360" w:lineRule="auto"/>
              <w:jc w:val="both"/>
              <w:rPr>
                <w:rFonts w:ascii="Arial" w:hAnsi="Arial" w:cs="Arial"/>
                <w:sz w:val="24"/>
                <w:szCs w:val="24"/>
              </w:rPr>
            </w:pPr>
          </w:p>
        </w:tc>
      </w:tr>
      <w:tr w:rsidR="00496CEE" w:rsidRPr="00496CEE" w:rsidTr="00466A73">
        <w:trPr>
          <w:trHeight w:val="328"/>
        </w:trPr>
        <w:tc>
          <w:tcPr>
            <w:tcW w:w="4476" w:type="dxa"/>
            <w:shd w:val="clear" w:color="auto" w:fill="auto"/>
          </w:tcPr>
          <w:p w:rsidR="00C335C2" w:rsidRPr="00496CEE" w:rsidRDefault="00C335C2" w:rsidP="00BD22D9">
            <w:pPr>
              <w:spacing w:line="360" w:lineRule="auto"/>
              <w:ind w:left="-108"/>
              <w:jc w:val="both"/>
              <w:rPr>
                <w:rFonts w:ascii="Arial" w:hAnsi="Arial" w:cs="Arial"/>
                <w:sz w:val="24"/>
                <w:szCs w:val="24"/>
                <w:lang w:val="en-US"/>
              </w:rPr>
            </w:pPr>
            <w:r w:rsidRPr="00496CEE">
              <w:rPr>
                <w:rFonts w:ascii="Arial" w:hAnsi="Arial" w:cs="Arial"/>
                <w:sz w:val="24"/>
                <w:szCs w:val="24"/>
                <w:lang w:val="en-US"/>
              </w:rPr>
              <w:t>RESPONDENTS:</w:t>
            </w:r>
          </w:p>
        </w:tc>
        <w:tc>
          <w:tcPr>
            <w:tcW w:w="4527" w:type="dxa"/>
            <w:shd w:val="clear" w:color="auto" w:fill="auto"/>
          </w:tcPr>
          <w:p w:rsidR="00C335C2" w:rsidRPr="00496CEE" w:rsidRDefault="002B233F" w:rsidP="00BD22D9">
            <w:pPr>
              <w:spacing w:line="360" w:lineRule="auto"/>
              <w:jc w:val="both"/>
              <w:rPr>
                <w:rFonts w:ascii="Arial" w:hAnsi="Arial" w:cs="Arial"/>
                <w:sz w:val="24"/>
                <w:szCs w:val="24"/>
                <w:lang w:val="en-US"/>
              </w:rPr>
            </w:pPr>
            <w:r>
              <w:rPr>
                <w:rFonts w:ascii="Arial" w:hAnsi="Arial" w:cs="Arial"/>
                <w:sz w:val="24"/>
                <w:szCs w:val="24"/>
                <w:lang w:val="en-US"/>
              </w:rPr>
              <w:t>P J Vermeulen</w:t>
            </w:r>
          </w:p>
          <w:p w:rsidR="00666656" w:rsidRPr="00496CEE" w:rsidRDefault="00666656" w:rsidP="00BD22D9">
            <w:pPr>
              <w:spacing w:line="360" w:lineRule="auto"/>
              <w:jc w:val="both"/>
              <w:rPr>
                <w:rFonts w:ascii="Arial" w:hAnsi="Arial" w:cs="Arial"/>
                <w:sz w:val="24"/>
                <w:szCs w:val="24"/>
                <w:lang w:val="en-US"/>
              </w:rPr>
            </w:pPr>
          </w:p>
          <w:p w:rsidR="00666656" w:rsidRPr="00496CEE" w:rsidRDefault="00666656" w:rsidP="00BD22D9">
            <w:pPr>
              <w:spacing w:line="360" w:lineRule="auto"/>
              <w:jc w:val="both"/>
              <w:rPr>
                <w:rFonts w:ascii="Arial" w:hAnsi="Arial" w:cs="Arial"/>
                <w:sz w:val="24"/>
                <w:szCs w:val="24"/>
                <w:lang w:val="en-US"/>
              </w:rPr>
            </w:pPr>
            <w:r w:rsidRPr="00496CEE">
              <w:rPr>
                <w:rFonts w:ascii="Arial" w:hAnsi="Arial" w:cs="Arial"/>
                <w:sz w:val="24"/>
                <w:szCs w:val="24"/>
                <w:lang w:val="en-US"/>
              </w:rPr>
              <w:t xml:space="preserve">Instructed by </w:t>
            </w:r>
            <w:r w:rsidR="002B233F">
              <w:rPr>
                <w:rFonts w:ascii="Arial" w:hAnsi="Arial" w:cs="Arial"/>
                <w:sz w:val="24"/>
                <w:szCs w:val="24"/>
                <w:lang w:val="en-US"/>
              </w:rPr>
              <w:t>Van der Merwe-Greeff Andima Inc.</w:t>
            </w:r>
          </w:p>
          <w:p w:rsidR="00C335C2" w:rsidRPr="00496CEE" w:rsidRDefault="00C335C2" w:rsidP="00BD22D9">
            <w:pPr>
              <w:spacing w:line="360" w:lineRule="auto"/>
              <w:jc w:val="both"/>
              <w:rPr>
                <w:rFonts w:ascii="Arial" w:hAnsi="Arial" w:cs="Arial"/>
                <w:sz w:val="24"/>
                <w:szCs w:val="24"/>
                <w:lang w:val="en-US"/>
              </w:rPr>
            </w:pPr>
          </w:p>
        </w:tc>
      </w:tr>
    </w:tbl>
    <w:p w:rsidR="00B66B25" w:rsidRPr="00496CEE" w:rsidRDefault="00B66B25" w:rsidP="00BD22D9">
      <w:pPr>
        <w:pStyle w:val="MediumGrid1-Accent21"/>
        <w:ind w:left="0"/>
        <w:jc w:val="both"/>
        <w:rPr>
          <w:rFonts w:ascii="Arial" w:hAnsi="Arial" w:cs="Arial"/>
          <w:sz w:val="24"/>
          <w:szCs w:val="24"/>
          <w:lang w:val="en-US"/>
        </w:rPr>
      </w:pPr>
    </w:p>
    <w:sectPr w:rsidR="00B66B25" w:rsidRPr="00496CEE" w:rsidSect="00CF6A18">
      <w:headerReference w:type="default" r:id="rId9"/>
      <w:headerReference w:type="first" r:id="rId10"/>
      <w:pgSz w:w="11906" w:h="16838"/>
      <w:pgMar w:top="1701" w:right="1418" w:bottom="1418" w:left="1701" w:header="1701"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1D" w:rsidRDefault="0010341D" w:rsidP="00245E78">
      <w:pPr>
        <w:spacing w:line="240" w:lineRule="auto"/>
      </w:pPr>
      <w:r>
        <w:separator/>
      </w:r>
    </w:p>
  </w:endnote>
  <w:endnote w:type="continuationSeparator" w:id="0">
    <w:p w:rsidR="0010341D" w:rsidRDefault="0010341D" w:rsidP="00245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1D" w:rsidRDefault="0010341D" w:rsidP="00245E78">
      <w:pPr>
        <w:spacing w:line="240" w:lineRule="auto"/>
      </w:pPr>
      <w:r>
        <w:separator/>
      </w:r>
    </w:p>
  </w:footnote>
  <w:footnote w:type="continuationSeparator" w:id="0">
    <w:p w:rsidR="0010341D" w:rsidRDefault="0010341D" w:rsidP="00245E78">
      <w:pPr>
        <w:spacing w:line="240" w:lineRule="auto"/>
      </w:pPr>
      <w:r>
        <w:continuationSeparator/>
      </w:r>
    </w:p>
  </w:footnote>
  <w:footnote w:id="1">
    <w:p w:rsidR="00197300" w:rsidRPr="00197300" w:rsidRDefault="00197300">
      <w:pPr>
        <w:pStyle w:val="FootnoteText"/>
        <w:rPr>
          <w:rFonts w:ascii="Arial" w:hAnsi="Arial" w:cs="Arial"/>
          <w:lang w:val="en-ZA"/>
        </w:rPr>
      </w:pPr>
      <w:r>
        <w:rPr>
          <w:rStyle w:val="FootnoteReference"/>
        </w:rPr>
        <w:footnoteRef/>
      </w:r>
      <w:r>
        <w:t xml:space="preserve"> </w:t>
      </w:r>
      <w:r>
        <w:rPr>
          <w:rFonts w:ascii="Arial" w:hAnsi="Arial" w:cs="Arial"/>
          <w:i/>
          <w:lang w:val="en-ZA"/>
        </w:rPr>
        <w:t xml:space="preserve">Katjaimo v Katjaimo </w:t>
      </w:r>
      <w:r w:rsidR="00525CF5">
        <w:rPr>
          <w:rFonts w:ascii="Arial" w:hAnsi="Arial" w:cs="Arial"/>
          <w:i/>
          <w:lang w:val="en-ZA"/>
        </w:rPr>
        <w:t>&amp;</w:t>
      </w:r>
      <w:r>
        <w:rPr>
          <w:rFonts w:ascii="Arial" w:hAnsi="Arial" w:cs="Arial"/>
          <w:i/>
          <w:lang w:val="en-ZA"/>
        </w:rPr>
        <w:t xml:space="preserve"> others </w:t>
      </w:r>
      <w:r>
        <w:rPr>
          <w:rFonts w:ascii="Arial" w:hAnsi="Arial" w:cs="Arial"/>
          <w:lang w:val="en-ZA"/>
        </w:rPr>
        <w:t>SA 36/2013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4D" w:rsidRPr="00C378CC" w:rsidRDefault="00D4624D">
    <w:pPr>
      <w:pStyle w:val="Header"/>
      <w:jc w:val="right"/>
      <w:rPr>
        <w:rFonts w:ascii="Arial" w:hAnsi="Arial" w:cs="Arial"/>
        <w:sz w:val="24"/>
        <w:szCs w:val="24"/>
      </w:rPr>
    </w:pPr>
    <w:r w:rsidRPr="00C378CC">
      <w:rPr>
        <w:rFonts w:ascii="Arial" w:hAnsi="Arial" w:cs="Arial"/>
        <w:sz w:val="24"/>
        <w:szCs w:val="24"/>
      </w:rPr>
      <w:fldChar w:fldCharType="begin"/>
    </w:r>
    <w:r w:rsidRPr="00C378CC">
      <w:rPr>
        <w:rFonts w:ascii="Arial" w:hAnsi="Arial" w:cs="Arial"/>
        <w:sz w:val="24"/>
        <w:szCs w:val="24"/>
      </w:rPr>
      <w:instrText xml:space="preserve"> PAGE   \* MERGEFORMAT </w:instrText>
    </w:r>
    <w:r w:rsidRPr="00C378CC">
      <w:rPr>
        <w:rFonts w:ascii="Arial" w:hAnsi="Arial" w:cs="Arial"/>
        <w:sz w:val="24"/>
        <w:szCs w:val="24"/>
      </w:rPr>
      <w:fldChar w:fldCharType="separate"/>
    </w:r>
    <w:r w:rsidR="0055635D">
      <w:rPr>
        <w:rFonts w:ascii="Arial" w:hAnsi="Arial" w:cs="Arial"/>
        <w:noProof/>
        <w:sz w:val="24"/>
        <w:szCs w:val="24"/>
      </w:rPr>
      <w:t>29</w:t>
    </w:r>
    <w:r w:rsidRPr="00C378CC">
      <w:rPr>
        <w:rFonts w:ascii="Arial" w:hAnsi="Arial" w:cs="Arial"/>
        <w:noProof/>
        <w:sz w:val="24"/>
        <w:szCs w:val="24"/>
      </w:rPr>
      <w:fldChar w:fldCharType="end"/>
    </w:r>
  </w:p>
  <w:p w:rsidR="00D4624D" w:rsidRDefault="00D46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4D" w:rsidRDefault="00D4624D" w:rsidP="00722C0A">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2C0"/>
    <w:multiLevelType w:val="hybridMultilevel"/>
    <w:tmpl w:val="831C3E8A"/>
    <w:lvl w:ilvl="0" w:tplc="DCA2F682">
      <w:start w:val="1"/>
      <w:numFmt w:val="lowerLetter"/>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1B46140E"/>
    <w:multiLevelType w:val="hybridMultilevel"/>
    <w:tmpl w:val="2E4C806C"/>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A64759"/>
    <w:multiLevelType w:val="hybridMultilevel"/>
    <w:tmpl w:val="8C3AED62"/>
    <w:lvl w:ilvl="0" w:tplc="B9BE3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5457A1"/>
    <w:multiLevelType w:val="hybridMultilevel"/>
    <w:tmpl w:val="E90274E0"/>
    <w:lvl w:ilvl="0" w:tplc="662E7772">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94C0CA7"/>
    <w:multiLevelType w:val="hybridMultilevel"/>
    <w:tmpl w:val="06960646"/>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D00DFD"/>
    <w:multiLevelType w:val="hybridMultilevel"/>
    <w:tmpl w:val="1340E6C8"/>
    <w:lvl w:ilvl="0" w:tplc="9222C262">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75255"/>
    <w:multiLevelType w:val="hybridMultilevel"/>
    <w:tmpl w:val="E10E7DD8"/>
    <w:lvl w:ilvl="0" w:tplc="408C8DA8">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7CC4AA6"/>
    <w:multiLevelType w:val="hybridMultilevel"/>
    <w:tmpl w:val="107A6148"/>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926E75"/>
    <w:multiLevelType w:val="hybridMultilevel"/>
    <w:tmpl w:val="BDB69B7E"/>
    <w:lvl w:ilvl="0" w:tplc="483A642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44D72CF7"/>
    <w:multiLevelType w:val="hybridMultilevel"/>
    <w:tmpl w:val="7130BA9E"/>
    <w:lvl w:ilvl="0" w:tplc="0409000F">
      <w:start w:val="3"/>
      <w:numFmt w:val="decimal"/>
      <w:lvlText w:val="%1."/>
      <w:lvlJc w:val="left"/>
      <w:pPr>
        <w:ind w:left="1305" w:hanging="360"/>
      </w:pPr>
      <w:rPr>
        <w:rFonts w:hint="default"/>
      </w:r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nsid w:val="494D5906"/>
    <w:multiLevelType w:val="hybridMultilevel"/>
    <w:tmpl w:val="B5F2939A"/>
    <w:lvl w:ilvl="0" w:tplc="AC42EDA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9562133"/>
    <w:multiLevelType w:val="hybridMultilevel"/>
    <w:tmpl w:val="4F6071EE"/>
    <w:lvl w:ilvl="0" w:tplc="D7B86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9170CA"/>
    <w:multiLevelType w:val="hybridMultilevel"/>
    <w:tmpl w:val="D81C2646"/>
    <w:lvl w:ilvl="0" w:tplc="B9BE3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1A4435F"/>
    <w:multiLevelType w:val="hybridMultilevel"/>
    <w:tmpl w:val="E3A85AC6"/>
    <w:lvl w:ilvl="0" w:tplc="4C48C60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53AC3A57"/>
    <w:multiLevelType w:val="hybridMultilevel"/>
    <w:tmpl w:val="EF6CADFC"/>
    <w:lvl w:ilvl="0" w:tplc="E78EC5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E661831"/>
    <w:multiLevelType w:val="hybridMultilevel"/>
    <w:tmpl w:val="6EF4F424"/>
    <w:lvl w:ilvl="0" w:tplc="AA3070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78D41FD4"/>
    <w:multiLevelType w:val="hybridMultilevel"/>
    <w:tmpl w:val="79D0B9F2"/>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9D069B5"/>
    <w:multiLevelType w:val="hybridMultilevel"/>
    <w:tmpl w:val="D8C80776"/>
    <w:lvl w:ilvl="0" w:tplc="8CCA84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0A2DB9"/>
    <w:multiLevelType w:val="hybridMultilevel"/>
    <w:tmpl w:val="62469918"/>
    <w:lvl w:ilvl="0" w:tplc="C6ECE2E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5"/>
  </w:num>
  <w:num w:numId="2">
    <w:abstractNumId w:val="18"/>
  </w:num>
  <w:num w:numId="3">
    <w:abstractNumId w:val="9"/>
  </w:num>
  <w:num w:numId="4">
    <w:abstractNumId w:val="14"/>
  </w:num>
  <w:num w:numId="5">
    <w:abstractNumId w:val="19"/>
  </w:num>
  <w:num w:numId="6">
    <w:abstractNumId w:val="6"/>
  </w:num>
  <w:num w:numId="7">
    <w:abstractNumId w:val="10"/>
  </w:num>
  <w:num w:numId="8">
    <w:abstractNumId w:val="8"/>
  </w:num>
  <w:num w:numId="9">
    <w:abstractNumId w:val="3"/>
  </w:num>
  <w:num w:numId="10">
    <w:abstractNumId w:val="0"/>
  </w:num>
  <w:num w:numId="11">
    <w:abstractNumId w:val="7"/>
  </w:num>
  <w:num w:numId="12">
    <w:abstractNumId w:val="4"/>
  </w:num>
  <w:num w:numId="13">
    <w:abstractNumId w:val="17"/>
  </w:num>
  <w:num w:numId="14">
    <w:abstractNumId w:val="2"/>
  </w:num>
  <w:num w:numId="15">
    <w:abstractNumId w:val="12"/>
  </w:num>
  <w:num w:numId="16">
    <w:abstractNumId w:val="16"/>
  </w:num>
  <w:num w:numId="17">
    <w:abstractNumId w:val="11"/>
  </w:num>
  <w:num w:numId="18">
    <w:abstractNumId w:val="13"/>
  </w:num>
  <w:num w:numId="19">
    <w:abstractNumId w:val="15"/>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3"/>
    <w:rsid w:val="0000050A"/>
    <w:rsid w:val="00001382"/>
    <w:rsid w:val="00001845"/>
    <w:rsid w:val="0000489F"/>
    <w:rsid w:val="000054C3"/>
    <w:rsid w:val="0000612F"/>
    <w:rsid w:val="00010219"/>
    <w:rsid w:val="00011732"/>
    <w:rsid w:val="0001223B"/>
    <w:rsid w:val="000126D0"/>
    <w:rsid w:val="00012A9F"/>
    <w:rsid w:val="000130F1"/>
    <w:rsid w:val="0001380C"/>
    <w:rsid w:val="000149C6"/>
    <w:rsid w:val="00017FBE"/>
    <w:rsid w:val="000211F5"/>
    <w:rsid w:val="0002276B"/>
    <w:rsid w:val="0002389A"/>
    <w:rsid w:val="000249D0"/>
    <w:rsid w:val="00027F3F"/>
    <w:rsid w:val="0003019B"/>
    <w:rsid w:val="000302CB"/>
    <w:rsid w:val="00032317"/>
    <w:rsid w:val="00032FC0"/>
    <w:rsid w:val="0003311E"/>
    <w:rsid w:val="000332C4"/>
    <w:rsid w:val="000340A7"/>
    <w:rsid w:val="00035F83"/>
    <w:rsid w:val="000363A7"/>
    <w:rsid w:val="000368D4"/>
    <w:rsid w:val="00036CB4"/>
    <w:rsid w:val="00037733"/>
    <w:rsid w:val="00037F69"/>
    <w:rsid w:val="00041DA7"/>
    <w:rsid w:val="0004289E"/>
    <w:rsid w:val="00043E1C"/>
    <w:rsid w:val="000460D4"/>
    <w:rsid w:val="00046D61"/>
    <w:rsid w:val="00052F47"/>
    <w:rsid w:val="00053A56"/>
    <w:rsid w:val="00056B6C"/>
    <w:rsid w:val="00057782"/>
    <w:rsid w:val="00057D48"/>
    <w:rsid w:val="000608CC"/>
    <w:rsid w:val="000662E1"/>
    <w:rsid w:val="00070F79"/>
    <w:rsid w:val="000727FE"/>
    <w:rsid w:val="000738F1"/>
    <w:rsid w:val="00074967"/>
    <w:rsid w:val="00074B66"/>
    <w:rsid w:val="00074EF2"/>
    <w:rsid w:val="00076843"/>
    <w:rsid w:val="00076AE8"/>
    <w:rsid w:val="00080490"/>
    <w:rsid w:val="00080F04"/>
    <w:rsid w:val="000813F2"/>
    <w:rsid w:val="000819B5"/>
    <w:rsid w:val="00081C2A"/>
    <w:rsid w:val="000820E0"/>
    <w:rsid w:val="00085356"/>
    <w:rsid w:val="00085E55"/>
    <w:rsid w:val="00090207"/>
    <w:rsid w:val="000905CF"/>
    <w:rsid w:val="0009420F"/>
    <w:rsid w:val="00094EDC"/>
    <w:rsid w:val="000955AB"/>
    <w:rsid w:val="00095770"/>
    <w:rsid w:val="0009602D"/>
    <w:rsid w:val="00096544"/>
    <w:rsid w:val="000968B3"/>
    <w:rsid w:val="000A0453"/>
    <w:rsid w:val="000A07D8"/>
    <w:rsid w:val="000A167D"/>
    <w:rsid w:val="000A4256"/>
    <w:rsid w:val="000A463A"/>
    <w:rsid w:val="000A6654"/>
    <w:rsid w:val="000A73ED"/>
    <w:rsid w:val="000B0DA2"/>
    <w:rsid w:val="000B1342"/>
    <w:rsid w:val="000B211F"/>
    <w:rsid w:val="000B2D52"/>
    <w:rsid w:val="000B416D"/>
    <w:rsid w:val="000B4B52"/>
    <w:rsid w:val="000B56FD"/>
    <w:rsid w:val="000C1313"/>
    <w:rsid w:val="000C3EBF"/>
    <w:rsid w:val="000C47C2"/>
    <w:rsid w:val="000C49C2"/>
    <w:rsid w:val="000C4A45"/>
    <w:rsid w:val="000C6E64"/>
    <w:rsid w:val="000C7ABE"/>
    <w:rsid w:val="000D0CE3"/>
    <w:rsid w:val="000D0CE8"/>
    <w:rsid w:val="000D2BDB"/>
    <w:rsid w:val="000D5F43"/>
    <w:rsid w:val="000D75E7"/>
    <w:rsid w:val="000D79D6"/>
    <w:rsid w:val="000D7FAF"/>
    <w:rsid w:val="000E0AA9"/>
    <w:rsid w:val="000E769D"/>
    <w:rsid w:val="000F002A"/>
    <w:rsid w:val="000F2776"/>
    <w:rsid w:val="000F2A17"/>
    <w:rsid w:val="000F3BEE"/>
    <w:rsid w:val="000F41EA"/>
    <w:rsid w:val="0010048B"/>
    <w:rsid w:val="00100A26"/>
    <w:rsid w:val="00101375"/>
    <w:rsid w:val="00102093"/>
    <w:rsid w:val="00102A61"/>
    <w:rsid w:val="0010341D"/>
    <w:rsid w:val="00103659"/>
    <w:rsid w:val="00103B1E"/>
    <w:rsid w:val="00103FE6"/>
    <w:rsid w:val="00115982"/>
    <w:rsid w:val="00116516"/>
    <w:rsid w:val="00120800"/>
    <w:rsid w:val="00121693"/>
    <w:rsid w:val="00125813"/>
    <w:rsid w:val="00125906"/>
    <w:rsid w:val="00127DC3"/>
    <w:rsid w:val="00127E1B"/>
    <w:rsid w:val="0013286E"/>
    <w:rsid w:val="00132C07"/>
    <w:rsid w:val="0013354C"/>
    <w:rsid w:val="00134CDA"/>
    <w:rsid w:val="00136E92"/>
    <w:rsid w:val="001371E0"/>
    <w:rsid w:val="00137E4D"/>
    <w:rsid w:val="00140A8D"/>
    <w:rsid w:val="00140E41"/>
    <w:rsid w:val="0014333F"/>
    <w:rsid w:val="00145495"/>
    <w:rsid w:val="00146B45"/>
    <w:rsid w:val="00146C4E"/>
    <w:rsid w:val="001512E4"/>
    <w:rsid w:val="00151772"/>
    <w:rsid w:val="00151FEC"/>
    <w:rsid w:val="00155441"/>
    <w:rsid w:val="00155445"/>
    <w:rsid w:val="00160783"/>
    <w:rsid w:val="0016446F"/>
    <w:rsid w:val="0016615E"/>
    <w:rsid w:val="00167EB3"/>
    <w:rsid w:val="001705AB"/>
    <w:rsid w:val="0017108F"/>
    <w:rsid w:val="00171112"/>
    <w:rsid w:val="00171362"/>
    <w:rsid w:val="001714BC"/>
    <w:rsid w:val="00177538"/>
    <w:rsid w:val="0017756F"/>
    <w:rsid w:val="00180A72"/>
    <w:rsid w:val="00181C60"/>
    <w:rsid w:val="001852F8"/>
    <w:rsid w:val="00185B2F"/>
    <w:rsid w:val="001868C0"/>
    <w:rsid w:val="00190801"/>
    <w:rsid w:val="00192C4F"/>
    <w:rsid w:val="00193394"/>
    <w:rsid w:val="00193C81"/>
    <w:rsid w:val="001943A2"/>
    <w:rsid w:val="00195F37"/>
    <w:rsid w:val="00197300"/>
    <w:rsid w:val="001A2D92"/>
    <w:rsid w:val="001A2F3A"/>
    <w:rsid w:val="001A3198"/>
    <w:rsid w:val="001A5E7F"/>
    <w:rsid w:val="001B0419"/>
    <w:rsid w:val="001B06DB"/>
    <w:rsid w:val="001B0768"/>
    <w:rsid w:val="001B14DD"/>
    <w:rsid w:val="001B1968"/>
    <w:rsid w:val="001B1D29"/>
    <w:rsid w:val="001B2441"/>
    <w:rsid w:val="001B2D3B"/>
    <w:rsid w:val="001B3FBD"/>
    <w:rsid w:val="001B4583"/>
    <w:rsid w:val="001B5DF1"/>
    <w:rsid w:val="001B6C70"/>
    <w:rsid w:val="001B785F"/>
    <w:rsid w:val="001B79C2"/>
    <w:rsid w:val="001B7BB7"/>
    <w:rsid w:val="001C08AC"/>
    <w:rsid w:val="001C0F47"/>
    <w:rsid w:val="001C1086"/>
    <w:rsid w:val="001C379E"/>
    <w:rsid w:val="001C5DC1"/>
    <w:rsid w:val="001D27FE"/>
    <w:rsid w:val="001D66C7"/>
    <w:rsid w:val="001E1513"/>
    <w:rsid w:val="001E1B4E"/>
    <w:rsid w:val="001E374A"/>
    <w:rsid w:val="001E7859"/>
    <w:rsid w:val="001E7D13"/>
    <w:rsid w:val="001F18F4"/>
    <w:rsid w:val="001F1B74"/>
    <w:rsid w:val="001F1E38"/>
    <w:rsid w:val="001F4A98"/>
    <w:rsid w:val="001F547A"/>
    <w:rsid w:val="001F59C0"/>
    <w:rsid w:val="001F6628"/>
    <w:rsid w:val="00200DB4"/>
    <w:rsid w:val="00203894"/>
    <w:rsid w:val="002046B0"/>
    <w:rsid w:val="00204A72"/>
    <w:rsid w:val="00205954"/>
    <w:rsid w:val="002105B7"/>
    <w:rsid w:val="00212483"/>
    <w:rsid w:val="002129D8"/>
    <w:rsid w:val="00214745"/>
    <w:rsid w:val="00222EB9"/>
    <w:rsid w:val="00224574"/>
    <w:rsid w:val="00224CD2"/>
    <w:rsid w:val="00225936"/>
    <w:rsid w:val="002305EF"/>
    <w:rsid w:val="002312D3"/>
    <w:rsid w:val="00233EEF"/>
    <w:rsid w:val="0023412A"/>
    <w:rsid w:val="002377FF"/>
    <w:rsid w:val="00240D5F"/>
    <w:rsid w:val="00240DE6"/>
    <w:rsid w:val="00241A32"/>
    <w:rsid w:val="002421FE"/>
    <w:rsid w:val="002435F1"/>
    <w:rsid w:val="00245E78"/>
    <w:rsid w:val="002470BB"/>
    <w:rsid w:val="00247DF4"/>
    <w:rsid w:val="0025062D"/>
    <w:rsid w:val="002516C9"/>
    <w:rsid w:val="00253488"/>
    <w:rsid w:val="002536A5"/>
    <w:rsid w:val="002550C1"/>
    <w:rsid w:val="002612AC"/>
    <w:rsid w:val="00261376"/>
    <w:rsid w:val="00261AD9"/>
    <w:rsid w:val="002655C3"/>
    <w:rsid w:val="00266949"/>
    <w:rsid w:val="00266A86"/>
    <w:rsid w:val="00267F8D"/>
    <w:rsid w:val="00270968"/>
    <w:rsid w:val="00270A45"/>
    <w:rsid w:val="00271367"/>
    <w:rsid w:val="00272A80"/>
    <w:rsid w:val="00274BB7"/>
    <w:rsid w:val="002808BD"/>
    <w:rsid w:val="00283775"/>
    <w:rsid w:val="00283CA2"/>
    <w:rsid w:val="00286AFE"/>
    <w:rsid w:val="00286C35"/>
    <w:rsid w:val="00287E3E"/>
    <w:rsid w:val="00291D67"/>
    <w:rsid w:val="00292CA0"/>
    <w:rsid w:val="0029329E"/>
    <w:rsid w:val="00293BBA"/>
    <w:rsid w:val="0029402F"/>
    <w:rsid w:val="00295C62"/>
    <w:rsid w:val="0029648E"/>
    <w:rsid w:val="00296878"/>
    <w:rsid w:val="002977F5"/>
    <w:rsid w:val="00297CBE"/>
    <w:rsid w:val="002A111A"/>
    <w:rsid w:val="002A12F7"/>
    <w:rsid w:val="002A4D89"/>
    <w:rsid w:val="002A5813"/>
    <w:rsid w:val="002A5B09"/>
    <w:rsid w:val="002A600A"/>
    <w:rsid w:val="002A767F"/>
    <w:rsid w:val="002A7F24"/>
    <w:rsid w:val="002B016E"/>
    <w:rsid w:val="002B07C3"/>
    <w:rsid w:val="002B160F"/>
    <w:rsid w:val="002B1D7F"/>
    <w:rsid w:val="002B233F"/>
    <w:rsid w:val="002B3648"/>
    <w:rsid w:val="002C19A5"/>
    <w:rsid w:val="002C1E45"/>
    <w:rsid w:val="002C33B6"/>
    <w:rsid w:val="002C4251"/>
    <w:rsid w:val="002C6E4D"/>
    <w:rsid w:val="002C708D"/>
    <w:rsid w:val="002D03F0"/>
    <w:rsid w:val="002D09F8"/>
    <w:rsid w:val="002D0EAB"/>
    <w:rsid w:val="002D785D"/>
    <w:rsid w:val="002E1047"/>
    <w:rsid w:val="002E1909"/>
    <w:rsid w:val="002E1AD3"/>
    <w:rsid w:val="002E1FCD"/>
    <w:rsid w:val="002E2478"/>
    <w:rsid w:val="002E411F"/>
    <w:rsid w:val="002E65D3"/>
    <w:rsid w:val="002F0EFE"/>
    <w:rsid w:val="002F2161"/>
    <w:rsid w:val="002F24A8"/>
    <w:rsid w:val="002F3B1E"/>
    <w:rsid w:val="002F40CF"/>
    <w:rsid w:val="002F4959"/>
    <w:rsid w:val="002F7CC1"/>
    <w:rsid w:val="003011E1"/>
    <w:rsid w:val="00301921"/>
    <w:rsid w:val="00301D98"/>
    <w:rsid w:val="00302692"/>
    <w:rsid w:val="00303933"/>
    <w:rsid w:val="00306B8F"/>
    <w:rsid w:val="0031114D"/>
    <w:rsid w:val="00312A34"/>
    <w:rsid w:val="00312DFB"/>
    <w:rsid w:val="00313ABC"/>
    <w:rsid w:val="00313D6C"/>
    <w:rsid w:val="003142F2"/>
    <w:rsid w:val="00316E8E"/>
    <w:rsid w:val="003170BD"/>
    <w:rsid w:val="003175B7"/>
    <w:rsid w:val="00323095"/>
    <w:rsid w:val="003238E5"/>
    <w:rsid w:val="003249F5"/>
    <w:rsid w:val="0032633B"/>
    <w:rsid w:val="00326488"/>
    <w:rsid w:val="00326CB7"/>
    <w:rsid w:val="00327AD3"/>
    <w:rsid w:val="00335CF9"/>
    <w:rsid w:val="0033765B"/>
    <w:rsid w:val="003403DB"/>
    <w:rsid w:val="00340C0F"/>
    <w:rsid w:val="003454AE"/>
    <w:rsid w:val="003467A8"/>
    <w:rsid w:val="00346AC9"/>
    <w:rsid w:val="003471CD"/>
    <w:rsid w:val="003517F1"/>
    <w:rsid w:val="003531EC"/>
    <w:rsid w:val="00353AB1"/>
    <w:rsid w:val="00356A53"/>
    <w:rsid w:val="00356DE3"/>
    <w:rsid w:val="00360184"/>
    <w:rsid w:val="00360382"/>
    <w:rsid w:val="003619EA"/>
    <w:rsid w:val="00362200"/>
    <w:rsid w:val="00363368"/>
    <w:rsid w:val="00364988"/>
    <w:rsid w:val="003654A2"/>
    <w:rsid w:val="00365816"/>
    <w:rsid w:val="0036742F"/>
    <w:rsid w:val="00367A9F"/>
    <w:rsid w:val="00367FCB"/>
    <w:rsid w:val="00370CFF"/>
    <w:rsid w:val="00371CDD"/>
    <w:rsid w:val="003743A2"/>
    <w:rsid w:val="003756E5"/>
    <w:rsid w:val="00375B3A"/>
    <w:rsid w:val="00375F30"/>
    <w:rsid w:val="003767B2"/>
    <w:rsid w:val="00377A05"/>
    <w:rsid w:val="00381346"/>
    <w:rsid w:val="003819DD"/>
    <w:rsid w:val="0038252B"/>
    <w:rsid w:val="003836BD"/>
    <w:rsid w:val="00392865"/>
    <w:rsid w:val="00393169"/>
    <w:rsid w:val="00393260"/>
    <w:rsid w:val="003959CE"/>
    <w:rsid w:val="003A04E9"/>
    <w:rsid w:val="003A2741"/>
    <w:rsid w:val="003A4DA6"/>
    <w:rsid w:val="003A52CC"/>
    <w:rsid w:val="003B0619"/>
    <w:rsid w:val="003B2FB1"/>
    <w:rsid w:val="003B3441"/>
    <w:rsid w:val="003B536F"/>
    <w:rsid w:val="003B6BB1"/>
    <w:rsid w:val="003C1432"/>
    <w:rsid w:val="003C4BF6"/>
    <w:rsid w:val="003C4DEB"/>
    <w:rsid w:val="003C4E36"/>
    <w:rsid w:val="003C7018"/>
    <w:rsid w:val="003D296D"/>
    <w:rsid w:val="003D4985"/>
    <w:rsid w:val="003D5998"/>
    <w:rsid w:val="003D694F"/>
    <w:rsid w:val="003D7260"/>
    <w:rsid w:val="003E45AA"/>
    <w:rsid w:val="003E462B"/>
    <w:rsid w:val="003E479F"/>
    <w:rsid w:val="003E4807"/>
    <w:rsid w:val="003E4EF8"/>
    <w:rsid w:val="003E5556"/>
    <w:rsid w:val="003E5CAC"/>
    <w:rsid w:val="003E6659"/>
    <w:rsid w:val="003E6AA6"/>
    <w:rsid w:val="003F0E20"/>
    <w:rsid w:val="003F13C4"/>
    <w:rsid w:val="003F3697"/>
    <w:rsid w:val="003F38ED"/>
    <w:rsid w:val="003F4E8A"/>
    <w:rsid w:val="003F6DDA"/>
    <w:rsid w:val="003F79CD"/>
    <w:rsid w:val="003F7F85"/>
    <w:rsid w:val="00400A86"/>
    <w:rsid w:val="0040140B"/>
    <w:rsid w:val="00401A23"/>
    <w:rsid w:val="00402CD5"/>
    <w:rsid w:val="004044A8"/>
    <w:rsid w:val="004107B7"/>
    <w:rsid w:val="004111B2"/>
    <w:rsid w:val="004114EE"/>
    <w:rsid w:val="00412A1A"/>
    <w:rsid w:val="00412AC8"/>
    <w:rsid w:val="00412C7D"/>
    <w:rsid w:val="0041348B"/>
    <w:rsid w:val="00413C93"/>
    <w:rsid w:val="0041599B"/>
    <w:rsid w:val="00416584"/>
    <w:rsid w:val="0041796D"/>
    <w:rsid w:val="004217FB"/>
    <w:rsid w:val="00421C97"/>
    <w:rsid w:val="00424B19"/>
    <w:rsid w:val="00424C69"/>
    <w:rsid w:val="00425396"/>
    <w:rsid w:val="00425A42"/>
    <w:rsid w:val="0042639F"/>
    <w:rsid w:val="004263C9"/>
    <w:rsid w:val="004269B2"/>
    <w:rsid w:val="00427189"/>
    <w:rsid w:val="00430F6C"/>
    <w:rsid w:val="0043107C"/>
    <w:rsid w:val="00431306"/>
    <w:rsid w:val="00431CC4"/>
    <w:rsid w:val="00431F80"/>
    <w:rsid w:val="00431FCC"/>
    <w:rsid w:val="0043227B"/>
    <w:rsid w:val="00433CB6"/>
    <w:rsid w:val="0043420C"/>
    <w:rsid w:val="00434299"/>
    <w:rsid w:val="00435489"/>
    <w:rsid w:val="00435D19"/>
    <w:rsid w:val="0044201D"/>
    <w:rsid w:val="0044664F"/>
    <w:rsid w:val="0044684F"/>
    <w:rsid w:val="004518E6"/>
    <w:rsid w:val="004519FF"/>
    <w:rsid w:val="00452C84"/>
    <w:rsid w:val="00453966"/>
    <w:rsid w:val="004548E3"/>
    <w:rsid w:val="00457022"/>
    <w:rsid w:val="00460BB7"/>
    <w:rsid w:val="00461302"/>
    <w:rsid w:val="00461AD9"/>
    <w:rsid w:val="00461B2E"/>
    <w:rsid w:val="00463886"/>
    <w:rsid w:val="00466A73"/>
    <w:rsid w:val="00470C60"/>
    <w:rsid w:val="00470F96"/>
    <w:rsid w:val="00472674"/>
    <w:rsid w:val="00472C3D"/>
    <w:rsid w:val="00472CB8"/>
    <w:rsid w:val="004739DB"/>
    <w:rsid w:val="004743A4"/>
    <w:rsid w:val="00474486"/>
    <w:rsid w:val="0047622F"/>
    <w:rsid w:val="0047749F"/>
    <w:rsid w:val="0048002D"/>
    <w:rsid w:val="004803A0"/>
    <w:rsid w:val="004822E7"/>
    <w:rsid w:val="00482452"/>
    <w:rsid w:val="004826A5"/>
    <w:rsid w:val="00485A99"/>
    <w:rsid w:val="0048776F"/>
    <w:rsid w:val="00487B58"/>
    <w:rsid w:val="00492184"/>
    <w:rsid w:val="0049255D"/>
    <w:rsid w:val="004955FA"/>
    <w:rsid w:val="00496CEE"/>
    <w:rsid w:val="004A033E"/>
    <w:rsid w:val="004A13FE"/>
    <w:rsid w:val="004A24F8"/>
    <w:rsid w:val="004A47C0"/>
    <w:rsid w:val="004A4C93"/>
    <w:rsid w:val="004A52B2"/>
    <w:rsid w:val="004A68B8"/>
    <w:rsid w:val="004B014B"/>
    <w:rsid w:val="004B139B"/>
    <w:rsid w:val="004B1B9C"/>
    <w:rsid w:val="004C413E"/>
    <w:rsid w:val="004C66B3"/>
    <w:rsid w:val="004C72BE"/>
    <w:rsid w:val="004D1853"/>
    <w:rsid w:val="004E1360"/>
    <w:rsid w:val="004E371E"/>
    <w:rsid w:val="004E4A2E"/>
    <w:rsid w:val="004F0714"/>
    <w:rsid w:val="004F079B"/>
    <w:rsid w:val="004F4511"/>
    <w:rsid w:val="004F5BB6"/>
    <w:rsid w:val="004F5F15"/>
    <w:rsid w:val="004F6244"/>
    <w:rsid w:val="00501B2A"/>
    <w:rsid w:val="00503254"/>
    <w:rsid w:val="005037D6"/>
    <w:rsid w:val="00506072"/>
    <w:rsid w:val="00506F15"/>
    <w:rsid w:val="00507095"/>
    <w:rsid w:val="005072DE"/>
    <w:rsid w:val="00507879"/>
    <w:rsid w:val="0051163B"/>
    <w:rsid w:val="005125E5"/>
    <w:rsid w:val="0051409C"/>
    <w:rsid w:val="00516042"/>
    <w:rsid w:val="00516549"/>
    <w:rsid w:val="00520E9B"/>
    <w:rsid w:val="00521281"/>
    <w:rsid w:val="0052147D"/>
    <w:rsid w:val="00522A1E"/>
    <w:rsid w:val="005230D0"/>
    <w:rsid w:val="00524044"/>
    <w:rsid w:val="00525CF5"/>
    <w:rsid w:val="005261A3"/>
    <w:rsid w:val="00526D94"/>
    <w:rsid w:val="00527787"/>
    <w:rsid w:val="0053073D"/>
    <w:rsid w:val="0053110D"/>
    <w:rsid w:val="00531D94"/>
    <w:rsid w:val="005346BF"/>
    <w:rsid w:val="00536870"/>
    <w:rsid w:val="00536B2D"/>
    <w:rsid w:val="00541A7F"/>
    <w:rsid w:val="00541C34"/>
    <w:rsid w:val="005426F0"/>
    <w:rsid w:val="00542E42"/>
    <w:rsid w:val="005447E7"/>
    <w:rsid w:val="00544966"/>
    <w:rsid w:val="00545AEA"/>
    <w:rsid w:val="00550A92"/>
    <w:rsid w:val="0055105D"/>
    <w:rsid w:val="005515BC"/>
    <w:rsid w:val="005550FF"/>
    <w:rsid w:val="0055635D"/>
    <w:rsid w:val="005633D8"/>
    <w:rsid w:val="005647A6"/>
    <w:rsid w:val="0056491B"/>
    <w:rsid w:val="00564E2D"/>
    <w:rsid w:val="005662C6"/>
    <w:rsid w:val="00566C4A"/>
    <w:rsid w:val="00567728"/>
    <w:rsid w:val="00570312"/>
    <w:rsid w:val="005738FA"/>
    <w:rsid w:val="005742EE"/>
    <w:rsid w:val="00575D47"/>
    <w:rsid w:val="00576567"/>
    <w:rsid w:val="00577290"/>
    <w:rsid w:val="00580B3B"/>
    <w:rsid w:val="005812CC"/>
    <w:rsid w:val="00582E94"/>
    <w:rsid w:val="00583284"/>
    <w:rsid w:val="00583CC4"/>
    <w:rsid w:val="00584013"/>
    <w:rsid w:val="005862C7"/>
    <w:rsid w:val="0059028D"/>
    <w:rsid w:val="00593135"/>
    <w:rsid w:val="00593AD0"/>
    <w:rsid w:val="005943DF"/>
    <w:rsid w:val="0059600F"/>
    <w:rsid w:val="00596493"/>
    <w:rsid w:val="005A038D"/>
    <w:rsid w:val="005A0DAE"/>
    <w:rsid w:val="005A48FA"/>
    <w:rsid w:val="005A4A03"/>
    <w:rsid w:val="005A563E"/>
    <w:rsid w:val="005B10A9"/>
    <w:rsid w:val="005B1644"/>
    <w:rsid w:val="005B2D00"/>
    <w:rsid w:val="005B4119"/>
    <w:rsid w:val="005B4A76"/>
    <w:rsid w:val="005B55A9"/>
    <w:rsid w:val="005B5661"/>
    <w:rsid w:val="005B5C67"/>
    <w:rsid w:val="005C4BB0"/>
    <w:rsid w:val="005C5442"/>
    <w:rsid w:val="005C5DA2"/>
    <w:rsid w:val="005C66B6"/>
    <w:rsid w:val="005C718F"/>
    <w:rsid w:val="005D0301"/>
    <w:rsid w:val="005D13D3"/>
    <w:rsid w:val="005D6E74"/>
    <w:rsid w:val="005E0763"/>
    <w:rsid w:val="005E1E13"/>
    <w:rsid w:val="005E1E19"/>
    <w:rsid w:val="005E3AA0"/>
    <w:rsid w:val="005F115C"/>
    <w:rsid w:val="005F40B3"/>
    <w:rsid w:val="005F6322"/>
    <w:rsid w:val="005F6333"/>
    <w:rsid w:val="005F6CD6"/>
    <w:rsid w:val="005F7372"/>
    <w:rsid w:val="00600DDE"/>
    <w:rsid w:val="0060150B"/>
    <w:rsid w:val="006047FE"/>
    <w:rsid w:val="006054BF"/>
    <w:rsid w:val="00607622"/>
    <w:rsid w:val="00607F1F"/>
    <w:rsid w:val="00610CB4"/>
    <w:rsid w:val="00610DCF"/>
    <w:rsid w:val="006114FA"/>
    <w:rsid w:val="006117A1"/>
    <w:rsid w:val="00613A54"/>
    <w:rsid w:val="006145D8"/>
    <w:rsid w:val="00614F72"/>
    <w:rsid w:val="00615237"/>
    <w:rsid w:val="00615253"/>
    <w:rsid w:val="006161CE"/>
    <w:rsid w:val="00617F3C"/>
    <w:rsid w:val="00622148"/>
    <w:rsid w:val="0062259A"/>
    <w:rsid w:val="00625941"/>
    <w:rsid w:val="00627F8F"/>
    <w:rsid w:val="006305AC"/>
    <w:rsid w:val="006334D1"/>
    <w:rsid w:val="00634170"/>
    <w:rsid w:val="00634421"/>
    <w:rsid w:val="00635737"/>
    <w:rsid w:val="006377E7"/>
    <w:rsid w:val="0064062F"/>
    <w:rsid w:val="00641C07"/>
    <w:rsid w:val="00641CFA"/>
    <w:rsid w:val="00642261"/>
    <w:rsid w:val="00642639"/>
    <w:rsid w:val="00643BAA"/>
    <w:rsid w:val="00645B34"/>
    <w:rsid w:val="006473B6"/>
    <w:rsid w:val="006538F7"/>
    <w:rsid w:val="00654361"/>
    <w:rsid w:val="00655030"/>
    <w:rsid w:val="00655F4C"/>
    <w:rsid w:val="006572C5"/>
    <w:rsid w:val="00660F7B"/>
    <w:rsid w:val="00664893"/>
    <w:rsid w:val="00664EB2"/>
    <w:rsid w:val="006660CC"/>
    <w:rsid w:val="00666656"/>
    <w:rsid w:val="0066691F"/>
    <w:rsid w:val="006673A3"/>
    <w:rsid w:val="006706E3"/>
    <w:rsid w:val="00671AAE"/>
    <w:rsid w:val="00672857"/>
    <w:rsid w:val="006753BD"/>
    <w:rsid w:val="00675BF0"/>
    <w:rsid w:val="00676104"/>
    <w:rsid w:val="006766A1"/>
    <w:rsid w:val="00680C2C"/>
    <w:rsid w:val="00681FC2"/>
    <w:rsid w:val="00682D5F"/>
    <w:rsid w:val="006830FF"/>
    <w:rsid w:val="00684D49"/>
    <w:rsid w:val="00684DDD"/>
    <w:rsid w:val="00684F58"/>
    <w:rsid w:val="00685431"/>
    <w:rsid w:val="0069254F"/>
    <w:rsid w:val="00693EE3"/>
    <w:rsid w:val="00694C66"/>
    <w:rsid w:val="0069745F"/>
    <w:rsid w:val="00697484"/>
    <w:rsid w:val="006A0D66"/>
    <w:rsid w:val="006A15FC"/>
    <w:rsid w:val="006A23AE"/>
    <w:rsid w:val="006A23C7"/>
    <w:rsid w:val="006A3048"/>
    <w:rsid w:val="006A5746"/>
    <w:rsid w:val="006A6004"/>
    <w:rsid w:val="006A6112"/>
    <w:rsid w:val="006A62D0"/>
    <w:rsid w:val="006B01A9"/>
    <w:rsid w:val="006B08A1"/>
    <w:rsid w:val="006B0D70"/>
    <w:rsid w:val="006B0EB2"/>
    <w:rsid w:val="006B6286"/>
    <w:rsid w:val="006B6333"/>
    <w:rsid w:val="006B7031"/>
    <w:rsid w:val="006C0539"/>
    <w:rsid w:val="006C0BC7"/>
    <w:rsid w:val="006C3DDF"/>
    <w:rsid w:val="006C4FA6"/>
    <w:rsid w:val="006C5B5E"/>
    <w:rsid w:val="006C7BA2"/>
    <w:rsid w:val="006D00E7"/>
    <w:rsid w:val="006D1939"/>
    <w:rsid w:val="006D352C"/>
    <w:rsid w:val="006D41B0"/>
    <w:rsid w:val="006D55F2"/>
    <w:rsid w:val="006D58B3"/>
    <w:rsid w:val="006E097F"/>
    <w:rsid w:val="006E1051"/>
    <w:rsid w:val="006E1301"/>
    <w:rsid w:val="006E163C"/>
    <w:rsid w:val="006E1E43"/>
    <w:rsid w:val="006E3378"/>
    <w:rsid w:val="006E34B9"/>
    <w:rsid w:val="006E3E35"/>
    <w:rsid w:val="006E4F0F"/>
    <w:rsid w:val="006E5430"/>
    <w:rsid w:val="006F0600"/>
    <w:rsid w:val="006F1E8D"/>
    <w:rsid w:val="006F7699"/>
    <w:rsid w:val="006F7D69"/>
    <w:rsid w:val="007019C1"/>
    <w:rsid w:val="00701C80"/>
    <w:rsid w:val="00702513"/>
    <w:rsid w:val="00702A84"/>
    <w:rsid w:val="00702DDF"/>
    <w:rsid w:val="00703433"/>
    <w:rsid w:val="007044CD"/>
    <w:rsid w:val="00705002"/>
    <w:rsid w:val="007104BD"/>
    <w:rsid w:val="00710C4A"/>
    <w:rsid w:val="00713100"/>
    <w:rsid w:val="007146D1"/>
    <w:rsid w:val="007153AA"/>
    <w:rsid w:val="00715548"/>
    <w:rsid w:val="00717413"/>
    <w:rsid w:val="00717642"/>
    <w:rsid w:val="0072132B"/>
    <w:rsid w:val="00721FBC"/>
    <w:rsid w:val="00722B7E"/>
    <w:rsid w:val="00722C0A"/>
    <w:rsid w:val="0072321E"/>
    <w:rsid w:val="00725332"/>
    <w:rsid w:val="00727993"/>
    <w:rsid w:val="00731C65"/>
    <w:rsid w:val="007332CC"/>
    <w:rsid w:val="00733B8F"/>
    <w:rsid w:val="00734011"/>
    <w:rsid w:val="007340C5"/>
    <w:rsid w:val="0073471B"/>
    <w:rsid w:val="00735E74"/>
    <w:rsid w:val="00736406"/>
    <w:rsid w:val="00736B2A"/>
    <w:rsid w:val="00741D3E"/>
    <w:rsid w:val="00742C37"/>
    <w:rsid w:val="00743DEC"/>
    <w:rsid w:val="007441BC"/>
    <w:rsid w:val="00746373"/>
    <w:rsid w:val="00746738"/>
    <w:rsid w:val="00747FD0"/>
    <w:rsid w:val="00750299"/>
    <w:rsid w:val="00752FE7"/>
    <w:rsid w:val="00753A4F"/>
    <w:rsid w:val="007561EF"/>
    <w:rsid w:val="007566B0"/>
    <w:rsid w:val="00760092"/>
    <w:rsid w:val="00763661"/>
    <w:rsid w:val="007642FD"/>
    <w:rsid w:val="00764826"/>
    <w:rsid w:val="007663C9"/>
    <w:rsid w:val="007701BD"/>
    <w:rsid w:val="00771410"/>
    <w:rsid w:val="00771D6D"/>
    <w:rsid w:val="00774ACA"/>
    <w:rsid w:val="00775463"/>
    <w:rsid w:val="0077594F"/>
    <w:rsid w:val="00775964"/>
    <w:rsid w:val="00780129"/>
    <w:rsid w:val="00780FEC"/>
    <w:rsid w:val="00782440"/>
    <w:rsid w:val="007827EE"/>
    <w:rsid w:val="00784912"/>
    <w:rsid w:val="00786579"/>
    <w:rsid w:val="00786E4E"/>
    <w:rsid w:val="007900EA"/>
    <w:rsid w:val="00791313"/>
    <w:rsid w:val="007915CF"/>
    <w:rsid w:val="007924EF"/>
    <w:rsid w:val="00792DAC"/>
    <w:rsid w:val="00793E8E"/>
    <w:rsid w:val="007941AE"/>
    <w:rsid w:val="00794487"/>
    <w:rsid w:val="0079459B"/>
    <w:rsid w:val="00795B90"/>
    <w:rsid w:val="00796114"/>
    <w:rsid w:val="007966A5"/>
    <w:rsid w:val="00796B94"/>
    <w:rsid w:val="007A07C0"/>
    <w:rsid w:val="007A5E6B"/>
    <w:rsid w:val="007A6E01"/>
    <w:rsid w:val="007B03E3"/>
    <w:rsid w:val="007B17F8"/>
    <w:rsid w:val="007B28AC"/>
    <w:rsid w:val="007B3382"/>
    <w:rsid w:val="007B351B"/>
    <w:rsid w:val="007B7DFE"/>
    <w:rsid w:val="007C0056"/>
    <w:rsid w:val="007C0EFE"/>
    <w:rsid w:val="007C1E9A"/>
    <w:rsid w:val="007C38B8"/>
    <w:rsid w:val="007C5D1A"/>
    <w:rsid w:val="007C7E83"/>
    <w:rsid w:val="007D1656"/>
    <w:rsid w:val="007D23A3"/>
    <w:rsid w:val="007D3288"/>
    <w:rsid w:val="007D3FEA"/>
    <w:rsid w:val="007D50D3"/>
    <w:rsid w:val="007D55D2"/>
    <w:rsid w:val="007D60FE"/>
    <w:rsid w:val="007D63FA"/>
    <w:rsid w:val="007D6B60"/>
    <w:rsid w:val="007E010C"/>
    <w:rsid w:val="007E034E"/>
    <w:rsid w:val="007E05E1"/>
    <w:rsid w:val="007E4B28"/>
    <w:rsid w:val="007E4FB7"/>
    <w:rsid w:val="007E6826"/>
    <w:rsid w:val="007F32F6"/>
    <w:rsid w:val="007F3E4F"/>
    <w:rsid w:val="007F4F16"/>
    <w:rsid w:val="007F5814"/>
    <w:rsid w:val="007F6333"/>
    <w:rsid w:val="00802372"/>
    <w:rsid w:val="00805F0D"/>
    <w:rsid w:val="00805F3C"/>
    <w:rsid w:val="00811284"/>
    <w:rsid w:val="008116A4"/>
    <w:rsid w:val="00811CA3"/>
    <w:rsid w:val="00812578"/>
    <w:rsid w:val="0081315A"/>
    <w:rsid w:val="00814008"/>
    <w:rsid w:val="00815134"/>
    <w:rsid w:val="008212E6"/>
    <w:rsid w:val="00821609"/>
    <w:rsid w:val="00822419"/>
    <w:rsid w:val="00823930"/>
    <w:rsid w:val="00823A23"/>
    <w:rsid w:val="00824A2A"/>
    <w:rsid w:val="00826D9D"/>
    <w:rsid w:val="008328BF"/>
    <w:rsid w:val="0083332A"/>
    <w:rsid w:val="00833DE4"/>
    <w:rsid w:val="008344B4"/>
    <w:rsid w:val="00835980"/>
    <w:rsid w:val="00840422"/>
    <w:rsid w:val="008407A0"/>
    <w:rsid w:val="00845E10"/>
    <w:rsid w:val="0084676C"/>
    <w:rsid w:val="00847119"/>
    <w:rsid w:val="00847194"/>
    <w:rsid w:val="00850066"/>
    <w:rsid w:val="00851633"/>
    <w:rsid w:val="0085253D"/>
    <w:rsid w:val="00853686"/>
    <w:rsid w:val="0085478B"/>
    <w:rsid w:val="0085572D"/>
    <w:rsid w:val="008600BA"/>
    <w:rsid w:val="00860761"/>
    <w:rsid w:val="00860880"/>
    <w:rsid w:val="00860DC9"/>
    <w:rsid w:val="00861788"/>
    <w:rsid w:val="00862F75"/>
    <w:rsid w:val="00864FBB"/>
    <w:rsid w:val="00866791"/>
    <w:rsid w:val="008673BE"/>
    <w:rsid w:val="00870442"/>
    <w:rsid w:val="008711D8"/>
    <w:rsid w:val="0087238A"/>
    <w:rsid w:val="00872CAD"/>
    <w:rsid w:val="00873D14"/>
    <w:rsid w:val="00875590"/>
    <w:rsid w:val="00876333"/>
    <w:rsid w:val="0087646E"/>
    <w:rsid w:val="00876767"/>
    <w:rsid w:val="0088354F"/>
    <w:rsid w:val="0088711B"/>
    <w:rsid w:val="008879B0"/>
    <w:rsid w:val="008904DB"/>
    <w:rsid w:val="00891D3A"/>
    <w:rsid w:val="00895EF0"/>
    <w:rsid w:val="00896021"/>
    <w:rsid w:val="008964DD"/>
    <w:rsid w:val="008A02FE"/>
    <w:rsid w:val="008A298F"/>
    <w:rsid w:val="008A2BBD"/>
    <w:rsid w:val="008A417D"/>
    <w:rsid w:val="008A4E51"/>
    <w:rsid w:val="008A7807"/>
    <w:rsid w:val="008A7CE6"/>
    <w:rsid w:val="008B0B62"/>
    <w:rsid w:val="008B2FC4"/>
    <w:rsid w:val="008B41C5"/>
    <w:rsid w:val="008B53E0"/>
    <w:rsid w:val="008B552B"/>
    <w:rsid w:val="008B564D"/>
    <w:rsid w:val="008B791A"/>
    <w:rsid w:val="008C7FFC"/>
    <w:rsid w:val="008D0CF7"/>
    <w:rsid w:val="008D2129"/>
    <w:rsid w:val="008D31F2"/>
    <w:rsid w:val="008D338F"/>
    <w:rsid w:val="008D5A33"/>
    <w:rsid w:val="008E32FA"/>
    <w:rsid w:val="008E49E7"/>
    <w:rsid w:val="008E4C9A"/>
    <w:rsid w:val="008E53D0"/>
    <w:rsid w:val="008E646A"/>
    <w:rsid w:val="008F02B6"/>
    <w:rsid w:val="008F2EF1"/>
    <w:rsid w:val="008F3196"/>
    <w:rsid w:val="008F4DC6"/>
    <w:rsid w:val="008F6434"/>
    <w:rsid w:val="008F6A05"/>
    <w:rsid w:val="00900FD1"/>
    <w:rsid w:val="0090278A"/>
    <w:rsid w:val="00903891"/>
    <w:rsid w:val="00903F23"/>
    <w:rsid w:val="00904567"/>
    <w:rsid w:val="0090539F"/>
    <w:rsid w:val="00906E29"/>
    <w:rsid w:val="00910D94"/>
    <w:rsid w:val="00912BA4"/>
    <w:rsid w:val="00916457"/>
    <w:rsid w:val="00917B71"/>
    <w:rsid w:val="00921934"/>
    <w:rsid w:val="00921BB7"/>
    <w:rsid w:val="009239AA"/>
    <w:rsid w:val="0092578D"/>
    <w:rsid w:val="00926930"/>
    <w:rsid w:val="0093084B"/>
    <w:rsid w:val="00933723"/>
    <w:rsid w:val="009410BD"/>
    <w:rsid w:val="009417FA"/>
    <w:rsid w:val="0094221D"/>
    <w:rsid w:val="00942D80"/>
    <w:rsid w:val="00943509"/>
    <w:rsid w:val="00946BCF"/>
    <w:rsid w:val="00946BE7"/>
    <w:rsid w:val="00946DEF"/>
    <w:rsid w:val="00946F67"/>
    <w:rsid w:val="009505F5"/>
    <w:rsid w:val="00952168"/>
    <w:rsid w:val="00952FCF"/>
    <w:rsid w:val="009533C6"/>
    <w:rsid w:val="00953EBE"/>
    <w:rsid w:val="009563CA"/>
    <w:rsid w:val="00957753"/>
    <w:rsid w:val="00961F96"/>
    <w:rsid w:val="00963338"/>
    <w:rsid w:val="00963836"/>
    <w:rsid w:val="00963AA9"/>
    <w:rsid w:val="00964063"/>
    <w:rsid w:val="0096481A"/>
    <w:rsid w:val="00965DC0"/>
    <w:rsid w:val="009673BF"/>
    <w:rsid w:val="00970C8A"/>
    <w:rsid w:val="00970F54"/>
    <w:rsid w:val="00972CE4"/>
    <w:rsid w:val="0097600E"/>
    <w:rsid w:val="0097664A"/>
    <w:rsid w:val="009767BC"/>
    <w:rsid w:val="0097779C"/>
    <w:rsid w:val="0097786B"/>
    <w:rsid w:val="00977D67"/>
    <w:rsid w:val="00980A29"/>
    <w:rsid w:val="00980BE2"/>
    <w:rsid w:val="009840E8"/>
    <w:rsid w:val="009917EE"/>
    <w:rsid w:val="00991A3B"/>
    <w:rsid w:val="00993427"/>
    <w:rsid w:val="00993978"/>
    <w:rsid w:val="00995011"/>
    <w:rsid w:val="009957FF"/>
    <w:rsid w:val="00996D73"/>
    <w:rsid w:val="0099766E"/>
    <w:rsid w:val="009A0A85"/>
    <w:rsid w:val="009A0DF8"/>
    <w:rsid w:val="009A276C"/>
    <w:rsid w:val="009A374E"/>
    <w:rsid w:val="009A6CB0"/>
    <w:rsid w:val="009A721C"/>
    <w:rsid w:val="009A72B9"/>
    <w:rsid w:val="009A79B5"/>
    <w:rsid w:val="009B0B54"/>
    <w:rsid w:val="009B21F6"/>
    <w:rsid w:val="009B26D4"/>
    <w:rsid w:val="009B3430"/>
    <w:rsid w:val="009B625F"/>
    <w:rsid w:val="009B79A3"/>
    <w:rsid w:val="009B7BA1"/>
    <w:rsid w:val="009B7F0B"/>
    <w:rsid w:val="009C08B5"/>
    <w:rsid w:val="009C2702"/>
    <w:rsid w:val="009C2C87"/>
    <w:rsid w:val="009C379F"/>
    <w:rsid w:val="009C5D9E"/>
    <w:rsid w:val="009C6C97"/>
    <w:rsid w:val="009C7171"/>
    <w:rsid w:val="009C79A7"/>
    <w:rsid w:val="009D017B"/>
    <w:rsid w:val="009D2223"/>
    <w:rsid w:val="009D2C8D"/>
    <w:rsid w:val="009D5207"/>
    <w:rsid w:val="009E26C0"/>
    <w:rsid w:val="009E2FCA"/>
    <w:rsid w:val="009E3C47"/>
    <w:rsid w:val="009E4188"/>
    <w:rsid w:val="009E5AA3"/>
    <w:rsid w:val="009E62D0"/>
    <w:rsid w:val="009E64F3"/>
    <w:rsid w:val="009E66E8"/>
    <w:rsid w:val="009E70B7"/>
    <w:rsid w:val="009E797F"/>
    <w:rsid w:val="009F1896"/>
    <w:rsid w:val="009F23AE"/>
    <w:rsid w:val="009F277B"/>
    <w:rsid w:val="009F2CC4"/>
    <w:rsid w:val="009F37E7"/>
    <w:rsid w:val="009F3949"/>
    <w:rsid w:val="009F6E11"/>
    <w:rsid w:val="00A000BC"/>
    <w:rsid w:val="00A002DF"/>
    <w:rsid w:val="00A01620"/>
    <w:rsid w:val="00A03EAB"/>
    <w:rsid w:val="00A0577D"/>
    <w:rsid w:val="00A07E35"/>
    <w:rsid w:val="00A124A3"/>
    <w:rsid w:val="00A12B2D"/>
    <w:rsid w:val="00A15228"/>
    <w:rsid w:val="00A15702"/>
    <w:rsid w:val="00A167E2"/>
    <w:rsid w:val="00A1727F"/>
    <w:rsid w:val="00A178A9"/>
    <w:rsid w:val="00A252C4"/>
    <w:rsid w:val="00A26EE4"/>
    <w:rsid w:val="00A30756"/>
    <w:rsid w:val="00A30773"/>
    <w:rsid w:val="00A30FDE"/>
    <w:rsid w:val="00A31555"/>
    <w:rsid w:val="00A330AF"/>
    <w:rsid w:val="00A33244"/>
    <w:rsid w:val="00A33ADC"/>
    <w:rsid w:val="00A34070"/>
    <w:rsid w:val="00A34AF2"/>
    <w:rsid w:val="00A34DF4"/>
    <w:rsid w:val="00A3574D"/>
    <w:rsid w:val="00A35B5C"/>
    <w:rsid w:val="00A361EF"/>
    <w:rsid w:val="00A36245"/>
    <w:rsid w:val="00A41285"/>
    <w:rsid w:val="00A41B5E"/>
    <w:rsid w:val="00A42592"/>
    <w:rsid w:val="00A43023"/>
    <w:rsid w:val="00A4531A"/>
    <w:rsid w:val="00A5250A"/>
    <w:rsid w:val="00A526C2"/>
    <w:rsid w:val="00A52DF2"/>
    <w:rsid w:val="00A554C5"/>
    <w:rsid w:val="00A55C4C"/>
    <w:rsid w:val="00A56452"/>
    <w:rsid w:val="00A574FA"/>
    <w:rsid w:val="00A618D7"/>
    <w:rsid w:val="00A62678"/>
    <w:rsid w:val="00A62A08"/>
    <w:rsid w:val="00A638D0"/>
    <w:rsid w:val="00A668A7"/>
    <w:rsid w:val="00A67D4A"/>
    <w:rsid w:val="00A67DC2"/>
    <w:rsid w:val="00A71F28"/>
    <w:rsid w:val="00A730A8"/>
    <w:rsid w:val="00A763F4"/>
    <w:rsid w:val="00A7758E"/>
    <w:rsid w:val="00A779BD"/>
    <w:rsid w:val="00A80D93"/>
    <w:rsid w:val="00A82337"/>
    <w:rsid w:val="00A825D8"/>
    <w:rsid w:val="00A84ACE"/>
    <w:rsid w:val="00A84D3E"/>
    <w:rsid w:val="00A91BE0"/>
    <w:rsid w:val="00A926A6"/>
    <w:rsid w:val="00A92EB1"/>
    <w:rsid w:val="00A953B6"/>
    <w:rsid w:val="00A97ABF"/>
    <w:rsid w:val="00AA01FD"/>
    <w:rsid w:val="00AA1EB1"/>
    <w:rsid w:val="00AA4706"/>
    <w:rsid w:val="00AA7252"/>
    <w:rsid w:val="00AA742E"/>
    <w:rsid w:val="00AB0324"/>
    <w:rsid w:val="00AB3496"/>
    <w:rsid w:val="00AB536C"/>
    <w:rsid w:val="00AB57FF"/>
    <w:rsid w:val="00AB583D"/>
    <w:rsid w:val="00AB6873"/>
    <w:rsid w:val="00AB73B6"/>
    <w:rsid w:val="00AC1945"/>
    <w:rsid w:val="00AC2536"/>
    <w:rsid w:val="00AC2D14"/>
    <w:rsid w:val="00AC45C9"/>
    <w:rsid w:val="00AC4E30"/>
    <w:rsid w:val="00AC7E5B"/>
    <w:rsid w:val="00AD1DB8"/>
    <w:rsid w:val="00AD3CAB"/>
    <w:rsid w:val="00AD4395"/>
    <w:rsid w:val="00AD4F01"/>
    <w:rsid w:val="00AD595C"/>
    <w:rsid w:val="00AE0736"/>
    <w:rsid w:val="00AE0F77"/>
    <w:rsid w:val="00AE242B"/>
    <w:rsid w:val="00AE49D9"/>
    <w:rsid w:val="00AE6A44"/>
    <w:rsid w:val="00AE6C39"/>
    <w:rsid w:val="00AE7B60"/>
    <w:rsid w:val="00AF2277"/>
    <w:rsid w:val="00AF2B3C"/>
    <w:rsid w:val="00AF7AA5"/>
    <w:rsid w:val="00B01190"/>
    <w:rsid w:val="00B020C2"/>
    <w:rsid w:val="00B07333"/>
    <w:rsid w:val="00B0747C"/>
    <w:rsid w:val="00B0779E"/>
    <w:rsid w:val="00B10BFC"/>
    <w:rsid w:val="00B144D4"/>
    <w:rsid w:val="00B167FD"/>
    <w:rsid w:val="00B17F7F"/>
    <w:rsid w:val="00B227BD"/>
    <w:rsid w:val="00B2442C"/>
    <w:rsid w:val="00B24E80"/>
    <w:rsid w:val="00B255A1"/>
    <w:rsid w:val="00B26257"/>
    <w:rsid w:val="00B2665D"/>
    <w:rsid w:val="00B27B2E"/>
    <w:rsid w:val="00B3068F"/>
    <w:rsid w:val="00B30CBE"/>
    <w:rsid w:val="00B30E44"/>
    <w:rsid w:val="00B30F42"/>
    <w:rsid w:val="00B320A4"/>
    <w:rsid w:val="00B321C3"/>
    <w:rsid w:val="00B328F2"/>
    <w:rsid w:val="00B33165"/>
    <w:rsid w:val="00B342CC"/>
    <w:rsid w:val="00B34A93"/>
    <w:rsid w:val="00B358AE"/>
    <w:rsid w:val="00B35FDC"/>
    <w:rsid w:val="00B3667A"/>
    <w:rsid w:val="00B369C9"/>
    <w:rsid w:val="00B36CAA"/>
    <w:rsid w:val="00B37E39"/>
    <w:rsid w:val="00B40BBA"/>
    <w:rsid w:val="00B42F2E"/>
    <w:rsid w:val="00B4393D"/>
    <w:rsid w:val="00B43B3B"/>
    <w:rsid w:val="00B43C05"/>
    <w:rsid w:val="00B43F9E"/>
    <w:rsid w:val="00B441F7"/>
    <w:rsid w:val="00B4563C"/>
    <w:rsid w:val="00B459D5"/>
    <w:rsid w:val="00B46E5D"/>
    <w:rsid w:val="00B477E6"/>
    <w:rsid w:val="00B50F49"/>
    <w:rsid w:val="00B523FD"/>
    <w:rsid w:val="00B530F6"/>
    <w:rsid w:val="00B554C0"/>
    <w:rsid w:val="00B55FB1"/>
    <w:rsid w:val="00B57567"/>
    <w:rsid w:val="00B57582"/>
    <w:rsid w:val="00B608EB"/>
    <w:rsid w:val="00B643D5"/>
    <w:rsid w:val="00B64A34"/>
    <w:rsid w:val="00B64E6E"/>
    <w:rsid w:val="00B66B25"/>
    <w:rsid w:val="00B73B4C"/>
    <w:rsid w:val="00B743B1"/>
    <w:rsid w:val="00B74FC7"/>
    <w:rsid w:val="00B753A7"/>
    <w:rsid w:val="00B76BCD"/>
    <w:rsid w:val="00B77392"/>
    <w:rsid w:val="00B77723"/>
    <w:rsid w:val="00B77CBD"/>
    <w:rsid w:val="00B813CE"/>
    <w:rsid w:val="00B8242B"/>
    <w:rsid w:val="00B84723"/>
    <w:rsid w:val="00B85700"/>
    <w:rsid w:val="00B9123F"/>
    <w:rsid w:val="00B92FFB"/>
    <w:rsid w:val="00B93F41"/>
    <w:rsid w:val="00B96783"/>
    <w:rsid w:val="00B969EB"/>
    <w:rsid w:val="00B96C3D"/>
    <w:rsid w:val="00B977D6"/>
    <w:rsid w:val="00BA0A44"/>
    <w:rsid w:val="00BA0D99"/>
    <w:rsid w:val="00BA14A7"/>
    <w:rsid w:val="00BA3411"/>
    <w:rsid w:val="00BA480B"/>
    <w:rsid w:val="00BA6823"/>
    <w:rsid w:val="00BA7CF7"/>
    <w:rsid w:val="00BB0BD4"/>
    <w:rsid w:val="00BB39F4"/>
    <w:rsid w:val="00BB3B17"/>
    <w:rsid w:val="00BB43F2"/>
    <w:rsid w:val="00BB441E"/>
    <w:rsid w:val="00BB5DEF"/>
    <w:rsid w:val="00BB617C"/>
    <w:rsid w:val="00BC3EBC"/>
    <w:rsid w:val="00BC467B"/>
    <w:rsid w:val="00BC4B5D"/>
    <w:rsid w:val="00BC5F34"/>
    <w:rsid w:val="00BC7D86"/>
    <w:rsid w:val="00BD13BE"/>
    <w:rsid w:val="00BD1E58"/>
    <w:rsid w:val="00BD22D9"/>
    <w:rsid w:val="00BD2C51"/>
    <w:rsid w:val="00BD409D"/>
    <w:rsid w:val="00BD7825"/>
    <w:rsid w:val="00BD7D22"/>
    <w:rsid w:val="00BE088E"/>
    <w:rsid w:val="00BE11B8"/>
    <w:rsid w:val="00BE2142"/>
    <w:rsid w:val="00BE3431"/>
    <w:rsid w:val="00BE57AC"/>
    <w:rsid w:val="00BE592D"/>
    <w:rsid w:val="00BE7AED"/>
    <w:rsid w:val="00BF0933"/>
    <w:rsid w:val="00BF1EB1"/>
    <w:rsid w:val="00BF264D"/>
    <w:rsid w:val="00BF4C40"/>
    <w:rsid w:val="00BF5D8D"/>
    <w:rsid w:val="00BF723C"/>
    <w:rsid w:val="00BF7274"/>
    <w:rsid w:val="00BF7EED"/>
    <w:rsid w:val="00C000D9"/>
    <w:rsid w:val="00C02A0E"/>
    <w:rsid w:val="00C05498"/>
    <w:rsid w:val="00C1060F"/>
    <w:rsid w:val="00C13CA4"/>
    <w:rsid w:val="00C143A0"/>
    <w:rsid w:val="00C16039"/>
    <w:rsid w:val="00C16A32"/>
    <w:rsid w:val="00C21969"/>
    <w:rsid w:val="00C223EB"/>
    <w:rsid w:val="00C22909"/>
    <w:rsid w:val="00C235FF"/>
    <w:rsid w:val="00C23A3A"/>
    <w:rsid w:val="00C23DAB"/>
    <w:rsid w:val="00C24173"/>
    <w:rsid w:val="00C24A4F"/>
    <w:rsid w:val="00C255DF"/>
    <w:rsid w:val="00C27517"/>
    <w:rsid w:val="00C301D8"/>
    <w:rsid w:val="00C31E7B"/>
    <w:rsid w:val="00C32708"/>
    <w:rsid w:val="00C335C2"/>
    <w:rsid w:val="00C342F5"/>
    <w:rsid w:val="00C343BF"/>
    <w:rsid w:val="00C34661"/>
    <w:rsid w:val="00C378CC"/>
    <w:rsid w:val="00C37BAF"/>
    <w:rsid w:val="00C40FC1"/>
    <w:rsid w:val="00C43BC6"/>
    <w:rsid w:val="00C44521"/>
    <w:rsid w:val="00C45438"/>
    <w:rsid w:val="00C455AB"/>
    <w:rsid w:val="00C45C19"/>
    <w:rsid w:val="00C45CF4"/>
    <w:rsid w:val="00C51F09"/>
    <w:rsid w:val="00C522C0"/>
    <w:rsid w:val="00C52395"/>
    <w:rsid w:val="00C52403"/>
    <w:rsid w:val="00C545B0"/>
    <w:rsid w:val="00C54F3F"/>
    <w:rsid w:val="00C5544C"/>
    <w:rsid w:val="00C57CF9"/>
    <w:rsid w:val="00C61034"/>
    <w:rsid w:val="00C612E7"/>
    <w:rsid w:val="00C65240"/>
    <w:rsid w:val="00C6594A"/>
    <w:rsid w:val="00C673E0"/>
    <w:rsid w:val="00C67A22"/>
    <w:rsid w:val="00C67C05"/>
    <w:rsid w:val="00C67FC4"/>
    <w:rsid w:val="00C704DC"/>
    <w:rsid w:val="00C70CFB"/>
    <w:rsid w:val="00C74F51"/>
    <w:rsid w:val="00C769E0"/>
    <w:rsid w:val="00C77A14"/>
    <w:rsid w:val="00C80342"/>
    <w:rsid w:val="00C80BE2"/>
    <w:rsid w:val="00C812DF"/>
    <w:rsid w:val="00C81FE9"/>
    <w:rsid w:val="00C824B4"/>
    <w:rsid w:val="00C836DB"/>
    <w:rsid w:val="00C8486D"/>
    <w:rsid w:val="00C8501A"/>
    <w:rsid w:val="00C865C6"/>
    <w:rsid w:val="00C86B33"/>
    <w:rsid w:val="00C872D4"/>
    <w:rsid w:val="00C87579"/>
    <w:rsid w:val="00C877D4"/>
    <w:rsid w:val="00C91912"/>
    <w:rsid w:val="00C92848"/>
    <w:rsid w:val="00C936F1"/>
    <w:rsid w:val="00C95BB5"/>
    <w:rsid w:val="00C96EEF"/>
    <w:rsid w:val="00C9718C"/>
    <w:rsid w:val="00C97A3B"/>
    <w:rsid w:val="00C97AED"/>
    <w:rsid w:val="00CA149C"/>
    <w:rsid w:val="00CA68CB"/>
    <w:rsid w:val="00CA7002"/>
    <w:rsid w:val="00CB1594"/>
    <w:rsid w:val="00CB29CE"/>
    <w:rsid w:val="00CB2CBD"/>
    <w:rsid w:val="00CB3DFC"/>
    <w:rsid w:val="00CC0641"/>
    <w:rsid w:val="00CC1A21"/>
    <w:rsid w:val="00CC3A4C"/>
    <w:rsid w:val="00CC68FC"/>
    <w:rsid w:val="00CC76A3"/>
    <w:rsid w:val="00CD04C0"/>
    <w:rsid w:val="00CD118B"/>
    <w:rsid w:val="00CD1A24"/>
    <w:rsid w:val="00CD2EAF"/>
    <w:rsid w:val="00CD410A"/>
    <w:rsid w:val="00CE0F4F"/>
    <w:rsid w:val="00CE13FE"/>
    <w:rsid w:val="00CE1AE6"/>
    <w:rsid w:val="00CE328E"/>
    <w:rsid w:val="00CE3306"/>
    <w:rsid w:val="00CE347F"/>
    <w:rsid w:val="00CE39F1"/>
    <w:rsid w:val="00CE3EA8"/>
    <w:rsid w:val="00CE4470"/>
    <w:rsid w:val="00CE4626"/>
    <w:rsid w:val="00CE4D5B"/>
    <w:rsid w:val="00CE5AAB"/>
    <w:rsid w:val="00CE72EF"/>
    <w:rsid w:val="00CF1274"/>
    <w:rsid w:val="00CF6A18"/>
    <w:rsid w:val="00D0075C"/>
    <w:rsid w:val="00D049BF"/>
    <w:rsid w:val="00D04F7C"/>
    <w:rsid w:val="00D05701"/>
    <w:rsid w:val="00D05BE6"/>
    <w:rsid w:val="00D0794F"/>
    <w:rsid w:val="00D10964"/>
    <w:rsid w:val="00D13151"/>
    <w:rsid w:val="00D14BB9"/>
    <w:rsid w:val="00D15317"/>
    <w:rsid w:val="00D15A1B"/>
    <w:rsid w:val="00D15E9B"/>
    <w:rsid w:val="00D1617C"/>
    <w:rsid w:val="00D165BC"/>
    <w:rsid w:val="00D16FF2"/>
    <w:rsid w:val="00D201A4"/>
    <w:rsid w:val="00D2326E"/>
    <w:rsid w:val="00D24A71"/>
    <w:rsid w:val="00D25B0B"/>
    <w:rsid w:val="00D25B65"/>
    <w:rsid w:val="00D26D39"/>
    <w:rsid w:val="00D27F31"/>
    <w:rsid w:val="00D307EF"/>
    <w:rsid w:val="00D308BD"/>
    <w:rsid w:val="00D31C9C"/>
    <w:rsid w:val="00D34935"/>
    <w:rsid w:val="00D358EB"/>
    <w:rsid w:val="00D37191"/>
    <w:rsid w:val="00D37627"/>
    <w:rsid w:val="00D37BE7"/>
    <w:rsid w:val="00D37E8A"/>
    <w:rsid w:val="00D408E1"/>
    <w:rsid w:val="00D44BC5"/>
    <w:rsid w:val="00D45254"/>
    <w:rsid w:val="00D45261"/>
    <w:rsid w:val="00D4624D"/>
    <w:rsid w:val="00D47683"/>
    <w:rsid w:val="00D47B39"/>
    <w:rsid w:val="00D517D0"/>
    <w:rsid w:val="00D51EC1"/>
    <w:rsid w:val="00D51F5C"/>
    <w:rsid w:val="00D535DA"/>
    <w:rsid w:val="00D546CF"/>
    <w:rsid w:val="00D55F4B"/>
    <w:rsid w:val="00D565EC"/>
    <w:rsid w:val="00D57E5F"/>
    <w:rsid w:val="00D603D2"/>
    <w:rsid w:val="00D65EC1"/>
    <w:rsid w:val="00D668D7"/>
    <w:rsid w:val="00D66BEE"/>
    <w:rsid w:val="00D66EF5"/>
    <w:rsid w:val="00D70F91"/>
    <w:rsid w:val="00D72266"/>
    <w:rsid w:val="00D74098"/>
    <w:rsid w:val="00D74D3D"/>
    <w:rsid w:val="00D805EF"/>
    <w:rsid w:val="00D80CFC"/>
    <w:rsid w:val="00D83FBA"/>
    <w:rsid w:val="00D87F4F"/>
    <w:rsid w:val="00D9331A"/>
    <w:rsid w:val="00D933D6"/>
    <w:rsid w:val="00D94A29"/>
    <w:rsid w:val="00D95C7A"/>
    <w:rsid w:val="00D97469"/>
    <w:rsid w:val="00D97966"/>
    <w:rsid w:val="00DA18E5"/>
    <w:rsid w:val="00DA5D18"/>
    <w:rsid w:val="00DA6199"/>
    <w:rsid w:val="00DB05FE"/>
    <w:rsid w:val="00DB0C6A"/>
    <w:rsid w:val="00DB1D05"/>
    <w:rsid w:val="00DB5132"/>
    <w:rsid w:val="00DB6428"/>
    <w:rsid w:val="00DB70A1"/>
    <w:rsid w:val="00DC0C6A"/>
    <w:rsid w:val="00DC13AD"/>
    <w:rsid w:val="00DD131A"/>
    <w:rsid w:val="00DD390C"/>
    <w:rsid w:val="00DD3923"/>
    <w:rsid w:val="00DD41D7"/>
    <w:rsid w:val="00DD435E"/>
    <w:rsid w:val="00DD4B50"/>
    <w:rsid w:val="00DD5AC4"/>
    <w:rsid w:val="00DD5E64"/>
    <w:rsid w:val="00DD6700"/>
    <w:rsid w:val="00DE239F"/>
    <w:rsid w:val="00DE32E9"/>
    <w:rsid w:val="00DE333D"/>
    <w:rsid w:val="00DE37E9"/>
    <w:rsid w:val="00DE56E5"/>
    <w:rsid w:val="00DE592E"/>
    <w:rsid w:val="00DE6F63"/>
    <w:rsid w:val="00DE7B05"/>
    <w:rsid w:val="00DF03BC"/>
    <w:rsid w:val="00DF05E4"/>
    <w:rsid w:val="00DF1E2E"/>
    <w:rsid w:val="00DF212B"/>
    <w:rsid w:val="00DF28F5"/>
    <w:rsid w:val="00DF35B1"/>
    <w:rsid w:val="00DF410E"/>
    <w:rsid w:val="00DF5513"/>
    <w:rsid w:val="00DF5550"/>
    <w:rsid w:val="00DF58C4"/>
    <w:rsid w:val="00DF609D"/>
    <w:rsid w:val="00E00D58"/>
    <w:rsid w:val="00E01454"/>
    <w:rsid w:val="00E02711"/>
    <w:rsid w:val="00E02CC1"/>
    <w:rsid w:val="00E03A60"/>
    <w:rsid w:val="00E048B1"/>
    <w:rsid w:val="00E06BE7"/>
    <w:rsid w:val="00E06D87"/>
    <w:rsid w:val="00E06D97"/>
    <w:rsid w:val="00E074BD"/>
    <w:rsid w:val="00E075FB"/>
    <w:rsid w:val="00E1057F"/>
    <w:rsid w:val="00E1209E"/>
    <w:rsid w:val="00E15BE1"/>
    <w:rsid w:val="00E16C16"/>
    <w:rsid w:val="00E16C89"/>
    <w:rsid w:val="00E214C7"/>
    <w:rsid w:val="00E21C69"/>
    <w:rsid w:val="00E22169"/>
    <w:rsid w:val="00E23F88"/>
    <w:rsid w:val="00E240FD"/>
    <w:rsid w:val="00E2651A"/>
    <w:rsid w:val="00E266ED"/>
    <w:rsid w:val="00E26861"/>
    <w:rsid w:val="00E27B32"/>
    <w:rsid w:val="00E30419"/>
    <w:rsid w:val="00E30525"/>
    <w:rsid w:val="00E30E0C"/>
    <w:rsid w:val="00E3175C"/>
    <w:rsid w:val="00E33BF3"/>
    <w:rsid w:val="00E344DB"/>
    <w:rsid w:val="00E36F7F"/>
    <w:rsid w:val="00E373CB"/>
    <w:rsid w:val="00E41BD2"/>
    <w:rsid w:val="00E42991"/>
    <w:rsid w:val="00E42D1F"/>
    <w:rsid w:val="00E45EB3"/>
    <w:rsid w:val="00E46C22"/>
    <w:rsid w:val="00E46E80"/>
    <w:rsid w:val="00E478DA"/>
    <w:rsid w:val="00E5213E"/>
    <w:rsid w:val="00E52FC5"/>
    <w:rsid w:val="00E53266"/>
    <w:rsid w:val="00E54AD5"/>
    <w:rsid w:val="00E551D2"/>
    <w:rsid w:val="00E55D7E"/>
    <w:rsid w:val="00E56540"/>
    <w:rsid w:val="00E5692D"/>
    <w:rsid w:val="00E613E4"/>
    <w:rsid w:val="00E61CF3"/>
    <w:rsid w:val="00E63B63"/>
    <w:rsid w:val="00E63EC6"/>
    <w:rsid w:val="00E651EF"/>
    <w:rsid w:val="00E71CCD"/>
    <w:rsid w:val="00E71DC7"/>
    <w:rsid w:val="00E72710"/>
    <w:rsid w:val="00E746A4"/>
    <w:rsid w:val="00E7749E"/>
    <w:rsid w:val="00E80FC2"/>
    <w:rsid w:val="00E82754"/>
    <w:rsid w:val="00E87DFA"/>
    <w:rsid w:val="00E9044B"/>
    <w:rsid w:val="00E91CBB"/>
    <w:rsid w:val="00E9254E"/>
    <w:rsid w:val="00E928DD"/>
    <w:rsid w:val="00E94C90"/>
    <w:rsid w:val="00E965D7"/>
    <w:rsid w:val="00E97B7D"/>
    <w:rsid w:val="00EA208A"/>
    <w:rsid w:val="00EA5BEA"/>
    <w:rsid w:val="00EA5DB4"/>
    <w:rsid w:val="00EA634E"/>
    <w:rsid w:val="00EA641D"/>
    <w:rsid w:val="00EA65C0"/>
    <w:rsid w:val="00EA6768"/>
    <w:rsid w:val="00EA6C30"/>
    <w:rsid w:val="00EA6F54"/>
    <w:rsid w:val="00EA73C9"/>
    <w:rsid w:val="00EB014E"/>
    <w:rsid w:val="00EB07B0"/>
    <w:rsid w:val="00EB1EEC"/>
    <w:rsid w:val="00EB2229"/>
    <w:rsid w:val="00EB50C8"/>
    <w:rsid w:val="00EB753F"/>
    <w:rsid w:val="00EB7DC4"/>
    <w:rsid w:val="00EC14DF"/>
    <w:rsid w:val="00EC1582"/>
    <w:rsid w:val="00EC1628"/>
    <w:rsid w:val="00EC189B"/>
    <w:rsid w:val="00EC2F97"/>
    <w:rsid w:val="00EC370A"/>
    <w:rsid w:val="00EC4998"/>
    <w:rsid w:val="00EC5FB8"/>
    <w:rsid w:val="00EC6C87"/>
    <w:rsid w:val="00EC7FF5"/>
    <w:rsid w:val="00ED061B"/>
    <w:rsid w:val="00ED0646"/>
    <w:rsid w:val="00ED158F"/>
    <w:rsid w:val="00ED15FD"/>
    <w:rsid w:val="00ED21DD"/>
    <w:rsid w:val="00ED2C84"/>
    <w:rsid w:val="00ED3644"/>
    <w:rsid w:val="00ED5453"/>
    <w:rsid w:val="00ED553D"/>
    <w:rsid w:val="00EE26F8"/>
    <w:rsid w:val="00EE517D"/>
    <w:rsid w:val="00EE5950"/>
    <w:rsid w:val="00EE5C50"/>
    <w:rsid w:val="00EF027A"/>
    <w:rsid w:val="00EF2B76"/>
    <w:rsid w:val="00EF4A53"/>
    <w:rsid w:val="00EF6833"/>
    <w:rsid w:val="00EF7015"/>
    <w:rsid w:val="00EF7237"/>
    <w:rsid w:val="00F0015A"/>
    <w:rsid w:val="00F00CC4"/>
    <w:rsid w:val="00F03101"/>
    <w:rsid w:val="00F04715"/>
    <w:rsid w:val="00F05CF8"/>
    <w:rsid w:val="00F070BD"/>
    <w:rsid w:val="00F13796"/>
    <w:rsid w:val="00F14B91"/>
    <w:rsid w:val="00F153A4"/>
    <w:rsid w:val="00F22963"/>
    <w:rsid w:val="00F23EFB"/>
    <w:rsid w:val="00F27EF9"/>
    <w:rsid w:val="00F30B06"/>
    <w:rsid w:val="00F30B3A"/>
    <w:rsid w:val="00F31B5A"/>
    <w:rsid w:val="00F327F4"/>
    <w:rsid w:val="00F34787"/>
    <w:rsid w:val="00F3539B"/>
    <w:rsid w:val="00F35F19"/>
    <w:rsid w:val="00F3748F"/>
    <w:rsid w:val="00F40908"/>
    <w:rsid w:val="00F4123F"/>
    <w:rsid w:val="00F419CE"/>
    <w:rsid w:val="00F41FE8"/>
    <w:rsid w:val="00F4344B"/>
    <w:rsid w:val="00F4622F"/>
    <w:rsid w:val="00F476E7"/>
    <w:rsid w:val="00F52F00"/>
    <w:rsid w:val="00F54B8B"/>
    <w:rsid w:val="00F55DE7"/>
    <w:rsid w:val="00F6452E"/>
    <w:rsid w:val="00F649D5"/>
    <w:rsid w:val="00F64BCC"/>
    <w:rsid w:val="00F65D3C"/>
    <w:rsid w:val="00F66B55"/>
    <w:rsid w:val="00F70656"/>
    <w:rsid w:val="00F72A01"/>
    <w:rsid w:val="00F73207"/>
    <w:rsid w:val="00F8133E"/>
    <w:rsid w:val="00F81C0C"/>
    <w:rsid w:val="00F834B6"/>
    <w:rsid w:val="00F83D35"/>
    <w:rsid w:val="00F85447"/>
    <w:rsid w:val="00F8553C"/>
    <w:rsid w:val="00F85DFC"/>
    <w:rsid w:val="00F86916"/>
    <w:rsid w:val="00F8759C"/>
    <w:rsid w:val="00F90F7B"/>
    <w:rsid w:val="00F94E23"/>
    <w:rsid w:val="00F94F36"/>
    <w:rsid w:val="00F95420"/>
    <w:rsid w:val="00F95428"/>
    <w:rsid w:val="00F95494"/>
    <w:rsid w:val="00F95D14"/>
    <w:rsid w:val="00F96280"/>
    <w:rsid w:val="00F96C10"/>
    <w:rsid w:val="00F9753B"/>
    <w:rsid w:val="00FA054E"/>
    <w:rsid w:val="00FA0D6F"/>
    <w:rsid w:val="00FA1EC0"/>
    <w:rsid w:val="00FA3468"/>
    <w:rsid w:val="00FA421D"/>
    <w:rsid w:val="00FA51C7"/>
    <w:rsid w:val="00FA5FD1"/>
    <w:rsid w:val="00FA7A54"/>
    <w:rsid w:val="00FB0B0C"/>
    <w:rsid w:val="00FB0C1A"/>
    <w:rsid w:val="00FB1721"/>
    <w:rsid w:val="00FB40E9"/>
    <w:rsid w:val="00FB5110"/>
    <w:rsid w:val="00FB6207"/>
    <w:rsid w:val="00FB7D3C"/>
    <w:rsid w:val="00FC045F"/>
    <w:rsid w:val="00FC0595"/>
    <w:rsid w:val="00FC061F"/>
    <w:rsid w:val="00FC0F5C"/>
    <w:rsid w:val="00FC1209"/>
    <w:rsid w:val="00FC3980"/>
    <w:rsid w:val="00FC67D9"/>
    <w:rsid w:val="00FC6B03"/>
    <w:rsid w:val="00FD3EE9"/>
    <w:rsid w:val="00FD4912"/>
    <w:rsid w:val="00FE051A"/>
    <w:rsid w:val="00FE1228"/>
    <w:rsid w:val="00FE1AD1"/>
    <w:rsid w:val="00FE2248"/>
    <w:rsid w:val="00FE3E89"/>
    <w:rsid w:val="00FE407F"/>
    <w:rsid w:val="00FE6B2B"/>
    <w:rsid w:val="00FF1525"/>
    <w:rsid w:val="00FF361A"/>
    <w:rsid w:val="00FF4159"/>
    <w:rsid w:val="00FF42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ZW"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C19A5"/>
    <w:pPr>
      <w:contextualSpacing/>
    </w:pPr>
  </w:style>
  <w:style w:type="paragraph" w:styleId="Header">
    <w:name w:val="header"/>
    <w:basedOn w:val="Normal"/>
    <w:link w:val="HeaderChar"/>
    <w:uiPriority w:val="99"/>
    <w:unhideWhenUsed/>
    <w:rsid w:val="00245E78"/>
    <w:pPr>
      <w:tabs>
        <w:tab w:val="center" w:pos="4513"/>
        <w:tab w:val="right" w:pos="9026"/>
      </w:tabs>
      <w:spacing w:line="240" w:lineRule="auto"/>
    </w:pPr>
  </w:style>
  <w:style w:type="character" w:customStyle="1" w:styleId="HeaderChar">
    <w:name w:val="Header Char"/>
    <w:basedOn w:val="DefaultParagraphFont"/>
    <w:link w:val="Header"/>
    <w:uiPriority w:val="99"/>
    <w:rsid w:val="00245E78"/>
  </w:style>
  <w:style w:type="paragraph" w:styleId="Footer">
    <w:name w:val="footer"/>
    <w:basedOn w:val="Normal"/>
    <w:link w:val="FooterChar"/>
    <w:uiPriority w:val="99"/>
    <w:unhideWhenUsed/>
    <w:rsid w:val="00245E78"/>
    <w:pPr>
      <w:tabs>
        <w:tab w:val="center" w:pos="4513"/>
        <w:tab w:val="right" w:pos="9026"/>
      </w:tabs>
      <w:spacing w:line="240" w:lineRule="auto"/>
    </w:pPr>
  </w:style>
  <w:style w:type="character" w:customStyle="1" w:styleId="FooterChar">
    <w:name w:val="Footer Char"/>
    <w:basedOn w:val="DefaultParagraphFont"/>
    <w:link w:val="Footer"/>
    <w:uiPriority w:val="99"/>
    <w:rsid w:val="00245E78"/>
  </w:style>
  <w:style w:type="paragraph" w:styleId="BalloonText">
    <w:name w:val="Balloon Text"/>
    <w:basedOn w:val="Normal"/>
    <w:link w:val="BalloonTextChar"/>
    <w:uiPriority w:val="99"/>
    <w:semiHidden/>
    <w:unhideWhenUsed/>
    <w:rsid w:val="0026137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61376"/>
    <w:rPr>
      <w:rFonts w:ascii="Tahoma" w:hAnsi="Tahoma" w:cs="Tahoma"/>
      <w:sz w:val="16"/>
      <w:szCs w:val="16"/>
    </w:rPr>
  </w:style>
  <w:style w:type="table" w:styleId="TableGrid">
    <w:name w:val="Table Grid"/>
    <w:basedOn w:val="TableNormal"/>
    <w:uiPriority w:val="59"/>
    <w:rsid w:val="00C0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44B"/>
    <w:rPr>
      <w:sz w:val="22"/>
      <w:szCs w:val="22"/>
      <w:lang w:eastAsia="en-US"/>
    </w:rPr>
  </w:style>
  <w:style w:type="paragraph" w:styleId="FootnoteText">
    <w:name w:val="footnote text"/>
    <w:basedOn w:val="Normal"/>
    <w:link w:val="FootnoteTextChar"/>
    <w:uiPriority w:val="99"/>
    <w:unhideWhenUsed/>
    <w:rsid w:val="00EB014E"/>
    <w:rPr>
      <w:sz w:val="20"/>
      <w:szCs w:val="20"/>
      <w:lang w:eastAsia="x-none"/>
    </w:rPr>
  </w:style>
  <w:style w:type="character" w:customStyle="1" w:styleId="FootnoteTextChar">
    <w:name w:val="Footnote Text Char"/>
    <w:link w:val="FootnoteText"/>
    <w:uiPriority w:val="99"/>
    <w:rsid w:val="00EB014E"/>
    <w:rPr>
      <w:lang w:val="en-ZW"/>
    </w:rPr>
  </w:style>
  <w:style w:type="character" w:styleId="FootnoteReference">
    <w:name w:val="footnote reference"/>
    <w:uiPriority w:val="99"/>
    <w:semiHidden/>
    <w:unhideWhenUsed/>
    <w:rsid w:val="00EB014E"/>
    <w:rPr>
      <w:vertAlign w:val="superscript"/>
    </w:rPr>
  </w:style>
  <w:style w:type="paragraph" w:styleId="EndnoteText">
    <w:name w:val="endnote text"/>
    <w:basedOn w:val="Normal"/>
    <w:link w:val="EndnoteTextChar"/>
    <w:uiPriority w:val="99"/>
    <w:semiHidden/>
    <w:unhideWhenUsed/>
    <w:rsid w:val="003C1432"/>
    <w:rPr>
      <w:sz w:val="20"/>
      <w:szCs w:val="20"/>
      <w:lang w:eastAsia="x-none"/>
    </w:rPr>
  </w:style>
  <w:style w:type="character" w:customStyle="1" w:styleId="EndnoteTextChar">
    <w:name w:val="Endnote Text Char"/>
    <w:link w:val="EndnoteText"/>
    <w:uiPriority w:val="99"/>
    <w:semiHidden/>
    <w:rsid w:val="003C1432"/>
    <w:rPr>
      <w:lang w:val="en-ZW"/>
    </w:rPr>
  </w:style>
  <w:style w:type="character" w:styleId="EndnoteReference">
    <w:name w:val="endnote reference"/>
    <w:uiPriority w:val="99"/>
    <w:semiHidden/>
    <w:unhideWhenUsed/>
    <w:rsid w:val="003C1432"/>
    <w:rPr>
      <w:vertAlign w:val="superscript"/>
    </w:rPr>
  </w:style>
  <w:style w:type="paragraph" w:customStyle="1" w:styleId="ColorfulList-Accent11">
    <w:name w:val="Colorful List - Accent 11"/>
    <w:basedOn w:val="Normal"/>
    <w:uiPriority w:val="34"/>
    <w:qFormat/>
    <w:rsid w:val="00312DFB"/>
  </w:style>
  <w:style w:type="character" w:styleId="CommentReference">
    <w:name w:val="annotation reference"/>
    <w:uiPriority w:val="99"/>
    <w:semiHidden/>
    <w:unhideWhenUsed/>
    <w:rsid w:val="00C22909"/>
    <w:rPr>
      <w:sz w:val="18"/>
      <w:szCs w:val="18"/>
    </w:rPr>
  </w:style>
  <w:style w:type="paragraph" w:styleId="CommentText">
    <w:name w:val="annotation text"/>
    <w:basedOn w:val="Normal"/>
    <w:link w:val="CommentTextChar"/>
    <w:uiPriority w:val="99"/>
    <w:semiHidden/>
    <w:unhideWhenUsed/>
    <w:rsid w:val="00C22909"/>
    <w:rPr>
      <w:sz w:val="24"/>
      <w:szCs w:val="24"/>
      <w:lang w:eastAsia="x-none"/>
    </w:rPr>
  </w:style>
  <w:style w:type="character" w:customStyle="1" w:styleId="CommentTextChar">
    <w:name w:val="Comment Text Char"/>
    <w:link w:val="CommentText"/>
    <w:uiPriority w:val="99"/>
    <w:semiHidden/>
    <w:rsid w:val="00C22909"/>
    <w:rPr>
      <w:sz w:val="24"/>
      <w:szCs w:val="24"/>
      <w:lang w:val="en-ZW"/>
    </w:rPr>
  </w:style>
  <w:style w:type="paragraph" w:styleId="CommentSubject">
    <w:name w:val="annotation subject"/>
    <w:basedOn w:val="CommentText"/>
    <w:next w:val="CommentText"/>
    <w:link w:val="CommentSubjectChar"/>
    <w:uiPriority w:val="99"/>
    <w:semiHidden/>
    <w:unhideWhenUsed/>
    <w:rsid w:val="00C22909"/>
    <w:rPr>
      <w:b/>
      <w:bCs/>
    </w:rPr>
  </w:style>
  <w:style w:type="character" w:customStyle="1" w:styleId="CommentSubjectChar">
    <w:name w:val="Comment Subject Char"/>
    <w:link w:val="CommentSubject"/>
    <w:uiPriority w:val="99"/>
    <w:semiHidden/>
    <w:rsid w:val="00C22909"/>
    <w:rPr>
      <w:b/>
      <w:bCs/>
      <w:sz w:val="24"/>
      <w:szCs w:val="24"/>
      <w:lang w:val="en-ZW"/>
    </w:rPr>
  </w:style>
  <w:style w:type="paragraph" w:styleId="ListParagraph">
    <w:name w:val="List Paragraph"/>
    <w:basedOn w:val="Normal"/>
    <w:uiPriority w:val="34"/>
    <w:qFormat/>
    <w:rsid w:val="00CB29CE"/>
  </w:style>
  <w:style w:type="paragraph" w:styleId="NormalWeb">
    <w:name w:val="Normal (Web)"/>
    <w:basedOn w:val="Normal"/>
    <w:uiPriority w:val="99"/>
    <w:semiHidden/>
    <w:unhideWhenUsed/>
    <w:rsid w:val="005C718F"/>
    <w:pPr>
      <w:spacing w:before="100" w:beforeAutospacing="1" w:after="100" w:afterAutospacing="1" w:line="240" w:lineRule="auto"/>
      <w:ind w:left="0"/>
    </w:pPr>
    <w:rPr>
      <w:rFonts w:ascii="Times New Roman" w:eastAsia="Times New Roman" w:hAnsi="Times New Roman"/>
      <w:sz w:val="24"/>
      <w:szCs w:val="24"/>
      <w:lang w:val="en-ZA" w:eastAsia="en-ZA"/>
    </w:rPr>
  </w:style>
  <w:style w:type="character" w:customStyle="1" w:styleId="apple-converted-space">
    <w:name w:val="apple-converted-space"/>
    <w:basedOn w:val="DefaultParagraphFont"/>
    <w:rsid w:val="005C7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ZW"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C19A5"/>
    <w:pPr>
      <w:contextualSpacing/>
    </w:pPr>
  </w:style>
  <w:style w:type="paragraph" w:styleId="Header">
    <w:name w:val="header"/>
    <w:basedOn w:val="Normal"/>
    <w:link w:val="HeaderChar"/>
    <w:uiPriority w:val="99"/>
    <w:unhideWhenUsed/>
    <w:rsid w:val="00245E78"/>
    <w:pPr>
      <w:tabs>
        <w:tab w:val="center" w:pos="4513"/>
        <w:tab w:val="right" w:pos="9026"/>
      </w:tabs>
      <w:spacing w:line="240" w:lineRule="auto"/>
    </w:pPr>
  </w:style>
  <w:style w:type="character" w:customStyle="1" w:styleId="HeaderChar">
    <w:name w:val="Header Char"/>
    <w:basedOn w:val="DefaultParagraphFont"/>
    <w:link w:val="Header"/>
    <w:uiPriority w:val="99"/>
    <w:rsid w:val="00245E78"/>
  </w:style>
  <w:style w:type="paragraph" w:styleId="Footer">
    <w:name w:val="footer"/>
    <w:basedOn w:val="Normal"/>
    <w:link w:val="FooterChar"/>
    <w:uiPriority w:val="99"/>
    <w:unhideWhenUsed/>
    <w:rsid w:val="00245E78"/>
    <w:pPr>
      <w:tabs>
        <w:tab w:val="center" w:pos="4513"/>
        <w:tab w:val="right" w:pos="9026"/>
      </w:tabs>
      <w:spacing w:line="240" w:lineRule="auto"/>
    </w:pPr>
  </w:style>
  <w:style w:type="character" w:customStyle="1" w:styleId="FooterChar">
    <w:name w:val="Footer Char"/>
    <w:basedOn w:val="DefaultParagraphFont"/>
    <w:link w:val="Footer"/>
    <w:uiPriority w:val="99"/>
    <w:rsid w:val="00245E78"/>
  </w:style>
  <w:style w:type="paragraph" w:styleId="BalloonText">
    <w:name w:val="Balloon Text"/>
    <w:basedOn w:val="Normal"/>
    <w:link w:val="BalloonTextChar"/>
    <w:uiPriority w:val="99"/>
    <w:semiHidden/>
    <w:unhideWhenUsed/>
    <w:rsid w:val="0026137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61376"/>
    <w:rPr>
      <w:rFonts w:ascii="Tahoma" w:hAnsi="Tahoma" w:cs="Tahoma"/>
      <w:sz w:val="16"/>
      <w:szCs w:val="16"/>
    </w:rPr>
  </w:style>
  <w:style w:type="table" w:styleId="TableGrid">
    <w:name w:val="Table Grid"/>
    <w:basedOn w:val="TableNormal"/>
    <w:uiPriority w:val="59"/>
    <w:rsid w:val="00C0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44B"/>
    <w:rPr>
      <w:sz w:val="22"/>
      <w:szCs w:val="22"/>
      <w:lang w:eastAsia="en-US"/>
    </w:rPr>
  </w:style>
  <w:style w:type="paragraph" w:styleId="FootnoteText">
    <w:name w:val="footnote text"/>
    <w:basedOn w:val="Normal"/>
    <w:link w:val="FootnoteTextChar"/>
    <w:uiPriority w:val="99"/>
    <w:unhideWhenUsed/>
    <w:rsid w:val="00EB014E"/>
    <w:rPr>
      <w:sz w:val="20"/>
      <w:szCs w:val="20"/>
      <w:lang w:eastAsia="x-none"/>
    </w:rPr>
  </w:style>
  <w:style w:type="character" w:customStyle="1" w:styleId="FootnoteTextChar">
    <w:name w:val="Footnote Text Char"/>
    <w:link w:val="FootnoteText"/>
    <w:uiPriority w:val="99"/>
    <w:rsid w:val="00EB014E"/>
    <w:rPr>
      <w:lang w:val="en-ZW"/>
    </w:rPr>
  </w:style>
  <w:style w:type="character" w:styleId="FootnoteReference">
    <w:name w:val="footnote reference"/>
    <w:uiPriority w:val="99"/>
    <w:semiHidden/>
    <w:unhideWhenUsed/>
    <w:rsid w:val="00EB014E"/>
    <w:rPr>
      <w:vertAlign w:val="superscript"/>
    </w:rPr>
  </w:style>
  <w:style w:type="paragraph" w:styleId="EndnoteText">
    <w:name w:val="endnote text"/>
    <w:basedOn w:val="Normal"/>
    <w:link w:val="EndnoteTextChar"/>
    <w:uiPriority w:val="99"/>
    <w:semiHidden/>
    <w:unhideWhenUsed/>
    <w:rsid w:val="003C1432"/>
    <w:rPr>
      <w:sz w:val="20"/>
      <w:szCs w:val="20"/>
      <w:lang w:eastAsia="x-none"/>
    </w:rPr>
  </w:style>
  <w:style w:type="character" w:customStyle="1" w:styleId="EndnoteTextChar">
    <w:name w:val="Endnote Text Char"/>
    <w:link w:val="EndnoteText"/>
    <w:uiPriority w:val="99"/>
    <w:semiHidden/>
    <w:rsid w:val="003C1432"/>
    <w:rPr>
      <w:lang w:val="en-ZW"/>
    </w:rPr>
  </w:style>
  <w:style w:type="character" w:styleId="EndnoteReference">
    <w:name w:val="endnote reference"/>
    <w:uiPriority w:val="99"/>
    <w:semiHidden/>
    <w:unhideWhenUsed/>
    <w:rsid w:val="003C1432"/>
    <w:rPr>
      <w:vertAlign w:val="superscript"/>
    </w:rPr>
  </w:style>
  <w:style w:type="paragraph" w:customStyle="1" w:styleId="ColorfulList-Accent11">
    <w:name w:val="Colorful List - Accent 11"/>
    <w:basedOn w:val="Normal"/>
    <w:uiPriority w:val="34"/>
    <w:qFormat/>
    <w:rsid w:val="00312DFB"/>
  </w:style>
  <w:style w:type="character" w:styleId="CommentReference">
    <w:name w:val="annotation reference"/>
    <w:uiPriority w:val="99"/>
    <w:semiHidden/>
    <w:unhideWhenUsed/>
    <w:rsid w:val="00C22909"/>
    <w:rPr>
      <w:sz w:val="18"/>
      <w:szCs w:val="18"/>
    </w:rPr>
  </w:style>
  <w:style w:type="paragraph" w:styleId="CommentText">
    <w:name w:val="annotation text"/>
    <w:basedOn w:val="Normal"/>
    <w:link w:val="CommentTextChar"/>
    <w:uiPriority w:val="99"/>
    <w:semiHidden/>
    <w:unhideWhenUsed/>
    <w:rsid w:val="00C22909"/>
    <w:rPr>
      <w:sz w:val="24"/>
      <w:szCs w:val="24"/>
      <w:lang w:eastAsia="x-none"/>
    </w:rPr>
  </w:style>
  <w:style w:type="character" w:customStyle="1" w:styleId="CommentTextChar">
    <w:name w:val="Comment Text Char"/>
    <w:link w:val="CommentText"/>
    <w:uiPriority w:val="99"/>
    <w:semiHidden/>
    <w:rsid w:val="00C22909"/>
    <w:rPr>
      <w:sz w:val="24"/>
      <w:szCs w:val="24"/>
      <w:lang w:val="en-ZW"/>
    </w:rPr>
  </w:style>
  <w:style w:type="paragraph" w:styleId="CommentSubject">
    <w:name w:val="annotation subject"/>
    <w:basedOn w:val="CommentText"/>
    <w:next w:val="CommentText"/>
    <w:link w:val="CommentSubjectChar"/>
    <w:uiPriority w:val="99"/>
    <w:semiHidden/>
    <w:unhideWhenUsed/>
    <w:rsid w:val="00C22909"/>
    <w:rPr>
      <w:b/>
      <w:bCs/>
    </w:rPr>
  </w:style>
  <w:style w:type="character" w:customStyle="1" w:styleId="CommentSubjectChar">
    <w:name w:val="Comment Subject Char"/>
    <w:link w:val="CommentSubject"/>
    <w:uiPriority w:val="99"/>
    <w:semiHidden/>
    <w:rsid w:val="00C22909"/>
    <w:rPr>
      <w:b/>
      <w:bCs/>
      <w:sz w:val="24"/>
      <w:szCs w:val="24"/>
      <w:lang w:val="en-ZW"/>
    </w:rPr>
  </w:style>
  <w:style w:type="paragraph" w:styleId="ListParagraph">
    <w:name w:val="List Paragraph"/>
    <w:basedOn w:val="Normal"/>
    <w:uiPriority w:val="34"/>
    <w:qFormat/>
    <w:rsid w:val="00CB29CE"/>
  </w:style>
  <w:style w:type="paragraph" w:styleId="NormalWeb">
    <w:name w:val="Normal (Web)"/>
    <w:basedOn w:val="Normal"/>
    <w:uiPriority w:val="99"/>
    <w:semiHidden/>
    <w:unhideWhenUsed/>
    <w:rsid w:val="005C718F"/>
    <w:pPr>
      <w:spacing w:before="100" w:beforeAutospacing="1" w:after="100" w:afterAutospacing="1" w:line="240" w:lineRule="auto"/>
      <w:ind w:left="0"/>
    </w:pPr>
    <w:rPr>
      <w:rFonts w:ascii="Times New Roman" w:eastAsia="Times New Roman" w:hAnsi="Times New Roman"/>
      <w:sz w:val="24"/>
      <w:szCs w:val="24"/>
      <w:lang w:val="en-ZA" w:eastAsia="en-ZA"/>
    </w:rPr>
  </w:style>
  <w:style w:type="character" w:customStyle="1" w:styleId="apple-converted-space">
    <w:name w:val="apple-converted-space"/>
    <w:basedOn w:val="DefaultParagraphFont"/>
    <w:rsid w:val="005C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78060">
      <w:bodyDiv w:val="1"/>
      <w:marLeft w:val="0"/>
      <w:marRight w:val="0"/>
      <w:marTop w:val="0"/>
      <w:marBottom w:val="0"/>
      <w:divBdr>
        <w:top w:val="none" w:sz="0" w:space="0" w:color="auto"/>
        <w:left w:val="none" w:sz="0" w:space="0" w:color="auto"/>
        <w:bottom w:val="none" w:sz="0" w:space="0" w:color="auto"/>
        <w:right w:val="none" w:sz="0" w:space="0" w:color="auto"/>
      </w:divBdr>
    </w:div>
    <w:div w:id="1717974392">
      <w:bodyDiv w:val="1"/>
      <w:marLeft w:val="0"/>
      <w:marRight w:val="0"/>
      <w:marTop w:val="0"/>
      <w:marBottom w:val="0"/>
      <w:divBdr>
        <w:top w:val="none" w:sz="0" w:space="0" w:color="auto"/>
        <w:left w:val="none" w:sz="0" w:space="0" w:color="auto"/>
        <w:bottom w:val="none" w:sz="0" w:space="0" w:color="auto"/>
        <w:right w:val="none" w:sz="0" w:space="0" w:color="auto"/>
      </w:divBdr>
    </w:div>
    <w:div w:id="2005667650">
      <w:bodyDiv w:val="1"/>
      <w:marLeft w:val="0"/>
      <w:marRight w:val="0"/>
      <w:marTop w:val="0"/>
      <w:marBottom w:val="0"/>
      <w:divBdr>
        <w:top w:val="none" w:sz="0" w:space="0" w:color="auto"/>
        <w:left w:val="none" w:sz="0" w:space="0" w:color="auto"/>
        <w:bottom w:val="none" w:sz="0" w:space="0" w:color="auto"/>
        <w:right w:val="none" w:sz="0" w:space="0" w:color="auto"/>
      </w:divBdr>
      <w:divsChild>
        <w:div w:id="547955902">
          <w:marLeft w:val="0"/>
          <w:marRight w:val="0"/>
          <w:marTop w:val="0"/>
          <w:marBottom w:val="225"/>
          <w:divBdr>
            <w:top w:val="single" w:sz="24" w:space="0" w:color="auto"/>
            <w:left w:val="single" w:sz="24" w:space="0" w:color="auto"/>
            <w:bottom w:val="single" w:sz="36" w:space="0" w:color="003300"/>
            <w:right w:val="single" w:sz="24" w:space="0" w:color="auto"/>
          </w:divBdr>
        </w:div>
        <w:div w:id="495338230">
          <w:marLeft w:val="0"/>
          <w:marRight w:val="0"/>
          <w:marTop w:val="0"/>
          <w:marBottom w:val="0"/>
          <w:divBdr>
            <w:top w:val="none" w:sz="0" w:space="0" w:color="auto"/>
            <w:left w:val="none" w:sz="0" w:space="0" w:color="auto"/>
            <w:bottom w:val="none" w:sz="0" w:space="0" w:color="auto"/>
            <w:right w:val="none" w:sz="0" w:space="0" w:color="auto"/>
          </w:divBdr>
          <w:divsChild>
            <w:div w:id="638999499">
              <w:marLeft w:val="0"/>
              <w:marRight w:val="0"/>
              <w:marTop w:val="0"/>
              <w:marBottom w:val="0"/>
              <w:divBdr>
                <w:top w:val="none" w:sz="0" w:space="0" w:color="auto"/>
                <w:left w:val="none" w:sz="0" w:space="0" w:color="auto"/>
                <w:bottom w:val="none" w:sz="0" w:space="0" w:color="auto"/>
                <w:right w:val="none" w:sz="0" w:space="0" w:color="auto"/>
              </w:divBdr>
              <w:divsChild>
                <w:div w:id="1073041421">
                  <w:marLeft w:val="0"/>
                  <w:marRight w:val="0"/>
                  <w:marTop w:val="0"/>
                  <w:marBottom w:val="0"/>
                  <w:divBdr>
                    <w:top w:val="none" w:sz="0" w:space="0" w:color="auto"/>
                    <w:left w:val="none" w:sz="0" w:space="0" w:color="auto"/>
                    <w:bottom w:val="none" w:sz="0" w:space="0" w:color="auto"/>
                    <w:right w:val="none" w:sz="0" w:space="0" w:color="auto"/>
                  </w:divBdr>
                  <w:divsChild>
                    <w:div w:id="20780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2016-11-28T18:30:00+00:00</Judgment_x0020_Date>
    <Year xmlns="63bdd487-88aa-4c54-b893-ddaa81ed2e7c">2016</Year>
  </documentManagement>
</p:properties>
</file>

<file path=customXml/itemProps1.xml><?xml version="1.0" encoding="utf-8"?>
<ds:datastoreItem xmlns:ds="http://schemas.openxmlformats.org/officeDocument/2006/customXml" ds:itemID="{44157C12-AB89-4FB5-9D3F-5217FD5F4811}"/>
</file>

<file path=customXml/itemProps2.xml><?xml version="1.0" encoding="utf-8"?>
<ds:datastoreItem xmlns:ds="http://schemas.openxmlformats.org/officeDocument/2006/customXml" ds:itemID="{7D38F626-25F9-4B4F-8D1B-CC63141FD1D5}"/>
</file>

<file path=customXml/itemProps3.xml><?xml version="1.0" encoding="utf-8"?>
<ds:datastoreItem xmlns:ds="http://schemas.openxmlformats.org/officeDocument/2006/customXml" ds:itemID="{7F560C3C-A6ED-42C6-95C9-806BDB2A9F71}"/>
</file>

<file path=customXml/itemProps4.xml><?xml version="1.0" encoding="utf-8"?>
<ds:datastoreItem xmlns:ds="http://schemas.openxmlformats.org/officeDocument/2006/customXml" ds:itemID="{9A733E6A-49F4-4506-B15A-C78BA03479F0}"/>
</file>

<file path=docProps/app.xml><?xml version="1.0" encoding="utf-8"?>
<Properties xmlns="http://schemas.openxmlformats.org/officeDocument/2006/extended-properties" xmlns:vt="http://schemas.openxmlformats.org/officeDocument/2006/docPropsVTypes">
  <Template>Normal</Template>
  <TotalTime>0</TotalTime>
  <Pages>29</Pages>
  <Words>5965</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dc:creator>
  <cp:lastModifiedBy>User</cp:lastModifiedBy>
  <cp:revision>2</cp:revision>
  <cp:lastPrinted>2016-11-28T08:30:00Z</cp:lastPrinted>
  <dcterms:created xsi:type="dcterms:W3CDTF">2016-11-30T09:10:00Z</dcterms:created>
  <dcterms:modified xsi:type="dcterms:W3CDTF">2016-11-30T09:10:00Z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