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4C" w:rsidRDefault="0066324C" w:rsidP="0066324C">
      <w:pPr>
        <w:pStyle w:val="MediumGrid21"/>
        <w:spacing w:line="480" w:lineRule="auto"/>
        <w:jc w:val="center"/>
        <w:rPr>
          <w:rStyle w:val="PageNumber"/>
          <w:rFonts w:ascii="Arial" w:hAnsi="Arial"/>
          <w:b/>
          <w:bCs/>
          <w:sz w:val="24"/>
          <w:szCs w:val="24"/>
        </w:rPr>
      </w:pPr>
      <w:bookmarkStart w:id="0" w:name="_GoBack"/>
      <w:bookmarkEnd w:id="0"/>
      <w:r w:rsidRPr="006C3013">
        <w:rPr>
          <w:noProof/>
        </w:rPr>
        <w:drawing>
          <wp:anchor distT="0" distB="0" distL="114300" distR="114300" simplePos="0" relativeHeight="251661312" behindDoc="0" locked="0" layoutInCell="1" allowOverlap="1" wp14:anchorId="269378D2" wp14:editId="028EE2CA">
            <wp:simplePos x="0" y="0"/>
            <wp:positionH relativeFrom="page">
              <wp:posOffset>2895600</wp:posOffset>
            </wp:positionH>
            <wp:positionV relativeFrom="margin">
              <wp:posOffset>-714375</wp:posOffset>
            </wp:positionV>
            <wp:extent cx="1457325" cy="1533525"/>
            <wp:effectExtent l="0" t="0" r="9525" b="9525"/>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57325" cy="153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324C" w:rsidRDefault="0066324C" w:rsidP="0066324C">
      <w:pPr>
        <w:pStyle w:val="MediumGrid21"/>
        <w:spacing w:line="480" w:lineRule="auto"/>
        <w:jc w:val="center"/>
        <w:rPr>
          <w:rStyle w:val="PageNumber"/>
          <w:rFonts w:ascii="Arial" w:hAnsi="Arial"/>
          <w:b/>
          <w:bCs/>
          <w:sz w:val="24"/>
          <w:szCs w:val="24"/>
        </w:rPr>
      </w:pPr>
    </w:p>
    <w:p w:rsidR="0066324C" w:rsidRDefault="0066324C" w:rsidP="0066324C">
      <w:pPr>
        <w:pStyle w:val="MediumGrid21"/>
        <w:spacing w:line="480" w:lineRule="auto"/>
        <w:jc w:val="center"/>
        <w:rPr>
          <w:rStyle w:val="PageNumber"/>
          <w:rFonts w:ascii="Arial" w:hAnsi="Arial"/>
          <w:b/>
          <w:bCs/>
          <w:sz w:val="24"/>
          <w:szCs w:val="24"/>
        </w:rPr>
      </w:pPr>
    </w:p>
    <w:p w:rsidR="002A2CB2" w:rsidRDefault="00AC4A75" w:rsidP="0066324C">
      <w:pPr>
        <w:pStyle w:val="MediumGrid21"/>
        <w:tabs>
          <w:tab w:val="left" w:pos="3119"/>
        </w:tabs>
        <w:jc w:val="right"/>
        <w:rPr>
          <w:rStyle w:val="PageNumber"/>
          <w:rFonts w:ascii="Arial" w:hAnsi="Arial"/>
          <w:b/>
          <w:bCs/>
          <w:sz w:val="24"/>
          <w:szCs w:val="24"/>
        </w:rPr>
      </w:pPr>
      <w:r>
        <w:rPr>
          <w:rStyle w:val="PageNumber"/>
          <w:rFonts w:ascii="Arial" w:hAnsi="Arial"/>
          <w:b/>
          <w:bCs/>
          <w:sz w:val="24"/>
          <w:szCs w:val="24"/>
        </w:rPr>
        <w:t xml:space="preserve">    </w:t>
      </w:r>
      <w:r w:rsidR="0066324C">
        <w:rPr>
          <w:rStyle w:val="PageNumber"/>
          <w:rFonts w:ascii="Arial" w:hAnsi="Arial"/>
          <w:b/>
          <w:bCs/>
          <w:sz w:val="24"/>
          <w:szCs w:val="24"/>
        </w:rPr>
        <w:t>REPORTABLE</w:t>
      </w:r>
    </w:p>
    <w:p w:rsidR="002A2CB2" w:rsidRDefault="00AC4A75" w:rsidP="0066324C">
      <w:pPr>
        <w:pStyle w:val="MediumGrid21"/>
        <w:tabs>
          <w:tab w:val="left" w:pos="3119"/>
        </w:tabs>
        <w:jc w:val="right"/>
        <w:rPr>
          <w:rStyle w:val="PageNumber"/>
          <w:rFonts w:ascii="Arial" w:hAnsi="Arial"/>
          <w:sz w:val="24"/>
          <w:szCs w:val="24"/>
        </w:rPr>
      </w:pPr>
      <w:r>
        <w:rPr>
          <w:rStyle w:val="PageNumber"/>
          <w:rFonts w:ascii="Arial" w:hAnsi="Arial"/>
          <w:sz w:val="24"/>
          <w:szCs w:val="24"/>
        </w:rPr>
        <w:t>CASE NO: SA 8/2014</w:t>
      </w:r>
    </w:p>
    <w:p w:rsidR="0066324C" w:rsidRDefault="0066324C" w:rsidP="0066324C">
      <w:pPr>
        <w:pStyle w:val="MediumGrid21"/>
        <w:tabs>
          <w:tab w:val="left" w:pos="3119"/>
        </w:tabs>
        <w:jc w:val="right"/>
        <w:rPr>
          <w:rStyle w:val="PageNumber"/>
          <w:rFonts w:ascii="Arial" w:eastAsia="Arial" w:hAnsi="Arial" w:cs="Arial"/>
          <w:sz w:val="24"/>
          <w:szCs w:val="24"/>
        </w:rPr>
      </w:pP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 xml:space="preserve">IN THE SUPREME COURT OF NAMIBIA </w:t>
      </w:r>
    </w:p>
    <w:p w:rsidR="002A2CB2" w:rsidRDefault="002A2CB2">
      <w:pPr>
        <w:pStyle w:val="MediumGrid21"/>
        <w:spacing w:line="480" w:lineRule="auto"/>
        <w:rPr>
          <w:rFonts w:ascii="Arial" w:eastAsia="Arial" w:hAnsi="Arial" w:cs="Arial"/>
          <w:sz w:val="24"/>
          <w:szCs w:val="24"/>
        </w:rPr>
      </w:pPr>
    </w:p>
    <w:p w:rsidR="002A2CB2" w:rsidRDefault="00AC4A75">
      <w:pPr>
        <w:pStyle w:val="MediumGrid21"/>
        <w:spacing w:line="480" w:lineRule="auto"/>
        <w:rPr>
          <w:rStyle w:val="PageNumber"/>
          <w:rFonts w:ascii="Arial" w:eastAsia="Arial" w:hAnsi="Arial" w:cs="Arial"/>
          <w:sz w:val="24"/>
          <w:szCs w:val="24"/>
        </w:rPr>
      </w:pPr>
      <w:r>
        <w:rPr>
          <w:rStyle w:val="PageNumber"/>
          <w:rFonts w:ascii="Arial" w:hAnsi="Arial"/>
          <w:sz w:val="24"/>
          <w:szCs w:val="24"/>
        </w:rPr>
        <w:t>In the matter between:</w:t>
      </w:r>
    </w:p>
    <w:p w:rsidR="002A2CB2" w:rsidRDefault="002A2CB2">
      <w:pPr>
        <w:pStyle w:val="MediumGrid21"/>
        <w:spacing w:line="480" w:lineRule="auto"/>
        <w:rPr>
          <w:rFonts w:ascii="Arial" w:eastAsia="Arial" w:hAnsi="Arial" w:cs="Arial"/>
          <w:sz w:val="24"/>
          <w:szCs w:val="24"/>
        </w:rPr>
      </w:pP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 xml:space="preserve">NEW ERA INVESTMENT (PTY) LTD </w:t>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t xml:space="preserve">        </w:t>
      </w:r>
      <w:r w:rsidR="00861B95">
        <w:rPr>
          <w:rStyle w:val="PageNumber"/>
          <w:rFonts w:ascii="Arial" w:hAnsi="Arial"/>
          <w:b/>
          <w:bCs/>
          <w:sz w:val="24"/>
          <w:szCs w:val="24"/>
        </w:rPr>
        <w:t xml:space="preserve">   </w:t>
      </w:r>
      <w:r>
        <w:rPr>
          <w:rStyle w:val="PageNumber"/>
          <w:rFonts w:ascii="Arial" w:hAnsi="Arial"/>
          <w:b/>
          <w:bCs/>
          <w:sz w:val="24"/>
          <w:szCs w:val="24"/>
        </w:rPr>
        <w:t xml:space="preserve">  </w:t>
      </w:r>
      <w:r w:rsidR="00861B95">
        <w:rPr>
          <w:rStyle w:val="PageNumber"/>
          <w:rFonts w:ascii="Arial" w:hAnsi="Arial"/>
          <w:b/>
          <w:bCs/>
          <w:sz w:val="24"/>
          <w:szCs w:val="24"/>
        </w:rPr>
        <w:t xml:space="preserve">  </w:t>
      </w:r>
      <w:r>
        <w:rPr>
          <w:rStyle w:val="PageNumber"/>
          <w:rFonts w:ascii="Arial" w:hAnsi="Arial"/>
          <w:b/>
          <w:bCs/>
          <w:sz w:val="24"/>
          <w:szCs w:val="24"/>
        </w:rPr>
        <w:t>A</w:t>
      </w:r>
      <w:r w:rsidR="00C476F6">
        <w:rPr>
          <w:rStyle w:val="PageNumber"/>
          <w:rFonts w:ascii="Arial" w:hAnsi="Arial"/>
          <w:b/>
          <w:bCs/>
          <w:sz w:val="24"/>
          <w:szCs w:val="24"/>
        </w:rPr>
        <w:t>ppellant</w:t>
      </w:r>
    </w:p>
    <w:p w:rsidR="002A2CB2" w:rsidRDefault="002A2CB2">
      <w:pPr>
        <w:pStyle w:val="MediumGrid21"/>
        <w:spacing w:line="480" w:lineRule="auto"/>
        <w:rPr>
          <w:rFonts w:ascii="Arial" w:eastAsia="Arial" w:hAnsi="Arial" w:cs="Arial"/>
          <w:sz w:val="24"/>
          <w:szCs w:val="24"/>
        </w:rPr>
      </w:pPr>
    </w:p>
    <w:p w:rsidR="002A2CB2" w:rsidRDefault="00AC4A75">
      <w:pPr>
        <w:pStyle w:val="MediumGrid21"/>
        <w:spacing w:line="480" w:lineRule="auto"/>
        <w:rPr>
          <w:rStyle w:val="PageNumber"/>
          <w:rFonts w:ascii="Arial" w:eastAsia="Arial" w:hAnsi="Arial" w:cs="Arial"/>
          <w:sz w:val="24"/>
          <w:szCs w:val="24"/>
        </w:rPr>
      </w:pPr>
      <w:r>
        <w:rPr>
          <w:rStyle w:val="PageNumber"/>
          <w:rFonts w:ascii="Arial" w:hAnsi="Arial"/>
          <w:sz w:val="24"/>
          <w:szCs w:val="24"/>
        </w:rPr>
        <w:t>and</w:t>
      </w:r>
    </w:p>
    <w:p w:rsidR="002A2CB2" w:rsidRDefault="002A2CB2">
      <w:pPr>
        <w:pStyle w:val="MediumGrid21"/>
        <w:spacing w:line="480" w:lineRule="auto"/>
        <w:rPr>
          <w:rFonts w:ascii="Arial" w:eastAsia="Arial" w:hAnsi="Arial" w:cs="Arial"/>
          <w:sz w:val="24"/>
          <w:szCs w:val="24"/>
        </w:rPr>
      </w:pP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 xml:space="preserve">THE ROADS AUTHORITY </w:t>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t xml:space="preserve">      </w:t>
      </w:r>
      <w:r w:rsidR="00C476F6">
        <w:rPr>
          <w:rStyle w:val="PageNumber"/>
          <w:rFonts w:ascii="Arial" w:hAnsi="Arial"/>
          <w:b/>
          <w:bCs/>
          <w:sz w:val="24"/>
          <w:szCs w:val="24"/>
        </w:rPr>
        <w:t xml:space="preserve">       </w:t>
      </w:r>
      <w:r w:rsidR="00C476F6" w:rsidRPr="00C476F6">
        <w:rPr>
          <w:rStyle w:val="PageNumber"/>
          <w:rFonts w:ascii="Arial" w:hAnsi="Arial"/>
          <w:b/>
          <w:bCs/>
          <w:sz w:val="24"/>
          <w:szCs w:val="24"/>
        </w:rPr>
        <w:t>First Respondent</w:t>
      </w: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THE CHAIRPERSON OF THE BOARD</w:t>
      </w:r>
      <w:r w:rsidR="0066324C">
        <w:rPr>
          <w:rStyle w:val="PageNumber"/>
          <w:rFonts w:ascii="Arial" w:hAnsi="Arial"/>
          <w:b/>
          <w:bCs/>
          <w:sz w:val="24"/>
          <w:szCs w:val="24"/>
        </w:rPr>
        <w:t xml:space="preserve">  </w:t>
      </w:r>
      <w:r w:rsidR="0066324C">
        <w:rPr>
          <w:rStyle w:val="PageNumber"/>
          <w:rFonts w:ascii="Arial" w:hAnsi="Arial"/>
          <w:b/>
          <w:bCs/>
          <w:sz w:val="24"/>
          <w:szCs w:val="24"/>
        </w:rPr>
        <w:tab/>
      </w:r>
      <w:r w:rsidR="0066324C">
        <w:rPr>
          <w:rStyle w:val="PageNumber"/>
          <w:rFonts w:ascii="Arial" w:hAnsi="Arial"/>
          <w:b/>
          <w:bCs/>
          <w:sz w:val="24"/>
          <w:szCs w:val="24"/>
        </w:rPr>
        <w:tab/>
      </w:r>
      <w:r w:rsidR="0066324C">
        <w:rPr>
          <w:rStyle w:val="PageNumber"/>
          <w:rFonts w:ascii="Arial" w:hAnsi="Arial"/>
          <w:b/>
          <w:bCs/>
          <w:sz w:val="24"/>
          <w:szCs w:val="24"/>
        </w:rPr>
        <w:tab/>
      </w: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OF DIRECTORS – ROAD</w:t>
      </w:r>
      <w:r w:rsidR="00861B95">
        <w:rPr>
          <w:rStyle w:val="PageNumber"/>
          <w:rFonts w:ascii="Arial" w:hAnsi="Arial"/>
          <w:b/>
          <w:bCs/>
          <w:sz w:val="24"/>
          <w:szCs w:val="24"/>
        </w:rPr>
        <w:t>S</w:t>
      </w:r>
      <w:r>
        <w:rPr>
          <w:rStyle w:val="PageNumber"/>
          <w:rFonts w:ascii="Arial" w:hAnsi="Arial"/>
          <w:b/>
          <w:bCs/>
          <w:sz w:val="24"/>
          <w:szCs w:val="24"/>
        </w:rPr>
        <w:t xml:space="preserve"> AUTHORITY </w:t>
      </w:r>
      <w:r>
        <w:rPr>
          <w:rStyle w:val="PageNumber"/>
          <w:rFonts w:ascii="Arial" w:hAnsi="Arial"/>
          <w:b/>
          <w:bCs/>
          <w:sz w:val="24"/>
          <w:szCs w:val="24"/>
        </w:rPr>
        <w:tab/>
      </w:r>
      <w:r>
        <w:rPr>
          <w:rStyle w:val="PageNumber"/>
          <w:rFonts w:ascii="Arial" w:hAnsi="Arial"/>
          <w:b/>
          <w:bCs/>
          <w:sz w:val="24"/>
          <w:szCs w:val="24"/>
        </w:rPr>
        <w:tab/>
      </w:r>
      <w:r w:rsidR="00861B95">
        <w:rPr>
          <w:rStyle w:val="PageNumber"/>
          <w:rFonts w:ascii="Arial" w:hAnsi="Arial"/>
          <w:b/>
          <w:bCs/>
          <w:sz w:val="24"/>
          <w:szCs w:val="24"/>
        </w:rPr>
        <w:t xml:space="preserve">                   Second Respondent</w:t>
      </w: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 xml:space="preserve">CHINA JIANGSU JV OTJOMUISE </w:t>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b/>
          <w:bCs/>
          <w:sz w:val="24"/>
          <w:szCs w:val="24"/>
        </w:rPr>
        <w:tab/>
        <w:t xml:space="preserve">      </w:t>
      </w:r>
      <w:r w:rsidR="00861B95">
        <w:rPr>
          <w:rStyle w:val="PageNumber"/>
          <w:rFonts w:ascii="Arial" w:hAnsi="Arial"/>
          <w:b/>
          <w:bCs/>
          <w:sz w:val="24"/>
          <w:szCs w:val="24"/>
        </w:rPr>
        <w:t xml:space="preserve">      </w:t>
      </w:r>
      <w:r w:rsidR="0066324C">
        <w:rPr>
          <w:rStyle w:val="PageNumber"/>
          <w:rFonts w:ascii="Arial" w:hAnsi="Arial"/>
          <w:b/>
          <w:bCs/>
          <w:sz w:val="24"/>
          <w:szCs w:val="24"/>
        </w:rPr>
        <w:t>Third Respondent</w:t>
      </w: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CHINA JI</w:t>
      </w:r>
      <w:r w:rsidR="00861B95">
        <w:rPr>
          <w:rStyle w:val="PageNumber"/>
          <w:rFonts w:ascii="Arial" w:hAnsi="Arial"/>
          <w:b/>
          <w:bCs/>
          <w:sz w:val="24"/>
          <w:szCs w:val="24"/>
        </w:rPr>
        <w:t>N</w:t>
      </w:r>
      <w:r>
        <w:rPr>
          <w:rStyle w:val="PageNumber"/>
          <w:rFonts w:ascii="Arial" w:hAnsi="Arial"/>
          <w:b/>
          <w:bCs/>
          <w:sz w:val="24"/>
          <w:szCs w:val="24"/>
        </w:rPr>
        <w:t xml:space="preserve">GXI INTERNATIONAL (PTY) LTD </w:t>
      </w:r>
      <w:r>
        <w:rPr>
          <w:rStyle w:val="PageNumber"/>
          <w:rFonts w:ascii="Arial" w:hAnsi="Arial"/>
          <w:b/>
          <w:bCs/>
          <w:sz w:val="24"/>
          <w:szCs w:val="24"/>
        </w:rPr>
        <w:tab/>
      </w:r>
      <w:r>
        <w:rPr>
          <w:rStyle w:val="PageNumber"/>
          <w:rFonts w:ascii="Arial" w:hAnsi="Arial"/>
          <w:b/>
          <w:bCs/>
          <w:sz w:val="24"/>
          <w:szCs w:val="24"/>
        </w:rPr>
        <w:tab/>
      </w:r>
      <w:r w:rsidR="00F4539C">
        <w:rPr>
          <w:rStyle w:val="PageNumber"/>
          <w:rFonts w:ascii="Arial" w:hAnsi="Arial"/>
          <w:b/>
          <w:bCs/>
          <w:sz w:val="24"/>
          <w:szCs w:val="24"/>
        </w:rPr>
        <w:tab/>
        <w:t xml:space="preserve"> </w:t>
      </w:r>
      <w:r w:rsidR="00861B95">
        <w:rPr>
          <w:rStyle w:val="PageNumber"/>
          <w:rFonts w:ascii="Arial" w:hAnsi="Arial"/>
          <w:b/>
          <w:bCs/>
          <w:sz w:val="24"/>
          <w:szCs w:val="24"/>
        </w:rPr>
        <w:t xml:space="preserve">         </w:t>
      </w:r>
      <w:r w:rsidR="0066324C">
        <w:rPr>
          <w:rStyle w:val="PageNumber"/>
          <w:rFonts w:ascii="Arial" w:hAnsi="Arial"/>
          <w:b/>
          <w:bCs/>
          <w:sz w:val="24"/>
          <w:szCs w:val="24"/>
        </w:rPr>
        <w:t>Fourth Respondent</w:t>
      </w: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 xml:space="preserve">NAMIBIA CONSTRUCTION (PTY) LTD </w:t>
      </w:r>
      <w:r>
        <w:rPr>
          <w:rStyle w:val="PageNumber"/>
          <w:rFonts w:ascii="Arial" w:hAnsi="Arial"/>
          <w:b/>
          <w:bCs/>
          <w:sz w:val="24"/>
          <w:szCs w:val="24"/>
        </w:rPr>
        <w:tab/>
      </w:r>
      <w:r>
        <w:rPr>
          <w:rStyle w:val="PageNumber"/>
          <w:rFonts w:ascii="Arial" w:hAnsi="Arial"/>
          <w:b/>
          <w:bCs/>
          <w:sz w:val="24"/>
          <w:szCs w:val="24"/>
        </w:rPr>
        <w:tab/>
        <w:t xml:space="preserve">                </w:t>
      </w:r>
      <w:r w:rsidR="00A91F77">
        <w:rPr>
          <w:rStyle w:val="PageNumber"/>
          <w:rFonts w:ascii="Arial" w:hAnsi="Arial"/>
          <w:b/>
          <w:bCs/>
          <w:sz w:val="24"/>
          <w:szCs w:val="24"/>
        </w:rPr>
        <w:t xml:space="preserve">        </w:t>
      </w:r>
      <w:r w:rsidR="0066324C">
        <w:rPr>
          <w:rStyle w:val="PageNumber"/>
          <w:rFonts w:ascii="Arial" w:hAnsi="Arial"/>
          <w:b/>
          <w:bCs/>
          <w:sz w:val="24"/>
          <w:szCs w:val="24"/>
        </w:rPr>
        <w:t xml:space="preserve">           Fifth Respondent</w:t>
      </w:r>
    </w:p>
    <w:p w:rsidR="002A2CB2" w:rsidRDefault="002A2CB2">
      <w:pPr>
        <w:pStyle w:val="MediumGrid21"/>
        <w:spacing w:line="480" w:lineRule="auto"/>
        <w:rPr>
          <w:rFonts w:ascii="Arial" w:eastAsia="Arial" w:hAnsi="Arial" w:cs="Arial"/>
          <w:sz w:val="24"/>
          <w:szCs w:val="24"/>
        </w:rPr>
      </w:pPr>
    </w:p>
    <w:p w:rsidR="002A2CB2" w:rsidRDefault="00AC4A75">
      <w:pPr>
        <w:pStyle w:val="MediumGrid21"/>
        <w:spacing w:line="480" w:lineRule="auto"/>
        <w:rPr>
          <w:rStyle w:val="PageNumber"/>
          <w:rFonts w:ascii="Arial" w:eastAsia="Arial" w:hAnsi="Arial" w:cs="Arial"/>
          <w:b/>
          <w:bCs/>
          <w:sz w:val="24"/>
          <w:szCs w:val="24"/>
        </w:rPr>
      </w:pPr>
      <w:r>
        <w:rPr>
          <w:rStyle w:val="PageNumber"/>
          <w:rFonts w:ascii="Arial" w:hAnsi="Arial"/>
          <w:b/>
          <w:bCs/>
          <w:sz w:val="24"/>
          <w:szCs w:val="24"/>
        </w:rPr>
        <w:t>Coram:</w:t>
      </w:r>
      <w:r>
        <w:rPr>
          <w:rStyle w:val="PageNumber"/>
          <w:rFonts w:ascii="Arial" w:hAnsi="Arial"/>
          <w:b/>
          <w:bCs/>
          <w:sz w:val="24"/>
          <w:szCs w:val="24"/>
        </w:rPr>
        <w:tab/>
      </w:r>
      <w:r>
        <w:rPr>
          <w:rStyle w:val="PageNumber"/>
          <w:rFonts w:ascii="Arial" w:hAnsi="Arial"/>
          <w:b/>
          <w:bCs/>
          <w:sz w:val="24"/>
          <w:szCs w:val="24"/>
        </w:rPr>
        <w:tab/>
      </w:r>
      <w:r>
        <w:rPr>
          <w:rStyle w:val="PageNumber"/>
          <w:rFonts w:ascii="Arial" w:hAnsi="Arial"/>
          <w:sz w:val="24"/>
          <w:szCs w:val="24"/>
        </w:rPr>
        <w:t xml:space="preserve">DAMASEB </w:t>
      </w:r>
      <w:r w:rsidR="00FE52C8">
        <w:rPr>
          <w:rStyle w:val="PageNumber"/>
          <w:rFonts w:ascii="Arial" w:hAnsi="Arial"/>
          <w:sz w:val="24"/>
          <w:szCs w:val="24"/>
        </w:rPr>
        <w:t>DCJ</w:t>
      </w:r>
      <w:r>
        <w:rPr>
          <w:rStyle w:val="PageNumber"/>
          <w:rFonts w:ascii="Arial" w:hAnsi="Arial"/>
          <w:sz w:val="24"/>
          <w:szCs w:val="24"/>
        </w:rPr>
        <w:t>, MAINGA JA and STRYDOM AJA</w:t>
      </w:r>
    </w:p>
    <w:p w:rsidR="002A2CB2" w:rsidRDefault="00AC4A75">
      <w:pPr>
        <w:pStyle w:val="MediumGrid21"/>
        <w:spacing w:line="480" w:lineRule="auto"/>
        <w:rPr>
          <w:rStyle w:val="PageNumber"/>
          <w:rFonts w:ascii="Arial" w:hAnsi="Arial"/>
          <w:b/>
          <w:sz w:val="24"/>
          <w:szCs w:val="24"/>
        </w:rPr>
      </w:pPr>
      <w:r>
        <w:rPr>
          <w:rStyle w:val="PageNumber"/>
          <w:rFonts w:ascii="Arial" w:hAnsi="Arial"/>
          <w:b/>
          <w:bCs/>
          <w:sz w:val="24"/>
          <w:szCs w:val="24"/>
        </w:rPr>
        <w:t>Heard:</w:t>
      </w:r>
      <w:r>
        <w:rPr>
          <w:rStyle w:val="PageNumber"/>
          <w:rFonts w:ascii="Arial" w:hAnsi="Arial"/>
          <w:b/>
          <w:bCs/>
          <w:sz w:val="24"/>
          <w:szCs w:val="24"/>
        </w:rPr>
        <w:tab/>
      </w:r>
      <w:r>
        <w:rPr>
          <w:rStyle w:val="PageNumber"/>
          <w:rFonts w:ascii="Arial" w:hAnsi="Arial"/>
          <w:b/>
          <w:bCs/>
          <w:sz w:val="24"/>
          <w:szCs w:val="24"/>
        </w:rPr>
        <w:tab/>
      </w:r>
      <w:r w:rsidRPr="0066324C">
        <w:rPr>
          <w:rStyle w:val="PageNumber"/>
          <w:rFonts w:ascii="Arial" w:hAnsi="Arial"/>
          <w:b/>
          <w:sz w:val="24"/>
          <w:szCs w:val="24"/>
        </w:rPr>
        <w:t>5 November 2014</w:t>
      </w:r>
    </w:p>
    <w:p w:rsidR="005E12B9" w:rsidRPr="0066324C" w:rsidRDefault="005E12B9">
      <w:pPr>
        <w:pStyle w:val="MediumGrid21"/>
        <w:spacing w:line="480" w:lineRule="auto"/>
        <w:rPr>
          <w:rStyle w:val="PageNumber"/>
          <w:rFonts w:ascii="Arial" w:eastAsia="Arial" w:hAnsi="Arial" w:cs="Arial"/>
          <w:b/>
          <w:sz w:val="24"/>
          <w:szCs w:val="24"/>
        </w:rPr>
      </w:pPr>
      <w:r>
        <w:rPr>
          <w:rStyle w:val="PageNumber"/>
          <w:rFonts w:ascii="Arial" w:hAnsi="Arial"/>
          <w:b/>
          <w:sz w:val="24"/>
          <w:szCs w:val="24"/>
        </w:rPr>
        <w:t>Order:</w:t>
      </w:r>
      <w:r>
        <w:rPr>
          <w:rStyle w:val="PageNumber"/>
          <w:rFonts w:ascii="Arial" w:hAnsi="Arial"/>
          <w:b/>
          <w:sz w:val="24"/>
          <w:szCs w:val="24"/>
        </w:rPr>
        <w:tab/>
      </w:r>
      <w:r>
        <w:rPr>
          <w:rStyle w:val="PageNumber"/>
          <w:rFonts w:ascii="Arial" w:hAnsi="Arial"/>
          <w:b/>
          <w:sz w:val="24"/>
          <w:szCs w:val="24"/>
        </w:rPr>
        <w:tab/>
        <w:t>5 November 2014</w:t>
      </w:r>
    </w:p>
    <w:p w:rsidR="002A2CB2" w:rsidRPr="0066324C" w:rsidRDefault="00AC4A75">
      <w:pPr>
        <w:pStyle w:val="MediumGrid21"/>
        <w:spacing w:line="480" w:lineRule="auto"/>
        <w:rPr>
          <w:rStyle w:val="PageNumber"/>
          <w:rFonts w:ascii="Arial" w:eastAsia="Arial" w:hAnsi="Arial" w:cs="Arial"/>
          <w:b/>
          <w:sz w:val="24"/>
          <w:szCs w:val="24"/>
        </w:rPr>
      </w:pPr>
      <w:r>
        <w:rPr>
          <w:rStyle w:val="PageNumber"/>
          <w:rFonts w:ascii="Arial" w:hAnsi="Arial"/>
          <w:b/>
          <w:bCs/>
          <w:sz w:val="24"/>
          <w:szCs w:val="24"/>
        </w:rPr>
        <w:t>Delivered:</w:t>
      </w:r>
      <w:r>
        <w:rPr>
          <w:rStyle w:val="PageNumber"/>
          <w:rFonts w:ascii="Arial" w:hAnsi="Arial"/>
          <w:b/>
          <w:bCs/>
          <w:sz w:val="24"/>
          <w:szCs w:val="24"/>
        </w:rPr>
        <w:tab/>
      </w:r>
      <w:r>
        <w:rPr>
          <w:rStyle w:val="PageNumber"/>
          <w:rFonts w:ascii="Arial" w:hAnsi="Arial"/>
          <w:b/>
          <w:bCs/>
          <w:sz w:val="24"/>
          <w:szCs w:val="24"/>
        </w:rPr>
        <w:tab/>
      </w:r>
      <w:r w:rsidR="005E12B9">
        <w:rPr>
          <w:rStyle w:val="PageNumber"/>
          <w:rFonts w:ascii="Arial" w:hAnsi="Arial"/>
          <w:b/>
          <w:bCs/>
          <w:sz w:val="24"/>
          <w:szCs w:val="24"/>
        </w:rPr>
        <w:t xml:space="preserve">8 </w:t>
      </w:r>
      <w:r w:rsidR="00A10ACA">
        <w:rPr>
          <w:rStyle w:val="PageNumber"/>
          <w:rFonts w:ascii="Arial" w:hAnsi="Arial"/>
          <w:b/>
          <w:sz w:val="24"/>
          <w:szCs w:val="24"/>
        </w:rPr>
        <w:t>September</w:t>
      </w:r>
      <w:r w:rsidRPr="0066324C">
        <w:rPr>
          <w:rStyle w:val="PageNumber"/>
          <w:rFonts w:ascii="Arial" w:hAnsi="Arial"/>
          <w:b/>
          <w:sz w:val="24"/>
          <w:szCs w:val="24"/>
        </w:rPr>
        <w:t xml:space="preserve"> 2017</w:t>
      </w:r>
    </w:p>
    <w:p w:rsidR="003C0A73" w:rsidRDefault="00AC4A75">
      <w:pPr>
        <w:pStyle w:val="Body"/>
        <w:spacing w:line="480" w:lineRule="auto"/>
        <w:jc w:val="both"/>
        <w:rPr>
          <w:rStyle w:val="PageNumber"/>
          <w:rFonts w:ascii="Arial" w:hAnsi="Arial"/>
          <w:sz w:val="24"/>
          <w:szCs w:val="24"/>
        </w:rPr>
      </w:pPr>
      <w:r>
        <w:rPr>
          <w:rStyle w:val="PageNumber"/>
          <w:rFonts w:ascii="Arial" w:hAnsi="Arial"/>
          <w:b/>
          <w:bCs/>
          <w:sz w:val="24"/>
          <w:szCs w:val="24"/>
          <w:lang w:val="sv-SE"/>
        </w:rPr>
        <w:lastRenderedPageBreak/>
        <w:t>Summary</w:t>
      </w:r>
      <w:r>
        <w:rPr>
          <w:rStyle w:val="PageNumber"/>
          <w:rFonts w:ascii="Arial" w:hAnsi="Arial"/>
          <w:sz w:val="24"/>
          <w:szCs w:val="24"/>
        </w:rPr>
        <w:t xml:space="preserve">: This appeal </w:t>
      </w:r>
      <w:r w:rsidR="00F946A4">
        <w:rPr>
          <w:rStyle w:val="PageNumber"/>
          <w:rFonts w:ascii="Arial" w:hAnsi="Arial"/>
          <w:sz w:val="24"/>
          <w:szCs w:val="24"/>
        </w:rPr>
        <w:t>is against the</w:t>
      </w:r>
      <w:r>
        <w:rPr>
          <w:rStyle w:val="PageNumber"/>
          <w:rFonts w:ascii="Arial" w:hAnsi="Arial"/>
          <w:sz w:val="24"/>
          <w:szCs w:val="24"/>
        </w:rPr>
        <w:t xml:space="preserve"> judgment and order of the High </w:t>
      </w:r>
      <w:r w:rsidR="00F4539C">
        <w:rPr>
          <w:rStyle w:val="PageNumber"/>
          <w:rFonts w:ascii="Arial" w:hAnsi="Arial"/>
          <w:sz w:val="24"/>
          <w:szCs w:val="24"/>
        </w:rPr>
        <w:t>Court</w:t>
      </w:r>
      <w:r>
        <w:rPr>
          <w:rStyle w:val="PageNumber"/>
          <w:rFonts w:ascii="Arial" w:hAnsi="Arial"/>
          <w:sz w:val="24"/>
          <w:szCs w:val="24"/>
        </w:rPr>
        <w:t xml:space="preserve"> dismissing </w:t>
      </w:r>
      <w:r w:rsidR="00266983">
        <w:rPr>
          <w:rStyle w:val="PageNumber"/>
          <w:rFonts w:ascii="Arial" w:hAnsi="Arial"/>
          <w:sz w:val="24"/>
          <w:szCs w:val="24"/>
        </w:rPr>
        <w:t xml:space="preserve">an </w:t>
      </w:r>
      <w:r>
        <w:rPr>
          <w:rStyle w:val="PageNumber"/>
          <w:rFonts w:ascii="Arial" w:hAnsi="Arial"/>
          <w:sz w:val="24"/>
          <w:szCs w:val="24"/>
        </w:rPr>
        <w:t>application to review the award of a tender for the construction of the first respondent’s headquarters</w:t>
      </w:r>
      <w:r w:rsidR="006F50B5">
        <w:rPr>
          <w:rStyle w:val="PageNumber"/>
          <w:rFonts w:ascii="Arial" w:hAnsi="Arial"/>
          <w:sz w:val="24"/>
          <w:szCs w:val="24"/>
        </w:rPr>
        <w:t xml:space="preserve"> to </w:t>
      </w:r>
      <w:r>
        <w:rPr>
          <w:rStyle w:val="PageNumber"/>
          <w:rFonts w:ascii="Arial" w:hAnsi="Arial"/>
          <w:sz w:val="24"/>
          <w:szCs w:val="24"/>
        </w:rPr>
        <w:t xml:space="preserve">the fifth respondent. The </w:t>
      </w:r>
      <w:r w:rsidR="00F4539C">
        <w:rPr>
          <w:rStyle w:val="PageNumber"/>
          <w:rFonts w:ascii="Arial" w:hAnsi="Arial"/>
          <w:sz w:val="24"/>
          <w:szCs w:val="24"/>
        </w:rPr>
        <w:t>appellant</w:t>
      </w:r>
      <w:r>
        <w:rPr>
          <w:rStyle w:val="PageNumber"/>
          <w:rFonts w:ascii="Arial" w:hAnsi="Arial"/>
          <w:sz w:val="24"/>
          <w:szCs w:val="24"/>
        </w:rPr>
        <w:t xml:space="preserve"> sought </w:t>
      </w:r>
      <w:r w:rsidR="00137046">
        <w:rPr>
          <w:rStyle w:val="PageNumber"/>
          <w:rFonts w:ascii="Arial" w:hAnsi="Arial"/>
          <w:sz w:val="24"/>
          <w:szCs w:val="24"/>
        </w:rPr>
        <w:t xml:space="preserve">to </w:t>
      </w:r>
      <w:r>
        <w:rPr>
          <w:rStyle w:val="PageNumber"/>
          <w:rFonts w:ascii="Arial" w:hAnsi="Arial"/>
          <w:sz w:val="24"/>
          <w:szCs w:val="24"/>
        </w:rPr>
        <w:t xml:space="preserve">review </w:t>
      </w:r>
      <w:r w:rsidR="00164F2C">
        <w:rPr>
          <w:rStyle w:val="PageNumber"/>
          <w:rFonts w:ascii="Arial" w:hAnsi="Arial"/>
          <w:sz w:val="24"/>
          <w:szCs w:val="24"/>
        </w:rPr>
        <w:t xml:space="preserve">the award </w:t>
      </w:r>
      <w:r>
        <w:rPr>
          <w:rStyle w:val="PageNumber"/>
          <w:rFonts w:ascii="Arial" w:hAnsi="Arial"/>
          <w:sz w:val="24"/>
          <w:szCs w:val="24"/>
        </w:rPr>
        <w:t xml:space="preserve">on the following grounds: (a) </w:t>
      </w:r>
      <w:r w:rsidR="00D561A7">
        <w:rPr>
          <w:rStyle w:val="PageNumber"/>
          <w:rFonts w:ascii="Arial" w:hAnsi="Arial"/>
          <w:sz w:val="24"/>
          <w:szCs w:val="24"/>
        </w:rPr>
        <w:t xml:space="preserve">impermissible </w:t>
      </w:r>
      <w:r>
        <w:rPr>
          <w:rStyle w:val="PageNumber"/>
          <w:rFonts w:ascii="Arial" w:hAnsi="Arial"/>
          <w:sz w:val="24"/>
          <w:szCs w:val="24"/>
        </w:rPr>
        <w:t xml:space="preserve">bias; (b) non-engagement by the first respondent’s board with the recommendation submitted to it </w:t>
      </w:r>
      <w:r w:rsidR="00FA511A">
        <w:rPr>
          <w:rStyle w:val="PageNumber"/>
          <w:rFonts w:ascii="Arial" w:hAnsi="Arial"/>
          <w:sz w:val="24"/>
          <w:szCs w:val="24"/>
        </w:rPr>
        <w:t xml:space="preserve">by an evaluation </w:t>
      </w:r>
      <w:r w:rsidR="00BB17A8">
        <w:rPr>
          <w:rStyle w:val="PageNumber"/>
          <w:rFonts w:ascii="Arial" w:hAnsi="Arial"/>
          <w:sz w:val="24"/>
          <w:szCs w:val="24"/>
        </w:rPr>
        <w:t xml:space="preserve">committee </w:t>
      </w:r>
      <w:r w:rsidR="003C0A73">
        <w:rPr>
          <w:rStyle w:val="PageNumber"/>
          <w:rFonts w:ascii="Arial" w:hAnsi="Arial"/>
          <w:sz w:val="24"/>
          <w:szCs w:val="24"/>
        </w:rPr>
        <w:t>composed of experts; (c) improper application of a ministerial policy by the statutory body which allegedly prejudiced the appellant in the manner its tender was evaluated</w:t>
      </w:r>
      <w:r>
        <w:rPr>
          <w:rStyle w:val="PageNumber"/>
          <w:rFonts w:ascii="Arial" w:hAnsi="Arial"/>
          <w:sz w:val="24"/>
          <w:szCs w:val="24"/>
        </w:rPr>
        <w:t xml:space="preserve">; (d) failure to act fairly and reasonably, and (e) </w:t>
      </w:r>
      <w:r w:rsidR="003C0A73">
        <w:rPr>
          <w:rStyle w:val="PageNumber"/>
          <w:rFonts w:ascii="Arial" w:hAnsi="Arial"/>
          <w:sz w:val="24"/>
          <w:szCs w:val="24"/>
        </w:rPr>
        <w:t xml:space="preserve">denial of the </w:t>
      </w:r>
      <w:r>
        <w:rPr>
          <w:rStyle w:val="PageNumber"/>
          <w:rFonts w:ascii="Arial" w:hAnsi="Arial"/>
          <w:sz w:val="24"/>
          <w:szCs w:val="24"/>
        </w:rPr>
        <w:t xml:space="preserve">right to be heard </w:t>
      </w:r>
      <w:r w:rsidR="003C0A73">
        <w:rPr>
          <w:rStyle w:val="PageNumber"/>
          <w:rFonts w:ascii="Arial" w:hAnsi="Arial"/>
          <w:sz w:val="24"/>
          <w:szCs w:val="24"/>
        </w:rPr>
        <w:t xml:space="preserve">in regard to </w:t>
      </w:r>
      <w:r w:rsidR="0066324C">
        <w:rPr>
          <w:rStyle w:val="PageNumber"/>
          <w:rFonts w:ascii="Arial" w:hAnsi="Arial"/>
          <w:sz w:val="24"/>
          <w:szCs w:val="24"/>
        </w:rPr>
        <w:t>information adverse to it.</w:t>
      </w:r>
    </w:p>
    <w:p w:rsidR="003C0A73" w:rsidRDefault="00AC4A75">
      <w:pPr>
        <w:pStyle w:val="Body"/>
        <w:spacing w:line="480" w:lineRule="auto"/>
        <w:jc w:val="both"/>
        <w:rPr>
          <w:rStyle w:val="PageNumber"/>
          <w:rFonts w:ascii="Arial" w:hAnsi="Arial"/>
          <w:sz w:val="24"/>
          <w:szCs w:val="24"/>
        </w:rPr>
      </w:pPr>
      <w:r>
        <w:rPr>
          <w:rStyle w:val="PageNumber"/>
          <w:rFonts w:ascii="Arial" w:hAnsi="Arial"/>
          <w:sz w:val="24"/>
          <w:szCs w:val="24"/>
        </w:rPr>
        <w:t xml:space="preserve">On appeal, the </w:t>
      </w:r>
      <w:r w:rsidR="00F4539C">
        <w:rPr>
          <w:rStyle w:val="PageNumber"/>
          <w:rFonts w:ascii="Arial" w:hAnsi="Arial"/>
          <w:sz w:val="24"/>
          <w:szCs w:val="24"/>
        </w:rPr>
        <w:t>appellant</w:t>
      </w:r>
      <w:r>
        <w:rPr>
          <w:rStyle w:val="PageNumber"/>
          <w:rFonts w:ascii="Arial" w:hAnsi="Arial"/>
          <w:sz w:val="24"/>
          <w:szCs w:val="24"/>
        </w:rPr>
        <w:t xml:space="preserve"> relied on the following additional grounds: (f) </w:t>
      </w:r>
      <w:r w:rsidR="003C0A73">
        <w:rPr>
          <w:rStyle w:val="PageNumber"/>
          <w:rFonts w:ascii="Arial" w:hAnsi="Arial"/>
          <w:sz w:val="24"/>
          <w:szCs w:val="24"/>
        </w:rPr>
        <w:t xml:space="preserve">it </w:t>
      </w:r>
      <w:r>
        <w:rPr>
          <w:rStyle w:val="PageNumber"/>
          <w:rFonts w:ascii="Arial" w:hAnsi="Arial"/>
          <w:sz w:val="24"/>
          <w:szCs w:val="24"/>
        </w:rPr>
        <w:t xml:space="preserve">was not furnished with reasons for the rejection of its tender, thereby constituting a reviewable irregularity, and; (g) the first respondent conducted the tender process in contravention of its own tender procedures. </w:t>
      </w:r>
      <w:r w:rsidR="007B0951">
        <w:rPr>
          <w:rStyle w:val="PageNumber"/>
          <w:rFonts w:ascii="Arial" w:hAnsi="Arial"/>
          <w:sz w:val="24"/>
          <w:szCs w:val="24"/>
        </w:rPr>
        <w:t xml:space="preserve">These grounds were not entertained. </w:t>
      </w:r>
    </w:p>
    <w:p w:rsidR="002A2CB2" w:rsidRDefault="00AC4A75">
      <w:pPr>
        <w:pStyle w:val="Body"/>
        <w:spacing w:line="480" w:lineRule="auto"/>
        <w:jc w:val="both"/>
        <w:rPr>
          <w:rStyle w:val="PageNumber"/>
          <w:rFonts w:ascii="Arial" w:eastAsia="Arial" w:hAnsi="Arial" w:cs="Arial"/>
          <w:sz w:val="24"/>
          <w:szCs w:val="24"/>
        </w:rPr>
      </w:pPr>
      <w:r>
        <w:rPr>
          <w:rStyle w:val="PageNumber"/>
          <w:rFonts w:ascii="Arial" w:hAnsi="Arial"/>
          <w:sz w:val="24"/>
          <w:szCs w:val="24"/>
        </w:rPr>
        <w:t>The fifth respondent cross-appealed against the High Court’s finding that (a) the matter was urgent; (b) th</w:t>
      </w:r>
      <w:r w:rsidR="003C0A73">
        <w:rPr>
          <w:rStyle w:val="PageNumber"/>
          <w:rFonts w:ascii="Arial" w:hAnsi="Arial"/>
          <w:sz w:val="24"/>
          <w:szCs w:val="24"/>
        </w:rPr>
        <w:t xml:space="preserve">at it was </w:t>
      </w:r>
      <w:r>
        <w:rPr>
          <w:rStyle w:val="PageNumber"/>
          <w:rFonts w:ascii="Arial" w:hAnsi="Arial"/>
          <w:sz w:val="24"/>
          <w:szCs w:val="24"/>
        </w:rPr>
        <w:t xml:space="preserve">not prejudiced on account of </w:t>
      </w:r>
      <w:r w:rsidR="00F4539C">
        <w:rPr>
          <w:rStyle w:val="PageNumber"/>
          <w:rFonts w:ascii="Arial" w:hAnsi="Arial"/>
          <w:sz w:val="24"/>
          <w:szCs w:val="24"/>
        </w:rPr>
        <w:t>appellant’s</w:t>
      </w:r>
      <w:r>
        <w:rPr>
          <w:rStyle w:val="PageNumber"/>
          <w:rFonts w:ascii="Arial" w:hAnsi="Arial"/>
          <w:sz w:val="24"/>
          <w:szCs w:val="24"/>
        </w:rPr>
        <w:t xml:space="preserve"> failure to seek interim interlocutory relief, pending the finalisation of the review proceedings, and; (c) th</w:t>
      </w:r>
      <w:r w:rsidR="003C0A73">
        <w:rPr>
          <w:rStyle w:val="PageNumber"/>
          <w:rFonts w:ascii="Arial" w:hAnsi="Arial"/>
          <w:sz w:val="24"/>
          <w:szCs w:val="24"/>
        </w:rPr>
        <w:t xml:space="preserve">at it </w:t>
      </w:r>
      <w:r>
        <w:rPr>
          <w:rStyle w:val="PageNumber"/>
          <w:rFonts w:ascii="Arial" w:hAnsi="Arial"/>
          <w:sz w:val="24"/>
          <w:szCs w:val="24"/>
        </w:rPr>
        <w:t xml:space="preserve">was not prejudiced by the </w:t>
      </w:r>
      <w:r w:rsidR="00F4539C">
        <w:rPr>
          <w:rStyle w:val="PageNumber"/>
          <w:rFonts w:ascii="Arial" w:hAnsi="Arial"/>
          <w:sz w:val="24"/>
          <w:szCs w:val="24"/>
        </w:rPr>
        <w:t>appellant’s waiver</w:t>
      </w:r>
      <w:r>
        <w:rPr>
          <w:rStyle w:val="PageNumber"/>
          <w:rFonts w:ascii="Arial" w:hAnsi="Arial"/>
          <w:sz w:val="24"/>
          <w:szCs w:val="24"/>
        </w:rPr>
        <w:t xml:space="preserve"> to </w:t>
      </w:r>
      <w:r w:rsidR="003C0A73">
        <w:rPr>
          <w:rStyle w:val="PageNumber"/>
          <w:rFonts w:ascii="Arial" w:hAnsi="Arial"/>
          <w:sz w:val="24"/>
          <w:szCs w:val="24"/>
        </w:rPr>
        <w:t>first obtain the record of proceedings sought to be reviewed.</w:t>
      </w:r>
      <w:r>
        <w:rPr>
          <w:rStyle w:val="PageNumber"/>
          <w:rFonts w:ascii="Arial" w:hAnsi="Arial"/>
          <w:sz w:val="24"/>
          <w:szCs w:val="24"/>
        </w:rPr>
        <w:t xml:space="preserve"> </w:t>
      </w:r>
    </w:p>
    <w:p w:rsidR="002A2CB2" w:rsidRDefault="00AC4A75">
      <w:pPr>
        <w:pStyle w:val="Body"/>
        <w:spacing w:line="480" w:lineRule="auto"/>
        <w:jc w:val="both"/>
        <w:rPr>
          <w:rStyle w:val="PageNumber"/>
          <w:rFonts w:ascii="Arial" w:eastAsia="Arial" w:hAnsi="Arial" w:cs="Arial"/>
          <w:sz w:val="24"/>
          <w:szCs w:val="24"/>
        </w:rPr>
      </w:pPr>
      <w:r>
        <w:rPr>
          <w:rStyle w:val="PageNumber"/>
          <w:rFonts w:ascii="Arial" w:hAnsi="Arial"/>
          <w:sz w:val="24"/>
          <w:szCs w:val="24"/>
        </w:rPr>
        <w:t xml:space="preserve">Court on appeal </w:t>
      </w:r>
      <w:r>
        <w:rPr>
          <w:rStyle w:val="PageNumber"/>
          <w:rFonts w:ascii="Arial" w:hAnsi="Arial"/>
          <w:i/>
          <w:iCs/>
          <w:sz w:val="24"/>
          <w:szCs w:val="24"/>
        </w:rPr>
        <w:t>held</w:t>
      </w:r>
      <w:r w:rsidR="003C0A73">
        <w:rPr>
          <w:rStyle w:val="PageNumber"/>
          <w:rFonts w:ascii="Arial" w:hAnsi="Arial"/>
          <w:sz w:val="24"/>
          <w:szCs w:val="24"/>
        </w:rPr>
        <w:t xml:space="preserve"> that; (a)</w:t>
      </w:r>
      <w:r>
        <w:rPr>
          <w:rStyle w:val="PageNumber"/>
          <w:rFonts w:ascii="Arial" w:hAnsi="Arial"/>
          <w:sz w:val="24"/>
          <w:szCs w:val="24"/>
        </w:rPr>
        <w:t xml:space="preserve"> the first respondent</w:t>
      </w:r>
      <w:r w:rsidR="003C0A73">
        <w:rPr>
          <w:rStyle w:val="PageNumber"/>
          <w:rFonts w:ascii="Arial" w:hAnsi="Arial"/>
          <w:sz w:val="24"/>
          <w:szCs w:val="24"/>
        </w:rPr>
        <w:t xml:space="preserve"> was entitled to rely on expert advice in the adjudication of the tender</w:t>
      </w:r>
      <w:r w:rsidR="007A4800">
        <w:rPr>
          <w:rStyle w:val="PageNumber"/>
          <w:rFonts w:ascii="Arial" w:hAnsi="Arial"/>
          <w:sz w:val="24"/>
          <w:szCs w:val="24"/>
        </w:rPr>
        <w:t>;</w:t>
      </w:r>
      <w:r>
        <w:rPr>
          <w:rStyle w:val="PageNumber"/>
          <w:rFonts w:ascii="Arial" w:hAnsi="Arial"/>
          <w:sz w:val="24"/>
          <w:szCs w:val="24"/>
        </w:rPr>
        <w:t xml:space="preserve"> </w:t>
      </w:r>
      <w:r w:rsidR="003C0A73">
        <w:rPr>
          <w:rStyle w:val="PageNumber"/>
          <w:rFonts w:ascii="Arial" w:hAnsi="Arial"/>
          <w:sz w:val="24"/>
          <w:szCs w:val="24"/>
        </w:rPr>
        <w:t>(b</w:t>
      </w:r>
      <w:r>
        <w:rPr>
          <w:rStyle w:val="PageNumber"/>
          <w:rFonts w:ascii="Arial" w:hAnsi="Arial"/>
          <w:sz w:val="24"/>
          <w:szCs w:val="24"/>
        </w:rPr>
        <w:t xml:space="preserve">) the </w:t>
      </w:r>
      <w:r w:rsidR="008A0070">
        <w:rPr>
          <w:rStyle w:val="PageNumber"/>
          <w:rFonts w:ascii="Arial" w:hAnsi="Arial"/>
          <w:sz w:val="24"/>
          <w:szCs w:val="24"/>
        </w:rPr>
        <w:t>ministry’s</w:t>
      </w:r>
      <w:r w:rsidR="003C0A73">
        <w:rPr>
          <w:rStyle w:val="PageNumber"/>
          <w:rFonts w:ascii="Arial" w:hAnsi="Arial"/>
          <w:sz w:val="24"/>
          <w:szCs w:val="24"/>
        </w:rPr>
        <w:t xml:space="preserve"> policy that a bid which was 1</w:t>
      </w:r>
      <w:r w:rsidR="00FA7A96">
        <w:rPr>
          <w:rStyle w:val="PageNumber"/>
          <w:rFonts w:ascii="Arial" w:hAnsi="Arial"/>
          <w:sz w:val="24"/>
          <w:szCs w:val="24"/>
        </w:rPr>
        <w:t>5 % less than the estimated net</w:t>
      </w:r>
      <w:r w:rsidR="003C0A73">
        <w:rPr>
          <w:rStyle w:val="PageNumber"/>
          <w:rFonts w:ascii="Arial" w:hAnsi="Arial"/>
          <w:sz w:val="24"/>
          <w:szCs w:val="24"/>
        </w:rPr>
        <w:t xml:space="preserve"> costs of the tender should be less </w:t>
      </w:r>
      <w:r w:rsidR="00587A66">
        <w:rPr>
          <w:rStyle w:val="PageNumber"/>
          <w:rFonts w:ascii="Arial" w:hAnsi="Arial"/>
          <w:sz w:val="24"/>
          <w:szCs w:val="24"/>
        </w:rPr>
        <w:t>favorably</w:t>
      </w:r>
      <w:r w:rsidR="003C0A73">
        <w:rPr>
          <w:rStyle w:val="PageNumber"/>
          <w:rFonts w:ascii="Arial" w:hAnsi="Arial"/>
          <w:sz w:val="24"/>
          <w:szCs w:val="24"/>
        </w:rPr>
        <w:t xml:space="preserve"> considered was rational and was applied even-handedly to all bidders; (c</w:t>
      </w:r>
      <w:r>
        <w:rPr>
          <w:rStyle w:val="PageNumber"/>
          <w:rFonts w:ascii="Arial" w:hAnsi="Arial"/>
          <w:sz w:val="24"/>
          <w:szCs w:val="24"/>
        </w:rPr>
        <w:t xml:space="preserve">) the first respondent acted fairly and </w:t>
      </w:r>
      <w:r>
        <w:rPr>
          <w:rStyle w:val="PageNumber"/>
          <w:rFonts w:ascii="Arial" w:hAnsi="Arial"/>
          <w:sz w:val="24"/>
          <w:szCs w:val="24"/>
        </w:rPr>
        <w:lastRenderedPageBreak/>
        <w:t>reasonably</w:t>
      </w:r>
      <w:r w:rsidR="003C0A73">
        <w:rPr>
          <w:rStyle w:val="PageNumber"/>
          <w:rFonts w:ascii="Arial" w:hAnsi="Arial"/>
          <w:sz w:val="24"/>
          <w:szCs w:val="24"/>
        </w:rPr>
        <w:t xml:space="preserve"> in the adjudication of the tender</w:t>
      </w:r>
      <w:r w:rsidR="00ED3142">
        <w:rPr>
          <w:rStyle w:val="PageNumber"/>
          <w:rFonts w:ascii="Arial" w:hAnsi="Arial"/>
          <w:sz w:val="24"/>
          <w:szCs w:val="24"/>
        </w:rPr>
        <w:t xml:space="preserve"> and that it would</w:t>
      </w:r>
      <w:r>
        <w:rPr>
          <w:rStyle w:val="PageNumber"/>
          <w:rFonts w:ascii="Arial" w:hAnsi="Arial"/>
          <w:sz w:val="24"/>
          <w:szCs w:val="24"/>
        </w:rPr>
        <w:t xml:space="preserve"> in the circumstances </w:t>
      </w:r>
      <w:r w:rsidR="00ED3142">
        <w:rPr>
          <w:rStyle w:val="PageNumber"/>
          <w:rFonts w:ascii="Arial" w:hAnsi="Arial"/>
          <w:sz w:val="24"/>
          <w:szCs w:val="24"/>
        </w:rPr>
        <w:t xml:space="preserve">of the case </w:t>
      </w:r>
      <w:r>
        <w:rPr>
          <w:rStyle w:val="PageNumber"/>
          <w:rFonts w:ascii="Arial" w:hAnsi="Arial"/>
          <w:sz w:val="24"/>
          <w:szCs w:val="24"/>
        </w:rPr>
        <w:t xml:space="preserve">have been impractical to grant the appellant </w:t>
      </w:r>
      <w:r>
        <w:rPr>
          <w:rStyle w:val="PageNumber"/>
          <w:rFonts w:ascii="Arial" w:hAnsi="Arial"/>
          <w:i/>
          <w:iCs/>
          <w:sz w:val="24"/>
          <w:szCs w:val="24"/>
        </w:rPr>
        <w:t>audi</w:t>
      </w:r>
      <w:r w:rsidR="00ED3142">
        <w:rPr>
          <w:rStyle w:val="PageNumber"/>
          <w:rFonts w:ascii="Arial" w:hAnsi="Arial"/>
          <w:sz w:val="24"/>
          <w:szCs w:val="24"/>
        </w:rPr>
        <w:t xml:space="preserve"> in respect </w:t>
      </w:r>
      <w:r w:rsidR="007B3911">
        <w:rPr>
          <w:rStyle w:val="PageNumber"/>
          <w:rFonts w:ascii="Arial" w:hAnsi="Arial"/>
          <w:sz w:val="24"/>
          <w:szCs w:val="24"/>
        </w:rPr>
        <w:t xml:space="preserve">to the information adverse </w:t>
      </w:r>
      <w:r w:rsidR="00861B95">
        <w:rPr>
          <w:rStyle w:val="PageNumber"/>
          <w:rFonts w:ascii="Arial" w:hAnsi="Arial"/>
          <w:sz w:val="24"/>
          <w:szCs w:val="24"/>
        </w:rPr>
        <w:t>to it.</w:t>
      </w:r>
      <w:r w:rsidR="00ED3142">
        <w:rPr>
          <w:rStyle w:val="PageNumber"/>
          <w:rFonts w:ascii="Arial" w:hAnsi="Arial"/>
          <w:sz w:val="24"/>
          <w:szCs w:val="24"/>
        </w:rPr>
        <w:t xml:space="preserve"> </w:t>
      </w:r>
    </w:p>
    <w:p w:rsidR="002A2CB2" w:rsidRDefault="00ED3142">
      <w:pPr>
        <w:pStyle w:val="Body"/>
        <w:spacing w:line="480" w:lineRule="auto"/>
        <w:jc w:val="both"/>
        <w:rPr>
          <w:rStyle w:val="PageNumber"/>
          <w:rFonts w:ascii="Arial" w:eastAsia="Arial" w:hAnsi="Arial" w:cs="Arial"/>
          <w:sz w:val="24"/>
          <w:szCs w:val="24"/>
        </w:rPr>
      </w:pPr>
      <w:r>
        <w:rPr>
          <w:rStyle w:val="PageNumber"/>
          <w:rFonts w:ascii="Arial" w:hAnsi="Arial"/>
          <w:sz w:val="24"/>
          <w:szCs w:val="24"/>
        </w:rPr>
        <w:t>W</w:t>
      </w:r>
      <w:r w:rsidR="00AC4A75">
        <w:rPr>
          <w:rStyle w:val="PageNumber"/>
          <w:rFonts w:ascii="Arial" w:hAnsi="Arial"/>
          <w:sz w:val="24"/>
          <w:szCs w:val="24"/>
        </w:rPr>
        <w:t xml:space="preserve">ith respect to the cross-appeal, </w:t>
      </w:r>
      <w:r w:rsidR="00861B95">
        <w:rPr>
          <w:rStyle w:val="PageNumber"/>
          <w:rFonts w:ascii="Arial" w:hAnsi="Arial"/>
          <w:sz w:val="24"/>
          <w:szCs w:val="24"/>
        </w:rPr>
        <w:t xml:space="preserve">court on appeal </w:t>
      </w:r>
      <w:r w:rsidR="00AC4A75">
        <w:rPr>
          <w:rStyle w:val="PageNumber"/>
          <w:rFonts w:ascii="Arial" w:hAnsi="Arial"/>
          <w:i/>
          <w:iCs/>
          <w:sz w:val="24"/>
          <w:szCs w:val="24"/>
        </w:rPr>
        <w:t>held</w:t>
      </w:r>
      <w:r w:rsidR="00AC4A75">
        <w:rPr>
          <w:rStyle w:val="PageNumber"/>
          <w:rFonts w:ascii="Arial" w:hAnsi="Arial"/>
          <w:sz w:val="24"/>
          <w:szCs w:val="24"/>
        </w:rPr>
        <w:t xml:space="preserve"> that (a) the Court could </w:t>
      </w:r>
      <w:r>
        <w:rPr>
          <w:rStyle w:val="PageNumber"/>
          <w:rFonts w:ascii="Arial" w:hAnsi="Arial"/>
          <w:sz w:val="24"/>
          <w:szCs w:val="24"/>
        </w:rPr>
        <w:t xml:space="preserve">not </w:t>
      </w:r>
      <w:r w:rsidR="00AC4A75">
        <w:rPr>
          <w:rStyle w:val="PageNumber"/>
          <w:rFonts w:ascii="Arial" w:hAnsi="Arial"/>
          <w:sz w:val="24"/>
          <w:szCs w:val="24"/>
        </w:rPr>
        <w:t xml:space="preserve">interfere with the </w:t>
      </w:r>
      <w:r>
        <w:rPr>
          <w:rStyle w:val="PageNumber"/>
          <w:rFonts w:ascii="Arial" w:hAnsi="Arial"/>
          <w:sz w:val="24"/>
          <w:szCs w:val="24"/>
        </w:rPr>
        <w:t xml:space="preserve">exercise of the </w:t>
      </w:r>
      <w:r w:rsidR="00AC4A75">
        <w:rPr>
          <w:rStyle w:val="PageNumber"/>
          <w:rFonts w:ascii="Arial" w:hAnsi="Arial"/>
          <w:sz w:val="24"/>
          <w:szCs w:val="24"/>
        </w:rPr>
        <w:t xml:space="preserve">court a </w:t>
      </w:r>
      <w:r w:rsidR="00AC4A75">
        <w:rPr>
          <w:rStyle w:val="PageNumber"/>
          <w:rFonts w:ascii="Arial" w:hAnsi="Arial"/>
          <w:i/>
          <w:iCs/>
          <w:sz w:val="24"/>
          <w:szCs w:val="24"/>
          <w:lang w:val="it-IT"/>
        </w:rPr>
        <w:t>quo</w:t>
      </w:r>
      <w:r w:rsidR="00AC4A75" w:rsidRPr="00861B95">
        <w:rPr>
          <w:rStyle w:val="PageNumber"/>
          <w:rFonts w:ascii="Arial" w:hAnsi="Arial"/>
          <w:iCs/>
          <w:sz w:val="24"/>
          <w:szCs w:val="24"/>
        </w:rPr>
        <w:t>’s</w:t>
      </w:r>
      <w:r w:rsidR="00AC4A75">
        <w:rPr>
          <w:rStyle w:val="PageNumber"/>
          <w:rFonts w:ascii="Arial" w:hAnsi="Arial"/>
          <w:sz w:val="24"/>
          <w:szCs w:val="24"/>
        </w:rPr>
        <w:t xml:space="preserve"> discretion </w:t>
      </w:r>
      <w:r>
        <w:rPr>
          <w:rStyle w:val="PageNumber"/>
          <w:rFonts w:ascii="Arial" w:hAnsi="Arial"/>
          <w:sz w:val="24"/>
          <w:szCs w:val="24"/>
        </w:rPr>
        <w:t xml:space="preserve">to entertain </w:t>
      </w:r>
      <w:r w:rsidR="00AC4A75">
        <w:rPr>
          <w:rStyle w:val="PageNumber"/>
          <w:rFonts w:ascii="Arial" w:hAnsi="Arial"/>
          <w:sz w:val="24"/>
          <w:szCs w:val="24"/>
        </w:rPr>
        <w:t xml:space="preserve">the application on an urgent basis, (b) there is no requirement that a party seeking review must first seek interim interlocutory relief; and (c) an </w:t>
      </w:r>
      <w:r w:rsidR="00AB7C44">
        <w:rPr>
          <w:rStyle w:val="PageNumber"/>
          <w:rFonts w:ascii="Arial" w:hAnsi="Arial"/>
          <w:sz w:val="24"/>
          <w:szCs w:val="24"/>
        </w:rPr>
        <w:t>applicant</w:t>
      </w:r>
      <w:r w:rsidR="00AC4A75">
        <w:rPr>
          <w:rStyle w:val="PageNumber"/>
          <w:rFonts w:ascii="Arial" w:hAnsi="Arial"/>
          <w:sz w:val="24"/>
          <w:szCs w:val="24"/>
        </w:rPr>
        <w:t xml:space="preserve"> </w:t>
      </w:r>
      <w:r>
        <w:rPr>
          <w:rStyle w:val="PageNumber"/>
          <w:rFonts w:ascii="Arial" w:hAnsi="Arial"/>
          <w:sz w:val="24"/>
          <w:szCs w:val="24"/>
        </w:rPr>
        <w:t xml:space="preserve">for review </w:t>
      </w:r>
      <w:r w:rsidR="00AC4A75">
        <w:rPr>
          <w:rStyle w:val="PageNumber"/>
          <w:rFonts w:ascii="Arial" w:hAnsi="Arial"/>
          <w:sz w:val="24"/>
          <w:szCs w:val="24"/>
        </w:rPr>
        <w:t xml:space="preserve">is entitled to waive access to the record of the proceedings sought to be reviewed. The appeal </w:t>
      </w:r>
      <w:r>
        <w:rPr>
          <w:rStyle w:val="PageNumber"/>
          <w:rFonts w:ascii="Arial" w:hAnsi="Arial"/>
          <w:sz w:val="24"/>
          <w:szCs w:val="24"/>
        </w:rPr>
        <w:t>and cross appeal</w:t>
      </w:r>
      <w:r w:rsidR="00AC4A75">
        <w:rPr>
          <w:rStyle w:val="PageNumber"/>
          <w:rFonts w:ascii="Arial" w:hAnsi="Arial"/>
          <w:sz w:val="24"/>
          <w:szCs w:val="24"/>
        </w:rPr>
        <w:t xml:space="preserve"> </w:t>
      </w:r>
      <w:r w:rsidR="007B3911">
        <w:rPr>
          <w:rStyle w:val="PageNumber"/>
          <w:rFonts w:ascii="Arial" w:hAnsi="Arial"/>
          <w:sz w:val="24"/>
          <w:szCs w:val="24"/>
        </w:rPr>
        <w:t xml:space="preserve">is </w:t>
      </w:r>
      <w:r w:rsidR="00AC4A75">
        <w:rPr>
          <w:rStyle w:val="PageNumber"/>
          <w:rFonts w:ascii="Arial" w:hAnsi="Arial"/>
          <w:sz w:val="24"/>
          <w:szCs w:val="24"/>
        </w:rPr>
        <w:t>dismissed.</w:t>
      </w:r>
    </w:p>
    <w:p w:rsidR="002A2CB2" w:rsidRDefault="002A2CB2">
      <w:pPr>
        <w:pStyle w:val="MediumGrid21"/>
        <w:pBdr>
          <w:top w:val="single" w:sz="4" w:space="0" w:color="000000"/>
        </w:pBdr>
        <w:jc w:val="center"/>
        <w:rPr>
          <w:rFonts w:ascii="Arial" w:eastAsia="Arial" w:hAnsi="Arial" w:cs="Arial"/>
          <w:b/>
          <w:bCs/>
          <w:sz w:val="24"/>
          <w:szCs w:val="24"/>
        </w:rPr>
      </w:pPr>
    </w:p>
    <w:p w:rsidR="002A2CB2" w:rsidRDefault="005E12B9">
      <w:pPr>
        <w:pStyle w:val="MediumGrid21"/>
        <w:jc w:val="center"/>
        <w:rPr>
          <w:rStyle w:val="PageNumber"/>
          <w:rFonts w:ascii="Arial" w:eastAsia="Arial" w:hAnsi="Arial" w:cs="Arial"/>
          <w:b/>
          <w:bCs/>
          <w:sz w:val="24"/>
          <w:szCs w:val="24"/>
        </w:rPr>
      </w:pPr>
      <w:r>
        <w:rPr>
          <w:rStyle w:val="PageNumber"/>
          <w:rFonts w:ascii="Arial" w:hAnsi="Arial"/>
          <w:b/>
          <w:bCs/>
          <w:sz w:val="24"/>
          <w:szCs w:val="24"/>
        </w:rPr>
        <w:t>APPEAL JUDGMENT (</w:t>
      </w:r>
      <w:r w:rsidR="007C7C4B">
        <w:rPr>
          <w:rStyle w:val="PageNumber"/>
          <w:rFonts w:ascii="Arial" w:hAnsi="Arial"/>
          <w:b/>
          <w:bCs/>
          <w:sz w:val="24"/>
          <w:szCs w:val="24"/>
        </w:rPr>
        <w:t>REASONS</w:t>
      </w:r>
      <w:r>
        <w:rPr>
          <w:rStyle w:val="PageNumber"/>
          <w:rFonts w:ascii="Arial" w:hAnsi="Arial"/>
          <w:b/>
          <w:bCs/>
          <w:sz w:val="24"/>
          <w:szCs w:val="24"/>
        </w:rPr>
        <w:t>)</w:t>
      </w:r>
      <w:r w:rsidR="004A6DA2">
        <w:rPr>
          <w:rStyle w:val="PageNumber"/>
          <w:rFonts w:ascii="Arial" w:hAnsi="Arial"/>
          <w:b/>
          <w:bCs/>
          <w:sz w:val="24"/>
          <w:szCs w:val="24"/>
        </w:rPr>
        <w:t xml:space="preserve"> </w:t>
      </w:r>
    </w:p>
    <w:p w:rsidR="002A2CB2" w:rsidRDefault="002A2CB2">
      <w:pPr>
        <w:pStyle w:val="MediumGrid21"/>
        <w:pBdr>
          <w:bottom w:val="single" w:sz="4" w:space="0" w:color="000000"/>
        </w:pBdr>
        <w:jc w:val="center"/>
        <w:rPr>
          <w:rFonts w:ascii="Arial" w:eastAsia="Arial" w:hAnsi="Arial" w:cs="Arial"/>
          <w:b/>
          <w:bCs/>
          <w:sz w:val="24"/>
          <w:szCs w:val="24"/>
        </w:rPr>
      </w:pPr>
    </w:p>
    <w:p w:rsidR="002A2CB2" w:rsidRDefault="002A2CB2">
      <w:pPr>
        <w:pStyle w:val="MediumGrid21"/>
        <w:rPr>
          <w:rFonts w:ascii="Arial" w:eastAsia="Arial" w:hAnsi="Arial" w:cs="Arial"/>
          <w:sz w:val="24"/>
          <w:szCs w:val="24"/>
        </w:rPr>
      </w:pPr>
    </w:p>
    <w:p w:rsidR="002A2CB2" w:rsidRDefault="00AC4A75">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 xml:space="preserve">DAMASEB, </w:t>
      </w:r>
      <w:r w:rsidR="00FE52C8">
        <w:rPr>
          <w:rStyle w:val="PageNumber"/>
          <w:rFonts w:ascii="Arial" w:hAnsi="Arial"/>
          <w:sz w:val="24"/>
          <w:szCs w:val="24"/>
        </w:rPr>
        <w:t>DCJ</w:t>
      </w:r>
      <w:r>
        <w:rPr>
          <w:rStyle w:val="PageNumber"/>
          <w:rFonts w:ascii="Arial" w:hAnsi="Arial"/>
          <w:sz w:val="24"/>
          <w:szCs w:val="24"/>
        </w:rPr>
        <w:t xml:space="preserve"> (M</w:t>
      </w:r>
      <w:r w:rsidR="00C33ACA">
        <w:rPr>
          <w:rStyle w:val="PageNumber"/>
          <w:rFonts w:ascii="Arial" w:hAnsi="Arial"/>
          <w:sz w:val="24"/>
          <w:szCs w:val="24"/>
        </w:rPr>
        <w:t>AINGA</w:t>
      </w:r>
      <w:r>
        <w:rPr>
          <w:rStyle w:val="PageNumber"/>
          <w:rFonts w:ascii="Arial" w:hAnsi="Arial"/>
          <w:sz w:val="24"/>
          <w:szCs w:val="24"/>
        </w:rPr>
        <w:t xml:space="preserve"> JA and S</w:t>
      </w:r>
      <w:r w:rsidR="00C33ACA">
        <w:rPr>
          <w:rStyle w:val="PageNumber"/>
          <w:rFonts w:ascii="Arial" w:hAnsi="Arial"/>
          <w:sz w:val="24"/>
          <w:szCs w:val="24"/>
        </w:rPr>
        <w:t>TRYDOM</w:t>
      </w:r>
      <w:r>
        <w:rPr>
          <w:rStyle w:val="PageNumber"/>
          <w:rFonts w:ascii="Arial" w:hAnsi="Arial"/>
          <w:sz w:val="24"/>
          <w:szCs w:val="24"/>
        </w:rPr>
        <w:t xml:space="preserve"> AJA concurring):</w:t>
      </w:r>
    </w:p>
    <w:p w:rsidR="002A2CB2" w:rsidRDefault="00AC4A75">
      <w:pPr>
        <w:pStyle w:val="MediumGrid21"/>
        <w:spacing w:line="480" w:lineRule="auto"/>
        <w:jc w:val="both"/>
        <w:rPr>
          <w:rStyle w:val="PageNumber"/>
          <w:rFonts w:ascii="Arial" w:eastAsia="Arial" w:hAnsi="Arial" w:cs="Arial"/>
          <w:sz w:val="24"/>
          <w:szCs w:val="24"/>
          <w:u w:val="single"/>
        </w:rPr>
      </w:pPr>
      <w:r>
        <w:rPr>
          <w:rStyle w:val="PageNumber"/>
          <w:rFonts w:ascii="Arial" w:hAnsi="Arial"/>
          <w:sz w:val="24"/>
          <w:szCs w:val="24"/>
          <w:u w:val="single"/>
        </w:rPr>
        <w:t>Introduction</w:t>
      </w:r>
    </w:p>
    <w:p w:rsidR="002A2CB2" w:rsidRDefault="00E431C0" w:rsidP="00E431C0">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 xml:space="preserve">[1] </w:t>
      </w:r>
      <w:r>
        <w:rPr>
          <w:rStyle w:val="PageNumber"/>
          <w:rFonts w:ascii="Arial" w:hAnsi="Arial"/>
          <w:sz w:val="24"/>
          <w:szCs w:val="24"/>
        </w:rPr>
        <w:tab/>
      </w:r>
      <w:r w:rsidR="00AC4A75">
        <w:rPr>
          <w:rStyle w:val="PageNumber"/>
          <w:rFonts w:ascii="Arial" w:hAnsi="Arial"/>
          <w:sz w:val="24"/>
          <w:szCs w:val="24"/>
        </w:rPr>
        <w:t xml:space="preserve">During the painstaking examination of the record, the judgment of the court </w:t>
      </w:r>
      <w:r w:rsidR="00AC4A75">
        <w:rPr>
          <w:rStyle w:val="PageNumber"/>
          <w:rFonts w:ascii="Arial" w:hAnsi="Arial"/>
          <w:i/>
          <w:iCs/>
          <w:sz w:val="24"/>
          <w:szCs w:val="24"/>
        </w:rPr>
        <w:t xml:space="preserve">a quo </w:t>
      </w:r>
      <w:r w:rsidR="00AC4A75">
        <w:rPr>
          <w:rStyle w:val="PageNumber"/>
          <w:rFonts w:ascii="Arial" w:hAnsi="Arial"/>
          <w:sz w:val="24"/>
          <w:szCs w:val="24"/>
        </w:rPr>
        <w:t xml:space="preserve">and the </w:t>
      </w:r>
      <w:r>
        <w:rPr>
          <w:rStyle w:val="PageNumber"/>
          <w:rFonts w:ascii="Arial" w:hAnsi="Arial"/>
          <w:sz w:val="24"/>
          <w:szCs w:val="24"/>
        </w:rPr>
        <w:t>parties</w:t>
      </w:r>
      <w:r w:rsidR="004B6D33">
        <w:rPr>
          <w:rStyle w:val="PageNumber"/>
          <w:rFonts w:ascii="Arial" w:hAnsi="Arial"/>
          <w:sz w:val="24"/>
          <w:szCs w:val="24"/>
        </w:rPr>
        <w:t>’</w:t>
      </w:r>
      <w:r>
        <w:rPr>
          <w:rStyle w:val="PageNumber"/>
          <w:rFonts w:ascii="Arial" w:hAnsi="Arial"/>
          <w:sz w:val="24"/>
          <w:szCs w:val="24"/>
        </w:rPr>
        <w:t xml:space="preserve"> </w:t>
      </w:r>
      <w:r w:rsidR="00AC4A75">
        <w:rPr>
          <w:rStyle w:val="PageNumber"/>
          <w:rFonts w:ascii="Arial" w:hAnsi="Arial"/>
          <w:sz w:val="24"/>
          <w:szCs w:val="24"/>
        </w:rPr>
        <w:t xml:space="preserve">written submissions in our preparation </w:t>
      </w:r>
      <w:r w:rsidR="00FA7A96">
        <w:rPr>
          <w:rStyle w:val="PageNumber"/>
          <w:rFonts w:ascii="Arial" w:hAnsi="Arial"/>
          <w:sz w:val="24"/>
          <w:szCs w:val="24"/>
        </w:rPr>
        <w:t>for this</w:t>
      </w:r>
      <w:r w:rsidR="00AC4A75">
        <w:rPr>
          <w:rStyle w:val="PageNumber"/>
          <w:rFonts w:ascii="Arial" w:hAnsi="Arial"/>
          <w:sz w:val="24"/>
          <w:szCs w:val="24"/>
        </w:rPr>
        <w:t xml:space="preserve"> appeal, it became apparent that a great deal of commercial urgency attached to th</w:t>
      </w:r>
      <w:r w:rsidR="004B6D33">
        <w:rPr>
          <w:rStyle w:val="PageNumber"/>
          <w:rFonts w:ascii="Arial" w:hAnsi="Arial"/>
          <w:sz w:val="24"/>
          <w:szCs w:val="24"/>
        </w:rPr>
        <w:t>e</w:t>
      </w:r>
      <w:r w:rsidR="00AC4A75">
        <w:rPr>
          <w:rStyle w:val="PageNumber"/>
          <w:rFonts w:ascii="Arial" w:hAnsi="Arial"/>
          <w:sz w:val="24"/>
          <w:szCs w:val="24"/>
        </w:rPr>
        <w:t xml:space="preserve"> </w:t>
      </w:r>
      <w:r w:rsidR="004B6D33">
        <w:rPr>
          <w:rStyle w:val="PageNumber"/>
          <w:rFonts w:ascii="Arial" w:hAnsi="Arial"/>
          <w:sz w:val="24"/>
          <w:szCs w:val="24"/>
        </w:rPr>
        <w:t>case</w:t>
      </w:r>
      <w:r w:rsidR="00AC4A75">
        <w:rPr>
          <w:rStyle w:val="PageNumber"/>
          <w:rFonts w:ascii="Arial" w:hAnsi="Arial"/>
          <w:sz w:val="24"/>
          <w:szCs w:val="24"/>
        </w:rPr>
        <w:t xml:space="preserve">. </w:t>
      </w:r>
      <w:r w:rsidR="00612120">
        <w:rPr>
          <w:rStyle w:val="PageNumber"/>
          <w:rFonts w:ascii="Arial" w:hAnsi="Arial"/>
          <w:sz w:val="24"/>
          <w:szCs w:val="24"/>
        </w:rPr>
        <w:t>Therefore, a</w:t>
      </w:r>
      <w:r w:rsidR="00AC4A75">
        <w:rPr>
          <w:rStyle w:val="PageNumber"/>
          <w:rFonts w:ascii="Arial" w:hAnsi="Arial"/>
          <w:sz w:val="24"/>
          <w:szCs w:val="24"/>
        </w:rPr>
        <w:t>fter hearing oral argumen</w:t>
      </w:r>
      <w:r w:rsidR="00410844">
        <w:rPr>
          <w:rStyle w:val="PageNumber"/>
          <w:rFonts w:ascii="Arial" w:hAnsi="Arial"/>
          <w:sz w:val="24"/>
          <w:szCs w:val="24"/>
        </w:rPr>
        <w:t>ts</w:t>
      </w:r>
      <w:r w:rsidR="00A60266">
        <w:rPr>
          <w:rStyle w:val="PageNumber"/>
          <w:rFonts w:ascii="Arial" w:hAnsi="Arial"/>
          <w:sz w:val="24"/>
          <w:szCs w:val="24"/>
        </w:rPr>
        <w:t xml:space="preserve"> we deci</w:t>
      </w:r>
      <w:r w:rsidR="007D10F8">
        <w:rPr>
          <w:rStyle w:val="PageNumber"/>
          <w:rFonts w:ascii="Arial" w:hAnsi="Arial"/>
          <w:sz w:val="24"/>
          <w:szCs w:val="24"/>
        </w:rPr>
        <w:t>ded to dispose of th</w:t>
      </w:r>
      <w:r w:rsidR="00B97438">
        <w:rPr>
          <w:rStyle w:val="PageNumber"/>
          <w:rFonts w:ascii="Arial" w:hAnsi="Arial"/>
          <w:sz w:val="24"/>
          <w:szCs w:val="24"/>
        </w:rPr>
        <w:t>e</w:t>
      </w:r>
      <w:r w:rsidR="00AC4A75">
        <w:rPr>
          <w:rStyle w:val="PageNumber"/>
          <w:rFonts w:ascii="Arial" w:hAnsi="Arial"/>
          <w:sz w:val="24"/>
          <w:szCs w:val="24"/>
        </w:rPr>
        <w:t xml:space="preserve"> </w:t>
      </w:r>
      <w:r w:rsidR="00B97438">
        <w:rPr>
          <w:rStyle w:val="PageNumber"/>
          <w:rFonts w:ascii="Arial" w:hAnsi="Arial"/>
          <w:sz w:val="24"/>
          <w:szCs w:val="24"/>
        </w:rPr>
        <w:t xml:space="preserve">appeal </w:t>
      </w:r>
      <w:r w:rsidR="00AC4A75">
        <w:rPr>
          <w:rStyle w:val="PageNumber"/>
          <w:rFonts w:ascii="Arial" w:hAnsi="Arial"/>
          <w:sz w:val="24"/>
          <w:szCs w:val="24"/>
        </w:rPr>
        <w:t xml:space="preserve">by way of an immediate order, with reasons to follow. We took the view that uncertainty would be created if the parties were not at once advised of the outcome so that they arranged their financial and business affairs accordingly. </w:t>
      </w:r>
      <w:r w:rsidR="00710FD0">
        <w:rPr>
          <w:rStyle w:val="PageNumber"/>
          <w:rFonts w:ascii="Arial" w:hAnsi="Arial"/>
          <w:sz w:val="24"/>
          <w:szCs w:val="24"/>
        </w:rPr>
        <w:t xml:space="preserve">Since we </w:t>
      </w:r>
      <w:r w:rsidR="00AC4A75">
        <w:rPr>
          <w:rStyle w:val="PageNumber"/>
          <w:rFonts w:ascii="Arial" w:hAnsi="Arial"/>
          <w:sz w:val="24"/>
          <w:szCs w:val="24"/>
        </w:rPr>
        <w:t>were firm and unanimous in our view as to the outcome</w:t>
      </w:r>
      <w:r w:rsidR="004C5150">
        <w:rPr>
          <w:rStyle w:val="PageNumber"/>
          <w:rFonts w:ascii="Arial" w:hAnsi="Arial"/>
          <w:sz w:val="24"/>
          <w:szCs w:val="24"/>
        </w:rPr>
        <w:t>, o</w:t>
      </w:r>
      <w:r w:rsidR="00E62B0F">
        <w:rPr>
          <w:rStyle w:val="PageNumber"/>
          <w:rFonts w:ascii="Arial" w:hAnsi="Arial"/>
          <w:sz w:val="24"/>
          <w:szCs w:val="24"/>
        </w:rPr>
        <w:t xml:space="preserve">n </w:t>
      </w:r>
      <w:r w:rsidR="00085E9C">
        <w:rPr>
          <w:rStyle w:val="PageNumber"/>
          <w:rFonts w:ascii="Arial" w:hAnsi="Arial"/>
          <w:sz w:val="24"/>
          <w:szCs w:val="24"/>
        </w:rPr>
        <w:t>0</w:t>
      </w:r>
      <w:r w:rsidR="00E62B0F">
        <w:rPr>
          <w:rStyle w:val="PageNumber"/>
          <w:rFonts w:ascii="Arial" w:hAnsi="Arial"/>
          <w:sz w:val="24"/>
          <w:szCs w:val="24"/>
        </w:rPr>
        <w:t>5</w:t>
      </w:r>
      <w:r w:rsidR="00E973DA">
        <w:rPr>
          <w:rStyle w:val="PageNumber"/>
          <w:rFonts w:ascii="Arial" w:hAnsi="Arial"/>
          <w:sz w:val="24"/>
          <w:szCs w:val="24"/>
        </w:rPr>
        <w:t xml:space="preserve"> November 2014</w:t>
      </w:r>
      <w:r w:rsidR="00085E9C">
        <w:rPr>
          <w:rStyle w:val="PageNumber"/>
          <w:rFonts w:ascii="Arial" w:hAnsi="Arial"/>
          <w:sz w:val="24"/>
          <w:szCs w:val="24"/>
        </w:rPr>
        <w:t>, we</w:t>
      </w:r>
      <w:r w:rsidR="00E973DA">
        <w:rPr>
          <w:rStyle w:val="PageNumber"/>
          <w:rFonts w:ascii="Arial" w:hAnsi="Arial"/>
          <w:sz w:val="24"/>
          <w:szCs w:val="24"/>
        </w:rPr>
        <w:t xml:space="preserve"> </w:t>
      </w:r>
      <w:r w:rsidR="00AC4A75">
        <w:rPr>
          <w:rStyle w:val="PageNumber"/>
          <w:rFonts w:ascii="Arial" w:hAnsi="Arial"/>
          <w:sz w:val="24"/>
          <w:szCs w:val="24"/>
        </w:rPr>
        <w:t xml:space="preserve">made the following order: </w:t>
      </w:r>
    </w:p>
    <w:p w:rsidR="002A2CB2" w:rsidRDefault="002A2CB2">
      <w:pPr>
        <w:pStyle w:val="MediumGrid21"/>
        <w:spacing w:line="480" w:lineRule="auto"/>
        <w:jc w:val="both"/>
        <w:rPr>
          <w:rFonts w:ascii="Arial" w:eastAsia="Arial" w:hAnsi="Arial" w:cs="Arial"/>
          <w:sz w:val="24"/>
          <w:szCs w:val="24"/>
        </w:rPr>
      </w:pPr>
    </w:p>
    <w:p w:rsidR="002A2CB2" w:rsidRDefault="00A22C88">
      <w:pPr>
        <w:pStyle w:val="MediumGrid21"/>
        <w:spacing w:line="360" w:lineRule="auto"/>
        <w:ind w:firstLine="720"/>
        <w:jc w:val="both"/>
        <w:rPr>
          <w:rStyle w:val="PageNumber"/>
          <w:rFonts w:ascii="Arial" w:eastAsia="Arial" w:hAnsi="Arial" w:cs="Arial"/>
        </w:rPr>
      </w:pPr>
      <w:r>
        <w:rPr>
          <w:rStyle w:val="PageNumber"/>
          <w:rFonts w:ascii="Arial" w:hAnsi="Arial"/>
        </w:rPr>
        <w:t>‘</w:t>
      </w:r>
      <w:r w:rsidR="00AC4A75">
        <w:rPr>
          <w:rStyle w:val="PageNumber"/>
          <w:rFonts w:ascii="Arial" w:hAnsi="Arial"/>
        </w:rPr>
        <w:t>1.</w:t>
      </w:r>
      <w:r w:rsidR="00AC4A75">
        <w:rPr>
          <w:rStyle w:val="PageNumber"/>
          <w:rFonts w:ascii="Arial" w:hAnsi="Arial"/>
        </w:rPr>
        <w:tab/>
        <w:t>That the appellant’s appeal is dismissed.</w:t>
      </w:r>
    </w:p>
    <w:p w:rsidR="002A2CB2" w:rsidRDefault="00AC4A75">
      <w:pPr>
        <w:pStyle w:val="MediumGrid21"/>
        <w:spacing w:line="360" w:lineRule="auto"/>
        <w:jc w:val="both"/>
        <w:rPr>
          <w:rStyle w:val="PageNumber"/>
          <w:rFonts w:ascii="Arial" w:eastAsia="Arial" w:hAnsi="Arial" w:cs="Arial"/>
        </w:rPr>
      </w:pPr>
      <w:r>
        <w:rPr>
          <w:rStyle w:val="PageNumber"/>
          <w:rFonts w:ascii="Arial" w:eastAsia="Arial" w:hAnsi="Arial" w:cs="Arial"/>
        </w:rPr>
        <w:lastRenderedPageBreak/>
        <w:tab/>
        <w:t>2.</w:t>
      </w:r>
      <w:r>
        <w:rPr>
          <w:rStyle w:val="PageNumber"/>
          <w:rFonts w:ascii="Arial" w:eastAsia="Arial" w:hAnsi="Arial" w:cs="Arial"/>
        </w:rPr>
        <w:tab/>
        <w:t>That the Fifth Respondent</w:t>
      </w:r>
      <w:r>
        <w:rPr>
          <w:rStyle w:val="PageNumber"/>
          <w:rFonts w:ascii="Arial" w:hAnsi="Arial"/>
        </w:rPr>
        <w:t>’s cross appeal succeeds in part only as follows:</w:t>
      </w:r>
    </w:p>
    <w:p w:rsidR="002A2CB2" w:rsidRDefault="00AC4A75">
      <w:pPr>
        <w:pStyle w:val="MediumGrid21"/>
        <w:spacing w:line="360" w:lineRule="auto"/>
        <w:ind w:left="2160" w:hanging="720"/>
        <w:jc w:val="both"/>
        <w:rPr>
          <w:rStyle w:val="PageNumber"/>
          <w:rFonts w:ascii="Arial" w:eastAsia="Arial" w:hAnsi="Arial" w:cs="Arial"/>
        </w:rPr>
      </w:pPr>
      <w:r>
        <w:rPr>
          <w:rStyle w:val="PageNumber"/>
          <w:rFonts w:ascii="Arial" w:hAnsi="Arial"/>
        </w:rPr>
        <w:t>(a)</w:t>
      </w:r>
      <w:r>
        <w:rPr>
          <w:rStyle w:val="PageNumber"/>
          <w:rFonts w:ascii="Arial" w:hAnsi="Arial"/>
        </w:rPr>
        <w:tab/>
        <w:t xml:space="preserve">Paras 1.1 and 1.2 of the cross-appeal are dismissed with costs, to include the costs of one instructing and instructed counsel; and </w:t>
      </w:r>
    </w:p>
    <w:p w:rsidR="002A2CB2" w:rsidRDefault="00AC4A75">
      <w:pPr>
        <w:pStyle w:val="MediumGrid21"/>
        <w:spacing w:line="360" w:lineRule="auto"/>
        <w:ind w:left="2160" w:hanging="720"/>
        <w:jc w:val="both"/>
        <w:rPr>
          <w:rStyle w:val="PageNumber"/>
          <w:rFonts w:ascii="Arial" w:eastAsia="Arial" w:hAnsi="Arial" w:cs="Arial"/>
        </w:rPr>
      </w:pPr>
      <w:r>
        <w:rPr>
          <w:rStyle w:val="PageNumber"/>
          <w:rFonts w:ascii="Arial" w:hAnsi="Arial"/>
        </w:rPr>
        <w:t>(b)</w:t>
      </w:r>
      <w:r>
        <w:rPr>
          <w:rStyle w:val="PageNumber"/>
          <w:rFonts w:ascii="Arial" w:hAnsi="Arial"/>
        </w:rPr>
        <w:tab/>
        <w:t xml:space="preserve">Para 1.3 of the cross-appeal is allowed, and the order of costs in respect of the Fifth Respondent in the court </w:t>
      </w:r>
      <w:r>
        <w:rPr>
          <w:rStyle w:val="PageNumber"/>
          <w:rFonts w:ascii="Arial" w:hAnsi="Arial"/>
          <w:i/>
          <w:iCs/>
        </w:rPr>
        <w:t xml:space="preserve">a quo </w:t>
      </w:r>
      <w:r>
        <w:rPr>
          <w:rStyle w:val="PageNumber"/>
          <w:rFonts w:ascii="Arial" w:hAnsi="Arial"/>
        </w:rPr>
        <w:t>is set aside and replaced with the following order:</w:t>
      </w:r>
    </w:p>
    <w:p w:rsidR="002A2CB2" w:rsidRDefault="00AC4A75">
      <w:pPr>
        <w:pStyle w:val="MediumGrid21"/>
        <w:spacing w:line="360" w:lineRule="auto"/>
        <w:ind w:left="2880"/>
        <w:jc w:val="both"/>
        <w:rPr>
          <w:rStyle w:val="PageNumber"/>
          <w:rFonts w:ascii="Arial" w:eastAsia="Arial" w:hAnsi="Arial" w:cs="Arial"/>
        </w:rPr>
      </w:pPr>
      <w:r>
        <w:rPr>
          <w:rStyle w:val="PageNumber"/>
          <w:rFonts w:ascii="Arial" w:hAnsi="Arial"/>
        </w:rPr>
        <w:t>‘The Fifth Respondent is awarded costs against the Applicant, to include the costs of one instructing and one instructed counsel.’</w:t>
      </w:r>
    </w:p>
    <w:p w:rsidR="002A2CB2" w:rsidRDefault="00AC4A75">
      <w:pPr>
        <w:pStyle w:val="MediumGrid21"/>
        <w:spacing w:line="360" w:lineRule="auto"/>
        <w:ind w:left="1440" w:hanging="720"/>
        <w:jc w:val="both"/>
        <w:rPr>
          <w:rStyle w:val="PageNumber"/>
          <w:rFonts w:ascii="Arial" w:eastAsia="Arial" w:hAnsi="Arial" w:cs="Arial"/>
        </w:rPr>
      </w:pPr>
      <w:r>
        <w:rPr>
          <w:rStyle w:val="PageNumber"/>
          <w:rFonts w:ascii="Arial" w:hAnsi="Arial"/>
        </w:rPr>
        <w:t>3.</w:t>
      </w:r>
      <w:r>
        <w:rPr>
          <w:rStyle w:val="PageNumber"/>
          <w:rFonts w:ascii="Arial" w:hAnsi="Arial"/>
        </w:rPr>
        <w:tab/>
        <w:t>That the First and Second Respondents are awarded costs in the appeal against the Appellant, to include the costs of one instructin</w:t>
      </w:r>
      <w:r w:rsidR="00525F23">
        <w:rPr>
          <w:rStyle w:val="PageNumber"/>
          <w:rFonts w:ascii="Arial" w:hAnsi="Arial"/>
        </w:rPr>
        <w:t>g</w:t>
      </w:r>
      <w:r>
        <w:rPr>
          <w:rStyle w:val="PageNumber"/>
          <w:rFonts w:ascii="Arial" w:hAnsi="Arial"/>
        </w:rPr>
        <w:t xml:space="preserve"> and two instructed counsel.</w:t>
      </w:r>
    </w:p>
    <w:p w:rsidR="002A2CB2" w:rsidRDefault="00AC4A75">
      <w:pPr>
        <w:pStyle w:val="MediumGrid21"/>
        <w:spacing w:line="360" w:lineRule="auto"/>
        <w:ind w:left="1440" w:hanging="720"/>
        <w:jc w:val="both"/>
        <w:rPr>
          <w:rStyle w:val="PageNumber"/>
          <w:rFonts w:ascii="Arial" w:eastAsia="Arial" w:hAnsi="Arial" w:cs="Arial"/>
          <w:sz w:val="24"/>
          <w:szCs w:val="24"/>
        </w:rPr>
      </w:pPr>
      <w:r>
        <w:rPr>
          <w:rStyle w:val="PageNumber"/>
          <w:rFonts w:ascii="Arial" w:hAnsi="Arial"/>
        </w:rPr>
        <w:t>4.</w:t>
      </w:r>
      <w:r>
        <w:rPr>
          <w:rStyle w:val="PageNumber"/>
          <w:rFonts w:ascii="Arial" w:hAnsi="Arial"/>
        </w:rPr>
        <w:tab/>
        <w:t>That the Fifth Respondent is awarded costs in this appeal against the Appellant to include the costs of one instruct</w:t>
      </w:r>
      <w:r w:rsidR="00A22C88">
        <w:rPr>
          <w:rStyle w:val="PageNumber"/>
          <w:rFonts w:ascii="Arial" w:hAnsi="Arial"/>
        </w:rPr>
        <w:t>ing and two instructed counsel.’</w:t>
      </w:r>
    </w:p>
    <w:p w:rsidR="002A2CB2" w:rsidRDefault="002A2CB2" w:rsidP="0066324C">
      <w:pPr>
        <w:pStyle w:val="MediumGrid21"/>
        <w:spacing w:line="480" w:lineRule="auto"/>
        <w:jc w:val="both"/>
        <w:rPr>
          <w:rFonts w:ascii="Arial" w:eastAsia="Arial" w:hAnsi="Arial" w:cs="Arial"/>
          <w:sz w:val="24"/>
          <w:szCs w:val="24"/>
        </w:rPr>
      </w:pPr>
    </w:p>
    <w:p w:rsidR="002A2CB2" w:rsidRDefault="00114F99" w:rsidP="00A22C88">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[2]</w:t>
      </w:r>
      <w:r w:rsidR="00E431C0">
        <w:rPr>
          <w:rStyle w:val="PageNumber"/>
          <w:rFonts w:ascii="Arial" w:hAnsi="Arial"/>
          <w:sz w:val="24"/>
          <w:szCs w:val="24"/>
        </w:rPr>
        <w:tab/>
      </w:r>
      <w:r w:rsidR="00AC4A75">
        <w:rPr>
          <w:rStyle w:val="PageNumber"/>
          <w:rFonts w:ascii="Arial" w:hAnsi="Arial"/>
          <w:sz w:val="24"/>
          <w:szCs w:val="24"/>
        </w:rPr>
        <w:t xml:space="preserve">The parties </w:t>
      </w:r>
      <w:r w:rsidR="000C10DD">
        <w:rPr>
          <w:rStyle w:val="PageNumber"/>
          <w:rFonts w:ascii="Arial" w:hAnsi="Arial"/>
          <w:sz w:val="24"/>
          <w:szCs w:val="24"/>
        </w:rPr>
        <w:t xml:space="preserve">(especially the </w:t>
      </w:r>
      <w:r w:rsidR="00A22C88">
        <w:rPr>
          <w:rStyle w:val="PageNumber"/>
          <w:rFonts w:ascii="Arial" w:hAnsi="Arial"/>
          <w:sz w:val="24"/>
          <w:szCs w:val="24"/>
        </w:rPr>
        <w:t>unsuccessful party</w:t>
      </w:r>
      <w:r w:rsidR="000C10DD">
        <w:rPr>
          <w:rStyle w:val="PageNumber"/>
          <w:rFonts w:ascii="Arial" w:hAnsi="Arial"/>
          <w:sz w:val="24"/>
          <w:szCs w:val="24"/>
        </w:rPr>
        <w:t xml:space="preserve">) </w:t>
      </w:r>
      <w:r w:rsidR="00AC4A75">
        <w:rPr>
          <w:rStyle w:val="PageNumber"/>
          <w:rFonts w:ascii="Arial" w:hAnsi="Arial"/>
          <w:sz w:val="24"/>
          <w:szCs w:val="24"/>
        </w:rPr>
        <w:t xml:space="preserve">are entitled to the reasons that led to the </w:t>
      </w:r>
      <w:r w:rsidR="00F45D60">
        <w:rPr>
          <w:rStyle w:val="PageNumber"/>
          <w:rFonts w:ascii="Arial" w:hAnsi="Arial"/>
          <w:sz w:val="24"/>
          <w:szCs w:val="24"/>
        </w:rPr>
        <w:t>outcome</w:t>
      </w:r>
      <w:r w:rsidR="00A61A9D">
        <w:rPr>
          <w:rStyle w:val="PageNumber"/>
          <w:rFonts w:ascii="Arial" w:hAnsi="Arial"/>
          <w:sz w:val="24"/>
          <w:szCs w:val="24"/>
        </w:rPr>
        <w:t>,</w:t>
      </w:r>
      <w:r w:rsidR="00AC4A75">
        <w:rPr>
          <w:rStyle w:val="PageNumber"/>
          <w:rFonts w:ascii="Arial" w:hAnsi="Arial"/>
          <w:sz w:val="24"/>
          <w:szCs w:val="24"/>
        </w:rPr>
        <w:t xml:space="preserve"> and what follows are the reasons</w:t>
      </w:r>
      <w:r w:rsidR="000C10DD">
        <w:rPr>
          <w:rStyle w:val="PageNumber"/>
          <w:rFonts w:ascii="Arial" w:hAnsi="Arial"/>
          <w:sz w:val="24"/>
          <w:szCs w:val="24"/>
        </w:rPr>
        <w:t xml:space="preserve"> for the order we made</w:t>
      </w:r>
      <w:r w:rsidR="00AC4A75">
        <w:rPr>
          <w:rStyle w:val="PageNumber"/>
          <w:rFonts w:ascii="Arial" w:hAnsi="Arial"/>
          <w:sz w:val="24"/>
          <w:szCs w:val="24"/>
        </w:rPr>
        <w:t>.</w:t>
      </w:r>
    </w:p>
    <w:p w:rsidR="002A2CB2" w:rsidRDefault="002A2CB2" w:rsidP="0066324C">
      <w:pPr>
        <w:pStyle w:val="MediumGrid21"/>
        <w:spacing w:line="480" w:lineRule="auto"/>
        <w:jc w:val="both"/>
        <w:rPr>
          <w:rStyle w:val="PageNumber"/>
          <w:rFonts w:ascii="Arial" w:eastAsia="Arial" w:hAnsi="Arial" w:cs="Arial"/>
          <w:sz w:val="24"/>
          <w:szCs w:val="24"/>
          <w:u w:val="single"/>
        </w:rPr>
      </w:pPr>
    </w:p>
    <w:p w:rsidR="002A2CB2" w:rsidRDefault="00AC4A75">
      <w:pPr>
        <w:pStyle w:val="MediumGrid21"/>
        <w:spacing w:line="480" w:lineRule="auto"/>
        <w:jc w:val="both"/>
        <w:rPr>
          <w:rStyle w:val="PageNumber"/>
          <w:rFonts w:ascii="Arial" w:eastAsia="Arial" w:hAnsi="Arial" w:cs="Arial"/>
          <w:sz w:val="24"/>
          <w:szCs w:val="24"/>
          <w:u w:val="single"/>
        </w:rPr>
      </w:pPr>
      <w:r>
        <w:rPr>
          <w:rStyle w:val="PageNumber"/>
          <w:rFonts w:ascii="Arial" w:hAnsi="Arial"/>
          <w:sz w:val="24"/>
          <w:szCs w:val="24"/>
          <w:u w:val="single"/>
        </w:rPr>
        <w:t xml:space="preserve">Context and litigation history </w:t>
      </w:r>
    </w:p>
    <w:p w:rsidR="00301F2D" w:rsidRDefault="00AF6B35">
      <w:pPr>
        <w:pStyle w:val="MediumGrid21"/>
        <w:spacing w:line="480" w:lineRule="auto"/>
        <w:jc w:val="both"/>
        <w:rPr>
          <w:rStyle w:val="PageNumber"/>
          <w:rFonts w:ascii="Arial" w:hAnsi="Arial"/>
          <w:sz w:val="24"/>
          <w:szCs w:val="24"/>
        </w:rPr>
      </w:pPr>
      <w:r>
        <w:rPr>
          <w:rStyle w:val="PageNumber"/>
          <w:rFonts w:ascii="Arial" w:hAnsi="Arial"/>
          <w:sz w:val="24"/>
          <w:szCs w:val="24"/>
        </w:rPr>
        <w:t>[3</w:t>
      </w:r>
      <w:r w:rsidR="00B1685F">
        <w:rPr>
          <w:rStyle w:val="PageNumber"/>
          <w:rFonts w:ascii="Arial" w:hAnsi="Arial"/>
          <w:sz w:val="24"/>
          <w:szCs w:val="24"/>
        </w:rPr>
        <w:t>]</w:t>
      </w:r>
      <w:r w:rsidR="00B1685F">
        <w:rPr>
          <w:rStyle w:val="PageNumber"/>
          <w:rFonts w:ascii="Arial" w:hAnsi="Arial"/>
          <w:sz w:val="24"/>
          <w:szCs w:val="24"/>
        </w:rPr>
        <w:tab/>
        <w:t>The</w:t>
      </w:r>
      <w:r w:rsidR="002E57A4">
        <w:rPr>
          <w:rStyle w:val="PageNumber"/>
          <w:rFonts w:ascii="Arial" w:hAnsi="Arial"/>
          <w:sz w:val="24"/>
          <w:szCs w:val="24"/>
        </w:rPr>
        <w:t xml:space="preserve"> case </w:t>
      </w:r>
      <w:r w:rsidR="00AC4A75">
        <w:rPr>
          <w:rStyle w:val="PageNumber"/>
          <w:rFonts w:ascii="Arial" w:hAnsi="Arial"/>
          <w:sz w:val="24"/>
          <w:szCs w:val="24"/>
        </w:rPr>
        <w:t xml:space="preserve">concerns a tender to construct a building for the headquarters </w:t>
      </w:r>
      <w:r w:rsidR="004025F6">
        <w:rPr>
          <w:rStyle w:val="PageNumber"/>
          <w:rFonts w:ascii="Arial" w:hAnsi="Arial"/>
          <w:sz w:val="24"/>
          <w:szCs w:val="24"/>
        </w:rPr>
        <w:t xml:space="preserve">of a </w:t>
      </w:r>
      <w:r w:rsidR="002E31A8">
        <w:rPr>
          <w:rStyle w:val="PageNumber"/>
          <w:rFonts w:ascii="Arial" w:hAnsi="Arial"/>
          <w:sz w:val="24"/>
          <w:szCs w:val="24"/>
        </w:rPr>
        <w:t>statutory body</w:t>
      </w:r>
      <w:r w:rsidR="00AC4A75">
        <w:rPr>
          <w:rStyle w:val="PageNumber"/>
          <w:rFonts w:ascii="Arial" w:hAnsi="Arial"/>
          <w:sz w:val="24"/>
          <w:szCs w:val="24"/>
        </w:rPr>
        <w:t xml:space="preserve">, the Roads Authority </w:t>
      </w:r>
      <w:r w:rsidR="002E31A8">
        <w:rPr>
          <w:rStyle w:val="PageNumber"/>
          <w:rFonts w:ascii="Arial" w:hAnsi="Arial"/>
          <w:sz w:val="24"/>
          <w:szCs w:val="24"/>
        </w:rPr>
        <w:t>(the first respondent)</w:t>
      </w:r>
      <w:r w:rsidR="00AC4A75">
        <w:rPr>
          <w:rStyle w:val="PageNumber"/>
          <w:rFonts w:ascii="Arial" w:hAnsi="Arial"/>
          <w:sz w:val="24"/>
          <w:szCs w:val="24"/>
        </w:rPr>
        <w:t xml:space="preserve">, and the decision of the first </w:t>
      </w:r>
      <w:r w:rsidR="00366B4D">
        <w:rPr>
          <w:rStyle w:val="PageNumber"/>
          <w:rFonts w:ascii="Arial" w:hAnsi="Arial"/>
          <w:sz w:val="24"/>
          <w:szCs w:val="24"/>
        </w:rPr>
        <w:t xml:space="preserve">respondent </w:t>
      </w:r>
      <w:r w:rsidR="00AC4A75">
        <w:rPr>
          <w:rStyle w:val="PageNumber"/>
          <w:rFonts w:ascii="Arial" w:hAnsi="Arial"/>
          <w:sz w:val="24"/>
          <w:szCs w:val="24"/>
        </w:rPr>
        <w:t xml:space="preserve">to reject the appellant’s tender in favour of </w:t>
      </w:r>
      <w:r w:rsidR="00301F2D">
        <w:rPr>
          <w:rStyle w:val="PageNumber"/>
          <w:rFonts w:ascii="Arial" w:hAnsi="Arial"/>
          <w:sz w:val="24"/>
          <w:szCs w:val="24"/>
        </w:rPr>
        <w:t>Namibia Construction (Pty) Ltd (</w:t>
      </w:r>
      <w:r w:rsidR="00A71E7F">
        <w:rPr>
          <w:rStyle w:val="PageNumber"/>
          <w:rFonts w:ascii="Arial" w:hAnsi="Arial"/>
          <w:sz w:val="24"/>
          <w:szCs w:val="24"/>
        </w:rPr>
        <w:t xml:space="preserve">the </w:t>
      </w:r>
      <w:r w:rsidR="00AC4A75">
        <w:rPr>
          <w:rStyle w:val="PageNumber"/>
          <w:rFonts w:ascii="Arial" w:hAnsi="Arial"/>
          <w:sz w:val="24"/>
          <w:szCs w:val="24"/>
        </w:rPr>
        <w:t>fifth respondent</w:t>
      </w:r>
      <w:r w:rsidR="00301F2D">
        <w:rPr>
          <w:rStyle w:val="PageNumber"/>
          <w:rFonts w:ascii="Arial" w:hAnsi="Arial"/>
          <w:sz w:val="24"/>
          <w:szCs w:val="24"/>
        </w:rPr>
        <w:t xml:space="preserve">). </w:t>
      </w:r>
    </w:p>
    <w:p w:rsidR="00085E9C" w:rsidRDefault="00085E9C">
      <w:pPr>
        <w:pStyle w:val="MediumGrid21"/>
        <w:spacing w:line="480" w:lineRule="auto"/>
        <w:jc w:val="both"/>
        <w:rPr>
          <w:rStyle w:val="PageNumber"/>
          <w:rFonts w:ascii="Arial" w:hAnsi="Arial"/>
          <w:sz w:val="24"/>
          <w:szCs w:val="24"/>
        </w:rPr>
      </w:pPr>
    </w:p>
    <w:p w:rsidR="00301F2D" w:rsidRDefault="00301F2D" w:rsidP="00301F2D">
      <w:pPr>
        <w:pStyle w:val="MediumGrid21"/>
        <w:spacing w:line="480" w:lineRule="auto"/>
        <w:jc w:val="both"/>
        <w:rPr>
          <w:rStyle w:val="PageNumber"/>
          <w:rFonts w:ascii="Arial" w:eastAsia="Arial" w:hAnsi="Arial" w:cs="Arial"/>
          <w:sz w:val="24"/>
          <w:szCs w:val="24"/>
          <w:u w:val="single"/>
        </w:rPr>
      </w:pPr>
      <w:r>
        <w:rPr>
          <w:rStyle w:val="PageNumber"/>
          <w:rFonts w:ascii="Arial" w:hAnsi="Arial"/>
          <w:sz w:val="24"/>
          <w:szCs w:val="24"/>
        </w:rPr>
        <w:t xml:space="preserve">[4] </w:t>
      </w:r>
      <w:r w:rsidR="00E431C0">
        <w:rPr>
          <w:rStyle w:val="PageNumber"/>
          <w:rFonts w:ascii="Arial" w:hAnsi="Arial"/>
          <w:sz w:val="24"/>
          <w:szCs w:val="24"/>
        </w:rPr>
        <w:tab/>
      </w:r>
      <w:r w:rsidR="00AC4A75">
        <w:rPr>
          <w:rStyle w:val="PageNumber"/>
          <w:rFonts w:ascii="Arial" w:hAnsi="Arial"/>
          <w:sz w:val="24"/>
          <w:szCs w:val="24"/>
        </w:rPr>
        <w:t>The tender process</w:t>
      </w:r>
      <w:r w:rsidR="00A61A9D">
        <w:rPr>
          <w:rStyle w:val="PageNumber"/>
          <w:rFonts w:ascii="Arial" w:hAnsi="Arial"/>
          <w:sz w:val="24"/>
          <w:szCs w:val="24"/>
        </w:rPr>
        <w:t xml:space="preserve"> consisted of four</w:t>
      </w:r>
      <w:r w:rsidR="00AC4A75">
        <w:rPr>
          <w:rStyle w:val="PageNumber"/>
          <w:rFonts w:ascii="Arial" w:hAnsi="Arial"/>
          <w:sz w:val="24"/>
          <w:szCs w:val="24"/>
        </w:rPr>
        <w:t xml:space="preserve"> stages</w:t>
      </w:r>
      <w:r w:rsidR="000400FC">
        <w:rPr>
          <w:rStyle w:val="PageNumber"/>
          <w:rFonts w:ascii="Arial" w:hAnsi="Arial"/>
          <w:sz w:val="24"/>
          <w:szCs w:val="24"/>
        </w:rPr>
        <w:t>, namely</w:t>
      </w:r>
      <w:r w:rsidR="00AC4A75">
        <w:rPr>
          <w:rStyle w:val="PageNumber"/>
          <w:rFonts w:ascii="Arial" w:hAnsi="Arial"/>
          <w:sz w:val="24"/>
          <w:szCs w:val="24"/>
        </w:rPr>
        <w:t xml:space="preserve">: </w:t>
      </w:r>
      <w:r w:rsidR="000400FC">
        <w:rPr>
          <w:rStyle w:val="PageNumber"/>
          <w:rFonts w:ascii="Arial" w:hAnsi="Arial"/>
          <w:sz w:val="24"/>
          <w:szCs w:val="24"/>
        </w:rPr>
        <w:t xml:space="preserve">(a) </w:t>
      </w:r>
      <w:r w:rsidR="00AC4A75">
        <w:rPr>
          <w:rStyle w:val="PageNumber"/>
          <w:rFonts w:ascii="Arial" w:hAnsi="Arial"/>
          <w:sz w:val="24"/>
          <w:szCs w:val="24"/>
        </w:rPr>
        <w:t xml:space="preserve">pre-qualification, </w:t>
      </w:r>
      <w:r w:rsidR="00A61A9D">
        <w:rPr>
          <w:rStyle w:val="PageNumber"/>
          <w:rFonts w:ascii="Arial" w:hAnsi="Arial"/>
          <w:sz w:val="24"/>
          <w:szCs w:val="24"/>
        </w:rPr>
        <w:t xml:space="preserve">(b) </w:t>
      </w:r>
      <w:r w:rsidR="00AC4A75">
        <w:rPr>
          <w:rStyle w:val="PageNumber"/>
          <w:rFonts w:ascii="Arial" w:hAnsi="Arial"/>
          <w:sz w:val="24"/>
          <w:szCs w:val="24"/>
        </w:rPr>
        <w:t xml:space="preserve">evaluation of </w:t>
      </w:r>
      <w:r w:rsidR="00085E9C">
        <w:rPr>
          <w:rStyle w:val="PageNumber"/>
          <w:rFonts w:ascii="Arial" w:hAnsi="Arial"/>
          <w:sz w:val="24"/>
          <w:szCs w:val="24"/>
        </w:rPr>
        <w:t xml:space="preserve">tender </w:t>
      </w:r>
      <w:r>
        <w:rPr>
          <w:rStyle w:val="PageNumber"/>
          <w:rFonts w:ascii="Arial" w:hAnsi="Arial"/>
          <w:sz w:val="24"/>
          <w:szCs w:val="24"/>
        </w:rPr>
        <w:t>bids</w:t>
      </w:r>
      <w:r w:rsidR="004B6D33">
        <w:rPr>
          <w:rStyle w:val="PageNumber"/>
          <w:rFonts w:ascii="Arial" w:hAnsi="Arial"/>
          <w:sz w:val="24"/>
          <w:szCs w:val="24"/>
        </w:rPr>
        <w:t xml:space="preserve"> (tenders</w:t>
      </w:r>
      <w:r w:rsidR="00085E9C">
        <w:rPr>
          <w:rStyle w:val="PageNumber"/>
          <w:rFonts w:ascii="Arial" w:hAnsi="Arial"/>
          <w:sz w:val="24"/>
          <w:szCs w:val="24"/>
        </w:rPr>
        <w:t>)</w:t>
      </w:r>
      <w:r w:rsidR="00AC4A75">
        <w:rPr>
          <w:rStyle w:val="PageNumber"/>
          <w:rFonts w:ascii="Arial" w:hAnsi="Arial"/>
          <w:sz w:val="24"/>
          <w:szCs w:val="24"/>
        </w:rPr>
        <w:t xml:space="preserve">, </w:t>
      </w:r>
      <w:r w:rsidR="00A61A9D">
        <w:rPr>
          <w:rStyle w:val="PageNumber"/>
          <w:rFonts w:ascii="Arial" w:hAnsi="Arial"/>
          <w:sz w:val="24"/>
          <w:szCs w:val="24"/>
        </w:rPr>
        <w:t>(c</w:t>
      </w:r>
      <w:r w:rsidR="000400FC">
        <w:rPr>
          <w:rStyle w:val="PageNumber"/>
          <w:rFonts w:ascii="Arial" w:hAnsi="Arial"/>
          <w:sz w:val="24"/>
          <w:szCs w:val="24"/>
        </w:rPr>
        <w:t xml:space="preserve">) </w:t>
      </w:r>
      <w:r w:rsidR="00AC4A75">
        <w:rPr>
          <w:rStyle w:val="PageNumber"/>
          <w:rFonts w:ascii="Arial" w:hAnsi="Arial"/>
          <w:sz w:val="24"/>
          <w:szCs w:val="24"/>
        </w:rPr>
        <w:t xml:space="preserve">recommendation to the </w:t>
      </w:r>
      <w:r w:rsidR="00085E9C">
        <w:rPr>
          <w:rStyle w:val="PageNumber"/>
          <w:rFonts w:ascii="Arial" w:hAnsi="Arial"/>
          <w:sz w:val="24"/>
          <w:szCs w:val="24"/>
        </w:rPr>
        <w:t xml:space="preserve">Board </w:t>
      </w:r>
      <w:r w:rsidR="000C10DD">
        <w:rPr>
          <w:rStyle w:val="PageNumber"/>
          <w:rFonts w:ascii="Arial" w:hAnsi="Arial"/>
          <w:sz w:val="24"/>
          <w:szCs w:val="24"/>
        </w:rPr>
        <w:t xml:space="preserve">of </w:t>
      </w:r>
      <w:r w:rsidR="00AF7CF0">
        <w:rPr>
          <w:rStyle w:val="PageNumber"/>
          <w:rFonts w:ascii="Arial" w:hAnsi="Arial"/>
          <w:sz w:val="24"/>
          <w:szCs w:val="24"/>
        </w:rPr>
        <w:t>D</w:t>
      </w:r>
      <w:r w:rsidR="000C10DD">
        <w:rPr>
          <w:rStyle w:val="PageNumber"/>
          <w:rFonts w:ascii="Arial" w:hAnsi="Arial"/>
          <w:sz w:val="24"/>
          <w:szCs w:val="24"/>
        </w:rPr>
        <w:t xml:space="preserve">irectors </w:t>
      </w:r>
      <w:r w:rsidR="00085E9C">
        <w:rPr>
          <w:rStyle w:val="PageNumber"/>
          <w:rFonts w:ascii="Arial" w:hAnsi="Arial"/>
          <w:sz w:val="24"/>
          <w:szCs w:val="24"/>
        </w:rPr>
        <w:t xml:space="preserve">of the first </w:t>
      </w:r>
      <w:r>
        <w:rPr>
          <w:rStyle w:val="PageNumber"/>
          <w:rFonts w:ascii="Arial" w:hAnsi="Arial"/>
          <w:sz w:val="24"/>
          <w:szCs w:val="24"/>
        </w:rPr>
        <w:t>respondent</w:t>
      </w:r>
      <w:r w:rsidR="00122DDE">
        <w:rPr>
          <w:rStyle w:val="PageNumber"/>
          <w:rFonts w:ascii="Arial" w:hAnsi="Arial"/>
          <w:sz w:val="24"/>
          <w:szCs w:val="24"/>
        </w:rPr>
        <w:t xml:space="preserve"> (the Board)</w:t>
      </w:r>
      <w:r>
        <w:rPr>
          <w:rStyle w:val="PageNumber"/>
          <w:rFonts w:ascii="Arial" w:hAnsi="Arial"/>
          <w:sz w:val="24"/>
          <w:szCs w:val="24"/>
        </w:rPr>
        <w:t xml:space="preserve"> </w:t>
      </w:r>
      <w:r w:rsidR="00AC4A75">
        <w:rPr>
          <w:rStyle w:val="PageNumber"/>
          <w:rFonts w:ascii="Arial" w:hAnsi="Arial"/>
          <w:sz w:val="24"/>
          <w:szCs w:val="24"/>
        </w:rPr>
        <w:t>to award the tender, and</w:t>
      </w:r>
      <w:r w:rsidR="00A61A9D">
        <w:rPr>
          <w:rStyle w:val="PageNumber"/>
          <w:rFonts w:ascii="Arial" w:hAnsi="Arial"/>
          <w:sz w:val="24"/>
          <w:szCs w:val="24"/>
        </w:rPr>
        <w:t xml:space="preserve"> (d</w:t>
      </w:r>
      <w:r w:rsidR="000400FC">
        <w:rPr>
          <w:rStyle w:val="PageNumber"/>
          <w:rFonts w:ascii="Arial" w:hAnsi="Arial"/>
          <w:sz w:val="24"/>
          <w:szCs w:val="24"/>
        </w:rPr>
        <w:t>)</w:t>
      </w:r>
      <w:r w:rsidR="00AC4A75">
        <w:rPr>
          <w:rStyle w:val="PageNumber"/>
          <w:rFonts w:ascii="Arial" w:hAnsi="Arial"/>
          <w:sz w:val="24"/>
          <w:szCs w:val="24"/>
        </w:rPr>
        <w:t xml:space="preserve"> the award of the tender</w:t>
      </w:r>
      <w:r>
        <w:rPr>
          <w:rStyle w:val="PageNumber"/>
          <w:rFonts w:ascii="Arial" w:hAnsi="Arial"/>
          <w:sz w:val="24"/>
          <w:szCs w:val="24"/>
        </w:rPr>
        <w:t xml:space="preserve">. </w:t>
      </w:r>
      <w:r w:rsidR="00AC4A75">
        <w:rPr>
          <w:rStyle w:val="PageNumber"/>
          <w:rFonts w:ascii="Arial" w:hAnsi="Arial"/>
          <w:sz w:val="24"/>
          <w:szCs w:val="24"/>
        </w:rPr>
        <w:t xml:space="preserve"> </w:t>
      </w:r>
      <w:r>
        <w:rPr>
          <w:rStyle w:val="PageNumber"/>
          <w:rFonts w:ascii="Arial" w:hAnsi="Arial"/>
          <w:sz w:val="24"/>
          <w:szCs w:val="24"/>
        </w:rPr>
        <w:t xml:space="preserve">Six tenderers participated in the pre-qualification conducted by </w:t>
      </w:r>
      <w:r w:rsidR="000600D2">
        <w:rPr>
          <w:rStyle w:val="PageNumber"/>
          <w:rFonts w:ascii="Arial" w:hAnsi="Arial"/>
          <w:sz w:val="24"/>
          <w:szCs w:val="24"/>
        </w:rPr>
        <w:t xml:space="preserve">a </w:t>
      </w:r>
      <w:r>
        <w:rPr>
          <w:rStyle w:val="PageNumber"/>
          <w:rFonts w:ascii="Arial" w:hAnsi="Arial"/>
          <w:sz w:val="24"/>
          <w:szCs w:val="24"/>
        </w:rPr>
        <w:t xml:space="preserve">Steering Committee </w:t>
      </w:r>
      <w:r w:rsidR="004B6D33">
        <w:rPr>
          <w:rStyle w:val="PageNumber"/>
          <w:rFonts w:ascii="Arial" w:hAnsi="Arial"/>
          <w:sz w:val="24"/>
          <w:szCs w:val="24"/>
        </w:rPr>
        <w:t xml:space="preserve">(SC) </w:t>
      </w:r>
      <w:r w:rsidR="00904302">
        <w:rPr>
          <w:rStyle w:val="PageNumber"/>
          <w:rFonts w:ascii="Arial" w:hAnsi="Arial"/>
          <w:sz w:val="24"/>
          <w:szCs w:val="24"/>
        </w:rPr>
        <w:t>established by the first respondent</w:t>
      </w:r>
      <w:r w:rsidR="002A4900">
        <w:rPr>
          <w:rStyle w:val="PageNumber"/>
          <w:rFonts w:ascii="Arial" w:hAnsi="Arial"/>
          <w:sz w:val="24"/>
          <w:szCs w:val="24"/>
        </w:rPr>
        <w:t>. The S</w:t>
      </w:r>
      <w:r w:rsidR="004B6D33">
        <w:rPr>
          <w:rStyle w:val="PageNumber"/>
          <w:rFonts w:ascii="Arial" w:hAnsi="Arial"/>
          <w:sz w:val="24"/>
          <w:szCs w:val="24"/>
        </w:rPr>
        <w:t>C</w:t>
      </w:r>
      <w:r w:rsidR="00904302">
        <w:rPr>
          <w:rStyle w:val="PageNumber"/>
          <w:rFonts w:ascii="Arial" w:hAnsi="Arial"/>
          <w:sz w:val="24"/>
          <w:szCs w:val="24"/>
        </w:rPr>
        <w:t xml:space="preserve"> </w:t>
      </w:r>
      <w:r w:rsidR="004B6D33">
        <w:rPr>
          <w:rStyle w:val="PageNumber"/>
          <w:rFonts w:ascii="Arial" w:hAnsi="Arial"/>
          <w:sz w:val="24"/>
          <w:szCs w:val="24"/>
        </w:rPr>
        <w:t>was made up of</w:t>
      </w:r>
      <w:r>
        <w:rPr>
          <w:rStyle w:val="PageNumber"/>
          <w:rFonts w:ascii="Arial" w:hAnsi="Arial"/>
          <w:sz w:val="24"/>
          <w:szCs w:val="24"/>
        </w:rPr>
        <w:t xml:space="preserve"> </w:t>
      </w:r>
      <w:r w:rsidR="00085E9C">
        <w:rPr>
          <w:rStyle w:val="PageNumber"/>
          <w:rFonts w:ascii="Arial" w:hAnsi="Arial"/>
          <w:sz w:val="24"/>
          <w:szCs w:val="24"/>
        </w:rPr>
        <w:t>certain</w:t>
      </w:r>
      <w:r w:rsidR="002A4900">
        <w:rPr>
          <w:rStyle w:val="PageNumber"/>
          <w:rFonts w:ascii="Arial" w:hAnsi="Arial"/>
          <w:sz w:val="24"/>
          <w:szCs w:val="24"/>
        </w:rPr>
        <w:t xml:space="preserve"> of</w:t>
      </w:r>
      <w:r w:rsidR="00085E9C">
        <w:rPr>
          <w:rStyle w:val="PageNumber"/>
          <w:rFonts w:ascii="Arial" w:hAnsi="Arial"/>
          <w:sz w:val="24"/>
          <w:szCs w:val="24"/>
        </w:rPr>
        <w:t xml:space="preserve"> </w:t>
      </w:r>
      <w:r>
        <w:rPr>
          <w:rStyle w:val="PageNumber"/>
          <w:rFonts w:ascii="Arial" w:hAnsi="Arial"/>
          <w:sz w:val="24"/>
          <w:szCs w:val="24"/>
        </w:rPr>
        <w:t xml:space="preserve">the </w:t>
      </w:r>
      <w:r w:rsidR="00085E9C">
        <w:rPr>
          <w:rStyle w:val="PageNumber"/>
          <w:rFonts w:ascii="Arial" w:hAnsi="Arial"/>
          <w:sz w:val="24"/>
          <w:szCs w:val="24"/>
        </w:rPr>
        <w:t xml:space="preserve">first </w:t>
      </w:r>
      <w:r w:rsidR="00085E9C">
        <w:rPr>
          <w:rStyle w:val="PageNumber"/>
          <w:rFonts w:ascii="Arial" w:hAnsi="Arial"/>
          <w:sz w:val="24"/>
          <w:szCs w:val="24"/>
        </w:rPr>
        <w:lastRenderedPageBreak/>
        <w:t>respondent’s senior employees and the</w:t>
      </w:r>
      <w:r>
        <w:rPr>
          <w:rStyle w:val="PageNumber"/>
          <w:rFonts w:ascii="Arial" w:hAnsi="Arial"/>
          <w:sz w:val="24"/>
          <w:szCs w:val="24"/>
        </w:rPr>
        <w:t xml:space="preserve"> professional construction team appointed by the first respondent. Four of the six tenderers</w:t>
      </w:r>
      <w:r w:rsidR="00CA42CF">
        <w:rPr>
          <w:rStyle w:val="PageNumber"/>
          <w:rFonts w:ascii="Arial" w:hAnsi="Arial"/>
          <w:sz w:val="24"/>
          <w:szCs w:val="24"/>
        </w:rPr>
        <w:t>,</w:t>
      </w:r>
      <w:r w:rsidR="009B3B5A">
        <w:rPr>
          <w:rStyle w:val="PageNumber"/>
          <w:rFonts w:ascii="Arial" w:hAnsi="Arial"/>
          <w:sz w:val="24"/>
          <w:szCs w:val="24"/>
        </w:rPr>
        <w:t xml:space="preserve"> which included</w:t>
      </w:r>
      <w:r>
        <w:rPr>
          <w:rStyle w:val="PageNumber"/>
          <w:rFonts w:ascii="Arial" w:hAnsi="Arial"/>
          <w:sz w:val="24"/>
          <w:szCs w:val="24"/>
        </w:rPr>
        <w:t xml:space="preserve"> the appellant and third to fift</w:t>
      </w:r>
      <w:r w:rsidR="00413B62">
        <w:rPr>
          <w:rStyle w:val="PageNumber"/>
          <w:rFonts w:ascii="Arial" w:hAnsi="Arial"/>
          <w:sz w:val="24"/>
          <w:szCs w:val="24"/>
        </w:rPr>
        <w:t>h respondents</w:t>
      </w:r>
      <w:r w:rsidR="004B6D33">
        <w:rPr>
          <w:rStyle w:val="PageNumber"/>
          <w:rFonts w:ascii="Arial" w:hAnsi="Arial"/>
          <w:sz w:val="24"/>
          <w:szCs w:val="24"/>
        </w:rPr>
        <w:t>,</w:t>
      </w:r>
      <w:r w:rsidR="00413B62">
        <w:rPr>
          <w:rStyle w:val="PageNumber"/>
          <w:rFonts w:ascii="Arial" w:hAnsi="Arial"/>
          <w:sz w:val="24"/>
          <w:szCs w:val="24"/>
        </w:rPr>
        <w:t xml:space="preserve"> proceeded to the evaluation </w:t>
      </w:r>
      <w:r>
        <w:rPr>
          <w:rStyle w:val="PageNumber"/>
          <w:rFonts w:ascii="Arial" w:hAnsi="Arial"/>
          <w:sz w:val="24"/>
          <w:szCs w:val="24"/>
        </w:rPr>
        <w:t>stage. The evaluation of the tenders was conducted by a</w:t>
      </w:r>
      <w:r w:rsidR="004B6D33">
        <w:rPr>
          <w:rStyle w:val="PageNumber"/>
          <w:rFonts w:ascii="Arial" w:hAnsi="Arial"/>
          <w:sz w:val="24"/>
          <w:szCs w:val="24"/>
        </w:rPr>
        <w:t>n</w:t>
      </w:r>
      <w:r>
        <w:rPr>
          <w:rStyle w:val="PageNumber"/>
          <w:rFonts w:ascii="Arial" w:hAnsi="Arial"/>
          <w:sz w:val="24"/>
          <w:szCs w:val="24"/>
        </w:rPr>
        <w:t xml:space="preserve"> </w:t>
      </w:r>
      <w:r w:rsidR="004B6D33">
        <w:rPr>
          <w:rStyle w:val="PageNumber"/>
          <w:rFonts w:ascii="Arial" w:hAnsi="Arial"/>
          <w:sz w:val="24"/>
          <w:szCs w:val="24"/>
        </w:rPr>
        <w:t xml:space="preserve">evaluation </w:t>
      </w:r>
      <w:r>
        <w:rPr>
          <w:rStyle w:val="PageNumber"/>
          <w:rFonts w:ascii="Arial" w:hAnsi="Arial"/>
          <w:sz w:val="24"/>
          <w:szCs w:val="24"/>
        </w:rPr>
        <w:t>committee</w:t>
      </w:r>
      <w:r w:rsidR="004B6D33">
        <w:rPr>
          <w:rStyle w:val="PageNumber"/>
          <w:rFonts w:ascii="Arial" w:hAnsi="Arial"/>
          <w:sz w:val="24"/>
          <w:szCs w:val="24"/>
        </w:rPr>
        <w:t xml:space="preserve"> (EC)</w:t>
      </w:r>
      <w:r w:rsidR="002A4900">
        <w:rPr>
          <w:rStyle w:val="PageNumber"/>
          <w:rFonts w:ascii="Arial" w:hAnsi="Arial"/>
          <w:sz w:val="24"/>
          <w:szCs w:val="24"/>
        </w:rPr>
        <w:t xml:space="preserve">, which comprised of </w:t>
      </w:r>
      <w:r w:rsidR="00085E9C">
        <w:rPr>
          <w:rStyle w:val="PageNumber"/>
          <w:rFonts w:ascii="Arial" w:hAnsi="Arial"/>
          <w:sz w:val="24"/>
          <w:szCs w:val="24"/>
        </w:rPr>
        <w:t>certain of</w:t>
      </w:r>
      <w:r w:rsidR="002A4900">
        <w:rPr>
          <w:rStyle w:val="PageNumber"/>
          <w:rFonts w:ascii="Arial" w:hAnsi="Arial"/>
          <w:sz w:val="24"/>
          <w:szCs w:val="24"/>
        </w:rPr>
        <w:t xml:space="preserve"> the</w:t>
      </w:r>
      <w:r w:rsidR="00085E9C">
        <w:rPr>
          <w:rStyle w:val="PageNumber"/>
          <w:rFonts w:ascii="Arial" w:hAnsi="Arial"/>
          <w:sz w:val="24"/>
          <w:szCs w:val="24"/>
        </w:rPr>
        <w:t xml:space="preserve"> first respondent’s employees and </w:t>
      </w:r>
      <w:r w:rsidR="002A4900">
        <w:rPr>
          <w:rStyle w:val="PageNumber"/>
          <w:rFonts w:ascii="Arial" w:hAnsi="Arial"/>
          <w:sz w:val="24"/>
          <w:szCs w:val="24"/>
        </w:rPr>
        <w:t xml:space="preserve">the </w:t>
      </w:r>
      <w:r w:rsidR="00085E9C">
        <w:rPr>
          <w:rStyle w:val="PageNumber"/>
          <w:rFonts w:ascii="Arial" w:hAnsi="Arial"/>
          <w:sz w:val="24"/>
          <w:szCs w:val="24"/>
        </w:rPr>
        <w:t xml:space="preserve">appointed professional construction team. The </w:t>
      </w:r>
      <w:r w:rsidR="004B6D33">
        <w:rPr>
          <w:rStyle w:val="PageNumber"/>
          <w:rFonts w:ascii="Arial" w:hAnsi="Arial"/>
          <w:sz w:val="24"/>
          <w:szCs w:val="24"/>
        </w:rPr>
        <w:t xml:space="preserve">EC </w:t>
      </w:r>
      <w:r>
        <w:rPr>
          <w:rStyle w:val="PageNumber"/>
          <w:rFonts w:ascii="Arial" w:hAnsi="Arial"/>
          <w:sz w:val="24"/>
          <w:szCs w:val="24"/>
        </w:rPr>
        <w:t>recommended to the</w:t>
      </w:r>
      <w:r w:rsidR="004B6D33">
        <w:rPr>
          <w:rStyle w:val="PageNumber"/>
          <w:rFonts w:ascii="Arial" w:hAnsi="Arial"/>
          <w:sz w:val="24"/>
          <w:szCs w:val="24"/>
        </w:rPr>
        <w:t xml:space="preserve"> SC </w:t>
      </w:r>
      <w:r>
        <w:rPr>
          <w:rStyle w:val="PageNumber"/>
          <w:rFonts w:ascii="Arial" w:hAnsi="Arial"/>
          <w:sz w:val="24"/>
          <w:szCs w:val="24"/>
        </w:rPr>
        <w:t xml:space="preserve">that the tender be awarded to the fifth respondent. </w:t>
      </w:r>
      <w:r w:rsidR="00E56740">
        <w:rPr>
          <w:rStyle w:val="PageNumber"/>
          <w:rFonts w:ascii="Arial" w:hAnsi="Arial"/>
          <w:sz w:val="24"/>
          <w:szCs w:val="24"/>
        </w:rPr>
        <w:t xml:space="preserve">The </w:t>
      </w:r>
      <w:r w:rsidR="004B6D33">
        <w:rPr>
          <w:rStyle w:val="PageNumber"/>
          <w:rFonts w:ascii="Arial" w:hAnsi="Arial"/>
          <w:sz w:val="24"/>
          <w:szCs w:val="24"/>
        </w:rPr>
        <w:t>SC</w:t>
      </w:r>
      <w:r w:rsidR="00D05AE3">
        <w:rPr>
          <w:rStyle w:val="PageNumber"/>
          <w:rFonts w:ascii="Arial" w:hAnsi="Arial"/>
          <w:sz w:val="24"/>
          <w:szCs w:val="24"/>
        </w:rPr>
        <w:t>,</w:t>
      </w:r>
      <w:r w:rsidR="004B6D33">
        <w:rPr>
          <w:rStyle w:val="PageNumber"/>
          <w:rFonts w:ascii="Arial" w:hAnsi="Arial"/>
          <w:sz w:val="24"/>
          <w:szCs w:val="24"/>
        </w:rPr>
        <w:t xml:space="preserve"> for its part</w:t>
      </w:r>
      <w:r w:rsidR="00DE700C">
        <w:rPr>
          <w:rStyle w:val="PageNumber"/>
          <w:rFonts w:ascii="Arial" w:hAnsi="Arial"/>
          <w:sz w:val="24"/>
          <w:szCs w:val="24"/>
        </w:rPr>
        <w:t>,</w:t>
      </w:r>
      <w:r w:rsidR="004B6D33">
        <w:rPr>
          <w:rStyle w:val="PageNumber"/>
          <w:rFonts w:ascii="Arial" w:hAnsi="Arial"/>
          <w:sz w:val="24"/>
          <w:szCs w:val="24"/>
        </w:rPr>
        <w:t xml:space="preserve"> </w:t>
      </w:r>
      <w:r w:rsidR="00085E9C">
        <w:rPr>
          <w:rStyle w:val="PageNumber"/>
          <w:rFonts w:ascii="Arial" w:hAnsi="Arial"/>
          <w:sz w:val="24"/>
          <w:szCs w:val="24"/>
        </w:rPr>
        <w:t xml:space="preserve">unanimously </w:t>
      </w:r>
      <w:r w:rsidR="00A87210">
        <w:rPr>
          <w:rStyle w:val="PageNumber"/>
          <w:rFonts w:ascii="Arial" w:hAnsi="Arial"/>
          <w:sz w:val="24"/>
          <w:szCs w:val="24"/>
        </w:rPr>
        <w:t xml:space="preserve">adopted the recommendation and </w:t>
      </w:r>
      <w:r w:rsidR="00D07DF4">
        <w:rPr>
          <w:rStyle w:val="PageNumber"/>
          <w:rFonts w:ascii="Arial" w:hAnsi="Arial"/>
          <w:sz w:val="24"/>
          <w:szCs w:val="24"/>
        </w:rPr>
        <w:t>proposed</w:t>
      </w:r>
      <w:r w:rsidR="008C7A27">
        <w:rPr>
          <w:rStyle w:val="PageNumber"/>
          <w:rFonts w:ascii="Arial" w:hAnsi="Arial"/>
          <w:sz w:val="24"/>
          <w:szCs w:val="24"/>
        </w:rPr>
        <w:t xml:space="preserve"> </w:t>
      </w:r>
      <w:r w:rsidR="002A5E07">
        <w:rPr>
          <w:rStyle w:val="PageNumber"/>
          <w:rFonts w:ascii="Arial" w:hAnsi="Arial"/>
          <w:sz w:val="24"/>
          <w:szCs w:val="24"/>
        </w:rPr>
        <w:t>to the Board</w:t>
      </w:r>
      <w:r w:rsidR="002A4900">
        <w:rPr>
          <w:rStyle w:val="PageNumber"/>
          <w:rFonts w:ascii="Arial" w:hAnsi="Arial"/>
          <w:sz w:val="24"/>
          <w:szCs w:val="24"/>
        </w:rPr>
        <w:t xml:space="preserve"> that the tender be awarded </w:t>
      </w:r>
      <w:r>
        <w:rPr>
          <w:rStyle w:val="PageNumber"/>
          <w:rFonts w:ascii="Arial" w:hAnsi="Arial"/>
          <w:sz w:val="24"/>
          <w:szCs w:val="24"/>
        </w:rPr>
        <w:t xml:space="preserve">to the fifth respondent. </w:t>
      </w:r>
      <w:r w:rsidRPr="00A87210">
        <w:rPr>
          <w:rStyle w:val="PageNumber"/>
          <w:rFonts w:ascii="Arial" w:hAnsi="Arial"/>
          <w:color w:val="auto"/>
          <w:sz w:val="24"/>
          <w:szCs w:val="24"/>
        </w:rPr>
        <w:t xml:space="preserve">The </w:t>
      </w:r>
      <w:r w:rsidR="00085E9C">
        <w:rPr>
          <w:rStyle w:val="PageNumber"/>
          <w:rFonts w:ascii="Arial" w:hAnsi="Arial"/>
          <w:color w:val="auto"/>
          <w:sz w:val="24"/>
          <w:szCs w:val="24"/>
        </w:rPr>
        <w:t xml:space="preserve">Board </w:t>
      </w:r>
      <w:r w:rsidR="00B3249F">
        <w:rPr>
          <w:rStyle w:val="PageNumber"/>
          <w:rFonts w:ascii="Arial" w:hAnsi="Arial"/>
          <w:color w:val="auto"/>
          <w:sz w:val="24"/>
          <w:szCs w:val="24"/>
        </w:rPr>
        <w:t xml:space="preserve">in turn </w:t>
      </w:r>
      <w:r>
        <w:rPr>
          <w:rStyle w:val="PageNumber"/>
          <w:rFonts w:ascii="Arial" w:hAnsi="Arial"/>
          <w:sz w:val="24"/>
          <w:szCs w:val="24"/>
        </w:rPr>
        <w:t>unanimou</w:t>
      </w:r>
      <w:r w:rsidR="0090127D">
        <w:rPr>
          <w:rStyle w:val="PageNumber"/>
          <w:rFonts w:ascii="Arial" w:hAnsi="Arial"/>
          <w:sz w:val="24"/>
          <w:szCs w:val="24"/>
        </w:rPr>
        <w:t>sly approved the recom</w:t>
      </w:r>
      <w:r w:rsidR="00A87210">
        <w:rPr>
          <w:rStyle w:val="PageNumber"/>
          <w:rFonts w:ascii="Arial" w:hAnsi="Arial"/>
          <w:sz w:val="24"/>
          <w:szCs w:val="24"/>
        </w:rPr>
        <w:t>mendation</w:t>
      </w:r>
      <w:r w:rsidR="00085E9C">
        <w:rPr>
          <w:rStyle w:val="PageNumber"/>
          <w:rFonts w:ascii="Arial" w:hAnsi="Arial"/>
          <w:sz w:val="24"/>
          <w:szCs w:val="24"/>
        </w:rPr>
        <w:t>,</w:t>
      </w:r>
      <w:r w:rsidR="00A87210">
        <w:rPr>
          <w:rStyle w:val="PageNumber"/>
          <w:rFonts w:ascii="Arial" w:hAnsi="Arial"/>
          <w:sz w:val="24"/>
          <w:szCs w:val="24"/>
        </w:rPr>
        <w:t xml:space="preserve"> and on </w:t>
      </w:r>
      <w:r w:rsidR="0090127D">
        <w:rPr>
          <w:rStyle w:val="PageNumber"/>
          <w:rFonts w:ascii="Arial" w:hAnsi="Arial"/>
          <w:sz w:val="24"/>
          <w:szCs w:val="24"/>
        </w:rPr>
        <w:t>03 December 2013</w:t>
      </w:r>
      <w:r>
        <w:rPr>
          <w:rStyle w:val="PageNumber"/>
          <w:rFonts w:ascii="Arial" w:hAnsi="Arial"/>
          <w:sz w:val="24"/>
          <w:szCs w:val="24"/>
        </w:rPr>
        <w:t xml:space="preserve"> awarded </w:t>
      </w:r>
      <w:r w:rsidR="00A6402E">
        <w:rPr>
          <w:rStyle w:val="PageNumber"/>
          <w:rFonts w:ascii="Arial" w:hAnsi="Arial"/>
          <w:sz w:val="24"/>
          <w:szCs w:val="24"/>
        </w:rPr>
        <w:t xml:space="preserve">the tender </w:t>
      </w:r>
      <w:r w:rsidR="00A87210">
        <w:rPr>
          <w:rStyle w:val="PageNumber"/>
          <w:rFonts w:ascii="Arial" w:hAnsi="Arial"/>
          <w:sz w:val="24"/>
          <w:szCs w:val="24"/>
        </w:rPr>
        <w:t xml:space="preserve">to </w:t>
      </w:r>
      <w:r>
        <w:rPr>
          <w:rStyle w:val="PageNumber"/>
          <w:rFonts w:ascii="Arial" w:hAnsi="Arial"/>
          <w:sz w:val="24"/>
          <w:szCs w:val="24"/>
        </w:rPr>
        <w:t>the fifth respondent</w:t>
      </w:r>
      <w:r w:rsidR="00A87210">
        <w:rPr>
          <w:rStyle w:val="PageNumber"/>
          <w:rFonts w:ascii="Arial" w:hAnsi="Arial"/>
          <w:sz w:val="24"/>
          <w:szCs w:val="24"/>
        </w:rPr>
        <w:t>.</w:t>
      </w:r>
      <w:r w:rsidR="0090127D">
        <w:rPr>
          <w:rStyle w:val="PageNumber"/>
          <w:rFonts w:ascii="Arial" w:hAnsi="Arial"/>
          <w:sz w:val="24"/>
          <w:szCs w:val="24"/>
        </w:rPr>
        <w:t xml:space="preserve"> </w:t>
      </w:r>
    </w:p>
    <w:p w:rsidR="002A2CB2" w:rsidRDefault="002A2CB2">
      <w:pPr>
        <w:pStyle w:val="MediumGrid21"/>
        <w:spacing w:line="480" w:lineRule="auto"/>
        <w:jc w:val="both"/>
        <w:rPr>
          <w:rFonts w:ascii="Arial" w:eastAsia="Arial" w:hAnsi="Arial" w:cs="Arial"/>
          <w:sz w:val="24"/>
          <w:szCs w:val="24"/>
        </w:rPr>
      </w:pPr>
    </w:p>
    <w:p w:rsidR="000D3F3F"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[5</w:t>
      </w:r>
      <w:r w:rsidR="00AC4A75">
        <w:rPr>
          <w:rStyle w:val="PageNumber"/>
          <w:rFonts w:ascii="Arial" w:hAnsi="Arial"/>
          <w:sz w:val="24"/>
          <w:szCs w:val="24"/>
        </w:rPr>
        <w:t>]</w:t>
      </w:r>
      <w:r w:rsidR="00AC4A75">
        <w:rPr>
          <w:rStyle w:val="PageNumber"/>
          <w:rFonts w:ascii="Arial" w:hAnsi="Arial"/>
          <w:sz w:val="24"/>
          <w:szCs w:val="24"/>
        </w:rPr>
        <w:tab/>
      </w:r>
      <w:r w:rsidR="002A4900">
        <w:rPr>
          <w:rStyle w:val="PageNumber"/>
          <w:rFonts w:ascii="Arial" w:hAnsi="Arial"/>
          <w:sz w:val="24"/>
          <w:szCs w:val="24"/>
        </w:rPr>
        <w:t xml:space="preserve">In the wake of the award of the tender, </w:t>
      </w:r>
      <w:r w:rsidR="00AC4A75">
        <w:rPr>
          <w:rStyle w:val="PageNumber"/>
          <w:rFonts w:ascii="Arial" w:hAnsi="Arial"/>
          <w:sz w:val="24"/>
          <w:szCs w:val="24"/>
        </w:rPr>
        <w:t xml:space="preserve">the appellant </w:t>
      </w:r>
      <w:r w:rsidR="004B148D">
        <w:rPr>
          <w:rStyle w:val="PageNumber"/>
          <w:rFonts w:ascii="Arial" w:hAnsi="Arial"/>
          <w:sz w:val="24"/>
          <w:szCs w:val="24"/>
        </w:rPr>
        <w:t xml:space="preserve">on 21 January 2014 </w:t>
      </w:r>
      <w:r w:rsidR="00AC4A75">
        <w:rPr>
          <w:rStyle w:val="PageNumber"/>
          <w:rFonts w:ascii="Arial" w:hAnsi="Arial"/>
          <w:sz w:val="24"/>
          <w:szCs w:val="24"/>
        </w:rPr>
        <w:t xml:space="preserve">launched urgent review proceedings </w:t>
      </w:r>
      <w:r w:rsidR="00CD4869">
        <w:rPr>
          <w:rStyle w:val="PageNumber"/>
          <w:rFonts w:ascii="Arial" w:hAnsi="Arial"/>
          <w:sz w:val="24"/>
          <w:szCs w:val="24"/>
        </w:rPr>
        <w:t xml:space="preserve">in the High Court </w:t>
      </w:r>
      <w:r w:rsidR="00597BE5">
        <w:rPr>
          <w:rStyle w:val="PageNumber"/>
          <w:rFonts w:ascii="Arial" w:hAnsi="Arial"/>
          <w:sz w:val="24"/>
          <w:szCs w:val="24"/>
        </w:rPr>
        <w:t>in terms of rule 53</w:t>
      </w:r>
      <w:r w:rsidR="00E62B0F">
        <w:rPr>
          <w:rStyle w:val="FootnoteReference"/>
          <w:rFonts w:ascii="Arial" w:hAnsi="Arial"/>
          <w:sz w:val="24"/>
          <w:szCs w:val="24"/>
        </w:rPr>
        <w:footnoteReference w:id="2"/>
      </w:r>
      <w:r w:rsidR="00597BE5">
        <w:rPr>
          <w:rStyle w:val="PageNumber"/>
          <w:rFonts w:ascii="Arial" w:hAnsi="Arial"/>
          <w:sz w:val="24"/>
          <w:szCs w:val="24"/>
        </w:rPr>
        <w:t xml:space="preserve"> </w:t>
      </w:r>
      <w:r w:rsidR="00085E9C">
        <w:rPr>
          <w:rStyle w:val="PageNumber"/>
          <w:rFonts w:ascii="Arial" w:hAnsi="Arial"/>
          <w:sz w:val="24"/>
          <w:szCs w:val="24"/>
        </w:rPr>
        <w:t>read with rule 6</w:t>
      </w:r>
      <w:r w:rsidR="00CD4869">
        <w:rPr>
          <w:rStyle w:val="PageNumber"/>
          <w:rFonts w:ascii="Arial" w:hAnsi="Arial"/>
          <w:sz w:val="24"/>
          <w:szCs w:val="24"/>
        </w:rPr>
        <w:t>(12)</w:t>
      </w:r>
      <w:r w:rsidR="00E62B0F">
        <w:rPr>
          <w:rStyle w:val="FootnoteReference"/>
          <w:rFonts w:ascii="Arial" w:hAnsi="Arial"/>
          <w:sz w:val="24"/>
          <w:szCs w:val="24"/>
        </w:rPr>
        <w:footnoteReference w:id="3"/>
      </w:r>
      <w:r w:rsidR="00CD4869">
        <w:rPr>
          <w:rStyle w:val="PageNumber"/>
          <w:rFonts w:ascii="Arial" w:hAnsi="Arial"/>
          <w:sz w:val="24"/>
          <w:szCs w:val="24"/>
        </w:rPr>
        <w:t xml:space="preserve"> </w:t>
      </w:r>
      <w:r w:rsidR="001F5169">
        <w:rPr>
          <w:rStyle w:val="PageNumber"/>
          <w:rFonts w:ascii="Arial" w:hAnsi="Arial"/>
          <w:sz w:val="24"/>
          <w:szCs w:val="24"/>
        </w:rPr>
        <w:t>of that court</w:t>
      </w:r>
      <w:r w:rsidR="00E62B0F">
        <w:rPr>
          <w:rStyle w:val="PageNumber"/>
          <w:rFonts w:ascii="Arial" w:hAnsi="Arial"/>
          <w:sz w:val="24"/>
          <w:szCs w:val="24"/>
        </w:rPr>
        <w:t>,</w:t>
      </w:r>
      <w:r w:rsidR="001F5169">
        <w:rPr>
          <w:rStyle w:val="PageNumber"/>
          <w:rFonts w:ascii="Arial" w:hAnsi="Arial"/>
          <w:sz w:val="24"/>
          <w:szCs w:val="24"/>
        </w:rPr>
        <w:t xml:space="preserve"> </w:t>
      </w:r>
      <w:r w:rsidR="00AC4A75">
        <w:rPr>
          <w:rStyle w:val="PageNumber"/>
          <w:rFonts w:ascii="Arial" w:hAnsi="Arial"/>
          <w:sz w:val="24"/>
          <w:szCs w:val="24"/>
        </w:rPr>
        <w:t>challenging the award</w:t>
      </w:r>
      <w:r w:rsidR="000D3F3F">
        <w:rPr>
          <w:rStyle w:val="PageNumber"/>
          <w:rFonts w:ascii="Arial" w:hAnsi="Arial"/>
          <w:sz w:val="24"/>
          <w:szCs w:val="24"/>
        </w:rPr>
        <w:t>.</w:t>
      </w:r>
      <w:r w:rsidR="00AC4A75">
        <w:rPr>
          <w:rStyle w:val="PageNumber"/>
          <w:rFonts w:ascii="Arial" w:hAnsi="Arial"/>
          <w:sz w:val="24"/>
          <w:szCs w:val="24"/>
        </w:rPr>
        <w:t xml:space="preserve"> </w:t>
      </w:r>
    </w:p>
    <w:p w:rsidR="000D3F3F" w:rsidRDefault="000D3F3F">
      <w:pPr>
        <w:pStyle w:val="MediumGrid21"/>
        <w:spacing w:line="480" w:lineRule="auto"/>
        <w:jc w:val="both"/>
        <w:rPr>
          <w:rStyle w:val="PageNumber"/>
          <w:rFonts w:ascii="Arial" w:hAnsi="Arial"/>
          <w:sz w:val="24"/>
          <w:szCs w:val="24"/>
        </w:rPr>
      </w:pPr>
    </w:p>
    <w:p w:rsidR="002A2CB2" w:rsidRPr="002A4900"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[6</w:t>
      </w:r>
      <w:r w:rsidR="00A22C88">
        <w:rPr>
          <w:rStyle w:val="PageNumber"/>
          <w:rFonts w:ascii="Arial" w:hAnsi="Arial"/>
          <w:sz w:val="24"/>
          <w:szCs w:val="24"/>
        </w:rPr>
        <w:t>]</w:t>
      </w:r>
      <w:r w:rsidR="00A22C88">
        <w:rPr>
          <w:rStyle w:val="PageNumber"/>
          <w:rFonts w:ascii="Arial" w:hAnsi="Arial"/>
          <w:sz w:val="24"/>
          <w:szCs w:val="24"/>
        </w:rPr>
        <w:tab/>
      </w:r>
      <w:r w:rsidR="00AC4A75">
        <w:rPr>
          <w:rStyle w:val="PageNumber"/>
          <w:rFonts w:ascii="Arial" w:hAnsi="Arial"/>
          <w:sz w:val="24"/>
          <w:szCs w:val="24"/>
        </w:rPr>
        <w:t>Ordinarily, a party seek</w:t>
      </w:r>
      <w:r w:rsidR="001F5169">
        <w:rPr>
          <w:rStyle w:val="PageNumber"/>
          <w:rFonts w:ascii="Arial" w:hAnsi="Arial"/>
          <w:sz w:val="24"/>
          <w:szCs w:val="24"/>
        </w:rPr>
        <w:t>ing</w:t>
      </w:r>
      <w:r w:rsidR="00AC4A75">
        <w:rPr>
          <w:rStyle w:val="PageNumber"/>
          <w:rFonts w:ascii="Arial" w:hAnsi="Arial"/>
          <w:sz w:val="24"/>
          <w:szCs w:val="24"/>
        </w:rPr>
        <w:t xml:space="preserve"> review relief is entitled, although not obliged, to have access to the record of the proceedings,</w:t>
      </w:r>
      <w:r w:rsidR="000400FC">
        <w:rPr>
          <w:rStyle w:val="PageNumber"/>
          <w:rFonts w:ascii="Arial" w:hAnsi="Arial"/>
          <w:sz w:val="24"/>
          <w:szCs w:val="24"/>
        </w:rPr>
        <w:t xml:space="preserve"> including the reasons giving</w:t>
      </w:r>
      <w:r w:rsidR="00AC4A75">
        <w:rPr>
          <w:rStyle w:val="PageNumber"/>
          <w:rFonts w:ascii="Arial" w:hAnsi="Arial"/>
          <w:sz w:val="24"/>
          <w:szCs w:val="24"/>
        </w:rPr>
        <w:t xml:space="preserve"> rise to the decision that it seeks </w:t>
      </w:r>
      <w:r w:rsidR="002A4900">
        <w:rPr>
          <w:rStyle w:val="PageNumber"/>
          <w:rFonts w:ascii="Arial" w:hAnsi="Arial"/>
          <w:sz w:val="24"/>
          <w:szCs w:val="24"/>
        </w:rPr>
        <w:t xml:space="preserve">to have reviewed and set aside. </w:t>
      </w:r>
      <w:r w:rsidR="001F5169">
        <w:rPr>
          <w:rStyle w:val="PageNumber"/>
          <w:rFonts w:ascii="Arial" w:hAnsi="Arial"/>
          <w:sz w:val="24"/>
          <w:szCs w:val="24"/>
        </w:rPr>
        <w:t xml:space="preserve">An </w:t>
      </w:r>
      <w:r w:rsidR="00E62B0F">
        <w:rPr>
          <w:rStyle w:val="PageNumber"/>
          <w:rFonts w:ascii="Arial" w:hAnsi="Arial"/>
          <w:sz w:val="24"/>
          <w:szCs w:val="24"/>
        </w:rPr>
        <w:t xml:space="preserve">applicant </w:t>
      </w:r>
      <w:r w:rsidR="00790A32">
        <w:rPr>
          <w:rStyle w:val="PageNumber"/>
          <w:rFonts w:ascii="Arial" w:hAnsi="Arial"/>
          <w:sz w:val="24"/>
          <w:szCs w:val="24"/>
        </w:rPr>
        <w:t>for review may,</w:t>
      </w:r>
      <w:r w:rsidR="00AC4A75">
        <w:rPr>
          <w:rStyle w:val="PageNumber"/>
          <w:rFonts w:ascii="Arial" w:hAnsi="Arial"/>
          <w:sz w:val="24"/>
          <w:szCs w:val="24"/>
        </w:rPr>
        <w:t xml:space="preserve"> however, elect to seek review relief without the benefit of the record and the accompanying reasons.</w:t>
      </w:r>
      <w:r w:rsidR="00AC4A75">
        <w:rPr>
          <w:rStyle w:val="PageNumber"/>
          <w:rFonts w:ascii="Arial" w:eastAsia="Arial" w:hAnsi="Arial" w:cs="Arial"/>
          <w:sz w:val="24"/>
          <w:szCs w:val="24"/>
          <w:vertAlign w:val="superscript"/>
        </w:rPr>
        <w:footnoteReference w:id="4"/>
      </w:r>
      <w:r w:rsidR="00AC4A75">
        <w:rPr>
          <w:rStyle w:val="PageNumber"/>
          <w:rFonts w:ascii="Arial" w:hAnsi="Arial"/>
          <w:sz w:val="24"/>
          <w:szCs w:val="24"/>
        </w:rPr>
        <w:t xml:space="preserve"> </w:t>
      </w:r>
      <w:r w:rsidR="00790A32">
        <w:rPr>
          <w:rStyle w:val="PageNumber"/>
          <w:rFonts w:ascii="Arial" w:hAnsi="Arial"/>
          <w:sz w:val="24"/>
          <w:szCs w:val="24"/>
        </w:rPr>
        <w:t xml:space="preserve">The inherent </w:t>
      </w:r>
      <w:r w:rsidR="000D3F3F">
        <w:rPr>
          <w:rStyle w:val="PageNumber"/>
          <w:rFonts w:ascii="Arial" w:hAnsi="Arial"/>
          <w:sz w:val="24"/>
          <w:szCs w:val="24"/>
        </w:rPr>
        <w:t>risk</w:t>
      </w:r>
      <w:r w:rsidR="001F5169">
        <w:rPr>
          <w:rStyle w:val="PageNumber"/>
          <w:rFonts w:ascii="Arial" w:hAnsi="Arial"/>
          <w:sz w:val="24"/>
          <w:szCs w:val="24"/>
        </w:rPr>
        <w:t xml:space="preserve"> of doing</w:t>
      </w:r>
      <w:r w:rsidR="002A4900">
        <w:rPr>
          <w:rStyle w:val="PageNumber"/>
          <w:rFonts w:ascii="Arial" w:hAnsi="Arial"/>
          <w:sz w:val="24"/>
          <w:szCs w:val="24"/>
        </w:rPr>
        <w:t xml:space="preserve"> so, as happened in this matter</w:t>
      </w:r>
      <w:r w:rsidR="002A5E07">
        <w:rPr>
          <w:rStyle w:val="PageNumber"/>
          <w:rFonts w:ascii="Arial" w:hAnsi="Arial"/>
          <w:sz w:val="24"/>
          <w:szCs w:val="24"/>
        </w:rPr>
        <w:t>,</w:t>
      </w:r>
      <w:r w:rsidR="002A4900">
        <w:rPr>
          <w:rStyle w:val="PageNumber"/>
          <w:rFonts w:ascii="Arial" w:hAnsi="Arial"/>
          <w:sz w:val="24"/>
          <w:szCs w:val="24"/>
        </w:rPr>
        <w:t xml:space="preserve"> </w:t>
      </w:r>
      <w:r w:rsidR="001F5169">
        <w:rPr>
          <w:rStyle w:val="PageNumber"/>
          <w:rFonts w:ascii="Arial" w:hAnsi="Arial"/>
          <w:sz w:val="24"/>
          <w:szCs w:val="24"/>
        </w:rPr>
        <w:t>become</w:t>
      </w:r>
      <w:r w:rsidR="00790A32">
        <w:rPr>
          <w:rStyle w:val="PageNumber"/>
          <w:rFonts w:ascii="Arial" w:hAnsi="Arial"/>
          <w:sz w:val="24"/>
          <w:szCs w:val="24"/>
        </w:rPr>
        <w:t>s</w:t>
      </w:r>
      <w:r w:rsidR="00AC4A75">
        <w:rPr>
          <w:rStyle w:val="PageNumber"/>
          <w:rFonts w:ascii="Arial" w:hAnsi="Arial"/>
          <w:sz w:val="24"/>
          <w:szCs w:val="24"/>
        </w:rPr>
        <w:t xml:space="preserve"> apparent </w:t>
      </w:r>
      <w:r w:rsidR="00790A32">
        <w:rPr>
          <w:rStyle w:val="PageNumber"/>
          <w:rFonts w:ascii="Arial" w:hAnsi="Arial"/>
          <w:sz w:val="24"/>
          <w:szCs w:val="24"/>
        </w:rPr>
        <w:t xml:space="preserve">below. </w:t>
      </w:r>
    </w:p>
    <w:p w:rsidR="002A2CB2" w:rsidRDefault="002A2CB2">
      <w:pPr>
        <w:pStyle w:val="MediumGrid21"/>
        <w:spacing w:line="480" w:lineRule="auto"/>
        <w:jc w:val="both"/>
        <w:rPr>
          <w:rFonts w:ascii="Arial" w:eastAsia="Arial" w:hAnsi="Arial" w:cs="Arial"/>
          <w:sz w:val="24"/>
          <w:szCs w:val="24"/>
        </w:rPr>
      </w:pPr>
    </w:p>
    <w:p w:rsidR="00A85D83" w:rsidRDefault="0021003B" w:rsidP="00A85D83">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[7</w:t>
      </w:r>
      <w:r w:rsidR="00AC4A75">
        <w:rPr>
          <w:rStyle w:val="PageNumber"/>
          <w:rFonts w:ascii="Arial" w:hAnsi="Arial"/>
          <w:sz w:val="24"/>
          <w:szCs w:val="24"/>
        </w:rPr>
        <w:t xml:space="preserve">] </w:t>
      </w:r>
      <w:r w:rsidR="00AC4A75">
        <w:rPr>
          <w:rStyle w:val="PageNumber"/>
          <w:rFonts w:ascii="Arial" w:hAnsi="Arial"/>
          <w:sz w:val="24"/>
          <w:szCs w:val="24"/>
        </w:rPr>
        <w:tab/>
        <w:t>Although well within its rights</w:t>
      </w:r>
      <w:r w:rsidR="00FA0D99">
        <w:rPr>
          <w:rStyle w:val="PageNumber"/>
          <w:rFonts w:ascii="Arial" w:hAnsi="Arial"/>
          <w:sz w:val="24"/>
          <w:szCs w:val="24"/>
        </w:rPr>
        <w:t xml:space="preserve"> to do so</w:t>
      </w:r>
      <w:r w:rsidR="00AC4A75">
        <w:rPr>
          <w:rStyle w:val="PageNumber"/>
          <w:rFonts w:ascii="Arial" w:hAnsi="Arial"/>
          <w:sz w:val="24"/>
          <w:szCs w:val="24"/>
        </w:rPr>
        <w:t>, the appellant also did not seek interim interdictory relief pending the finalisation of the review proceedings</w:t>
      </w:r>
      <w:r w:rsidR="00790A32">
        <w:rPr>
          <w:rStyle w:val="PageNumber"/>
          <w:rFonts w:ascii="Arial" w:hAnsi="Arial"/>
          <w:sz w:val="24"/>
          <w:szCs w:val="24"/>
        </w:rPr>
        <w:t xml:space="preserve">. For this reason, the appellant </w:t>
      </w:r>
      <w:r w:rsidR="00A85D83">
        <w:rPr>
          <w:rStyle w:val="PageNumber"/>
          <w:rFonts w:ascii="Arial" w:hAnsi="Arial"/>
          <w:sz w:val="24"/>
          <w:szCs w:val="24"/>
        </w:rPr>
        <w:t>could not be heard to complain of prejudice if the ruling went against it</w:t>
      </w:r>
      <w:r w:rsidR="00E62B0F">
        <w:rPr>
          <w:rStyle w:val="PageNumber"/>
          <w:rFonts w:ascii="Arial" w:hAnsi="Arial"/>
          <w:sz w:val="24"/>
          <w:szCs w:val="24"/>
        </w:rPr>
        <w:t xml:space="preserve"> and the execution of the project proceeded</w:t>
      </w:r>
      <w:r w:rsidR="00A85D83">
        <w:rPr>
          <w:rStyle w:val="PageNumber"/>
          <w:rFonts w:ascii="Arial" w:hAnsi="Arial"/>
          <w:sz w:val="24"/>
          <w:szCs w:val="24"/>
        </w:rPr>
        <w:t xml:space="preserve">. </w:t>
      </w:r>
      <w:r w:rsidR="00E62B0F">
        <w:rPr>
          <w:rStyle w:val="PageNumber"/>
          <w:rFonts w:ascii="Arial" w:hAnsi="Arial"/>
          <w:sz w:val="24"/>
          <w:szCs w:val="24"/>
        </w:rPr>
        <w:t>As aptly submitted by Mr Tötemeyer for the fifth respondent, it was clear to all and sundry that the site handover w</w:t>
      </w:r>
      <w:r w:rsidR="002A4900">
        <w:rPr>
          <w:rStyle w:val="PageNumber"/>
          <w:rFonts w:ascii="Arial" w:hAnsi="Arial"/>
          <w:sz w:val="24"/>
          <w:szCs w:val="24"/>
        </w:rPr>
        <w:t>as planned for February 2014, with</w:t>
      </w:r>
      <w:r w:rsidR="00E62B0F">
        <w:rPr>
          <w:rStyle w:val="PageNumber"/>
          <w:rFonts w:ascii="Arial" w:hAnsi="Arial"/>
          <w:sz w:val="24"/>
          <w:szCs w:val="24"/>
        </w:rPr>
        <w:t xml:space="preserve"> the project conceived to materialise over a 27-month period. </w:t>
      </w:r>
      <w:r w:rsidR="00A85D83">
        <w:rPr>
          <w:rStyle w:val="PageNumber"/>
          <w:rFonts w:ascii="Arial" w:hAnsi="Arial"/>
          <w:sz w:val="24"/>
          <w:szCs w:val="24"/>
        </w:rPr>
        <w:t>The urgent review application was heard on 31 January 2014 and judgment reserved.</w:t>
      </w:r>
      <w:r w:rsidR="00E62B0F">
        <w:rPr>
          <w:rStyle w:val="PageNumber"/>
          <w:rFonts w:ascii="Arial" w:hAnsi="Arial"/>
          <w:sz w:val="24"/>
          <w:szCs w:val="24"/>
        </w:rPr>
        <w:t xml:space="preserve"> While reserving judg</w:t>
      </w:r>
      <w:r w:rsidR="00A85D83">
        <w:rPr>
          <w:rStyle w:val="PageNumber"/>
          <w:rFonts w:ascii="Arial" w:hAnsi="Arial"/>
          <w:sz w:val="24"/>
          <w:szCs w:val="24"/>
        </w:rPr>
        <w:t>ment</w:t>
      </w:r>
      <w:r w:rsidR="00934601">
        <w:rPr>
          <w:rStyle w:val="PageNumber"/>
          <w:rFonts w:ascii="Arial" w:hAnsi="Arial"/>
          <w:sz w:val="24"/>
          <w:szCs w:val="24"/>
        </w:rPr>
        <w:t>,</w:t>
      </w:r>
      <w:r w:rsidR="00A85D83">
        <w:rPr>
          <w:rStyle w:val="PageNumber"/>
          <w:rFonts w:ascii="Arial" w:hAnsi="Arial"/>
          <w:sz w:val="24"/>
          <w:szCs w:val="24"/>
        </w:rPr>
        <w:t xml:space="preserve"> the </w:t>
      </w:r>
      <w:r w:rsidR="00934601">
        <w:rPr>
          <w:rStyle w:val="PageNumber"/>
          <w:rFonts w:ascii="Arial" w:hAnsi="Arial"/>
          <w:sz w:val="24"/>
          <w:szCs w:val="24"/>
        </w:rPr>
        <w:t xml:space="preserve">learned </w:t>
      </w:r>
      <w:r w:rsidR="00A85D83">
        <w:rPr>
          <w:rStyle w:val="PageNumber"/>
          <w:rFonts w:ascii="Arial" w:hAnsi="Arial"/>
          <w:sz w:val="24"/>
          <w:szCs w:val="24"/>
        </w:rPr>
        <w:t xml:space="preserve">judge </w:t>
      </w:r>
      <w:r w:rsidR="00A85D83">
        <w:rPr>
          <w:rStyle w:val="PageNumber"/>
          <w:rFonts w:ascii="Arial" w:hAnsi="Arial"/>
          <w:i/>
          <w:iCs/>
          <w:sz w:val="24"/>
          <w:szCs w:val="24"/>
        </w:rPr>
        <w:t>a quo</w:t>
      </w:r>
      <w:r w:rsidR="00A85D83">
        <w:rPr>
          <w:rStyle w:val="PageNumber"/>
          <w:rFonts w:ascii="Arial" w:hAnsi="Arial"/>
          <w:sz w:val="24"/>
          <w:szCs w:val="24"/>
        </w:rPr>
        <w:t xml:space="preserve"> benevolently ordered that the</w:t>
      </w:r>
      <w:r w:rsidR="002A4900">
        <w:rPr>
          <w:rStyle w:val="PageNumber"/>
          <w:rFonts w:ascii="Arial" w:hAnsi="Arial"/>
          <w:sz w:val="24"/>
          <w:szCs w:val="24"/>
        </w:rPr>
        <w:t xml:space="preserve"> execution </w:t>
      </w:r>
      <w:r w:rsidR="00A85D83">
        <w:rPr>
          <w:rStyle w:val="PageNumber"/>
          <w:rFonts w:ascii="Arial" w:hAnsi="Arial"/>
          <w:sz w:val="24"/>
          <w:szCs w:val="24"/>
        </w:rPr>
        <w:t xml:space="preserve">of the tender be halted until judgment is delivered. This allowed the appellant </w:t>
      </w:r>
      <w:r w:rsidR="00171DCF">
        <w:rPr>
          <w:rStyle w:val="PageNumber"/>
          <w:rFonts w:ascii="Arial" w:hAnsi="Arial"/>
          <w:sz w:val="24"/>
          <w:szCs w:val="24"/>
        </w:rPr>
        <w:t>(</w:t>
      </w:r>
      <w:r w:rsidR="00E62B0F">
        <w:rPr>
          <w:rStyle w:val="PageNumber"/>
          <w:rFonts w:ascii="Arial" w:hAnsi="Arial"/>
          <w:sz w:val="24"/>
          <w:szCs w:val="24"/>
        </w:rPr>
        <w:t xml:space="preserve">who had not sought interim relief) </w:t>
      </w:r>
      <w:r w:rsidR="00A85D83">
        <w:rPr>
          <w:rStyle w:val="PageNumber"/>
          <w:rFonts w:ascii="Arial" w:hAnsi="Arial"/>
          <w:sz w:val="24"/>
          <w:szCs w:val="24"/>
        </w:rPr>
        <w:t>a reprieve of three weeks whilst the judge was considering his decision. Notwithstanding the judge’s benevolence, having elected to forgo the potential protective cover of an interim inter</w:t>
      </w:r>
      <w:r w:rsidR="000400FC">
        <w:rPr>
          <w:rStyle w:val="PageNumber"/>
          <w:rFonts w:ascii="Arial" w:hAnsi="Arial"/>
          <w:sz w:val="24"/>
          <w:szCs w:val="24"/>
        </w:rPr>
        <w:t>dict</w:t>
      </w:r>
      <w:r w:rsidR="00A85D83">
        <w:rPr>
          <w:rStyle w:val="PageNumber"/>
          <w:rFonts w:ascii="Arial" w:hAnsi="Arial"/>
          <w:sz w:val="24"/>
          <w:szCs w:val="24"/>
        </w:rPr>
        <w:t xml:space="preserve">, </w:t>
      </w:r>
      <w:r w:rsidR="002350A1">
        <w:rPr>
          <w:rStyle w:val="PageNumber"/>
          <w:rFonts w:ascii="Arial" w:hAnsi="Arial"/>
          <w:sz w:val="24"/>
          <w:szCs w:val="24"/>
        </w:rPr>
        <w:t xml:space="preserve">it must have been obvious that </w:t>
      </w:r>
      <w:r w:rsidR="003403BE">
        <w:rPr>
          <w:rStyle w:val="PageNumber"/>
          <w:rFonts w:ascii="Arial" w:hAnsi="Arial"/>
          <w:sz w:val="24"/>
          <w:szCs w:val="24"/>
        </w:rPr>
        <w:t>the</w:t>
      </w:r>
      <w:r w:rsidR="00A85D83">
        <w:rPr>
          <w:rStyle w:val="PageNumber"/>
          <w:rFonts w:ascii="Arial" w:hAnsi="Arial"/>
          <w:sz w:val="24"/>
          <w:szCs w:val="24"/>
        </w:rPr>
        <w:t xml:space="preserve"> dismissal of the application would </w:t>
      </w:r>
      <w:r w:rsidR="00C77099">
        <w:rPr>
          <w:rStyle w:val="PageNumber"/>
          <w:rFonts w:ascii="Arial" w:hAnsi="Arial"/>
          <w:sz w:val="24"/>
          <w:szCs w:val="24"/>
        </w:rPr>
        <w:t>clear the way for the first</w:t>
      </w:r>
      <w:r w:rsidR="00934601">
        <w:rPr>
          <w:rStyle w:val="PageNumber"/>
          <w:rFonts w:ascii="Arial" w:hAnsi="Arial"/>
          <w:sz w:val="24"/>
          <w:szCs w:val="24"/>
        </w:rPr>
        <w:t xml:space="preserve"> and </w:t>
      </w:r>
      <w:r w:rsidR="000D3F3F">
        <w:rPr>
          <w:rStyle w:val="PageNumber"/>
          <w:rFonts w:ascii="Arial" w:hAnsi="Arial"/>
          <w:sz w:val="24"/>
          <w:szCs w:val="24"/>
        </w:rPr>
        <w:t>second</w:t>
      </w:r>
      <w:r w:rsidR="00C77099">
        <w:rPr>
          <w:rStyle w:val="PageNumber"/>
          <w:rFonts w:ascii="Arial" w:hAnsi="Arial"/>
          <w:sz w:val="24"/>
          <w:szCs w:val="24"/>
        </w:rPr>
        <w:t xml:space="preserve"> </w:t>
      </w:r>
      <w:r w:rsidR="00A85D83">
        <w:rPr>
          <w:rStyle w:val="PageNumber"/>
          <w:rFonts w:ascii="Arial" w:hAnsi="Arial"/>
          <w:sz w:val="24"/>
          <w:szCs w:val="24"/>
        </w:rPr>
        <w:t xml:space="preserve">respondents to commence implementing the project. </w:t>
      </w:r>
    </w:p>
    <w:p w:rsidR="001A1874" w:rsidRDefault="001A1874">
      <w:pPr>
        <w:pStyle w:val="MediumGrid21"/>
        <w:spacing w:line="480" w:lineRule="auto"/>
        <w:jc w:val="both"/>
        <w:rPr>
          <w:rStyle w:val="PageNumber"/>
          <w:rFonts w:ascii="Arial" w:eastAsia="Arial" w:hAnsi="Arial" w:cs="Arial"/>
          <w:sz w:val="24"/>
          <w:szCs w:val="24"/>
        </w:rPr>
      </w:pPr>
    </w:p>
    <w:p w:rsidR="002A2CB2" w:rsidRPr="001A1874" w:rsidRDefault="0021003B">
      <w:pPr>
        <w:pStyle w:val="MediumGrid21"/>
        <w:spacing w:line="480" w:lineRule="auto"/>
        <w:jc w:val="both"/>
        <w:rPr>
          <w:rStyle w:val="PageNumber"/>
          <w:rFonts w:ascii="Arial" w:eastAsia="Arial" w:hAnsi="Arial" w:cs="Arial"/>
          <w:sz w:val="24"/>
          <w:szCs w:val="24"/>
        </w:rPr>
      </w:pPr>
      <w:r>
        <w:rPr>
          <w:rStyle w:val="PageNumber"/>
          <w:rFonts w:ascii="Arial" w:eastAsia="Arial" w:hAnsi="Arial" w:cs="Arial"/>
          <w:sz w:val="24"/>
          <w:szCs w:val="24"/>
        </w:rPr>
        <w:t>[8</w:t>
      </w:r>
      <w:r w:rsidR="001A1874" w:rsidRPr="001A1874">
        <w:rPr>
          <w:rStyle w:val="PageNumber"/>
          <w:rFonts w:ascii="Arial" w:eastAsia="Arial" w:hAnsi="Arial" w:cs="Arial"/>
          <w:sz w:val="24"/>
          <w:szCs w:val="24"/>
        </w:rPr>
        <w:t xml:space="preserve">] </w:t>
      </w:r>
      <w:r w:rsidR="000400FC">
        <w:rPr>
          <w:rStyle w:val="PageNumber"/>
          <w:rFonts w:ascii="Arial" w:eastAsia="Arial" w:hAnsi="Arial" w:cs="Arial"/>
          <w:sz w:val="24"/>
          <w:szCs w:val="24"/>
        </w:rPr>
        <w:tab/>
      </w:r>
      <w:r w:rsidR="00AB6487">
        <w:rPr>
          <w:rStyle w:val="PageNumber"/>
          <w:rFonts w:ascii="Arial" w:eastAsia="Arial" w:hAnsi="Arial" w:cs="Arial"/>
          <w:sz w:val="24"/>
          <w:szCs w:val="24"/>
        </w:rPr>
        <w:t>O</w:t>
      </w:r>
      <w:r w:rsidR="009D7712">
        <w:rPr>
          <w:rStyle w:val="PageNumber"/>
          <w:rFonts w:ascii="Arial" w:hAnsi="Arial"/>
          <w:sz w:val="24"/>
          <w:szCs w:val="24"/>
        </w:rPr>
        <w:t>n 20 February 2014</w:t>
      </w:r>
      <w:r w:rsidR="00AB6487">
        <w:rPr>
          <w:rStyle w:val="PageNumber"/>
          <w:rFonts w:ascii="Arial" w:hAnsi="Arial"/>
          <w:sz w:val="24"/>
          <w:szCs w:val="24"/>
        </w:rPr>
        <w:t>,</w:t>
      </w:r>
      <w:r w:rsidR="001A1874">
        <w:rPr>
          <w:rStyle w:val="PageNumber"/>
          <w:rFonts w:ascii="Arial" w:hAnsi="Arial"/>
          <w:sz w:val="24"/>
          <w:szCs w:val="24"/>
        </w:rPr>
        <w:t xml:space="preserve"> the High Court dismissed all the procedural objections ra</w:t>
      </w:r>
      <w:r w:rsidR="00934601">
        <w:rPr>
          <w:rStyle w:val="PageNumber"/>
          <w:rFonts w:ascii="Arial" w:hAnsi="Arial"/>
          <w:sz w:val="24"/>
          <w:szCs w:val="24"/>
        </w:rPr>
        <w:t>ised by the resp</w:t>
      </w:r>
      <w:r w:rsidR="001A1874">
        <w:rPr>
          <w:rStyle w:val="PageNumber"/>
          <w:rFonts w:ascii="Arial" w:hAnsi="Arial"/>
          <w:sz w:val="24"/>
          <w:szCs w:val="24"/>
        </w:rPr>
        <w:t>ondents concerning urgency, the appellant’s failure to ask for the record and the fact that the appellant had not sought interim relief. On the merits</w:t>
      </w:r>
      <w:r w:rsidR="000D3F3F">
        <w:rPr>
          <w:rStyle w:val="PageNumber"/>
          <w:rFonts w:ascii="Arial" w:hAnsi="Arial"/>
          <w:sz w:val="24"/>
          <w:szCs w:val="24"/>
        </w:rPr>
        <w:t>,</w:t>
      </w:r>
      <w:r w:rsidR="001A1874">
        <w:rPr>
          <w:rStyle w:val="PageNumber"/>
          <w:rFonts w:ascii="Arial" w:hAnsi="Arial"/>
          <w:sz w:val="24"/>
          <w:szCs w:val="24"/>
        </w:rPr>
        <w:t xml:space="preserve"> the </w:t>
      </w:r>
      <w:r w:rsidR="000D3F3F">
        <w:rPr>
          <w:rStyle w:val="PageNumber"/>
          <w:rFonts w:ascii="Arial" w:hAnsi="Arial"/>
          <w:sz w:val="24"/>
          <w:szCs w:val="24"/>
        </w:rPr>
        <w:t xml:space="preserve">appellant’s </w:t>
      </w:r>
      <w:r w:rsidR="001A1874">
        <w:rPr>
          <w:rStyle w:val="PageNumber"/>
          <w:rFonts w:ascii="Arial" w:hAnsi="Arial"/>
          <w:sz w:val="24"/>
          <w:szCs w:val="24"/>
        </w:rPr>
        <w:t>application for review was similarly dismissed.</w:t>
      </w:r>
    </w:p>
    <w:p w:rsidR="00E62B0F" w:rsidRDefault="00E62B0F">
      <w:pPr>
        <w:pStyle w:val="MediumGrid21"/>
        <w:spacing w:line="480" w:lineRule="auto"/>
        <w:jc w:val="both"/>
        <w:rPr>
          <w:rStyle w:val="PageNumber"/>
          <w:rFonts w:ascii="Arial" w:hAnsi="Arial"/>
          <w:iCs/>
          <w:sz w:val="24"/>
          <w:szCs w:val="24"/>
          <w:u w:val="single"/>
        </w:rPr>
      </w:pPr>
    </w:p>
    <w:p w:rsidR="002A2CB2" w:rsidRPr="00E62B0F" w:rsidRDefault="00AC4A75">
      <w:pPr>
        <w:pStyle w:val="MediumGrid21"/>
        <w:spacing w:line="480" w:lineRule="auto"/>
        <w:jc w:val="both"/>
        <w:rPr>
          <w:rStyle w:val="PageNumber"/>
          <w:rFonts w:ascii="Arial" w:eastAsia="Arial" w:hAnsi="Arial" w:cs="Arial"/>
          <w:iCs/>
          <w:sz w:val="24"/>
          <w:szCs w:val="24"/>
          <w:u w:val="single"/>
        </w:rPr>
      </w:pPr>
      <w:r w:rsidRPr="00E62B0F">
        <w:rPr>
          <w:rStyle w:val="PageNumber"/>
          <w:rFonts w:ascii="Arial" w:hAnsi="Arial"/>
          <w:iCs/>
          <w:sz w:val="24"/>
          <w:szCs w:val="24"/>
          <w:u w:val="single"/>
        </w:rPr>
        <w:t>Scope of the appeal</w:t>
      </w:r>
    </w:p>
    <w:p w:rsidR="00C77099"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[9</w:t>
      </w:r>
      <w:r w:rsidR="00AC4A75">
        <w:rPr>
          <w:rStyle w:val="PageNumber"/>
          <w:rFonts w:ascii="Arial" w:hAnsi="Arial"/>
          <w:sz w:val="24"/>
          <w:szCs w:val="24"/>
        </w:rPr>
        <w:t xml:space="preserve">] </w:t>
      </w:r>
      <w:r w:rsidR="00AC4A75">
        <w:rPr>
          <w:rStyle w:val="PageNumber"/>
          <w:rFonts w:ascii="Arial" w:hAnsi="Arial"/>
          <w:sz w:val="24"/>
          <w:szCs w:val="24"/>
        </w:rPr>
        <w:tab/>
        <w:t>T</w:t>
      </w:r>
      <w:r w:rsidR="001A1874">
        <w:rPr>
          <w:rStyle w:val="PageNumber"/>
          <w:rFonts w:ascii="Arial" w:hAnsi="Arial"/>
          <w:sz w:val="24"/>
          <w:szCs w:val="24"/>
        </w:rPr>
        <w:t>he appe</w:t>
      </w:r>
      <w:r w:rsidR="00364C3A">
        <w:rPr>
          <w:rStyle w:val="PageNumber"/>
          <w:rFonts w:ascii="Arial" w:hAnsi="Arial"/>
          <w:sz w:val="24"/>
          <w:szCs w:val="24"/>
        </w:rPr>
        <w:t xml:space="preserve">llant appeals </w:t>
      </w:r>
      <w:r w:rsidR="001A1874">
        <w:rPr>
          <w:rStyle w:val="PageNumber"/>
          <w:rFonts w:ascii="Arial" w:hAnsi="Arial"/>
          <w:sz w:val="24"/>
          <w:szCs w:val="24"/>
        </w:rPr>
        <w:t>against the</w:t>
      </w:r>
      <w:r w:rsidR="00AC4A75">
        <w:rPr>
          <w:rStyle w:val="PageNumber"/>
          <w:rFonts w:ascii="Arial" w:hAnsi="Arial"/>
          <w:sz w:val="24"/>
          <w:szCs w:val="24"/>
        </w:rPr>
        <w:t xml:space="preserve"> </w:t>
      </w:r>
      <w:r w:rsidR="00364C3A">
        <w:rPr>
          <w:rStyle w:val="PageNumber"/>
          <w:rFonts w:ascii="Arial" w:hAnsi="Arial"/>
          <w:sz w:val="24"/>
          <w:szCs w:val="24"/>
        </w:rPr>
        <w:t>rejection of all its review grounds</w:t>
      </w:r>
      <w:r w:rsidR="000D3F3F">
        <w:rPr>
          <w:rStyle w:val="PageNumber"/>
          <w:rFonts w:ascii="Arial" w:hAnsi="Arial"/>
          <w:sz w:val="24"/>
          <w:szCs w:val="24"/>
        </w:rPr>
        <w:t xml:space="preserve"> while the fifth respondent cross-appeals against the court a </w:t>
      </w:r>
      <w:r w:rsidR="000D3F3F" w:rsidRPr="00C77099">
        <w:rPr>
          <w:rStyle w:val="PageNumber"/>
          <w:rFonts w:ascii="Arial" w:hAnsi="Arial"/>
          <w:i/>
          <w:sz w:val="24"/>
          <w:szCs w:val="24"/>
        </w:rPr>
        <w:t>quo</w:t>
      </w:r>
      <w:r w:rsidR="000D3F3F" w:rsidRPr="00AB7C44">
        <w:rPr>
          <w:rStyle w:val="PageNumber"/>
          <w:rFonts w:ascii="Arial" w:hAnsi="Arial"/>
          <w:sz w:val="24"/>
          <w:szCs w:val="24"/>
        </w:rPr>
        <w:t>’s</w:t>
      </w:r>
      <w:r w:rsidR="000D3F3F">
        <w:rPr>
          <w:rStyle w:val="PageNumber"/>
          <w:rFonts w:ascii="Arial" w:hAnsi="Arial"/>
          <w:sz w:val="24"/>
          <w:szCs w:val="24"/>
        </w:rPr>
        <w:t xml:space="preserve"> rejection of its procedural objections to the review application. The grounds in support of the cross-appeal were the court a </w:t>
      </w:r>
      <w:r w:rsidR="000D3F3F" w:rsidRPr="00C77099">
        <w:rPr>
          <w:rStyle w:val="PageNumber"/>
          <w:rFonts w:ascii="Arial" w:hAnsi="Arial"/>
          <w:i/>
          <w:sz w:val="24"/>
          <w:szCs w:val="24"/>
        </w:rPr>
        <w:t>quo</w:t>
      </w:r>
      <w:r w:rsidR="000D3F3F">
        <w:rPr>
          <w:rStyle w:val="PageNumber"/>
          <w:rFonts w:ascii="Arial" w:hAnsi="Arial"/>
          <w:sz w:val="24"/>
          <w:szCs w:val="24"/>
        </w:rPr>
        <w:t>’</w:t>
      </w:r>
      <w:r w:rsidR="000D3F3F" w:rsidRPr="00C77099">
        <w:rPr>
          <w:rStyle w:val="PageNumber"/>
          <w:rFonts w:ascii="Arial" w:hAnsi="Arial"/>
          <w:i/>
          <w:sz w:val="24"/>
          <w:szCs w:val="24"/>
        </w:rPr>
        <w:t>s</w:t>
      </w:r>
      <w:r w:rsidR="000D3F3F">
        <w:rPr>
          <w:rStyle w:val="PageNumber"/>
          <w:rFonts w:ascii="Arial" w:hAnsi="Arial"/>
          <w:sz w:val="24"/>
          <w:szCs w:val="24"/>
        </w:rPr>
        <w:t xml:space="preserve"> findings that: </w:t>
      </w:r>
    </w:p>
    <w:p w:rsidR="002A2CB2" w:rsidRDefault="002A2CB2">
      <w:pPr>
        <w:pStyle w:val="MediumGrid21"/>
        <w:spacing w:line="480" w:lineRule="auto"/>
        <w:jc w:val="both"/>
        <w:rPr>
          <w:rFonts w:ascii="Arial" w:eastAsia="Arial" w:hAnsi="Arial" w:cs="Arial"/>
          <w:sz w:val="24"/>
          <w:szCs w:val="24"/>
        </w:rPr>
      </w:pPr>
    </w:p>
    <w:p w:rsidR="000400FC" w:rsidRPr="00AB7C44" w:rsidRDefault="0062601D" w:rsidP="000400FC">
      <w:pPr>
        <w:pStyle w:val="MediumGrid21"/>
        <w:numPr>
          <w:ilvl w:val="0"/>
          <w:numId w:val="4"/>
        </w:numPr>
        <w:spacing w:line="480" w:lineRule="auto"/>
        <w:jc w:val="both"/>
        <w:rPr>
          <w:rStyle w:val="PageNumber"/>
          <w:rFonts w:ascii="Arial" w:eastAsia="Arial" w:hAnsi="Arial" w:cs="Arial"/>
          <w:sz w:val="24"/>
          <w:szCs w:val="24"/>
        </w:rPr>
      </w:pPr>
      <w:r w:rsidRPr="00AB7C44">
        <w:rPr>
          <w:rStyle w:val="PageNumber"/>
          <w:rFonts w:ascii="Arial" w:hAnsi="Arial"/>
          <w:sz w:val="24"/>
          <w:szCs w:val="24"/>
        </w:rPr>
        <w:t>the matter was urgent</w:t>
      </w:r>
      <w:r w:rsidR="00AC4A75" w:rsidRPr="00AB7C44">
        <w:rPr>
          <w:rStyle w:val="PageNumber"/>
          <w:rFonts w:ascii="Arial" w:hAnsi="Arial"/>
          <w:sz w:val="24"/>
          <w:szCs w:val="24"/>
        </w:rPr>
        <w:t>;</w:t>
      </w:r>
    </w:p>
    <w:p w:rsidR="003A1577" w:rsidRPr="00AB7C44" w:rsidRDefault="00C77099" w:rsidP="00AB7C44">
      <w:pPr>
        <w:pStyle w:val="MediumGrid21"/>
        <w:numPr>
          <w:ilvl w:val="0"/>
          <w:numId w:val="4"/>
        </w:numPr>
        <w:spacing w:line="480" w:lineRule="auto"/>
        <w:ind w:left="1440" w:hanging="731"/>
        <w:jc w:val="both"/>
        <w:rPr>
          <w:rStyle w:val="PageNumber"/>
          <w:rFonts w:ascii="Arial" w:eastAsia="Arial" w:hAnsi="Arial" w:cs="Arial"/>
          <w:sz w:val="24"/>
          <w:szCs w:val="24"/>
        </w:rPr>
      </w:pPr>
      <w:r w:rsidRPr="00AB7C44">
        <w:rPr>
          <w:rStyle w:val="PageNumber"/>
          <w:rFonts w:ascii="Arial" w:hAnsi="Arial"/>
          <w:sz w:val="24"/>
          <w:szCs w:val="24"/>
        </w:rPr>
        <w:t xml:space="preserve">allowing </w:t>
      </w:r>
      <w:r w:rsidR="00AC4A75" w:rsidRPr="00AB7C44">
        <w:rPr>
          <w:rStyle w:val="PageNumber"/>
          <w:rFonts w:ascii="Arial" w:hAnsi="Arial"/>
          <w:sz w:val="24"/>
          <w:szCs w:val="24"/>
        </w:rPr>
        <w:t>the appellant to pursue final review relief without an interim interdict and without seeking the production of the record of proceedings</w:t>
      </w:r>
      <w:r w:rsidR="003A1577" w:rsidRPr="00AB7C44">
        <w:rPr>
          <w:rStyle w:val="PageNumber"/>
          <w:rFonts w:ascii="Arial" w:hAnsi="Arial"/>
          <w:sz w:val="24"/>
          <w:szCs w:val="24"/>
        </w:rPr>
        <w:t>; and</w:t>
      </w:r>
    </w:p>
    <w:p w:rsidR="003A1577" w:rsidRPr="00440901" w:rsidRDefault="003A1577" w:rsidP="00AB7C44">
      <w:pPr>
        <w:pStyle w:val="MediumGrid21"/>
        <w:numPr>
          <w:ilvl w:val="0"/>
          <w:numId w:val="4"/>
        </w:numPr>
        <w:tabs>
          <w:tab w:val="clear" w:pos="1440"/>
          <w:tab w:val="num" w:pos="720"/>
        </w:tabs>
        <w:spacing w:line="480" w:lineRule="auto"/>
        <w:ind w:left="1350" w:hanging="641"/>
        <w:jc w:val="both"/>
        <w:rPr>
          <w:rStyle w:val="PageNumber"/>
          <w:rFonts w:ascii="Arial" w:eastAsia="Arial" w:hAnsi="Arial" w:cs="Arial"/>
          <w:sz w:val="24"/>
          <w:szCs w:val="24"/>
        </w:rPr>
      </w:pPr>
      <w:r>
        <w:rPr>
          <w:rStyle w:val="PageNumber"/>
          <w:rFonts w:ascii="Arial" w:hAnsi="Arial"/>
          <w:sz w:val="24"/>
          <w:szCs w:val="24"/>
        </w:rPr>
        <w:t>the award of costs limited to one instructed counsel.</w:t>
      </w:r>
    </w:p>
    <w:p w:rsidR="002A2CB2" w:rsidRDefault="002A2CB2">
      <w:pPr>
        <w:pStyle w:val="MediumGrid21"/>
        <w:spacing w:line="480" w:lineRule="auto"/>
        <w:ind w:left="720"/>
        <w:jc w:val="both"/>
        <w:rPr>
          <w:rFonts w:ascii="Arial" w:eastAsia="Arial" w:hAnsi="Arial" w:cs="Arial"/>
          <w:sz w:val="24"/>
          <w:szCs w:val="24"/>
        </w:rPr>
      </w:pPr>
    </w:p>
    <w:p w:rsidR="002A2CB2"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[10</w:t>
      </w:r>
      <w:r w:rsidR="00AC4A75">
        <w:rPr>
          <w:rStyle w:val="PageNumber"/>
          <w:rFonts w:ascii="Arial" w:hAnsi="Arial"/>
          <w:sz w:val="24"/>
          <w:szCs w:val="24"/>
        </w:rPr>
        <w:t>]</w:t>
      </w:r>
      <w:r w:rsidR="00AC4A75">
        <w:rPr>
          <w:rStyle w:val="PageNumber"/>
          <w:rFonts w:ascii="Arial" w:hAnsi="Arial"/>
          <w:sz w:val="24"/>
          <w:szCs w:val="24"/>
        </w:rPr>
        <w:tab/>
        <w:t xml:space="preserve">The cross-appeal in respect </w:t>
      </w:r>
      <w:r w:rsidR="00C722C4">
        <w:rPr>
          <w:rStyle w:val="PageNumber"/>
          <w:rFonts w:ascii="Arial" w:hAnsi="Arial"/>
          <w:sz w:val="24"/>
          <w:szCs w:val="24"/>
        </w:rPr>
        <w:t xml:space="preserve">whereof </w:t>
      </w:r>
      <w:r w:rsidR="00440901">
        <w:rPr>
          <w:rStyle w:val="PageNumber"/>
          <w:rFonts w:ascii="Arial" w:hAnsi="Arial"/>
          <w:sz w:val="24"/>
          <w:szCs w:val="24"/>
        </w:rPr>
        <w:t xml:space="preserve">the court a </w:t>
      </w:r>
      <w:r w:rsidR="00440901" w:rsidRPr="00440901">
        <w:rPr>
          <w:rStyle w:val="PageNumber"/>
          <w:rFonts w:ascii="Arial" w:hAnsi="Arial"/>
          <w:i/>
          <w:sz w:val="24"/>
          <w:szCs w:val="24"/>
        </w:rPr>
        <w:t>quo</w:t>
      </w:r>
      <w:r w:rsidR="00440901">
        <w:rPr>
          <w:rStyle w:val="PageNumber"/>
          <w:rFonts w:ascii="Arial" w:hAnsi="Arial"/>
          <w:sz w:val="24"/>
          <w:szCs w:val="24"/>
        </w:rPr>
        <w:t xml:space="preserve"> only award</w:t>
      </w:r>
      <w:r w:rsidR="00C722C4">
        <w:rPr>
          <w:rStyle w:val="PageNumber"/>
          <w:rFonts w:ascii="Arial" w:hAnsi="Arial"/>
          <w:sz w:val="24"/>
          <w:szCs w:val="24"/>
        </w:rPr>
        <w:t>ed</w:t>
      </w:r>
      <w:r w:rsidR="00440901">
        <w:rPr>
          <w:rStyle w:val="PageNumber"/>
          <w:rFonts w:ascii="Arial" w:hAnsi="Arial"/>
          <w:sz w:val="24"/>
          <w:szCs w:val="24"/>
        </w:rPr>
        <w:t xml:space="preserve"> costs for one instructing and one instructed counsel </w:t>
      </w:r>
      <w:r w:rsidR="00B22D58">
        <w:rPr>
          <w:rStyle w:val="PageNumber"/>
          <w:rFonts w:ascii="Arial" w:hAnsi="Arial"/>
          <w:sz w:val="24"/>
          <w:szCs w:val="24"/>
        </w:rPr>
        <w:t>(</w:t>
      </w:r>
      <w:r w:rsidR="00440901">
        <w:rPr>
          <w:rStyle w:val="PageNumber"/>
          <w:rFonts w:ascii="Arial" w:hAnsi="Arial"/>
          <w:sz w:val="24"/>
          <w:szCs w:val="24"/>
        </w:rPr>
        <w:t>as opposed to one instruc</w:t>
      </w:r>
      <w:r w:rsidR="00B22D58">
        <w:rPr>
          <w:rStyle w:val="PageNumber"/>
          <w:rFonts w:ascii="Arial" w:hAnsi="Arial"/>
          <w:sz w:val="24"/>
          <w:szCs w:val="24"/>
        </w:rPr>
        <w:t xml:space="preserve">ting and two instructed counsel) </w:t>
      </w:r>
      <w:r w:rsidR="00440901">
        <w:rPr>
          <w:rStyle w:val="PageNumber"/>
          <w:rFonts w:ascii="Arial" w:hAnsi="Arial"/>
          <w:sz w:val="24"/>
          <w:szCs w:val="24"/>
        </w:rPr>
        <w:t xml:space="preserve">was </w:t>
      </w:r>
      <w:r w:rsidR="00AC4A75">
        <w:rPr>
          <w:rStyle w:val="PageNumber"/>
          <w:rFonts w:ascii="Arial" w:hAnsi="Arial"/>
          <w:sz w:val="24"/>
          <w:szCs w:val="24"/>
        </w:rPr>
        <w:t>not opposed</w:t>
      </w:r>
      <w:r w:rsidR="00A97EE9">
        <w:rPr>
          <w:rStyle w:val="PageNumber"/>
          <w:rFonts w:ascii="Arial" w:hAnsi="Arial"/>
          <w:sz w:val="24"/>
          <w:szCs w:val="24"/>
        </w:rPr>
        <w:t xml:space="preserve">. </w:t>
      </w:r>
      <w:r w:rsidR="006729B2">
        <w:rPr>
          <w:rStyle w:val="PageNumber"/>
          <w:rFonts w:ascii="Arial" w:hAnsi="Arial"/>
          <w:sz w:val="24"/>
          <w:szCs w:val="24"/>
        </w:rPr>
        <w:t xml:space="preserve">This ground </w:t>
      </w:r>
      <w:r w:rsidR="00934601">
        <w:rPr>
          <w:rStyle w:val="PageNumber"/>
          <w:rFonts w:ascii="Arial" w:hAnsi="Arial"/>
          <w:sz w:val="24"/>
          <w:szCs w:val="24"/>
        </w:rPr>
        <w:t xml:space="preserve">therefore </w:t>
      </w:r>
      <w:r w:rsidR="006729B2">
        <w:rPr>
          <w:rStyle w:val="PageNumber"/>
          <w:rFonts w:ascii="Arial" w:hAnsi="Arial"/>
          <w:sz w:val="24"/>
          <w:szCs w:val="24"/>
        </w:rPr>
        <w:t>succeeded</w:t>
      </w:r>
      <w:r w:rsidR="00934601">
        <w:rPr>
          <w:rStyle w:val="PageNumber"/>
          <w:rFonts w:ascii="Arial" w:hAnsi="Arial"/>
          <w:sz w:val="24"/>
          <w:szCs w:val="24"/>
        </w:rPr>
        <w:t xml:space="preserve"> without more</w:t>
      </w:r>
      <w:r w:rsidR="006729B2">
        <w:rPr>
          <w:rStyle w:val="PageNumber"/>
          <w:rFonts w:ascii="Arial" w:hAnsi="Arial"/>
          <w:sz w:val="24"/>
          <w:szCs w:val="24"/>
        </w:rPr>
        <w:t xml:space="preserve">. </w:t>
      </w:r>
    </w:p>
    <w:p w:rsidR="006729B2" w:rsidRDefault="006729B2">
      <w:pPr>
        <w:pStyle w:val="MediumGrid21"/>
        <w:spacing w:line="480" w:lineRule="auto"/>
        <w:jc w:val="both"/>
        <w:rPr>
          <w:rStyle w:val="PageNumber"/>
          <w:rFonts w:ascii="Arial" w:eastAsia="Arial" w:hAnsi="Arial" w:cs="Arial"/>
          <w:sz w:val="24"/>
          <w:szCs w:val="24"/>
          <w:u w:val="single"/>
        </w:rPr>
      </w:pPr>
    </w:p>
    <w:p w:rsidR="002A2CB2" w:rsidRDefault="000B4556">
      <w:pPr>
        <w:pStyle w:val="MediumGrid21"/>
        <w:spacing w:line="480" w:lineRule="auto"/>
        <w:jc w:val="both"/>
        <w:rPr>
          <w:rStyle w:val="PageNumber"/>
          <w:rFonts w:ascii="Arial" w:hAnsi="Arial"/>
          <w:iCs/>
          <w:sz w:val="24"/>
          <w:szCs w:val="24"/>
          <w:u w:val="single"/>
        </w:rPr>
      </w:pPr>
      <w:r>
        <w:rPr>
          <w:rStyle w:val="PageNumber"/>
          <w:rFonts w:ascii="Arial" w:hAnsi="Arial"/>
          <w:iCs/>
          <w:sz w:val="24"/>
          <w:szCs w:val="24"/>
          <w:u w:val="single"/>
        </w:rPr>
        <w:t xml:space="preserve">Preliminary </w:t>
      </w:r>
      <w:r w:rsidR="00AC4A75" w:rsidRPr="00E62B0F">
        <w:rPr>
          <w:rStyle w:val="PageNumber"/>
          <w:rFonts w:ascii="Arial" w:hAnsi="Arial"/>
          <w:iCs/>
          <w:sz w:val="24"/>
          <w:szCs w:val="24"/>
          <w:u w:val="single"/>
        </w:rPr>
        <w:t>procedural skirmishes</w:t>
      </w:r>
    </w:p>
    <w:p w:rsidR="00CD2957" w:rsidRPr="00E62B0F" w:rsidRDefault="00CD2957">
      <w:pPr>
        <w:pStyle w:val="MediumGrid21"/>
        <w:spacing w:line="480" w:lineRule="auto"/>
        <w:jc w:val="both"/>
        <w:rPr>
          <w:rStyle w:val="PageNumber"/>
          <w:rFonts w:ascii="Arial" w:eastAsia="Arial" w:hAnsi="Arial" w:cs="Arial"/>
          <w:iCs/>
          <w:sz w:val="24"/>
          <w:szCs w:val="24"/>
          <w:u w:val="single"/>
        </w:rPr>
      </w:pPr>
    </w:p>
    <w:p w:rsidR="002A2CB2" w:rsidRPr="006729B2" w:rsidRDefault="0021003B" w:rsidP="006729B2">
      <w:pPr>
        <w:pStyle w:val="MediumGrid21"/>
        <w:spacing w:line="480" w:lineRule="auto"/>
        <w:jc w:val="both"/>
        <w:rPr>
          <w:rFonts w:ascii="Arial" w:hAnsi="Arial"/>
          <w:sz w:val="24"/>
          <w:szCs w:val="24"/>
        </w:rPr>
      </w:pPr>
      <w:r>
        <w:rPr>
          <w:rStyle w:val="PageNumber"/>
          <w:rFonts w:ascii="Arial" w:hAnsi="Arial"/>
          <w:sz w:val="24"/>
          <w:szCs w:val="24"/>
        </w:rPr>
        <w:t>[11</w:t>
      </w:r>
      <w:r w:rsidR="00AC4A75">
        <w:rPr>
          <w:rStyle w:val="PageNumber"/>
          <w:rFonts w:ascii="Arial" w:hAnsi="Arial"/>
          <w:sz w:val="24"/>
          <w:szCs w:val="24"/>
        </w:rPr>
        <w:t>]</w:t>
      </w:r>
      <w:r w:rsidR="00AC4A75">
        <w:rPr>
          <w:rStyle w:val="PageNumber"/>
          <w:rFonts w:ascii="Arial" w:hAnsi="Arial"/>
          <w:sz w:val="24"/>
          <w:szCs w:val="24"/>
        </w:rPr>
        <w:tab/>
        <w:t xml:space="preserve">I </w:t>
      </w:r>
      <w:r w:rsidR="00CD2957">
        <w:rPr>
          <w:rStyle w:val="PageNumber"/>
          <w:rFonts w:ascii="Arial" w:hAnsi="Arial"/>
          <w:sz w:val="24"/>
          <w:szCs w:val="24"/>
        </w:rPr>
        <w:t xml:space="preserve">firstly </w:t>
      </w:r>
      <w:r w:rsidR="00F4539C">
        <w:rPr>
          <w:rStyle w:val="PageNumber"/>
          <w:rFonts w:ascii="Arial" w:hAnsi="Arial"/>
          <w:sz w:val="24"/>
          <w:szCs w:val="24"/>
        </w:rPr>
        <w:t>consider</w:t>
      </w:r>
      <w:r w:rsidR="003A1577">
        <w:rPr>
          <w:rStyle w:val="PageNumber"/>
          <w:rFonts w:ascii="Arial" w:hAnsi="Arial"/>
          <w:sz w:val="24"/>
          <w:szCs w:val="24"/>
        </w:rPr>
        <w:t xml:space="preserve"> the</w:t>
      </w:r>
      <w:r w:rsidR="00AC4A75">
        <w:rPr>
          <w:rStyle w:val="PageNumber"/>
          <w:rFonts w:ascii="Arial" w:hAnsi="Arial"/>
          <w:sz w:val="24"/>
          <w:szCs w:val="24"/>
        </w:rPr>
        <w:t xml:space="preserve"> preliminary procedural skirmishes</w:t>
      </w:r>
      <w:r w:rsidR="003A1577">
        <w:rPr>
          <w:rStyle w:val="PageNumber"/>
          <w:rFonts w:ascii="Arial" w:hAnsi="Arial"/>
          <w:sz w:val="24"/>
          <w:szCs w:val="24"/>
        </w:rPr>
        <w:t xml:space="preserve">, to wit: </w:t>
      </w:r>
      <w:r w:rsidR="00AC4A75">
        <w:rPr>
          <w:rStyle w:val="PageNumber"/>
          <w:rFonts w:ascii="Arial" w:hAnsi="Arial"/>
          <w:sz w:val="24"/>
          <w:szCs w:val="24"/>
        </w:rPr>
        <w:t>whether or not the matter should have been heard as one of ur</w:t>
      </w:r>
      <w:r w:rsidR="006729B2">
        <w:rPr>
          <w:rStyle w:val="PageNumber"/>
          <w:rFonts w:ascii="Arial" w:hAnsi="Arial"/>
          <w:sz w:val="24"/>
          <w:szCs w:val="24"/>
        </w:rPr>
        <w:t xml:space="preserve">gency and without a record, and </w:t>
      </w:r>
      <w:r w:rsidR="00AC4A75">
        <w:rPr>
          <w:rStyle w:val="PageNumber"/>
          <w:rFonts w:ascii="Arial" w:hAnsi="Arial"/>
          <w:sz w:val="24"/>
          <w:szCs w:val="24"/>
        </w:rPr>
        <w:t>whether or not it was competent to seek final review relief without an interim interdict.</w:t>
      </w:r>
    </w:p>
    <w:p w:rsidR="006154D8" w:rsidRDefault="006154D8">
      <w:pPr>
        <w:pStyle w:val="MediumGrid21"/>
        <w:spacing w:line="480" w:lineRule="auto"/>
        <w:jc w:val="both"/>
        <w:rPr>
          <w:rStyle w:val="PageNumber"/>
          <w:rFonts w:ascii="Arial" w:hAnsi="Arial"/>
          <w:i/>
          <w:iCs/>
          <w:sz w:val="24"/>
          <w:szCs w:val="24"/>
        </w:rPr>
      </w:pPr>
    </w:p>
    <w:p w:rsidR="002A2CB2" w:rsidRPr="00CD2957" w:rsidRDefault="00AC4A75">
      <w:pPr>
        <w:pStyle w:val="MediumGrid21"/>
        <w:spacing w:line="480" w:lineRule="auto"/>
        <w:jc w:val="both"/>
        <w:rPr>
          <w:rStyle w:val="PageNumber"/>
          <w:rFonts w:ascii="Arial" w:eastAsia="Arial" w:hAnsi="Arial" w:cs="Arial"/>
          <w:iCs/>
          <w:sz w:val="24"/>
          <w:szCs w:val="24"/>
          <w:u w:val="single"/>
        </w:rPr>
      </w:pPr>
      <w:r w:rsidRPr="00CD2957">
        <w:rPr>
          <w:rStyle w:val="PageNumber"/>
          <w:rFonts w:ascii="Arial" w:hAnsi="Arial"/>
          <w:iCs/>
          <w:sz w:val="24"/>
          <w:szCs w:val="24"/>
          <w:u w:val="single"/>
        </w:rPr>
        <w:t>Urgency</w:t>
      </w:r>
    </w:p>
    <w:p w:rsidR="002A2CB2" w:rsidRPr="00D5639C"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[12</w:t>
      </w:r>
      <w:r w:rsidR="008801BF">
        <w:rPr>
          <w:rStyle w:val="PageNumber"/>
          <w:rFonts w:ascii="Arial" w:hAnsi="Arial"/>
          <w:sz w:val="24"/>
          <w:szCs w:val="24"/>
        </w:rPr>
        <w:t xml:space="preserve">] </w:t>
      </w:r>
      <w:r w:rsidR="008801BF">
        <w:rPr>
          <w:rStyle w:val="PageNumber"/>
          <w:rFonts w:ascii="Arial" w:hAnsi="Arial"/>
          <w:sz w:val="24"/>
          <w:szCs w:val="24"/>
        </w:rPr>
        <w:tab/>
      </w:r>
      <w:r w:rsidR="00776A19">
        <w:rPr>
          <w:rStyle w:val="PageNumber"/>
          <w:rFonts w:ascii="Arial" w:hAnsi="Arial"/>
          <w:sz w:val="24"/>
          <w:szCs w:val="24"/>
        </w:rPr>
        <w:t xml:space="preserve">In the court a </w:t>
      </w:r>
      <w:r w:rsidR="00776A19" w:rsidRPr="00776A19">
        <w:rPr>
          <w:rStyle w:val="PageNumber"/>
          <w:rFonts w:ascii="Arial" w:hAnsi="Arial"/>
          <w:i/>
          <w:sz w:val="24"/>
          <w:szCs w:val="24"/>
        </w:rPr>
        <w:t>quo</w:t>
      </w:r>
      <w:r w:rsidR="00776A19">
        <w:rPr>
          <w:rStyle w:val="PageNumber"/>
          <w:rFonts w:ascii="Arial" w:hAnsi="Arial"/>
          <w:sz w:val="24"/>
          <w:szCs w:val="24"/>
        </w:rPr>
        <w:t>, t</w:t>
      </w:r>
      <w:r w:rsidR="00AC4A75">
        <w:rPr>
          <w:rStyle w:val="PageNumber"/>
          <w:rFonts w:ascii="Arial" w:hAnsi="Arial"/>
          <w:sz w:val="24"/>
          <w:szCs w:val="24"/>
        </w:rPr>
        <w:t xml:space="preserve">he appellant </w:t>
      </w:r>
      <w:r w:rsidR="00F4539C">
        <w:rPr>
          <w:rStyle w:val="PageNumber"/>
          <w:rFonts w:ascii="Arial" w:hAnsi="Arial"/>
          <w:sz w:val="24"/>
          <w:szCs w:val="24"/>
        </w:rPr>
        <w:t>sought urgent</w:t>
      </w:r>
      <w:r w:rsidR="00AC4A75">
        <w:rPr>
          <w:rStyle w:val="PageNumber"/>
          <w:rFonts w:ascii="Arial" w:hAnsi="Arial"/>
          <w:sz w:val="24"/>
          <w:szCs w:val="24"/>
        </w:rPr>
        <w:t xml:space="preserve"> </w:t>
      </w:r>
      <w:r w:rsidR="007C6568">
        <w:rPr>
          <w:rStyle w:val="PageNumber"/>
          <w:rFonts w:ascii="Arial" w:hAnsi="Arial"/>
          <w:sz w:val="24"/>
          <w:szCs w:val="24"/>
        </w:rPr>
        <w:t xml:space="preserve">final </w:t>
      </w:r>
      <w:r w:rsidR="00AC4A75">
        <w:rPr>
          <w:rStyle w:val="PageNumber"/>
          <w:rFonts w:ascii="Arial" w:hAnsi="Arial"/>
          <w:sz w:val="24"/>
          <w:szCs w:val="24"/>
        </w:rPr>
        <w:t xml:space="preserve">review relief to avert what it alleged would be adverse effects on its rights should the matter proceed in the normal course. In this regard, the appellant raised the </w:t>
      </w:r>
      <w:r w:rsidR="005821AD">
        <w:rPr>
          <w:rStyle w:val="PageNumber"/>
          <w:rFonts w:ascii="Arial" w:hAnsi="Arial"/>
          <w:sz w:val="24"/>
          <w:szCs w:val="24"/>
        </w:rPr>
        <w:t xml:space="preserve">professed </w:t>
      </w:r>
      <w:r w:rsidR="00AC4A75">
        <w:rPr>
          <w:rStyle w:val="PageNumber"/>
          <w:rFonts w:ascii="Arial" w:hAnsi="Arial"/>
          <w:sz w:val="24"/>
          <w:szCs w:val="24"/>
        </w:rPr>
        <w:t xml:space="preserve">difficulty of setting aside the tender should its implementation </w:t>
      </w:r>
      <w:r w:rsidR="0086256F">
        <w:rPr>
          <w:rStyle w:val="PageNumber"/>
          <w:rFonts w:ascii="Arial" w:hAnsi="Arial"/>
          <w:sz w:val="24"/>
          <w:szCs w:val="24"/>
        </w:rPr>
        <w:t>proceed whilst litigation is on</w:t>
      </w:r>
      <w:r w:rsidR="00291741">
        <w:rPr>
          <w:rStyle w:val="PageNumber"/>
          <w:rFonts w:ascii="Arial" w:hAnsi="Arial"/>
          <w:sz w:val="24"/>
          <w:szCs w:val="24"/>
        </w:rPr>
        <w:t xml:space="preserve">going as well as </w:t>
      </w:r>
      <w:r w:rsidR="00AC4A75">
        <w:rPr>
          <w:rStyle w:val="PageNumber"/>
          <w:rFonts w:ascii="Arial" w:hAnsi="Arial"/>
          <w:sz w:val="24"/>
          <w:szCs w:val="24"/>
        </w:rPr>
        <w:t>the difficulty of quantifying its damages</w:t>
      </w:r>
      <w:r w:rsidR="00934601">
        <w:rPr>
          <w:rStyle w:val="PageNumber"/>
          <w:rFonts w:ascii="Arial" w:hAnsi="Arial"/>
          <w:sz w:val="24"/>
          <w:szCs w:val="24"/>
        </w:rPr>
        <w:t xml:space="preserve"> in due course if the only avenue open was to claim damages</w:t>
      </w:r>
      <w:r w:rsidR="00AC4A75">
        <w:rPr>
          <w:rStyle w:val="PageNumber"/>
          <w:rFonts w:ascii="Arial" w:hAnsi="Arial"/>
          <w:sz w:val="24"/>
          <w:szCs w:val="24"/>
        </w:rPr>
        <w:t>.</w:t>
      </w:r>
      <w:r w:rsidR="00AC4A75">
        <w:rPr>
          <w:rStyle w:val="PageNumber"/>
          <w:rFonts w:ascii="Arial" w:hAnsi="Arial"/>
          <w:b/>
          <w:bCs/>
          <w:sz w:val="24"/>
          <w:szCs w:val="24"/>
        </w:rPr>
        <w:t xml:space="preserve"> </w:t>
      </w:r>
      <w:r w:rsidR="00AC4A75">
        <w:rPr>
          <w:rStyle w:val="PageNumber"/>
          <w:rFonts w:ascii="Arial" w:hAnsi="Arial"/>
          <w:sz w:val="24"/>
          <w:szCs w:val="24"/>
        </w:rPr>
        <w:t xml:space="preserve">The court </w:t>
      </w:r>
      <w:r w:rsidR="00AC4A75">
        <w:rPr>
          <w:rStyle w:val="PageNumber"/>
          <w:rFonts w:ascii="Arial" w:hAnsi="Arial"/>
          <w:i/>
          <w:iCs/>
          <w:sz w:val="24"/>
          <w:szCs w:val="24"/>
        </w:rPr>
        <w:t xml:space="preserve">a quo </w:t>
      </w:r>
      <w:r w:rsidR="00AC4A75">
        <w:rPr>
          <w:rStyle w:val="PageNumber"/>
          <w:rFonts w:ascii="Arial" w:hAnsi="Arial"/>
          <w:sz w:val="24"/>
          <w:szCs w:val="24"/>
        </w:rPr>
        <w:t>was satisfied that the app</w:t>
      </w:r>
      <w:r w:rsidR="0062601D">
        <w:rPr>
          <w:rStyle w:val="PageNumber"/>
          <w:rFonts w:ascii="Arial" w:hAnsi="Arial"/>
          <w:sz w:val="24"/>
          <w:szCs w:val="24"/>
        </w:rPr>
        <w:t xml:space="preserve">ellant established urgency. </w:t>
      </w:r>
      <w:r w:rsidR="00934601">
        <w:rPr>
          <w:rStyle w:val="PageNumber"/>
          <w:rFonts w:ascii="Arial" w:hAnsi="Arial"/>
          <w:sz w:val="24"/>
          <w:szCs w:val="24"/>
        </w:rPr>
        <w:t xml:space="preserve">On appeal the </w:t>
      </w:r>
      <w:r w:rsidR="00C4792F">
        <w:rPr>
          <w:rStyle w:val="PageNumber"/>
          <w:rFonts w:ascii="Arial" w:hAnsi="Arial"/>
          <w:sz w:val="24"/>
          <w:szCs w:val="24"/>
        </w:rPr>
        <w:t xml:space="preserve">fifth respondent sought to impugn this </w:t>
      </w:r>
      <w:r w:rsidR="0062601D">
        <w:rPr>
          <w:rStyle w:val="PageNumber"/>
          <w:rFonts w:ascii="Arial" w:hAnsi="Arial"/>
          <w:sz w:val="24"/>
          <w:szCs w:val="24"/>
        </w:rPr>
        <w:t xml:space="preserve">finding, </w:t>
      </w:r>
      <w:r w:rsidR="00C4792F">
        <w:rPr>
          <w:rStyle w:val="PageNumber"/>
          <w:rFonts w:ascii="Arial" w:hAnsi="Arial"/>
          <w:sz w:val="24"/>
          <w:szCs w:val="24"/>
        </w:rPr>
        <w:t>contending</w:t>
      </w:r>
      <w:r w:rsidR="00AC4A75">
        <w:rPr>
          <w:rStyle w:val="PageNumber"/>
          <w:rFonts w:ascii="Arial" w:hAnsi="Arial"/>
          <w:sz w:val="24"/>
          <w:szCs w:val="24"/>
        </w:rPr>
        <w:t xml:space="preserve"> that the court </w:t>
      </w:r>
      <w:r w:rsidR="00AC4A75">
        <w:rPr>
          <w:rStyle w:val="PageNumber"/>
          <w:rFonts w:ascii="Arial" w:hAnsi="Arial"/>
          <w:i/>
          <w:iCs/>
          <w:sz w:val="24"/>
          <w:szCs w:val="24"/>
        </w:rPr>
        <w:t>a quo</w:t>
      </w:r>
      <w:r w:rsidR="00AC4A75">
        <w:rPr>
          <w:rStyle w:val="PageNumber"/>
          <w:rFonts w:ascii="Arial" w:hAnsi="Arial"/>
          <w:sz w:val="24"/>
          <w:szCs w:val="24"/>
        </w:rPr>
        <w:t xml:space="preserve"> did not exercise its discretion judicially </w:t>
      </w:r>
      <w:r w:rsidR="00A5186A">
        <w:rPr>
          <w:rStyle w:val="PageNumber"/>
          <w:rFonts w:ascii="Arial" w:hAnsi="Arial"/>
          <w:sz w:val="24"/>
          <w:szCs w:val="24"/>
        </w:rPr>
        <w:t xml:space="preserve">and accordingly misdirected itself, </w:t>
      </w:r>
      <w:r w:rsidR="00AC4A75">
        <w:rPr>
          <w:rStyle w:val="PageNumber"/>
          <w:rFonts w:ascii="Arial" w:hAnsi="Arial"/>
          <w:sz w:val="24"/>
          <w:szCs w:val="24"/>
        </w:rPr>
        <w:t xml:space="preserve">when </w:t>
      </w:r>
      <w:r w:rsidR="00937E4A">
        <w:rPr>
          <w:rStyle w:val="PageNumber"/>
          <w:rFonts w:ascii="Arial" w:hAnsi="Arial"/>
          <w:sz w:val="24"/>
          <w:szCs w:val="24"/>
        </w:rPr>
        <w:t>it decided</w:t>
      </w:r>
      <w:r w:rsidR="00C4792F">
        <w:rPr>
          <w:rStyle w:val="PageNumber"/>
          <w:rFonts w:ascii="Arial" w:hAnsi="Arial"/>
          <w:sz w:val="24"/>
          <w:szCs w:val="24"/>
        </w:rPr>
        <w:t xml:space="preserve"> that</w:t>
      </w:r>
      <w:r w:rsidR="00A5186A">
        <w:rPr>
          <w:rStyle w:val="PageNumber"/>
          <w:rFonts w:ascii="Arial" w:hAnsi="Arial"/>
          <w:sz w:val="24"/>
          <w:szCs w:val="24"/>
        </w:rPr>
        <w:t xml:space="preserve"> the appellant established urgency and that</w:t>
      </w:r>
      <w:r w:rsidR="00C4792F">
        <w:rPr>
          <w:rStyle w:val="PageNumber"/>
          <w:rFonts w:ascii="Arial" w:hAnsi="Arial"/>
          <w:sz w:val="24"/>
          <w:szCs w:val="24"/>
        </w:rPr>
        <w:t xml:space="preserve"> the fifth respondent’s</w:t>
      </w:r>
      <w:r w:rsidR="00AC4A75">
        <w:rPr>
          <w:rStyle w:val="PageNumber"/>
          <w:rFonts w:ascii="Arial" w:hAnsi="Arial"/>
          <w:sz w:val="24"/>
          <w:szCs w:val="24"/>
        </w:rPr>
        <w:t xml:space="preserve"> rights were not prejudiced by the urgent application. </w:t>
      </w:r>
    </w:p>
    <w:p w:rsidR="002A2CB2" w:rsidRDefault="002A2CB2">
      <w:pPr>
        <w:pStyle w:val="MediumGrid21"/>
        <w:spacing w:line="480" w:lineRule="auto"/>
        <w:jc w:val="both"/>
        <w:rPr>
          <w:rFonts w:ascii="Arial" w:eastAsia="Arial" w:hAnsi="Arial" w:cs="Arial"/>
          <w:sz w:val="24"/>
          <w:szCs w:val="24"/>
        </w:rPr>
      </w:pPr>
    </w:p>
    <w:p w:rsidR="00E62B0F"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[13</w:t>
      </w:r>
      <w:r w:rsidR="00AC4A75">
        <w:rPr>
          <w:rStyle w:val="PageNumber"/>
          <w:rFonts w:ascii="Arial" w:hAnsi="Arial"/>
          <w:sz w:val="24"/>
          <w:szCs w:val="24"/>
        </w:rPr>
        <w:t>]</w:t>
      </w:r>
      <w:r w:rsidR="00AC4A75">
        <w:rPr>
          <w:rStyle w:val="PageNumber"/>
          <w:rFonts w:ascii="Arial" w:hAnsi="Arial"/>
          <w:sz w:val="24"/>
          <w:szCs w:val="24"/>
        </w:rPr>
        <w:tab/>
        <w:t>We were satisfied that the objection to the matter being entertained as one of urgency should fail</w:t>
      </w:r>
      <w:r w:rsidR="00F7638A">
        <w:rPr>
          <w:rStyle w:val="PageNumber"/>
          <w:rFonts w:ascii="Arial" w:hAnsi="Arial"/>
          <w:sz w:val="24"/>
          <w:szCs w:val="24"/>
        </w:rPr>
        <w:t>. It is a</w:t>
      </w:r>
      <w:r w:rsidR="00AC4A75">
        <w:rPr>
          <w:rStyle w:val="PageNumber"/>
          <w:rFonts w:ascii="Arial" w:hAnsi="Arial"/>
          <w:sz w:val="24"/>
          <w:szCs w:val="24"/>
        </w:rPr>
        <w:t xml:space="preserve"> well-established principle and practice that this court will not interfere with </w:t>
      </w:r>
      <w:r w:rsidR="00F7638A">
        <w:rPr>
          <w:rStyle w:val="PageNumber"/>
          <w:rFonts w:ascii="Arial" w:hAnsi="Arial"/>
          <w:sz w:val="24"/>
          <w:szCs w:val="24"/>
        </w:rPr>
        <w:t>the High Court’s exercise of a</w:t>
      </w:r>
      <w:r w:rsidR="00AC4A75">
        <w:rPr>
          <w:rStyle w:val="PageNumber"/>
          <w:rFonts w:ascii="Arial" w:hAnsi="Arial"/>
          <w:sz w:val="24"/>
          <w:szCs w:val="24"/>
        </w:rPr>
        <w:t xml:space="preserve"> discretion </w:t>
      </w:r>
      <w:r w:rsidR="00BC327B">
        <w:rPr>
          <w:rStyle w:val="PageNumber"/>
          <w:rFonts w:ascii="Arial" w:hAnsi="Arial"/>
          <w:sz w:val="24"/>
          <w:szCs w:val="24"/>
        </w:rPr>
        <w:t xml:space="preserve">under </w:t>
      </w:r>
      <w:r w:rsidR="00233918">
        <w:rPr>
          <w:rStyle w:val="PageNumber"/>
          <w:rFonts w:ascii="Arial" w:hAnsi="Arial"/>
          <w:sz w:val="24"/>
          <w:szCs w:val="24"/>
        </w:rPr>
        <w:t xml:space="preserve">High Court </w:t>
      </w:r>
      <w:r w:rsidR="00BC327B">
        <w:rPr>
          <w:rStyle w:val="PageNumber"/>
          <w:rFonts w:ascii="Arial" w:hAnsi="Arial"/>
          <w:sz w:val="24"/>
          <w:szCs w:val="24"/>
        </w:rPr>
        <w:t>r</w:t>
      </w:r>
      <w:r w:rsidR="00F4539C">
        <w:rPr>
          <w:rStyle w:val="PageNumber"/>
          <w:rFonts w:ascii="Arial" w:hAnsi="Arial"/>
          <w:sz w:val="24"/>
          <w:szCs w:val="24"/>
        </w:rPr>
        <w:t>ule</w:t>
      </w:r>
      <w:r w:rsidR="00AC4A75">
        <w:rPr>
          <w:rStyle w:val="PageNumber"/>
          <w:rFonts w:ascii="Arial" w:hAnsi="Arial"/>
          <w:sz w:val="24"/>
          <w:szCs w:val="24"/>
        </w:rPr>
        <w:t xml:space="preserve"> 6(12) to either entertain or refuse to entertain matters on the basis of urgency. It was stated by </w:t>
      </w:r>
      <w:r w:rsidR="00BC327B">
        <w:rPr>
          <w:rStyle w:val="PageNumber"/>
          <w:rFonts w:ascii="Arial" w:hAnsi="Arial"/>
          <w:sz w:val="24"/>
          <w:szCs w:val="24"/>
        </w:rPr>
        <w:t xml:space="preserve">Shivute CJ </w:t>
      </w:r>
      <w:r w:rsidR="00AC4A75">
        <w:rPr>
          <w:rStyle w:val="PageNumber"/>
          <w:rFonts w:ascii="Arial" w:hAnsi="Arial"/>
          <w:sz w:val="24"/>
          <w:szCs w:val="24"/>
        </w:rPr>
        <w:t xml:space="preserve">in </w:t>
      </w:r>
      <w:r w:rsidR="00AC4A75">
        <w:rPr>
          <w:rStyle w:val="PageNumber"/>
          <w:rFonts w:ascii="Arial" w:hAnsi="Arial"/>
          <w:i/>
          <w:iCs/>
          <w:sz w:val="24"/>
          <w:szCs w:val="24"/>
        </w:rPr>
        <w:t>Namib Plains Farming &amp; Tourism CC v Valencia Uranium (Pty) Ltd and Others</w:t>
      </w:r>
      <w:r w:rsidR="00AC4A75">
        <w:rPr>
          <w:rStyle w:val="PageNumber"/>
          <w:rFonts w:ascii="Arial" w:hAnsi="Arial"/>
          <w:sz w:val="24"/>
          <w:szCs w:val="24"/>
        </w:rPr>
        <w:t xml:space="preserve"> 2011 (2) NR 469 (SC)</w:t>
      </w:r>
      <w:r w:rsidR="00D757A1">
        <w:rPr>
          <w:rStyle w:val="PageNumber"/>
          <w:rFonts w:ascii="Arial" w:hAnsi="Arial"/>
          <w:sz w:val="24"/>
          <w:szCs w:val="24"/>
        </w:rPr>
        <w:t xml:space="preserve"> at 484B-D</w:t>
      </w:r>
      <w:r w:rsidR="00AC4A75">
        <w:rPr>
          <w:rStyle w:val="PageNumber"/>
          <w:rFonts w:ascii="Arial" w:hAnsi="Arial"/>
          <w:sz w:val="24"/>
          <w:szCs w:val="24"/>
        </w:rPr>
        <w:t xml:space="preserve"> that</w:t>
      </w:r>
      <w:r w:rsidR="00BC327B">
        <w:rPr>
          <w:rStyle w:val="PageNumber"/>
          <w:rFonts w:ascii="Arial" w:hAnsi="Arial"/>
          <w:sz w:val="24"/>
          <w:szCs w:val="24"/>
        </w:rPr>
        <w:t>:</w:t>
      </w:r>
    </w:p>
    <w:p w:rsidR="00E62B0F" w:rsidRDefault="00E62B0F">
      <w:pPr>
        <w:pStyle w:val="MediumGrid21"/>
        <w:spacing w:line="480" w:lineRule="auto"/>
        <w:jc w:val="both"/>
        <w:rPr>
          <w:rStyle w:val="PageNumber"/>
          <w:rFonts w:ascii="Arial" w:hAnsi="Arial"/>
          <w:sz w:val="24"/>
          <w:szCs w:val="24"/>
        </w:rPr>
      </w:pPr>
    </w:p>
    <w:p w:rsidR="002A2CB2" w:rsidRPr="00D757A1" w:rsidRDefault="00E62B0F" w:rsidP="00D757A1">
      <w:pPr>
        <w:pStyle w:val="MediumGrid21"/>
        <w:spacing w:line="360" w:lineRule="auto"/>
        <w:ind w:left="709"/>
        <w:jc w:val="both"/>
        <w:rPr>
          <w:rStyle w:val="PageNumber"/>
          <w:rFonts w:ascii="Arial" w:eastAsia="Arial" w:hAnsi="Arial" w:cs="Arial"/>
        </w:rPr>
      </w:pPr>
      <w:r w:rsidRPr="00D757A1">
        <w:rPr>
          <w:rStyle w:val="PageNumber"/>
          <w:rFonts w:ascii="Arial" w:hAnsi="Arial"/>
        </w:rPr>
        <w:t>‘[U]</w:t>
      </w:r>
      <w:r w:rsidR="00D757A1" w:rsidRPr="00D757A1">
        <w:rPr>
          <w:rStyle w:val="PageNumber"/>
          <w:rFonts w:ascii="Arial" w:hAnsi="Arial"/>
        </w:rPr>
        <w:t>r</w:t>
      </w:r>
      <w:r w:rsidR="00587A66" w:rsidRPr="00D757A1">
        <w:rPr>
          <w:rStyle w:val="PageNumber"/>
          <w:rFonts w:ascii="Arial" w:hAnsi="Arial"/>
        </w:rPr>
        <w:t>gency</w:t>
      </w:r>
      <w:r w:rsidR="00AC4A75" w:rsidRPr="00D757A1">
        <w:rPr>
          <w:rStyle w:val="PageNumber"/>
          <w:rFonts w:ascii="Arial" w:hAnsi="Arial"/>
        </w:rPr>
        <w:t xml:space="preserve"> is not an appealable issue in any circumstance. Whether urgency exists in a particular case is a factual question which is determined on a case by case and discretionary basis. There are no public interests to be served for this Court to be seized with the determination of issues of urgency which are dealt with by the High Court on a regular basis and on which there are a plethora of authorities to guide that Court w</w:t>
      </w:r>
      <w:r w:rsidRPr="00D757A1">
        <w:rPr>
          <w:rStyle w:val="PageNumber"/>
          <w:rFonts w:ascii="Arial" w:hAnsi="Arial"/>
        </w:rPr>
        <w:t>hen faced with similar matters.’</w:t>
      </w:r>
      <w:r w:rsidR="00AC4A75" w:rsidRPr="00D757A1">
        <w:rPr>
          <w:rStyle w:val="PageNumber"/>
          <w:rFonts w:ascii="Arial" w:hAnsi="Arial"/>
        </w:rPr>
        <w:t xml:space="preserve"> </w:t>
      </w:r>
    </w:p>
    <w:p w:rsidR="002A2CB2" w:rsidRDefault="002A2CB2">
      <w:pPr>
        <w:pStyle w:val="MediumGrid21"/>
        <w:spacing w:line="480" w:lineRule="auto"/>
        <w:jc w:val="both"/>
        <w:rPr>
          <w:rFonts w:ascii="Arial" w:eastAsia="Arial" w:hAnsi="Arial" w:cs="Arial"/>
          <w:sz w:val="24"/>
          <w:szCs w:val="24"/>
        </w:rPr>
      </w:pPr>
    </w:p>
    <w:p w:rsidR="006A1F86" w:rsidRDefault="00A03559">
      <w:pPr>
        <w:pStyle w:val="MediumGrid21"/>
        <w:spacing w:line="480" w:lineRule="auto"/>
        <w:jc w:val="both"/>
        <w:rPr>
          <w:rStyle w:val="PageNumber"/>
          <w:rFonts w:ascii="Arial" w:hAnsi="Arial"/>
          <w:sz w:val="24"/>
          <w:szCs w:val="24"/>
        </w:rPr>
      </w:pPr>
      <w:r>
        <w:rPr>
          <w:rStyle w:val="PageNumber"/>
          <w:rFonts w:ascii="Arial" w:hAnsi="Arial"/>
          <w:sz w:val="24"/>
          <w:szCs w:val="24"/>
        </w:rPr>
        <w:t>[1</w:t>
      </w:r>
      <w:r w:rsidR="0021003B">
        <w:rPr>
          <w:rStyle w:val="PageNumber"/>
          <w:rFonts w:ascii="Arial" w:hAnsi="Arial"/>
          <w:sz w:val="24"/>
          <w:szCs w:val="24"/>
        </w:rPr>
        <w:t>4</w:t>
      </w:r>
      <w:r w:rsidR="00AC4A75">
        <w:rPr>
          <w:rStyle w:val="PageNumber"/>
          <w:rFonts w:ascii="Arial" w:hAnsi="Arial"/>
          <w:sz w:val="24"/>
          <w:szCs w:val="24"/>
        </w:rPr>
        <w:t>]</w:t>
      </w:r>
      <w:r w:rsidR="00AC4A75">
        <w:rPr>
          <w:rStyle w:val="PageNumber"/>
          <w:rFonts w:ascii="Arial" w:hAnsi="Arial"/>
          <w:sz w:val="24"/>
          <w:szCs w:val="24"/>
        </w:rPr>
        <w:tab/>
        <w:t xml:space="preserve">In </w:t>
      </w:r>
      <w:r w:rsidR="00AC4A75">
        <w:rPr>
          <w:rStyle w:val="PageNumber"/>
          <w:rFonts w:ascii="Arial" w:hAnsi="Arial"/>
          <w:i/>
          <w:iCs/>
          <w:sz w:val="24"/>
          <w:szCs w:val="24"/>
        </w:rPr>
        <w:t xml:space="preserve">Shetu Trading CC v Chair of the Tender Board of Namibia and Others </w:t>
      </w:r>
      <w:r w:rsidR="00AC4A75">
        <w:rPr>
          <w:rStyle w:val="PageNumber"/>
          <w:rFonts w:ascii="Arial" w:hAnsi="Arial"/>
          <w:sz w:val="24"/>
          <w:szCs w:val="24"/>
        </w:rPr>
        <w:t xml:space="preserve">2012 (1) NR 162 (SC), </w:t>
      </w:r>
      <w:r w:rsidR="00776A19">
        <w:rPr>
          <w:rStyle w:val="PageNumber"/>
          <w:rFonts w:ascii="Arial" w:hAnsi="Arial"/>
          <w:sz w:val="24"/>
          <w:szCs w:val="24"/>
        </w:rPr>
        <w:t xml:space="preserve">at paragraph 31, </w:t>
      </w:r>
      <w:r w:rsidR="00AC4A75">
        <w:rPr>
          <w:rStyle w:val="PageNumber"/>
          <w:rFonts w:ascii="Arial" w:hAnsi="Arial"/>
          <w:sz w:val="24"/>
          <w:szCs w:val="24"/>
        </w:rPr>
        <w:t>O’Regan AJA</w:t>
      </w:r>
      <w:r w:rsidR="00F7638A">
        <w:rPr>
          <w:rStyle w:val="PageNumber"/>
          <w:rFonts w:ascii="Arial" w:hAnsi="Arial"/>
          <w:sz w:val="24"/>
          <w:szCs w:val="24"/>
        </w:rPr>
        <w:t xml:space="preserve"> stated</w:t>
      </w:r>
      <w:r w:rsidR="00AC4A75">
        <w:rPr>
          <w:rStyle w:val="PageNumber"/>
          <w:rFonts w:ascii="Arial" w:hAnsi="Arial"/>
          <w:sz w:val="24"/>
          <w:szCs w:val="24"/>
        </w:rPr>
        <w:t xml:space="preserve"> that the underlying reasoning of </w:t>
      </w:r>
      <w:r w:rsidR="00AC4A75">
        <w:rPr>
          <w:rStyle w:val="PageNumber"/>
          <w:rFonts w:ascii="Arial" w:hAnsi="Arial"/>
          <w:i/>
          <w:iCs/>
          <w:sz w:val="24"/>
          <w:szCs w:val="24"/>
        </w:rPr>
        <w:t>Valencia Uranium</w:t>
      </w:r>
      <w:r w:rsidR="00AC4A75">
        <w:rPr>
          <w:rStyle w:val="PageNumber"/>
          <w:rFonts w:ascii="Arial" w:hAnsi="Arial"/>
          <w:sz w:val="24"/>
          <w:szCs w:val="24"/>
        </w:rPr>
        <w:t xml:space="preserve"> is that the objective of urgent applications may be frustrated if such applications were appealable. </w:t>
      </w:r>
      <w:r w:rsidR="001A241D">
        <w:rPr>
          <w:rStyle w:val="PageNumber"/>
          <w:rFonts w:ascii="Arial" w:hAnsi="Arial"/>
          <w:sz w:val="24"/>
          <w:szCs w:val="24"/>
        </w:rPr>
        <w:t xml:space="preserve">However, </w:t>
      </w:r>
      <w:r w:rsidR="00E62B0F">
        <w:rPr>
          <w:rStyle w:val="PageNumber"/>
          <w:rFonts w:ascii="Arial" w:hAnsi="Arial"/>
          <w:sz w:val="24"/>
          <w:szCs w:val="24"/>
        </w:rPr>
        <w:t>O’Regan AJA</w:t>
      </w:r>
      <w:r w:rsidR="001A241D">
        <w:rPr>
          <w:rStyle w:val="PageNumber"/>
          <w:rFonts w:ascii="Arial" w:hAnsi="Arial"/>
          <w:sz w:val="24"/>
          <w:szCs w:val="24"/>
        </w:rPr>
        <w:t xml:space="preserve"> </w:t>
      </w:r>
      <w:r w:rsidR="00E62B0F">
        <w:rPr>
          <w:rStyle w:val="PageNumber"/>
          <w:rFonts w:ascii="Arial" w:hAnsi="Arial"/>
          <w:sz w:val="24"/>
          <w:szCs w:val="24"/>
        </w:rPr>
        <w:t xml:space="preserve">drew </w:t>
      </w:r>
      <w:r w:rsidR="00AC4A75">
        <w:rPr>
          <w:rStyle w:val="PageNumber"/>
          <w:rFonts w:ascii="Arial" w:hAnsi="Arial"/>
          <w:sz w:val="24"/>
          <w:szCs w:val="24"/>
        </w:rPr>
        <w:t xml:space="preserve">a distinction between the factual scenario in </w:t>
      </w:r>
      <w:r w:rsidR="00AC4A75">
        <w:rPr>
          <w:rStyle w:val="PageNumber"/>
          <w:rFonts w:ascii="Arial" w:hAnsi="Arial"/>
          <w:i/>
          <w:iCs/>
          <w:sz w:val="24"/>
          <w:szCs w:val="24"/>
        </w:rPr>
        <w:t>Valencia</w:t>
      </w:r>
      <w:r w:rsidR="00AC4A75">
        <w:rPr>
          <w:rStyle w:val="PageNumber"/>
          <w:rFonts w:ascii="Arial" w:hAnsi="Arial"/>
          <w:sz w:val="24"/>
          <w:szCs w:val="24"/>
        </w:rPr>
        <w:t xml:space="preserve"> where there was a cross-appeal against the exercise of a discretion (just like in this case) to entertain a matter on an urgent basis, and the situation in </w:t>
      </w:r>
      <w:r w:rsidR="00AC4A75">
        <w:rPr>
          <w:rStyle w:val="PageNumber"/>
          <w:rFonts w:ascii="Arial" w:hAnsi="Arial"/>
          <w:i/>
          <w:iCs/>
          <w:sz w:val="24"/>
          <w:szCs w:val="24"/>
        </w:rPr>
        <w:t xml:space="preserve">Aussenkehr Farms (Pty) Ltd v Namibia Development Corporation Ltd </w:t>
      </w:r>
      <w:r w:rsidR="00AC4A75">
        <w:rPr>
          <w:rStyle w:val="PageNumber"/>
          <w:rFonts w:ascii="Arial" w:hAnsi="Arial"/>
          <w:sz w:val="24"/>
          <w:szCs w:val="24"/>
        </w:rPr>
        <w:t>2012 (2) NR 671 (SC)</w:t>
      </w:r>
      <w:r w:rsidR="0062601D">
        <w:rPr>
          <w:rStyle w:val="PageNumber"/>
          <w:rFonts w:ascii="Arial" w:hAnsi="Arial"/>
          <w:sz w:val="24"/>
          <w:szCs w:val="24"/>
        </w:rPr>
        <w:t>,</w:t>
      </w:r>
      <w:r w:rsidR="006A1F86">
        <w:rPr>
          <w:rStyle w:val="PageNumber"/>
          <w:rFonts w:ascii="Arial" w:hAnsi="Arial"/>
          <w:sz w:val="24"/>
          <w:szCs w:val="24"/>
        </w:rPr>
        <w:t xml:space="preserve"> </w:t>
      </w:r>
      <w:r w:rsidR="007764D2">
        <w:rPr>
          <w:rStyle w:val="PageNumber"/>
          <w:rFonts w:ascii="Arial" w:hAnsi="Arial"/>
          <w:sz w:val="24"/>
          <w:szCs w:val="24"/>
        </w:rPr>
        <w:t xml:space="preserve">where </w:t>
      </w:r>
      <w:r w:rsidR="006A1F86">
        <w:rPr>
          <w:rStyle w:val="PageNumber"/>
          <w:rFonts w:ascii="Arial" w:hAnsi="Arial"/>
          <w:sz w:val="24"/>
          <w:szCs w:val="24"/>
        </w:rPr>
        <w:t xml:space="preserve">the court </w:t>
      </w:r>
      <w:r w:rsidR="00AC4A75">
        <w:rPr>
          <w:rStyle w:val="PageNumber"/>
          <w:rFonts w:ascii="Arial" w:hAnsi="Arial"/>
          <w:sz w:val="24"/>
          <w:szCs w:val="24"/>
        </w:rPr>
        <w:t>refused to hear a matter as one of urgency. In the latter scenario, O’Regan AJA took the view that</w:t>
      </w:r>
      <w:r w:rsidR="006A1F86">
        <w:rPr>
          <w:rStyle w:val="PageNumber"/>
          <w:rFonts w:ascii="Arial" w:hAnsi="Arial"/>
          <w:sz w:val="24"/>
          <w:szCs w:val="24"/>
        </w:rPr>
        <w:t>:</w:t>
      </w:r>
    </w:p>
    <w:p w:rsidR="006A1F86" w:rsidRDefault="006A1F86">
      <w:pPr>
        <w:pStyle w:val="MediumGrid21"/>
        <w:spacing w:line="480" w:lineRule="auto"/>
        <w:jc w:val="both"/>
        <w:rPr>
          <w:rStyle w:val="PageNumber"/>
          <w:rFonts w:ascii="Arial" w:hAnsi="Arial"/>
          <w:sz w:val="24"/>
          <w:szCs w:val="24"/>
        </w:rPr>
      </w:pPr>
    </w:p>
    <w:p w:rsidR="002A2CB2" w:rsidRPr="00D757A1" w:rsidRDefault="00D757A1" w:rsidP="00D757A1">
      <w:pPr>
        <w:pStyle w:val="MediumGrid21"/>
        <w:spacing w:line="360" w:lineRule="auto"/>
        <w:ind w:left="709"/>
        <w:jc w:val="both"/>
        <w:rPr>
          <w:rStyle w:val="PageNumber"/>
          <w:rFonts w:ascii="Arial" w:eastAsia="Arial" w:hAnsi="Arial" w:cs="Arial"/>
        </w:rPr>
      </w:pPr>
      <w:r w:rsidRPr="00D757A1">
        <w:rPr>
          <w:rStyle w:val="PageNumber"/>
          <w:rFonts w:ascii="Arial" w:hAnsi="Arial"/>
        </w:rPr>
        <w:t>‘</w:t>
      </w:r>
      <w:r w:rsidR="00AC4A75" w:rsidRPr="00D757A1">
        <w:rPr>
          <w:rStyle w:val="PageNumber"/>
          <w:rFonts w:ascii="Arial" w:hAnsi="Arial"/>
        </w:rPr>
        <w:t>substantial injustice may result if there is an absolute bar to appeals against orders refusing condonation for non-compliance on the grounds of urgency, no matter how final or definitive the effect of such findings may be on the sub</w:t>
      </w:r>
      <w:r w:rsidRPr="00D757A1">
        <w:rPr>
          <w:rStyle w:val="PageNumber"/>
          <w:rFonts w:ascii="Arial" w:hAnsi="Arial"/>
        </w:rPr>
        <w:t>stantive rights of the parties.’</w:t>
      </w:r>
    </w:p>
    <w:p w:rsidR="002A2CB2" w:rsidRDefault="002A2CB2">
      <w:pPr>
        <w:pStyle w:val="MediumGrid21"/>
        <w:spacing w:line="480" w:lineRule="auto"/>
        <w:jc w:val="both"/>
        <w:rPr>
          <w:rFonts w:ascii="Arial" w:eastAsia="Arial" w:hAnsi="Arial" w:cs="Arial"/>
          <w:sz w:val="24"/>
          <w:szCs w:val="24"/>
        </w:rPr>
      </w:pPr>
    </w:p>
    <w:p w:rsidR="002A2CB2" w:rsidRDefault="00A03559">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[1</w:t>
      </w:r>
      <w:r w:rsidR="0021003B">
        <w:rPr>
          <w:rStyle w:val="PageNumber"/>
          <w:rFonts w:ascii="Arial" w:hAnsi="Arial"/>
          <w:sz w:val="24"/>
          <w:szCs w:val="24"/>
        </w:rPr>
        <w:t>5</w:t>
      </w:r>
      <w:r w:rsidR="001A241D">
        <w:rPr>
          <w:rStyle w:val="PageNumber"/>
          <w:rFonts w:ascii="Arial" w:hAnsi="Arial"/>
          <w:sz w:val="24"/>
          <w:szCs w:val="24"/>
        </w:rPr>
        <w:t>]</w:t>
      </w:r>
      <w:r w:rsidR="001A241D">
        <w:rPr>
          <w:rStyle w:val="PageNumber"/>
          <w:rFonts w:ascii="Arial" w:hAnsi="Arial"/>
          <w:sz w:val="24"/>
          <w:szCs w:val="24"/>
        </w:rPr>
        <w:tab/>
        <w:t xml:space="preserve">Even on the assumption that in exceptional circumstances </w:t>
      </w:r>
      <w:r w:rsidR="00AC4A75">
        <w:rPr>
          <w:rStyle w:val="PageNumber"/>
          <w:rFonts w:ascii="Arial" w:hAnsi="Arial"/>
          <w:sz w:val="24"/>
          <w:szCs w:val="24"/>
        </w:rPr>
        <w:t xml:space="preserve">this court may relax the rule stated in </w:t>
      </w:r>
      <w:r w:rsidR="00AC4A75">
        <w:rPr>
          <w:rStyle w:val="PageNumber"/>
          <w:rFonts w:ascii="Arial" w:hAnsi="Arial"/>
          <w:i/>
          <w:iCs/>
          <w:sz w:val="24"/>
          <w:szCs w:val="24"/>
        </w:rPr>
        <w:t>Valencia,</w:t>
      </w:r>
      <w:r w:rsidR="00AC4A75">
        <w:rPr>
          <w:rStyle w:val="PageNumber"/>
          <w:rFonts w:ascii="Arial" w:hAnsi="Arial"/>
          <w:sz w:val="24"/>
          <w:szCs w:val="24"/>
        </w:rPr>
        <w:t xml:space="preserve"> </w:t>
      </w:r>
      <w:r w:rsidR="00850BD8">
        <w:rPr>
          <w:rStyle w:val="PageNumber"/>
          <w:rFonts w:ascii="Arial" w:hAnsi="Arial"/>
          <w:sz w:val="24"/>
          <w:szCs w:val="24"/>
        </w:rPr>
        <w:t>there were no such</w:t>
      </w:r>
      <w:r w:rsidR="003A44F5">
        <w:rPr>
          <w:rStyle w:val="PageNumber"/>
          <w:rFonts w:ascii="Arial" w:hAnsi="Arial"/>
          <w:sz w:val="24"/>
          <w:szCs w:val="24"/>
        </w:rPr>
        <w:t xml:space="preserve"> circumstances </w:t>
      </w:r>
      <w:r w:rsidR="00850BD8">
        <w:rPr>
          <w:rStyle w:val="PageNumber"/>
          <w:rFonts w:ascii="Arial" w:hAnsi="Arial"/>
          <w:sz w:val="24"/>
          <w:szCs w:val="24"/>
        </w:rPr>
        <w:t>present in this appeal</w:t>
      </w:r>
      <w:r w:rsidR="003A44F5">
        <w:rPr>
          <w:rStyle w:val="PageNumber"/>
          <w:rFonts w:ascii="Arial" w:hAnsi="Arial"/>
          <w:sz w:val="24"/>
          <w:szCs w:val="24"/>
        </w:rPr>
        <w:t>. O</w:t>
      </w:r>
      <w:r w:rsidR="006A1F86">
        <w:rPr>
          <w:rStyle w:val="PageNumber"/>
          <w:rFonts w:ascii="Arial" w:hAnsi="Arial"/>
          <w:sz w:val="24"/>
          <w:szCs w:val="24"/>
        </w:rPr>
        <w:t xml:space="preserve">nce the High Court exercises its </w:t>
      </w:r>
      <w:r w:rsidR="00AC4A75">
        <w:rPr>
          <w:rStyle w:val="PageNumber"/>
          <w:rFonts w:ascii="Arial" w:hAnsi="Arial"/>
          <w:sz w:val="24"/>
          <w:szCs w:val="24"/>
        </w:rPr>
        <w:t>dis</w:t>
      </w:r>
      <w:r w:rsidR="003A44F5">
        <w:rPr>
          <w:rStyle w:val="PageNumber"/>
          <w:rFonts w:ascii="Arial" w:hAnsi="Arial"/>
          <w:sz w:val="24"/>
          <w:szCs w:val="24"/>
        </w:rPr>
        <w:t>cretion to hear a</w:t>
      </w:r>
      <w:r w:rsidR="00AC4A75">
        <w:rPr>
          <w:rStyle w:val="PageNumber"/>
          <w:rFonts w:ascii="Arial" w:hAnsi="Arial"/>
          <w:sz w:val="24"/>
          <w:szCs w:val="24"/>
        </w:rPr>
        <w:t xml:space="preserve"> matter on an urgent basis, the ratio in </w:t>
      </w:r>
      <w:r w:rsidR="00AC4A75">
        <w:rPr>
          <w:rStyle w:val="PageNumber"/>
          <w:rFonts w:ascii="Arial" w:hAnsi="Arial"/>
          <w:i/>
          <w:iCs/>
          <w:sz w:val="24"/>
          <w:szCs w:val="24"/>
        </w:rPr>
        <w:t>Valencia</w:t>
      </w:r>
      <w:r w:rsidR="00AC4A75">
        <w:rPr>
          <w:rStyle w:val="PageNumber"/>
          <w:rFonts w:ascii="Arial" w:hAnsi="Arial"/>
          <w:sz w:val="24"/>
          <w:szCs w:val="24"/>
        </w:rPr>
        <w:t xml:space="preserve"> finds application. This principle is now firmly entrenched in our law: </w:t>
      </w:r>
      <w:r w:rsidR="00AC4A75">
        <w:rPr>
          <w:rStyle w:val="PageNumber"/>
          <w:rFonts w:ascii="Arial" w:hAnsi="Arial"/>
          <w:i/>
          <w:iCs/>
          <w:sz w:val="24"/>
          <w:szCs w:val="24"/>
        </w:rPr>
        <w:t xml:space="preserve">Cargo Dynamics Pharmaceuticals (Pty) Ltd v Minister of Health and Social Services and Another </w:t>
      </w:r>
      <w:r w:rsidR="00AC4A75">
        <w:rPr>
          <w:rStyle w:val="PageNumber"/>
          <w:rFonts w:ascii="Arial" w:hAnsi="Arial"/>
          <w:sz w:val="24"/>
          <w:szCs w:val="24"/>
        </w:rPr>
        <w:t xml:space="preserve">2013 (2) NR 552 (SC); </w:t>
      </w:r>
      <w:r w:rsidR="00AC4A75">
        <w:rPr>
          <w:rStyle w:val="PageNumber"/>
          <w:rFonts w:ascii="Arial" w:hAnsi="Arial"/>
          <w:i/>
          <w:iCs/>
          <w:sz w:val="24"/>
          <w:szCs w:val="24"/>
        </w:rPr>
        <w:t xml:space="preserve">Chair, Council of the City of Municipality of Windhoek v Roland </w:t>
      </w:r>
      <w:r w:rsidR="00AC4A75">
        <w:rPr>
          <w:rStyle w:val="PageNumber"/>
          <w:rFonts w:ascii="Arial" w:hAnsi="Arial"/>
          <w:sz w:val="24"/>
          <w:szCs w:val="24"/>
        </w:rPr>
        <w:t xml:space="preserve">2014 (1) NR 247 (SC). </w:t>
      </w:r>
    </w:p>
    <w:p w:rsidR="002A2CB2" w:rsidRDefault="002A2CB2">
      <w:pPr>
        <w:pStyle w:val="MediumGrid21"/>
        <w:spacing w:line="480" w:lineRule="auto"/>
        <w:jc w:val="both"/>
        <w:rPr>
          <w:rStyle w:val="PageNumber"/>
          <w:rFonts w:ascii="Arial" w:eastAsia="Arial" w:hAnsi="Arial" w:cs="Arial"/>
          <w:sz w:val="24"/>
          <w:szCs w:val="24"/>
          <w:u w:val="single"/>
        </w:rPr>
      </w:pPr>
    </w:p>
    <w:p w:rsidR="003A44F5" w:rsidRPr="003A44F5" w:rsidRDefault="00F4539C">
      <w:pPr>
        <w:pStyle w:val="MediumGrid21"/>
        <w:spacing w:line="480" w:lineRule="auto"/>
        <w:jc w:val="both"/>
        <w:rPr>
          <w:rStyle w:val="PageNumber"/>
          <w:rFonts w:ascii="Arial" w:eastAsia="Arial" w:hAnsi="Arial" w:cs="Arial"/>
          <w:i/>
          <w:iCs/>
          <w:sz w:val="24"/>
          <w:szCs w:val="24"/>
        </w:rPr>
      </w:pPr>
      <w:r w:rsidRPr="003A44F5">
        <w:rPr>
          <w:rStyle w:val="PageNumber"/>
          <w:rFonts w:ascii="Arial" w:hAnsi="Arial"/>
          <w:iCs/>
          <w:sz w:val="24"/>
          <w:szCs w:val="24"/>
          <w:u w:val="single"/>
        </w:rPr>
        <w:t>Was it</w:t>
      </w:r>
      <w:r w:rsidR="00AC4A75" w:rsidRPr="003A44F5">
        <w:rPr>
          <w:rStyle w:val="PageNumber"/>
          <w:rFonts w:ascii="Arial" w:hAnsi="Arial"/>
          <w:iCs/>
          <w:sz w:val="24"/>
          <w:szCs w:val="24"/>
          <w:u w:val="single"/>
        </w:rPr>
        <w:t xml:space="preserve"> </w:t>
      </w:r>
      <w:r w:rsidR="00233918">
        <w:rPr>
          <w:rStyle w:val="PageNumber"/>
          <w:rFonts w:ascii="Arial" w:hAnsi="Arial"/>
          <w:iCs/>
          <w:sz w:val="24"/>
          <w:szCs w:val="24"/>
          <w:u w:val="single"/>
        </w:rPr>
        <w:t xml:space="preserve">obligatory </w:t>
      </w:r>
      <w:r w:rsidR="00AC4A75" w:rsidRPr="003A44F5">
        <w:rPr>
          <w:rStyle w:val="PageNumber"/>
          <w:rFonts w:ascii="Arial" w:hAnsi="Arial"/>
          <w:iCs/>
          <w:sz w:val="24"/>
          <w:szCs w:val="24"/>
          <w:u w:val="single"/>
        </w:rPr>
        <w:t>to seek an interim interdict</w:t>
      </w:r>
      <w:r w:rsidR="00AC4A75">
        <w:rPr>
          <w:rStyle w:val="PageNumber"/>
          <w:rFonts w:ascii="Arial" w:hAnsi="Arial"/>
          <w:i/>
          <w:iCs/>
          <w:sz w:val="24"/>
          <w:szCs w:val="24"/>
        </w:rPr>
        <w:t>?</w:t>
      </w:r>
    </w:p>
    <w:p w:rsidR="002A2CB2" w:rsidRPr="00303847"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[16</w:t>
      </w:r>
      <w:r w:rsidR="00AC4A75">
        <w:rPr>
          <w:rStyle w:val="PageNumber"/>
          <w:rFonts w:ascii="Arial" w:hAnsi="Arial"/>
          <w:sz w:val="24"/>
          <w:szCs w:val="24"/>
        </w:rPr>
        <w:t xml:space="preserve">] </w:t>
      </w:r>
      <w:r w:rsidR="00AC4A75">
        <w:rPr>
          <w:rStyle w:val="PageNumber"/>
          <w:rFonts w:ascii="Arial" w:hAnsi="Arial"/>
          <w:sz w:val="24"/>
          <w:szCs w:val="24"/>
        </w:rPr>
        <w:tab/>
      </w:r>
      <w:r w:rsidR="00303847">
        <w:rPr>
          <w:rStyle w:val="PageNumber"/>
          <w:rFonts w:ascii="Arial" w:hAnsi="Arial"/>
          <w:sz w:val="24"/>
          <w:szCs w:val="24"/>
        </w:rPr>
        <w:t>The fifth respondent contend</w:t>
      </w:r>
      <w:r w:rsidR="001C379B">
        <w:rPr>
          <w:rStyle w:val="PageNumber"/>
          <w:rFonts w:ascii="Arial" w:hAnsi="Arial"/>
          <w:sz w:val="24"/>
          <w:szCs w:val="24"/>
        </w:rPr>
        <w:t>ed</w:t>
      </w:r>
      <w:r w:rsidR="003A44F5">
        <w:rPr>
          <w:rStyle w:val="PageNumber"/>
          <w:rFonts w:ascii="Arial" w:hAnsi="Arial"/>
          <w:sz w:val="24"/>
          <w:szCs w:val="24"/>
        </w:rPr>
        <w:t xml:space="preserve"> that the appellant </w:t>
      </w:r>
      <w:r w:rsidR="00A03559">
        <w:rPr>
          <w:rStyle w:val="PageNumber"/>
          <w:rFonts w:ascii="Arial" w:hAnsi="Arial"/>
          <w:sz w:val="24"/>
          <w:szCs w:val="24"/>
        </w:rPr>
        <w:t>should have sought interim relie</w:t>
      </w:r>
      <w:r w:rsidR="003A44F5">
        <w:rPr>
          <w:rStyle w:val="PageNumber"/>
          <w:rFonts w:ascii="Arial" w:hAnsi="Arial"/>
          <w:sz w:val="24"/>
          <w:szCs w:val="24"/>
        </w:rPr>
        <w:t xml:space="preserve">f pending the </w:t>
      </w:r>
      <w:r w:rsidR="001C379B">
        <w:rPr>
          <w:rStyle w:val="PageNumber"/>
          <w:rFonts w:ascii="Arial" w:hAnsi="Arial"/>
          <w:sz w:val="24"/>
          <w:szCs w:val="24"/>
        </w:rPr>
        <w:t>finalis</w:t>
      </w:r>
      <w:r w:rsidR="003A44F5">
        <w:rPr>
          <w:rStyle w:val="PageNumber"/>
          <w:rFonts w:ascii="Arial" w:hAnsi="Arial"/>
          <w:sz w:val="24"/>
          <w:szCs w:val="24"/>
        </w:rPr>
        <w:t>ation of the review application so as to</w:t>
      </w:r>
      <w:r w:rsidR="00C56E3A">
        <w:rPr>
          <w:rStyle w:val="PageNumber"/>
          <w:rFonts w:ascii="Arial" w:hAnsi="Arial"/>
          <w:sz w:val="24"/>
          <w:szCs w:val="24"/>
        </w:rPr>
        <w:t xml:space="preserve"> have its interests protected</w:t>
      </w:r>
      <w:r w:rsidR="003A44F5">
        <w:rPr>
          <w:rStyle w:val="PageNumber"/>
          <w:rFonts w:ascii="Arial" w:hAnsi="Arial"/>
          <w:sz w:val="24"/>
          <w:szCs w:val="24"/>
        </w:rPr>
        <w:t xml:space="preserve"> </w:t>
      </w:r>
      <w:r w:rsidR="006A1F86">
        <w:rPr>
          <w:rStyle w:val="PageNumber"/>
          <w:rFonts w:ascii="Arial" w:hAnsi="Arial"/>
          <w:sz w:val="24"/>
          <w:szCs w:val="24"/>
        </w:rPr>
        <w:t xml:space="preserve">and the fifth respondent’s rights </w:t>
      </w:r>
      <w:r w:rsidR="001C379B">
        <w:rPr>
          <w:rStyle w:val="PageNumber"/>
          <w:rFonts w:ascii="Arial" w:hAnsi="Arial"/>
          <w:sz w:val="24"/>
          <w:szCs w:val="24"/>
        </w:rPr>
        <w:t>minimally impacted</w:t>
      </w:r>
      <w:r w:rsidR="00303847">
        <w:rPr>
          <w:rStyle w:val="PageNumber"/>
          <w:rFonts w:ascii="Arial" w:hAnsi="Arial"/>
          <w:sz w:val="24"/>
          <w:szCs w:val="24"/>
        </w:rPr>
        <w:t xml:space="preserve">. </w:t>
      </w:r>
      <w:r w:rsidR="00AC4A75">
        <w:rPr>
          <w:rStyle w:val="PageNumber"/>
          <w:rFonts w:ascii="Arial" w:hAnsi="Arial"/>
          <w:sz w:val="24"/>
          <w:szCs w:val="24"/>
        </w:rPr>
        <w:t xml:space="preserve">The court </w:t>
      </w:r>
      <w:r w:rsidR="00AC4A75" w:rsidRPr="00942D1E">
        <w:rPr>
          <w:rStyle w:val="PageNumber"/>
          <w:rFonts w:ascii="Arial" w:hAnsi="Arial"/>
          <w:iCs/>
          <w:sz w:val="24"/>
          <w:szCs w:val="24"/>
        </w:rPr>
        <w:t>a</w:t>
      </w:r>
      <w:r w:rsidR="00AC4A75">
        <w:rPr>
          <w:rStyle w:val="PageNumber"/>
          <w:rFonts w:ascii="Arial" w:hAnsi="Arial"/>
          <w:i/>
          <w:iCs/>
          <w:sz w:val="24"/>
          <w:szCs w:val="24"/>
        </w:rPr>
        <w:t xml:space="preserve"> quo</w:t>
      </w:r>
      <w:r w:rsidR="00AC4A75">
        <w:rPr>
          <w:rStyle w:val="PageNumber"/>
          <w:rFonts w:ascii="Arial" w:hAnsi="Arial"/>
          <w:sz w:val="24"/>
          <w:szCs w:val="24"/>
        </w:rPr>
        <w:t xml:space="preserve"> found that the fifth respondent</w:t>
      </w:r>
      <w:r w:rsidR="0050488A">
        <w:rPr>
          <w:rStyle w:val="PageNumber"/>
          <w:rFonts w:ascii="Arial" w:hAnsi="Arial"/>
          <w:sz w:val="24"/>
          <w:szCs w:val="24"/>
        </w:rPr>
        <w:t xml:space="preserve"> had not been prejudiced by </w:t>
      </w:r>
      <w:r w:rsidR="00AC4A75">
        <w:rPr>
          <w:rStyle w:val="PageNumber"/>
          <w:rFonts w:ascii="Arial" w:hAnsi="Arial"/>
          <w:sz w:val="24"/>
          <w:szCs w:val="24"/>
        </w:rPr>
        <w:t>the appellant</w:t>
      </w:r>
      <w:r w:rsidR="0050488A">
        <w:rPr>
          <w:rStyle w:val="PageNumber"/>
          <w:rFonts w:ascii="Arial" w:hAnsi="Arial"/>
          <w:sz w:val="24"/>
          <w:szCs w:val="24"/>
        </w:rPr>
        <w:t>’s election not</w:t>
      </w:r>
      <w:r w:rsidR="001C379B">
        <w:rPr>
          <w:rStyle w:val="PageNumber"/>
          <w:rFonts w:ascii="Arial" w:hAnsi="Arial"/>
          <w:sz w:val="24"/>
          <w:szCs w:val="24"/>
        </w:rPr>
        <w:t xml:space="preserve"> to seek </w:t>
      </w:r>
      <w:r w:rsidR="00AC4A75">
        <w:rPr>
          <w:rStyle w:val="PageNumber"/>
          <w:rFonts w:ascii="Arial" w:hAnsi="Arial"/>
          <w:sz w:val="24"/>
          <w:szCs w:val="24"/>
        </w:rPr>
        <w:t xml:space="preserve">interim </w:t>
      </w:r>
      <w:r w:rsidR="00303847">
        <w:rPr>
          <w:rStyle w:val="PageNumber"/>
          <w:rFonts w:ascii="Arial" w:hAnsi="Arial"/>
          <w:sz w:val="24"/>
          <w:szCs w:val="24"/>
        </w:rPr>
        <w:t>relief</w:t>
      </w:r>
      <w:r w:rsidR="00AC4A75">
        <w:rPr>
          <w:rStyle w:val="PageNumber"/>
          <w:rFonts w:ascii="Arial" w:hAnsi="Arial"/>
          <w:sz w:val="24"/>
          <w:szCs w:val="24"/>
        </w:rPr>
        <w:t>.</w:t>
      </w:r>
    </w:p>
    <w:p w:rsidR="002A2CB2" w:rsidRDefault="002A2CB2">
      <w:pPr>
        <w:pStyle w:val="MediumGrid21"/>
        <w:spacing w:line="480" w:lineRule="auto"/>
        <w:jc w:val="both"/>
        <w:rPr>
          <w:rFonts w:ascii="Arial" w:eastAsia="Arial" w:hAnsi="Arial" w:cs="Arial"/>
          <w:sz w:val="24"/>
          <w:szCs w:val="24"/>
        </w:rPr>
      </w:pPr>
    </w:p>
    <w:p w:rsidR="002A2CB2" w:rsidRDefault="0021003B">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[17</w:t>
      </w:r>
      <w:r w:rsidR="00AC4A75">
        <w:rPr>
          <w:rStyle w:val="PageNumber"/>
          <w:rFonts w:ascii="Arial" w:hAnsi="Arial"/>
          <w:sz w:val="24"/>
          <w:szCs w:val="24"/>
        </w:rPr>
        <w:t xml:space="preserve">] </w:t>
      </w:r>
      <w:r w:rsidR="00AC4A75">
        <w:rPr>
          <w:rStyle w:val="PageNumber"/>
          <w:rFonts w:ascii="Arial" w:hAnsi="Arial"/>
          <w:sz w:val="24"/>
          <w:szCs w:val="24"/>
        </w:rPr>
        <w:tab/>
        <w:t xml:space="preserve"> </w:t>
      </w:r>
      <w:r w:rsidR="001C379B">
        <w:rPr>
          <w:rStyle w:val="PageNumber"/>
          <w:rFonts w:ascii="Arial" w:hAnsi="Arial"/>
          <w:sz w:val="24"/>
          <w:szCs w:val="24"/>
        </w:rPr>
        <w:t>Not seeking an interim relief</w:t>
      </w:r>
      <w:r w:rsidR="00C520E2">
        <w:rPr>
          <w:rStyle w:val="PageNumber"/>
          <w:rFonts w:ascii="Arial" w:hAnsi="Arial"/>
          <w:sz w:val="24"/>
          <w:szCs w:val="24"/>
        </w:rPr>
        <w:t xml:space="preserve"> was</w:t>
      </w:r>
      <w:r w:rsidR="00AC4A75">
        <w:rPr>
          <w:rStyle w:val="PageNumber"/>
          <w:rFonts w:ascii="Arial" w:hAnsi="Arial"/>
          <w:sz w:val="24"/>
          <w:szCs w:val="24"/>
        </w:rPr>
        <w:t xml:space="preserve"> an election</w:t>
      </w:r>
      <w:r w:rsidR="00C520E2">
        <w:rPr>
          <w:rStyle w:val="PageNumber"/>
          <w:rFonts w:ascii="Arial" w:hAnsi="Arial"/>
          <w:sz w:val="24"/>
          <w:szCs w:val="24"/>
        </w:rPr>
        <w:t xml:space="preserve"> that</w:t>
      </w:r>
      <w:r w:rsidR="00AC4A75">
        <w:rPr>
          <w:rStyle w:val="PageNumber"/>
          <w:rFonts w:ascii="Arial" w:hAnsi="Arial"/>
          <w:sz w:val="24"/>
          <w:szCs w:val="24"/>
        </w:rPr>
        <w:t xml:space="preserve"> the appellant was entitled to make. </w:t>
      </w:r>
      <w:r w:rsidR="001C379B">
        <w:rPr>
          <w:rStyle w:val="PageNumber"/>
          <w:rFonts w:ascii="Arial" w:hAnsi="Arial"/>
          <w:sz w:val="24"/>
          <w:szCs w:val="24"/>
        </w:rPr>
        <w:t xml:space="preserve">A </w:t>
      </w:r>
      <w:r w:rsidR="00AC4A75">
        <w:rPr>
          <w:rStyle w:val="PageNumber"/>
          <w:rFonts w:ascii="Arial" w:hAnsi="Arial"/>
          <w:sz w:val="24"/>
          <w:szCs w:val="24"/>
        </w:rPr>
        <w:t xml:space="preserve">respondent in a review application has </w:t>
      </w:r>
      <w:r w:rsidR="00C56E3A">
        <w:rPr>
          <w:rStyle w:val="PageNumber"/>
          <w:rFonts w:ascii="Arial" w:hAnsi="Arial"/>
          <w:sz w:val="24"/>
          <w:szCs w:val="24"/>
        </w:rPr>
        <w:t>no</w:t>
      </w:r>
      <w:r w:rsidR="00AC4A75">
        <w:rPr>
          <w:rStyle w:val="PageNumber"/>
          <w:rFonts w:ascii="Arial" w:hAnsi="Arial"/>
          <w:sz w:val="24"/>
          <w:szCs w:val="24"/>
        </w:rPr>
        <w:t xml:space="preserve"> right </w:t>
      </w:r>
      <w:r w:rsidR="00942D1E">
        <w:rPr>
          <w:rStyle w:val="PageNumber"/>
          <w:rFonts w:ascii="Arial" w:hAnsi="Arial"/>
          <w:sz w:val="24"/>
          <w:szCs w:val="24"/>
        </w:rPr>
        <w:t xml:space="preserve">to demand </w:t>
      </w:r>
      <w:r w:rsidR="00AC4A75">
        <w:rPr>
          <w:rStyle w:val="PageNumber"/>
          <w:rFonts w:ascii="Arial" w:hAnsi="Arial"/>
          <w:sz w:val="24"/>
          <w:szCs w:val="24"/>
        </w:rPr>
        <w:t xml:space="preserve">that the party </w:t>
      </w:r>
      <w:r w:rsidR="00303847">
        <w:rPr>
          <w:rStyle w:val="PageNumber"/>
          <w:rFonts w:ascii="Arial" w:hAnsi="Arial"/>
          <w:sz w:val="24"/>
          <w:szCs w:val="24"/>
        </w:rPr>
        <w:t>seeking</w:t>
      </w:r>
      <w:r w:rsidR="00AC4A75">
        <w:rPr>
          <w:rStyle w:val="PageNumber"/>
          <w:rFonts w:ascii="Arial" w:hAnsi="Arial"/>
          <w:sz w:val="24"/>
          <w:szCs w:val="24"/>
        </w:rPr>
        <w:t xml:space="preserve"> review </w:t>
      </w:r>
      <w:r w:rsidR="00C56E3A">
        <w:rPr>
          <w:rStyle w:val="PageNumber"/>
          <w:rFonts w:ascii="Arial" w:hAnsi="Arial"/>
          <w:sz w:val="24"/>
          <w:szCs w:val="24"/>
        </w:rPr>
        <w:t>must seek</w:t>
      </w:r>
      <w:r w:rsidR="00303847">
        <w:rPr>
          <w:rStyle w:val="PageNumber"/>
          <w:rFonts w:ascii="Arial" w:hAnsi="Arial"/>
          <w:sz w:val="24"/>
          <w:szCs w:val="24"/>
        </w:rPr>
        <w:t xml:space="preserve"> interim relief. </w:t>
      </w:r>
      <w:r w:rsidR="00645F43">
        <w:rPr>
          <w:rStyle w:val="PageNumber"/>
          <w:rFonts w:ascii="Arial" w:hAnsi="Arial"/>
          <w:sz w:val="24"/>
          <w:szCs w:val="24"/>
        </w:rPr>
        <w:t>The c</w:t>
      </w:r>
      <w:r w:rsidR="00AC4A75">
        <w:rPr>
          <w:rStyle w:val="PageNumber"/>
          <w:rFonts w:ascii="Arial" w:hAnsi="Arial"/>
          <w:sz w:val="24"/>
          <w:szCs w:val="24"/>
        </w:rPr>
        <w:t xml:space="preserve">ourt has an overriding discretion whether to grant or refuse </w:t>
      </w:r>
      <w:r w:rsidR="00303847">
        <w:rPr>
          <w:rStyle w:val="PageNumber"/>
          <w:rFonts w:ascii="Arial" w:hAnsi="Arial"/>
          <w:sz w:val="24"/>
          <w:szCs w:val="24"/>
        </w:rPr>
        <w:t xml:space="preserve">interim relief </w:t>
      </w:r>
      <w:r w:rsidR="00AC4A75">
        <w:rPr>
          <w:rStyle w:val="PageNumber"/>
          <w:rFonts w:ascii="Arial" w:hAnsi="Arial"/>
          <w:sz w:val="24"/>
          <w:szCs w:val="24"/>
        </w:rPr>
        <w:t xml:space="preserve">and to regulate the further proceedings of any urgent application before it: </w:t>
      </w:r>
      <w:r w:rsidR="00AC4A75">
        <w:rPr>
          <w:rStyle w:val="PageNumber"/>
          <w:rFonts w:ascii="Arial" w:hAnsi="Arial"/>
          <w:i/>
          <w:iCs/>
          <w:sz w:val="24"/>
          <w:szCs w:val="24"/>
        </w:rPr>
        <w:t xml:space="preserve">Chopra v Avalon Cinemas S.A. (Pty) Ltd and </w:t>
      </w:r>
      <w:r w:rsidR="00587A66">
        <w:rPr>
          <w:rStyle w:val="PageNumber"/>
          <w:rFonts w:ascii="Arial" w:hAnsi="Arial"/>
          <w:i/>
          <w:iCs/>
          <w:sz w:val="24"/>
          <w:szCs w:val="24"/>
        </w:rPr>
        <w:t>another</w:t>
      </w:r>
      <w:r w:rsidR="00AC4A75">
        <w:rPr>
          <w:rStyle w:val="PageNumber"/>
          <w:rFonts w:ascii="Arial" w:hAnsi="Arial"/>
          <w:i/>
          <w:iCs/>
          <w:sz w:val="24"/>
          <w:szCs w:val="24"/>
        </w:rPr>
        <w:t xml:space="preserve"> </w:t>
      </w:r>
      <w:r w:rsidR="00AC4A75">
        <w:rPr>
          <w:rStyle w:val="PageNumber"/>
          <w:rFonts w:ascii="Arial" w:hAnsi="Arial"/>
          <w:sz w:val="24"/>
          <w:szCs w:val="24"/>
        </w:rPr>
        <w:t xml:space="preserve">1974 (1) SA 469 (D) at 472H-473A. Margo J in </w:t>
      </w:r>
      <w:r w:rsidR="00AC4A75">
        <w:rPr>
          <w:rStyle w:val="PageNumber"/>
          <w:rFonts w:ascii="Arial" w:hAnsi="Arial"/>
          <w:i/>
          <w:iCs/>
          <w:sz w:val="24"/>
          <w:szCs w:val="24"/>
        </w:rPr>
        <w:t>C.D. of Birnam (Suburban) (Pty) Ltd and Others v Falcon Investments Ltd</w:t>
      </w:r>
      <w:r w:rsidR="00AC4A75">
        <w:rPr>
          <w:rStyle w:val="PageNumber"/>
          <w:rFonts w:ascii="Arial" w:hAnsi="Arial"/>
          <w:sz w:val="24"/>
          <w:szCs w:val="24"/>
        </w:rPr>
        <w:t xml:space="preserve"> 1973 (3) SA 838 (W) at 854G put the matter thus:</w:t>
      </w:r>
    </w:p>
    <w:p w:rsidR="002A2CB2" w:rsidRDefault="002A2CB2">
      <w:pPr>
        <w:pStyle w:val="MediumGrid21"/>
        <w:spacing w:line="480" w:lineRule="auto"/>
        <w:jc w:val="both"/>
        <w:rPr>
          <w:rFonts w:ascii="Arial" w:eastAsia="Arial" w:hAnsi="Arial" w:cs="Arial"/>
          <w:sz w:val="24"/>
          <w:szCs w:val="24"/>
        </w:rPr>
      </w:pPr>
    </w:p>
    <w:p w:rsidR="002A2CB2" w:rsidRPr="00942D1E" w:rsidRDefault="00942D1E" w:rsidP="00942D1E">
      <w:pPr>
        <w:pStyle w:val="MediumGrid21"/>
        <w:spacing w:line="360" w:lineRule="auto"/>
        <w:ind w:left="709"/>
        <w:jc w:val="both"/>
        <w:rPr>
          <w:rStyle w:val="PageNumber"/>
          <w:rFonts w:ascii="Arial" w:hAnsi="Arial"/>
        </w:rPr>
      </w:pPr>
      <w:r w:rsidRPr="00942D1E">
        <w:rPr>
          <w:rStyle w:val="PageNumber"/>
          <w:rFonts w:ascii="Arial" w:hAnsi="Arial"/>
        </w:rPr>
        <w:t>‘</w:t>
      </w:r>
      <w:r w:rsidR="00AC4A75" w:rsidRPr="00942D1E">
        <w:rPr>
          <w:rStyle w:val="PageNumber"/>
          <w:rFonts w:ascii="Arial" w:hAnsi="Arial"/>
        </w:rPr>
        <w:t xml:space="preserve">[S]ince the grant or refusal of an interdict is a discretionary remedy, the Court exercising a judicial discretion clearly has the power in a proper case to add to the grant of an interdict such conditions qualifying or limiting the interdict as are best calculated to </w:t>
      </w:r>
      <w:r w:rsidR="00A03559" w:rsidRPr="00942D1E">
        <w:rPr>
          <w:rStyle w:val="PageNumber"/>
          <w:rFonts w:ascii="Arial" w:hAnsi="Arial"/>
        </w:rPr>
        <w:t>do justice between the parties.</w:t>
      </w:r>
      <w:r w:rsidRPr="00942D1E">
        <w:rPr>
          <w:rStyle w:val="PageNumber"/>
          <w:rFonts w:ascii="Arial" w:hAnsi="Arial"/>
        </w:rPr>
        <w:t>’</w:t>
      </w:r>
    </w:p>
    <w:p w:rsidR="00942D1E" w:rsidRDefault="00942D1E" w:rsidP="00A03559">
      <w:pPr>
        <w:pStyle w:val="MediumGrid21"/>
        <w:spacing w:line="480" w:lineRule="auto"/>
        <w:ind w:left="709"/>
        <w:jc w:val="both"/>
        <w:rPr>
          <w:rFonts w:ascii="Arial" w:eastAsia="Arial" w:hAnsi="Arial" w:cs="Arial"/>
          <w:sz w:val="24"/>
          <w:szCs w:val="24"/>
        </w:rPr>
      </w:pPr>
    </w:p>
    <w:p w:rsidR="002A2CB2" w:rsidRDefault="0021003B">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[18</w:t>
      </w:r>
      <w:r w:rsidR="00AC4A75">
        <w:rPr>
          <w:rStyle w:val="PageNumber"/>
          <w:rFonts w:ascii="Arial" w:hAnsi="Arial"/>
          <w:sz w:val="24"/>
          <w:szCs w:val="24"/>
        </w:rPr>
        <w:t xml:space="preserve">] </w:t>
      </w:r>
      <w:r w:rsidR="00AC4A75">
        <w:rPr>
          <w:rStyle w:val="PageNumber"/>
          <w:rFonts w:ascii="Arial" w:hAnsi="Arial"/>
          <w:sz w:val="24"/>
          <w:szCs w:val="24"/>
        </w:rPr>
        <w:tab/>
      </w:r>
      <w:r w:rsidR="00C520E2">
        <w:rPr>
          <w:rStyle w:val="PageNumber"/>
          <w:rFonts w:ascii="Arial" w:hAnsi="Arial"/>
          <w:sz w:val="24"/>
          <w:szCs w:val="24"/>
        </w:rPr>
        <w:t xml:space="preserve">It </w:t>
      </w:r>
      <w:r w:rsidR="007764D2">
        <w:rPr>
          <w:rStyle w:val="PageNumber"/>
          <w:rFonts w:ascii="Arial" w:hAnsi="Arial"/>
          <w:sz w:val="24"/>
          <w:szCs w:val="24"/>
        </w:rPr>
        <w:t xml:space="preserve">will be recalled </w:t>
      </w:r>
      <w:r w:rsidR="00C520E2">
        <w:rPr>
          <w:rStyle w:val="PageNumber"/>
          <w:rFonts w:ascii="Arial" w:hAnsi="Arial"/>
          <w:sz w:val="24"/>
          <w:szCs w:val="24"/>
        </w:rPr>
        <w:t xml:space="preserve">that </w:t>
      </w:r>
      <w:r w:rsidR="00AC4A75">
        <w:rPr>
          <w:rStyle w:val="PageNumber"/>
          <w:rFonts w:ascii="Arial" w:hAnsi="Arial"/>
          <w:sz w:val="24"/>
          <w:szCs w:val="24"/>
        </w:rPr>
        <w:t>although not asked for, the</w:t>
      </w:r>
      <w:r w:rsidR="006A1F86">
        <w:rPr>
          <w:rStyle w:val="PageNumber"/>
          <w:rFonts w:ascii="Arial" w:hAnsi="Arial"/>
          <w:sz w:val="24"/>
          <w:szCs w:val="24"/>
        </w:rPr>
        <w:t xml:space="preserve"> court a </w:t>
      </w:r>
      <w:r w:rsidR="006A1F86" w:rsidRPr="006A1F86">
        <w:rPr>
          <w:rStyle w:val="PageNumber"/>
          <w:rFonts w:ascii="Arial" w:hAnsi="Arial"/>
          <w:i/>
          <w:sz w:val="24"/>
          <w:szCs w:val="24"/>
        </w:rPr>
        <w:t>quo</w:t>
      </w:r>
      <w:r w:rsidR="00AC4A75">
        <w:rPr>
          <w:rStyle w:val="PageNumber"/>
          <w:rFonts w:ascii="Arial" w:hAnsi="Arial"/>
          <w:sz w:val="24"/>
          <w:szCs w:val="24"/>
        </w:rPr>
        <w:t xml:space="preserve"> suspended the implementation of the ten</w:t>
      </w:r>
      <w:r w:rsidR="00645F43">
        <w:rPr>
          <w:rStyle w:val="PageNumber"/>
          <w:rFonts w:ascii="Arial" w:hAnsi="Arial"/>
          <w:sz w:val="24"/>
          <w:szCs w:val="24"/>
        </w:rPr>
        <w:t>der until it delivered its judg</w:t>
      </w:r>
      <w:r w:rsidR="00AC4A75">
        <w:rPr>
          <w:rStyle w:val="PageNumber"/>
          <w:rFonts w:ascii="Arial" w:hAnsi="Arial"/>
          <w:sz w:val="24"/>
          <w:szCs w:val="24"/>
        </w:rPr>
        <w:t>ment.</w:t>
      </w:r>
      <w:r w:rsidR="00303847">
        <w:rPr>
          <w:rStyle w:val="PageNumber"/>
          <w:rFonts w:ascii="Arial" w:hAnsi="Arial"/>
          <w:sz w:val="24"/>
          <w:szCs w:val="24"/>
        </w:rPr>
        <w:t xml:space="preserve"> Consequently, t</w:t>
      </w:r>
      <w:r w:rsidR="00AC4A75">
        <w:rPr>
          <w:rStyle w:val="PageNumber"/>
          <w:rFonts w:ascii="Arial" w:hAnsi="Arial"/>
          <w:sz w:val="24"/>
          <w:szCs w:val="24"/>
        </w:rPr>
        <w:t xml:space="preserve">he </w:t>
      </w:r>
      <w:r w:rsidR="00303847">
        <w:rPr>
          <w:rStyle w:val="PageNumber"/>
          <w:rFonts w:ascii="Arial" w:hAnsi="Arial"/>
          <w:sz w:val="24"/>
          <w:szCs w:val="24"/>
        </w:rPr>
        <w:t xml:space="preserve">fifth respondent did not suffer </w:t>
      </w:r>
      <w:r w:rsidR="00AC4A75">
        <w:rPr>
          <w:rStyle w:val="PageNumber"/>
          <w:rFonts w:ascii="Arial" w:hAnsi="Arial"/>
          <w:sz w:val="24"/>
          <w:szCs w:val="24"/>
        </w:rPr>
        <w:t>prejudice</w:t>
      </w:r>
      <w:r w:rsidR="007764D2">
        <w:rPr>
          <w:rStyle w:val="PageNumber"/>
          <w:rFonts w:ascii="Arial" w:hAnsi="Arial"/>
          <w:sz w:val="24"/>
          <w:szCs w:val="24"/>
        </w:rPr>
        <w:t xml:space="preserve"> as the suspension by the court had the same effect</w:t>
      </w:r>
      <w:r w:rsidR="00303847">
        <w:rPr>
          <w:rStyle w:val="PageNumber"/>
          <w:rFonts w:ascii="Arial" w:hAnsi="Arial"/>
          <w:sz w:val="24"/>
          <w:szCs w:val="24"/>
        </w:rPr>
        <w:t>. T</w:t>
      </w:r>
      <w:r w:rsidR="00C520E2">
        <w:rPr>
          <w:rStyle w:val="PageNumber"/>
          <w:rFonts w:ascii="Arial" w:hAnsi="Arial"/>
          <w:sz w:val="24"/>
          <w:szCs w:val="24"/>
        </w:rPr>
        <w:t>he objection relating to the</w:t>
      </w:r>
      <w:r w:rsidR="00AC4A75">
        <w:rPr>
          <w:rStyle w:val="PageNumber"/>
          <w:rFonts w:ascii="Arial" w:hAnsi="Arial"/>
          <w:sz w:val="24"/>
          <w:szCs w:val="24"/>
        </w:rPr>
        <w:t xml:space="preserve"> failure by the appellant to seek interim </w:t>
      </w:r>
      <w:r w:rsidR="00303847">
        <w:rPr>
          <w:rStyle w:val="PageNumber"/>
          <w:rFonts w:ascii="Arial" w:hAnsi="Arial"/>
          <w:sz w:val="24"/>
          <w:szCs w:val="24"/>
        </w:rPr>
        <w:t xml:space="preserve">relief </w:t>
      </w:r>
      <w:r w:rsidR="006A1F86">
        <w:rPr>
          <w:rStyle w:val="PageNumber"/>
          <w:rFonts w:ascii="Arial" w:hAnsi="Arial"/>
          <w:sz w:val="24"/>
          <w:szCs w:val="24"/>
        </w:rPr>
        <w:t>in the court a</w:t>
      </w:r>
      <w:r w:rsidR="00AC4A75">
        <w:rPr>
          <w:rStyle w:val="PageNumber"/>
          <w:rFonts w:ascii="Arial" w:hAnsi="Arial"/>
          <w:sz w:val="24"/>
          <w:szCs w:val="24"/>
        </w:rPr>
        <w:t xml:space="preserve"> </w:t>
      </w:r>
      <w:r w:rsidR="00AC4A75">
        <w:rPr>
          <w:rStyle w:val="PageNumber"/>
          <w:rFonts w:ascii="Arial" w:hAnsi="Arial"/>
          <w:i/>
          <w:iCs/>
          <w:sz w:val="24"/>
          <w:szCs w:val="24"/>
        </w:rPr>
        <w:t>quo</w:t>
      </w:r>
      <w:r w:rsidR="00AC4A75">
        <w:rPr>
          <w:rStyle w:val="PageNumber"/>
          <w:rFonts w:ascii="Arial" w:hAnsi="Arial"/>
          <w:sz w:val="24"/>
          <w:szCs w:val="24"/>
        </w:rPr>
        <w:t xml:space="preserve"> </w:t>
      </w:r>
      <w:r w:rsidR="00645F43">
        <w:rPr>
          <w:rStyle w:val="PageNumber"/>
          <w:rFonts w:ascii="Arial" w:hAnsi="Arial"/>
          <w:sz w:val="24"/>
          <w:szCs w:val="24"/>
        </w:rPr>
        <w:t xml:space="preserve">was </w:t>
      </w:r>
      <w:r w:rsidR="007764D2">
        <w:rPr>
          <w:rStyle w:val="PageNumber"/>
          <w:rFonts w:ascii="Arial" w:hAnsi="Arial"/>
          <w:sz w:val="24"/>
          <w:szCs w:val="24"/>
        </w:rPr>
        <w:t xml:space="preserve">therefore </w:t>
      </w:r>
      <w:r w:rsidR="00645F43">
        <w:rPr>
          <w:rStyle w:val="PageNumber"/>
          <w:rFonts w:ascii="Arial" w:hAnsi="Arial"/>
          <w:sz w:val="24"/>
          <w:szCs w:val="24"/>
        </w:rPr>
        <w:t>bound to</w:t>
      </w:r>
      <w:r w:rsidR="00AC4A75">
        <w:rPr>
          <w:rStyle w:val="PageNumber"/>
          <w:rFonts w:ascii="Arial" w:hAnsi="Arial"/>
          <w:sz w:val="24"/>
          <w:szCs w:val="24"/>
        </w:rPr>
        <w:t xml:space="preserve"> fail.</w:t>
      </w:r>
    </w:p>
    <w:p w:rsidR="002A2CB2" w:rsidRDefault="002A2CB2">
      <w:pPr>
        <w:pStyle w:val="MediumGrid21"/>
        <w:spacing w:line="480" w:lineRule="auto"/>
        <w:jc w:val="both"/>
        <w:rPr>
          <w:rFonts w:ascii="Arial" w:eastAsia="Arial" w:hAnsi="Arial" w:cs="Arial"/>
          <w:sz w:val="24"/>
          <w:szCs w:val="24"/>
        </w:rPr>
      </w:pPr>
    </w:p>
    <w:p w:rsidR="002A2CB2" w:rsidRPr="00303847" w:rsidRDefault="00AC4A75">
      <w:pPr>
        <w:pStyle w:val="MediumGrid21"/>
        <w:spacing w:line="480" w:lineRule="auto"/>
        <w:jc w:val="both"/>
        <w:rPr>
          <w:rStyle w:val="PageNumber"/>
          <w:rFonts w:ascii="Arial" w:eastAsia="Arial" w:hAnsi="Arial" w:cs="Arial"/>
          <w:iCs/>
          <w:sz w:val="24"/>
          <w:szCs w:val="24"/>
          <w:u w:val="single"/>
        </w:rPr>
      </w:pPr>
      <w:r w:rsidRPr="00303847">
        <w:rPr>
          <w:rStyle w:val="PageNumber"/>
          <w:rFonts w:ascii="Arial" w:hAnsi="Arial"/>
          <w:iCs/>
          <w:sz w:val="24"/>
          <w:szCs w:val="24"/>
          <w:u w:val="single"/>
        </w:rPr>
        <w:t>Failure to require production of the record of proceedings</w:t>
      </w:r>
    </w:p>
    <w:p w:rsidR="00E431C0" w:rsidRDefault="0021003B">
      <w:pPr>
        <w:pStyle w:val="MediumGrid21"/>
        <w:spacing w:line="480" w:lineRule="auto"/>
        <w:jc w:val="both"/>
        <w:rPr>
          <w:rStyle w:val="PageNumber"/>
          <w:rFonts w:ascii="Arial" w:hAnsi="Arial"/>
          <w:sz w:val="24"/>
          <w:szCs w:val="24"/>
        </w:rPr>
      </w:pPr>
      <w:r>
        <w:rPr>
          <w:rStyle w:val="PageNumber"/>
          <w:rFonts w:ascii="Arial" w:hAnsi="Arial"/>
          <w:sz w:val="24"/>
          <w:szCs w:val="24"/>
        </w:rPr>
        <w:t>[19</w:t>
      </w:r>
      <w:r w:rsidR="00AC4A75">
        <w:rPr>
          <w:rStyle w:val="PageNumber"/>
          <w:rFonts w:ascii="Arial" w:hAnsi="Arial"/>
          <w:sz w:val="24"/>
          <w:szCs w:val="24"/>
        </w:rPr>
        <w:t xml:space="preserve">] </w:t>
      </w:r>
      <w:r w:rsidR="00AC4A75">
        <w:rPr>
          <w:rStyle w:val="PageNumber"/>
          <w:rFonts w:ascii="Arial" w:hAnsi="Arial"/>
          <w:sz w:val="24"/>
          <w:szCs w:val="24"/>
        </w:rPr>
        <w:tab/>
        <w:t>It i</w:t>
      </w:r>
      <w:r w:rsidR="0050488A">
        <w:rPr>
          <w:rStyle w:val="PageNumber"/>
          <w:rFonts w:ascii="Arial" w:hAnsi="Arial"/>
          <w:sz w:val="24"/>
          <w:szCs w:val="24"/>
        </w:rPr>
        <w:t xml:space="preserve">s trite that </w:t>
      </w:r>
      <w:r w:rsidR="00AB3285">
        <w:rPr>
          <w:rStyle w:val="PageNumber"/>
          <w:rFonts w:ascii="Arial" w:hAnsi="Arial"/>
          <w:sz w:val="24"/>
          <w:szCs w:val="24"/>
        </w:rPr>
        <w:t>in review proceedings</w:t>
      </w:r>
      <w:r w:rsidR="00C520E2">
        <w:rPr>
          <w:rStyle w:val="PageNumber"/>
          <w:rFonts w:ascii="Arial" w:hAnsi="Arial"/>
          <w:sz w:val="24"/>
          <w:szCs w:val="24"/>
        </w:rPr>
        <w:t xml:space="preserve"> </w:t>
      </w:r>
      <w:r w:rsidR="0050488A">
        <w:rPr>
          <w:rStyle w:val="PageNumber"/>
          <w:rFonts w:ascii="Arial" w:hAnsi="Arial"/>
          <w:sz w:val="24"/>
          <w:szCs w:val="24"/>
        </w:rPr>
        <w:t>the production of the</w:t>
      </w:r>
      <w:r w:rsidR="00AC4A75">
        <w:rPr>
          <w:rStyle w:val="PageNumber"/>
          <w:rFonts w:ascii="Arial" w:hAnsi="Arial"/>
          <w:sz w:val="24"/>
          <w:szCs w:val="24"/>
        </w:rPr>
        <w:t xml:space="preserve"> record of proceedings </w:t>
      </w:r>
      <w:r w:rsidR="006A1F86">
        <w:rPr>
          <w:rStyle w:val="PageNumber"/>
          <w:rFonts w:ascii="Arial" w:hAnsi="Arial"/>
          <w:sz w:val="24"/>
          <w:szCs w:val="24"/>
        </w:rPr>
        <w:t xml:space="preserve">and the accompanying reasons </w:t>
      </w:r>
      <w:r w:rsidR="00AC4A75">
        <w:rPr>
          <w:rStyle w:val="PageNumber"/>
          <w:rFonts w:ascii="Arial" w:hAnsi="Arial"/>
          <w:sz w:val="24"/>
          <w:szCs w:val="24"/>
        </w:rPr>
        <w:t>sought to be reviewed is for the benefit of an applicant</w:t>
      </w:r>
      <w:r w:rsidR="00303847">
        <w:rPr>
          <w:rStyle w:val="PageNumber"/>
          <w:rFonts w:ascii="Arial" w:hAnsi="Arial"/>
          <w:sz w:val="24"/>
          <w:szCs w:val="24"/>
        </w:rPr>
        <w:t xml:space="preserve">. </w:t>
      </w:r>
      <w:r w:rsidR="00AC4A75">
        <w:rPr>
          <w:rStyle w:val="PageNumber"/>
          <w:rFonts w:ascii="Arial" w:hAnsi="Arial"/>
          <w:sz w:val="24"/>
          <w:szCs w:val="24"/>
        </w:rPr>
        <w:t xml:space="preserve">It has been recognised in a long line of cases that an applicant seeking review may </w:t>
      </w:r>
      <w:r w:rsidR="00073563">
        <w:rPr>
          <w:rStyle w:val="PageNumber"/>
          <w:rFonts w:ascii="Arial" w:hAnsi="Arial"/>
          <w:sz w:val="24"/>
          <w:szCs w:val="24"/>
        </w:rPr>
        <w:t>waive the right to obtain the record of the proceedings</w:t>
      </w:r>
      <w:r w:rsidR="006A1F86">
        <w:rPr>
          <w:rStyle w:val="PageNumber"/>
          <w:rFonts w:ascii="Arial" w:hAnsi="Arial"/>
          <w:sz w:val="24"/>
          <w:szCs w:val="24"/>
        </w:rPr>
        <w:t xml:space="preserve"> and the accompanying reasons</w:t>
      </w:r>
      <w:r w:rsidR="00073563">
        <w:rPr>
          <w:rStyle w:val="PageNumber"/>
          <w:rFonts w:ascii="Arial" w:hAnsi="Arial"/>
          <w:sz w:val="24"/>
          <w:szCs w:val="24"/>
        </w:rPr>
        <w:t xml:space="preserve"> and </w:t>
      </w:r>
      <w:r w:rsidR="00AC4A75">
        <w:rPr>
          <w:rStyle w:val="PageNumber"/>
          <w:rFonts w:ascii="Arial" w:hAnsi="Arial"/>
          <w:sz w:val="24"/>
          <w:szCs w:val="24"/>
        </w:rPr>
        <w:t xml:space="preserve">proceed </w:t>
      </w:r>
      <w:r w:rsidR="006A1F86">
        <w:rPr>
          <w:rStyle w:val="PageNumber"/>
          <w:rFonts w:ascii="Arial" w:hAnsi="Arial"/>
          <w:sz w:val="24"/>
          <w:szCs w:val="24"/>
        </w:rPr>
        <w:t xml:space="preserve">to the hearing </w:t>
      </w:r>
      <w:r w:rsidR="00AC4A75">
        <w:rPr>
          <w:rStyle w:val="PageNumber"/>
          <w:rFonts w:ascii="Arial" w:hAnsi="Arial"/>
          <w:sz w:val="24"/>
          <w:szCs w:val="24"/>
        </w:rPr>
        <w:t xml:space="preserve">without first obtaining </w:t>
      </w:r>
      <w:r w:rsidR="00073563">
        <w:rPr>
          <w:rStyle w:val="PageNumber"/>
          <w:rFonts w:ascii="Arial" w:hAnsi="Arial"/>
          <w:sz w:val="24"/>
          <w:szCs w:val="24"/>
        </w:rPr>
        <w:t>it</w:t>
      </w:r>
      <w:r w:rsidR="00AC4A75">
        <w:rPr>
          <w:rStyle w:val="PageNumber"/>
          <w:rFonts w:ascii="Arial" w:hAnsi="Arial"/>
          <w:sz w:val="24"/>
          <w:szCs w:val="24"/>
        </w:rPr>
        <w:t>.</w:t>
      </w:r>
      <w:r w:rsidR="00AC4A75">
        <w:rPr>
          <w:rStyle w:val="PageNumber"/>
          <w:rFonts w:ascii="Arial" w:eastAsia="Arial" w:hAnsi="Arial" w:cs="Arial"/>
          <w:sz w:val="24"/>
          <w:szCs w:val="24"/>
          <w:vertAlign w:val="superscript"/>
        </w:rPr>
        <w:footnoteReference w:id="5"/>
      </w:r>
      <w:r w:rsidR="00AC4A75">
        <w:rPr>
          <w:rStyle w:val="PageNumber"/>
          <w:rFonts w:ascii="Arial" w:hAnsi="Arial"/>
          <w:sz w:val="24"/>
          <w:szCs w:val="24"/>
        </w:rPr>
        <w:t xml:space="preserve"> </w:t>
      </w:r>
      <w:r w:rsidR="008477C5">
        <w:rPr>
          <w:rStyle w:val="PageNumber"/>
          <w:rFonts w:ascii="Arial" w:hAnsi="Arial"/>
          <w:sz w:val="24"/>
          <w:szCs w:val="24"/>
        </w:rPr>
        <w:t xml:space="preserve">Accordingly, </w:t>
      </w:r>
      <w:r w:rsidR="00AC4A75">
        <w:rPr>
          <w:rStyle w:val="PageNumber"/>
          <w:rFonts w:ascii="Arial" w:hAnsi="Arial"/>
          <w:sz w:val="24"/>
          <w:szCs w:val="24"/>
        </w:rPr>
        <w:t xml:space="preserve">the cross-appeal directed at the absence of a record has no merit and </w:t>
      </w:r>
      <w:r w:rsidR="00167139">
        <w:rPr>
          <w:rStyle w:val="PageNumber"/>
          <w:rFonts w:ascii="Arial" w:hAnsi="Arial"/>
          <w:sz w:val="24"/>
          <w:szCs w:val="24"/>
        </w:rPr>
        <w:t xml:space="preserve">was liable </w:t>
      </w:r>
      <w:r w:rsidR="00AC4A75">
        <w:rPr>
          <w:rStyle w:val="PageNumber"/>
          <w:rFonts w:ascii="Arial" w:hAnsi="Arial"/>
          <w:sz w:val="24"/>
          <w:szCs w:val="24"/>
        </w:rPr>
        <w:t>to be dismissed.</w:t>
      </w:r>
    </w:p>
    <w:p w:rsidR="00A74A81" w:rsidRDefault="00A74A81">
      <w:pPr>
        <w:pStyle w:val="MediumGrid21"/>
        <w:spacing w:line="480" w:lineRule="auto"/>
        <w:jc w:val="both"/>
        <w:rPr>
          <w:rStyle w:val="PageNumber"/>
          <w:rFonts w:ascii="Arial" w:hAnsi="Arial"/>
          <w:sz w:val="24"/>
          <w:szCs w:val="24"/>
          <w:u w:val="single"/>
        </w:rPr>
      </w:pPr>
    </w:p>
    <w:p w:rsidR="00A03559" w:rsidRPr="002623BE" w:rsidRDefault="0030443E">
      <w:pPr>
        <w:pStyle w:val="MediumGrid21"/>
        <w:spacing w:line="480" w:lineRule="auto"/>
        <w:jc w:val="both"/>
        <w:rPr>
          <w:rStyle w:val="PageNumber"/>
          <w:rFonts w:ascii="Arial" w:hAnsi="Arial"/>
          <w:sz w:val="24"/>
          <w:szCs w:val="24"/>
          <w:u w:val="single"/>
        </w:rPr>
      </w:pPr>
      <w:r w:rsidRPr="002623BE">
        <w:rPr>
          <w:rStyle w:val="PageNumber"/>
          <w:rFonts w:ascii="Arial" w:hAnsi="Arial"/>
          <w:sz w:val="24"/>
          <w:szCs w:val="24"/>
          <w:u w:val="single"/>
        </w:rPr>
        <w:t>New review grounds raised on appeal</w:t>
      </w:r>
    </w:p>
    <w:p w:rsidR="00721BA8" w:rsidRDefault="00B358DB" w:rsidP="00721BA8">
      <w:pPr>
        <w:pStyle w:val="MediumGrid21"/>
        <w:spacing w:line="480" w:lineRule="auto"/>
        <w:jc w:val="both"/>
        <w:rPr>
          <w:rStyle w:val="PageNumber"/>
          <w:rFonts w:ascii="Arial" w:hAnsi="Arial"/>
          <w:sz w:val="24"/>
          <w:szCs w:val="24"/>
        </w:rPr>
      </w:pPr>
      <w:r>
        <w:rPr>
          <w:rStyle w:val="PageNumber"/>
          <w:rFonts w:ascii="Arial" w:hAnsi="Arial"/>
          <w:sz w:val="24"/>
          <w:szCs w:val="24"/>
        </w:rPr>
        <w:t>[20]</w:t>
      </w:r>
      <w:r>
        <w:rPr>
          <w:rStyle w:val="PageNumber"/>
          <w:rFonts w:ascii="Arial" w:hAnsi="Arial"/>
          <w:sz w:val="24"/>
          <w:szCs w:val="24"/>
        </w:rPr>
        <w:tab/>
      </w:r>
      <w:r w:rsidR="00A74A81">
        <w:rPr>
          <w:rStyle w:val="PageNumber"/>
          <w:rFonts w:ascii="Arial" w:hAnsi="Arial"/>
          <w:sz w:val="24"/>
          <w:szCs w:val="24"/>
        </w:rPr>
        <w:t xml:space="preserve">A further preliminary matter </w:t>
      </w:r>
      <w:r w:rsidR="00BE422C">
        <w:rPr>
          <w:rStyle w:val="PageNumber"/>
          <w:rFonts w:ascii="Arial" w:hAnsi="Arial"/>
          <w:sz w:val="24"/>
          <w:szCs w:val="24"/>
        </w:rPr>
        <w:t>requires attention b</w:t>
      </w:r>
      <w:r w:rsidR="00F151BC">
        <w:rPr>
          <w:rStyle w:val="PageNumber"/>
          <w:rFonts w:ascii="Arial" w:hAnsi="Arial"/>
          <w:sz w:val="24"/>
          <w:szCs w:val="24"/>
        </w:rPr>
        <w:t xml:space="preserve">efore I proceed to consider whether or not there is merit in the appeal </w:t>
      </w:r>
      <w:r w:rsidR="009274DC">
        <w:rPr>
          <w:rStyle w:val="PageNumber"/>
          <w:rFonts w:ascii="Arial" w:hAnsi="Arial"/>
          <w:sz w:val="24"/>
          <w:szCs w:val="24"/>
        </w:rPr>
        <w:t xml:space="preserve">against the </w:t>
      </w:r>
      <w:r w:rsidR="0073503E">
        <w:rPr>
          <w:rStyle w:val="PageNumber"/>
          <w:rFonts w:ascii="Arial" w:hAnsi="Arial"/>
          <w:sz w:val="24"/>
          <w:szCs w:val="24"/>
        </w:rPr>
        <w:t xml:space="preserve">High Court’s </w:t>
      </w:r>
      <w:r w:rsidR="009274DC">
        <w:rPr>
          <w:rStyle w:val="PageNumber"/>
          <w:rFonts w:ascii="Arial" w:hAnsi="Arial"/>
          <w:sz w:val="24"/>
          <w:szCs w:val="24"/>
        </w:rPr>
        <w:t>dismissal of the review</w:t>
      </w:r>
      <w:r w:rsidR="00D9375F">
        <w:rPr>
          <w:rStyle w:val="PageNumber"/>
          <w:rFonts w:ascii="Arial" w:hAnsi="Arial"/>
          <w:sz w:val="24"/>
          <w:szCs w:val="24"/>
        </w:rPr>
        <w:t xml:space="preserve"> application. </w:t>
      </w:r>
      <w:r w:rsidR="00721BA8">
        <w:rPr>
          <w:rStyle w:val="PageNumber"/>
          <w:rFonts w:ascii="Arial" w:hAnsi="Arial"/>
          <w:sz w:val="24"/>
          <w:szCs w:val="24"/>
        </w:rPr>
        <w:t>The first respondent contended that the appellant relied on two additional review grounds in this appeal not raised</w:t>
      </w:r>
      <w:r w:rsidR="00721BA8">
        <w:rPr>
          <w:rStyle w:val="PageNumber"/>
          <w:rFonts w:ascii="Arial" w:hAnsi="Arial"/>
          <w:i/>
          <w:iCs/>
          <w:sz w:val="24"/>
          <w:szCs w:val="24"/>
        </w:rPr>
        <w:t xml:space="preserve"> a quo</w:t>
      </w:r>
      <w:r w:rsidR="00721BA8">
        <w:rPr>
          <w:rStyle w:val="FootnoteReference"/>
          <w:rFonts w:ascii="Arial" w:hAnsi="Arial"/>
          <w:i/>
          <w:iCs/>
          <w:sz w:val="24"/>
          <w:szCs w:val="24"/>
        </w:rPr>
        <w:footnoteReference w:id="6"/>
      </w:r>
      <w:r w:rsidR="00721BA8">
        <w:rPr>
          <w:rStyle w:val="PageNumber"/>
          <w:rFonts w:ascii="Arial" w:hAnsi="Arial"/>
          <w:sz w:val="24"/>
          <w:szCs w:val="24"/>
        </w:rPr>
        <w:t>, namely, that:</w:t>
      </w:r>
    </w:p>
    <w:p w:rsidR="00721BA8" w:rsidRDefault="00721BA8" w:rsidP="00721BA8">
      <w:pPr>
        <w:pStyle w:val="MediumGrid21"/>
        <w:spacing w:line="480" w:lineRule="auto"/>
        <w:jc w:val="both"/>
        <w:rPr>
          <w:rStyle w:val="PageNumber"/>
          <w:rFonts w:ascii="Arial" w:hAnsi="Arial"/>
          <w:sz w:val="24"/>
          <w:szCs w:val="24"/>
        </w:rPr>
      </w:pPr>
    </w:p>
    <w:p w:rsidR="00721BA8" w:rsidRDefault="00721BA8" w:rsidP="00721BA8">
      <w:pPr>
        <w:pStyle w:val="MediumGrid21"/>
        <w:spacing w:line="480" w:lineRule="auto"/>
        <w:ind w:left="1440" w:hanging="731"/>
        <w:jc w:val="both"/>
        <w:rPr>
          <w:rStyle w:val="PageNumber"/>
          <w:rFonts w:ascii="Arial" w:hAnsi="Arial"/>
          <w:sz w:val="24"/>
          <w:szCs w:val="24"/>
        </w:rPr>
      </w:pPr>
      <w:r>
        <w:rPr>
          <w:rStyle w:val="PageNumber"/>
          <w:rFonts w:ascii="Arial" w:hAnsi="Arial"/>
          <w:sz w:val="24"/>
          <w:szCs w:val="24"/>
        </w:rPr>
        <w:t xml:space="preserve">(i) </w:t>
      </w:r>
      <w:r>
        <w:rPr>
          <w:rStyle w:val="PageNumber"/>
          <w:rFonts w:ascii="Arial" w:hAnsi="Arial"/>
          <w:sz w:val="24"/>
          <w:szCs w:val="24"/>
        </w:rPr>
        <w:tab/>
        <w:t xml:space="preserve">the appellant was not furnished with reasons for the </w:t>
      </w:r>
      <w:r w:rsidR="002048FD">
        <w:rPr>
          <w:rStyle w:val="PageNumber"/>
          <w:rFonts w:ascii="Arial" w:hAnsi="Arial"/>
          <w:sz w:val="24"/>
          <w:szCs w:val="24"/>
        </w:rPr>
        <w:t xml:space="preserve">rejection </w:t>
      </w:r>
      <w:r>
        <w:rPr>
          <w:rStyle w:val="PageNumber"/>
          <w:rFonts w:ascii="Arial" w:hAnsi="Arial"/>
          <w:sz w:val="24"/>
          <w:szCs w:val="24"/>
        </w:rPr>
        <w:t>of its tender, and that the absence of such reasons constituted a reviewable irregularity; and</w:t>
      </w:r>
    </w:p>
    <w:p w:rsidR="00721BA8" w:rsidRDefault="00721BA8" w:rsidP="00721BA8">
      <w:pPr>
        <w:pStyle w:val="MediumGrid21"/>
        <w:spacing w:line="480" w:lineRule="auto"/>
        <w:ind w:left="1440" w:hanging="731"/>
        <w:jc w:val="both"/>
        <w:rPr>
          <w:rStyle w:val="PageNumber"/>
          <w:rFonts w:ascii="Arial" w:hAnsi="Arial"/>
          <w:sz w:val="24"/>
          <w:szCs w:val="24"/>
        </w:rPr>
      </w:pPr>
      <w:r>
        <w:rPr>
          <w:rStyle w:val="PageNumber"/>
          <w:rFonts w:ascii="Arial" w:hAnsi="Arial"/>
          <w:sz w:val="24"/>
          <w:szCs w:val="24"/>
        </w:rPr>
        <w:t xml:space="preserve">(ii) </w:t>
      </w:r>
      <w:r>
        <w:rPr>
          <w:rStyle w:val="PageNumber"/>
          <w:rFonts w:ascii="Arial" w:hAnsi="Arial"/>
          <w:sz w:val="24"/>
          <w:szCs w:val="24"/>
        </w:rPr>
        <w:tab/>
        <w:t xml:space="preserve">the first respondent contravened its own tender procedures. </w:t>
      </w:r>
    </w:p>
    <w:p w:rsidR="00721BA8" w:rsidRDefault="00721BA8" w:rsidP="00721BA8">
      <w:pPr>
        <w:pStyle w:val="MediumGrid21"/>
        <w:spacing w:line="480" w:lineRule="auto"/>
        <w:ind w:left="709"/>
        <w:jc w:val="both"/>
        <w:rPr>
          <w:rStyle w:val="PageNumber"/>
          <w:rFonts w:ascii="Arial" w:hAnsi="Arial"/>
          <w:sz w:val="24"/>
          <w:szCs w:val="24"/>
        </w:rPr>
      </w:pPr>
    </w:p>
    <w:p w:rsidR="00721BA8" w:rsidRDefault="00721BA8" w:rsidP="00721BA8">
      <w:pPr>
        <w:pStyle w:val="MediumGrid21"/>
        <w:spacing w:line="480" w:lineRule="auto"/>
        <w:jc w:val="both"/>
        <w:rPr>
          <w:rStyle w:val="PageNumber"/>
          <w:rFonts w:ascii="Arial" w:hAnsi="Arial"/>
          <w:sz w:val="24"/>
          <w:szCs w:val="24"/>
        </w:rPr>
      </w:pPr>
      <w:r>
        <w:rPr>
          <w:rStyle w:val="PageNumber"/>
          <w:rFonts w:ascii="Arial" w:hAnsi="Arial"/>
          <w:sz w:val="24"/>
          <w:szCs w:val="24"/>
        </w:rPr>
        <w:t xml:space="preserve">[21] </w:t>
      </w:r>
      <w:r w:rsidR="00B358DB">
        <w:rPr>
          <w:rStyle w:val="PageNumber"/>
          <w:rFonts w:ascii="Arial" w:hAnsi="Arial"/>
          <w:sz w:val="24"/>
          <w:szCs w:val="24"/>
        </w:rPr>
        <w:tab/>
      </w:r>
      <w:r w:rsidR="008F2443">
        <w:rPr>
          <w:rStyle w:val="PageNumber"/>
          <w:rFonts w:ascii="Arial" w:hAnsi="Arial"/>
          <w:sz w:val="24"/>
          <w:szCs w:val="24"/>
        </w:rPr>
        <w:t xml:space="preserve">It was apparent from a consideration of the record </w:t>
      </w:r>
      <w:r>
        <w:rPr>
          <w:rStyle w:val="PageNumber"/>
          <w:rFonts w:ascii="Arial" w:hAnsi="Arial"/>
          <w:sz w:val="24"/>
          <w:szCs w:val="24"/>
        </w:rPr>
        <w:t xml:space="preserve">that the appellant was furnished with the reasons </w:t>
      </w:r>
      <w:r w:rsidR="00F501F6">
        <w:rPr>
          <w:rStyle w:val="PageNumber"/>
          <w:rFonts w:ascii="Arial" w:hAnsi="Arial"/>
          <w:sz w:val="24"/>
          <w:szCs w:val="24"/>
        </w:rPr>
        <w:t xml:space="preserve">for </w:t>
      </w:r>
      <w:r>
        <w:rPr>
          <w:rStyle w:val="PageNumber"/>
          <w:rFonts w:ascii="Arial" w:hAnsi="Arial"/>
          <w:sz w:val="24"/>
          <w:szCs w:val="24"/>
        </w:rPr>
        <w:t>the dec</w:t>
      </w:r>
      <w:r w:rsidR="008F2443">
        <w:rPr>
          <w:rStyle w:val="PageNumber"/>
          <w:rFonts w:ascii="Arial" w:hAnsi="Arial"/>
          <w:sz w:val="24"/>
          <w:szCs w:val="24"/>
        </w:rPr>
        <w:t xml:space="preserve">ision to award the tender to </w:t>
      </w:r>
      <w:r w:rsidR="00B358DB">
        <w:rPr>
          <w:rStyle w:val="PageNumber"/>
          <w:rFonts w:ascii="Arial" w:hAnsi="Arial"/>
          <w:sz w:val="24"/>
          <w:szCs w:val="24"/>
        </w:rPr>
        <w:t>the fifth respondent. This</w:t>
      </w:r>
      <w:r w:rsidR="008F2443">
        <w:rPr>
          <w:rStyle w:val="PageNumber"/>
          <w:rFonts w:ascii="Arial" w:hAnsi="Arial"/>
          <w:sz w:val="24"/>
          <w:szCs w:val="24"/>
        </w:rPr>
        <w:t xml:space="preserve"> </w:t>
      </w:r>
      <w:r>
        <w:rPr>
          <w:rStyle w:val="PageNumber"/>
          <w:rFonts w:ascii="Arial" w:hAnsi="Arial"/>
          <w:sz w:val="24"/>
          <w:szCs w:val="24"/>
        </w:rPr>
        <w:t xml:space="preserve">is apparent from the </w:t>
      </w:r>
      <w:r w:rsidR="00B358DB">
        <w:rPr>
          <w:rStyle w:val="PageNumber"/>
          <w:rFonts w:ascii="Arial" w:hAnsi="Arial"/>
          <w:sz w:val="24"/>
          <w:szCs w:val="24"/>
        </w:rPr>
        <w:t>documents annexed</w:t>
      </w:r>
      <w:r>
        <w:rPr>
          <w:rStyle w:val="PageNumber"/>
          <w:rFonts w:ascii="Arial" w:hAnsi="Arial"/>
          <w:sz w:val="24"/>
          <w:szCs w:val="24"/>
        </w:rPr>
        <w:t xml:space="preserve"> to the first respondent’s response to the appellant’s letter of demand.</w:t>
      </w:r>
      <w:r w:rsidR="008F2443">
        <w:rPr>
          <w:rStyle w:val="FootnoteReference"/>
          <w:rFonts w:ascii="Arial" w:hAnsi="Arial"/>
          <w:sz w:val="24"/>
          <w:szCs w:val="24"/>
        </w:rPr>
        <w:footnoteReference w:id="7"/>
      </w:r>
      <w:r>
        <w:rPr>
          <w:rStyle w:val="PageNumber"/>
          <w:rFonts w:ascii="Arial" w:hAnsi="Arial"/>
          <w:sz w:val="24"/>
          <w:szCs w:val="24"/>
        </w:rPr>
        <w:t xml:space="preserve"> The issue of absence of reasons is therefore a moot one. With respect to the second additional review ground, we were satisfied that it was new and thus not available to the appellant on appeal. I next discuss why that is so.</w:t>
      </w:r>
    </w:p>
    <w:p w:rsidR="00721BA8" w:rsidRDefault="00721BA8" w:rsidP="00721BA8">
      <w:pPr>
        <w:pStyle w:val="MediumGrid21"/>
        <w:spacing w:line="480" w:lineRule="auto"/>
        <w:jc w:val="both"/>
        <w:rPr>
          <w:rStyle w:val="PageNumber"/>
          <w:rFonts w:ascii="Arial" w:hAnsi="Arial"/>
          <w:sz w:val="24"/>
          <w:szCs w:val="24"/>
        </w:rPr>
      </w:pPr>
    </w:p>
    <w:p w:rsidR="00721BA8" w:rsidRPr="0069329D" w:rsidRDefault="00B358DB" w:rsidP="00721BA8">
      <w:pPr>
        <w:pStyle w:val="MediumGrid21"/>
        <w:spacing w:line="480" w:lineRule="auto"/>
        <w:jc w:val="both"/>
        <w:rPr>
          <w:rStyle w:val="PageNumber"/>
          <w:rFonts w:ascii="Arial" w:hAnsi="Arial"/>
          <w:sz w:val="24"/>
          <w:szCs w:val="24"/>
        </w:rPr>
      </w:pPr>
      <w:r>
        <w:rPr>
          <w:rStyle w:val="PageNumber"/>
          <w:rFonts w:ascii="Arial" w:hAnsi="Arial"/>
          <w:sz w:val="24"/>
          <w:szCs w:val="24"/>
        </w:rPr>
        <w:t>[22]</w:t>
      </w:r>
      <w:r>
        <w:rPr>
          <w:rStyle w:val="PageNumber"/>
          <w:rFonts w:ascii="Arial" w:hAnsi="Arial"/>
          <w:sz w:val="24"/>
          <w:szCs w:val="24"/>
        </w:rPr>
        <w:tab/>
      </w:r>
      <w:r w:rsidR="00F501F6">
        <w:rPr>
          <w:rStyle w:val="PageNumber"/>
          <w:rFonts w:ascii="Arial" w:hAnsi="Arial"/>
          <w:sz w:val="24"/>
          <w:szCs w:val="24"/>
        </w:rPr>
        <w:t>F</w:t>
      </w:r>
      <w:r w:rsidR="00721BA8">
        <w:rPr>
          <w:rStyle w:val="PageNumber"/>
          <w:rFonts w:ascii="Arial" w:hAnsi="Arial"/>
          <w:sz w:val="24"/>
          <w:szCs w:val="24"/>
        </w:rPr>
        <w:t xml:space="preserve">or the first time on appeal, the appellant advanced </w:t>
      </w:r>
      <w:r w:rsidR="00AB5FE5">
        <w:rPr>
          <w:rStyle w:val="PageNumber"/>
          <w:rFonts w:ascii="Arial" w:hAnsi="Arial"/>
          <w:sz w:val="24"/>
          <w:szCs w:val="24"/>
        </w:rPr>
        <w:t xml:space="preserve">the argument </w:t>
      </w:r>
      <w:r w:rsidR="00721BA8">
        <w:rPr>
          <w:rStyle w:val="PageNumber"/>
          <w:rFonts w:ascii="Arial" w:hAnsi="Arial"/>
          <w:sz w:val="24"/>
          <w:szCs w:val="24"/>
        </w:rPr>
        <w:t>that the first respondent</w:t>
      </w:r>
      <w:r w:rsidR="00721BA8" w:rsidRPr="000D307A">
        <w:rPr>
          <w:rStyle w:val="PageNumber"/>
          <w:rFonts w:ascii="Arial" w:hAnsi="Arial"/>
          <w:sz w:val="24"/>
          <w:szCs w:val="24"/>
        </w:rPr>
        <w:t xml:space="preserve"> </w:t>
      </w:r>
      <w:r w:rsidR="00721BA8">
        <w:rPr>
          <w:rStyle w:val="PageNumber"/>
          <w:rFonts w:ascii="Arial" w:hAnsi="Arial"/>
          <w:sz w:val="24"/>
          <w:szCs w:val="24"/>
        </w:rPr>
        <w:t xml:space="preserve">contravened its own tender procedures, in that the evaluation process was secretive and conducted by improperly constituted committees. </w:t>
      </w:r>
      <w:r w:rsidR="00F501F6">
        <w:rPr>
          <w:rStyle w:val="PageNumber"/>
          <w:rFonts w:ascii="Arial" w:hAnsi="Arial"/>
          <w:sz w:val="24"/>
          <w:szCs w:val="24"/>
        </w:rPr>
        <w:t>That was never advanced as a review ground in the founding affidavit.</w:t>
      </w:r>
    </w:p>
    <w:p w:rsidR="00721BA8" w:rsidRDefault="00721BA8" w:rsidP="00721BA8">
      <w:pPr>
        <w:pStyle w:val="MediumGrid21"/>
        <w:spacing w:line="480" w:lineRule="auto"/>
        <w:jc w:val="both"/>
        <w:rPr>
          <w:rFonts w:ascii="Arial" w:eastAsia="Arial" w:hAnsi="Arial" w:cs="Arial"/>
          <w:sz w:val="24"/>
          <w:szCs w:val="24"/>
        </w:rPr>
      </w:pPr>
    </w:p>
    <w:p w:rsidR="00721BA8" w:rsidRDefault="00721BA8" w:rsidP="00721BA8">
      <w:pPr>
        <w:pStyle w:val="MediumGrid21"/>
        <w:spacing w:line="480" w:lineRule="auto"/>
        <w:jc w:val="both"/>
        <w:rPr>
          <w:rStyle w:val="PageNumber"/>
          <w:rFonts w:ascii="Arial" w:hAnsi="Arial"/>
          <w:sz w:val="24"/>
          <w:szCs w:val="24"/>
        </w:rPr>
      </w:pPr>
      <w:r>
        <w:rPr>
          <w:rStyle w:val="PageNumber"/>
          <w:rFonts w:ascii="Arial" w:hAnsi="Arial"/>
          <w:sz w:val="24"/>
          <w:szCs w:val="24"/>
        </w:rPr>
        <w:t xml:space="preserve">[23] </w:t>
      </w:r>
      <w:r>
        <w:rPr>
          <w:rStyle w:val="PageNumber"/>
          <w:rFonts w:ascii="Arial" w:hAnsi="Arial"/>
          <w:sz w:val="24"/>
          <w:szCs w:val="24"/>
        </w:rPr>
        <w:tab/>
        <w:t xml:space="preserve">In </w:t>
      </w:r>
      <w:r>
        <w:rPr>
          <w:rStyle w:val="PageNumber"/>
          <w:rFonts w:ascii="Arial" w:hAnsi="Arial"/>
          <w:i/>
          <w:iCs/>
          <w:sz w:val="24"/>
          <w:szCs w:val="24"/>
        </w:rPr>
        <w:t>Immanuel v Minister of Home affairs and Others</w:t>
      </w:r>
      <w:r>
        <w:rPr>
          <w:rStyle w:val="PageNumber"/>
          <w:rFonts w:ascii="Arial" w:hAnsi="Arial"/>
          <w:sz w:val="24"/>
          <w:szCs w:val="24"/>
        </w:rPr>
        <w:t xml:space="preserve"> 2006 (2) NR 687 (HC), the</w:t>
      </w:r>
      <w:r w:rsidRPr="00E8630E">
        <w:rPr>
          <w:rStyle w:val="PageNumber"/>
          <w:rFonts w:ascii="Arial" w:hAnsi="Arial"/>
          <w:sz w:val="24"/>
          <w:szCs w:val="24"/>
        </w:rPr>
        <w:t xml:space="preserve"> </w:t>
      </w:r>
      <w:r>
        <w:rPr>
          <w:rStyle w:val="PageNumber"/>
          <w:rFonts w:ascii="Arial" w:hAnsi="Arial"/>
          <w:sz w:val="24"/>
          <w:szCs w:val="24"/>
        </w:rPr>
        <w:t xml:space="preserve">High Court stated that an applicant seeking review is confined to the grounds of review advanced in the founding affidavit. Besides, a court of appeal is loath to allow the raising of new points on appeal. In </w:t>
      </w:r>
      <w:r>
        <w:rPr>
          <w:rStyle w:val="PageNumber"/>
          <w:rFonts w:ascii="Arial" w:hAnsi="Arial"/>
          <w:i/>
          <w:iCs/>
          <w:sz w:val="24"/>
          <w:szCs w:val="24"/>
        </w:rPr>
        <w:t xml:space="preserve">Di Savino v Nedbank Namibia Ltd </w:t>
      </w:r>
      <w:r>
        <w:rPr>
          <w:rStyle w:val="PageNumber"/>
          <w:rFonts w:ascii="Arial" w:hAnsi="Arial"/>
          <w:sz w:val="24"/>
          <w:szCs w:val="24"/>
        </w:rPr>
        <w:t xml:space="preserve">2012 (2) NR 507 (SC), at paragraph 33, Ngcobo AJA held that the court may exceptionally use its discretion to allow a new point to be raised on appeal, having regard to whether or not: </w:t>
      </w:r>
    </w:p>
    <w:p w:rsidR="00721BA8" w:rsidRDefault="00721BA8" w:rsidP="00721BA8">
      <w:pPr>
        <w:pStyle w:val="MediumGrid21"/>
        <w:spacing w:line="480" w:lineRule="auto"/>
        <w:jc w:val="both"/>
        <w:rPr>
          <w:rStyle w:val="PageNumber"/>
          <w:rFonts w:ascii="Arial" w:hAnsi="Arial"/>
          <w:sz w:val="24"/>
          <w:szCs w:val="24"/>
        </w:rPr>
      </w:pPr>
    </w:p>
    <w:p w:rsidR="00721BA8" w:rsidRPr="000D1DD8" w:rsidRDefault="00721BA8" w:rsidP="00721BA8">
      <w:pPr>
        <w:pStyle w:val="MediumGrid21"/>
        <w:numPr>
          <w:ilvl w:val="0"/>
          <w:numId w:val="5"/>
        </w:numPr>
        <w:spacing w:line="480" w:lineRule="auto"/>
        <w:jc w:val="both"/>
        <w:rPr>
          <w:rStyle w:val="PageNumber"/>
          <w:rFonts w:ascii="Arial" w:hAnsi="Arial"/>
          <w:sz w:val="24"/>
          <w:szCs w:val="24"/>
        </w:rPr>
      </w:pPr>
      <w:r w:rsidRPr="000D1DD8">
        <w:rPr>
          <w:rStyle w:val="PageNumber"/>
          <w:rFonts w:ascii="Arial" w:hAnsi="Arial"/>
          <w:sz w:val="24"/>
          <w:szCs w:val="24"/>
        </w:rPr>
        <w:t xml:space="preserve">the point is covered by the pleadings; </w:t>
      </w:r>
    </w:p>
    <w:p w:rsidR="00721BA8" w:rsidRDefault="00721BA8" w:rsidP="00721BA8">
      <w:pPr>
        <w:pStyle w:val="MediumGrid21"/>
        <w:numPr>
          <w:ilvl w:val="0"/>
          <w:numId w:val="5"/>
        </w:numPr>
        <w:spacing w:line="480" w:lineRule="auto"/>
        <w:jc w:val="both"/>
        <w:rPr>
          <w:rStyle w:val="PageNumber"/>
          <w:rFonts w:ascii="Arial" w:hAnsi="Arial"/>
          <w:sz w:val="24"/>
          <w:szCs w:val="24"/>
        </w:rPr>
      </w:pPr>
      <w:r>
        <w:rPr>
          <w:rStyle w:val="PageNumber"/>
          <w:rFonts w:ascii="Arial" w:hAnsi="Arial"/>
          <w:sz w:val="24"/>
          <w:szCs w:val="24"/>
        </w:rPr>
        <w:t xml:space="preserve">there would be unfairness to the other party; </w:t>
      </w:r>
    </w:p>
    <w:p w:rsidR="00721BA8" w:rsidRPr="000D1DD8" w:rsidRDefault="00721BA8" w:rsidP="00721BA8">
      <w:pPr>
        <w:pStyle w:val="MediumGrid21"/>
        <w:numPr>
          <w:ilvl w:val="0"/>
          <w:numId w:val="5"/>
        </w:numPr>
        <w:spacing w:line="480" w:lineRule="auto"/>
        <w:ind w:left="709" w:firstLine="11"/>
        <w:jc w:val="both"/>
        <w:rPr>
          <w:rStyle w:val="PageNumber"/>
          <w:rFonts w:ascii="Arial" w:hAnsi="Arial"/>
          <w:sz w:val="24"/>
          <w:szCs w:val="24"/>
        </w:rPr>
      </w:pPr>
      <w:r w:rsidRPr="000D1DD8">
        <w:rPr>
          <w:rStyle w:val="PageNumber"/>
          <w:rFonts w:ascii="Arial" w:hAnsi="Arial"/>
          <w:sz w:val="24"/>
          <w:szCs w:val="24"/>
        </w:rPr>
        <w:t xml:space="preserve">the facts upon which it is based are disputed; and </w:t>
      </w:r>
    </w:p>
    <w:p w:rsidR="00721BA8" w:rsidRDefault="00721BA8" w:rsidP="00721BA8">
      <w:pPr>
        <w:pStyle w:val="MediumGrid21"/>
        <w:spacing w:line="480" w:lineRule="auto"/>
        <w:ind w:left="1440" w:hanging="731"/>
        <w:jc w:val="both"/>
        <w:rPr>
          <w:rStyle w:val="PageNumber"/>
          <w:rFonts w:ascii="Arial" w:eastAsia="Arial" w:hAnsi="Arial" w:cs="Arial"/>
          <w:sz w:val="24"/>
          <w:szCs w:val="24"/>
        </w:rPr>
      </w:pPr>
      <w:r>
        <w:rPr>
          <w:rStyle w:val="PageNumber"/>
          <w:rFonts w:ascii="Arial" w:hAnsi="Arial"/>
          <w:sz w:val="24"/>
          <w:szCs w:val="24"/>
        </w:rPr>
        <w:t xml:space="preserve">(d) </w:t>
      </w:r>
      <w:r>
        <w:rPr>
          <w:rStyle w:val="PageNumber"/>
          <w:rFonts w:ascii="Arial" w:hAnsi="Arial"/>
          <w:sz w:val="24"/>
          <w:szCs w:val="24"/>
        </w:rPr>
        <w:tab/>
        <w:t>the other party would have conducted its case differently had the point been raised earlier in litigation.</w:t>
      </w:r>
    </w:p>
    <w:p w:rsidR="00721BA8" w:rsidRDefault="00721BA8" w:rsidP="00721BA8">
      <w:pPr>
        <w:pStyle w:val="MediumGrid21"/>
        <w:spacing w:line="480" w:lineRule="auto"/>
        <w:jc w:val="both"/>
        <w:rPr>
          <w:rFonts w:ascii="Arial" w:eastAsia="Arial" w:hAnsi="Arial" w:cs="Arial"/>
          <w:sz w:val="24"/>
          <w:szCs w:val="24"/>
        </w:rPr>
      </w:pPr>
    </w:p>
    <w:p w:rsidR="00721BA8" w:rsidRDefault="00B358DB" w:rsidP="00721BA8">
      <w:pPr>
        <w:pStyle w:val="MediumGrid21"/>
        <w:spacing w:line="480" w:lineRule="auto"/>
        <w:jc w:val="both"/>
        <w:rPr>
          <w:rStyle w:val="PageNumber"/>
          <w:rFonts w:ascii="Arial" w:hAnsi="Arial"/>
          <w:sz w:val="24"/>
          <w:szCs w:val="24"/>
        </w:rPr>
      </w:pPr>
      <w:r>
        <w:rPr>
          <w:rStyle w:val="PageNumber"/>
          <w:rFonts w:ascii="Arial" w:hAnsi="Arial"/>
          <w:sz w:val="24"/>
          <w:szCs w:val="24"/>
        </w:rPr>
        <w:t>[24]</w:t>
      </w:r>
      <w:r>
        <w:rPr>
          <w:rStyle w:val="PageNumber"/>
          <w:rFonts w:ascii="Arial" w:hAnsi="Arial"/>
          <w:sz w:val="24"/>
          <w:szCs w:val="24"/>
        </w:rPr>
        <w:tab/>
      </w:r>
      <w:r w:rsidR="00721BA8">
        <w:rPr>
          <w:rStyle w:val="PageNumber"/>
          <w:rFonts w:ascii="Arial" w:hAnsi="Arial"/>
          <w:sz w:val="24"/>
          <w:szCs w:val="24"/>
        </w:rPr>
        <w:t>Th</w:t>
      </w:r>
      <w:r w:rsidR="008130D1">
        <w:rPr>
          <w:rStyle w:val="PageNumber"/>
          <w:rFonts w:ascii="Arial" w:hAnsi="Arial"/>
          <w:sz w:val="24"/>
          <w:szCs w:val="24"/>
        </w:rPr>
        <w:t xml:space="preserve">e circumstances and the manner in which the </w:t>
      </w:r>
      <w:r w:rsidR="00721BA8">
        <w:rPr>
          <w:rStyle w:val="PageNumber"/>
          <w:rFonts w:ascii="Arial" w:hAnsi="Arial"/>
          <w:sz w:val="24"/>
          <w:szCs w:val="24"/>
        </w:rPr>
        <w:t>is</w:t>
      </w:r>
      <w:r w:rsidR="008130D1">
        <w:rPr>
          <w:rStyle w:val="PageNumber"/>
          <w:rFonts w:ascii="Arial" w:hAnsi="Arial"/>
          <w:sz w:val="24"/>
          <w:szCs w:val="24"/>
        </w:rPr>
        <w:t xml:space="preserve">sue was raised </w:t>
      </w:r>
      <w:r w:rsidR="00721BA8">
        <w:rPr>
          <w:rStyle w:val="PageNumber"/>
          <w:rFonts w:ascii="Arial" w:hAnsi="Arial"/>
          <w:sz w:val="24"/>
          <w:szCs w:val="24"/>
        </w:rPr>
        <w:t xml:space="preserve">does not </w:t>
      </w:r>
      <w:r w:rsidR="008130D1">
        <w:rPr>
          <w:rStyle w:val="PageNumber"/>
          <w:rFonts w:ascii="Arial" w:hAnsi="Arial"/>
          <w:sz w:val="24"/>
          <w:szCs w:val="24"/>
        </w:rPr>
        <w:t xml:space="preserve">fall within </w:t>
      </w:r>
      <w:r w:rsidR="00721BA8">
        <w:rPr>
          <w:rStyle w:val="PageNumber"/>
          <w:rFonts w:ascii="Arial" w:hAnsi="Arial"/>
          <w:sz w:val="24"/>
          <w:szCs w:val="24"/>
        </w:rPr>
        <w:t xml:space="preserve">any of the exceptions stated in </w:t>
      </w:r>
      <w:r w:rsidR="00721BA8">
        <w:rPr>
          <w:rStyle w:val="PageNumber"/>
          <w:rFonts w:ascii="Arial" w:hAnsi="Arial"/>
          <w:i/>
          <w:iCs/>
          <w:sz w:val="24"/>
          <w:szCs w:val="24"/>
        </w:rPr>
        <w:t>Di Savino</w:t>
      </w:r>
      <w:r w:rsidR="00721BA8">
        <w:rPr>
          <w:rStyle w:val="PageNumber"/>
          <w:rFonts w:ascii="Arial" w:hAnsi="Arial"/>
          <w:iCs/>
          <w:sz w:val="24"/>
          <w:szCs w:val="24"/>
        </w:rPr>
        <w:t>.</w:t>
      </w:r>
      <w:r w:rsidR="00721BA8">
        <w:rPr>
          <w:rStyle w:val="PageNumber"/>
          <w:rFonts w:ascii="Arial" w:hAnsi="Arial"/>
          <w:i/>
          <w:iCs/>
          <w:sz w:val="24"/>
          <w:szCs w:val="24"/>
        </w:rPr>
        <w:t xml:space="preserve"> </w:t>
      </w:r>
      <w:r w:rsidR="00721BA8">
        <w:rPr>
          <w:rStyle w:val="PageNumber"/>
          <w:rFonts w:ascii="Arial" w:hAnsi="Arial"/>
          <w:iCs/>
          <w:sz w:val="24"/>
          <w:szCs w:val="24"/>
        </w:rPr>
        <w:t>T</w:t>
      </w:r>
      <w:r w:rsidR="00721BA8">
        <w:rPr>
          <w:rStyle w:val="PageNumber"/>
          <w:rFonts w:ascii="Arial" w:hAnsi="Arial"/>
          <w:sz w:val="24"/>
          <w:szCs w:val="24"/>
        </w:rPr>
        <w:t>he new review ground w</w:t>
      </w:r>
      <w:r w:rsidR="008130D1">
        <w:rPr>
          <w:rStyle w:val="PageNumber"/>
          <w:rFonts w:ascii="Arial" w:hAnsi="Arial"/>
          <w:sz w:val="24"/>
          <w:szCs w:val="24"/>
        </w:rPr>
        <w:t>as</w:t>
      </w:r>
      <w:r w:rsidR="00AB5FE5">
        <w:rPr>
          <w:rStyle w:val="PageNumber"/>
          <w:rFonts w:ascii="Arial" w:hAnsi="Arial"/>
          <w:sz w:val="24"/>
          <w:szCs w:val="24"/>
        </w:rPr>
        <w:t xml:space="preserve"> therefore </w:t>
      </w:r>
      <w:r w:rsidR="00721BA8">
        <w:rPr>
          <w:rStyle w:val="PageNumber"/>
          <w:rFonts w:ascii="Arial" w:hAnsi="Arial"/>
          <w:sz w:val="24"/>
          <w:szCs w:val="24"/>
        </w:rPr>
        <w:t>not available to the appellant as</w:t>
      </w:r>
      <w:r w:rsidR="00721BA8">
        <w:rPr>
          <w:rStyle w:val="PageNumber"/>
          <w:rFonts w:ascii="Arial" w:hAnsi="Arial"/>
          <w:iCs/>
          <w:sz w:val="24"/>
          <w:szCs w:val="24"/>
        </w:rPr>
        <w:t xml:space="preserve"> the respondents were </w:t>
      </w:r>
      <w:r w:rsidR="00721BA8">
        <w:rPr>
          <w:rStyle w:val="PageNumber"/>
          <w:rFonts w:ascii="Arial" w:hAnsi="Arial"/>
          <w:sz w:val="24"/>
          <w:szCs w:val="24"/>
        </w:rPr>
        <w:t xml:space="preserve">denied </w:t>
      </w:r>
      <w:r w:rsidR="008130D1">
        <w:rPr>
          <w:rStyle w:val="PageNumber"/>
          <w:rFonts w:ascii="Arial" w:hAnsi="Arial"/>
          <w:sz w:val="24"/>
          <w:szCs w:val="24"/>
        </w:rPr>
        <w:t>the</w:t>
      </w:r>
      <w:r w:rsidR="00721BA8">
        <w:rPr>
          <w:rStyle w:val="PageNumber"/>
          <w:rFonts w:ascii="Arial" w:hAnsi="Arial"/>
          <w:sz w:val="24"/>
          <w:szCs w:val="24"/>
        </w:rPr>
        <w:t xml:space="preserve"> opportunity to </w:t>
      </w:r>
      <w:r w:rsidR="008130D1">
        <w:rPr>
          <w:rStyle w:val="PageNumber"/>
          <w:rFonts w:ascii="Arial" w:hAnsi="Arial"/>
          <w:sz w:val="24"/>
          <w:szCs w:val="24"/>
        </w:rPr>
        <w:t xml:space="preserve">meaningfully </w:t>
      </w:r>
      <w:r w:rsidR="00721BA8">
        <w:rPr>
          <w:rStyle w:val="PageNumber"/>
          <w:rFonts w:ascii="Arial" w:hAnsi="Arial"/>
          <w:sz w:val="24"/>
          <w:szCs w:val="24"/>
        </w:rPr>
        <w:t xml:space="preserve">engage with </w:t>
      </w:r>
      <w:r w:rsidR="008130D1">
        <w:rPr>
          <w:rStyle w:val="PageNumber"/>
          <w:rFonts w:ascii="Arial" w:hAnsi="Arial"/>
          <w:sz w:val="24"/>
          <w:szCs w:val="24"/>
        </w:rPr>
        <w:t xml:space="preserve">it in the answering affidavit. It could therefore not be considered on appeal as a viable review ground. </w:t>
      </w:r>
    </w:p>
    <w:p w:rsidR="00721BA8" w:rsidRPr="00942D1E" w:rsidRDefault="00721BA8">
      <w:pPr>
        <w:pStyle w:val="MediumGrid21"/>
        <w:spacing w:line="480" w:lineRule="auto"/>
        <w:jc w:val="both"/>
        <w:rPr>
          <w:rStyle w:val="PageNumber"/>
          <w:rFonts w:ascii="Arial" w:hAnsi="Arial"/>
          <w:sz w:val="24"/>
          <w:szCs w:val="24"/>
        </w:rPr>
      </w:pPr>
    </w:p>
    <w:p w:rsidR="002A2CB2" w:rsidRPr="00942D1E" w:rsidRDefault="00C60622">
      <w:pPr>
        <w:pStyle w:val="MediumGrid21"/>
        <w:spacing w:line="480" w:lineRule="auto"/>
        <w:jc w:val="both"/>
        <w:rPr>
          <w:rStyle w:val="PageNumber"/>
          <w:rFonts w:ascii="Arial" w:hAnsi="Arial"/>
          <w:sz w:val="24"/>
          <w:szCs w:val="24"/>
        </w:rPr>
      </w:pPr>
      <w:r>
        <w:rPr>
          <w:rStyle w:val="PageNumber"/>
          <w:rFonts w:ascii="Arial" w:hAnsi="Arial"/>
          <w:iCs/>
          <w:sz w:val="24"/>
          <w:szCs w:val="24"/>
          <w:u w:val="single"/>
        </w:rPr>
        <w:t>Analysis of the properly</w:t>
      </w:r>
      <w:r w:rsidR="00167139" w:rsidRPr="00942D1E">
        <w:rPr>
          <w:rStyle w:val="PageNumber"/>
          <w:rFonts w:ascii="Arial" w:hAnsi="Arial"/>
          <w:iCs/>
          <w:sz w:val="24"/>
          <w:szCs w:val="24"/>
          <w:u w:val="single"/>
        </w:rPr>
        <w:t xml:space="preserve"> pleaded </w:t>
      </w:r>
      <w:r w:rsidR="00AC4A75" w:rsidRPr="00942D1E">
        <w:rPr>
          <w:rStyle w:val="PageNumber"/>
          <w:rFonts w:ascii="Arial" w:hAnsi="Arial"/>
          <w:iCs/>
          <w:sz w:val="24"/>
          <w:szCs w:val="24"/>
          <w:u w:val="single"/>
        </w:rPr>
        <w:t xml:space="preserve">review grounds </w:t>
      </w:r>
    </w:p>
    <w:p w:rsidR="008477C5" w:rsidRDefault="00721BA8">
      <w:pPr>
        <w:pStyle w:val="MediumGrid21"/>
        <w:spacing w:line="480" w:lineRule="auto"/>
        <w:jc w:val="both"/>
        <w:rPr>
          <w:rStyle w:val="PageNumber"/>
          <w:rFonts w:ascii="Arial" w:hAnsi="Arial"/>
          <w:sz w:val="24"/>
          <w:szCs w:val="24"/>
        </w:rPr>
      </w:pPr>
      <w:r>
        <w:rPr>
          <w:rStyle w:val="PageNumber"/>
          <w:rFonts w:ascii="Arial" w:hAnsi="Arial"/>
          <w:sz w:val="24"/>
          <w:szCs w:val="24"/>
        </w:rPr>
        <w:t>[25</w:t>
      </w:r>
      <w:r w:rsidR="008F5FE8">
        <w:rPr>
          <w:rStyle w:val="PageNumber"/>
          <w:rFonts w:ascii="Arial" w:hAnsi="Arial"/>
          <w:sz w:val="24"/>
          <w:szCs w:val="24"/>
        </w:rPr>
        <w:t xml:space="preserve">] </w:t>
      </w:r>
      <w:r w:rsidR="008F5FE8">
        <w:rPr>
          <w:rStyle w:val="PageNumber"/>
          <w:rFonts w:ascii="Arial" w:hAnsi="Arial"/>
          <w:sz w:val="24"/>
          <w:szCs w:val="24"/>
        </w:rPr>
        <w:tab/>
        <w:t>Asserting that the firs</w:t>
      </w:r>
      <w:r w:rsidR="006A1F86">
        <w:rPr>
          <w:rStyle w:val="PageNumber"/>
          <w:rFonts w:ascii="Arial" w:hAnsi="Arial"/>
          <w:sz w:val="24"/>
          <w:szCs w:val="24"/>
        </w:rPr>
        <w:t>t and second respondents</w:t>
      </w:r>
      <w:r w:rsidR="008F5FE8">
        <w:rPr>
          <w:rStyle w:val="PageNumber"/>
          <w:rFonts w:ascii="Arial" w:hAnsi="Arial"/>
          <w:sz w:val="24"/>
          <w:szCs w:val="24"/>
        </w:rPr>
        <w:t xml:space="preserve"> acted </w:t>
      </w:r>
      <w:r w:rsidR="006A1F86">
        <w:rPr>
          <w:rStyle w:val="PageNumber"/>
          <w:rFonts w:ascii="Arial" w:hAnsi="Arial"/>
          <w:sz w:val="24"/>
          <w:szCs w:val="24"/>
        </w:rPr>
        <w:t>un</w:t>
      </w:r>
      <w:r w:rsidR="008F5FE8">
        <w:rPr>
          <w:rStyle w:val="PageNumber"/>
          <w:rFonts w:ascii="Arial" w:hAnsi="Arial"/>
          <w:sz w:val="24"/>
          <w:szCs w:val="24"/>
        </w:rPr>
        <w:t xml:space="preserve">fairly and </w:t>
      </w:r>
      <w:r w:rsidR="006A1F86">
        <w:rPr>
          <w:rStyle w:val="PageNumber"/>
          <w:rFonts w:ascii="Arial" w:hAnsi="Arial"/>
          <w:sz w:val="24"/>
          <w:szCs w:val="24"/>
        </w:rPr>
        <w:t>un</w:t>
      </w:r>
      <w:r w:rsidR="008F5FE8">
        <w:rPr>
          <w:rStyle w:val="PageNumber"/>
          <w:rFonts w:ascii="Arial" w:hAnsi="Arial"/>
          <w:sz w:val="24"/>
          <w:szCs w:val="24"/>
        </w:rPr>
        <w:t xml:space="preserve">reasonably </w:t>
      </w:r>
      <w:r w:rsidR="006A1F86">
        <w:rPr>
          <w:rStyle w:val="PageNumber"/>
          <w:rFonts w:ascii="Arial" w:hAnsi="Arial"/>
          <w:sz w:val="24"/>
          <w:szCs w:val="24"/>
        </w:rPr>
        <w:t>in the tender adjudication process,</w:t>
      </w:r>
      <w:r w:rsidR="00994AB0" w:rsidRPr="00994AB0">
        <w:rPr>
          <w:rStyle w:val="PageNumber"/>
          <w:rFonts w:ascii="Arial" w:hAnsi="Arial"/>
          <w:sz w:val="24"/>
          <w:szCs w:val="24"/>
        </w:rPr>
        <w:t xml:space="preserve"> </w:t>
      </w:r>
      <w:r w:rsidR="00994AB0">
        <w:rPr>
          <w:rStyle w:val="PageNumber"/>
          <w:rFonts w:ascii="Arial" w:hAnsi="Arial"/>
          <w:sz w:val="24"/>
          <w:szCs w:val="24"/>
        </w:rPr>
        <w:t xml:space="preserve">the appellant pleaded the following review grounds in the </w:t>
      </w:r>
      <w:r w:rsidR="00C60622">
        <w:rPr>
          <w:rStyle w:val="PageNumber"/>
          <w:rFonts w:ascii="Arial" w:hAnsi="Arial"/>
          <w:sz w:val="24"/>
          <w:szCs w:val="24"/>
        </w:rPr>
        <w:t>founding affidavit</w:t>
      </w:r>
      <w:r w:rsidR="00994AB0">
        <w:rPr>
          <w:rStyle w:val="PageNumber"/>
          <w:rFonts w:ascii="Arial" w:hAnsi="Arial"/>
          <w:sz w:val="24"/>
          <w:szCs w:val="24"/>
        </w:rPr>
        <w:t>:</w:t>
      </w:r>
      <w:r w:rsidR="00AC4A75">
        <w:rPr>
          <w:rStyle w:val="PageNumber"/>
          <w:rFonts w:ascii="Arial" w:hAnsi="Arial"/>
          <w:sz w:val="24"/>
          <w:szCs w:val="24"/>
        </w:rPr>
        <w:t xml:space="preserve"> </w:t>
      </w:r>
    </w:p>
    <w:p w:rsidR="003C5C1A" w:rsidRDefault="003C5C1A">
      <w:pPr>
        <w:pStyle w:val="MediumGrid21"/>
        <w:spacing w:line="480" w:lineRule="auto"/>
        <w:jc w:val="both"/>
        <w:rPr>
          <w:rStyle w:val="PageNumber"/>
          <w:rFonts w:ascii="Arial" w:hAnsi="Arial"/>
          <w:sz w:val="24"/>
          <w:szCs w:val="24"/>
        </w:rPr>
      </w:pPr>
    </w:p>
    <w:p w:rsidR="00C4792F" w:rsidRDefault="00587A66" w:rsidP="0056686C">
      <w:pPr>
        <w:pStyle w:val="MediumGrid21"/>
        <w:numPr>
          <w:ilvl w:val="0"/>
          <w:numId w:val="9"/>
        </w:numPr>
        <w:spacing w:line="480" w:lineRule="auto"/>
        <w:ind w:left="1276" w:hanging="567"/>
        <w:jc w:val="both"/>
        <w:rPr>
          <w:rStyle w:val="PageNumber"/>
          <w:rFonts w:ascii="Arial" w:hAnsi="Arial"/>
          <w:sz w:val="24"/>
          <w:szCs w:val="24"/>
        </w:rPr>
      </w:pPr>
      <w:r>
        <w:rPr>
          <w:rStyle w:val="PageNumber"/>
          <w:rFonts w:ascii="Arial" w:hAnsi="Arial"/>
          <w:sz w:val="24"/>
          <w:szCs w:val="24"/>
        </w:rPr>
        <w:t>Existence</w:t>
      </w:r>
      <w:r w:rsidR="00AC4A75">
        <w:rPr>
          <w:rStyle w:val="PageNumber"/>
          <w:rFonts w:ascii="Arial" w:hAnsi="Arial"/>
          <w:sz w:val="24"/>
          <w:szCs w:val="24"/>
        </w:rPr>
        <w:t xml:space="preserve"> of or the appearance of bias</w:t>
      </w:r>
      <w:r w:rsidR="00167139">
        <w:rPr>
          <w:rStyle w:val="PageNumber"/>
          <w:rFonts w:ascii="Arial" w:hAnsi="Arial"/>
          <w:sz w:val="24"/>
          <w:szCs w:val="24"/>
        </w:rPr>
        <w:t xml:space="preserve"> against it by the decision makers</w:t>
      </w:r>
      <w:r w:rsidR="00C4792F">
        <w:rPr>
          <w:rStyle w:val="PageNumber"/>
          <w:rFonts w:ascii="Arial" w:hAnsi="Arial"/>
          <w:sz w:val="24"/>
          <w:szCs w:val="24"/>
        </w:rPr>
        <w:t>. This was coupled with the alleged</w:t>
      </w:r>
      <w:r w:rsidR="00C4792F" w:rsidRPr="00C4792F">
        <w:rPr>
          <w:rStyle w:val="PageNumber"/>
          <w:rFonts w:ascii="Arial" w:hAnsi="Arial"/>
          <w:sz w:val="24"/>
          <w:szCs w:val="24"/>
        </w:rPr>
        <w:t xml:space="preserve"> </w:t>
      </w:r>
      <w:r w:rsidR="00C4792F">
        <w:rPr>
          <w:rStyle w:val="PageNumber"/>
          <w:rFonts w:ascii="Arial" w:hAnsi="Arial"/>
          <w:sz w:val="24"/>
          <w:szCs w:val="24"/>
        </w:rPr>
        <w:t xml:space="preserve">impermissible </w:t>
      </w:r>
      <w:r w:rsidR="00C4792F" w:rsidRPr="003C5C1A">
        <w:rPr>
          <w:rStyle w:val="PageNumber"/>
          <w:rFonts w:ascii="Arial" w:hAnsi="Arial"/>
          <w:sz w:val="24"/>
          <w:szCs w:val="24"/>
        </w:rPr>
        <w:t>application</w:t>
      </w:r>
      <w:r w:rsidR="00C4792F">
        <w:rPr>
          <w:rStyle w:val="PageNumber"/>
          <w:rFonts w:ascii="Arial" w:hAnsi="Arial"/>
          <w:sz w:val="24"/>
          <w:szCs w:val="24"/>
        </w:rPr>
        <w:t xml:space="preserve"> and </w:t>
      </w:r>
      <w:r w:rsidR="009A13C0">
        <w:rPr>
          <w:rStyle w:val="PageNumber"/>
          <w:rFonts w:ascii="Arial" w:hAnsi="Arial"/>
          <w:sz w:val="24"/>
          <w:szCs w:val="24"/>
        </w:rPr>
        <w:t xml:space="preserve">or </w:t>
      </w:r>
      <w:r w:rsidR="00C4792F">
        <w:rPr>
          <w:rStyle w:val="PageNumber"/>
          <w:rFonts w:ascii="Arial" w:hAnsi="Arial"/>
          <w:sz w:val="24"/>
          <w:szCs w:val="24"/>
        </w:rPr>
        <w:t>misapplication</w:t>
      </w:r>
      <w:r w:rsidR="00C4792F" w:rsidRPr="003C5C1A">
        <w:rPr>
          <w:rStyle w:val="PageNumber"/>
          <w:rFonts w:ascii="Arial" w:hAnsi="Arial"/>
          <w:sz w:val="24"/>
          <w:szCs w:val="24"/>
        </w:rPr>
        <w:t xml:space="preserve"> of the Ministry of Works and Transport Policy (</w:t>
      </w:r>
      <w:r w:rsidRPr="003C5C1A">
        <w:rPr>
          <w:rStyle w:val="PageNumber"/>
          <w:rFonts w:ascii="Arial" w:hAnsi="Arial"/>
          <w:sz w:val="24"/>
          <w:szCs w:val="24"/>
        </w:rPr>
        <w:t>Mo</w:t>
      </w:r>
      <w:r w:rsidR="008C73A7">
        <w:rPr>
          <w:rStyle w:val="PageNumber"/>
          <w:rFonts w:ascii="Arial" w:hAnsi="Arial"/>
          <w:sz w:val="24"/>
          <w:szCs w:val="24"/>
        </w:rPr>
        <w:t>W&amp;</w:t>
      </w:r>
      <w:r w:rsidR="00233918">
        <w:rPr>
          <w:rStyle w:val="PageNumber"/>
          <w:rFonts w:ascii="Arial" w:hAnsi="Arial"/>
          <w:sz w:val="24"/>
          <w:szCs w:val="24"/>
        </w:rPr>
        <w:t>T</w:t>
      </w:r>
      <w:r w:rsidR="00C4792F" w:rsidRPr="003C5C1A">
        <w:rPr>
          <w:rStyle w:val="PageNumber"/>
          <w:rFonts w:ascii="Arial" w:hAnsi="Arial"/>
          <w:sz w:val="24"/>
          <w:szCs w:val="24"/>
        </w:rPr>
        <w:t xml:space="preserve"> Policy)</w:t>
      </w:r>
      <w:r w:rsidR="00C4792F">
        <w:rPr>
          <w:rStyle w:val="PageNumber"/>
          <w:rFonts w:ascii="Arial" w:hAnsi="Arial"/>
          <w:sz w:val="24"/>
          <w:szCs w:val="24"/>
        </w:rPr>
        <w:t xml:space="preserve"> </w:t>
      </w:r>
      <w:r w:rsidR="009A13C0">
        <w:rPr>
          <w:rStyle w:val="PageNumber"/>
          <w:rFonts w:ascii="Arial" w:hAnsi="Arial"/>
          <w:sz w:val="24"/>
          <w:szCs w:val="24"/>
        </w:rPr>
        <w:t xml:space="preserve">that </w:t>
      </w:r>
      <w:r w:rsidR="00C4792F">
        <w:rPr>
          <w:rStyle w:val="PageNumber"/>
          <w:rFonts w:ascii="Arial" w:hAnsi="Arial"/>
          <w:sz w:val="24"/>
          <w:szCs w:val="24"/>
        </w:rPr>
        <w:t xml:space="preserve">provided that </w:t>
      </w:r>
      <w:r w:rsidR="00C4792F" w:rsidRPr="003C5C1A">
        <w:rPr>
          <w:rStyle w:val="PageNumber"/>
          <w:rFonts w:ascii="Arial" w:hAnsi="Arial"/>
          <w:sz w:val="24"/>
          <w:szCs w:val="24"/>
        </w:rPr>
        <w:t xml:space="preserve">a tender should be less </w:t>
      </w:r>
      <w:r w:rsidRPr="003C5C1A">
        <w:rPr>
          <w:rStyle w:val="PageNumber"/>
          <w:rFonts w:ascii="Arial" w:hAnsi="Arial"/>
          <w:sz w:val="24"/>
          <w:szCs w:val="24"/>
        </w:rPr>
        <w:t>favorably</w:t>
      </w:r>
      <w:r w:rsidR="00C4792F" w:rsidRPr="003C5C1A">
        <w:rPr>
          <w:rStyle w:val="PageNumber"/>
          <w:rFonts w:ascii="Arial" w:hAnsi="Arial"/>
          <w:sz w:val="24"/>
          <w:szCs w:val="24"/>
        </w:rPr>
        <w:t xml:space="preserve"> considered if it is 15% below the estimated </w:t>
      </w:r>
      <w:r w:rsidR="00FA7A96" w:rsidRPr="003C5C1A">
        <w:rPr>
          <w:rStyle w:val="PageNumber"/>
          <w:rFonts w:ascii="Arial" w:hAnsi="Arial"/>
          <w:sz w:val="24"/>
          <w:szCs w:val="24"/>
        </w:rPr>
        <w:t>net</w:t>
      </w:r>
      <w:r w:rsidR="00C4792F" w:rsidRPr="003C5C1A">
        <w:rPr>
          <w:rStyle w:val="PageNumber"/>
          <w:rFonts w:ascii="Arial" w:hAnsi="Arial"/>
          <w:sz w:val="24"/>
          <w:szCs w:val="24"/>
        </w:rPr>
        <w:t xml:space="preserve"> costs of </w:t>
      </w:r>
      <w:r w:rsidR="009A13C0">
        <w:rPr>
          <w:rStyle w:val="PageNumber"/>
          <w:rFonts w:ascii="Arial" w:hAnsi="Arial"/>
          <w:sz w:val="24"/>
          <w:szCs w:val="24"/>
        </w:rPr>
        <w:t xml:space="preserve">the project </w:t>
      </w:r>
      <w:r w:rsidR="00C4792F" w:rsidRPr="003C5C1A">
        <w:rPr>
          <w:rStyle w:val="PageNumber"/>
          <w:rFonts w:ascii="Arial" w:hAnsi="Arial"/>
          <w:sz w:val="24"/>
          <w:szCs w:val="24"/>
        </w:rPr>
        <w:t>as determined by the quantity surveyors</w:t>
      </w:r>
      <w:r w:rsidR="00233918">
        <w:rPr>
          <w:rStyle w:val="FootnoteReference"/>
          <w:rFonts w:ascii="Arial" w:hAnsi="Arial"/>
          <w:sz w:val="24"/>
          <w:szCs w:val="24"/>
        </w:rPr>
        <w:footnoteReference w:id="8"/>
      </w:r>
      <w:r w:rsidR="00C4792F" w:rsidRPr="003C5C1A">
        <w:rPr>
          <w:rStyle w:val="PageNumber"/>
          <w:rFonts w:ascii="Arial" w:hAnsi="Arial"/>
          <w:sz w:val="24"/>
          <w:szCs w:val="24"/>
        </w:rPr>
        <w:t xml:space="preserve">; </w:t>
      </w:r>
    </w:p>
    <w:p w:rsidR="003C5C1A" w:rsidRDefault="003C5C1A" w:rsidP="009A13C0">
      <w:pPr>
        <w:pStyle w:val="MediumGrid21"/>
        <w:spacing w:line="480" w:lineRule="auto"/>
        <w:jc w:val="both"/>
        <w:rPr>
          <w:rStyle w:val="PageNumber"/>
          <w:rFonts w:ascii="Arial" w:hAnsi="Arial"/>
          <w:sz w:val="24"/>
          <w:szCs w:val="24"/>
        </w:rPr>
      </w:pPr>
    </w:p>
    <w:p w:rsidR="008477C5" w:rsidRPr="008F5FE8" w:rsidRDefault="0050043B" w:rsidP="0056686C">
      <w:pPr>
        <w:pStyle w:val="MediumGrid21"/>
        <w:numPr>
          <w:ilvl w:val="0"/>
          <w:numId w:val="9"/>
        </w:numPr>
        <w:spacing w:line="480" w:lineRule="auto"/>
        <w:ind w:left="1276" w:hanging="567"/>
        <w:jc w:val="both"/>
        <w:rPr>
          <w:rStyle w:val="PageNumber"/>
          <w:rFonts w:ascii="Arial" w:hAnsi="Arial"/>
          <w:sz w:val="24"/>
          <w:szCs w:val="24"/>
        </w:rPr>
      </w:pPr>
      <w:r>
        <w:rPr>
          <w:rStyle w:val="PageNumber"/>
          <w:rFonts w:ascii="Arial" w:hAnsi="Arial"/>
          <w:sz w:val="24"/>
          <w:szCs w:val="24"/>
        </w:rPr>
        <w:t>L</w:t>
      </w:r>
      <w:r w:rsidR="00AC4A75">
        <w:rPr>
          <w:rStyle w:val="PageNumber"/>
          <w:rFonts w:ascii="Arial" w:hAnsi="Arial"/>
          <w:sz w:val="24"/>
          <w:szCs w:val="24"/>
        </w:rPr>
        <w:t xml:space="preserve">ack of critical engagement by the </w:t>
      </w:r>
      <w:r w:rsidR="00233918">
        <w:rPr>
          <w:rStyle w:val="PageNumber"/>
          <w:rFonts w:ascii="Arial" w:hAnsi="Arial"/>
          <w:sz w:val="24"/>
          <w:szCs w:val="24"/>
        </w:rPr>
        <w:t xml:space="preserve">Board </w:t>
      </w:r>
      <w:r w:rsidR="00AC4A75">
        <w:rPr>
          <w:rStyle w:val="PageNumber"/>
          <w:rFonts w:ascii="Arial" w:hAnsi="Arial"/>
          <w:sz w:val="24"/>
          <w:szCs w:val="24"/>
        </w:rPr>
        <w:t xml:space="preserve">with the recommendation submitted to </w:t>
      </w:r>
      <w:r w:rsidR="00F4539C">
        <w:rPr>
          <w:rStyle w:val="PageNumber"/>
          <w:rFonts w:ascii="Arial" w:hAnsi="Arial"/>
          <w:sz w:val="24"/>
          <w:szCs w:val="24"/>
        </w:rPr>
        <w:t>it</w:t>
      </w:r>
      <w:r w:rsidR="00167139">
        <w:rPr>
          <w:rStyle w:val="PageNumber"/>
          <w:rFonts w:ascii="Arial" w:hAnsi="Arial"/>
          <w:sz w:val="24"/>
          <w:szCs w:val="24"/>
        </w:rPr>
        <w:t xml:space="preserve"> (in other words</w:t>
      </w:r>
      <w:r w:rsidR="008477C5">
        <w:rPr>
          <w:rStyle w:val="PageNumber"/>
          <w:rFonts w:ascii="Arial" w:hAnsi="Arial"/>
          <w:sz w:val="24"/>
          <w:szCs w:val="24"/>
        </w:rPr>
        <w:t>,</w:t>
      </w:r>
      <w:r w:rsidR="00167139">
        <w:rPr>
          <w:rStyle w:val="PageNumber"/>
          <w:rFonts w:ascii="Arial" w:hAnsi="Arial"/>
          <w:sz w:val="24"/>
          <w:szCs w:val="24"/>
        </w:rPr>
        <w:t xml:space="preserve"> that the </w:t>
      </w:r>
      <w:r w:rsidR="00233918">
        <w:rPr>
          <w:rStyle w:val="PageNumber"/>
          <w:rFonts w:ascii="Arial" w:hAnsi="Arial"/>
          <w:sz w:val="24"/>
          <w:szCs w:val="24"/>
        </w:rPr>
        <w:t xml:space="preserve">Board </w:t>
      </w:r>
      <w:r w:rsidR="00167139">
        <w:rPr>
          <w:rStyle w:val="PageNumber"/>
          <w:rFonts w:ascii="Arial" w:hAnsi="Arial"/>
          <w:sz w:val="24"/>
          <w:szCs w:val="24"/>
        </w:rPr>
        <w:t>failed to apply their minds in</w:t>
      </w:r>
      <w:r w:rsidR="009A13C0">
        <w:rPr>
          <w:rStyle w:val="PageNumber"/>
          <w:rFonts w:ascii="Arial" w:hAnsi="Arial"/>
          <w:sz w:val="24"/>
          <w:szCs w:val="24"/>
        </w:rPr>
        <w:t xml:space="preserve">dependently and </w:t>
      </w:r>
      <w:r w:rsidR="00AB3285">
        <w:rPr>
          <w:rStyle w:val="PageNumber"/>
          <w:rFonts w:ascii="Arial" w:hAnsi="Arial"/>
          <w:sz w:val="24"/>
          <w:szCs w:val="24"/>
        </w:rPr>
        <w:t xml:space="preserve">instead </w:t>
      </w:r>
      <w:r w:rsidR="00167139">
        <w:rPr>
          <w:rStyle w:val="PageNumber"/>
          <w:rFonts w:ascii="Arial" w:hAnsi="Arial"/>
          <w:sz w:val="24"/>
          <w:szCs w:val="24"/>
        </w:rPr>
        <w:t>uncritically adopted a recommendation made to them by expert advisors)</w:t>
      </w:r>
      <w:r w:rsidR="008477C5" w:rsidRPr="008F5FE8">
        <w:rPr>
          <w:rStyle w:val="PageNumber"/>
          <w:rFonts w:ascii="Arial" w:hAnsi="Arial"/>
          <w:sz w:val="24"/>
          <w:szCs w:val="24"/>
        </w:rPr>
        <w:t>;</w:t>
      </w:r>
      <w:r w:rsidR="00AC4A75" w:rsidRPr="008F5FE8">
        <w:rPr>
          <w:rStyle w:val="PageNumber"/>
          <w:rFonts w:ascii="Arial" w:hAnsi="Arial"/>
          <w:sz w:val="24"/>
          <w:szCs w:val="24"/>
        </w:rPr>
        <w:t xml:space="preserve"> and </w:t>
      </w:r>
    </w:p>
    <w:p w:rsidR="003C5C1A" w:rsidRDefault="003C5C1A" w:rsidP="003C5C1A">
      <w:pPr>
        <w:pStyle w:val="MediumGrid21"/>
        <w:spacing w:line="480" w:lineRule="auto"/>
        <w:ind w:left="709"/>
        <w:jc w:val="both"/>
        <w:rPr>
          <w:rStyle w:val="PageNumber"/>
          <w:rFonts w:ascii="Arial" w:hAnsi="Arial"/>
          <w:sz w:val="24"/>
          <w:szCs w:val="24"/>
        </w:rPr>
      </w:pPr>
    </w:p>
    <w:p w:rsidR="00167139" w:rsidRPr="00FE52C8" w:rsidRDefault="0050043B" w:rsidP="0056686C">
      <w:pPr>
        <w:pStyle w:val="MediumGrid21"/>
        <w:numPr>
          <w:ilvl w:val="0"/>
          <w:numId w:val="9"/>
        </w:numPr>
        <w:spacing w:line="480" w:lineRule="auto"/>
        <w:ind w:left="1276" w:hanging="567"/>
        <w:jc w:val="both"/>
        <w:rPr>
          <w:rStyle w:val="PageNumber"/>
          <w:rFonts w:ascii="Arial" w:hAnsi="Arial"/>
          <w:color w:val="auto"/>
          <w:sz w:val="24"/>
          <w:szCs w:val="24"/>
        </w:rPr>
      </w:pPr>
      <w:r>
        <w:rPr>
          <w:rStyle w:val="PageNumber"/>
          <w:rFonts w:ascii="Arial" w:hAnsi="Arial"/>
          <w:color w:val="auto"/>
          <w:sz w:val="24"/>
          <w:szCs w:val="24"/>
        </w:rPr>
        <w:t>D</w:t>
      </w:r>
      <w:r w:rsidR="00AC4A75" w:rsidRPr="00FE52C8">
        <w:rPr>
          <w:rStyle w:val="PageNumber"/>
          <w:rFonts w:ascii="Arial" w:hAnsi="Arial"/>
          <w:color w:val="auto"/>
          <w:sz w:val="24"/>
          <w:szCs w:val="24"/>
        </w:rPr>
        <w:t xml:space="preserve">enial of </w:t>
      </w:r>
      <w:r w:rsidR="00AC4A75" w:rsidRPr="00FE52C8">
        <w:rPr>
          <w:rStyle w:val="PageNumber"/>
          <w:rFonts w:ascii="Arial" w:hAnsi="Arial"/>
          <w:i/>
          <w:iCs/>
          <w:color w:val="auto"/>
          <w:sz w:val="24"/>
          <w:szCs w:val="24"/>
        </w:rPr>
        <w:t>audi alteram partem</w:t>
      </w:r>
      <w:r w:rsidR="00233918" w:rsidRPr="00FE52C8">
        <w:rPr>
          <w:rStyle w:val="PageNumber"/>
          <w:rFonts w:ascii="Arial" w:hAnsi="Arial"/>
          <w:i/>
          <w:iCs/>
          <w:color w:val="auto"/>
          <w:sz w:val="24"/>
          <w:szCs w:val="24"/>
        </w:rPr>
        <w:t xml:space="preserve"> </w:t>
      </w:r>
      <w:r w:rsidR="00233918" w:rsidRPr="00FE52C8">
        <w:rPr>
          <w:rStyle w:val="PageNumber"/>
          <w:rFonts w:ascii="Arial" w:hAnsi="Arial"/>
          <w:iCs/>
          <w:color w:val="auto"/>
          <w:sz w:val="24"/>
          <w:szCs w:val="24"/>
        </w:rPr>
        <w:t xml:space="preserve">in so far as </w:t>
      </w:r>
      <w:r w:rsidR="008C73A7" w:rsidRPr="00FE52C8">
        <w:rPr>
          <w:rStyle w:val="PageNumber"/>
          <w:rFonts w:ascii="Arial" w:hAnsi="Arial"/>
          <w:iCs/>
          <w:color w:val="auto"/>
          <w:sz w:val="24"/>
          <w:szCs w:val="24"/>
        </w:rPr>
        <w:t xml:space="preserve">the </w:t>
      </w:r>
      <w:r w:rsidR="00233918" w:rsidRPr="00FE52C8">
        <w:rPr>
          <w:rStyle w:val="PageNumber"/>
          <w:rFonts w:ascii="Arial" w:hAnsi="Arial"/>
          <w:iCs/>
          <w:color w:val="auto"/>
          <w:sz w:val="24"/>
          <w:szCs w:val="24"/>
        </w:rPr>
        <w:t>information stating that the appellant had exhibited poor performa</w:t>
      </w:r>
      <w:r w:rsidR="00FE52C8" w:rsidRPr="00FE52C8">
        <w:rPr>
          <w:rStyle w:val="PageNumber"/>
          <w:rFonts w:ascii="Arial" w:hAnsi="Arial"/>
          <w:iCs/>
          <w:color w:val="auto"/>
          <w:sz w:val="24"/>
          <w:szCs w:val="24"/>
        </w:rPr>
        <w:t xml:space="preserve">nce on </w:t>
      </w:r>
      <w:r w:rsidR="00233918" w:rsidRPr="00FE52C8">
        <w:rPr>
          <w:rStyle w:val="PageNumber"/>
          <w:rFonts w:ascii="Arial" w:hAnsi="Arial"/>
          <w:iCs/>
          <w:color w:val="auto"/>
          <w:sz w:val="24"/>
          <w:szCs w:val="24"/>
        </w:rPr>
        <w:t>previous project</w:t>
      </w:r>
      <w:r w:rsidR="00FE52C8" w:rsidRPr="00FE52C8">
        <w:rPr>
          <w:rStyle w:val="PageNumber"/>
          <w:rFonts w:ascii="Arial" w:hAnsi="Arial"/>
          <w:iCs/>
          <w:color w:val="auto"/>
          <w:sz w:val="24"/>
          <w:szCs w:val="24"/>
        </w:rPr>
        <w:t>s</w:t>
      </w:r>
      <w:r w:rsidR="00233918" w:rsidRPr="00FE52C8">
        <w:rPr>
          <w:rStyle w:val="PageNumber"/>
          <w:rFonts w:ascii="Arial" w:hAnsi="Arial"/>
          <w:iCs/>
          <w:color w:val="auto"/>
          <w:sz w:val="24"/>
          <w:szCs w:val="24"/>
        </w:rPr>
        <w:t xml:space="preserve"> </w:t>
      </w:r>
      <w:r w:rsidR="00E41436">
        <w:rPr>
          <w:rStyle w:val="PageNumber"/>
          <w:rFonts w:ascii="Arial" w:hAnsi="Arial"/>
          <w:iCs/>
          <w:color w:val="auto"/>
          <w:sz w:val="24"/>
          <w:szCs w:val="24"/>
        </w:rPr>
        <w:t xml:space="preserve">and that its spend on </w:t>
      </w:r>
      <w:r w:rsidR="00E41436" w:rsidRPr="00A50828">
        <w:rPr>
          <w:rStyle w:val="PageNumber"/>
          <w:rFonts w:ascii="Arial" w:hAnsi="Arial"/>
          <w:sz w:val="24"/>
          <w:szCs w:val="24"/>
        </w:rPr>
        <w:t xml:space="preserve">BEE subcontractors, skills transfer, and commitments to local students </w:t>
      </w:r>
      <w:r w:rsidR="00AB3285">
        <w:rPr>
          <w:rStyle w:val="PageNumber"/>
          <w:rFonts w:ascii="Arial" w:hAnsi="Arial"/>
          <w:sz w:val="24"/>
          <w:szCs w:val="24"/>
        </w:rPr>
        <w:t>was not competitive compared</w:t>
      </w:r>
      <w:r w:rsidR="00E41436">
        <w:rPr>
          <w:rStyle w:val="PageNumber"/>
          <w:rFonts w:ascii="Arial" w:hAnsi="Arial"/>
          <w:sz w:val="24"/>
          <w:szCs w:val="24"/>
        </w:rPr>
        <w:t xml:space="preserve"> to the fifth respondent</w:t>
      </w:r>
      <w:r w:rsidR="00E41436" w:rsidRPr="00A50828">
        <w:rPr>
          <w:rStyle w:val="PageNumber"/>
          <w:rFonts w:ascii="Arial" w:hAnsi="Arial"/>
          <w:sz w:val="24"/>
          <w:szCs w:val="24"/>
        </w:rPr>
        <w:t xml:space="preserve"> </w:t>
      </w:r>
      <w:r w:rsidR="00346EED" w:rsidRPr="00FE52C8">
        <w:rPr>
          <w:rStyle w:val="PageNumber"/>
          <w:rFonts w:ascii="Arial" w:hAnsi="Arial"/>
          <w:iCs/>
          <w:color w:val="auto"/>
          <w:sz w:val="24"/>
          <w:szCs w:val="24"/>
        </w:rPr>
        <w:t xml:space="preserve">ought to have been put to it to make representations on before it was put in the scale of factors </w:t>
      </w:r>
      <w:r w:rsidR="008C73A7" w:rsidRPr="00FE52C8">
        <w:rPr>
          <w:rStyle w:val="PageNumber"/>
          <w:rFonts w:ascii="Arial" w:hAnsi="Arial"/>
          <w:iCs/>
          <w:color w:val="auto"/>
          <w:sz w:val="24"/>
          <w:szCs w:val="24"/>
        </w:rPr>
        <w:t>that operated to make its bid less favorable than that of the successful bid</w:t>
      </w:r>
      <w:r w:rsidR="00FE52C8" w:rsidRPr="00FE52C8">
        <w:rPr>
          <w:rStyle w:val="PageNumber"/>
          <w:rFonts w:ascii="Arial" w:hAnsi="Arial"/>
          <w:iCs/>
          <w:color w:val="auto"/>
          <w:sz w:val="24"/>
          <w:szCs w:val="24"/>
        </w:rPr>
        <w:t>der</w:t>
      </w:r>
      <w:r w:rsidR="00AC4A75" w:rsidRPr="00FE52C8">
        <w:rPr>
          <w:rStyle w:val="PageNumber"/>
          <w:rFonts w:ascii="Arial" w:hAnsi="Arial"/>
          <w:color w:val="auto"/>
          <w:sz w:val="24"/>
          <w:szCs w:val="24"/>
        </w:rPr>
        <w:t xml:space="preserve">. </w:t>
      </w:r>
    </w:p>
    <w:p w:rsidR="003C5C1A" w:rsidRPr="00862CCD" w:rsidRDefault="003C5C1A">
      <w:pPr>
        <w:pStyle w:val="MediumGrid21"/>
        <w:spacing w:line="480" w:lineRule="auto"/>
        <w:jc w:val="both"/>
        <w:rPr>
          <w:rStyle w:val="PageNumber"/>
          <w:rFonts w:ascii="Arial" w:eastAsia="Arial" w:hAnsi="Arial" w:cs="Arial"/>
          <w:sz w:val="24"/>
          <w:szCs w:val="24"/>
          <w:u w:val="single"/>
        </w:rPr>
      </w:pPr>
    </w:p>
    <w:p w:rsidR="00ED65F5" w:rsidRPr="00C56E3A" w:rsidRDefault="00F60240">
      <w:pPr>
        <w:pStyle w:val="MediumGrid21"/>
        <w:spacing w:line="480" w:lineRule="auto"/>
        <w:jc w:val="both"/>
        <w:rPr>
          <w:rStyle w:val="PageNumber"/>
          <w:rFonts w:ascii="Arial" w:hAnsi="Arial"/>
          <w:i/>
          <w:iCs/>
          <w:sz w:val="24"/>
          <w:szCs w:val="24"/>
        </w:rPr>
      </w:pPr>
      <w:r>
        <w:rPr>
          <w:rStyle w:val="PageNumber"/>
          <w:rFonts w:ascii="Arial" w:hAnsi="Arial"/>
          <w:i/>
          <w:iCs/>
          <w:sz w:val="24"/>
          <w:szCs w:val="24"/>
        </w:rPr>
        <w:t xml:space="preserve">Alleged </w:t>
      </w:r>
      <w:r w:rsidR="00AC4A75" w:rsidRPr="00C56E3A">
        <w:rPr>
          <w:rStyle w:val="PageNumber"/>
          <w:rFonts w:ascii="Arial" w:hAnsi="Arial"/>
          <w:i/>
          <w:iCs/>
          <w:sz w:val="24"/>
          <w:szCs w:val="24"/>
        </w:rPr>
        <w:t>bias or ulterior motive</w:t>
      </w:r>
      <w:r w:rsidR="00ED65F5" w:rsidRPr="00C56E3A">
        <w:rPr>
          <w:rStyle w:val="PageNumber"/>
          <w:rFonts w:ascii="Arial" w:hAnsi="Arial"/>
          <w:i/>
          <w:iCs/>
          <w:sz w:val="24"/>
          <w:szCs w:val="24"/>
        </w:rPr>
        <w:t xml:space="preserve"> and </w:t>
      </w:r>
      <w:r w:rsidR="009E2534" w:rsidRPr="00C56E3A">
        <w:rPr>
          <w:rStyle w:val="PageNumber"/>
          <w:rFonts w:ascii="Arial" w:hAnsi="Arial"/>
          <w:i/>
          <w:iCs/>
          <w:sz w:val="24"/>
          <w:szCs w:val="24"/>
        </w:rPr>
        <w:t xml:space="preserve">the impermissible and or </w:t>
      </w:r>
      <w:r w:rsidR="00ED65F5" w:rsidRPr="00C56E3A">
        <w:rPr>
          <w:rStyle w:val="PageNumber"/>
          <w:rFonts w:ascii="Arial" w:hAnsi="Arial"/>
          <w:i/>
          <w:iCs/>
          <w:sz w:val="24"/>
          <w:szCs w:val="24"/>
        </w:rPr>
        <w:t>misapplication of the Ministry of Works and Transport Policy</w:t>
      </w:r>
      <w:r w:rsidR="009C14B4">
        <w:rPr>
          <w:rStyle w:val="PageNumber"/>
          <w:rFonts w:ascii="Arial" w:hAnsi="Arial"/>
          <w:i/>
          <w:iCs/>
          <w:sz w:val="24"/>
          <w:szCs w:val="24"/>
        </w:rPr>
        <w:t xml:space="preserve"> (MoW&amp;T Policy)</w:t>
      </w:r>
    </w:p>
    <w:p w:rsidR="00C56E3A" w:rsidRDefault="00C56E3A">
      <w:pPr>
        <w:pStyle w:val="MediumGrid21"/>
        <w:spacing w:line="480" w:lineRule="auto"/>
        <w:jc w:val="both"/>
        <w:rPr>
          <w:rStyle w:val="PageNumber"/>
          <w:rFonts w:ascii="Arial" w:hAnsi="Arial"/>
          <w:sz w:val="24"/>
          <w:szCs w:val="24"/>
        </w:rPr>
      </w:pPr>
    </w:p>
    <w:p w:rsidR="00177050" w:rsidRDefault="00721BA8">
      <w:pPr>
        <w:pStyle w:val="MediumGrid21"/>
        <w:spacing w:line="480" w:lineRule="auto"/>
        <w:jc w:val="both"/>
        <w:rPr>
          <w:rStyle w:val="PageNumber"/>
          <w:rFonts w:ascii="Arial" w:hAnsi="Arial"/>
          <w:sz w:val="24"/>
          <w:szCs w:val="24"/>
        </w:rPr>
      </w:pPr>
      <w:r>
        <w:rPr>
          <w:rStyle w:val="PageNumber"/>
          <w:rFonts w:ascii="Arial" w:hAnsi="Arial"/>
          <w:sz w:val="24"/>
          <w:szCs w:val="24"/>
        </w:rPr>
        <w:t>[26</w:t>
      </w:r>
      <w:r w:rsidR="00AC4A75">
        <w:rPr>
          <w:rStyle w:val="PageNumber"/>
          <w:rFonts w:ascii="Arial" w:hAnsi="Arial"/>
          <w:sz w:val="24"/>
          <w:szCs w:val="24"/>
        </w:rPr>
        <w:t xml:space="preserve">] </w:t>
      </w:r>
      <w:r w:rsidR="00AC4A75">
        <w:rPr>
          <w:rStyle w:val="PageNumber"/>
          <w:rFonts w:ascii="Arial" w:hAnsi="Arial"/>
          <w:sz w:val="24"/>
          <w:szCs w:val="24"/>
        </w:rPr>
        <w:tab/>
        <w:t>In the founding affidavit, the appellant averred tha</w:t>
      </w:r>
      <w:r w:rsidR="006D77E4">
        <w:rPr>
          <w:rStyle w:val="PageNumber"/>
          <w:rFonts w:ascii="Arial" w:hAnsi="Arial"/>
          <w:sz w:val="24"/>
          <w:szCs w:val="24"/>
        </w:rPr>
        <w:t xml:space="preserve">t the tender process was </w:t>
      </w:r>
      <w:r w:rsidR="00862CCD">
        <w:rPr>
          <w:rStyle w:val="PageNumber"/>
          <w:rFonts w:ascii="Arial" w:hAnsi="Arial"/>
          <w:sz w:val="24"/>
          <w:szCs w:val="24"/>
        </w:rPr>
        <w:t xml:space="preserve">tainted by </w:t>
      </w:r>
      <w:r w:rsidR="00902414">
        <w:rPr>
          <w:rStyle w:val="PageNumber"/>
          <w:rFonts w:ascii="Arial" w:hAnsi="Arial"/>
          <w:sz w:val="24"/>
          <w:szCs w:val="24"/>
        </w:rPr>
        <w:t xml:space="preserve">bias. In support of this contention, </w:t>
      </w:r>
      <w:r w:rsidR="009C14B4">
        <w:rPr>
          <w:rStyle w:val="PageNumber"/>
          <w:rFonts w:ascii="Arial" w:hAnsi="Arial"/>
          <w:sz w:val="24"/>
          <w:szCs w:val="24"/>
        </w:rPr>
        <w:t xml:space="preserve">it was </w:t>
      </w:r>
      <w:r w:rsidR="00902414">
        <w:rPr>
          <w:rStyle w:val="PageNumber"/>
          <w:rFonts w:ascii="Arial" w:hAnsi="Arial"/>
          <w:sz w:val="24"/>
          <w:szCs w:val="24"/>
        </w:rPr>
        <w:t>asserted</w:t>
      </w:r>
      <w:r w:rsidR="009C14B4">
        <w:rPr>
          <w:rStyle w:val="PageNumber"/>
          <w:rFonts w:ascii="Arial" w:hAnsi="Arial"/>
          <w:sz w:val="24"/>
          <w:szCs w:val="24"/>
        </w:rPr>
        <w:t xml:space="preserve"> that</w:t>
      </w:r>
      <w:r w:rsidR="00AC4A75">
        <w:rPr>
          <w:rStyle w:val="PageNumber"/>
          <w:rFonts w:ascii="Arial" w:hAnsi="Arial"/>
          <w:sz w:val="24"/>
          <w:szCs w:val="24"/>
        </w:rPr>
        <w:t>:</w:t>
      </w:r>
    </w:p>
    <w:p w:rsidR="00A044D3" w:rsidRPr="00E431C0" w:rsidRDefault="00A044D3">
      <w:pPr>
        <w:pStyle w:val="MediumGrid21"/>
        <w:spacing w:line="480" w:lineRule="auto"/>
        <w:jc w:val="both"/>
        <w:rPr>
          <w:rStyle w:val="PageNumber"/>
          <w:rFonts w:ascii="Arial" w:hAnsi="Arial"/>
          <w:sz w:val="24"/>
          <w:szCs w:val="24"/>
        </w:rPr>
      </w:pPr>
    </w:p>
    <w:p w:rsidR="00A50828" w:rsidRDefault="00AC4A75" w:rsidP="0056686C">
      <w:pPr>
        <w:pStyle w:val="MediumGrid21"/>
        <w:numPr>
          <w:ilvl w:val="0"/>
          <w:numId w:val="6"/>
        </w:numPr>
        <w:spacing w:line="480" w:lineRule="auto"/>
        <w:ind w:left="1276" w:hanging="567"/>
        <w:jc w:val="both"/>
        <w:rPr>
          <w:rStyle w:val="PageNumber"/>
          <w:rFonts w:ascii="Arial" w:hAnsi="Arial"/>
          <w:sz w:val="24"/>
          <w:szCs w:val="24"/>
        </w:rPr>
      </w:pPr>
      <w:r>
        <w:rPr>
          <w:rStyle w:val="PageNumber"/>
          <w:rFonts w:ascii="Arial" w:hAnsi="Arial"/>
          <w:sz w:val="24"/>
          <w:szCs w:val="24"/>
        </w:rPr>
        <w:t xml:space="preserve">The </w:t>
      </w:r>
      <w:r w:rsidR="00523563">
        <w:rPr>
          <w:rStyle w:val="PageNumber"/>
          <w:rFonts w:ascii="Arial" w:hAnsi="Arial"/>
          <w:sz w:val="24"/>
          <w:szCs w:val="24"/>
        </w:rPr>
        <w:t xml:space="preserve">impermissible </w:t>
      </w:r>
      <w:r>
        <w:rPr>
          <w:rStyle w:val="PageNumber"/>
          <w:rFonts w:ascii="Arial" w:hAnsi="Arial"/>
          <w:sz w:val="24"/>
          <w:szCs w:val="24"/>
        </w:rPr>
        <w:t>application</w:t>
      </w:r>
      <w:r w:rsidR="00FA5BF2">
        <w:rPr>
          <w:rStyle w:val="PageNumber"/>
          <w:rFonts w:ascii="Arial" w:hAnsi="Arial"/>
          <w:sz w:val="24"/>
          <w:szCs w:val="24"/>
        </w:rPr>
        <w:t xml:space="preserve"> and </w:t>
      </w:r>
      <w:r w:rsidR="00C41567">
        <w:rPr>
          <w:rStyle w:val="PageNumber"/>
          <w:rFonts w:ascii="Arial" w:hAnsi="Arial"/>
          <w:sz w:val="24"/>
          <w:szCs w:val="24"/>
        </w:rPr>
        <w:t xml:space="preserve">or </w:t>
      </w:r>
      <w:r w:rsidR="00FA5BF2">
        <w:rPr>
          <w:rStyle w:val="PageNumber"/>
          <w:rFonts w:ascii="Arial" w:hAnsi="Arial"/>
          <w:sz w:val="24"/>
          <w:szCs w:val="24"/>
        </w:rPr>
        <w:t>misapplication</w:t>
      </w:r>
      <w:r>
        <w:rPr>
          <w:rStyle w:val="PageNumber"/>
          <w:rFonts w:ascii="Arial" w:hAnsi="Arial"/>
          <w:sz w:val="24"/>
          <w:szCs w:val="24"/>
        </w:rPr>
        <w:t xml:space="preserve"> of the </w:t>
      </w:r>
      <w:r w:rsidR="0024352E">
        <w:rPr>
          <w:rStyle w:val="PageNumber"/>
          <w:rFonts w:ascii="Arial" w:hAnsi="Arial"/>
          <w:sz w:val="24"/>
          <w:szCs w:val="24"/>
        </w:rPr>
        <w:t>MoW</w:t>
      </w:r>
      <w:r w:rsidR="00FA5BF2">
        <w:rPr>
          <w:rStyle w:val="PageNumber"/>
          <w:rFonts w:ascii="Arial" w:hAnsi="Arial"/>
          <w:sz w:val="24"/>
          <w:szCs w:val="24"/>
        </w:rPr>
        <w:t xml:space="preserve">&amp;T </w:t>
      </w:r>
      <w:r w:rsidR="00902414">
        <w:rPr>
          <w:rStyle w:val="PageNumber"/>
          <w:rFonts w:ascii="Arial" w:hAnsi="Arial"/>
          <w:sz w:val="24"/>
          <w:szCs w:val="24"/>
        </w:rPr>
        <w:t>Policy</w:t>
      </w:r>
      <w:r w:rsidR="009C14B4">
        <w:rPr>
          <w:rStyle w:val="PageNumber"/>
          <w:rFonts w:ascii="Arial" w:hAnsi="Arial"/>
          <w:sz w:val="24"/>
          <w:szCs w:val="24"/>
        </w:rPr>
        <w:t xml:space="preserve"> </w:t>
      </w:r>
      <w:r w:rsidR="00842590">
        <w:rPr>
          <w:rStyle w:val="PageNumber"/>
          <w:rFonts w:ascii="Arial" w:hAnsi="Arial"/>
          <w:sz w:val="24"/>
          <w:szCs w:val="24"/>
        </w:rPr>
        <w:t>unreasonably and arbitrarily</w:t>
      </w:r>
      <w:r w:rsidR="00902414">
        <w:rPr>
          <w:rStyle w:val="PageNumber"/>
          <w:rFonts w:ascii="Arial" w:hAnsi="Arial"/>
          <w:sz w:val="24"/>
          <w:szCs w:val="24"/>
        </w:rPr>
        <w:t xml:space="preserve"> </w:t>
      </w:r>
      <w:r w:rsidR="00AB3285">
        <w:rPr>
          <w:rStyle w:val="PageNumber"/>
          <w:rFonts w:ascii="Arial" w:hAnsi="Arial"/>
          <w:sz w:val="24"/>
          <w:szCs w:val="24"/>
        </w:rPr>
        <w:t>resulted in the appellant</w:t>
      </w:r>
      <w:r w:rsidR="009C14B4">
        <w:rPr>
          <w:rStyle w:val="PageNumber"/>
          <w:rFonts w:ascii="Arial" w:hAnsi="Arial"/>
          <w:sz w:val="24"/>
          <w:szCs w:val="24"/>
        </w:rPr>
        <w:t xml:space="preserve"> not being awarded the tender</w:t>
      </w:r>
      <w:r w:rsidR="0044401F">
        <w:rPr>
          <w:rStyle w:val="PageNumber"/>
          <w:rFonts w:ascii="Arial" w:hAnsi="Arial"/>
          <w:sz w:val="24"/>
          <w:szCs w:val="24"/>
        </w:rPr>
        <w:t>,</w:t>
      </w:r>
      <w:r>
        <w:rPr>
          <w:rStyle w:val="PageNumber"/>
          <w:rFonts w:ascii="Arial" w:hAnsi="Arial"/>
          <w:sz w:val="24"/>
          <w:szCs w:val="24"/>
        </w:rPr>
        <w:t xml:space="preserve"> although its price was lower than that of the fifth </w:t>
      </w:r>
      <w:r w:rsidR="00C56E3A">
        <w:rPr>
          <w:rStyle w:val="PageNumber"/>
          <w:rFonts w:ascii="Arial" w:hAnsi="Arial"/>
          <w:sz w:val="24"/>
          <w:szCs w:val="24"/>
        </w:rPr>
        <w:t>respondent</w:t>
      </w:r>
      <w:r>
        <w:rPr>
          <w:rStyle w:val="PageNumber"/>
          <w:rFonts w:ascii="Arial" w:hAnsi="Arial"/>
          <w:sz w:val="24"/>
          <w:szCs w:val="24"/>
        </w:rPr>
        <w:t>;</w:t>
      </w:r>
    </w:p>
    <w:p w:rsidR="00A50828" w:rsidRDefault="00A50828" w:rsidP="00A50828">
      <w:pPr>
        <w:pStyle w:val="MediumGrid21"/>
        <w:spacing w:line="480" w:lineRule="auto"/>
        <w:ind w:left="1449"/>
        <w:jc w:val="both"/>
        <w:rPr>
          <w:rStyle w:val="PageNumber"/>
          <w:rFonts w:ascii="Arial" w:hAnsi="Arial"/>
          <w:sz w:val="24"/>
          <w:szCs w:val="24"/>
        </w:rPr>
      </w:pPr>
    </w:p>
    <w:p w:rsidR="00A50828" w:rsidRDefault="00AC4A75" w:rsidP="0056686C">
      <w:pPr>
        <w:pStyle w:val="MediumGrid21"/>
        <w:numPr>
          <w:ilvl w:val="0"/>
          <w:numId w:val="6"/>
        </w:numPr>
        <w:spacing w:line="480" w:lineRule="auto"/>
        <w:ind w:left="1276" w:hanging="567"/>
        <w:jc w:val="both"/>
        <w:rPr>
          <w:rStyle w:val="PageNumber"/>
          <w:rFonts w:ascii="Arial" w:hAnsi="Arial"/>
          <w:sz w:val="24"/>
          <w:szCs w:val="24"/>
        </w:rPr>
      </w:pPr>
      <w:r>
        <w:rPr>
          <w:rStyle w:val="PageNumber"/>
          <w:rFonts w:ascii="Arial" w:hAnsi="Arial"/>
          <w:sz w:val="24"/>
          <w:szCs w:val="24"/>
        </w:rPr>
        <w:t xml:space="preserve">The </w:t>
      </w:r>
      <w:r w:rsidR="00C56E3A">
        <w:rPr>
          <w:rStyle w:val="PageNumber"/>
          <w:rFonts w:ascii="Arial" w:hAnsi="Arial"/>
          <w:sz w:val="24"/>
          <w:szCs w:val="24"/>
        </w:rPr>
        <w:t xml:space="preserve">EC </w:t>
      </w:r>
      <w:r>
        <w:rPr>
          <w:rStyle w:val="PageNumber"/>
          <w:rFonts w:ascii="Arial" w:hAnsi="Arial"/>
          <w:sz w:val="24"/>
          <w:szCs w:val="24"/>
        </w:rPr>
        <w:t>gave disproportionate weight to the two negative performance evaluations</w:t>
      </w:r>
      <w:r w:rsidR="00902414">
        <w:rPr>
          <w:rStyle w:val="PageNumber"/>
          <w:rFonts w:ascii="Arial" w:hAnsi="Arial"/>
          <w:sz w:val="24"/>
          <w:szCs w:val="24"/>
        </w:rPr>
        <w:t xml:space="preserve"> relating to it</w:t>
      </w:r>
      <w:r>
        <w:rPr>
          <w:rStyle w:val="PageNumber"/>
          <w:rFonts w:ascii="Arial" w:hAnsi="Arial"/>
          <w:sz w:val="24"/>
          <w:szCs w:val="24"/>
        </w:rPr>
        <w:t xml:space="preserve">, while not </w:t>
      </w:r>
      <w:r w:rsidR="002A5D49">
        <w:rPr>
          <w:rStyle w:val="PageNumber"/>
          <w:rFonts w:ascii="Arial" w:hAnsi="Arial"/>
          <w:sz w:val="24"/>
          <w:szCs w:val="24"/>
        </w:rPr>
        <w:t xml:space="preserve">attaching </w:t>
      </w:r>
      <w:r>
        <w:rPr>
          <w:rStyle w:val="PageNumber"/>
          <w:rFonts w:ascii="Arial" w:hAnsi="Arial"/>
          <w:sz w:val="24"/>
          <w:szCs w:val="24"/>
        </w:rPr>
        <w:t xml:space="preserve">sufficient weight to </w:t>
      </w:r>
      <w:r w:rsidR="00F60240">
        <w:rPr>
          <w:rStyle w:val="PageNumber"/>
          <w:rFonts w:ascii="Arial" w:hAnsi="Arial"/>
          <w:sz w:val="24"/>
          <w:szCs w:val="24"/>
        </w:rPr>
        <w:t xml:space="preserve">past </w:t>
      </w:r>
      <w:r>
        <w:rPr>
          <w:rStyle w:val="PageNumber"/>
          <w:rFonts w:ascii="Arial" w:hAnsi="Arial"/>
          <w:sz w:val="24"/>
          <w:szCs w:val="24"/>
        </w:rPr>
        <w:t>positive performance evaluations</w:t>
      </w:r>
      <w:r w:rsidR="002A5D49">
        <w:rPr>
          <w:rStyle w:val="PageNumber"/>
          <w:rFonts w:ascii="Arial" w:hAnsi="Arial"/>
          <w:sz w:val="24"/>
          <w:szCs w:val="24"/>
        </w:rPr>
        <w:t xml:space="preserve"> in its </w:t>
      </w:r>
      <w:r w:rsidR="00587A66">
        <w:rPr>
          <w:rStyle w:val="PageNumber"/>
          <w:rFonts w:ascii="Arial" w:hAnsi="Arial"/>
          <w:sz w:val="24"/>
          <w:szCs w:val="24"/>
        </w:rPr>
        <w:t>favor</w:t>
      </w:r>
      <w:r w:rsidR="009C14B4">
        <w:rPr>
          <w:rStyle w:val="FootnoteReference"/>
          <w:rFonts w:ascii="Arial" w:hAnsi="Arial"/>
          <w:sz w:val="24"/>
          <w:szCs w:val="24"/>
        </w:rPr>
        <w:footnoteReference w:id="9"/>
      </w:r>
      <w:r>
        <w:rPr>
          <w:rStyle w:val="PageNumber"/>
          <w:rFonts w:ascii="Arial" w:hAnsi="Arial"/>
          <w:sz w:val="24"/>
          <w:szCs w:val="24"/>
        </w:rPr>
        <w:t>;</w:t>
      </w:r>
      <w:r w:rsidR="00A50828">
        <w:rPr>
          <w:rStyle w:val="PageNumber"/>
          <w:rFonts w:ascii="Arial" w:hAnsi="Arial"/>
          <w:sz w:val="24"/>
          <w:szCs w:val="24"/>
        </w:rPr>
        <w:t xml:space="preserve"> and</w:t>
      </w:r>
    </w:p>
    <w:p w:rsidR="00A50828" w:rsidRDefault="00A50828" w:rsidP="00A50828">
      <w:pPr>
        <w:pStyle w:val="MediumGrid21"/>
        <w:spacing w:line="480" w:lineRule="auto"/>
        <w:jc w:val="both"/>
        <w:rPr>
          <w:rStyle w:val="PageNumber"/>
          <w:rFonts w:ascii="Arial" w:hAnsi="Arial"/>
          <w:sz w:val="24"/>
          <w:szCs w:val="24"/>
        </w:rPr>
      </w:pPr>
    </w:p>
    <w:p w:rsidR="002A2CB2" w:rsidRPr="00A50828" w:rsidRDefault="00AC4A75" w:rsidP="0056686C">
      <w:pPr>
        <w:pStyle w:val="MediumGrid21"/>
        <w:numPr>
          <w:ilvl w:val="0"/>
          <w:numId w:val="6"/>
        </w:numPr>
        <w:tabs>
          <w:tab w:val="left" w:pos="1276"/>
        </w:tabs>
        <w:spacing w:line="480" w:lineRule="auto"/>
        <w:ind w:left="1276" w:hanging="567"/>
        <w:jc w:val="both"/>
        <w:rPr>
          <w:rStyle w:val="PageNumber"/>
          <w:rFonts w:ascii="Arial" w:hAnsi="Arial"/>
          <w:sz w:val="24"/>
          <w:szCs w:val="24"/>
        </w:rPr>
      </w:pPr>
      <w:r w:rsidRPr="00A50828">
        <w:rPr>
          <w:rStyle w:val="PageNumber"/>
          <w:rFonts w:ascii="Arial" w:hAnsi="Arial"/>
          <w:sz w:val="24"/>
          <w:szCs w:val="24"/>
        </w:rPr>
        <w:t>It was improp</w:t>
      </w:r>
      <w:r w:rsidR="00902414">
        <w:rPr>
          <w:rStyle w:val="PageNumber"/>
          <w:rFonts w:ascii="Arial" w:hAnsi="Arial"/>
          <w:sz w:val="24"/>
          <w:szCs w:val="24"/>
        </w:rPr>
        <w:t>er to disqualify its</w:t>
      </w:r>
      <w:r w:rsidR="00842590">
        <w:rPr>
          <w:rStyle w:val="PageNumber"/>
          <w:rFonts w:ascii="Arial" w:hAnsi="Arial"/>
          <w:sz w:val="24"/>
          <w:szCs w:val="24"/>
        </w:rPr>
        <w:t xml:space="preserve"> tender</w:t>
      </w:r>
      <w:r w:rsidRPr="00A50828">
        <w:rPr>
          <w:rStyle w:val="PageNumber"/>
          <w:rFonts w:ascii="Arial" w:hAnsi="Arial"/>
          <w:sz w:val="24"/>
          <w:szCs w:val="24"/>
        </w:rPr>
        <w:t xml:space="preserve"> as being inferior to </w:t>
      </w:r>
      <w:r w:rsidR="00A6041D">
        <w:rPr>
          <w:rStyle w:val="PageNumber"/>
          <w:rFonts w:ascii="Arial" w:hAnsi="Arial"/>
          <w:sz w:val="24"/>
          <w:szCs w:val="24"/>
        </w:rPr>
        <w:t>that of the fifth respondent</w:t>
      </w:r>
      <w:r w:rsidRPr="00A50828">
        <w:rPr>
          <w:rStyle w:val="PageNumber"/>
          <w:rFonts w:ascii="Arial" w:hAnsi="Arial"/>
          <w:sz w:val="24"/>
          <w:szCs w:val="24"/>
        </w:rPr>
        <w:t xml:space="preserve"> on technical functionality</w:t>
      </w:r>
      <w:r w:rsidR="00842590">
        <w:rPr>
          <w:rStyle w:val="PageNumber"/>
          <w:rFonts w:ascii="Arial" w:hAnsi="Arial"/>
          <w:sz w:val="24"/>
          <w:szCs w:val="24"/>
        </w:rPr>
        <w:t xml:space="preserve"> as its </w:t>
      </w:r>
      <w:r w:rsidRPr="00A50828">
        <w:rPr>
          <w:rStyle w:val="PageNumber"/>
          <w:rFonts w:ascii="Arial" w:hAnsi="Arial"/>
          <w:sz w:val="24"/>
          <w:szCs w:val="24"/>
        </w:rPr>
        <w:t xml:space="preserve">competence </w:t>
      </w:r>
      <w:r w:rsidR="00C56E3A">
        <w:rPr>
          <w:rStyle w:val="PageNumber"/>
          <w:rFonts w:ascii="Arial" w:hAnsi="Arial"/>
          <w:sz w:val="24"/>
          <w:szCs w:val="24"/>
        </w:rPr>
        <w:t xml:space="preserve">was recognised </w:t>
      </w:r>
      <w:r w:rsidRPr="00A50828">
        <w:rPr>
          <w:rStyle w:val="PageNumber"/>
          <w:rFonts w:ascii="Arial" w:hAnsi="Arial"/>
          <w:sz w:val="24"/>
          <w:szCs w:val="24"/>
        </w:rPr>
        <w:t xml:space="preserve">during the pre-qualification stage and </w:t>
      </w:r>
      <w:r w:rsidR="00C56E3A">
        <w:rPr>
          <w:rStyle w:val="PageNumber"/>
          <w:rFonts w:ascii="Arial" w:hAnsi="Arial"/>
          <w:sz w:val="24"/>
          <w:szCs w:val="24"/>
        </w:rPr>
        <w:t>a</w:t>
      </w:r>
      <w:r w:rsidRPr="00A50828">
        <w:rPr>
          <w:rStyle w:val="PageNumber"/>
          <w:rFonts w:ascii="Arial" w:hAnsi="Arial"/>
          <w:sz w:val="24"/>
          <w:szCs w:val="24"/>
        </w:rPr>
        <w:t xml:space="preserve"> further assess</w:t>
      </w:r>
      <w:r w:rsidR="00CC74A2">
        <w:rPr>
          <w:rStyle w:val="PageNumber"/>
          <w:rFonts w:ascii="Arial" w:hAnsi="Arial"/>
          <w:sz w:val="24"/>
          <w:szCs w:val="24"/>
        </w:rPr>
        <w:t>ment</w:t>
      </w:r>
      <w:r w:rsidR="00842590">
        <w:rPr>
          <w:rStyle w:val="PageNumber"/>
          <w:rFonts w:ascii="Arial" w:hAnsi="Arial"/>
          <w:sz w:val="24"/>
          <w:szCs w:val="24"/>
        </w:rPr>
        <w:t xml:space="preserve"> subsequent</w:t>
      </w:r>
      <w:r w:rsidR="00CC74A2">
        <w:rPr>
          <w:rStyle w:val="PageNumber"/>
          <w:rFonts w:ascii="Arial" w:hAnsi="Arial"/>
          <w:sz w:val="24"/>
          <w:szCs w:val="24"/>
        </w:rPr>
        <w:t xml:space="preserve">ly in the adjudication process </w:t>
      </w:r>
      <w:r w:rsidR="00842590">
        <w:rPr>
          <w:rStyle w:val="PageNumber"/>
          <w:rFonts w:ascii="Arial" w:hAnsi="Arial"/>
          <w:sz w:val="24"/>
          <w:szCs w:val="24"/>
        </w:rPr>
        <w:t>was unnecessary</w:t>
      </w:r>
      <w:r w:rsidRPr="00A50828">
        <w:rPr>
          <w:rStyle w:val="PageNumber"/>
          <w:rFonts w:ascii="Arial" w:hAnsi="Arial"/>
          <w:sz w:val="24"/>
          <w:szCs w:val="24"/>
        </w:rPr>
        <w:t xml:space="preserve">. </w:t>
      </w:r>
    </w:p>
    <w:p w:rsidR="006D77E4" w:rsidRDefault="006D77E4">
      <w:pPr>
        <w:pStyle w:val="MediumGrid21"/>
        <w:spacing w:line="480" w:lineRule="auto"/>
        <w:jc w:val="both"/>
        <w:rPr>
          <w:rFonts w:ascii="Arial" w:eastAsia="Arial" w:hAnsi="Arial" w:cs="Arial"/>
          <w:sz w:val="24"/>
          <w:szCs w:val="24"/>
        </w:rPr>
      </w:pPr>
    </w:p>
    <w:p w:rsidR="008049F9" w:rsidRDefault="00721BA8" w:rsidP="008049F9">
      <w:pPr>
        <w:pStyle w:val="MediumGrid21"/>
        <w:spacing w:line="480" w:lineRule="auto"/>
        <w:jc w:val="both"/>
        <w:rPr>
          <w:rStyle w:val="PageNumber"/>
          <w:rFonts w:ascii="Arial" w:hAnsi="Arial"/>
          <w:sz w:val="24"/>
          <w:szCs w:val="24"/>
        </w:rPr>
      </w:pPr>
      <w:r>
        <w:rPr>
          <w:rStyle w:val="PageNumber"/>
          <w:rFonts w:ascii="Arial" w:hAnsi="Arial"/>
          <w:sz w:val="24"/>
          <w:szCs w:val="24"/>
        </w:rPr>
        <w:t>[27</w:t>
      </w:r>
      <w:r w:rsidR="00FF40A7">
        <w:rPr>
          <w:rStyle w:val="PageNumber"/>
          <w:rFonts w:ascii="Arial" w:hAnsi="Arial"/>
          <w:sz w:val="24"/>
          <w:szCs w:val="24"/>
        </w:rPr>
        <w:t>]</w:t>
      </w:r>
      <w:r w:rsidR="00FF40A7">
        <w:rPr>
          <w:rStyle w:val="PageNumber"/>
          <w:rFonts w:ascii="Arial" w:hAnsi="Arial"/>
          <w:sz w:val="24"/>
          <w:szCs w:val="24"/>
        </w:rPr>
        <w:tab/>
      </w:r>
      <w:r w:rsidR="004C0AA4">
        <w:rPr>
          <w:rStyle w:val="PageNumber"/>
          <w:rFonts w:ascii="Arial" w:hAnsi="Arial"/>
          <w:sz w:val="24"/>
          <w:szCs w:val="24"/>
        </w:rPr>
        <w:t xml:space="preserve">The nub of the appellant’s objection to the </w:t>
      </w:r>
      <w:r w:rsidR="00FA5BF2">
        <w:rPr>
          <w:rStyle w:val="PageNumber"/>
          <w:rFonts w:ascii="Arial" w:hAnsi="Arial"/>
          <w:sz w:val="24"/>
          <w:szCs w:val="24"/>
        </w:rPr>
        <w:t xml:space="preserve">MoW&amp;T </w:t>
      </w:r>
      <w:r w:rsidR="004C0AA4">
        <w:rPr>
          <w:rStyle w:val="PageNumber"/>
          <w:rFonts w:ascii="Arial" w:hAnsi="Arial"/>
          <w:sz w:val="24"/>
          <w:szCs w:val="24"/>
        </w:rPr>
        <w:t>Policy is that its application constituted an impermissible change in the tender specification because it was not brought to the notice of the tenderers</w:t>
      </w:r>
      <w:r w:rsidR="00842590">
        <w:rPr>
          <w:rStyle w:val="PageNumber"/>
          <w:rFonts w:ascii="Arial" w:hAnsi="Arial"/>
          <w:sz w:val="24"/>
          <w:szCs w:val="24"/>
        </w:rPr>
        <w:t xml:space="preserve">. Further, </w:t>
      </w:r>
      <w:r w:rsidR="004C0AA4">
        <w:rPr>
          <w:rStyle w:val="PageNumber"/>
          <w:rFonts w:ascii="Arial" w:hAnsi="Arial"/>
          <w:sz w:val="24"/>
          <w:szCs w:val="24"/>
        </w:rPr>
        <w:t xml:space="preserve">the </w:t>
      </w:r>
      <w:r w:rsidR="00FA5BF2">
        <w:rPr>
          <w:rStyle w:val="PageNumber"/>
          <w:rFonts w:ascii="Arial" w:hAnsi="Arial"/>
          <w:sz w:val="24"/>
          <w:szCs w:val="24"/>
        </w:rPr>
        <w:t>Mo</w:t>
      </w:r>
      <w:r w:rsidR="005416C3">
        <w:rPr>
          <w:rStyle w:val="PageNumber"/>
          <w:rFonts w:ascii="Arial" w:hAnsi="Arial"/>
          <w:sz w:val="24"/>
          <w:szCs w:val="24"/>
        </w:rPr>
        <w:t xml:space="preserve">W&amp;T </w:t>
      </w:r>
      <w:r w:rsidR="004C0AA4">
        <w:rPr>
          <w:rStyle w:val="PageNumber"/>
          <w:rFonts w:ascii="Arial" w:hAnsi="Arial"/>
          <w:sz w:val="24"/>
          <w:szCs w:val="24"/>
        </w:rPr>
        <w:t xml:space="preserve">Policy </w:t>
      </w:r>
      <w:r w:rsidR="00842590">
        <w:rPr>
          <w:rStyle w:val="PageNumber"/>
          <w:rFonts w:ascii="Arial" w:hAnsi="Arial"/>
          <w:sz w:val="24"/>
          <w:szCs w:val="24"/>
        </w:rPr>
        <w:t>was not part of t</w:t>
      </w:r>
      <w:r w:rsidR="009967AC">
        <w:rPr>
          <w:rStyle w:val="PageNumber"/>
          <w:rFonts w:ascii="Arial" w:hAnsi="Arial"/>
          <w:sz w:val="24"/>
          <w:szCs w:val="24"/>
        </w:rPr>
        <w:t xml:space="preserve">he first respondent’s procurement policies. </w:t>
      </w:r>
      <w:r w:rsidR="00481602">
        <w:rPr>
          <w:rStyle w:val="PageNumber"/>
          <w:rFonts w:ascii="Arial" w:hAnsi="Arial"/>
          <w:sz w:val="24"/>
          <w:szCs w:val="24"/>
        </w:rPr>
        <w:t>It was contended that the</w:t>
      </w:r>
      <w:r w:rsidR="004C0AA4">
        <w:rPr>
          <w:rStyle w:val="PageNumber"/>
          <w:rFonts w:ascii="Arial" w:hAnsi="Arial"/>
          <w:sz w:val="24"/>
          <w:szCs w:val="24"/>
        </w:rPr>
        <w:t xml:space="preserve"> </w:t>
      </w:r>
      <w:r w:rsidR="005416C3">
        <w:rPr>
          <w:rStyle w:val="PageNumber"/>
          <w:rFonts w:ascii="Arial" w:hAnsi="Arial"/>
          <w:sz w:val="24"/>
          <w:szCs w:val="24"/>
        </w:rPr>
        <w:t xml:space="preserve">MoW&amp;T </w:t>
      </w:r>
      <w:r w:rsidR="004C0AA4">
        <w:rPr>
          <w:rStyle w:val="PageNumber"/>
          <w:rFonts w:ascii="Arial" w:hAnsi="Arial"/>
          <w:sz w:val="24"/>
          <w:szCs w:val="24"/>
        </w:rPr>
        <w:t xml:space="preserve">Policy was used to exclude its tender and led to the irrational and arbitrary rejection of its tender – which was N$21 million less than that of the fifth respondent. </w:t>
      </w:r>
      <w:r w:rsidR="00481602">
        <w:rPr>
          <w:rStyle w:val="PageNumber"/>
          <w:rFonts w:ascii="Arial" w:hAnsi="Arial"/>
          <w:sz w:val="24"/>
          <w:szCs w:val="24"/>
        </w:rPr>
        <w:t>Alternatively</w:t>
      </w:r>
      <w:r w:rsidR="00842590">
        <w:rPr>
          <w:rStyle w:val="PageNumber"/>
          <w:rFonts w:ascii="Arial" w:hAnsi="Arial"/>
          <w:sz w:val="24"/>
          <w:szCs w:val="24"/>
        </w:rPr>
        <w:t xml:space="preserve">, </w:t>
      </w:r>
      <w:r w:rsidR="004C0AA4">
        <w:rPr>
          <w:rStyle w:val="PageNumber"/>
          <w:rFonts w:ascii="Arial" w:hAnsi="Arial"/>
          <w:sz w:val="24"/>
          <w:szCs w:val="24"/>
        </w:rPr>
        <w:t xml:space="preserve">the </w:t>
      </w:r>
      <w:r w:rsidR="005416C3">
        <w:rPr>
          <w:rStyle w:val="PageNumber"/>
          <w:rFonts w:ascii="Arial" w:hAnsi="Arial"/>
          <w:sz w:val="24"/>
          <w:szCs w:val="24"/>
        </w:rPr>
        <w:t xml:space="preserve">MoW&amp;T </w:t>
      </w:r>
      <w:r w:rsidR="004C0AA4">
        <w:rPr>
          <w:rStyle w:val="PageNumber"/>
          <w:rFonts w:ascii="Arial" w:hAnsi="Arial"/>
          <w:sz w:val="24"/>
          <w:szCs w:val="24"/>
        </w:rPr>
        <w:t xml:space="preserve">Policy was misapplied </w:t>
      </w:r>
      <w:r w:rsidR="00DB67EE">
        <w:rPr>
          <w:rStyle w:val="PageNumber"/>
          <w:rFonts w:ascii="Arial" w:hAnsi="Arial"/>
          <w:sz w:val="24"/>
          <w:szCs w:val="24"/>
        </w:rPr>
        <w:t xml:space="preserve">in that the first respondent benchmarked the appellant’s </w:t>
      </w:r>
      <w:r w:rsidR="00FA7A96">
        <w:rPr>
          <w:rStyle w:val="PageNumber"/>
          <w:rFonts w:ascii="Arial" w:hAnsi="Arial"/>
          <w:sz w:val="24"/>
          <w:szCs w:val="24"/>
        </w:rPr>
        <w:t>net</w:t>
      </w:r>
      <w:r w:rsidR="00842590">
        <w:rPr>
          <w:rStyle w:val="PageNumber"/>
          <w:rFonts w:ascii="Arial" w:hAnsi="Arial"/>
          <w:sz w:val="24"/>
          <w:szCs w:val="24"/>
        </w:rPr>
        <w:t xml:space="preserve"> as opposed to the total</w:t>
      </w:r>
      <w:r w:rsidR="00DB67EE">
        <w:rPr>
          <w:rStyle w:val="PageNumber"/>
          <w:rFonts w:ascii="Arial" w:hAnsi="Arial"/>
          <w:sz w:val="24"/>
          <w:szCs w:val="24"/>
        </w:rPr>
        <w:t xml:space="preserve"> tender price </w:t>
      </w:r>
      <w:r w:rsidR="00823074">
        <w:rPr>
          <w:rStyle w:val="PageNumber"/>
          <w:rFonts w:ascii="Arial" w:hAnsi="Arial"/>
          <w:sz w:val="24"/>
          <w:szCs w:val="24"/>
        </w:rPr>
        <w:t xml:space="preserve">to determine whether </w:t>
      </w:r>
      <w:r w:rsidR="00481602">
        <w:rPr>
          <w:rStyle w:val="PageNumber"/>
          <w:rFonts w:ascii="Arial" w:hAnsi="Arial"/>
          <w:sz w:val="24"/>
          <w:szCs w:val="24"/>
        </w:rPr>
        <w:t xml:space="preserve">its </w:t>
      </w:r>
      <w:r w:rsidR="00823074">
        <w:rPr>
          <w:rStyle w:val="PageNumber"/>
          <w:rFonts w:ascii="Arial" w:hAnsi="Arial"/>
          <w:sz w:val="24"/>
          <w:szCs w:val="24"/>
        </w:rPr>
        <w:t xml:space="preserve">tender price exceeded the 15% margin </w:t>
      </w:r>
      <w:r w:rsidR="00DB67EE">
        <w:rPr>
          <w:rStyle w:val="PageNumber"/>
          <w:rFonts w:ascii="Arial" w:hAnsi="Arial"/>
          <w:sz w:val="24"/>
          <w:szCs w:val="24"/>
        </w:rPr>
        <w:t xml:space="preserve">and </w:t>
      </w:r>
      <w:r w:rsidR="004C0AA4">
        <w:rPr>
          <w:rStyle w:val="PageNumber"/>
          <w:rFonts w:ascii="Arial" w:hAnsi="Arial"/>
          <w:sz w:val="24"/>
          <w:szCs w:val="24"/>
        </w:rPr>
        <w:t xml:space="preserve">thereby causing </w:t>
      </w:r>
      <w:r w:rsidR="00481602">
        <w:rPr>
          <w:rStyle w:val="PageNumber"/>
          <w:rFonts w:ascii="Arial" w:hAnsi="Arial"/>
          <w:sz w:val="24"/>
          <w:szCs w:val="24"/>
        </w:rPr>
        <w:t xml:space="preserve">it to </w:t>
      </w:r>
      <w:r w:rsidR="004C0AA4">
        <w:rPr>
          <w:rStyle w:val="PageNumber"/>
          <w:rFonts w:ascii="Arial" w:hAnsi="Arial"/>
          <w:sz w:val="24"/>
          <w:szCs w:val="24"/>
        </w:rPr>
        <w:t xml:space="preserve">fall foul of the </w:t>
      </w:r>
      <w:r w:rsidR="005416C3">
        <w:rPr>
          <w:rStyle w:val="PageNumber"/>
          <w:rFonts w:ascii="Arial" w:hAnsi="Arial"/>
          <w:sz w:val="24"/>
          <w:szCs w:val="24"/>
        </w:rPr>
        <w:t xml:space="preserve">MoW&amp;T </w:t>
      </w:r>
      <w:r w:rsidR="00DB67EE">
        <w:rPr>
          <w:rStyle w:val="PageNumber"/>
          <w:rFonts w:ascii="Arial" w:hAnsi="Arial"/>
          <w:sz w:val="24"/>
          <w:szCs w:val="24"/>
        </w:rPr>
        <w:t>P</w:t>
      </w:r>
      <w:r w:rsidR="004C0AA4">
        <w:rPr>
          <w:rStyle w:val="PageNumber"/>
          <w:rFonts w:ascii="Arial" w:hAnsi="Arial"/>
          <w:sz w:val="24"/>
          <w:szCs w:val="24"/>
        </w:rPr>
        <w:t xml:space="preserve">olicy. </w:t>
      </w:r>
    </w:p>
    <w:p w:rsidR="008049F9" w:rsidRDefault="008049F9" w:rsidP="008049F9">
      <w:pPr>
        <w:pStyle w:val="MediumGrid21"/>
        <w:spacing w:line="480" w:lineRule="auto"/>
        <w:jc w:val="both"/>
        <w:rPr>
          <w:rStyle w:val="PageNumber"/>
          <w:rFonts w:ascii="Arial" w:hAnsi="Arial"/>
          <w:sz w:val="24"/>
          <w:szCs w:val="24"/>
        </w:rPr>
      </w:pPr>
    </w:p>
    <w:p w:rsidR="00A6041D" w:rsidRDefault="008049F9" w:rsidP="00FF40A7">
      <w:pPr>
        <w:pStyle w:val="MediumGrid21"/>
        <w:spacing w:line="480" w:lineRule="auto"/>
        <w:jc w:val="both"/>
        <w:rPr>
          <w:rStyle w:val="PageNumber"/>
          <w:rFonts w:ascii="Arial" w:hAnsi="Arial"/>
          <w:color w:val="auto"/>
          <w:sz w:val="24"/>
          <w:szCs w:val="24"/>
        </w:rPr>
      </w:pPr>
      <w:r>
        <w:rPr>
          <w:rStyle w:val="PageNumber"/>
          <w:rFonts w:ascii="Arial" w:hAnsi="Arial"/>
          <w:sz w:val="24"/>
          <w:szCs w:val="24"/>
        </w:rPr>
        <w:t>[</w:t>
      </w:r>
      <w:r w:rsidR="00481602">
        <w:rPr>
          <w:rStyle w:val="PageNumber"/>
          <w:rFonts w:ascii="Arial" w:hAnsi="Arial"/>
          <w:sz w:val="24"/>
          <w:szCs w:val="24"/>
        </w:rPr>
        <w:t>2</w:t>
      </w:r>
      <w:r w:rsidR="00721BA8">
        <w:rPr>
          <w:rStyle w:val="PageNumber"/>
          <w:rFonts w:ascii="Arial" w:hAnsi="Arial"/>
          <w:sz w:val="24"/>
          <w:szCs w:val="24"/>
        </w:rPr>
        <w:t>8</w:t>
      </w:r>
      <w:r>
        <w:rPr>
          <w:rStyle w:val="PageNumber"/>
          <w:rFonts w:ascii="Arial" w:hAnsi="Arial"/>
          <w:sz w:val="24"/>
          <w:szCs w:val="24"/>
        </w:rPr>
        <w:t>]</w:t>
      </w:r>
      <w:r>
        <w:rPr>
          <w:rStyle w:val="PageNumber"/>
          <w:rFonts w:ascii="Arial" w:hAnsi="Arial"/>
          <w:sz w:val="24"/>
          <w:szCs w:val="24"/>
        </w:rPr>
        <w:tab/>
      </w:r>
      <w:r w:rsidR="00A6041D">
        <w:rPr>
          <w:rStyle w:val="PageNumber"/>
          <w:rFonts w:ascii="Arial" w:hAnsi="Arial"/>
          <w:sz w:val="24"/>
          <w:szCs w:val="24"/>
        </w:rPr>
        <w:t>Significantly, the</w:t>
      </w:r>
      <w:r w:rsidR="009967AC" w:rsidRPr="005C0DC5">
        <w:rPr>
          <w:rStyle w:val="PageNumber"/>
          <w:rFonts w:ascii="Arial" w:hAnsi="Arial"/>
          <w:color w:val="auto"/>
          <w:sz w:val="24"/>
          <w:szCs w:val="24"/>
        </w:rPr>
        <w:t xml:space="preserve"> appellant </w:t>
      </w:r>
      <w:r w:rsidR="00FF40A7" w:rsidRPr="005C0DC5">
        <w:rPr>
          <w:rStyle w:val="PageNumber"/>
          <w:rFonts w:ascii="Arial" w:hAnsi="Arial"/>
          <w:color w:val="auto"/>
          <w:sz w:val="24"/>
          <w:szCs w:val="24"/>
        </w:rPr>
        <w:t>accepted that it was not a requirement that the lowest tender be accepted</w:t>
      </w:r>
      <w:r w:rsidR="009967AC" w:rsidRPr="005C0DC5">
        <w:rPr>
          <w:rStyle w:val="PageNumber"/>
          <w:rFonts w:ascii="Arial" w:hAnsi="Arial"/>
          <w:color w:val="auto"/>
          <w:sz w:val="24"/>
          <w:szCs w:val="24"/>
        </w:rPr>
        <w:t xml:space="preserve"> </w:t>
      </w:r>
      <w:r w:rsidR="00AB3285">
        <w:rPr>
          <w:rStyle w:val="PageNumber"/>
          <w:rFonts w:ascii="Arial" w:hAnsi="Arial"/>
          <w:color w:val="auto"/>
          <w:sz w:val="24"/>
          <w:szCs w:val="24"/>
        </w:rPr>
        <w:t>(</w:t>
      </w:r>
      <w:r w:rsidR="00A6041D">
        <w:rPr>
          <w:rStyle w:val="PageNumber"/>
          <w:rFonts w:ascii="Arial" w:hAnsi="Arial"/>
          <w:color w:val="auto"/>
          <w:sz w:val="24"/>
          <w:szCs w:val="24"/>
        </w:rPr>
        <w:t>suggesting it appears to me</w:t>
      </w:r>
      <w:r w:rsidR="00AB3285">
        <w:rPr>
          <w:rStyle w:val="PageNumber"/>
          <w:rFonts w:ascii="Arial" w:hAnsi="Arial"/>
          <w:color w:val="auto"/>
          <w:sz w:val="24"/>
          <w:szCs w:val="24"/>
        </w:rPr>
        <w:t>)</w:t>
      </w:r>
      <w:r w:rsidR="00A6041D">
        <w:rPr>
          <w:rStyle w:val="PageNumber"/>
          <w:rFonts w:ascii="Arial" w:hAnsi="Arial"/>
          <w:color w:val="auto"/>
          <w:sz w:val="24"/>
          <w:szCs w:val="24"/>
        </w:rPr>
        <w:t xml:space="preserve"> that for the lowest tender not to be accepted there should be very cogent reasons – which </w:t>
      </w:r>
      <w:r w:rsidR="00AB3285">
        <w:rPr>
          <w:rStyle w:val="PageNumber"/>
          <w:rFonts w:ascii="Arial" w:hAnsi="Arial"/>
          <w:color w:val="auto"/>
          <w:sz w:val="24"/>
          <w:szCs w:val="24"/>
        </w:rPr>
        <w:t xml:space="preserve">it claims </w:t>
      </w:r>
      <w:r w:rsidR="00A6041D">
        <w:rPr>
          <w:rStyle w:val="PageNumber"/>
          <w:rFonts w:ascii="Arial" w:hAnsi="Arial"/>
          <w:color w:val="auto"/>
          <w:sz w:val="24"/>
          <w:szCs w:val="24"/>
        </w:rPr>
        <w:t xml:space="preserve">was not the case in the present case. </w:t>
      </w:r>
      <w:r w:rsidR="005C0DC5" w:rsidRPr="005C0DC5">
        <w:rPr>
          <w:rStyle w:val="PageNumber"/>
          <w:rFonts w:ascii="Arial" w:hAnsi="Arial"/>
          <w:color w:val="auto"/>
          <w:sz w:val="24"/>
          <w:szCs w:val="24"/>
        </w:rPr>
        <w:t xml:space="preserve">The appellant further </w:t>
      </w:r>
      <w:r w:rsidRPr="005C0DC5">
        <w:rPr>
          <w:rStyle w:val="PageNumber"/>
          <w:rFonts w:ascii="Arial" w:hAnsi="Arial"/>
          <w:color w:val="auto"/>
          <w:sz w:val="24"/>
          <w:szCs w:val="24"/>
        </w:rPr>
        <w:t>acknowledg</w:t>
      </w:r>
      <w:r w:rsidR="00A6041D">
        <w:rPr>
          <w:rStyle w:val="PageNumber"/>
          <w:rFonts w:ascii="Arial" w:hAnsi="Arial"/>
          <w:color w:val="auto"/>
          <w:sz w:val="24"/>
          <w:szCs w:val="24"/>
        </w:rPr>
        <w:t>ed that the first respondent’s procurement policy, the procurement r</w:t>
      </w:r>
      <w:r w:rsidRPr="005C0DC5">
        <w:rPr>
          <w:rStyle w:val="PageNumber"/>
          <w:rFonts w:ascii="Arial" w:hAnsi="Arial"/>
          <w:color w:val="auto"/>
          <w:sz w:val="24"/>
          <w:szCs w:val="24"/>
        </w:rPr>
        <w:t xml:space="preserve">egulations and the Procurement and Tender Procedures Manual mandate the </w:t>
      </w:r>
      <w:r w:rsidR="00C56E3A">
        <w:rPr>
          <w:rStyle w:val="PageNumber"/>
          <w:rFonts w:ascii="Arial" w:hAnsi="Arial"/>
          <w:color w:val="auto"/>
          <w:sz w:val="24"/>
          <w:szCs w:val="24"/>
        </w:rPr>
        <w:t>first respondent</w:t>
      </w:r>
      <w:r w:rsidRPr="005C0DC5">
        <w:rPr>
          <w:rStyle w:val="PageNumber"/>
          <w:rFonts w:ascii="Arial" w:hAnsi="Arial"/>
          <w:color w:val="auto"/>
          <w:sz w:val="24"/>
          <w:szCs w:val="24"/>
        </w:rPr>
        <w:t xml:space="preserve"> to enter into agreements – including the procurement of goods and services</w:t>
      </w:r>
      <w:r w:rsidR="00A6041D">
        <w:rPr>
          <w:rStyle w:val="PageNumber"/>
          <w:rFonts w:ascii="Arial" w:hAnsi="Arial"/>
          <w:color w:val="auto"/>
          <w:sz w:val="24"/>
          <w:szCs w:val="24"/>
        </w:rPr>
        <w:t xml:space="preserve"> </w:t>
      </w:r>
      <w:r w:rsidR="00CD2D4D">
        <w:rPr>
          <w:rStyle w:val="PageNumber"/>
          <w:rFonts w:ascii="Arial" w:hAnsi="Arial"/>
          <w:color w:val="auto"/>
          <w:sz w:val="24"/>
          <w:szCs w:val="24"/>
        </w:rPr>
        <w:t>–</w:t>
      </w:r>
      <w:r w:rsidRPr="005C0DC5">
        <w:rPr>
          <w:rStyle w:val="PageNumber"/>
          <w:rFonts w:ascii="Arial" w:hAnsi="Arial"/>
          <w:color w:val="auto"/>
          <w:sz w:val="24"/>
          <w:szCs w:val="24"/>
        </w:rPr>
        <w:t xml:space="preserve"> in terms of s</w:t>
      </w:r>
      <w:r w:rsidR="00A6041D">
        <w:rPr>
          <w:rStyle w:val="PageNumber"/>
          <w:rFonts w:ascii="Arial" w:hAnsi="Arial"/>
          <w:color w:val="auto"/>
          <w:sz w:val="24"/>
          <w:szCs w:val="24"/>
        </w:rPr>
        <w:t xml:space="preserve"> </w:t>
      </w:r>
      <w:r w:rsidRPr="005C0DC5">
        <w:rPr>
          <w:rStyle w:val="PageNumber"/>
          <w:rFonts w:ascii="Arial" w:hAnsi="Arial"/>
          <w:color w:val="auto"/>
          <w:sz w:val="24"/>
          <w:szCs w:val="24"/>
        </w:rPr>
        <w:t xml:space="preserve">16(3) of the Roads Authority Act 17 of </w:t>
      </w:r>
      <w:r w:rsidR="00021C62">
        <w:rPr>
          <w:rStyle w:val="PageNumber"/>
          <w:rFonts w:ascii="Arial" w:hAnsi="Arial"/>
          <w:color w:val="auto"/>
          <w:sz w:val="24"/>
          <w:szCs w:val="24"/>
        </w:rPr>
        <w:t>1999, subject to ‘</w:t>
      </w:r>
      <w:r w:rsidRPr="005C0DC5">
        <w:rPr>
          <w:rStyle w:val="PageNumber"/>
          <w:rFonts w:ascii="Arial" w:hAnsi="Arial"/>
          <w:color w:val="auto"/>
          <w:sz w:val="24"/>
          <w:szCs w:val="24"/>
        </w:rPr>
        <w:t>policies, regulations and guidelines aimed at operationalising the aspirations of the legislation with regard to pro</w:t>
      </w:r>
      <w:r w:rsidR="00021C62">
        <w:rPr>
          <w:rStyle w:val="PageNumber"/>
          <w:rFonts w:ascii="Arial" w:hAnsi="Arial"/>
          <w:color w:val="auto"/>
          <w:sz w:val="24"/>
          <w:szCs w:val="24"/>
        </w:rPr>
        <w:t>curement of goods and services.’</w:t>
      </w:r>
    </w:p>
    <w:p w:rsidR="00A6041D" w:rsidRDefault="00A6041D" w:rsidP="00FF40A7">
      <w:pPr>
        <w:pStyle w:val="MediumGrid21"/>
        <w:spacing w:line="480" w:lineRule="auto"/>
        <w:jc w:val="both"/>
        <w:rPr>
          <w:rStyle w:val="PageNumber"/>
          <w:rFonts w:ascii="Arial" w:hAnsi="Arial"/>
          <w:color w:val="auto"/>
          <w:sz w:val="24"/>
          <w:szCs w:val="24"/>
        </w:rPr>
      </w:pPr>
    </w:p>
    <w:p w:rsidR="00683125" w:rsidRPr="007B0951" w:rsidRDefault="00721BA8" w:rsidP="00FF40A7">
      <w:pPr>
        <w:pStyle w:val="MediumGrid21"/>
        <w:spacing w:line="480" w:lineRule="auto"/>
        <w:jc w:val="both"/>
        <w:rPr>
          <w:rStyle w:val="PageNumber"/>
          <w:rFonts w:ascii="Arial" w:hAnsi="Arial"/>
          <w:color w:val="auto"/>
          <w:sz w:val="24"/>
          <w:szCs w:val="24"/>
        </w:rPr>
      </w:pPr>
      <w:r>
        <w:rPr>
          <w:rStyle w:val="PageNumber"/>
          <w:rFonts w:ascii="Arial" w:hAnsi="Arial"/>
          <w:color w:val="auto"/>
          <w:sz w:val="24"/>
          <w:szCs w:val="24"/>
        </w:rPr>
        <w:t>[29</w:t>
      </w:r>
      <w:r w:rsidR="00B358DB">
        <w:rPr>
          <w:rStyle w:val="PageNumber"/>
          <w:rFonts w:ascii="Arial" w:hAnsi="Arial"/>
          <w:color w:val="auto"/>
          <w:sz w:val="24"/>
          <w:szCs w:val="24"/>
        </w:rPr>
        <w:t>]</w:t>
      </w:r>
      <w:r w:rsidR="00B358DB">
        <w:rPr>
          <w:rStyle w:val="PageNumber"/>
          <w:rFonts w:ascii="Arial" w:hAnsi="Arial"/>
          <w:color w:val="auto"/>
          <w:sz w:val="24"/>
          <w:szCs w:val="24"/>
        </w:rPr>
        <w:tab/>
      </w:r>
      <w:r w:rsidR="00951101">
        <w:rPr>
          <w:rStyle w:val="PageNumber"/>
          <w:rFonts w:ascii="Arial" w:hAnsi="Arial"/>
          <w:color w:val="auto"/>
          <w:sz w:val="24"/>
          <w:szCs w:val="24"/>
        </w:rPr>
        <w:t xml:space="preserve">Not least for </w:t>
      </w:r>
      <w:r w:rsidR="003A28E6" w:rsidRPr="007B0951">
        <w:rPr>
          <w:rStyle w:val="PageNumber"/>
          <w:rFonts w:ascii="Arial" w:hAnsi="Arial"/>
          <w:color w:val="auto"/>
          <w:sz w:val="24"/>
          <w:szCs w:val="24"/>
        </w:rPr>
        <w:t xml:space="preserve">the reasons </w:t>
      </w:r>
      <w:r w:rsidR="00951101">
        <w:rPr>
          <w:rStyle w:val="PageNumber"/>
          <w:rFonts w:ascii="Arial" w:hAnsi="Arial"/>
          <w:color w:val="auto"/>
          <w:sz w:val="24"/>
          <w:szCs w:val="24"/>
        </w:rPr>
        <w:t>advanced by the respondents and set out below</w:t>
      </w:r>
      <w:r w:rsidR="003A28E6" w:rsidRPr="007B0951">
        <w:rPr>
          <w:rStyle w:val="PageNumber"/>
          <w:rFonts w:ascii="Arial" w:hAnsi="Arial"/>
          <w:color w:val="auto"/>
          <w:sz w:val="24"/>
          <w:szCs w:val="24"/>
        </w:rPr>
        <w:t xml:space="preserve">, </w:t>
      </w:r>
      <w:r w:rsidR="00AB3285">
        <w:rPr>
          <w:rStyle w:val="PageNumber"/>
          <w:rFonts w:ascii="Arial" w:hAnsi="Arial"/>
          <w:color w:val="auto"/>
          <w:sz w:val="24"/>
          <w:szCs w:val="24"/>
        </w:rPr>
        <w:t xml:space="preserve">we were satisfied </w:t>
      </w:r>
      <w:r w:rsidR="00B33EEE" w:rsidRPr="007B0951">
        <w:rPr>
          <w:rStyle w:val="PageNumber"/>
          <w:rFonts w:ascii="Arial" w:hAnsi="Arial"/>
          <w:color w:val="auto"/>
          <w:sz w:val="24"/>
          <w:szCs w:val="24"/>
        </w:rPr>
        <w:t>that the court</w:t>
      </w:r>
      <w:r w:rsidR="007B0951" w:rsidRPr="007B0951">
        <w:rPr>
          <w:rStyle w:val="PageNumber"/>
          <w:rFonts w:ascii="Arial" w:hAnsi="Arial"/>
          <w:color w:val="auto"/>
          <w:sz w:val="24"/>
          <w:szCs w:val="24"/>
        </w:rPr>
        <w:t xml:space="preserve"> a </w:t>
      </w:r>
      <w:r w:rsidR="007B0951" w:rsidRPr="007B0951">
        <w:rPr>
          <w:rStyle w:val="PageNumber"/>
          <w:rFonts w:ascii="Arial" w:hAnsi="Arial"/>
          <w:i/>
          <w:color w:val="auto"/>
          <w:sz w:val="24"/>
          <w:szCs w:val="24"/>
        </w:rPr>
        <w:t>q</w:t>
      </w:r>
      <w:r w:rsidR="00B33EEE" w:rsidRPr="007B0951">
        <w:rPr>
          <w:rStyle w:val="PageNumber"/>
          <w:rFonts w:ascii="Arial" w:hAnsi="Arial"/>
          <w:i/>
          <w:color w:val="auto"/>
          <w:sz w:val="24"/>
          <w:szCs w:val="24"/>
        </w:rPr>
        <w:t>uo</w:t>
      </w:r>
      <w:r w:rsidR="00B33EEE" w:rsidRPr="007B0951">
        <w:rPr>
          <w:rStyle w:val="PageNumber"/>
          <w:rFonts w:ascii="Arial" w:hAnsi="Arial"/>
          <w:color w:val="auto"/>
          <w:sz w:val="24"/>
          <w:szCs w:val="24"/>
        </w:rPr>
        <w:t xml:space="preserve"> was </w:t>
      </w:r>
      <w:r w:rsidR="00951101">
        <w:rPr>
          <w:rStyle w:val="PageNumber"/>
          <w:rFonts w:ascii="Arial" w:hAnsi="Arial"/>
          <w:color w:val="auto"/>
          <w:sz w:val="24"/>
          <w:szCs w:val="24"/>
        </w:rPr>
        <w:t>correct</w:t>
      </w:r>
      <w:r w:rsidR="00B33EEE" w:rsidRPr="007B0951">
        <w:rPr>
          <w:rStyle w:val="PageNumber"/>
          <w:rFonts w:ascii="Arial" w:hAnsi="Arial"/>
          <w:color w:val="auto"/>
          <w:sz w:val="24"/>
          <w:szCs w:val="24"/>
        </w:rPr>
        <w:t xml:space="preserve"> in finding </w:t>
      </w:r>
      <w:r w:rsidR="007B0951" w:rsidRPr="007B0951">
        <w:rPr>
          <w:rStyle w:val="PageNumber"/>
          <w:rFonts w:ascii="Arial" w:hAnsi="Arial"/>
          <w:color w:val="auto"/>
          <w:sz w:val="24"/>
          <w:szCs w:val="24"/>
        </w:rPr>
        <w:t xml:space="preserve">that the MoW&amp;T Policy was rational, constituted well-established practice in the construction industry and that the first respondent was entitled to apply it. </w:t>
      </w:r>
    </w:p>
    <w:p w:rsidR="0024352E" w:rsidRPr="0024352E" w:rsidRDefault="0024352E" w:rsidP="00FF40A7">
      <w:pPr>
        <w:pStyle w:val="MediumGrid21"/>
        <w:spacing w:line="480" w:lineRule="auto"/>
        <w:jc w:val="both"/>
        <w:rPr>
          <w:rStyle w:val="PageNumber"/>
          <w:rFonts w:ascii="Arial" w:hAnsi="Arial"/>
          <w:color w:val="auto"/>
          <w:sz w:val="24"/>
          <w:szCs w:val="24"/>
        </w:rPr>
      </w:pPr>
    </w:p>
    <w:p w:rsidR="00177050" w:rsidRDefault="00721BA8" w:rsidP="009967AC">
      <w:pPr>
        <w:pStyle w:val="MediumGrid21"/>
        <w:spacing w:line="480" w:lineRule="auto"/>
        <w:jc w:val="both"/>
        <w:rPr>
          <w:rStyle w:val="PageNumber"/>
          <w:rFonts w:ascii="Arial" w:hAnsi="Arial"/>
          <w:sz w:val="24"/>
          <w:szCs w:val="24"/>
        </w:rPr>
      </w:pPr>
      <w:r>
        <w:rPr>
          <w:rStyle w:val="PageNumber"/>
          <w:rFonts w:ascii="Arial" w:hAnsi="Arial"/>
          <w:sz w:val="24"/>
          <w:szCs w:val="24"/>
        </w:rPr>
        <w:t>[30</w:t>
      </w:r>
      <w:r w:rsidR="00AC4A75">
        <w:rPr>
          <w:rStyle w:val="PageNumber"/>
          <w:rFonts w:ascii="Arial" w:hAnsi="Arial"/>
          <w:sz w:val="24"/>
          <w:szCs w:val="24"/>
        </w:rPr>
        <w:t xml:space="preserve">] </w:t>
      </w:r>
      <w:r w:rsidR="00AC4A75">
        <w:rPr>
          <w:rStyle w:val="PageNumber"/>
          <w:rFonts w:ascii="Arial" w:hAnsi="Arial"/>
          <w:sz w:val="24"/>
          <w:szCs w:val="24"/>
        </w:rPr>
        <w:tab/>
      </w:r>
      <w:r w:rsidR="00A378D3">
        <w:rPr>
          <w:rStyle w:val="PageNumber"/>
          <w:rFonts w:ascii="Arial" w:hAnsi="Arial"/>
          <w:sz w:val="24"/>
          <w:szCs w:val="24"/>
        </w:rPr>
        <w:t xml:space="preserve">In rebuttal, </w:t>
      </w:r>
      <w:r w:rsidR="00951101">
        <w:rPr>
          <w:rStyle w:val="PageNumber"/>
          <w:rFonts w:ascii="Arial" w:hAnsi="Arial"/>
          <w:sz w:val="24"/>
          <w:szCs w:val="24"/>
        </w:rPr>
        <w:t>the respondents</w:t>
      </w:r>
      <w:r w:rsidR="009967AC">
        <w:rPr>
          <w:rStyle w:val="PageNumber"/>
          <w:rFonts w:ascii="Arial" w:hAnsi="Arial"/>
          <w:sz w:val="24"/>
          <w:szCs w:val="24"/>
        </w:rPr>
        <w:t xml:space="preserve"> state</w:t>
      </w:r>
      <w:r w:rsidR="004267C3">
        <w:rPr>
          <w:rStyle w:val="PageNumber"/>
          <w:rFonts w:ascii="Arial" w:hAnsi="Arial"/>
          <w:sz w:val="24"/>
          <w:szCs w:val="24"/>
        </w:rPr>
        <w:t>d</w:t>
      </w:r>
      <w:r w:rsidR="009967AC">
        <w:rPr>
          <w:rStyle w:val="PageNumber"/>
          <w:rFonts w:ascii="Arial" w:hAnsi="Arial"/>
          <w:sz w:val="24"/>
          <w:szCs w:val="24"/>
        </w:rPr>
        <w:t xml:space="preserve"> that t</w:t>
      </w:r>
      <w:r w:rsidR="007A53AF">
        <w:rPr>
          <w:rStyle w:val="PageNumber"/>
          <w:rFonts w:ascii="Arial" w:hAnsi="Arial"/>
          <w:sz w:val="24"/>
          <w:szCs w:val="24"/>
        </w:rPr>
        <w:t>he appellant d</w:t>
      </w:r>
      <w:r w:rsidR="004267C3">
        <w:rPr>
          <w:rStyle w:val="PageNumber"/>
          <w:rFonts w:ascii="Arial" w:hAnsi="Arial"/>
          <w:sz w:val="24"/>
          <w:szCs w:val="24"/>
        </w:rPr>
        <w:t>id</w:t>
      </w:r>
      <w:r w:rsidR="007A53AF">
        <w:rPr>
          <w:rStyle w:val="PageNumber"/>
          <w:rFonts w:ascii="Arial" w:hAnsi="Arial"/>
          <w:sz w:val="24"/>
          <w:szCs w:val="24"/>
        </w:rPr>
        <w:t xml:space="preserve"> not contest</w:t>
      </w:r>
      <w:r w:rsidR="00FC649C">
        <w:rPr>
          <w:rStyle w:val="PageNumber"/>
          <w:rFonts w:ascii="Arial" w:hAnsi="Arial"/>
          <w:sz w:val="24"/>
          <w:szCs w:val="24"/>
        </w:rPr>
        <w:t>:</w:t>
      </w:r>
      <w:r w:rsidR="007A53AF">
        <w:rPr>
          <w:rStyle w:val="PageNumber"/>
          <w:rFonts w:ascii="Arial" w:hAnsi="Arial"/>
          <w:sz w:val="24"/>
          <w:szCs w:val="24"/>
        </w:rPr>
        <w:t xml:space="preserve"> </w:t>
      </w:r>
    </w:p>
    <w:p w:rsidR="004267C3" w:rsidRDefault="004267C3" w:rsidP="009967AC">
      <w:pPr>
        <w:pStyle w:val="MediumGrid21"/>
        <w:spacing w:line="480" w:lineRule="auto"/>
        <w:jc w:val="both"/>
        <w:rPr>
          <w:rStyle w:val="PageNumber"/>
          <w:rFonts w:ascii="Arial" w:hAnsi="Arial"/>
          <w:sz w:val="24"/>
          <w:szCs w:val="24"/>
        </w:rPr>
      </w:pPr>
    </w:p>
    <w:p w:rsidR="004A5D74" w:rsidRDefault="004258B2" w:rsidP="004A5D74">
      <w:pPr>
        <w:pStyle w:val="MediumGrid21"/>
        <w:numPr>
          <w:ilvl w:val="0"/>
          <w:numId w:val="10"/>
        </w:numPr>
        <w:spacing w:line="480" w:lineRule="auto"/>
        <w:ind w:left="1530" w:hanging="821"/>
        <w:jc w:val="both"/>
        <w:rPr>
          <w:rStyle w:val="PageNumber"/>
          <w:rFonts w:ascii="Arial" w:hAnsi="Arial"/>
          <w:sz w:val="24"/>
          <w:szCs w:val="24"/>
        </w:rPr>
      </w:pPr>
      <w:r>
        <w:rPr>
          <w:rStyle w:val="PageNumber"/>
          <w:rFonts w:ascii="Arial" w:hAnsi="Arial"/>
          <w:sz w:val="24"/>
          <w:szCs w:val="24"/>
        </w:rPr>
        <w:t xml:space="preserve">that </w:t>
      </w:r>
      <w:r w:rsidR="00AC4A75" w:rsidRPr="004267C3">
        <w:rPr>
          <w:rStyle w:val="PageNumber"/>
          <w:rFonts w:ascii="Arial" w:hAnsi="Arial"/>
          <w:sz w:val="24"/>
          <w:szCs w:val="24"/>
        </w:rPr>
        <w:t xml:space="preserve">compliance at the pre-qualification stage only meant that the appellant satisfied </w:t>
      </w:r>
      <w:r w:rsidR="00FF40A7" w:rsidRPr="004267C3">
        <w:rPr>
          <w:rStyle w:val="PageNumber"/>
          <w:rFonts w:ascii="Arial" w:hAnsi="Arial"/>
          <w:sz w:val="24"/>
          <w:szCs w:val="24"/>
        </w:rPr>
        <w:t xml:space="preserve">the </w:t>
      </w:r>
      <w:r w:rsidR="00B76DEE" w:rsidRPr="004267C3">
        <w:rPr>
          <w:rStyle w:val="PageNumber"/>
          <w:rFonts w:ascii="Arial" w:hAnsi="Arial"/>
          <w:sz w:val="24"/>
          <w:szCs w:val="24"/>
        </w:rPr>
        <w:t xml:space="preserve">minimum </w:t>
      </w:r>
      <w:r w:rsidR="00AC4A75" w:rsidRPr="004267C3">
        <w:rPr>
          <w:rStyle w:val="PageNumber"/>
          <w:rFonts w:ascii="Arial" w:hAnsi="Arial"/>
          <w:sz w:val="24"/>
          <w:szCs w:val="24"/>
        </w:rPr>
        <w:t xml:space="preserve">criteria for </w:t>
      </w:r>
      <w:r w:rsidR="006D77E4" w:rsidRPr="004267C3">
        <w:rPr>
          <w:rStyle w:val="PageNumber"/>
          <w:rFonts w:ascii="Arial" w:hAnsi="Arial"/>
          <w:sz w:val="24"/>
          <w:szCs w:val="24"/>
        </w:rPr>
        <w:t xml:space="preserve">its </w:t>
      </w:r>
      <w:r w:rsidR="00AC4A75" w:rsidRPr="004267C3">
        <w:rPr>
          <w:rStyle w:val="PageNumber"/>
          <w:rFonts w:ascii="Arial" w:hAnsi="Arial"/>
          <w:sz w:val="24"/>
          <w:szCs w:val="24"/>
        </w:rPr>
        <w:t>tender to be adjudicated upon</w:t>
      </w:r>
      <w:r w:rsidR="00177050" w:rsidRPr="004267C3">
        <w:rPr>
          <w:rStyle w:val="PageNumber"/>
          <w:rFonts w:ascii="Arial" w:hAnsi="Arial"/>
          <w:sz w:val="24"/>
          <w:szCs w:val="24"/>
        </w:rPr>
        <w:t>;</w:t>
      </w:r>
      <w:r w:rsidR="00B76DEE" w:rsidRPr="004267C3">
        <w:rPr>
          <w:rStyle w:val="PageNumber"/>
          <w:rFonts w:ascii="Arial" w:hAnsi="Arial"/>
          <w:sz w:val="24"/>
          <w:szCs w:val="24"/>
        </w:rPr>
        <w:t xml:space="preserve"> </w:t>
      </w:r>
    </w:p>
    <w:p w:rsidR="004A5D74" w:rsidRPr="004267C3" w:rsidRDefault="004258B2" w:rsidP="004A5D74">
      <w:pPr>
        <w:pStyle w:val="MediumGrid21"/>
        <w:numPr>
          <w:ilvl w:val="0"/>
          <w:numId w:val="10"/>
        </w:numPr>
        <w:spacing w:line="480" w:lineRule="auto"/>
        <w:ind w:left="1530" w:hanging="821"/>
        <w:jc w:val="both"/>
        <w:rPr>
          <w:rStyle w:val="PageNumber"/>
          <w:rFonts w:ascii="Arial" w:hAnsi="Arial"/>
          <w:sz w:val="24"/>
          <w:szCs w:val="24"/>
        </w:rPr>
      </w:pPr>
      <w:r>
        <w:rPr>
          <w:rStyle w:val="PageNumber"/>
          <w:rFonts w:ascii="Arial" w:hAnsi="Arial"/>
          <w:sz w:val="24"/>
          <w:szCs w:val="24"/>
        </w:rPr>
        <w:t xml:space="preserve">that </w:t>
      </w:r>
      <w:r w:rsidR="004A5D74" w:rsidRPr="004267C3">
        <w:rPr>
          <w:rStyle w:val="PageNumber"/>
          <w:rFonts w:ascii="Arial" w:hAnsi="Arial"/>
          <w:sz w:val="24"/>
          <w:szCs w:val="24"/>
        </w:rPr>
        <w:t>the fifth respondent outscored it on technical competence;</w:t>
      </w:r>
    </w:p>
    <w:p w:rsidR="004A5D74" w:rsidRPr="004A5D74" w:rsidRDefault="004258B2" w:rsidP="004267C3">
      <w:pPr>
        <w:pStyle w:val="MediumGrid21"/>
        <w:numPr>
          <w:ilvl w:val="0"/>
          <w:numId w:val="10"/>
        </w:numPr>
        <w:spacing w:line="480" w:lineRule="auto"/>
        <w:ind w:left="1530" w:hanging="821"/>
        <w:jc w:val="both"/>
        <w:rPr>
          <w:rStyle w:val="PageNumber"/>
          <w:rFonts w:ascii="Arial" w:hAnsi="Arial"/>
          <w:color w:val="auto"/>
          <w:sz w:val="24"/>
          <w:szCs w:val="24"/>
        </w:rPr>
      </w:pPr>
      <w:r>
        <w:rPr>
          <w:rStyle w:val="PageNumber"/>
          <w:rFonts w:ascii="Arial" w:hAnsi="Arial"/>
          <w:color w:val="auto"/>
          <w:sz w:val="24"/>
          <w:szCs w:val="24"/>
        </w:rPr>
        <w:t>t</w:t>
      </w:r>
      <w:r w:rsidR="00FF40A7" w:rsidRPr="004A5D74">
        <w:rPr>
          <w:rStyle w:val="PageNumber"/>
          <w:rFonts w:ascii="Arial" w:hAnsi="Arial"/>
          <w:color w:val="auto"/>
          <w:sz w:val="24"/>
          <w:szCs w:val="24"/>
        </w:rPr>
        <w:t xml:space="preserve">he </w:t>
      </w:r>
      <w:r>
        <w:rPr>
          <w:rStyle w:val="PageNumber"/>
          <w:rFonts w:ascii="Arial" w:hAnsi="Arial"/>
          <w:color w:val="auto"/>
          <w:sz w:val="24"/>
          <w:szCs w:val="24"/>
        </w:rPr>
        <w:t xml:space="preserve">propriety of taking into account </w:t>
      </w:r>
      <w:r w:rsidR="00FF40A7" w:rsidRPr="004A5D74">
        <w:rPr>
          <w:rStyle w:val="PageNumber"/>
          <w:rFonts w:ascii="Arial" w:hAnsi="Arial"/>
          <w:color w:val="auto"/>
          <w:sz w:val="24"/>
          <w:szCs w:val="24"/>
        </w:rPr>
        <w:t>negative comments made about its mana</w:t>
      </w:r>
      <w:r w:rsidR="004A5D74" w:rsidRPr="004A5D74">
        <w:rPr>
          <w:rStyle w:val="PageNumber"/>
          <w:rFonts w:ascii="Arial" w:hAnsi="Arial"/>
          <w:color w:val="auto"/>
          <w:sz w:val="24"/>
          <w:szCs w:val="24"/>
        </w:rPr>
        <w:t xml:space="preserve">gement skills and performance, </w:t>
      </w:r>
      <w:r w:rsidR="00FF40A7" w:rsidRPr="004A5D74">
        <w:rPr>
          <w:rStyle w:val="PageNumber"/>
          <w:rFonts w:ascii="Arial" w:hAnsi="Arial"/>
          <w:color w:val="auto"/>
          <w:sz w:val="24"/>
          <w:szCs w:val="24"/>
        </w:rPr>
        <w:t>only the weighting attached to it</w:t>
      </w:r>
      <w:r w:rsidR="004A5D74" w:rsidRPr="004A5D74">
        <w:rPr>
          <w:rStyle w:val="PageNumber"/>
          <w:rFonts w:ascii="Arial" w:hAnsi="Arial"/>
          <w:color w:val="auto"/>
          <w:sz w:val="24"/>
          <w:szCs w:val="24"/>
        </w:rPr>
        <w:t>;</w:t>
      </w:r>
      <w:r w:rsidR="00FF40A7" w:rsidRPr="004A5D74">
        <w:rPr>
          <w:rStyle w:val="PageNumber"/>
          <w:rFonts w:ascii="Arial" w:hAnsi="Arial"/>
          <w:color w:val="auto"/>
          <w:sz w:val="24"/>
          <w:szCs w:val="24"/>
        </w:rPr>
        <w:t xml:space="preserve"> and </w:t>
      </w:r>
    </w:p>
    <w:p w:rsidR="004A5D74" w:rsidRPr="004A5D74" w:rsidRDefault="00FF40A7" w:rsidP="004267C3">
      <w:pPr>
        <w:pStyle w:val="MediumGrid21"/>
        <w:numPr>
          <w:ilvl w:val="0"/>
          <w:numId w:val="10"/>
        </w:numPr>
        <w:spacing w:line="480" w:lineRule="auto"/>
        <w:ind w:left="1530" w:hanging="821"/>
        <w:jc w:val="both"/>
        <w:rPr>
          <w:rStyle w:val="PageNumber"/>
          <w:rFonts w:ascii="Arial" w:hAnsi="Arial"/>
          <w:color w:val="auto"/>
          <w:sz w:val="24"/>
          <w:szCs w:val="24"/>
        </w:rPr>
      </w:pPr>
      <w:r w:rsidRPr="004A5D74">
        <w:rPr>
          <w:rStyle w:val="PageNumber"/>
          <w:rFonts w:ascii="Arial" w:hAnsi="Arial"/>
          <w:color w:val="auto"/>
          <w:sz w:val="24"/>
          <w:szCs w:val="24"/>
        </w:rPr>
        <w:t xml:space="preserve">the use </w:t>
      </w:r>
      <w:r w:rsidR="00B76DEE" w:rsidRPr="004A5D74">
        <w:rPr>
          <w:rStyle w:val="PageNumber"/>
          <w:rFonts w:ascii="Arial" w:hAnsi="Arial"/>
          <w:color w:val="auto"/>
          <w:sz w:val="24"/>
          <w:szCs w:val="24"/>
        </w:rPr>
        <w:t xml:space="preserve">of the </w:t>
      </w:r>
      <w:r w:rsidR="00C4792F" w:rsidRPr="004A5D74">
        <w:rPr>
          <w:rStyle w:val="PageNumber"/>
          <w:rFonts w:ascii="Arial" w:hAnsi="Arial"/>
          <w:color w:val="auto"/>
          <w:sz w:val="24"/>
          <w:szCs w:val="24"/>
        </w:rPr>
        <w:t xml:space="preserve">MoW&amp;T </w:t>
      </w:r>
      <w:r w:rsidRPr="004A5D74">
        <w:rPr>
          <w:rStyle w:val="PageNumber"/>
          <w:rFonts w:ascii="Arial" w:hAnsi="Arial"/>
          <w:color w:val="auto"/>
          <w:sz w:val="24"/>
          <w:szCs w:val="24"/>
        </w:rPr>
        <w:t xml:space="preserve">Policy to benchmark </w:t>
      </w:r>
      <w:r w:rsidR="00B76DEE" w:rsidRPr="004A5D74">
        <w:rPr>
          <w:rStyle w:val="PageNumber"/>
          <w:rFonts w:ascii="Arial" w:hAnsi="Arial"/>
          <w:color w:val="auto"/>
          <w:sz w:val="24"/>
          <w:szCs w:val="24"/>
        </w:rPr>
        <w:t>tender price</w:t>
      </w:r>
      <w:r w:rsidR="004A5D74" w:rsidRPr="004A5D74">
        <w:rPr>
          <w:rStyle w:val="PageNumber"/>
          <w:rFonts w:ascii="Arial" w:hAnsi="Arial"/>
          <w:color w:val="auto"/>
          <w:sz w:val="24"/>
          <w:szCs w:val="24"/>
        </w:rPr>
        <w:t xml:space="preserve">s is </w:t>
      </w:r>
      <w:r w:rsidR="00E24133" w:rsidRPr="004A5D74">
        <w:rPr>
          <w:rStyle w:val="PageNumber"/>
          <w:rFonts w:ascii="Arial" w:hAnsi="Arial"/>
          <w:color w:val="auto"/>
          <w:sz w:val="24"/>
          <w:szCs w:val="24"/>
        </w:rPr>
        <w:t xml:space="preserve">a well-established practice in the construction industry </w:t>
      </w:r>
      <w:r w:rsidRPr="004A5D74">
        <w:rPr>
          <w:rStyle w:val="PageNumber"/>
          <w:rFonts w:ascii="Arial" w:hAnsi="Arial"/>
          <w:color w:val="auto"/>
          <w:sz w:val="24"/>
          <w:szCs w:val="24"/>
        </w:rPr>
        <w:t>to mitigate the financial risk of awarding the tender to the lowest bidder</w:t>
      </w:r>
      <w:r w:rsidR="00E24133" w:rsidRPr="004A5D74">
        <w:rPr>
          <w:rStyle w:val="PageNumber"/>
          <w:rFonts w:ascii="Arial" w:hAnsi="Arial"/>
          <w:color w:val="auto"/>
          <w:sz w:val="24"/>
          <w:szCs w:val="24"/>
        </w:rPr>
        <w:t xml:space="preserve">. </w:t>
      </w:r>
    </w:p>
    <w:p w:rsidR="004A5D74" w:rsidRDefault="004A5D74" w:rsidP="004A5D74">
      <w:pPr>
        <w:pStyle w:val="MediumGrid21"/>
        <w:spacing w:line="480" w:lineRule="auto"/>
        <w:ind w:left="1530"/>
        <w:jc w:val="both"/>
        <w:rPr>
          <w:rStyle w:val="PageNumber"/>
          <w:rFonts w:ascii="Arial" w:hAnsi="Arial"/>
          <w:sz w:val="24"/>
          <w:szCs w:val="24"/>
        </w:rPr>
      </w:pPr>
    </w:p>
    <w:p w:rsidR="005F18B8" w:rsidRDefault="00721BA8" w:rsidP="005F18B8">
      <w:pPr>
        <w:pStyle w:val="MediumGrid21"/>
        <w:spacing w:line="480" w:lineRule="auto"/>
        <w:jc w:val="both"/>
        <w:rPr>
          <w:rStyle w:val="PageNumber"/>
          <w:rFonts w:ascii="Arial" w:hAnsi="Arial"/>
          <w:color w:val="auto"/>
          <w:sz w:val="24"/>
          <w:szCs w:val="24"/>
        </w:rPr>
      </w:pPr>
      <w:r>
        <w:rPr>
          <w:rStyle w:val="PageNumber"/>
          <w:rFonts w:ascii="Arial" w:hAnsi="Arial"/>
          <w:color w:val="auto"/>
          <w:sz w:val="24"/>
          <w:szCs w:val="24"/>
        </w:rPr>
        <w:t>[31</w:t>
      </w:r>
      <w:r w:rsidR="00B358DB">
        <w:rPr>
          <w:rStyle w:val="PageNumber"/>
          <w:rFonts w:ascii="Arial" w:hAnsi="Arial"/>
          <w:color w:val="auto"/>
          <w:sz w:val="24"/>
          <w:szCs w:val="24"/>
        </w:rPr>
        <w:t>]</w:t>
      </w:r>
      <w:r w:rsidR="00B358DB">
        <w:rPr>
          <w:rStyle w:val="PageNumber"/>
          <w:rFonts w:ascii="Arial" w:hAnsi="Arial"/>
          <w:color w:val="auto"/>
          <w:sz w:val="24"/>
          <w:szCs w:val="24"/>
        </w:rPr>
        <w:tab/>
      </w:r>
      <w:r w:rsidR="005F18B8" w:rsidRPr="00C87789">
        <w:rPr>
          <w:rStyle w:val="PageNumber"/>
          <w:rFonts w:ascii="Arial" w:hAnsi="Arial"/>
          <w:color w:val="auto"/>
          <w:sz w:val="24"/>
          <w:szCs w:val="24"/>
        </w:rPr>
        <w:t xml:space="preserve">The court </w:t>
      </w:r>
      <w:r w:rsidR="005F18B8" w:rsidRPr="00C87789">
        <w:rPr>
          <w:rStyle w:val="PageNumber"/>
          <w:rFonts w:ascii="Arial" w:hAnsi="Arial"/>
          <w:i/>
          <w:iCs/>
          <w:color w:val="auto"/>
          <w:sz w:val="24"/>
          <w:szCs w:val="24"/>
        </w:rPr>
        <w:t>a quo</w:t>
      </w:r>
      <w:r w:rsidR="005F18B8" w:rsidRPr="00C87789">
        <w:rPr>
          <w:rStyle w:val="PageNumber"/>
          <w:rFonts w:ascii="Arial" w:hAnsi="Arial"/>
          <w:color w:val="auto"/>
          <w:sz w:val="24"/>
          <w:szCs w:val="24"/>
        </w:rPr>
        <w:t xml:space="preserve"> accepted the respondents’ submission that a tender price substantially below a benchmark may result in serious prejudice and risk to the first respondent, in addition to the fact that it is a well-established practice in the construction industry. The court a </w:t>
      </w:r>
      <w:r w:rsidR="005F18B8" w:rsidRPr="00C87789">
        <w:rPr>
          <w:rStyle w:val="PageNumber"/>
          <w:rFonts w:ascii="Arial" w:hAnsi="Arial"/>
          <w:i/>
          <w:color w:val="auto"/>
          <w:sz w:val="24"/>
          <w:szCs w:val="24"/>
        </w:rPr>
        <w:t>quo</w:t>
      </w:r>
      <w:r w:rsidR="005F18B8" w:rsidRPr="00C87789">
        <w:rPr>
          <w:rStyle w:val="PageNumber"/>
          <w:rFonts w:ascii="Arial" w:hAnsi="Arial"/>
          <w:color w:val="auto"/>
          <w:sz w:val="24"/>
          <w:szCs w:val="24"/>
        </w:rPr>
        <w:t xml:space="preserve"> stated that the first respondent </w:t>
      </w:r>
      <w:r w:rsidR="005F18B8">
        <w:rPr>
          <w:rStyle w:val="PageNumber"/>
          <w:rFonts w:ascii="Arial" w:hAnsi="Arial"/>
          <w:color w:val="auto"/>
          <w:sz w:val="24"/>
          <w:szCs w:val="24"/>
        </w:rPr>
        <w:t>was entitled to apply</w:t>
      </w:r>
      <w:r w:rsidR="005F18B8" w:rsidRPr="00C87789">
        <w:rPr>
          <w:rStyle w:val="PageNumber"/>
          <w:rFonts w:ascii="Arial" w:hAnsi="Arial"/>
          <w:color w:val="auto"/>
          <w:sz w:val="24"/>
          <w:szCs w:val="24"/>
        </w:rPr>
        <w:t xml:space="preserve"> the MoW&amp;T Policy as it is a sound practice based on rational considerations. The court </w:t>
      </w:r>
      <w:r w:rsidR="005F18B8" w:rsidRPr="00C87789">
        <w:rPr>
          <w:rStyle w:val="PageNumber"/>
          <w:rFonts w:ascii="Arial" w:hAnsi="Arial"/>
          <w:i/>
          <w:iCs/>
          <w:color w:val="auto"/>
          <w:sz w:val="24"/>
          <w:szCs w:val="24"/>
        </w:rPr>
        <w:t xml:space="preserve">a quo </w:t>
      </w:r>
      <w:r w:rsidR="005F18B8" w:rsidRPr="00C87789">
        <w:rPr>
          <w:rStyle w:val="PageNumber"/>
          <w:rFonts w:ascii="Arial" w:hAnsi="Arial"/>
          <w:color w:val="auto"/>
          <w:sz w:val="24"/>
          <w:szCs w:val="24"/>
        </w:rPr>
        <w:t>held that the use of the MoW&amp;T Policy to benchmark the tender price was reasonable and further t</w:t>
      </w:r>
      <w:r w:rsidR="005F18B8">
        <w:rPr>
          <w:rStyle w:val="PageNumber"/>
          <w:rFonts w:ascii="Arial" w:hAnsi="Arial"/>
          <w:color w:val="auto"/>
          <w:sz w:val="24"/>
          <w:szCs w:val="24"/>
        </w:rPr>
        <w:t>hat the crucial consideration was</w:t>
      </w:r>
      <w:r w:rsidR="005F18B8" w:rsidRPr="00C87789">
        <w:rPr>
          <w:rStyle w:val="PageNumber"/>
          <w:rFonts w:ascii="Arial" w:hAnsi="Arial"/>
          <w:color w:val="auto"/>
          <w:sz w:val="24"/>
          <w:szCs w:val="24"/>
        </w:rPr>
        <w:t xml:space="preserve"> that it was applied even-handedly to all tenderers and that it was the decision-maker’s prerogative to decide how to weigh factors according to its needs. </w:t>
      </w:r>
      <w:r w:rsidR="005F18B8">
        <w:rPr>
          <w:rStyle w:val="PageNumber"/>
          <w:rFonts w:ascii="Arial" w:hAnsi="Arial"/>
          <w:color w:val="auto"/>
          <w:sz w:val="24"/>
          <w:szCs w:val="24"/>
        </w:rPr>
        <w:t>We were in agreement with this approach</w:t>
      </w:r>
      <w:r w:rsidR="00BC4AB6">
        <w:rPr>
          <w:rStyle w:val="PageNumber"/>
          <w:rFonts w:ascii="Arial" w:hAnsi="Arial"/>
          <w:color w:val="auto"/>
          <w:sz w:val="24"/>
          <w:szCs w:val="24"/>
        </w:rPr>
        <w:t xml:space="preserve"> for the reasons that follow</w:t>
      </w:r>
      <w:r w:rsidR="005F18B8">
        <w:rPr>
          <w:rStyle w:val="PageNumber"/>
          <w:rFonts w:ascii="Arial" w:hAnsi="Arial"/>
          <w:color w:val="auto"/>
          <w:sz w:val="24"/>
          <w:szCs w:val="24"/>
        </w:rPr>
        <w:t xml:space="preserve">. </w:t>
      </w:r>
    </w:p>
    <w:p w:rsidR="004258B2" w:rsidRDefault="004258B2" w:rsidP="00D75E51">
      <w:pPr>
        <w:pStyle w:val="MediumGrid21"/>
        <w:spacing w:line="480" w:lineRule="auto"/>
        <w:jc w:val="both"/>
        <w:rPr>
          <w:rStyle w:val="PageNumber"/>
          <w:rFonts w:ascii="Arial" w:hAnsi="Arial"/>
          <w:sz w:val="24"/>
          <w:szCs w:val="24"/>
        </w:rPr>
      </w:pPr>
    </w:p>
    <w:p w:rsidR="00D75E51" w:rsidRDefault="00721BA8" w:rsidP="00D75E51">
      <w:pPr>
        <w:pStyle w:val="MediumGrid21"/>
        <w:spacing w:line="480" w:lineRule="auto"/>
        <w:jc w:val="both"/>
        <w:rPr>
          <w:rStyle w:val="PageNumber"/>
          <w:rFonts w:ascii="Arial" w:hAnsi="Arial"/>
          <w:sz w:val="24"/>
          <w:szCs w:val="24"/>
        </w:rPr>
      </w:pPr>
      <w:r>
        <w:rPr>
          <w:rStyle w:val="PageNumber"/>
          <w:rFonts w:ascii="Arial" w:hAnsi="Arial"/>
          <w:sz w:val="24"/>
          <w:szCs w:val="24"/>
        </w:rPr>
        <w:t>[32</w:t>
      </w:r>
      <w:r w:rsidR="00D75E51">
        <w:rPr>
          <w:rStyle w:val="PageNumber"/>
          <w:rFonts w:ascii="Arial" w:hAnsi="Arial"/>
          <w:sz w:val="24"/>
          <w:szCs w:val="24"/>
        </w:rPr>
        <w:t xml:space="preserve">] </w:t>
      </w:r>
      <w:r w:rsidR="00D75E51">
        <w:rPr>
          <w:rStyle w:val="PageNumber"/>
          <w:rFonts w:ascii="Arial" w:hAnsi="Arial"/>
          <w:sz w:val="24"/>
          <w:szCs w:val="24"/>
        </w:rPr>
        <w:tab/>
      </w:r>
      <w:r w:rsidR="00BC4AB6">
        <w:rPr>
          <w:rStyle w:val="PageNumber"/>
          <w:rFonts w:ascii="Arial" w:hAnsi="Arial"/>
          <w:sz w:val="24"/>
          <w:szCs w:val="24"/>
        </w:rPr>
        <w:t>T</w:t>
      </w:r>
      <w:r w:rsidR="00D75E51">
        <w:rPr>
          <w:rStyle w:val="PageNumber"/>
          <w:rFonts w:ascii="Arial" w:hAnsi="Arial"/>
          <w:sz w:val="24"/>
          <w:szCs w:val="24"/>
        </w:rPr>
        <w:t>he</w:t>
      </w:r>
      <w:r w:rsidR="003F3155">
        <w:rPr>
          <w:rStyle w:val="PageNumber"/>
          <w:rFonts w:ascii="Arial" w:hAnsi="Arial"/>
          <w:sz w:val="24"/>
          <w:szCs w:val="24"/>
        </w:rPr>
        <w:t xml:space="preserve"> appellant’s </w:t>
      </w:r>
      <w:r w:rsidR="00D75E51">
        <w:rPr>
          <w:rStyle w:val="PageNumber"/>
          <w:rFonts w:ascii="Arial" w:hAnsi="Arial"/>
          <w:sz w:val="24"/>
          <w:szCs w:val="24"/>
        </w:rPr>
        <w:t xml:space="preserve">contention </w:t>
      </w:r>
      <w:r w:rsidR="003F3155">
        <w:rPr>
          <w:rStyle w:val="PageNumber"/>
          <w:rFonts w:ascii="Arial" w:hAnsi="Arial"/>
          <w:sz w:val="24"/>
          <w:szCs w:val="24"/>
        </w:rPr>
        <w:t xml:space="preserve">that the application of the </w:t>
      </w:r>
      <w:r w:rsidR="005416C3">
        <w:rPr>
          <w:rStyle w:val="PageNumber"/>
          <w:rFonts w:ascii="Arial" w:hAnsi="Arial"/>
          <w:sz w:val="24"/>
          <w:szCs w:val="24"/>
        </w:rPr>
        <w:t xml:space="preserve">MoW&amp;T </w:t>
      </w:r>
      <w:r w:rsidR="00177050">
        <w:rPr>
          <w:rStyle w:val="PageNumber"/>
          <w:rFonts w:ascii="Arial" w:hAnsi="Arial"/>
          <w:sz w:val="24"/>
          <w:szCs w:val="24"/>
        </w:rPr>
        <w:t xml:space="preserve">Policy was </w:t>
      </w:r>
      <w:r w:rsidR="00C56E3A">
        <w:rPr>
          <w:rStyle w:val="PageNumber"/>
          <w:rFonts w:ascii="Arial" w:hAnsi="Arial"/>
          <w:sz w:val="24"/>
          <w:szCs w:val="24"/>
        </w:rPr>
        <w:t xml:space="preserve">designed </w:t>
      </w:r>
      <w:r w:rsidR="00177050">
        <w:rPr>
          <w:rStyle w:val="PageNumber"/>
          <w:rFonts w:ascii="Arial" w:hAnsi="Arial"/>
          <w:sz w:val="24"/>
          <w:szCs w:val="24"/>
        </w:rPr>
        <w:t>solely to exclude it</w:t>
      </w:r>
      <w:r w:rsidR="008F5FE8">
        <w:rPr>
          <w:rStyle w:val="PageNumber"/>
          <w:rFonts w:ascii="Arial" w:hAnsi="Arial"/>
          <w:sz w:val="24"/>
          <w:szCs w:val="24"/>
        </w:rPr>
        <w:t xml:space="preserve"> is unsubstantiated and that</w:t>
      </w:r>
      <w:r w:rsidR="003F3155">
        <w:rPr>
          <w:rStyle w:val="PageNumber"/>
          <w:rFonts w:ascii="Arial" w:hAnsi="Arial"/>
          <w:sz w:val="24"/>
          <w:szCs w:val="24"/>
        </w:rPr>
        <w:t xml:space="preserve"> </w:t>
      </w:r>
      <w:r w:rsidR="008F5FE8">
        <w:rPr>
          <w:rStyle w:val="PageNumber"/>
          <w:rFonts w:ascii="Arial" w:hAnsi="Arial"/>
          <w:sz w:val="24"/>
          <w:szCs w:val="24"/>
        </w:rPr>
        <w:t>the appellant’s passage</w:t>
      </w:r>
      <w:r w:rsidR="00A6041D">
        <w:rPr>
          <w:rStyle w:val="PageNumber"/>
          <w:rFonts w:ascii="Arial" w:hAnsi="Arial"/>
          <w:sz w:val="24"/>
          <w:szCs w:val="24"/>
        </w:rPr>
        <w:t xml:space="preserve"> to the pre-qualification stage</w:t>
      </w:r>
      <w:r w:rsidR="008F5FE8">
        <w:rPr>
          <w:rStyle w:val="PageNumber"/>
          <w:rFonts w:ascii="Arial" w:hAnsi="Arial"/>
          <w:sz w:val="24"/>
          <w:szCs w:val="24"/>
        </w:rPr>
        <w:t xml:space="preserve"> demonstrates that the process could not have been prejudged. </w:t>
      </w:r>
      <w:r w:rsidR="00BC4AB6">
        <w:rPr>
          <w:rStyle w:val="PageNumber"/>
          <w:rFonts w:ascii="Arial" w:hAnsi="Arial"/>
          <w:sz w:val="24"/>
          <w:szCs w:val="24"/>
        </w:rPr>
        <w:t>I</w:t>
      </w:r>
      <w:r w:rsidR="00A6041D">
        <w:rPr>
          <w:rStyle w:val="PageNumber"/>
          <w:rFonts w:ascii="Arial" w:hAnsi="Arial"/>
          <w:sz w:val="24"/>
          <w:szCs w:val="24"/>
        </w:rPr>
        <w:t xml:space="preserve">t is clear from a reading of the </w:t>
      </w:r>
      <w:r w:rsidR="005416C3">
        <w:rPr>
          <w:rStyle w:val="PageNumber"/>
          <w:rFonts w:ascii="Arial" w:hAnsi="Arial"/>
          <w:sz w:val="24"/>
          <w:szCs w:val="24"/>
        </w:rPr>
        <w:t xml:space="preserve">MoW&amp;T </w:t>
      </w:r>
      <w:r w:rsidR="00851BC8">
        <w:rPr>
          <w:rStyle w:val="PageNumber"/>
          <w:rFonts w:ascii="Arial" w:hAnsi="Arial"/>
          <w:sz w:val="24"/>
          <w:szCs w:val="24"/>
        </w:rPr>
        <w:t xml:space="preserve">Policy </w:t>
      </w:r>
      <w:r w:rsidR="00A6041D">
        <w:rPr>
          <w:rStyle w:val="PageNumber"/>
          <w:rFonts w:ascii="Arial" w:hAnsi="Arial"/>
          <w:sz w:val="24"/>
          <w:szCs w:val="24"/>
        </w:rPr>
        <w:t xml:space="preserve">that it is </w:t>
      </w:r>
      <w:r w:rsidR="00D75E51">
        <w:rPr>
          <w:rStyle w:val="PageNumber"/>
          <w:rFonts w:ascii="Arial" w:hAnsi="Arial"/>
          <w:sz w:val="24"/>
          <w:szCs w:val="24"/>
        </w:rPr>
        <w:t xml:space="preserve">rational </w:t>
      </w:r>
      <w:r w:rsidR="00553263">
        <w:rPr>
          <w:rStyle w:val="PageNumber"/>
          <w:rFonts w:ascii="Arial" w:hAnsi="Arial"/>
          <w:sz w:val="24"/>
          <w:szCs w:val="24"/>
        </w:rPr>
        <w:t xml:space="preserve">as it is intended </w:t>
      </w:r>
      <w:r w:rsidR="00D75E51">
        <w:rPr>
          <w:rStyle w:val="PageNumber"/>
          <w:rFonts w:ascii="Arial" w:hAnsi="Arial"/>
          <w:sz w:val="24"/>
          <w:szCs w:val="24"/>
        </w:rPr>
        <w:t xml:space="preserve">to benchmark the tender prices so as not to: </w:t>
      </w:r>
    </w:p>
    <w:p w:rsidR="0066324C" w:rsidRPr="00045941" w:rsidRDefault="0066324C" w:rsidP="00D75E51">
      <w:pPr>
        <w:pStyle w:val="MediumGrid21"/>
        <w:spacing w:line="480" w:lineRule="auto"/>
        <w:jc w:val="both"/>
        <w:rPr>
          <w:rStyle w:val="PageNumber"/>
          <w:rFonts w:ascii="Arial" w:hAnsi="Arial"/>
          <w:sz w:val="24"/>
          <w:szCs w:val="24"/>
        </w:rPr>
      </w:pPr>
    </w:p>
    <w:p w:rsidR="00D75E51" w:rsidRPr="00B14889" w:rsidRDefault="00D75E51" w:rsidP="00D75E51">
      <w:pPr>
        <w:pStyle w:val="MediumGrid21"/>
        <w:numPr>
          <w:ilvl w:val="0"/>
          <w:numId w:val="7"/>
        </w:numPr>
        <w:spacing w:line="480" w:lineRule="auto"/>
        <w:ind w:left="709" w:firstLine="0"/>
        <w:jc w:val="both"/>
        <w:rPr>
          <w:rStyle w:val="PageNumber"/>
          <w:rFonts w:ascii="Arial" w:eastAsia="Arial" w:hAnsi="Arial" w:cs="Arial"/>
          <w:sz w:val="24"/>
          <w:szCs w:val="24"/>
        </w:rPr>
      </w:pPr>
      <w:r w:rsidRPr="00B14889">
        <w:rPr>
          <w:rStyle w:val="PageNumber"/>
          <w:rFonts w:ascii="Arial" w:hAnsi="Arial"/>
          <w:sz w:val="24"/>
          <w:szCs w:val="24"/>
        </w:rPr>
        <w:t>expose the Government to financial risk;</w:t>
      </w:r>
    </w:p>
    <w:p w:rsidR="00D75E51" w:rsidRPr="00B14889" w:rsidRDefault="00D75E51" w:rsidP="00D75E51">
      <w:pPr>
        <w:pStyle w:val="MediumGrid21"/>
        <w:numPr>
          <w:ilvl w:val="0"/>
          <w:numId w:val="7"/>
        </w:numPr>
        <w:spacing w:line="480" w:lineRule="auto"/>
        <w:ind w:left="709" w:firstLine="0"/>
        <w:jc w:val="both"/>
        <w:rPr>
          <w:rStyle w:val="PageNumber"/>
          <w:rFonts w:ascii="Arial" w:hAnsi="Arial"/>
          <w:sz w:val="24"/>
          <w:szCs w:val="24"/>
        </w:rPr>
      </w:pPr>
      <w:r w:rsidRPr="00B14889">
        <w:rPr>
          <w:rStyle w:val="PageNumber"/>
          <w:rFonts w:ascii="Arial" w:hAnsi="Arial"/>
          <w:sz w:val="24"/>
          <w:szCs w:val="24"/>
        </w:rPr>
        <w:t>compromise completion deadlines;</w:t>
      </w:r>
    </w:p>
    <w:p w:rsidR="00937CAE" w:rsidRPr="00B14889" w:rsidRDefault="00D75E51" w:rsidP="00937CAE">
      <w:pPr>
        <w:pStyle w:val="MediumGrid21"/>
        <w:numPr>
          <w:ilvl w:val="0"/>
          <w:numId w:val="7"/>
        </w:numPr>
        <w:spacing w:line="480" w:lineRule="auto"/>
        <w:ind w:left="709" w:firstLine="0"/>
        <w:jc w:val="both"/>
        <w:rPr>
          <w:rStyle w:val="PageNumber"/>
          <w:rFonts w:ascii="Arial" w:hAnsi="Arial"/>
          <w:sz w:val="24"/>
          <w:szCs w:val="24"/>
        </w:rPr>
      </w:pPr>
      <w:r w:rsidRPr="00B14889">
        <w:rPr>
          <w:rStyle w:val="PageNumber"/>
          <w:rFonts w:ascii="Arial" w:hAnsi="Arial"/>
          <w:sz w:val="24"/>
          <w:szCs w:val="24"/>
        </w:rPr>
        <w:t>place the tenderer under financial strain with the risk of bankruptcy;</w:t>
      </w:r>
      <w:r w:rsidR="00E24133" w:rsidRPr="00B14889">
        <w:rPr>
          <w:rStyle w:val="PageNumber"/>
          <w:rFonts w:ascii="Arial" w:hAnsi="Arial"/>
          <w:sz w:val="24"/>
          <w:szCs w:val="24"/>
        </w:rPr>
        <w:t xml:space="preserve"> </w:t>
      </w:r>
    </w:p>
    <w:p w:rsidR="00D75E51" w:rsidRPr="00B14889" w:rsidRDefault="00937CAE" w:rsidP="00D75E51">
      <w:pPr>
        <w:pStyle w:val="MediumGrid21"/>
        <w:numPr>
          <w:ilvl w:val="0"/>
          <w:numId w:val="7"/>
        </w:numPr>
        <w:spacing w:line="480" w:lineRule="auto"/>
        <w:ind w:left="709" w:firstLine="0"/>
        <w:jc w:val="both"/>
        <w:rPr>
          <w:rStyle w:val="PageNumber"/>
          <w:rFonts w:ascii="Arial" w:eastAsia="Arial" w:hAnsi="Arial" w:cs="Arial"/>
          <w:sz w:val="24"/>
          <w:szCs w:val="24"/>
        </w:rPr>
      </w:pPr>
      <w:r w:rsidRPr="00B14889">
        <w:rPr>
          <w:rStyle w:val="PageNumber"/>
          <w:rFonts w:ascii="Arial" w:hAnsi="Arial"/>
          <w:sz w:val="24"/>
          <w:szCs w:val="24"/>
        </w:rPr>
        <w:t xml:space="preserve">prevent tenderers cutting corners in carrying out the required work; </w:t>
      </w:r>
      <w:r w:rsidR="00E24133" w:rsidRPr="00B14889">
        <w:rPr>
          <w:rStyle w:val="PageNumber"/>
          <w:rFonts w:ascii="Arial" w:hAnsi="Arial"/>
          <w:sz w:val="24"/>
          <w:szCs w:val="24"/>
        </w:rPr>
        <w:t>and</w:t>
      </w:r>
    </w:p>
    <w:p w:rsidR="00BF396C" w:rsidRDefault="00D75E51" w:rsidP="00B14889">
      <w:pPr>
        <w:pStyle w:val="MediumGrid21"/>
        <w:numPr>
          <w:ilvl w:val="0"/>
          <w:numId w:val="7"/>
        </w:numPr>
        <w:spacing w:line="480" w:lineRule="auto"/>
        <w:ind w:left="1440" w:hanging="731"/>
        <w:jc w:val="both"/>
        <w:rPr>
          <w:rStyle w:val="PageNumber"/>
          <w:rFonts w:ascii="Arial" w:hAnsi="Arial"/>
          <w:sz w:val="24"/>
          <w:szCs w:val="24"/>
        </w:rPr>
      </w:pPr>
      <w:r>
        <w:rPr>
          <w:rStyle w:val="PageNumber"/>
          <w:rFonts w:ascii="Arial" w:hAnsi="Arial"/>
          <w:sz w:val="24"/>
          <w:szCs w:val="24"/>
        </w:rPr>
        <w:t xml:space="preserve">constitute unfair competition </w:t>
      </w:r>
      <w:r w:rsidRPr="00900B91">
        <w:rPr>
          <w:rStyle w:val="PageNumber"/>
          <w:rFonts w:ascii="Arial" w:hAnsi="Arial"/>
          <w:i/>
          <w:sz w:val="24"/>
          <w:szCs w:val="24"/>
        </w:rPr>
        <w:t xml:space="preserve">vis </w:t>
      </w:r>
      <w:r w:rsidRPr="00900B91">
        <w:rPr>
          <w:rStyle w:val="PageNumber"/>
          <w:rFonts w:ascii="Arial" w:hAnsi="Arial"/>
          <w:sz w:val="24"/>
          <w:szCs w:val="24"/>
        </w:rPr>
        <w:t>a</w:t>
      </w:r>
      <w:r w:rsidRPr="00900B91">
        <w:rPr>
          <w:rStyle w:val="PageNumber"/>
          <w:rFonts w:ascii="Arial" w:hAnsi="Arial"/>
          <w:i/>
          <w:sz w:val="24"/>
          <w:szCs w:val="24"/>
        </w:rPr>
        <w:t xml:space="preserve"> vis</w:t>
      </w:r>
      <w:r>
        <w:rPr>
          <w:rStyle w:val="PageNumber"/>
          <w:rFonts w:ascii="Arial" w:hAnsi="Arial"/>
          <w:sz w:val="24"/>
          <w:szCs w:val="24"/>
        </w:rPr>
        <w:t xml:space="preserve"> other tenderers who tender fairly in order to pay a living wage to their employees and to pay greater taxes to the fiscus</w:t>
      </w:r>
      <w:r w:rsidR="00E24133">
        <w:rPr>
          <w:rStyle w:val="PageNumber"/>
          <w:rFonts w:ascii="Arial" w:hAnsi="Arial"/>
          <w:sz w:val="24"/>
          <w:szCs w:val="24"/>
        </w:rPr>
        <w:t>.</w:t>
      </w:r>
    </w:p>
    <w:p w:rsidR="00177050" w:rsidRDefault="00177050" w:rsidP="009967AC">
      <w:pPr>
        <w:pStyle w:val="MediumGrid21"/>
        <w:spacing w:line="480" w:lineRule="auto"/>
        <w:jc w:val="both"/>
        <w:rPr>
          <w:rStyle w:val="PageNumber"/>
          <w:rFonts w:ascii="Arial" w:hAnsi="Arial"/>
          <w:sz w:val="24"/>
          <w:szCs w:val="24"/>
        </w:rPr>
      </w:pPr>
    </w:p>
    <w:p w:rsidR="009967AC" w:rsidRDefault="00721BA8" w:rsidP="009967AC">
      <w:pPr>
        <w:pStyle w:val="MediumGrid21"/>
        <w:spacing w:line="480" w:lineRule="auto"/>
        <w:jc w:val="both"/>
        <w:rPr>
          <w:rStyle w:val="PageNumber"/>
          <w:rFonts w:ascii="Arial" w:hAnsi="Arial"/>
          <w:sz w:val="24"/>
          <w:szCs w:val="24"/>
        </w:rPr>
      </w:pPr>
      <w:r>
        <w:rPr>
          <w:rStyle w:val="PageNumber"/>
          <w:rFonts w:ascii="Arial" w:hAnsi="Arial"/>
          <w:sz w:val="24"/>
          <w:szCs w:val="24"/>
        </w:rPr>
        <w:t>[33</w:t>
      </w:r>
      <w:r w:rsidR="00B358DB">
        <w:rPr>
          <w:rStyle w:val="PageNumber"/>
          <w:rFonts w:ascii="Arial" w:hAnsi="Arial"/>
          <w:sz w:val="24"/>
          <w:szCs w:val="24"/>
        </w:rPr>
        <w:t>]</w:t>
      </w:r>
      <w:r w:rsidR="00B358DB">
        <w:rPr>
          <w:rStyle w:val="PageNumber"/>
          <w:rFonts w:ascii="Arial" w:hAnsi="Arial"/>
          <w:sz w:val="24"/>
          <w:szCs w:val="24"/>
        </w:rPr>
        <w:tab/>
      </w:r>
      <w:r w:rsidR="00937CAE">
        <w:rPr>
          <w:rStyle w:val="PageNumber"/>
          <w:rFonts w:ascii="Arial" w:hAnsi="Arial"/>
          <w:sz w:val="24"/>
          <w:szCs w:val="24"/>
        </w:rPr>
        <w:t>Mr</w:t>
      </w:r>
      <w:r w:rsidR="00D75E51">
        <w:rPr>
          <w:rStyle w:val="PageNumber"/>
          <w:rFonts w:ascii="Arial" w:hAnsi="Arial"/>
          <w:sz w:val="24"/>
          <w:szCs w:val="24"/>
        </w:rPr>
        <w:t xml:space="preserve"> Hendrick Herselman, the President of the Association of Quantity Surveyors of Namibia, who deposed to an affidavit on behalf of the first and second respondents</w:t>
      </w:r>
      <w:r w:rsidR="006B2775">
        <w:rPr>
          <w:rStyle w:val="PageNumber"/>
          <w:rFonts w:ascii="Arial" w:hAnsi="Arial"/>
          <w:sz w:val="24"/>
          <w:szCs w:val="24"/>
        </w:rPr>
        <w:t xml:space="preserve">, supported the </w:t>
      </w:r>
      <w:r w:rsidR="00951101">
        <w:rPr>
          <w:rStyle w:val="PageNumber"/>
          <w:rFonts w:ascii="Arial" w:hAnsi="Arial"/>
          <w:sz w:val="24"/>
          <w:szCs w:val="24"/>
        </w:rPr>
        <w:t xml:space="preserve">policy’s rational and asserted that it </w:t>
      </w:r>
      <w:r w:rsidR="00937CAE">
        <w:rPr>
          <w:rStyle w:val="PageNumber"/>
          <w:rFonts w:ascii="Arial" w:hAnsi="Arial"/>
          <w:sz w:val="24"/>
          <w:szCs w:val="24"/>
        </w:rPr>
        <w:t xml:space="preserve">was </w:t>
      </w:r>
      <w:r w:rsidR="00D75E51">
        <w:rPr>
          <w:rStyle w:val="PageNumber"/>
          <w:rFonts w:ascii="Arial" w:hAnsi="Arial"/>
          <w:sz w:val="24"/>
          <w:szCs w:val="24"/>
        </w:rPr>
        <w:t>common practice in the construction industry</w:t>
      </w:r>
      <w:r w:rsidR="00937CAE">
        <w:rPr>
          <w:rStyle w:val="PageNumber"/>
          <w:rFonts w:ascii="Arial" w:hAnsi="Arial"/>
          <w:sz w:val="24"/>
          <w:szCs w:val="24"/>
        </w:rPr>
        <w:t xml:space="preserve">. </w:t>
      </w:r>
      <w:r w:rsidR="00D75E51">
        <w:rPr>
          <w:rStyle w:val="PageNumber"/>
          <w:rFonts w:ascii="Arial" w:hAnsi="Arial"/>
          <w:sz w:val="24"/>
          <w:szCs w:val="24"/>
        </w:rPr>
        <w:t xml:space="preserve">This was unchallenged by the appellant. </w:t>
      </w:r>
    </w:p>
    <w:p w:rsidR="0066324C" w:rsidRPr="00721BA8" w:rsidRDefault="0066324C" w:rsidP="009967AC">
      <w:pPr>
        <w:pStyle w:val="MediumGrid21"/>
        <w:spacing w:line="480" w:lineRule="auto"/>
        <w:jc w:val="both"/>
        <w:rPr>
          <w:rStyle w:val="PageNumber"/>
          <w:rFonts w:ascii="Arial" w:hAnsi="Arial"/>
          <w:b/>
          <w:color w:val="auto"/>
          <w:sz w:val="24"/>
          <w:szCs w:val="24"/>
        </w:rPr>
      </w:pPr>
    </w:p>
    <w:p w:rsidR="002A2CB2" w:rsidRDefault="00721BA8">
      <w:pPr>
        <w:pStyle w:val="MediumGrid21"/>
        <w:tabs>
          <w:tab w:val="left" w:pos="720"/>
          <w:tab w:val="left" w:pos="3968"/>
        </w:tabs>
        <w:spacing w:line="480" w:lineRule="auto"/>
        <w:jc w:val="both"/>
        <w:rPr>
          <w:rStyle w:val="PageNumber"/>
          <w:rFonts w:ascii="Arial" w:hAnsi="Arial"/>
          <w:sz w:val="24"/>
          <w:szCs w:val="24"/>
        </w:rPr>
      </w:pPr>
      <w:r>
        <w:rPr>
          <w:rStyle w:val="PageNumber"/>
          <w:rFonts w:ascii="Arial" w:hAnsi="Arial"/>
          <w:sz w:val="24"/>
          <w:szCs w:val="24"/>
        </w:rPr>
        <w:t>[34</w:t>
      </w:r>
      <w:r w:rsidR="00B358DB">
        <w:rPr>
          <w:rStyle w:val="PageNumber"/>
          <w:rFonts w:ascii="Arial" w:hAnsi="Arial"/>
          <w:sz w:val="24"/>
          <w:szCs w:val="24"/>
        </w:rPr>
        <w:t>]</w:t>
      </w:r>
      <w:r w:rsidR="00B358DB">
        <w:rPr>
          <w:rStyle w:val="PageNumber"/>
          <w:rFonts w:ascii="Arial" w:hAnsi="Arial"/>
          <w:sz w:val="24"/>
          <w:szCs w:val="24"/>
        </w:rPr>
        <w:tab/>
      </w:r>
      <w:r w:rsidR="00C72230">
        <w:rPr>
          <w:rStyle w:val="PageNumber"/>
          <w:rFonts w:ascii="Arial" w:hAnsi="Arial"/>
          <w:sz w:val="24"/>
          <w:szCs w:val="24"/>
        </w:rPr>
        <w:t>We accepted the</w:t>
      </w:r>
      <w:r w:rsidR="000819F6">
        <w:rPr>
          <w:rStyle w:val="PageNumber"/>
          <w:rFonts w:ascii="Arial" w:hAnsi="Arial"/>
          <w:sz w:val="24"/>
          <w:szCs w:val="24"/>
        </w:rPr>
        <w:t xml:space="preserve"> respondents</w:t>
      </w:r>
      <w:r w:rsidR="001632D5">
        <w:rPr>
          <w:rStyle w:val="PageNumber"/>
          <w:rFonts w:ascii="Arial" w:hAnsi="Arial"/>
          <w:sz w:val="24"/>
          <w:szCs w:val="24"/>
        </w:rPr>
        <w:t>'</w:t>
      </w:r>
      <w:r w:rsidR="000819F6">
        <w:rPr>
          <w:rStyle w:val="PageNumber"/>
          <w:rFonts w:ascii="Arial" w:hAnsi="Arial"/>
          <w:sz w:val="24"/>
          <w:szCs w:val="24"/>
        </w:rPr>
        <w:t xml:space="preserve"> version</w:t>
      </w:r>
      <w:r w:rsidR="00BD3187">
        <w:rPr>
          <w:rStyle w:val="PageNumber"/>
          <w:rFonts w:ascii="Arial" w:hAnsi="Arial"/>
          <w:sz w:val="24"/>
          <w:szCs w:val="24"/>
        </w:rPr>
        <w:t xml:space="preserve"> </w:t>
      </w:r>
      <w:r w:rsidR="000819F6">
        <w:rPr>
          <w:rStyle w:val="PageNumber"/>
          <w:rFonts w:ascii="Arial" w:hAnsi="Arial"/>
          <w:sz w:val="24"/>
          <w:szCs w:val="24"/>
        </w:rPr>
        <w:t xml:space="preserve">that the purpose of the pre-qualification stage was </w:t>
      </w:r>
      <w:r w:rsidR="00B51588">
        <w:rPr>
          <w:rStyle w:val="PageNumber"/>
          <w:rFonts w:ascii="Arial" w:hAnsi="Arial"/>
          <w:sz w:val="24"/>
          <w:szCs w:val="24"/>
        </w:rPr>
        <w:t xml:space="preserve">meant to </w:t>
      </w:r>
      <w:r w:rsidR="00BC4AB6">
        <w:rPr>
          <w:rStyle w:val="PageNumber"/>
          <w:rFonts w:ascii="Arial" w:hAnsi="Arial"/>
          <w:sz w:val="24"/>
          <w:szCs w:val="24"/>
        </w:rPr>
        <w:t xml:space="preserve">identify those </w:t>
      </w:r>
      <w:r w:rsidR="00851BC8">
        <w:rPr>
          <w:rStyle w:val="PageNumber"/>
          <w:rFonts w:ascii="Arial" w:hAnsi="Arial"/>
          <w:sz w:val="24"/>
          <w:szCs w:val="24"/>
        </w:rPr>
        <w:t>tender</w:t>
      </w:r>
      <w:r w:rsidR="00B51588">
        <w:rPr>
          <w:rStyle w:val="PageNumber"/>
          <w:rFonts w:ascii="Arial" w:hAnsi="Arial"/>
          <w:sz w:val="24"/>
          <w:szCs w:val="24"/>
        </w:rPr>
        <w:t>er</w:t>
      </w:r>
      <w:r w:rsidR="00851BC8">
        <w:rPr>
          <w:rStyle w:val="PageNumber"/>
          <w:rFonts w:ascii="Arial" w:hAnsi="Arial"/>
          <w:sz w:val="24"/>
          <w:szCs w:val="24"/>
        </w:rPr>
        <w:t xml:space="preserve">s </w:t>
      </w:r>
      <w:r w:rsidR="00BC4AB6">
        <w:rPr>
          <w:rStyle w:val="PageNumber"/>
          <w:rFonts w:ascii="Arial" w:hAnsi="Arial"/>
          <w:sz w:val="24"/>
          <w:szCs w:val="24"/>
        </w:rPr>
        <w:t xml:space="preserve">who met </w:t>
      </w:r>
      <w:r w:rsidR="00851BC8">
        <w:rPr>
          <w:rStyle w:val="PageNumber"/>
          <w:rFonts w:ascii="Arial" w:hAnsi="Arial"/>
          <w:sz w:val="24"/>
          <w:szCs w:val="24"/>
        </w:rPr>
        <w:t>the minimum requirement</w:t>
      </w:r>
      <w:r w:rsidR="00951101">
        <w:rPr>
          <w:rStyle w:val="PageNumber"/>
          <w:rFonts w:ascii="Arial" w:hAnsi="Arial"/>
          <w:sz w:val="24"/>
          <w:szCs w:val="24"/>
        </w:rPr>
        <w:t>s</w:t>
      </w:r>
      <w:r w:rsidR="00851BC8">
        <w:rPr>
          <w:rStyle w:val="PageNumber"/>
          <w:rFonts w:ascii="Arial" w:hAnsi="Arial"/>
          <w:sz w:val="24"/>
          <w:szCs w:val="24"/>
        </w:rPr>
        <w:t xml:space="preserve"> </w:t>
      </w:r>
      <w:r w:rsidR="00B51588">
        <w:rPr>
          <w:rStyle w:val="PageNumber"/>
          <w:rFonts w:ascii="Arial" w:hAnsi="Arial"/>
          <w:sz w:val="24"/>
          <w:szCs w:val="24"/>
        </w:rPr>
        <w:t xml:space="preserve">for </w:t>
      </w:r>
      <w:r w:rsidR="00BC4AB6">
        <w:rPr>
          <w:rStyle w:val="PageNumber"/>
          <w:rFonts w:ascii="Arial" w:hAnsi="Arial"/>
          <w:sz w:val="24"/>
          <w:szCs w:val="24"/>
        </w:rPr>
        <w:t xml:space="preserve">further </w:t>
      </w:r>
      <w:r w:rsidR="00B51588">
        <w:rPr>
          <w:rStyle w:val="PageNumber"/>
          <w:rFonts w:ascii="Arial" w:hAnsi="Arial"/>
          <w:sz w:val="24"/>
          <w:szCs w:val="24"/>
        </w:rPr>
        <w:t xml:space="preserve">evaluation in the </w:t>
      </w:r>
      <w:r w:rsidR="00BD3187">
        <w:rPr>
          <w:rStyle w:val="PageNumber"/>
          <w:rFonts w:ascii="Arial" w:hAnsi="Arial"/>
          <w:sz w:val="24"/>
          <w:szCs w:val="24"/>
        </w:rPr>
        <w:t>tender process</w:t>
      </w:r>
      <w:r w:rsidR="00BC4AB6">
        <w:rPr>
          <w:rStyle w:val="PageNumber"/>
          <w:rFonts w:ascii="Arial" w:hAnsi="Arial"/>
          <w:sz w:val="24"/>
          <w:szCs w:val="24"/>
        </w:rPr>
        <w:t xml:space="preserve">: That version </w:t>
      </w:r>
      <w:r w:rsidR="00C72230">
        <w:rPr>
          <w:rStyle w:val="PageNumber"/>
          <w:rFonts w:ascii="Arial" w:hAnsi="Arial"/>
          <w:sz w:val="24"/>
          <w:szCs w:val="24"/>
        </w:rPr>
        <w:t xml:space="preserve">was </w:t>
      </w:r>
      <w:r w:rsidR="00BD3187">
        <w:rPr>
          <w:rStyle w:val="PageNumber"/>
          <w:rFonts w:ascii="Arial" w:hAnsi="Arial"/>
          <w:sz w:val="24"/>
          <w:szCs w:val="24"/>
        </w:rPr>
        <w:t>not far-fetched or untenable</w:t>
      </w:r>
      <w:r w:rsidR="000819F6">
        <w:rPr>
          <w:rStyle w:val="PageNumber"/>
          <w:rFonts w:ascii="Arial" w:hAnsi="Arial"/>
          <w:sz w:val="24"/>
          <w:szCs w:val="24"/>
        </w:rPr>
        <w:t>.</w:t>
      </w:r>
      <w:r w:rsidR="00BD3187">
        <w:rPr>
          <w:rStyle w:val="FootnoteReference"/>
          <w:rFonts w:ascii="Arial" w:hAnsi="Arial"/>
          <w:sz w:val="24"/>
          <w:szCs w:val="24"/>
        </w:rPr>
        <w:footnoteReference w:id="10"/>
      </w:r>
      <w:r w:rsidR="00BD3187">
        <w:rPr>
          <w:rStyle w:val="PageNumber"/>
          <w:rFonts w:ascii="Arial" w:hAnsi="Arial"/>
          <w:sz w:val="24"/>
          <w:szCs w:val="24"/>
        </w:rPr>
        <w:t xml:space="preserve"> </w:t>
      </w:r>
      <w:r w:rsidR="000819F6">
        <w:rPr>
          <w:rStyle w:val="PageNumber"/>
          <w:rFonts w:ascii="Arial" w:hAnsi="Arial"/>
          <w:sz w:val="24"/>
          <w:szCs w:val="24"/>
        </w:rPr>
        <w:t>We accepted that p</w:t>
      </w:r>
      <w:r w:rsidR="00BD3187">
        <w:rPr>
          <w:rStyle w:val="PageNumber"/>
          <w:rFonts w:ascii="Arial" w:hAnsi="Arial"/>
          <w:sz w:val="24"/>
          <w:szCs w:val="24"/>
        </w:rPr>
        <w:t xml:space="preserve">rice </w:t>
      </w:r>
      <w:r w:rsidR="000819F6">
        <w:rPr>
          <w:rStyle w:val="PageNumber"/>
          <w:rFonts w:ascii="Arial" w:hAnsi="Arial"/>
          <w:sz w:val="24"/>
          <w:szCs w:val="24"/>
        </w:rPr>
        <w:t xml:space="preserve">was </w:t>
      </w:r>
      <w:r w:rsidR="00BD3187">
        <w:rPr>
          <w:rStyle w:val="PageNumber"/>
          <w:rFonts w:ascii="Arial" w:hAnsi="Arial"/>
          <w:sz w:val="24"/>
          <w:szCs w:val="24"/>
        </w:rPr>
        <w:t xml:space="preserve">not the decisive factor during the evaluation stage. Not only is it undisputed that the fifth respondent </w:t>
      </w:r>
      <w:r w:rsidR="00A5205B">
        <w:rPr>
          <w:rStyle w:val="PageNumber"/>
          <w:rFonts w:ascii="Arial" w:hAnsi="Arial"/>
          <w:sz w:val="24"/>
          <w:szCs w:val="24"/>
        </w:rPr>
        <w:t>out</w:t>
      </w:r>
      <w:r w:rsidR="00BC4AB6">
        <w:rPr>
          <w:rStyle w:val="PageNumber"/>
          <w:rFonts w:ascii="Arial" w:hAnsi="Arial"/>
          <w:sz w:val="24"/>
          <w:szCs w:val="24"/>
        </w:rPr>
        <w:t>-</w:t>
      </w:r>
      <w:r w:rsidR="00BD3187">
        <w:rPr>
          <w:rStyle w:val="PageNumber"/>
          <w:rFonts w:ascii="Arial" w:hAnsi="Arial"/>
          <w:sz w:val="24"/>
          <w:szCs w:val="24"/>
        </w:rPr>
        <w:t xml:space="preserve">scored </w:t>
      </w:r>
      <w:r w:rsidR="00A5205B">
        <w:rPr>
          <w:rStyle w:val="PageNumber"/>
          <w:rFonts w:ascii="Arial" w:hAnsi="Arial"/>
          <w:sz w:val="24"/>
          <w:szCs w:val="24"/>
        </w:rPr>
        <w:t xml:space="preserve">the appellant </w:t>
      </w:r>
      <w:r w:rsidR="00BD3187">
        <w:rPr>
          <w:rStyle w:val="PageNumber"/>
          <w:rFonts w:ascii="Arial" w:hAnsi="Arial"/>
          <w:sz w:val="24"/>
          <w:szCs w:val="24"/>
        </w:rPr>
        <w:t xml:space="preserve">on the technical assessment, but the first respondent </w:t>
      </w:r>
      <w:r w:rsidR="00951101">
        <w:rPr>
          <w:rStyle w:val="PageNumber"/>
          <w:rFonts w:ascii="Arial" w:hAnsi="Arial"/>
          <w:sz w:val="24"/>
          <w:szCs w:val="24"/>
        </w:rPr>
        <w:t xml:space="preserve">advanced </w:t>
      </w:r>
      <w:r w:rsidR="00BD3187">
        <w:rPr>
          <w:rStyle w:val="PageNumber"/>
          <w:rFonts w:ascii="Arial" w:hAnsi="Arial"/>
          <w:sz w:val="24"/>
          <w:szCs w:val="24"/>
        </w:rPr>
        <w:t xml:space="preserve">cogent reasons for the </w:t>
      </w:r>
      <w:r w:rsidR="000819F6">
        <w:rPr>
          <w:rStyle w:val="PageNumber"/>
          <w:rFonts w:ascii="Arial" w:hAnsi="Arial"/>
          <w:sz w:val="24"/>
          <w:szCs w:val="24"/>
        </w:rPr>
        <w:t xml:space="preserve">application </w:t>
      </w:r>
      <w:r w:rsidR="00BD3187">
        <w:rPr>
          <w:rStyle w:val="PageNumber"/>
          <w:rFonts w:ascii="Arial" w:hAnsi="Arial"/>
          <w:sz w:val="24"/>
          <w:szCs w:val="24"/>
        </w:rPr>
        <w:t xml:space="preserve">of the </w:t>
      </w:r>
      <w:r w:rsidR="00B51588">
        <w:rPr>
          <w:rStyle w:val="PageNumber"/>
          <w:rFonts w:ascii="Arial" w:hAnsi="Arial"/>
          <w:sz w:val="24"/>
          <w:szCs w:val="24"/>
        </w:rPr>
        <w:t xml:space="preserve">MoW&amp;T </w:t>
      </w:r>
      <w:r w:rsidR="00BD3187">
        <w:rPr>
          <w:rStyle w:val="PageNumber"/>
          <w:rFonts w:ascii="Arial" w:hAnsi="Arial"/>
          <w:sz w:val="24"/>
          <w:szCs w:val="24"/>
        </w:rPr>
        <w:t>Policy to benchmark the tender price</w:t>
      </w:r>
      <w:r w:rsidR="00951101">
        <w:rPr>
          <w:rStyle w:val="PageNumber"/>
          <w:rFonts w:ascii="Arial" w:hAnsi="Arial"/>
          <w:sz w:val="24"/>
          <w:szCs w:val="24"/>
        </w:rPr>
        <w:t xml:space="preserve">: To limit </w:t>
      </w:r>
      <w:r w:rsidR="00AC4A75">
        <w:rPr>
          <w:rStyle w:val="PageNumber"/>
          <w:rFonts w:ascii="Arial" w:hAnsi="Arial"/>
          <w:sz w:val="24"/>
          <w:szCs w:val="24"/>
        </w:rPr>
        <w:t xml:space="preserve">the </w:t>
      </w:r>
      <w:r w:rsidR="00951101">
        <w:rPr>
          <w:rStyle w:val="PageNumber"/>
          <w:rFonts w:ascii="Arial" w:hAnsi="Arial"/>
          <w:sz w:val="24"/>
          <w:szCs w:val="24"/>
        </w:rPr>
        <w:t xml:space="preserve">financial </w:t>
      </w:r>
      <w:r w:rsidR="00AC4A75">
        <w:rPr>
          <w:rStyle w:val="PageNumber"/>
          <w:rFonts w:ascii="Arial" w:hAnsi="Arial"/>
          <w:sz w:val="24"/>
          <w:szCs w:val="24"/>
        </w:rPr>
        <w:t>risk posed t</w:t>
      </w:r>
      <w:r w:rsidR="006B2775">
        <w:rPr>
          <w:rStyle w:val="PageNumber"/>
          <w:rFonts w:ascii="Arial" w:hAnsi="Arial"/>
          <w:sz w:val="24"/>
          <w:szCs w:val="24"/>
        </w:rPr>
        <w:t>o</w:t>
      </w:r>
      <w:r w:rsidR="00AC4A75">
        <w:rPr>
          <w:rStyle w:val="PageNumber"/>
          <w:rFonts w:ascii="Arial" w:hAnsi="Arial"/>
          <w:sz w:val="24"/>
          <w:szCs w:val="24"/>
        </w:rPr>
        <w:t xml:space="preserve"> Governm</w:t>
      </w:r>
      <w:r w:rsidR="00951101">
        <w:rPr>
          <w:rStyle w:val="PageNumber"/>
          <w:rFonts w:ascii="Arial" w:hAnsi="Arial"/>
          <w:sz w:val="24"/>
          <w:szCs w:val="24"/>
        </w:rPr>
        <w:t>ent th</w:t>
      </w:r>
      <w:r w:rsidR="00C722C4">
        <w:rPr>
          <w:rStyle w:val="PageNumber"/>
          <w:rFonts w:ascii="Arial" w:hAnsi="Arial"/>
          <w:sz w:val="24"/>
          <w:szCs w:val="24"/>
        </w:rPr>
        <w:t>r</w:t>
      </w:r>
      <w:r w:rsidR="00951101">
        <w:rPr>
          <w:rStyle w:val="PageNumber"/>
          <w:rFonts w:ascii="Arial" w:hAnsi="Arial"/>
          <w:sz w:val="24"/>
          <w:szCs w:val="24"/>
        </w:rPr>
        <w:t xml:space="preserve">ough underperformance, increased revenues for the </w:t>
      </w:r>
      <w:r w:rsidR="001632D5">
        <w:rPr>
          <w:rStyle w:val="PageNumber"/>
          <w:rFonts w:ascii="Arial" w:hAnsi="Arial"/>
          <w:sz w:val="24"/>
          <w:szCs w:val="24"/>
        </w:rPr>
        <w:t>S</w:t>
      </w:r>
      <w:r w:rsidR="00951101">
        <w:rPr>
          <w:rStyle w:val="PageNumber"/>
          <w:rFonts w:ascii="Arial" w:hAnsi="Arial"/>
          <w:sz w:val="24"/>
          <w:szCs w:val="24"/>
        </w:rPr>
        <w:t xml:space="preserve">tate </w:t>
      </w:r>
      <w:r w:rsidR="00AC4A75">
        <w:rPr>
          <w:rStyle w:val="PageNumber"/>
          <w:rFonts w:ascii="Arial" w:hAnsi="Arial"/>
          <w:sz w:val="24"/>
          <w:szCs w:val="24"/>
        </w:rPr>
        <w:t xml:space="preserve">as </w:t>
      </w:r>
      <w:r w:rsidR="00951101">
        <w:rPr>
          <w:rStyle w:val="PageNumber"/>
          <w:rFonts w:ascii="Arial" w:hAnsi="Arial"/>
          <w:sz w:val="24"/>
          <w:szCs w:val="24"/>
        </w:rPr>
        <w:t xml:space="preserve">well as </w:t>
      </w:r>
      <w:r w:rsidR="00AC4A75">
        <w:rPr>
          <w:rStyle w:val="PageNumber"/>
          <w:rFonts w:ascii="Arial" w:hAnsi="Arial"/>
          <w:sz w:val="24"/>
          <w:szCs w:val="24"/>
        </w:rPr>
        <w:t>to ensur</w:t>
      </w:r>
      <w:r w:rsidR="00912343">
        <w:rPr>
          <w:rStyle w:val="PageNumber"/>
          <w:rFonts w:ascii="Arial" w:hAnsi="Arial"/>
          <w:sz w:val="24"/>
          <w:szCs w:val="24"/>
        </w:rPr>
        <w:t xml:space="preserve">e fair competition. </w:t>
      </w:r>
    </w:p>
    <w:p w:rsidR="00BC4AB6" w:rsidRDefault="00BC4AB6" w:rsidP="00B51588">
      <w:pPr>
        <w:pStyle w:val="MediumGrid21"/>
        <w:spacing w:line="480" w:lineRule="auto"/>
        <w:jc w:val="both"/>
        <w:rPr>
          <w:rStyle w:val="PageNumber"/>
          <w:rFonts w:ascii="Arial" w:hAnsi="Arial"/>
          <w:color w:val="auto"/>
          <w:sz w:val="24"/>
          <w:szCs w:val="24"/>
        </w:rPr>
      </w:pPr>
    </w:p>
    <w:p w:rsidR="009967AC" w:rsidRDefault="00721BA8" w:rsidP="00B51588">
      <w:pPr>
        <w:pStyle w:val="MediumGrid21"/>
        <w:spacing w:line="480" w:lineRule="auto"/>
        <w:jc w:val="both"/>
        <w:rPr>
          <w:rStyle w:val="PageNumber"/>
          <w:rFonts w:ascii="Arial" w:hAnsi="Arial"/>
          <w:color w:val="auto"/>
          <w:sz w:val="24"/>
          <w:szCs w:val="24"/>
        </w:rPr>
      </w:pPr>
      <w:r>
        <w:rPr>
          <w:rStyle w:val="PageNumber"/>
          <w:rFonts w:ascii="Arial" w:hAnsi="Arial"/>
          <w:color w:val="auto"/>
          <w:sz w:val="24"/>
          <w:szCs w:val="24"/>
        </w:rPr>
        <w:t>[35</w:t>
      </w:r>
      <w:r w:rsidR="00B51588">
        <w:rPr>
          <w:rStyle w:val="PageNumber"/>
          <w:rFonts w:ascii="Arial" w:hAnsi="Arial"/>
          <w:color w:val="auto"/>
          <w:sz w:val="24"/>
          <w:szCs w:val="24"/>
        </w:rPr>
        <w:t>]</w:t>
      </w:r>
      <w:r w:rsidR="00B51588">
        <w:rPr>
          <w:rStyle w:val="PageNumber"/>
          <w:rFonts w:ascii="Arial" w:hAnsi="Arial"/>
          <w:color w:val="auto"/>
          <w:sz w:val="24"/>
          <w:szCs w:val="24"/>
        </w:rPr>
        <w:tab/>
      </w:r>
      <w:r w:rsidR="005C6256">
        <w:rPr>
          <w:rStyle w:val="PageNumber"/>
          <w:rFonts w:ascii="Arial" w:hAnsi="Arial"/>
          <w:color w:val="auto"/>
          <w:sz w:val="24"/>
          <w:szCs w:val="24"/>
        </w:rPr>
        <w:t xml:space="preserve">The rational of applying the MoW&amp;T Policy to the </w:t>
      </w:r>
      <w:r w:rsidR="002D1257">
        <w:rPr>
          <w:rStyle w:val="PageNumber"/>
          <w:rFonts w:ascii="Arial" w:hAnsi="Arial"/>
          <w:color w:val="auto"/>
          <w:sz w:val="24"/>
          <w:szCs w:val="24"/>
        </w:rPr>
        <w:t>net</w:t>
      </w:r>
      <w:r w:rsidR="005C6256">
        <w:rPr>
          <w:rStyle w:val="PageNumber"/>
          <w:rFonts w:ascii="Arial" w:hAnsi="Arial"/>
          <w:color w:val="auto"/>
          <w:sz w:val="24"/>
          <w:szCs w:val="24"/>
        </w:rPr>
        <w:t xml:space="preserve"> </w:t>
      </w:r>
      <w:r w:rsidR="00340B3B">
        <w:rPr>
          <w:rStyle w:val="PageNumber"/>
          <w:rFonts w:ascii="Arial" w:hAnsi="Arial"/>
          <w:color w:val="auto"/>
          <w:sz w:val="24"/>
          <w:szCs w:val="24"/>
        </w:rPr>
        <w:t>(</w:t>
      </w:r>
      <w:r w:rsidR="005C6256">
        <w:rPr>
          <w:rStyle w:val="PageNumber"/>
          <w:rFonts w:ascii="Arial" w:hAnsi="Arial"/>
          <w:color w:val="auto"/>
          <w:sz w:val="24"/>
          <w:szCs w:val="24"/>
        </w:rPr>
        <w:t>as opposed to the total tender price</w:t>
      </w:r>
      <w:r w:rsidR="00340B3B">
        <w:rPr>
          <w:rStyle w:val="PageNumber"/>
          <w:rFonts w:ascii="Arial" w:hAnsi="Arial"/>
          <w:color w:val="auto"/>
          <w:sz w:val="24"/>
          <w:szCs w:val="24"/>
        </w:rPr>
        <w:t>)</w:t>
      </w:r>
      <w:r w:rsidR="005C6256">
        <w:rPr>
          <w:rStyle w:val="PageNumber"/>
          <w:rFonts w:ascii="Arial" w:hAnsi="Arial"/>
          <w:color w:val="auto"/>
          <w:sz w:val="24"/>
          <w:szCs w:val="24"/>
        </w:rPr>
        <w:t xml:space="preserve"> </w:t>
      </w:r>
      <w:r w:rsidR="00B33EEE">
        <w:rPr>
          <w:rStyle w:val="PageNumber"/>
          <w:rFonts w:ascii="Arial" w:hAnsi="Arial"/>
          <w:sz w:val="24"/>
          <w:szCs w:val="24"/>
        </w:rPr>
        <w:t>was</w:t>
      </w:r>
      <w:r w:rsidR="00ED65F5">
        <w:rPr>
          <w:rStyle w:val="PageNumber"/>
          <w:rFonts w:ascii="Arial" w:hAnsi="Arial"/>
          <w:sz w:val="24"/>
          <w:szCs w:val="24"/>
        </w:rPr>
        <w:t xml:space="preserve"> explained as follows by the</w:t>
      </w:r>
      <w:r w:rsidR="005C6256">
        <w:rPr>
          <w:rStyle w:val="PageNumber"/>
          <w:rFonts w:ascii="Arial" w:hAnsi="Arial"/>
          <w:sz w:val="24"/>
          <w:szCs w:val="24"/>
        </w:rPr>
        <w:t xml:space="preserve"> first respondent’s</w:t>
      </w:r>
      <w:r w:rsidR="00ED65F5">
        <w:rPr>
          <w:rStyle w:val="PageNumber"/>
          <w:rFonts w:ascii="Arial" w:hAnsi="Arial"/>
          <w:sz w:val="24"/>
          <w:szCs w:val="24"/>
        </w:rPr>
        <w:t xml:space="preserve"> quantity surveyor, Mr Frankel: Tenderers have no control over the fixed tender price when comparing tender result</w:t>
      </w:r>
      <w:r w:rsidR="00340B3B">
        <w:rPr>
          <w:rStyle w:val="PageNumber"/>
          <w:rFonts w:ascii="Arial" w:hAnsi="Arial"/>
          <w:sz w:val="24"/>
          <w:szCs w:val="24"/>
        </w:rPr>
        <w:t xml:space="preserve">s. It </w:t>
      </w:r>
      <w:r w:rsidR="00ED65F5">
        <w:rPr>
          <w:rStyle w:val="PageNumber"/>
          <w:rFonts w:ascii="Arial" w:hAnsi="Arial"/>
          <w:sz w:val="24"/>
          <w:szCs w:val="24"/>
        </w:rPr>
        <w:t xml:space="preserve">is therefore important to compare the </w:t>
      </w:r>
      <w:r w:rsidR="002D1257">
        <w:rPr>
          <w:rStyle w:val="PageNumber"/>
          <w:rFonts w:ascii="Arial" w:hAnsi="Arial"/>
          <w:sz w:val="24"/>
          <w:szCs w:val="24"/>
        </w:rPr>
        <w:t>net</w:t>
      </w:r>
      <w:r w:rsidR="00ED65F5">
        <w:rPr>
          <w:rStyle w:val="PageNumber"/>
          <w:rFonts w:ascii="Arial" w:hAnsi="Arial"/>
          <w:sz w:val="24"/>
          <w:szCs w:val="24"/>
        </w:rPr>
        <w:t xml:space="preserve"> tender prices as this </w:t>
      </w:r>
      <w:r w:rsidR="00B14889">
        <w:rPr>
          <w:rStyle w:val="PageNumber"/>
          <w:rFonts w:ascii="Arial" w:hAnsi="Arial"/>
          <w:sz w:val="24"/>
          <w:szCs w:val="24"/>
        </w:rPr>
        <w:t>‘</w:t>
      </w:r>
      <w:r w:rsidR="00ED65F5">
        <w:rPr>
          <w:rStyle w:val="PageNumber"/>
          <w:rFonts w:ascii="Arial" w:hAnsi="Arial"/>
          <w:sz w:val="24"/>
          <w:szCs w:val="24"/>
        </w:rPr>
        <w:t>reflects the actual value of the work for which the tenderer has submi</w:t>
      </w:r>
      <w:r w:rsidR="00B14889">
        <w:rPr>
          <w:rStyle w:val="PageNumber"/>
          <w:rFonts w:ascii="Arial" w:hAnsi="Arial"/>
          <w:sz w:val="24"/>
          <w:szCs w:val="24"/>
        </w:rPr>
        <w:t>tted his tender.’</w:t>
      </w:r>
      <w:r w:rsidR="00ED65F5">
        <w:rPr>
          <w:rStyle w:val="PageNumber"/>
          <w:rFonts w:ascii="Arial" w:hAnsi="Arial"/>
          <w:sz w:val="24"/>
          <w:szCs w:val="24"/>
        </w:rPr>
        <w:t xml:space="preserve"> In any event, </w:t>
      </w:r>
      <w:r w:rsidR="00340B3B">
        <w:rPr>
          <w:rStyle w:val="PageNumber"/>
          <w:rFonts w:ascii="Arial" w:hAnsi="Arial"/>
          <w:sz w:val="24"/>
          <w:szCs w:val="24"/>
        </w:rPr>
        <w:t xml:space="preserve">in the adjudication process </w:t>
      </w:r>
      <w:r w:rsidR="00ED65F5">
        <w:rPr>
          <w:rStyle w:val="PageNumber"/>
          <w:rFonts w:ascii="Arial" w:hAnsi="Arial"/>
          <w:sz w:val="24"/>
          <w:szCs w:val="24"/>
        </w:rPr>
        <w:t xml:space="preserve">the first respondent analysed both the total tender price as well as the </w:t>
      </w:r>
      <w:r w:rsidR="002D1257">
        <w:rPr>
          <w:rStyle w:val="PageNumber"/>
          <w:rFonts w:ascii="Arial" w:hAnsi="Arial"/>
          <w:sz w:val="24"/>
          <w:szCs w:val="24"/>
        </w:rPr>
        <w:t>net</w:t>
      </w:r>
      <w:r w:rsidR="00ED65F5">
        <w:rPr>
          <w:rStyle w:val="PageNumber"/>
          <w:rFonts w:ascii="Arial" w:hAnsi="Arial"/>
          <w:sz w:val="24"/>
          <w:szCs w:val="24"/>
        </w:rPr>
        <w:t xml:space="preserve"> tender price as is evident in the record – a point overlooked by the appellant.</w:t>
      </w:r>
      <w:r w:rsidR="00683125" w:rsidRPr="00C87789">
        <w:rPr>
          <w:rStyle w:val="PageNumber"/>
          <w:rFonts w:ascii="Arial" w:hAnsi="Arial"/>
          <w:color w:val="auto"/>
          <w:sz w:val="24"/>
          <w:szCs w:val="24"/>
        </w:rPr>
        <w:t xml:space="preserve"> </w:t>
      </w:r>
    </w:p>
    <w:p w:rsidR="00B33EEE" w:rsidRDefault="00B33EEE" w:rsidP="00B51588">
      <w:pPr>
        <w:pStyle w:val="MediumGrid21"/>
        <w:spacing w:line="480" w:lineRule="auto"/>
        <w:jc w:val="both"/>
        <w:rPr>
          <w:rStyle w:val="PageNumber"/>
          <w:rFonts w:ascii="Arial" w:hAnsi="Arial"/>
          <w:color w:val="auto"/>
          <w:sz w:val="24"/>
          <w:szCs w:val="24"/>
        </w:rPr>
      </w:pPr>
    </w:p>
    <w:p w:rsidR="002A2CB2" w:rsidRDefault="00721BA8" w:rsidP="009967AC">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[36</w:t>
      </w:r>
      <w:r w:rsidR="00C87789">
        <w:rPr>
          <w:rStyle w:val="PageNumber"/>
          <w:rFonts w:ascii="Arial" w:hAnsi="Arial"/>
          <w:sz w:val="24"/>
          <w:szCs w:val="24"/>
        </w:rPr>
        <w:t>]</w:t>
      </w:r>
      <w:r w:rsidR="00C87789">
        <w:rPr>
          <w:rStyle w:val="PageNumber"/>
          <w:rFonts w:ascii="Arial" w:hAnsi="Arial"/>
          <w:sz w:val="24"/>
          <w:szCs w:val="24"/>
        </w:rPr>
        <w:tab/>
      </w:r>
      <w:r w:rsidR="00A03559">
        <w:rPr>
          <w:rStyle w:val="PageNumber"/>
          <w:rFonts w:ascii="Arial" w:hAnsi="Arial"/>
          <w:sz w:val="24"/>
          <w:szCs w:val="24"/>
        </w:rPr>
        <w:t xml:space="preserve">In </w:t>
      </w:r>
      <w:r w:rsidR="009967AC">
        <w:rPr>
          <w:rStyle w:val="PageNumber"/>
          <w:rFonts w:ascii="Arial" w:hAnsi="Arial"/>
          <w:i/>
          <w:iCs/>
          <w:sz w:val="24"/>
          <w:szCs w:val="24"/>
        </w:rPr>
        <w:t xml:space="preserve">Trustco Ltd t/a Shield Namibia and Another v Deeds Registries Regulation Board and Others </w:t>
      </w:r>
      <w:r w:rsidR="009967AC">
        <w:rPr>
          <w:rStyle w:val="PageNumber"/>
          <w:rFonts w:ascii="Arial" w:hAnsi="Arial"/>
          <w:sz w:val="24"/>
          <w:szCs w:val="24"/>
        </w:rPr>
        <w:t xml:space="preserve">2011 (2) NR 726 (SC) </w:t>
      </w:r>
      <w:r w:rsidR="00F87D7E">
        <w:rPr>
          <w:rStyle w:val="PageNumber"/>
          <w:rFonts w:ascii="Arial" w:hAnsi="Arial"/>
          <w:sz w:val="24"/>
          <w:szCs w:val="24"/>
        </w:rPr>
        <w:t xml:space="preserve">at </w:t>
      </w:r>
      <w:r w:rsidR="009967AC">
        <w:rPr>
          <w:rStyle w:val="PageNumber"/>
          <w:rFonts w:ascii="Arial" w:hAnsi="Arial"/>
          <w:sz w:val="24"/>
          <w:szCs w:val="24"/>
        </w:rPr>
        <w:t xml:space="preserve">736, this court stated that a court will only concern itself with whether or not an administrative decision was arrived at rationally when confronted with </w:t>
      </w:r>
      <w:r w:rsidR="006B2775">
        <w:rPr>
          <w:rStyle w:val="PageNumber"/>
          <w:rFonts w:ascii="Arial" w:hAnsi="Arial"/>
          <w:sz w:val="24"/>
          <w:szCs w:val="24"/>
        </w:rPr>
        <w:t xml:space="preserve">administrative </w:t>
      </w:r>
      <w:r w:rsidR="009967AC">
        <w:rPr>
          <w:rStyle w:val="PageNumber"/>
          <w:rFonts w:ascii="Arial" w:hAnsi="Arial"/>
          <w:sz w:val="24"/>
          <w:szCs w:val="24"/>
        </w:rPr>
        <w:t xml:space="preserve">decisions </w:t>
      </w:r>
      <w:r w:rsidR="006B2775">
        <w:rPr>
          <w:rStyle w:val="PageNumber"/>
          <w:rFonts w:ascii="Arial" w:hAnsi="Arial"/>
          <w:sz w:val="24"/>
          <w:szCs w:val="24"/>
        </w:rPr>
        <w:t>that are</w:t>
      </w:r>
      <w:r w:rsidR="009967AC">
        <w:rPr>
          <w:rStyle w:val="PageNumber"/>
          <w:rFonts w:ascii="Arial" w:hAnsi="Arial"/>
          <w:sz w:val="24"/>
          <w:szCs w:val="24"/>
        </w:rPr>
        <w:t xml:space="preserve"> policy-laden</w:t>
      </w:r>
      <w:r w:rsidR="006B2775">
        <w:rPr>
          <w:rStyle w:val="PageNumber"/>
          <w:rFonts w:ascii="Arial" w:hAnsi="Arial"/>
          <w:sz w:val="24"/>
          <w:szCs w:val="24"/>
        </w:rPr>
        <w:t>.</w:t>
      </w:r>
      <w:r w:rsidR="009967AC">
        <w:rPr>
          <w:rStyle w:val="PageNumber"/>
          <w:rFonts w:ascii="Arial" w:hAnsi="Arial"/>
          <w:sz w:val="24"/>
          <w:szCs w:val="24"/>
        </w:rPr>
        <w:t xml:space="preserve"> </w:t>
      </w:r>
      <w:r w:rsidR="000819F6">
        <w:rPr>
          <w:rStyle w:val="PageNumber"/>
          <w:rFonts w:ascii="Arial" w:hAnsi="Arial"/>
          <w:sz w:val="24"/>
          <w:szCs w:val="24"/>
        </w:rPr>
        <w:t xml:space="preserve">In </w:t>
      </w:r>
      <w:r w:rsidR="00AC4A75">
        <w:rPr>
          <w:rStyle w:val="PageNumber"/>
          <w:rFonts w:ascii="Arial" w:hAnsi="Arial"/>
          <w:i/>
          <w:iCs/>
          <w:sz w:val="24"/>
          <w:szCs w:val="24"/>
        </w:rPr>
        <w:t xml:space="preserve">Bato Star Fishing (Pty) Ltd v Minister of Environmental Affairs </w:t>
      </w:r>
      <w:r w:rsidR="00AC4A75">
        <w:rPr>
          <w:rStyle w:val="PageNumber"/>
          <w:rFonts w:ascii="Arial" w:hAnsi="Arial"/>
          <w:sz w:val="24"/>
          <w:szCs w:val="24"/>
        </w:rPr>
        <w:t>[2004] ZACC 15</w:t>
      </w:r>
      <w:r w:rsidR="000819F6">
        <w:rPr>
          <w:rStyle w:val="FootnoteReference"/>
          <w:rFonts w:ascii="Arial" w:hAnsi="Arial"/>
          <w:sz w:val="24"/>
          <w:szCs w:val="24"/>
        </w:rPr>
        <w:footnoteReference w:id="11"/>
      </w:r>
      <w:r w:rsidR="00AC4A75">
        <w:rPr>
          <w:rStyle w:val="PageNumber"/>
          <w:rFonts w:ascii="Arial" w:hAnsi="Arial"/>
          <w:sz w:val="24"/>
          <w:szCs w:val="24"/>
        </w:rPr>
        <w:t xml:space="preserve">, </w:t>
      </w:r>
      <w:r w:rsidR="000819F6">
        <w:rPr>
          <w:rStyle w:val="PageNumber"/>
          <w:rFonts w:ascii="Arial" w:hAnsi="Arial"/>
          <w:sz w:val="24"/>
          <w:szCs w:val="24"/>
        </w:rPr>
        <w:t>O’Regan J, stated that</w:t>
      </w:r>
      <w:r w:rsidR="00AC4A75">
        <w:rPr>
          <w:rStyle w:val="PageNumber"/>
          <w:rFonts w:ascii="Arial" w:hAnsi="Arial"/>
          <w:sz w:val="24"/>
          <w:szCs w:val="24"/>
        </w:rPr>
        <w:t xml:space="preserve">: </w:t>
      </w:r>
    </w:p>
    <w:p w:rsidR="002A2CB2" w:rsidRDefault="002A2CB2">
      <w:pPr>
        <w:pStyle w:val="MediumGrid21"/>
        <w:tabs>
          <w:tab w:val="left" w:pos="720"/>
          <w:tab w:val="left" w:pos="2277"/>
        </w:tabs>
        <w:spacing w:line="480" w:lineRule="auto"/>
        <w:jc w:val="both"/>
        <w:rPr>
          <w:rFonts w:ascii="Arial" w:eastAsia="Arial" w:hAnsi="Arial" w:cs="Arial"/>
          <w:sz w:val="24"/>
          <w:szCs w:val="24"/>
        </w:rPr>
      </w:pPr>
    </w:p>
    <w:p w:rsidR="002A2CB2" w:rsidRDefault="00F87D7E" w:rsidP="00F87D7E">
      <w:pPr>
        <w:pStyle w:val="MediumGrid21"/>
        <w:tabs>
          <w:tab w:val="left" w:pos="720"/>
          <w:tab w:val="left" w:pos="2277"/>
        </w:tabs>
        <w:spacing w:line="360" w:lineRule="auto"/>
        <w:ind w:left="709"/>
        <w:jc w:val="both"/>
        <w:rPr>
          <w:rStyle w:val="PageNumber"/>
          <w:rFonts w:ascii="Arial" w:eastAsia="Arial" w:hAnsi="Arial" w:cs="Arial"/>
          <w:sz w:val="24"/>
          <w:szCs w:val="24"/>
        </w:rPr>
      </w:pPr>
      <w:r w:rsidRPr="00F87D7E">
        <w:rPr>
          <w:rStyle w:val="PageNumber"/>
          <w:rFonts w:ascii="Arial" w:hAnsi="Arial"/>
        </w:rPr>
        <w:t>‘</w:t>
      </w:r>
      <w:r w:rsidR="00AC4A75" w:rsidRPr="00F87D7E">
        <w:rPr>
          <w:rStyle w:val="PageNumber"/>
          <w:rFonts w:ascii="Arial" w:hAnsi="Arial"/>
        </w:rPr>
        <w:t xml:space="preserve">The Court should take care not to usurp the functions of administrative agencies. Its task is to ensure that the decisions taken by administrative agencies fall </w:t>
      </w:r>
      <w:r w:rsidR="006B2775" w:rsidRPr="00F87D7E">
        <w:rPr>
          <w:rStyle w:val="PageNumber"/>
          <w:rFonts w:ascii="Arial" w:hAnsi="Arial"/>
        </w:rPr>
        <w:t>w</w:t>
      </w:r>
      <w:r w:rsidR="00AC4A75" w:rsidRPr="00F87D7E">
        <w:rPr>
          <w:rStyle w:val="PageNumber"/>
          <w:rFonts w:ascii="Arial" w:hAnsi="Arial"/>
        </w:rPr>
        <w:t>ithin the bounds of reasonableness as</w:t>
      </w:r>
      <w:r w:rsidRPr="00F87D7E">
        <w:rPr>
          <w:rStyle w:val="PageNumber"/>
          <w:rFonts w:ascii="Arial" w:hAnsi="Arial"/>
        </w:rPr>
        <w:t xml:space="preserve"> required by the Constitution</w:t>
      </w:r>
      <w:r>
        <w:rPr>
          <w:rStyle w:val="PageNumber"/>
          <w:rFonts w:ascii="Arial" w:hAnsi="Arial"/>
          <w:sz w:val="24"/>
          <w:szCs w:val="24"/>
        </w:rPr>
        <w:t>.’</w:t>
      </w:r>
    </w:p>
    <w:p w:rsidR="002A2CB2" w:rsidRDefault="002A2CB2">
      <w:pPr>
        <w:pStyle w:val="MediumGrid21"/>
        <w:tabs>
          <w:tab w:val="left" w:pos="720"/>
          <w:tab w:val="left" w:pos="2277"/>
        </w:tabs>
        <w:spacing w:line="480" w:lineRule="auto"/>
        <w:jc w:val="both"/>
        <w:rPr>
          <w:rFonts w:ascii="Arial" w:eastAsia="Arial" w:hAnsi="Arial" w:cs="Arial"/>
          <w:sz w:val="24"/>
          <w:szCs w:val="24"/>
        </w:rPr>
      </w:pPr>
    </w:p>
    <w:p w:rsidR="002A2CB2" w:rsidRDefault="00721BA8">
      <w:pPr>
        <w:pStyle w:val="MediumGrid21"/>
        <w:tabs>
          <w:tab w:val="left" w:pos="720"/>
          <w:tab w:val="left" w:pos="2277"/>
        </w:tabs>
        <w:spacing w:line="480" w:lineRule="auto"/>
        <w:jc w:val="both"/>
        <w:rPr>
          <w:rStyle w:val="PageNumber"/>
          <w:rFonts w:ascii="Arial" w:eastAsia="Arial" w:hAnsi="Arial" w:cs="Arial"/>
          <w:sz w:val="24"/>
          <w:szCs w:val="24"/>
        </w:rPr>
      </w:pPr>
      <w:r>
        <w:rPr>
          <w:rStyle w:val="PageNumber"/>
          <w:rFonts w:ascii="Arial" w:hAnsi="Arial"/>
          <w:sz w:val="24"/>
          <w:szCs w:val="24"/>
        </w:rPr>
        <w:t>[37</w:t>
      </w:r>
      <w:r w:rsidR="00AC4A75">
        <w:rPr>
          <w:rStyle w:val="PageNumber"/>
          <w:rFonts w:ascii="Arial" w:hAnsi="Arial"/>
          <w:sz w:val="24"/>
          <w:szCs w:val="24"/>
        </w:rPr>
        <w:t>]</w:t>
      </w:r>
      <w:r w:rsidR="00AC4A75">
        <w:rPr>
          <w:rStyle w:val="PageNumber"/>
          <w:rFonts w:ascii="Arial" w:hAnsi="Arial"/>
          <w:sz w:val="24"/>
          <w:szCs w:val="24"/>
        </w:rPr>
        <w:tab/>
      </w:r>
      <w:r w:rsidR="00340B3B">
        <w:rPr>
          <w:rStyle w:val="PageNumber"/>
          <w:rFonts w:ascii="Arial" w:hAnsi="Arial"/>
          <w:sz w:val="24"/>
          <w:szCs w:val="24"/>
        </w:rPr>
        <w:t xml:space="preserve">In our view, </w:t>
      </w:r>
      <w:r w:rsidR="00BD3187">
        <w:rPr>
          <w:rStyle w:val="PageNumber"/>
          <w:rFonts w:ascii="Arial" w:hAnsi="Arial"/>
          <w:sz w:val="24"/>
          <w:szCs w:val="24"/>
        </w:rPr>
        <w:t xml:space="preserve">the </w:t>
      </w:r>
      <w:r w:rsidR="006B2775">
        <w:rPr>
          <w:rStyle w:val="PageNumber"/>
          <w:rFonts w:ascii="Arial" w:hAnsi="Arial"/>
          <w:sz w:val="24"/>
          <w:szCs w:val="24"/>
        </w:rPr>
        <w:t xml:space="preserve">SC </w:t>
      </w:r>
      <w:r w:rsidR="00601710">
        <w:rPr>
          <w:rStyle w:val="PageNumber"/>
          <w:rFonts w:ascii="Arial" w:hAnsi="Arial"/>
          <w:sz w:val="24"/>
          <w:szCs w:val="24"/>
        </w:rPr>
        <w:t xml:space="preserve">was </w:t>
      </w:r>
      <w:r w:rsidR="00AC4A75">
        <w:rPr>
          <w:rStyle w:val="PageNumber"/>
          <w:rFonts w:ascii="Arial" w:hAnsi="Arial"/>
          <w:sz w:val="24"/>
          <w:szCs w:val="24"/>
        </w:rPr>
        <w:t xml:space="preserve">best placed to determine how much weight to accord different factors in the evaluation of the tenders. It is not for the court, removed from the practical realities of the task at hand and ill-equipped with the knowledge of the business of construction, to determine the proper weighting to different factors considered. </w:t>
      </w:r>
    </w:p>
    <w:p w:rsidR="002A2CB2" w:rsidRDefault="002A2CB2">
      <w:pPr>
        <w:pStyle w:val="MediumGrid21"/>
        <w:spacing w:line="480" w:lineRule="auto"/>
        <w:jc w:val="both"/>
        <w:rPr>
          <w:rFonts w:ascii="Arial" w:eastAsia="Arial" w:hAnsi="Arial" w:cs="Arial"/>
          <w:sz w:val="24"/>
          <w:szCs w:val="24"/>
        </w:rPr>
      </w:pPr>
    </w:p>
    <w:p w:rsidR="00A03559" w:rsidRDefault="00721BA8" w:rsidP="001F10CA">
      <w:pPr>
        <w:pStyle w:val="MediumGrid21"/>
        <w:spacing w:line="480" w:lineRule="auto"/>
        <w:jc w:val="both"/>
        <w:rPr>
          <w:rStyle w:val="PageNumber"/>
          <w:rFonts w:ascii="Arial" w:hAnsi="Arial"/>
          <w:sz w:val="24"/>
          <w:szCs w:val="24"/>
        </w:rPr>
      </w:pPr>
      <w:r>
        <w:rPr>
          <w:rStyle w:val="PageNumber"/>
          <w:rFonts w:ascii="Arial" w:hAnsi="Arial"/>
          <w:sz w:val="24"/>
          <w:szCs w:val="24"/>
        </w:rPr>
        <w:t>[38</w:t>
      </w:r>
      <w:r w:rsidR="00AC4A75">
        <w:rPr>
          <w:rStyle w:val="PageNumber"/>
          <w:rFonts w:ascii="Arial" w:hAnsi="Arial"/>
          <w:sz w:val="24"/>
          <w:szCs w:val="24"/>
        </w:rPr>
        <w:t>]</w:t>
      </w:r>
      <w:r w:rsidR="00AC4A75">
        <w:rPr>
          <w:rStyle w:val="PageNumber"/>
          <w:rFonts w:ascii="Arial" w:hAnsi="Arial"/>
          <w:sz w:val="24"/>
          <w:szCs w:val="24"/>
        </w:rPr>
        <w:tab/>
        <w:t>Given the above reasons, this court c</w:t>
      </w:r>
      <w:r w:rsidR="00601710">
        <w:rPr>
          <w:rStyle w:val="PageNumber"/>
          <w:rFonts w:ascii="Arial" w:hAnsi="Arial"/>
          <w:sz w:val="24"/>
          <w:szCs w:val="24"/>
        </w:rPr>
        <w:t xml:space="preserve">ould not </w:t>
      </w:r>
      <w:r w:rsidR="00AC4A75">
        <w:rPr>
          <w:rStyle w:val="PageNumber"/>
          <w:rFonts w:ascii="Arial" w:hAnsi="Arial"/>
          <w:sz w:val="24"/>
          <w:szCs w:val="24"/>
        </w:rPr>
        <w:t xml:space="preserve">accept the submission by the appellant that the tender process was biased against </w:t>
      </w:r>
      <w:r w:rsidR="006B2775">
        <w:rPr>
          <w:rStyle w:val="PageNumber"/>
          <w:rFonts w:ascii="Arial" w:hAnsi="Arial"/>
          <w:sz w:val="24"/>
          <w:szCs w:val="24"/>
        </w:rPr>
        <w:t>it and that the p</w:t>
      </w:r>
      <w:r w:rsidR="00485C95">
        <w:rPr>
          <w:rStyle w:val="PageNumber"/>
          <w:rFonts w:ascii="Arial" w:hAnsi="Arial"/>
          <w:sz w:val="24"/>
          <w:szCs w:val="24"/>
        </w:rPr>
        <w:t>olicy was improperly applied</w:t>
      </w:r>
      <w:r w:rsidR="006B2775">
        <w:rPr>
          <w:rStyle w:val="PageNumber"/>
          <w:rFonts w:ascii="Arial" w:hAnsi="Arial"/>
          <w:sz w:val="24"/>
          <w:szCs w:val="24"/>
        </w:rPr>
        <w:t>.</w:t>
      </w:r>
    </w:p>
    <w:p w:rsidR="00A03559" w:rsidRDefault="00A03559" w:rsidP="001F10CA">
      <w:pPr>
        <w:pStyle w:val="MediumGrid21"/>
        <w:spacing w:line="480" w:lineRule="auto"/>
        <w:jc w:val="both"/>
        <w:rPr>
          <w:rStyle w:val="PageNumber"/>
          <w:rFonts w:ascii="Arial" w:hAnsi="Arial"/>
          <w:sz w:val="24"/>
          <w:szCs w:val="24"/>
        </w:rPr>
      </w:pPr>
    </w:p>
    <w:p w:rsidR="00C60622" w:rsidRPr="00C60622" w:rsidRDefault="00071715" w:rsidP="001F10CA">
      <w:pPr>
        <w:pStyle w:val="MediumGrid21"/>
        <w:spacing w:line="480" w:lineRule="auto"/>
        <w:jc w:val="both"/>
        <w:rPr>
          <w:rStyle w:val="PageNumber"/>
          <w:rFonts w:ascii="Arial" w:hAnsi="Arial"/>
          <w:i/>
          <w:sz w:val="24"/>
          <w:szCs w:val="24"/>
        </w:rPr>
      </w:pPr>
      <w:r>
        <w:rPr>
          <w:rStyle w:val="PageNumber"/>
          <w:rFonts w:ascii="Arial" w:hAnsi="Arial"/>
          <w:i/>
          <w:iCs/>
          <w:sz w:val="24"/>
          <w:szCs w:val="24"/>
        </w:rPr>
        <w:t>F</w:t>
      </w:r>
      <w:r w:rsidR="00AC4A75" w:rsidRPr="00C60622">
        <w:rPr>
          <w:rStyle w:val="PageNumber"/>
          <w:rFonts w:ascii="Arial" w:hAnsi="Arial"/>
          <w:i/>
          <w:iCs/>
          <w:sz w:val="24"/>
          <w:szCs w:val="24"/>
        </w:rPr>
        <w:t xml:space="preserve">ailure to apply </w:t>
      </w:r>
      <w:r w:rsidR="00006685" w:rsidRPr="00C60622">
        <w:rPr>
          <w:rStyle w:val="PageNumber"/>
          <w:rFonts w:ascii="Arial" w:hAnsi="Arial"/>
          <w:i/>
          <w:iCs/>
          <w:sz w:val="24"/>
          <w:szCs w:val="24"/>
        </w:rPr>
        <w:t>the</w:t>
      </w:r>
      <w:r w:rsidR="00AC4A75" w:rsidRPr="00C60622">
        <w:rPr>
          <w:rStyle w:val="PageNumber"/>
          <w:rFonts w:ascii="Arial" w:hAnsi="Arial"/>
          <w:i/>
          <w:iCs/>
          <w:sz w:val="24"/>
          <w:szCs w:val="24"/>
        </w:rPr>
        <w:t xml:space="preserve"> mind </w:t>
      </w:r>
    </w:p>
    <w:p w:rsidR="00D50FD2" w:rsidRDefault="00C60622" w:rsidP="001F10CA">
      <w:pPr>
        <w:pStyle w:val="MediumGrid21"/>
        <w:spacing w:line="480" w:lineRule="auto"/>
        <w:jc w:val="both"/>
        <w:rPr>
          <w:rStyle w:val="PageNumber"/>
          <w:rFonts w:ascii="Arial" w:hAnsi="Arial"/>
          <w:sz w:val="24"/>
          <w:szCs w:val="24"/>
        </w:rPr>
      </w:pPr>
      <w:r>
        <w:rPr>
          <w:rStyle w:val="PageNumber"/>
          <w:rFonts w:ascii="Arial" w:hAnsi="Arial"/>
          <w:sz w:val="24"/>
          <w:szCs w:val="24"/>
        </w:rPr>
        <w:t>[</w:t>
      </w:r>
      <w:r w:rsidR="00721BA8">
        <w:rPr>
          <w:rStyle w:val="PageNumber"/>
          <w:rFonts w:ascii="Arial" w:hAnsi="Arial"/>
          <w:sz w:val="24"/>
          <w:szCs w:val="24"/>
        </w:rPr>
        <w:t>39</w:t>
      </w:r>
      <w:r w:rsidR="00AC4A75">
        <w:rPr>
          <w:rStyle w:val="PageNumber"/>
          <w:rFonts w:ascii="Arial" w:hAnsi="Arial"/>
          <w:sz w:val="24"/>
          <w:szCs w:val="24"/>
        </w:rPr>
        <w:t>]</w:t>
      </w:r>
      <w:r w:rsidR="00AC4A75">
        <w:rPr>
          <w:rStyle w:val="PageNumber"/>
          <w:rFonts w:ascii="Arial" w:hAnsi="Arial"/>
          <w:sz w:val="24"/>
          <w:szCs w:val="24"/>
        </w:rPr>
        <w:tab/>
        <w:t xml:space="preserve">The appellant </w:t>
      </w:r>
      <w:r w:rsidR="004B61F4">
        <w:rPr>
          <w:rStyle w:val="PageNumber"/>
          <w:rFonts w:ascii="Arial" w:hAnsi="Arial"/>
          <w:sz w:val="24"/>
          <w:szCs w:val="24"/>
        </w:rPr>
        <w:t xml:space="preserve">contended </w:t>
      </w:r>
      <w:r w:rsidR="00AC4A75">
        <w:rPr>
          <w:rStyle w:val="PageNumber"/>
          <w:rFonts w:ascii="Arial" w:hAnsi="Arial"/>
          <w:sz w:val="24"/>
          <w:szCs w:val="24"/>
        </w:rPr>
        <w:t xml:space="preserve">that there was a lack of critical engagement </w:t>
      </w:r>
      <w:r w:rsidR="007D7CF6">
        <w:rPr>
          <w:rStyle w:val="PageNumber"/>
          <w:rFonts w:ascii="Arial" w:hAnsi="Arial"/>
          <w:sz w:val="24"/>
          <w:szCs w:val="24"/>
        </w:rPr>
        <w:t xml:space="preserve">by the Board </w:t>
      </w:r>
      <w:r w:rsidR="00AC4A75">
        <w:rPr>
          <w:rStyle w:val="PageNumber"/>
          <w:rFonts w:ascii="Arial" w:hAnsi="Arial"/>
          <w:sz w:val="24"/>
          <w:szCs w:val="24"/>
        </w:rPr>
        <w:t xml:space="preserve">with </w:t>
      </w:r>
      <w:r w:rsidR="004B61F4">
        <w:rPr>
          <w:rStyle w:val="PageNumber"/>
          <w:rFonts w:ascii="Arial" w:hAnsi="Arial"/>
          <w:sz w:val="24"/>
          <w:szCs w:val="24"/>
        </w:rPr>
        <w:t xml:space="preserve">the recommendation given to </w:t>
      </w:r>
      <w:r w:rsidR="007D7CF6">
        <w:rPr>
          <w:rStyle w:val="PageNumber"/>
          <w:rFonts w:ascii="Arial" w:hAnsi="Arial"/>
          <w:sz w:val="24"/>
          <w:szCs w:val="24"/>
        </w:rPr>
        <w:t xml:space="preserve">it </w:t>
      </w:r>
      <w:r w:rsidR="00AC4A75">
        <w:rPr>
          <w:rStyle w:val="PageNumber"/>
          <w:rFonts w:ascii="Arial" w:hAnsi="Arial"/>
          <w:sz w:val="24"/>
          <w:szCs w:val="24"/>
        </w:rPr>
        <w:t xml:space="preserve">by the </w:t>
      </w:r>
      <w:r w:rsidR="006B2775">
        <w:rPr>
          <w:rStyle w:val="PageNumber"/>
          <w:rFonts w:ascii="Arial" w:hAnsi="Arial"/>
          <w:sz w:val="24"/>
          <w:szCs w:val="24"/>
        </w:rPr>
        <w:t xml:space="preserve">expert </w:t>
      </w:r>
      <w:r w:rsidR="00AC4A75">
        <w:rPr>
          <w:rStyle w:val="PageNumber"/>
          <w:rFonts w:ascii="Arial" w:hAnsi="Arial"/>
          <w:sz w:val="24"/>
          <w:szCs w:val="24"/>
        </w:rPr>
        <w:t>committee</w:t>
      </w:r>
      <w:r w:rsidR="004B61F4">
        <w:rPr>
          <w:rStyle w:val="PageNumber"/>
          <w:rFonts w:ascii="Arial" w:hAnsi="Arial"/>
          <w:sz w:val="24"/>
          <w:szCs w:val="24"/>
        </w:rPr>
        <w:t>s under the guidance of the</w:t>
      </w:r>
      <w:r w:rsidR="007D7CF6">
        <w:rPr>
          <w:rStyle w:val="PageNumber"/>
          <w:rFonts w:ascii="Arial" w:hAnsi="Arial"/>
          <w:sz w:val="24"/>
          <w:szCs w:val="24"/>
        </w:rPr>
        <w:t xml:space="preserve"> professional construction team and that the absence of reasons is evidence that the Board</w:t>
      </w:r>
      <w:r w:rsidR="004B61F4">
        <w:rPr>
          <w:rStyle w:val="PageNumber"/>
          <w:rFonts w:ascii="Arial" w:hAnsi="Arial"/>
          <w:sz w:val="24"/>
          <w:szCs w:val="24"/>
        </w:rPr>
        <w:t xml:space="preserve"> </w:t>
      </w:r>
      <w:r w:rsidR="006B2775">
        <w:rPr>
          <w:rStyle w:val="PageNumber"/>
          <w:rFonts w:ascii="Arial" w:hAnsi="Arial"/>
          <w:sz w:val="24"/>
          <w:szCs w:val="24"/>
        </w:rPr>
        <w:t xml:space="preserve">failed to independently apply </w:t>
      </w:r>
      <w:r w:rsidR="00B34CC4">
        <w:rPr>
          <w:rStyle w:val="PageNumber"/>
          <w:rFonts w:ascii="Arial" w:hAnsi="Arial"/>
          <w:sz w:val="24"/>
          <w:szCs w:val="24"/>
        </w:rPr>
        <w:t>their</w:t>
      </w:r>
      <w:r w:rsidR="006B2775">
        <w:rPr>
          <w:rStyle w:val="PageNumber"/>
          <w:rFonts w:ascii="Arial" w:hAnsi="Arial"/>
          <w:sz w:val="24"/>
          <w:szCs w:val="24"/>
        </w:rPr>
        <w:t xml:space="preserve"> mind</w:t>
      </w:r>
      <w:r w:rsidR="007D7CF6">
        <w:rPr>
          <w:rStyle w:val="PageNumber"/>
          <w:rFonts w:ascii="Arial" w:hAnsi="Arial"/>
          <w:sz w:val="24"/>
          <w:szCs w:val="24"/>
        </w:rPr>
        <w:t>.</w:t>
      </w:r>
      <w:r w:rsidR="00AC4A75">
        <w:rPr>
          <w:rStyle w:val="PageNumber"/>
          <w:rFonts w:ascii="Arial" w:hAnsi="Arial"/>
          <w:sz w:val="24"/>
          <w:szCs w:val="24"/>
        </w:rPr>
        <w:t xml:space="preserve"> </w:t>
      </w:r>
    </w:p>
    <w:p w:rsidR="00D50FD2" w:rsidRDefault="00D50FD2" w:rsidP="001F10CA">
      <w:pPr>
        <w:pStyle w:val="MediumGrid21"/>
        <w:spacing w:line="480" w:lineRule="auto"/>
        <w:jc w:val="both"/>
        <w:rPr>
          <w:rStyle w:val="PageNumber"/>
          <w:rFonts w:ascii="Arial" w:hAnsi="Arial"/>
          <w:sz w:val="24"/>
          <w:szCs w:val="24"/>
        </w:rPr>
      </w:pPr>
    </w:p>
    <w:p w:rsidR="00EE1B75" w:rsidRDefault="00721BA8" w:rsidP="001F10CA">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[40</w:t>
      </w:r>
      <w:r w:rsidR="00D50FD2">
        <w:rPr>
          <w:rStyle w:val="PageNumber"/>
          <w:rFonts w:ascii="Arial" w:hAnsi="Arial"/>
          <w:sz w:val="24"/>
          <w:szCs w:val="24"/>
        </w:rPr>
        <w:t xml:space="preserve">] </w:t>
      </w:r>
      <w:r w:rsidR="00D50FD2">
        <w:rPr>
          <w:rStyle w:val="PageNumber"/>
          <w:rFonts w:ascii="Arial" w:hAnsi="Arial"/>
          <w:sz w:val="24"/>
          <w:szCs w:val="24"/>
        </w:rPr>
        <w:tab/>
      </w:r>
      <w:r w:rsidR="00AC4A75">
        <w:rPr>
          <w:rStyle w:val="PageNumber"/>
          <w:rFonts w:ascii="Arial" w:hAnsi="Arial"/>
          <w:sz w:val="24"/>
          <w:szCs w:val="24"/>
        </w:rPr>
        <w:t>The first</w:t>
      </w:r>
      <w:r w:rsidR="00D50FD2">
        <w:rPr>
          <w:rStyle w:val="PageNumber"/>
          <w:rFonts w:ascii="Arial" w:hAnsi="Arial"/>
          <w:sz w:val="24"/>
          <w:szCs w:val="24"/>
        </w:rPr>
        <w:t xml:space="preserve"> and second</w:t>
      </w:r>
      <w:r w:rsidR="00AC4A75">
        <w:rPr>
          <w:rStyle w:val="PageNumber"/>
          <w:rFonts w:ascii="Arial" w:hAnsi="Arial"/>
          <w:sz w:val="24"/>
          <w:szCs w:val="24"/>
        </w:rPr>
        <w:t xml:space="preserve"> respondent</w:t>
      </w:r>
      <w:r w:rsidR="00F155A8">
        <w:rPr>
          <w:rStyle w:val="PageNumber"/>
          <w:rFonts w:ascii="Arial" w:hAnsi="Arial"/>
          <w:sz w:val="24"/>
          <w:szCs w:val="24"/>
        </w:rPr>
        <w:t xml:space="preserve">s </w:t>
      </w:r>
      <w:r w:rsidR="00F87D7E">
        <w:rPr>
          <w:rStyle w:val="PageNumber"/>
          <w:rFonts w:ascii="Arial" w:hAnsi="Arial"/>
          <w:sz w:val="24"/>
          <w:szCs w:val="24"/>
        </w:rPr>
        <w:t>responded</w:t>
      </w:r>
      <w:r w:rsidR="006B2775">
        <w:rPr>
          <w:rStyle w:val="PageNumber"/>
          <w:rFonts w:ascii="Arial" w:hAnsi="Arial"/>
          <w:sz w:val="24"/>
          <w:szCs w:val="24"/>
        </w:rPr>
        <w:t xml:space="preserve"> </w:t>
      </w:r>
      <w:r w:rsidR="00F155A8">
        <w:rPr>
          <w:rStyle w:val="PageNumber"/>
          <w:rFonts w:ascii="Arial" w:hAnsi="Arial"/>
          <w:sz w:val="24"/>
          <w:szCs w:val="24"/>
        </w:rPr>
        <w:t>that</w:t>
      </w:r>
      <w:r w:rsidR="00EE1B75">
        <w:rPr>
          <w:rStyle w:val="PageNumber"/>
          <w:rFonts w:ascii="Arial" w:hAnsi="Arial"/>
          <w:sz w:val="24"/>
          <w:szCs w:val="24"/>
        </w:rPr>
        <w:t xml:space="preserve"> </w:t>
      </w:r>
      <w:r w:rsidR="00D50FD2">
        <w:rPr>
          <w:rStyle w:val="PageNumber"/>
          <w:rFonts w:ascii="Arial" w:hAnsi="Arial"/>
          <w:sz w:val="24"/>
          <w:szCs w:val="24"/>
        </w:rPr>
        <w:t xml:space="preserve">the </w:t>
      </w:r>
      <w:r w:rsidR="00AC4A75">
        <w:rPr>
          <w:rStyle w:val="PageNumber"/>
          <w:rFonts w:ascii="Arial" w:hAnsi="Arial"/>
          <w:sz w:val="24"/>
          <w:szCs w:val="24"/>
        </w:rPr>
        <w:t xml:space="preserve">reasons </w:t>
      </w:r>
      <w:r w:rsidR="00F87D7E">
        <w:rPr>
          <w:rStyle w:val="PageNumber"/>
          <w:rFonts w:ascii="Arial" w:hAnsi="Arial"/>
          <w:sz w:val="24"/>
          <w:szCs w:val="24"/>
        </w:rPr>
        <w:t xml:space="preserve">for </w:t>
      </w:r>
      <w:r w:rsidR="00D50FD2">
        <w:rPr>
          <w:rStyle w:val="PageNumber"/>
          <w:rFonts w:ascii="Arial" w:hAnsi="Arial"/>
          <w:sz w:val="24"/>
          <w:szCs w:val="24"/>
        </w:rPr>
        <w:t xml:space="preserve">awarding the tender to </w:t>
      </w:r>
      <w:r w:rsidR="003432F8">
        <w:rPr>
          <w:rStyle w:val="PageNumber"/>
          <w:rFonts w:ascii="Arial" w:hAnsi="Arial"/>
          <w:sz w:val="24"/>
          <w:szCs w:val="24"/>
        </w:rPr>
        <w:t>fifth respondent w</w:t>
      </w:r>
      <w:r w:rsidR="007D7CF6">
        <w:rPr>
          <w:rStyle w:val="PageNumber"/>
          <w:rFonts w:ascii="Arial" w:hAnsi="Arial"/>
          <w:sz w:val="24"/>
          <w:szCs w:val="24"/>
        </w:rPr>
        <w:t xml:space="preserve">ere </w:t>
      </w:r>
      <w:r w:rsidR="003432F8">
        <w:rPr>
          <w:rStyle w:val="PageNumber"/>
          <w:rFonts w:ascii="Arial" w:hAnsi="Arial"/>
          <w:sz w:val="24"/>
          <w:szCs w:val="24"/>
        </w:rPr>
        <w:t>given to the appellant</w:t>
      </w:r>
      <w:r w:rsidR="00EE1B75">
        <w:rPr>
          <w:rStyle w:val="PageNumber"/>
          <w:rFonts w:ascii="Arial" w:hAnsi="Arial"/>
          <w:sz w:val="24"/>
          <w:szCs w:val="24"/>
        </w:rPr>
        <w:t xml:space="preserve">, and further that </w:t>
      </w:r>
      <w:r w:rsidR="00F155A8">
        <w:rPr>
          <w:rStyle w:val="PageNumber"/>
          <w:rFonts w:ascii="Arial" w:hAnsi="Arial"/>
          <w:sz w:val="24"/>
          <w:szCs w:val="24"/>
        </w:rPr>
        <w:t xml:space="preserve">the technical nature of </w:t>
      </w:r>
      <w:r w:rsidR="007D7CF6">
        <w:rPr>
          <w:rStyle w:val="PageNumber"/>
          <w:rFonts w:ascii="Arial" w:hAnsi="Arial"/>
          <w:sz w:val="24"/>
          <w:szCs w:val="24"/>
        </w:rPr>
        <w:t xml:space="preserve">the </w:t>
      </w:r>
      <w:r w:rsidR="003432F8">
        <w:rPr>
          <w:rStyle w:val="PageNumber"/>
          <w:rFonts w:ascii="Arial" w:hAnsi="Arial"/>
          <w:sz w:val="24"/>
          <w:szCs w:val="24"/>
        </w:rPr>
        <w:t xml:space="preserve">procurement process </w:t>
      </w:r>
      <w:r w:rsidR="00F155A8">
        <w:rPr>
          <w:rStyle w:val="PageNumber"/>
          <w:rFonts w:ascii="Arial" w:hAnsi="Arial"/>
          <w:sz w:val="24"/>
          <w:szCs w:val="24"/>
        </w:rPr>
        <w:t xml:space="preserve">required the use of </w:t>
      </w:r>
      <w:r w:rsidR="003432F8">
        <w:rPr>
          <w:rStyle w:val="PageNumber"/>
          <w:rFonts w:ascii="Arial" w:hAnsi="Arial"/>
          <w:sz w:val="24"/>
          <w:szCs w:val="24"/>
        </w:rPr>
        <w:t xml:space="preserve">experts </w:t>
      </w:r>
      <w:r w:rsidR="0001405F">
        <w:rPr>
          <w:rStyle w:val="PageNumber"/>
          <w:rFonts w:ascii="Arial" w:hAnsi="Arial"/>
          <w:sz w:val="24"/>
          <w:szCs w:val="24"/>
        </w:rPr>
        <w:t>whose recommendations the first respondent was entitled to rely</w:t>
      </w:r>
      <w:r w:rsidR="00F155A8">
        <w:rPr>
          <w:rStyle w:val="PageNumber"/>
          <w:rFonts w:ascii="Arial" w:hAnsi="Arial"/>
          <w:sz w:val="24"/>
          <w:szCs w:val="24"/>
        </w:rPr>
        <w:t xml:space="preserve"> on</w:t>
      </w:r>
      <w:r w:rsidR="003432F8">
        <w:rPr>
          <w:rStyle w:val="PageNumber"/>
          <w:rFonts w:ascii="Arial" w:hAnsi="Arial"/>
          <w:sz w:val="24"/>
          <w:szCs w:val="24"/>
        </w:rPr>
        <w:t xml:space="preserve">. </w:t>
      </w:r>
    </w:p>
    <w:p w:rsidR="00EE1B75" w:rsidRDefault="00EE1B75" w:rsidP="001F10CA">
      <w:pPr>
        <w:pStyle w:val="MediumGrid21"/>
        <w:spacing w:line="480" w:lineRule="auto"/>
        <w:jc w:val="both"/>
        <w:rPr>
          <w:rStyle w:val="PageNumber"/>
          <w:rFonts w:ascii="Arial" w:eastAsia="Arial" w:hAnsi="Arial" w:cs="Arial"/>
          <w:sz w:val="24"/>
          <w:szCs w:val="24"/>
        </w:rPr>
      </w:pPr>
    </w:p>
    <w:p w:rsidR="002A2CB2" w:rsidRDefault="00721BA8" w:rsidP="001F10CA">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[41</w:t>
      </w:r>
      <w:r w:rsidR="00AC4A75">
        <w:rPr>
          <w:rStyle w:val="PageNumber"/>
          <w:rFonts w:ascii="Arial" w:hAnsi="Arial"/>
          <w:sz w:val="24"/>
          <w:szCs w:val="24"/>
        </w:rPr>
        <w:t>]</w:t>
      </w:r>
      <w:r w:rsidR="00AC4A75">
        <w:rPr>
          <w:rStyle w:val="PageNumber"/>
          <w:rFonts w:ascii="Arial" w:hAnsi="Arial"/>
          <w:sz w:val="24"/>
          <w:szCs w:val="24"/>
        </w:rPr>
        <w:tab/>
      </w:r>
      <w:r w:rsidR="00EE1B75">
        <w:rPr>
          <w:rStyle w:val="PageNumber"/>
          <w:rFonts w:ascii="Arial" w:hAnsi="Arial"/>
          <w:sz w:val="24"/>
          <w:szCs w:val="24"/>
        </w:rPr>
        <w:t>We were satisfied</w:t>
      </w:r>
      <w:r w:rsidR="007D7CF6">
        <w:rPr>
          <w:rStyle w:val="PageNumber"/>
          <w:rFonts w:ascii="Arial" w:hAnsi="Arial"/>
          <w:sz w:val="24"/>
          <w:szCs w:val="24"/>
        </w:rPr>
        <w:t>,</w:t>
      </w:r>
      <w:r w:rsidR="00EE1B75">
        <w:rPr>
          <w:rStyle w:val="PageNumber"/>
          <w:rFonts w:ascii="Arial" w:hAnsi="Arial"/>
          <w:sz w:val="24"/>
          <w:szCs w:val="24"/>
        </w:rPr>
        <w:t xml:space="preserve"> in keeping with </w:t>
      </w:r>
      <w:r w:rsidR="00AC4A75">
        <w:rPr>
          <w:rStyle w:val="PageNumber"/>
          <w:rFonts w:ascii="Arial" w:hAnsi="Arial"/>
          <w:i/>
          <w:iCs/>
          <w:sz w:val="24"/>
          <w:szCs w:val="24"/>
        </w:rPr>
        <w:t>CSC Neckartal Dam Joint Venture v The Tender Board of Namibia</w:t>
      </w:r>
      <w:r w:rsidR="00EE1B75">
        <w:rPr>
          <w:rStyle w:val="PageNumber"/>
          <w:rFonts w:ascii="Arial" w:hAnsi="Arial"/>
          <w:sz w:val="24"/>
          <w:szCs w:val="24"/>
        </w:rPr>
        <w:t xml:space="preserve"> 2014 (1) NR 135 (HC), </w:t>
      </w:r>
      <w:r w:rsidR="003B0255">
        <w:rPr>
          <w:rStyle w:val="PageNumber"/>
          <w:rFonts w:ascii="Arial" w:hAnsi="Arial"/>
          <w:sz w:val="24"/>
          <w:szCs w:val="24"/>
        </w:rPr>
        <w:t>that the</w:t>
      </w:r>
      <w:r w:rsidR="00EE1B75">
        <w:rPr>
          <w:rStyle w:val="PageNumber"/>
          <w:rFonts w:ascii="Arial" w:hAnsi="Arial"/>
          <w:sz w:val="24"/>
          <w:szCs w:val="24"/>
        </w:rPr>
        <w:t xml:space="preserve"> record </w:t>
      </w:r>
      <w:r w:rsidR="007D7CF6">
        <w:rPr>
          <w:rStyle w:val="PageNumber"/>
          <w:rFonts w:ascii="Arial" w:hAnsi="Arial"/>
          <w:sz w:val="24"/>
          <w:szCs w:val="24"/>
        </w:rPr>
        <w:t xml:space="preserve">shows </w:t>
      </w:r>
      <w:r w:rsidR="00EE1B75">
        <w:rPr>
          <w:rStyle w:val="PageNumber"/>
          <w:rFonts w:ascii="Arial" w:hAnsi="Arial"/>
          <w:sz w:val="24"/>
          <w:szCs w:val="24"/>
        </w:rPr>
        <w:t>that the first respondent, given the technical nature of the tender, made use of and relied on the recommendation of exp</w:t>
      </w:r>
      <w:r w:rsidR="00C70E9B">
        <w:rPr>
          <w:rStyle w:val="PageNumber"/>
          <w:rFonts w:ascii="Arial" w:hAnsi="Arial"/>
          <w:sz w:val="24"/>
          <w:szCs w:val="24"/>
        </w:rPr>
        <w:t>erts which recommendations</w:t>
      </w:r>
      <w:r w:rsidR="00EE1B75">
        <w:rPr>
          <w:rStyle w:val="PageNumber"/>
          <w:rFonts w:ascii="Arial" w:hAnsi="Arial"/>
          <w:sz w:val="24"/>
          <w:szCs w:val="24"/>
        </w:rPr>
        <w:t xml:space="preserve"> fully reflected the views relied on. </w:t>
      </w:r>
      <w:r w:rsidR="00C70E9B">
        <w:rPr>
          <w:rStyle w:val="PageNumber"/>
          <w:rFonts w:ascii="Arial" w:hAnsi="Arial"/>
          <w:sz w:val="24"/>
          <w:szCs w:val="24"/>
        </w:rPr>
        <w:t>It bears mention that the</w:t>
      </w:r>
      <w:r w:rsidR="00AC4A75">
        <w:rPr>
          <w:rStyle w:val="PageNumber"/>
          <w:rFonts w:ascii="Arial" w:hAnsi="Arial"/>
          <w:sz w:val="24"/>
          <w:szCs w:val="24"/>
        </w:rPr>
        <w:t xml:space="preserve"> appellant knew of the involvement of experts from the beginning and did not object to their involvement during the entire process until its tender failed to be selected. </w:t>
      </w:r>
    </w:p>
    <w:p w:rsidR="00257527" w:rsidRDefault="00257527" w:rsidP="001F10CA">
      <w:pPr>
        <w:pStyle w:val="MediumGrid21"/>
        <w:spacing w:line="480" w:lineRule="auto"/>
        <w:jc w:val="both"/>
        <w:rPr>
          <w:rStyle w:val="PageNumber"/>
          <w:rFonts w:ascii="Arial" w:hAnsi="Arial"/>
          <w:i/>
          <w:iCs/>
          <w:sz w:val="24"/>
          <w:szCs w:val="24"/>
        </w:rPr>
      </w:pPr>
    </w:p>
    <w:p w:rsidR="0059473E" w:rsidRPr="00071715" w:rsidRDefault="00B400B6" w:rsidP="001F10CA">
      <w:pPr>
        <w:pStyle w:val="MediumGrid21"/>
        <w:spacing w:line="480" w:lineRule="auto"/>
        <w:jc w:val="both"/>
        <w:rPr>
          <w:rStyle w:val="PageNumber"/>
          <w:rFonts w:ascii="Arial" w:hAnsi="Arial"/>
          <w:iCs/>
          <w:sz w:val="24"/>
          <w:szCs w:val="24"/>
        </w:rPr>
      </w:pPr>
      <w:r w:rsidRPr="00071715">
        <w:rPr>
          <w:rStyle w:val="PageNumber"/>
          <w:rFonts w:ascii="Arial" w:hAnsi="Arial"/>
          <w:iCs/>
          <w:sz w:val="24"/>
          <w:szCs w:val="24"/>
        </w:rPr>
        <w:t xml:space="preserve">Denial of </w:t>
      </w:r>
      <w:r w:rsidRPr="00071715">
        <w:rPr>
          <w:rStyle w:val="PageNumber"/>
          <w:rFonts w:ascii="Arial" w:hAnsi="Arial"/>
          <w:i/>
          <w:iCs/>
          <w:sz w:val="24"/>
          <w:szCs w:val="24"/>
        </w:rPr>
        <w:t>audi alteram p</w:t>
      </w:r>
      <w:r w:rsidR="00257527" w:rsidRPr="00071715">
        <w:rPr>
          <w:rStyle w:val="PageNumber"/>
          <w:rFonts w:ascii="Arial" w:hAnsi="Arial"/>
          <w:i/>
          <w:iCs/>
          <w:sz w:val="24"/>
          <w:szCs w:val="24"/>
        </w:rPr>
        <w:t>artem</w:t>
      </w:r>
      <w:r w:rsidR="00257527" w:rsidRPr="00071715">
        <w:rPr>
          <w:rStyle w:val="PageNumber"/>
          <w:rFonts w:ascii="Arial" w:hAnsi="Arial"/>
          <w:iCs/>
          <w:sz w:val="24"/>
          <w:szCs w:val="24"/>
        </w:rPr>
        <w:t xml:space="preserve"> (</w:t>
      </w:r>
      <w:r w:rsidR="00257527" w:rsidRPr="00071715">
        <w:rPr>
          <w:rStyle w:val="PageNumber"/>
          <w:rFonts w:ascii="Arial" w:hAnsi="Arial"/>
          <w:i/>
          <w:iCs/>
          <w:sz w:val="24"/>
          <w:szCs w:val="24"/>
        </w:rPr>
        <w:t>audi</w:t>
      </w:r>
      <w:r w:rsidR="00AC4A75" w:rsidRPr="00071715">
        <w:rPr>
          <w:rStyle w:val="PageNumber"/>
          <w:rFonts w:ascii="Arial" w:hAnsi="Arial"/>
          <w:iCs/>
          <w:sz w:val="24"/>
          <w:szCs w:val="24"/>
        </w:rPr>
        <w:t>)</w:t>
      </w:r>
    </w:p>
    <w:p w:rsidR="00F155A8" w:rsidRDefault="00721BA8" w:rsidP="001F10CA">
      <w:pPr>
        <w:pStyle w:val="MediumGrid21"/>
        <w:spacing w:line="480" w:lineRule="auto"/>
        <w:jc w:val="both"/>
        <w:rPr>
          <w:rStyle w:val="PageNumber"/>
          <w:rFonts w:ascii="Arial" w:hAnsi="Arial"/>
          <w:sz w:val="24"/>
          <w:szCs w:val="24"/>
        </w:rPr>
      </w:pPr>
      <w:r>
        <w:rPr>
          <w:rStyle w:val="PageNumber"/>
          <w:rFonts w:ascii="Arial" w:hAnsi="Arial"/>
          <w:sz w:val="24"/>
          <w:szCs w:val="24"/>
        </w:rPr>
        <w:t>[42</w:t>
      </w:r>
      <w:r w:rsidR="00AC4A75">
        <w:rPr>
          <w:rStyle w:val="PageNumber"/>
          <w:rFonts w:ascii="Arial" w:hAnsi="Arial"/>
          <w:sz w:val="24"/>
          <w:szCs w:val="24"/>
        </w:rPr>
        <w:t>]</w:t>
      </w:r>
      <w:r w:rsidR="00AC4A75">
        <w:rPr>
          <w:rStyle w:val="PageNumber"/>
          <w:rFonts w:ascii="Arial" w:hAnsi="Arial"/>
          <w:sz w:val="24"/>
          <w:szCs w:val="24"/>
        </w:rPr>
        <w:tab/>
        <w:t xml:space="preserve">The appellant’s submission </w:t>
      </w:r>
      <w:r w:rsidR="00F155A8">
        <w:rPr>
          <w:rStyle w:val="PageNumber"/>
          <w:rFonts w:ascii="Arial" w:hAnsi="Arial"/>
          <w:sz w:val="24"/>
          <w:szCs w:val="24"/>
        </w:rPr>
        <w:t xml:space="preserve">in the court </w:t>
      </w:r>
      <w:r w:rsidR="00AC4A75">
        <w:rPr>
          <w:rStyle w:val="PageNumber"/>
          <w:rFonts w:ascii="Arial" w:hAnsi="Arial"/>
          <w:i/>
          <w:iCs/>
          <w:sz w:val="24"/>
          <w:szCs w:val="24"/>
        </w:rPr>
        <w:t>a quo</w:t>
      </w:r>
      <w:r w:rsidR="00AC4A75">
        <w:rPr>
          <w:rStyle w:val="PageNumber"/>
          <w:rFonts w:ascii="Arial" w:hAnsi="Arial"/>
          <w:sz w:val="24"/>
          <w:szCs w:val="24"/>
        </w:rPr>
        <w:t xml:space="preserve"> and on appeal</w:t>
      </w:r>
      <w:r w:rsidR="00B400B6">
        <w:rPr>
          <w:rStyle w:val="PageNumber"/>
          <w:rFonts w:ascii="Arial" w:hAnsi="Arial"/>
          <w:sz w:val="24"/>
          <w:szCs w:val="24"/>
        </w:rPr>
        <w:t>,</w:t>
      </w:r>
      <w:r w:rsidR="00AC4A75">
        <w:rPr>
          <w:rStyle w:val="PageNumber"/>
          <w:rFonts w:ascii="Arial" w:hAnsi="Arial"/>
          <w:sz w:val="24"/>
          <w:szCs w:val="24"/>
        </w:rPr>
        <w:t xml:space="preserve"> is that the </w:t>
      </w:r>
      <w:r w:rsidR="00C70E9B">
        <w:rPr>
          <w:rStyle w:val="PageNumber"/>
          <w:rFonts w:ascii="Arial" w:hAnsi="Arial"/>
          <w:sz w:val="24"/>
          <w:szCs w:val="24"/>
        </w:rPr>
        <w:t xml:space="preserve">decision maker </w:t>
      </w:r>
      <w:r w:rsidR="00AC4A75">
        <w:rPr>
          <w:rStyle w:val="PageNumber"/>
          <w:rFonts w:ascii="Arial" w:hAnsi="Arial"/>
          <w:sz w:val="24"/>
          <w:szCs w:val="24"/>
        </w:rPr>
        <w:t xml:space="preserve">should have afforded it an opportunity to be heard before taking into consideration factors adverse to it in the tender award. </w:t>
      </w:r>
    </w:p>
    <w:p w:rsidR="00F155A8" w:rsidRDefault="00F155A8" w:rsidP="001F10CA">
      <w:pPr>
        <w:pStyle w:val="MediumGrid21"/>
        <w:spacing w:line="480" w:lineRule="auto"/>
        <w:jc w:val="both"/>
        <w:rPr>
          <w:rStyle w:val="PageNumber"/>
          <w:rFonts w:ascii="Arial" w:hAnsi="Arial"/>
          <w:sz w:val="24"/>
          <w:szCs w:val="24"/>
        </w:rPr>
      </w:pPr>
    </w:p>
    <w:p w:rsidR="002A2CB2" w:rsidRPr="00A667F2" w:rsidRDefault="00721BA8">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[43</w:t>
      </w:r>
      <w:r w:rsidR="00F155A8">
        <w:rPr>
          <w:rStyle w:val="PageNumber"/>
          <w:rFonts w:ascii="Arial" w:hAnsi="Arial"/>
          <w:sz w:val="24"/>
          <w:szCs w:val="24"/>
        </w:rPr>
        <w:t xml:space="preserve">] </w:t>
      </w:r>
      <w:r w:rsidR="00F155A8">
        <w:rPr>
          <w:rStyle w:val="PageNumber"/>
          <w:rFonts w:ascii="Arial" w:hAnsi="Arial"/>
          <w:sz w:val="24"/>
          <w:szCs w:val="24"/>
        </w:rPr>
        <w:tab/>
      </w:r>
      <w:r w:rsidR="0001405F">
        <w:rPr>
          <w:rStyle w:val="PageNumber"/>
          <w:rFonts w:ascii="Arial" w:hAnsi="Arial"/>
          <w:sz w:val="24"/>
          <w:szCs w:val="24"/>
        </w:rPr>
        <w:t>In response, t</w:t>
      </w:r>
      <w:r w:rsidR="007D7CF6">
        <w:rPr>
          <w:rStyle w:val="PageNumber"/>
          <w:rFonts w:ascii="Arial" w:hAnsi="Arial"/>
          <w:sz w:val="24"/>
          <w:szCs w:val="24"/>
        </w:rPr>
        <w:t>he first and second respondents</w:t>
      </w:r>
      <w:r w:rsidR="0001405F">
        <w:rPr>
          <w:rStyle w:val="PageNumber"/>
          <w:rFonts w:ascii="Arial" w:hAnsi="Arial"/>
          <w:sz w:val="24"/>
          <w:szCs w:val="24"/>
        </w:rPr>
        <w:t xml:space="preserve"> submitted </w:t>
      </w:r>
      <w:r w:rsidR="00F155A8">
        <w:rPr>
          <w:rStyle w:val="PageNumber"/>
          <w:rFonts w:ascii="Arial" w:hAnsi="Arial"/>
          <w:sz w:val="24"/>
          <w:szCs w:val="24"/>
        </w:rPr>
        <w:t xml:space="preserve">that the appellant’s contention </w:t>
      </w:r>
      <w:r w:rsidR="0001405F">
        <w:rPr>
          <w:rStyle w:val="PageNumber"/>
          <w:rFonts w:ascii="Arial" w:hAnsi="Arial"/>
          <w:sz w:val="24"/>
          <w:szCs w:val="24"/>
        </w:rPr>
        <w:t xml:space="preserve">did not gainsay the relevance of the factors considered in the evaluation process or that the factors considered were </w:t>
      </w:r>
      <w:r w:rsidR="00C70E9B">
        <w:rPr>
          <w:rStyle w:val="PageNumber"/>
          <w:rFonts w:ascii="Arial" w:hAnsi="Arial"/>
          <w:sz w:val="24"/>
          <w:szCs w:val="24"/>
        </w:rPr>
        <w:t>rooted in fact</w:t>
      </w:r>
      <w:r w:rsidR="0001405F">
        <w:rPr>
          <w:rStyle w:val="PageNumber"/>
          <w:rFonts w:ascii="Arial" w:hAnsi="Arial"/>
          <w:sz w:val="24"/>
          <w:szCs w:val="24"/>
        </w:rPr>
        <w:t xml:space="preserve">. </w:t>
      </w:r>
      <w:r w:rsidR="00976703" w:rsidRPr="00A667F2">
        <w:rPr>
          <w:rStyle w:val="PageNumber"/>
          <w:rFonts w:ascii="Arial" w:hAnsi="Arial"/>
          <w:sz w:val="24"/>
          <w:szCs w:val="24"/>
        </w:rPr>
        <w:t xml:space="preserve">The court a </w:t>
      </w:r>
      <w:r w:rsidR="00976703" w:rsidRPr="00A667F2">
        <w:rPr>
          <w:rStyle w:val="PageNumber"/>
          <w:rFonts w:ascii="Arial" w:hAnsi="Arial"/>
          <w:i/>
          <w:sz w:val="24"/>
          <w:szCs w:val="24"/>
        </w:rPr>
        <w:t>quo</w:t>
      </w:r>
      <w:r w:rsidR="00976703" w:rsidRPr="00A667F2">
        <w:rPr>
          <w:rStyle w:val="PageNumber"/>
          <w:rFonts w:ascii="Arial" w:hAnsi="Arial"/>
          <w:sz w:val="24"/>
          <w:szCs w:val="24"/>
        </w:rPr>
        <w:t xml:space="preserve"> held that, generally, fairness dictates that an administrative body should give the person affected by the adverse</w:t>
      </w:r>
      <w:r w:rsidR="00976BF6">
        <w:rPr>
          <w:rStyle w:val="PageNumber"/>
          <w:rFonts w:ascii="Arial" w:hAnsi="Arial"/>
          <w:sz w:val="24"/>
          <w:szCs w:val="24"/>
        </w:rPr>
        <w:t xml:space="preserve"> information an opportunity to make representation</w:t>
      </w:r>
      <w:r w:rsidR="00976703" w:rsidRPr="00A667F2">
        <w:rPr>
          <w:rStyle w:val="PageNumber"/>
          <w:rFonts w:ascii="Arial" w:hAnsi="Arial"/>
          <w:sz w:val="24"/>
          <w:szCs w:val="24"/>
        </w:rPr>
        <w:t xml:space="preserve">. The court </w:t>
      </w:r>
      <w:r w:rsidR="00976703" w:rsidRPr="00A667F2">
        <w:rPr>
          <w:rStyle w:val="PageNumber"/>
          <w:rFonts w:ascii="Arial" w:hAnsi="Arial"/>
          <w:i/>
          <w:iCs/>
          <w:sz w:val="24"/>
          <w:szCs w:val="24"/>
        </w:rPr>
        <w:t>a quo</w:t>
      </w:r>
      <w:r w:rsidR="00976703" w:rsidRPr="00A667F2">
        <w:rPr>
          <w:rStyle w:val="PageNumber"/>
          <w:rFonts w:ascii="Arial" w:hAnsi="Arial"/>
          <w:sz w:val="24"/>
          <w:szCs w:val="24"/>
        </w:rPr>
        <w:t xml:space="preserve"> however drew a distinction between information and the evaluation of such information during the process of the decision-making itself. Adverse comments regarding the quality of work of the appellant were evaluated during the course of the procurement process, but such prejudicial information was not the only factor that led to the rejection of the appellant’s bid. </w:t>
      </w:r>
      <w:r w:rsidR="00124F4D">
        <w:rPr>
          <w:rStyle w:val="PageNumber"/>
          <w:rFonts w:ascii="Arial" w:hAnsi="Arial"/>
          <w:sz w:val="24"/>
          <w:szCs w:val="24"/>
        </w:rPr>
        <w:t xml:space="preserve">In other </w:t>
      </w:r>
      <w:r w:rsidR="00976703" w:rsidRPr="00A667F2">
        <w:rPr>
          <w:rStyle w:val="PageNumber"/>
          <w:rFonts w:ascii="Arial" w:hAnsi="Arial"/>
          <w:sz w:val="24"/>
          <w:szCs w:val="24"/>
        </w:rPr>
        <w:t xml:space="preserve">words, ‘but for’ the prejudicial information regarding its past performance, it is not certain that the decision would have resulted in a different outcome. </w:t>
      </w:r>
      <w:r w:rsidR="007D7CF6">
        <w:rPr>
          <w:rStyle w:val="PageNumber"/>
          <w:rFonts w:ascii="Arial" w:hAnsi="Arial"/>
          <w:sz w:val="24"/>
          <w:szCs w:val="24"/>
        </w:rPr>
        <w:t xml:space="preserve">I agree. </w:t>
      </w:r>
    </w:p>
    <w:p w:rsidR="00A91F77" w:rsidRDefault="00A91F77">
      <w:pPr>
        <w:pStyle w:val="MediumGrid21"/>
        <w:spacing w:line="480" w:lineRule="auto"/>
        <w:jc w:val="both"/>
        <w:rPr>
          <w:rStyle w:val="PageNumber"/>
          <w:rFonts w:ascii="Arial" w:hAnsi="Arial"/>
          <w:iCs/>
          <w:sz w:val="24"/>
          <w:szCs w:val="24"/>
          <w:u w:val="single"/>
        </w:rPr>
      </w:pPr>
    </w:p>
    <w:p w:rsidR="002A2CB2" w:rsidRPr="00316C7C" w:rsidRDefault="00AC4A75">
      <w:pPr>
        <w:pStyle w:val="MediumGrid21"/>
        <w:spacing w:line="480" w:lineRule="auto"/>
        <w:jc w:val="both"/>
        <w:rPr>
          <w:rStyle w:val="PageNumber"/>
          <w:rFonts w:ascii="Arial" w:eastAsia="Arial" w:hAnsi="Arial" w:cs="Arial"/>
          <w:iCs/>
          <w:sz w:val="24"/>
          <w:szCs w:val="24"/>
          <w:u w:val="single"/>
        </w:rPr>
      </w:pPr>
      <w:r w:rsidRPr="00316C7C">
        <w:rPr>
          <w:rStyle w:val="PageNumber"/>
          <w:rFonts w:ascii="Arial" w:hAnsi="Arial"/>
          <w:iCs/>
          <w:sz w:val="24"/>
          <w:szCs w:val="24"/>
          <w:u w:val="single"/>
        </w:rPr>
        <w:t xml:space="preserve">Just and equitable not to review and set aside </w:t>
      </w:r>
    </w:p>
    <w:p w:rsidR="002A2CB2" w:rsidRDefault="00721BA8">
      <w:pPr>
        <w:pStyle w:val="MediumGrid21"/>
        <w:spacing w:line="480" w:lineRule="auto"/>
        <w:jc w:val="both"/>
        <w:rPr>
          <w:rStyle w:val="PageNumber"/>
          <w:rFonts w:ascii="Arial" w:eastAsia="Arial" w:hAnsi="Arial" w:cs="Arial"/>
          <w:sz w:val="24"/>
          <w:szCs w:val="24"/>
        </w:rPr>
      </w:pPr>
      <w:r>
        <w:rPr>
          <w:rStyle w:val="PageNumber"/>
          <w:rFonts w:ascii="Arial" w:hAnsi="Arial"/>
          <w:sz w:val="24"/>
          <w:szCs w:val="24"/>
        </w:rPr>
        <w:t>[44</w:t>
      </w:r>
      <w:r w:rsidR="00DD4054">
        <w:rPr>
          <w:rStyle w:val="PageNumber"/>
          <w:rFonts w:ascii="Arial" w:hAnsi="Arial"/>
          <w:sz w:val="24"/>
          <w:szCs w:val="24"/>
        </w:rPr>
        <w:t>]</w:t>
      </w:r>
      <w:r w:rsidR="00DD4054">
        <w:rPr>
          <w:rStyle w:val="PageNumber"/>
          <w:rFonts w:ascii="Arial" w:hAnsi="Arial"/>
          <w:sz w:val="24"/>
          <w:szCs w:val="24"/>
        </w:rPr>
        <w:tab/>
        <w:t>According to Mr</w:t>
      </w:r>
      <w:r w:rsidR="00AC4A75">
        <w:rPr>
          <w:rStyle w:val="PageNumber"/>
          <w:rFonts w:ascii="Arial" w:hAnsi="Arial"/>
          <w:sz w:val="24"/>
          <w:szCs w:val="24"/>
        </w:rPr>
        <w:t xml:space="preserve"> Maleka for the first and second respondents, the</w:t>
      </w:r>
      <w:r w:rsidR="00316C7C">
        <w:rPr>
          <w:rStyle w:val="PageNumber"/>
          <w:rFonts w:ascii="Arial" w:hAnsi="Arial"/>
          <w:sz w:val="24"/>
          <w:szCs w:val="24"/>
        </w:rPr>
        <w:t xml:space="preserve"> implementation of the</w:t>
      </w:r>
      <w:r w:rsidR="00AC4A75">
        <w:rPr>
          <w:rStyle w:val="PageNumber"/>
          <w:rFonts w:ascii="Arial" w:hAnsi="Arial"/>
          <w:sz w:val="24"/>
          <w:szCs w:val="24"/>
        </w:rPr>
        <w:t xml:space="preserve"> </w:t>
      </w:r>
      <w:r w:rsidR="00316C7C">
        <w:rPr>
          <w:rStyle w:val="PageNumber"/>
          <w:rFonts w:ascii="Arial" w:hAnsi="Arial"/>
          <w:sz w:val="24"/>
          <w:szCs w:val="24"/>
        </w:rPr>
        <w:t xml:space="preserve">tender already </w:t>
      </w:r>
      <w:r w:rsidR="00AC4A75">
        <w:rPr>
          <w:rStyle w:val="PageNumber"/>
          <w:rFonts w:ascii="Arial" w:hAnsi="Arial"/>
          <w:sz w:val="24"/>
          <w:szCs w:val="24"/>
        </w:rPr>
        <w:t xml:space="preserve">commenced and the appellant knew that the site handover </w:t>
      </w:r>
      <w:r w:rsidR="00316C7C">
        <w:rPr>
          <w:rStyle w:val="PageNumber"/>
          <w:rFonts w:ascii="Arial" w:hAnsi="Arial"/>
          <w:sz w:val="24"/>
          <w:szCs w:val="24"/>
        </w:rPr>
        <w:t xml:space="preserve">took place </w:t>
      </w:r>
      <w:r w:rsidR="00AC4A75">
        <w:rPr>
          <w:rStyle w:val="PageNumber"/>
          <w:rFonts w:ascii="Arial" w:hAnsi="Arial"/>
          <w:sz w:val="24"/>
          <w:szCs w:val="24"/>
        </w:rPr>
        <w:t xml:space="preserve">immediately after the judgment of the court </w:t>
      </w:r>
      <w:r w:rsidR="00AC4A75">
        <w:rPr>
          <w:rStyle w:val="PageNumber"/>
          <w:rFonts w:ascii="Arial" w:hAnsi="Arial"/>
          <w:i/>
          <w:iCs/>
          <w:sz w:val="24"/>
          <w:szCs w:val="24"/>
        </w:rPr>
        <w:t>a quo</w:t>
      </w:r>
      <w:r w:rsidR="00316C7C">
        <w:rPr>
          <w:rStyle w:val="PageNumber"/>
          <w:rFonts w:ascii="Arial" w:hAnsi="Arial"/>
          <w:iCs/>
          <w:sz w:val="24"/>
          <w:szCs w:val="24"/>
        </w:rPr>
        <w:t xml:space="preserve">. This was on account of the appellant’s failure to </w:t>
      </w:r>
      <w:r w:rsidR="00AC4A75">
        <w:rPr>
          <w:rStyle w:val="PageNumber"/>
          <w:rFonts w:ascii="Arial" w:hAnsi="Arial"/>
          <w:sz w:val="24"/>
          <w:szCs w:val="24"/>
        </w:rPr>
        <w:t xml:space="preserve">take steps to prevent its implementation. </w:t>
      </w:r>
      <w:r w:rsidR="00316C7C">
        <w:rPr>
          <w:rStyle w:val="PageNumber"/>
          <w:rFonts w:ascii="Arial" w:hAnsi="Arial"/>
          <w:sz w:val="24"/>
          <w:szCs w:val="24"/>
        </w:rPr>
        <w:t>This court was therefore requested to exercise its</w:t>
      </w:r>
      <w:r w:rsidR="00AC4A75">
        <w:rPr>
          <w:rStyle w:val="PageNumber"/>
          <w:rFonts w:ascii="Arial" w:hAnsi="Arial"/>
          <w:sz w:val="24"/>
          <w:szCs w:val="24"/>
        </w:rPr>
        <w:t xml:space="preserve"> discretion </w:t>
      </w:r>
      <w:r w:rsidR="001F10CA">
        <w:rPr>
          <w:rStyle w:val="PageNumber"/>
          <w:rFonts w:ascii="Arial" w:hAnsi="Arial"/>
          <w:sz w:val="24"/>
          <w:szCs w:val="24"/>
        </w:rPr>
        <w:t>not to set aside the tender even if</w:t>
      </w:r>
      <w:r w:rsidR="00316C7C">
        <w:rPr>
          <w:rStyle w:val="PageNumber"/>
          <w:rFonts w:ascii="Arial" w:hAnsi="Arial"/>
          <w:sz w:val="24"/>
          <w:szCs w:val="24"/>
        </w:rPr>
        <w:t xml:space="preserve"> </w:t>
      </w:r>
      <w:r w:rsidR="0066324C">
        <w:rPr>
          <w:rStyle w:val="PageNumber"/>
          <w:rFonts w:ascii="Arial" w:hAnsi="Arial"/>
          <w:sz w:val="24"/>
          <w:szCs w:val="24"/>
        </w:rPr>
        <w:t xml:space="preserve">any of the </w:t>
      </w:r>
      <w:r w:rsidR="00316C7C">
        <w:rPr>
          <w:rStyle w:val="PageNumber"/>
          <w:rFonts w:ascii="Arial" w:hAnsi="Arial"/>
          <w:sz w:val="24"/>
          <w:szCs w:val="24"/>
        </w:rPr>
        <w:t xml:space="preserve">grounds raised on appeal were </w:t>
      </w:r>
      <w:r w:rsidR="001F10CA">
        <w:rPr>
          <w:rStyle w:val="PageNumber"/>
          <w:rFonts w:ascii="Arial" w:hAnsi="Arial"/>
          <w:sz w:val="24"/>
          <w:szCs w:val="24"/>
        </w:rPr>
        <w:t>sustained</w:t>
      </w:r>
      <w:r w:rsidR="00316C7C">
        <w:rPr>
          <w:rStyle w:val="PageNumber"/>
          <w:rFonts w:ascii="Arial" w:hAnsi="Arial"/>
          <w:sz w:val="24"/>
          <w:szCs w:val="24"/>
        </w:rPr>
        <w:t xml:space="preserve">. </w:t>
      </w:r>
    </w:p>
    <w:p w:rsidR="002A2CB2" w:rsidRDefault="002A2CB2">
      <w:pPr>
        <w:pStyle w:val="MediumGrid21"/>
        <w:spacing w:line="480" w:lineRule="auto"/>
        <w:jc w:val="both"/>
        <w:rPr>
          <w:rFonts w:ascii="Arial" w:eastAsia="Arial" w:hAnsi="Arial" w:cs="Arial"/>
          <w:sz w:val="24"/>
          <w:szCs w:val="24"/>
        </w:rPr>
      </w:pPr>
    </w:p>
    <w:p w:rsidR="002A2CB2" w:rsidRDefault="00721BA8">
      <w:pPr>
        <w:pStyle w:val="MediumGrid21"/>
        <w:spacing w:line="480" w:lineRule="auto"/>
        <w:jc w:val="both"/>
        <w:rPr>
          <w:rStyle w:val="PageNumber"/>
          <w:rFonts w:ascii="Arial" w:hAnsi="Arial"/>
          <w:sz w:val="24"/>
          <w:szCs w:val="24"/>
        </w:rPr>
      </w:pPr>
      <w:r>
        <w:rPr>
          <w:rStyle w:val="PageNumber"/>
          <w:rFonts w:ascii="Arial" w:hAnsi="Arial"/>
          <w:sz w:val="24"/>
          <w:szCs w:val="24"/>
        </w:rPr>
        <w:t>[45</w:t>
      </w:r>
      <w:r w:rsidR="00AC4A75">
        <w:rPr>
          <w:rStyle w:val="PageNumber"/>
          <w:rFonts w:ascii="Arial" w:hAnsi="Arial"/>
          <w:sz w:val="24"/>
          <w:szCs w:val="24"/>
        </w:rPr>
        <w:t>]</w:t>
      </w:r>
      <w:r w:rsidR="00AC4A75">
        <w:rPr>
          <w:rStyle w:val="PageNumber"/>
          <w:rFonts w:ascii="Arial" w:hAnsi="Arial"/>
          <w:sz w:val="24"/>
          <w:szCs w:val="24"/>
        </w:rPr>
        <w:tab/>
        <w:t xml:space="preserve">Given our conclusion on the other grounds, it </w:t>
      </w:r>
      <w:r w:rsidR="001F10CA">
        <w:rPr>
          <w:rStyle w:val="PageNumber"/>
          <w:rFonts w:ascii="Arial" w:hAnsi="Arial"/>
          <w:sz w:val="24"/>
          <w:szCs w:val="24"/>
        </w:rPr>
        <w:t xml:space="preserve">is </w:t>
      </w:r>
      <w:r w:rsidR="007D7CF6">
        <w:rPr>
          <w:rStyle w:val="PageNumber"/>
          <w:rFonts w:ascii="Arial" w:hAnsi="Arial"/>
          <w:sz w:val="24"/>
          <w:szCs w:val="24"/>
        </w:rPr>
        <w:t xml:space="preserve">strictly not necessary </w:t>
      </w:r>
      <w:r w:rsidR="00AC4A75">
        <w:rPr>
          <w:rStyle w:val="PageNumber"/>
          <w:rFonts w:ascii="Arial" w:hAnsi="Arial"/>
          <w:sz w:val="24"/>
          <w:szCs w:val="24"/>
        </w:rPr>
        <w:t>t</w:t>
      </w:r>
      <w:r w:rsidR="001F10CA">
        <w:rPr>
          <w:rStyle w:val="PageNumber"/>
          <w:rFonts w:ascii="Arial" w:hAnsi="Arial"/>
          <w:sz w:val="24"/>
          <w:szCs w:val="24"/>
        </w:rPr>
        <w:t xml:space="preserve">o </w:t>
      </w:r>
      <w:r w:rsidR="007D7CF6">
        <w:rPr>
          <w:rStyle w:val="PageNumber"/>
          <w:rFonts w:ascii="Arial" w:hAnsi="Arial"/>
          <w:sz w:val="24"/>
          <w:szCs w:val="24"/>
        </w:rPr>
        <w:t xml:space="preserve">decide </w:t>
      </w:r>
      <w:r w:rsidR="001F10CA">
        <w:rPr>
          <w:rStyle w:val="PageNumber"/>
          <w:rFonts w:ascii="Arial" w:hAnsi="Arial"/>
          <w:sz w:val="24"/>
          <w:szCs w:val="24"/>
        </w:rPr>
        <w:t>this ground</w:t>
      </w:r>
      <w:r w:rsidR="00316C7C">
        <w:rPr>
          <w:rStyle w:val="PageNumber"/>
          <w:rFonts w:ascii="Arial" w:hAnsi="Arial"/>
          <w:sz w:val="24"/>
          <w:szCs w:val="24"/>
        </w:rPr>
        <w:t xml:space="preserve">. It however </w:t>
      </w:r>
      <w:r w:rsidR="003A3404">
        <w:rPr>
          <w:rStyle w:val="PageNumber"/>
          <w:rFonts w:ascii="Arial" w:hAnsi="Arial"/>
          <w:sz w:val="24"/>
          <w:szCs w:val="24"/>
        </w:rPr>
        <w:t xml:space="preserve">bears mention that </w:t>
      </w:r>
      <w:r w:rsidR="00AC4A75">
        <w:rPr>
          <w:rStyle w:val="PageNumber"/>
          <w:rFonts w:ascii="Arial" w:hAnsi="Arial"/>
          <w:sz w:val="24"/>
          <w:szCs w:val="24"/>
        </w:rPr>
        <w:t xml:space="preserve">in electing </w:t>
      </w:r>
      <w:r w:rsidR="00316C7C">
        <w:rPr>
          <w:rStyle w:val="PageNumber"/>
          <w:rFonts w:ascii="Arial" w:hAnsi="Arial"/>
          <w:sz w:val="24"/>
          <w:szCs w:val="24"/>
        </w:rPr>
        <w:t>to seek urgent review without</w:t>
      </w:r>
      <w:r w:rsidR="00AC4A75">
        <w:rPr>
          <w:rStyle w:val="PageNumber"/>
          <w:rFonts w:ascii="Arial" w:hAnsi="Arial"/>
          <w:sz w:val="24"/>
          <w:szCs w:val="24"/>
        </w:rPr>
        <w:t xml:space="preserve"> interim</w:t>
      </w:r>
      <w:r w:rsidR="00316C7C">
        <w:rPr>
          <w:rStyle w:val="PageNumber"/>
          <w:rFonts w:ascii="Arial" w:hAnsi="Arial"/>
          <w:sz w:val="24"/>
          <w:szCs w:val="24"/>
        </w:rPr>
        <w:t xml:space="preserve"> interdictory</w:t>
      </w:r>
      <w:r w:rsidR="00AC4A75">
        <w:rPr>
          <w:rStyle w:val="PageNumber"/>
          <w:rFonts w:ascii="Arial" w:hAnsi="Arial"/>
          <w:sz w:val="24"/>
          <w:szCs w:val="24"/>
        </w:rPr>
        <w:t xml:space="preserve"> </w:t>
      </w:r>
      <w:r w:rsidR="00316C7C">
        <w:rPr>
          <w:rStyle w:val="PageNumber"/>
          <w:rFonts w:ascii="Arial" w:hAnsi="Arial"/>
          <w:sz w:val="24"/>
          <w:szCs w:val="24"/>
        </w:rPr>
        <w:t>relief</w:t>
      </w:r>
      <w:r w:rsidR="00AC4A75">
        <w:rPr>
          <w:rStyle w:val="PageNumber"/>
          <w:rFonts w:ascii="Arial" w:hAnsi="Arial"/>
          <w:sz w:val="24"/>
          <w:szCs w:val="24"/>
        </w:rPr>
        <w:t xml:space="preserve">, </w:t>
      </w:r>
      <w:r w:rsidR="003A3404">
        <w:rPr>
          <w:rStyle w:val="PageNumber"/>
          <w:rFonts w:ascii="Arial" w:hAnsi="Arial"/>
          <w:sz w:val="24"/>
          <w:szCs w:val="24"/>
        </w:rPr>
        <w:t xml:space="preserve">the appellant </w:t>
      </w:r>
      <w:r w:rsidR="00AC4A75">
        <w:rPr>
          <w:rStyle w:val="PageNumber"/>
          <w:rFonts w:ascii="Arial" w:hAnsi="Arial"/>
          <w:sz w:val="24"/>
          <w:szCs w:val="24"/>
        </w:rPr>
        <w:t>accept</w:t>
      </w:r>
      <w:r w:rsidR="003A3404">
        <w:rPr>
          <w:rStyle w:val="PageNumber"/>
          <w:rFonts w:ascii="Arial" w:hAnsi="Arial"/>
          <w:sz w:val="24"/>
          <w:szCs w:val="24"/>
        </w:rPr>
        <w:t xml:space="preserve">ed the risk that came </w:t>
      </w:r>
      <w:r w:rsidR="00AC4A75">
        <w:rPr>
          <w:rStyle w:val="PageNumber"/>
          <w:rFonts w:ascii="Arial" w:hAnsi="Arial"/>
          <w:sz w:val="24"/>
          <w:szCs w:val="24"/>
        </w:rPr>
        <w:t>with such an election.</w:t>
      </w:r>
      <w:r w:rsidR="003A3404">
        <w:rPr>
          <w:rStyle w:val="PageNumber"/>
          <w:rFonts w:ascii="Arial" w:hAnsi="Arial"/>
          <w:sz w:val="24"/>
          <w:szCs w:val="24"/>
        </w:rPr>
        <w:t xml:space="preserve"> </w:t>
      </w:r>
      <w:r w:rsidR="00316C7C">
        <w:rPr>
          <w:rStyle w:val="PageNumber"/>
          <w:rFonts w:ascii="Arial" w:hAnsi="Arial"/>
          <w:sz w:val="24"/>
          <w:szCs w:val="24"/>
        </w:rPr>
        <w:t>T</w:t>
      </w:r>
      <w:r w:rsidR="003A3404">
        <w:rPr>
          <w:rStyle w:val="PageNumber"/>
          <w:rFonts w:ascii="Arial" w:hAnsi="Arial"/>
          <w:sz w:val="24"/>
          <w:szCs w:val="24"/>
        </w:rPr>
        <w:t xml:space="preserve">he point made by Mr Maleka should </w:t>
      </w:r>
      <w:r w:rsidR="007D7CF6">
        <w:rPr>
          <w:rStyle w:val="PageNumber"/>
          <w:rFonts w:ascii="Arial" w:hAnsi="Arial"/>
          <w:sz w:val="24"/>
          <w:szCs w:val="24"/>
        </w:rPr>
        <w:t xml:space="preserve">therefore </w:t>
      </w:r>
      <w:r w:rsidR="003A3404">
        <w:rPr>
          <w:rStyle w:val="PageNumber"/>
          <w:rFonts w:ascii="Arial" w:hAnsi="Arial"/>
          <w:sz w:val="24"/>
          <w:szCs w:val="24"/>
        </w:rPr>
        <w:t>serve as a warning to applicants who seek review without seeking interim interdictory relief.</w:t>
      </w:r>
      <w:r w:rsidR="00AC4A75">
        <w:rPr>
          <w:rStyle w:val="PageNumber"/>
          <w:rFonts w:ascii="Arial" w:hAnsi="Arial"/>
          <w:sz w:val="24"/>
          <w:szCs w:val="24"/>
        </w:rPr>
        <w:t xml:space="preserve"> </w:t>
      </w:r>
    </w:p>
    <w:p w:rsidR="00EE5721" w:rsidRDefault="00EE5721">
      <w:pPr>
        <w:pStyle w:val="MediumGrid21"/>
        <w:spacing w:line="480" w:lineRule="auto"/>
        <w:jc w:val="both"/>
        <w:rPr>
          <w:rStyle w:val="PageNumber"/>
          <w:rFonts w:ascii="Arial" w:eastAsia="Arial" w:hAnsi="Arial" w:cs="Arial"/>
          <w:sz w:val="24"/>
          <w:szCs w:val="24"/>
        </w:rPr>
      </w:pPr>
    </w:p>
    <w:p w:rsidR="002A2CB2" w:rsidRDefault="00AC4A75">
      <w:pPr>
        <w:pStyle w:val="MediumGrid21"/>
        <w:spacing w:line="480" w:lineRule="auto"/>
        <w:jc w:val="both"/>
        <w:rPr>
          <w:rStyle w:val="PageNumber"/>
          <w:rFonts w:ascii="Arial" w:eastAsia="Arial" w:hAnsi="Arial" w:cs="Arial"/>
          <w:sz w:val="24"/>
          <w:szCs w:val="24"/>
          <w:u w:val="single"/>
        </w:rPr>
      </w:pPr>
      <w:r>
        <w:rPr>
          <w:rStyle w:val="PageNumber"/>
          <w:rFonts w:ascii="Arial" w:hAnsi="Arial"/>
          <w:sz w:val="24"/>
          <w:szCs w:val="24"/>
          <w:u w:val="single"/>
        </w:rPr>
        <w:t>Disposal</w:t>
      </w:r>
    </w:p>
    <w:p w:rsidR="008F5FE8" w:rsidRDefault="00721BA8">
      <w:pPr>
        <w:pStyle w:val="MediumGrid21"/>
        <w:spacing w:line="480" w:lineRule="auto"/>
        <w:jc w:val="both"/>
        <w:rPr>
          <w:rStyle w:val="PageNumber"/>
          <w:rFonts w:ascii="Arial" w:hAnsi="Arial"/>
          <w:sz w:val="24"/>
          <w:szCs w:val="24"/>
        </w:rPr>
      </w:pPr>
      <w:r>
        <w:rPr>
          <w:rStyle w:val="PageNumber"/>
          <w:rFonts w:ascii="Arial" w:hAnsi="Arial"/>
          <w:sz w:val="24"/>
          <w:szCs w:val="24"/>
        </w:rPr>
        <w:t>[46</w:t>
      </w:r>
      <w:r w:rsidR="008F5FE8">
        <w:rPr>
          <w:rStyle w:val="PageNumber"/>
          <w:rFonts w:ascii="Arial" w:hAnsi="Arial"/>
          <w:sz w:val="24"/>
          <w:szCs w:val="24"/>
        </w:rPr>
        <w:t>]</w:t>
      </w:r>
      <w:r w:rsidR="008F5FE8">
        <w:rPr>
          <w:rStyle w:val="PageNumber"/>
          <w:rFonts w:ascii="Arial" w:hAnsi="Arial"/>
          <w:sz w:val="24"/>
          <w:szCs w:val="24"/>
        </w:rPr>
        <w:tab/>
      </w:r>
      <w:r w:rsidR="00AC4A75">
        <w:rPr>
          <w:rStyle w:val="PageNumber"/>
          <w:rFonts w:ascii="Arial" w:hAnsi="Arial"/>
          <w:sz w:val="24"/>
          <w:szCs w:val="24"/>
        </w:rPr>
        <w:t>It was for the above reasons that we made the order previously stated.</w:t>
      </w:r>
    </w:p>
    <w:p w:rsidR="00EE5721" w:rsidRDefault="00EE5721" w:rsidP="00941B4F">
      <w:pPr>
        <w:pStyle w:val="MediumGrid21"/>
        <w:jc w:val="both"/>
        <w:rPr>
          <w:rStyle w:val="PageNumber"/>
          <w:rFonts w:ascii="Arial" w:hAnsi="Arial"/>
          <w:sz w:val="24"/>
          <w:szCs w:val="24"/>
        </w:rPr>
      </w:pPr>
    </w:p>
    <w:p w:rsidR="00EE5721" w:rsidRDefault="00EE5721" w:rsidP="00941B4F">
      <w:pPr>
        <w:pStyle w:val="MediumGrid21"/>
        <w:jc w:val="both"/>
        <w:rPr>
          <w:rStyle w:val="PageNumber"/>
          <w:rFonts w:ascii="Arial" w:hAnsi="Arial"/>
          <w:sz w:val="24"/>
          <w:szCs w:val="24"/>
        </w:rPr>
      </w:pPr>
    </w:p>
    <w:p w:rsidR="00EE5721" w:rsidRDefault="00EE5721" w:rsidP="00941B4F">
      <w:pPr>
        <w:pStyle w:val="MediumGrid21"/>
        <w:jc w:val="both"/>
        <w:rPr>
          <w:rStyle w:val="PageNumber"/>
          <w:rFonts w:ascii="Arial" w:hAnsi="Arial"/>
          <w:sz w:val="24"/>
          <w:szCs w:val="24"/>
        </w:rPr>
      </w:pPr>
    </w:p>
    <w:p w:rsidR="00B766C6" w:rsidRDefault="00B766C6" w:rsidP="00941B4F">
      <w:pPr>
        <w:pStyle w:val="MediumGrid21"/>
        <w:jc w:val="both"/>
        <w:rPr>
          <w:rStyle w:val="PageNumber"/>
          <w:rFonts w:ascii="Arial" w:hAnsi="Arial"/>
          <w:sz w:val="24"/>
          <w:szCs w:val="24"/>
        </w:rPr>
      </w:pPr>
    </w:p>
    <w:p w:rsidR="002A2CB2" w:rsidRDefault="00941B4F" w:rsidP="00941B4F">
      <w:pPr>
        <w:pStyle w:val="MediumGrid21"/>
        <w:jc w:val="both"/>
        <w:rPr>
          <w:rStyle w:val="PageNumber"/>
          <w:rFonts w:ascii="Arial" w:eastAsia="Arial" w:hAnsi="Arial" w:cs="Arial"/>
          <w:sz w:val="24"/>
          <w:szCs w:val="24"/>
        </w:rPr>
      </w:pPr>
      <w:r>
        <w:rPr>
          <w:rStyle w:val="PageNumber"/>
          <w:rFonts w:ascii="Arial" w:hAnsi="Arial"/>
          <w:sz w:val="24"/>
          <w:szCs w:val="24"/>
        </w:rPr>
        <w:t>____________________</w:t>
      </w:r>
    </w:p>
    <w:p w:rsidR="002A2CB2" w:rsidRDefault="00AC4A75" w:rsidP="00941B4F">
      <w:pPr>
        <w:pStyle w:val="ColorfulList-Accent11"/>
        <w:spacing w:after="0" w:line="240" w:lineRule="auto"/>
        <w:ind w:left="0"/>
        <w:jc w:val="both"/>
        <w:outlineLvl w:val="0"/>
        <w:rPr>
          <w:rStyle w:val="PageNumber"/>
          <w:rFonts w:ascii="Arial" w:eastAsia="Arial" w:hAnsi="Arial" w:cs="Arial"/>
          <w:b/>
          <w:bCs/>
          <w:sz w:val="24"/>
          <w:szCs w:val="24"/>
        </w:rPr>
      </w:pPr>
      <w:r>
        <w:rPr>
          <w:rStyle w:val="PageNumber"/>
          <w:rFonts w:ascii="Arial" w:hAnsi="Arial"/>
          <w:b/>
          <w:bCs/>
          <w:sz w:val="24"/>
          <w:szCs w:val="24"/>
        </w:rPr>
        <w:t>DAMASEB DCJ</w:t>
      </w:r>
    </w:p>
    <w:p w:rsidR="002A2CB2" w:rsidRDefault="002A2CB2" w:rsidP="00941B4F">
      <w:pPr>
        <w:pStyle w:val="ColorfulList-Accent11"/>
        <w:spacing w:after="0" w:line="240" w:lineRule="auto"/>
        <w:ind w:left="0"/>
        <w:jc w:val="both"/>
        <w:rPr>
          <w:rStyle w:val="PageNumber"/>
          <w:rFonts w:ascii="Arial" w:eastAsia="Arial" w:hAnsi="Arial" w:cs="Arial"/>
          <w:sz w:val="24"/>
          <w:szCs w:val="24"/>
        </w:rPr>
      </w:pPr>
    </w:p>
    <w:p w:rsidR="002A2CB2" w:rsidRDefault="002A2CB2">
      <w:pPr>
        <w:pStyle w:val="ColorfulList-Accent11"/>
        <w:spacing w:after="0" w:line="240" w:lineRule="auto"/>
        <w:ind w:left="0"/>
        <w:jc w:val="both"/>
        <w:rPr>
          <w:rStyle w:val="PageNumber"/>
          <w:rFonts w:ascii="Arial" w:eastAsia="Arial" w:hAnsi="Arial" w:cs="Arial"/>
          <w:sz w:val="24"/>
          <w:szCs w:val="24"/>
        </w:rPr>
      </w:pPr>
    </w:p>
    <w:p w:rsidR="002A2CB2" w:rsidRDefault="002A2CB2">
      <w:pPr>
        <w:pStyle w:val="ColorfulList-Accent11"/>
        <w:spacing w:after="0" w:line="240" w:lineRule="auto"/>
        <w:ind w:left="0"/>
        <w:jc w:val="both"/>
        <w:rPr>
          <w:rStyle w:val="PageNumber"/>
          <w:rFonts w:ascii="Arial" w:eastAsia="Arial" w:hAnsi="Arial" w:cs="Arial"/>
          <w:sz w:val="24"/>
          <w:szCs w:val="24"/>
        </w:rPr>
      </w:pPr>
    </w:p>
    <w:p w:rsidR="002A2CB2" w:rsidRDefault="002A2CB2">
      <w:pPr>
        <w:pStyle w:val="ColorfulList-Accent11"/>
        <w:spacing w:after="0" w:line="240" w:lineRule="auto"/>
        <w:ind w:left="0"/>
        <w:jc w:val="both"/>
        <w:rPr>
          <w:rStyle w:val="PageNumber"/>
          <w:rFonts w:ascii="Arial" w:eastAsia="Arial" w:hAnsi="Arial" w:cs="Arial"/>
          <w:sz w:val="24"/>
          <w:szCs w:val="24"/>
        </w:rPr>
      </w:pPr>
    </w:p>
    <w:p w:rsidR="002A2CB2" w:rsidRDefault="00941B4F" w:rsidP="00941B4F">
      <w:pPr>
        <w:pStyle w:val="ColorfulList-Accent11"/>
        <w:spacing w:after="0" w:line="240" w:lineRule="auto"/>
        <w:ind w:left="0"/>
        <w:jc w:val="both"/>
        <w:rPr>
          <w:rStyle w:val="PageNumber"/>
          <w:rFonts w:ascii="Arial" w:eastAsia="Arial" w:hAnsi="Arial" w:cs="Arial"/>
          <w:sz w:val="24"/>
          <w:szCs w:val="24"/>
        </w:rPr>
      </w:pPr>
      <w:r>
        <w:rPr>
          <w:rStyle w:val="PageNumber"/>
          <w:rFonts w:ascii="Arial" w:hAnsi="Arial"/>
          <w:sz w:val="24"/>
          <w:szCs w:val="24"/>
        </w:rPr>
        <w:t>______________________</w:t>
      </w:r>
    </w:p>
    <w:p w:rsidR="002A2CB2" w:rsidRDefault="00AC4A75" w:rsidP="00941B4F">
      <w:pPr>
        <w:pStyle w:val="ColorfulList-Accent11"/>
        <w:spacing w:after="0" w:line="240" w:lineRule="auto"/>
        <w:ind w:left="0"/>
        <w:jc w:val="both"/>
        <w:outlineLvl w:val="0"/>
        <w:rPr>
          <w:rStyle w:val="PageNumber"/>
          <w:rFonts w:ascii="Arial" w:eastAsia="Arial" w:hAnsi="Arial" w:cs="Arial"/>
          <w:b/>
          <w:bCs/>
          <w:sz w:val="24"/>
          <w:szCs w:val="24"/>
        </w:rPr>
      </w:pPr>
      <w:r>
        <w:rPr>
          <w:rStyle w:val="PageNumber"/>
          <w:rFonts w:ascii="Arial" w:hAnsi="Arial"/>
          <w:b/>
          <w:bCs/>
          <w:sz w:val="24"/>
          <w:szCs w:val="24"/>
        </w:rPr>
        <w:t xml:space="preserve">MAINGA JA </w:t>
      </w:r>
    </w:p>
    <w:p w:rsidR="002A2CB2" w:rsidRDefault="002A2CB2" w:rsidP="00941B4F">
      <w:pPr>
        <w:pStyle w:val="ColorfulList-Accent11"/>
        <w:spacing w:after="0" w:line="240" w:lineRule="auto"/>
        <w:ind w:left="0"/>
        <w:jc w:val="both"/>
        <w:rPr>
          <w:rStyle w:val="PageNumber"/>
          <w:rFonts w:ascii="Arial" w:eastAsia="Arial" w:hAnsi="Arial" w:cs="Arial"/>
          <w:sz w:val="24"/>
          <w:szCs w:val="24"/>
        </w:rPr>
      </w:pPr>
    </w:p>
    <w:p w:rsidR="002A2CB2" w:rsidRDefault="002A2CB2" w:rsidP="00941B4F">
      <w:pPr>
        <w:pStyle w:val="ColorfulList-Accent11"/>
        <w:spacing w:after="0" w:line="240" w:lineRule="auto"/>
        <w:ind w:left="0"/>
        <w:jc w:val="both"/>
        <w:rPr>
          <w:rStyle w:val="PageNumber"/>
          <w:rFonts w:ascii="Arial" w:eastAsia="Arial" w:hAnsi="Arial" w:cs="Arial"/>
          <w:sz w:val="24"/>
          <w:szCs w:val="24"/>
        </w:rPr>
      </w:pPr>
    </w:p>
    <w:p w:rsidR="002A2CB2" w:rsidRDefault="002A2CB2">
      <w:pPr>
        <w:pStyle w:val="ColorfulList-Accent11"/>
        <w:spacing w:after="0" w:line="240" w:lineRule="auto"/>
        <w:ind w:left="0"/>
        <w:jc w:val="both"/>
        <w:rPr>
          <w:rStyle w:val="PageNumber"/>
          <w:rFonts w:ascii="Arial" w:eastAsia="Arial" w:hAnsi="Arial" w:cs="Arial"/>
          <w:sz w:val="24"/>
          <w:szCs w:val="24"/>
        </w:rPr>
      </w:pPr>
    </w:p>
    <w:p w:rsidR="002A2CB2" w:rsidRDefault="002A2CB2">
      <w:pPr>
        <w:pStyle w:val="ColorfulList-Accent11"/>
        <w:spacing w:after="0" w:line="240" w:lineRule="auto"/>
        <w:ind w:left="0"/>
        <w:jc w:val="both"/>
        <w:rPr>
          <w:rStyle w:val="PageNumber"/>
          <w:rFonts w:ascii="Arial" w:eastAsia="Arial" w:hAnsi="Arial" w:cs="Arial"/>
          <w:sz w:val="24"/>
          <w:szCs w:val="24"/>
        </w:rPr>
      </w:pPr>
    </w:p>
    <w:p w:rsidR="002A2CB2" w:rsidRDefault="00941B4F" w:rsidP="00941B4F">
      <w:pPr>
        <w:pStyle w:val="ColorfulList-Accent11"/>
        <w:spacing w:after="0" w:line="240" w:lineRule="auto"/>
        <w:ind w:left="0"/>
        <w:jc w:val="both"/>
        <w:rPr>
          <w:rStyle w:val="PageNumber"/>
          <w:rFonts w:ascii="Arial" w:eastAsia="Arial" w:hAnsi="Arial" w:cs="Arial"/>
          <w:sz w:val="24"/>
          <w:szCs w:val="24"/>
        </w:rPr>
      </w:pPr>
      <w:r>
        <w:rPr>
          <w:rStyle w:val="PageNumber"/>
          <w:rFonts w:ascii="Arial" w:hAnsi="Arial"/>
          <w:sz w:val="24"/>
          <w:szCs w:val="24"/>
        </w:rPr>
        <w:t>______________________</w:t>
      </w:r>
    </w:p>
    <w:p w:rsidR="002A2CB2" w:rsidRDefault="00AC4A75" w:rsidP="00941B4F">
      <w:pPr>
        <w:pStyle w:val="ColorfulList-Accent11"/>
        <w:spacing w:after="0" w:line="240" w:lineRule="auto"/>
        <w:ind w:left="0"/>
        <w:jc w:val="both"/>
        <w:outlineLvl w:val="0"/>
        <w:rPr>
          <w:rStyle w:val="PageNumber"/>
          <w:rFonts w:ascii="Arial" w:eastAsia="Arial" w:hAnsi="Arial" w:cs="Arial"/>
          <w:b/>
          <w:bCs/>
          <w:sz w:val="24"/>
          <w:szCs w:val="24"/>
        </w:rPr>
      </w:pPr>
      <w:r>
        <w:rPr>
          <w:rStyle w:val="PageNumber"/>
          <w:rFonts w:ascii="Arial" w:hAnsi="Arial"/>
          <w:b/>
          <w:bCs/>
          <w:sz w:val="24"/>
          <w:szCs w:val="24"/>
        </w:rPr>
        <w:t>STRYDOM AJA</w:t>
      </w:r>
    </w:p>
    <w:p w:rsidR="002A2CB2" w:rsidRDefault="002A2CB2"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Default="00941B4F"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EE5721" w:rsidRDefault="00EE5721" w:rsidP="00941B4F">
      <w:pPr>
        <w:pStyle w:val="ColorfulList-Accent11"/>
        <w:spacing w:after="0" w:line="240" w:lineRule="auto"/>
        <w:ind w:left="0"/>
        <w:jc w:val="both"/>
        <w:outlineLvl w:val="0"/>
        <w:rPr>
          <w:rStyle w:val="PageNumber"/>
          <w:rFonts w:ascii="Arial" w:eastAsia="Arial" w:hAnsi="Arial" w:cs="Arial"/>
          <w:b/>
          <w:bCs/>
          <w:sz w:val="24"/>
          <w:szCs w:val="24"/>
        </w:rPr>
      </w:pPr>
    </w:p>
    <w:p w:rsidR="00941B4F" w:rsidRPr="00941B4F" w:rsidRDefault="00941B4F" w:rsidP="00941B4F">
      <w:pPr>
        <w:spacing w:line="480" w:lineRule="auto"/>
        <w:rPr>
          <w:rFonts w:ascii="Arial" w:hAnsi="Arial" w:cs="Arial"/>
          <w:lang w:val="en-GB"/>
        </w:rPr>
      </w:pPr>
      <w:r w:rsidRPr="00941B4F">
        <w:rPr>
          <w:rFonts w:ascii="Arial" w:hAnsi="Arial" w:cs="Arial"/>
          <w:lang w:val="en-GB"/>
        </w:rPr>
        <w:t>APPEARANCES</w:t>
      </w:r>
    </w:p>
    <w:p w:rsidR="00941B4F" w:rsidRPr="00941B4F" w:rsidRDefault="00941B4F" w:rsidP="00941B4F">
      <w:pPr>
        <w:spacing w:line="480" w:lineRule="auto"/>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387"/>
      </w:tblGrid>
      <w:tr w:rsidR="00941B4F" w:rsidRPr="00941B4F" w:rsidTr="00E6002A">
        <w:tc>
          <w:tcPr>
            <w:tcW w:w="3784" w:type="dxa"/>
          </w:tcPr>
          <w:p w:rsidR="00941B4F" w:rsidRPr="00941B4F" w:rsidRDefault="00941B4F" w:rsidP="00BE48FE">
            <w:pPr>
              <w:spacing w:line="480" w:lineRule="auto"/>
              <w:ind w:right="-577"/>
              <w:jc w:val="both"/>
              <w:rPr>
                <w:rFonts w:ascii="Arial" w:hAnsi="Arial" w:cs="Arial"/>
                <w:lang w:val="en-GB"/>
              </w:rPr>
            </w:pPr>
            <w:r w:rsidRPr="00941B4F">
              <w:rPr>
                <w:rFonts w:ascii="Arial" w:hAnsi="Arial" w:cs="Arial"/>
                <w:lang w:val="en-GB"/>
              </w:rPr>
              <w:t>APPELLANT:</w:t>
            </w:r>
          </w:p>
        </w:tc>
        <w:tc>
          <w:tcPr>
            <w:tcW w:w="4387" w:type="dxa"/>
          </w:tcPr>
          <w:p w:rsidR="00941B4F" w:rsidRPr="00941B4F" w:rsidRDefault="00941B4F" w:rsidP="00BE48FE">
            <w:pPr>
              <w:spacing w:line="480" w:lineRule="auto"/>
              <w:ind w:left="503"/>
              <w:jc w:val="both"/>
              <w:rPr>
                <w:rFonts w:ascii="Arial" w:hAnsi="Arial" w:cs="Arial"/>
                <w:lang w:val="en-GB"/>
              </w:rPr>
            </w:pPr>
            <w:r>
              <w:rPr>
                <w:rFonts w:ascii="Arial" w:hAnsi="Arial" w:cs="Arial"/>
                <w:lang w:val="en-GB"/>
              </w:rPr>
              <w:t>N Cassim, SC (with him A W Corbett and E Schimming-Chase)</w:t>
            </w:r>
          </w:p>
          <w:p w:rsidR="00941B4F" w:rsidRPr="00941B4F" w:rsidRDefault="00941B4F" w:rsidP="00BE48FE">
            <w:pPr>
              <w:spacing w:line="480" w:lineRule="auto"/>
              <w:ind w:left="503"/>
              <w:jc w:val="both"/>
              <w:rPr>
                <w:rFonts w:ascii="Arial" w:hAnsi="Arial" w:cs="Arial"/>
                <w:lang w:val="en-ZW"/>
              </w:rPr>
            </w:pPr>
            <w:r w:rsidRPr="00941B4F">
              <w:rPr>
                <w:rFonts w:ascii="Arial" w:hAnsi="Arial" w:cs="Arial"/>
                <w:lang w:val="en-ZW"/>
              </w:rPr>
              <w:t xml:space="preserve">Instructed </w:t>
            </w:r>
            <w:r>
              <w:rPr>
                <w:rFonts w:ascii="Arial" w:hAnsi="Arial" w:cs="Arial"/>
                <w:lang w:val="en-ZW"/>
              </w:rPr>
              <w:t xml:space="preserve">by Sisa Namandje &amp; Company Inc. </w:t>
            </w:r>
            <w:r w:rsidRPr="00941B4F">
              <w:rPr>
                <w:rFonts w:ascii="Arial" w:hAnsi="Arial" w:cs="Arial"/>
                <w:lang w:val="en-ZW"/>
              </w:rPr>
              <w:t>Windhoek.</w:t>
            </w:r>
          </w:p>
          <w:p w:rsidR="00941B4F" w:rsidRPr="00941B4F" w:rsidRDefault="00941B4F" w:rsidP="00E6002A">
            <w:pPr>
              <w:spacing w:line="480" w:lineRule="auto"/>
              <w:jc w:val="both"/>
              <w:rPr>
                <w:rFonts w:ascii="Arial" w:hAnsi="Arial" w:cs="Arial"/>
                <w:lang w:val="en-GB"/>
              </w:rPr>
            </w:pPr>
          </w:p>
        </w:tc>
      </w:tr>
      <w:tr w:rsidR="00941B4F" w:rsidRPr="00941B4F" w:rsidTr="00E6002A">
        <w:tc>
          <w:tcPr>
            <w:tcW w:w="3784" w:type="dxa"/>
          </w:tcPr>
          <w:p w:rsidR="00941B4F" w:rsidRPr="00941B4F" w:rsidRDefault="003226E6" w:rsidP="00BE48FE">
            <w:pPr>
              <w:spacing w:line="480" w:lineRule="auto"/>
              <w:ind w:right="1408" w:firstLine="34"/>
              <w:jc w:val="both"/>
              <w:rPr>
                <w:rFonts w:ascii="Arial" w:hAnsi="Arial" w:cs="Arial"/>
                <w:lang w:val="en-GB"/>
              </w:rPr>
            </w:pPr>
            <w:r>
              <w:rPr>
                <w:rFonts w:ascii="Arial" w:hAnsi="Arial" w:cs="Arial"/>
                <w:lang w:val="en-GB"/>
              </w:rPr>
              <w:t>FIRST</w:t>
            </w:r>
            <w:r w:rsidR="00BE48FE">
              <w:rPr>
                <w:rFonts w:ascii="Arial" w:hAnsi="Arial" w:cs="Arial"/>
                <w:lang w:val="en-GB"/>
              </w:rPr>
              <w:t xml:space="preserve"> &amp; SECOND </w:t>
            </w:r>
            <w:r w:rsidR="00941B4F" w:rsidRPr="00941B4F">
              <w:rPr>
                <w:rFonts w:ascii="Arial" w:hAnsi="Arial" w:cs="Arial"/>
                <w:lang w:val="en-GB"/>
              </w:rPr>
              <w:t>RESPONDENT:</w:t>
            </w:r>
          </w:p>
        </w:tc>
        <w:tc>
          <w:tcPr>
            <w:tcW w:w="4387" w:type="dxa"/>
          </w:tcPr>
          <w:p w:rsidR="00941B4F" w:rsidRPr="00941B4F" w:rsidRDefault="00941B4F" w:rsidP="00BE48FE">
            <w:pPr>
              <w:spacing w:line="480" w:lineRule="auto"/>
              <w:ind w:left="503"/>
              <w:jc w:val="both"/>
              <w:rPr>
                <w:rFonts w:ascii="Arial" w:hAnsi="Arial" w:cs="Arial"/>
                <w:lang w:val="en-ZW"/>
              </w:rPr>
            </w:pPr>
            <w:r>
              <w:rPr>
                <w:rFonts w:ascii="Arial" w:hAnsi="Arial" w:cs="Arial"/>
                <w:lang w:val="en-ZW"/>
              </w:rPr>
              <w:t>I V Maleka, SC (with him G S Hinda</w:t>
            </w:r>
            <w:r w:rsidR="00CF0499">
              <w:rPr>
                <w:rFonts w:ascii="Arial" w:hAnsi="Arial" w:cs="Arial"/>
                <w:lang w:val="en-ZW"/>
              </w:rPr>
              <w:t>)</w:t>
            </w:r>
            <w:r>
              <w:rPr>
                <w:rFonts w:ascii="Arial" w:hAnsi="Arial" w:cs="Arial"/>
                <w:lang w:val="en-ZW"/>
              </w:rPr>
              <w:t xml:space="preserve"> </w:t>
            </w:r>
          </w:p>
          <w:p w:rsidR="003226E6" w:rsidRDefault="00941B4F" w:rsidP="00BE48FE">
            <w:pPr>
              <w:spacing w:line="480" w:lineRule="auto"/>
              <w:ind w:left="503"/>
              <w:jc w:val="both"/>
              <w:rPr>
                <w:rFonts w:ascii="Arial" w:hAnsi="Arial" w:cs="Arial"/>
                <w:lang w:val="en-ZW"/>
              </w:rPr>
            </w:pPr>
            <w:r w:rsidRPr="00941B4F">
              <w:rPr>
                <w:rFonts w:ascii="Arial" w:hAnsi="Arial" w:cs="Arial"/>
                <w:lang w:val="en-ZW"/>
              </w:rPr>
              <w:t xml:space="preserve">Instructed by </w:t>
            </w:r>
            <w:r>
              <w:rPr>
                <w:rFonts w:ascii="Arial" w:hAnsi="Arial" w:cs="Arial"/>
                <w:lang w:val="en-ZW"/>
              </w:rPr>
              <w:t>Dr Weder</w:t>
            </w:r>
            <w:r w:rsidRPr="00941B4F">
              <w:rPr>
                <w:rFonts w:ascii="Arial" w:hAnsi="Arial" w:cs="Arial"/>
                <w:lang w:val="en-ZW"/>
              </w:rPr>
              <w:t xml:space="preserve">, </w:t>
            </w:r>
            <w:r>
              <w:rPr>
                <w:rFonts w:ascii="Arial" w:hAnsi="Arial" w:cs="Arial"/>
                <w:lang w:val="en-ZW"/>
              </w:rPr>
              <w:t xml:space="preserve">Kauta &amp; Hoveka Inc, </w:t>
            </w:r>
            <w:r w:rsidRPr="00941B4F">
              <w:rPr>
                <w:rFonts w:ascii="Arial" w:hAnsi="Arial" w:cs="Arial"/>
                <w:lang w:val="en-ZW"/>
              </w:rPr>
              <w:t>Windhoek</w:t>
            </w:r>
          </w:p>
          <w:p w:rsidR="003226E6" w:rsidRPr="00941B4F" w:rsidRDefault="003226E6" w:rsidP="00941B4F">
            <w:pPr>
              <w:spacing w:line="480" w:lineRule="auto"/>
              <w:jc w:val="both"/>
              <w:rPr>
                <w:rFonts w:ascii="Arial" w:hAnsi="Arial" w:cs="Arial"/>
                <w:lang w:val="en-ZW"/>
              </w:rPr>
            </w:pPr>
          </w:p>
        </w:tc>
      </w:tr>
      <w:tr w:rsidR="00941B4F" w:rsidRPr="002C5C8A" w:rsidTr="00E6002A">
        <w:tc>
          <w:tcPr>
            <w:tcW w:w="3784" w:type="dxa"/>
          </w:tcPr>
          <w:p w:rsidR="00941B4F" w:rsidRPr="002C5C8A" w:rsidRDefault="003226E6" w:rsidP="00E6002A">
            <w:pPr>
              <w:spacing w:line="480" w:lineRule="auto"/>
              <w:jc w:val="both"/>
              <w:rPr>
                <w:rFonts w:ascii="Arial" w:hAnsi="Arial" w:cs="Arial"/>
                <w:lang w:val="en-GB"/>
              </w:rPr>
            </w:pPr>
            <w:r>
              <w:rPr>
                <w:rFonts w:ascii="Arial" w:hAnsi="Arial" w:cs="Arial"/>
                <w:lang w:val="en-GB"/>
              </w:rPr>
              <w:t>FIFTH RESPONDENT:</w:t>
            </w:r>
          </w:p>
        </w:tc>
        <w:tc>
          <w:tcPr>
            <w:tcW w:w="4387" w:type="dxa"/>
          </w:tcPr>
          <w:p w:rsidR="00941B4F" w:rsidRDefault="003226E6" w:rsidP="00BE48FE">
            <w:pPr>
              <w:spacing w:line="480" w:lineRule="auto"/>
              <w:ind w:left="503"/>
              <w:jc w:val="both"/>
              <w:rPr>
                <w:rFonts w:ascii="Arial" w:hAnsi="Arial" w:cs="Arial"/>
                <w:lang w:val="en-ZW"/>
              </w:rPr>
            </w:pPr>
            <w:r>
              <w:rPr>
                <w:rFonts w:ascii="Arial" w:hAnsi="Arial" w:cs="Arial"/>
                <w:lang w:val="en-ZW"/>
              </w:rPr>
              <w:t>R Tötemeyer (with him G Dicks)</w:t>
            </w:r>
          </w:p>
          <w:p w:rsidR="003226E6" w:rsidRPr="002C5C8A" w:rsidRDefault="003226E6" w:rsidP="00BE48FE">
            <w:pPr>
              <w:spacing w:line="480" w:lineRule="auto"/>
              <w:ind w:left="503"/>
              <w:jc w:val="both"/>
              <w:rPr>
                <w:rFonts w:ascii="Arial" w:hAnsi="Arial" w:cs="Arial"/>
                <w:lang w:val="en-ZW"/>
              </w:rPr>
            </w:pPr>
            <w:r>
              <w:rPr>
                <w:rFonts w:ascii="Arial" w:hAnsi="Arial" w:cs="Arial"/>
                <w:lang w:val="en-ZW"/>
              </w:rPr>
              <w:t>Instructed by Koep &amp; Partners, Windhoek</w:t>
            </w:r>
          </w:p>
        </w:tc>
      </w:tr>
    </w:tbl>
    <w:p w:rsidR="0059473E" w:rsidRDefault="0059473E">
      <w:pPr>
        <w:pStyle w:val="Body"/>
        <w:spacing w:line="480" w:lineRule="auto"/>
        <w:ind w:left="5040" w:hanging="5040"/>
        <w:jc w:val="both"/>
        <w:rPr>
          <w:rStyle w:val="PageNumber"/>
          <w:rFonts w:ascii="Arial" w:eastAsia="Arial" w:hAnsi="Arial" w:cs="Arial"/>
          <w:sz w:val="24"/>
          <w:szCs w:val="24"/>
        </w:rPr>
      </w:pPr>
    </w:p>
    <w:sectPr w:rsidR="0059473E" w:rsidSect="00C476F6">
      <w:headerReference w:type="defaul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14" w:rsidRDefault="00F56514">
      <w:r>
        <w:separator/>
      </w:r>
    </w:p>
  </w:endnote>
  <w:endnote w:type="continuationSeparator" w:id="0">
    <w:p w:rsidR="00F56514" w:rsidRDefault="00F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14" w:rsidRDefault="00F56514">
      <w:r>
        <w:separator/>
      </w:r>
    </w:p>
  </w:footnote>
  <w:footnote w:type="continuationSeparator" w:id="0">
    <w:p w:rsidR="00F56514" w:rsidRDefault="00F56514">
      <w:r>
        <w:continuationSeparator/>
      </w:r>
    </w:p>
  </w:footnote>
  <w:footnote w:type="continuationNotice" w:id="1">
    <w:p w:rsidR="00F56514" w:rsidRDefault="00F56514"/>
  </w:footnote>
  <w:footnote w:id="2">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Now rule 76 of the High Court.</w:t>
      </w:r>
    </w:p>
  </w:footnote>
  <w:footnote w:id="3">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Now rule 73(4) of the High Court.</w:t>
      </w:r>
    </w:p>
  </w:footnote>
  <w:footnote w:id="4">
    <w:p w:rsidR="00CD2D4D" w:rsidRPr="00B358DB" w:rsidRDefault="00CD2D4D" w:rsidP="00B358DB">
      <w:pPr>
        <w:pStyle w:val="FootnoteText"/>
        <w:spacing w:line="276" w:lineRule="auto"/>
        <w:jc w:val="both"/>
        <w:rPr>
          <w:rFonts w:ascii="Arial" w:hAnsi="Arial" w:cs="Arial"/>
          <w:sz w:val="20"/>
          <w:szCs w:val="20"/>
        </w:rPr>
      </w:pPr>
      <w:r w:rsidRPr="00B358DB">
        <w:rPr>
          <w:rStyle w:val="PageNumber"/>
          <w:rFonts w:ascii="Arial" w:eastAsia="Arial" w:hAnsi="Arial" w:cs="Arial"/>
          <w:sz w:val="20"/>
          <w:szCs w:val="20"/>
          <w:vertAlign w:val="superscript"/>
        </w:rPr>
        <w:footnoteRef/>
      </w:r>
      <w:r w:rsidRPr="00391C01">
        <w:rPr>
          <w:rStyle w:val="PageNumber"/>
          <w:rFonts w:ascii="Arial" w:hAnsi="Arial" w:cs="Arial"/>
          <w:i/>
          <w:sz w:val="20"/>
          <w:szCs w:val="20"/>
        </w:rPr>
        <w:t>Jockey Club of South Africa v Forbes</w:t>
      </w:r>
      <w:r w:rsidRPr="00B358DB">
        <w:rPr>
          <w:rStyle w:val="PageNumber"/>
          <w:rFonts w:ascii="Arial" w:hAnsi="Arial" w:cs="Arial"/>
          <w:sz w:val="20"/>
          <w:szCs w:val="20"/>
        </w:rPr>
        <w:t xml:space="preserve"> 1993 (1) SA 649 at 662 F – 663D and </w:t>
      </w:r>
      <w:r w:rsidRPr="00391C01">
        <w:rPr>
          <w:rStyle w:val="PageNumber"/>
          <w:rFonts w:ascii="Arial" w:hAnsi="Arial" w:cs="Arial"/>
          <w:i/>
          <w:sz w:val="20"/>
          <w:szCs w:val="20"/>
        </w:rPr>
        <w:t>Motaung v Makubela and</w:t>
      </w:r>
      <w:r w:rsidRPr="00B358DB">
        <w:rPr>
          <w:rStyle w:val="PageNumber"/>
          <w:rFonts w:ascii="Arial" w:hAnsi="Arial" w:cs="Arial"/>
          <w:sz w:val="20"/>
          <w:szCs w:val="20"/>
        </w:rPr>
        <w:t xml:space="preserve"> </w:t>
      </w:r>
      <w:r w:rsidRPr="00391C01">
        <w:rPr>
          <w:rStyle w:val="PageNumber"/>
          <w:rFonts w:ascii="Arial" w:hAnsi="Arial" w:cs="Arial"/>
          <w:i/>
          <w:sz w:val="20"/>
          <w:szCs w:val="20"/>
        </w:rPr>
        <w:t>Another, NNO, Motaung v Mothiba</w:t>
      </w:r>
      <w:r w:rsidRPr="00B358DB">
        <w:rPr>
          <w:rStyle w:val="PageNumber"/>
          <w:rFonts w:ascii="Arial" w:hAnsi="Arial" w:cs="Arial"/>
          <w:sz w:val="20"/>
          <w:szCs w:val="20"/>
        </w:rPr>
        <w:t xml:space="preserve"> 1975 (1) SA 618 (O) at 625 C – 626A.</w:t>
      </w:r>
    </w:p>
  </w:footnote>
  <w:footnote w:id="5">
    <w:p w:rsidR="00CD2D4D" w:rsidRPr="00B358DB" w:rsidRDefault="00CD2D4D" w:rsidP="00B358DB">
      <w:pPr>
        <w:pStyle w:val="FootnoteText"/>
        <w:spacing w:line="276" w:lineRule="auto"/>
        <w:jc w:val="both"/>
        <w:rPr>
          <w:rFonts w:ascii="Arial" w:hAnsi="Arial" w:cs="Arial"/>
          <w:sz w:val="20"/>
          <w:szCs w:val="20"/>
        </w:rPr>
      </w:pPr>
      <w:r w:rsidRPr="00B358DB">
        <w:rPr>
          <w:rStyle w:val="PageNumber"/>
          <w:rFonts w:ascii="Arial" w:eastAsia="Arial" w:hAnsi="Arial" w:cs="Arial"/>
          <w:sz w:val="20"/>
          <w:szCs w:val="20"/>
          <w:vertAlign w:val="superscript"/>
        </w:rPr>
        <w:footnoteRef/>
      </w:r>
      <w:r w:rsidRPr="00B358DB">
        <w:rPr>
          <w:rStyle w:val="PageNumber"/>
          <w:rFonts w:ascii="Arial" w:hAnsi="Arial" w:cs="Arial"/>
          <w:sz w:val="20"/>
          <w:szCs w:val="20"/>
        </w:rPr>
        <w:t xml:space="preserve"> Jockey Club of South Africa v Forbes 1993 (1) SA 649 at 662F – 663D and </w:t>
      </w:r>
      <w:r w:rsidRPr="001F3031">
        <w:rPr>
          <w:rStyle w:val="PageNumber"/>
          <w:rFonts w:ascii="Arial" w:hAnsi="Arial" w:cs="Arial"/>
          <w:i/>
          <w:sz w:val="20"/>
          <w:szCs w:val="20"/>
        </w:rPr>
        <w:t>Motaung v Makubela and</w:t>
      </w:r>
      <w:r w:rsidRPr="00B358DB">
        <w:rPr>
          <w:rStyle w:val="PageNumber"/>
          <w:rFonts w:ascii="Arial" w:hAnsi="Arial" w:cs="Arial"/>
          <w:sz w:val="20"/>
          <w:szCs w:val="20"/>
        </w:rPr>
        <w:t xml:space="preserve"> </w:t>
      </w:r>
      <w:r w:rsidRPr="001F3031">
        <w:rPr>
          <w:rStyle w:val="PageNumber"/>
          <w:rFonts w:ascii="Arial" w:hAnsi="Arial" w:cs="Arial"/>
          <w:i/>
          <w:sz w:val="20"/>
          <w:szCs w:val="20"/>
        </w:rPr>
        <w:t>Another, NNO, Motaung v Mothiba</w:t>
      </w:r>
      <w:r w:rsidRPr="00B358DB">
        <w:rPr>
          <w:rStyle w:val="PageNumber"/>
          <w:rFonts w:ascii="Arial" w:hAnsi="Arial" w:cs="Arial"/>
          <w:sz w:val="20"/>
          <w:szCs w:val="20"/>
        </w:rPr>
        <w:t xml:space="preserve"> 1975 (1) SA 618 (O) at 625C – 626A.</w:t>
      </w:r>
    </w:p>
  </w:footnote>
  <w:footnote w:id="6">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And that since they are new review grounds the Supreme Court must not consider them.</w:t>
      </w:r>
    </w:p>
  </w:footnote>
  <w:footnote w:id="7">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w:t>
      </w:r>
      <w:r w:rsidR="00D24F73">
        <w:rPr>
          <w:rFonts w:ascii="Arial" w:hAnsi="Arial" w:cs="Arial"/>
          <w:sz w:val="20"/>
          <w:szCs w:val="20"/>
        </w:rPr>
        <w:t>First respondent’s letter dated 14 January 2014, enclosing s</w:t>
      </w:r>
      <w:r>
        <w:rPr>
          <w:rFonts w:ascii="Arial" w:hAnsi="Arial" w:cs="Arial"/>
          <w:sz w:val="20"/>
          <w:szCs w:val="20"/>
        </w:rPr>
        <w:t>ubmissio</w:t>
      </w:r>
      <w:r w:rsidR="004C0179">
        <w:rPr>
          <w:rFonts w:ascii="Arial" w:hAnsi="Arial" w:cs="Arial"/>
          <w:sz w:val="20"/>
          <w:szCs w:val="20"/>
        </w:rPr>
        <w:t>ns of the SC to the Board</w:t>
      </w:r>
      <w:r>
        <w:rPr>
          <w:rFonts w:ascii="Arial" w:hAnsi="Arial" w:cs="Arial"/>
          <w:sz w:val="20"/>
          <w:szCs w:val="20"/>
        </w:rPr>
        <w:t xml:space="preserve"> </w:t>
      </w:r>
      <w:r w:rsidR="00E25D5E">
        <w:rPr>
          <w:rFonts w:ascii="Arial" w:hAnsi="Arial" w:cs="Arial"/>
          <w:sz w:val="20"/>
          <w:szCs w:val="20"/>
        </w:rPr>
        <w:t xml:space="preserve">demonstrates </w:t>
      </w:r>
      <w:r>
        <w:rPr>
          <w:rFonts w:ascii="Arial" w:hAnsi="Arial" w:cs="Arial"/>
          <w:sz w:val="20"/>
          <w:szCs w:val="20"/>
        </w:rPr>
        <w:t xml:space="preserve">that the fifth respondent out-performed the appellant as </w:t>
      </w:r>
      <w:r w:rsidR="004C0179">
        <w:rPr>
          <w:rFonts w:ascii="Arial" w:hAnsi="Arial" w:cs="Arial"/>
          <w:sz w:val="20"/>
          <w:szCs w:val="20"/>
        </w:rPr>
        <w:t xml:space="preserve">regards </w:t>
      </w:r>
      <w:r>
        <w:rPr>
          <w:rFonts w:ascii="Arial" w:hAnsi="Arial" w:cs="Arial"/>
          <w:sz w:val="20"/>
          <w:szCs w:val="20"/>
        </w:rPr>
        <w:t>the conditions</w:t>
      </w:r>
      <w:r w:rsidR="00083D0C">
        <w:rPr>
          <w:rFonts w:ascii="Arial" w:hAnsi="Arial" w:cs="Arial"/>
          <w:sz w:val="20"/>
          <w:szCs w:val="20"/>
        </w:rPr>
        <w:t xml:space="preserve"> and requirements</w:t>
      </w:r>
      <w:r w:rsidR="004C0179">
        <w:rPr>
          <w:rFonts w:ascii="Arial" w:hAnsi="Arial" w:cs="Arial"/>
          <w:sz w:val="20"/>
          <w:szCs w:val="20"/>
        </w:rPr>
        <w:t xml:space="preserve"> of the tender</w:t>
      </w:r>
      <w:r w:rsidR="00E25D5E">
        <w:rPr>
          <w:rFonts w:ascii="Arial" w:hAnsi="Arial" w:cs="Arial"/>
          <w:sz w:val="20"/>
          <w:szCs w:val="20"/>
        </w:rPr>
        <w:t>. Th</w:t>
      </w:r>
      <w:r w:rsidR="004C0179">
        <w:rPr>
          <w:rFonts w:ascii="Arial" w:hAnsi="Arial" w:cs="Arial"/>
          <w:sz w:val="20"/>
          <w:szCs w:val="20"/>
        </w:rPr>
        <w:t>ose reasons are fully canvassed in our discussion of the judgment of the High Court and more fully set out in our reasons for dismissing the appeal.</w:t>
      </w:r>
    </w:p>
  </w:footnote>
  <w:footnote w:id="8">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It is common cause that on this measure the appellant’s tender was below the 15% threshold.</w:t>
      </w:r>
    </w:p>
  </w:footnote>
  <w:footnote w:id="9">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Performance evaluation reports from architects from 2009-2013 reflecting that the appellant’s work was rated to be of good workmanship on nine projects. </w:t>
      </w:r>
    </w:p>
  </w:footnote>
  <w:footnote w:id="10">
    <w:p w:rsidR="00CD2D4D" w:rsidRPr="00B358DB"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w:t>
      </w:r>
      <w:r w:rsidRPr="001632D5">
        <w:rPr>
          <w:rStyle w:val="PageNumber"/>
          <w:rFonts w:ascii="Arial" w:hAnsi="Arial" w:cs="Arial"/>
          <w:i/>
          <w:iCs/>
          <w:sz w:val="20"/>
          <w:szCs w:val="20"/>
        </w:rPr>
        <w:t>Plascon-Evans Paints Ltd v Van Riebeeck Paints Ltd</w:t>
      </w:r>
      <w:r w:rsidRPr="00B358DB">
        <w:rPr>
          <w:rStyle w:val="PageNumber"/>
          <w:rFonts w:ascii="Arial" w:hAnsi="Arial" w:cs="Arial"/>
          <w:iCs/>
          <w:sz w:val="20"/>
          <w:szCs w:val="20"/>
        </w:rPr>
        <w:t xml:space="preserve"> </w:t>
      </w:r>
      <w:r w:rsidRPr="00B358DB">
        <w:rPr>
          <w:rStyle w:val="PageNumber"/>
          <w:rFonts w:ascii="Arial" w:hAnsi="Arial" w:cs="Arial"/>
          <w:sz w:val="20"/>
          <w:szCs w:val="20"/>
        </w:rPr>
        <w:t>1984 (3) SA 623 (A),</w:t>
      </w:r>
      <w:r w:rsidRPr="00B358DB">
        <w:rPr>
          <w:rFonts w:ascii="Arial" w:hAnsi="Arial" w:cs="Arial"/>
          <w:sz w:val="20"/>
          <w:szCs w:val="20"/>
        </w:rPr>
        <w:t xml:space="preserve"> applied by this court in </w:t>
      </w:r>
      <w:r w:rsidRPr="001632D5">
        <w:rPr>
          <w:rFonts w:ascii="Arial" w:hAnsi="Arial" w:cs="Arial"/>
          <w:i/>
          <w:sz w:val="20"/>
          <w:szCs w:val="20"/>
        </w:rPr>
        <w:t>Mostert v Minister of Justice</w:t>
      </w:r>
      <w:r w:rsidRPr="00B358DB">
        <w:rPr>
          <w:rFonts w:ascii="Arial" w:hAnsi="Arial" w:cs="Arial"/>
          <w:sz w:val="20"/>
          <w:szCs w:val="20"/>
        </w:rPr>
        <w:t xml:space="preserve"> 2003 NR 11 (SC).</w:t>
      </w:r>
    </w:p>
    <w:p w:rsidR="00CD2D4D" w:rsidRPr="00B358DB" w:rsidRDefault="00CD2D4D" w:rsidP="00B358DB">
      <w:pPr>
        <w:pStyle w:val="FootnoteText"/>
        <w:spacing w:line="276" w:lineRule="auto"/>
        <w:jc w:val="both"/>
        <w:rPr>
          <w:rFonts w:ascii="Arial" w:hAnsi="Arial" w:cs="Arial"/>
          <w:sz w:val="20"/>
          <w:szCs w:val="20"/>
        </w:rPr>
      </w:pPr>
    </w:p>
  </w:footnote>
  <w:footnote w:id="11">
    <w:p w:rsidR="00CD2D4D" w:rsidRPr="00A22C88" w:rsidRDefault="00CD2D4D" w:rsidP="00B358DB">
      <w:pPr>
        <w:pStyle w:val="FootnoteText"/>
        <w:spacing w:line="276" w:lineRule="auto"/>
        <w:jc w:val="both"/>
        <w:rPr>
          <w:rFonts w:ascii="Arial" w:hAnsi="Arial" w:cs="Arial"/>
          <w:sz w:val="20"/>
          <w:szCs w:val="20"/>
        </w:rPr>
      </w:pPr>
      <w:r w:rsidRPr="00B358DB">
        <w:rPr>
          <w:rStyle w:val="FootnoteReference"/>
          <w:rFonts w:ascii="Arial" w:hAnsi="Arial" w:cs="Arial"/>
          <w:sz w:val="20"/>
          <w:szCs w:val="20"/>
        </w:rPr>
        <w:footnoteRef/>
      </w:r>
      <w:r w:rsidRPr="00B358DB">
        <w:rPr>
          <w:rFonts w:ascii="Arial" w:hAnsi="Arial" w:cs="Arial"/>
          <w:sz w:val="20"/>
          <w:szCs w:val="20"/>
        </w:rPr>
        <w:t xml:space="preserve"> </w:t>
      </w:r>
      <w:r w:rsidRPr="00031298">
        <w:rPr>
          <w:rStyle w:val="PageNumber"/>
          <w:rFonts w:ascii="Arial" w:hAnsi="Arial" w:cs="Arial"/>
          <w:i/>
          <w:iCs/>
          <w:sz w:val="20"/>
          <w:szCs w:val="20"/>
        </w:rPr>
        <w:t>Dumani v Nair and Another</w:t>
      </w:r>
      <w:r w:rsidRPr="00B358DB">
        <w:rPr>
          <w:rStyle w:val="PageNumber"/>
          <w:rFonts w:ascii="Arial" w:hAnsi="Arial" w:cs="Arial"/>
          <w:iCs/>
          <w:sz w:val="20"/>
          <w:szCs w:val="20"/>
        </w:rPr>
        <w:t xml:space="preserve"> </w:t>
      </w:r>
      <w:r w:rsidRPr="00B358DB">
        <w:rPr>
          <w:rStyle w:val="PageNumber"/>
          <w:rFonts w:ascii="Arial" w:hAnsi="Arial" w:cs="Arial"/>
          <w:sz w:val="20"/>
          <w:szCs w:val="20"/>
        </w:rPr>
        <w:t>(144/2012) [2012] ZASCA 196 (30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72617"/>
      <w:docPartObj>
        <w:docPartGallery w:val="Page Numbers (Top of Page)"/>
        <w:docPartUnique/>
      </w:docPartObj>
    </w:sdtPr>
    <w:sdtEndPr>
      <w:rPr>
        <w:noProof/>
      </w:rPr>
    </w:sdtEndPr>
    <w:sdtContent>
      <w:p w:rsidR="00CD2D4D" w:rsidRDefault="00CD2D4D">
        <w:pPr>
          <w:pStyle w:val="Header"/>
          <w:jc w:val="right"/>
        </w:pPr>
        <w:r>
          <w:fldChar w:fldCharType="begin"/>
        </w:r>
        <w:r>
          <w:instrText xml:space="preserve"> PAGE   \* MERGEFORMAT </w:instrText>
        </w:r>
        <w:r>
          <w:fldChar w:fldCharType="separate"/>
        </w:r>
        <w:r w:rsidR="00EB4313">
          <w:rPr>
            <w:noProof/>
          </w:rPr>
          <w:t>2</w:t>
        </w:r>
        <w:r>
          <w:rPr>
            <w:noProof/>
          </w:rPr>
          <w:fldChar w:fldCharType="end"/>
        </w:r>
      </w:p>
    </w:sdtContent>
  </w:sdt>
  <w:p w:rsidR="00CD2D4D" w:rsidRDefault="00CD2D4D">
    <w:pPr>
      <w:pStyle w:val="Header"/>
      <w:tabs>
        <w:tab w:val="clear" w:pos="9360"/>
        <w:tab w:val="right" w:pos="93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6E2D"/>
    <w:multiLevelType w:val="hybridMultilevel"/>
    <w:tmpl w:val="4D44AF16"/>
    <w:lvl w:ilvl="0" w:tplc="9F249DD4">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34402C"/>
    <w:multiLevelType w:val="hybridMultilevel"/>
    <w:tmpl w:val="BC8281DA"/>
    <w:numStyleLink w:val="ImportedStyle1"/>
  </w:abstractNum>
  <w:abstractNum w:abstractNumId="2" w15:restartNumberingAfterBreak="0">
    <w:nsid w:val="2D363D1F"/>
    <w:multiLevelType w:val="hybridMultilevel"/>
    <w:tmpl w:val="6FE2CF96"/>
    <w:lvl w:ilvl="0" w:tplc="589CE8AA">
      <w:start w:val="1"/>
      <w:numFmt w:val="lowerLetter"/>
      <w:lvlText w:val="(%1)"/>
      <w:lvlJc w:val="left"/>
      <w:pPr>
        <w:ind w:left="3871" w:hanging="740"/>
      </w:pPr>
      <w:rPr>
        <w:rFonts w:hint="default"/>
      </w:rPr>
    </w:lvl>
    <w:lvl w:ilvl="1" w:tplc="04090019">
      <w:start w:val="1"/>
      <w:numFmt w:val="lowerLetter"/>
      <w:lvlText w:val="%2."/>
      <w:lvlJc w:val="left"/>
      <w:pPr>
        <w:ind w:left="4211" w:hanging="360"/>
      </w:pPr>
    </w:lvl>
    <w:lvl w:ilvl="2" w:tplc="0409001B" w:tentative="1">
      <w:start w:val="1"/>
      <w:numFmt w:val="lowerRoman"/>
      <w:lvlText w:val="%3."/>
      <w:lvlJc w:val="right"/>
      <w:pPr>
        <w:ind w:left="4931" w:hanging="180"/>
      </w:pPr>
    </w:lvl>
    <w:lvl w:ilvl="3" w:tplc="0409000F" w:tentative="1">
      <w:start w:val="1"/>
      <w:numFmt w:val="decimal"/>
      <w:lvlText w:val="%4."/>
      <w:lvlJc w:val="left"/>
      <w:pPr>
        <w:ind w:left="5651" w:hanging="360"/>
      </w:pPr>
    </w:lvl>
    <w:lvl w:ilvl="4" w:tplc="04090019" w:tentative="1">
      <w:start w:val="1"/>
      <w:numFmt w:val="lowerLetter"/>
      <w:lvlText w:val="%5."/>
      <w:lvlJc w:val="left"/>
      <w:pPr>
        <w:ind w:left="6371" w:hanging="360"/>
      </w:pPr>
    </w:lvl>
    <w:lvl w:ilvl="5" w:tplc="0409001B" w:tentative="1">
      <w:start w:val="1"/>
      <w:numFmt w:val="lowerRoman"/>
      <w:lvlText w:val="%6."/>
      <w:lvlJc w:val="right"/>
      <w:pPr>
        <w:ind w:left="7091" w:hanging="180"/>
      </w:pPr>
    </w:lvl>
    <w:lvl w:ilvl="6" w:tplc="0409000F" w:tentative="1">
      <w:start w:val="1"/>
      <w:numFmt w:val="decimal"/>
      <w:lvlText w:val="%7."/>
      <w:lvlJc w:val="left"/>
      <w:pPr>
        <w:ind w:left="7811" w:hanging="360"/>
      </w:pPr>
    </w:lvl>
    <w:lvl w:ilvl="7" w:tplc="04090019" w:tentative="1">
      <w:start w:val="1"/>
      <w:numFmt w:val="lowerLetter"/>
      <w:lvlText w:val="%8."/>
      <w:lvlJc w:val="left"/>
      <w:pPr>
        <w:ind w:left="8531" w:hanging="360"/>
      </w:pPr>
    </w:lvl>
    <w:lvl w:ilvl="8" w:tplc="0409001B" w:tentative="1">
      <w:start w:val="1"/>
      <w:numFmt w:val="lowerRoman"/>
      <w:lvlText w:val="%9."/>
      <w:lvlJc w:val="right"/>
      <w:pPr>
        <w:ind w:left="9251" w:hanging="180"/>
      </w:pPr>
    </w:lvl>
  </w:abstractNum>
  <w:abstractNum w:abstractNumId="3" w15:restartNumberingAfterBreak="0">
    <w:nsid w:val="3B306AF6"/>
    <w:multiLevelType w:val="hybridMultilevel"/>
    <w:tmpl w:val="67F0D922"/>
    <w:lvl w:ilvl="0" w:tplc="2DD0F9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C7BB3"/>
    <w:multiLevelType w:val="hybridMultilevel"/>
    <w:tmpl w:val="93E2CEF4"/>
    <w:styleLink w:val="ImportedStyle2"/>
    <w:lvl w:ilvl="0" w:tplc="E38AAFA6">
      <w:start w:val="1"/>
      <w:numFmt w:val="lowerLetter"/>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449410">
      <w:start w:val="1"/>
      <w:numFmt w:val="lowerLetter"/>
      <w:lvlText w:val="%2."/>
      <w:lvlJc w:val="left"/>
      <w:pPr>
        <w:tabs>
          <w:tab w:val="num" w:pos="2138"/>
        </w:tabs>
        <w:ind w:left="142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5EF6DA">
      <w:start w:val="1"/>
      <w:numFmt w:val="lowerRoman"/>
      <w:lvlText w:val="%3."/>
      <w:lvlJc w:val="left"/>
      <w:pPr>
        <w:tabs>
          <w:tab w:val="num" w:pos="2858"/>
        </w:tabs>
        <w:ind w:left="2149"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E2DF7C">
      <w:start w:val="1"/>
      <w:numFmt w:val="decimal"/>
      <w:lvlText w:val="%4."/>
      <w:lvlJc w:val="left"/>
      <w:pPr>
        <w:tabs>
          <w:tab w:val="num" w:pos="3578"/>
        </w:tabs>
        <w:ind w:left="286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89354">
      <w:start w:val="1"/>
      <w:numFmt w:val="lowerLetter"/>
      <w:lvlText w:val="%5."/>
      <w:lvlJc w:val="left"/>
      <w:pPr>
        <w:tabs>
          <w:tab w:val="num" w:pos="4298"/>
        </w:tabs>
        <w:ind w:left="358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20B52">
      <w:start w:val="1"/>
      <w:numFmt w:val="lowerRoman"/>
      <w:lvlText w:val="%6."/>
      <w:lvlJc w:val="left"/>
      <w:pPr>
        <w:tabs>
          <w:tab w:val="num" w:pos="5018"/>
        </w:tabs>
        <w:ind w:left="4309"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4BDB8">
      <w:start w:val="1"/>
      <w:numFmt w:val="decimal"/>
      <w:lvlText w:val="%7."/>
      <w:lvlJc w:val="left"/>
      <w:pPr>
        <w:tabs>
          <w:tab w:val="num" w:pos="5738"/>
        </w:tabs>
        <w:ind w:left="502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A4B4">
      <w:start w:val="1"/>
      <w:numFmt w:val="lowerLetter"/>
      <w:lvlText w:val="%8."/>
      <w:lvlJc w:val="left"/>
      <w:pPr>
        <w:tabs>
          <w:tab w:val="num" w:pos="6458"/>
        </w:tabs>
        <w:ind w:left="574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B469E6">
      <w:start w:val="1"/>
      <w:numFmt w:val="lowerRoman"/>
      <w:lvlText w:val="%9."/>
      <w:lvlJc w:val="left"/>
      <w:pPr>
        <w:tabs>
          <w:tab w:val="num" w:pos="7178"/>
        </w:tabs>
        <w:ind w:left="6469"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EAA5955"/>
    <w:multiLevelType w:val="hybridMultilevel"/>
    <w:tmpl w:val="E220951A"/>
    <w:lvl w:ilvl="0" w:tplc="30104300">
      <w:start w:val="1"/>
      <w:numFmt w:val="lowerLetter"/>
      <w:lvlText w:val="(%1)"/>
      <w:lvlJc w:val="left"/>
      <w:pPr>
        <w:ind w:left="1504" w:hanging="740"/>
      </w:pPr>
      <w:rPr>
        <w:rFonts w:hint="default"/>
      </w:rPr>
    </w:lvl>
    <w:lvl w:ilvl="1" w:tplc="04090019">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6" w15:restartNumberingAfterBreak="0">
    <w:nsid w:val="6A673BBC"/>
    <w:multiLevelType w:val="hybridMultilevel"/>
    <w:tmpl w:val="AE6870C4"/>
    <w:lvl w:ilvl="0" w:tplc="285E1108">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43621"/>
    <w:multiLevelType w:val="hybridMultilevel"/>
    <w:tmpl w:val="BC8281DA"/>
    <w:styleLink w:val="ImportedStyle1"/>
    <w:lvl w:ilvl="0" w:tplc="000C250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84FA4">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4E10A">
      <w:start w:val="1"/>
      <w:numFmt w:val="lowerRoman"/>
      <w:lvlText w:val="%3."/>
      <w:lvlJc w:val="left"/>
      <w:pPr>
        <w:ind w:left="10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685BE">
      <w:start w:val="1"/>
      <w:numFmt w:val="decimal"/>
      <w:lvlText w:val="%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4919A">
      <w:start w:val="1"/>
      <w:numFmt w:val="lowerLetter"/>
      <w:lvlText w:val="%5."/>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14EC3E">
      <w:start w:val="1"/>
      <w:numFmt w:val="lowerRoman"/>
      <w:lvlText w:val="%6."/>
      <w:lvlJc w:val="left"/>
      <w:pPr>
        <w:ind w:left="324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65F7A">
      <w:start w:val="1"/>
      <w:numFmt w:val="decimal"/>
      <w:lvlText w:val="%7."/>
      <w:lvlJc w:val="left"/>
      <w:pPr>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AA89C">
      <w:start w:val="1"/>
      <w:numFmt w:val="lowerLetter"/>
      <w:lvlText w:val="%8."/>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84644">
      <w:start w:val="1"/>
      <w:numFmt w:val="lowerRoman"/>
      <w:lvlText w:val="%9."/>
      <w:lvlJc w:val="left"/>
      <w:pPr>
        <w:ind w:left="54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742FA8"/>
    <w:multiLevelType w:val="hybridMultilevel"/>
    <w:tmpl w:val="1974F926"/>
    <w:lvl w:ilvl="0" w:tplc="AC5E396A">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7BF1A4F"/>
    <w:multiLevelType w:val="hybridMultilevel"/>
    <w:tmpl w:val="93E2CEF4"/>
    <w:numStyleLink w:val="ImportedStyle2"/>
  </w:abstractNum>
  <w:num w:numId="1">
    <w:abstractNumId w:val="7"/>
  </w:num>
  <w:num w:numId="2">
    <w:abstractNumId w:val="1"/>
  </w:num>
  <w:num w:numId="3">
    <w:abstractNumId w:val="4"/>
  </w:num>
  <w:num w:numId="4">
    <w:abstractNumId w:val="9"/>
    <w:lvlOverride w:ilvl="0">
      <w:lvl w:ilvl="0" w:tplc="F3CC9AA8">
        <w:start w:val="1"/>
        <w:numFmt w:val="lowerLetter"/>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0"/>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B2"/>
    <w:rsid w:val="00002775"/>
    <w:rsid w:val="00006685"/>
    <w:rsid w:val="0001405F"/>
    <w:rsid w:val="00017FD9"/>
    <w:rsid w:val="00021A65"/>
    <w:rsid w:val="00021C62"/>
    <w:rsid w:val="00031298"/>
    <w:rsid w:val="000400FC"/>
    <w:rsid w:val="00043351"/>
    <w:rsid w:val="00044153"/>
    <w:rsid w:val="00045941"/>
    <w:rsid w:val="00057DCD"/>
    <w:rsid w:val="000600A8"/>
    <w:rsid w:val="000600D2"/>
    <w:rsid w:val="00063311"/>
    <w:rsid w:val="00071715"/>
    <w:rsid w:val="00073563"/>
    <w:rsid w:val="000819F6"/>
    <w:rsid w:val="00083D0C"/>
    <w:rsid w:val="000859C8"/>
    <w:rsid w:val="00085E9C"/>
    <w:rsid w:val="0009035E"/>
    <w:rsid w:val="0009479B"/>
    <w:rsid w:val="00096AA1"/>
    <w:rsid w:val="000B4556"/>
    <w:rsid w:val="000C10DD"/>
    <w:rsid w:val="000D1DD8"/>
    <w:rsid w:val="000D2402"/>
    <w:rsid w:val="000D307A"/>
    <w:rsid w:val="000D3F3F"/>
    <w:rsid w:val="000F4BAE"/>
    <w:rsid w:val="00114F99"/>
    <w:rsid w:val="00122DDE"/>
    <w:rsid w:val="00122FE2"/>
    <w:rsid w:val="00124F4D"/>
    <w:rsid w:val="001258E3"/>
    <w:rsid w:val="0012748E"/>
    <w:rsid w:val="00137046"/>
    <w:rsid w:val="00163223"/>
    <w:rsid w:val="001632D5"/>
    <w:rsid w:val="00164F2C"/>
    <w:rsid w:val="00167139"/>
    <w:rsid w:val="00171DCF"/>
    <w:rsid w:val="00171EC7"/>
    <w:rsid w:val="00173A60"/>
    <w:rsid w:val="00177050"/>
    <w:rsid w:val="00187555"/>
    <w:rsid w:val="001A1874"/>
    <w:rsid w:val="001A241D"/>
    <w:rsid w:val="001A75E9"/>
    <w:rsid w:val="001B0BAF"/>
    <w:rsid w:val="001B1491"/>
    <w:rsid w:val="001C379B"/>
    <w:rsid w:val="001C54D2"/>
    <w:rsid w:val="001C5B76"/>
    <w:rsid w:val="001C7A95"/>
    <w:rsid w:val="001F10CA"/>
    <w:rsid w:val="001F3031"/>
    <w:rsid w:val="001F5169"/>
    <w:rsid w:val="002048FD"/>
    <w:rsid w:val="00204E04"/>
    <w:rsid w:val="00205518"/>
    <w:rsid w:val="0021003B"/>
    <w:rsid w:val="002254A9"/>
    <w:rsid w:val="00233918"/>
    <w:rsid w:val="002350A1"/>
    <w:rsid w:val="0024352E"/>
    <w:rsid w:val="00257527"/>
    <w:rsid w:val="002623BE"/>
    <w:rsid w:val="00266983"/>
    <w:rsid w:val="00285ADA"/>
    <w:rsid w:val="0028776F"/>
    <w:rsid w:val="00291741"/>
    <w:rsid w:val="00296CFE"/>
    <w:rsid w:val="002A12B6"/>
    <w:rsid w:val="002A2CB2"/>
    <w:rsid w:val="002A4900"/>
    <w:rsid w:val="002A5878"/>
    <w:rsid w:val="002A5D49"/>
    <w:rsid w:val="002A5E07"/>
    <w:rsid w:val="002A6708"/>
    <w:rsid w:val="002D0D44"/>
    <w:rsid w:val="002D1257"/>
    <w:rsid w:val="002E31A8"/>
    <w:rsid w:val="002E57A4"/>
    <w:rsid w:val="00301F2D"/>
    <w:rsid w:val="00303847"/>
    <w:rsid w:val="0030443E"/>
    <w:rsid w:val="00316C7C"/>
    <w:rsid w:val="00321002"/>
    <w:rsid w:val="003226E6"/>
    <w:rsid w:val="003403BE"/>
    <w:rsid w:val="00340B3B"/>
    <w:rsid w:val="003432F8"/>
    <w:rsid w:val="00346EED"/>
    <w:rsid w:val="00351150"/>
    <w:rsid w:val="00364C3A"/>
    <w:rsid w:val="00366B4D"/>
    <w:rsid w:val="0039168C"/>
    <w:rsid w:val="00391C01"/>
    <w:rsid w:val="00395DEF"/>
    <w:rsid w:val="003A1577"/>
    <w:rsid w:val="003A28E6"/>
    <w:rsid w:val="003A3404"/>
    <w:rsid w:val="003A44F5"/>
    <w:rsid w:val="003A51D4"/>
    <w:rsid w:val="003B0255"/>
    <w:rsid w:val="003C0A73"/>
    <w:rsid w:val="003C5C1A"/>
    <w:rsid w:val="003D093B"/>
    <w:rsid w:val="003F3155"/>
    <w:rsid w:val="004025F6"/>
    <w:rsid w:val="00407189"/>
    <w:rsid w:val="00410844"/>
    <w:rsid w:val="004128EC"/>
    <w:rsid w:val="00413B62"/>
    <w:rsid w:val="004258B2"/>
    <w:rsid w:val="004267C3"/>
    <w:rsid w:val="00431B31"/>
    <w:rsid w:val="00440901"/>
    <w:rsid w:val="0044401F"/>
    <w:rsid w:val="004446C1"/>
    <w:rsid w:val="00455DBC"/>
    <w:rsid w:val="00481602"/>
    <w:rsid w:val="00481AAE"/>
    <w:rsid w:val="00485C95"/>
    <w:rsid w:val="00486213"/>
    <w:rsid w:val="004A5D74"/>
    <w:rsid w:val="004A6DA2"/>
    <w:rsid w:val="004B148D"/>
    <w:rsid w:val="004B61F4"/>
    <w:rsid w:val="004B6D33"/>
    <w:rsid w:val="004C0179"/>
    <w:rsid w:val="004C0AA4"/>
    <w:rsid w:val="004C5150"/>
    <w:rsid w:val="004D234B"/>
    <w:rsid w:val="004E5E12"/>
    <w:rsid w:val="004F1E54"/>
    <w:rsid w:val="004F7250"/>
    <w:rsid w:val="0050043B"/>
    <w:rsid w:val="005036A3"/>
    <w:rsid w:val="0050488A"/>
    <w:rsid w:val="00505B84"/>
    <w:rsid w:val="00505D33"/>
    <w:rsid w:val="00523563"/>
    <w:rsid w:val="00525F23"/>
    <w:rsid w:val="0053242B"/>
    <w:rsid w:val="00533CCD"/>
    <w:rsid w:val="005416C3"/>
    <w:rsid w:val="0054331A"/>
    <w:rsid w:val="0054451E"/>
    <w:rsid w:val="00553263"/>
    <w:rsid w:val="0056686C"/>
    <w:rsid w:val="005756EA"/>
    <w:rsid w:val="0057574A"/>
    <w:rsid w:val="005821AD"/>
    <w:rsid w:val="00583C38"/>
    <w:rsid w:val="00587A66"/>
    <w:rsid w:val="0059473E"/>
    <w:rsid w:val="00596253"/>
    <w:rsid w:val="00597BE5"/>
    <w:rsid w:val="005A33F9"/>
    <w:rsid w:val="005C0DC5"/>
    <w:rsid w:val="005C6256"/>
    <w:rsid w:val="005E0320"/>
    <w:rsid w:val="005E12B9"/>
    <w:rsid w:val="005E5608"/>
    <w:rsid w:val="005F18B8"/>
    <w:rsid w:val="00601710"/>
    <w:rsid w:val="00601BA7"/>
    <w:rsid w:val="00612120"/>
    <w:rsid w:val="006154D8"/>
    <w:rsid w:val="0062601D"/>
    <w:rsid w:val="00644EA6"/>
    <w:rsid w:val="00645F43"/>
    <w:rsid w:val="0066324C"/>
    <w:rsid w:val="006653C9"/>
    <w:rsid w:val="00665C1A"/>
    <w:rsid w:val="006669E1"/>
    <w:rsid w:val="0067251E"/>
    <w:rsid w:val="006729B2"/>
    <w:rsid w:val="00681FA8"/>
    <w:rsid w:val="00683125"/>
    <w:rsid w:val="0069329D"/>
    <w:rsid w:val="006A01CB"/>
    <w:rsid w:val="006A1F86"/>
    <w:rsid w:val="006B12AF"/>
    <w:rsid w:val="006B2775"/>
    <w:rsid w:val="006B2A66"/>
    <w:rsid w:val="006B5A33"/>
    <w:rsid w:val="006B7618"/>
    <w:rsid w:val="006B7CF7"/>
    <w:rsid w:val="006D13CC"/>
    <w:rsid w:val="006D77E4"/>
    <w:rsid w:val="006E1D2F"/>
    <w:rsid w:val="006E26C4"/>
    <w:rsid w:val="006F38D8"/>
    <w:rsid w:val="006F50B5"/>
    <w:rsid w:val="00710FD0"/>
    <w:rsid w:val="00721BA8"/>
    <w:rsid w:val="007240F7"/>
    <w:rsid w:val="00734223"/>
    <w:rsid w:val="0073503E"/>
    <w:rsid w:val="0074682F"/>
    <w:rsid w:val="00756430"/>
    <w:rsid w:val="007564D9"/>
    <w:rsid w:val="00773550"/>
    <w:rsid w:val="007764D2"/>
    <w:rsid w:val="00776A19"/>
    <w:rsid w:val="00782729"/>
    <w:rsid w:val="00787917"/>
    <w:rsid w:val="00790A32"/>
    <w:rsid w:val="007A4800"/>
    <w:rsid w:val="007A53AF"/>
    <w:rsid w:val="007B0951"/>
    <w:rsid w:val="007B3911"/>
    <w:rsid w:val="007B3AA0"/>
    <w:rsid w:val="007B6089"/>
    <w:rsid w:val="007B6FDC"/>
    <w:rsid w:val="007C6568"/>
    <w:rsid w:val="007C7C4B"/>
    <w:rsid w:val="007C7F45"/>
    <w:rsid w:val="007D10F8"/>
    <w:rsid w:val="007D7CF6"/>
    <w:rsid w:val="008047F6"/>
    <w:rsid w:val="008049F9"/>
    <w:rsid w:val="00810DA7"/>
    <w:rsid w:val="00812650"/>
    <w:rsid w:val="008130D1"/>
    <w:rsid w:val="00815B47"/>
    <w:rsid w:val="00823074"/>
    <w:rsid w:val="00842590"/>
    <w:rsid w:val="0084668C"/>
    <w:rsid w:val="008477C5"/>
    <w:rsid w:val="00850BD8"/>
    <w:rsid w:val="00851BC8"/>
    <w:rsid w:val="00861669"/>
    <w:rsid w:val="00861B95"/>
    <w:rsid w:val="0086256F"/>
    <w:rsid w:val="00862742"/>
    <w:rsid w:val="00862CCD"/>
    <w:rsid w:val="0087089B"/>
    <w:rsid w:val="008801BF"/>
    <w:rsid w:val="008A0070"/>
    <w:rsid w:val="008A2CC8"/>
    <w:rsid w:val="008B7D46"/>
    <w:rsid w:val="008C205F"/>
    <w:rsid w:val="008C73A7"/>
    <w:rsid w:val="008C7A27"/>
    <w:rsid w:val="008D76EB"/>
    <w:rsid w:val="008E07C4"/>
    <w:rsid w:val="008E2E53"/>
    <w:rsid w:val="008E65E1"/>
    <w:rsid w:val="008F2443"/>
    <w:rsid w:val="008F5FE8"/>
    <w:rsid w:val="008F70E8"/>
    <w:rsid w:val="00900B91"/>
    <w:rsid w:val="0090127D"/>
    <w:rsid w:val="00902414"/>
    <w:rsid w:val="00902EB7"/>
    <w:rsid w:val="00904302"/>
    <w:rsid w:val="00906AFA"/>
    <w:rsid w:val="00911266"/>
    <w:rsid w:val="00912343"/>
    <w:rsid w:val="009166A0"/>
    <w:rsid w:val="009274DC"/>
    <w:rsid w:val="00930F37"/>
    <w:rsid w:val="00934601"/>
    <w:rsid w:val="00935EA8"/>
    <w:rsid w:val="00937CAE"/>
    <w:rsid w:val="00937E4A"/>
    <w:rsid w:val="00941B4F"/>
    <w:rsid w:val="00942D1E"/>
    <w:rsid w:val="00951101"/>
    <w:rsid w:val="00955E67"/>
    <w:rsid w:val="00963BFB"/>
    <w:rsid w:val="00976703"/>
    <w:rsid w:val="00976BF6"/>
    <w:rsid w:val="00980F00"/>
    <w:rsid w:val="00994AB0"/>
    <w:rsid w:val="009967AC"/>
    <w:rsid w:val="009A13C0"/>
    <w:rsid w:val="009B3B5A"/>
    <w:rsid w:val="009C14B4"/>
    <w:rsid w:val="009D4C02"/>
    <w:rsid w:val="009D6998"/>
    <w:rsid w:val="009D7712"/>
    <w:rsid w:val="009E2534"/>
    <w:rsid w:val="009E6CC1"/>
    <w:rsid w:val="00A00021"/>
    <w:rsid w:val="00A03559"/>
    <w:rsid w:val="00A044D3"/>
    <w:rsid w:val="00A10ACA"/>
    <w:rsid w:val="00A1202E"/>
    <w:rsid w:val="00A22C88"/>
    <w:rsid w:val="00A26A0B"/>
    <w:rsid w:val="00A378D3"/>
    <w:rsid w:val="00A50828"/>
    <w:rsid w:val="00A5186A"/>
    <w:rsid w:val="00A5205B"/>
    <w:rsid w:val="00A54276"/>
    <w:rsid w:val="00A54945"/>
    <w:rsid w:val="00A60266"/>
    <w:rsid w:val="00A6041D"/>
    <w:rsid w:val="00A61A9D"/>
    <w:rsid w:val="00A6402E"/>
    <w:rsid w:val="00A642AD"/>
    <w:rsid w:val="00A650B3"/>
    <w:rsid w:val="00A666B1"/>
    <w:rsid w:val="00A667F2"/>
    <w:rsid w:val="00A71592"/>
    <w:rsid w:val="00A71E7F"/>
    <w:rsid w:val="00A74A81"/>
    <w:rsid w:val="00A81174"/>
    <w:rsid w:val="00A85D83"/>
    <w:rsid w:val="00A87210"/>
    <w:rsid w:val="00A91F77"/>
    <w:rsid w:val="00A935FD"/>
    <w:rsid w:val="00A94762"/>
    <w:rsid w:val="00A97EE9"/>
    <w:rsid w:val="00AA6191"/>
    <w:rsid w:val="00AA71AA"/>
    <w:rsid w:val="00AB3285"/>
    <w:rsid w:val="00AB52B0"/>
    <w:rsid w:val="00AB5FE5"/>
    <w:rsid w:val="00AB6487"/>
    <w:rsid w:val="00AB7C44"/>
    <w:rsid w:val="00AC4A75"/>
    <w:rsid w:val="00AD0AE9"/>
    <w:rsid w:val="00AF6B35"/>
    <w:rsid w:val="00AF7CF0"/>
    <w:rsid w:val="00B11EEE"/>
    <w:rsid w:val="00B14889"/>
    <w:rsid w:val="00B1685F"/>
    <w:rsid w:val="00B20ABD"/>
    <w:rsid w:val="00B22D58"/>
    <w:rsid w:val="00B3249F"/>
    <w:rsid w:val="00B33EEE"/>
    <w:rsid w:val="00B34CC4"/>
    <w:rsid w:val="00B358DB"/>
    <w:rsid w:val="00B400B6"/>
    <w:rsid w:val="00B51588"/>
    <w:rsid w:val="00B53D2E"/>
    <w:rsid w:val="00B708E5"/>
    <w:rsid w:val="00B756B6"/>
    <w:rsid w:val="00B766C6"/>
    <w:rsid w:val="00B76DEE"/>
    <w:rsid w:val="00B919D9"/>
    <w:rsid w:val="00B93F4A"/>
    <w:rsid w:val="00B95B4D"/>
    <w:rsid w:val="00B97438"/>
    <w:rsid w:val="00BB17A8"/>
    <w:rsid w:val="00BC2BDD"/>
    <w:rsid w:val="00BC327B"/>
    <w:rsid w:val="00BC4AB6"/>
    <w:rsid w:val="00BD0913"/>
    <w:rsid w:val="00BD3187"/>
    <w:rsid w:val="00BD39A2"/>
    <w:rsid w:val="00BE0C8F"/>
    <w:rsid w:val="00BE422C"/>
    <w:rsid w:val="00BE48FE"/>
    <w:rsid w:val="00BE564B"/>
    <w:rsid w:val="00BF396C"/>
    <w:rsid w:val="00C0227F"/>
    <w:rsid w:val="00C22547"/>
    <w:rsid w:val="00C33ACA"/>
    <w:rsid w:val="00C4147C"/>
    <w:rsid w:val="00C41567"/>
    <w:rsid w:val="00C476F6"/>
    <w:rsid w:val="00C4792F"/>
    <w:rsid w:val="00C520E2"/>
    <w:rsid w:val="00C56E3A"/>
    <w:rsid w:val="00C60622"/>
    <w:rsid w:val="00C636A2"/>
    <w:rsid w:val="00C70E1E"/>
    <w:rsid w:val="00C70E9B"/>
    <w:rsid w:val="00C72230"/>
    <w:rsid w:val="00C722C4"/>
    <w:rsid w:val="00C74B7C"/>
    <w:rsid w:val="00C77099"/>
    <w:rsid w:val="00C80126"/>
    <w:rsid w:val="00C86CFE"/>
    <w:rsid w:val="00C87789"/>
    <w:rsid w:val="00CA2C4A"/>
    <w:rsid w:val="00CA42CF"/>
    <w:rsid w:val="00CB56F6"/>
    <w:rsid w:val="00CB6E60"/>
    <w:rsid w:val="00CC74A2"/>
    <w:rsid w:val="00CD2957"/>
    <w:rsid w:val="00CD2D4D"/>
    <w:rsid w:val="00CD4869"/>
    <w:rsid w:val="00CD6D74"/>
    <w:rsid w:val="00CF0499"/>
    <w:rsid w:val="00CF3506"/>
    <w:rsid w:val="00D01C37"/>
    <w:rsid w:val="00D05AE3"/>
    <w:rsid w:val="00D07DF4"/>
    <w:rsid w:val="00D23888"/>
    <w:rsid w:val="00D24F73"/>
    <w:rsid w:val="00D25B9B"/>
    <w:rsid w:val="00D4172B"/>
    <w:rsid w:val="00D50FD2"/>
    <w:rsid w:val="00D561A7"/>
    <w:rsid w:val="00D5639C"/>
    <w:rsid w:val="00D60B90"/>
    <w:rsid w:val="00D623B9"/>
    <w:rsid w:val="00D67E07"/>
    <w:rsid w:val="00D757A1"/>
    <w:rsid w:val="00D75E51"/>
    <w:rsid w:val="00D75E93"/>
    <w:rsid w:val="00D82BEA"/>
    <w:rsid w:val="00D83693"/>
    <w:rsid w:val="00D9375F"/>
    <w:rsid w:val="00DB5AEA"/>
    <w:rsid w:val="00DB67EE"/>
    <w:rsid w:val="00DD2B3B"/>
    <w:rsid w:val="00DD4054"/>
    <w:rsid w:val="00DD6C71"/>
    <w:rsid w:val="00DE3236"/>
    <w:rsid w:val="00DE700C"/>
    <w:rsid w:val="00DF6026"/>
    <w:rsid w:val="00E24133"/>
    <w:rsid w:val="00E25D5E"/>
    <w:rsid w:val="00E2604C"/>
    <w:rsid w:val="00E31056"/>
    <w:rsid w:val="00E35D8F"/>
    <w:rsid w:val="00E36C54"/>
    <w:rsid w:val="00E41436"/>
    <w:rsid w:val="00E431C0"/>
    <w:rsid w:val="00E46BF4"/>
    <w:rsid w:val="00E54734"/>
    <w:rsid w:val="00E56740"/>
    <w:rsid w:val="00E62B0F"/>
    <w:rsid w:val="00E8630E"/>
    <w:rsid w:val="00E96F06"/>
    <w:rsid w:val="00E973DA"/>
    <w:rsid w:val="00EB2374"/>
    <w:rsid w:val="00EB4313"/>
    <w:rsid w:val="00EB7721"/>
    <w:rsid w:val="00EC018D"/>
    <w:rsid w:val="00EC3986"/>
    <w:rsid w:val="00EC3E16"/>
    <w:rsid w:val="00EC6C04"/>
    <w:rsid w:val="00ED3142"/>
    <w:rsid w:val="00ED65F5"/>
    <w:rsid w:val="00EE1B75"/>
    <w:rsid w:val="00EE5721"/>
    <w:rsid w:val="00F151BC"/>
    <w:rsid w:val="00F155A8"/>
    <w:rsid w:val="00F4405A"/>
    <w:rsid w:val="00F4539C"/>
    <w:rsid w:val="00F45D60"/>
    <w:rsid w:val="00F465A0"/>
    <w:rsid w:val="00F501F6"/>
    <w:rsid w:val="00F56514"/>
    <w:rsid w:val="00F60240"/>
    <w:rsid w:val="00F70C73"/>
    <w:rsid w:val="00F7638A"/>
    <w:rsid w:val="00F846DF"/>
    <w:rsid w:val="00F84DA7"/>
    <w:rsid w:val="00F8772E"/>
    <w:rsid w:val="00F87D7E"/>
    <w:rsid w:val="00F946A4"/>
    <w:rsid w:val="00FA0D99"/>
    <w:rsid w:val="00FA511A"/>
    <w:rsid w:val="00FA5BF2"/>
    <w:rsid w:val="00FA7A96"/>
    <w:rsid w:val="00FC0F69"/>
    <w:rsid w:val="00FC649C"/>
    <w:rsid w:val="00FC6A4A"/>
    <w:rsid w:val="00FD131C"/>
    <w:rsid w:val="00FE3524"/>
    <w:rsid w:val="00FE52C8"/>
    <w:rsid w:val="00FF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0601B9-C070-4324-B42D-E8591A7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MediumGrid21">
    <w:name w:val="Medium Grid 21"/>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PageNumber">
    <w:name w:val="page number"/>
    <w:rPr>
      <w:lang w:val="en-US"/>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FootnoteText">
    <w:name w:val="footnote text"/>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ImportedStyle2">
    <w:name w:val="Imported Style 2"/>
    <w:pPr>
      <w:numPr>
        <w:numId w:val="3"/>
      </w:numPr>
    </w:pPr>
  </w:style>
  <w:style w:type="paragraph" w:customStyle="1" w:styleId="ColorfulList-Accent11">
    <w:name w:val="Colorful List - Accent 11"/>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character" w:styleId="CommentReference">
    <w:name w:val="annotation reference"/>
    <w:uiPriority w:val="99"/>
    <w:semiHidden/>
    <w:unhideWhenUsed/>
    <w:rsid w:val="0090127D"/>
    <w:rPr>
      <w:sz w:val="18"/>
      <w:szCs w:val="18"/>
    </w:rPr>
  </w:style>
  <w:style w:type="paragraph" w:styleId="CommentText">
    <w:name w:val="annotation text"/>
    <w:basedOn w:val="Normal"/>
    <w:link w:val="CommentTextChar"/>
    <w:uiPriority w:val="99"/>
    <w:semiHidden/>
    <w:unhideWhenUsed/>
    <w:rsid w:val="0090127D"/>
  </w:style>
  <w:style w:type="character" w:customStyle="1" w:styleId="CommentTextChar">
    <w:name w:val="Comment Text Char"/>
    <w:link w:val="CommentText"/>
    <w:uiPriority w:val="99"/>
    <w:semiHidden/>
    <w:rsid w:val="0090127D"/>
    <w:rPr>
      <w:sz w:val="24"/>
      <w:szCs w:val="24"/>
    </w:rPr>
  </w:style>
  <w:style w:type="paragraph" w:styleId="CommentSubject">
    <w:name w:val="annotation subject"/>
    <w:basedOn w:val="CommentText"/>
    <w:next w:val="CommentText"/>
    <w:link w:val="CommentSubjectChar"/>
    <w:uiPriority w:val="99"/>
    <w:semiHidden/>
    <w:unhideWhenUsed/>
    <w:rsid w:val="0090127D"/>
    <w:rPr>
      <w:b/>
      <w:bCs/>
      <w:sz w:val="20"/>
      <w:szCs w:val="20"/>
    </w:rPr>
  </w:style>
  <w:style w:type="character" w:customStyle="1" w:styleId="CommentSubjectChar">
    <w:name w:val="Comment Subject Char"/>
    <w:link w:val="CommentSubject"/>
    <w:uiPriority w:val="99"/>
    <w:semiHidden/>
    <w:rsid w:val="0090127D"/>
    <w:rPr>
      <w:b/>
      <w:bCs/>
      <w:sz w:val="24"/>
      <w:szCs w:val="24"/>
    </w:rPr>
  </w:style>
  <w:style w:type="paragraph" w:styleId="BalloonText">
    <w:name w:val="Balloon Text"/>
    <w:basedOn w:val="Normal"/>
    <w:link w:val="BalloonTextChar"/>
    <w:uiPriority w:val="99"/>
    <w:semiHidden/>
    <w:unhideWhenUsed/>
    <w:rsid w:val="0090127D"/>
    <w:rPr>
      <w:sz w:val="18"/>
      <w:szCs w:val="18"/>
    </w:rPr>
  </w:style>
  <w:style w:type="character" w:customStyle="1" w:styleId="BalloonTextChar">
    <w:name w:val="Balloon Text Char"/>
    <w:link w:val="BalloonText"/>
    <w:uiPriority w:val="99"/>
    <w:semiHidden/>
    <w:rsid w:val="0090127D"/>
    <w:rPr>
      <w:sz w:val="18"/>
      <w:szCs w:val="18"/>
    </w:rPr>
  </w:style>
  <w:style w:type="character" w:styleId="FootnoteReference">
    <w:name w:val="footnote reference"/>
    <w:uiPriority w:val="99"/>
    <w:unhideWhenUsed/>
    <w:rsid w:val="00E62B0F"/>
    <w:rPr>
      <w:vertAlign w:val="superscript"/>
    </w:rPr>
  </w:style>
  <w:style w:type="paragraph" w:styleId="Footer">
    <w:name w:val="footer"/>
    <w:basedOn w:val="Normal"/>
    <w:link w:val="FooterChar"/>
    <w:uiPriority w:val="99"/>
    <w:unhideWhenUsed/>
    <w:rsid w:val="00C476F6"/>
    <w:pPr>
      <w:tabs>
        <w:tab w:val="center" w:pos="4680"/>
        <w:tab w:val="right" w:pos="9360"/>
      </w:tabs>
    </w:pPr>
  </w:style>
  <w:style w:type="character" w:customStyle="1" w:styleId="FooterChar">
    <w:name w:val="Footer Char"/>
    <w:basedOn w:val="DefaultParagraphFont"/>
    <w:link w:val="Footer"/>
    <w:uiPriority w:val="99"/>
    <w:rsid w:val="00C476F6"/>
    <w:rPr>
      <w:sz w:val="24"/>
      <w:szCs w:val="24"/>
      <w:bdr w:val="nil"/>
    </w:rPr>
  </w:style>
  <w:style w:type="character" w:customStyle="1" w:styleId="HeaderChar">
    <w:name w:val="Header Char"/>
    <w:basedOn w:val="DefaultParagraphFont"/>
    <w:link w:val="Header"/>
    <w:uiPriority w:val="99"/>
    <w:rsid w:val="00C476F6"/>
    <w:rPr>
      <w:rFonts w:ascii="Calibri" w:eastAsia="Calibri" w:hAnsi="Calibri" w:cs="Calibri"/>
      <w:color w:val="000000"/>
      <w:sz w:val="22"/>
      <w:szCs w:val="22"/>
      <w:u w:color="000000"/>
      <w:bdr w:val="nil"/>
    </w:rPr>
  </w:style>
  <w:style w:type="paragraph" w:styleId="ListParagraph">
    <w:name w:val="List Paragraph"/>
    <w:basedOn w:val="Normal"/>
    <w:uiPriority w:val="72"/>
    <w:qFormat/>
    <w:rsid w:val="004267C3"/>
    <w:pPr>
      <w:ind w:left="720"/>
      <w:contextualSpacing/>
    </w:pPr>
  </w:style>
  <w:style w:type="table" w:styleId="TableGrid">
    <w:name w:val="Table Grid"/>
    <w:basedOn w:val="TableNormal"/>
    <w:uiPriority w:val="59"/>
    <w:rsid w:val="00941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2017-09-07T18:30:00+00:00</Judgment_x0020_Date>
    <Year xmlns="63bdd487-88aa-4c54-b893-ddaa81ed2e7c">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ECD1-6771-425A-854B-4B08F376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4F59E-6D0C-41F2-854C-11C5A79EBEDD}">
  <ds:schemaRefs>
    <ds:schemaRef ds:uri="http://schemas.microsoft.com/sharepoint/v3/contenttype/forms"/>
  </ds:schemaRefs>
</ds:datastoreItem>
</file>

<file path=customXml/itemProps3.xml><?xml version="1.0" encoding="utf-8"?>
<ds:datastoreItem xmlns:ds="http://schemas.openxmlformats.org/officeDocument/2006/customXml" ds:itemID="{B1CE091F-FD45-4A77-8615-085341CDC39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1be7fe3-b1af-4cce-82d4-6ea25c209236"/>
    <ds:schemaRef ds:uri="http://schemas.microsoft.com/office/infopath/2007/PartnerControls"/>
    <ds:schemaRef ds:uri="63bdd487-88aa-4c54-b893-ddaa81ed2e7c"/>
    <ds:schemaRef ds:uri="http://www.w3.org/XML/1998/namespace"/>
  </ds:schemaRefs>
</ds:datastoreItem>
</file>

<file path=customXml/itemProps4.xml><?xml version="1.0" encoding="utf-8"?>
<ds:datastoreItem xmlns:ds="http://schemas.openxmlformats.org/officeDocument/2006/customXml" ds:itemID="{182768D8-A782-4353-9F26-2E5D7BDC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 Damaseb</dc:creator>
  <cp:keywords/>
  <dc:description/>
  <cp:lastModifiedBy>NamibLII</cp:lastModifiedBy>
  <cp:revision>2</cp:revision>
  <cp:lastPrinted>2017-09-08T07:21:00Z</cp:lastPrinted>
  <dcterms:created xsi:type="dcterms:W3CDTF">2017-09-21T06:47:00Z</dcterms:created>
  <dcterms:modified xsi:type="dcterms:W3CDTF">2017-09-21T06:47:00Z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