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0B" w:rsidRDefault="00FA690B" w:rsidP="00FA690B">
      <w:pPr>
        <w:jc w:val="center"/>
        <w:rPr>
          <w:rFonts w:ascii="Arial" w:hAnsi="Arial"/>
          <w:b/>
        </w:rPr>
      </w:pPr>
      <w:bookmarkStart w:id="0" w:name="_GoBack"/>
      <w:bookmarkEnd w:id="0"/>
      <w:r w:rsidRPr="00B64287">
        <w:rPr>
          <w:noProof/>
          <w:lang w:val="en-US"/>
        </w:rPr>
        <w:drawing>
          <wp:inline distT="0" distB="0" distL="0" distR="0">
            <wp:extent cx="1123950" cy="1168908"/>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642" cy="1177948"/>
                    </a:xfrm>
                    <a:prstGeom prst="rect">
                      <a:avLst/>
                    </a:prstGeom>
                    <a:noFill/>
                    <a:ln w="9525">
                      <a:noFill/>
                      <a:miter lim="800000"/>
                      <a:headEnd/>
                      <a:tailEnd/>
                    </a:ln>
                  </pic:spPr>
                </pic:pic>
              </a:graphicData>
            </a:graphic>
          </wp:inline>
        </w:drawing>
      </w:r>
    </w:p>
    <w:p w:rsidR="000E7F80" w:rsidRDefault="00883EB6" w:rsidP="000E7F80">
      <w:pPr>
        <w:jc w:val="right"/>
        <w:rPr>
          <w:rFonts w:ascii="Arial" w:hAnsi="Arial"/>
          <w:b/>
        </w:rPr>
      </w:pPr>
      <w:r>
        <w:rPr>
          <w:rFonts w:ascii="Arial" w:hAnsi="Arial"/>
          <w:b/>
        </w:rPr>
        <w:t xml:space="preserve">NOT </w:t>
      </w:r>
      <w:r w:rsidR="000E7F80">
        <w:rPr>
          <w:rFonts w:ascii="Arial" w:hAnsi="Arial"/>
          <w:b/>
        </w:rPr>
        <w:t>REPORTABLE</w:t>
      </w:r>
    </w:p>
    <w:p w:rsidR="000E7F80" w:rsidRPr="00681B8B" w:rsidRDefault="000E7F80" w:rsidP="000E7F80">
      <w:pPr>
        <w:jc w:val="right"/>
        <w:rPr>
          <w:rFonts w:ascii="Arial" w:hAnsi="Arial"/>
          <w:b/>
        </w:rPr>
      </w:pPr>
    </w:p>
    <w:p w:rsidR="000E7F80" w:rsidRDefault="000E7F80" w:rsidP="000E7F80">
      <w:pPr>
        <w:jc w:val="right"/>
        <w:rPr>
          <w:rFonts w:ascii="Arial" w:hAnsi="Arial"/>
        </w:rPr>
      </w:pPr>
      <w:r>
        <w:rPr>
          <w:rFonts w:ascii="Arial" w:hAnsi="Arial"/>
        </w:rPr>
        <w:t>CASE NO: SA 56/2016</w:t>
      </w:r>
    </w:p>
    <w:p w:rsidR="000E7F80" w:rsidRDefault="000E7F80" w:rsidP="000E7F80">
      <w:pPr>
        <w:jc w:val="right"/>
        <w:rPr>
          <w:rFonts w:ascii="Arial" w:hAnsi="Arial"/>
        </w:rPr>
      </w:pPr>
    </w:p>
    <w:p w:rsidR="000E7F80" w:rsidRDefault="000E7F80" w:rsidP="000E7F80">
      <w:pPr>
        <w:jc w:val="right"/>
        <w:rPr>
          <w:rFonts w:ascii="Arial" w:hAnsi="Arial"/>
        </w:rPr>
      </w:pPr>
    </w:p>
    <w:p w:rsidR="000E7F80" w:rsidRDefault="000E7F80" w:rsidP="000E7F80">
      <w:pPr>
        <w:rPr>
          <w:rFonts w:ascii="Arial" w:hAnsi="Arial"/>
          <w:b/>
        </w:rPr>
      </w:pPr>
      <w:r>
        <w:rPr>
          <w:rFonts w:ascii="Arial" w:hAnsi="Arial"/>
          <w:b/>
        </w:rPr>
        <w:t>IN THE SUPREME COURT OF NAMIBIA</w:t>
      </w:r>
    </w:p>
    <w:p w:rsidR="000E7F80" w:rsidRDefault="000E7F80" w:rsidP="000E7F80">
      <w:pPr>
        <w:rPr>
          <w:rFonts w:ascii="Arial" w:hAnsi="Arial"/>
          <w:b/>
        </w:rPr>
      </w:pPr>
    </w:p>
    <w:p w:rsidR="000E7F80" w:rsidRDefault="000E7F80" w:rsidP="000E7F80">
      <w:pPr>
        <w:rPr>
          <w:rFonts w:ascii="Arial" w:hAnsi="Arial"/>
          <w:b/>
        </w:rPr>
      </w:pPr>
    </w:p>
    <w:p w:rsidR="000E7F80" w:rsidRDefault="000E7F80" w:rsidP="000E7F80">
      <w:pPr>
        <w:rPr>
          <w:rFonts w:ascii="Arial" w:hAnsi="Arial"/>
        </w:rPr>
      </w:pPr>
      <w:r>
        <w:rPr>
          <w:rFonts w:ascii="Arial" w:hAnsi="Arial"/>
        </w:rPr>
        <w:t>In the matter between</w:t>
      </w:r>
    </w:p>
    <w:p w:rsidR="008B79DF" w:rsidRDefault="008B79DF" w:rsidP="000E7F80">
      <w:pPr>
        <w:rPr>
          <w:rFonts w:ascii="Arial" w:hAnsi="Arial"/>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544"/>
      </w:tblGrid>
      <w:tr w:rsidR="008B79DF" w:rsidTr="00947A54">
        <w:tc>
          <w:tcPr>
            <w:tcW w:w="5382" w:type="dxa"/>
          </w:tcPr>
          <w:p w:rsidR="008B79DF" w:rsidRDefault="008B79DF" w:rsidP="005C7BBA">
            <w:pPr>
              <w:spacing w:line="480" w:lineRule="auto"/>
              <w:ind w:left="-108"/>
              <w:rPr>
                <w:rFonts w:ascii="Arial" w:hAnsi="Arial"/>
              </w:rPr>
            </w:pPr>
            <w:r w:rsidRPr="001674CD">
              <w:rPr>
                <w:rFonts w:ascii="Arial" w:hAnsi="Arial"/>
                <w:b/>
              </w:rPr>
              <w:t>ISSA</w:t>
            </w:r>
            <w:r>
              <w:rPr>
                <w:rFonts w:ascii="Arial" w:hAnsi="Arial"/>
                <w:b/>
              </w:rPr>
              <w:t>S</w:t>
            </w:r>
            <w:r w:rsidRPr="001674CD">
              <w:rPr>
                <w:rFonts w:ascii="Arial" w:hAnsi="Arial"/>
                <w:b/>
              </w:rPr>
              <w:t>KAR KAUNE</w:t>
            </w:r>
          </w:p>
        </w:tc>
        <w:tc>
          <w:tcPr>
            <w:tcW w:w="3544" w:type="dxa"/>
          </w:tcPr>
          <w:p w:rsidR="008B79DF" w:rsidRDefault="008B79DF" w:rsidP="005C7BBA">
            <w:pPr>
              <w:spacing w:line="480" w:lineRule="auto"/>
              <w:jc w:val="right"/>
              <w:rPr>
                <w:rFonts w:ascii="Arial" w:hAnsi="Arial"/>
              </w:rPr>
            </w:pPr>
            <w:r w:rsidRPr="00DE17E7">
              <w:rPr>
                <w:rFonts w:ascii="Arial" w:hAnsi="Arial"/>
                <w:b/>
              </w:rPr>
              <w:t>App</w:t>
            </w:r>
            <w:r>
              <w:rPr>
                <w:rFonts w:ascii="Arial" w:hAnsi="Arial"/>
                <w:b/>
              </w:rPr>
              <w:t>licant</w:t>
            </w:r>
          </w:p>
        </w:tc>
      </w:tr>
      <w:tr w:rsidR="008B79DF" w:rsidTr="00947A54">
        <w:tc>
          <w:tcPr>
            <w:tcW w:w="8926" w:type="dxa"/>
            <w:gridSpan w:val="2"/>
          </w:tcPr>
          <w:p w:rsidR="008B79DF" w:rsidRPr="008B79DF" w:rsidRDefault="008B79DF" w:rsidP="005C7BBA">
            <w:pPr>
              <w:spacing w:line="480" w:lineRule="auto"/>
              <w:ind w:left="-108"/>
              <w:rPr>
                <w:rFonts w:ascii="Arial" w:hAnsi="Arial"/>
              </w:rPr>
            </w:pPr>
            <w:r w:rsidRPr="008B79DF">
              <w:rPr>
                <w:rFonts w:ascii="Arial" w:hAnsi="Arial"/>
              </w:rPr>
              <w:t>and</w:t>
            </w:r>
          </w:p>
        </w:tc>
      </w:tr>
      <w:tr w:rsidR="008B79DF" w:rsidTr="00947A54">
        <w:tc>
          <w:tcPr>
            <w:tcW w:w="5382" w:type="dxa"/>
          </w:tcPr>
          <w:p w:rsidR="008B79DF" w:rsidRPr="001674CD" w:rsidRDefault="008B79DF" w:rsidP="005C7BBA">
            <w:pPr>
              <w:spacing w:line="480" w:lineRule="auto"/>
              <w:ind w:left="-108"/>
              <w:rPr>
                <w:rFonts w:ascii="Arial" w:hAnsi="Arial"/>
                <w:b/>
              </w:rPr>
            </w:pPr>
            <w:r>
              <w:rPr>
                <w:rFonts w:ascii="Arial" w:hAnsi="Arial"/>
                <w:b/>
              </w:rPr>
              <w:t>REGISTRAR OF DEEDS</w:t>
            </w:r>
          </w:p>
        </w:tc>
        <w:tc>
          <w:tcPr>
            <w:tcW w:w="3544" w:type="dxa"/>
          </w:tcPr>
          <w:p w:rsidR="008B79DF" w:rsidRPr="00DE17E7" w:rsidRDefault="008B79DF" w:rsidP="005C7BBA">
            <w:pPr>
              <w:spacing w:line="480" w:lineRule="auto"/>
              <w:jc w:val="right"/>
              <w:rPr>
                <w:rFonts w:ascii="Arial" w:hAnsi="Arial"/>
                <w:b/>
              </w:rPr>
            </w:pPr>
            <w:r>
              <w:rPr>
                <w:rFonts w:ascii="Arial" w:hAnsi="Arial"/>
                <w:b/>
              </w:rPr>
              <w:t>First Respondent</w:t>
            </w:r>
          </w:p>
        </w:tc>
      </w:tr>
      <w:tr w:rsidR="008B79DF" w:rsidTr="00947A54">
        <w:tc>
          <w:tcPr>
            <w:tcW w:w="5382" w:type="dxa"/>
          </w:tcPr>
          <w:p w:rsidR="008B79DF" w:rsidRDefault="008B79DF" w:rsidP="005C7BBA">
            <w:pPr>
              <w:spacing w:line="480" w:lineRule="auto"/>
              <w:ind w:left="-108"/>
              <w:rPr>
                <w:rFonts w:ascii="Arial" w:hAnsi="Arial"/>
                <w:b/>
              </w:rPr>
            </w:pPr>
            <w:r>
              <w:rPr>
                <w:rFonts w:ascii="Arial" w:hAnsi="Arial"/>
                <w:b/>
              </w:rPr>
              <w:t>MASTER OF THE HIGH COURT OF NAMIBIA</w:t>
            </w:r>
          </w:p>
        </w:tc>
        <w:tc>
          <w:tcPr>
            <w:tcW w:w="3544" w:type="dxa"/>
          </w:tcPr>
          <w:p w:rsidR="008B79DF" w:rsidRDefault="008B79DF" w:rsidP="005C7BBA">
            <w:pPr>
              <w:spacing w:line="480" w:lineRule="auto"/>
              <w:jc w:val="right"/>
              <w:rPr>
                <w:rFonts w:ascii="Arial" w:hAnsi="Arial"/>
                <w:b/>
              </w:rPr>
            </w:pPr>
            <w:r>
              <w:rPr>
                <w:rFonts w:ascii="Arial" w:hAnsi="Arial"/>
                <w:b/>
              </w:rPr>
              <w:t>Second Respondent</w:t>
            </w:r>
          </w:p>
        </w:tc>
      </w:tr>
      <w:tr w:rsidR="008B79DF" w:rsidTr="00947A54">
        <w:tc>
          <w:tcPr>
            <w:tcW w:w="5382" w:type="dxa"/>
          </w:tcPr>
          <w:p w:rsidR="008B79DF" w:rsidRDefault="008B79DF" w:rsidP="005C7BBA">
            <w:pPr>
              <w:spacing w:line="480" w:lineRule="auto"/>
              <w:ind w:left="-108"/>
              <w:rPr>
                <w:rFonts w:ascii="Arial" w:hAnsi="Arial"/>
                <w:b/>
              </w:rPr>
            </w:pPr>
            <w:r>
              <w:rPr>
                <w:rFonts w:ascii="Arial" w:hAnsi="Arial"/>
                <w:b/>
              </w:rPr>
              <w:t>GOTTFRIEDINE KAUNE KAMBATUKU</w:t>
            </w:r>
          </w:p>
        </w:tc>
        <w:tc>
          <w:tcPr>
            <w:tcW w:w="3544" w:type="dxa"/>
          </w:tcPr>
          <w:p w:rsidR="008B79DF" w:rsidRDefault="008B79DF" w:rsidP="005C7BBA">
            <w:pPr>
              <w:spacing w:line="480" w:lineRule="auto"/>
              <w:jc w:val="right"/>
              <w:rPr>
                <w:rFonts w:ascii="Arial" w:hAnsi="Arial"/>
                <w:b/>
              </w:rPr>
            </w:pPr>
            <w:r>
              <w:rPr>
                <w:rFonts w:ascii="Arial" w:hAnsi="Arial"/>
                <w:b/>
              </w:rPr>
              <w:t>Third Respondent</w:t>
            </w:r>
          </w:p>
        </w:tc>
      </w:tr>
      <w:tr w:rsidR="00BC3A13" w:rsidTr="00947A54">
        <w:tc>
          <w:tcPr>
            <w:tcW w:w="5382" w:type="dxa"/>
          </w:tcPr>
          <w:p w:rsidR="00BC3A13" w:rsidRDefault="00BC3A13" w:rsidP="005C7BBA">
            <w:pPr>
              <w:spacing w:line="480" w:lineRule="auto"/>
              <w:ind w:left="-108"/>
              <w:rPr>
                <w:rFonts w:ascii="Arial" w:hAnsi="Arial"/>
                <w:b/>
              </w:rPr>
            </w:pPr>
            <w:r>
              <w:rPr>
                <w:rFonts w:ascii="Arial" w:hAnsi="Arial"/>
                <w:b/>
              </w:rPr>
              <w:t>VICTOR KAUNE</w:t>
            </w:r>
          </w:p>
        </w:tc>
        <w:tc>
          <w:tcPr>
            <w:tcW w:w="3544" w:type="dxa"/>
          </w:tcPr>
          <w:p w:rsidR="00BC3A13" w:rsidRDefault="00BC3A13" w:rsidP="005C7BBA">
            <w:pPr>
              <w:spacing w:line="480" w:lineRule="auto"/>
              <w:jc w:val="right"/>
              <w:rPr>
                <w:rFonts w:ascii="Arial" w:hAnsi="Arial"/>
                <w:b/>
              </w:rPr>
            </w:pPr>
            <w:r>
              <w:rPr>
                <w:rFonts w:ascii="Arial" w:hAnsi="Arial"/>
                <w:b/>
              </w:rPr>
              <w:t>Fourth Respondent</w:t>
            </w:r>
          </w:p>
        </w:tc>
      </w:tr>
      <w:tr w:rsidR="00BC3A13" w:rsidTr="00947A54">
        <w:tc>
          <w:tcPr>
            <w:tcW w:w="5382" w:type="dxa"/>
          </w:tcPr>
          <w:p w:rsidR="00BC3A13" w:rsidRDefault="00BC3A13" w:rsidP="005C7BBA">
            <w:pPr>
              <w:spacing w:line="480" w:lineRule="auto"/>
              <w:ind w:left="-108"/>
              <w:rPr>
                <w:rFonts w:ascii="Arial" w:hAnsi="Arial"/>
                <w:b/>
              </w:rPr>
            </w:pPr>
            <w:r>
              <w:rPr>
                <w:rFonts w:ascii="Arial" w:hAnsi="Arial"/>
                <w:b/>
              </w:rPr>
              <w:t>KATJIUKIRUE KAUNE</w:t>
            </w:r>
          </w:p>
        </w:tc>
        <w:tc>
          <w:tcPr>
            <w:tcW w:w="3544" w:type="dxa"/>
          </w:tcPr>
          <w:p w:rsidR="00BC3A13" w:rsidRDefault="00BC3A13" w:rsidP="005C7BBA">
            <w:pPr>
              <w:spacing w:line="480" w:lineRule="auto"/>
              <w:jc w:val="right"/>
              <w:rPr>
                <w:rFonts w:ascii="Arial" w:hAnsi="Arial"/>
                <w:b/>
              </w:rPr>
            </w:pPr>
            <w:r>
              <w:rPr>
                <w:rFonts w:ascii="Arial" w:hAnsi="Arial"/>
                <w:b/>
              </w:rPr>
              <w:t>Fifth Respondent</w:t>
            </w:r>
          </w:p>
        </w:tc>
      </w:tr>
      <w:tr w:rsidR="00BC3A13" w:rsidTr="00947A54">
        <w:tc>
          <w:tcPr>
            <w:tcW w:w="5382" w:type="dxa"/>
          </w:tcPr>
          <w:p w:rsidR="00BC3A13" w:rsidRDefault="00BC3A13" w:rsidP="005C7BBA">
            <w:pPr>
              <w:spacing w:line="480" w:lineRule="auto"/>
              <w:ind w:left="-108"/>
              <w:rPr>
                <w:rFonts w:ascii="Arial" w:hAnsi="Arial"/>
                <w:b/>
              </w:rPr>
            </w:pPr>
            <w:r>
              <w:rPr>
                <w:rFonts w:ascii="Arial" w:hAnsi="Arial"/>
                <w:b/>
              </w:rPr>
              <w:t>TAMAA KAUNE</w:t>
            </w:r>
          </w:p>
        </w:tc>
        <w:tc>
          <w:tcPr>
            <w:tcW w:w="3544" w:type="dxa"/>
          </w:tcPr>
          <w:p w:rsidR="00BC3A13" w:rsidRDefault="00BC3A13" w:rsidP="005C7BBA">
            <w:pPr>
              <w:spacing w:line="480" w:lineRule="auto"/>
              <w:jc w:val="right"/>
              <w:rPr>
                <w:rFonts w:ascii="Arial" w:hAnsi="Arial"/>
                <w:b/>
              </w:rPr>
            </w:pPr>
            <w:r>
              <w:rPr>
                <w:rFonts w:ascii="Arial" w:hAnsi="Arial"/>
                <w:b/>
              </w:rPr>
              <w:t>Sixth Respondent</w:t>
            </w:r>
          </w:p>
        </w:tc>
      </w:tr>
      <w:tr w:rsidR="00BC3A13" w:rsidTr="00947A54">
        <w:tc>
          <w:tcPr>
            <w:tcW w:w="5382" w:type="dxa"/>
          </w:tcPr>
          <w:p w:rsidR="00BC3A13" w:rsidRDefault="00BC3A13" w:rsidP="005C7BBA">
            <w:pPr>
              <w:spacing w:line="480" w:lineRule="auto"/>
              <w:ind w:left="-108"/>
              <w:rPr>
                <w:rFonts w:ascii="Arial" w:hAnsi="Arial"/>
                <w:b/>
              </w:rPr>
            </w:pPr>
            <w:r>
              <w:rPr>
                <w:rFonts w:ascii="Arial" w:hAnsi="Arial"/>
                <w:b/>
              </w:rPr>
              <w:t>KAKUVEONGARERA KAUNE</w:t>
            </w:r>
          </w:p>
        </w:tc>
        <w:tc>
          <w:tcPr>
            <w:tcW w:w="3544" w:type="dxa"/>
          </w:tcPr>
          <w:p w:rsidR="00BC3A13" w:rsidRDefault="00BC3A13" w:rsidP="005C7BBA">
            <w:pPr>
              <w:spacing w:line="480" w:lineRule="auto"/>
              <w:jc w:val="right"/>
              <w:rPr>
                <w:rFonts w:ascii="Arial" w:hAnsi="Arial"/>
                <w:b/>
              </w:rPr>
            </w:pPr>
            <w:r>
              <w:rPr>
                <w:rFonts w:ascii="Arial" w:hAnsi="Arial"/>
                <w:b/>
              </w:rPr>
              <w:t>Seventh Respondent</w:t>
            </w:r>
          </w:p>
        </w:tc>
      </w:tr>
      <w:tr w:rsidR="00BC3A13" w:rsidTr="00947A54">
        <w:tc>
          <w:tcPr>
            <w:tcW w:w="5382" w:type="dxa"/>
          </w:tcPr>
          <w:p w:rsidR="00BC3A13" w:rsidRDefault="00BC3A13" w:rsidP="005C7BBA">
            <w:pPr>
              <w:spacing w:line="480" w:lineRule="auto"/>
              <w:ind w:left="-108"/>
              <w:rPr>
                <w:rFonts w:ascii="Arial" w:hAnsi="Arial"/>
                <w:b/>
              </w:rPr>
            </w:pPr>
            <w:r>
              <w:rPr>
                <w:rFonts w:ascii="Arial" w:hAnsi="Arial"/>
                <w:b/>
              </w:rPr>
              <w:t>MBAJOROKA KAUNE</w:t>
            </w:r>
          </w:p>
        </w:tc>
        <w:tc>
          <w:tcPr>
            <w:tcW w:w="3544" w:type="dxa"/>
          </w:tcPr>
          <w:p w:rsidR="00BC3A13" w:rsidRDefault="00BC3A13" w:rsidP="005C7BBA">
            <w:pPr>
              <w:spacing w:line="480" w:lineRule="auto"/>
              <w:jc w:val="right"/>
              <w:rPr>
                <w:rFonts w:ascii="Arial" w:hAnsi="Arial"/>
                <w:b/>
              </w:rPr>
            </w:pPr>
            <w:r>
              <w:rPr>
                <w:rFonts w:ascii="Arial" w:hAnsi="Arial"/>
                <w:b/>
              </w:rPr>
              <w:t>Eighth Respondent</w:t>
            </w:r>
          </w:p>
        </w:tc>
      </w:tr>
      <w:tr w:rsidR="00453733" w:rsidTr="00947A54">
        <w:tc>
          <w:tcPr>
            <w:tcW w:w="5382" w:type="dxa"/>
          </w:tcPr>
          <w:p w:rsidR="00453733" w:rsidRDefault="00453733" w:rsidP="005C7BBA">
            <w:pPr>
              <w:spacing w:line="480" w:lineRule="auto"/>
              <w:ind w:left="-108"/>
              <w:rPr>
                <w:rFonts w:ascii="Arial" w:hAnsi="Arial"/>
                <w:b/>
              </w:rPr>
            </w:pPr>
            <w:r>
              <w:rPr>
                <w:rFonts w:ascii="Arial" w:hAnsi="Arial"/>
                <w:b/>
              </w:rPr>
              <w:t>KAKUVANJENGUA KAUNE</w:t>
            </w:r>
          </w:p>
        </w:tc>
        <w:tc>
          <w:tcPr>
            <w:tcW w:w="3544" w:type="dxa"/>
          </w:tcPr>
          <w:p w:rsidR="00453733" w:rsidRDefault="00453733" w:rsidP="005C7BBA">
            <w:pPr>
              <w:spacing w:line="480" w:lineRule="auto"/>
              <w:jc w:val="right"/>
              <w:rPr>
                <w:rFonts w:ascii="Arial" w:hAnsi="Arial"/>
                <w:b/>
              </w:rPr>
            </w:pPr>
            <w:r>
              <w:rPr>
                <w:rFonts w:ascii="Arial" w:hAnsi="Arial"/>
                <w:b/>
              </w:rPr>
              <w:t>Ninth Respondent</w:t>
            </w:r>
          </w:p>
        </w:tc>
      </w:tr>
      <w:tr w:rsidR="00453733" w:rsidTr="00947A54">
        <w:tc>
          <w:tcPr>
            <w:tcW w:w="5382" w:type="dxa"/>
          </w:tcPr>
          <w:p w:rsidR="00453733" w:rsidRDefault="00453733" w:rsidP="005C7BBA">
            <w:pPr>
              <w:spacing w:line="480" w:lineRule="auto"/>
              <w:ind w:left="-108"/>
              <w:rPr>
                <w:rFonts w:ascii="Arial" w:hAnsi="Arial"/>
                <w:b/>
              </w:rPr>
            </w:pPr>
            <w:r>
              <w:rPr>
                <w:rFonts w:ascii="Arial" w:hAnsi="Arial"/>
                <w:b/>
              </w:rPr>
              <w:t>TJIUNATJO KAUNE</w:t>
            </w:r>
          </w:p>
        </w:tc>
        <w:tc>
          <w:tcPr>
            <w:tcW w:w="3544" w:type="dxa"/>
          </w:tcPr>
          <w:p w:rsidR="00453733" w:rsidRDefault="00453733" w:rsidP="005C7BBA">
            <w:pPr>
              <w:spacing w:line="480" w:lineRule="auto"/>
              <w:jc w:val="right"/>
              <w:rPr>
                <w:rFonts w:ascii="Arial" w:hAnsi="Arial"/>
                <w:b/>
              </w:rPr>
            </w:pPr>
            <w:r>
              <w:rPr>
                <w:rFonts w:ascii="Arial" w:hAnsi="Arial"/>
                <w:b/>
              </w:rPr>
              <w:t>Tenth Respondent</w:t>
            </w:r>
          </w:p>
        </w:tc>
      </w:tr>
      <w:tr w:rsidR="00453733" w:rsidTr="00947A54">
        <w:tc>
          <w:tcPr>
            <w:tcW w:w="5382" w:type="dxa"/>
          </w:tcPr>
          <w:p w:rsidR="00453733" w:rsidRDefault="00453733" w:rsidP="005C7BBA">
            <w:pPr>
              <w:spacing w:line="480" w:lineRule="auto"/>
              <w:ind w:left="-108"/>
              <w:rPr>
                <w:rFonts w:ascii="Arial" w:hAnsi="Arial"/>
                <w:b/>
              </w:rPr>
            </w:pPr>
            <w:r>
              <w:rPr>
                <w:rFonts w:ascii="Arial" w:hAnsi="Arial"/>
                <w:b/>
              </w:rPr>
              <w:t>UASUTUA KAUNE</w:t>
            </w:r>
          </w:p>
        </w:tc>
        <w:tc>
          <w:tcPr>
            <w:tcW w:w="3544" w:type="dxa"/>
          </w:tcPr>
          <w:p w:rsidR="00453733" w:rsidRDefault="00453733" w:rsidP="005C7BBA">
            <w:pPr>
              <w:spacing w:line="480" w:lineRule="auto"/>
              <w:jc w:val="right"/>
              <w:rPr>
                <w:rFonts w:ascii="Arial" w:hAnsi="Arial"/>
                <w:b/>
              </w:rPr>
            </w:pPr>
            <w:r>
              <w:rPr>
                <w:rFonts w:ascii="Arial" w:hAnsi="Arial"/>
                <w:b/>
              </w:rPr>
              <w:t>Eleventh Respondent</w:t>
            </w:r>
          </w:p>
        </w:tc>
      </w:tr>
      <w:tr w:rsidR="00453733" w:rsidTr="00947A54">
        <w:tc>
          <w:tcPr>
            <w:tcW w:w="5382" w:type="dxa"/>
          </w:tcPr>
          <w:p w:rsidR="00453733" w:rsidRDefault="00453733" w:rsidP="005C7BBA">
            <w:pPr>
              <w:spacing w:line="480" w:lineRule="auto"/>
              <w:ind w:left="-108"/>
              <w:rPr>
                <w:rFonts w:ascii="Arial" w:hAnsi="Arial"/>
                <w:b/>
              </w:rPr>
            </w:pPr>
            <w:r>
              <w:rPr>
                <w:rFonts w:ascii="Arial" w:hAnsi="Arial"/>
                <w:b/>
              </w:rPr>
              <w:t>MURAERA KAUNE</w:t>
            </w:r>
          </w:p>
        </w:tc>
        <w:tc>
          <w:tcPr>
            <w:tcW w:w="3544" w:type="dxa"/>
          </w:tcPr>
          <w:p w:rsidR="00453733" w:rsidRDefault="00453733" w:rsidP="005C7BBA">
            <w:pPr>
              <w:spacing w:line="480" w:lineRule="auto"/>
              <w:jc w:val="right"/>
              <w:rPr>
                <w:rFonts w:ascii="Arial" w:hAnsi="Arial"/>
                <w:b/>
              </w:rPr>
            </w:pPr>
            <w:r>
              <w:rPr>
                <w:rFonts w:ascii="Arial" w:hAnsi="Arial"/>
                <w:b/>
              </w:rPr>
              <w:t>Twelve</w:t>
            </w:r>
            <w:r w:rsidR="0015644F">
              <w:rPr>
                <w:rFonts w:ascii="Arial" w:hAnsi="Arial"/>
                <w:b/>
              </w:rPr>
              <w:t>th</w:t>
            </w:r>
            <w:r>
              <w:rPr>
                <w:rFonts w:ascii="Arial" w:hAnsi="Arial"/>
                <w:b/>
              </w:rPr>
              <w:t xml:space="preserve"> Respondent</w:t>
            </w:r>
          </w:p>
        </w:tc>
      </w:tr>
      <w:tr w:rsidR="00453733" w:rsidTr="00947A54">
        <w:tc>
          <w:tcPr>
            <w:tcW w:w="5382" w:type="dxa"/>
          </w:tcPr>
          <w:p w:rsidR="00453733" w:rsidRDefault="00453733" w:rsidP="005C7BBA">
            <w:pPr>
              <w:spacing w:line="480" w:lineRule="auto"/>
              <w:ind w:left="-108"/>
              <w:rPr>
                <w:rFonts w:ascii="Arial" w:hAnsi="Arial"/>
                <w:b/>
              </w:rPr>
            </w:pPr>
            <w:r>
              <w:rPr>
                <w:rFonts w:ascii="Arial" w:hAnsi="Arial"/>
                <w:b/>
              </w:rPr>
              <w:t>RASEUATJO KAUNE</w:t>
            </w:r>
          </w:p>
        </w:tc>
        <w:tc>
          <w:tcPr>
            <w:tcW w:w="3544" w:type="dxa"/>
          </w:tcPr>
          <w:p w:rsidR="00453733" w:rsidRDefault="00453733" w:rsidP="005C7BBA">
            <w:pPr>
              <w:spacing w:line="480" w:lineRule="auto"/>
              <w:jc w:val="right"/>
              <w:rPr>
                <w:rFonts w:ascii="Arial" w:hAnsi="Arial"/>
                <w:b/>
              </w:rPr>
            </w:pPr>
            <w:r>
              <w:rPr>
                <w:rFonts w:ascii="Arial" w:hAnsi="Arial"/>
                <w:b/>
              </w:rPr>
              <w:t>Thirteenth Respondent</w:t>
            </w:r>
          </w:p>
        </w:tc>
      </w:tr>
      <w:tr w:rsidR="00453733" w:rsidTr="00947A54">
        <w:tc>
          <w:tcPr>
            <w:tcW w:w="5382" w:type="dxa"/>
          </w:tcPr>
          <w:p w:rsidR="00453733" w:rsidRDefault="00453733" w:rsidP="005C7BBA">
            <w:pPr>
              <w:spacing w:line="480" w:lineRule="auto"/>
              <w:ind w:left="-108"/>
              <w:rPr>
                <w:rFonts w:ascii="Arial" w:hAnsi="Arial"/>
                <w:b/>
              </w:rPr>
            </w:pPr>
            <w:r>
              <w:rPr>
                <w:rFonts w:ascii="Arial" w:hAnsi="Arial"/>
                <w:b/>
              </w:rPr>
              <w:t>HIJEE KAUNE</w:t>
            </w:r>
          </w:p>
        </w:tc>
        <w:tc>
          <w:tcPr>
            <w:tcW w:w="3544" w:type="dxa"/>
          </w:tcPr>
          <w:p w:rsidR="00453733" w:rsidRDefault="00453733" w:rsidP="005C7BBA">
            <w:pPr>
              <w:spacing w:line="480" w:lineRule="auto"/>
              <w:jc w:val="right"/>
              <w:rPr>
                <w:rFonts w:ascii="Arial" w:hAnsi="Arial"/>
                <w:b/>
              </w:rPr>
            </w:pPr>
            <w:r>
              <w:rPr>
                <w:rFonts w:ascii="Arial" w:hAnsi="Arial"/>
                <w:b/>
              </w:rPr>
              <w:t>Fourteenth Respondent</w:t>
            </w:r>
          </w:p>
        </w:tc>
      </w:tr>
      <w:tr w:rsidR="00453733" w:rsidTr="00947A54">
        <w:tc>
          <w:tcPr>
            <w:tcW w:w="5382" w:type="dxa"/>
          </w:tcPr>
          <w:p w:rsidR="00453733" w:rsidRDefault="00453733" w:rsidP="005C7BBA">
            <w:pPr>
              <w:spacing w:line="480" w:lineRule="auto"/>
              <w:ind w:left="-108"/>
              <w:rPr>
                <w:rFonts w:ascii="Arial" w:hAnsi="Arial"/>
                <w:b/>
              </w:rPr>
            </w:pPr>
            <w:r>
              <w:rPr>
                <w:rFonts w:ascii="Arial" w:hAnsi="Arial"/>
                <w:b/>
              </w:rPr>
              <w:lastRenderedPageBreak/>
              <w:t>RIUNDJUA KAUNE</w:t>
            </w:r>
          </w:p>
        </w:tc>
        <w:tc>
          <w:tcPr>
            <w:tcW w:w="3544" w:type="dxa"/>
          </w:tcPr>
          <w:p w:rsidR="00453733" w:rsidRDefault="00453733" w:rsidP="005C7BBA">
            <w:pPr>
              <w:spacing w:line="480" w:lineRule="auto"/>
              <w:jc w:val="right"/>
              <w:rPr>
                <w:rFonts w:ascii="Arial" w:hAnsi="Arial"/>
                <w:b/>
              </w:rPr>
            </w:pPr>
            <w:r>
              <w:rPr>
                <w:rFonts w:ascii="Arial" w:hAnsi="Arial"/>
                <w:b/>
              </w:rPr>
              <w:t>Fifteenth Respondent</w:t>
            </w:r>
          </w:p>
        </w:tc>
      </w:tr>
      <w:tr w:rsidR="00453733" w:rsidTr="00947A54">
        <w:tc>
          <w:tcPr>
            <w:tcW w:w="5382" w:type="dxa"/>
          </w:tcPr>
          <w:p w:rsidR="00453733" w:rsidRDefault="00453733" w:rsidP="005C7BBA">
            <w:pPr>
              <w:spacing w:line="480" w:lineRule="auto"/>
              <w:ind w:left="-108"/>
              <w:rPr>
                <w:rFonts w:ascii="Arial" w:hAnsi="Arial"/>
                <w:b/>
              </w:rPr>
            </w:pPr>
            <w:r>
              <w:rPr>
                <w:rFonts w:ascii="Arial" w:hAnsi="Arial"/>
                <w:b/>
              </w:rPr>
              <w:t>KAMII KAUNE</w:t>
            </w:r>
          </w:p>
        </w:tc>
        <w:tc>
          <w:tcPr>
            <w:tcW w:w="3544" w:type="dxa"/>
          </w:tcPr>
          <w:p w:rsidR="00453733" w:rsidRDefault="00453733" w:rsidP="005C7BBA">
            <w:pPr>
              <w:spacing w:line="480" w:lineRule="auto"/>
              <w:jc w:val="right"/>
              <w:rPr>
                <w:rFonts w:ascii="Arial" w:hAnsi="Arial"/>
                <w:b/>
              </w:rPr>
            </w:pPr>
            <w:r>
              <w:rPr>
                <w:rFonts w:ascii="Arial" w:hAnsi="Arial"/>
                <w:b/>
              </w:rPr>
              <w:t>Sixteenth Respondent</w:t>
            </w:r>
          </w:p>
        </w:tc>
      </w:tr>
      <w:tr w:rsidR="00453733" w:rsidTr="00947A54">
        <w:tc>
          <w:tcPr>
            <w:tcW w:w="5382" w:type="dxa"/>
          </w:tcPr>
          <w:p w:rsidR="00453733" w:rsidRDefault="00453733" w:rsidP="005C7BBA">
            <w:pPr>
              <w:spacing w:line="480" w:lineRule="auto"/>
              <w:ind w:left="-108"/>
              <w:rPr>
                <w:rFonts w:ascii="Arial" w:hAnsi="Arial"/>
                <w:b/>
              </w:rPr>
            </w:pPr>
            <w:r>
              <w:rPr>
                <w:rFonts w:ascii="Arial" w:hAnsi="Arial"/>
                <w:b/>
              </w:rPr>
              <w:t>NDJIUOO KAUNE</w:t>
            </w:r>
          </w:p>
        </w:tc>
        <w:tc>
          <w:tcPr>
            <w:tcW w:w="3544" w:type="dxa"/>
          </w:tcPr>
          <w:p w:rsidR="00453733" w:rsidRDefault="00453733" w:rsidP="005C7BBA">
            <w:pPr>
              <w:spacing w:line="480" w:lineRule="auto"/>
              <w:jc w:val="right"/>
              <w:rPr>
                <w:rFonts w:ascii="Arial" w:hAnsi="Arial"/>
                <w:b/>
              </w:rPr>
            </w:pPr>
            <w:r>
              <w:rPr>
                <w:rFonts w:ascii="Arial" w:hAnsi="Arial"/>
                <w:b/>
              </w:rPr>
              <w:t>Seventeenth Respondent</w:t>
            </w:r>
          </w:p>
        </w:tc>
      </w:tr>
      <w:tr w:rsidR="00453733" w:rsidTr="00947A54">
        <w:tc>
          <w:tcPr>
            <w:tcW w:w="5382" w:type="dxa"/>
          </w:tcPr>
          <w:p w:rsidR="00453733" w:rsidRDefault="00453733" w:rsidP="005C7BBA">
            <w:pPr>
              <w:spacing w:line="480" w:lineRule="auto"/>
              <w:ind w:left="-108"/>
              <w:rPr>
                <w:rFonts w:ascii="Arial" w:hAnsi="Arial"/>
                <w:b/>
              </w:rPr>
            </w:pPr>
            <w:r>
              <w:rPr>
                <w:rFonts w:ascii="Arial" w:hAnsi="Arial"/>
                <w:b/>
              </w:rPr>
              <w:t>KAUNAHANGE KAUNE</w:t>
            </w:r>
          </w:p>
        </w:tc>
        <w:tc>
          <w:tcPr>
            <w:tcW w:w="3544" w:type="dxa"/>
          </w:tcPr>
          <w:p w:rsidR="00453733" w:rsidRDefault="00453733" w:rsidP="005C7BBA">
            <w:pPr>
              <w:spacing w:line="480" w:lineRule="auto"/>
              <w:jc w:val="right"/>
              <w:rPr>
                <w:rFonts w:ascii="Arial" w:hAnsi="Arial"/>
                <w:b/>
              </w:rPr>
            </w:pPr>
            <w:r>
              <w:rPr>
                <w:rFonts w:ascii="Arial" w:hAnsi="Arial"/>
                <w:b/>
              </w:rPr>
              <w:t>Eighteenth Respondent</w:t>
            </w:r>
          </w:p>
        </w:tc>
      </w:tr>
      <w:tr w:rsidR="00453733" w:rsidTr="00947A54">
        <w:tc>
          <w:tcPr>
            <w:tcW w:w="5382" w:type="dxa"/>
          </w:tcPr>
          <w:p w:rsidR="00453733" w:rsidRDefault="00453733" w:rsidP="005C7BBA">
            <w:pPr>
              <w:spacing w:line="480" w:lineRule="auto"/>
              <w:ind w:left="-108"/>
              <w:rPr>
                <w:rFonts w:ascii="Arial" w:hAnsi="Arial"/>
                <w:b/>
              </w:rPr>
            </w:pPr>
            <w:r>
              <w:rPr>
                <w:rFonts w:ascii="Arial" w:hAnsi="Arial"/>
                <w:b/>
              </w:rPr>
              <w:t>HIMEZEMBI KAUNE</w:t>
            </w:r>
          </w:p>
        </w:tc>
        <w:tc>
          <w:tcPr>
            <w:tcW w:w="3544" w:type="dxa"/>
          </w:tcPr>
          <w:p w:rsidR="00453733" w:rsidRDefault="00453733" w:rsidP="005C7BBA">
            <w:pPr>
              <w:spacing w:line="480" w:lineRule="auto"/>
              <w:jc w:val="right"/>
              <w:rPr>
                <w:rFonts w:ascii="Arial" w:hAnsi="Arial"/>
                <w:b/>
              </w:rPr>
            </w:pPr>
            <w:r>
              <w:rPr>
                <w:rFonts w:ascii="Arial" w:hAnsi="Arial"/>
                <w:b/>
              </w:rPr>
              <w:t>Nineteenth Respondent</w:t>
            </w:r>
          </w:p>
        </w:tc>
      </w:tr>
      <w:tr w:rsidR="00453733" w:rsidTr="00947A54">
        <w:tc>
          <w:tcPr>
            <w:tcW w:w="5382" w:type="dxa"/>
          </w:tcPr>
          <w:p w:rsidR="00453733" w:rsidRDefault="00453733" w:rsidP="005C7BBA">
            <w:pPr>
              <w:spacing w:line="480" w:lineRule="auto"/>
              <w:ind w:left="-108"/>
              <w:rPr>
                <w:rFonts w:ascii="Arial" w:hAnsi="Arial"/>
                <w:b/>
              </w:rPr>
            </w:pPr>
            <w:r>
              <w:rPr>
                <w:rFonts w:ascii="Arial" w:hAnsi="Arial"/>
                <w:b/>
              </w:rPr>
              <w:t>RUTJINDO KAUNE</w:t>
            </w:r>
          </w:p>
        </w:tc>
        <w:tc>
          <w:tcPr>
            <w:tcW w:w="3544" w:type="dxa"/>
          </w:tcPr>
          <w:p w:rsidR="00453733" w:rsidRDefault="00453733" w:rsidP="005C7BBA">
            <w:pPr>
              <w:spacing w:line="480" w:lineRule="auto"/>
              <w:jc w:val="right"/>
              <w:rPr>
                <w:rFonts w:ascii="Arial" w:hAnsi="Arial"/>
                <w:b/>
              </w:rPr>
            </w:pPr>
            <w:r>
              <w:rPr>
                <w:rFonts w:ascii="Arial" w:hAnsi="Arial"/>
                <w:b/>
              </w:rPr>
              <w:t>Twentieth Respondent</w:t>
            </w:r>
          </w:p>
        </w:tc>
      </w:tr>
      <w:tr w:rsidR="00453733" w:rsidTr="00947A54">
        <w:tc>
          <w:tcPr>
            <w:tcW w:w="5382" w:type="dxa"/>
          </w:tcPr>
          <w:p w:rsidR="00453733" w:rsidRDefault="00453733" w:rsidP="005C7BBA">
            <w:pPr>
              <w:spacing w:line="480" w:lineRule="auto"/>
              <w:ind w:left="-108"/>
              <w:rPr>
                <w:rFonts w:ascii="Arial" w:hAnsi="Arial"/>
                <w:b/>
              </w:rPr>
            </w:pPr>
            <w:r>
              <w:rPr>
                <w:rFonts w:ascii="Arial" w:hAnsi="Arial"/>
                <w:b/>
              </w:rPr>
              <w:t>MUKANDI KAUNE</w:t>
            </w:r>
          </w:p>
        </w:tc>
        <w:tc>
          <w:tcPr>
            <w:tcW w:w="3544" w:type="dxa"/>
          </w:tcPr>
          <w:p w:rsidR="00453733" w:rsidRDefault="00453733" w:rsidP="005C7BBA">
            <w:pPr>
              <w:spacing w:line="480" w:lineRule="auto"/>
              <w:jc w:val="right"/>
              <w:rPr>
                <w:rFonts w:ascii="Arial" w:hAnsi="Arial"/>
                <w:b/>
              </w:rPr>
            </w:pPr>
            <w:r>
              <w:rPr>
                <w:rFonts w:ascii="Arial" w:hAnsi="Arial"/>
                <w:b/>
              </w:rPr>
              <w:t xml:space="preserve">Twenty-First Respondent </w:t>
            </w:r>
          </w:p>
        </w:tc>
      </w:tr>
      <w:tr w:rsidR="00453733" w:rsidTr="00947A54">
        <w:tc>
          <w:tcPr>
            <w:tcW w:w="5382" w:type="dxa"/>
          </w:tcPr>
          <w:p w:rsidR="00453733" w:rsidRDefault="00453733" w:rsidP="005C7BBA">
            <w:pPr>
              <w:spacing w:line="480" w:lineRule="auto"/>
              <w:ind w:left="-108"/>
              <w:rPr>
                <w:rFonts w:ascii="Arial" w:hAnsi="Arial"/>
                <w:b/>
              </w:rPr>
            </w:pPr>
            <w:r>
              <w:rPr>
                <w:rFonts w:ascii="Arial" w:hAnsi="Arial"/>
                <w:b/>
              </w:rPr>
              <w:t>TJAVANGA KAUNE</w:t>
            </w:r>
          </w:p>
        </w:tc>
        <w:tc>
          <w:tcPr>
            <w:tcW w:w="3544" w:type="dxa"/>
          </w:tcPr>
          <w:p w:rsidR="00453733" w:rsidRDefault="00453733" w:rsidP="005C7BBA">
            <w:pPr>
              <w:spacing w:line="480" w:lineRule="auto"/>
              <w:jc w:val="right"/>
              <w:rPr>
                <w:rFonts w:ascii="Arial" w:hAnsi="Arial"/>
                <w:b/>
              </w:rPr>
            </w:pPr>
            <w:r>
              <w:rPr>
                <w:rFonts w:ascii="Arial" w:hAnsi="Arial"/>
                <w:b/>
              </w:rPr>
              <w:t>Twenty-Second Respondent</w:t>
            </w:r>
          </w:p>
        </w:tc>
      </w:tr>
      <w:tr w:rsidR="00453733" w:rsidTr="00947A54">
        <w:tc>
          <w:tcPr>
            <w:tcW w:w="5382" w:type="dxa"/>
          </w:tcPr>
          <w:p w:rsidR="00453733" w:rsidRDefault="00453733" w:rsidP="005C7BBA">
            <w:pPr>
              <w:spacing w:line="480" w:lineRule="auto"/>
              <w:ind w:left="-108"/>
              <w:rPr>
                <w:rFonts w:ascii="Arial" w:hAnsi="Arial"/>
                <w:b/>
              </w:rPr>
            </w:pPr>
            <w:r>
              <w:rPr>
                <w:rFonts w:ascii="Arial" w:hAnsi="Arial"/>
                <w:b/>
              </w:rPr>
              <w:t>VISTORINE KAUNE</w:t>
            </w:r>
          </w:p>
        </w:tc>
        <w:tc>
          <w:tcPr>
            <w:tcW w:w="3544" w:type="dxa"/>
          </w:tcPr>
          <w:p w:rsidR="00453733" w:rsidRDefault="00453733" w:rsidP="005C7BBA">
            <w:pPr>
              <w:spacing w:line="480" w:lineRule="auto"/>
              <w:jc w:val="right"/>
              <w:rPr>
                <w:rFonts w:ascii="Arial" w:hAnsi="Arial"/>
                <w:b/>
              </w:rPr>
            </w:pPr>
            <w:r>
              <w:rPr>
                <w:rFonts w:ascii="Arial" w:hAnsi="Arial"/>
                <w:b/>
              </w:rPr>
              <w:t>Twenty-Third Respondent</w:t>
            </w:r>
          </w:p>
        </w:tc>
      </w:tr>
      <w:tr w:rsidR="00453733" w:rsidTr="00947A54">
        <w:tc>
          <w:tcPr>
            <w:tcW w:w="5382" w:type="dxa"/>
          </w:tcPr>
          <w:p w:rsidR="00453733" w:rsidRDefault="00453733" w:rsidP="005C7BBA">
            <w:pPr>
              <w:spacing w:line="480" w:lineRule="auto"/>
              <w:ind w:left="-108"/>
              <w:rPr>
                <w:rFonts w:ascii="Arial" w:hAnsi="Arial"/>
                <w:b/>
              </w:rPr>
            </w:pPr>
            <w:r>
              <w:rPr>
                <w:rFonts w:ascii="Arial" w:hAnsi="Arial"/>
                <w:b/>
              </w:rPr>
              <w:t>WILLEMIE KAUNE</w:t>
            </w:r>
          </w:p>
        </w:tc>
        <w:tc>
          <w:tcPr>
            <w:tcW w:w="3544" w:type="dxa"/>
          </w:tcPr>
          <w:p w:rsidR="00453733" w:rsidRDefault="00453733" w:rsidP="005C7BBA">
            <w:pPr>
              <w:spacing w:line="480" w:lineRule="auto"/>
              <w:jc w:val="right"/>
              <w:rPr>
                <w:rFonts w:ascii="Arial" w:hAnsi="Arial"/>
                <w:b/>
              </w:rPr>
            </w:pPr>
            <w:r>
              <w:rPr>
                <w:rFonts w:ascii="Arial" w:hAnsi="Arial"/>
                <w:b/>
              </w:rPr>
              <w:t>Twenty-Fourth Respondent</w:t>
            </w:r>
          </w:p>
        </w:tc>
      </w:tr>
      <w:tr w:rsidR="00453733" w:rsidTr="00947A54">
        <w:tc>
          <w:tcPr>
            <w:tcW w:w="5382" w:type="dxa"/>
          </w:tcPr>
          <w:p w:rsidR="00453733" w:rsidRDefault="00453733" w:rsidP="005C7BBA">
            <w:pPr>
              <w:spacing w:line="480" w:lineRule="auto"/>
              <w:ind w:left="-108"/>
              <w:rPr>
                <w:rFonts w:ascii="Arial" w:hAnsi="Arial"/>
                <w:b/>
              </w:rPr>
            </w:pPr>
            <w:r>
              <w:rPr>
                <w:rFonts w:ascii="Arial" w:hAnsi="Arial"/>
                <w:b/>
              </w:rPr>
              <w:t>JOGBETH KAUNE KAMUHANGA</w:t>
            </w:r>
          </w:p>
        </w:tc>
        <w:tc>
          <w:tcPr>
            <w:tcW w:w="3544" w:type="dxa"/>
          </w:tcPr>
          <w:p w:rsidR="00453733" w:rsidRDefault="00453733" w:rsidP="005C7BBA">
            <w:pPr>
              <w:spacing w:line="480" w:lineRule="auto"/>
              <w:jc w:val="right"/>
              <w:rPr>
                <w:rFonts w:ascii="Arial" w:hAnsi="Arial"/>
                <w:b/>
              </w:rPr>
            </w:pPr>
            <w:r>
              <w:rPr>
                <w:rFonts w:ascii="Arial" w:hAnsi="Arial"/>
                <w:b/>
              </w:rPr>
              <w:t>Twenty-Fifth Respondent</w:t>
            </w:r>
          </w:p>
        </w:tc>
      </w:tr>
      <w:tr w:rsidR="00453733" w:rsidTr="00947A54">
        <w:tc>
          <w:tcPr>
            <w:tcW w:w="5382" w:type="dxa"/>
          </w:tcPr>
          <w:p w:rsidR="00453733" w:rsidRDefault="00453733" w:rsidP="005C7BBA">
            <w:pPr>
              <w:spacing w:line="480" w:lineRule="auto"/>
              <w:ind w:left="-108"/>
              <w:rPr>
                <w:rFonts w:ascii="Arial" w:hAnsi="Arial"/>
                <w:b/>
              </w:rPr>
            </w:pPr>
            <w:r>
              <w:rPr>
                <w:rFonts w:ascii="Arial" w:hAnsi="Arial"/>
                <w:b/>
              </w:rPr>
              <w:t>MBEUTONA KAUNE</w:t>
            </w:r>
          </w:p>
        </w:tc>
        <w:tc>
          <w:tcPr>
            <w:tcW w:w="3544" w:type="dxa"/>
          </w:tcPr>
          <w:p w:rsidR="00453733" w:rsidRDefault="00453733" w:rsidP="005C7BBA">
            <w:pPr>
              <w:spacing w:line="480" w:lineRule="auto"/>
              <w:jc w:val="right"/>
              <w:rPr>
                <w:rFonts w:ascii="Arial" w:hAnsi="Arial"/>
                <w:b/>
              </w:rPr>
            </w:pPr>
            <w:r>
              <w:rPr>
                <w:rFonts w:ascii="Arial" w:hAnsi="Arial"/>
                <w:b/>
              </w:rPr>
              <w:t>Twenty-Sixth Respondent</w:t>
            </w:r>
          </w:p>
        </w:tc>
      </w:tr>
      <w:tr w:rsidR="00453733" w:rsidTr="00947A54">
        <w:tc>
          <w:tcPr>
            <w:tcW w:w="5382" w:type="dxa"/>
          </w:tcPr>
          <w:p w:rsidR="00453733" w:rsidRDefault="00453733" w:rsidP="005C7BBA">
            <w:pPr>
              <w:spacing w:line="480" w:lineRule="auto"/>
              <w:ind w:left="-108"/>
              <w:rPr>
                <w:rFonts w:ascii="Arial" w:hAnsi="Arial"/>
                <w:b/>
              </w:rPr>
            </w:pPr>
            <w:r>
              <w:rPr>
                <w:rFonts w:ascii="Arial" w:hAnsi="Arial"/>
                <w:b/>
              </w:rPr>
              <w:t>ERWIN PETRUS VAN STRATEN NO</w:t>
            </w:r>
          </w:p>
        </w:tc>
        <w:tc>
          <w:tcPr>
            <w:tcW w:w="3544" w:type="dxa"/>
          </w:tcPr>
          <w:p w:rsidR="00453733" w:rsidRDefault="00453733" w:rsidP="005C7BBA">
            <w:pPr>
              <w:spacing w:line="480" w:lineRule="auto"/>
              <w:jc w:val="right"/>
              <w:rPr>
                <w:rFonts w:ascii="Arial" w:hAnsi="Arial"/>
                <w:b/>
              </w:rPr>
            </w:pPr>
            <w:r>
              <w:rPr>
                <w:rFonts w:ascii="Arial" w:hAnsi="Arial"/>
                <w:b/>
              </w:rPr>
              <w:t>Twenty-Seventh Respondent</w:t>
            </w:r>
          </w:p>
        </w:tc>
      </w:tr>
      <w:tr w:rsidR="00453733" w:rsidTr="00947A54">
        <w:tc>
          <w:tcPr>
            <w:tcW w:w="5382" w:type="dxa"/>
          </w:tcPr>
          <w:p w:rsidR="00453733" w:rsidRDefault="00453733" w:rsidP="005C7BBA">
            <w:pPr>
              <w:spacing w:line="480" w:lineRule="auto"/>
              <w:ind w:left="-108"/>
              <w:rPr>
                <w:rFonts w:ascii="Arial" w:hAnsi="Arial"/>
                <w:b/>
              </w:rPr>
            </w:pPr>
            <w:r>
              <w:rPr>
                <w:rFonts w:ascii="Arial" w:hAnsi="Arial"/>
                <w:b/>
              </w:rPr>
              <w:t>ATTORNEY-OF THE REPUBLIC OF NAMIBIA</w:t>
            </w:r>
          </w:p>
        </w:tc>
        <w:tc>
          <w:tcPr>
            <w:tcW w:w="3544" w:type="dxa"/>
          </w:tcPr>
          <w:p w:rsidR="00453733" w:rsidRDefault="00453733" w:rsidP="005C7BBA">
            <w:pPr>
              <w:spacing w:line="480" w:lineRule="auto"/>
              <w:jc w:val="right"/>
              <w:rPr>
                <w:rFonts w:ascii="Arial" w:hAnsi="Arial"/>
                <w:b/>
              </w:rPr>
            </w:pPr>
            <w:r>
              <w:rPr>
                <w:rFonts w:ascii="Arial" w:hAnsi="Arial"/>
                <w:b/>
              </w:rPr>
              <w:t>Twenty-Eighth Respondent</w:t>
            </w:r>
          </w:p>
        </w:tc>
      </w:tr>
    </w:tbl>
    <w:p w:rsidR="008B79DF" w:rsidRDefault="008B79DF" w:rsidP="000E7F80">
      <w:pPr>
        <w:rPr>
          <w:rFonts w:ascii="Arial" w:hAnsi="Arial"/>
          <w:b/>
        </w:rPr>
      </w:pPr>
    </w:p>
    <w:p w:rsidR="000E7F80" w:rsidRDefault="000E7F80" w:rsidP="004B3F43">
      <w:pPr>
        <w:rPr>
          <w:rFonts w:ascii="Arial" w:hAnsi="Arial"/>
        </w:rPr>
      </w:pPr>
      <w:r>
        <w:rPr>
          <w:rFonts w:ascii="Arial" w:hAnsi="Arial"/>
          <w:b/>
        </w:rPr>
        <w:t xml:space="preserve">CORAM: </w:t>
      </w:r>
      <w:r>
        <w:rPr>
          <w:rFonts w:ascii="Arial" w:hAnsi="Arial"/>
          <w:b/>
        </w:rPr>
        <w:tab/>
      </w:r>
      <w:r>
        <w:rPr>
          <w:rFonts w:ascii="Arial" w:hAnsi="Arial"/>
          <w:b/>
        </w:rPr>
        <w:tab/>
      </w:r>
      <w:r>
        <w:rPr>
          <w:rFonts w:ascii="Arial" w:hAnsi="Arial"/>
        </w:rPr>
        <w:t>SHIVUTE CJ, SMUTS JA and FRANK AJA</w:t>
      </w:r>
    </w:p>
    <w:p w:rsidR="004B3F43" w:rsidRDefault="004B3F43" w:rsidP="004B3F43">
      <w:pPr>
        <w:rPr>
          <w:rFonts w:ascii="Arial" w:hAnsi="Arial"/>
        </w:rPr>
      </w:pPr>
    </w:p>
    <w:p w:rsidR="000E7F80" w:rsidRDefault="000E7F80" w:rsidP="000E7F80">
      <w:pPr>
        <w:rPr>
          <w:rFonts w:ascii="Arial" w:hAnsi="Arial"/>
        </w:rPr>
      </w:pPr>
      <w:r>
        <w:rPr>
          <w:rFonts w:ascii="Arial" w:hAnsi="Arial"/>
          <w:b/>
        </w:rPr>
        <w:t>Heard</w:t>
      </w:r>
      <w:r w:rsidR="00FA690B">
        <w:rPr>
          <w:rFonts w:ascii="Arial" w:hAnsi="Arial"/>
          <w:b/>
        </w:rPr>
        <w:t>:</w:t>
      </w:r>
      <w:r>
        <w:rPr>
          <w:rFonts w:ascii="Arial" w:hAnsi="Arial"/>
          <w:b/>
        </w:rPr>
        <w:tab/>
      </w:r>
      <w:r>
        <w:rPr>
          <w:rFonts w:ascii="Arial" w:hAnsi="Arial"/>
          <w:b/>
        </w:rPr>
        <w:tab/>
        <w:t>25 October 2017</w:t>
      </w:r>
    </w:p>
    <w:p w:rsidR="000E7F80" w:rsidRDefault="000E7F80" w:rsidP="000E7F80">
      <w:pPr>
        <w:rPr>
          <w:rFonts w:ascii="Arial" w:hAnsi="Arial"/>
        </w:rPr>
      </w:pPr>
    </w:p>
    <w:p w:rsidR="000E7F80" w:rsidRPr="00C306D2" w:rsidRDefault="000E7F80" w:rsidP="000E7F80">
      <w:pPr>
        <w:rPr>
          <w:rFonts w:ascii="Arial" w:hAnsi="Arial"/>
        </w:rPr>
      </w:pPr>
      <w:r>
        <w:rPr>
          <w:rFonts w:ascii="Arial" w:hAnsi="Arial"/>
          <w:b/>
        </w:rPr>
        <w:t>Delivered</w:t>
      </w:r>
      <w:r w:rsidR="00FA690B">
        <w:rPr>
          <w:rFonts w:ascii="Arial" w:hAnsi="Arial"/>
          <w:b/>
        </w:rPr>
        <w:t>:</w:t>
      </w:r>
      <w:r>
        <w:rPr>
          <w:rFonts w:ascii="Arial" w:hAnsi="Arial"/>
          <w:b/>
        </w:rPr>
        <w:tab/>
      </w:r>
      <w:r w:rsidR="00091580">
        <w:rPr>
          <w:rFonts w:ascii="Arial" w:hAnsi="Arial"/>
          <w:b/>
        </w:rPr>
        <w:tab/>
        <w:t>30 November 2017</w:t>
      </w:r>
    </w:p>
    <w:p w:rsidR="000E7F80" w:rsidRDefault="000E7F80" w:rsidP="000E7F80">
      <w:pPr>
        <w:pBdr>
          <w:bottom w:val="single" w:sz="12" w:space="1" w:color="auto"/>
        </w:pBdr>
        <w:rPr>
          <w:rFonts w:ascii="Arial" w:hAnsi="Arial"/>
          <w:b/>
        </w:rPr>
      </w:pPr>
    </w:p>
    <w:p w:rsidR="000E7F80" w:rsidRDefault="000E7F80" w:rsidP="000E7F80">
      <w:pPr>
        <w:jc w:val="center"/>
        <w:rPr>
          <w:rFonts w:ascii="Arial" w:hAnsi="Arial"/>
          <w:b/>
        </w:rPr>
      </w:pPr>
    </w:p>
    <w:p w:rsidR="000E7F80" w:rsidRDefault="000E7F80" w:rsidP="000E7F80">
      <w:pPr>
        <w:jc w:val="center"/>
        <w:rPr>
          <w:rFonts w:ascii="Arial" w:hAnsi="Arial"/>
          <w:b/>
        </w:rPr>
      </w:pPr>
      <w:r>
        <w:rPr>
          <w:rFonts w:ascii="Arial" w:hAnsi="Arial"/>
          <w:b/>
        </w:rPr>
        <w:t>RULING</w:t>
      </w:r>
      <w:r w:rsidR="00326CB1">
        <w:rPr>
          <w:rFonts w:ascii="Arial" w:hAnsi="Arial"/>
          <w:b/>
        </w:rPr>
        <w:t xml:space="preserve"> ON APPLICATION FOR CONDONATION</w:t>
      </w:r>
    </w:p>
    <w:p w:rsidR="000E7F80" w:rsidRDefault="000E7F80" w:rsidP="000E7F80">
      <w:pPr>
        <w:pBdr>
          <w:bottom w:val="single" w:sz="12" w:space="1" w:color="auto"/>
        </w:pBdr>
        <w:jc w:val="center"/>
        <w:rPr>
          <w:rFonts w:ascii="Arial" w:hAnsi="Arial"/>
          <w:b/>
        </w:rPr>
      </w:pPr>
    </w:p>
    <w:p w:rsidR="000E7F80" w:rsidRDefault="000E7F80" w:rsidP="000E7F80">
      <w:pPr>
        <w:rPr>
          <w:rFonts w:ascii="Arial" w:hAnsi="Arial"/>
          <w:b/>
        </w:rPr>
      </w:pPr>
    </w:p>
    <w:p w:rsidR="000E7F80" w:rsidRDefault="000E7F80" w:rsidP="000E7F80">
      <w:pPr>
        <w:rPr>
          <w:rFonts w:ascii="Arial" w:hAnsi="Arial"/>
          <w:b/>
        </w:rPr>
      </w:pPr>
    </w:p>
    <w:p w:rsidR="000E7F80" w:rsidRPr="00783C30" w:rsidRDefault="000E7F80" w:rsidP="000E7F80">
      <w:pPr>
        <w:rPr>
          <w:rFonts w:ascii="Arial" w:hAnsi="Arial"/>
        </w:rPr>
      </w:pPr>
      <w:r w:rsidRPr="00AC0B17">
        <w:rPr>
          <w:rFonts w:ascii="Arial" w:hAnsi="Arial"/>
        </w:rPr>
        <w:t>SHIVUTE CJ</w:t>
      </w:r>
      <w:r>
        <w:rPr>
          <w:rFonts w:ascii="Arial" w:hAnsi="Arial"/>
        </w:rPr>
        <w:t xml:space="preserve"> (SMUTS </w:t>
      </w:r>
      <w:r w:rsidRPr="00A01E99">
        <w:rPr>
          <w:rFonts w:ascii="Arial" w:hAnsi="Arial"/>
        </w:rPr>
        <w:t xml:space="preserve">JA and </w:t>
      </w:r>
      <w:r>
        <w:rPr>
          <w:rFonts w:ascii="Arial" w:hAnsi="Arial"/>
        </w:rPr>
        <w:t xml:space="preserve">FRANK </w:t>
      </w:r>
      <w:r w:rsidRPr="00A01E99">
        <w:rPr>
          <w:rFonts w:ascii="Arial" w:hAnsi="Arial"/>
        </w:rPr>
        <w:t xml:space="preserve">AJA </w:t>
      </w:r>
      <w:r>
        <w:rPr>
          <w:rFonts w:ascii="Arial" w:hAnsi="Arial"/>
        </w:rPr>
        <w:t>concurring):</w:t>
      </w:r>
    </w:p>
    <w:p w:rsidR="000E7F80" w:rsidRDefault="000E7F80" w:rsidP="000E7F80">
      <w:pPr>
        <w:rPr>
          <w:rFonts w:ascii="Arial" w:hAnsi="Arial"/>
          <w:b/>
        </w:rPr>
      </w:pPr>
    </w:p>
    <w:p w:rsidR="000E7F80" w:rsidRPr="006E17DF" w:rsidRDefault="006E17DF" w:rsidP="0005372B">
      <w:pPr>
        <w:pStyle w:val="ListParagraph"/>
        <w:spacing w:line="480" w:lineRule="auto"/>
        <w:ind w:left="0"/>
        <w:rPr>
          <w:rFonts w:ascii="Arial" w:hAnsi="Arial"/>
          <w:u w:val="single"/>
        </w:rPr>
      </w:pPr>
      <w:r w:rsidRPr="006E17DF">
        <w:rPr>
          <w:rFonts w:ascii="Arial" w:hAnsi="Arial"/>
          <w:u w:val="single"/>
        </w:rPr>
        <w:t xml:space="preserve">Background </w:t>
      </w:r>
    </w:p>
    <w:p w:rsidR="000E7F80" w:rsidRPr="002E7496" w:rsidRDefault="002E7496" w:rsidP="002E7496">
      <w:pPr>
        <w:spacing w:line="480" w:lineRule="auto"/>
        <w:jc w:val="both"/>
        <w:rPr>
          <w:rFonts w:ascii="Arial" w:hAnsi="Arial"/>
        </w:rPr>
      </w:pPr>
      <w:r>
        <w:rPr>
          <w:rFonts w:ascii="Arial" w:hAnsi="Arial"/>
          <w:color w:val="000000" w:themeColor="text1"/>
        </w:rPr>
        <w:t>[1]</w:t>
      </w:r>
      <w:r>
        <w:rPr>
          <w:rFonts w:ascii="Arial" w:hAnsi="Arial"/>
          <w:color w:val="000000" w:themeColor="text1"/>
        </w:rPr>
        <w:tab/>
      </w:r>
      <w:r w:rsidR="000E7F80" w:rsidRPr="002E7496">
        <w:rPr>
          <w:rFonts w:ascii="Arial" w:hAnsi="Arial"/>
        </w:rPr>
        <w:t>The applicant i</w:t>
      </w:r>
      <w:r w:rsidR="00C714BE" w:rsidRPr="002E7496">
        <w:rPr>
          <w:rFonts w:ascii="Arial" w:hAnsi="Arial"/>
        </w:rPr>
        <w:t>ssued summons against the intestate heirs of his deceased father’s estate in which he sought</w:t>
      </w:r>
      <w:r w:rsidR="009D06D4" w:rsidRPr="002E7496">
        <w:rPr>
          <w:rFonts w:ascii="Arial" w:hAnsi="Arial"/>
        </w:rPr>
        <w:t>, amongst others,</w:t>
      </w:r>
      <w:r w:rsidR="00C714BE" w:rsidRPr="002E7496">
        <w:rPr>
          <w:rFonts w:ascii="Arial" w:hAnsi="Arial"/>
        </w:rPr>
        <w:t xml:space="preserve"> </w:t>
      </w:r>
      <w:r w:rsidR="00EC47BA" w:rsidRPr="002E7496">
        <w:rPr>
          <w:rFonts w:ascii="Arial" w:hAnsi="Arial"/>
        </w:rPr>
        <w:t xml:space="preserve">a declarator </w:t>
      </w:r>
      <w:r w:rsidR="00C714BE" w:rsidRPr="002E7496">
        <w:rPr>
          <w:rFonts w:ascii="Arial" w:hAnsi="Arial"/>
        </w:rPr>
        <w:t>that he inherit</w:t>
      </w:r>
      <w:r w:rsidR="00EC47BA" w:rsidRPr="002E7496">
        <w:rPr>
          <w:rFonts w:ascii="Arial" w:hAnsi="Arial"/>
        </w:rPr>
        <w:t>ed</w:t>
      </w:r>
      <w:r w:rsidR="00C714BE" w:rsidRPr="002E7496">
        <w:rPr>
          <w:rFonts w:ascii="Arial" w:hAnsi="Arial"/>
        </w:rPr>
        <w:t xml:space="preserve"> his late father’s</w:t>
      </w:r>
      <w:r w:rsidR="007F0E4E" w:rsidRPr="002E7496">
        <w:rPr>
          <w:rFonts w:ascii="Arial" w:hAnsi="Arial"/>
        </w:rPr>
        <w:t xml:space="preserve"> farm</w:t>
      </w:r>
      <w:r w:rsidR="00EC47BA" w:rsidRPr="002E7496">
        <w:rPr>
          <w:rFonts w:ascii="Arial" w:hAnsi="Arial"/>
        </w:rPr>
        <w:t xml:space="preserve"> and an order that the farm be transferred to him</w:t>
      </w:r>
      <w:r w:rsidR="007F0E4E" w:rsidRPr="002E7496">
        <w:rPr>
          <w:rFonts w:ascii="Arial" w:hAnsi="Arial"/>
        </w:rPr>
        <w:t xml:space="preserve"> </w:t>
      </w:r>
      <w:r w:rsidR="009D06D4" w:rsidRPr="002E7496">
        <w:rPr>
          <w:rFonts w:ascii="Arial" w:hAnsi="Arial"/>
        </w:rPr>
        <w:t xml:space="preserve">- </w:t>
      </w:r>
      <w:r w:rsidR="00C714BE" w:rsidRPr="002E7496">
        <w:rPr>
          <w:rFonts w:ascii="Arial" w:hAnsi="Arial"/>
        </w:rPr>
        <w:t xml:space="preserve">to the exclusion </w:t>
      </w:r>
      <w:r w:rsidR="00C714BE" w:rsidRPr="002E7496">
        <w:rPr>
          <w:rFonts w:ascii="Arial" w:hAnsi="Arial"/>
        </w:rPr>
        <w:lastRenderedPageBreak/>
        <w:t xml:space="preserve">of other intestate heirs. </w:t>
      </w:r>
      <w:r w:rsidR="009D06D4" w:rsidRPr="002E7496">
        <w:rPr>
          <w:rFonts w:ascii="Arial" w:hAnsi="Arial"/>
        </w:rPr>
        <w:t>T</w:t>
      </w:r>
      <w:r w:rsidR="00C714BE" w:rsidRPr="002E7496">
        <w:rPr>
          <w:rFonts w:ascii="Arial" w:hAnsi="Arial"/>
        </w:rPr>
        <w:t xml:space="preserve">he applicant </w:t>
      </w:r>
      <w:r w:rsidR="00007CCE" w:rsidRPr="002E7496">
        <w:rPr>
          <w:rFonts w:ascii="Arial" w:hAnsi="Arial"/>
        </w:rPr>
        <w:t xml:space="preserve">pleaded that </w:t>
      </w:r>
      <w:r w:rsidR="008D4D90" w:rsidRPr="002E7496">
        <w:rPr>
          <w:rFonts w:ascii="Arial" w:hAnsi="Arial"/>
        </w:rPr>
        <w:t xml:space="preserve">during 1982 </w:t>
      </w:r>
      <w:r w:rsidR="00007CCE" w:rsidRPr="002E7496">
        <w:rPr>
          <w:rFonts w:ascii="Arial" w:hAnsi="Arial"/>
        </w:rPr>
        <w:t>the</w:t>
      </w:r>
      <w:r w:rsidR="00480127" w:rsidRPr="002E7496">
        <w:rPr>
          <w:rFonts w:ascii="Arial" w:hAnsi="Arial"/>
        </w:rPr>
        <w:t>ir</w:t>
      </w:r>
      <w:r w:rsidR="00007CCE" w:rsidRPr="002E7496">
        <w:rPr>
          <w:rFonts w:ascii="Arial" w:hAnsi="Arial"/>
        </w:rPr>
        <w:t xml:space="preserve"> late </w:t>
      </w:r>
      <w:r w:rsidR="00480127" w:rsidRPr="002E7496">
        <w:rPr>
          <w:rFonts w:ascii="Arial" w:hAnsi="Arial"/>
        </w:rPr>
        <w:t xml:space="preserve">father, </w:t>
      </w:r>
      <w:r w:rsidR="0005372B" w:rsidRPr="002E7496">
        <w:rPr>
          <w:rFonts w:ascii="Arial" w:hAnsi="Arial"/>
        </w:rPr>
        <w:t>F</w:t>
      </w:r>
      <w:r w:rsidR="00007CCE" w:rsidRPr="002E7496">
        <w:rPr>
          <w:rFonts w:ascii="Arial" w:hAnsi="Arial"/>
        </w:rPr>
        <w:t>illipus Kaune</w:t>
      </w:r>
      <w:r w:rsidR="00480127" w:rsidRPr="002E7496">
        <w:rPr>
          <w:rFonts w:ascii="Arial" w:hAnsi="Arial"/>
        </w:rPr>
        <w:t>,</w:t>
      </w:r>
      <w:r w:rsidR="00FA690B" w:rsidRPr="002E7496">
        <w:rPr>
          <w:rFonts w:ascii="Arial" w:hAnsi="Arial"/>
        </w:rPr>
        <w:t xml:space="preserve"> summoned the applicant</w:t>
      </w:r>
      <w:r w:rsidR="00007CCE" w:rsidRPr="002E7496">
        <w:rPr>
          <w:rFonts w:ascii="Arial" w:hAnsi="Arial"/>
        </w:rPr>
        <w:t xml:space="preserve"> and four of his other children to a </w:t>
      </w:r>
      <w:r w:rsidR="005C75D5" w:rsidRPr="002E7496">
        <w:rPr>
          <w:rFonts w:ascii="Arial" w:hAnsi="Arial"/>
        </w:rPr>
        <w:t>meeting</w:t>
      </w:r>
      <w:r w:rsidR="0005372B" w:rsidRPr="002E7496">
        <w:rPr>
          <w:rFonts w:ascii="Arial" w:hAnsi="Arial"/>
        </w:rPr>
        <w:t xml:space="preserve"> where he</w:t>
      </w:r>
      <w:r w:rsidR="00007CCE" w:rsidRPr="002E7496">
        <w:rPr>
          <w:rFonts w:ascii="Arial" w:hAnsi="Arial"/>
        </w:rPr>
        <w:t xml:space="preserve"> informed them that h</w:t>
      </w:r>
      <w:r w:rsidR="00FA690B" w:rsidRPr="002E7496">
        <w:rPr>
          <w:rFonts w:ascii="Arial" w:hAnsi="Arial"/>
        </w:rPr>
        <w:t>e had decided that the applicant</w:t>
      </w:r>
      <w:r w:rsidR="00007CCE" w:rsidRPr="002E7496">
        <w:rPr>
          <w:rFonts w:ascii="Arial" w:hAnsi="Arial"/>
        </w:rPr>
        <w:t xml:space="preserve"> would inherit the farm. Mr </w:t>
      </w:r>
      <w:r w:rsidR="0005372B" w:rsidRPr="002E7496">
        <w:rPr>
          <w:rFonts w:ascii="Arial" w:hAnsi="Arial"/>
        </w:rPr>
        <w:t>Fi</w:t>
      </w:r>
      <w:r w:rsidR="00007CCE" w:rsidRPr="002E7496">
        <w:rPr>
          <w:rFonts w:ascii="Arial" w:hAnsi="Arial"/>
        </w:rPr>
        <w:t>lli</w:t>
      </w:r>
      <w:r w:rsidR="00746958" w:rsidRPr="002E7496">
        <w:rPr>
          <w:rFonts w:ascii="Arial" w:hAnsi="Arial"/>
        </w:rPr>
        <w:t>p</w:t>
      </w:r>
      <w:r w:rsidR="00007CCE" w:rsidRPr="002E7496">
        <w:rPr>
          <w:rFonts w:ascii="Arial" w:hAnsi="Arial"/>
        </w:rPr>
        <w:t>us Ka</w:t>
      </w:r>
      <w:r w:rsidR="007F0E4E" w:rsidRPr="002E7496">
        <w:rPr>
          <w:rFonts w:ascii="Arial" w:hAnsi="Arial"/>
        </w:rPr>
        <w:t>u</w:t>
      </w:r>
      <w:r w:rsidR="00007CCE" w:rsidRPr="002E7496">
        <w:rPr>
          <w:rFonts w:ascii="Arial" w:hAnsi="Arial"/>
        </w:rPr>
        <w:t xml:space="preserve">ne died intestate on </w:t>
      </w:r>
      <w:r w:rsidR="00746958" w:rsidRPr="002E7496">
        <w:rPr>
          <w:rFonts w:ascii="Arial" w:hAnsi="Arial"/>
        </w:rPr>
        <w:t>30 June 1988.</w:t>
      </w:r>
    </w:p>
    <w:p w:rsidR="009C71B0" w:rsidRPr="009C71B0" w:rsidRDefault="009C71B0" w:rsidP="009C71B0">
      <w:pPr>
        <w:spacing w:line="480" w:lineRule="auto"/>
        <w:jc w:val="both"/>
        <w:rPr>
          <w:rFonts w:ascii="Arial" w:hAnsi="Arial"/>
        </w:rPr>
      </w:pPr>
    </w:p>
    <w:p w:rsidR="000E7F80" w:rsidRPr="002E7496" w:rsidRDefault="002E7496" w:rsidP="002E7496">
      <w:pPr>
        <w:spacing w:line="480" w:lineRule="auto"/>
        <w:jc w:val="both"/>
        <w:rPr>
          <w:rFonts w:ascii="Arial" w:hAnsi="Arial"/>
        </w:rPr>
      </w:pPr>
      <w:r>
        <w:rPr>
          <w:rFonts w:ascii="Arial" w:hAnsi="Arial"/>
          <w:color w:val="000000" w:themeColor="text1"/>
        </w:rPr>
        <w:t>[2]</w:t>
      </w:r>
      <w:r>
        <w:rPr>
          <w:rFonts w:ascii="Arial" w:hAnsi="Arial"/>
          <w:color w:val="000000" w:themeColor="text1"/>
        </w:rPr>
        <w:tab/>
      </w:r>
      <w:r w:rsidR="000E7F80" w:rsidRPr="002E7496">
        <w:rPr>
          <w:rFonts w:ascii="Arial" w:hAnsi="Arial"/>
        </w:rPr>
        <w:t xml:space="preserve">The </w:t>
      </w:r>
      <w:r w:rsidR="00FC7E33" w:rsidRPr="002E7496">
        <w:rPr>
          <w:rFonts w:ascii="Arial" w:hAnsi="Arial"/>
        </w:rPr>
        <w:t xml:space="preserve">applicant further pleaded that the heirs of the late </w:t>
      </w:r>
      <w:r w:rsidR="0005372B" w:rsidRPr="002E7496">
        <w:rPr>
          <w:rFonts w:ascii="Arial" w:hAnsi="Arial"/>
        </w:rPr>
        <w:t>F</w:t>
      </w:r>
      <w:r w:rsidR="00FC7E33" w:rsidRPr="002E7496">
        <w:rPr>
          <w:rFonts w:ascii="Arial" w:hAnsi="Arial"/>
        </w:rPr>
        <w:t>i</w:t>
      </w:r>
      <w:r w:rsidR="00746958" w:rsidRPr="002E7496">
        <w:rPr>
          <w:rFonts w:ascii="Arial" w:hAnsi="Arial"/>
        </w:rPr>
        <w:t>l</w:t>
      </w:r>
      <w:r w:rsidR="00FC7E33" w:rsidRPr="002E7496">
        <w:rPr>
          <w:rFonts w:ascii="Arial" w:hAnsi="Arial"/>
        </w:rPr>
        <w:t>li</w:t>
      </w:r>
      <w:r w:rsidR="00746958" w:rsidRPr="002E7496">
        <w:rPr>
          <w:rFonts w:ascii="Arial" w:hAnsi="Arial"/>
        </w:rPr>
        <w:t>p</w:t>
      </w:r>
      <w:r w:rsidR="00FC7E33" w:rsidRPr="002E7496">
        <w:rPr>
          <w:rFonts w:ascii="Arial" w:hAnsi="Arial"/>
        </w:rPr>
        <w:t xml:space="preserve">us Kaune elected or accepted </w:t>
      </w:r>
      <w:r w:rsidR="00E26987" w:rsidRPr="002E7496">
        <w:rPr>
          <w:rFonts w:ascii="Arial" w:hAnsi="Arial"/>
        </w:rPr>
        <w:t>that the estate of the deceased would in ter</w:t>
      </w:r>
      <w:r w:rsidR="00116897" w:rsidRPr="002E7496">
        <w:rPr>
          <w:rFonts w:ascii="Arial" w:hAnsi="Arial"/>
        </w:rPr>
        <w:t>ms of Proclamation 15 of 1928 (</w:t>
      </w:r>
      <w:r w:rsidR="00E26987" w:rsidRPr="002E7496">
        <w:rPr>
          <w:rFonts w:ascii="Arial" w:hAnsi="Arial"/>
        </w:rPr>
        <w:t xml:space="preserve">the Proclamation) </w:t>
      </w:r>
      <w:r w:rsidR="00192127" w:rsidRPr="002E7496">
        <w:rPr>
          <w:rFonts w:ascii="Arial" w:hAnsi="Arial"/>
        </w:rPr>
        <w:t xml:space="preserve">devolve in </w:t>
      </w:r>
      <w:r w:rsidR="00116897" w:rsidRPr="002E7496">
        <w:rPr>
          <w:rFonts w:ascii="Arial" w:hAnsi="Arial"/>
        </w:rPr>
        <w:t>accordance</w:t>
      </w:r>
      <w:r w:rsidR="00192127" w:rsidRPr="002E7496">
        <w:rPr>
          <w:rFonts w:ascii="Arial" w:hAnsi="Arial"/>
        </w:rPr>
        <w:t xml:space="preserve"> with </w:t>
      </w:r>
      <w:r w:rsidR="00FA690B" w:rsidRPr="002E7496">
        <w:rPr>
          <w:rFonts w:ascii="Arial" w:hAnsi="Arial"/>
        </w:rPr>
        <w:t>Ovaherero</w:t>
      </w:r>
      <w:r w:rsidR="00ED3EDB" w:rsidRPr="002E7496">
        <w:rPr>
          <w:rFonts w:ascii="Arial" w:hAnsi="Arial"/>
        </w:rPr>
        <w:t xml:space="preserve"> </w:t>
      </w:r>
      <w:r w:rsidR="00FC7E33" w:rsidRPr="002E7496">
        <w:rPr>
          <w:rFonts w:ascii="Arial" w:hAnsi="Arial"/>
        </w:rPr>
        <w:t xml:space="preserve">customary law, alternatively, </w:t>
      </w:r>
      <w:r w:rsidR="00FA690B" w:rsidRPr="002E7496">
        <w:rPr>
          <w:rFonts w:ascii="Arial" w:hAnsi="Arial"/>
        </w:rPr>
        <w:t>Ovaherero</w:t>
      </w:r>
      <w:r w:rsidR="00FC7E33" w:rsidRPr="002E7496">
        <w:rPr>
          <w:rFonts w:ascii="Arial" w:hAnsi="Arial"/>
        </w:rPr>
        <w:t xml:space="preserve"> custom and traditions</w:t>
      </w:r>
      <w:r w:rsidR="00192127" w:rsidRPr="002E7496">
        <w:rPr>
          <w:rFonts w:ascii="Arial" w:hAnsi="Arial"/>
        </w:rPr>
        <w:t xml:space="preserve">.  </w:t>
      </w:r>
      <w:r w:rsidR="00746958" w:rsidRPr="002E7496">
        <w:rPr>
          <w:rFonts w:ascii="Arial" w:hAnsi="Arial"/>
        </w:rPr>
        <w:t xml:space="preserve">That in July 1988, the executors to the estate of the late </w:t>
      </w:r>
      <w:r w:rsidR="0005372B" w:rsidRPr="002E7496">
        <w:rPr>
          <w:rFonts w:ascii="Arial" w:hAnsi="Arial"/>
        </w:rPr>
        <w:t>F</w:t>
      </w:r>
      <w:r w:rsidR="00746958" w:rsidRPr="002E7496">
        <w:rPr>
          <w:rFonts w:ascii="Arial" w:hAnsi="Arial"/>
        </w:rPr>
        <w:t xml:space="preserve">illipus Kaune were appointed under </w:t>
      </w:r>
      <w:r w:rsidR="00FA690B" w:rsidRPr="002E7496">
        <w:rPr>
          <w:rFonts w:ascii="Arial" w:hAnsi="Arial"/>
        </w:rPr>
        <w:t>Ovaherero</w:t>
      </w:r>
      <w:r w:rsidR="00746958" w:rsidRPr="002E7496">
        <w:rPr>
          <w:rFonts w:ascii="Arial" w:hAnsi="Arial"/>
        </w:rPr>
        <w:t xml:space="preserve"> customary law</w:t>
      </w:r>
      <w:r w:rsidR="00192127" w:rsidRPr="002E7496">
        <w:rPr>
          <w:rFonts w:ascii="Arial" w:hAnsi="Arial"/>
        </w:rPr>
        <w:t xml:space="preserve"> and</w:t>
      </w:r>
      <w:r w:rsidR="00746958" w:rsidRPr="002E7496">
        <w:rPr>
          <w:rFonts w:ascii="Arial" w:hAnsi="Arial"/>
        </w:rPr>
        <w:t xml:space="preserve"> </w:t>
      </w:r>
      <w:r w:rsidR="00192127" w:rsidRPr="002E7496">
        <w:rPr>
          <w:rFonts w:ascii="Arial" w:hAnsi="Arial"/>
        </w:rPr>
        <w:t>i</w:t>
      </w:r>
      <w:r w:rsidR="00746958" w:rsidRPr="002E7496">
        <w:rPr>
          <w:rFonts w:ascii="Arial" w:hAnsi="Arial"/>
        </w:rPr>
        <w:t xml:space="preserve">n or about July or early August 1988 and at Otjoruharui, Aminuis Constituency, the executors of the late </w:t>
      </w:r>
      <w:r w:rsidR="0005372B" w:rsidRPr="002E7496">
        <w:rPr>
          <w:rFonts w:ascii="Arial" w:hAnsi="Arial"/>
        </w:rPr>
        <w:t>F</w:t>
      </w:r>
      <w:r w:rsidR="00746958" w:rsidRPr="002E7496">
        <w:rPr>
          <w:rFonts w:ascii="Arial" w:hAnsi="Arial"/>
        </w:rPr>
        <w:t xml:space="preserve">illipus Kaune’s estate distributed his estate to the heirs in terms of </w:t>
      </w:r>
      <w:r w:rsidR="00FA690B" w:rsidRPr="002E7496">
        <w:rPr>
          <w:rFonts w:ascii="Arial" w:hAnsi="Arial"/>
        </w:rPr>
        <w:t>Ovaherero</w:t>
      </w:r>
      <w:r w:rsidR="00746958" w:rsidRPr="002E7496">
        <w:rPr>
          <w:rFonts w:ascii="Arial" w:hAnsi="Arial"/>
        </w:rPr>
        <w:t xml:space="preserve"> customary law. As a consequence of such distribution and in terms of the late </w:t>
      </w:r>
      <w:r w:rsidR="0005372B" w:rsidRPr="002E7496">
        <w:rPr>
          <w:rFonts w:ascii="Arial" w:hAnsi="Arial"/>
        </w:rPr>
        <w:t>F</w:t>
      </w:r>
      <w:r w:rsidR="00746958" w:rsidRPr="002E7496">
        <w:rPr>
          <w:rFonts w:ascii="Arial" w:hAnsi="Arial"/>
        </w:rPr>
        <w:t xml:space="preserve">illipus Kaune’s express </w:t>
      </w:r>
      <w:r w:rsidR="00750D2D" w:rsidRPr="002E7496">
        <w:rPr>
          <w:rFonts w:ascii="Arial" w:hAnsi="Arial"/>
        </w:rPr>
        <w:t>W</w:t>
      </w:r>
      <w:r w:rsidR="00746958" w:rsidRPr="002E7496">
        <w:rPr>
          <w:rFonts w:ascii="Arial" w:hAnsi="Arial"/>
        </w:rPr>
        <w:t>ish</w:t>
      </w:r>
      <w:r w:rsidR="00750D2D" w:rsidRPr="002E7496">
        <w:rPr>
          <w:rFonts w:ascii="Arial" w:hAnsi="Arial"/>
        </w:rPr>
        <w:t xml:space="preserve"> (or Eraa in Otjiherero language)</w:t>
      </w:r>
      <w:r w:rsidR="00746958" w:rsidRPr="002E7496">
        <w:rPr>
          <w:rFonts w:ascii="Arial" w:hAnsi="Arial"/>
        </w:rPr>
        <w:t>, the farm was inherited by the applicant.</w:t>
      </w:r>
      <w:r w:rsidR="000E7F80" w:rsidRPr="002E7496">
        <w:rPr>
          <w:rFonts w:ascii="Arial" w:hAnsi="Arial"/>
        </w:rPr>
        <w:t xml:space="preserve"> </w:t>
      </w:r>
    </w:p>
    <w:p w:rsidR="009C71B0" w:rsidRPr="009C71B0" w:rsidRDefault="009C71B0" w:rsidP="009C71B0">
      <w:pPr>
        <w:spacing w:line="480" w:lineRule="auto"/>
        <w:jc w:val="both"/>
        <w:rPr>
          <w:rFonts w:ascii="Arial" w:hAnsi="Arial"/>
        </w:rPr>
      </w:pPr>
    </w:p>
    <w:p w:rsidR="009C71B0" w:rsidRPr="002E7496" w:rsidRDefault="002E7496" w:rsidP="002E7496">
      <w:pPr>
        <w:spacing w:line="480" w:lineRule="auto"/>
        <w:jc w:val="both"/>
        <w:rPr>
          <w:rFonts w:ascii="Arial" w:hAnsi="Arial"/>
        </w:rPr>
      </w:pPr>
      <w:r>
        <w:rPr>
          <w:rFonts w:ascii="Arial" w:hAnsi="Arial"/>
          <w:color w:val="000000" w:themeColor="text1"/>
        </w:rPr>
        <w:t>[3]</w:t>
      </w:r>
      <w:r>
        <w:rPr>
          <w:rFonts w:ascii="Arial" w:hAnsi="Arial"/>
          <w:color w:val="000000" w:themeColor="text1"/>
        </w:rPr>
        <w:tab/>
      </w:r>
      <w:r w:rsidR="00F372F6" w:rsidRPr="002E7496">
        <w:rPr>
          <w:rFonts w:ascii="Arial" w:hAnsi="Arial"/>
        </w:rPr>
        <w:t xml:space="preserve">The </w:t>
      </w:r>
      <w:r w:rsidR="00FA690B" w:rsidRPr="002E7496">
        <w:rPr>
          <w:rFonts w:ascii="Arial" w:hAnsi="Arial"/>
        </w:rPr>
        <w:t>fourth to nineteenth, twenty-f</w:t>
      </w:r>
      <w:r w:rsidR="00D50C9B" w:rsidRPr="002E7496">
        <w:rPr>
          <w:rFonts w:ascii="Arial" w:hAnsi="Arial"/>
        </w:rPr>
        <w:t xml:space="preserve">irst to </w:t>
      </w:r>
      <w:r w:rsidR="00FA690B" w:rsidRPr="002E7496">
        <w:rPr>
          <w:rFonts w:ascii="Arial" w:hAnsi="Arial"/>
        </w:rPr>
        <w:t>twenty-third and t</w:t>
      </w:r>
      <w:r w:rsidR="00D50C9B" w:rsidRPr="002E7496">
        <w:rPr>
          <w:rFonts w:ascii="Arial" w:hAnsi="Arial"/>
        </w:rPr>
        <w:t>wenty-</w:t>
      </w:r>
      <w:r w:rsidR="00FA690B" w:rsidRPr="002E7496">
        <w:rPr>
          <w:rFonts w:ascii="Arial" w:hAnsi="Arial"/>
        </w:rPr>
        <w:t>s</w:t>
      </w:r>
      <w:r w:rsidR="00D50C9B" w:rsidRPr="002E7496">
        <w:rPr>
          <w:rFonts w:ascii="Arial" w:hAnsi="Arial"/>
        </w:rPr>
        <w:t xml:space="preserve">ixth </w:t>
      </w:r>
      <w:r w:rsidR="00FA690B" w:rsidRPr="002E7496">
        <w:rPr>
          <w:rFonts w:ascii="Arial" w:hAnsi="Arial"/>
        </w:rPr>
        <w:t>r</w:t>
      </w:r>
      <w:r w:rsidR="00D50C9B" w:rsidRPr="002E7496">
        <w:rPr>
          <w:rFonts w:ascii="Arial" w:hAnsi="Arial"/>
        </w:rPr>
        <w:t>e</w:t>
      </w:r>
      <w:r w:rsidR="00F372F6" w:rsidRPr="002E7496">
        <w:rPr>
          <w:rFonts w:ascii="Arial" w:hAnsi="Arial"/>
        </w:rPr>
        <w:t>spondents</w:t>
      </w:r>
      <w:r w:rsidR="00897C39" w:rsidRPr="002E7496">
        <w:rPr>
          <w:rFonts w:ascii="Arial" w:hAnsi="Arial"/>
        </w:rPr>
        <w:t xml:space="preserve"> dispute</w:t>
      </w:r>
      <w:r w:rsidR="00F372F6" w:rsidRPr="002E7496">
        <w:rPr>
          <w:rFonts w:ascii="Arial" w:hAnsi="Arial"/>
        </w:rPr>
        <w:t>d</w:t>
      </w:r>
      <w:r w:rsidR="00897C39" w:rsidRPr="002E7496">
        <w:rPr>
          <w:rFonts w:ascii="Arial" w:hAnsi="Arial"/>
        </w:rPr>
        <w:t xml:space="preserve"> that the </w:t>
      </w:r>
      <w:r w:rsidR="00F372F6" w:rsidRPr="002E7496">
        <w:rPr>
          <w:rFonts w:ascii="Arial" w:hAnsi="Arial"/>
        </w:rPr>
        <w:t xml:space="preserve">applicant </w:t>
      </w:r>
      <w:r w:rsidR="00897C39" w:rsidRPr="002E7496">
        <w:rPr>
          <w:rFonts w:ascii="Arial" w:hAnsi="Arial"/>
        </w:rPr>
        <w:t xml:space="preserve">lawfully inherited the </w:t>
      </w:r>
      <w:r w:rsidR="00F372F6" w:rsidRPr="002E7496">
        <w:rPr>
          <w:rFonts w:ascii="Arial" w:hAnsi="Arial"/>
        </w:rPr>
        <w:t>f</w:t>
      </w:r>
      <w:r w:rsidR="00897C39" w:rsidRPr="002E7496">
        <w:rPr>
          <w:rFonts w:ascii="Arial" w:hAnsi="Arial"/>
        </w:rPr>
        <w:t xml:space="preserve">arm from the late </w:t>
      </w:r>
      <w:r w:rsidR="0005372B" w:rsidRPr="002E7496">
        <w:rPr>
          <w:rFonts w:ascii="Arial" w:hAnsi="Arial"/>
        </w:rPr>
        <w:t>Fi</w:t>
      </w:r>
      <w:r w:rsidR="00897C39" w:rsidRPr="002E7496">
        <w:rPr>
          <w:rFonts w:ascii="Arial" w:hAnsi="Arial"/>
        </w:rPr>
        <w:t xml:space="preserve">llipus Kaune in terms of </w:t>
      </w:r>
      <w:r w:rsidR="00FA690B" w:rsidRPr="002E7496">
        <w:rPr>
          <w:rFonts w:ascii="Arial" w:hAnsi="Arial"/>
        </w:rPr>
        <w:t>Ovaherero</w:t>
      </w:r>
      <w:r w:rsidR="00897C39" w:rsidRPr="002E7496">
        <w:rPr>
          <w:rFonts w:ascii="Arial" w:hAnsi="Arial"/>
        </w:rPr>
        <w:t xml:space="preserve"> customary law</w:t>
      </w:r>
      <w:r w:rsidR="00F372F6" w:rsidRPr="002E7496">
        <w:rPr>
          <w:rFonts w:ascii="Arial" w:hAnsi="Arial"/>
        </w:rPr>
        <w:t xml:space="preserve"> </w:t>
      </w:r>
      <w:r w:rsidR="00897C39" w:rsidRPr="002E7496">
        <w:rPr>
          <w:rFonts w:ascii="Arial" w:hAnsi="Arial"/>
        </w:rPr>
        <w:t>and oppose</w:t>
      </w:r>
      <w:r w:rsidR="00F372F6" w:rsidRPr="002E7496">
        <w:rPr>
          <w:rFonts w:ascii="Arial" w:hAnsi="Arial"/>
        </w:rPr>
        <w:t>d</w:t>
      </w:r>
      <w:r w:rsidR="00897C39" w:rsidRPr="002E7496">
        <w:rPr>
          <w:rFonts w:ascii="Arial" w:hAnsi="Arial"/>
        </w:rPr>
        <w:t xml:space="preserve"> the </w:t>
      </w:r>
      <w:r w:rsidR="00F372F6" w:rsidRPr="002E7496">
        <w:rPr>
          <w:rFonts w:ascii="Arial" w:hAnsi="Arial"/>
        </w:rPr>
        <w:t>f</w:t>
      </w:r>
      <w:r w:rsidR="00897C39" w:rsidRPr="002E7496">
        <w:rPr>
          <w:rFonts w:ascii="Arial" w:hAnsi="Arial"/>
        </w:rPr>
        <w:t xml:space="preserve">arm being </w:t>
      </w:r>
      <w:r w:rsidR="00682B46" w:rsidRPr="002E7496">
        <w:rPr>
          <w:rFonts w:ascii="Arial" w:hAnsi="Arial"/>
        </w:rPr>
        <w:t xml:space="preserve">transferred to and </w:t>
      </w:r>
      <w:r w:rsidR="00897C39" w:rsidRPr="002E7496">
        <w:rPr>
          <w:rFonts w:ascii="Arial" w:hAnsi="Arial"/>
        </w:rPr>
        <w:t xml:space="preserve">registered in the name of the </w:t>
      </w:r>
      <w:r w:rsidR="00F372F6" w:rsidRPr="002E7496">
        <w:rPr>
          <w:rFonts w:ascii="Arial" w:hAnsi="Arial"/>
        </w:rPr>
        <w:t>applicant</w:t>
      </w:r>
      <w:r w:rsidR="00897C39" w:rsidRPr="002E7496">
        <w:rPr>
          <w:rFonts w:ascii="Arial" w:hAnsi="Arial"/>
        </w:rPr>
        <w:t xml:space="preserve">. </w:t>
      </w:r>
      <w:r w:rsidR="00D50C9B" w:rsidRPr="002E7496">
        <w:rPr>
          <w:rFonts w:ascii="Arial" w:hAnsi="Arial"/>
        </w:rPr>
        <w:t xml:space="preserve">They pleaded that during a meeting held on 10 April 1981, </w:t>
      </w:r>
      <w:r w:rsidR="00A95403" w:rsidRPr="002E7496">
        <w:rPr>
          <w:rFonts w:ascii="Arial" w:hAnsi="Arial"/>
        </w:rPr>
        <w:t xml:space="preserve">which the applicant did not attend, </w:t>
      </w:r>
      <w:r w:rsidR="00D50C9B" w:rsidRPr="002E7496">
        <w:rPr>
          <w:rFonts w:ascii="Arial" w:hAnsi="Arial"/>
        </w:rPr>
        <w:t xml:space="preserve">the late </w:t>
      </w:r>
      <w:r w:rsidR="0005372B" w:rsidRPr="002E7496">
        <w:rPr>
          <w:rFonts w:ascii="Arial" w:hAnsi="Arial"/>
        </w:rPr>
        <w:t>F</w:t>
      </w:r>
      <w:r w:rsidR="00D50C9B" w:rsidRPr="002E7496">
        <w:rPr>
          <w:rFonts w:ascii="Arial" w:hAnsi="Arial"/>
        </w:rPr>
        <w:t xml:space="preserve">illipus Kaune made a statement </w:t>
      </w:r>
      <w:r w:rsidR="00A95403" w:rsidRPr="002E7496">
        <w:rPr>
          <w:rFonts w:ascii="Arial" w:hAnsi="Arial"/>
        </w:rPr>
        <w:t xml:space="preserve">to the effect </w:t>
      </w:r>
      <w:r w:rsidR="00D50C9B" w:rsidRPr="002E7496">
        <w:rPr>
          <w:rFonts w:ascii="Arial" w:hAnsi="Arial"/>
        </w:rPr>
        <w:t xml:space="preserve">that the farm was for all his children. </w:t>
      </w:r>
      <w:r w:rsidR="00A95403" w:rsidRPr="002E7496">
        <w:rPr>
          <w:rFonts w:ascii="Arial" w:hAnsi="Arial"/>
        </w:rPr>
        <w:t>These respondents pleaded in the alternative that if it were to be found that the meeting alleged by the applicant to have taken place during 198</w:t>
      </w:r>
      <w:r w:rsidR="00D5234A" w:rsidRPr="002E7496">
        <w:rPr>
          <w:rFonts w:ascii="Arial" w:hAnsi="Arial"/>
        </w:rPr>
        <w:t>2</w:t>
      </w:r>
      <w:r w:rsidR="00A95403" w:rsidRPr="002E7496">
        <w:rPr>
          <w:rFonts w:ascii="Arial" w:hAnsi="Arial"/>
        </w:rPr>
        <w:t xml:space="preserve"> was held or that the late </w:t>
      </w:r>
      <w:r w:rsidR="0005372B" w:rsidRPr="002E7496">
        <w:rPr>
          <w:rFonts w:ascii="Arial" w:hAnsi="Arial"/>
        </w:rPr>
        <w:t>F</w:t>
      </w:r>
      <w:r w:rsidR="00A95403" w:rsidRPr="002E7496">
        <w:rPr>
          <w:rFonts w:ascii="Arial" w:hAnsi="Arial"/>
        </w:rPr>
        <w:t xml:space="preserve">illipus Kaune made </w:t>
      </w:r>
      <w:r w:rsidR="00D5234A" w:rsidRPr="002E7496">
        <w:rPr>
          <w:rFonts w:ascii="Arial" w:hAnsi="Arial"/>
        </w:rPr>
        <w:t xml:space="preserve">the statement as alleged by the applicant, such statement </w:t>
      </w:r>
      <w:r w:rsidR="00D5234A" w:rsidRPr="002E7496">
        <w:rPr>
          <w:rFonts w:ascii="Arial" w:hAnsi="Arial"/>
        </w:rPr>
        <w:lastRenderedPageBreak/>
        <w:t>c</w:t>
      </w:r>
      <w:r w:rsidR="00E42676" w:rsidRPr="002E7496">
        <w:rPr>
          <w:rFonts w:ascii="Arial" w:hAnsi="Arial"/>
        </w:rPr>
        <w:t>ould not</w:t>
      </w:r>
      <w:r w:rsidR="00D5234A" w:rsidRPr="002E7496">
        <w:rPr>
          <w:rFonts w:ascii="Arial" w:hAnsi="Arial"/>
        </w:rPr>
        <w:t xml:space="preserve"> in law constitute a valid testamentary bequest</w:t>
      </w:r>
      <w:r w:rsidR="00750D2D" w:rsidRPr="002E7496">
        <w:rPr>
          <w:rFonts w:ascii="Arial" w:hAnsi="Arial"/>
        </w:rPr>
        <w:t>. This was so</w:t>
      </w:r>
      <w:r w:rsidR="00D5234A" w:rsidRPr="002E7496">
        <w:rPr>
          <w:rFonts w:ascii="Arial" w:hAnsi="Arial"/>
        </w:rPr>
        <w:t xml:space="preserve">, because customary law did not know </w:t>
      </w:r>
      <w:r w:rsidR="00E42676" w:rsidRPr="002E7496">
        <w:rPr>
          <w:rFonts w:ascii="Arial" w:hAnsi="Arial"/>
        </w:rPr>
        <w:t xml:space="preserve">of </w:t>
      </w:r>
      <w:r w:rsidR="00D5234A" w:rsidRPr="002E7496">
        <w:rPr>
          <w:rFonts w:ascii="Arial" w:hAnsi="Arial"/>
        </w:rPr>
        <w:t xml:space="preserve">the concept of individual ownership of immovable property as registered in the Deeds Office or otherwise, and therefore the </w:t>
      </w:r>
      <w:r w:rsidR="00682B46" w:rsidRPr="002E7496">
        <w:rPr>
          <w:rFonts w:ascii="Arial" w:hAnsi="Arial"/>
        </w:rPr>
        <w:t xml:space="preserve">Proclamation </w:t>
      </w:r>
      <w:r w:rsidR="00D5234A" w:rsidRPr="002E7496">
        <w:rPr>
          <w:rFonts w:ascii="Arial" w:hAnsi="Arial"/>
        </w:rPr>
        <w:t xml:space="preserve">does not find application to the immovable property registered in the name of the late </w:t>
      </w:r>
      <w:r w:rsidR="0005372B" w:rsidRPr="002E7496">
        <w:rPr>
          <w:rFonts w:ascii="Arial" w:hAnsi="Arial"/>
        </w:rPr>
        <w:t>F</w:t>
      </w:r>
      <w:r w:rsidR="00D5234A" w:rsidRPr="002E7496">
        <w:rPr>
          <w:rFonts w:ascii="Arial" w:hAnsi="Arial"/>
        </w:rPr>
        <w:t>illipus Kaune.</w:t>
      </w:r>
    </w:p>
    <w:p w:rsidR="009C71B0" w:rsidRPr="009C71B0" w:rsidRDefault="009C71B0" w:rsidP="009C71B0">
      <w:pPr>
        <w:spacing w:line="480" w:lineRule="auto"/>
        <w:jc w:val="both"/>
        <w:rPr>
          <w:rFonts w:ascii="Arial" w:hAnsi="Arial"/>
        </w:rPr>
      </w:pPr>
    </w:p>
    <w:p w:rsidR="00D50C9B" w:rsidRPr="002E7496" w:rsidRDefault="002E7496" w:rsidP="002E7496">
      <w:pPr>
        <w:spacing w:line="480" w:lineRule="auto"/>
        <w:jc w:val="both"/>
        <w:rPr>
          <w:rFonts w:ascii="Arial" w:hAnsi="Arial"/>
        </w:rPr>
      </w:pPr>
      <w:r>
        <w:rPr>
          <w:rFonts w:ascii="Arial" w:hAnsi="Arial"/>
          <w:color w:val="000000" w:themeColor="text1"/>
        </w:rPr>
        <w:t>[4]</w:t>
      </w:r>
      <w:r>
        <w:rPr>
          <w:rFonts w:ascii="Arial" w:hAnsi="Arial"/>
          <w:color w:val="000000" w:themeColor="text1"/>
        </w:rPr>
        <w:tab/>
      </w:r>
      <w:r w:rsidR="009C71B0" w:rsidRPr="002E7496">
        <w:rPr>
          <w:rFonts w:ascii="Arial" w:hAnsi="Arial"/>
        </w:rPr>
        <w:t xml:space="preserve">Furthermore, the respondents pleaded that by virtue of the provisions of s 3(2) of the Estates and Succession Amendment Act 15 of 2005 read with the provisions of s 18(1) and (2) of the Proclamation, the late </w:t>
      </w:r>
      <w:r w:rsidR="0005372B" w:rsidRPr="002E7496">
        <w:rPr>
          <w:rFonts w:ascii="Arial" w:hAnsi="Arial"/>
        </w:rPr>
        <w:t>F</w:t>
      </w:r>
      <w:r w:rsidR="009C71B0" w:rsidRPr="002E7496">
        <w:rPr>
          <w:rFonts w:ascii="Arial" w:hAnsi="Arial"/>
        </w:rPr>
        <w:t xml:space="preserve">illipus Kaune’s movable property had to be distributed </w:t>
      </w:r>
      <w:r w:rsidR="00E42676" w:rsidRPr="002E7496">
        <w:rPr>
          <w:rFonts w:ascii="Arial" w:hAnsi="Arial"/>
        </w:rPr>
        <w:t xml:space="preserve">according to </w:t>
      </w:r>
      <w:r w:rsidR="00FA690B" w:rsidRPr="002E7496">
        <w:rPr>
          <w:rFonts w:ascii="Arial" w:hAnsi="Arial"/>
        </w:rPr>
        <w:t>Ovaherero</w:t>
      </w:r>
      <w:r w:rsidR="009C71B0" w:rsidRPr="002E7496">
        <w:rPr>
          <w:rFonts w:ascii="Arial" w:hAnsi="Arial"/>
        </w:rPr>
        <w:t xml:space="preserve"> custom and law. </w:t>
      </w:r>
      <w:r w:rsidR="00E42676" w:rsidRPr="002E7496">
        <w:rPr>
          <w:rFonts w:ascii="Arial" w:hAnsi="Arial"/>
        </w:rPr>
        <w:t>I</w:t>
      </w:r>
      <w:r w:rsidR="009C71B0" w:rsidRPr="002E7496">
        <w:rPr>
          <w:rFonts w:ascii="Arial" w:hAnsi="Arial"/>
        </w:rPr>
        <w:t xml:space="preserve">nsofar as </w:t>
      </w:r>
      <w:r w:rsidR="00E42676" w:rsidRPr="002E7496">
        <w:rPr>
          <w:rFonts w:ascii="Arial" w:hAnsi="Arial"/>
        </w:rPr>
        <w:t xml:space="preserve">the statement attributed </w:t>
      </w:r>
      <w:r w:rsidR="009C71B0" w:rsidRPr="002E7496">
        <w:rPr>
          <w:rFonts w:ascii="Arial" w:hAnsi="Arial"/>
        </w:rPr>
        <w:t>t</w:t>
      </w:r>
      <w:r w:rsidR="00E42676" w:rsidRPr="002E7496">
        <w:rPr>
          <w:rFonts w:ascii="Arial" w:hAnsi="Arial"/>
        </w:rPr>
        <w:t xml:space="preserve">o the late </w:t>
      </w:r>
      <w:r w:rsidR="0005372B" w:rsidRPr="002E7496">
        <w:rPr>
          <w:rFonts w:ascii="Arial" w:hAnsi="Arial"/>
        </w:rPr>
        <w:t>F</w:t>
      </w:r>
      <w:r w:rsidR="00E42676" w:rsidRPr="002E7496">
        <w:rPr>
          <w:rFonts w:ascii="Arial" w:hAnsi="Arial"/>
        </w:rPr>
        <w:t>illipus Kaune</w:t>
      </w:r>
      <w:r w:rsidR="009C71B0" w:rsidRPr="002E7496">
        <w:rPr>
          <w:rFonts w:ascii="Arial" w:hAnsi="Arial"/>
        </w:rPr>
        <w:t xml:space="preserve"> purports to amount to a testamentary disposition</w:t>
      </w:r>
      <w:r w:rsidR="00E42676" w:rsidRPr="002E7496">
        <w:rPr>
          <w:rFonts w:ascii="Arial" w:hAnsi="Arial"/>
        </w:rPr>
        <w:t>, such statement</w:t>
      </w:r>
      <w:r w:rsidR="009C71B0" w:rsidRPr="002E7496">
        <w:rPr>
          <w:rFonts w:ascii="Arial" w:hAnsi="Arial"/>
        </w:rPr>
        <w:t xml:space="preserve"> does not comply with the provisions of s 2 of the Wills Act 7 of 1953 for a valid testamentary disposition and is</w:t>
      </w:r>
      <w:r w:rsidR="00FA690B" w:rsidRPr="002E7496">
        <w:rPr>
          <w:rFonts w:ascii="Arial" w:hAnsi="Arial"/>
        </w:rPr>
        <w:t xml:space="preserve"> therefore</w:t>
      </w:r>
      <w:r w:rsidR="009C71B0" w:rsidRPr="002E7496">
        <w:rPr>
          <w:rFonts w:ascii="Arial" w:hAnsi="Arial"/>
        </w:rPr>
        <w:t xml:space="preserve"> invalid.</w:t>
      </w:r>
    </w:p>
    <w:p w:rsidR="009C71B0" w:rsidRPr="009C71B0" w:rsidRDefault="009C71B0" w:rsidP="009C71B0">
      <w:pPr>
        <w:spacing w:line="480" w:lineRule="auto"/>
        <w:jc w:val="both"/>
        <w:rPr>
          <w:rFonts w:ascii="Arial" w:hAnsi="Arial"/>
        </w:rPr>
      </w:pPr>
    </w:p>
    <w:p w:rsidR="00176809" w:rsidRPr="002E7496" w:rsidRDefault="002E7496" w:rsidP="002E7496">
      <w:pPr>
        <w:spacing w:line="480" w:lineRule="auto"/>
        <w:jc w:val="both"/>
        <w:rPr>
          <w:rFonts w:ascii="Arial" w:hAnsi="Arial" w:cs="Arial"/>
          <w:sz w:val="22"/>
          <w:szCs w:val="22"/>
        </w:rPr>
      </w:pPr>
      <w:r w:rsidRPr="00A54C71">
        <w:rPr>
          <w:rFonts w:ascii="Arial" w:hAnsi="Arial" w:cs="Arial"/>
          <w:color w:val="000000" w:themeColor="text1"/>
          <w:sz w:val="22"/>
          <w:szCs w:val="22"/>
        </w:rPr>
        <w:t>[5]</w:t>
      </w:r>
      <w:r w:rsidRPr="00A54C71">
        <w:rPr>
          <w:rFonts w:ascii="Arial" w:hAnsi="Arial" w:cs="Arial"/>
          <w:color w:val="000000" w:themeColor="text1"/>
          <w:sz w:val="22"/>
          <w:szCs w:val="22"/>
        </w:rPr>
        <w:tab/>
      </w:r>
      <w:r w:rsidR="00897C39" w:rsidRPr="002E7496">
        <w:rPr>
          <w:rFonts w:ascii="Arial" w:hAnsi="Arial"/>
        </w:rPr>
        <w:t>On 10 August 2010</w:t>
      </w:r>
      <w:r w:rsidR="00F372F6" w:rsidRPr="002E7496">
        <w:rPr>
          <w:rFonts w:ascii="Arial" w:hAnsi="Arial"/>
        </w:rPr>
        <w:t>,</w:t>
      </w:r>
      <w:r w:rsidR="00FA690B" w:rsidRPr="002E7496">
        <w:rPr>
          <w:rFonts w:ascii="Arial" w:hAnsi="Arial"/>
        </w:rPr>
        <w:t xml:space="preserve"> s</w:t>
      </w:r>
      <w:r w:rsidR="00897C39" w:rsidRPr="002E7496">
        <w:rPr>
          <w:rFonts w:ascii="Arial" w:hAnsi="Arial"/>
        </w:rPr>
        <w:t xml:space="preserve">econd </w:t>
      </w:r>
      <w:r w:rsidR="00FA690B" w:rsidRPr="002E7496">
        <w:rPr>
          <w:rFonts w:ascii="Arial" w:hAnsi="Arial"/>
        </w:rPr>
        <w:t>r</w:t>
      </w:r>
      <w:r w:rsidR="00F372F6" w:rsidRPr="002E7496">
        <w:rPr>
          <w:rFonts w:ascii="Arial" w:hAnsi="Arial"/>
        </w:rPr>
        <w:t xml:space="preserve">espondent </w:t>
      </w:r>
      <w:r w:rsidR="00E42676" w:rsidRPr="002E7496">
        <w:rPr>
          <w:rFonts w:ascii="Arial" w:hAnsi="Arial"/>
        </w:rPr>
        <w:t xml:space="preserve">(the Master of the High Court) </w:t>
      </w:r>
      <w:r w:rsidR="00FA690B" w:rsidRPr="002E7496">
        <w:rPr>
          <w:rFonts w:ascii="Arial" w:hAnsi="Arial"/>
        </w:rPr>
        <w:t>appointed the t</w:t>
      </w:r>
      <w:r w:rsidR="00897C39" w:rsidRPr="002E7496">
        <w:rPr>
          <w:rFonts w:ascii="Arial" w:hAnsi="Arial"/>
        </w:rPr>
        <w:t>wenty</w:t>
      </w:r>
      <w:r w:rsidR="00497E91" w:rsidRPr="002E7496">
        <w:rPr>
          <w:rFonts w:ascii="Arial" w:hAnsi="Arial"/>
        </w:rPr>
        <w:t>-</w:t>
      </w:r>
      <w:r w:rsidR="00FA690B" w:rsidRPr="002E7496">
        <w:rPr>
          <w:rFonts w:ascii="Arial" w:hAnsi="Arial"/>
        </w:rPr>
        <w:t>s</w:t>
      </w:r>
      <w:r w:rsidR="00897C39" w:rsidRPr="002E7496">
        <w:rPr>
          <w:rFonts w:ascii="Arial" w:hAnsi="Arial"/>
        </w:rPr>
        <w:t xml:space="preserve">eventh </w:t>
      </w:r>
      <w:r w:rsidR="00FA690B" w:rsidRPr="002E7496">
        <w:rPr>
          <w:rFonts w:ascii="Arial" w:hAnsi="Arial"/>
        </w:rPr>
        <w:t>r</w:t>
      </w:r>
      <w:r w:rsidR="00F372F6" w:rsidRPr="002E7496">
        <w:rPr>
          <w:rFonts w:ascii="Arial" w:hAnsi="Arial"/>
        </w:rPr>
        <w:t>espondent</w:t>
      </w:r>
      <w:r w:rsidR="00897C39" w:rsidRPr="002E7496">
        <w:rPr>
          <w:rFonts w:ascii="Arial" w:hAnsi="Arial"/>
        </w:rPr>
        <w:t xml:space="preserve"> as </w:t>
      </w:r>
      <w:r w:rsidR="0005372B" w:rsidRPr="002E7496">
        <w:rPr>
          <w:rFonts w:ascii="Arial" w:hAnsi="Arial"/>
        </w:rPr>
        <w:t>e</w:t>
      </w:r>
      <w:r w:rsidR="00897C39" w:rsidRPr="002E7496">
        <w:rPr>
          <w:rFonts w:ascii="Arial" w:hAnsi="Arial"/>
        </w:rPr>
        <w:t xml:space="preserve">xecutor </w:t>
      </w:r>
      <w:r w:rsidR="00CB4247" w:rsidRPr="002E7496">
        <w:rPr>
          <w:rFonts w:ascii="Arial" w:hAnsi="Arial"/>
        </w:rPr>
        <w:t xml:space="preserve">(the executor) </w:t>
      </w:r>
      <w:r w:rsidR="00897C39" w:rsidRPr="002E7496">
        <w:rPr>
          <w:rFonts w:ascii="Arial" w:hAnsi="Arial"/>
        </w:rPr>
        <w:t xml:space="preserve">of the </w:t>
      </w:r>
      <w:r w:rsidR="0005372B" w:rsidRPr="002E7496">
        <w:rPr>
          <w:rFonts w:ascii="Arial" w:hAnsi="Arial"/>
        </w:rPr>
        <w:t>e</w:t>
      </w:r>
      <w:r w:rsidR="00897C39" w:rsidRPr="002E7496">
        <w:rPr>
          <w:rFonts w:ascii="Arial" w:hAnsi="Arial"/>
        </w:rPr>
        <w:t xml:space="preserve">state </w:t>
      </w:r>
      <w:r w:rsidR="0005372B" w:rsidRPr="002E7496">
        <w:rPr>
          <w:rFonts w:ascii="Arial" w:hAnsi="Arial"/>
        </w:rPr>
        <w:t xml:space="preserve">of </w:t>
      </w:r>
      <w:r w:rsidR="008C1470" w:rsidRPr="002E7496">
        <w:rPr>
          <w:rFonts w:ascii="Arial" w:hAnsi="Arial"/>
        </w:rPr>
        <w:t xml:space="preserve">the </w:t>
      </w:r>
      <w:r w:rsidR="0005372B" w:rsidRPr="002E7496">
        <w:rPr>
          <w:rFonts w:ascii="Arial" w:hAnsi="Arial"/>
        </w:rPr>
        <w:t>l</w:t>
      </w:r>
      <w:r w:rsidR="00897C39" w:rsidRPr="002E7496">
        <w:rPr>
          <w:rFonts w:ascii="Arial" w:hAnsi="Arial"/>
        </w:rPr>
        <w:t xml:space="preserve">ate </w:t>
      </w:r>
      <w:r w:rsidR="0005372B" w:rsidRPr="002E7496">
        <w:rPr>
          <w:rFonts w:ascii="Arial" w:hAnsi="Arial"/>
        </w:rPr>
        <w:t>F</w:t>
      </w:r>
      <w:r w:rsidR="00897C39" w:rsidRPr="002E7496">
        <w:rPr>
          <w:rFonts w:ascii="Arial" w:hAnsi="Arial"/>
        </w:rPr>
        <w:t xml:space="preserve">illipus Kaune under </w:t>
      </w:r>
      <w:r w:rsidR="00F372F6" w:rsidRPr="002E7496">
        <w:rPr>
          <w:rFonts w:ascii="Arial" w:hAnsi="Arial"/>
        </w:rPr>
        <w:t>L</w:t>
      </w:r>
      <w:r w:rsidR="00897C39" w:rsidRPr="002E7496">
        <w:rPr>
          <w:rFonts w:ascii="Arial" w:hAnsi="Arial"/>
        </w:rPr>
        <w:t xml:space="preserve">etters of </w:t>
      </w:r>
      <w:r w:rsidR="00F372F6" w:rsidRPr="002E7496">
        <w:rPr>
          <w:rFonts w:ascii="Arial" w:hAnsi="Arial"/>
        </w:rPr>
        <w:t>E</w:t>
      </w:r>
      <w:r w:rsidR="00897C39" w:rsidRPr="002E7496">
        <w:rPr>
          <w:rFonts w:ascii="Arial" w:hAnsi="Arial"/>
        </w:rPr>
        <w:t xml:space="preserve">xecutorship </w:t>
      </w:r>
      <w:r w:rsidR="008C1470" w:rsidRPr="002E7496">
        <w:rPr>
          <w:rFonts w:ascii="Arial" w:hAnsi="Arial"/>
        </w:rPr>
        <w:t xml:space="preserve">No. </w:t>
      </w:r>
      <w:r w:rsidR="00897C39" w:rsidRPr="002E7496">
        <w:rPr>
          <w:rFonts w:ascii="Arial" w:hAnsi="Arial"/>
        </w:rPr>
        <w:t xml:space="preserve">6/2010. </w:t>
      </w:r>
      <w:r w:rsidR="00F372F6" w:rsidRPr="002E7496">
        <w:rPr>
          <w:rFonts w:ascii="Arial" w:hAnsi="Arial"/>
        </w:rPr>
        <w:t>The applicant contend</w:t>
      </w:r>
      <w:r w:rsidR="00CB4247" w:rsidRPr="002E7496">
        <w:rPr>
          <w:rFonts w:ascii="Arial" w:hAnsi="Arial"/>
        </w:rPr>
        <w:t>s that</w:t>
      </w:r>
      <w:r w:rsidR="00F372F6" w:rsidRPr="002E7496">
        <w:rPr>
          <w:rFonts w:ascii="Arial" w:hAnsi="Arial"/>
        </w:rPr>
        <w:t xml:space="preserve"> </w:t>
      </w:r>
      <w:r w:rsidR="00897C39" w:rsidRPr="002E7496">
        <w:rPr>
          <w:rFonts w:ascii="Arial" w:hAnsi="Arial"/>
        </w:rPr>
        <w:t xml:space="preserve">at the time the </w:t>
      </w:r>
      <w:r w:rsidR="0005372B" w:rsidRPr="002E7496">
        <w:rPr>
          <w:rFonts w:ascii="Arial" w:hAnsi="Arial"/>
        </w:rPr>
        <w:t xml:space="preserve">executor was appointed, </w:t>
      </w:r>
      <w:r w:rsidR="00897C39" w:rsidRPr="002E7496">
        <w:rPr>
          <w:rFonts w:ascii="Arial" w:hAnsi="Arial"/>
        </w:rPr>
        <w:t xml:space="preserve">the </w:t>
      </w:r>
      <w:r w:rsidR="0005372B" w:rsidRPr="002E7496">
        <w:rPr>
          <w:rFonts w:ascii="Arial" w:hAnsi="Arial"/>
        </w:rPr>
        <w:t>e</w:t>
      </w:r>
      <w:r w:rsidR="00897C39" w:rsidRPr="002E7496">
        <w:rPr>
          <w:rFonts w:ascii="Arial" w:hAnsi="Arial"/>
        </w:rPr>
        <w:t xml:space="preserve">state </w:t>
      </w:r>
      <w:r w:rsidR="0005372B" w:rsidRPr="002E7496">
        <w:rPr>
          <w:rFonts w:ascii="Arial" w:hAnsi="Arial"/>
        </w:rPr>
        <w:t>of the la</w:t>
      </w:r>
      <w:r w:rsidR="00897C39" w:rsidRPr="002E7496">
        <w:rPr>
          <w:rFonts w:ascii="Arial" w:hAnsi="Arial"/>
        </w:rPr>
        <w:t xml:space="preserve">te </w:t>
      </w:r>
      <w:r w:rsidR="0005372B" w:rsidRPr="002E7496">
        <w:rPr>
          <w:rFonts w:ascii="Arial" w:hAnsi="Arial"/>
        </w:rPr>
        <w:t>F</w:t>
      </w:r>
      <w:r w:rsidR="00897C39" w:rsidRPr="002E7496">
        <w:rPr>
          <w:rFonts w:ascii="Arial" w:hAnsi="Arial"/>
        </w:rPr>
        <w:t xml:space="preserve">illipus Kaune had already devolved in </w:t>
      </w:r>
      <w:r w:rsidR="0081790E" w:rsidRPr="002E7496">
        <w:rPr>
          <w:rFonts w:ascii="Arial" w:hAnsi="Arial"/>
        </w:rPr>
        <w:t xml:space="preserve">terms of </w:t>
      </w:r>
      <w:r w:rsidR="00FA690B" w:rsidRPr="002E7496">
        <w:rPr>
          <w:rFonts w:ascii="Arial" w:hAnsi="Arial"/>
        </w:rPr>
        <w:t>Ovaherero</w:t>
      </w:r>
      <w:r w:rsidR="0081790E" w:rsidRPr="002E7496">
        <w:rPr>
          <w:rFonts w:ascii="Arial" w:hAnsi="Arial"/>
        </w:rPr>
        <w:t xml:space="preserve"> customary law or </w:t>
      </w:r>
      <w:r w:rsidR="00FA690B" w:rsidRPr="002E7496">
        <w:rPr>
          <w:rFonts w:ascii="Arial" w:hAnsi="Arial"/>
        </w:rPr>
        <w:t xml:space="preserve">Ovaherero </w:t>
      </w:r>
      <w:r w:rsidR="0081790E" w:rsidRPr="002E7496">
        <w:rPr>
          <w:rFonts w:ascii="Arial" w:hAnsi="Arial"/>
        </w:rPr>
        <w:t>custom and tradition</w:t>
      </w:r>
      <w:r w:rsidR="00651E5B" w:rsidRPr="002E7496">
        <w:rPr>
          <w:rFonts w:ascii="Arial" w:hAnsi="Arial"/>
        </w:rPr>
        <w:t xml:space="preserve"> and t</w:t>
      </w:r>
      <w:r w:rsidR="0081790E" w:rsidRPr="002E7496">
        <w:rPr>
          <w:rFonts w:ascii="Arial" w:hAnsi="Arial"/>
        </w:rPr>
        <w:t xml:space="preserve">he </w:t>
      </w:r>
      <w:r w:rsidR="00897C39" w:rsidRPr="002E7496">
        <w:rPr>
          <w:rFonts w:ascii="Arial" w:hAnsi="Arial"/>
        </w:rPr>
        <w:t xml:space="preserve">appointment of the </w:t>
      </w:r>
      <w:r w:rsidR="0081790E" w:rsidRPr="002E7496">
        <w:rPr>
          <w:rFonts w:ascii="Arial" w:hAnsi="Arial"/>
        </w:rPr>
        <w:t xml:space="preserve">executor </w:t>
      </w:r>
      <w:r w:rsidR="00897C39" w:rsidRPr="002E7496">
        <w:rPr>
          <w:rFonts w:ascii="Arial" w:hAnsi="Arial"/>
        </w:rPr>
        <w:t xml:space="preserve">is </w:t>
      </w:r>
      <w:r w:rsidR="008C1470" w:rsidRPr="002E7496">
        <w:rPr>
          <w:rFonts w:ascii="Arial" w:hAnsi="Arial"/>
        </w:rPr>
        <w:t xml:space="preserve">thus </w:t>
      </w:r>
      <w:r w:rsidR="00897C39" w:rsidRPr="002E7496">
        <w:rPr>
          <w:rFonts w:ascii="Arial" w:hAnsi="Arial"/>
        </w:rPr>
        <w:t>of no force or effect as</w:t>
      </w:r>
      <w:r w:rsidR="0081790E" w:rsidRPr="002E7496">
        <w:rPr>
          <w:rFonts w:ascii="Arial" w:hAnsi="Arial"/>
        </w:rPr>
        <w:t xml:space="preserve"> </w:t>
      </w:r>
      <w:r w:rsidR="00F372F6" w:rsidRPr="002E7496">
        <w:rPr>
          <w:rFonts w:ascii="Arial" w:hAnsi="Arial"/>
        </w:rPr>
        <w:t xml:space="preserve">such </w:t>
      </w:r>
      <w:r w:rsidR="0081790E" w:rsidRPr="002E7496">
        <w:rPr>
          <w:rFonts w:ascii="Arial" w:hAnsi="Arial"/>
        </w:rPr>
        <w:t>estate had already devolved</w:t>
      </w:r>
      <w:r w:rsidR="00F372F6" w:rsidRPr="002E7496">
        <w:rPr>
          <w:rFonts w:ascii="Arial" w:hAnsi="Arial"/>
        </w:rPr>
        <w:t xml:space="preserve">. </w:t>
      </w:r>
    </w:p>
    <w:p w:rsidR="006E17DF" w:rsidRDefault="006E17DF" w:rsidP="00DC21E5">
      <w:pPr>
        <w:spacing w:line="276" w:lineRule="auto"/>
        <w:jc w:val="both"/>
        <w:rPr>
          <w:rFonts w:ascii="Arial" w:hAnsi="Arial" w:cs="Arial"/>
        </w:rPr>
      </w:pPr>
    </w:p>
    <w:p w:rsidR="00FE5529" w:rsidRDefault="00FE5529" w:rsidP="00DC21E5">
      <w:pPr>
        <w:spacing w:line="276" w:lineRule="auto"/>
        <w:jc w:val="both"/>
        <w:rPr>
          <w:rFonts w:ascii="Arial" w:hAnsi="Arial" w:cs="Arial"/>
        </w:rPr>
      </w:pPr>
    </w:p>
    <w:p w:rsidR="00FE5529" w:rsidRDefault="00FE5529" w:rsidP="00DC21E5">
      <w:pPr>
        <w:spacing w:line="276" w:lineRule="auto"/>
        <w:jc w:val="both"/>
        <w:rPr>
          <w:rFonts w:ascii="Arial" w:hAnsi="Arial" w:cs="Arial"/>
        </w:rPr>
      </w:pPr>
    </w:p>
    <w:p w:rsidR="00FE5529" w:rsidRDefault="00FE5529" w:rsidP="00DC21E5">
      <w:pPr>
        <w:spacing w:line="276" w:lineRule="auto"/>
        <w:jc w:val="both"/>
        <w:rPr>
          <w:rFonts w:ascii="Arial" w:hAnsi="Arial" w:cs="Arial"/>
        </w:rPr>
      </w:pPr>
    </w:p>
    <w:p w:rsidR="00FE5529" w:rsidRDefault="00FE5529" w:rsidP="00DC21E5">
      <w:pPr>
        <w:spacing w:line="276" w:lineRule="auto"/>
        <w:jc w:val="both"/>
        <w:rPr>
          <w:rFonts w:ascii="Arial" w:hAnsi="Arial" w:cs="Arial"/>
        </w:rPr>
      </w:pPr>
    </w:p>
    <w:p w:rsidR="00176809" w:rsidRPr="006E17DF" w:rsidRDefault="006E17DF" w:rsidP="00A14F2C">
      <w:pPr>
        <w:spacing w:line="480" w:lineRule="auto"/>
        <w:jc w:val="both"/>
        <w:rPr>
          <w:rFonts w:ascii="Arial" w:hAnsi="Arial" w:cs="Arial"/>
          <w:u w:val="single"/>
        </w:rPr>
      </w:pPr>
      <w:r>
        <w:rPr>
          <w:rFonts w:ascii="Arial" w:hAnsi="Arial" w:cs="Arial"/>
          <w:u w:val="single"/>
        </w:rPr>
        <w:t>Proceedings in the High Court</w:t>
      </w:r>
    </w:p>
    <w:p w:rsidR="00BF4533" w:rsidRPr="002E7496" w:rsidRDefault="002E7496" w:rsidP="002E7496">
      <w:pPr>
        <w:spacing w:line="480" w:lineRule="auto"/>
        <w:jc w:val="both"/>
        <w:rPr>
          <w:rFonts w:ascii="Arial" w:hAnsi="Arial" w:cs="Arial"/>
        </w:rPr>
      </w:pPr>
      <w:r>
        <w:rPr>
          <w:rFonts w:ascii="Arial" w:hAnsi="Arial" w:cs="Arial"/>
          <w:color w:val="000000" w:themeColor="text1"/>
        </w:rPr>
        <w:t>[6]</w:t>
      </w:r>
      <w:r>
        <w:rPr>
          <w:rFonts w:ascii="Arial" w:hAnsi="Arial" w:cs="Arial"/>
          <w:color w:val="000000" w:themeColor="text1"/>
        </w:rPr>
        <w:tab/>
      </w:r>
      <w:r w:rsidR="006E17DF" w:rsidRPr="002E7496">
        <w:rPr>
          <w:rFonts w:ascii="Arial" w:hAnsi="Arial" w:cs="Arial"/>
        </w:rPr>
        <w:t xml:space="preserve">The applicant as plaintiff in the High Court testified and called two witnesses. </w:t>
      </w:r>
      <w:r w:rsidR="005D1C10" w:rsidRPr="002E7496">
        <w:rPr>
          <w:rFonts w:ascii="Arial" w:hAnsi="Arial" w:cs="Arial"/>
        </w:rPr>
        <w:t xml:space="preserve">Thereafter he closed his case. None of the witnesses called by the applicant was an expert in </w:t>
      </w:r>
      <w:r w:rsidR="00FA690B" w:rsidRPr="002E7496">
        <w:rPr>
          <w:rFonts w:ascii="Arial" w:hAnsi="Arial"/>
        </w:rPr>
        <w:t>Ovaherero</w:t>
      </w:r>
      <w:r w:rsidR="00FA690B" w:rsidRPr="002E7496">
        <w:rPr>
          <w:rFonts w:ascii="Arial" w:hAnsi="Arial" w:cs="Arial"/>
        </w:rPr>
        <w:t xml:space="preserve"> </w:t>
      </w:r>
      <w:r w:rsidR="005D1C10" w:rsidRPr="002E7496">
        <w:rPr>
          <w:rFonts w:ascii="Arial" w:hAnsi="Arial" w:cs="Arial"/>
        </w:rPr>
        <w:t xml:space="preserve">customary law </w:t>
      </w:r>
      <w:r w:rsidR="00651E5B" w:rsidRPr="002E7496">
        <w:rPr>
          <w:rFonts w:ascii="Arial" w:hAnsi="Arial" w:cs="Arial"/>
        </w:rPr>
        <w:t xml:space="preserve">or </w:t>
      </w:r>
      <w:r w:rsidR="0041208F" w:rsidRPr="002E7496">
        <w:rPr>
          <w:rFonts w:ascii="Arial" w:hAnsi="Arial" w:cs="Arial"/>
        </w:rPr>
        <w:t>Ovaherero</w:t>
      </w:r>
      <w:r w:rsidR="00651E5B" w:rsidRPr="002E7496">
        <w:rPr>
          <w:rFonts w:ascii="Arial" w:hAnsi="Arial" w:cs="Arial"/>
        </w:rPr>
        <w:t xml:space="preserve"> customs pertaining to </w:t>
      </w:r>
      <w:r w:rsidR="00F72C08" w:rsidRPr="002E7496">
        <w:rPr>
          <w:rFonts w:ascii="Arial" w:hAnsi="Arial" w:cs="Arial"/>
        </w:rPr>
        <w:t xml:space="preserve">succession or </w:t>
      </w:r>
      <w:r w:rsidR="005D1C10" w:rsidRPr="002E7496">
        <w:rPr>
          <w:rFonts w:ascii="Arial" w:hAnsi="Arial" w:cs="Arial"/>
        </w:rPr>
        <w:t xml:space="preserve">inheritance. </w:t>
      </w:r>
      <w:r w:rsidR="00F94DBB" w:rsidRPr="002E7496">
        <w:rPr>
          <w:rFonts w:ascii="Arial" w:hAnsi="Arial" w:cs="Arial"/>
        </w:rPr>
        <w:t>Despite filing an expert notice and summary</w:t>
      </w:r>
      <w:r w:rsidR="00FB6ED4" w:rsidRPr="002E7496">
        <w:rPr>
          <w:rFonts w:ascii="Arial" w:hAnsi="Arial" w:cs="Arial"/>
        </w:rPr>
        <w:t>,</w:t>
      </w:r>
      <w:r w:rsidR="004B3732" w:rsidRPr="002E7496">
        <w:rPr>
          <w:rFonts w:ascii="Arial" w:hAnsi="Arial" w:cs="Arial"/>
        </w:rPr>
        <w:t xml:space="preserve"> when faced with an objection to him calling this witness</w:t>
      </w:r>
      <w:r w:rsidR="00FB6ED4" w:rsidRPr="002E7496">
        <w:rPr>
          <w:rFonts w:ascii="Arial" w:hAnsi="Arial" w:cs="Arial"/>
        </w:rPr>
        <w:t xml:space="preserve"> the applicant</w:t>
      </w:r>
      <w:r w:rsidR="004B3732" w:rsidRPr="002E7496">
        <w:rPr>
          <w:rFonts w:ascii="Arial" w:hAnsi="Arial" w:cs="Arial"/>
        </w:rPr>
        <w:t xml:space="preserve"> elected to close his case.  After the close of his case the respondents applied for an order of absolution from the instance which the court granted with costs on 22 August 2016.  It is against this judgment that the applicant intends</w:t>
      </w:r>
      <w:r w:rsidR="009D1D25" w:rsidRPr="002E7496">
        <w:rPr>
          <w:rFonts w:ascii="Arial" w:hAnsi="Arial" w:cs="Arial"/>
        </w:rPr>
        <w:t xml:space="preserve"> to appeal.  </w:t>
      </w:r>
      <w:r w:rsidR="00A03B00" w:rsidRPr="002E7496">
        <w:rPr>
          <w:rFonts w:ascii="Arial" w:hAnsi="Arial" w:cs="Arial"/>
        </w:rPr>
        <w:t xml:space="preserve"> </w:t>
      </w:r>
    </w:p>
    <w:p w:rsidR="003D3D1E" w:rsidRPr="00756CEA" w:rsidRDefault="003D3D1E" w:rsidP="00756CEA">
      <w:pPr>
        <w:rPr>
          <w:rFonts w:ascii="Arial" w:hAnsi="Arial" w:cs="Arial"/>
          <w:u w:val="single"/>
        </w:rPr>
      </w:pPr>
    </w:p>
    <w:p w:rsidR="00756CEA" w:rsidRDefault="00292A61" w:rsidP="00FE5529">
      <w:pPr>
        <w:spacing w:line="480" w:lineRule="auto"/>
        <w:jc w:val="both"/>
        <w:rPr>
          <w:rFonts w:ascii="Arial" w:hAnsi="Arial" w:cs="Arial"/>
          <w:u w:val="single"/>
        </w:rPr>
      </w:pPr>
      <w:r w:rsidRPr="003D3D1E">
        <w:rPr>
          <w:rFonts w:ascii="Arial" w:hAnsi="Arial" w:cs="Arial"/>
          <w:u w:val="single"/>
        </w:rPr>
        <w:t>The appeal has lapsed</w:t>
      </w:r>
    </w:p>
    <w:p w:rsidR="00D80F83" w:rsidRPr="002E7496" w:rsidRDefault="002E7496" w:rsidP="002E7496">
      <w:pPr>
        <w:spacing w:line="480" w:lineRule="auto"/>
        <w:jc w:val="both"/>
        <w:rPr>
          <w:rFonts w:ascii="Arial" w:hAnsi="Arial" w:cs="Arial"/>
        </w:rPr>
      </w:pPr>
      <w:r w:rsidRPr="00756CEA">
        <w:rPr>
          <w:rFonts w:ascii="Arial" w:hAnsi="Arial" w:cs="Arial"/>
          <w:color w:val="000000" w:themeColor="text1"/>
        </w:rPr>
        <w:t>[7]</w:t>
      </w:r>
      <w:r w:rsidRPr="00756CEA">
        <w:rPr>
          <w:rFonts w:ascii="Arial" w:hAnsi="Arial" w:cs="Arial"/>
          <w:color w:val="000000" w:themeColor="text1"/>
        </w:rPr>
        <w:tab/>
      </w:r>
      <w:r w:rsidR="00926458" w:rsidRPr="002E7496">
        <w:rPr>
          <w:rFonts w:ascii="Arial" w:hAnsi="Arial" w:cs="Arial"/>
        </w:rPr>
        <w:t>The applicant filed a notice of appeal against the judgment and order of the High Court timeously on 19 September 2016. Rule 5(5)(</w:t>
      </w:r>
      <w:r w:rsidR="00926458" w:rsidRPr="002E7496">
        <w:rPr>
          <w:rFonts w:ascii="Arial" w:hAnsi="Arial" w:cs="Arial"/>
          <w:i/>
        </w:rPr>
        <w:t>b</w:t>
      </w:r>
      <w:r w:rsidR="00926458" w:rsidRPr="002E7496">
        <w:rPr>
          <w:rFonts w:ascii="Arial" w:hAnsi="Arial" w:cs="Arial"/>
        </w:rPr>
        <w:t>) of the now repealed rules of this court</w:t>
      </w:r>
      <w:r w:rsidR="00E95044">
        <w:rPr>
          <w:rStyle w:val="FootnoteReference"/>
          <w:rFonts w:ascii="Arial" w:hAnsi="Arial" w:cs="Arial"/>
        </w:rPr>
        <w:footnoteReference w:id="1"/>
      </w:r>
      <w:r w:rsidR="00926458" w:rsidRPr="002E7496">
        <w:rPr>
          <w:rFonts w:ascii="Arial" w:hAnsi="Arial" w:cs="Arial"/>
        </w:rPr>
        <w:t xml:space="preserve"> requires of an appellant to lodge with the registrar the record of proceedings ‘within three months of the date of the judgment or order appealed against’. In terms of rule 8(2), the appellant must, ‘before lodging with the registrar copies of the record enter into good and sufficient security for the respondent’s costs of appeal’. The appellant is also required by rule 8(3)(a) to ‘when copies of the record are lodged with the registrar, inform the registrar in writing whether he or she </w:t>
      </w:r>
      <w:r w:rsidR="00D20925" w:rsidRPr="002E7496">
        <w:rPr>
          <w:rFonts w:ascii="Calibri" w:hAnsi="Calibri" w:cs="Arial"/>
        </w:rPr>
        <w:t xml:space="preserve">– </w:t>
      </w:r>
      <w:r w:rsidR="00926458" w:rsidRPr="002E7496">
        <w:rPr>
          <w:rFonts w:ascii="Arial" w:hAnsi="Arial" w:cs="Arial"/>
        </w:rPr>
        <w:t xml:space="preserve">(a) has entered into security in terms of this rule; or (b) has been released from that obligation, either by virtue of waiver by the respondent or release by the court appealed from’. In the case of the applicant, the 3 month period to comply with all these requirements expired on 21 November 2016 and the applicant failed to comply with any of the above requirements. As a result </w:t>
      </w:r>
      <w:r w:rsidR="00926458" w:rsidRPr="002E7496">
        <w:rPr>
          <w:rFonts w:ascii="Arial" w:hAnsi="Arial"/>
        </w:rPr>
        <w:t>the appeal lapsed and may only be revived upon the grant of condonation for the non-compliance with the rules and the reinstatement of the appeal.</w:t>
      </w:r>
      <w:r w:rsidR="00BB06DF">
        <w:rPr>
          <w:rStyle w:val="FootnoteReference"/>
          <w:rFonts w:ascii="Arial" w:hAnsi="Arial"/>
        </w:rPr>
        <w:footnoteReference w:id="2"/>
      </w:r>
      <w:r w:rsidR="00926458" w:rsidRPr="002E7496">
        <w:rPr>
          <w:rFonts w:ascii="Arial" w:hAnsi="Arial"/>
        </w:rPr>
        <w:t xml:space="preserve"> </w:t>
      </w:r>
    </w:p>
    <w:p w:rsidR="00F23D3E" w:rsidRPr="00F23D3E" w:rsidRDefault="00F23D3E" w:rsidP="00F23D3E">
      <w:pPr>
        <w:spacing w:line="480" w:lineRule="auto"/>
        <w:jc w:val="both"/>
        <w:rPr>
          <w:rFonts w:ascii="Arial" w:hAnsi="Arial" w:cs="Arial"/>
        </w:rPr>
      </w:pPr>
    </w:p>
    <w:p w:rsidR="00292A61" w:rsidRPr="002E7496" w:rsidRDefault="002E7496" w:rsidP="002E7496">
      <w:pPr>
        <w:spacing w:line="480" w:lineRule="auto"/>
        <w:jc w:val="both"/>
        <w:rPr>
          <w:rFonts w:ascii="Arial" w:hAnsi="Arial" w:cs="Arial"/>
        </w:rPr>
      </w:pPr>
      <w:r>
        <w:rPr>
          <w:rFonts w:ascii="Arial" w:hAnsi="Arial" w:cs="Arial"/>
          <w:color w:val="000000" w:themeColor="text1"/>
        </w:rPr>
        <w:t>[8]</w:t>
      </w:r>
      <w:r>
        <w:rPr>
          <w:rFonts w:ascii="Arial" w:hAnsi="Arial" w:cs="Arial"/>
          <w:color w:val="000000" w:themeColor="text1"/>
        </w:rPr>
        <w:tab/>
      </w:r>
      <w:r w:rsidR="00036780" w:rsidRPr="002E7496">
        <w:rPr>
          <w:rFonts w:ascii="Arial" w:hAnsi="Arial" w:cs="Arial"/>
        </w:rPr>
        <w:t xml:space="preserve">By letter dated 5 December 2016, the applicant’s legal practitioners were </w:t>
      </w:r>
      <w:r w:rsidR="00093379" w:rsidRPr="002E7496">
        <w:rPr>
          <w:rFonts w:ascii="Arial" w:hAnsi="Arial" w:cs="Arial"/>
        </w:rPr>
        <w:t xml:space="preserve">formally </w:t>
      </w:r>
      <w:r w:rsidR="008C1470" w:rsidRPr="002E7496">
        <w:rPr>
          <w:rFonts w:ascii="Arial" w:hAnsi="Arial" w:cs="Arial"/>
        </w:rPr>
        <w:t xml:space="preserve">notified </w:t>
      </w:r>
      <w:r w:rsidR="00036780" w:rsidRPr="002E7496">
        <w:rPr>
          <w:rFonts w:ascii="Arial" w:hAnsi="Arial" w:cs="Arial"/>
        </w:rPr>
        <w:t xml:space="preserve">by the Deputy Registrar of the Supreme Court that </w:t>
      </w:r>
      <w:r w:rsidR="00093379" w:rsidRPr="002E7496">
        <w:rPr>
          <w:rFonts w:ascii="Arial" w:hAnsi="Arial" w:cs="Arial"/>
        </w:rPr>
        <w:t>the appeal had lapsed.</w:t>
      </w:r>
      <w:r w:rsidR="00BB06DF" w:rsidRPr="002E7496">
        <w:rPr>
          <w:rFonts w:ascii="Arial" w:hAnsi="Arial" w:cs="Arial"/>
        </w:rPr>
        <w:t xml:space="preserve"> It is also apparent from the record that following the lapse of the appeal, the executor, </w:t>
      </w:r>
      <w:r w:rsidR="00616764" w:rsidRPr="002E7496">
        <w:rPr>
          <w:rFonts w:ascii="Arial" w:hAnsi="Arial" w:cs="Arial"/>
        </w:rPr>
        <w:t>had commenced with the finalisation of the estate</w:t>
      </w:r>
      <w:r w:rsidR="00F23D3E" w:rsidRPr="002E7496">
        <w:rPr>
          <w:rFonts w:ascii="Arial" w:hAnsi="Arial" w:cs="Arial"/>
        </w:rPr>
        <w:t>.</w:t>
      </w:r>
      <w:r w:rsidR="00616764" w:rsidRPr="002E7496">
        <w:rPr>
          <w:rFonts w:ascii="Arial" w:hAnsi="Arial" w:cs="Arial"/>
        </w:rPr>
        <w:t xml:space="preserve"> </w:t>
      </w:r>
      <w:r w:rsidR="00F23D3E" w:rsidRPr="002E7496">
        <w:rPr>
          <w:rFonts w:ascii="Arial" w:hAnsi="Arial" w:cs="Arial"/>
        </w:rPr>
        <w:t xml:space="preserve">The applicant’s legal practitioner </w:t>
      </w:r>
      <w:r w:rsidR="00616764" w:rsidRPr="002E7496">
        <w:rPr>
          <w:rFonts w:ascii="Arial" w:hAnsi="Arial" w:cs="Arial"/>
        </w:rPr>
        <w:t xml:space="preserve">says </w:t>
      </w:r>
      <w:r w:rsidR="00F23D3E" w:rsidRPr="002E7496">
        <w:rPr>
          <w:rFonts w:ascii="Arial" w:hAnsi="Arial" w:cs="Arial"/>
        </w:rPr>
        <w:t xml:space="preserve">in his affidavit in support of the application for condonation </w:t>
      </w:r>
      <w:r w:rsidR="00616764" w:rsidRPr="002E7496">
        <w:rPr>
          <w:rFonts w:ascii="Arial" w:hAnsi="Arial" w:cs="Arial"/>
        </w:rPr>
        <w:t xml:space="preserve">that </w:t>
      </w:r>
      <w:r w:rsidR="002E508F" w:rsidRPr="002E7496">
        <w:rPr>
          <w:rFonts w:ascii="Arial" w:hAnsi="Arial" w:cs="Arial"/>
        </w:rPr>
        <w:t xml:space="preserve">upon receiving </w:t>
      </w:r>
      <w:r w:rsidR="00616764" w:rsidRPr="002E7496">
        <w:rPr>
          <w:rFonts w:ascii="Arial" w:hAnsi="Arial" w:cs="Arial"/>
        </w:rPr>
        <w:t xml:space="preserve">the letter from the executor’s legal practitioners informing him of </w:t>
      </w:r>
      <w:r w:rsidR="002E508F" w:rsidRPr="002E7496">
        <w:rPr>
          <w:rFonts w:ascii="Arial" w:hAnsi="Arial" w:cs="Arial"/>
        </w:rPr>
        <w:t xml:space="preserve">the decision </w:t>
      </w:r>
      <w:r w:rsidR="00616764" w:rsidRPr="002E7496">
        <w:rPr>
          <w:rFonts w:ascii="Arial" w:hAnsi="Arial" w:cs="Arial"/>
        </w:rPr>
        <w:t>to finalise the estate</w:t>
      </w:r>
      <w:r w:rsidR="00F23D3E" w:rsidRPr="002E7496">
        <w:rPr>
          <w:rFonts w:ascii="Arial" w:hAnsi="Arial" w:cs="Arial"/>
        </w:rPr>
        <w:t>,</w:t>
      </w:r>
      <w:r w:rsidR="00616764" w:rsidRPr="002E7496">
        <w:rPr>
          <w:rFonts w:ascii="Arial" w:hAnsi="Arial" w:cs="Arial"/>
        </w:rPr>
        <w:t xml:space="preserve"> </w:t>
      </w:r>
      <w:r w:rsidR="002E508F" w:rsidRPr="002E7496">
        <w:rPr>
          <w:rFonts w:ascii="Arial" w:hAnsi="Arial" w:cs="Arial"/>
        </w:rPr>
        <w:t xml:space="preserve">he was </w:t>
      </w:r>
      <w:r w:rsidR="00616764" w:rsidRPr="002E7496">
        <w:rPr>
          <w:rFonts w:ascii="Arial" w:hAnsi="Arial" w:cs="Arial"/>
        </w:rPr>
        <w:t>‘</w:t>
      </w:r>
      <w:r w:rsidR="00041434" w:rsidRPr="002E7496">
        <w:rPr>
          <w:rFonts w:ascii="Arial" w:hAnsi="Arial" w:cs="Arial"/>
        </w:rPr>
        <w:t xml:space="preserve">immediately </w:t>
      </w:r>
      <w:r w:rsidR="00616764" w:rsidRPr="002E7496">
        <w:rPr>
          <w:rFonts w:ascii="Arial" w:hAnsi="Arial" w:cs="Arial"/>
        </w:rPr>
        <w:t>sh</w:t>
      </w:r>
      <w:r w:rsidR="002E508F" w:rsidRPr="002E7496">
        <w:rPr>
          <w:rFonts w:ascii="Arial" w:hAnsi="Arial" w:cs="Arial"/>
        </w:rPr>
        <w:t>aken into action</w:t>
      </w:r>
      <w:r w:rsidR="00041434" w:rsidRPr="002E7496">
        <w:rPr>
          <w:rFonts w:ascii="Arial" w:hAnsi="Arial" w:cs="Arial"/>
        </w:rPr>
        <w:t>, hence this application</w:t>
      </w:r>
      <w:r w:rsidR="00D20925" w:rsidRPr="002E7496">
        <w:rPr>
          <w:rFonts w:ascii="Arial" w:hAnsi="Arial" w:cs="Arial"/>
        </w:rPr>
        <w:t>’</w:t>
      </w:r>
      <w:r w:rsidR="00041434" w:rsidRPr="002E7496">
        <w:rPr>
          <w:rFonts w:ascii="Arial" w:hAnsi="Arial" w:cs="Arial"/>
        </w:rPr>
        <w:t>.</w:t>
      </w:r>
      <w:r w:rsidR="00616764" w:rsidRPr="002E7496">
        <w:rPr>
          <w:rFonts w:ascii="Arial" w:hAnsi="Arial" w:cs="Arial"/>
        </w:rPr>
        <w:t xml:space="preserve"> I turn </w:t>
      </w:r>
      <w:r w:rsidR="001F1B85" w:rsidRPr="002E7496">
        <w:rPr>
          <w:rFonts w:ascii="Arial" w:hAnsi="Arial" w:cs="Arial"/>
        </w:rPr>
        <w:t xml:space="preserve">next </w:t>
      </w:r>
      <w:r w:rsidR="00616764" w:rsidRPr="002E7496">
        <w:rPr>
          <w:rFonts w:ascii="Arial" w:hAnsi="Arial" w:cs="Arial"/>
        </w:rPr>
        <w:t>to co</w:t>
      </w:r>
      <w:r w:rsidR="001F1B85" w:rsidRPr="002E7496">
        <w:rPr>
          <w:rFonts w:ascii="Arial" w:hAnsi="Arial" w:cs="Arial"/>
        </w:rPr>
        <w:t>n</w:t>
      </w:r>
      <w:r w:rsidR="00616764" w:rsidRPr="002E7496">
        <w:rPr>
          <w:rFonts w:ascii="Arial" w:hAnsi="Arial" w:cs="Arial"/>
        </w:rPr>
        <w:t>s</w:t>
      </w:r>
      <w:r w:rsidR="001F1B85" w:rsidRPr="002E7496">
        <w:rPr>
          <w:rFonts w:ascii="Arial" w:hAnsi="Arial" w:cs="Arial"/>
        </w:rPr>
        <w:t>i</w:t>
      </w:r>
      <w:r w:rsidR="00616764" w:rsidRPr="002E7496">
        <w:rPr>
          <w:rFonts w:ascii="Arial" w:hAnsi="Arial" w:cs="Arial"/>
        </w:rPr>
        <w:t xml:space="preserve">der </w:t>
      </w:r>
      <w:r w:rsidR="00F23D3E" w:rsidRPr="002E7496">
        <w:rPr>
          <w:rFonts w:ascii="Arial" w:hAnsi="Arial" w:cs="Arial"/>
        </w:rPr>
        <w:t xml:space="preserve">and decide </w:t>
      </w:r>
      <w:r w:rsidR="001F1B85" w:rsidRPr="002E7496">
        <w:rPr>
          <w:rFonts w:ascii="Arial" w:hAnsi="Arial" w:cs="Arial"/>
        </w:rPr>
        <w:t>the application for condonation</w:t>
      </w:r>
      <w:r w:rsidR="007F0CBB" w:rsidRPr="002E7496">
        <w:rPr>
          <w:rFonts w:ascii="Arial" w:hAnsi="Arial" w:cs="Arial"/>
        </w:rPr>
        <w:t xml:space="preserve"> and reinstatement</w:t>
      </w:r>
      <w:r w:rsidR="001F1B85" w:rsidRPr="002E7496">
        <w:rPr>
          <w:rFonts w:ascii="Arial" w:hAnsi="Arial" w:cs="Arial"/>
        </w:rPr>
        <w:t>.</w:t>
      </w:r>
    </w:p>
    <w:p w:rsidR="001F1B85" w:rsidRDefault="001F1B85" w:rsidP="001F1B85">
      <w:pPr>
        <w:pStyle w:val="ListParagraph"/>
        <w:spacing w:line="480" w:lineRule="auto"/>
        <w:ind w:left="0"/>
        <w:contextualSpacing w:val="0"/>
        <w:jc w:val="both"/>
        <w:rPr>
          <w:rFonts w:ascii="Arial" w:hAnsi="Arial" w:cs="Arial"/>
        </w:rPr>
      </w:pPr>
    </w:p>
    <w:p w:rsidR="001F1B85" w:rsidRDefault="001F1B85" w:rsidP="00A14F2C">
      <w:pPr>
        <w:pStyle w:val="ListParagraph"/>
        <w:spacing w:line="480" w:lineRule="auto"/>
        <w:ind w:left="0"/>
        <w:contextualSpacing w:val="0"/>
        <w:jc w:val="both"/>
        <w:rPr>
          <w:rFonts w:ascii="Arial" w:hAnsi="Arial" w:cs="Arial"/>
          <w:u w:val="single"/>
        </w:rPr>
      </w:pPr>
      <w:r w:rsidRPr="001F1B85">
        <w:rPr>
          <w:rFonts w:ascii="Arial" w:hAnsi="Arial" w:cs="Arial"/>
          <w:u w:val="single"/>
        </w:rPr>
        <w:t xml:space="preserve">Application for condonation and reinstatement </w:t>
      </w:r>
    </w:p>
    <w:p w:rsidR="00D20925" w:rsidRPr="002E7496" w:rsidRDefault="002E7496" w:rsidP="002E7496">
      <w:pPr>
        <w:spacing w:line="480" w:lineRule="auto"/>
        <w:jc w:val="both"/>
        <w:rPr>
          <w:rFonts w:ascii="Arial" w:hAnsi="Arial" w:cs="Arial"/>
        </w:rPr>
      </w:pPr>
      <w:r>
        <w:rPr>
          <w:rFonts w:ascii="Arial" w:hAnsi="Arial" w:cs="Arial"/>
          <w:color w:val="000000" w:themeColor="text1"/>
        </w:rPr>
        <w:t>[9]</w:t>
      </w:r>
      <w:r>
        <w:rPr>
          <w:rFonts w:ascii="Arial" w:hAnsi="Arial" w:cs="Arial"/>
          <w:color w:val="000000" w:themeColor="text1"/>
        </w:rPr>
        <w:tab/>
      </w:r>
      <w:r w:rsidR="00EC6863" w:rsidRPr="002E7496">
        <w:rPr>
          <w:rFonts w:ascii="Arial" w:hAnsi="Arial" w:cs="Arial"/>
        </w:rPr>
        <w:t xml:space="preserve">The applicant filed an application for condonation and reinstatement of the </w:t>
      </w:r>
      <w:r w:rsidR="00D20925" w:rsidRPr="002E7496">
        <w:rPr>
          <w:rFonts w:ascii="Arial" w:hAnsi="Arial" w:cs="Arial"/>
        </w:rPr>
        <w:t>a</w:t>
      </w:r>
      <w:r w:rsidR="00EC6863" w:rsidRPr="002E7496">
        <w:rPr>
          <w:rFonts w:ascii="Arial" w:hAnsi="Arial" w:cs="Arial"/>
        </w:rPr>
        <w:t>ppeal on 7 February 2017</w:t>
      </w:r>
      <w:r w:rsidR="00756CEA" w:rsidRPr="002E7496">
        <w:rPr>
          <w:rFonts w:ascii="Arial" w:hAnsi="Arial" w:cs="Arial"/>
        </w:rPr>
        <w:t xml:space="preserve">. </w:t>
      </w:r>
      <w:r w:rsidR="003850CE" w:rsidRPr="002E7496">
        <w:rPr>
          <w:rFonts w:ascii="Arial" w:hAnsi="Arial" w:cs="Arial"/>
        </w:rPr>
        <w:t xml:space="preserve">The application for condonation is opposed by the executor only and no other respondent took part in the proceedings in this court.  </w:t>
      </w:r>
    </w:p>
    <w:p w:rsidR="00A32ACF" w:rsidRDefault="00A32ACF" w:rsidP="00A32ACF">
      <w:pPr>
        <w:spacing w:line="480" w:lineRule="auto"/>
        <w:jc w:val="both"/>
        <w:rPr>
          <w:rFonts w:ascii="Arial" w:hAnsi="Arial" w:cs="Arial"/>
        </w:rPr>
      </w:pPr>
    </w:p>
    <w:p w:rsidR="00A32ACF" w:rsidRDefault="00A32ACF" w:rsidP="00A32ACF">
      <w:pPr>
        <w:spacing w:line="480" w:lineRule="auto"/>
        <w:jc w:val="both"/>
        <w:rPr>
          <w:rFonts w:ascii="Arial" w:hAnsi="Arial" w:cs="Arial"/>
          <w:i/>
        </w:rPr>
      </w:pPr>
      <w:r w:rsidRPr="00A32ACF">
        <w:rPr>
          <w:rFonts w:ascii="Arial" w:hAnsi="Arial" w:cs="Arial"/>
          <w:i/>
        </w:rPr>
        <w:t xml:space="preserve">Explanation for non-compliance </w:t>
      </w:r>
    </w:p>
    <w:p w:rsidR="00D80F83" w:rsidRPr="002E7496" w:rsidRDefault="002E7496" w:rsidP="002E7496">
      <w:pPr>
        <w:spacing w:line="480" w:lineRule="auto"/>
        <w:jc w:val="both"/>
        <w:rPr>
          <w:rFonts w:ascii="Arial" w:hAnsi="Arial" w:cs="Arial"/>
        </w:rPr>
      </w:pPr>
      <w:r w:rsidRPr="00BF3455">
        <w:rPr>
          <w:rFonts w:ascii="Arial" w:hAnsi="Arial" w:cs="Arial"/>
          <w:color w:val="000000" w:themeColor="text1"/>
        </w:rPr>
        <w:t>[10]</w:t>
      </w:r>
      <w:r w:rsidRPr="00BF3455">
        <w:rPr>
          <w:rFonts w:ascii="Arial" w:hAnsi="Arial" w:cs="Arial"/>
          <w:color w:val="000000" w:themeColor="text1"/>
        </w:rPr>
        <w:tab/>
      </w:r>
      <w:r w:rsidR="00A34F69" w:rsidRPr="002E7496">
        <w:rPr>
          <w:rFonts w:ascii="Arial" w:hAnsi="Arial" w:cs="Arial"/>
        </w:rPr>
        <w:t>T</w:t>
      </w:r>
      <w:r w:rsidR="00926458" w:rsidRPr="002E7496">
        <w:rPr>
          <w:rFonts w:ascii="Arial" w:hAnsi="Arial" w:cs="Arial"/>
        </w:rPr>
        <w:t>he affidavit seeking to explain different lapses in observing the Rules of Court was deposed to by the applicant’s legal practitioner instructed to prosecute the appeal, but who was not involved in the trial, Mr Kamuhanga. The executor deposed to an answering affidavit on his own behalf. Curiously, no replying affidavit was filed on behalf of the applicant meaning that the allegations made by the executor in his answering affidavit remain uncontested.</w:t>
      </w:r>
    </w:p>
    <w:p w:rsidR="007D2E98" w:rsidRPr="007D2E98" w:rsidRDefault="007D2E98" w:rsidP="007D2E98">
      <w:pPr>
        <w:spacing w:line="480" w:lineRule="auto"/>
        <w:jc w:val="both"/>
        <w:rPr>
          <w:rFonts w:ascii="Arial" w:hAnsi="Arial" w:cs="Arial"/>
        </w:rPr>
      </w:pPr>
    </w:p>
    <w:p w:rsidR="00D80F83" w:rsidRPr="002E7496" w:rsidRDefault="002E7496" w:rsidP="002E7496">
      <w:pPr>
        <w:spacing w:line="480" w:lineRule="auto"/>
        <w:jc w:val="both"/>
        <w:rPr>
          <w:rFonts w:ascii="Arial" w:hAnsi="Arial" w:cs="Arial"/>
        </w:rPr>
      </w:pPr>
      <w:r w:rsidRPr="00BF3455">
        <w:rPr>
          <w:rFonts w:ascii="Arial" w:hAnsi="Arial" w:cs="Arial"/>
          <w:color w:val="000000" w:themeColor="text1"/>
        </w:rPr>
        <w:t>[11]</w:t>
      </w:r>
      <w:r w:rsidRPr="00BF3455">
        <w:rPr>
          <w:rFonts w:ascii="Arial" w:hAnsi="Arial" w:cs="Arial"/>
          <w:color w:val="000000" w:themeColor="text1"/>
        </w:rPr>
        <w:tab/>
      </w:r>
      <w:r w:rsidR="00926458" w:rsidRPr="002E7496">
        <w:rPr>
          <w:rFonts w:ascii="Arial" w:hAnsi="Arial" w:cs="Arial"/>
        </w:rPr>
        <w:t xml:space="preserve">Mr Kamuhanga’s explanation for the non-compliance with the Rules of Court may be summarised as follows:  On 26 September 2016, he attended to the offices of the company responsible for transcribing court proceedings to prepare the court record. On 15 November 2016, he received the tax invoice from the company. On 5 December 2016, Mr Kamuhanga received a letter from the Deputy Registrar informing him that the appeal had lapsed. Upon perusal of the letter, in his own words: </w:t>
      </w:r>
    </w:p>
    <w:p w:rsidR="00307DB2" w:rsidRPr="00307DB2" w:rsidRDefault="00307DB2" w:rsidP="00307DB2">
      <w:pPr>
        <w:pStyle w:val="ListParagraph"/>
        <w:rPr>
          <w:rFonts w:ascii="Arial" w:hAnsi="Arial" w:cs="Arial"/>
        </w:rPr>
      </w:pPr>
    </w:p>
    <w:p w:rsidR="00E162D7" w:rsidRPr="00A54C71" w:rsidRDefault="007D2E98" w:rsidP="00A54C71">
      <w:pPr>
        <w:spacing w:line="360" w:lineRule="auto"/>
        <w:ind w:left="720"/>
        <w:jc w:val="both"/>
        <w:rPr>
          <w:rFonts w:ascii="Arial" w:hAnsi="Arial" w:cs="Arial"/>
          <w:sz w:val="22"/>
          <w:szCs w:val="22"/>
        </w:rPr>
      </w:pPr>
      <w:r w:rsidRPr="00A54C71">
        <w:rPr>
          <w:rFonts w:ascii="Arial" w:hAnsi="Arial" w:cs="Arial"/>
          <w:sz w:val="22"/>
          <w:szCs w:val="22"/>
        </w:rPr>
        <w:t>‘</w:t>
      </w:r>
      <w:r w:rsidR="00E162D7" w:rsidRPr="00A54C71">
        <w:rPr>
          <w:rFonts w:ascii="Arial" w:hAnsi="Arial" w:cs="Arial"/>
          <w:sz w:val="22"/>
          <w:szCs w:val="22"/>
        </w:rPr>
        <w:t xml:space="preserve">I immediately realised that I misread the applicable rule pertaining </w:t>
      </w:r>
      <w:r w:rsidRPr="00A54C71">
        <w:rPr>
          <w:rFonts w:ascii="Arial" w:hAnsi="Arial" w:cs="Arial"/>
          <w:sz w:val="22"/>
          <w:szCs w:val="22"/>
        </w:rPr>
        <w:t>to time periods in which the c</w:t>
      </w:r>
      <w:r w:rsidR="00E162D7" w:rsidRPr="00A54C71">
        <w:rPr>
          <w:rFonts w:ascii="Arial" w:hAnsi="Arial" w:cs="Arial"/>
          <w:sz w:val="22"/>
          <w:szCs w:val="22"/>
        </w:rPr>
        <w:t xml:space="preserve">ourt </w:t>
      </w:r>
      <w:r w:rsidRPr="00A54C71">
        <w:rPr>
          <w:rFonts w:ascii="Arial" w:hAnsi="Arial" w:cs="Arial"/>
          <w:sz w:val="22"/>
          <w:szCs w:val="22"/>
        </w:rPr>
        <w:t>r</w:t>
      </w:r>
      <w:r w:rsidR="00E162D7" w:rsidRPr="00A54C71">
        <w:rPr>
          <w:rFonts w:ascii="Arial" w:hAnsi="Arial" w:cs="Arial"/>
          <w:sz w:val="22"/>
          <w:szCs w:val="22"/>
        </w:rPr>
        <w:t xml:space="preserve">ecord and security were to be filed and thought the 3 months period started running as from the </w:t>
      </w:r>
      <w:r w:rsidRPr="00A54C71">
        <w:rPr>
          <w:rFonts w:ascii="Arial" w:hAnsi="Arial" w:cs="Arial"/>
          <w:sz w:val="22"/>
          <w:szCs w:val="22"/>
        </w:rPr>
        <w:t>n</w:t>
      </w:r>
      <w:r w:rsidR="00E162D7" w:rsidRPr="00A54C71">
        <w:rPr>
          <w:rFonts w:ascii="Arial" w:hAnsi="Arial" w:cs="Arial"/>
          <w:sz w:val="22"/>
          <w:szCs w:val="22"/>
        </w:rPr>
        <w:t xml:space="preserve">oting of the </w:t>
      </w:r>
      <w:r w:rsidRPr="00A54C71">
        <w:rPr>
          <w:rFonts w:ascii="Arial" w:hAnsi="Arial" w:cs="Arial"/>
          <w:sz w:val="22"/>
          <w:szCs w:val="22"/>
        </w:rPr>
        <w:t>a</w:t>
      </w:r>
      <w:r w:rsidR="00E162D7" w:rsidRPr="00A54C71">
        <w:rPr>
          <w:rFonts w:ascii="Arial" w:hAnsi="Arial" w:cs="Arial"/>
          <w:sz w:val="22"/>
          <w:szCs w:val="22"/>
        </w:rPr>
        <w:t>ppeal and not from the date of judgment appealed from.</w:t>
      </w:r>
      <w:r w:rsidRPr="00A54C71">
        <w:rPr>
          <w:rFonts w:ascii="Arial" w:hAnsi="Arial" w:cs="Arial"/>
          <w:sz w:val="22"/>
          <w:szCs w:val="22"/>
        </w:rPr>
        <w:t>’</w:t>
      </w:r>
      <w:r w:rsidR="00E162D7" w:rsidRPr="00A54C71">
        <w:rPr>
          <w:rFonts w:ascii="Arial" w:hAnsi="Arial" w:cs="Arial"/>
          <w:sz w:val="22"/>
          <w:szCs w:val="22"/>
        </w:rPr>
        <w:t xml:space="preserve"> </w:t>
      </w:r>
    </w:p>
    <w:p w:rsidR="00E162D7" w:rsidRPr="00A54C71" w:rsidRDefault="00E162D7" w:rsidP="00756CEA">
      <w:pPr>
        <w:spacing w:line="480" w:lineRule="auto"/>
        <w:jc w:val="both"/>
        <w:rPr>
          <w:rFonts w:ascii="Arial" w:hAnsi="Arial" w:cs="Arial"/>
          <w:sz w:val="22"/>
          <w:szCs w:val="22"/>
        </w:rPr>
      </w:pPr>
    </w:p>
    <w:p w:rsidR="00D80F83" w:rsidRPr="002E7496" w:rsidRDefault="002E7496" w:rsidP="002E7496">
      <w:pPr>
        <w:spacing w:line="480" w:lineRule="auto"/>
        <w:jc w:val="both"/>
        <w:rPr>
          <w:rFonts w:ascii="Arial" w:hAnsi="Arial" w:cs="Arial"/>
        </w:rPr>
      </w:pPr>
      <w:r w:rsidRPr="00BF3455">
        <w:rPr>
          <w:rFonts w:ascii="Arial" w:hAnsi="Arial" w:cs="Arial"/>
          <w:color w:val="000000" w:themeColor="text1"/>
        </w:rPr>
        <w:t>[12]</w:t>
      </w:r>
      <w:r w:rsidRPr="00BF3455">
        <w:rPr>
          <w:rFonts w:ascii="Arial" w:hAnsi="Arial" w:cs="Arial"/>
          <w:color w:val="000000" w:themeColor="text1"/>
        </w:rPr>
        <w:tab/>
      </w:r>
      <w:r w:rsidR="00926458" w:rsidRPr="002E7496">
        <w:rPr>
          <w:rFonts w:ascii="Arial" w:hAnsi="Arial" w:cs="Arial"/>
        </w:rPr>
        <w:t xml:space="preserve">On 15 and 16 December 2016 copies of the court record were provided to legal practitioners of the respondents. On 25 January 2017, Mr Kamuhanga directed a letter to the executor’s legal practitioners tendering an amount of N$50 000 as security for his costs, stating that the offer was ‘under petition’ (the meaning of which has not been given despite an opportunity at the hearing to clarify the expression that does not appear to be a term of art in this jurisdiction). On 26 January 2016, he received a letter from the executor’s legal representatives in which he was informed that </w:t>
      </w:r>
      <w:r w:rsidR="00A66576" w:rsidRPr="002E7496">
        <w:rPr>
          <w:rFonts w:ascii="Arial" w:hAnsi="Arial" w:cs="Arial"/>
        </w:rPr>
        <w:t xml:space="preserve">as the appeal had lapsed </w:t>
      </w:r>
      <w:r w:rsidR="00926458" w:rsidRPr="002E7496">
        <w:rPr>
          <w:rFonts w:ascii="Arial" w:hAnsi="Arial" w:cs="Arial"/>
        </w:rPr>
        <w:t xml:space="preserve">the executor had commenced with the finalisation of the estate and would proceed to sell the farm on auction. His reaction to this letter was captured in the following passage from his affidavit: </w:t>
      </w:r>
    </w:p>
    <w:p w:rsidR="00456893" w:rsidRDefault="00456893" w:rsidP="00456893">
      <w:pPr>
        <w:spacing w:line="276" w:lineRule="auto"/>
        <w:ind w:left="720"/>
        <w:jc w:val="both"/>
        <w:rPr>
          <w:rFonts w:ascii="Arial" w:hAnsi="Arial" w:cs="Arial"/>
        </w:rPr>
      </w:pPr>
    </w:p>
    <w:p w:rsidR="00FA0C2A" w:rsidRPr="00A54C71" w:rsidRDefault="00CB32E7" w:rsidP="00A54C71">
      <w:pPr>
        <w:spacing w:line="360" w:lineRule="auto"/>
        <w:ind w:left="720"/>
        <w:jc w:val="both"/>
        <w:rPr>
          <w:rFonts w:ascii="Arial" w:hAnsi="Arial" w:cs="Arial"/>
          <w:sz w:val="22"/>
          <w:szCs w:val="22"/>
        </w:rPr>
      </w:pPr>
      <w:r w:rsidRPr="00A54C71">
        <w:rPr>
          <w:rFonts w:ascii="Arial" w:hAnsi="Arial" w:cs="Arial"/>
          <w:sz w:val="22"/>
          <w:szCs w:val="22"/>
        </w:rPr>
        <w:t>‘</w:t>
      </w:r>
      <w:r w:rsidR="00FA0C2A" w:rsidRPr="00A54C71">
        <w:rPr>
          <w:rFonts w:ascii="Arial" w:hAnsi="Arial" w:cs="Arial"/>
          <w:sz w:val="22"/>
          <w:szCs w:val="22"/>
        </w:rPr>
        <w:t xml:space="preserve">I </w:t>
      </w:r>
      <w:r w:rsidRPr="00A54C71">
        <w:rPr>
          <w:rFonts w:ascii="Arial" w:hAnsi="Arial" w:cs="Arial"/>
          <w:sz w:val="22"/>
          <w:szCs w:val="22"/>
        </w:rPr>
        <w:t xml:space="preserve">immediately was shaken into action – hence this application - </w:t>
      </w:r>
      <w:r w:rsidR="00FA0C2A" w:rsidRPr="00A54C71">
        <w:rPr>
          <w:rFonts w:ascii="Arial" w:hAnsi="Arial" w:cs="Arial"/>
          <w:sz w:val="22"/>
          <w:szCs w:val="22"/>
        </w:rPr>
        <w:t>and regret an</w:t>
      </w:r>
      <w:r w:rsidRPr="00A54C71">
        <w:rPr>
          <w:rFonts w:ascii="Arial" w:hAnsi="Arial" w:cs="Arial"/>
          <w:sz w:val="22"/>
          <w:szCs w:val="22"/>
        </w:rPr>
        <w:t>y</w:t>
      </w:r>
      <w:r w:rsidR="00FA0C2A" w:rsidRPr="00A54C71">
        <w:rPr>
          <w:rFonts w:ascii="Arial" w:hAnsi="Arial" w:cs="Arial"/>
          <w:sz w:val="22"/>
          <w:szCs w:val="22"/>
        </w:rPr>
        <w:t xml:space="preserve"> </w:t>
      </w:r>
      <w:r w:rsidRPr="00A54C71">
        <w:rPr>
          <w:rFonts w:ascii="Arial" w:hAnsi="Arial" w:cs="Arial"/>
          <w:sz w:val="22"/>
          <w:szCs w:val="22"/>
        </w:rPr>
        <w:t>i</w:t>
      </w:r>
      <w:r w:rsidR="00FA0C2A" w:rsidRPr="00A54C71">
        <w:rPr>
          <w:rFonts w:ascii="Arial" w:hAnsi="Arial" w:cs="Arial"/>
          <w:sz w:val="22"/>
          <w:szCs w:val="22"/>
        </w:rPr>
        <w:t>nconvenienc</w:t>
      </w:r>
      <w:r w:rsidRPr="00A54C71">
        <w:rPr>
          <w:rFonts w:ascii="Arial" w:hAnsi="Arial" w:cs="Arial"/>
          <w:sz w:val="22"/>
          <w:szCs w:val="22"/>
        </w:rPr>
        <w:t xml:space="preserve">e </w:t>
      </w:r>
      <w:r w:rsidR="00FA0C2A" w:rsidRPr="00A54C71">
        <w:rPr>
          <w:rFonts w:ascii="Arial" w:hAnsi="Arial" w:cs="Arial"/>
          <w:sz w:val="22"/>
          <w:szCs w:val="22"/>
        </w:rPr>
        <w:t>which the resulting dela</w:t>
      </w:r>
      <w:r w:rsidRPr="00A54C71">
        <w:rPr>
          <w:rFonts w:ascii="Arial" w:hAnsi="Arial" w:cs="Arial"/>
          <w:sz w:val="22"/>
          <w:szCs w:val="22"/>
        </w:rPr>
        <w:t xml:space="preserve">y </w:t>
      </w:r>
      <w:r w:rsidR="00FA0C2A" w:rsidRPr="00A54C71">
        <w:rPr>
          <w:rFonts w:ascii="Arial" w:hAnsi="Arial" w:cs="Arial"/>
          <w:sz w:val="22"/>
          <w:szCs w:val="22"/>
        </w:rPr>
        <w:t>ma</w:t>
      </w:r>
      <w:r w:rsidRPr="00A54C71">
        <w:rPr>
          <w:rFonts w:ascii="Arial" w:hAnsi="Arial" w:cs="Arial"/>
          <w:sz w:val="22"/>
          <w:szCs w:val="22"/>
        </w:rPr>
        <w:t>y</w:t>
      </w:r>
      <w:r w:rsidR="00FA0C2A" w:rsidRPr="00A54C71">
        <w:rPr>
          <w:rFonts w:ascii="Arial" w:hAnsi="Arial" w:cs="Arial"/>
          <w:sz w:val="22"/>
          <w:szCs w:val="22"/>
        </w:rPr>
        <w:t xml:space="preserve"> have occasioned, and humbly crave that my conduct in this regard be condoned by this Honourab</w:t>
      </w:r>
      <w:r w:rsidRPr="00A54C71">
        <w:rPr>
          <w:rFonts w:ascii="Arial" w:hAnsi="Arial" w:cs="Arial"/>
          <w:sz w:val="22"/>
          <w:szCs w:val="22"/>
        </w:rPr>
        <w:t>le</w:t>
      </w:r>
      <w:r w:rsidR="00FA0C2A" w:rsidRPr="00A54C71">
        <w:rPr>
          <w:rFonts w:ascii="Arial" w:hAnsi="Arial" w:cs="Arial"/>
          <w:sz w:val="22"/>
          <w:szCs w:val="22"/>
        </w:rPr>
        <w:t xml:space="preserve"> Court as the bulk </w:t>
      </w:r>
      <w:r w:rsidRPr="00A54C71">
        <w:rPr>
          <w:rFonts w:ascii="Arial" w:hAnsi="Arial" w:cs="Arial"/>
          <w:sz w:val="22"/>
          <w:szCs w:val="22"/>
        </w:rPr>
        <w:t>o</w:t>
      </w:r>
      <w:r w:rsidR="00FA0C2A" w:rsidRPr="00A54C71">
        <w:rPr>
          <w:rFonts w:ascii="Arial" w:hAnsi="Arial" w:cs="Arial"/>
          <w:sz w:val="22"/>
          <w:szCs w:val="22"/>
        </w:rPr>
        <w:t>f the time was spent on co</w:t>
      </w:r>
      <w:r w:rsidRPr="00A54C71">
        <w:rPr>
          <w:rFonts w:ascii="Arial" w:hAnsi="Arial" w:cs="Arial"/>
          <w:sz w:val="22"/>
          <w:szCs w:val="22"/>
        </w:rPr>
        <w:t>mbi</w:t>
      </w:r>
      <w:r w:rsidR="00FA0C2A" w:rsidRPr="00A54C71">
        <w:rPr>
          <w:rFonts w:ascii="Arial" w:hAnsi="Arial" w:cs="Arial"/>
          <w:sz w:val="22"/>
          <w:szCs w:val="22"/>
        </w:rPr>
        <w:t xml:space="preserve">ng through the court record making sure that same was a complete and reflection of the proceedings in the </w:t>
      </w:r>
      <w:r w:rsidRPr="00A54C71">
        <w:rPr>
          <w:rFonts w:ascii="Arial" w:hAnsi="Arial" w:cs="Arial"/>
          <w:sz w:val="22"/>
          <w:szCs w:val="22"/>
        </w:rPr>
        <w:t>c</w:t>
      </w:r>
      <w:r w:rsidR="00FA0C2A" w:rsidRPr="00A54C71">
        <w:rPr>
          <w:rFonts w:ascii="Arial" w:hAnsi="Arial" w:cs="Arial"/>
          <w:sz w:val="22"/>
          <w:szCs w:val="22"/>
        </w:rPr>
        <w:t xml:space="preserve">ourt </w:t>
      </w:r>
      <w:r w:rsidR="00FA0C2A" w:rsidRPr="00810CAB">
        <w:rPr>
          <w:rFonts w:ascii="Arial" w:hAnsi="Arial" w:cs="Arial"/>
          <w:i/>
          <w:sz w:val="22"/>
          <w:szCs w:val="22"/>
        </w:rPr>
        <w:t>a quo</w:t>
      </w:r>
      <w:r w:rsidR="00FA0C2A" w:rsidRPr="00A54C71">
        <w:rPr>
          <w:rFonts w:ascii="Arial" w:hAnsi="Arial" w:cs="Arial"/>
          <w:sz w:val="22"/>
          <w:szCs w:val="22"/>
        </w:rPr>
        <w:t>.</w:t>
      </w:r>
      <w:r w:rsidRPr="00A54C71">
        <w:rPr>
          <w:rFonts w:ascii="Arial" w:hAnsi="Arial" w:cs="Arial"/>
          <w:sz w:val="22"/>
          <w:szCs w:val="22"/>
        </w:rPr>
        <w:t>’</w:t>
      </w:r>
    </w:p>
    <w:p w:rsidR="00456893" w:rsidRPr="00A54C71" w:rsidRDefault="00456893" w:rsidP="00756CEA">
      <w:pPr>
        <w:spacing w:line="480" w:lineRule="auto"/>
        <w:jc w:val="both"/>
        <w:rPr>
          <w:rFonts w:ascii="Arial" w:hAnsi="Arial" w:cs="Arial"/>
          <w:sz w:val="22"/>
          <w:szCs w:val="22"/>
        </w:rPr>
      </w:pPr>
    </w:p>
    <w:p w:rsidR="00D80F83" w:rsidRPr="002E7496" w:rsidRDefault="002E7496" w:rsidP="002E7496">
      <w:pPr>
        <w:spacing w:line="480" w:lineRule="auto"/>
        <w:jc w:val="both"/>
        <w:rPr>
          <w:rFonts w:ascii="Arial" w:hAnsi="Arial" w:cs="Arial"/>
        </w:rPr>
      </w:pPr>
      <w:r w:rsidRPr="00BF3455">
        <w:rPr>
          <w:rFonts w:ascii="Arial" w:hAnsi="Arial" w:cs="Arial"/>
          <w:color w:val="000000" w:themeColor="text1"/>
        </w:rPr>
        <w:t>[13]</w:t>
      </w:r>
      <w:r w:rsidRPr="00BF3455">
        <w:rPr>
          <w:rFonts w:ascii="Arial" w:hAnsi="Arial" w:cs="Arial"/>
          <w:color w:val="000000" w:themeColor="text1"/>
        </w:rPr>
        <w:tab/>
      </w:r>
      <w:r w:rsidR="00926458" w:rsidRPr="002E7496">
        <w:rPr>
          <w:rFonts w:ascii="Arial" w:hAnsi="Arial" w:cs="Arial"/>
        </w:rPr>
        <w:t xml:space="preserve">On 30 May 2017, Mr Kamuhanga filed a certificate of urgency dated 29 March 2017, seeking an earlier hearing date. In the founding affidavit, he states that he ‘formed the view that the condonation and reinstatement application will be heard without appellant having to comply with the requirements of having to furnish security and filing the court record’. </w:t>
      </w:r>
    </w:p>
    <w:p w:rsidR="003C0664" w:rsidRDefault="003C0664" w:rsidP="003C0664">
      <w:pPr>
        <w:spacing w:line="480" w:lineRule="auto"/>
        <w:jc w:val="both"/>
        <w:rPr>
          <w:rFonts w:ascii="Arial" w:hAnsi="Arial" w:cs="Arial"/>
          <w:u w:val="single"/>
        </w:rPr>
      </w:pPr>
    </w:p>
    <w:p w:rsidR="003C0664" w:rsidRPr="003C0664" w:rsidRDefault="003C0664" w:rsidP="00C866D4">
      <w:pPr>
        <w:spacing w:line="480" w:lineRule="auto"/>
        <w:jc w:val="both"/>
        <w:rPr>
          <w:rFonts w:ascii="Arial" w:hAnsi="Arial" w:cs="Arial"/>
          <w:i/>
        </w:rPr>
      </w:pPr>
      <w:r w:rsidRPr="003C0664">
        <w:rPr>
          <w:rFonts w:ascii="Arial" w:hAnsi="Arial" w:cs="Arial"/>
          <w:i/>
        </w:rPr>
        <w:t>Executor’s answering affidavit</w:t>
      </w:r>
    </w:p>
    <w:p w:rsidR="00D80F83" w:rsidRPr="002E7496" w:rsidRDefault="002E7496" w:rsidP="002E7496">
      <w:pPr>
        <w:spacing w:line="480" w:lineRule="auto"/>
        <w:jc w:val="both"/>
        <w:rPr>
          <w:rFonts w:ascii="Arial" w:hAnsi="Arial" w:cs="Arial"/>
        </w:rPr>
      </w:pPr>
      <w:r w:rsidRPr="00BF3455">
        <w:rPr>
          <w:rFonts w:ascii="Arial" w:hAnsi="Arial" w:cs="Arial"/>
          <w:color w:val="000000" w:themeColor="text1"/>
        </w:rPr>
        <w:t>[14]</w:t>
      </w:r>
      <w:r w:rsidRPr="00BF3455">
        <w:rPr>
          <w:rFonts w:ascii="Arial" w:hAnsi="Arial" w:cs="Arial"/>
          <w:color w:val="000000" w:themeColor="text1"/>
        </w:rPr>
        <w:tab/>
      </w:r>
      <w:r w:rsidR="00926458" w:rsidRPr="002E7496">
        <w:rPr>
          <w:rFonts w:ascii="Arial" w:hAnsi="Arial" w:cs="Arial"/>
        </w:rPr>
        <w:t xml:space="preserve">The executor countered the assertion that Mr Kamuhanga attended to the offices of the company transcribing records, by pointing out that the record of proceedings had already been prepared by order of the trial court, that as representatives of the parties were in possession of the running record, no transcription services were necessary and all the company had to do was to bind the record if so requested. Regarding the explanation that Mr Kamuhanga had misread the rules pertaining to the time periods within which to file the record and provide security, the executor asserts that the explanation is not reasonable as the rules were clear and unambiguous. He further points out that Mr Kamuhanga had written a letter to the executor’s legal practitioners asking, amongst other things, whether the executor would consent to the late filing of the appeal record. The executor </w:t>
      </w:r>
      <w:r w:rsidR="00C53C39" w:rsidRPr="002E7496">
        <w:rPr>
          <w:rFonts w:ascii="Arial" w:hAnsi="Arial" w:cs="Arial"/>
        </w:rPr>
        <w:t>submits</w:t>
      </w:r>
      <w:r w:rsidR="00926458" w:rsidRPr="002E7496">
        <w:rPr>
          <w:rFonts w:ascii="Arial" w:hAnsi="Arial" w:cs="Arial"/>
        </w:rPr>
        <w:t xml:space="preserve"> that the asking for an agreement in circumstances where the rules do not make provision for an agreement</w:t>
      </w:r>
      <w:r w:rsidR="00AD42EE">
        <w:rPr>
          <w:rStyle w:val="FootnoteReference"/>
          <w:rFonts w:ascii="Arial" w:hAnsi="Arial" w:cs="Arial"/>
        </w:rPr>
        <w:footnoteReference w:id="3"/>
      </w:r>
      <w:r w:rsidR="00926458" w:rsidRPr="002E7496">
        <w:rPr>
          <w:rFonts w:ascii="Arial" w:hAnsi="Arial" w:cs="Arial"/>
        </w:rPr>
        <w:t xml:space="preserve">, points to a conclusion that far from having misread the rules, Mr Kamuhanga did not appear to have read the rules at all. The executor contends as the non-compliance with the Rules of Court is time related, Mr Kamuhanga has not explained the entire period. </w:t>
      </w:r>
    </w:p>
    <w:p w:rsidR="00FA4C2D" w:rsidRDefault="00FA4C2D" w:rsidP="00FA4C2D">
      <w:pPr>
        <w:spacing w:line="480" w:lineRule="auto"/>
        <w:jc w:val="both"/>
        <w:rPr>
          <w:rFonts w:ascii="Arial" w:hAnsi="Arial" w:cs="Arial"/>
          <w:u w:val="single"/>
        </w:rPr>
      </w:pPr>
    </w:p>
    <w:p w:rsidR="00102DDE" w:rsidRPr="00FA4C2D" w:rsidRDefault="00FA4C2D" w:rsidP="00FA4C2D">
      <w:pPr>
        <w:spacing w:line="480" w:lineRule="auto"/>
        <w:jc w:val="both"/>
        <w:rPr>
          <w:rFonts w:ascii="Arial" w:hAnsi="Arial" w:cs="Arial"/>
          <w:u w:val="single"/>
        </w:rPr>
      </w:pPr>
      <w:r>
        <w:rPr>
          <w:rFonts w:ascii="Arial" w:hAnsi="Arial" w:cs="Arial"/>
          <w:u w:val="single"/>
        </w:rPr>
        <w:t>Analysis of the evidence and submissions</w:t>
      </w:r>
    </w:p>
    <w:p w:rsidR="00D80F83" w:rsidRPr="002E7496" w:rsidRDefault="002E7496" w:rsidP="002E7496">
      <w:pPr>
        <w:spacing w:line="480" w:lineRule="auto"/>
        <w:jc w:val="both"/>
        <w:rPr>
          <w:rFonts w:ascii="Arial" w:hAnsi="Arial" w:cs="Arial"/>
        </w:rPr>
      </w:pPr>
      <w:r w:rsidRPr="00BF3455">
        <w:rPr>
          <w:rFonts w:ascii="Arial" w:hAnsi="Arial" w:cs="Arial"/>
          <w:color w:val="000000" w:themeColor="text1"/>
        </w:rPr>
        <w:t>[15]</w:t>
      </w:r>
      <w:r w:rsidRPr="00BF3455">
        <w:rPr>
          <w:rFonts w:ascii="Arial" w:hAnsi="Arial" w:cs="Arial"/>
          <w:color w:val="000000" w:themeColor="text1"/>
        </w:rPr>
        <w:tab/>
      </w:r>
      <w:r w:rsidR="00926458" w:rsidRPr="002E7496">
        <w:rPr>
          <w:rFonts w:ascii="Arial" w:hAnsi="Arial" w:cs="Arial"/>
        </w:rPr>
        <w:t>Despite being informed by the Deputy Registrar of the Supreme Court, as early as 5 December 2016 that the appeal had lapsed, the applicant only filed his condonation application more than two months later on 6 February 2017 and not as soon as is reasonably possible as required by numerous authorities of this court.</w:t>
      </w:r>
      <w:r w:rsidR="007B1F7C">
        <w:rPr>
          <w:rStyle w:val="FootnoteReference"/>
          <w:rFonts w:ascii="Arial" w:hAnsi="Arial" w:cs="Arial"/>
        </w:rPr>
        <w:footnoteReference w:id="4"/>
      </w:r>
      <w:r w:rsidR="00926458" w:rsidRPr="002E7496">
        <w:rPr>
          <w:rFonts w:ascii="Arial" w:hAnsi="Arial" w:cs="Arial"/>
        </w:rPr>
        <w:t xml:space="preserve"> He </w:t>
      </w:r>
      <w:r w:rsidR="0037612A" w:rsidRPr="002E7496">
        <w:rPr>
          <w:rFonts w:ascii="Arial" w:hAnsi="Arial" w:cs="Arial"/>
        </w:rPr>
        <w:t xml:space="preserve">does not satisfactorily explain this delay as pointed out below.  </w:t>
      </w:r>
      <w:r w:rsidR="00756CEA" w:rsidRPr="002E7496">
        <w:rPr>
          <w:rFonts w:ascii="Arial" w:hAnsi="Arial" w:cs="Arial"/>
        </w:rPr>
        <w:t xml:space="preserve">He </w:t>
      </w:r>
      <w:r w:rsidR="00926458" w:rsidRPr="002E7496">
        <w:rPr>
          <w:rFonts w:ascii="Arial" w:hAnsi="Arial" w:cs="Arial"/>
        </w:rPr>
        <w:t xml:space="preserve">has included the transcript of oral argument on absolution from the instance in the court </w:t>
      </w:r>
      <w:r w:rsidR="00926458" w:rsidRPr="002E7496">
        <w:rPr>
          <w:rFonts w:ascii="Arial" w:hAnsi="Arial" w:cs="Arial"/>
          <w:i/>
        </w:rPr>
        <w:t>a quo</w:t>
      </w:r>
      <w:r w:rsidR="00926458" w:rsidRPr="002E7496">
        <w:rPr>
          <w:rFonts w:ascii="Arial" w:hAnsi="Arial" w:cs="Arial"/>
        </w:rPr>
        <w:t xml:space="preserve"> in breach of what was held by this court in the </w:t>
      </w:r>
      <w:r w:rsidR="00926458" w:rsidRPr="002E7496">
        <w:rPr>
          <w:rFonts w:ascii="Arial" w:hAnsi="Arial" w:cs="Arial"/>
          <w:i/>
        </w:rPr>
        <w:t>Channel Life v Otto</w:t>
      </w:r>
      <w:r w:rsidR="00A2157D">
        <w:rPr>
          <w:rStyle w:val="FootnoteReference"/>
          <w:rFonts w:ascii="Arial" w:hAnsi="Arial" w:cs="Arial"/>
          <w:i/>
        </w:rPr>
        <w:footnoteReference w:id="5"/>
      </w:r>
      <w:r w:rsidR="00926458" w:rsidRPr="002E7496">
        <w:rPr>
          <w:rFonts w:ascii="Arial" w:hAnsi="Arial" w:cs="Arial"/>
          <w:i/>
        </w:rPr>
        <w:t xml:space="preserve"> </w:t>
      </w:r>
      <w:r w:rsidR="00926458" w:rsidRPr="002E7496">
        <w:rPr>
          <w:rFonts w:ascii="Arial" w:hAnsi="Arial" w:cs="Arial"/>
        </w:rPr>
        <w:t xml:space="preserve">on that score, thereby unnecessarily burdening the record of proceedings. </w:t>
      </w:r>
    </w:p>
    <w:p w:rsidR="00E17969" w:rsidRPr="00E17969" w:rsidRDefault="00E17969" w:rsidP="00E17969">
      <w:pPr>
        <w:spacing w:line="480" w:lineRule="auto"/>
        <w:jc w:val="both"/>
        <w:rPr>
          <w:rFonts w:ascii="Arial" w:hAnsi="Arial" w:cs="Arial"/>
        </w:rPr>
      </w:pPr>
    </w:p>
    <w:p w:rsidR="00D80F83" w:rsidRPr="002E7496" w:rsidRDefault="002E7496" w:rsidP="002E7496">
      <w:pPr>
        <w:spacing w:line="480" w:lineRule="auto"/>
        <w:jc w:val="both"/>
        <w:rPr>
          <w:rFonts w:ascii="Arial" w:hAnsi="Arial" w:cs="Arial"/>
        </w:rPr>
      </w:pPr>
      <w:r w:rsidRPr="00BF3455">
        <w:rPr>
          <w:rFonts w:ascii="Arial" w:hAnsi="Arial" w:cs="Arial"/>
          <w:color w:val="000000" w:themeColor="text1"/>
        </w:rPr>
        <w:t>[16]</w:t>
      </w:r>
      <w:r w:rsidRPr="00BF3455">
        <w:rPr>
          <w:rFonts w:ascii="Arial" w:hAnsi="Arial" w:cs="Arial"/>
          <w:color w:val="000000" w:themeColor="text1"/>
        </w:rPr>
        <w:tab/>
      </w:r>
      <w:r w:rsidR="00926458" w:rsidRPr="002E7496">
        <w:rPr>
          <w:rFonts w:ascii="Arial" w:hAnsi="Arial" w:cs="Arial"/>
        </w:rPr>
        <w:t>In any event, the applicant’s non-compliance with the rules is time related. Yet, the explanation offered does not cover the entire period for the delay as required by cases decided in this court.</w:t>
      </w:r>
      <w:r w:rsidR="00417669">
        <w:rPr>
          <w:rStyle w:val="FootnoteReference"/>
          <w:rFonts w:ascii="Arial" w:hAnsi="Arial" w:cs="Arial"/>
        </w:rPr>
        <w:footnoteReference w:id="6"/>
      </w:r>
      <w:r w:rsidR="00926458" w:rsidRPr="002E7496">
        <w:rPr>
          <w:rFonts w:ascii="Arial" w:hAnsi="Arial" w:cs="Arial"/>
        </w:rPr>
        <w:t xml:space="preserve">  Despite having been informed on 5 December 2016 that the appeal had lapsed, during the period from 6 December 2016 to 15 January 2017 nothing appears to have been done to bring an application for condonation and reinstatement timeously. There is not even an allegation that the legal practitioner had gone on leave at that time, if that was indeed the position. Clearly, the explanation is not full and complete. Furthermore and as noted above, Mr Kamuhanga says that he had ‘attended at the offices of the transcribers on 26 November 2016 for transcription services in respect of the record’ and that a copy of the tax invoice was sent to him by facsimile on 15 November 2016. </w:t>
      </w:r>
    </w:p>
    <w:p w:rsidR="00E74D7C" w:rsidRPr="00E74D7C" w:rsidRDefault="00E74D7C" w:rsidP="00E74D7C">
      <w:pPr>
        <w:spacing w:line="480" w:lineRule="auto"/>
        <w:jc w:val="both"/>
        <w:rPr>
          <w:rFonts w:ascii="Arial" w:hAnsi="Arial" w:cs="Arial"/>
        </w:rPr>
      </w:pPr>
    </w:p>
    <w:p w:rsidR="00D80F83" w:rsidRPr="002E7496" w:rsidRDefault="002E7496" w:rsidP="002E7496">
      <w:pPr>
        <w:spacing w:line="480" w:lineRule="auto"/>
        <w:jc w:val="both"/>
        <w:rPr>
          <w:rFonts w:ascii="Arial" w:hAnsi="Arial" w:cs="Arial"/>
        </w:rPr>
      </w:pPr>
      <w:r w:rsidRPr="00BF3455">
        <w:rPr>
          <w:rFonts w:ascii="Arial" w:hAnsi="Arial" w:cs="Arial"/>
          <w:color w:val="000000" w:themeColor="text1"/>
        </w:rPr>
        <w:t>[17]</w:t>
      </w:r>
      <w:r w:rsidRPr="00BF3455">
        <w:rPr>
          <w:rFonts w:ascii="Arial" w:hAnsi="Arial" w:cs="Arial"/>
          <w:color w:val="000000" w:themeColor="text1"/>
        </w:rPr>
        <w:tab/>
      </w:r>
      <w:r w:rsidR="00C6743B" w:rsidRPr="002E7496">
        <w:rPr>
          <w:rFonts w:ascii="Arial" w:hAnsi="Arial" w:cs="Arial"/>
        </w:rPr>
        <w:t xml:space="preserve">The executor </w:t>
      </w:r>
      <w:r w:rsidR="00926458" w:rsidRPr="002E7496">
        <w:rPr>
          <w:rFonts w:ascii="Arial" w:hAnsi="Arial" w:cs="Arial"/>
        </w:rPr>
        <w:t xml:space="preserve">observes that the tax invoice sent to Mr Kamuhanga </w:t>
      </w:r>
      <w:r w:rsidR="00C6743B" w:rsidRPr="002E7496">
        <w:rPr>
          <w:rFonts w:ascii="Arial" w:hAnsi="Arial" w:cs="Arial"/>
        </w:rPr>
        <w:t xml:space="preserve">by the transcribers </w:t>
      </w:r>
      <w:r w:rsidR="00926458" w:rsidRPr="002E7496">
        <w:rPr>
          <w:rFonts w:ascii="Arial" w:hAnsi="Arial" w:cs="Arial"/>
        </w:rPr>
        <w:t>on 15 November 2016 is dated 8 November 2016 already and yet no explanation is offered why it was sent some seven calendar days later or why it was signed (signifying approval thereof) by Mr Kamuhanga only on 1 December 2016. All these, including the fact that oral arguments should not have been part of the record were brought to Mr Kamuhanga’s attention in the answering affidavit. Yet, no replying affidavit has been filed, leaving gaps in the explanation and apparent inconsistencies therein unexplained. It would appear from the applicant’s explanation that Mr Kamuhanga filed a notice of appeal and attended only once at the offices of the transcribers. There are no indications that he had followed up on the request and appears to have left the responsibility for the compilation of the record entirely in the hands of the transcribers. It is now settled that the responsibility for the compilation of the record is that of the legal practitioner and not the transcribers’</w:t>
      </w:r>
      <w:r w:rsidR="00C3004A">
        <w:rPr>
          <w:rStyle w:val="FootnoteReference"/>
          <w:rFonts w:ascii="Arial" w:hAnsi="Arial" w:cs="Arial"/>
        </w:rPr>
        <w:footnoteReference w:id="7"/>
      </w:r>
      <w:r w:rsidR="00926458" w:rsidRPr="002E7496">
        <w:rPr>
          <w:rFonts w:ascii="Arial" w:hAnsi="Arial" w:cs="Arial"/>
        </w:rPr>
        <w:t xml:space="preserve"> </w:t>
      </w:r>
    </w:p>
    <w:p w:rsidR="00A2157D" w:rsidRPr="00A2157D" w:rsidRDefault="00A2157D" w:rsidP="00A2157D">
      <w:pPr>
        <w:spacing w:line="480" w:lineRule="auto"/>
        <w:jc w:val="both"/>
        <w:rPr>
          <w:rFonts w:ascii="Arial" w:hAnsi="Arial" w:cs="Arial"/>
        </w:rPr>
      </w:pPr>
    </w:p>
    <w:p w:rsidR="00D80F83" w:rsidRPr="002E7496" w:rsidRDefault="002E7496" w:rsidP="002E7496">
      <w:pPr>
        <w:spacing w:line="480" w:lineRule="auto"/>
        <w:jc w:val="both"/>
        <w:rPr>
          <w:rFonts w:ascii="Arial" w:hAnsi="Arial" w:cs="Arial"/>
        </w:rPr>
      </w:pPr>
      <w:r>
        <w:rPr>
          <w:rFonts w:ascii="Arial" w:hAnsi="Arial" w:cs="Arial"/>
          <w:color w:val="000000" w:themeColor="text1"/>
        </w:rPr>
        <w:t>[18]</w:t>
      </w:r>
      <w:r>
        <w:rPr>
          <w:rFonts w:ascii="Arial" w:hAnsi="Arial" w:cs="Arial"/>
          <w:color w:val="000000" w:themeColor="text1"/>
        </w:rPr>
        <w:tab/>
      </w:r>
      <w:r w:rsidR="00F149D4" w:rsidRPr="002E7496">
        <w:rPr>
          <w:rFonts w:ascii="Arial" w:hAnsi="Arial" w:cs="Arial"/>
        </w:rPr>
        <w:t xml:space="preserve">It is my considered view that the </w:t>
      </w:r>
      <w:r w:rsidR="000A4B7A" w:rsidRPr="002E7496">
        <w:rPr>
          <w:rFonts w:ascii="Arial" w:hAnsi="Arial" w:cs="Arial"/>
        </w:rPr>
        <w:t xml:space="preserve">applicant has not put up a reasonable </w:t>
      </w:r>
      <w:r w:rsidR="00F149D4" w:rsidRPr="002E7496">
        <w:rPr>
          <w:rFonts w:ascii="Arial" w:hAnsi="Arial" w:cs="Arial"/>
        </w:rPr>
        <w:t xml:space="preserve">explanation for the non-compliance with </w:t>
      </w:r>
      <w:r w:rsidR="00C94B07" w:rsidRPr="002E7496">
        <w:rPr>
          <w:rFonts w:ascii="Arial" w:hAnsi="Arial" w:cs="Arial"/>
        </w:rPr>
        <w:t>the R</w:t>
      </w:r>
      <w:r w:rsidR="00F149D4" w:rsidRPr="002E7496">
        <w:rPr>
          <w:rFonts w:ascii="Arial" w:hAnsi="Arial" w:cs="Arial"/>
        </w:rPr>
        <w:t xml:space="preserve">ules of </w:t>
      </w:r>
      <w:r w:rsidR="00C94B07" w:rsidRPr="002E7496">
        <w:rPr>
          <w:rFonts w:ascii="Arial" w:hAnsi="Arial" w:cs="Arial"/>
        </w:rPr>
        <w:t>C</w:t>
      </w:r>
      <w:r w:rsidR="00F149D4" w:rsidRPr="002E7496">
        <w:rPr>
          <w:rFonts w:ascii="Arial" w:hAnsi="Arial" w:cs="Arial"/>
        </w:rPr>
        <w:t>ourt</w:t>
      </w:r>
      <w:r w:rsidR="00311DF9" w:rsidRPr="002E7496">
        <w:rPr>
          <w:rFonts w:ascii="Arial" w:hAnsi="Arial" w:cs="Arial"/>
        </w:rPr>
        <w:t>. T</w:t>
      </w:r>
      <w:r w:rsidR="00F149D4" w:rsidRPr="002E7496">
        <w:rPr>
          <w:rFonts w:ascii="Arial" w:hAnsi="Arial" w:cs="Arial"/>
        </w:rPr>
        <w:t xml:space="preserve">he </w:t>
      </w:r>
      <w:r w:rsidR="00D21C8E" w:rsidRPr="002E7496">
        <w:rPr>
          <w:rFonts w:ascii="Arial" w:hAnsi="Arial" w:cs="Arial"/>
        </w:rPr>
        <w:t xml:space="preserve">observations made </w:t>
      </w:r>
      <w:r w:rsidR="00F149D4" w:rsidRPr="002E7496">
        <w:rPr>
          <w:rFonts w:ascii="Arial" w:hAnsi="Arial" w:cs="Arial"/>
        </w:rPr>
        <w:t xml:space="preserve">in the </w:t>
      </w:r>
      <w:r w:rsidR="00F149D4" w:rsidRPr="002E7496">
        <w:rPr>
          <w:rFonts w:ascii="Arial" w:hAnsi="Arial" w:cs="Arial"/>
          <w:i/>
        </w:rPr>
        <w:t>Shilongo</w:t>
      </w:r>
      <w:r w:rsidR="00F149D4" w:rsidRPr="002E7496">
        <w:rPr>
          <w:rFonts w:ascii="Arial" w:hAnsi="Arial" w:cs="Arial"/>
        </w:rPr>
        <w:t xml:space="preserve"> matter </w:t>
      </w:r>
      <w:r w:rsidR="000A4B7A" w:rsidRPr="002E7496">
        <w:rPr>
          <w:rFonts w:ascii="Arial" w:hAnsi="Arial" w:cs="Arial"/>
        </w:rPr>
        <w:t xml:space="preserve">(cited in footnote 6 above) </w:t>
      </w:r>
      <w:r w:rsidR="00F149D4" w:rsidRPr="002E7496">
        <w:rPr>
          <w:rFonts w:ascii="Arial" w:hAnsi="Arial" w:cs="Arial"/>
        </w:rPr>
        <w:t xml:space="preserve">at para </w:t>
      </w:r>
      <w:r w:rsidR="000A4B7A" w:rsidRPr="002E7496">
        <w:rPr>
          <w:rFonts w:ascii="Arial" w:hAnsi="Arial" w:cs="Arial"/>
        </w:rPr>
        <w:t>1</w:t>
      </w:r>
      <w:r w:rsidR="00F149D4" w:rsidRPr="002E7496">
        <w:rPr>
          <w:rFonts w:ascii="Arial" w:hAnsi="Arial" w:cs="Arial"/>
        </w:rPr>
        <w:t xml:space="preserve">8 of that judgment apply with equal force to the facts of this application. Like in the </w:t>
      </w:r>
      <w:r w:rsidR="00F149D4" w:rsidRPr="002E7496">
        <w:rPr>
          <w:rFonts w:ascii="Arial" w:hAnsi="Arial" w:cs="Arial"/>
          <w:i/>
        </w:rPr>
        <w:t>Shilongo</w:t>
      </w:r>
      <w:r w:rsidR="00F149D4" w:rsidRPr="002E7496">
        <w:rPr>
          <w:rFonts w:ascii="Arial" w:hAnsi="Arial" w:cs="Arial"/>
        </w:rPr>
        <w:t xml:space="preserve"> case</w:t>
      </w:r>
      <w:r w:rsidR="00CF60B3" w:rsidRPr="002E7496">
        <w:rPr>
          <w:rFonts w:ascii="Arial" w:hAnsi="Arial" w:cs="Arial"/>
        </w:rPr>
        <w:t>:</w:t>
      </w:r>
    </w:p>
    <w:p w:rsidR="00CF60B3" w:rsidRPr="000A4B7A" w:rsidRDefault="00CF60B3" w:rsidP="00CF60B3">
      <w:pPr>
        <w:pStyle w:val="ListParagraph"/>
        <w:spacing w:line="480" w:lineRule="auto"/>
        <w:ind w:left="0"/>
        <w:jc w:val="both"/>
        <w:rPr>
          <w:rFonts w:ascii="Arial" w:hAnsi="Arial" w:cs="Arial"/>
        </w:rPr>
      </w:pPr>
    </w:p>
    <w:p w:rsidR="007B1F7C" w:rsidRDefault="000A4B7A" w:rsidP="000A4B7A">
      <w:pPr>
        <w:spacing w:line="360" w:lineRule="auto"/>
        <w:ind w:left="720"/>
        <w:jc w:val="both"/>
        <w:rPr>
          <w:rFonts w:ascii="Arial" w:hAnsi="Arial" w:cs="Arial"/>
          <w:sz w:val="22"/>
          <w:szCs w:val="22"/>
        </w:rPr>
      </w:pPr>
      <w:r w:rsidRPr="000A4B7A">
        <w:rPr>
          <w:rFonts w:ascii="Arial" w:hAnsi="Arial" w:cs="Arial"/>
          <w:sz w:val="22"/>
          <w:szCs w:val="22"/>
        </w:rPr>
        <w:t xml:space="preserve">‘The applicant in this matter has run foul of far too many rules of this court. He was selective in his endeavour to explain the non-compliance with the rules: applying for condonation only in respect of the two transgressions of the rules and brushing the rest of the transgressions aside. The applicant’s explanation for the non-compliance with the rules of court in respect of the failure to lodge the record of appeal timeously is entirely unsatisfactory as it does not explain the entire period. Over and above that, his interpretation </w:t>
      </w:r>
      <w:r w:rsidR="00CF60B3">
        <w:rPr>
          <w:rFonts w:ascii="Arial" w:hAnsi="Arial" w:cs="Arial"/>
          <w:sz w:val="22"/>
          <w:szCs w:val="22"/>
        </w:rPr>
        <w:t xml:space="preserve">of the rules cannot be accepted . . . </w:t>
      </w:r>
      <w:r w:rsidRPr="000A4B7A">
        <w:rPr>
          <w:rFonts w:ascii="Arial" w:hAnsi="Arial" w:cs="Arial"/>
          <w:sz w:val="22"/>
          <w:szCs w:val="22"/>
        </w:rPr>
        <w:t>’</w:t>
      </w:r>
    </w:p>
    <w:p w:rsidR="00D21C8E" w:rsidRDefault="00D21C8E" w:rsidP="00756CEA">
      <w:pPr>
        <w:spacing w:line="480" w:lineRule="auto"/>
        <w:ind w:left="720"/>
        <w:jc w:val="both"/>
        <w:rPr>
          <w:rFonts w:ascii="Arial" w:hAnsi="Arial" w:cs="Arial"/>
          <w:sz w:val="22"/>
          <w:szCs w:val="22"/>
        </w:rPr>
      </w:pPr>
    </w:p>
    <w:p w:rsidR="00D80F83" w:rsidRPr="002E7496" w:rsidRDefault="002E7496" w:rsidP="002E7496">
      <w:pPr>
        <w:spacing w:line="480" w:lineRule="auto"/>
        <w:jc w:val="both"/>
        <w:rPr>
          <w:rFonts w:ascii="Arial" w:hAnsi="Arial" w:cs="Arial"/>
        </w:rPr>
      </w:pPr>
      <w:r w:rsidRPr="00BF3455">
        <w:rPr>
          <w:rFonts w:ascii="Arial" w:hAnsi="Arial" w:cs="Arial"/>
          <w:color w:val="000000" w:themeColor="text1"/>
        </w:rPr>
        <w:t>[19]</w:t>
      </w:r>
      <w:r w:rsidRPr="00BF3455">
        <w:rPr>
          <w:rFonts w:ascii="Arial" w:hAnsi="Arial" w:cs="Arial"/>
          <w:color w:val="000000" w:themeColor="text1"/>
        </w:rPr>
        <w:tab/>
      </w:r>
      <w:r w:rsidR="00926458" w:rsidRPr="002E7496">
        <w:rPr>
          <w:rFonts w:ascii="Arial" w:hAnsi="Arial" w:cs="Arial"/>
        </w:rPr>
        <w:t>To the above sentiments should be added the observation that the applicant’s legal practitioner appears to have been ‘shaken into action’ not so much by the realisation that he did not comply with the rules as advised by the Deputy Registrar, but rather by the executor’s decision to finalise the estate in light of the lapse of the appeal. This is an unsatisfactory explanation.</w:t>
      </w:r>
    </w:p>
    <w:p w:rsidR="002B30DF" w:rsidRDefault="002B30DF" w:rsidP="000A4B7A">
      <w:pPr>
        <w:spacing w:line="360" w:lineRule="auto"/>
        <w:jc w:val="both"/>
        <w:rPr>
          <w:rFonts w:ascii="Arial" w:hAnsi="Arial" w:cs="Arial"/>
        </w:rPr>
      </w:pPr>
    </w:p>
    <w:p w:rsidR="000A4B7A" w:rsidRPr="002F2543" w:rsidRDefault="000A4B7A" w:rsidP="00C866D4">
      <w:pPr>
        <w:spacing w:line="480" w:lineRule="auto"/>
        <w:jc w:val="both"/>
        <w:rPr>
          <w:rFonts w:ascii="Arial" w:hAnsi="Arial" w:cs="Arial"/>
          <w:u w:val="single"/>
        </w:rPr>
      </w:pPr>
      <w:r w:rsidRPr="002F2543">
        <w:rPr>
          <w:rFonts w:ascii="Arial" w:hAnsi="Arial" w:cs="Arial"/>
          <w:u w:val="single"/>
        </w:rPr>
        <w:t>Prospects of success</w:t>
      </w:r>
    </w:p>
    <w:p w:rsidR="00D80F83" w:rsidRPr="002E7496" w:rsidRDefault="002E7496" w:rsidP="002E7496">
      <w:pPr>
        <w:spacing w:line="480" w:lineRule="auto"/>
        <w:jc w:val="both"/>
        <w:rPr>
          <w:rFonts w:ascii="Arial" w:hAnsi="Arial" w:cs="Arial"/>
        </w:rPr>
      </w:pPr>
      <w:r w:rsidRPr="00BF3455">
        <w:rPr>
          <w:rFonts w:ascii="Arial" w:hAnsi="Arial" w:cs="Arial"/>
          <w:color w:val="000000" w:themeColor="text1"/>
        </w:rPr>
        <w:t>[20]</w:t>
      </w:r>
      <w:r w:rsidRPr="00BF3455">
        <w:rPr>
          <w:rFonts w:ascii="Arial" w:hAnsi="Arial" w:cs="Arial"/>
          <w:color w:val="000000" w:themeColor="text1"/>
        </w:rPr>
        <w:tab/>
      </w:r>
      <w:r w:rsidR="000F3C42" w:rsidRPr="002E7496">
        <w:rPr>
          <w:rFonts w:ascii="Arial" w:hAnsi="Arial" w:cs="Arial"/>
        </w:rPr>
        <w:t>Wh</w:t>
      </w:r>
      <w:r w:rsidR="00A93331" w:rsidRPr="002E7496">
        <w:rPr>
          <w:rFonts w:ascii="Arial" w:hAnsi="Arial" w:cs="Arial"/>
        </w:rPr>
        <w:t>ile</w:t>
      </w:r>
      <w:r w:rsidR="000F3C42" w:rsidRPr="002E7496">
        <w:rPr>
          <w:rFonts w:ascii="Arial" w:hAnsi="Arial" w:cs="Arial"/>
        </w:rPr>
        <w:t xml:space="preserve"> the explanation on behalf of applicant for the non-compliance with the Rules leaves much to be desired</w:t>
      </w:r>
      <w:r w:rsidR="00A93331" w:rsidRPr="002E7496">
        <w:rPr>
          <w:rFonts w:ascii="Arial" w:hAnsi="Arial" w:cs="Arial"/>
        </w:rPr>
        <w:t>,</w:t>
      </w:r>
      <w:r w:rsidR="000F3C42" w:rsidRPr="002E7496">
        <w:rPr>
          <w:rFonts w:ascii="Arial" w:hAnsi="Arial" w:cs="Arial"/>
        </w:rPr>
        <w:t xml:space="preserve"> all the blame lies with his legal practitioner</w:t>
      </w:r>
      <w:r w:rsidR="00A93331" w:rsidRPr="002E7496">
        <w:rPr>
          <w:rFonts w:ascii="Arial" w:hAnsi="Arial" w:cs="Arial"/>
        </w:rPr>
        <w:t>.</w:t>
      </w:r>
      <w:r w:rsidR="000F3C42" w:rsidRPr="002E7496">
        <w:rPr>
          <w:rFonts w:ascii="Arial" w:hAnsi="Arial" w:cs="Arial"/>
        </w:rPr>
        <w:t xml:space="preserve"> I would thus be loath to refuse condonation without considering the prospects of success.  In short, due to the fact that the app</w:t>
      </w:r>
      <w:r w:rsidR="009C0CD3" w:rsidRPr="002E7496">
        <w:rPr>
          <w:rFonts w:ascii="Arial" w:hAnsi="Arial" w:cs="Arial"/>
        </w:rPr>
        <w:t>licant</w:t>
      </w:r>
      <w:r w:rsidR="000F3C42" w:rsidRPr="002E7496">
        <w:rPr>
          <w:rFonts w:ascii="Arial" w:hAnsi="Arial" w:cs="Arial"/>
        </w:rPr>
        <w:t xml:space="preserve"> himself is not to blame or at fault in respect of the non-compliance with the Rules I am of the view, on the facts of this matter, that it would </w:t>
      </w:r>
      <w:r w:rsidR="00C97AFF" w:rsidRPr="002E7496">
        <w:rPr>
          <w:rFonts w:ascii="Arial" w:hAnsi="Arial" w:cs="Arial"/>
        </w:rPr>
        <w:t xml:space="preserve">not be equitable to dispose of this matter without considering the prospects of success.  </w:t>
      </w:r>
    </w:p>
    <w:p w:rsidR="00C97AFF" w:rsidRPr="002E7496" w:rsidRDefault="002E7496" w:rsidP="002E7496">
      <w:pPr>
        <w:spacing w:line="480" w:lineRule="auto"/>
        <w:jc w:val="both"/>
        <w:rPr>
          <w:rFonts w:ascii="Arial" w:hAnsi="Arial" w:cs="Arial"/>
        </w:rPr>
      </w:pPr>
      <w:r w:rsidRPr="00BF3455">
        <w:rPr>
          <w:rFonts w:ascii="Arial" w:hAnsi="Arial" w:cs="Arial"/>
          <w:color w:val="000000" w:themeColor="text1"/>
        </w:rPr>
        <w:t>[21]</w:t>
      </w:r>
      <w:r w:rsidRPr="00BF3455">
        <w:rPr>
          <w:rFonts w:ascii="Arial" w:hAnsi="Arial" w:cs="Arial"/>
          <w:color w:val="000000" w:themeColor="text1"/>
        </w:rPr>
        <w:tab/>
      </w:r>
      <w:r w:rsidR="00656610" w:rsidRPr="002E7496">
        <w:rPr>
          <w:rFonts w:ascii="Arial" w:hAnsi="Arial" w:cs="Arial"/>
        </w:rPr>
        <w:t xml:space="preserve">One of the reasons for the court </w:t>
      </w:r>
      <w:r w:rsidR="00656610" w:rsidRPr="002E7496">
        <w:rPr>
          <w:rFonts w:ascii="Arial" w:hAnsi="Arial" w:cs="Arial"/>
          <w:i/>
        </w:rPr>
        <w:t>a quo</w:t>
      </w:r>
      <w:r w:rsidR="00656610" w:rsidRPr="002E7496">
        <w:rPr>
          <w:rFonts w:ascii="Arial" w:hAnsi="Arial" w:cs="Arial"/>
        </w:rPr>
        <w:t xml:space="preserve"> granting an order of absolution was that no admissible (expert) evidence was led </w:t>
      </w:r>
      <w:r w:rsidR="00A253F0" w:rsidRPr="002E7496">
        <w:rPr>
          <w:rFonts w:ascii="Arial" w:hAnsi="Arial" w:cs="Arial"/>
        </w:rPr>
        <w:t xml:space="preserve">to establish either </w:t>
      </w:r>
      <w:r w:rsidR="000A1209" w:rsidRPr="002E7496">
        <w:rPr>
          <w:rFonts w:ascii="Arial" w:hAnsi="Arial" w:cs="Arial"/>
        </w:rPr>
        <w:t xml:space="preserve">Ovaherero customary law or Ovaherero customs and traditions.  It was necessary to establish that in terms of such laws or customs the wish of the applicant’s late father (if accepted) amounted to a valid disposition for the purposes of succession in Ovaherero customary law or pursuant to Ovaherero customs and traditions.  </w:t>
      </w:r>
    </w:p>
    <w:p w:rsidR="00781C19" w:rsidRDefault="00781C19" w:rsidP="00901A10">
      <w:pPr>
        <w:spacing w:line="480" w:lineRule="auto"/>
        <w:jc w:val="both"/>
        <w:rPr>
          <w:rFonts w:ascii="Arial" w:hAnsi="Arial" w:cs="Arial"/>
        </w:rPr>
      </w:pPr>
    </w:p>
    <w:p w:rsidR="00781C19" w:rsidRPr="002E7496" w:rsidRDefault="002E7496" w:rsidP="002E7496">
      <w:pPr>
        <w:spacing w:line="480" w:lineRule="auto"/>
        <w:jc w:val="both"/>
        <w:rPr>
          <w:rFonts w:ascii="Arial" w:hAnsi="Arial" w:cs="Arial"/>
        </w:rPr>
      </w:pPr>
      <w:r w:rsidRPr="00BF3455">
        <w:rPr>
          <w:rFonts w:ascii="Arial" w:hAnsi="Arial" w:cs="Arial"/>
          <w:color w:val="000000" w:themeColor="text1"/>
        </w:rPr>
        <w:t>[22]</w:t>
      </w:r>
      <w:r w:rsidRPr="00BF3455">
        <w:rPr>
          <w:rFonts w:ascii="Arial" w:hAnsi="Arial" w:cs="Arial"/>
          <w:color w:val="000000" w:themeColor="text1"/>
        </w:rPr>
        <w:tab/>
      </w:r>
      <w:r w:rsidR="00781C19" w:rsidRPr="002E7496">
        <w:rPr>
          <w:rFonts w:ascii="Arial" w:hAnsi="Arial" w:cs="Arial"/>
        </w:rPr>
        <w:t xml:space="preserve">For witnesses to merely state that the disposition was in accordance with such customary law or customs is nothing but conclusions by lay persons in this context without disclosing the basis for such conclusions.  </w:t>
      </w:r>
      <w:r w:rsidR="00A923F0" w:rsidRPr="002E7496">
        <w:rPr>
          <w:rFonts w:ascii="Arial" w:hAnsi="Arial" w:cs="Arial"/>
        </w:rPr>
        <w:t>The applicant had to lay the basis for the conclusions by way of expert testimony and to indicate that there is indeed a basis for such conclusions.  In fact as no basis was laid for the conclusions</w:t>
      </w:r>
      <w:r w:rsidR="00A253F0" w:rsidRPr="002E7496">
        <w:rPr>
          <w:rFonts w:ascii="Arial" w:hAnsi="Arial" w:cs="Arial"/>
        </w:rPr>
        <w:t>,</w:t>
      </w:r>
      <w:r w:rsidR="00A923F0" w:rsidRPr="002E7496">
        <w:rPr>
          <w:rFonts w:ascii="Arial" w:hAnsi="Arial" w:cs="Arial"/>
        </w:rPr>
        <w:t xml:space="preserve"> they amounted to the stating of inadmissible opinion evidence.  </w:t>
      </w:r>
    </w:p>
    <w:p w:rsidR="00BF3455" w:rsidRDefault="00BF3455" w:rsidP="00BF3455">
      <w:pPr>
        <w:pStyle w:val="ListParagraph"/>
        <w:spacing w:line="480" w:lineRule="auto"/>
        <w:ind w:left="0"/>
        <w:jc w:val="both"/>
        <w:rPr>
          <w:rFonts w:ascii="Arial" w:hAnsi="Arial" w:cs="Arial"/>
        </w:rPr>
      </w:pPr>
    </w:p>
    <w:p w:rsidR="00A923F0" w:rsidRPr="002E7496" w:rsidRDefault="002E7496" w:rsidP="002E7496">
      <w:pPr>
        <w:spacing w:line="480" w:lineRule="auto"/>
        <w:jc w:val="both"/>
        <w:rPr>
          <w:rFonts w:ascii="Arial" w:hAnsi="Arial" w:cs="Arial"/>
        </w:rPr>
      </w:pPr>
      <w:r w:rsidRPr="00BF3455">
        <w:rPr>
          <w:rFonts w:ascii="Arial" w:hAnsi="Arial" w:cs="Arial"/>
          <w:color w:val="000000" w:themeColor="text1"/>
        </w:rPr>
        <w:t>[23]</w:t>
      </w:r>
      <w:r w:rsidRPr="00BF3455">
        <w:rPr>
          <w:rFonts w:ascii="Arial" w:hAnsi="Arial" w:cs="Arial"/>
          <w:color w:val="000000" w:themeColor="text1"/>
        </w:rPr>
        <w:tab/>
      </w:r>
      <w:r w:rsidR="00DC311A" w:rsidRPr="002E7496">
        <w:rPr>
          <w:rFonts w:ascii="Arial" w:hAnsi="Arial" w:cs="Arial"/>
        </w:rPr>
        <w:t xml:space="preserve">As it was essential to applicant’s case to establish that the wish of his late father amounted to a valid bequest by his late father to him of his late father’s farm in accordance with the mentioned customary law or customs, the failure to lead the expert evidence amounted to a fatal omission.  The court </w:t>
      </w:r>
      <w:r w:rsidR="00DC311A" w:rsidRPr="002E7496">
        <w:rPr>
          <w:rFonts w:ascii="Arial" w:hAnsi="Arial" w:cs="Arial"/>
          <w:i/>
        </w:rPr>
        <w:t>a quo</w:t>
      </w:r>
      <w:r w:rsidR="00DC311A" w:rsidRPr="002E7496">
        <w:rPr>
          <w:rFonts w:ascii="Arial" w:hAnsi="Arial" w:cs="Arial"/>
        </w:rPr>
        <w:t xml:space="preserve"> </w:t>
      </w:r>
      <w:r w:rsidR="00560D93" w:rsidRPr="002E7496">
        <w:rPr>
          <w:rFonts w:ascii="Arial" w:hAnsi="Arial" w:cs="Arial"/>
        </w:rPr>
        <w:t xml:space="preserve">thus had no choice but to grant the order of absolution from the instance based on this reason only.  </w:t>
      </w:r>
    </w:p>
    <w:p w:rsidR="00560D93" w:rsidRDefault="00560D93" w:rsidP="00901A10">
      <w:pPr>
        <w:spacing w:line="480" w:lineRule="auto"/>
        <w:jc w:val="both"/>
        <w:rPr>
          <w:rFonts w:ascii="Arial" w:hAnsi="Arial" w:cs="Arial"/>
        </w:rPr>
      </w:pPr>
    </w:p>
    <w:p w:rsidR="00560D93" w:rsidRPr="002E7496" w:rsidRDefault="002E7496" w:rsidP="002E7496">
      <w:pPr>
        <w:spacing w:line="480" w:lineRule="auto"/>
        <w:jc w:val="both"/>
        <w:rPr>
          <w:rFonts w:ascii="Arial" w:hAnsi="Arial" w:cs="Arial"/>
        </w:rPr>
      </w:pPr>
      <w:r w:rsidRPr="00BF3455">
        <w:rPr>
          <w:rFonts w:ascii="Arial" w:hAnsi="Arial" w:cs="Arial"/>
          <w:color w:val="000000" w:themeColor="text1"/>
        </w:rPr>
        <w:t>[24]</w:t>
      </w:r>
      <w:r w:rsidRPr="00BF3455">
        <w:rPr>
          <w:rFonts w:ascii="Arial" w:hAnsi="Arial" w:cs="Arial"/>
          <w:color w:val="000000" w:themeColor="text1"/>
        </w:rPr>
        <w:tab/>
      </w:r>
      <w:r w:rsidR="00A253F0" w:rsidRPr="002E7496">
        <w:rPr>
          <w:rFonts w:ascii="Arial" w:hAnsi="Arial" w:cs="Arial"/>
        </w:rPr>
        <w:t>In light of</w:t>
      </w:r>
      <w:r w:rsidR="00560D93" w:rsidRPr="002E7496">
        <w:rPr>
          <w:rFonts w:ascii="Arial" w:hAnsi="Arial" w:cs="Arial"/>
        </w:rPr>
        <w:t xml:space="preserve"> the conclusion reached above</w:t>
      </w:r>
      <w:r w:rsidR="00A253F0" w:rsidRPr="002E7496">
        <w:rPr>
          <w:rFonts w:ascii="Arial" w:hAnsi="Arial" w:cs="Arial"/>
        </w:rPr>
        <w:t>,</w:t>
      </w:r>
      <w:r w:rsidR="00560D93" w:rsidRPr="002E7496">
        <w:rPr>
          <w:rFonts w:ascii="Arial" w:hAnsi="Arial" w:cs="Arial"/>
        </w:rPr>
        <w:t xml:space="preserve"> it is not necessary to deal with any of the other issues raised by the parties relating to the prospects of success.  </w:t>
      </w:r>
    </w:p>
    <w:p w:rsidR="00A253F0" w:rsidRDefault="00A253F0">
      <w:pPr>
        <w:spacing w:after="200" w:line="276" w:lineRule="auto"/>
        <w:rPr>
          <w:rFonts w:ascii="Arial" w:hAnsi="Arial" w:cs="Arial"/>
        </w:rPr>
      </w:pPr>
      <w:r>
        <w:rPr>
          <w:rFonts w:ascii="Arial" w:hAnsi="Arial" w:cs="Arial"/>
        </w:rPr>
        <w:br w:type="page"/>
      </w:r>
    </w:p>
    <w:p w:rsidR="00D80F83" w:rsidRDefault="000B1464" w:rsidP="00FE5529">
      <w:pPr>
        <w:spacing w:after="200" w:line="276" w:lineRule="auto"/>
        <w:rPr>
          <w:rFonts w:ascii="Arial" w:hAnsi="Arial" w:cs="Arial"/>
          <w:u w:val="single"/>
        </w:rPr>
      </w:pPr>
      <w:r w:rsidRPr="000B1464">
        <w:rPr>
          <w:rFonts w:ascii="Arial" w:hAnsi="Arial" w:cs="Arial"/>
          <w:u w:val="single"/>
        </w:rPr>
        <w:t xml:space="preserve">Quoting </w:t>
      </w:r>
      <w:r w:rsidR="000F6F9C">
        <w:rPr>
          <w:rFonts w:ascii="Arial" w:hAnsi="Arial" w:cs="Arial"/>
          <w:u w:val="single"/>
        </w:rPr>
        <w:t xml:space="preserve">out </w:t>
      </w:r>
      <w:r w:rsidR="009E2D9F">
        <w:rPr>
          <w:rFonts w:ascii="Arial" w:hAnsi="Arial" w:cs="Arial"/>
          <w:u w:val="single"/>
        </w:rPr>
        <w:t>of context</w:t>
      </w:r>
    </w:p>
    <w:p w:rsidR="00D80F83" w:rsidRPr="002E7496" w:rsidRDefault="002E7496" w:rsidP="002E7496">
      <w:pPr>
        <w:spacing w:line="480" w:lineRule="auto"/>
        <w:jc w:val="both"/>
        <w:rPr>
          <w:rFonts w:ascii="Arial" w:hAnsi="Arial" w:cs="Arial"/>
        </w:rPr>
      </w:pPr>
      <w:r w:rsidRPr="00BF3455">
        <w:rPr>
          <w:rFonts w:ascii="Arial" w:hAnsi="Arial" w:cs="Arial"/>
          <w:color w:val="000000" w:themeColor="text1"/>
        </w:rPr>
        <w:t>[25]</w:t>
      </w:r>
      <w:r w:rsidRPr="00BF3455">
        <w:rPr>
          <w:rFonts w:ascii="Arial" w:hAnsi="Arial" w:cs="Arial"/>
          <w:color w:val="000000" w:themeColor="text1"/>
        </w:rPr>
        <w:tab/>
      </w:r>
      <w:r w:rsidR="00926458" w:rsidRPr="002E7496">
        <w:rPr>
          <w:rFonts w:ascii="Arial" w:hAnsi="Arial" w:cs="Arial"/>
        </w:rPr>
        <w:t xml:space="preserve">In his heads of argument, counsel for the applicant quoted passages from the record of proceedings in the High Court to criticise ‘the conduct of the presiding officer during the trial’. Counsel implied that the learned judge did not treat applicant’s witnesses with respect. Counsel cited two instances from the record that he says created an impression that the judge regarded the presence of witnesses as ‘an irritation to the court’. This is how counsel put the first alleged disrespectful conduct on the part of the judge: </w:t>
      </w:r>
    </w:p>
    <w:p w:rsidR="00EF660C" w:rsidRDefault="00EF660C" w:rsidP="00EF660C">
      <w:pPr>
        <w:spacing w:line="360" w:lineRule="auto"/>
        <w:ind w:left="720"/>
        <w:jc w:val="both"/>
        <w:rPr>
          <w:rFonts w:ascii="Arial" w:hAnsi="Arial" w:cs="Arial"/>
          <w:sz w:val="22"/>
          <w:szCs w:val="22"/>
        </w:rPr>
      </w:pPr>
    </w:p>
    <w:p w:rsidR="00950F31" w:rsidRPr="00EF660C" w:rsidRDefault="000B1464" w:rsidP="00EF660C">
      <w:pPr>
        <w:spacing w:line="360" w:lineRule="auto"/>
        <w:ind w:left="720"/>
        <w:jc w:val="both"/>
        <w:rPr>
          <w:rFonts w:ascii="Arial" w:hAnsi="Arial" w:cs="Arial"/>
          <w:sz w:val="22"/>
          <w:szCs w:val="22"/>
        </w:rPr>
      </w:pPr>
      <w:r w:rsidRPr="00EF660C">
        <w:rPr>
          <w:rFonts w:ascii="Arial" w:hAnsi="Arial" w:cs="Arial"/>
          <w:sz w:val="22"/>
          <w:szCs w:val="22"/>
        </w:rPr>
        <w:t>‘When addressing the witnesses of the appellant, the court had the fo</w:t>
      </w:r>
      <w:r w:rsidR="000E4F18" w:rsidRPr="00EF660C">
        <w:rPr>
          <w:rFonts w:ascii="Arial" w:hAnsi="Arial" w:cs="Arial"/>
          <w:sz w:val="22"/>
          <w:szCs w:val="22"/>
        </w:rPr>
        <w:t>ll</w:t>
      </w:r>
      <w:r w:rsidRPr="00EF660C">
        <w:rPr>
          <w:rFonts w:ascii="Arial" w:hAnsi="Arial" w:cs="Arial"/>
          <w:sz w:val="22"/>
          <w:szCs w:val="22"/>
        </w:rPr>
        <w:t xml:space="preserve">owing to say: “rather than </w:t>
      </w:r>
      <w:r w:rsidR="000E4F18" w:rsidRPr="00EF660C">
        <w:rPr>
          <w:rFonts w:ascii="Arial" w:hAnsi="Arial" w:cs="Arial"/>
          <w:sz w:val="22"/>
          <w:szCs w:val="22"/>
        </w:rPr>
        <w:t xml:space="preserve">them sitting outside and doing nothing they may </w:t>
      </w:r>
      <w:r w:rsidRPr="00EF660C">
        <w:rPr>
          <w:rFonts w:ascii="Arial" w:hAnsi="Arial" w:cs="Arial"/>
          <w:sz w:val="22"/>
          <w:szCs w:val="22"/>
        </w:rPr>
        <w:t>have something productive they want to go and milk cows” (stress mine)’</w:t>
      </w:r>
      <w:r w:rsidR="000E4F18" w:rsidRPr="00EF660C">
        <w:rPr>
          <w:rFonts w:ascii="Arial" w:hAnsi="Arial" w:cs="Arial"/>
          <w:sz w:val="22"/>
          <w:szCs w:val="22"/>
        </w:rPr>
        <w:t xml:space="preserve">. </w:t>
      </w:r>
    </w:p>
    <w:p w:rsidR="00EF660C" w:rsidRPr="00EF660C" w:rsidRDefault="00EF660C" w:rsidP="00EF660C">
      <w:pPr>
        <w:spacing w:line="480" w:lineRule="auto"/>
        <w:jc w:val="both"/>
        <w:rPr>
          <w:rFonts w:ascii="Arial" w:hAnsi="Arial" w:cs="Arial"/>
        </w:rPr>
      </w:pPr>
    </w:p>
    <w:p w:rsidR="00D80F83" w:rsidRPr="002E7496" w:rsidRDefault="002E7496" w:rsidP="002E7496">
      <w:pPr>
        <w:spacing w:line="480" w:lineRule="auto"/>
        <w:jc w:val="both"/>
        <w:rPr>
          <w:rFonts w:ascii="Arial" w:hAnsi="Arial" w:cs="Arial"/>
        </w:rPr>
      </w:pPr>
      <w:r w:rsidRPr="00BF3455">
        <w:rPr>
          <w:rFonts w:ascii="Arial" w:hAnsi="Arial" w:cs="Arial"/>
          <w:color w:val="000000" w:themeColor="text1"/>
        </w:rPr>
        <w:t>[26]</w:t>
      </w:r>
      <w:r w:rsidRPr="00BF3455">
        <w:rPr>
          <w:rFonts w:ascii="Arial" w:hAnsi="Arial" w:cs="Arial"/>
          <w:color w:val="000000" w:themeColor="text1"/>
        </w:rPr>
        <w:tab/>
      </w:r>
      <w:r w:rsidR="00926458" w:rsidRPr="002E7496">
        <w:rPr>
          <w:rFonts w:ascii="Arial" w:hAnsi="Arial" w:cs="Arial"/>
        </w:rPr>
        <w:t xml:space="preserve">The second passage was summarised by counsel in the following terms: </w:t>
      </w:r>
    </w:p>
    <w:p w:rsidR="00EF660C" w:rsidRDefault="00EF660C" w:rsidP="00EF660C">
      <w:pPr>
        <w:spacing w:line="360" w:lineRule="auto"/>
        <w:ind w:left="720"/>
        <w:jc w:val="both"/>
        <w:rPr>
          <w:rFonts w:ascii="Arial" w:hAnsi="Arial" w:cs="Arial"/>
          <w:sz w:val="22"/>
          <w:szCs w:val="22"/>
        </w:rPr>
      </w:pPr>
    </w:p>
    <w:p w:rsidR="00EF660C" w:rsidRDefault="000E4F18" w:rsidP="00EF660C">
      <w:pPr>
        <w:spacing w:line="360" w:lineRule="auto"/>
        <w:ind w:left="720"/>
        <w:jc w:val="both"/>
        <w:rPr>
          <w:rFonts w:ascii="Arial" w:hAnsi="Arial" w:cs="Arial"/>
          <w:sz w:val="22"/>
          <w:szCs w:val="22"/>
        </w:rPr>
      </w:pPr>
      <w:r w:rsidRPr="00EF660C">
        <w:rPr>
          <w:rFonts w:ascii="Arial" w:hAnsi="Arial" w:cs="Arial"/>
          <w:sz w:val="22"/>
          <w:szCs w:val="22"/>
        </w:rPr>
        <w:t xml:space="preserve">‘The interpreter informed the court that appellant needed to go to the toilet and the learned Judge said the following: </w:t>
      </w:r>
    </w:p>
    <w:p w:rsidR="000E4F18" w:rsidRPr="00EF660C" w:rsidRDefault="008324AE" w:rsidP="00EF660C">
      <w:pPr>
        <w:spacing w:line="360" w:lineRule="auto"/>
        <w:ind w:left="720"/>
        <w:jc w:val="both"/>
        <w:rPr>
          <w:rFonts w:ascii="Arial" w:hAnsi="Arial" w:cs="Arial"/>
          <w:sz w:val="22"/>
          <w:szCs w:val="22"/>
        </w:rPr>
      </w:pPr>
      <w:r>
        <w:rPr>
          <w:rFonts w:ascii="Arial" w:hAnsi="Arial" w:cs="Arial"/>
          <w:sz w:val="22"/>
          <w:szCs w:val="22"/>
        </w:rPr>
        <w:t>COURT:</w:t>
      </w:r>
      <w:r w:rsidR="00EF660C">
        <w:rPr>
          <w:rFonts w:ascii="Arial" w:hAnsi="Arial" w:cs="Arial"/>
          <w:sz w:val="22"/>
          <w:szCs w:val="22"/>
        </w:rPr>
        <w:t xml:space="preserve"> </w:t>
      </w:r>
      <w:r w:rsidR="000E4F18" w:rsidRPr="00EF660C">
        <w:rPr>
          <w:rFonts w:ascii="Arial" w:hAnsi="Arial" w:cs="Arial"/>
          <w:sz w:val="22"/>
          <w:szCs w:val="22"/>
        </w:rPr>
        <w:t xml:space="preserve">Yes, let him say it if he needs a break I will give him the break. </w:t>
      </w:r>
    </w:p>
    <w:p w:rsidR="00EF660C" w:rsidRDefault="008324AE" w:rsidP="00EF660C">
      <w:pPr>
        <w:spacing w:line="360" w:lineRule="auto"/>
        <w:ind w:left="720"/>
        <w:jc w:val="both"/>
        <w:rPr>
          <w:rFonts w:ascii="Arial" w:hAnsi="Arial" w:cs="Arial"/>
          <w:sz w:val="22"/>
          <w:szCs w:val="22"/>
        </w:rPr>
      </w:pPr>
      <w:r w:rsidRPr="00EF660C">
        <w:rPr>
          <w:rFonts w:ascii="Arial" w:hAnsi="Arial" w:cs="Arial"/>
          <w:sz w:val="22"/>
          <w:szCs w:val="22"/>
        </w:rPr>
        <w:t>APPELLANT</w:t>
      </w:r>
      <w:r>
        <w:rPr>
          <w:rFonts w:ascii="Arial" w:hAnsi="Arial" w:cs="Arial"/>
          <w:sz w:val="22"/>
          <w:szCs w:val="22"/>
        </w:rPr>
        <w:t>:</w:t>
      </w:r>
      <w:r w:rsidRPr="00EF660C">
        <w:rPr>
          <w:rFonts w:ascii="Arial" w:hAnsi="Arial" w:cs="Arial"/>
          <w:sz w:val="22"/>
          <w:szCs w:val="22"/>
        </w:rPr>
        <w:t xml:space="preserve"> </w:t>
      </w:r>
      <w:r w:rsidR="000E4F18" w:rsidRPr="00EF660C">
        <w:rPr>
          <w:rFonts w:ascii="Arial" w:hAnsi="Arial" w:cs="Arial"/>
          <w:sz w:val="22"/>
          <w:szCs w:val="22"/>
        </w:rPr>
        <w:t xml:space="preserve">Yes, My Lord I win need to go and it is already running now. </w:t>
      </w:r>
    </w:p>
    <w:p w:rsidR="000E4F18" w:rsidRPr="00EF660C" w:rsidRDefault="008324AE" w:rsidP="00EF660C">
      <w:pPr>
        <w:spacing w:line="360" w:lineRule="auto"/>
        <w:ind w:left="720"/>
        <w:jc w:val="both"/>
        <w:rPr>
          <w:rFonts w:ascii="Arial" w:hAnsi="Arial" w:cs="Arial"/>
          <w:sz w:val="22"/>
          <w:szCs w:val="22"/>
        </w:rPr>
      </w:pPr>
      <w:r w:rsidRPr="00EF660C">
        <w:rPr>
          <w:rFonts w:ascii="Arial" w:hAnsi="Arial" w:cs="Arial"/>
          <w:sz w:val="22"/>
          <w:szCs w:val="22"/>
        </w:rPr>
        <w:t>COURT:</w:t>
      </w:r>
      <w:r w:rsidR="000E4F18" w:rsidRPr="00EF660C">
        <w:rPr>
          <w:rFonts w:ascii="Arial" w:hAnsi="Arial" w:cs="Arial"/>
          <w:sz w:val="22"/>
          <w:szCs w:val="22"/>
        </w:rPr>
        <w:t xml:space="preserve"> </w:t>
      </w:r>
      <w:r w:rsidR="000E4F18" w:rsidRPr="00EF660C">
        <w:rPr>
          <w:rFonts w:ascii="Arial" w:hAnsi="Arial" w:cs="Arial"/>
          <w:i/>
          <w:sz w:val="22"/>
          <w:szCs w:val="22"/>
        </w:rPr>
        <w:t>We will not have enough cleaners to clean the court room</w:t>
      </w:r>
      <w:r w:rsidR="000E4F18" w:rsidRPr="00EF660C">
        <w:rPr>
          <w:rFonts w:ascii="Arial" w:hAnsi="Arial" w:cs="Arial"/>
          <w:sz w:val="22"/>
          <w:szCs w:val="22"/>
        </w:rPr>
        <w:t xml:space="preserve"> (stress mine)</w:t>
      </w:r>
      <w:r w:rsidR="00345023">
        <w:rPr>
          <w:rFonts w:ascii="Arial" w:hAnsi="Arial" w:cs="Arial"/>
          <w:sz w:val="22"/>
          <w:szCs w:val="22"/>
        </w:rPr>
        <w:t xml:space="preserve"> (sic)</w:t>
      </w:r>
      <w:r w:rsidR="000E4F18" w:rsidRPr="00EF660C">
        <w:rPr>
          <w:rFonts w:ascii="Arial" w:hAnsi="Arial" w:cs="Arial"/>
          <w:sz w:val="22"/>
          <w:szCs w:val="22"/>
        </w:rPr>
        <w:t>’.</w:t>
      </w:r>
    </w:p>
    <w:p w:rsidR="00EF660C" w:rsidRDefault="00EF660C" w:rsidP="00EF660C">
      <w:pPr>
        <w:spacing w:line="480" w:lineRule="auto"/>
        <w:jc w:val="both"/>
        <w:rPr>
          <w:rFonts w:ascii="Arial" w:hAnsi="Arial" w:cs="Arial"/>
        </w:rPr>
      </w:pPr>
    </w:p>
    <w:p w:rsidR="00D80F83" w:rsidRPr="002E7496" w:rsidRDefault="002E7496" w:rsidP="002E7496">
      <w:pPr>
        <w:spacing w:line="480" w:lineRule="auto"/>
        <w:jc w:val="both"/>
        <w:rPr>
          <w:rFonts w:ascii="Arial" w:hAnsi="Arial" w:cs="Arial"/>
        </w:rPr>
      </w:pPr>
      <w:r w:rsidRPr="00BF3455">
        <w:rPr>
          <w:rFonts w:ascii="Arial" w:hAnsi="Arial" w:cs="Arial"/>
          <w:color w:val="000000" w:themeColor="text1"/>
        </w:rPr>
        <w:t>[27]</w:t>
      </w:r>
      <w:r w:rsidRPr="00BF3455">
        <w:rPr>
          <w:rFonts w:ascii="Arial" w:hAnsi="Arial" w:cs="Arial"/>
          <w:color w:val="000000" w:themeColor="text1"/>
        </w:rPr>
        <w:tab/>
      </w:r>
      <w:r w:rsidR="00926458" w:rsidRPr="002E7496">
        <w:rPr>
          <w:rFonts w:ascii="Arial" w:hAnsi="Arial" w:cs="Arial"/>
        </w:rPr>
        <w:t xml:space="preserve">A closer reading of the portions of the record from which the alleged offensive remarks were extracted reveals that counsel for the applicant quoted the trial court entirely out of context. The remark about the ‘milking of cows’ was made against the backdrop of the trial judge wanting to know how long the applicant’s witnesses would be kept waiting before they were called upon to testify. This query was made out of concern that the witnesses were not unnecessarily kept at court while another witness was testifying. This the learned judge made abundantly clear when he said: </w:t>
      </w:r>
    </w:p>
    <w:p w:rsidR="007C7274" w:rsidRDefault="007C7274" w:rsidP="007C7274">
      <w:pPr>
        <w:spacing w:line="360" w:lineRule="auto"/>
        <w:ind w:left="720"/>
        <w:jc w:val="both"/>
        <w:rPr>
          <w:rFonts w:ascii="Arial" w:hAnsi="Arial" w:cs="Arial"/>
          <w:sz w:val="22"/>
          <w:szCs w:val="22"/>
        </w:rPr>
      </w:pPr>
    </w:p>
    <w:p w:rsidR="00B4232B" w:rsidRDefault="007C7274" w:rsidP="007C7274">
      <w:pPr>
        <w:spacing w:line="360" w:lineRule="auto"/>
        <w:ind w:left="720"/>
        <w:jc w:val="both"/>
        <w:rPr>
          <w:rFonts w:ascii="Arial" w:hAnsi="Arial" w:cs="Arial"/>
          <w:sz w:val="22"/>
          <w:szCs w:val="22"/>
        </w:rPr>
      </w:pPr>
      <w:r w:rsidRPr="007C7274">
        <w:rPr>
          <w:rFonts w:ascii="Arial" w:hAnsi="Arial" w:cs="Arial"/>
          <w:sz w:val="22"/>
          <w:szCs w:val="22"/>
        </w:rPr>
        <w:t>‘The only reason why I am asking is that then they may actually be released but you keep them on alert on 20 minutes notice for them to come court.</w:t>
      </w:r>
      <w:r>
        <w:rPr>
          <w:rFonts w:ascii="Arial" w:hAnsi="Arial" w:cs="Arial"/>
          <w:sz w:val="22"/>
          <w:szCs w:val="22"/>
        </w:rPr>
        <w:t xml:space="preserve"> Rather than them sitting outs</w:t>
      </w:r>
      <w:r w:rsidR="00816224">
        <w:rPr>
          <w:rFonts w:ascii="Arial" w:hAnsi="Arial" w:cs="Arial"/>
          <w:sz w:val="22"/>
          <w:szCs w:val="22"/>
        </w:rPr>
        <w:t>i</w:t>
      </w:r>
      <w:r>
        <w:rPr>
          <w:rFonts w:ascii="Arial" w:hAnsi="Arial" w:cs="Arial"/>
          <w:sz w:val="22"/>
          <w:szCs w:val="22"/>
        </w:rPr>
        <w:t>d</w:t>
      </w:r>
      <w:r w:rsidR="00816224">
        <w:rPr>
          <w:rFonts w:ascii="Arial" w:hAnsi="Arial" w:cs="Arial"/>
          <w:sz w:val="22"/>
          <w:szCs w:val="22"/>
        </w:rPr>
        <w:t>e</w:t>
      </w:r>
      <w:r>
        <w:rPr>
          <w:rFonts w:ascii="Arial" w:hAnsi="Arial" w:cs="Arial"/>
          <w:sz w:val="22"/>
          <w:szCs w:val="22"/>
        </w:rPr>
        <w:t xml:space="preserve"> and doing nothing they may have something productive </w:t>
      </w:r>
      <w:r w:rsidR="00816224">
        <w:rPr>
          <w:rFonts w:ascii="Arial" w:hAnsi="Arial" w:cs="Arial"/>
          <w:sz w:val="22"/>
          <w:szCs w:val="22"/>
        </w:rPr>
        <w:t>they want to go and milk cows.</w:t>
      </w:r>
      <w:r w:rsidRPr="007C7274">
        <w:rPr>
          <w:rFonts w:ascii="Arial" w:hAnsi="Arial" w:cs="Arial"/>
          <w:sz w:val="22"/>
          <w:szCs w:val="22"/>
        </w:rPr>
        <w:t>’</w:t>
      </w:r>
    </w:p>
    <w:p w:rsidR="00816224" w:rsidRDefault="00816224" w:rsidP="007C7274">
      <w:pPr>
        <w:spacing w:line="360" w:lineRule="auto"/>
        <w:jc w:val="both"/>
        <w:rPr>
          <w:rFonts w:ascii="Arial" w:hAnsi="Arial" w:cs="Arial"/>
        </w:rPr>
      </w:pPr>
    </w:p>
    <w:p w:rsidR="00816224" w:rsidRPr="002E7496" w:rsidRDefault="002E7496" w:rsidP="002E7496">
      <w:pPr>
        <w:spacing w:line="480" w:lineRule="auto"/>
        <w:jc w:val="both"/>
        <w:rPr>
          <w:rFonts w:ascii="Arial" w:hAnsi="Arial" w:cs="Arial"/>
        </w:rPr>
      </w:pPr>
      <w:r w:rsidRPr="006453BA">
        <w:rPr>
          <w:rFonts w:ascii="Arial" w:hAnsi="Arial" w:cs="Arial"/>
          <w:color w:val="000000" w:themeColor="text1"/>
        </w:rPr>
        <w:t>[28]</w:t>
      </w:r>
      <w:r w:rsidRPr="006453BA">
        <w:rPr>
          <w:rFonts w:ascii="Arial" w:hAnsi="Arial" w:cs="Arial"/>
          <w:color w:val="000000" w:themeColor="text1"/>
        </w:rPr>
        <w:tab/>
      </w:r>
      <w:r w:rsidR="007C7274" w:rsidRPr="002E7496">
        <w:rPr>
          <w:rFonts w:ascii="Arial" w:hAnsi="Arial" w:cs="Arial"/>
        </w:rPr>
        <w:t xml:space="preserve">The applicant’s instructed counsel clearly </w:t>
      </w:r>
      <w:r w:rsidR="00816224" w:rsidRPr="002E7496">
        <w:rPr>
          <w:rFonts w:ascii="Arial" w:hAnsi="Arial" w:cs="Arial"/>
        </w:rPr>
        <w:t>understood the context in which the rem</w:t>
      </w:r>
      <w:r w:rsidR="007C7274" w:rsidRPr="002E7496">
        <w:rPr>
          <w:rFonts w:ascii="Arial" w:hAnsi="Arial" w:cs="Arial"/>
        </w:rPr>
        <w:t>a</w:t>
      </w:r>
      <w:r w:rsidR="00816224" w:rsidRPr="002E7496">
        <w:rPr>
          <w:rFonts w:ascii="Arial" w:hAnsi="Arial" w:cs="Arial"/>
        </w:rPr>
        <w:t>rks were made and was a</w:t>
      </w:r>
      <w:r w:rsidR="007C7274" w:rsidRPr="002E7496">
        <w:rPr>
          <w:rFonts w:ascii="Arial" w:hAnsi="Arial" w:cs="Arial"/>
        </w:rPr>
        <w:t>ppreciative of the court’s gesture</w:t>
      </w:r>
      <w:r w:rsidR="00816224" w:rsidRPr="002E7496">
        <w:rPr>
          <w:rFonts w:ascii="Arial" w:hAnsi="Arial" w:cs="Arial"/>
        </w:rPr>
        <w:t xml:space="preserve"> which he characterised as ‘a caring approach’, reacting to the court’s suggestion as follows:</w:t>
      </w:r>
    </w:p>
    <w:p w:rsidR="00816224" w:rsidRDefault="00816224" w:rsidP="00543841">
      <w:pPr>
        <w:spacing w:line="480" w:lineRule="auto"/>
        <w:jc w:val="both"/>
        <w:rPr>
          <w:rFonts w:ascii="Arial" w:hAnsi="Arial" w:cs="Arial"/>
        </w:rPr>
      </w:pPr>
    </w:p>
    <w:p w:rsidR="007C7274" w:rsidRDefault="00816224" w:rsidP="00816224">
      <w:pPr>
        <w:spacing w:line="360" w:lineRule="auto"/>
        <w:ind w:left="720"/>
        <w:jc w:val="both"/>
        <w:rPr>
          <w:rFonts w:ascii="Arial" w:hAnsi="Arial" w:cs="Arial"/>
          <w:sz w:val="22"/>
          <w:szCs w:val="22"/>
        </w:rPr>
      </w:pPr>
      <w:r w:rsidRPr="00816224">
        <w:rPr>
          <w:rFonts w:ascii="Arial" w:hAnsi="Arial" w:cs="Arial"/>
          <w:sz w:val="22"/>
          <w:szCs w:val="22"/>
        </w:rPr>
        <w:t xml:space="preserve">‘My Lord, I would want to be a </w:t>
      </w:r>
      <w:r w:rsidR="008324AE">
        <w:rPr>
          <w:rFonts w:ascii="Arial" w:hAnsi="Arial" w:cs="Arial"/>
          <w:sz w:val="22"/>
          <w:szCs w:val="22"/>
        </w:rPr>
        <w:t>witness before His L</w:t>
      </w:r>
      <w:r w:rsidRPr="00816224">
        <w:rPr>
          <w:rFonts w:ascii="Arial" w:hAnsi="Arial" w:cs="Arial"/>
          <w:sz w:val="22"/>
          <w:szCs w:val="22"/>
        </w:rPr>
        <w:t>ordship one day. It is a caring approach My Lord</w:t>
      </w:r>
      <w:r>
        <w:rPr>
          <w:rFonts w:ascii="Arial" w:hAnsi="Arial" w:cs="Arial"/>
          <w:sz w:val="22"/>
          <w:szCs w:val="22"/>
        </w:rPr>
        <w:t>.</w:t>
      </w:r>
      <w:r w:rsidR="008324AE">
        <w:rPr>
          <w:rFonts w:ascii="Arial" w:hAnsi="Arial" w:cs="Arial"/>
          <w:sz w:val="22"/>
          <w:szCs w:val="22"/>
        </w:rPr>
        <w:t xml:space="preserve"> I appreciate that . . .</w:t>
      </w:r>
      <w:r w:rsidRPr="00816224">
        <w:rPr>
          <w:rFonts w:ascii="Arial" w:hAnsi="Arial" w:cs="Arial"/>
          <w:sz w:val="22"/>
          <w:szCs w:val="22"/>
        </w:rPr>
        <w:t xml:space="preserve">’ </w:t>
      </w:r>
    </w:p>
    <w:p w:rsidR="00816224" w:rsidRDefault="00816224" w:rsidP="00543841">
      <w:pPr>
        <w:spacing w:line="480" w:lineRule="auto"/>
        <w:ind w:left="720"/>
        <w:jc w:val="both"/>
        <w:rPr>
          <w:rFonts w:ascii="Arial" w:hAnsi="Arial" w:cs="Arial"/>
          <w:sz w:val="22"/>
          <w:szCs w:val="22"/>
        </w:rPr>
      </w:pPr>
    </w:p>
    <w:p w:rsidR="00D80F83" w:rsidRPr="002E7496" w:rsidRDefault="002E7496" w:rsidP="002E7496">
      <w:pPr>
        <w:spacing w:line="480" w:lineRule="auto"/>
        <w:jc w:val="both"/>
        <w:rPr>
          <w:rFonts w:ascii="Arial" w:hAnsi="Arial" w:cs="Arial"/>
          <w:sz w:val="22"/>
          <w:szCs w:val="22"/>
        </w:rPr>
      </w:pPr>
      <w:r w:rsidRPr="006453BA">
        <w:rPr>
          <w:rFonts w:ascii="Arial" w:hAnsi="Arial" w:cs="Arial"/>
          <w:color w:val="000000" w:themeColor="text1"/>
          <w:sz w:val="22"/>
          <w:szCs w:val="22"/>
        </w:rPr>
        <w:t>[29]</w:t>
      </w:r>
      <w:r w:rsidRPr="006453BA">
        <w:rPr>
          <w:rFonts w:ascii="Arial" w:hAnsi="Arial" w:cs="Arial"/>
          <w:color w:val="000000" w:themeColor="text1"/>
          <w:sz w:val="22"/>
          <w:szCs w:val="22"/>
        </w:rPr>
        <w:tab/>
      </w:r>
      <w:r w:rsidR="00926458" w:rsidRPr="002E7496">
        <w:rPr>
          <w:rFonts w:ascii="Arial" w:hAnsi="Arial" w:cs="Arial"/>
        </w:rPr>
        <w:t xml:space="preserve">As to the second remark, the context was the request by the witness who was busy testifying mentioning to the interpreter that he wanted to answer a call of nature. The interpreter enquired from the judge whether it would be convenient for the court to take a break. The witness quipped: ‘I need to go; it is already running now’. It would appear that the witness was already leaving the witness box when the judge said to him:  ‘You must wait for me to release you. I must release you. You just cannot go’, before calling out the name of one of the counsel for the respondents and informing him: </w:t>
      </w:r>
    </w:p>
    <w:p w:rsidR="00B37E48" w:rsidRDefault="00B37E48" w:rsidP="00B37E48">
      <w:pPr>
        <w:spacing w:line="360" w:lineRule="auto"/>
        <w:ind w:left="720"/>
        <w:jc w:val="both"/>
        <w:rPr>
          <w:rFonts w:ascii="Arial" w:hAnsi="Arial" w:cs="Arial"/>
          <w:sz w:val="22"/>
          <w:szCs w:val="22"/>
        </w:rPr>
      </w:pPr>
    </w:p>
    <w:p w:rsidR="00816224" w:rsidRDefault="00B37E48" w:rsidP="00B37E48">
      <w:pPr>
        <w:spacing w:line="360" w:lineRule="auto"/>
        <w:ind w:left="720"/>
        <w:jc w:val="both"/>
        <w:rPr>
          <w:rFonts w:ascii="Arial" w:hAnsi="Arial" w:cs="Arial"/>
          <w:sz w:val="22"/>
          <w:szCs w:val="22"/>
        </w:rPr>
      </w:pPr>
      <w:r w:rsidRPr="00B37E48">
        <w:rPr>
          <w:rFonts w:ascii="Arial" w:hAnsi="Arial" w:cs="Arial"/>
          <w:sz w:val="22"/>
          <w:szCs w:val="22"/>
        </w:rPr>
        <w:t>‘There is a call of nature. We will not have enough clean</w:t>
      </w:r>
      <w:r w:rsidR="00D75347">
        <w:rPr>
          <w:rFonts w:ascii="Arial" w:hAnsi="Arial" w:cs="Arial"/>
          <w:sz w:val="22"/>
          <w:szCs w:val="22"/>
        </w:rPr>
        <w:t>er</w:t>
      </w:r>
      <w:r w:rsidRPr="00B37E48">
        <w:rPr>
          <w:rFonts w:ascii="Arial" w:hAnsi="Arial" w:cs="Arial"/>
          <w:sz w:val="22"/>
          <w:szCs w:val="22"/>
        </w:rPr>
        <w:t>s to clean the court room. Court will adjourn for five minutes. When you are ready send a court orderly to c</w:t>
      </w:r>
      <w:r>
        <w:rPr>
          <w:rFonts w:ascii="Arial" w:hAnsi="Arial" w:cs="Arial"/>
          <w:sz w:val="22"/>
          <w:szCs w:val="22"/>
        </w:rPr>
        <w:t>a</w:t>
      </w:r>
      <w:r w:rsidRPr="00B37E48">
        <w:rPr>
          <w:rFonts w:ascii="Arial" w:hAnsi="Arial" w:cs="Arial"/>
          <w:sz w:val="22"/>
          <w:szCs w:val="22"/>
        </w:rPr>
        <w:t xml:space="preserve">ll me.’ </w:t>
      </w:r>
    </w:p>
    <w:p w:rsidR="00D75347" w:rsidRDefault="00D75347" w:rsidP="008324AE">
      <w:pPr>
        <w:spacing w:line="360" w:lineRule="auto"/>
        <w:jc w:val="both"/>
        <w:rPr>
          <w:rFonts w:ascii="Arial" w:hAnsi="Arial" w:cs="Arial"/>
          <w:sz w:val="22"/>
          <w:szCs w:val="22"/>
        </w:rPr>
      </w:pPr>
    </w:p>
    <w:p w:rsidR="00D80F83" w:rsidRPr="002E7496" w:rsidRDefault="002E7496" w:rsidP="002E7496">
      <w:pPr>
        <w:spacing w:line="480" w:lineRule="auto"/>
        <w:jc w:val="both"/>
        <w:rPr>
          <w:rFonts w:ascii="Arial" w:hAnsi="Arial" w:cs="Arial"/>
          <w:sz w:val="22"/>
          <w:szCs w:val="22"/>
        </w:rPr>
      </w:pPr>
      <w:r>
        <w:rPr>
          <w:rFonts w:ascii="Arial" w:hAnsi="Arial" w:cs="Arial"/>
          <w:color w:val="000000" w:themeColor="text1"/>
          <w:sz w:val="22"/>
          <w:szCs w:val="22"/>
        </w:rPr>
        <w:t>[30]</w:t>
      </w:r>
      <w:r>
        <w:rPr>
          <w:rFonts w:ascii="Arial" w:hAnsi="Arial" w:cs="Arial"/>
          <w:color w:val="000000" w:themeColor="text1"/>
          <w:sz w:val="22"/>
          <w:szCs w:val="22"/>
        </w:rPr>
        <w:tab/>
      </w:r>
      <w:r w:rsidR="00D75347" w:rsidRPr="002E7496">
        <w:rPr>
          <w:rFonts w:ascii="Arial" w:hAnsi="Arial" w:cs="Arial"/>
        </w:rPr>
        <w:t>It is self-evident that the request for an adjournment by the witness was made in jest and the judge re</w:t>
      </w:r>
      <w:r w:rsidR="00DE4985" w:rsidRPr="002E7496">
        <w:rPr>
          <w:rFonts w:ascii="Arial" w:hAnsi="Arial" w:cs="Arial"/>
        </w:rPr>
        <w:t>ciprocated</w:t>
      </w:r>
      <w:r w:rsidR="00D75347" w:rsidRPr="002E7496">
        <w:rPr>
          <w:rFonts w:ascii="Arial" w:hAnsi="Arial" w:cs="Arial"/>
        </w:rPr>
        <w:t>. There c</w:t>
      </w:r>
      <w:r w:rsidR="00677CC0" w:rsidRPr="002E7496">
        <w:rPr>
          <w:rFonts w:ascii="Arial" w:hAnsi="Arial" w:cs="Arial"/>
        </w:rPr>
        <w:t xml:space="preserve">an </w:t>
      </w:r>
      <w:r w:rsidR="00A727B8" w:rsidRPr="002E7496">
        <w:rPr>
          <w:rFonts w:ascii="Arial" w:hAnsi="Arial" w:cs="Arial"/>
        </w:rPr>
        <w:t xml:space="preserve">be </w:t>
      </w:r>
      <w:r w:rsidR="00677CC0" w:rsidRPr="002E7496">
        <w:rPr>
          <w:rFonts w:ascii="Arial" w:hAnsi="Arial" w:cs="Arial"/>
        </w:rPr>
        <w:t xml:space="preserve">therefore </w:t>
      </w:r>
      <w:r w:rsidR="00D75347" w:rsidRPr="002E7496">
        <w:rPr>
          <w:rFonts w:ascii="Arial" w:hAnsi="Arial" w:cs="Arial"/>
        </w:rPr>
        <w:t xml:space="preserve">no scope for an apprehension of hostility or disrespect towards the witness in question. Any assertion to the contrary </w:t>
      </w:r>
      <w:r w:rsidR="00B30ACF" w:rsidRPr="002E7496">
        <w:rPr>
          <w:rFonts w:ascii="Arial" w:hAnsi="Arial" w:cs="Arial"/>
        </w:rPr>
        <w:t xml:space="preserve">clearly </w:t>
      </w:r>
      <w:r w:rsidR="00A727B8" w:rsidRPr="002E7496">
        <w:rPr>
          <w:rFonts w:ascii="Arial" w:hAnsi="Arial" w:cs="Arial"/>
        </w:rPr>
        <w:t xml:space="preserve">bears no relation to </w:t>
      </w:r>
      <w:r w:rsidR="00D75347" w:rsidRPr="002E7496">
        <w:rPr>
          <w:rFonts w:ascii="Arial" w:hAnsi="Arial" w:cs="Arial"/>
        </w:rPr>
        <w:t>the context</w:t>
      </w:r>
      <w:r w:rsidR="00677CC0" w:rsidRPr="002E7496">
        <w:rPr>
          <w:rFonts w:ascii="Arial" w:hAnsi="Arial" w:cs="Arial"/>
        </w:rPr>
        <w:t xml:space="preserve"> </w:t>
      </w:r>
      <w:r w:rsidR="00A727B8" w:rsidRPr="002E7496">
        <w:rPr>
          <w:rFonts w:ascii="Arial" w:hAnsi="Arial" w:cs="Arial"/>
        </w:rPr>
        <w:t xml:space="preserve">explained above </w:t>
      </w:r>
      <w:r w:rsidR="00677CC0" w:rsidRPr="002E7496">
        <w:rPr>
          <w:rFonts w:ascii="Arial" w:hAnsi="Arial" w:cs="Arial"/>
        </w:rPr>
        <w:t>and falls to be rejected</w:t>
      </w:r>
      <w:r w:rsidR="00D75347" w:rsidRPr="002E7496">
        <w:rPr>
          <w:rFonts w:ascii="Arial" w:hAnsi="Arial" w:cs="Arial"/>
        </w:rPr>
        <w:t>.</w:t>
      </w:r>
    </w:p>
    <w:p w:rsidR="00BF1F7E" w:rsidRPr="00BF1F7E" w:rsidRDefault="00BF1F7E" w:rsidP="00BF1F7E">
      <w:pPr>
        <w:spacing w:line="480" w:lineRule="auto"/>
        <w:jc w:val="both"/>
        <w:rPr>
          <w:rFonts w:ascii="Arial" w:hAnsi="Arial" w:cs="Arial"/>
          <w:sz w:val="22"/>
          <w:szCs w:val="22"/>
        </w:rPr>
      </w:pPr>
    </w:p>
    <w:p w:rsidR="00D75347" w:rsidRDefault="008359EB" w:rsidP="00C866D4">
      <w:pPr>
        <w:spacing w:line="480" w:lineRule="auto"/>
        <w:jc w:val="both"/>
        <w:rPr>
          <w:rFonts w:ascii="Arial" w:hAnsi="Arial" w:cs="Arial"/>
          <w:u w:val="single"/>
        </w:rPr>
      </w:pPr>
      <w:r w:rsidRPr="008359EB">
        <w:rPr>
          <w:rFonts w:ascii="Arial" w:hAnsi="Arial" w:cs="Arial"/>
          <w:u w:val="single"/>
        </w:rPr>
        <w:t>Matter of concern</w:t>
      </w:r>
    </w:p>
    <w:p w:rsidR="00D80F83" w:rsidRPr="002E7496" w:rsidRDefault="002E7496" w:rsidP="002E7496">
      <w:pPr>
        <w:spacing w:line="480" w:lineRule="auto"/>
        <w:jc w:val="both"/>
        <w:rPr>
          <w:rFonts w:ascii="Arial" w:hAnsi="Arial" w:cs="Arial"/>
        </w:rPr>
      </w:pPr>
      <w:r w:rsidRPr="006453BA">
        <w:rPr>
          <w:rFonts w:ascii="Arial" w:hAnsi="Arial" w:cs="Arial"/>
          <w:color w:val="000000" w:themeColor="text1"/>
        </w:rPr>
        <w:t>[31]</w:t>
      </w:r>
      <w:r w:rsidRPr="006453BA">
        <w:rPr>
          <w:rFonts w:ascii="Arial" w:hAnsi="Arial" w:cs="Arial"/>
          <w:color w:val="000000" w:themeColor="text1"/>
        </w:rPr>
        <w:tab/>
      </w:r>
      <w:r w:rsidR="00926458" w:rsidRPr="002E7496">
        <w:rPr>
          <w:rFonts w:ascii="Arial" w:hAnsi="Arial" w:cs="Arial"/>
        </w:rPr>
        <w:t>During the hearing of the application, it was brought to our attention that the executor had brought an urgent application for the eviction of the applicant from the farm in dispute and obtained an order from Mr Justice Usiku of the High Court to that effect. On 15 August 2017, Mr Kamuhanga sent a letter to the Judge-President of the High Court, which was copied to the registrar of this court. In the letter</w:t>
      </w:r>
      <w:r w:rsidR="00A253F0" w:rsidRPr="002E7496">
        <w:rPr>
          <w:rFonts w:ascii="Arial" w:hAnsi="Arial" w:cs="Arial"/>
        </w:rPr>
        <w:t>,</w:t>
      </w:r>
      <w:r w:rsidR="00926458" w:rsidRPr="002E7496">
        <w:rPr>
          <w:rFonts w:ascii="Arial" w:hAnsi="Arial" w:cs="Arial"/>
        </w:rPr>
        <w:t xml:space="preserve"> Mr Kamuhanga promised a possible ‘bloodbath’ if the police were to enforce the court order as he had apparently advised his client to not obey the court order. The letter reads in parts: </w:t>
      </w:r>
    </w:p>
    <w:p w:rsidR="008324AE" w:rsidRDefault="008324AE" w:rsidP="00362C10">
      <w:pPr>
        <w:spacing w:line="360" w:lineRule="auto"/>
        <w:ind w:left="720"/>
        <w:jc w:val="both"/>
        <w:rPr>
          <w:rFonts w:ascii="Arial" w:hAnsi="Arial" w:cs="Arial"/>
          <w:sz w:val="22"/>
          <w:szCs w:val="22"/>
        </w:rPr>
      </w:pPr>
    </w:p>
    <w:p w:rsidR="00F964E7" w:rsidRPr="00362C10" w:rsidRDefault="003570E0" w:rsidP="00362C10">
      <w:pPr>
        <w:spacing w:line="360" w:lineRule="auto"/>
        <w:ind w:left="720"/>
        <w:jc w:val="both"/>
        <w:rPr>
          <w:rFonts w:ascii="Arial" w:hAnsi="Arial" w:cs="Arial"/>
          <w:sz w:val="22"/>
          <w:szCs w:val="22"/>
        </w:rPr>
      </w:pPr>
      <w:r w:rsidRPr="00362C10">
        <w:rPr>
          <w:rFonts w:ascii="Arial" w:hAnsi="Arial" w:cs="Arial"/>
          <w:sz w:val="22"/>
          <w:szCs w:val="22"/>
        </w:rPr>
        <w:t>‘</w:t>
      </w:r>
      <w:r w:rsidR="00F964E7" w:rsidRPr="00362C10">
        <w:rPr>
          <w:rFonts w:ascii="Arial" w:hAnsi="Arial" w:cs="Arial"/>
          <w:sz w:val="22"/>
          <w:szCs w:val="22"/>
        </w:rPr>
        <w:t>In conclusion and in congruence with the contents of paragraphs 18</w:t>
      </w:r>
      <w:r w:rsidRPr="00362C10">
        <w:rPr>
          <w:rFonts w:ascii="Arial" w:hAnsi="Arial" w:cs="Arial"/>
          <w:sz w:val="22"/>
          <w:szCs w:val="22"/>
        </w:rPr>
        <w:t xml:space="preserve"> - </w:t>
      </w:r>
      <w:r w:rsidR="00F964E7" w:rsidRPr="00362C10">
        <w:rPr>
          <w:rFonts w:ascii="Arial" w:hAnsi="Arial" w:cs="Arial"/>
          <w:sz w:val="22"/>
          <w:szCs w:val="22"/>
        </w:rPr>
        <w:t>19. I am duty bound to advice my client that the ‘</w:t>
      </w:r>
      <w:r w:rsidRPr="00362C10">
        <w:rPr>
          <w:rFonts w:ascii="Arial" w:hAnsi="Arial" w:cs="Arial"/>
          <w:sz w:val="22"/>
          <w:szCs w:val="22"/>
        </w:rPr>
        <w:t>purported o</w:t>
      </w:r>
      <w:r w:rsidR="00F964E7" w:rsidRPr="00362C10">
        <w:rPr>
          <w:rFonts w:ascii="Arial" w:hAnsi="Arial" w:cs="Arial"/>
          <w:sz w:val="22"/>
          <w:szCs w:val="22"/>
        </w:rPr>
        <w:t>rder’ of Usiku J is a nullity and we shall ignore it as if it had not been made by the High Court and that there is no duty on him to appeal same for the same reasons.</w:t>
      </w:r>
    </w:p>
    <w:p w:rsidR="00F964E7" w:rsidRPr="00362C10" w:rsidRDefault="00F964E7" w:rsidP="00362C10">
      <w:pPr>
        <w:spacing w:line="360" w:lineRule="auto"/>
        <w:ind w:left="720"/>
        <w:jc w:val="both"/>
        <w:rPr>
          <w:rFonts w:ascii="Arial" w:hAnsi="Arial" w:cs="Arial"/>
          <w:sz w:val="22"/>
          <w:szCs w:val="22"/>
        </w:rPr>
      </w:pPr>
      <w:r w:rsidRPr="00362C10">
        <w:rPr>
          <w:rFonts w:ascii="Arial" w:hAnsi="Arial" w:cs="Arial"/>
          <w:sz w:val="22"/>
          <w:szCs w:val="22"/>
        </w:rPr>
        <w:t>We will</w:t>
      </w:r>
      <w:r w:rsidR="008324AE">
        <w:rPr>
          <w:rFonts w:ascii="Arial" w:hAnsi="Arial" w:cs="Arial"/>
          <w:sz w:val="22"/>
          <w:szCs w:val="22"/>
        </w:rPr>
        <w:t xml:space="preserve"> need a response from the Judge-</w:t>
      </w:r>
      <w:r w:rsidRPr="00362C10">
        <w:rPr>
          <w:rFonts w:ascii="Arial" w:hAnsi="Arial" w:cs="Arial"/>
          <w:sz w:val="22"/>
          <w:szCs w:val="22"/>
        </w:rPr>
        <w:t xml:space="preserve">President by Thursday latest because the Police Force may be approached by Mr Alwyn Petrus van Straten </w:t>
      </w:r>
      <w:r w:rsidR="003570E0" w:rsidRPr="00362C10">
        <w:rPr>
          <w:rFonts w:ascii="Arial" w:hAnsi="Arial" w:cs="Arial"/>
          <w:sz w:val="22"/>
          <w:szCs w:val="22"/>
        </w:rPr>
        <w:t xml:space="preserve">[the executor] </w:t>
      </w:r>
      <w:r w:rsidRPr="00362C10">
        <w:rPr>
          <w:rFonts w:ascii="Arial" w:hAnsi="Arial" w:cs="Arial"/>
          <w:sz w:val="22"/>
          <w:szCs w:val="22"/>
        </w:rPr>
        <w:t>to enforce this NULLITY and it may lead to a bloodbath if my client refuses to comply with a nullity, which he has every right NOT to comply with the purported Court Order (NULLlTY).</w:t>
      </w:r>
      <w:r w:rsidR="00F56678">
        <w:rPr>
          <w:rFonts w:ascii="Arial" w:hAnsi="Arial" w:cs="Arial"/>
          <w:sz w:val="22"/>
          <w:szCs w:val="22"/>
        </w:rPr>
        <w:t>’</w:t>
      </w:r>
      <w:r w:rsidR="00362C10">
        <w:rPr>
          <w:rFonts w:ascii="Arial" w:hAnsi="Arial" w:cs="Arial"/>
          <w:sz w:val="22"/>
          <w:szCs w:val="22"/>
        </w:rPr>
        <w:t xml:space="preserve"> (Emphasis as in the original)</w:t>
      </w:r>
    </w:p>
    <w:p w:rsidR="003570E0" w:rsidRPr="003570E0" w:rsidRDefault="003570E0" w:rsidP="003570E0">
      <w:pPr>
        <w:spacing w:line="480" w:lineRule="auto"/>
        <w:jc w:val="both"/>
        <w:rPr>
          <w:rFonts w:ascii="Arial" w:hAnsi="Arial" w:cs="Arial"/>
        </w:rPr>
      </w:pPr>
    </w:p>
    <w:p w:rsidR="00D80F83" w:rsidRPr="002E7496" w:rsidRDefault="002E7496" w:rsidP="002E7496">
      <w:pPr>
        <w:spacing w:line="480" w:lineRule="auto"/>
        <w:jc w:val="both"/>
        <w:rPr>
          <w:rFonts w:ascii="Arial" w:hAnsi="Arial" w:cs="Arial"/>
        </w:rPr>
      </w:pPr>
      <w:r w:rsidRPr="006453BA">
        <w:rPr>
          <w:rFonts w:ascii="Arial" w:hAnsi="Arial" w:cs="Arial"/>
          <w:color w:val="000000" w:themeColor="text1"/>
        </w:rPr>
        <w:t>[32]</w:t>
      </w:r>
      <w:r w:rsidRPr="006453BA">
        <w:rPr>
          <w:rFonts w:ascii="Arial" w:hAnsi="Arial" w:cs="Arial"/>
          <w:color w:val="000000" w:themeColor="text1"/>
        </w:rPr>
        <w:tab/>
      </w:r>
      <w:r w:rsidR="00926458" w:rsidRPr="002E7496">
        <w:rPr>
          <w:rFonts w:ascii="Arial" w:hAnsi="Arial" w:cs="Arial"/>
        </w:rPr>
        <w:t xml:space="preserve">Mr Kamuhanga confirmed in oral argument that he did indeed advise his client to ignore the court order because he considered it to be a nullity. It is a serious matter for a legal practitioner and officer of the court to advise a client to defy a court order, let alone to threaten violence towards law enforcement agents of the State. Court orders are part of the rule of law upon which the Namibian State is founded. There are obviously mechanisms in place to set aside a court order, such as appeal or review and until a court order is set aside, it must be obeyed. Disobedience of court orders undermines the rule of law and a legal practitioner must the last person, if at all, to encourage the undermining of the rule of law. I am therefore of the considered opinion that the decision by Mr Kamuhanga to advice his client to disobey a court order should be referred to the Council of the Law Society of Namibia to investigate whether Mr Kamuhanga’s conduct in relation to the advice and threat of violence amount to unprofessional or dishonourable or unworthy conduct. I would propose an appropriate order. </w:t>
      </w:r>
    </w:p>
    <w:p w:rsidR="003D3D1E" w:rsidRPr="003D3D1E" w:rsidRDefault="003D3D1E" w:rsidP="003D3D1E">
      <w:pPr>
        <w:spacing w:line="480" w:lineRule="auto"/>
        <w:jc w:val="both"/>
        <w:rPr>
          <w:rFonts w:ascii="Arial" w:hAnsi="Arial" w:cs="Arial"/>
        </w:rPr>
      </w:pPr>
    </w:p>
    <w:p w:rsidR="006453BA" w:rsidRPr="002E7496" w:rsidRDefault="002E7496" w:rsidP="002E7496">
      <w:pPr>
        <w:spacing w:line="480" w:lineRule="auto"/>
        <w:jc w:val="both"/>
        <w:rPr>
          <w:rFonts w:ascii="Arial" w:hAnsi="Arial" w:cs="Arial"/>
        </w:rPr>
      </w:pPr>
      <w:r>
        <w:rPr>
          <w:rFonts w:ascii="Arial" w:hAnsi="Arial" w:cs="Arial"/>
          <w:color w:val="000000" w:themeColor="text1"/>
        </w:rPr>
        <w:t>[33]</w:t>
      </w:r>
      <w:r>
        <w:rPr>
          <w:rFonts w:ascii="Arial" w:hAnsi="Arial" w:cs="Arial"/>
          <w:color w:val="000000" w:themeColor="text1"/>
        </w:rPr>
        <w:tab/>
      </w:r>
      <w:r w:rsidR="00926458" w:rsidRPr="002E7496">
        <w:rPr>
          <w:rFonts w:ascii="Arial" w:hAnsi="Arial" w:cs="Arial"/>
        </w:rPr>
        <w:t>In the result, it is my considered view that the applicant has not only ridden roughshod over many Rules of Court, but he was also selective about in respect of which rules to seek condonation. But even when he attempted to explain the non-compliance with the rules, the explanation was woefully inadequate and a laid back approach towards the rules was regrettably adopted. The prospects of success are in any event non-existent as the applicant failed to lead evidence on the thrust of his action. Moreover, instead of offering a sufficient and complete explanation for the various infractions of the rules, counsel for the applicant resorted to quoting the trial court out of context in an attempt, it would appear, to cast unjustifiable aspersio</w:t>
      </w:r>
      <w:r w:rsidR="006453BA" w:rsidRPr="002E7496">
        <w:rPr>
          <w:rFonts w:ascii="Arial" w:hAnsi="Arial" w:cs="Arial"/>
        </w:rPr>
        <w:t>ns on the conduct of the trial.</w:t>
      </w:r>
    </w:p>
    <w:p w:rsidR="006453BA" w:rsidRPr="006453BA" w:rsidRDefault="006453BA" w:rsidP="006453BA">
      <w:pPr>
        <w:pStyle w:val="ListParagraph"/>
        <w:rPr>
          <w:rFonts w:ascii="Arial" w:hAnsi="Arial" w:cs="Arial"/>
        </w:rPr>
      </w:pPr>
    </w:p>
    <w:p w:rsidR="00D80F83" w:rsidRPr="002E7496" w:rsidRDefault="002E7496" w:rsidP="002E7496">
      <w:pPr>
        <w:spacing w:line="480" w:lineRule="auto"/>
        <w:jc w:val="both"/>
        <w:rPr>
          <w:rFonts w:ascii="Arial" w:hAnsi="Arial" w:cs="Arial"/>
        </w:rPr>
      </w:pPr>
      <w:r w:rsidRPr="006453BA">
        <w:rPr>
          <w:rFonts w:ascii="Arial" w:hAnsi="Arial" w:cs="Arial"/>
          <w:color w:val="000000" w:themeColor="text1"/>
        </w:rPr>
        <w:t>[34]</w:t>
      </w:r>
      <w:r w:rsidRPr="006453BA">
        <w:rPr>
          <w:rFonts w:ascii="Arial" w:hAnsi="Arial" w:cs="Arial"/>
          <w:color w:val="000000" w:themeColor="text1"/>
        </w:rPr>
        <w:tab/>
      </w:r>
      <w:r w:rsidR="00926458" w:rsidRPr="002E7496">
        <w:rPr>
          <w:rFonts w:ascii="Arial" w:hAnsi="Arial" w:cs="Arial"/>
        </w:rPr>
        <w:t>The trial court is entirely justified in its summation of its findings that there was in the first place no admissible evidence that the late Fillipus Kaune made the statement or expressed the wish alleged by the applicant. Secondly, that it had not been established what the Ovaherero customary law, Ovaherero custom and tradition with respect to succession and inheritance was. And lastly, that there was no evidence that there were no assets in the estate of the late Kaune. On the contrary, the incontrovertible evidence was that the farm remained registered in his name. It is therefore beyond comprehension that counsel for the applicant was insistent in the submission that the estate of the late Kaune had been finalised. In these circumstances, the application for condonation and reinstatement ought to be refused with costs.</w:t>
      </w:r>
    </w:p>
    <w:p w:rsidR="00A738D0" w:rsidRDefault="00A738D0" w:rsidP="001A5288">
      <w:pPr>
        <w:spacing w:line="480" w:lineRule="auto"/>
        <w:jc w:val="both"/>
        <w:rPr>
          <w:rFonts w:ascii="Arial" w:hAnsi="Arial" w:cs="Arial"/>
          <w:u w:val="single"/>
        </w:rPr>
      </w:pPr>
    </w:p>
    <w:p w:rsidR="00363615" w:rsidRDefault="00363615" w:rsidP="001A5288">
      <w:pPr>
        <w:spacing w:line="480" w:lineRule="auto"/>
        <w:jc w:val="both"/>
        <w:rPr>
          <w:rFonts w:ascii="Arial" w:hAnsi="Arial" w:cs="Arial"/>
          <w:u w:val="single"/>
        </w:rPr>
      </w:pPr>
      <w:r>
        <w:rPr>
          <w:rFonts w:ascii="Arial" w:hAnsi="Arial" w:cs="Arial"/>
          <w:u w:val="single"/>
        </w:rPr>
        <w:t xml:space="preserve">Costs </w:t>
      </w:r>
    </w:p>
    <w:p w:rsidR="00D80F83" w:rsidRPr="002E7496" w:rsidRDefault="002E7496" w:rsidP="002E7496">
      <w:pPr>
        <w:spacing w:line="480" w:lineRule="auto"/>
        <w:jc w:val="both"/>
        <w:rPr>
          <w:rFonts w:ascii="Arial" w:hAnsi="Arial" w:cs="Arial"/>
        </w:rPr>
      </w:pPr>
      <w:r w:rsidRPr="006453BA">
        <w:rPr>
          <w:rFonts w:ascii="Arial" w:hAnsi="Arial" w:cs="Arial"/>
          <w:color w:val="000000" w:themeColor="text1"/>
        </w:rPr>
        <w:t>[35]</w:t>
      </w:r>
      <w:r w:rsidRPr="006453BA">
        <w:rPr>
          <w:rFonts w:ascii="Arial" w:hAnsi="Arial" w:cs="Arial"/>
          <w:color w:val="000000" w:themeColor="text1"/>
        </w:rPr>
        <w:tab/>
      </w:r>
      <w:r w:rsidR="00926458" w:rsidRPr="002E7496">
        <w:rPr>
          <w:rFonts w:ascii="Arial" w:hAnsi="Arial" w:cs="Arial"/>
        </w:rPr>
        <w:t xml:space="preserve">Counsel for the executor, Mr Heathcote who appeared together with Mr Jacobs, urged us to make a costs order to be paid by Mr Kamuhanga </w:t>
      </w:r>
      <w:r w:rsidR="00926458" w:rsidRPr="002E7496">
        <w:rPr>
          <w:rFonts w:ascii="Arial" w:hAnsi="Arial" w:cs="Arial"/>
          <w:i/>
        </w:rPr>
        <w:t>de bonis propriis</w:t>
      </w:r>
      <w:r w:rsidR="00926458" w:rsidRPr="002E7496">
        <w:rPr>
          <w:rFonts w:ascii="Arial" w:hAnsi="Arial" w:cs="Arial"/>
        </w:rPr>
        <w:t>. I am of the view, however, that although the matter was evidently handled with ineptitude, it was not conducted in a manner that can be said to amount to misconduct on the part of the legal practitioner. Furthermore, given the fact that this is a case where the application for condonation has been refused on the grounds of both insufficient explanation for the non-compliance with the rules and the lack of prospects of success on the merits, it does not appear to me to be an appropriate case to make an order other than a normal costs order.</w:t>
      </w:r>
    </w:p>
    <w:p w:rsidR="00F113D5" w:rsidRDefault="00F113D5">
      <w:pPr>
        <w:spacing w:after="200" w:line="276" w:lineRule="auto"/>
        <w:rPr>
          <w:rFonts w:ascii="Arial" w:hAnsi="Arial" w:cs="Arial"/>
        </w:rPr>
      </w:pPr>
      <w:r>
        <w:rPr>
          <w:rFonts w:ascii="Arial" w:hAnsi="Arial" w:cs="Arial"/>
        </w:rPr>
        <w:br w:type="page"/>
      </w:r>
    </w:p>
    <w:p w:rsidR="00363615" w:rsidRDefault="00363615" w:rsidP="00363615">
      <w:pPr>
        <w:spacing w:line="480" w:lineRule="auto"/>
        <w:jc w:val="both"/>
        <w:rPr>
          <w:rFonts w:ascii="Arial" w:hAnsi="Arial" w:cs="Arial"/>
        </w:rPr>
      </w:pPr>
    </w:p>
    <w:p w:rsidR="00363615" w:rsidRPr="00A738D0" w:rsidRDefault="00363615" w:rsidP="00363615">
      <w:pPr>
        <w:spacing w:line="480" w:lineRule="auto"/>
        <w:jc w:val="both"/>
        <w:rPr>
          <w:rFonts w:ascii="Arial" w:hAnsi="Arial" w:cs="Arial"/>
          <w:u w:val="single"/>
        </w:rPr>
      </w:pPr>
      <w:r w:rsidRPr="00A738D0">
        <w:rPr>
          <w:rFonts w:ascii="Arial" w:hAnsi="Arial" w:cs="Arial"/>
          <w:u w:val="single"/>
        </w:rPr>
        <w:t>Order</w:t>
      </w:r>
    </w:p>
    <w:p w:rsidR="00D80F83" w:rsidRPr="002E7496" w:rsidRDefault="002E7496" w:rsidP="002E7496">
      <w:pPr>
        <w:spacing w:line="480" w:lineRule="auto"/>
        <w:jc w:val="both"/>
        <w:rPr>
          <w:rFonts w:ascii="Arial" w:hAnsi="Arial" w:cs="Arial"/>
        </w:rPr>
      </w:pPr>
      <w:r w:rsidRPr="006453BA">
        <w:rPr>
          <w:rFonts w:ascii="Arial" w:hAnsi="Arial" w:cs="Arial"/>
          <w:color w:val="000000" w:themeColor="text1"/>
        </w:rPr>
        <w:t>[36]</w:t>
      </w:r>
      <w:r w:rsidRPr="006453BA">
        <w:rPr>
          <w:rFonts w:ascii="Arial" w:hAnsi="Arial" w:cs="Arial"/>
          <w:color w:val="000000" w:themeColor="text1"/>
        </w:rPr>
        <w:tab/>
      </w:r>
      <w:r w:rsidR="00926458" w:rsidRPr="002E7496">
        <w:rPr>
          <w:rFonts w:ascii="Arial" w:hAnsi="Arial" w:cs="Arial"/>
        </w:rPr>
        <w:t>The following order is accordingly made:</w:t>
      </w:r>
    </w:p>
    <w:p w:rsidR="008324AE" w:rsidRDefault="008324AE" w:rsidP="008324AE">
      <w:pPr>
        <w:pStyle w:val="ListParagraph"/>
        <w:spacing w:line="480" w:lineRule="auto"/>
        <w:ind w:left="0"/>
        <w:jc w:val="both"/>
        <w:rPr>
          <w:rFonts w:ascii="Arial" w:hAnsi="Arial" w:cs="Arial"/>
        </w:rPr>
      </w:pPr>
    </w:p>
    <w:p w:rsidR="00363615" w:rsidRPr="002E7496" w:rsidRDefault="002E7496" w:rsidP="002E7496">
      <w:pPr>
        <w:spacing w:line="480" w:lineRule="auto"/>
        <w:ind w:left="720" w:hanging="360"/>
        <w:jc w:val="both"/>
        <w:rPr>
          <w:rFonts w:ascii="Arial" w:hAnsi="Arial" w:cs="Arial"/>
        </w:rPr>
      </w:pPr>
      <w:r>
        <w:rPr>
          <w:rFonts w:ascii="Arial" w:hAnsi="Arial" w:cs="Arial"/>
        </w:rPr>
        <w:t>(a)</w:t>
      </w:r>
      <w:r>
        <w:rPr>
          <w:rFonts w:ascii="Arial" w:hAnsi="Arial" w:cs="Arial"/>
        </w:rPr>
        <w:tab/>
      </w:r>
      <w:r w:rsidR="00607295" w:rsidRPr="002E7496">
        <w:rPr>
          <w:rFonts w:ascii="Arial" w:hAnsi="Arial" w:cs="Arial"/>
        </w:rPr>
        <w:t xml:space="preserve"> </w:t>
      </w:r>
      <w:r w:rsidR="00A738D0" w:rsidRPr="002E7496">
        <w:rPr>
          <w:rFonts w:ascii="Arial" w:hAnsi="Arial" w:cs="Arial"/>
        </w:rPr>
        <w:t>The application for condonation and reinstatement is refused with costs, such costs to include the costs of two instructed counsel and one instructing counsel.</w:t>
      </w:r>
    </w:p>
    <w:p w:rsidR="008324AE" w:rsidRDefault="008324AE" w:rsidP="008324AE">
      <w:pPr>
        <w:pStyle w:val="ListParagraph"/>
        <w:spacing w:line="480" w:lineRule="auto"/>
        <w:jc w:val="both"/>
        <w:rPr>
          <w:rFonts w:ascii="Arial" w:hAnsi="Arial" w:cs="Arial"/>
        </w:rPr>
      </w:pPr>
    </w:p>
    <w:p w:rsidR="00607295" w:rsidRPr="002E7496" w:rsidRDefault="002E7496" w:rsidP="002E7496">
      <w:pPr>
        <w:spacing w:line="480" w:lineRule="auto"/>
        <w:ind w:left="720" w:hanging="360"/>
        <w:jc w:val="both"/>
        <w:rPr>
          <w:rFonts w:ascii="Arial" w:hAnsi="Arial" w:cs="Arial"/>
        </w:rPr>
      </w:pPr>
      <w:r w:rsidRPr="00607295">
        <w:rPr>
          <w:rFonts w:ascii="Arial" w:hAnsi="Arial" w:cs="Arial"/>
        </w:rPr>
        <w:t>(b)</w:t>
      </w:r>
      <w:r w:rsidRPr="00607295">
        <w:rPr>
          <w:rFonts w:ascii="Arial" w:hAnsi="Arial" w:cs="Arial"/>
        </w:rPr>
        <w:tab/>
      </w:r>
      <w:r w:rsidR="00607295" w:rsidRPr="002E7496">
        <w:rPr>
          <w:rFonts w:ascii="Arial" w:hAnsi="Arial" w:cs="Arial"/>
        </w:rPr>
        <w:t xml:space="preserve">The registrar of this court is directed to </w:t>
      </w:r>
      <w:r w:rsidR="00543841" w:rsidRPr="002E7496">
        <w:rPr>
          <w:rFonts w:ascii="Arial" w:hAnsi="Arial" w:cs="Arial"/>
        </w:rPr>
        <w:t>forward a copy of</w:t>
      </w:r>
      <w:r w:rsidR="00607295" w:rsidRPr="002E7496">
        <w:rPr>
          <w:rFonts w:ascii="Arial" w:hAnsi="Arial" w:cs="Arial"/>
        </w:rPr>
        <w:t xml:space="preserve"> this judgment to t</w:t>
      </w:r>
      <w:r w:rsidR="00B92E3B" w:rsidRPr="002E7496">
        <w:rPr>
          <w:rFonts w:ascii="Arial" w:hAnsi="Arial" w:cs="Arial"/>
        </w:rPr>
        <w:t>h</w:t>
      </w:r>
      <w:r w:rsidR="00607295" w:rsidRPr="002E7496">
        <w:rPr>
          <w:rFonts w:ascii="Arial" w:hAnsi="Arial" w:cs="Arial"/>
        </w:rPr>
        <w:t xml:space="preserve">e attention of the Council of the Law Society of Namibia </w:t>
      </w:r>
      <w:r w:rsidR="00B92E3B" w:rsidRPr="002E7496">
        <w:rPr>
          <w:rFonts w:ascii="Arial" w:hAnsi="Arial" w:cs="Arial"/>
        </w:rPr>
        <w:t>(</w:t>
      </w:r>
      <w:r w:rsidR="00607295" w:rsidRPr="002E7496">
        <w:rPr>
          <w:rFonts w:ascii="Arial" w:hAnsi="Arial" w:cs="Arial"/>
        </w:rPr>
        <w:t xml:space="preserve">the Council) for the Council to </w:t>
      </w:r>
      <w:r w:rsidR="00B92E3B" w:rsidRPr="002E7496">
        <w:rPr>
          <w:rFonts w:ascii="Arial" w:hAnsi="Arial" w:cs="Arial"/>
        </w:rPr>
        <w:t xml:space="preserve">investigate </w:t>
      </w:r>
      <w:r w:rsidR="00607295" w:rsidRPr="002E7496">
        <w:rPr>
          <w:rFonts w:ascii="Arial" w:hAnsi="Arial" w:cs="Arial"/>
        </w:rPr>
        <w:t xml:space="preserve">the issues raised in paras </w:t>
      </w:r>
      <w:r w:rsidR="002B34B2" w:rsidRPr="002E7496">
        <w:rPr>
          <w:rFonts w:ascii="Arial" w:hAnsi="Arial" w:cs="Arial"/>
        </w:rPr>
        <w:t>31</w:t>
      </w:r>
      <w:r w:rsidR="00607295" w:rsidRPr="002E7496">
        <w:rPr>
          <w:rFonts w:ascii="Arial" w:hAnsi="Arial" w:cs="Arial"/>
        </w:rPr>
        <w:t xml:space="preserve"> and </w:t>
      </w:r>
      <w:r w:rsidR="002B34B2" w:rsidRPr="002E7496">
        <w:rPr>
          <w:rFonts w:ascii="Arial" w:hAnsi="Arial" w:cs="Arial"/>
        </w:rPr>
        <w:t>32</w:t>
      </w:r>
      <w:r w:rsidR="00607295" w:rsidRPr="002E7496">
        <w:rPr>
          <w:rFonts w:ascii="Arial" w:hAnsi="Arial" w:cs="Arial"/>
        </w:rPr>
        <w:t xml:space="preserve"> of this judgment. </w:t>
      </w:r>
    </w:p>
    <w:p w:rsidR="001A5288" w:rsidRDefault="001A5288" w:rsidP="00DD3C99">
      <w:pPr>
        <w:jc w:val="both"/>
        <w:rPr>
          <w:rFonts w:ascii="Arial" w:hAnsi="Arial" w:cs="Arial"/>
        </w:rPr>
      </w:pPr>
    </w:p>
    <w:p w:rsidR="00A738D0" w:rsidRDefault="00A738D0" w:rsidP="00DD3C99">
      <w:pPr>
        <w:jc w:val="both"/>
        <w:rPr>
          <w:rFonts w:ascii="Arial" w:hAnsi="Arial" w:cs="Arial"/>
        </w:rPr>
      </w:pPr>
    </w:p>
    <w:p w:rsidR="00A738D0" w:rsidRDefault="00A738D0" w:rsidP="00DD3C99">
      <w:pPr>
        <w:jc w:val="both"/>
        <w:rPr>
          <w:rFonts w:ascii="Arial" w:hAnsi="Arial" w:cs="Arial"/>
        </w:rPr>
      </w:pPr>
    </w:p>
    <w:p w:rsidR="00DD3C99" w:rsidRDefault="00DD3C99" w:rsidP="00DD3C99">
      <w:pPr>
        <w:jc w:val="both"/>
        <w:rPr>
          <w:rFonts w:ascii="Arial" w:hAnsi="Arial" w:cs="Arial"/>
        </w:rPr>
      </w:pPr>
    </w:p>
    <w:p w:rsidR="00DD3C99" w:rsidRDefault="00DD3C99" w:rsidP="00DD3C99">
      <w:pPr>
        <w:jc w:val="both"/>
        <w:rPr>
          <w:rFonts w:ascii="Arial" w:hAnsi="Arial" w:cs="Arial"/>
        </w:rPr>
      </w:pPr>
    </w:p>
    <w:p w:rsidR="00A738D0" w:rsidRDefault="008324AE" w:rsidP="00543841">
      <w:pPr>
        <w:spacing w:line="276" w:lineRule="auto"/>
        <w:jc w:val="both"/>
        <w:rPr>
          <w:rFonts w:ascii="Arial" w:hAnsi="Arial" w:cs="Arial"/>
        </w:rPr>
      </w:pPr>
      <w:r>
        <w:rPr>
          <w:rFonts w:ascii="Arial" w:hAnsi="Arial" w:cs="Arial"/>
        </w:rPr>
        <w:t>____________________</w:t>
      </w:r>
    </w:p>
    <w:p w:rsidR="00A738D0" w:rsidRPr="008324AE" w:rsidRDefault="00A738D0" w:rsidP="00543841">
      <w:pPr>
        <w:spacing w:line="276" w:lineRule="auto"/>
        <w:jc w:val="both"/>
        <w:rPr>
          <w:rFonts w:ascii="Arial" w:hAnsi="Arial" w:cs="Arial"/>
          <w:b/>
        </w:rPr>
      </w:pPr>
      <w:r w:rsidRPr="008324AE">
        <w:rPr>
          <w:rFonts w:ascii="Arial" w:hAnsi="Arial" w:cs="Arial"/>
          <w:b/>
        </w:rPr>
        <w:t>SHIVUTE CJ</w:t>
      </w:r>
    </w:p>
    <w:p w:rsidR="00A738D0" w:rsidRDefault="00A738D0" w:rsidP="00543841">
      <w:pPr>
        <w:spacing w:line="276" w:lineRule="auto"/>
        <w:jc w:val="both"/>
        <w:rPr>
          <w:rFonts w:ascii="Arial" w:hAnsi="Arial" w:cs="Arial"/>
        </w:rPr>
      </w:pPr>
    </w:p>
    <w:p w:rsidR="00A738D0" w:rsidRDefault="00A738D0" w:rsidP="00543841">
      <w:pPr>
        <w:spacing w:line="276" w:lineRule="auto"/>
        <w:jc w:val="both"/>
        <w:rPr>
          <w:rFonts w:ascii="Arial" w:hAnsi="Arial" w:cs="Arial"/>
        </w:rPr>
      </w:pPr>
    </w:p>
    <w:p w:rsidR="00A738D0" w:rsidRDefault="00A738D0" w:rsidP="00543841">
      <w:pPr>
        <w:spacing w:line="276" w:lineRule="auto"/>
        <w:jc w:val="both"/>
        <w:rPr>
          <w:rFonts w:ascii="Arial" w:hAnsi="Arial" w:cs="Arial"/>
        </w:rPr>
      </w:pPr>
    </w:p>
    <w:p w:rsidR="00F113D5" w:rsidRDefault="00F113D5" w:rsidP="00543841">
      <w:pPr>
        <w:spacing w:line="276" w:lineRule="auto"/>
        <w:jc w:val="both"/>
        <w:rPr>
          <w:rFonts w:ascii="Arial" w:hAnsi="Arial" w:cs="Arial"/>
        </w:rPr>
      </w:pPr>
    </w:p>
    <w:p w:rsidR="00A738D0" w:rsidRDefault="00A738D0" w:rsidP="00543841">
      <w:pPr>
        <w:spacing w:line="276" w:lineRule="auto"/>
        <w:jc w:val="both"/>
        <w:rPr>
          <w:rFonts w:ascii="Arial" w:hAnsi="Arial" w:cs="Arial"/>
        </w:rPr>
      </w:pPr>
      <w:r>
        <w:rPr>
          <w:rFonts w:ascii="Arial" w:hAnsi="Arial" w:cs="Arial"/>
        </w:rPr>
        <w:t>_________</w:t>
      </w:r>
      <w:r w:rsidR="008324AE">
        <w:rPr>
          <w:rFonts w:ascii="Arial" w:hAnsi="Arial" w:cs="Arial"/>
        </w:rPr>
        <w:t>____________</w:t>
      </w:r>
    </w:p>
    <w:p w:rsidR="00A738D0" w:rsidRPr="008324AE" w:rsidRDefault="00A738D0" w:rsidP="00543841">
      <w:pPr>
        <w:spacing w:line="276" w:lineRule="auto"/>
        <w:jc w:val="both"/>
        <w:rPr>
          <w:rFonts w:ascii="Arial" w:hAnsi="Arial" w:cs="Arial"/>
          <w:b/>
        </w:rPr>
      </w:pPr>
      <w:r w:rsidRPr="008324AE">
        <w:rPr>
          <w:rFonts w:ascii="Arial" w:hAnsi="Arial" w:cs="Arial"/>
          <w:b/>
        </w:rPr>
        <w:t>SMUTS JA</w:t>
      </w:r>
    </w:p>
    <w:p w:rsidR="00A738D0" w:rsidRDefault="00A738D0" w:rsidP="00543841">
      <w:pPr>
        <w:spacing w:line="276" w:lineRule="auto"/>
        <w:jc w:val="both"/>
        <w:rPr>
          <w:rFonts w:ascii="Arial" w:hAnsi="Arial" w:cs="Arial"/>
        </w:rPr>
      </w:pPr>
    </w:p>
    <w:p w:rsidR="00A738D0" w:rsidRDefault="00A738D0" w:rsidP="00543841">
      <w:pPr>
        <w:spacing w:line="276" w:lineRule="auto"/>
        <w:jc w:val="both"/>
        <w:rPr>
          <w:rFonts w:ascii="Arial" w:hAnsi="Arial" w:cs="Arial"/>
        </w:rPr>
      </w:pPr>
    </w:p>
    <w:p w:rsidR="00F113D5" w:rsidRDefault="00F113D5" w:rsidP="00543841">
      <w:pPr>
        <w:spacing w:line="276" w:lineRule="auto"/>
        <w:jc w:val="both"/>
        <w:rPr>
          <w:rFonts w:ascii="Arial" w:hAnsi="Arial" w:cs="Arial"/>
        </w:rPr>
      </w:pPr>
    </w:p>
    <w:p w:rsidR="00A738D0" w:rsidRDefault="00A738D0" w:rsidP="00543841">
      <w:pPr>
        <w:spacing w:line="276" w:lineRule="auto"/>
        <w:jc w:val="both"/>
        <w:rPr>
          <w:rFonts w:ascii="Arial" w:hAnsi="Arial" w:cs="Arial"/>
        </w:rPr>
      </w:pPr>
    </w:p>
    <w:p w:rsidR="00A738D0" w:rsidRDefault="00A738D0" w:rsidP="00543841">
      <w:pPr>
        <w:spacing w:line="276" w:lineRule="auto"/>
        <w:jc w:val="both"/>
        <w:rPr>
          <w:rFonts w:ascii="Arial" w:hAnsi="Arial" w:cs="Arial"/>
        </w:rPr>
      </w:pPr>
      <w:r>
        <w:rPr>
          <w:rFonts w:ascii="Arial" w:hAnsi="Arial" w:cs="Arial"/>
        </w:rPr>
        <w:t>__________</w:t>
      </w:r>
      <w:r w:rsidR="00543841">
        <w:rPr>
          <w:rFonts w:ascii="Arial" w:hAnsi="Arial" w:cs="Arial"/>
        </w:rPr>
        <w:t>___________</w:t>
      </w:r>
    </w:p>
    <w:p w:rsidR="00543841" w:rsidRDefault="00A738D0" w:rsidP="00543841">
      <w:pPr>
        <w:spacing w:line="276" w:lineRule="auto"/>
        <w:jc w:val="both"/>
        <w:rPr>
          <w:rFonts w:ascii="Arial" w:hAnsi="Arial" w:cs="Arial"/>
          <w:b/>
        </w:rPr>
      </w:pPr>
      <w:r w:rsidRPr="008324AE">
        <w:rPr>
          <w:rFonts w:ascii="Arial" w:hAnsi="Arial" w:cs="Arial"/>
          <w:b/>
        </w:rPr>
        <w:t>FRANK AJA</w:t>
      </w:r>
    </w:p>
    <w:p w:rsidR="00543841" w:rsidRDefault="00543841">
      <w:pPr>
        <w:spacing w:after="200" w:line="276" w:lineRule="auto"/>
        <w:rPr>
          <w:rFonts w:ascii="Arial" w:hAnsi="Arial" w:cs="Arial"/>
          <w:b/>
        </w:rPr>
      </w:pPr>
      <w:r>
        <w:rPr>
          <w:rFonts w:ascii="Arial" w:hAnsi="Arial" w:cs="Arial"/>
          <w:b/>
        </w:rPr>
        <w:br w:type="page"/>
      </w:r>
    </w:p>
    <w:p w:rsidR="00A738D0" w:rsidRPr="00543841" w:rsidRDefault="00A738D0" w:rsidP="00543841">
      <w:pPr>
        <w:spacing w:line="276" w:lineRule="auto"/>
        <w:jc w:val="both"/>
        <w:rPr>
          <w:rFonts w:ascii="Arial" w:hAnsi="Arial" w:cs="Arial"/>
        </w:rPr>
      </w:pPr>
    </w:p>
    <w:p w:rsidR="00543841" w:rsidRPr="00543841" w:rsidRDefault="00543841" w:rsidP="00543841">
      <w:pPr>
        <w:spacing w:line="480" w:lineRule="auto"/>
        <w:jc w:val="both"/>
        <w:rPr>
          <w:rFonts w:ascii="Arial" w:hAnsi="Arial" w:cs="Arial"/>
        </w:rPr>
      </w:pPr>
      <w:r w:rsidRPr="00543841">
        <w:rPr>
          <w:rFonts w:ascii="Arial" w:hAnsi="Arial" w:cs="Arial"/>
        </w:rPr>
        <w:t>APPEARANCES</w:t>
      </w:r>
    </w:p>
    <w:p w:rsidR="00543841" w:rsidRPr="00543841" w:rsidRDefault="00543841" w:rsidP="00543841">
      <w:pPr>
        <w:spacing w:line="480" w:lineRule="auto"/>
        <w:jc w:val="both"/>
        <w:rPr>
          <w:rFonts w:ascii="Arial" w:hAnsi="Arial" w:cs="Arial"/>
        </w:rPr>
      </w:pPr>
    </w:p>
    <w:p w:rsidR="00543841" w:rsidRPr="00543841" w:rsidRDefault="00543841" w:rsidP="00543841">
      <w:pPr>
        <w:spacing w:line="480" w:lineRule="auto"/>
        <w:jc w:val="both"/>
        <w:rPr>
          <w:rFonts w:ascii="Arial" w:hAnsi="Arial" w:cs="Arial"/>
        </w:rPr>
      </w:pPr>
      <w:r w:rsidRPr="00543841">
        <w:rPr>
          <w:rFonts w:ascii="Arial" w:hAnsi="Arial" w:cs="Arial"/>
        </w:rPr>
        <w:t>APPLICANT: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26CB1">
        <w:rPr>
          <w:rFonts w:ascii="Arial" w:hAnsi="Arial" w:cs="Arial"/>
        </w:rPr>
        <w:t>T K</w:t>
      </w:r>
      <w:r>
        <w:rPr>
          <w:rFonts w:ascii="Arial" w:hAnsi="Arial" w:cs="Arial"/>
        </w:rPr>
        <w:t xml:space="preserve"> Kamuhanga</w:t>
      </w:r>
    </w:p>
    <w:p w:rsidR="00543841" w:rsidRPr="00543841" w:rsidRDefault="00543841" w:rsidP="00543841">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Instructed by AngulaCo Inc</w:t>
      </w:r>
    </w:p>
    <w:p w:rsidR="00543841" w:rsidRPr="00543841" w:rsidRDefault="00543841" w:rsidP="00543841">
      <w:pPr>
        <w:spacing w:line="480" w:lineRule="auto"/>
        <w:jc w:val="both"/>
        <w:rPr>
          <w:rFonts w:ascii="Arial" w:hAnsi="Arial" w:cs="Arial"/>
        </w:rPr>
      </w:pPr>
    </w:p>
    <w:p w:rsidR="00543841" w:rsidRDefault="00543841" w:rsidP="00543841">
      <w:pPr>
        <w:spacing w:line="480" w:lineRule="auto"/>
        <w:jc w:val="both"/>
        <w:rPr>
          <w:rFonts w:ascii="Arial" w:hAnsi="Arial" w:cs="Arial"/>
        </w:rPr>
      </w:pPr>
      <w:r w:rsidRPr="00543841">
        <w:rPr>
          <w:rFonts w:ascii="Arial" w:hAnsi="Arial" w:cs="Arial"/>
        </w:rPr>
        <w:t>TWENTY-SEVENTH RESPONDENT</w:t>
      </w:r>
      <w:r>
        <w:rPr>
          <w:rFonts w:ascii="Arial" w:hAnsi="Arial" w:cs="Arial"/>
        </w:rPr>
        <w:t>:</w:t>
      </w:r>
      <w:r>
        <w:rPr>
          <w:rFonts w:ascii="Arial" w:hAnsi="Arial" w:cs="Arial"/>
        </w:rPr>
        <w:tab/>
      </w:r>
      <w:r>
        <w:rPr>
          <w:rFonts w:ascii="Arial" w:hAnsi="Arial" w:cs="Arial"/>
        </w:rPr>
        <w:tab/>
        <w:t>R Heathcote (with him S J Jacobs)</w:t>
      </w:r>
    </w:p>
    <w:p w:rsidR="00543841" w:rsidRDefault="00543841" w:rsidP="00543841">
      <w:pPr>
        <w:spacing w:line="480" w:lineRule="auto"/>
        <w:ind w:left="5040"/>
        <w:jc w:val="both"/>
        <w:rPr>
          <w:rFonts w:ascii="Arial" w:hAnsi="Arial" w:cs="Arial"/>
        </w:rPr>
      </w:pPr>
      <w:r>
        <w:rPr>
          <w:rFonts w:ascii="Arial" w:hAnsi="Arial" w:cs="Arial"/>
        </w:rPr>
        <w:t>Instructed by van der Merwe-Greeff A</w:t>
      </w:r>
      <w:r w:rsidR="00326CB1">
        <w:rPr>
          <w:rFonts w:ascii="Arial" w:hAnsi="Arial" w:cs="Arial"/>
        </w:rPr>
        <w:t>n</w:t>
      </w:r>
      <w:r>
        <w:rPr>
          <w:rFonts w:ascii="Arial" w:hAnsi="Arial" w:cs="Arial"/>
        </w:rPr>
        <w:t>dima Inc</w:t>
      </w:r>
    </w:p>
    <w:p w:rsidR="00543841" w:rsidRDefault="00543841" w:rsidP="00543841">
      <w:pPr>
        <w:spacing w:line="480" w:lineRule="auto"/>
        <w:jc w:val="both"/>
        <w:rPr>
          <w:rFonts w:ascii="Arial" w:hAnsi="Arial" w:cs="Arial"/>
        </w:rPr>
      </w:pPr>
    </w:p>
    <w:p w:rsidR="00543841" w:rsidRPr="00543841" w:rsidRDefault="00543841" w:rsidP="00543841">
      <w:pPr>
        <w:spacing w:line="480" w:lineRule="auto"/>
        <w:jc w:val="both"/>
        <w:rPr>
          <w:rFonts w:ascii="Arial" w:hAnsi="Arial" w:cs="Arial"/>
        </w:rPr>
      </w:pPr>
    </w:p>
    <w:sectPr w:rsidR="00543841" w:rsidRPr="00543841" w:rsidSect="008B79DF">
      <w:headerReference w:type="default" r:id="rId9"/>
      <w:pgSz w:w="11906" w:h="16838"/>
      <w:pgMar w:top="1701" w:right="1418"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FA9" w:rsidRDefault="003C7FA9" w:rsidP="009D06D4">
      <w:r>
        <w:separator/>
      </w:r>
    </w:p>
  </w:endnote>
  <w:endnote w:type="continuationSeparator" w:id="0">
    <w:p w:rsidR="003C7FA9" w:rsidRDefault="003C7FA9" w:rsidP="009D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FA9" w:rsidRDefault="003C7FA9" w:rsidP="009D06D4">
      <w:r>
        <w:separator/>
      </w:r>
    </w:p>
  </w:footnote>
  <w:footnote w:type="continuationSeparator" w:id="0">
    <w:p w:rsidR="003C7FA9" w:rsidRDefault="003C7FA9" w:rsidP="009D06D4">
      <w:r>
        <w:continuationSeparator/>
      </w:r>
    </w:p>
  </w:footnote>
  <w:footnote w:id="1">
    <w:p w:rsidR="009C0CD3" w:rsidRPr="00C94B07" w:rsidRDefault="009C0CD3" w:rsidP="002C1066">
      <w:pPr>
        <w:pStyle w:val="FootnoteText"/>
        <w:jc w:val="both"/>
        <w:rPr>
          <w:rFonts w:ascii="Arial" w:hAnsi="Arial" w:cs="Arial"/>
        </w:rPr>
      </w:pPr>
      <w:r w:rsidRPr="00756CEA">
        <w:rPr>
          <w:rStyle w:val="FootnoteReference"/>
          <w:rFonts w:ascii="Arial" w:hAnsi="Arial" w:cs="Arial"/>
          <w:sz w:val="22"/>
          <w:szCs w:val="22"/>
        </w:rPr>
        <w:footnoteRef/>
      </w:r>
      <w:r w:rsidRPr="00756CEA">
        <w:rPr>
          <w:rFonts w:ascii="Arial" w:hAnsi="Arial" w:cs="Arial"/>
          <w:sz w:val="22"/>
          <w:szCs w:val="22"/>
        </w:rPr>
        <w:t xml:space="preserve"> </w:t>
      </w:r>
      <w:r w:rsidRPr="00C94B07">
        <w:rPr>
          <w:rFonts w:ascii="Arial" w:hAnsi="Arial" w:cs="Arial"/>
        </w:rPr>
        <w:t>New Rules of the Supreme Court of Namibia were promulgated by Government Notice No. 249, published in Government Gazette No. 6425, dated 29 September 2017 and have come into operation on 15 November 2017. Legal practitioners intending to practice at the Supreme Court are strongly urged to familiarise themselves with the new rules to ensure that they are applied correctly.</w:t>
      </w:r>
    </w:p>
    <w:p w:rsidR="009C0CD3" w:rsidRPr="00C94B07" w:rsidRDefault="009C0CD3">
      <w:pPr>
        <w:pStyle w:val="FootnoteText"/>
        <w:rPr>
          <w:rFonts w:ascii="Arial" w:hAnsi="Arial" w:cs="Arial"/>
        </w:rPr>
      </w:pPr>
    </w:p>
  </w:footnote>
  <w:footnote w:id="2">
    <w:p w:rsidR="009C0CD3" w:rsidRPr="00C94B07" w:rsidRDefault="009C0CD3" w:rsidP="00BB06DF">
      <w:pPr>
        <w:pStyle w:val="FootnoteText"/>
        <w:rPr>
          <w:rFonts w:ascii="Arial" w:hAnsi="Arial" w:cs="Arial"/>
          <w:lang w:val="en-US"/>
        </w:rPr>
      </w:pPr>
      <w:r w:rsidRPr="00C94B07">
        <w:rPr>
          <w:rStyle w:val="FootnoteReference"/>
          <w:rFonts w:ascii="Arial" w:hAnsi="Arial" w:cs="Arial"/>
        </w:rPr>
        <w:footnoteRef/>
      </w:r>
      <w:r w:rsidRPr="00C94B07">
        <w:rPr>
          <w:rFonts w:ascii="Arial" w:hAnsi="Arial" w:cs="Arial"/>
        </w:rPr>
        <w:t xml:space="preserve"> </w:t>
      </w:r>
      <w:r w:rsidRPr="00C94B07">
        <w:rPr>
          <w:rFonts w:ascii="Arial" w:hAnsi="Arial" w:cs="Arial"/>
          <w:i/>
          <w:lang w:val="en-US"/>
        </w:rPr>
        <w:t xml:space="preserve">Ondjava Construction CC v HAW Retailers t/a Ark Trading </w:t>
      </w:r>
      <w:r>
        <w:rPr>
          <w:rFonts w:ascii="Arial" w:hAnsi="Arial" w:cs="Arial"/>
          <w:lang w:val="en-US"/>
        </w:rPr>
        <w:t>2010 (1) NR 286 (SC)</w:t>
      </w:r>
      <w:r w:rsidRPr="00C94B07">
        <w:rPr>
          <w:rFonts w:ascii="Arial" w:hAnsi="Arial" w:cs="Arial"/>
          <w:lang w:val="en-US"/>
        </w:rPr>
        <w:t xml:space="preserve"> para 2.</w:t>
      </w:r>
    </w:p>
  </w:footnote>
  <w:footnote w:id="3">
    <w:p w:rsidR="009C0CD3" w:rsidRPr="00C94B07" w:rsidRDefault="009C0CD3" w:rsidP="00155980">
      <w:pPr>
        <w:pStyle w:val="FootnoteText"/>
        <w:jc w:val="both"/>
        <w:rPr>
          <w:rFonts w:ascii="Arial" w:hAnsi="Arial" w:cs="Arial"/>
        </w:rPr>
      </w:pPr>
      <w:r w:rsidRPr="00C94B07">
        <w:rPr>
          <w:rStyle w:val="FootnoteReference"/>
          <w:rFonts w:ascii="Arial" w:hAnsi="Arial" w:cs="Arial"/>
        </w:rPr>
        <w:footnoteRef/>
      </w:r>
      <w:r w:rsidRPr="00C94B07">
        <w:rPr>
          <w:rFonts w:ascii="Arial" w:hAnsi="Arial" w:cs="Arial"/>
        </w:rPr>
        <w:t xml:space="preserve"> In terms of rule 5(6</w:t>
      </w:r>
      <w:r>
        <w:rPr>
          <w:rFonts w:ascii="Arial" w:hAnsi="Arial" w:cs="Arial"/>
        </w:rPr>
        <w:t>)</w:t>
      </w:r>
      <w:r w:rsidRPr="00C94B07">
        <w:rPr>
          <w:rFonts w:ascii="Arial" w:hAnsi="Arial" w:cs="Arial"/>
        </w:rPr>
        <w:t>(</w:t>
      </w:r>
      <w:r w:rsidRPr="00C94B07">
        <w:rPr>
          <w:rFonts w:ascii="Arial" w:hAnsi="Arial" w:cs="Arial"/>
          <w:i/>
        </w:rPr>
        <w:t>b</w:t>
      </w:r>
      <w:r w:rsidRPr="00C94B07">
        <w:rPr>
          <w:rFonts w:ascii="Arial" w:hAnsi="Arial" w:cs="Arial"/>
        </w:rPr>
        <w:t xml:space="preserve">) of the Rules of Court the executor could only agree to the extension of the period to file the record before the period has prescribed. </w:t>
      </w:r>
    </w:p>
  </w:footnote>
  <w:footnote w:id="4">
    <w:p w:rsidR="009C0CD3" w:rsidRPr="00C94B07" w:rsidRDefault="009C0CD3" w:rsidP="00756CEA">
      <w:pPr>
        <w:pStyle w:val="FootnoteText"/>
        <w:jc w:val="both"/>
        <w:rPr>
          <w:rFonts w:ascii="Arial" w:hAnsi="Arial" w:cs="Arial"/>
        </w:rPr>
      </w:pPr>
      <w:r w:rsidRPr="00C94B07">
        <w:rPr>
          <w:rStyle w:val="FootnoteReference"/>
          <w:rFonts w:ascii="Arial" w:hAnsi="Arial" w:cs="Arial"/>
        </w:rPr>
        <w:footnoteRef/>
      </w:r>
      <w:r w:rsidRPr="00C94B07">
        <w:rPr>
          <w:rFonts w:ascii="Arial" w:hAnsi="Arial" w:cs="Arial"/>
        </w:rPr>
        <w:t xml:space="preserve"> Such as </w:t>
      </w:r>
      <w:r w:rsidRPr="00C94B07">
        <w:rPr>
          <w:rFonts w:ascii="Arial" w:hAnsi="Arial" w:cs="Arial"/>
          <w:i/>
        </w:rPr>
        <w:t>Beukes &amp; another v SWABOU</w:t>
      </w:r>
      <w:r w:rsidRPr="00C94B07">
        <w:rPr>
          <w:rFonts w:ascii="Arial" w:hAnsi="Arial" w:cs="Arial"/>
        </w:rPr>
        <w:t xml:space="preserve"> [2010] NASC 14 at para 12; </w:t>
      </w:r>
      <w:r w:rsidRPr="00C94B07">
        <w:rPr>
          <w:rFonts w:ascii="Arial" w:hAnsi="Arial" w:cs="Arial"/>
          <w:i/>
        </w:rPr>
        <w:t>Rainer Arangies t/a Auto Tech v Quick Build</w:t>
      </w:r>
      <w:r w:rsidRPr="00C94B07">
        <w:rPr>
          <w:rFonts w:ascii="Arial" w:hAnsi="Arial" w:cs="Arial"/>
        </w:rPr>
        <w:t xml:space="preserve"> 2014 (1) NR 187 (SC) paras 4 and 5</w:t>
      </w:r>
      <w:r>
        <w:rPr>
          <w:rFonts w:ascii="Arial" w:hAnsi="Arial" w:cs="Arial"/>
        </w:rPr>
        <w:t>.</w:t>
      </w:r>
    </w:p>
  </w:footnote>
  <w:footnote w:id="5">
    <w:p w:rsidR="009C0CD3" w:rsidRPr="00C94B07" w:rsidRDefault="009C0CD3">
      <w:pPr>
        <w:pStyle w:val="FootnoteText"/>
        <w:rPr>
          <w:rFonts w:ascii="Arial" w:hAnsi="Arial" w:cs="Arial"/>
        </w:rPr>
      </w:pPr>
      <w:r w:rsidRPr="00C94B07">
        <w:rPr>
          <w:rStyle w:val="FootnoteReference"/>
          <w:rFonts w:ascii="Arial" w:hAnsi="Arial" w:cs="Arial"/>
        </w:rPr>
        <w:footnoteRef/>
      </w:r>
      <w:r w:rsidRPr="00C94B07">
        <w:rPr>
          <w:rFonts w:ascii="Arial" w:hAnsi="Arial" w:cs="Arial"/>
        </w:rPr>
        <w:t xml:space="preserve"> 2008 (2) NR 432 (SC).</w:t>
      </w:r>
    </w:p>
  </w:footnote>
  <w:footnote w:id="6">
    <w:p w:rsidR="009C0CD3" w:rsidRPr="00C94B07" w:rsidRDefault="009C0CD3" w:rsidP="002C1066">
      <w:pPr>
        <w:pStyle w:val="FootnoteText"/>
        <w:jc w:val="both"/>
        <w:rPr>
          <w:rFonts w:ascii="Arial" w:hAnsi="Arial" w:cs="Arial"/>
        </w:rPr>
      </w:pPr>
      <w:r w:rsidRPr="00C94B07">
        <w:rPr>
          <w:rStyle w:val="FootnoteReference"/>
          <w:rFonts w:ascii="Arial" w:hAnsi="Arial" w:cs="Arial"/>
        </w:rPr>
        <w:footnoteRef/>
      </w:r>
      <w:r w:rsidRPr="00C94B07">
        <w:rPr>
          <w:rFonts w:ascii="Arial" w:hAnsi="Arial" w:cs="Arial"/>
        </w:rPr>
        <w:t xml:space="preserve"> For example, </w:t>
      </w:r>
      <w:r w:rsidRPr="00C94B07">
        <w:rPr>
          <w:rFonts w:ascii="Arial" w:hAnsi="Arial" w:cs="Arial"/>
          <w:i/>
        </w:rPr>
        <w:t xml:space="preserve">Shilongo v Church of the Evangelical Lutheran Church in the Republic of Namibia </w:t>
      </w:r>
      <w:r w:rsidRPr="00C94B07">
        <w:rPr>
          <w:rFonts w:ascii="Arial" w:hAnsi="Arial" w:cs="Arial"/>
        </w:rPr>
        <w:t xml:space="preserve">2014 (1) NR 166 (SC) and </w:t>
      </w:r>
      <w:r w:rsidRPr="00C94B07">
        <w:rPr>
          <w:rFonts w:ascii="Arial" w:hAnsi="Arial" w:cs="Arial"/>
          <w:i/>
        </w:rPr>
        <w:t>Disciplinary Committee for Legal Practitioners v Murorua &amp; another</w:t>
      </w:r>
      <w:r w:rsidRPr="00C94B07">
        <w:rPr>
          <w:rFonts w:ascii="Arial" w:hAnsi="Arial" w:cs="Arial"/>
        </w:rPr>
        <w:t xml:space="preserve"> 2016 (2) NR 31 (SC).</w:t>
      </w:r>
    </w:p>
  </w:footnote>
  <w:footnote w:id="7">
    <w:p w:rsidR="009C0CD3" w:rsidRPr="00C94B07" w:rsidRDefault="009C0CD3" w:rsidP="00DD3C99">
      <w:pPr>
        <w:pStyle w:val="FootnoteText"/>
        <w:jc w:val="both"/>
        <w:rPr>
          <w:rFonts w:ascii="Arial" w:hAnsi="Arial" w:cs="Arial"/>
        </w:rPr>
      </w:pPr>
      <w:r w:rsidRPr="00C94B07">
        <w:rPr>
          <w:rStyle w:val="FootnoteReference"/>
          <w:rFonts w:ascii="Arial" w:hAnsi="Arial" w:cs="Arial"/>
        </w:rPr>
        <w:footnoteRef/>
      </w:r>
      <w:r w:rsidRPr="00C94B07">
        <w:rPr>
          <w:rFonts w:ascii="Arial" w:hAnsi="Arial" w:cs="Arial"/>
        </w:rPr>
        <w:t xml:space="preserve"> </w:t>
      </w:r>
      <w:r w:rsidRPr="00C94B07">
        <w:rPr>
          <w:rFonts w:ascii="Arial" w:hAnsi="Arial" w:cs="Arial"/>
          <w:i/>
        </w:rPr>
        <w:t>Katjaimo v Katjaimo</w:t>
      </w:r>
      <w:r w:rsidR="00756CEA">
        <w:rPr>
          <w:rFonts w:ascii="Arial" w:hAnsi="Arial" w:cs="Arial"/>
        </w:rPr>
        <w:t xml:space="preserve"> 2015 (2) NR 340 (SC) </w:t>
      </w:r>
      <w:r w:rsidRPr="00C94B07">
        <w:rPr>
          <w:rFonts w:ascii="Arial" w:hAnsi="Arial" w:cs="Arial"/>
        </w:rPr>
        <w:t xml:space="preserve">para 21; </w:t>
      </w:r>
      <w:r w:rsidRPr="00C94B07">
        <w:rPr>
          <w:rFonts w:ascii="Arial" w:hAnsi="Arial" w:cs="Arial"/>
          <w:i/>
        </w:rPr>
        <w:t>Tweya v Herbert &amp; others</w:t>
      </w:r>
      <w:r w:rsidRPr="00C94B07">
        <w:rPr>
          <w:rFonts w:ascii="Arial" w:hAnsi="Arial" w:cs="Arial"/>
        </w:rPr>
        <w:t xml:space="preserve"> [2016] NASC 76 para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884853"/>
      <w:docPartObj>
        <w:docPartGallery w:val="Page Numbers (Top of Page)"/>
        <w:docPartUnique/>
      </w:docPartObj>
    </w:sdtPr>
    <w:sdtEndPr>
      <w:rPr>
        <w:rFonts w:ascii="Arial" w:hAnsi="Arial" w:cs="Arial"/>
        <w:noProof/>
      </w:rPr>
    </w:sdtEndPr>
    <w:sdtContent>
      <w:p w:rsidR="009C0CD3" w:rsidRPr="00C94B07" w:rsidRDefault="009C0CD3">
        <w:pPr>
          <w:pStyle w:val="Header"/>
          <w:jc w:val="right"/>
          <w:rPr>
            <w:rFonts w:ascii="Arial" w:hAnsi="Arial" w:cs="Arial"/>
          </w:rPr>
        </w:pPr>
        <w:r w:rsidRPr="00C94B07">
          <w:rPr>
            <w:rFonts w:ascii="Arial" w:hAnsi="Arial" w:cs="Arial"/>
          </w:rPr>
          <w:fldChar w:fldCharType="begin"/>
        </w:r>
        <w:r w:rsidRPr="00C94B07">
          <w:rPr>
            <w:rFonts w:ascii="Arial" w:hAnsi="Arial" w:cs="Arial"/>
          </w:rPr>
          <w:instrText xml:space="preserve"> PAGE   \* MERGEFORMAT </w:instrText>
        </w:r>
        <w:r w:rsidRPr="00C94B07">
          <w:rPr>
            <w:rFonts w:ascii="Arial" w:hAnsi="Arial" w:cs="Arial"/>
          </w:rPr>
          <w:fldChar w:fldCharType="separate"/>
        </w:r>
        <w:r w:rsidR="002E7496">
          <w:rPr>
            <w:rFonts w:ascii="Arial" w:hAnsi="Arial" w:cs="Arial"/>
            <w:noProof/>
          </w:rPr>
          <w:t>3</w:t>
        </w:r>
        <w:r w:rsidRPr="00C94B07">
          <w:rPr>
            <w:rFonts w:ascii="Arial" w:hAnsi="Arial" w:cs="Arial"/>
            <w:noProof/>
          </w:rPr>
          <w:fldChar w:fldCharType="end"/>
        </w:r>
      </w:p>
    </w:sdtContent>
  </w:sdt>
  <w:p w:rsidR="009C0CD3" w:rsidRDefault="009C0CD3" w:rsidP="00D423D9">
    <w:pPr>
      <w:pStyle w:val="Header"/>
      <w:tabs>
        <w:tab w:val="clear" w:pos="4513"/>
        <w:tab w:val="clear" w:pos="9026"/>
        <w:tab w:val="left" w:pos="6195"/>
      </w:tabs>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604C"/>
    <w:multiLevelType w:val="hybridMultilevel"/>
    <w:tmpl w:val="FF9A4942"/>
    <w:lvl w:ilvl="0" w:tplc="9DAC68B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476AB"/>
    <w:multiLevelType w:val="hybridMultilevel"/>
    <w:tmpl w:val="4A60D320"/>
    <w:lvl w:ilvl="0" w:tplc="10E0DD84">
      <w:start w:val="1"/>
      <w:numFmt w:val="decimal"/>
      <w:lvlText w:val="[%1]"/>
      <w:lvlJc w:val="left"/>
      <w:pPr>
        <w:ind w:left="0" w:firstLine="0"/>
      </w:pPr>
      <w:rPr>
        <w:rFonts w:hint="default"/>
        <w:i w:val="0"/>
        <w:color w:val="000000" w:themeColor="text1"/>
      </w:rPr>
    </w:lvl>
    <w:lvl w:ilvl="1" w:tplc="4AD06654">
      <w:start w:val="1"/>
      <w:numFmt w:val="decimal"/>
      <w:lvlText w:val="30.%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F3246"/>
    <w:multiLevelType w:val="hybridMultilevel"/>
    <w:tmpl w:val="CEC62106"/>
    <w:lvl w:ilvl="0" w:tplc="9DAC68B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05D05"/>
    <w:multiLevelType w:val="hybridMultilevel"/>
    <w:tmpl w:val="C054E354"/>
    <w:lvl w:ilvl="0" w:tplc="10E0DD84">
      <w:start w:val="1"/>
      <w:numFmt w:val="decimal"/>
      <w:lvlText w:val="[%1]"/>
      <w:lvlJc w:val="left"/>
      <w:pPr>
        <w:ind w:left="720" w:hanging="360"/>
      </w:pPr>
      <w:rPr>
        <w:rFonts w:hint="default"/>
        <w:i w:val="0"/>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7C3E0F"/>
    <w:multiLevelType w:val="hybridMultilevel"/>
    <w:tmpl w:val="1E703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F2E82"/>
    <w:multiLevelType w:val="hybridMultilevel"/>
    <w:tmpl w:val="E504564E"/>
    <w:lvl w:ilvl="0" w:tplc="8ADECDCC">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6" w15:restartNumberingAfterBreak="0">
    <w:nsid w:val="247024DC"/>
    <w:multiLevelType w:val="hybridMultilevel"/>
    <w:tmpl w:val="C09CCB2C"/>
    <w:lvl w:ilvl="0" w:tplc="B46629D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CE0FD1"/>
    <w:multiLevelType w:val="hybridMultilevel"/>
    <w:tmpl w:val="F4864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641A9A"/>
    <w:multiLevelType w:val="hybridMultilevel"/>
    <w:tmpl w:val="9D4E2E9A"/>
    <w:lvl w:ilvl="0" w:tplc="10E0DD84">
      <w:start w:val="1"/>
      <w:numFmt w:val="decimal"/>
      <w:lvlText w:val="[%1]"/>
      <w:lvlJc w:val="left"/>
      <w:pPr>
        <w:ind w:left="720" w:hanging="360"/>
      </w:pPr>
      <w:rPr>
        <w:rFonts w:hint="default"/>
        <w:i w:val="0"/>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9B5692"/>
    <w:multiLevelType w:val="hybridMultilevel"/>
    <w:tmpl w:val="E11EFDF2"/>
    <w:lvl w:ilvl="0" w:tplc="9DAC68BC">
      <w:start w:val="1"/>
      <w:numFmt w:val="decimal"/>
      <w:lvlText w:val="[%1]"/>
      <w:lvlJc w:val="lef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5C43CA5"/>
    <w:multiLevelType w:val="hybridMultilevel"/>
    <w:tmpl w:val="731C7DBE"/>
    <w:lvl w:ilvl="0" w:tplc="9DAC68B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9C3DCF"/>
    <w:multiLevelType w:val="hybridMultilevel"/>
    <w:tmpl w:val="2C10D0C8"/>
    <w:lvl w:ilvl="0" w:tplc="9DAC68B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3F59A9"/>
    <w:multiLevelType w:val="hybridMultilevel"/>
    <w:tmpl w:val="015C7210"/>
    <w:lvl w:ilvl="0" w:tplc="9DAC68B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5A1D6F"/>
    <w:multiLevelType w:val="hybridMultilevel"/>
    <w:tmpl w:val="1EA2A60A"/>
    <w:lvl w:ilvl="0" w:tplc="8BB4F6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87601B"/>
    <w:multiLevelType w:val="hybridMultilevel"/>
    <w:tmpl w:val="C1C8979E"/>
    <w:lvl w:ilvl="0" w:tplc="9DAC68B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0D462F"/>
    <w:multiLevelType w:val="hybridMultilevel"/>
    <w:tmpl w:val="67BAB10E"/>
    <w:lvl w:ilvl="0" w:tplc="10E0DD84">
      <w:start w:val="1"/>
      <w:numFmt w:val="decimal"/>
      <w:lvlText w:val="[%1]"/>
      <w:lvlJc w:val="left"/>
      <w:pPr>
        <w:ind w:left="720" w:hanging="360"/>
      </w:pPr>
      <w:rPr>
        <w:rFonts w:hint="default"/>
        <w:i w:val="0"/>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AEA098E"/>
    <w:multiLevelType w:val="hybridMultilevel"/>
    <w:tmpl w:val="C39CE33C"/>
    <w:lvl w:ilvl="0" w:tplc="5C5825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D6F4083"/>
    <w:multiLevelType w:val="hybridMultilevel"/>
    <w:tmpl w:val="6C7EB020"/>
    <w:lvl w:ilvl="0" w:tplc="9DAC68B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CC6377"/>
    <w:multiLevelType w:val="hybridMultilevel"/>
    <w:tmpl w:val="8452B9C4"/>
    <w:lvl w:ilvl="0" w:tplc="9DDC9E0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2741D33"/>
    <w:multiLevelType w:val="hybridMultilevel"/>
    <w:tmpl w:val="C09CCB2C"/>
    <w:lvl w:ilvl="0" w:tplc="B46629D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6"/>
  </w:num>
  <w:num w:numId="3">
    <w:abstractNumId w:val="0"/>
  </w:num>
  <w:num w:numId="4">
    <w:abstractNumId w:val="6"/>
  </w:num>
  <w:num w:numId="5">
    <w:abstractNumId w:val="19"/>
  </w:num>
  <w:num w:numId="6">
    <w:abstractNumId w:val="14"/>
  </w:num>
  <w:num w:numId="7">
    <w:abstractNumId w:val="18"/>
  </w:num>
  <w:num w:numId="8">
    <w:abstractNumId w:val="17"/>
  </w:num>
  <w:num w:numId="9">
    <w:abstractNumId w:val="2"/>
  </w:num>
  <w:num w:numId="10">
    <w:abstractNumId w:val="7"/>
  </w:num>
  <w:num w:numId="11">
    <w:abstractNumId w:val="4"/>
  </w:num>
  <w:num w:numId="12">
    <w:abstractNumId w:val="11"/>
  </w:num>
  <w:num w:numId="13">
    <w:abstractNumId w:val="10"/>
  </w:num>
  <w:num w:numId="14">
    <w:abstractNumId w:val="12"/>
  </w:num>
  <w:num w:numId="15">
    <w:abstractNumId w:val="9"/>
  </w:num>
  <w:num w:numId="16">
    <w:abstractNumId w:val="13"/>
  </w:num>
  <w:num w:numId="17">
    <w:abstractNumId w:val="5"/>
  </w:num>
  <w:num w:numId="18">
    <w:abstractNumId w:val="15"/>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80"/>
    <w:rsid w:val="00000AD3"/>
    <w:rsid w:val="00001087"/>
    <w:rsid w:val="00003124"/>
    <w:rsid w:val="00007BC8"/>
    <w:rsid w:val="00007CCE"/>
    <w:rsid w:val="000154BF"/>
    <w:rsid w:val="00034173"/>
    <w:rsid w:val="00036780"/>
    <w:rsid w:val="00040233"/>
    <w:rsid w:val="00041434"/>
    <w:rsid w:val="000423B6"/>
    <w:rsid w:val="0005193F"/>
    <w:rsid w:val="0005372B"/>
    <w:rsid w:val="000633F8"/>
    <w:rsid w:val="00091580"/>
    <w:rsid w:val="00093379"/>
    <w:rsid w:val="00095A65"/>
    <w:rsid w:val="000A05BE"/>
    <w:rsid w:val="000A1209"/>
    <w:rsid w:val="000A4B7A"/>
    <w:rsid w:val="000B1464"/>
    <w:rsid w:val="000B715D"/>
    <w:rsid w:val="000C604D"/>
    <w:rsid w:val="000E327A"/>
    <w:rsid w:val="000E4F18"/>
    <w:rsid w:val="000E7F80"/>
    <w:rsid w:val="000F3C42"/>
    <w:rsid w:val="000F6F9C"/>
    <w:rsid w:val="0010123B"/>
    <w:rsid w:val="00101281"/>
    <w:rsid w:val="0010245E"/>
    <w:rsid w:val="00102DDE"/>
    <w:rsid w:val="00105EEF"/>
    <w:rsid w:val="00110545"/>
    <w:rsid w:val="00113173"/>
    <w:rsid w:val="00116897"/>
    <w:rsid w:val="00117B6F"/>
    <w:rsid w:val="00155980"/>
    <w:rsid w:val="0015644F"/>
    <w:rsid w:val="001571ED"/>
    <w:rsid w:val="00162E05"/>
    <w:rsid w:val="00164060"/>
    <w:rsid w:val="00167CF9"/>
    <w:rsid w:val="00176809"/>
    <w:rsid w:val="00190C58"/>
    <w:rsid w:val="00192127"/>
    <w:rsid w:val="001A5288"/>
    <w:rsid w:val="001C3DBF"/>
    <w:rsid w:val="001E7F25"/>
    <w:rsid w:val="001F1B85"/>
    <w:rsid w:val="0020189B"/>
    <w:rsid w:val="00210211"/>
    <w:rsid w:val="002110AA"/>
    <w:rsid w:val="0023698D"/>
    <w:rsid w:val="00244FD0"/>
    <w:rsid w:val="00261A11"/>
    <w:rsid w:val="00273EE8"/>
    <w:rsid w:val="0028150F"/>
    <w:rsid w:val="00292A61"/>
    <w:rsid w:val="002A35EE"/>
    <w:rsid w:val="002A746B"/>
    <w:rsid w:val="002B2D4D"/>
    <w:rsid w:val="002B30DF"/>
    <w:rsid w:val="002B34B2"/>
    <w:rsid w:val="002B3E27"/>
    <w:rsid w:val="002C1066"/>
    <w:rsid w:val="002D44F6"/>
    <w:rsid w:val="002D4CAC"/>
    <w:rsid w:val="002D5DB7"/>
    <w:rsid w:val="002D6E08"/>
    <w:rsid w:val="002E508F"/>
    <w:rsid w:val="002E7496"/>
    <w:rsid w:val="002F2543"/>
    <w:rsid w:val="002F6685"/>
    <w:rsid w:val="002F7FB7"/>
    <w:rsid w:val="00307DB2"/>
    <w:rsid w:val="00311DF9"/>
    <w:rsid w:val="00320BF0"/>
    <w:rsid w:val="003259BA"/>
    <w:rsid w:val="00326488"/>
    <w:rsid w:val="00326CB1"/>
    <w:rsid w:val="00335C6A"/>
    <w:rsid w:val="00345023"/>
    <w:rsid w:val="00354BE3"/>
    <w:rsid w:val="003570E0"/>
    <w:rsid w:val="00360B68"/>
    <w:rsid w:val="00362C10"/>
    <w:rsid w:val="00363615"/>
    <w:rsid w:val="0037612A"/>
    <w:rsid w:val="003850CE"/>
    <w:rsid w:val="00387496"/>
    <w:rsid w:val="0039762C"/>
    <w:rsid w:val="003A4588"/>
    <w:rsid w:val="003B3483"/>
    <w:rsid w:val="003C0664"/>
    <w:rsid w:val="003C2004"/>
    <w:rsid w:val="003C7FA9"/>
    <w:rsid w:val="003D3D1E"/>
    <w:rsid w:val="003F366C"/>
    <w:rsid w:val="003F7F5E"/>
    <w:rsid w:val="0040327A"/>
    <w:rsid w:val="0041208F"/>
    <w:rsid w:val="00417669"/>
    <w:rsid w:val="00431F50"/>
    <w:rsid w:val="0043223C"/>
    <w:rsid w:val="00445655"/>
    <w:rsid w:val="004524DE"/>
    <w:rsid w:val="00453733"/>
    <w:rsid w:val="00456893"/>
    <w:rsid w:val="00462823"/>
    <w:rsid w:val="00480127"/>
    <w:rsid w:val="004835F9"/>
    <w:rsid w:val="0048676C"/>
    <w:rsid w:val="00497110"/>
    <w:rsid w:val="00497E91"/>
    <w:rsid w:val="004A092A"/>
    <w:rsid w:val="004B3732"/>
    <w:rsid w:val="004B3AD8"/>
    <w:rsid w:val="004B3F43"/>
    <w:rsid w:val="004C2C83"/>
    <w:rsid w:val="004D304C"/>
    <w:rsid w:val="005125E0"/>
    <w:rsid w:val="00512985"/>
    <w:rsid w:val="005333FD"/>
    <w:rsid w:val="005335CA"/>
    <w:rsid w:val="0053686D"/>
    <w:rsid w:val="00543841"/>
    <w:rsid w:val="0055739A"/>
    <w:rsid w:val="00560D93"/>
    <w:rsid w:val="00580078"/>
    <w:rsid w:val="005954B5"/>
    <w:rsid w:val="0059702E"/>
    <w:rsid w:val="005A35A8"/>
    <w:rsid w:val="005B10A1"/>
    <w:rsid w:val="005C1AB6"/>
    <w:rsid w:val="005C75D5"/>
    <w:rsid w:val="005C7BBA"/>
    <w:rsid w:val="005D1C10"/>
    <w:rsid w:val="005E53B8"/>
    <w:rsid w:val="005F3CF1"/>
    <w:rsid w:val="00606B30"/>
    <w:rsid w:val="00607295"/>
    <w:rsid w:val="006151A3"/>
    <w:rsid w:val="00616764"/>
    <w:rsid w:val="006226DB"/>
    <w:rsid w:val="00643F8E"/>
    <w:rsid w:val="006453BA"/>
    <w:rsid w:val="00646695"/>
    <w:rsid w:val="00651E5B"/>
    <w:rsid w:val="00656610"/>
    <w:rsid w:val="0066112A"/>
    <w:rsid w:val="006724FF"/>
    <w:rsid w:val="0067666E"/>
    <w:rsid w:val="00677CC0"/>
    <w:rsid w:val="00682B46"/>
    <w:rsid w:val="00695146"/>
    <w:rsid w:val="006A1903"/>
    <w:rsid w:val="006B3E01"/>
    <w:rsid w:val="006E17DF"/>
    <w:rsid w:val="006E5820"/>
    <w:rsid w:val="006E6F33"/>
    <w:rsid w:val="0070347D"/>
    <w:rsid w:val="00706A34"/>
    <w:rsid w:val="00716C50"/>
    <w:rsid w:val="00732A8C"/>
    <w:rsid w:val="0073370F"/>
    <w:rsid w:val="007401CF"/>
    <w:rsid w:val="0074307E"/>
    <w:rsid w:val="00746958"/>
    <w:rsid w:val="00747BAD"/>
    <w:rsid w:val="00750D2D"/>
    <w:rsid w:val="00753668"/>
    <w:rsid w:val="00753AC6"/>
    <w:rsid w:val="00756CEA"/>
    <w:rsid w:val="00765617"/>
    <w:rsid w:val="00767F5C"/>
    <w:rsid w:val="007771BF"/>
    <w:rsid w:val="00781C19"/>
    <w:rsid w:val="007B1F7C"/>
    <w:rsid w:val="007B527C"/>
    <w:rsid w:val="007B682E"/>
    <w:rsid w:val="007C348D"/>
    <w:rsid w:val="007C7274"/>
    <w:rsid w:val="007D19A8"/>
    <w:rsid w:val="007D2E98"/>
    <w:rsid w:val="007E7B2B"/>
    <w:rsid w:val="007F0CBB"/>
    <w:rsid w:val="007F0E4E"/>
    <w:rsid w:val="00804136"/>
    <w:rsid w:val="00806B76"/>
    <w:rsid w:val="00810CAB"/>
    <w:rsid w:val="00816224"/>
    <w:rsid w:val="0081790E"/>
    <w:rsid w:val="008324AE"/>
    <w:rsid w:val="008359EB"/>
    <w:rsid w:val="00836B61"/>
    <w:rsid w:val="00844227"/>
    <w:rsid w:val="0087257F"/>
    <w:rsid w:val="00874F67"/>
    <w:rsid w:val="00883EB6"/>
    <w:rsid w:val="00891D2C"/>
    <w:rsid w:val="00897C39"/>
    <w:rsid w:val="008B34DB"/>
    <w:rsid w:val="008B79DF"/>
    <w:rsid w:val="008C1470"/>
    <w:rsid w:val="008C4C4F"/>
    <w:rsid w:val="008C4EB2"/>
    <w:rsid w:val="008D4D90"/>
    <w:rsid w:val="008D5CF0"/>
    <w:rsid w:val="008D640E"/>
    <w:rsid w:val="008E334D"/>
    <w:rsid w:val="008E5582"/>
    <w:rsid w:val="008F1AC4"/>
    <w:rsid w:val="00900DA8"/>
    <w:rsid w:val="00901A10"/>
    <w:rsid w:val="00917CC0"/>
    <w:rsid w:val="00926458"/>
    <w:rsid w:val="00927554"/>
    <w:rsid w:val="0093402C"/>
    <w:rsid w:val="00947A54"/>
    <w:rsid w:val="00950F31"/>
    <w:rsid w:val="00955C2F"/>
    <w:rsid w:val="00964902"/>
    <w:rsid w:val="00973030"/>
    <w:rsid w:val="009749CA"/>
    <w:rsid w:val="00977757"/>
    <w:rsid w:val="00986902"/>
    <w:rsid w:val="00990528"/>
    <w:rsid w:val="009B7ABE"/>
    <w:rsid w:val="009C0CD3"/>
    <w:rsid w:val="009C2984"/>
    <w:rsid w:val="009C71B0"/>
    <w:rsid w:val="009D06D4"/>
    <w:rsid w:val="009D1D25"/>
    <w:rsid w:val="009E0FEF"/>
    <w:rsid w:val="009E2D9F"/>
    <w:rsid w:val="00A03B00"/>
    <w:rsid w:val="00A06055"/>
    <w:rsid w:val="00A06FFA"/>
    <w:rsid w:val="00A14F2C"/>
    <w:rsid w:val="00A201F2"/>
    <w:rsid w:val="00A2157D"/>
    <w:rsid w:val="00A217A5"/>
    <w:rsid w:val="00A24CA7"/>
    <w:rsid w:val="00A253F0"/>
    <w:rsid w:val="00A32ACF"/>
    <w:rsid w:val="00A34F69"/>
    <w:rsid w:val="00A44074"/>
    <w:rsid w:val="00A46F0C"/>
    <w:rsid w:val="00A473FB"/>
    <w:rsid w:val="00A54C71"/>
    <w:rsid w:val="00A61CEF"/>
    <w:rsid w:val="00A66576"/>
    <w:rsid w:val="00A727B8"/>
    <w:rsid w:val="00A738D0"/>
    <w:rsid w:val="00A847C8"/>
    <w:rsid w:val="00A923F0"/>
    <w:rsid w:val="00A93331"/>
    <w:rsid w:val="00A95403"/>
    <w:rsid w:val="00AD42EE"/>
    <w:rsid w:val="00AD518A"/>
    <w:rsid w:val="00B2609E"/>
    <w:rsid w:val="00B30ACF"/>
    <w:rsid w:val="00B35D6E"/>
    <w:rsid w:val="00B37E48"/>
    <w:rsid w:val="00B41CC9"/>
    <w:rsid w:val="00B4232B"/>
    <w:rsid w:val="00B458F0"/>
    <w:rsid w:val="00B56304"/>
    <w:rsid w:val="00B80A49"/>
    <w:rsid w:val="00B857C6"/>
    <w:rsid w:val="00B87118"/>
    <w:rsid w:val="00B92E3B"/>
    <w:rsid w:val="00B935EE"/>
    <w:rsid w:val="00B96995"/>
    <w:rsid w:val="00BB06DF"/>
    <w:rsid w:val="00BB6F64"/>
    <w:rsid w:val="00BC3A13"/>
    <w:rsid w:val="00BC6F6E"/>
    <w:rsid w:val="00BE0D8E"/>
    <w:rsid w:val="00BE5187"/>
    <w:rsid w:val="00BF1F7E"/>
    <w:rsid w:val="00BF3455"/>
    <w:rsid w:val="00BF4533"/>
    <w:rsid w:val="00C03ED5"/>
    <w:rsid w:val="00C06BBD"/>
    <w:rsid w:val="00C12121"/>
    <w:rsid w:val="00C26EB1"/>
    <w:rsid w:val="00C3004A"/>
    <w:rsid w:val="00C35556"/>
    <w:rsid w:val="00C44D2C"/>
    <w:rsid w:val="00C53C39"/>
    <w:rsid w:val="00C559A9"/>
    <w:rsid w:val="00C5799A"/>
    <w:rsid w:val="00C6743B"/>
    <w:rsid w:val="00C710A3"/>
    <w:rsid w:val="00C714BE"/>
    <w:rsid w:val="00C74354"/>
    <w:rsid w:val="00C866D4"/>
    <w:rsid w:val="00C9105E"/>
    <w:rsid w:val="00C94B07"/>
    <w:rsid w:val="00C95135"/>
    <w:rsid w:val="00C97AFF"/>
    <w:rsid w:val="00CA2E0A"/>
    <w:rsid w:val="00CA3A83"/>
    <w:rsid w:val="00CB32E7"/>
    <w:rsid w:val="00CB4247"/>
    <w:rsid w:val="00CB4488"/>
    <w:rsid w:val="00CC13AB"/>
    <w:rsid w:val="00CC7D11"/>
    <w:rsid w:val="00CD4241"/>
    <w:rsid w:val="00CD4A42"/>
    <w:rsid w:val="00CF02B1"/>
    <w:rsid w:val="00CF60B3"/>
    <w:rsid w:val="00D1006C"/>
    <w:rsid w:val="00D20925"/>
    <w:rsid w:val="00D21C8E"/>
    <w:rsid w:val="00D37EC0"/>
    <w:rsid w:val="00D413B3"/>
    <w:rsid w:val="00D423D9"/>
    <w:rsid w:val="00D50C9B"/>
    <w:rsid w:val="00D5234A"/>
    <w:rsid w:val="00D6588C"/>
    <w:rsid w:val="00D75347"/>
    <w:rsid w:val="00D773E6"/>
    <w:rsid w:val="00D80F83"/>
    <w:rsid w:val="00D86EC5"/>
    <w:rsid w:val="00DC21E5"/>
    <w:rsid w:val="00DC311A"/>
    <w:rsid w:val="00DC5110"/>
    <w:rsid w:val="00DC5604"/>
    <w:rsid w:val="00DD3980"/>
    <w:rsid w:val="00DD3C99"/>
    <w:rsid w:val="00DE0CEB"/>
    <w:rsid w:val="00DE4985"/>
    <w:rsid w:val="00E05475"/>
    <w:rsid w:val="00E06EF4"/>
    <w:rsid w:val="00E13F7C"/>
    <w:rsid w:val="00E162D7"/>
    <w:rsid w:val="00E17969"/>
    <w:rsid w:val="00E26987"/>
    <w:rsid w:val="00E3623D"/>
    <w:rsid w:val="00E42676"/>
    <w:rsid w:val="00E6493B"/>
    <w:rsid w:val="00E74D7C"/>
    <w:rsid w:val="00E903BE"/>
    <w:rsid w:val="00E95044"/>
    <w:rsid w:val="00E97DA3"/>
    <w:rsid w:val="00EA1C64"/>
    <w:rsid w:val="00EA2FFD"/>
    <w:rsid w:val="00EC47BA"/>
    <w:rsid w:val="00EC6863"/>
    <w:rsid w:val="00ED3EDB"/>
    <w:rsid w:val="00EF3346"/>
    <w:rsid w:val="00EF660C"/>
    <w:rsid w:val="00F113D5"/>
    <w:rsid w:val="00F149D4"/>
    <w:rsid w:val="00F221EA"/>
    <w:rsid w:val="00F2348F"/>
    <w:rsid w:val="00F23D3E"/>
    <w:rsid w:val="00F2440F"/>
    <w:rsid w:val="00F25751"/>
    <w:rsid w:val="00F34FB2"/>
    <w:rsid w:val="00F372F6"/>
    <w:rsid w:val="00F37B09"/>
    <w:rsid w:val="00F4702F"/>
    <w:rsid w:val="00F47867"/>
    <w:rsid w:val="00F53FBB"/>
    <w:rsid w:val="00F56678"/>
    <w:rsid w:val="00F61D8D"/>
    <w:rsid w:val="00F65E58"/>
    <w:rsid w:val="00F706B9"/>
    <w:rsid w:val="00F72C08"/>
    <w:rsid w:val="00F94DBB"/>
    <w:rsid w:val="00F964E7"/>
    <w:rsid w:val="00FA0C2A"/>
    <w:rsid w:val="00FA4C2D"/>
    <w:rsid w:val="00FA690B"/>
    <w:rsid w:val="00FB20BB"/>
    <w:rsid w:val="00FB6ED4"/>
    <w:rsid w:val="00FC7E33"/>
    <w:rsid w:val="00FD592E"/>
    <w:rsid w:val="00FD739A"/>
    <w:rsid w:val="00FE29BF"/>
    <w:rsid w:val="00FE4DDF"/>
    <w:rsid w:val="00FE5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6037C-507C-46EC-9734-94631158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F8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F80"/>
    <w:pPr>
      <w:ind w:left="720"/>
      <w:contextualSpacing/>
    </w:pPr>
  </w:style>
  <w:style w:type="table" w:styleId="TableGrid">
    <w:name w:val="Table Grid"/>
    <w:basedOn w:val="TableNormal"/>
    <w:uiPriority w:val="59"/>
    <w:rsid w:val="000E7F8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6D4"/>
    <w:pPr>
      <w:tabs>
        <w:tab w:val="center" w:pos="4513"/>
        <w:tab w:val="right" w:pos="9026"/>
      </w:tabs>
    </w:pPr>
  </w:style>
  <w:style w:type="character" w:customStyle="1" w:styleId="HeaderChar">
    <w:name w:val="Header Char"/>
    <w:basedOn w:val="DefaultParagraphFont"/>
    <w:link w:val="Header"/>
    <w:uiPriority w:val="99"/>
    <w:rsid w:val="009D06D4"/>
    <w:rPr>
      <w:sz w:val="24"/>
      <w:szCs w:val="24"/>
    </w:rPr>
  </w:style>
  <w:style w:type="paragraph" w:styleId="Footer">
    <w:name w:val="footer"/>
    <w:basedOn w:val="Normal"/>
    <w:link w:val="FooterChar"/>
    <w:uiPriority w:val="99"/>
    <w:unhideWhenUsed/>
    <w:rsid w:val="009D06D4"/>
    <w:pPr>
      <w:tabs>
        <w:tab w:val="center" w:pos="4513"/>
        <w:tab w:val="right" w:pos="9026"/>
      </w:tabs>
    </w:pPr>
  </w:style>
  <w:style w:type="character" w:customStyle="1" w:styleId="FooterChar">
    <w:name w:val="Footer Char"/>
    <w:basedOn w:val="DefaultParagraphFont"/>
    <w:link w:val="Footer"/>
    <w:uiPriority w:val="99"/>
    <w:rsid w:val="009D06D4"/>
    <w:rPr>
      <w:sz w:val="24"/>
      <w:szCs w:val="24"/>
    </w:rPr>
  </w:style>
  <w:style w:type="paragraph" w:styleId="FootnoteText">
    <w:name w:val="footnote text"/>
    <w:basedOn w:val="Normal"/>
    <w:link w:val="FootnoteTextChar"/>
    <w:uiPriority w:val="99"/>
    <w:semiHidden/>
    <w:unhideWhenUsed/>
    <w:rsid w:val="00326488"/>
    <w:rPr>
      <w:sz w:val="20"/>
      <w:szCs w:val="20"/>
    </w:rPr>
  </w:style>
  <w:style w:type="character" w:customStyle="1" w:styleId="FootnoteTextChar">
    <w:name w:val="Footnote Text Char"/>
    <w:basedOn w:val="DefaultParagraphFont"/>
    <w:link w:val="FootnoteText"/>
    <w:uiPriority w:val="99"/>
    <w:semiHidden/>
    <w:rsid w:val="00326488"/>
    <w:rPr>
      <w:sz w:val="20"/>
      <w:szCs w:val="20"/>
    </w:rPr>
  </w:style>
  <w:style w:type="character" w:styleId="FootnoteReference">
    <w:name w:val="footnote reference"/>
    <w:basedOn w:val="DefaultParagraphFont"/>
    <w:uiPriority w:val="99"/>
    <w:semiHidden/>
    <w:unhideWhenUsed/>
    <w:rsid w:val="00326488"/>
    <w:rPr>
      <w:vertAlign w:val="superscript"/>
    </w:rPr>
  </w:style>
  <w:style w:type="paragraph" w:styleId="BalloonText">
    <w:name w:val="Balloon Text"/>
    <w:basedOn w:val="Normal"/>
    <w:link w:val="BalloonTextChar"/>
    <w:uiPriority w:val="99"/>
    <w:semiHidden/>
    <w:unhideWhenUsed/>
    <w:rsid w:val="00A14F2C"/>
    <w:rPr>
      <w:rFonts w:ascii="Tahoma" w:hAnsi="Tahoma" w:cs="Tahoma"/>
      <w:sz w:val="16"/>
      <w:szCs w:val="16"/>
    </w:rPr>
  </w:style>
  <w:style w:type="character" w:customStyle="1" w:styleId="BalloonTextChar">
    <w:name w:val="Balloon Text Char"/>
    <w:basedOn w:val="DefaultParagraphFont"/>
    <w:link w:val="BalloonText"/>
    <w:uiPriority w:val="99"/>
    <w:semiHidden/>
    <w:rsid w:val="00A14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925A7-A727-4426-96C5-8DA874DC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4039</Words>
  <Characters>23027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The Chambers</Company>
  <LinksUpToDate>false</LinksUpToDate>
  <CharactersWithSpaces>27012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 Shivute</dc:creator>
  <cp:lastModifiedBy>NamibLII</cp:lastModifiedBy>
  <cp:revision>2</cp:revision>
  <cp:lastPrinted>2017-11-29T13:45:00Z</cp:lastPrinted>
  <dcterms:created xsi:type="dcterms:W3CDTF">2017-11-30T12:06:00Z</dcterms:created>
  <dcterms:modified xsi:type="dcterms:W3CDTF">2017-11-30T12:06:00Z</dcterms:modified>
</cp:coreProperties>
</file>