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C9940" w14:textId="77777777" w:rsidR="00493005" w:rsidRDefault="00493005" w:rsidP="003D41AA">
      <w:pPr>
        <w:jc w:val="right"/>
        <w:rPr>
          <w:b/>
        </w:rPr>
      </w:pPr>
      <w:bookmarkStart w:id="0" w:name="_GoBack"/>
      <w:bookmarkEnd w:id="0"/>
      <w:r w:rsidRPr="00742222">
        <w:rPr>
          <w:noProof/>
          <w:lang w:val="en-ZA" w:eastAsia="en-ZA"/>
        </w:rPr>
        <w:drawing>
          <wp:anchor distT="0" distB="0" distL="114300" distR="114300" simplePos="0" relativeHeight="251659776" behindDoc="0" locked="0" layoutInCell="1" allowOverlap="1" wp14:anchorId="62B6AD7F" wp14:editId="152ABBBA">
            <wp:simplePos x="0" y="0"/>
            <wp:positionH relativeFrom="margin">
              <wp:posOffset>2196465</wp:posOffset>
            </wp:positionH>
            <wp:positionV relativeFrom="margin">
              <wp:posOffset>-432435</wp:posOffset>
            </wp:positionV>
            <wp:extent cx="1016000" cy="1057275"/>
            <wp:effectExtent l="0" t="0" r="0" b="9525"/>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016000" cy="1057275"/>
                    </a:xfrm>
                    <a:prstGeom prst="rect">
                      <a:avLst/>
                    </a:prstGeom>
                    <a:noFill/>
                    <a:ln w="9525">
                      <a:noFill/>
                      <a:miter lim="800000"/>
                      <a:headEnd/>
                      <a:tailEnd/>
                    </a:ln>
                  </pic:spPr>
                </pic:pic>
              </a:graphicData>
            </a:graphic>
          </wp:anchor>
        </w:drawing>
      </w:r>
    </w:p>
    <w:p w14:paraId="6C700124" w14:textId="77777777" w:rsidR="00493005" w:rsidRDefault="00493005" w:rsidP="003D41AA">
      <w:pPr>
        <w:jc w:val="right"/>
        <w:rPr>
          <w:b/>
        </w:rPr>
      </w:pPr>
    </w:p>
    <w:p w14:paraId="1FE8BA91" w14:textId="77777777" w:rsidR="00493005" w:rsidRPr="0010407D" w:rsidRDefault="00493005" w:rsidP="003D41AA">
      <w:pPr>
        <w:jc w:val="right"/>
        <w:rPr>
          <w:b/>
        </w:rPr>
      </w:pPr>
      <w:r>
        <w:rPr>
          <w:b/>
        </w:rPr>
        <w:t xml:space="preserve"> </w:t>
      </w:r>
      <w:r w:rsidRPr="0010407D">
        <w:rPr>
          <w:b/>
        </w:rPr>
        <w:t>REPORTABLE</w:t>
      </w:r>
    </w:p>
    <w:p w14:paraId="3E4A0326" w14:textId="77777777" w:rsidR="00493005" w:rsidRPr="006263C1" w:rsidRDefault="00493005" w:rsidP="003D41AA">
      <w:pPr>
        <w:jc w:val="right"/>
      </w:pPr>
      <w:r w:rsidRPr="006263C1">
        <w:t xml:space="preserve">CASE NO: SA </w:t>
      </w:r>
      <w:r w:rsidR="007770C1">
        <w:t>60/2016</w:t>
      </w:r>
    </w:p>
    <w:p w14:paraId="3867A4AB" w14:textId="77777777" w:rsidR="00493005" w:rsidRPr="004C1A1C" w:rsidRDefault="00493005" w:rsidP="00682119">
      <w:pPr>
        <w:spacing w:line="360" w:lineRule="auto"/>
        <w:rPr>
          <w:b/>
        </w:rPr>
      </w:pPr>
      <w:r w:rsidRPr="004C1A1C">
        <w:rPr>
          <w:b/>
        </w:rPr>
        <w:t>IN THE SUPREME COURT OF NAMIBIA</w:t>
      </w:r>
    </w:p>
    <w:p w14:paraId="7B25021E" w14:textId="77777777" w:rsidR="00493005" w:rsidRDefault="00493005" w:rsidP="00682119">
      <w:pPr>
        <w:spacing w:line="360" w:lineRule="auto"/>
      </w:pPr>
    </w:p>
    <w:p w14:paraId="55CF3C79" w14:textId="77777777" w:rsidR="00493005" w:rsidRDefault="00493005" w:rsidP="00682119">
      <w:pPr>
        <w:spacing w:line="360" w:lineRule="auto"/>
      </w:pPr>
      <w:r>
        <w:t>In the matter between:</w:t>
      </w:r>
    </w:p>
    <w:p w14:paraId="0A4FC64D" w14:textId="77777777" w:rsidR="00493005" w:rsidRDefault="00493005" w:rsidP="00682119">
      <w:pPr>
        <w:spacing w:line="360" w:lineRule="auto"/>
      </w:pPr>
    </w:p>
    <w:tbl>
      <w:tblPr>
        <w:tblW w:w="9356" w:type="dxa"/>
        <w:tblLook w:val="04A0" w:firstRow="1" w:lastRow="0" w:firstColumn="1" w:lastColumn="0" w:noHBand="0" w:noVBand="1"/>
      </w:tblPr>
      <w:tblGrid>
        <w:gridCol w:w="5954"/>
        <w:gridCol w:w="3402"/>
      </w:tblGrid>
      <w:tr w:rsidR="00493005" w:rsidRPr="00500CF6" w14:paraId="59013E87" w14:textId="77777777" w:rsidTr="00FF4120">
        <w:trPr>
          <w:trHeight w:val="690"/>
        </w:trPr>
        <w:tc>
          <w:tcPr>
            <w:tcW w:w="5954" w:type="dxa"/>
            <w:shd w:val="clear" w:color="auto" w:fill="auto"/>
          </w:tcPr>
          <w:p w14:paraId="3177315E" w14:textId="77777777" w:rsidR="00493005" w:rsidRPr="00500CF6" w:rsidRDefault="007770C1" w:rsidP="003D41AA">
            <w:pPr>
              <w:ind w:left="-108"/>
              <w:rPr>
                <w:b/>
              </w:rPr>
            </w:pPr>
            <w:r>
              <w:rPr>
                <w:b/>
              </w:rPr>
              <w:t>THOMAS WYSS</w:t>
            </w:r>
          </w:p>
        </w:tc>
        <w:tc>
          <w:tcPr>
            <w:tcW w:w="3402" w:type="dxa"/>
            <w:shd w:val="clear" w:color="auto" w:fill="auto"/>
          </w:tcPr>
          <w:p w14:paraId="44ADC23C" w14:textId="77777777" w:rsidR="00493005" w:rsidRPr="00500CF6" w:rsidRDefault="00493005" w:rsidP="003D41AA">
            <w:pPr>
              <w:jc w:val="right"/>
              <w:rPr>
                <w:b/>
              </w:rPr>
            </w:pPr>
            <w:r>
              <w:rPr>
                <w:b/>
              </w:rPr>
              <w:t>1</w:t>
            </w:r>
            <w:r w:rsidRPr="00E71176">
              <w:rPr>
                <w:b/>
                <w:vertAlign w:val="superscript"/>
              </w:rPr>
              <w:t>st</w:t>
            </w:r>
            <w:r>
              <w:rPr>
                <w:b/>
              </w:rPr>
              <w:t xml:space="preserve"> </w:t>
            </w:r>
            <w:r w:rsidRPr="00500CF6">
              <w:rPr>
                <w:b/>
              </w:rPr>
              <w:t>Appellant</w:t>
            </w:r>
          </w:p>
        </w:tc>
      </w:tr>
      <w:tr w:rsidR="00493005" w:rsidRPr="00500CF6" w14:paraId="3F504814" w14:textId="77777777" w:rsidTr="00FF4120">
        <w:tc>
          <w:tcPr>
            <w:tcW w:w="5954" w:type="dxa"/>
            <w:shd w:val="clear" w:color="auto" w:fill="auto"/>
          </w:tcPr>
          <w:p w14:paraId="1FC8ACDE" w14:textId="77777777" w:rsidR="00493005" w:rsidRPr="006A0CE1" w:rsidRDefault="007770C1" w:rsidP="003D41AA">
            <w:pPr>
              <w:ind w:left="-108"/>
              <w:rPr>
                <w:b/>
              </w:rPr>
            </w:pPr>
            <w:r>
              <w:rPr>
                <w:b/>
              </w:rPr>
              <w:t>THOMAS WYSS N.O.</w:t>
            </w:r>
          </w:p>
        </w:tc>
        <w:tc>
          <w:tcPr>
            <w:tcW w:w="3402" w:type="dxa"/>
            <w:shd w:val="clear" w:color="auto" w:fill="auto"/>
          </w:tcPr>
          <w:p w14:paraId="709C82BC" w14:textId="77777777" w:rsidR="00493005" w:rsidRPr="00500CF6" w:rsidRDefault="00493005" w:rsidP="003D41AA">
            <w:pPr>
              <w:jc w:val="right"/>
              <w:rPr>
                <w:b/>
              </w:rPr>
            </w:pPr>
            <w:r>
              <w:rPr>
                <w:b/>
              </w:rPr>
              <w:t>2</w:t>
            </w:r>
            <w:r w:rsidRPr="006A0CE1">
              <w:rPr>
                <w:b/>
                <w:vertAlign w:val="superscript"/>
              </w:rPr>
              <w:t>nd</w:t>
            </w:r>
            <w:r>
              <w:rPr>
                <w:b/>
              </w:rPr>
              <w:t xml:space="preserve"> Appellant</w:t>
            </w:r>
          </w:p>
        </w:tc>
      </w:tr>
      <w:tr w:rsidR="00493005" w:rsidRPr="00500CF6" w14:paraId="119273AC" w14:textId="77777777" w:rsidTr="00FF4120">
        <w:tc>
          <w:tcPr>
            <w:tcW w:w="5954" w:type="dxa"/>
            <w:shd w:val="clear" w:color="auto" w:fill="auto"/>
          </w:tcPr>
          <w:p w14:paraId="05EA02C2" w14:textId="77777777" w:rsidR="00493005" w:rsidRPr="00500CF6" w:rsidRDefault="00010A07" w:rsidP="003D41AA">
            <w:pPr>
              <w:ind w:left="-108"/>
            </w:pPr>
            <w:r>
              <w:t>A</w:t>
            </w:r>
            <w:r w:rsidR="00493005" w:rsidRPr="00500CF6">
              <w:t>nd</w:t>
            </w:r>
          </w:p>
        </w:tc>
        <w:tc>
          <w:tcPr>
            <w:tcW w:w="3402" w:type="dxa"/>
            <w:shd w:val="clear" w:color="auto" w:fill="auto"/>
          </w:tcPr>
          <w:p w14:paraId="7D7877A2" w14:textId="77777777" w:rsidR="00493005" w:rsidRPr="00500CF6" w:rsidRDefault="00493005" w:rsidP="003D41AA">
            <w:pPr>
              <w:jc w:val="right"/>
              <w:rPr>
                <w:b/>
              </w:rPr>
            </w:pPr>
          </w:p>
        </w:tc>
      </w:tr>
      <w:tr w:rsidR="00493005" w:rsidRPr="00500CF6" w14:paraId="7238F8D5" w14:textId="77777777" w:rsidTr="00FF4120">
        <w:tc>
          <w:tcPr>
            <w:tcW w:w="5954" w:type="dxa"/>
            <w:shd w:val="clear" w:color="auto" w:fill="auto"/>
          </w:tcPr>
          <w:p w14:paraId="3A6C3DAA" w14:textId="77777777" w:rsidR="00493005" w:rsidRPr="00500CF6" w:rsidRDefault="007770C1" w:rsidP="003D41AA">
            <w:pPr>
              <w:ind w:left="-108"/>
              <w:rPr>
                <w:b/>
              </w:rPr>
            </w:pPr>
            <w:r>
              <w:rPr>
                <w:b/>
              </w:rPr>
              <w:t>LEEVI HUNGAMO</w:t>
            </w:r>
          </w:p>
        </w:tc>
        <w:tc>
          <w:tcPr>
            <w:tcW w:w="3402" w:type="dxa"/>
            <w:shd w:val="clear" w:color="auto" w:fill="auto"/>
          </w:tcPr>
          <w:p w14:paraId="658674BA" w14:textId="77777777" w:rsidR="00493005" w:rsidRPr="00500CF6" w:rsidRDefault="00493005" w:rsidP="003D41AA">
            <w:pPr>
              <w:jc w:val="right"/>
              <w:rPr>
                <w:b/>
              </w:rPr>
            </w:pPr>
            <w:r>
              <w:rPr>
                <w:b/>
              </w:rPr>
              <w:t>1</w:t>
            </w:r>
            <w:r w:rsidRPr="006A0CE1">
              <w:rPr>
                <w:b/>
                <w:vertAlign w:val="superscript"/>
              </w:rPr>
              <w:t>st</w:t>
            </w:r>
            <w:r>
              <w:rPr>
                <w:b/>
              </w:rPr>
              <w:t xml:space="preserve"> </w:t>
            </w:r>
            <w:r w:rsidRPr="00500CF6">
              <w:rPr>
                <w:b/>
              </w:rPr>
              <w:t>Respondent</w:t>
            </w:r>
          </w:p>
        </w:tc>
      </w:tr>
      <w:tr w:rsidR="00493005" w:rsidRPr="00500CF6" w14:paraId="1EE940DE" w14:textId="77777777" w:rsidTr="00FF4120">
        <w:tc>
          <w:tcPr>
            <w:tcW w:w="5954" w:type="dxa"/>
            <w:shd w:val="clear" w:color="auto" w:fill="auto"/>
          </w:tcPr>
          <w:p w14:paraId="0EAEE77D" w14:textId="77777777" w:rsidR="00493005" w:rsidRDefault="007770C1" w:rsidP="003D41AA">
            <w:pPr>
              <w:ind w:left="-108"/>
              <w:rPr>
                <w:b/>
              </w:rPr>
            </w:pPr>
            <w:r>
              <w:rPr>
                <w:b/>
              </w:rPr>
              <w:t>TE</w:t>
            </w:r>
            <w:r w:rsidR="00266077">
              <w:rPr>
                <w:b/>
              </w:rPr>
              <w:t>R</w:t>
            </w:r>
            <w:r>
              <w:rPr>
                <w:b/>
              </w:rPr>
              <w:t>EZA HUNGAMO</w:t>
            </w:r>
          </w:p>
        </w:tc>
        <w:tc>
          <w:tcPr>
            <w:tcW w:w="3402" w:type="dxa"/>
            <w:shd w:val="clear" w:color="auto" w:fill="auto"/>
          </w:tcPr>
          <w:p w14:paraId="66F34D4C" w14:textId="77777777" w:rsidR="00493005" w:rsidRDefault="00493005" w:rsidP="003D41AA">
            <w:pPr>
              <w:jc w:val="right"/>
              <w:rPr>
                <w:b/>
              </w:rPr>
            </w:pPr>
            <w:r>
              <w:rPr>
                <w:b/>
              </w:rPr>
              <w:t>2</w:t>
            </w:r>
            <w:r w:rsidRPr="006A0CE1">
              <w:rPr>
                <w:b/>
                <w:vertAlign w:val="superscript"/>
              </w:rPr>
              <w:t>nd</w:t>
            </w:r>
            <w:r>
              <w:rPr>
                <w:b/>
              </w:rPr>
              <w:t xml:space="preserve"> Respondent</w:t>
            </w:r>
          </w:p>
        </w:tc>
      </w:tr>
      <w:tr w:rsidR="00493005" w:rsidRPr="00500CF6" w14:paraId="327DB008" w14:textId="77777777" w:rsidTr="00FF4120">
        <w:tc>
          <w:tcPr>
            <w:tcW w:w="5954" w:type="dxa"/>
            <w:shd w:val="clear" w:color="auto" w:fill="auto"/>
          </w:tcPr>
          <w:p w14:paraId="756A3978" w14:textId="77777777" w:rsidR="00493005" w:rsidRDefault="007770C1" w:rsidP="00CC5930">
            <w:pPr>
              <w:ind w:left="-108"/>
              <w:rPr>
                <w:b/>
              </w:rPr>
            </w:pPr>
            <w:r>
              <w:rPr>
                <w:b/>
              </w:rPr>
              <w:t>LACONIA CC</w:t>
            </w:r>
          </w:p>
        </w:tc>
        <w:tc>
          <w:tcPr>
            <w:tcW w:w="3402" w:type="dxa"/>
            <w:shd w:val="clear" w:color="auto" w:fill="auto"/>
          </w:tcPr>
          <w:p w14:paraId="072BB2F9" w14:textId="77777777" w:rsidR="00493005" w:rsidRDefault="00493005" w:rsidP="003D41AA">
            <w:pPr>
              <w:jc w:val="right"/>
              <w:rPr>
                <w:b/>
              </w:rPr>
            </w:pPr>
            <w:r>
              <w:rPr>
                <w:b/>
              </w:rPr>
              <w:t>3</w:t>
            </w:r>
            <w:r w:rsidRPr="006A0CE1">
              <w:rPr>
                <w:b/>
                <w:vertAlign w:val="superscript"/>
              </w:rPr>
              <w:t>rd</w:t>
            </w:r>
            <w:r>
              <w:rPr>
                <w:b/>
              </w:rPr>
              <w:t xml:space="preserve"> Respondent</w:t>
            </w:r>
          </w:p>
        </w:tc>
      </w:tr>
      <w:tr w:rsidR="00493005" w:rsidRPr="00500CF6" w14:paraId="6EDA1EF1" w14:textId="77777777" w:rsidTr="00FF4120">
        <w:tc>
          <w:tcPr>
            <w:tcW w:w="5954" w:type="dxa"/>
            <w:shd w:val="clear" w:color="auto" w:fill="auto"/>
          </w:tcPr>
          <w:p w14:paraId="1AD6F7E1" w14:textId="77777777" w:rsidR="00493005" w:rsidRDefault="007770C1" w:rsidP="003D41AA">
            <w:pPr>
              <w:ind w:left="-108"/>
              <w:rPr>
                <w:b/>
              </w:rPr>
            </w:pPr>
            <w:r>
              <w:rPr>
                <w:b/>
              </w:rPr>
              <w:t>FNB TRUST SERVICES (NAMIBIA) (PTY) LTD</w:t>
            </w:r>
          </w:p>
        </w:tc>
        <w:tc>
          <w:tcPr>
            <w:tcW w:w="3402" w:type="dxa"/>
            <w:shd w:val="clear" w:color="auto" w:fill="auto"/>
          </w:tcPr>
          <w:p w14:paraId="43F02577" w14:textId="77777777" w:rsidR="00493005" w:rsidRDefault="00493005" w:rsidP="003D41AA">
            <w:pPr>
              <w:jc w:val="right"/>
              <w:rPr>
                <w:b/>
              </w:rPr>
            </w:pPr>
            <w:r>
              <w:rPr>
                <w:b/>
              </w:rPr>
              <w:t>4</w:t>
            </w:r>
            <w:r w:rsidRPr="006A0CE1">
              <w:rPr>
                <w:b/>
                <w:vertAlign w:val="superscript"/>
              </w:rPr>
              <w:t>th</w:t>
            </w:r>
            <w:r>
              <w:rPr>
                <w:b/>
              </w:rPr>
              <w:t xml:space="preserve"> Respondent</w:t>
            </w:r>
          </w:p>
        </w:tc>
      </w:tr>
      <w:tr w:rsidR="00493005" w:rsidRPr="00500CF6" w14:paraId="7EDE18C7" w14:textId="77777777" w:rsidTr="00FF4120">
        <w:tc>
          <w:tcPr>
            <w:tcW w:w="5954" w:type="dxa"/>
            <w:shd w:val="clear" w:color="auto" w:fill="auto"/>
          </w:tcPr>
          <w:p w14:paraId="40E20627" w14:textId="77777777" w:rsidR="00493005" w:rsidRDefault="007770C1" w:rsidP="003D41AA">
            <w:pPr>
              <w:ind w:left="-108"/>
              <w:rPr>
                <w:b/>
              </w:rPr>
            </w:pPr>
            <w:r>
              <w:rPr>
                <w:b/>
              </w:rPr>
              <w:t>MINISTER OF TRADE AND INDUSTRY, NAMIBIA</w:t>
            </w:r>
          </w:p>
        </w:tc>
        <w:tc>
          <w:tcPr>
            <w:tcW w:w="3402" w:type="dxa"/>
            <w:shd w:val="clear" w:color="auto" w:fill="auto"/>
          </w:tcPr>
          <w:p w14:paraId="3A12D0B9" w14:textId="77777777" w:rsidR="00493005" w:rsidRDefault="00493005" w:rsidP="003D41AA">
            <w:pPr>
              <w:jc w:val="right"/>
              <w:rPr>
                <w:b/>
              </w:rPr>
            </w:pPr>
            <w:r>
              <w:rPr>
                <w:b/>
              </w:rPr>
              <w:t>5</w:t>
            </w:r>
            <w:r w:rsidRPr="006A0CE1">
              <w:rPr>
                <w:b/>
                <w:vertAlign w:val="superscript"/>
              </w:rPr>
              <w:t>th</w:t>
            </w:r>
            <w:r>
              <w:rPr>
                <w:b/>
              </w:rPr>
              <w:t xml:space="preserve"> Respondent</w:t>
            </w:r>
          </w:p>
        </w:tc>
      </w:tr>
      <w:tr w:rsidR="00493005" w:rsidRPr="00500CF6" w14:paraId="0AF53EEE" w14:textId="77777777" w:rsidTr="00FF4120">
        <w:tc>
          <w:tcPr>
            <w:tcW w:w="5954" w:type="dxa"/>
            <w:shd w:val="clear" w:color="auto" w:fill="auto"/>
          </w:tcPr>
          <w:p w14:paraId="296986C0" w14:textId="77777777" w:rsidR="00493005" w:rsidRDefault="007770C1" w:rsidP="003D41AA">
            <w:pPr>
              <w:ind w:left="-108"/>
              <w:rPr>
                <w:b/>
              </w:rPr>
            </w:pPr>
            <w:r>
              <w:rPr>
                <w:b/>
              </w:rPr>
              <w:t>ATTORNEY GENERAL, NAMIBIA</w:t>
            </w:r>
          </w:p>
        </w:tc>
        <w:tc>
          <w:tcPr>
            <w:tcW w:w="3402" w:type="dxa"/>
            <w:shd w:val="clear" w:color="auto" w:fill="auto"/>
          </w:tcPr>
          <w:p w14:paraId="50634259" w14:textId="77777777" w:rsidR="00493005" w:rsidRDefault="00493005" w:rsidP="003D41AA">
            <w:pPr>
              <w:jc w:val="right"/>
              <w:rPr>
                <w:b/>
              </w:rPr>
            </w:pPr>
            <w:r>
              <w:rPr>
                <w:b/>
              </w:rPr>
              <w:t>6</w:t>
            </w:r>
            <w:r w:rsidRPr="006A0CE1">
              <w:rPr>
                <w:b/>
                <w:vertAlign w:val="superscript"/>
              </w:rPr>
              <w:t>th</w:t>
            </w:r>
            <w:r>
              <w:rPr>
                <w:b/>
              </w:rPr>
              <w:t xml:space="preserve"> Respondent</w:t>
            </w:r>
          </w:p>
        </w:tc>
      </w:tr>
      <w:tr w:rsidR="007770C1" w:rsidRPr="00500CF6" w14:paraId="79C036C6" w14:textId="77777777" w:rsidTr="00FF4120">
        <w:tc>
          <w:tcPr>
            <w:tcW w:w="5954" w:type="dxa"/>
            <w:shd w:val="clear" w:color="auto" w:fill="auto"/>
          </w:tcPr>
          <w:p w14:paraId="7D7BE7D4" w14:textId="77777777" w:rsidR="007770C1" w:rsidRDefault="007770C1" w:rsidP="003D41AA">
            <w:pPr>
              <w:ind w:left="-108"/>
              <w:rPr>
                <w:b/>
              </w:rPr>
            </w:pPr>
            <w:r>
              <w:rPr>
                <w:b/>
              </w:rPr>
              <w:t>MASTER OF THE HIGH COURT, WINDHOEK</w:t>
            </w:r>
          </w:p>
        </w:tc>
        <w:tc>
          <w:tcPr>
            <w:tcW w:w="3402" w:type="dxa"/>
            <w:shd w:val="clear" w:color="auto" w:fill="auto"/>
          </w:tcPr>
          <w:p w14:paraId="1579B923" w14:textId="77777777" w:rsidR="007770C1" w:rsidRDefault="007770C1" w:rsidP="003D41AA">
            <w:pPr>
              <w:jc w:val="right"/>
              <w:rPr>
                <w:b/>
              </w:rPr>
            </w:pPr>
            <w:r>
              <w:rPr>
                <w:b/>
              </w:rPr>
              <w:t>7</w:t>
            </w:r>
            <w:r w:rsidRPr="007770C1">
              <w:rPr>
                <w:b/>
                <w:vertAlign w:val="superscript"/>
              </w:rPr>
              <w:t>th</w:t>
            </w:r>
            <w:r>
              <w:rPr>
                <w:b/>
              </w:rPr>
              <w:t xml:space="preserve"> Respondent</w:t>
            </w:r>
          </w:p>
        </w:tc>
      </w:tr>
    </w:tbl>
    <w:p w14:paraId="5E023992" w14:textId="77777777" w:rsidR="00493005" w:rsidRDefault="00493005" w:rsidP="003D41AA"/>
    <w:p w14:paraId="166788C2" w14:textId="77777777" w:rsidR="00493005" w:rsidRDefault="00493005" w:rsidP="003D41AA">
      <w:r w:rsidRPr="00594B41">
        <w:rPr>
          <w:b/>
        </w:rPr>
        <w:t>Coram:</w:t>
      </w:r>
      <w:r>
        <w:tab/>
      </w:r>
      <w:r>
        <w:tab/>
      </w:r>
      <w:r w:rsidR="007770C1">
        <w:t>DAMASEB DCJ</w:t>
      </w:r>
      <w:r w:rsidR="008D31FA">
        <w:t xml:space="preserve">, SMUTS JA AND </w:t>
      </w:r>
      <w:r>
        <w:t>FRANK AJA</w:t>
      </w:r>
    </w:p>
    <w:p w14:paraId="1CF6317A" w14:textId="77777777" w:rsidR="00493005" w:rsidRPr="00065793" w:rsidRDefault="00493005" w:rsidP="003D41AA">
      <w:pPr>
        <w:rPr>
          <w:b/>
        </w:rPr>
      </w:pPr>
      <w:r w:rsidRPr="00594B41">
        <w:rPr>
          <w:b/>
        </w:rPr>
        <w:t>Heard</w:t>
      </w:r>
      <w:r>
        <w:rPr>
          <w:b/>
        </w:rPr>
        <w:t>:</w:t>
      </w:r>
      <w:r>
        <w:rPr>
          <w:b/>
        </w:rPr>
        <w:tab/>
      </w:r>
      <w:r>
        <w:rPr>
          <w:b/>
        </w:rPr>
        <w:tab/>
      </w:r>
      <w:r w:rsidR="007770C1">
        <w:rPr>
          <w:b/>
        </w:rPr>
        <w:t>9 April 2018</w:t>
      </w:r>
    </w:p>
    <w:p w14:paraId="2BD4D53C" w14:textId="1D1FD0DB" w:rsidR="00493005" w:rsidRPr="00065793" w:rsidRDefault="007E08BB" w:rsidP="003D41AA">
      <w:pPr>
        <w:rPr>
          <w:b/>
        </w:rPr>
      </w:pPr>
      <w:r>
        <w:rPr>
          <w:b/>
        </w:rPr>
        <w:t>Delivered:</w:t>
      </w:r>
      <w:r>
        <w:rPr>
          <w:b/>
        </w:rPr>
        <w:tab/>
      </w:r>
      <w:r>
        <w:rPr>
          <w:b/>
        </w:rPr>
        <w:tab/>
      </w:r>
      <w:r w:rsidR="00CD700A">
        <w:rPr>
          <w:b/>
        </w:rPr>
        <w:t xml:space="preserve">23 </w:t>
      </w:r>
      <w:r w:rsidR="007770C1">
        <w:rPr>
          <w:b/>
        </w:rPr>
        <w:t>April 2018</w:t>
      </w:r>
    </w:p>
    <w:p w14:paraId="1F053651" w14:textId="77777777" w:rsidR="00493005" w:rsidRPr="006A040B" w:rsidRDefault="00493005" w:rsidP="00682119">
      <w:pPr>
        <w:pStyle w:val="NoSpacing"/>
        <w:spacing w:line="360" w:lineRule="auto"/>
      </w:pPr>
    </w:p>
    <w:p w14:paraId="26017AE6" w14:textId="77777777" w:rsidR="00540577" w:rsidRPr="00540577" w:rsidRDefault="00724DBF" w:rsidP="00540577">
      <w:pPr>
        <w:pStyle w:val="NoSpacing"/>
        <w:spacing w:line="480" w:lineRule="auto"/>
      </w:pPr>
      <w:r w:rsidRPr="00540577">
        <w:rPr>
          <w:u w:val="single"/>
        </w:rPr>
        <w:t>Summary</w:t>
      </w:r>
      <w:r w:rsidRPr="006A040B">
        <w:t xml:space="preserve">: </w:t>
      </w:r>
      <w:r w:rsidR="00DC59BC">
        <w:t xml:space="preserve">The appellant (acting in both </w:t>
      </w:r>
      <w:r w:rsidR="007E2D76">
        <w:t xml:space="preserve">his </w:t>
      </w:r>
      <w:r w:rsidR="00DC59BC">
        <w:t>capacities</w:t>
      </w:r>
      <w:r w:rsidR="00E9643A">
        <w:t xml:space="preserve"> as the sole intestate heir and e</w:t>
      </w:r>
      <w:r w:rsidR="009B0784">
        <w:t xml:space="preserve">xecutor of his father’s estate) </w:t>
      </w:r>
      <w:r w:rsidR="00DC59BC">
        <w:t xml:space="preserve">brought an application </w:t>
      </w:r>
      <w:r w:rsidR="00855E4C">
        <w:t xml:space="preserve">against seven </w:t>
      </w:r>
      <w:r w:rsidR="00E9643A">
        <w:t xml:space="preserve">respondents in the High Court. The appellant sought </w:t>
      </w:r>
      <w:r w:rsidR="009B0784">
        <w:t xml:space="preserve">an order declaring a portion of section 35 (a) </w:t>
      </w:r>
      <w:r w:rsidR="00855E4C">
        <w:t xml:space="preserve">and the </w:t>
      </w:r>
      <w:r w:rsidR="00855E4C">
        <w:lastRenderedPageBreak/>
        <w:t xml:space="preserve">entire section 35(b) </w:t>
      </w:r>
      <w:r w:rsidR="009B0784">
        <w:t xml:space="preserve">of the Close Corporations Act 26 of 1988 </w:t>
      </w:r>
      <w:r w:rsidR="0038335F">
        <w:t xml:space="preserve">(the Act) </w:t>
      </w:r>
      <w:r w:rsidR="009B0784">
        <w:t xml:space="preserve">to </w:t>
      </w:r>
      <w:r w:rsidR="00855E4C">
        <w:t xml:space="preserve">be </w:t>
      </w:r>
      <w:r w:rsidR="009B0784">
        <w:t xml:space="preserve">unconstitutional. The appellant further prayed for an order declaring that he is entitled to be the full and unfettered owner of the 49% member’s interest </w:t>
      </w:r>
      <w:r w:rsidR="00540577">
        <w:t xml:space="preserve">in the third respondent </w:t>
      </w:r>
      <w:r w:rsidR="009B0784">
        <w:t xml:space="preserve">which was held by his late father, as the </w:t>
      </w:r>
      <w:r w:rsidR="009B0784" w:rsidRPr="009B0784">
        <w:rPr>
          <w:i/>
        </w:rPr>
        <w:t>ab intestatio</w:t>
      </w:r>
      <w:r w:rsidR="009B0784">
        <w:t xml:space="preserve"> heir. </w:t>
      </w:r>
      <w:r w:rsidR="00DC59BC">
        <w:t>Furthermore, the</w:t>
      </w:r>
      <w:r w:rsidR="009B0784">
        <w:t xml:space="preserve"> </w:t>
      </w:r>
      <w:r w:rsidR="00DC59BC">
        <w:t xml:space="preserve">appellant </w:t>
      </w:r>
      <w:r w:rsidR="009B0784">
        <w:t>sought an order directing the fourth respondent to transfer</w:t>
      </w:r>
      <w:r w:rsidR="00540577">
        <w:t xml:space="preserve"> the </w:t>
      </w:r>
      <w:r w:rsidR="009B0784">
        <w:t>49% member’s interest to him in winding up the deceased estate</w:t>
      </w:r>
      <w:r w:rsidR="00540577">
        <w:t xml:space="preserve">. </w:t>
      </w:r>
      <w:r w:rsidR="00540577" w:rsidRPr="00540577">
        <w:t>T</w:t>
      </w:r>
      <w:r w:rsidR="00DC59BC">
        <w:t>hus</w:t>
      </w:r>
      <w:r w:rsidR="00855E4C">
        <w:t>,</w:t>
      </w:r>
      <w:r w:rsidR="00540577" w:rsidRPr="00540577">
        <w:t xml:space="preserve"> </w:t>
      </w:r>
      <w:r w:rsidR="007E2D76">
        <w:t xml:space="preserve">the </w:t>
      </w:r>
      <w:r w:rsidR="00540577" w:rsidRPr="00540577">
        <w:t xml:space="preserve">crux of the matter in the court </w:t>
      </w:r>
      <w:r w:rsidR="00540577" w:rsidRPr="00DC59BC">
        <w:rPr>
          <w:i/>
        </w:rPr>
        <w:t>a quo</w:t>
      </w:r>
      <w:r w:rsidR="00540577" w:rsidRPr="00540577">
        <w:t xml:space="preserve"> was essentially, (a) whether a deceased estate has constitutional rights; (b) whether the association agreement is illegal and invalid for being in cont</w:t>
      </w:r>
      <w:r w:rsidR="00DC59BC">
        <w:t>ravention of the provisions of s</w:t>
      </w:r>
      <w:r w:rsidR="00540577" w:rsidRPr="00540577">
        <w:t xml:space="preserve">ection 58 (1) (b) of the </w:t>
      </w:r>
      <w:r w:rsidR="00DC59BC">
        <w:t xml:space="preserve">Agricultural (Commercial) </w:t>
      </w:r>
      <w:r w:rsidR="00540577" w:rsidRPr="00540577">
        <w:t>Land Reform Act; and,</w:t>
      </w:r>
      <w:r w:rsidR="00540577">
        <w:t xml:space="preserve"> </w:t>
      </w:r>
      <w:r w:rsidR="00540577" w:rsidRPr="00540577">
        <w:rPr>
          <w:rFonts w:eastAsia="Calibri"/>
          <w:spacing w:val="0"/>
          <w:lang w:val="en-US"/>
        </w:rPr>
        <w:t xml:space="preserve">(c) </w:t>
      </w:r>
      <w:r w:rsidR="00540577" w:rsidRPr="00540577">
        <w:t>w</w:t>
      </w:r>
      <w:r w:rsidR="00DC59BC">
        <w:t>hether certain portions of s</w:t>
      </w:r>
      <w:r w:rsidR="00540577" w:rsidRPr="00540577">
        <w:t>ecti</w:t>
      </w:r>
      <w:r w:rsidR="00DC59BC">
        <w:t xml:space="preserve">on 35 of the </w:t>
      </w:r>
      <w:r w:rsidR="00540577" w:rsidRPr="00540577">
        <w:t>Act are unconstitutional.</w:t>
      </w:r>
    </w:p>
    <w:p w14:paraId="21D4893F" w14:textId="77777777" w:rsidR="00724DBF" w:rsidRDefault="00724DBF" w:rsidP="00D15073">
      <w:pPr>
        <w:pStyle w:val="NoSpacing"/>
        <w:spacing w:line="480" w:lineRule="auto"/>
      </w:pPr>
    </w:p>
    <w:p w14:paraId="71A1F87F" w14:textId="77777777" w:rsidR="00DC59BC" w:rsidRDefault="008B5D90" w:rsidP="00E90AF4">
      <w:r>
        <w:t xml:space="preserve">After hearing </w:t>
      </w:r>
      <w:r w:rsidR="0038335F">
        <w:t>argument</w:t>
      </w:r>
      <w:r>
        <w:t xml:space="preserve">, the </w:t>
      </w:r>
      <w:r w:rsidR="00540577">
        <w:t xml:space="preserve">court </w:t>
      </w:r>
      <w:r w:rsidR="00540577" w:rsidRPr="0038335F">
        <w:rPr>
          <w:i/>
        </w:rPr>
        <w:t>a quo</w:t>
      </w:r>
      <w:r w:rsidR="00540577">
        <w:t xml:space="preserve"> dismissed the appli</w:t>
      </w:r>
      <w:r w:rsidR="0033476B">
        <w:t xml:space="preserve">cation and </w:t>
      </w:r>
      <w:r w:rsidR="00540577">
        <w:t>held that a deceased estate is not a legal persona and therefore has no legal rights</w:t>
      </w:r>
      <w:r w:rsidR="0033476B" w:rsidRPr="0033476B">
        <w:t xml:space="preserve"> </w:t>
      </w:r>
      <w:r w:rsidR="0033476B">
        <w:t xml:space="preserve">but </w:t>
      </w:r>
      <w:r w:rsidR="00676AB8">
        <w:t xml:space="preserve">enjoys </w:t>
      </w:r>
      <w:r w:rsidR="0033476B" w:rsidRPr="00A254E7">
        <w:t>statutory protection through the provisions of the Administration of Estates Act of 1965</w:t>
      </w:r>
      <w:r w:rsidR="00540577">
        <w:t xml:space="preserve">. </w:t>
      </w:r>
      <w:r w:rsidR="00E90AF4">
        <w:t>The court</w:t>
      </w:r>
      <w:r>
        <w:t xml:space="preserve"> </w:t>
      </w:r>
      <w:r w:rsidR="0038335F" w:rsidRPr="0038335F">
        <w:rPr>
          <w:i/>
        </w:rPr>
        <w:t>a quo</w:t>
      </w:r>
      <w:r w:rsidR="0038335F">
        <w:t xml:space="preserve"> </w:t>
      </w:r>
      <w:r>
        <w:t>further</w:t>
      </w:r>
      <w:r w:rsidR="00E90AF4">
        <w:t xml:space="preserve"> held </w:t>
      </w:r>
      <w:r w:rsidR="0033476B">
        <w:t>that</w:t>
      </w:r>
      <w:r w:rsidR="00E90AF4">
        <w:t xml:space="preserve"> the association agreement which gave the deceased rights of </w:t>
      </w:r>
      <w:r w:rsidR="0038335F">
        <w:t xml:space="preserve">occupation without the </w:t>
      </w:r>
      <w:r w:rsidR="00E90AF4" w:rsidRPr="00A254E7">
        <w:t>minister</w:t>
      </w:r>
      <w:r w:rsidR="0038335F">
        <w:t>ial consent</w:t>
      </w:r>
      <w:r w:rsidR="00E90AF4" w:rsidRPr="00A254E7">
        <w:t xml:space="preserve">, </w:t>
      </w:r>
      <w:r w:rsidR="00855E4C" w:rsidRPr="00A254E7">
        <w:t xml:space="preserve">was illegal and void </w:t>
      </w:r>
      <w:r w:rsidR="00855E4C" w:rsidRPr="00A254E7">
        <w:rPr>
          <w:i/>
        </w:rPr>
        <w:t>ab initio</w:t>
      </w:r>
      <w:r w:rsidR="00855E4C">
        <w:t xml:space="preserve"> for contravening </w:t>
      </w:r>
      <w:r w:rsidR="00E90AF4">
        <w:t>se</w:t>
      </w:r>
      <w:r w:rsidR="00855E4C">
        <w:t>ction 58 of the Land Reform Act.</w:t>
      </w:r>
      <w:r w:rsidR="00E90AF4" w:rsidRPr="00A254E7">
        <w:t xml:space="preserve"> </w:t>
      </w:r>
      <w:r w:rsidR="00E90AF4">
        <w:t xml:space="preserve">The judge </w:t>
      </w:r>
      <w:r w:rsidR="00E90AF4" w:rsidRPr="0038335F">
        <w:rPr>
          <w:i/>
        </w:rPr>
        <w:t>a quo</w:t>
      </w:r>
      <w:r w:rsidR="00E90AF4">
        <w:t xml:space="preserve"> further reasoned that there was nothing which suggested that section 35 of th</w:t>
      </w:r>
      <w:r w:rsidR="00DC59BC">
        <w:t xml:space="preserve">e </w:t>
      </w:r>
      <w:r w:rsidR="00E90AF4">
        <w:t xml:space="preserve">Act violated or limited the </w:t>
      </w:r>
      <w:r>
        <w:t xml:space="preserve">deceased’s right to dispose property in terms of section 16 of the Namibian Constitution. </w:t>
      </w:r>
    </w:p>
    <w:p w14:paraId="6DC70C55" w14:textId="77777777" w:rsidR="00DC59BC" w:rsidRDefault="00DC59BC" w:rsidP="00E90AF4"/>
    <w:p w14:paraId="0830FDD0" w14:textId="77777777" w:rsidR="00E90AF4" w:rsidRDefault="00855E4C" w:rsidP="00E90AF4">
      <w:r>
        <w:t xml:space="preserve">The court </w:t>
      </w:r>
      <w:r w:rsidR="008B5D90">
        <w:t>then held that the u</w:t>
      </w:r>
      <w:r w:rsidR="008B5D90" w:rsidRPr="00A254E7">
        <w:t>p</w:t>
      </w:r>
      <w:r w:rsidR="008B5D90">
        <w:t>on the deceased’s death, appella</w:t>
      </w:r>
      <w:r w:rsidR="008B5D90" w:rsidRPr="00A254E7">
        <w:t xml:space="preserve">nt as the intestate heir, was not vested with the </w:t>
      </w:r>
      <w:r w:rsidR="008B5D90" w:rsidRPr="00A254E7">
        <w:rPr>
          <w:i/>
        </w:rPr>
        <w:t>dominium</w:t>
      </w:r>
      <w:r w:rsidR="008B5D90" w:rsidRPr="00A254E7">
        <w:t xml:space="preserve"> of the member’s interest which the deceased held</w:t>
      </w:r>
      <w:r w:rsidR="008B5D90">
        <w:t xml:space="preserve"> in the Close Corporation. Appella</w:t>
      </w:r>
      <w:r w:rsidR="008B5D90" w:rsidRPr="00A254E7">
        <w:t xml:space="preserve">nt merely acquired a personal right against the executor for the transfer of such right or equivalent of the value of such right. The court concluded that the </w:t>
      </w:r>
      <w:r w:rsidR="008B5D90">
        <w:t>appell</w:t>
      </w:r>
      <w:r w:rsidR="008B5D90" w:rsidRPr="00A254E7">
        <w:t xml:space="preserve">ant as an intestate heir had no constitutional right to inherit a specific asset, such as </w:t>
      </w:r>
      <w:r w:rsidR="008B5D90" w:rsidRPr="00A254E7">
        <w:lastRenderedPageBreak/>
        <w:t xml:space="preserve">the deceased’s member’s interest in the instant matter. </w:t>
      </w:r>
    </w:p>
    <w:p w14:paraId="5A85BB73" w14:textId="77777777" w:rsidR="00DC59BC" w:rsidRDefault="00DC59BC" w:rsidP="00E06058">
      <w:pPr>
        <w:pStyle w:val="NoSpacing"/>
        <w:spacing w:line="480" w:lineRule="auto"/>
      </w:pPr>
    </w:p>
    <w:p w14:paraId="57750F08" w14:textId="77777777" w:rsidR="00E06058" w:rsidRDefault="008B5D90" w:rsidP="00E06058">
      <w:pPr>
        <w:pStyle w:val="NoSpacing"/>
        <w:spacing w:line="480" w:lineRule="auto"/>
      </w:pPr>
      <w:r>
        <w:t xml:space="preserve">Aggrieved by the order and judgment of the court a quo, the appellant </w:t>
      </w:r>
      <w:r w:rsidR="0095642F">
        <w:t xml:space="preserve">launched an appeal to this court. </w:t>
      </w:r>
      <w:r w:rsidR="0095642F">
        <w:rPr>
          <w:rFonts w:eastAsia="Calibri"/>
          <w:color w:val="000000" w:themeColor="text1"/>
          <w:lang w:val="en-US"/>
        </w:rPr>
        <w:t xml:space="preserve">On </w:t>
      </w:r>
      <w:r w:rsidR="0095642F" w:rsidRPr="000C066B">
        <w:t>appeal</w:t>
      </w:r>
      <w:r w:rsidR="0095642F" w:rsidRPr="000C066B">
        <w:rPr>
          <w:rFonts w:ascii="Bookman Old Style" w:eastAsia="Bookman Old Style" w:hAnsi="Bookman Old Style" w:cs="Bookman Old Style"/>
        </w:rPr>
        <w:t xml:space="preserve">, </w:t>
      </w:r>
      <w:r w:rsidR="0095642F">
        <w:t xml:space="preserve">the issues for </w:t>
      </w:r>
      <w:r w:rsidR="00DC59BC">
        <w:t>determination were fundamentally similar</w:t>
      </w:r>
      <w:r w:rsidR="005F215A">
        <w:t>.</w:t>
      </w:r>
      <w:r w:rsidR="007065E9">
        <w:t xml:space="preserve"> The respondents also noted a counter appeal against a portion of the order of the High Court, but </w:t>
      </w:r>
      <w:r w:rsidR="00DC59BC">
        <w:t xml:space="preserve">later elected to abandon the counter </w:t>
      </w:r>
      <w:r w:rsidR="0038335F">
        <w:t>appeal</w:t>
      </w:r>
      <w:r w:rsidR="001164E3">
        <w:t>.</w:t>
      </w:r>
    </w:p>
    <w:p w14:paraId="40CE8118" w14:textId="77777777" w:rsidR="0038335F" w:rsidRDefault="0038335F" w:rsidP="00E06058">
      <w:pPr>
        <w:pStyle w:val="NoSpacing"/>
        <w:spacing w:line="480" w:lineRule="auto"/>
      </w:pPr>
    </w:p>
    <w:p w14:paraId="4D3B51BB" w14:textId="77777777" w:rsidR="0038335F" w:rsidRDefault="00E06058" w:rsidP="0038335F">
      <w:pPr>
        <w:pStyle w:val="NoSpacing"/>
        <w:spacing w:line="480" w:lineRule="auto"/>
      </w:pPr>
      <w:r w:rsidRPr="00FB3FC1">
        <w:t xml:space="preserve">In </w:t>
      </w:r>
      <w:r>
        <w:t>uphold</w:t>
      </w:r>
      <w:r w:rsidR="0038335F">
        <w:t xml:space="preserve">ing the </w:t>
      </w:r>
      <w:r w:rsidR="007E2D76">
        <w:t>order</w:t>
      </w:r>
      <w:r w:rsidR="0038335F">
        <w:t xml:space="preserve"> of the court </w:t>
      </w:r>
      <w:r w:rsidR="0038335F" w:rsidRPr="0038335F">
        <w:rPr>
          <w:i/>
        </w:rPr>
        <w:t>a quo</w:t>
      </w:r>
      <w:r>
        <w:t>, the Supreme Court found that the deceased knew when he acquired his membership interest that it came with restrictions, one of which was that it could not be freely bequeathed or transferred without the consent of his co-members. His right of disposal in respect of the property (his membership) was acquired with this limitation and hence can only be disposed within the confines of this limitation. Article 16 does not grant one the right to dispose without regard to the existing impediments inherent in the property when one bequeaths the property. T</w:t>
      </w:r>
      <w:r w:rsidR="0038335F">
        <w:t>hus, this</w:t>
      </w:r>
      <w:r>
        <w:t xml:space="preserve"> court found that the court a quo did not err in its finding</w:t>
      </w:r>
      <w:r w:rsidR="005F215A">
        <w:t>s</w:t>
      </w:r>
      <w:r>
        <w:t xml:space="preserve"> </w:t>
      </w:r>
      <w:r w:rsidR="0038335F">
        <w:t>that there was no breach of Art 16.</w:t>
      </w:r>
    </w:p>
    <w:p w14:paraId="77BB4EDE" w14:textId="77777777" w:rsidR="0038335F" w:rsidRDefault="0038335F" w:rsidP="0038335F">
      <w:pPr>
        <w:pStyle w:val="NoSpacing"/>
        <w:spacing w:line="480" w:lineRule="auto"/>
      </w:pPr>
    </w:p>
    <w:p w14:paraId="67CD95FA" w14:textId="61F840EB" w:rsidR="00724DBF" w:rsidRPr="005F215A" w:rsidRDefault="0038335F" w:rsidP="0038335F">
      <w:pPr>
        <w:pStyle w:val="NoSpacing"/>
        <w:spacing w:line="480" w:lineRule="auto"/>
      </w:pPr>
      <w:r>
        <w:t xml:space="preserve">This court further </w:t>
      </w:r>
      <w:r w:rsidR="00E06058">
        <w:t xml:space="preserve">found that section 35 of the Act simply ensures that the restriction on the disposal of membership interest is regulated upon death of a member. The deceased never had an absolute right to dispose of his membership during his life and this position is simply maintained. </w:t>
      </w:r>
      <w:r w:rsidR="007E2D76">
        <w:t>The restriction on disposal of the membership interest was part of the nature of the right acquired and s 35 impose</w:t>
      </w:r>
      <w:r w:rsidR="009F19F0">
        <w:t>s</w:t>
      </w:r>
      <w:r w:rsidR="007E2D76">
        <w:t xml:space="preserve"> no further restrictions. It follows that there was no infringement of any right of the deceased, executor or the heir. </w:t>
      </w:r>
      <w:r w:rsidR="0095642F">
        <w:t>As the appeal has failed, t</w:t>
      </w:r>
      <w:r w:rsidR="0095642F" w:rsidRPr="00D767D0">
        <w:t xml:space="preserve">here </w:t>
      </w:r>
      <w:r w:rsidR="0095642F">
        <w:t>were</w:t>
      </w:r>
      <w:r w:rsidR="0095642F" w:rsidRPr="00D767D0">
        <w:t xml:space="preserve"> no good reasons why the costs should not follow the result</w:t>
      </w:r>
      <w:r w:rsidR="0095642F">
        <w:t>.</w:t>
      </w:r>
      <w:r>
        <w:t xml:space="preserve"> However, the appellant are also entitled to wasted costs of the abandoned counter appeal.</w:t>
      </w:r>
    </w:p>
    <w:p w14:paraId="54FF976C" w14:textId="77777777" w:rsidR="0038335F" w:rsidRDefault="0038335F" w:rsidP="00D15073">
      <w:pPr>
        <w:pStyle w:val="NoSpacing"/>
        <w:spacing w:line="480" w:lineRule="auto"/>
      </w:pPr>
    </w:p>
    <w:p w14:paraId="6C60F0E2" w14:textId="77777777" w:rsidR="00DC59BC" w:rsidRDefault="00DC59BC" w:rsidP="00D15073">
      <w:pPr>
        <w:pStyle w:val="NoSpacing"/>
        <w:spacing w:line="480" w:lineRule="auto"/>
      </w:pPr>
    </w:p>
    <w:p w14:paraId="5E060875" w14:textId="77777777" w:rsidR="00DC59BC" w:rsidRDefault="00DC59BC" w:rsidP="00D15073">
      <w:pPr>
        <w:pStyle w:val="NoSpacing"/>
        <w:spacing w:line="480" w:lineRule="auto"/>
      </w:pPr>
    </w:p>
    <w:p w14:paraId="287F622C" w14:textId="77777777" w:rsidR="006A040B" w:rsidRDefault="006A040B" w:rsidP="00D15073">
      <w:pPr>
        <w:pStyle w:val="NoSpacing"/>
        <w:spacing w:line="480" w:lineRule="auto"/>
      </w:pPr>
      <w:r>
        <w:t>______________________________________________________________________</w:t>
      </w:r>
    </w:p>
    <w:p w14:paraId="39E5FA84" w14:textId="77777777" w:rsidR="00724DBF" w:rsidRPr="006A040B" w:rsidRDefault="006A040B" w:rsidP="006A040B">
      <w:pPr>
        <w:pStyle w:val="NoSpacing"/>
        <w:spacing w:line="480" w:lineRule="auto"/>
        <w:jc w:val="center"/>
        <w:rPr>
          <w:b/>
        </w:rPr>
      </w:pPr>
      <w:r w:rsidRPr="006A040B">
        <w:rPr>
          <w:b/>
        </w:rPr>
        <w:t>APPEAL JUDGMENT</w:t>
      </w:r>
    </w:p>
    <w:p w14:paraId="46C86D33" w14:textId="77777777" w:rsidR="006A040B" w:rsidRDefault="006A040B" w:rsidP="00D15073">
      <w:pPr>
        <w:pStyle w:val="NoSpacing"/>
        <w:spacing w:line="480" w:lineRule="auto"/>
        <w:rPr>
          <w:u w:val="single"/>
        </w:rPr>
      </w:pPr>
      <w:r>
        <w:rPr>
          <w:u w:val="single"/>
        </w:rPr>
        <w:t>______________________________________________________________________</w:t>
      </w:r>
    </w:p>
    <w:p w14:paraId="12120FCD" w14:textId="77777777" w:rsidR="006A040B" w:rsidRDefault="006A040B" w:rsidP="00D15073">
      <w:pPr>
        <w:pStyle w:val="NoSpacing"/>
        <w:spacing w:line="480" w:lineRule="auto"/>
      </w:pPr>
      <w:r>
        <w:t>FRANK AJA (DAMASEB DCJ and SMUTS JA concurring)</w:t>
      </w:r>
    </w:p>
    <w:p w14:paraId="59F4EFE2" w14:textId="77777777" w:rsidR="006A040B" w:rsidRPr="006A040B" w:rsidRDefault="006A040B" w:rsidP="00D15073">
      <w:pPr>
        <w:pStyle w:val="NoSpacing"/>
        <w:spacing w:line="480" w:lineRule="auto"/>
        <w:rPr>
          <w:u w:val="single"/>
        </w:rPr>
      </w:pPr>
      <w:r w:rsidRPr="006A040B">
        <w:rPr>
          <w:u w:val="single"/>
        </w:rPr>
        <w:t>Background</w:t>
      </w:r>
    </w:p>
    <w:p w14:paraId="24A384B9" w14:textId="77777777" w:rsidR="00ED266E" w:rsidRPr="006E292C" w:rsidRDefault="00493005" w:rsidP="006E292C">
      <w:pPr>
        <w:pStyle w:val="NoSpacing"/>
        <w:numPr>
          <w:ilvl w:val="0"/>
          <w:numId w:val="24"/>
        </w:numPr>
        <w:spacing w:line="480" w:lineRule="auto"/>
        <w:ind w:left="0" w:firstLine="0"/>
        <w:rPr>
          <w:u w:val="single"/>
        </w:rPr>
      </w:pPr>
      <w:r>
        <w:t xml:space="preserve">Mr </w:t>
      </w:r>
      <w:r w:rsidR="007770C1">
        <w:t>Kurt Wyss</w:t>
      </w:r>
      <w:r w:rsidR="00EC780B">
        <w:t xml:space="preserve"> (the deceased)</w:t>
      </w:r>
      <w:r w:rsidR="007770C1">
        <w:t xml:space="preserve">, a Swiss national, died intestate on 30 January 2011. The deceased </w:t>
      </w:r>
      <w:r w:rsidR="00084595">
        <w:t>was</w:t>
      </w:r>
      <w:r w:rsidR="000A1469">
        <w:t>,</w:t>
      </w:r>
      <w:r w:rsidR="00084595">
        <w:t xml:space="preserve"> at the time of his death</w:t>
      </w:r>
      <w:r w:rsidR="000A1469">
        <w:t>,</w:t>
      </w:r>
      <w:r w:rsidR="00084595">
        <w:t xml:space="preserve"> married</w:t>
      </w:r>
      <w:r w:rsidR="00C4232B">
        <w:t>,</w:t>
      </w:r>
      <w:r w:rsidR="00084595">
        <w:t xml:space="preserve"> and had four children. These persons were </w:t>
      </w:r>
      <w:r w:rsidR="000A1469">
        <w:t>thus</w:t>
      </w:r>
      <w:r w:rsidR="00084595">
        <w:t xml:space="preserve"> his intestate </w:t>
      </w:r>
      <w:r w:rsidR="000A1469">
        <w:t>heirs.</w:t>
      </w:r>
      <w:r w:rsidR="00084595">
        <w:t xml:space="preserve"> Apart from hi</w:t>
      </w:r>
      <w:r w:rsidR="000A1469">
        <w:t xml:space="preserve">s one son, Thomas Wyss, the other intestate </w:t>
      </w:r>
      <w:r w:rsidR="00A527B0">
        <w:t>heirs</w:t>
      </w:r>
      <w:r w:rsidR="00C4232B">
        <w:t xml:space="preserve"> renounced their </w:t>
      </w:r>
      <w:r w:rsidR="00E36BB3">
        <w:t>inheritances</w:t>
      </w:r>
      <w:r w:rsidR="00C4232B">
        <w:t>.</w:t>
      </w:r>
      <w:r w:rsidR="003C2655">
        <w:t xml:space="preserve"> </w:t>
      </w:r>
      <w:r w:rsidR="00D15073">
        <w:t xml:space="preserve">This </w:t>
      </w:r>
      <w:r w:rsidR="00E36BB3">
        <w:t>mean</w:t>
      </w:r>
      <w:r w:rsidR="00A527B0">
        <w:t>t</w:t>
      </w:r>
      <w:r w:rsidR="00E36BB3">
        <w:t xml:space="preserve"> </w:t>
      </w:r>
      <w:r w:rsidR="00D15073">
        <w:t xml:space="preserve">that Thomas Wyss </w:t>
      </w:r>
      <w:r w:rsidR="00E36BB3">
        <w:t>became the deceased</w:t>
      </w:r>
      <w:r w:rsidR="00A527B0">
        <w:t>’s</w:t>
      </w:r>
      <w:r w:rsidR="00E36BB3">
        <w:t xml:space="preserve"> only intestate heir.</w:t>
      </w:r>
      <w:r w:rsidR="00855E4C">
        <w:t xml:space="preserve"> Thomas Wyss </w:t>
      </w:r>
      <w:r w:rsidR="007E2D76">
        <w:t>has</w:t>
      </w:r>
      <w:r w:rsidR="00D15073">
        <w:t xml:space="preserve"> also been appointed as the executor of the deceased’s estate.</w:t>
      </w:r>
    </w:p>
    <w:p w14:paraId="30277BF5" w14:textId="77777777" w:rsidR="006E292C" w:rsidRPr="006E292C" w:rsidRDefault="006E292C" w:rsidP="006E292C">
      <w:pPr>
        <w:pStyle w:val="NoSpacing"/>
        <w:spacing w:line="480" w:lineRule="auto"/>
        <w:rPr>
          <w:u w:val="single"/>
        </w:rPr>
      </w:pPr>
    </w:p>
    <w:p w14:paraId="75CB3C2B" w14:textId="629CD517" w:rsidR="006E292C" w:rsidRPr="00725F96" w:rsidRDefault="00855E4C" w:rsidP="006E292C">
      <w:pPr>
        <w:pStyle w:val="NoSpacing"/>
        <w:numPr>
          <w:ilvl w:val="0"/>
          <w:numId w:val="24"/>
        </w:numPr>
        <w:spacing w:line="480" w:lineRule="auto"/>
        <w:ind w:left="0" w:firstLine="0"/>
        <w:rPr>
          <w:u w:val="single"/>
        </w:rPr>
      </w:pPr>
      <w:r>
        <w:t>Part of the deceased’s</w:t>
      </w:r>
      <w:r w:rsidR="00573EE8">
        <w:t xml:space="preserve"> estate</w:t>
      </w:r>
      <w:r w:rsidR="00870683">
        <w:t>’s</w:t>
      </w:r>
      <w:r>
        <w:t xml:space="preserve"> a</w:t>
      </w:r>
      <w:r w:rsidR="00573EE8">
        <w:t>ssets is a</w:t>
      </w:r>
      <w:r w:rsidR="006E292C">
        <w:t xml:space="preserve"> 49% members</w:t>
      </w:r>
      <w:r w:rsidR="00CE03D5">
        <w:t>’</w:t>
      </w:r>
      <w:r w:rsidR="006E292C">
        <w:t xml:space="preserve"> interest in a</w:t>
      </w:r>
      <w:r w:rsidR="00573EE8">
        <w:t xml:space="preserve"> close corporation, Laconia CC</w:t>
      </w:r>
      <w:r w:rsidR="006E292C">
        <w:t>. Lac</w:t>
      </w:r>
      <w:r w:rsidR="00573EE8">
        <w:t>onia CC owns agricultural land; namely</w:t>
      </w:r>
      <w:r w:rsidR="006E292C">
        <w:t xml:space="preserve"> </w:t>
      </w:r>
      <w:r w:rsidR="00E36BB3">
        <w:t xml:space="preserve">a farm called </w:t>
      </w:r>
      <w:r w:rsidR="006E292C">
        <w:t>Laconia No 141, in the Otjiwarongo district, Namibia. The other members of Laco</w:t>
      </w:r>
      <w:r w:rsidR="00573EE8">
        <w:t xml:space="preserve">nia CC, </w:t>
      </w:r>
      <w:r w:rsidR="00A527B0">
        <w:t>Mr and Mrs Hungamo</w:t>
      </w:r>
      <w:r w:rsidR="001B2C2C">
        <w:t>,</w:t>
      </w:r>
      <w:r w:rsidR="00A527B0">
        <w:t xml:space="preserve"> hold</w:t>
      </w:r>
      <w:r w:rsidR="006E292C">
        <w:t xml:space="preserve"> 49% and 2% </w:t>
      </w:r>
      <w:r w:rsidR="00725F96">
        <w:t>respectively of the members</w:t>
      </w:r>
      <w:r w:rsidR="00C22E1A">
        <w:t>’</w:t>
      </w:r>
      <w:r w:rsidR="00725F96">
        <w:t xml:space="preserve"> interest in the </w:t>
      </w:r>
      <w:r>
        <w:t xml:space="preserve">close </w:t>
      </w:r>
      <w:r w:rsidR="00725F96">
        <w:t>corporation.</w:t>
      </w:r>
      <w:r w:rsidR="0090375F">
        <w:t xml:space="preserve"> (I refer to Mr and Mrs Hungamo in this judgment as ‘the respondents’).</w:t>
      </w:r>
    </w:p>
    <w:p w14:paraId="10D0397B" w14:textId="77777777" w:rsidR="00725F96" w:rsidRPr="00725F96" w:rsidRDefault="00725F96" w:rsidP="00725F96">
      <w:pPr>
        <w:pStyle w:val="ListParagraph"/>
      </w:pPr>
    </w:p>
    <w:p w14:paraId="1F39E0E7" w14:textId="77777777" w:rsidR="00725F96" w:rsidRDefault="00725F96" w:rsidP="006E292C">
      <w:pPr>
        <w:pStyle w:val="NoSpacing"/>
        <w:numPr>
          <w:ilvl w:val="0"/>
          <w:numId w:val="24"/>
        </w:numPr>
        <w:spacing w:line="480" w:lineRule="auto"/>
        <w:ind w:left="0" w:firstLine="0"/>
      </w:pPr>
      <w:r w:rsidRPr="00725F96">
        <w:t>The m</w:t>
      </w:r>
      <w:r>
        <w:t>embers of Laconia CC entered into an associat</w:t>
      </w:r>
      <w:r w:rsidR="00A527B0">
        <w:t>ion</w:t>
      </w:r>
      <w:r>
        <w:t xml:space="preserve"> agreement. In terms of this agreement the deceased </w:t>
      </w:r>
      <w:r w:rsidR="00167A5A">
        <w:t>was</w:t>
      </w:r>
      <w:r>
        <w:t xml:space="preserve"> given certain rights in respect of the occupation </w:t>
      </w:r>
      <w:r w:rsidR="00E36BB3">
        <w:t xml:space="preserve">and use </w:t>
      </w:r>
      <w:r>
        <w:t xml:space="preserve">of the farm Laconia and certain conditions were agreed upon </w:t>
      </w:r>
      <w:r w:rsidR="00E36BB3">
        <w:t xml:space="preserve">should </w:t>
      </w:r>
      <w:r>
        <w:t xml:space="preserve">the deceased </w:t>
      </w:r>
      <w:r w:rsidR="00A527B0">
        <w:t>wish to sell</w:t>
      </w:r>
      <w:r w:rsidR="00004B7D">
        <w:t xml:space="preserve"> his membership including an agreement in respect of t</w:t>
      </w:r>
      <w:r w:rsidR="00573EE8">
        <w:t xml:space="preserve">he price for such interest. Clause 5.3 of the association agreement </w:t>
      </w:r>
      <w:r w:rsidR="00004B7D">
        <w:t xml:space="preserve">provided that upon the death of a member ‘his shares </w:t>
      </w:r>
      <w:r w:rsidR="00004B7D">
        <w:lastRenderedPageBreak/>
        <w:t xml:space="preserve">shall be </w:t>
      </w:r>
      <w:r w:rsidR="00E36BB3">
        <w:t xml:space="preserve">bequeathed </w:t>
      </w:r>
      <w:r w:rsidR="00004B7D">
        <w:t xml:space="preserve">according to the testamentary dispositions made by the deceased </w:t>
      </w:r>
      <w:r w:rsidR="00E36BB3">
        <w:t>member</w:t>
      </w:r>
      <w:r w:rsidR="00004B7D">
        <w:t>’</w:t>
      </w:r>
      <w:r w:rsidR="00E36BB3">
        <w:t>.</w:t>
      </w:r>
    </w:p>
    <w:p w14:paraId="0A75C0C2" w14:textId="77777777" w:rsidR="00004B7D" w:rsidRDefault="00004B7D" w:rsidP="00004B7D">
      <w:pPr>
        <w:pStyle w:val="ListParagraph"/>
      </w:pPr>
    </w:p>
    <w:p w14:paraId="627086DA" w14:textId="1AEA5022" w:rsidR="00004B7D" w:rsidRDefault="00573EE8" w:rsidP="006E292C">
      <w:pPr>
        <w:pStyle w:val="NoSpacing"/>
        <w:numPr>
          <w:ilvl w:val="0"/>
          <w:numId w:val="24"/>
        </w:numPr>
        <w:spacing w:line="480" w:lineRule="auto"/>
        <w:ind w:left="0" w:firstLine="0"/>
      </w:pPr>
      <w:r>
        <w:t xml:space="preserve">Legal representatives </w:t>
      </w:r>
      <w:r w:rsidR="00167A5A">
        <w:t xml:space="preserve">of the </w:t>
      </w:r>
      <w:r w:rsidR="003058B3" w:rsidRPr="0090375F">
        <w:t>respondents</w:t>
      </w:r>
      <w:r w:rsidR="00004B7D">
        <w:t xml:space="preserve"> </w:t>
      </w:r>
      <w:r w:rsidR="00DC6393">
        <w:t xml:space="preserve">wrote a letter to the </w:t>
      </w:r>
      <w:r w:rsidR="00E36BB3">
        <w:t>agent of</w:t>
      </w:r>
      <w:r w:rsidR="00DC6393">
        <w:t xml:space="preserve"> the executor to inform the executor that they exercised the</w:t>
      </w:r>
      <w:r w:rsidR="00E36BB3">
        <w:t>ir</w:t>
      </w:r>
      <w:r w:rsidR="00DC6393">
        <w:t xml:space="preserve"> right in the association agreement to purchase the interest o</w:t>
      </w:r>
      <w:r>
        <w:t>f the deceased in Laconia CC. They further indicated that they</w:t>
      </w:r>
      <w:r w:rsidR="00DC6393">
        <w:t xml:space="preserve"> </w:t>
      </w:r>
      <w:r w:rsidR="00E36BB3">
        <w:t>w</w:t>
      </w:r>
      <w:r w:rsidR="00DC6393">
        <w:t xml:space="preserve">ould object to a liquidation and distribution account </w:t>
      </w:r>
      <w:r>
        <w:t xml:space="preserve">transferring </w:t>
      </w:r>
      <w:r w:rsidR="00DC6393">
        <w:t>the membership in</w:t>
      </w:r>
      <w:r>
        <w:t xml:space="preserve">terest of the deceased </w:t>
      </w:r>
      <w:r w:rsidR="00E36BB3">
        <w:t xml:space="preserve">to </w:t>
      </w:r>
      <w:r w:rsidR="00DC6393">
        <w:t xml:space="preserve">any person </w:t>
      </w:r>
      <w:r w:rsidR="00E36BB3">
        <w:t>other than</w:t>
      </w:r>
      <w:r w:rsidR="00DC6393">
        <w:t xml:space="preserve"> the </w:t>
      </w:r>
      <w:r w:rsidR="005C1026" w:rsidRPr="0090375F">
        <w:t>respondents</w:t>
      </w:r>
      <w:r>
        <w:t>. I</w:t>
      </w:r>
      <w:r w:rsidR="00E141B5">
        <w:t>n</w:t>
      </w:r>
      <w:r>
        <w:t xml:space="preserve"> </w:t>
      </w:r>
      <w:r w:rsidR="0048141E">
        <w:t xml:space="preserve">this regard, </w:t>
      </w:r>
      <w:r w:rsidR="00C95D07">
        <w:t xml:space="preserve">the </w:t>
      </w:r>
      <w:r w:rsidR="005C1026" w:rsidRPr="0090375F">
        <w:t>respondents</w:t>
      </w:r>
      <w:r w:rsidR="00E141B5">
        <w:t xml:space="preserve"> </w:t>
      </w:r>
      <w:r w:rsidR="00BC62A0">
        <w:t>referred to s</w:t>
      </w:r>
      <w:r w:rsidR="0048141E">
        <w:t>ection</w:t>
      </w:r>
      <w:r w:rsidR="00BC62A0">
        <w:t xml:space="preserve"> 35 of the Close Corporation Act, 26 of 1988 (the Act) in terms whereof the</w:t>
      </w:r>
      <w:r w:rsidR="00E36BB3">
        <w:t>ir</w:t>
      </w:r>
      <w:r w:rsidR="00BC62A0">
        <w:t xml:space="preserve"> consent would be necessary to </w:t>
      </w:r>
      <w:r w:rsidR="00E36BB3">
        <w:t>transfer</w:t>
      </w:r>
      <w:r w:rsidR="00BC62A0">
        <w:t xml:space="preserve"> the deceased</w:t>
      </w:r>
      <w:r w:rsidR="0048141E">
        <w:t>’s</w:t>
      </w:r>
      <w:r w:rsidR="00BC62A0">
        <w:t xml:space="preserve"> interest in the corporation to someone else.</w:t>
      </w:r>
    </w:p>
    <w:p w14:paraId="11F231C4" w14:textId="77777777" w:rsidR="00BC62A0" w:rsidRDefault="00BC62A0" w:rsidP="00BC62A0">
      <w:pPr>
        <w:pStyle w:val="ListParagraph"/>
      </w:pPr>
    </w:p>
    <w:p w14:paraId="136BD425" w14:textId="77777777" w:rsidR="00BC62A0" w:rsidRDefault="00BC62A0" w:rsidP="006E292C">
      <w:pPr>
        <w:pStyle w:val="NoSpacing"/>
        <w:numPr>
          <w:ilvl w:val="0"/>
          <w:numId w:val="24"/>
        </w:numPr>
        <w:spacing w:line="480" w:lineRule="auto"/>
        <w:ind w:left="0" w:firstLine="0"/>
      </w:pPr>
      <w:r>
        <w:t xml:space="preserve">As Thomas Wyss (in both his </w:t>
      </w:r>
      <w:r w:rsidR="00E36BB3">
        <w:t>capacities</w:t>
      </w:r>
      <w:r>
        <w:t xml:space="preserve">) insisted that he is entitled to the membership of the </w:t>
      </w:r>
      <w:r w:rsidR="00A936EE">
        <w:t xml:space="preserve">deceased </w:t>
      </w:r>
      <w:r w:rsidR="00E36BB3">
        <w:t>member’s interest</w:t>
      </w:r>
      <w:r w:rsidR="00870683">
        <w:t>,</w:t>
      </w:r>
      <w:r w:rsidR="00E36BB3">
        <w:t xml:space="preserve"> </w:t>
      </w:r>
      <w:r w:rsidR="00472555">
        <w:t xml:space="preserve">the matter ended up </w:t>
      </w:r>
      <w:r w:rsidR="00A936EE">
        <w:t>in the High Court. Thomas Wyss in both his capacities</w:t>
      </w:r>
      <w:r w:rsidR="00763274">
        <w:t xml:space="preserve"> brought an application in that </w:t>
      </w:r>
      <w:r w:rsidR="00A936EE">
        <w:t xml:space="preserve">court to declare the </w:t>
      </w:r>
      <w:r w:rsidR="00852080">
        <w:t xml:space="preserve">requirement </w:t>
      </w:r>
      <w:r w:rsidR="00A936EE">
        <w:t>contained in s 35 of the Act refe</w:t>
      </w:r>
      <w:r w:rsidR="00852080">
        <w:t xml:space="preserve">rred to above unconstitutional, declaring that he personally is entitled </w:t>
      </w:r>
      <w:r w:rsidR="00A527B0">
        <w:t>‘</w:t>
      </w:r>
      <w:r w:rsidR="00852080">
        <w:t>to</w:t>
      </w:r>
      <w:r w:rsidR="00A527B0">
        <w:t xml:space="preserve"> be</w:t>
      </w:r>
      <w:r w:rsidR="00852080">
        <w:t xml:space="preserve"> the full and </w:t>
      </w:r>
      <w:r w:rsidR="00A527B0">
        <w:t>unf</w:t>
      </w:r>
      <w:r w:rsidR="00167A5A">
        <w:t>et</w:t>
      </w:r>
      <w:r w:rsidR="00A527B0">
        <w:t>tered</w:t>
      </w:r>
      <w:r w:rsidR="00472555">
        <w:t xml:space="preserve"> owner</w:t>
      </w:r>
      <w:r w:rsidR="00A527B0">
        <w:t>’</w:t>
      </w:r>
      <w:r w:rsidR="00472555">
        <w:t xml:space="preserve"> </w:t>
      </w:r>
      <w:r w:rsidR="00852080">
        <w:t xml:space="preserve">of the deceased’s interest in the </w:t>
      </w:r>
      <w:r w:rsidR="00472555">
        <w:t xml:space="preserve">corporation </w:t>
      </w:r>
      <w:r w:rsidR="00852080">
        <w:t xml:space="preserve">and </w:t>
      </w:r>
      <w:r w:rsidR="00472555">
        <w:t xml:space="preserve">directing </w:t>
      </w:r>
      <w:r w:rsidR="00852080">
        <w:t>that the deceased</w:t>
      </w:r>
      <w:r w:rsidR="001B2C2C">
        <w:t>’s</w:t>
      </w:r>
      <w:r w:rsidR="00852080">
        <w:t xml:space="preserve"> interest be transferred to him and that this position be reflected in the liquidation and distribution account of the estate.</w:t>
      </w:r>
    </w:p>
    <w:p w14:paraId="2AB63BCD" w14:textId="77777777" w:rsidR="00852080" w:rsidRDefault="00852080" w:rsidP="00852080">
      <w:pPr>
        <w:pStyle w:val="ListParagraph"/>
      </w:pPr>
    </w:p>
    <w:p w14:paraId="2C20EF55" w14:textId="35A7C1CD" w:rsidR="00852080" w:rsidRDefault="00852080" w:rsidP="006E292C">
      <w:pPr>
        <w:pStyle w:val="NoSpacing"/>
        <w:numPr>
          <w:ilvl w:val="0"/>
          <w:numId w:val="24"/>
        </w:numPr>
        <w:spacing w:line="480" w:lineRule="auto"/>
        <w:ind w:left="0" w:firstLine="0"/>
      </w:pPr>
      <w:r>
        <w:t xml:space="preserve">The </w:t>
      </w:r>
      <w:r w:rsidR="005C1026" w:rsidRPr="0090375F">
        <w:t>respondents’</w:t>
      </w:r>
      <w:r>
        <w:t xml:space="preserve"> stance in opposition</w:t>
      </w:r>
      <w:r w:rsidR="00472555">
        <w:t xml:space="preserve"> to the</w:t>
      </w:r>
      <w:r>
        <w:t xml:space="preserve"> relief claimed was that they </w:t>
      </w:r>
      <w:r w:rsidR="00A527B0">
        <w:t>will</w:t>
      </w:r>
      <w:r>
        <w:t xml:space="preserve"> abide </w:t>
      </w:r>
      <w:r w:rsidR="00C45A8F">
        <w:t xml:space="preserve">to </w:t>
      </w:r>
      <w:r>
        <w:t>the order of the court in respect of the question of the constitutionality of s 35 of the Act</w:t>
      </w:r>
      <w:r w:rsidR="00C45A8F">
        <w:t xml:space="preserve">, but until it was </w:t>
      </w:r>
      <w:r w:rsidR="00472555">
        <w:t>declared</w:t>
      </w:r>
      <w:r w:rsidR="00C45A8F">
        <w:t xml:space="preserve"> to be unconstitutional </w:t>
      </w:r>
      <w:r w:rsidR="00472555">
        <w:t xml:space="preserve">they would rely </w:t>
      </w:r>
      <w:r w:rsidR="00763274">
        <w:t xml:space="preserve">on it. They </w:t>
      </w:r>
      <w:r w:rsidR="00C45A8F">
        <w:t xml:space="preserve">also maintained </w:t>
      </w:r>
      <w:r w:rsidR="00472555">
        <w:t xml:space="preserve">the prayer </w:t>
      </w:r>
      <w:r w:rsidR="00A527B0">
        <w:t>to be</w:t>
      </w:r>
      <w:r w:rsidR="00472555">
        <w:t xml:space="preserve"> </w:t>
      </w:r>
      <w:r w:rsidR="00A527B0">
        <w:t>transferred t</w:t>
      </w:r>
      <w:r w:rsidR="00472555">
        <w:t>he</w:t>
      </w:r>
      <w:r w:rsidR="00C45A8F">
        <w:t xml:space="preserve"> ‘full and </w:t>
      </w:r>
      <w:r w:rsidR="00472555">
        <w:t>unf</w:t>
      </w:r>
      <w:r w:rsidR="00167A5A">
        <w:t>et</w:t>
      </w:r>
      <w:r w:rsidR="00472555">
        <w:t>te</w:t>
      </w:r>
      <w:r w:rsidR="00A527B0">
        <w:t>re</w:t>
      </w:r>
      <w:r w:rsidR="00472555">
        <w:t>d</w:t>
      </w:r>
      <w:r w:rsidR="00C45A8F">
        <w:t xml:space="preserve"> own</w:t>
      </w:r>
      <w:r w:rsidR="00472555">
        <w:t xml:space="preserve">ership’ of the membership </w:t>
      </w:r>
      <w:r w:rsidR="00A527B0">
        <w:t xml:space="preserve">was </w:t>
      </w:r>
      <w:r w:rsidR="002F7779">
        <w:t xml:space="preserve">misconceived as the membership does not confer such benefit but only a share of the surplus of the assets should the corporation be dissolved and that insofar as the </w:t>
      </w:r>
      <w:r w:rsidR="002F7779">
        <w:lastRenderedPageBreak/>
        <w:t xml:space="preserve">association agreement conferred rights of use and occupation </w:t>
      </w:r>
      <w:r w:rsidR="00A527B0">
        <w:t>thi</w:t>
      </w:r>
      <w:r w:rsidR="00C45A8F">
        <w:t>s agreement was void as it</w:t>
      </w:r>
      <w:r w:rsidR="009F19F0">
        <w:t xml:space="preserve"> </w:t>
      </w:r>
      <w:r w:rsidR="00A527B0">
        <w:t>c</w:t>
      </w:r>
      <w:r w:rsidR="00C45A8F">
        <w:t>ontrary to s 58(1) of the Agricultural (Commercial) Land Reform Act, 6 of 1995</w:t>
      </w:r>
      <w:r w:rsidR="00870683">
        <w:t>,</w:t>
      </w:r>
      <w:r w:rsidR="00C45A8F">
        <w:t xml:space="preserve"> granted</w:t>
      </w:r>
      <w:r w:rsidR="00A527B0">
        <w:t xml:space="preserve"> to t</w:t>
      </w:r>
      <w:r w:rsidR="00472555">
        <w:t xml:space="preserve">he </w:t>
      </w:r>
      <w:r w:rsidR="00C45A8F">
        <w:t xml:space="preserve">deceased (a </w:t>
      </w:r>
      <w:r w:rsidR="00472555">
        <w:t xml:space="preserve">foreign </w:t>
      </w:r>
      <w:r w:rsidR="00C45A8F">
        <w:t>national) an indefinite right of occupation of agricultural land without Ministerial consent.</w:t>
      </w:r>
    </w:p>
    <w:p w14:paraId="068A4AC7" w14:textId="77777777" w:rsidR="00C45A8F" w:rsidRPr="001A1F5D" w:rsidRDefault="00C45A8F" w:rsidP="00C45A8F">
      <w:pPr>
        <w:pStyle w:val="ListParagraph"/>
        <w:rPr>
          <w:u w:val="single"/>
        </w:rPr>
      </w:pPr>
    </w:p>
    <w:p w14:paraId="02635EEE" w14:textId="77777777" w:rsidR="001A1F5D" w:rsidRPr="001A1F5D" w:rsidRDefault="001A1F5D" w:rsidP="001A1F5D">
      <w:pPr>
        <w:rPr>
          <w:u w:val="single"/>
        </w:rPr>
      </w:pPr>
      <w:r w:rsidRPr="001A1F5D">
        <w:rPr>
          <w:u w:val="single"/>
        </w:rPr>
        <w:t>Findings by the High Court</w:t>
      </w:r>
    </w:p>
    <w:p w14:paraId="393D9180" w14:textId="368024F4" w:rsidR="001A1F5D" w:rsidRDefault="00C45A8F" w:rsidP="001A1F5D">
      <w:pPr>
        <w:pStyle w:val="NoSpacing"/>
        <w:numPr>
          <w:ilvl w:val="0"/>
          <w:numId w:val="24"/>
        </w:numPr>
        <w:spacing w:line="480" w:lineRule="auto"/>
        <w:ind w:left="0" w:firstLine="0"/>
      </w:pPr>
      <w:r>
        <w:t xml:space="preserve">The court </w:t>
      </w:r>
      <w:r w:rsidRPr="00C45A8F">
        <w:rPr>
          <w:i/>
        </w:rPr>
        <w:t>a quo</w:t>
      </w:r>
      <w:r>
        <w:t xml:space="preserve"> dismissed the application. </w:t>
      </w:r>
      <w:r w:rsidR="00C856E4">
        <w:t xml:space="preserve">It </w:t>
      </w:r>
      <w:r>
        <w:t xml:space="preserve">held that </w:t>
      </w:r>
      <w:r w:rsidR="000554B2">
        <w:t>as a deceased estate was not a legal person</w:t>
      </w:r>
      <w:r w:rsidR="00763274">
        <w:t>,</w:t>
      </w:r>
      <w:r w:rsidR="000554B2">
        <w:t xml:space="preserve"> it h</w:t>
      </w:r>
      <w:r w:rsidR="00472555">
        <w:t xml:space="preserve">ad no constitutional rights. </w:t>
      </w:r>
      <w:r w:rsidR="003D4440">
        <w:t xml:space="preserve">The heir </w:t>
      </w:r>
      <w:r w:rsidR="000554B2">
        <w:t>likewise ha</w:t>
      </w:r>
      <w:r w:rsidR="00A527B0">
        <w:t>d</w:t>
      </w:r>
      <w:r w:rsidR="000554B2">
        <w:t xml:space="preserve"> no right to </w:t>
      </w:r>
      <w:r w:rsidR="003D4440">
        <w:t xml:space="preserve">specific </w:t>
      </w:r>
      <w:r w:rsidR="000554B2">
        <w:t>assets in an estate prior to the finalisation of the Liquidation and Distribution Account</w:t>
      </w:r>
      <w:r w:rsidR="00C856E4">
        <w:t xml:space="preserve"> (LDA)</w:t>
      </w:r>
      <w:r w:rsidR="000554B2">
        <w:t xml:space="preserve">. It was </w:t>
      </w:r>
      <w:r w:rsidR="00167A5A">
        <w:t>also</w:t>
      </w:r>
      <w:r w:rsidR="003D4440">
        <w:t xml:space="preserve"> held </w:t>
      </w:r>
      <w:r w:rsidR="000554B2">
        <w:t xml:space="preserve">that the association agreement was illegal and void for the reasons advanced by the </w:t>
      </w:r>
      <w:r w:rsidR="005C1026" w:rsidRPr="0090375F">
        <w:t>respondents</w:t>
      </w:r>
      <w:r w:rsidR="001A1F5D">
        <w:t xml:space="preserve">. On this </w:t>
      </w:r>
      <w:r w:rsidR="007E2D76">
        <w:t>aspect</w:t>
      </w:r>
      <w:r w:rsidR="001A1F5D">
        <w:t>,</w:t>
      </w:r>
      <w:r w:rsidR="003D4440">
        <w:t xml:space="preserve"> </w:t>
      </w:r>
      <w:r w:rsidR="000554B2">
        <w:t xml:space="preserve">the court </w:t>
      </w:r>
      <w:r w:rsidR="000554B2" w:rsidRPr="003D4440">
        <w:rPr>
          <w:i/>
        </w:rPr>
        <w:t>a quo</w:t>
      </w:r>
      <w:r w:rsidR="000554B2">
        <w:t xml:space="preserve"> </w:t>
      </w:r>
      <w:r w:rsidR="00A527B0">
        <w:t>directed</w:t>
      </w:r>
      <w:r w:rsidR="000554B2">
        <w:t xml:space="preserve"> that a copy of </w:t>
      </w:r>
      <w:r w:rsidR="003D4440">
        <w:t>its</w:t>
      </w:r>
      <w:r w:rsidR="000554B2">
        <w:t xml:space="preserve"> judgment be forwarded to the relevant Minister to take </w:t>
      </w:r>
      <w:r w:rsidR="003D4440">
        <w:t xml:space="preserve">such steps and as the law may require </w:t>
      </w:r>
      <w:r w:rsidR="000554B2">
        <w:t xml:space="preserve">in view of the </w:t>
      </w:r>
      <w:r w:rsidR="003D4440">
        <w:t xml:space="preserve">contravention </w:t>
      </w:r>
      <w:r w:rsidR="000554B2">
        <w:t>of s 58 of the Land Reform Act referred to above.</w:t>
      </w:r>
      <w:r w:rsidR="009C0CEC">
        <w:t xml:space="preserve"> As far as the executor was concerned </w:t>
      </w:r>
      <w:r w:rsidR="001A1F5D">
        <w:t xml:space="preserve">it was held that, </w:t>
      </w:r>
      <w:r w:rsidR="003D4440">
        <w:t>as he was dealing with an heir and not a legatee</w:t>
      </w:r>
      <w:r w:rsidR="00870683">
        <w:t>,</w:t>
      </w:r>
      <w:r w:rsidR="003D4440">
        <w:t xml:space="preserve"> he had no right to insist that a particular asset </w:t>
      </w:r>
      <w:r w:rsidR="00167A5A">
        <w:t>be</w:t>
      </w:r>
      <w:r w:rsidR="003D4440">
        <w:t xml:space="preserve"> transferred to a</w:t>
      </w:r>
      <w:r w:rsidR="00167A5A">
        <w:t>n</w:t>
      </w:r>
      <w:r w:rsidR="003D4440">
        <w:t xml:space="preserve"> heir as the latter had no such right.</w:t>
      </w:r>
    </w:p>
    <w:p w14:paraId="0A03A875" w14:textId="77777777" w:rsidR="001A1F5D" w:rsidRDefault="001A1F5D" w:rsidP="001A1F5D">
      <w:pPr>
        <w:pStyle w:val="NoSpacing"/>
        <w:spacing w:line="480" w:lineRule="auto"/>
      </w:pPr>
    </w:p>
    <w:p w14:paraId="49624986" w14:textId="77777777" w:rsidR="001A1F5D" w:rsidRPr="001A1F5D" w:rsidRDefault="001A1F5D" w:rsidP="001A1F5D">
      <w:pPr>
        <w:rPr>
          <w:u w:val="single"/>
        </w:rPr>
      </w:pPr>
      <w:r w:rsidRPr="001A1F5D">
        <w:rPr>
          <w:u w:val="single"/>
        </w:rPr>
        <w:t>Arguments on appeal</w:t>
      </w:r>
    </w:p>
    <w:p w14:paraId="5AAB7C49" w14:textId="04F2D557" w:rsidR="003A6232" w:rsidRDefault="003D4440" w:rsidP="006E292C">
      <w:pPr>
        <w:pStyle w:val="NoSpacing"/>
        <w:numPr>
          <w:ilvl w:val="0"/>
          <w:numId w:val="24"/>
        </w:numPr>
        <w:spacing w:line="480" w:lineRule="auto"/>
        <w:ind w:left="0" w:firstLine="0"/>
      </w:pPr>
      <w:r>
        <w:t>Thomas Wyss appeals this decision in both his capacities. For convenience sake</w:t>
      </w:r>
      <w:r w:rsidR="00CC37D8">
        <w:t>,</w:t>
      </w:r>
      <w:r>
        <w:t xml:space="preserve"> I shall refer to him in his personal capacity as the ‘heir’ and in his capacity as executor as the ‘executor’. In the heads of argument on behalf of the appell</w:t>
      </w:r>
      <w:r w:rsidR="003C0176">
        <w:t>ants the finding of the illegality</w:t>
      </w:r>
      <w:r>
        <w:t xml:space="preserve"> of the </w:t>
      </w:r>
      <w:r w:rsidR="004F6722">
        <w:t>association</w:t>
      </w:r>
      <w:r w:rsidR="00167A5A">
        <w:t xml:space="preserve"> agreement</w:t>
      </w:r>
      <w:r w:rsidR="004F6722">
        <w:t xml:space="preserve"> is not placed in issue and </w:t>
      </w:r>
      <w:r w:rsidR="00CC37D8">
        <w:t xml:space="preserve">it </w:t>
      </w:r>
      <w:r w:rsidR="004F6722">
        <w:t xml:space="preserve">is thus not necessary to deal with this aspect any further. The </w:t>
      </w:r>
      <w:r w:rsidR="005C1026" w:rsidRPr="0090375F">
        <w:t>respondents</w:t>
      </w:r>
      <w:r w:rsidR="004F6722">
        <w:t xml:space="preserve"> however did note a cross appeal against the directive of the court to refer the matter to the relevant minister in the terms set out above. </w:t>
      </w:r>
      <w:r w:rsidR="007E2D76">
        <w:t>I point out in passing that</w:t>
      </w:r>
      <w:r w:rsidR="00870683">
        <w:t>,</w:t>
      </w:r>
      <w:r w:rsidR="007E2D76">
        <w:t xml:space="preserve"> apart from the </w:t>
      </w:r>
      <w:r w:rsidR="0090375F" w:rsidRPr="0090375F">
        <w:t>Mr and Mrs Hungamo</w:t>
      </w:r>
      <w:r w:rsidR="005C1026" w:rsidRPr="0090375F">
        <w:t>,</w:t>
      </w:r>
      <w:r w:rsidR="007E2D76" w:rsidRPr="0090375F">
        <w:t xml:space="preserve"> none</w:t>
      </w:r>
      <w:r w:rsidR="007E2D76">
        <w:t xml:space="preserve"> of the other </w:t>
      </w:r>
      <w:r w:rsidR="007E2D76">
        <w:lastRenderedPageBreak/>
        <w:t xml:space="preserve">respondents participated in the proceedings </w:t>
      </w:r>
      <w:r w:rsidR="007E2D76" w:rsidRPr="007E2D76">
        <w:rPr>
          <w:i/>
        </w:rPr>
        <w:t>a quo</w:t>
      </w:r>
      <w:r w:rsidR="007E2D76">
        <w:t xml:space="preserve"> or in this appeal</w:t>
      </w:r>
      <w:r w:rsidR="004F6722">
        <w:t>.</w:t>
      </w:r>
      <w:r w:rsidR="005C1026">
        <w:t xml:space="preserve"> </w:t>
      </w:r>
    </w:p>
    <w:p w14:paraId="7FCBD7DB" w14:textId="77777777" w:rsidR="003A6232" w:rsidRDefault="003A6232" w:rsidP="003A6232">
      <w:pPr>
        <w:pStyle w:val="ListParagraph"/>
      </w:pPr>
    </w:p>
    <w:p w14:paraId="4A24D682" w14:textId="77777777" w:rsidR="003A6232" w:rsidRDefault="00C067AC" w:rsidP="006E292C">
      <w:pPr>
        <w:pStyle w:val="NoSpacing"/>
        <w:numPr>
          <w:ilvl w:val="0"/>
          <w:numId w:val="24"/>
        </w:numPr>
        <w:spacing w:line="480" w:lineRule="auto"/>
        <w:ind w:left="0" w:firstLine="0"/>
      </w:pPr>
      <w:r>
        <w:t xml:space="preserve">Counsel for </w:t>
      </w:r>
      <w:r w:rsidR="004F6722">
        <w:t>the respondent</w:t>
      </w:r>
      <w:r w:rsidR="00931CF5">
        <w:t>s</w:t>
      </w:r>
      <w:r>
        <w:t xml:space="preserve"> contended that the</w:t>
      </w:r>
      <w:r w:rsidR="004F6722">
        <w:t xml:space="preserve"> heir cannot claim owne</w:t>
      </w:r>
      <w:r w:rsidR="003C0176">
        <w:t>rship of the deceased member’s</w:t>
      </w:r>
      <w:r w:rsidR="004F6722">
        <w:t xml:space="preserve"> interest nor the transfer </w:t>
      </w:r>
      <w:r w:rsidR="00931CF5">
        <w:t xml:space="preserve">thereof </w:t>
      </w:r>
      <w:r w:rsidR="004F6722">
        <w:t>to him as the L</w:t>
      </w:r>
      <w:r w:rsidR="005764DF">
        <w:t xml:space="preserve">DA </w:t>
      </w:r>
      <w:r w:rsidR="004F6722">
        <w:t>had not yet been finalised. This is based on the position prevailing when it comes to administration of estates which was quoted by this court</w:t>
      </w:r>
      <w:r w:rsidR="004F6722">
        <w:rPr>
          <w:rStyle w:val="FootnoteReference"/>
        </w:rPr>
        <w:footnoteReference w:id="1"/>
      </w:r>
      <w:r w:rsidR="004F6722">
        <w:t xml:space="preserve"> and which is to the following effect</w:t>
      </w:r>
      <w:r w:rsidR="00870683">
        <w:t>:</w:t>
      </w:r>
      <w:r w:rsidR="004F6722">
        <w:rPr>
          <w:rStyle w:val="FootnoteReference"/>
        </w:rPr>
        <w:footnoteReference w:id="2"/>
      </w:r>
    </w:p>
    <w:p w14:paraId="02460D13" w14:textId="77777777" w:rsidR="00870683" w:rsidRDefault="00870683" w:rsidP="00870683">
      <w:pPr>
        <w:pStyle w:val="ListParagraph"/>
      </w:pPr>
    </w:p>
    <w:p w14:paraId="54704F31" w14:textId="77777777" w:rsidR="00870683" w:rsidRPr="00682119" w:rsidRDefault="00870683" w:rsidP="00870683">
      <w:pPr>
        <w:spacing w:line="360" w:lineRule="auto"/>
        <w:ind w:left="720"/>
        <w:rPr>
          <w:sz w:val="22"/>
          <w:szCs w:val="22"/>
        </w:rPr>
      </w:pPr>
      <w:r w:rsidRPr="00682119">
        <w:rPr>
          <w:sz w:val="22"/>
          <w:szCs w:val="22"/>
        </w:rPr>
        <w:t>‘An heir does not automatically upon the death of the testator acquire ownership of his share of the residue.  He merely requires a vested right (</w:t>
      </w:r>
      <w:r w:rsidRPr="00682119">
        <w:rPr>
          <w:i/>
          <w:sz w:val="22"/>
          <w:szCs w:val="22"/>
        </w:rPr>
        <w:t>dies cedit</w:t>
      </w:r>
      <w:r w:rsidRPr="00682119">
        <w:rPr>
          <w:sz w:val="22"/>
          <w:szCs w:val="22"/>
        </w:rPr>
        <w:t>) as against the executor for payment, delivery or transfer of the property comprising the inheritance.  The right is enforceable (</w:t>
      </w:r>
      <w:r w:rsidRPr="00682119">
        <w:rPr>
          <w:i/>
          <w:sz w:val="22"/>
          <w:szCs w:val="22"/>
        </w:rPr>
        <w:t>dies venit)</w:t>
      </w:r>
      <w:r w:rsidRPr="00682119">
        <w:rPr>
          <w:sz w:val="22"/>
          <w:szCs w:val="22"/>
        </w:rPr>
        <w:t xml:space="preserve"> only when the executor has drawn his liquidation and distribution account and when section 35 of the Administration of Estates Act, 66 of 1965 has been complied with.  The heir, therefore, acquires the ownership (or other real right) in his share of the residue upon payment to him of money or delivery of movable property or transfer of immovable property.  Similarly a legatee does not acquire ownership in the legacy bequeathed to him immediately upon the death of the testator:  He requires a vested right (</w:t>
      </w:r>
      <w:r w:rsidRPr="00682119">
        <w:rPr>
          <w:i/>
          <w:sz w:val="22"/>
          <w:szCs w:val="22"/>
        </w:rPr>
        <w:t>dies cedit</w:t>
      </w:r>
      <w:r w:rsidRPr="00682119">
        <w:rPr>
          <w:sz w:val="22"/>
          <w:szCs w:val="22"/>
        </w:rPr>
        <w:t>) to claim from the executor at a future date (</w:t>
      </w:r>
      <w:r w:rsidRPr="00682119">
        <w:rPr>
          <w:i/>
          <w:sz w:val="22"/>
          <w:szCs w:val="22"/>
        </w:rPr>
        <w:t>dies venit</w:t>
      </w:r>
      <w:r w:rsidRPr="00682119">
        <w:rPr>
          <w:sz w:val="22"/>
          <w:szCs w:val="22"/>
        </w:rPr>
        <w:t>) deliver</w:t>
      </w:r>
      <w:r>
        <w:rPr>
          <w:sz w:val="22"/>
          <w:szCs w:val="22"/>
        </w:rPr>
        <w:t xml:space="preserve">y </w:t>
      </w:r>
      <w:r w:rsidRPr="00682119">
        <w:rPr>
          <w:sz w:val="22"/>
          <w:szCs w:val="22"/>
        </w:rPr>
        <w:t xml:space="preserve">to him of his legacy.’ </w:t>
      </w:r>
    </w:p>
    <w:p w14:paraId="739AFAF8" w14:textId="77777777" w:rsidR="00870683" w:rsidRDefault="00870683" w:rsidP="00870683">
      <w:pPr>
        <w:pStyle w:val="ListParagraph"/>
      </w:pPr>
    </w:p>
    <w:p w14:paraId="1B9AE9B7" w14:textId="77777777" w:rsidR="00870683" w:rsidRDefault="00870683" w:rsidP="006E292C">
      <w:pPr>
        <w:pStyle w:val="NoSpacing"/>
        <w:numPr>
          <w:ilvl w:val="0"/>
          <w:numId w:val="24"/>
        </w:numPr>
        <w:spacing w:line="480" w:lineRule="auto"/>
        <w:ind w:left="0" w:firstLine="0"/>
      </w:pPr>
      <w:r>
        <w:t>Relying on the aforesaid principles, counsel for the respondents submitted that the application by the heir was premature. It is also submitted that as the heir is not entitled to a specifically identified asset/property but only to such property that forms the residue of the estate, an application to transfer specific property (here the membership interest of the deceased) cannot be brought prior to the finalisation of the LDA.</w:t>
      </w:r>
    </w:p>
    <w:p w14:paraId="2104E16E" w14:textId="77777777" w:rsidR="005764DF" w:rsidRDefault="005764DF" w:rsidP="004C0B6C">
      <w:pPr>
        <w:pStyle w:val="NoSpacing"/>
        <w:spacing w:line="480" w:lineRule="auto"/>
      </w:pPr>
    </w:p>
    <w:p w14:paraId="53490B88" w14:textId="77777777" w:rsidR="004C0B6C" w:rsidRDefault="005764DF" w:rsidP="004C0B6C">
      <w:pPr>
        <w:pStyle w:val="NoSpacing"/>
        <w:spacing w:line="480" w:lineRule="auto"/>
      </w:pPr>
      <w:r w:rsidDel="005764DF">
        <w:t xml:space="preserve"> </w:t>
      </w:r>
    </w:p>
    <w:p w14:paraId="344C40B1" w14:textId="77777777" w:rsidR="004C0B6C" w:rsidRDefault="004C0B6C" w:rsidP="004C0B6C">
      <w:pPr>
        <w:pStyle w:val="NoSpacing"/>
        <w:numPr>
          <w:ilvl w:val="0"/>
          <w:numId w:val="24"/>
        </w:numPr>
        <w:spacing w:line="480" w:lineRule="auto"/>
        <w:ind w:left="0" w:firstLine="0"/>
      </w:pPr>
      <w:r>
        <w:lastRenderedPageBreak/>
        <w:t xml:space="preserve">Whereas I have </w:t>
      </w:r>
      <w:r w:rsidR="00B21AFA">
        <w:t xml:space="preserve">no </w:t>
      </w:r>
      <w:r>
        <w:t xml:space="preserve">quarrel </w:t>
      </w:r>
      <w:r w:rsidR="00064052">
        <w:t>with</w:t>
      </w:r>
      <w:r>
        <w:t xml:space="preserve"> the general prin</w:t>
      </w:r>
      <w:r w:rsidR="00B21AFA">
        <w:t xml:space="preserve">ciples relied upon, the facts </w:t>
      </w:r>
      <w:r w:rsidR="005764DF">
        <w:t xml:space="preserve">of </w:t>
      </w:r>
      <w:r w:rsidR="00B21AFA">
        <w:t>th</w:t>
      </w:r>
      <w:r w:rsidR="00064052">
        <w:t>is</w:t>
      </w:r>
      <w:r w:rsidR="00B21AFA">
        <w:t xml:space="preserve"> matter</w:t>
      </w:r>
      <w:r w:rsidR="00064052">
        <w:t xml:space="preserve"> </w:t>
      </w:r>
      <w:r w:rsidR="005764DF">
        <w:t>are</w:t>
      </w:r>
      <w:r w:rsidR="00064052">
        <w:t xml:space="preserve"> such</w:t>
      </w:r>
      <w:r w:rsidR="00B21AFA">
        <w:t xml:space="preserve"> that the heir should not be non</w:t>
      </w:r>
      <w:r w:rsidR="00064052">
        <w:t>-</w:t>
      </w:r>
      <w:r w:rsidR="00B21AFA">
        <w:t xml:space="preserve">suited as submitted on behalf of the respondents. It is clear </w:t>
      </w:r>
      <w:r w:rsidR="00064052">
        <w:t>that</w:t>
      </w:r>
      <w:r w:rsidR="00B21AFA">
        <w:t xml:space="preserve"> the residue of the </w:t>
      </w:r>
      <w:r w:rsidR="00F11E40">
        <w:t>estate will</w:t>
      </w:r>
      <w:r w:rsidR="00B21AFA">
        <w:t xml:space="preserve"> include the membership of the deceased in Laconia CC. There is no suggestion that the liabilities </w:t>
      </w:r>
      <w:r w:rsidR="003F6551">
        <w:t>or other</w:t>
      </w:r>
      <w:r w:rsidR="00167A5A">
        <w:t xml:space="preserve"> costs </w:t>
      </w:r>
      <w:r w:rsidR="00B21AFA">
        <w:t xml:space="preserve">of the estate </w:t>
      </w:r>
      <w:r w:rsidR="00F11E40">
        <w:t>are such</w:t>
      </w:r>
      <w:r w:rsidR="00B21AFA">
        <w:t xml:space="preserve"> </w:t>
      </w:r>
      <w:r w:rsidR="00261E98">
        <w:t xml:space="preserve">that this will necessitate a sale of the mentioned membership. It is also clear that </w:t>
      </w:r>
      <w:r w:rsidR="00167A5A">
        <w:t>a</w:t>
      </w:r>
      <w:r w:rsidR="00261E98">
        <w:t xml:space="preserve"> L</w:t>
      </w:r>
      <w:r w:rsidR="005764DF">
        <w:t xml:space="preserve">DA </w:t>
      </w:r>
      <w:r w:rsidR="00261E98">
        <w:t xml:space="preserve">reflecting that the deceased membership in Laconia is to be </w:t>
      </w:r>
      <w:r w:rsidR="007E2D76">
        <w:t>distributed</w:t>
      </w:r>
      <w:r w:rsidR="00261E98">
        <w:t xml:space="preserve"> to the heir would have been published but for the </w:t>
      </w:r>
      <w:r w:rsidR="00F11E40">
        <w:t xml:space="preserve">stance </w:t>
      </w:r>
      <w:r w:rsidR="00261E98">
        <w:t xml:space="preserve">of the respondents that they would </w:t>
      </w:r>
      <w:r w:rsidR="00F11E40">
        <w:t>object</w:t>
      </w:r>
      <w:r w:rsidR="00261E98">
        <w:t xml:space="preserve"> thereto. </w:t>
      </w:r>
      <w:r w:rsidR="007E2D76">
        <w:t>The</w:t>
      </w:r>
      <w:r w:rsidR="00610ECA">
        <w:t xml:space="preserve"> question that arise</w:t>
      </w:r>
      <w:r w:rsidR="007E2D76">
        <w:t>s</w:t>
      </w:r>
      <w:r w:rsidR="00610ECA">
        <w:t xml:space="preserve"> is whether </w:t>
      </w:r>
      <w:r w:rsidR="00747010">
        <w:t>the executor</w:t>
      </w:r>
      <w:r w:rsidR="00610ECA">
        <w:t xml:space="preserve"> </w:t>
      </w:r>
      <w:r w:rsidR="007E2D76">
        <w:t xml:space="preserve">is </w:t>
      </w:r>
      <w:r w:rsidR="00610ECA">
        <w:t>expected</w:t>
      </w:r>
      <w:r w:rsidR="00747010">
        <w:t xml:space="preserve">, in </w:t>
      </w:r>
      <w:r w:rsidR="00261E98">
        <w:t>these circumstances, to publish the account, await</w:t>
      </w:r>
      <w:r w:rsidR="00747010">
        <w:t xml:space="preserve"> </w:t>
      </w:r>
      <w:r w:rsidR="00261E98">
        <w:t xml:space="preserve">the objection, and then only approach the court for </w:t>
      </w:r>
      <w:r w:rsidR="00610ECA">
        <w:t>relief?</w:t>
      </w:r>
      <w:r w:rsidR="00261E98">
        <w:t xml:space="preserve"> In my view this </w:t>
      </w:r>
      <w:r w:rsidR="00747010">
        <w:t>w</w:t>
      </w:r>
      <w:r w:rsidR="00261E98">
        <w:t xml:space="preserve">ould be an overly formalistic stance. </w:t>
      </w:r>
      <w:r w:rsidR="00D47178">
        <w:t>Whereas</w:t>
      </w:r>
      <w:r w:rsidR="00261E98">
        <w:t xml:space="preserve"> it may be that the heir </w:t>
      </w:r>
      <w:r w:rsidR="00167A5A">
        <w:t>will</w:t>
      </w:r>
      <w:r w:rsidR="00261E98">
        <w:t xml:space="preserve"> not be entitled to the relief as currently framed as the L</w:t>
      </w:r>
      <w:r w:rsidR="003606C7">
        <w:t xml:space="preserve">DA </w:t>
      </w:r>
      <w:r w:rsidR="00167A5A">
        <w:t>ha</w:t>
      </w:r>
      <w:r w:rsidR="00261E98">
        <w:t>s not been finalised</w:t>
      </w:r>
      <w:r w:rsidR="003606C7">
        <w:t>,</w:t>
      </w:r>
      <w:r w:rsidR="00261E98">
        <w:t xml:space="preserve"> </w:t>
      </w:r>
      <w:r w:rsidR="00747010">
        <w:t xml:space="preserve">it </w:t>
      </w:r>
      <w:r w:rsidR="00261E98">
        <w:t xml:space="preserve">certainly would be a basis for </w:t>
      </w:r>
      <w:r w:rsidR="00747010">
        <w:t xml:space="preserve">the </w:t>
      </w:r>
      <w:r w:rsidR="00261E98">
        <w:t xml:space="preserve">alternative relief in the </w:t>
      </w:r>
      <w:r w:rsidR="00DC35CD">
        <w:t xml:space="preserve">form of a </w:t>
      </w:r>
      <w:r w:rsidR="00610ECA">
        <w:t>declaratory order</w:t>
      </w:r>
      <w:r w:rsidR="00DC35CD">
        <w:t xml:space="preserve"> that the intended distribution can be reflected in the L</w:t>
      </w:r>
      <w:r w:rsidR="003606C7">
        <w:t xml:space="preserve">DA </w:t>
      </w:r>
      <w:r w:rsidR="00DC35CD">
        <w:t>and failing other objections th</w:t>
      </w:r>
      <w:r w:rsidR="00D47178">
        <w:t>a</w:t>
      </w:r>
      <w:r w:rsidR="00DC35CD">
        <w:t>n those of the respondents</w:t>
      </w:r>
      <w:r w:rsidR="00610ECA">
        <w:t>,</w:t>
      </w:r>
      <w:r w:rsidR="00DC35CD">
        <w:t xml:space="preserve"> the </w:t>
      </w:r>
      <w:r w:rsidR="00D47178">
        <w:t>estate</w:t>
      </w:r>
      <w:r w:rsidR="00DC35CD">
        <w:t xml:space="preserve"> could be finalised on this basis. This, of course, assumes that the application will succeed on the merits. This is the question I turn to below.</w:t>
      </w:r>
    </w:p>
    <w:p w14:paraId="6C5A896F" w14:textId="77777777" w:rsidR="00DC35CD" w:rsidRDefault="00DC35CD" w:rsidP="00DC35CD">
      <w:pPr>
        <w:pStyle w:val="NoSpacing"/>
        <w:spacing w:line="480" w:lineRule="auto"/>
      </w:pPr>
    </w:p>
    <w:p w14:paraId="68575DEF" w14:textId="77777777" w:rsidR="00D47178" w:rsidRDefault="0005333A" w:rsidP="004C0B6C">
      <w:pPr>
        <w:pStyle w:val="NoSpacing"/>
        <w:numPr>
          <w:ilvl w:val="0"/>
          <w:numId w:val="24"/>
        </w:numPr>
        <w:spacing w:line="480" w:lineRule="auto"/>
        <w:ind w:left="0" w:firstLine="0"/>
      </w:pPr>
      <w:r>
        <w:t>It need</w:t>
      </w:r>
      <w:r w:rsidR="00870683">
        <w:t>s</w:t>
      </w:r>
      <w:r>
        <w:t xml:space="preserve"> also</w:t>
      </w:r>
      <w:r w:rsidR="00870683">
        <w:t xml:space="preserve"> to</w:t>
      </w:r>
      <w:r>
        <w:t xml:space="preserve"> be stated that it is</w:t>
      </w:r>
      <w:r w:rsidR="00DC35CD">
        <w:t xml:space="preserve"> not only the position </w:t>
      </w:r>
      <w:r w:rsidR="00D47178">
        <w:t xml:space="preserve">of </w:t>
      </w:r>
      <w:r w:rsidR="00DC35CD">
        <w:t>the heir that must be considered, but also th</w:t>
      </w:r>
      <w:r w:rsidR="003606C7">
        <w:t>at</w:t>
      </w:r>
      <w:r w:rsidR="00DC35CD">
        <w:t xml:space="preserve"> of the executor. The executor must take </w:t>
      </w:r>
      <w:r w:rsidR="00D47178">
        <w:t>possession</w:t>
      </w:r>
      <w:r>
        <w:t xml:space="preserve"> of the deceased</w:t>
      </w:r>
      <w:r w:rsidR="00DC35CD">
        <w:t>’s estate, administer it and distribute it according to the will of the de</w:t>
      </w:r>
      <w:r>
        <w:t>ceased or according to the</w:t>
      </w:r>
      <w:r w:rsidR="007E2D76">
        <w:t xml:space="preserve"> law on</w:t>
      </w:r>
      <w:r>
        <w:t xml:space="preserve"> intestate succession</w:t>
      </w:r>
      <w:r w:rsidR="00DC35CD">
        <w:t>. In the present matter</w:t>
      </w:r>
      <w:r w:rsidR="003606C7">
        <w:t>,</w:t>
      </w:r>
      <w:r w:rsidR="00DC35CD">
        <w:t xml:space="preserve"> it is alleged that the deceased did not make a will as he desired that his next of kin should inherit, ie, that he knew and wished his estate to devolve </w:t>
      </w:r>
      <w:r w:rsidR="0030056D">
        <w:t xml:space="preserve">according to the rules relating to intestate succession. </w:t>
      </w:r>
    </w:p>
    <w:p w14:paraId="7ABB8857" w14:textId="77777777" w:rsidR="00D47178" w:rsidRDefault="00D47178" w:rsidP="00D47178">
      <w:pPr>
        <w:pStyle w:val="ListParagraph"/>
      </w:pPr>
    </w:p>
    <w:p w14:paraId="076A6EBD" w14:textId="77777777" w:rsidR="00DC35CD" w:rsidRDefault="0030056D" w:rsidP="004C0B6C">
      <w:pPr>
        <w:pStyle w:val="NoSpacing"/>
        <w:numPr>
          <w:ilvl w:val="0"/>
          <w:numId w:val="24"/>
        </w:numPr>
        <w:spacing w:line="480" w:lineRule="auto"/>
        <w:ind w:left="0" w:firstLine="0"/>
      </w:pPr>
      <w:r>
        <w:t>Article 16 of the Namibian Constitution, on which the heir and executor</w:t>
      </w:r>
      <w:r w:rsidR="00D47178">
        <w:t xml:space="preserve"> re</w:t>
      </w:r>
      <w:r>
        <w:t>l</w:t>
      </w:r>
      <w:r w:rsidR="003606C7">
        <w:t>y</w:t>
      </w:r>
      <w:r>
        <w:t xml:space="preserve"> insofar </w:t>
      </w:r>
      <w:r>
        <w:lastRenderedPageBreak/>
        <w:t>as is relevant reads as follows:</w:t>
      </w:r>
    </w:p>
    <w:p w14:paraId="19270953" w14:textId="77777777" w:rsidR="00212CD1" w:rsidRDefault="00212CD1" w:rsidP="00167A5A">
      <w:pPr>
        <w:pStyle w:val="ListParagraph"/>
        <w:spacing w:after="0"/>
      </w:pPr>
    </w:p>
    <w:p w14:paraId="099D85A1" w14:textId="77777777" w:rsidR="00212CD1" w:rsidRPr="00167A5A" w:rsidRDefault="00212CD1" w:rsidP="00167A5A">
      <w:pPr>
        <w:pStyle w:val="NoSpacing"/>
        <w:spacing w:line="360" w:lineRule="auto"/>
        <w:ind w:left="720"/>
        <w:rPr>
          <w:sz w:val="22"/>
          <w:szCs w:val="22"/>
        </w:rPr>
      </w:pPr>
      <w:r w:rsidRPr="00167A5A">
        <w:rPr>
          <w:sz w:val="22"/>
          <w:szCs w:val="22"/>
        </w:rPr>
        <w:t xml:space="preserve">‘All persons shall have the right to . . . acquire, own and dispose of all forms </w:t>
      </w:r>
      <w:r w:rsidR="00730A05">
        <w:rPr>
          <w:sz w:val="22"/>
          <w:szCs w:val="22"/>
        </w:rPr>
        <w:t xml:space="preserve">of </w:t>
      </w:r>
      <w:r w:rsidRPr="00167A5A">
        <w:rPr>
          <w:sz w:val="22"/>
          <w:szCs w:val="22"/>
        </w:rPr>
        <w:t>immovable and movable property . . . and bequeath their property to their heirs or legatees.’</w:t>
      </w:r>
    </w:p>
    <w:p w14:paraId="7B1C281C" w14:textId="77777777" w:rsidR="00212CD1" w:rsidRDefault="00212CD1" w:rsidP="00212CD1"/>
    <w:p w14:paraId="023BA3FA" w14:textId="77777777" w:rsidR="00212CD1" w:rsidRDefault="00212CD1" w:rsidP="00212CD1">
      <w:r>
        <w:t>The deceased obviously cannot enforce a right where it is averred to have been denied. So</w:t>
      </w:r>
      <w:r w:rsidR="00ED7C4F">
        <w:t>,</w:t>
      </w:r>
      <w:r>
        <w:t xml:space="preserve"> it can only be the executor, heirs and legatees who can do so. As the reference to a legatee is not relevant to the present matter, it can be ignored. In my view, both the heir and the executor can do so in the present case as it is undisputed that the membership of the deceased in Laconia CC will be available for distribution, but for the provisions of s 35 of the Act.</w:t>
      </w:r>
    </w:p>
    <w:p w14:paraId="450E4D37" w14:textId="77777777" w:rsidR="00212CD1" w:rsidRDefault="00212CD1" w:rsidP="00212CD1">
      <w:pPr>
        <w:pStyle w:val="ListParagraph"/>
      </w:pPr>
    </w:p>
    <w:p w14:paraId="50B514F1" w14:textId="6228C4B3" w:rsidR="00212CD1" w:rsidRDefault="009704B3" w:rsidP="004C0B6C">
      <w:pPr>
        <w:pStyle w:val="NoSpacing"/>
        <w:numPr>
          <w:ilvl w:val="0"/>
          <w:numId w:val="24"/>
        </w:numPr>
        <w:spacing w:line="480" w:lineRule="auto"/>
        <w:ind w:left="0" w:firstLine="0"/>
      </w:pPr>
      <w:r>
        <w:t xml:space="preserve">Counsel for the respondents submitted that it was not undisputed that the membership was available for distribution to the heir. He submitted that the heir and executor did not establish this as a fact. Thomas Wyss in his founding affidavit states that he seeks an order for the membership to be transferred to him. He says that he, as </w:t>
      </w:r>
      <w:r w:rsidR="00592305">
        <w:t xml:space="preserve">the </w:t>
      </w:r>
      <w:r>
        <w:t xml:space="preserve">executor, is ‘in the position to simply direct that my late father’s members’ interest should be transferred to me’. He </w:t>
      </w:r>
      <w:r w:rsidR="00167A5A">
        <w:t>states that</w:t>
      </w:r>
      <w:r>
        <w:t xml:space="preserve"> because of the threatened objection by respondents to this course of action</w:t>
      </w:r>
      <w:r w:rsidR="00A82A0A">
        <w:t>,</w:t>
      </w:r>
      <w:r>
        <w:t xml:space="preserve"> he is seeking the court order. He further submits that neither the association agreement nor s 35 of the Act ‘precludes the transfer to me, . . . of the 49% members’ interest’. None of the factual matters averred is placed in dispute. The inference is clear that the executor is in a position to transfer the membership to the heir but for the objection to this course of action by the </w:t>
      </w:r>
      <w:r w:rsidR="005C1026" w:rsidRPr="0090375F">
        <w:t>respondents</w:t>
      </w:r>
      <w:r>
        <w:t>. There is no suggestion in the answering affidavit that the membership cannot be so transferred because of liabilities or cost</w:t>
      </w:r>
      <w:r w:rsidR="00A82A0A">
        <w:t>s</w:t>
      </w:r>
      <w:r>
        <w:t xml:space="preserve"> in the administration of the estate. In these circumstances</w:t>
      </w:r>
      <w:r w:rsidR="00592305">
        <w:t xml:space="preserve">, it is not in dispute that </w:t>
      </w:r>
      <w:r>
        <w:t>the membership</w:t>
      </w:r>
      <w:r w:rsidR="00592305">
        <w:t xml:space="preserve"> interest</w:t>
      </w:r>
      <w:r>
        <w:t xml:space="preserve"> is available for tra</w:t>
      </w:r>
      <w:r w:rsidR="00592305">
        <w:t>nsfer to the heir.</w:t>
      </w:r>
    </w:p>
    <w:p w14:paraId="4DF149DA" w14:textId="77777777" w:rsidR="00212CD1" w:rsidRDefault="00212CD1" w:rsidP="00212CD1">
      <w:pPr>
        <w:pStyle w:val="ListParagraph"/>
      </w:pPr>
    </w:p>
    <w:p w14:paraId="3CAB040A" w14:textId="77777777" w:rsidR="00212CD1" w:rsidRDefault="007E2D76" w:rsidP="004C0B6C">
      <w:pPr>
        <w:pStyle w:val="NoSpacing"/>
        <w:numPr>
          <w:ilvl w:val="0"/>
          <w:numId w:val="24"/>
        </w:numPr>
        <w:spacing w:line="480" w:lineRule="auto"/>
        <w:ind w:left="0" w:firstLine="0"/>
      </w:pPr>
      <w:r>
        <w:t>‘</w:t>
      </w:r>
      <w:r w:rsidR="001F0A2B">
        <w:t xml:space="preserve">The term </w:t>
      </w:r>
      <w:r>
        <w:t>“</w:t>
      </w:r>
      <w:r w:rsidR="001F0A2B">
        <w:t>close corporation</w:t>
      </w:r>
      <w:r>
        <w:t>”</w:t>
      </w:r>
      <w:r w:rsidR="001F0A2B">
        <w:t xml:space="preserve"> is derived from the expression </w:t>
      </w:r>
      <w:r>
        <w:t>“</w:t>
      </w:r>
      <w:r w:rsidR="001F0A2B">
        <w:t>closely held corporation</w:t>
      </w:r>
      <w:r>
        <w:t>”</w:t>
      </w:r>
      <w:r w:rsidR="001F0A2B">
        <w:t xml:space="preserve">. This refers </w:t>
      </w:r>
      <w:r w:rsidR="001F0A2B">
        <w:rPr>
          <w:i/>
        </w:rPr>
        <w:t xml:space="preserve">inter alia </w:t>
      </w:r>
      <w:r w:rsidR="001F0A2B">
        <w:t xml:space="preserve">to the limited number of members of the corporation and the closeness of their relationship. The term </w:t>
      </w:r>
      <w:r>
        <w:t>“</w:t>
      </w:r>
      <w:r w:rsidR="001F0A2B">
        <w:t>close corporation</w:t>
      </w:r>
      <w:r>
        <w:t>”</w:t>
      </w:r>
      <w:r w:rsidR="001F0A2B">
        <w:t xml:space="preserve"> was used by company lawyers at least as far back as the previous century and internationally it is a widely</w:t>
      </w:r>
      <w:r w:rsidR="001164E3">
        <w:t xml:space="preserve"> </w:t>
      </w:r>
      <w:r w:rsidR="001F0A2B">
        <w:t>accepted concept.</w:t>
      </w:r>
      <w:r w:rsidR="00167A5A">
        <w:t>’</w:t>
      </w:r>
      <w:r w:rsidR="001F0A2B">
        <w:rPr>
          <w:rStyle w:val="FootnoteReference"/>
        </w:rPr>
        <w:footnoteReference w:id="3"/>
      </w:r>
    </w:p>
    <w:p w14:paraId="07C6D74B" w14:textId="77777777" w:rsidR="0030056D" w:rsidRDefault="0030056D" w:rsidP="0030056D"/>
    <w:p w14:paraId="723DFBAF" w14:textId="77777777" w:rsidR="005D5917" w:rsidRDefault="0030056D" w:rsidP="004C0B6C">
      <w:pPr>
        <w:pStyle w:val="NoSpacing"/>
        <w:numPr>
          <w:ilvl w:val="0"/>
          <w:numId w:val="24"/>
        </w:numPr>
        <w:spacing w:line="480" w:lineRule="auto"/>
        <w:ind w:left="0" w:firstLine="0"/>
      </w:pPr>
      <w:r>
        <w:t>Close corporations c</w:t>
      </w:r>
      <w:r w:rsidR="001875AB">
        <w:t>ater for smaller business</w:t>
      </w:r>
      <w:r w:rsidR="00212CD1">
        <w:t>es</w:t>
      </w:r>
      <w:r w:rsidR="001875AB">
        <w:t xml:space="preserve"> which would otherwise probably operate as partnerships.</w:t>
      </w:r>
      <w:r w:rsidR="00212CD1">
        <w:rPr>
          <w:rStyle w:val="FootnoteReference"/>
        </w:rPr>
        <w:footnoteReference w:id="4"/>
      </w:r>
      <w:r w:rsidR="001875AB">
        <w:t xml:space="preserve"> It</w:t>
      </w:r>
      <w:r w:rsidR="002F1BA8">
        <w:t xml:space="preserve"> </w:t>
      </w:r>
      <w:r w:rsidR="001875AB">
        <w:t>however, ha</w:t>
      </w:r>
      <w:r w:rsidR="00212CD1">
        <w:t>s</w:t>
      </w:r>
      <w:r w:rsidR="001875AB">
        <w:t xml:space="preserve"> benefits that partnerships do not </w:t>
      </w:r>
      <w:r w:rsidR="00212CD1">
        <w:t>offer</w:t>
      </w:r>
      <w:r w:rsidR="001875AB">
        <w:t xml:space="preserve"> namely</w:t>
      </w:r>
      <w:r w:rsidR="00212CD1">
        <w:t xml:space="preserve"> it</w:t>
      </w:r>
      <w:r w:rsidR="001875AB">
        <w:t xml:space="preserve"> provides perpetual succession and for limited liability of its membe</w:t>
      </w:r>
      <w:r w:rsidR="00592305">
        <w:t xml:space="preserve">rs. A close corporation may not have more </w:t>
      </w:r>
      <w:r w:rsidR="001875AB">
        <w:t>than 10 members who must all be natural persons.</w:t>
      </w:r>
      <w:r w:rsidR="001875AB">
        <w:rPr>
          <w:rStyle w:val="FootnoteReference"/>
        </w:rPr>
        <w:footnoteReference w:id="5"/>
      </w:r>
      <w:r w:rsidR="001875AB">
        <w:t xml:space="preserve"> The membership interest is regarded as movable property.</w:t>
      </w:r>
      <w:r w:rsidR="00212CD1">
        <w:rPr>
          <w:rStyle w:val="FootnoteReference"/>
        </w:rPr>
        <w:footnoteReference w:id="6"/>
      </w:r>
      <w:r w:rsidR="001875AB">
        <w:t xml:space="preserve"> A member cannot </w:t>
      </w:r>
      <w:r w:rsidR="00212CD1">
        <w:t xml:space="preserve">freely dispose </w:t>
      </w:r>
      <w:r w:rsidR="001875AB">
        <w:t xml:space="preserve">of his </w:t>
      </w:r>
      <w:r w:rsidR="00212CD1">
        <w:t xml:space="preserve">or her </w:t>
      </w:r>
      <w:r w:rsidR="001875AB">
        <w:t>membership.  As a general rule</w:t>
      </w:r>
      <w:r w:rsidR="0066725F">
        <w:t>,</w:t>
      </w:r>
      <w:r w:rsidR="001875AB">
        <w:t xml:space="preserve"> when a member wants to dispose of a membership interest it can only be done with the consent of the other members who</w:t>
      </w:r>
      <w:r w:rsidR="0066725F">
        <w:t>,</w:t>
      </w:r>
      <w:r w:rsidR="001875AB">
        <w:t xml:space="preserve"> in certain cases</w:t>
      </w:r>
      <w:r w:rsidR="0066725F">
        <w:t>,</w:t>
      </w:r>
      <w:r w:rsidR="001875AB">
        <w:t xml:space="preserve"> have a right of pre</w:t>
      </w:r>
      <w:r w:rsidR="00212CD1">
        <w:t>-e</w:t>
      </w:r>
      <w:r w:rsidR="001875AB">
        <w:t>mption.</w:t>
      </w:r>
      <w:r w:rsidR="001875AB">
        <w:rPr>
          <w:rStyle w:val="FootnoteReference"/>
        </w:rPr>
        <w:footnoteReference w:id="7"/>
      </w:r>
      <w:r w:rsidR="001875AB">
        <w:t xml:space="preserve"> Thus</w:t>
      </w:r>
      <w:r w:rsidR="005D5917">
        <w:t>,</w:t>
      </w:r>
      <w:r w:rsidR="001875AB">
        <w:t xml:space="preserve"> during his or her life the consent of co-members </w:t>
      </w:r>
      <w:r w:rsidR="0066725F">
        <w:t xml:space="preserve">is </w:t>
      </w:r>
      <w:r w:rsidR="001875AB">
        <w:t>required for a disposition</w:t>
      </w:r>
      <w:r w:rsidR="001875AB">
        <w:rPr>
          <w:rStyle w:val="FootnoteReference"/>
        </w:rPr>
        <w:footnoteReference w:id="8"/>
      </w:r>
      <w:r w:rsidR="001875AB">
        <w:t xml:space="preserve"> and upon death s 35 provides a right of pre</w:t>
      </w:r>
      <w:r w:rsidR="001F0A2B">
        <w:t>-e</w:t>
      </w:r>
      <w:r w:rsidR="001875AB">
        <w:t xml:space="preserve">mption to </w:t>
      </w:r>
      <w:r w:rsidR="0066725F">
        <w:t xml:space="preserve">the </w:t>
      </w:r>
      <w:r w:rsidR="001875AB">
        <w:t>other members. This (together with s 36 where the court can order changes to the membership</w:t>
      </w:r>
      <w:r w:rsidR="007B4449">
        <w:t xml:space="preserve"> without liquidating the corporation) underscores the position that in </w:t>
      </w:r>
      <w:r w:rsidR="00212CD1">
        <w:t>close</w:t>
      </w:r>
      <w:r w:rsidR="007B4449">
        <w:t xml:space="preserve"> corporation</w:t>
      </w:r>
      <w:r w:rsidR="00212CD1">
        <w:t>s</w:t>
      </w:r>
      <w:r w:rsidR="007B4449">
        <w:t xml:space="preserve"> members cannot be forced to accept persons as co-members with whom they do not wish to be associated with. It must be borne in mind further that, as a general rule, all members a</w:t>
      </w:r>
      <w:r w:rsidR="00212CD1">
        <w:t>re</w:t>
      </w:r>
      <w:r w:rsidR="007B4449">
        <w:t xml:space="preserve"> entitled to participate in the management of the corporation.</w:t>
      </w:r>
      <w:r w:rsidR="007B4449">
        <w:rPr>
          <w:rStyle w:val="FootnoteReference"/>
        </w:rPr>
        <w:footnoteReference w:id="9"/>
      </w:r>
      <w:r w:rsidR="007B4449">
        <w:t xml:space="preserve"> Thus, in principle</w:t>
      </w:r>
      <w:r w:rsidR="0066725F">
        <w:t>,</w:t>
      </w:r>
      <w:r w:rsidR="007B4449">
        <w:t xml:space="preserve"> there </w:t>
      </w:r>
      <w:r w:rsidR="007B4449">
        <w:lastRenderedPageBreak/>
        <w:t xml:space="preserve">is no separation between ownership and control like in other forms of corporations such as companies. </w:t>
      </w:r>
    </w:p>
    <w:p w14:paraId="4EED658E" w14:textId="77777777" w:rsidR="005D5917" w:rsidRDefault="005D5917" w:rsidP="005D5917">
      <w:pPr>
        <w:pStyle w:val="NoSpacing"/>
        <w:spacing w:line="480" w:lineRule="auto"/>
      </w:pPr>
    </w:p>
    <w:p w14:paraId="045DD188" w14:textId="77777777" w:rsidR="0030056D" w:rsidRDefault="007B4449" w:rsidP="004C0B6C">
      <w:pPr>
        <w:pStyle w:val="NoSpacing"/>
        <w:numPr>
          <w:ilvl w:val="0"/>
          <w:numId w:val="24"/>
        </w:numPr>
        <w:spacing w:line="480" w:lineRule="auto"/>
        <w:ind w:left="0" w:firstLine="0"/>
      </w:pPr>
      <w:r>
        <w:t>Some of the consequences of membership set out above can be changed by way of an ‘Association Agre</w:t>
      </w:r>
      <w:r w:rsidR="005D5917">
        <w:t>ement’ between the members. Therefore,</w:t>
      </w:r>
      <w:r>
        <w:t xml:space="preserve"> when it comes to s 35 of the Act which provides for the disposal of </w:t>
      </w:r>
      <w:r w:rsidR="003D2B1A">
        <w:t xml:space="preserve">a </w:t>
      </w:r>
      <w:r w:rsidR="00535A57">
        <w:t xml:space="preserve">membership </w:t>
      </w:r>
      <w:r w:rsidR="00212CD1">
        <w:t xml:space="preserve">interest of a </w:t>
      </w:r>
      <w:r w:rsidR="005D5917">
        <w:t xml:space="preserve">deceased member, </w:t>
      </w:r>
      <w:r w:rsidR="00535A57">
        <w:t>the section provides for a right of pre</w:t>
      </w:r>
      <w:r w:rsidR="00212CD1">
        <w:t>-e</w:t>
      </w:r>
      <w:r w:rsidR="00535A57">
        <w:t>mption to surviving members but it makes it expressly ‘subject to any other arrangement in the association agreement’. As pointed out above</w:t>
      </w:r>
      <w:r w:rsidR="00212CD1">
        <w:t>,</w:t>
      </w:r>
      <w:r w:rsidR="00535A57">
        <w:t xml:space="preserve"> the association agreement in the present matter expressly provided that a members</w:t>
      </w:r>
      <w:r w:rsidR="00212CD1">
        <w:t>’</w:t>
      </w:r>
      <w:r w:rsidR="00535A57">
        <w:t xml:space="preserve"> interest could be </w:t>
      </w:r>
      <w:r w:rsidR="00212CD1">
        <w:t xml:space="preserve">‘bequeathed’ </w:t>
      </w:r>
      <w:r w:rsidR="00535A57">
        <w:t>according to testamentary dispositions made by the deceased member’</w:t>
      </w:r>
      <w:r w:rsidR="005D5917">
        <w:t>. The point is that a member’s</w:t>
      </w:r>
      <w:r w:rsidR="00535A57">
        <w:t xml:space="preserve"> interest </w:t>
      </w:r>
      <w:r w:rsidR="00AD32AC">
        <w:t>represents</w:t>
      </w:r>
      <w:r w:rsidR="00535A57">
        <w:t xml:space="preserve"> a bu</w:t>
      </w:r>
      <w:r w:rsidR="005D5917">
        <w:t xml:space="preserve">ndle of rights and obligations </w:t>
      </w:r>
      <w:r w:rsidR="00535A57">
        <w:t>which regulates the relationship between the members on the one hand and between the members and the corporation on the other hand</w:t>
      </w:r>
      <w:r w:rsidR="00167A5A">
        <w:t>.</w:t>
      </w:r>
      <w:r w:rsidR="007E2D76">
        <w:t xml:space="preserve"> This is the nature of the ‘property’ under consideration.</w:t>
      </w:r>
    </w:p>
    <w:p w14:paraId="1E3BF2D3" w14:textId="77777777" w:rsidR="0030056D" w:rsidRDefault="0030056D" w:rsidP="0030056D">
      <w:pPr>
        <w:pStyle w:val="ListParagraph"/>
      </w:pPr>
    </w:p>
    <w:p w14:paraId="7CDF46C4" w14:textId="77777777" w:rsidR="0030056D" w:rsidRDefault="00535A57" w:rsidP="004C0B6C">
      <w:pPr>
        <w:pStyle w:val="NoSpacing"/>
        <w:numPr>
          <w:ilvl w:val="0"/>
          <w:numId w:val="24"/>
        </w:numPr>
        <w:spacing w:line="480" w:lineRule="auto"/>
        <w:ind w:left="0" w:firstLine="0"/>
      </w:pPr>
      <w:r>
        <w:t>The restrictions imposed on dealing with an interest in a corporation is not unique to close corporations. This is what lies at the core of the difference between private companies and public companies. Thus</w:t>
      </w:r>
      <w:r w:rsidR="006D253D">
        <w:t>,</w:t>
      </w:r>
      <w:r>
        <w:t xml:space="preserve"> s 2</w:t>
      </w:r>
      <w:r w:rsidR="00D748DB">
        <w:t>2</w:t>
      </w:r>
      <w:r>
        <w:t xml:space="preserve"> of the Companies’ Act</w:t>
      </w:r>
      <w:r w:rsidR="0038349E">
        <w:t xml:space="preserve"> defines a private company as one which by way of its</w:t>
      </w:r>
      <w:r w:rsidR="00D748DB">
        <w:t xml:space="preserve"> articles of</w:t>
      </w:r>
      <w:r w:rsidR="0038349E">
        <w:t xml:space="preserve"> association ‘restricts the rights to transfer its shares’, which restrictions virtually invariably involves the creation of the right of pre</w:t>
      </w:r>
      <w:r w:rsidR="001F0A2B">
        <w:t>-e</w:t>
      </w:r>
      <w:r w:rsidR="0038349E">
        <w:t>mption in favour of co-shareholders.</w:t>
      </w:r>
      <w:r w:rsidR="00910B9B">
        <w:rPr>
          <w:rStyle w:val="FootnoteReference"/>
        </w:rPr>
        <w:footnoteReference w:id="10"/>
      </w:r>
      <w:r w:rsidR="0038349E">
        <w:t xml:space="preserve"> Private companies </w:t>
      </w:r>
      <w:r w:rsidR="00AD32AC">
        <w:t xml:space="preserve">which </w:t>
      </w:r>
      <w:r w:rsidR="0038349E">
        <w:t xml:space="preserve">operate in the area of professional services, such as lawyers, engineers and architects have even more </w:t>
      </w:r>
      <w:r w:rsidR="00815238">
        <w:t xml:space="preserve">onerous </w:t>
      </w:r>
      <w:r w:rsidR="0038349E">
        <w:t>restricti</w:t>
      </w:r>
      <w:r w:rsidR="00815238">
        <w:t>ons</w:t>
      </w:r>
      <w:r w:rsidR="0038349E">
        <w:t xml:space="preserve"> in respect of the transfer of shares. Here the shareholders must be members </w:t>
      </w:r>
      <w:r w:rsidR="0038349E">
        <w:lastRenderedPageBreak/>
        <w:t>of the profession and th</w:t>
      </w:r>
      <w:r w:rsidR="003D2B1A">
        <w:t>e</w:t>
      </w:r>
      <w:r w:rsidR="0038349E">
        <w:t xml:space="preserve"> </w:t>
      </w:r>
      <w:r w:rsidR="00815238">
        <w:t>disposition</w:t>
      </w:r>
      <w:r w:rsidR="0038349E">
        <w:t xml:space="preserve"> of shares may take place only to persons who are members of the same profession. In these companies (which must use the words ‘</w:t>
      </w:r>
      <w:r w:rsidR="00815238">
        <w:t>I</w:t>
      </w:r>
      <w:r w:rsidR="0038349E">
        <w:t xml:space="preserve">ncorporated’ </w:t>
      </w:r>
      <w:r w:rsidR="007E2D76">
        <w:t xml:space="preserve">in its name) </w:t>
      </w:r>
      <w:r w:rsidR="0038349E">
        <w:t>directors are jointly and severally liable for the debts and liabilities of the company.</w:t>
      </w:r>
      <w:r w:rsidR="0038349E">
        <w:rPr>
          <w:rStyle w:val="FootnoteReference"/>
        </w:rPr>
        <w:footnoteReference w:id="11"/>
      </w:r>
    </w:p>
    <w:p w14:paraId="1CAABD4C" w14:textId="77777777" w:rsidR="0030056D" w:rsidRDefault="0030056D" w:rsidP="0030056D">
      <w:pPr>
        <w:pStyle w:val="ListParagraph"/>
      </w:pPr>
    </w:p>
    <w:p w14:paraId="5D2CDC42" w14:textId="77777777" w:rsidR="0030056D" w:rsidRDefault="0038349E" w:rsidP="004C0B6C">
      <w:pPr>
        <w:pStyle w:val="NoSpacing"/>
        <w:numPr>
          <w:ilvl w:val="0"/>
          <w:numId w:val="24"/>
        </w:numPr>
        <w:spacing w:line="480" w:lineRule="auto"/>
        <w:ind w:left="0" w:firstLine="0"/>
      </w:pPr>
      <w:r>
        <w:t>As with ownership of physical objects</w:t>
      </w:r>
      <w:r w:rsidR="00D748DB">
        <w:t>,</w:t>
      </w:r>
      <w:r>
        <w:t xml:space="preserve"> membership in a corporation </w:t>
      </w:r>
      <w:r w:rsidR="00A8732D">
        <w:t>does not give the owner absolute power over or in respect of what is owned. It is limited by restrictions imposed by the law.</w:t>
      </w:r>
      <w:r w:rsidR="00A8732D">
        <w:rPr>
          <w:rStyle w:val="FootnoteReference"/>
        </w:rPr>
        <w:footnoteReference w:id="12"/>
      </w:r>
      <w:r w:rsidR="00A8732D">
        <w:t xml:space="preserve"> Those restrictions may </w:t>
      </w:r>
      <w:r w:rsidR="00815238">
        <w:t>a</w:t>
      </w:r>
      <w:r w:rsidR="00A8732D">
        <w:t xml:space="preserve">rise in public law, eg something may only be </w:t>
      </w:r>
      <w:r w:rsidR="00090518">
        <w:t>done with a permit or a licence</w:t>
      </w:r>
      <w:r w:rsidR="003D2B1A">
        <w:t>,</w:t>
      </w:r>
      <w:r w:rsidR="00090518">
        <w:t xml:space="preserve"> or as a result in the interest of </w:t>
      </w:r>
      <w:r w:rsidR="003D2B1A">
        <w:t>neighbour</w:t>
      </w:r>
      <w:r w:rsidR="00090518">
        <w:t xml:space="preserve"> relationships such as the common law relating to nuisance</w:t>
      </w:r>
      <w:r w:rsidR="003D2B1A">
        <w:t>,</w:t>
      </w:r>
      <w:r w:rsidR="00090518">
        <w:t xml:space="preserve"> or by way of individual restrictions pursuant to personal obligations restricting one to freely dispos</w:t>
      </w:r>
      <w:r w:rsidR="00815238">
        <w:t>e of</w:t>
      </w:r>
      <w:r w:rsidR="00090518">
        <w:t xml:space="preserve"> one’s property or not to deal with it in a certain way, eg the granti</w:t>
      </w:r>
      <w:r w:rsidR="00815238">
        <w:t>ng of an option or right of pre-e</w:t>
      </w:r>
      <w:r w:rsidR="00090518">
        <w:t>mption.</w:t>
      </w:r>
      <w:r w:rsidR="007E2D76">
        <w:rPr>
          <w:rStyle w:val="FootnoteReference"/>
        </w:rPr>
        <w:footnoteReference w:id="13"/>
      </w:r>
      <w:r w:rsidR="00090518">
        <w:t xml:space="preserve">  </w:t>
      </w:r>
    </w:p>
    <w:p w14:paraId="1D0AAD0A" w14:textId="77777777" w:rsidR="0030056D" w:rsidRDefault="0030056D" w:rsidP="0030056D">
      <w:pPr>
        <w:pStyle w:val="ListParagraph"/>
      </w:pPr>
    </w:p>
    <w:p w14:paraId="3D9D2309" w14:textId="242FB607" w:rsidR="0030056D" w:rsidRDefault="00815238" w:rsidP="004C0B6C">
      <w:pPr>
        <w:pStyle w:val="NoSpacing"/>
        <w:numPr>
          <w:ilvl w:val="0"/>
          <w:numId w:val="24"/>
        </w:numPr>
        <w:spacing w:line="480" w:lineRule="auto"/>
        <w:ind w:left="0" w:firstLine="0"/>
      </w:pPr>
      <w:r>
        <w:t>The restrictions d</w:t>
      </w:r>
      <w:r w:rsidR="00090518">
        <w:t>o limit the owner’s powers in dealing with</w:t>
      </w:r>
      <w:r w:rsidR="007E2D76">
        <w:t xml:space="preserve"> or disposing of </w:t>
      </w:r>
      <w:r w:rsidR="00090518">
        <w:t xml:space="preserve">the property. If an owner grants a servitude of right of way </w:t>
      </w:r>
      <w:r w:rsidR="002F7779">
        <w:t xml:space="preserve">over </w:t>
      </w:r>
      <w:r w:rsidR="00090518">
        <w:t>property he cannot bequeath</w:t>
      </w:r>
      <w:r>
        <w:t xml:space="preserve"> it</w:t>
      </w:r>
      <w:r w:rsidR="00090518">
        <w:t xml:space="preserve"> free of the right of way. Where a lessee with a long</w:t>
      </w:r>
      <w:r w:rsidR="002543F5">
        <w:t>-</w:t>
      </w:r>
      <w:r w:rsidR="00090518">
        <w:t>term lease</w:t>
      </w:r>
      <w:r w:rsidR="002543F5">
        <w:t>,</w:t>
      </w:r>
      <w:r w:rsidR="00090518">
        <w:t xml:space="preserve"> of say 50 years</w:t>
      </w:r>
      <w:r w:rsidR="002543F5">
        <w:t>,</w:t>
      </w:r>
      <w:r w:rsidR="00090518">
        <w:t xml:space="preserve"> assign</w:t>
      </w:r>
      <w:r w:rsidR="002543F5">
        <w:t>s</w:t>
      </w:r>
      <w:r w:rsidR="00090518">
        <w:t xml:space="preserve"> it after 25 years</w:t>
      </w:r>
      <w:r w:rsidR="002543F5">
        <w:t>,</w:t>
      </w:r>
      <w:r w:rsidR="00090518">
        <w:t xml:space="preserve"> he cannot </w:t>
      </w:r>
      <w:r w:rsidR="007065E9">
        <w:t>assign</w:t>
      </w:r>
      <w:r w:rsidR="00090518">
        <w:t xml:space="preserve"> 50 ye</w:t>
      </w:r>
      <w:r w:rsidR="00007461">
        <w:t>ars, but only 25 years</w:t>
      </w:r>
      <w:r w:rsidR="00A834CD">
        <w:t>;</w:t>
      </w:r>
      <w:r w:rsidR="00007461">
        <w:t xml:space="preserve"> and assuming the lease would survive the death of the lessee, the lessee who dies after 25 years cannot bequeath</w:t>
      </w:r>
      <w:r w:rsidR="007E2D76">
        <w:t xml:space="preserve"> more than 25 years to an heir, </w:t>
      </w:r>
      <w:r w:rsidR="00A834CD">
        <w:t xml:space="preserve">and </w:t>
      </w:r>
      <w:r w:rsidR="007E2D76">
        <w:t xml:space="preserve">where a lifelong </w:t>
      </w:r>
      <w:r w:rsidR="001749EF">
        <w:t>usufruct</w:t>
      </w:r>
      <w:r w:rsidR="007E2D76">
        <w:t xml:space="preserve"> is acquired this can be disposed of during the life of the</w:t>
      </w:r>
      <w:r w:rsidR="001749EF">
        <w:t xml:space="preserve"> usufruct</w:t>
      </w:r>
      <w:r w:rsidR="00376761">
        <w:t>ua</w:t>
      </w:r>
      <w:r w:rsidR="001749EF">
        <w:t xml:space="preserve">ry but not </w:t>
      </w:r>
      <w:r w:rsidR="002F7779">
        <w:t>t</w:t>
      </w:r>
      <w:r w:rsidR="001749EF">
        <w:t xml:space="preserve">hereafter. </w:t>
      </w:r>
      <w:r w:rsidR="00007461">
        <w:t>One cannot under the concept of freedom of testation seek to exercise powers never possessed or contractually dispose</w:t>
      </w:r>
      <w:r>
        <w:t>d</w:t>
      </w:r>
      <w:r w:rsidR="00007461">
        <w:t xml:space="preserve"> of while alive. The property that one </w:t>
      </w:r>
      <w:r w:rsidR="003D2B1A">
        <w:t>bequeaths</w:t>
      </w:r>
      <w:r w:rsidR="00007461">
        <w:t xml:space="preserve"> assumes that one has the power to bequeath </w:t>
      </w:r>
      <w:r>
        <w:t>and</w:t>
      </w:r>
      <w:r w:rsidR="00007461">
        <w:t xml:space="preserve"> can only </w:t>
      </w:r>
      <w:r w:rsidR="00A834CD">
        <w:t>a</w:t>
      </w:r>
      <w:r w:rsidR="00007461">
        <w:t xml:space="preserve">ffect the rights to and </w:t>
      </w:r>
      <w:r>
        <w:t xml:space="preserve">in </w:t>
      </w:r>
      <w:r w:rsidR="00007461">
        <w:t xml:space="preserve">the property one possesses </w:t>
      </w:r>
      <w:r w:rsidR="00E06058">
        <w:t xml:space="preserve">at the time </w:t>
      </w:r>
      <w:r w:rsidR="00E06058">
        <w:lastRenderedPageBreak/>
        <w:t>of one’s death. Hence,</w:t>
      </w:r>
      <w:r w:rsidR="00007461">
        <w:t xml:space="preserve"> a shareholder of an ‘</w:t>
      </w:r>
      <w:r w:rsidR="00E06058">
        <w:t>I</w:t>
      </w:r>
      <w:r w:rsidR="00007461">
        <w:t xml:space="preserve">ncorporated’ company </w:t>
      </w:r>
      <w:r>
        <w:t xml:space="preserve">cannot </w:t>
      </w:r>
      <w:r w:rsidR="00007461">
        <w:t>bequeath his shares in that company to his child who is not a member of the relevant profession. This is not because he was not the owner of the shares, but because he as shareholder never had that power. His power as shareholder (owner of the shares) was restricted by the art</w:t>
      </w:r>
      <w:r>
        <w:t xml:space="preserve">icles </w:t>
      </w:r>
      <w:r w:rsidR="00242303">
        <w:t xml:space="preserve">of association of the company he voluntarily decided to become a shareholder of and thus knew or should have known from the outset that his powers </w:t>
      </w:r>
      <w:r w:rsidR="000E3BA0">
        <w:t>in respect of the shares had limitations imposed by the Companies’ Act.</w:t>
      </w:r>
      <w:r w:rsidR="001749EF">
        <w:t xml:space="preserve"> In short, one can only bequeath property to the extent that the nature of the property permits this.</w:t>
      </w:r>
    </w:p>
    <w:p w14:paraId="5055F845" w14:textId="77777777" w:rsidR="0030056D" w:rsidRDefault="0030056D" w:rsidP="0030056D">
      <w:pPr>
        <w:pStyle w:val="ListParagraph"/>
      </w:pPr>
    </w:p>
    <w:p w14:paraId="0D224D68" w14:textId="77777777" w:rsidR="0030056D" w:rsidRDefault="00E06058" w:rsidP="004C0B6C">
      <w:pPr>
        <w:pStyle w:val="NoSpacing"/>
        <w:numPr>
          <w:ilvl w:val="0"/>
          <w:numId w:val="24"/>
        </w:numPr>
        <w:spacing w:line="480" w:lineRule="auto"/>
        <w:ind w:left="0" w:firstLine="0"/>
      </w:pPr>
      <w:r>
        <w:t xml:space="preserve">Similarly, </w:t>
      </w:r>
      <w:r w:rsidR="00815238">
        <w:t>the deceased</w:t>
      </w:r>
      <w:r>
        <w:t xml:space="preserve"> in the present matter</w:t>
      </w:r>
      <w:r w:rsidR="00815238">
        <w:t xml:space="preserve"> </w:t>
      </w:r>
      <w:r w:rsidR="000E3BA0">
        <w:t xml:space="preserve">knew when he acquired his membership </w:t>
      </w:r>
      <w:r>
        <w:t xml:space="preserve">interest </w:t>
      </w:r>
      <w:r w:rsidR="000E3BA0">
        <w:t xml:space="preserve">that it came with restrictions, one of which was that </w:t>
      </w:r>
      <w:r w:rsidR="00815238">
        <w:t>it could</w:t>
      </w:r>
      <w:r w:rsidR="000E3BA0">
        <w:t xml:space="preserve"> not be freely bequeath</w:t>
      </w:r>
      <w:r w:rsidR="00815238">
        <w:t>ed</w:t>
      </w:r>
      <w:r w:rsidR="000E3BA0">
        <w:t xml:space="preserve"> or transferred without the consent of his co-members. His right of d</w:t>
      </w:r>
      <w:r w:rsidR="00815238">
        <w:t>is</w:t>
      </w:r>
      <w:r w:rsidR="000E3BA0">
        <w:t>posal in respect of the property (his membership) was acquired with this limitation and hence can only be dispose</w:t>
      </w:r>
      <w:r w:rsidR="00815238">
        <w:t>d</w:t>
      </w:r>
      <w:r w:rsidR="000E3BA0">
        <w:t xml:space="preserve"> </w:t>
      </w:r>
      <w:r w:rsidR="009927CE">
        <w:t>withi</w:t>
      </w:r>
      <w:r w:rsidR="000E3BA0">
        <w:t xml:space="preserve">n the confines of </w:t>
      </w:r>
      <w:r w:rsidR="009927CE">
        <w:t>t</w:t>
      </w:r>
      <w:r w:rsidR="000E3BA0">
        <w:t xml:space="preserve">his limitation. </w:t>
      </w:r>
      <w:r w:rsidR="001749EF">
        <w:t>This is the nature of the property</w:t>
      </w:r>
      <w:r w:rsidR="00870683">
        <w:t xml:space="preserve"> in question</w:t>
      </w:r>
      <w:r w:rsidR="001749EF">
        <w:t xml:space="preserve">. </w:t>
      </w:r>
      <w:r w:rsidR="000E3BA0">
        <w:t>Article 16 does not grant one the right to</w:t>
      </w:r>
      <w:r w:rsidR="009927CE">
        <w:t xml:space="preserve"> dispose with</w:t>
      </w:r>
      <w:r w:rsidR="00815238">
        <w:t xml:space="preserve">out </w:t>
      </w:r>
      <w:r w:rsidR="001F0A2B">
        <w:t xml:space="preserve">regard to the existing </w:t>
      </w:r>
      <w:r w:rsidR="009927CE">
        <w:t xml:space="preserve">impediments </w:t>
      </w:r>
      <w:r w:rsidR="001F0A2B">
        <w:t>inherent</w:t>
      </w:r>
      <w:r w:rsidR="00815238">
        <w:t xml:space="preserve"> in </w:t>
      </w:r>
      <w:r w:rsidR="009927CE">
        <w:t xml:space="preserve">the </w:t>
      </w:r>
      <w:r w:rsidR="001749EF">
        <w:t xml:space="preserve">nature of the </w:t>
      </w:r>
      <w:r w:rsidR="009927CE">
        <w:t>property when one bequeath</w:t>
      </w:r>
      <w:r w:rsidR="00815238">
        <w:t>s</w:t>
      </w:r>
      <w:r w:rsidR="009927CE">
        <w:t xml:space="preserve"> the property. It allows one to bequeath what is at one’s disposal and in respect whereof a right of disposal </w:t>
      </w:r>
      <w:r w:rsidR="003D2B1A">
        <w:t>exists</w:t>
      </w:r>
      <w:r w:rsidR="009927CE">
        <w:t>. Thus, even assuming that Art 16 is relevant to intestate succession the attack on</w:t>
      </w:r>
      <w:r w:rsidR="00815238">
        <w:t xml:space="preserve"> s 35</w:t>
      </w:r>
      <w:r w:rsidR="009927CE">
        <w:t xml:space="preserve"> cannot succeed. Section 35 of the Act simply </w:t>
      </w:r>
      <w:r w:rsidR="00815238">
        <w:t>ensures</w:t>
      </w:r>
      <w:r w:rsidR="009927CE">
        <w:t xml:space="preserve"> that the restriction on the disposal of membership interest is </w:t>
      </w:r>
      <w:r w:rsidR="00815238">
        <w:t xml:space="preserve">regulated </w:t>
      </w:r>
      <w:r w:rsidR="009927CE">
        <w:t xml:space="preserve">upon </w:t>
      </w:r>
      <w:r w:rsidR="002F7779">
        <w:t xml:space="preserve">the </w:t>
      </w:r>
      <w:r w:rsidR="009927CE">
        <w:t>death of a member. The deceased never had an a</w:t>
      </w:r>
      <w:r w:rsidR="00A52389">
        <w:t>bsolute right to dispose of his membership during his life and this position is simply maintained. This is logical for it would indeed be anomal</w:t>
      </w:r>
      <w:r w:rsidR="002E6D53">
        <w:t>ous</w:t>
      </w:r>
      <w:r w:rsidR="00A52389">
        <w:t xml:space="preserve"> if he never had such right during his life but acquired it upon his death a</w:t>
      </w:r>
      <w:r w:rsidR="003D2B1A">
        <w:t>nd</w:t>
      </w:r>
      <w:r w:rsidR="00A52389">
        <w:t xml:space="preserve"> it would be contrary to the whole concept of close corporations.</w:t>
      </w:r>
    </w:p>
    <w:p w14:paraId="78003631" w14:textId="77777777" w:rsidR="00815238" w:rsidRDefault="00815238" w:rsidP="00815238">
      <w:pPr>
        <w:pStyle w:val="NoSpacing"/>
        <w:spacing w:line="480" w:lineRule="auto"/>
      </w:pPr>
    </w:p>
    <w:p w14:paraId="3B2BE478" w14:textId="77777777" w:rsidR="00815238" w:rsidRDefault="000A0F2C" w:rsidP="004C0B6C">
      <w:pPr>
        <w:pStyle w:val="NoSpacing"/>
        <w:numPr>
          <w:ilvl w:val="0"/>
          <w:numId w:val="24"/>
        </w:numPr>
        <w:spacing w:line="480" w:lineRule="auto"/>
        <w:ind w:left="0" w:firstLine="0"/>
      </w:pPr>
      <w:r>
        <w:lastRenderedPageBreak/>
        <w:t xml:space="preserve">In </w:t>
      </w:r>
      <w:r w:rsidR="009704B3">
        <w:t xml:space="preserve">short </w:t>
      </w:r>
      <w:r>
        <w:t>and in the words of Art 16 of the Constitution</w:t>
      </w:r>
      <w:r w:rsidR="002E6D53">
        <w:t>,</w:t>
      </w:r>
      <w:r>
        <w:t xml:space="preserve"> the deceased </w:t>
      </w:r>
      <w:r w:rsidR="003D2B1A">
        <w:t>‘</w:t>
      </w:r>
      <w:r>
        <w:t>acquired</w:t>
      </w:r>
      <w:r w:rsidR="003D2B1A">
        <w:t>’</w:t>
      </w:r>
      <w:r>
        <w:t xml:space="preserve"> </w:t>
      </w:r>
      <w:r w:rsidR="009704B3">
        <w:t xml:space="preserve">a membership in a close corporation which he could only dispose of with the consent of his co-members. </w:t>
      </w:r>
      <w:r w:rsidR="001749EF">
        <w:t xml:space="preserve">This was the extent to which the nature of his right permitted its disposal. </w:t>
      </w:r>
      <w:r w:rsidR="009704B3">
        <w:t>This right is in no way diminished or abridged by s 35 of the Act. Section 35 regulates the manner in whic</w:t>
      </w:r>
      <w:r w:rsidR="003D2B1A">
        <w:t>h this right is to be exercised i</w:t>
      </w:r>
      <w:r w:rsidR="009704B3">
        <w:t xml:space="preserve">n circumstances where the membership needs to be disposed of as a result of the death of a member. It must be pointed out that the member can in advance obtain permission from co-members to dispose of </w:t>
      </w:r>
      <w:r w:rsidR="003D2B1A">
        <w:t xml:space="preserve">his or her </w:t>
      </w:r>
      <w:r w:rsidR="009704B3">
        <w:t>membership</w:t>
      </w:r>
      <w:r w:rsidR="003D2B1A">
        <w:t xml:space="preserve"> to specifically mentioned persons or classes of persons</w:t>
      </w:r>
      <w:r w:rsidR="009704B3">
        <w:t xml:space="preserve"> by incorporating this in an association agreement. This is what the deceased</w:t>
      </w:r>
      <w:r w:rsidR="007065E9">
        <w:t xml:space="preserve"> could have done but decided not to</w:t>
      </w:r>
      <w:r w:rsidR="009704B3">
        <w:t xml:space="preserve">. Section 35 of the Act in no manner curtailed, abridged or imposed </w:t>
      </w:r>
      <w:r w:rsidR="003D2B1A">
        <w:t xml:space="preserve">a </w:t>
      </w:r>
      <w:r w:rsidR="009704B3">
        <w:t xml:space="preserve">limitation on the existing rights of the deceased. It thus follows that the appellants have not established a </w:t>
      </w:r>
      <w:r w:rsidR="003D2B1A">
        <w:t>breach</w:t>
      </w:r>
      <w:r w:rsidR="009704B3">
        <w:t xml:space="preserve"> of a constitutional right.</w:t>
      </w:r>
    </w:p>
    <w:p w14:paraId="1DE8B460" w14:textId="77777777" w:rsidR="0030056D" w:rsidRDefault="0030056D" w:rsidP="0030056D">
      <w:pPr>
        <w:pStyle w:val="ListParagraph"/>
      </w:pPr>
    </w:p>
    <w:p w14:paraId="035C861E" w14:textId="77777777" w:rsidR="0030056D" w:rsidRDefault="003D2B1A" w:rsidP="004C0B6C">
      <w:pPr>
        <w:pStyle w:val="NoSpacing"/>
        <w:numPr>
          <w:ilvl w:val="0"/>
          <w:numId w:val="24"/>
        </w:numPr>
        <w:spacing w:line="480" w:lineRule="auto"/>
        <w:ind w:left="0" w:firstLine="0"/>
      </w:pPr>
      <w:r>
        <w:t>In the result,</w:t>
      </w:r>
      <w:r w:rsidR="00A52389">
        <w:t xml:space="preserve"> the attack on the constitutionality </w:t>
      </w:r>
      <w:r>
        <w:t>of s 35 of</w:t>
      </w:r>
      <w:r w:rsidR="009E760A">
        <w:t xml:space="preserve"> the Act cannot be upheld. The deceased members’ interest in Laconia CC will thus have to be dealt with in accordance with the provisions of s 35 of the Act.</w:t>
      </w:r>
    </w:p>
    <w:p w14:paraId="0F91EC11" w14:textId="77777777" w:rsidR="003A6232" w:rsidRDefault="003A6232" w:rsidP="003A6232">
      <w:pPr>
        <w:pStyle w:val="ListParagraph"/>
      </w:pPr>
    </w:p>
    <w:p w14:paraId="6C1A005F" w14:textId="77777777" w:rsidR="003A6232" w:rsidRDefault="009E760A" w:rsidP="006E292C">
      <w:pPr>
        <w:pStyle w:val="NoSpacing"/>
        <w:numPr>
          <w:ilvl w:val="0"/>
          <w:numId w:val="24"/>
        </w:numPr>
        <w:spacing w:line="480" w:lineRule="auto"/>
        <w:ind w:left="0" w:firstLine="0"/>
      </w:pPr>
      <w:r>
        <w:t xml:space="preserve">This leaves the </w:t>
      </w:r>
      <w:r w:rsidR="00870683">
        <w:t xml:space="preserve">cross </w:t>
      </w:r>
      <w:r>
        <w:t xml:space="preserve">appeal to be dealt with. </w:t>
      </w:r>
      <w:r w:rsidR="00815238">
        <w:t>Counsel for the respondents indicated that it was not persisted with</w:t>
      </w:r>
      <w:r w:rsidR="001F0A2B">
        <w:t>. I</w:t>
      </w:r>
      <w:r w:rsidR="00815238">
        <w:t xml:space="preserve">t follows that appellants are entitled to the </w:t>
      </w:r>
      <w:r w:rsidR="001F0A2B">
        <w:t xml:space="preserve">wasted </w:t>
      </w:r>
      <w:r w:rsidR="00815238">
        <w:t xml:space="preserve">costs in </w:t>
      </w:r>
      <w:r w:rsidR="001F0A2B">
        <w:t>this regard.</w:t>
      </w:r>
      <w:r w:rsidR="00815238">
        <w:t xml:space="preserve"> I </w:t>
      </w:r>
      <w:r w:rsidR="001F0A2B">
        <w:t xml:space="preserve">can just </w:t>
      </w:r>
      <w:r w:rsidR="00815238">
        <w:t xml:space="preserve">indicate that </w:t>
      </w:r>
      <w:r w:rsidR="001F0A2B">
        <w:t xml:space="preserve">as a result of the </w:t>
      </w:r>
      <w:r w:rsidR="00870683">
        <w:t xml:space="preserve">cross </w:t>
      </w:r>
      <w:r w:rsidR="0098442C">
        <w:t xml:space="preserve">appeal </w:t>
      </w:r>
      <w:r w:rsidR="001F0A2B">
        <w:t xml:space="preserve">not being </w:t>
      </w:r>
      <w:r w:rsidR="0098442C">
        <w:t xml:space="preserve">persisted with very little time </w:t>
      </w:r>
      <w:r w:rsidR="003D2B1A">
        <w:t xml:space="preserve">(I estimate not more than 10 minutes) </w:t>
      </w:r>
      <w:r w:rsidR="001F0A2B">
        <w:t xml:space="preserve">was </w:t>
      </w:r>
      <w:r w:rsidR="0098442C">
        <w:t xml:space="preserve">spent on this aspect at the </w:t>
      </w:r>
      <w:r w:rsidR="001F0A2B">
        <w:t xml:space="preserve">hearing </w:t>
      </w:r>
      <w:r w:rsidR="0098442C">
        <w:t>of the appeal</w:t>
      </w:r>
      <w:r w:rsidR="001F0A2B">
        <w:t>.</w:t>
      </w:r>
    </w:p>
    <w:p w14:paraId="3C8D1F31" w14:textId="77777777" w:rsidR="003A6232" w:rsidRDefault="003A6232" w:rsidP="003A6232">
      <w:pPr>
        <w:pStyle w:val="ListParagraph"/>
      </w:pPr>
    </w:p>
    <w:p w14:paraId="0CF27D2F" w14:textId="77777777" w:rsidR="0094765C" w:rsidRDefault="0094765C" w:rsidP="006E292C">
      <w:pPr>
        <w:pStyle w:val="NoSpacing"/>
        <w:numPr>
          <w:ilvl w:val="0"/>
          <w:numId w:val="24"/>
        </w:numPr>
        <w:spacing w:line="480" w:lineRule="auto"/>
        <w:ind w:left="0" w:firstLine="0"/>
      </w:pPr>
      <w:r>
        <w:t xml:space="preserve">In conclusion </w:t>
      </w:r>
      <w:r w:rsidR="002E6D53">
        <w:t xml:space="preserve">, </w:t>
      </w:r>
      <w:r>
        <w:t>I make the following order:</w:t>
      </w:r>
    </w:p>
    <w:p w14:paraId="4DB93A82" w14:textId="77777777" w:rsidR="0094765C" w:rsidRDefault="0094765C" w:rsidP="0094765C">
      <w:pPr>
        <w:pStyle w:val="ListParagraph"/>
      </w:pPr>
    </w:p>
    <w:p w14:paraId="56065D2D" w14:textId="77777777" w:rsidR="0094765C" w:rsidRDefault="0094765C" w:rsidP="0094765C">
      <w:pPr>
        <w:pStyle w:val="NoSpacing"/>
        <w:numPr>
          <w:ilvl w:val="0"/>
          <w:numId w:val="25"/>
        </w:numPr>
        <w:spacing w:line="480" w:lineRule="auto"/>
      </w:pPr>
      <w:r>
        <w:t>The appeal is dismissed with costs.</w:t>
      </w:r>
    </w:p>
    <w:p w14:paraId="4D3159EB" w14:textId="77777777" w:rsidR="0094765C" w:rsidRDefault="0094765C" w:rsidP="0094765C">
      <w:pPr>
        <w:pStyle w:val="NoSpacing"/>
        <w:numPr>
          <w:ilvl w:val="0"/>
          <w:numId w:val="25"/>
        </w:numPr>
        <w:spacing w:line="480" w:lineRule="auto"/>
      </w:pPr>
      <w:r>
        <w:lastRenderedPageBreak/>
        <w:t xml:space="preserve">The </w:t>
      </w:r>
      <w:r w:rsidR="00C4064A">
        <w:t xml:space="preserve">wasted costs </w:t>
      </w:r>
      <w:r w:rsidR="000A0F2C">
        <w:t xml:space="preserve">of the </w:t>
      </w:r>
      <w:r w:rsidR="001F0A2B">
        <w:t xml:space="preserve">abandoned </w:t>
      </w:r>
      <w:r w:rsidR="00870683">
        <w:t xml:space="preserve">cross </w:t>
      </w:r>
      <w:r w:rsidR="001F0A2B">
        <w:t xml:space="preserve">appeal </w:t>
      </w:r>
      <w:r>
        <w:t xml:space="preserve">is </w:t>
      </w:r>
      <w:r w:rsidR="00C4064A">
        <w:t>to be borne by the respondent</w:t>
      </w:r>
      <w:r w:rsidR="001F0A2B">
        <w:t>s</w:t>
      </w:r>
      <w:r w:rsidR="00C4064A">
        <w:t>.</w:t>
      </w:r>
      <w:r w:rsidR="00870683">
        <w:t xml:space="preserve"> </w:t>
      </w:r>
    </w:p>
    <w:p w14:paraId="79536CA7" w14:textId="77777777" w:rsidR="0094765C" w:rsidRPr="00725F96" w:rsidRDefault="0094765C" w:rsidP="0094765C">
      <w:pPr>
        <w:pStyle w:val="NoSpacing"/>
        <w:numPr>
          <w:ilvl w:val="0"/>
          <w:numId w:val="25"/>
        </w:numPr>
        <w:spacing w:line="480" w:lineRule="auto"/>
      </w:pPr>
      <w:r>
        <w:t xml:space="preserve">The costs order above shall include the costs of one instructed and one </w:t>
      </w:r>
      <w:r w:rsidR="00C4064A">
        <w:t>(or two) instructing counsel (where two were engaged).</w:t>
      </w:r>
    </w:p>
    <w:p w14:paraId="107C2C2C" w14:textId="77777777" w:rsidR="00D15073" w:rsidRPr="00725F96" w:rsidRDefault="00D15073" w:rsidP="00D15073"/>
    <w:p w14:paraId="06B73DE0" w14:textId="77777777" w:rsidR="00352F7E" w:rsidRPr="00725F96" w:rsidRDefault="00352F7E" w:rsidP="003D41AA"/>
    <w:p w14:paraId="3ECD5C18" w14:textId="77777777" w:rsidR="008409AD" w:rsidRPr="00725F96" w:rsidRDefault="008409AD" w:rsidP="003D41AA">
      <w:pPr>
        <w:rPr>
          <w:b/>
        </w:rPr>
      </w:pPr>
    </w:p>
    <w:p w14:paraId="6752D484" w14:textId="77777777" w:rsidR="00493005" w:rsidRPr="009D0F8D" w:rsidRDefault="00493005" w:rsidP="00803A93">
      <w:pPr>
        <w:spacing w:line="360" w:lineRule="auto"/>
        <w:rPr>
          <w:b/>
        </w:rPr>
      </w:pPr>
      <w:r w:rsidRPr="009D0F8D">
        <w:rPr>
          <w:b/>
        </w:rPr>
        <w:t>___________________</w:t>
      </w:r>
    </w:p>
    <w:p w14:paraId="6FAFB6F3" w14:textId="77777777" w:rsidR="00493005" w:rsidRDefault="00C9064A" w:rsidP="00803A93">
      <w:pPr>
        <w:spacing w:line="360" w:lineRule="auto"/>
        <w:rPr>
          <w:b/>
        </w:rPr>
      </w:pPr>
      <w:r>
        <w:rPr>
          <w:b/>
        </w:rPr>
        <w:t>FRANK AJA</w:t>
      </w:r>
    </w:p>
    <w:p w14:paraId="430A70CD" w14:textId="77777777" w:rsidR="00AE2BA7" w:rsidRDefault="00AE2BA7" w:rsidP="00803A93">
      <w:pPr>
        <w:spacing w:line="360" w:lineRule="auto"/>
        <w:rPr>
          <w:b/>
        </w:rPr>
      </w:pPr>
    </w:p>
    <w:p w14:paraId="0296514D" w14:textId="77777777" w:rsidR="00AE2BA7" w:rsidRDefault="00AE2BA7" w:rsidP="00803A93">
      <w:pPr>
        <w:spacing w:line="360" w:lineRule="auto"/>
        <w:rPr>
          <w:b/>
        </w:rPr>
      </w:pPr>
    </w:p>
    <w:p w14:paraId="5BB9AEDE" w14:textId="77777777" w:rsidR="00BC021E" w:rsidRDefault="00BC021E" w:rsidP="00803A93">
      <w:pPr>
        <w:spacing w:line="360" w:lineRule="auto"/>
        <w:rPr>
          <w:b/>
        </w:rPr>
      </w:pPr>
    </w:p>
    <w:p w14:paraId="7D7667D1" w14:textId="77777777" w:rsidR="00AE2BA7" w:rsidRPr="009D0F8D" w:rsidRDefault="00AE2BA7" w:rsidP="00803A93">
      <w:pPr>
        <w:spacing w:line="360" w:lineRule="auto"/>
        <w:rPr>
          <w:b/>
        </w:rPr>
      </w:pPr>
      <w:r w:rsidRPr="009D0F8D">
        <w:rPr>
          <w:b/>
        </w:rPr>
        <w:t>___________________</w:t>
      </w:r>
    </w:p>
    <w:p w14:paraId="4279C6B8" w14:textId="77777777" w:rsidR="00AE2BA7" w:rsidRPr="009D0F8D" w:rsidRDefault="007770C1" w:rsidP="00803A93">
      <w:pPr>
        <w:spacing w:line="360" w:lineRule="auto"/>
        <w:rPr>
          <w:b/>
        </w:rPr>
      </w:pPr>
      <w:r>
        <w:rPr>
          <w:b/>
        </w:rPr>
        <w:t>DAMASEB DCJ</w:t>
      </w:r>
    </w:p>
    <w:p w14:paraId="54C95C2E" w14:textId="77777777" w:rsidR="00AE2BA7" w:rsidRDefault="00AE2BA7" w:rsidP="00803A93">
      <w:pPr>
        <w:spacing w:line="360" w:lineRule="auto"/>
      </w:pPr>
    </w:p>
    <w:p w14:paraId="4BE23AA9" w14:textId="77777777" w:rsidR="00BC021E" w:rsidRDefault="00BC021E" w:rsidP="00803A93">
      <w:pPr>
        <w:spacing w:line="360" w:lineRule="auto"/>
      </w:pPr>
    </w:p>
    <w:p w14:paraId="40F13917" w14:textId="77777777" w:rsidR="00AE2BA7" w:rsidRDefault="00AE2BA7" w:rsidP="00803A93">
      <w:pPr>
        <w:spacing w:line="360" w:lineRule="auto"/>
      </w:pPr>
    </w:p>
    <w:p w14:paraId="0127FD14" w14:textId="77777777" w:rsidR="00CF5F07" w:rsidRPr="009D0F8D" w:rsidRDefault="00CF5F07" w:rsidP="00803A93">
      <w:pPr>
        <w:spacing w:line="360" w:lineRule="auto"/>
        <w:rPr>
          <w:b/>
        </w:rPr>
      </w:pPr>
      <w:r w:rsidRPr="009D0F8D">
        <w:rPr>
          <w:b/>
        </w:rPr>
        <w:t>___________________</w:t>
      </w:r>
    </w:p>
    <w:p w14:paraId="762493F2" w14:textId="77777777" w:rsidR="00CF5F07" w:rsidRPr="009D0F8D" w:rsidRDefault="00C9064A" w:rsidP="00803A93">
      <w:pPr>
        <w:spacing w:line="360" w:lineRule="auto"/>
        <w:rPr>
          <w:b/>
        </w:rPr>
      </w:pPr>
      <w:r>
        <w:rPr>
          <w:b/>
        </w:rPr>
        <w:t>SMUTS JA</w:t>
      </w:r>
    </w:p>
    <w:p w14:paraId="744CA725" w14:textId="77777777" w:rsidR="00CF5F07" w:rsidRDefault="00CF5F07" w:rsidP="003D41AA">
      <w:pPr>
        <w:rPr>
          <w:b/>
        </w:rPr>
      </w:pPr>
    </w:p>
    <w:p w14:paraId="3BB521F7" w14:textId="77777777" w:rsidR="007F4386" w:rsidRDefault="007F4386">
      <w:r>
        <w:br w:type="page"/>
      </w:r>
    </w:p>
    <w:tbl>
      <w:tblPr>
        <w:tblW w:w="9072" w:type="dxa"/>
        <w:tblLook w:val="04A0" w:firstRow="1" w:lastRow="0" w:firstColumn="1" w:lastColumn="0" w:noHBand="0" w:noVBand="1"/>
      </w:tblPr>
      <w:tblGrid>
        <w:gridCol w:w="4701"/>
        <w:gridCol w:w="4371"/>
      </w:tblGrid>
      <w:tr w:rsidR="00493005" w:rsidRPr="00500CF6" w14:paraId="7958E551" w14:textId="77777777" w:rsidTr="00713659">
        <w:tc>
          <w:tcPr>
            <w:tcW w:w="4701" w:type="dxa"/>
            <w:shd w:val="clear" w:color="auto" w:fill="auto"/>
          </w:tcPr>
          <w:p w14:paraId="2EE4CD62" w14:textId="77777777" w:rsidR="00493005" w:rsidRPr="00500CF6" w:rsidRDefault="00324F04" w:rsidP="003D41AA">
            <w:pPr>
              <w:ind w:right="-146"/>
            </w:pPr>
            <w:r w:rsidRPr="00500CF6">
              <w:lastRenderedPageBreak/>
              <w:t>APPEARANCES:</w:t>
            </w:r>
          </w:p>
          <w:p w14:paraId="1AA7FB7A" w14:textId="77777777" w:rsidR="00493005" w:rsidRPr="00500CF6" w:rsidRDefault="00493005" w:rsidP="003D41AA">
            <w:pPr>
              <w:ind w:right="-146"/>
            </w:pPr>
          </w:p>
          <w:p w14:paraId="396726C0" w14:textId="77777777" w:rsidR="00493005" w:rsidRPr="00500CF6" w:rsidRDefault="00324F04" w:rsidP="003D41AA">
            <w:pPr>
              <w:ind w:right="-146"/>
            </w:pPr>
            <w:r w:rsidRPr="00500CF6">
              <w:t>APPELLANT</w:t>
            </w:r>
            <w:r>
              <w:t>S</w:t>
            </w:r>
            <w:r w:rsidRPr="00500CF6">
              <w:t>:</w:t>
            </w:r>
          </w:p>
        </w:tc>
        <w:tc>
          <w:tcPr>
            <w:tcW w:w="4371" w:type="dxa"/>
            <w:shd w:val="clear" w:color="auto" w:fill="auto"/>
          </w:tcPr>
          <w:p w14:paraId="45466CC4" w14:textId="77777777" w:rsidR="00493005" w:rsidRPr="00500CF6" w:rsidRDefault="00493005" w:rsidP="009733B3">
            <w:pPr>
              <w:jc w:val="left"/>
            </w:pPr>
          </w:p>
          <w:p w14:paraId="39C76CF3" w14:textId="77777777" w:rsidR="00493005" w:rsidRPr="00500CF6" w:rsidRDefault="00493005" w:rsidP="009733B3">
            <w:pPr>
              <w:jc w:val="left"/>
            </w:pPr>
          </w:p>
          <w:p w14:paraId="32AB86A3" w14:textId="77777777" w:rsidR="00493005" w:rsidRPr="00500CF6" w:rsidRDefault="003E714F" w:rsidP="00911DBB">
            <w:pPr>
              <w:jc w:val="left"/>
            </w:pPr>
            <w:r>
              <w:t>T Barnard</w:t>
            </w:r>
          </w:p>
        </w:tc>
      </w:tr>
      <w:tr w:rsidR="00493005" w:rsidRPr="00500CF6" w14:paraId="224D2A4B" w14:textId="77777777" w:rsidTr="00713659">
        <w:tc>
          <w:tcPr>
            <w:tcW w:w="4701" w:type="dxa"/>
            <w:shd w:val="clear" w:color="auto" w:fill="auto"/>
          </w:tcPr>
          <w:p w14:paraId="626246EA" w14:textId="77777777" w:rsidR="00493005" w:rsidRPr="00500CF6" w:rsidRDefault="00493005" w:rsidP="003D41AA"/>
        </w:tc>
        <w:tc>
          <w:tcPr>
            <w:tcW w:w="4371" w:type="dxa"/>
            <w:shd w:val="clear" w:color="auto" w:fill="auto"/>
          </w:tcPr>
          <w:p w14:paraId="6F476DD3" w14:textId="77777777" w:rsidR="00493005" w:rsidRPr="00500CF6" w:rsidRDefault="00493005" w:rsidP="003E714F">
            <w:pPr>
              <w:ind w:right="-818"/>
              <w:jc w:val="left"/>
            </w:pPr>
            <w:r>
              <w:t xml:space="preserve">Instructed by </w:t>
            </w:r>
            <w:r w:rsidR="003E714F">
              <w:t>Mueller Legal Practitioners</w:t>
            </w:r>
          </w:p>
        </w:tc>
      </w:tr>
      <w:tr w:rsidR="00B658FB" w:rsidRPr="00500CF6" w14:paraId="42ABDF6C" w14:textId="77777777" w:rsidTr="00B658FB">
        <w:trPr>
          <w:trHeight w:val="328"/>
        </w:trPr>
        <w:tc>
          <w:tcPr>
            <w:tcW w:w="4701" w:type="dxa"/>
            <w:shd w:val="clear" w:color="auto" w:fill="auto"/>
          </w:tcPr>
          <w:p w14:paraId="055C55CB" w14:textId="77777777" w:rsidR="00B658FB" w:rsidRPr="00500CF6" w:rsidRDefault="00B658FB" w:rsidP="00B658FB"/>
          <w:p w14:paraId="4253F85B" w14:textId="77777777" w:rsidR="00B658FB" w:rsidRPr="00500CF6" w:rsidRDefault="00324F04" w:rsidP="00B658FB">
            <w:r>
              <w:t>2</w:t>
            </w:r>
            <w:r w:rsidRPr="00B658FB">
              <w:rPr>
                <w:vertAlign w:val="superscript"/>
              </w:rPr>
              <w:t>ND</w:t>
            </w:r>
            <w:r>
              <w:t xml:space="preserve"> </w:t>
            </w:r>
            <w:r w:rsidRPr="00500CF6">
              <w:t>RESPONDENT:</w:t>
            </w:r>
          </w:p>
        </w:tc>
        <w:tc>
          <w:tcPr>
            <w:tcW w:w="4371" w:type="dxa"/>
            <w:shd w:val="clear" w:color="auto" w:fill="auto"/>
          </w:tcPr>
          <w:p w14:paraId="2A6B89F6" w14:textId="77777777" w:rsidR="00B658FB" w:rsidRPr="00500CF6" w:rsidRDefault="00B658FB" w:rsidP="009733B3">
            <w:pPr>
              <w:jc w:val="left"/>
            </w:pPr>
          </w:p>
          <w:p w14:paraId="7A98601B" w14:textId="77777777" w:rsidR="00B658FB" w:rsidRPr="00500CF6" w:rsidRDefault="003E714F" w:rsidP="003E714F">
            <w:pPr>
              <w:jc w:val="left"/>
            </w:pPr>
            <w:r>
              <w:t>Andrew Corbett with him Beatrix de Jager</w:t>
            </w:r>
            <w:r w:rsidR="009733B3">
              <w:t xml:space="preserve"> </w:t>
            </w:r>
          </w:p>
        </w:tc>
      </w:tr>
      <w:tr w:rsidR="00B658FB" w:rsidRPr="00500CF6" w14:paraId="2E442C5C" w14:textId="77777777" w:rsidTr="00B658FB">
        <w:trPr>
          <w:trHeight w:val="328"/>
        </w:trPr>
        <w:tc>
          <w:tcPr>
            <w:tcW w:w="4701" w:type="dxa"/>
            <w:shd w:val="clear" w:color="auto" w:fill="auto"/>
          </w:tcPr>
          <w:p w14:paraId="56A71690" w14:textId="77777777" w:rsidR="00B658FB" w:rsidRPr="00500CF6" w:rsidRDefault="00B658FB" w:rsidP="00B658FB"/>
        </w:tc>
        <w:tc>
          <w:tcPr>
            <w:tcW w:w="4371" w:type="dxa"/>
            <w:shd w:val="clear" w:color="auto" w:fill="auto"/>
          </w:tcPr>
          <w:p w14:paraId="63197477" w14:textId="77777777" w:rsidR="009733B3" w:rsidRDefault="00B658FB" w:rsidP="009733B3">
            <w:pPr>
              <w:jc w:val="left"/>
            </w:pPr>
            <w:r>
              <w:t xml:space="preserve">Instructed by </w:t>
            </w:r>
            <w:r w:rsidR="009733B3">
              <w:t xml:space="preserve">Ellis Shilengudwa </w:t>
            </w:r>
            <w:r w:rsidR="00D83E28">
              <w:t>Inc.</w:t>
            </w:r>
            <w:r w:rsidR="009733B3">
              <w:t xml:space="preserve"> </w:t>
            </w:r>
          </w:p>
          <w:p w14:paraId="6295F77C" w14:textId="77777777" w:rsidR="00B658FB" w:rsidRPr="00500CF6" w:rsidRDefault="009733B3" w:rsidP="009733B3">
            <w:pPr>
              <w:jc w:val="left"/>
            </w:pPr>
            <w:r>
              <w:t>(ESI)</w:t>
            </w:r>
          </w:p>
        </w:tc>
      </w:tr>
    </w:tbl>
    <w:p w14:paraId="086696DF" w14:textId="77777777" w:rsidR="00493005" w:rsidRDefault="00493005" w:rsidP="003D41AA"/>
    <w:sectPr w:rsidR="00493005" w:rsidSect="00FF4120">
      <w:headerReference w:type="even" r:id="rId9"/>
      <w:headerReference w:type="default" r:id="rId10"/>
      <w:type w:val="continuous"/>
      <w:pgSz w:w="11907" w:h="16840" w:code="9"/>
      <w:pgMar w:top="1440" w:right="1417" w:bottom="1440" w:left="1276"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BD596" w14:textId="77777777" w:rsidR="002B4082" w:rsidRDefault="002B4082" w:rsidP="00916555">
      <w:r>
        <w:separator/>
      </w:r>
    </w:p>
  </w:endnote>
  <w:endnote w:type="continuationSeparator" w:id="0">
    <w:p w14:paraId="26F2BB61" w14:textId="77777777" w:rsidR="002B4082" w:rsidRDefault="002B4082"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45A07" w14:textId="77777777" w:rsidR="002B4082" w:rsidRDefault="002B4082" w:rsidP="00916555">
      <w:r>
        <w:separator/>
      </w:r>
    </w:p>
  </w:footnote>
  <w:footnote w:type="continuationSeparator" w:id="0">
    <w:p w14:paraId="43D600A9" w14:textId="77777777" w:rsidR="002B4082" w:rsidRDefault="002B4082" w:rsidP="00916555">
      <w:r>
        <w:continuationSeparator/>
      </w:r>
    </w:p>
  </w:footnote>
  <w:footnote w:id="1">
    <w:p w14:paraId="0127677A" w14:textId="77777777" w:rsidR="00E9643A" w:rsidRPr="004F679F" w:rsidRDefault="00E9643A" w:rsidP="001749EF">
      <w:pPr>
        <w:pStyle w:val="FootnoteText"/>
        <w:spacing w:line="240" w:lineRule="auto"/>
        <w:rPr>
          <w:lang w:val="en-ZA"/>
        </w:rPr>
      </w:pPr>
      <w:r w:rsidRPr="004F679F">
        <w:rPr>
          <w:rStyle w:val="FootnoteReference"/>
        </w:rPr>
        <w:footnoteRef/>
      </w:r>
      <w:r w:rsidRPr="004F679F">
        <w:t xml:space="preserve"> </w:t>
      </w:r>
      <w:r w:rsidRPr="004F679F">
        <w:rPr>
          <w:i/>
          <w:lang w:val="en-ZA"/>
        </w:rPr>
        <w:t>Tjamuaha</w:t>
      </w:r>
      <w:r w:rsidR="00C067AC" w:rsidRPr="004F679F">
        <w:rPr>
          <w:i/>
          <w:lang w:val="en-ZA"/>
        </w:rPr>
        <w:t xml:space="preserve"> and Another</w:t>
      </w:r>
      <w:r w:rsidRPr="004F679F">
        <w:rPr>
          <w:i/>
          <w:lang w:val="en-ZA"/>
        </w:rPr>
        <w:t xml:space="preserve"> </w:t>
      </w:r>
      <w:r w:rsidR="00C067AC" w:rsidRPr="004F679F">
        <w:rPr>
          <w:i/>
          <w:lang w:val="en-ZA"/>
        </w:rPr>
        <w:t>v Master of the High Court and O</w:t>
      </w:r>
      <w:r w:rsidRPr="004F679F">
        <w:rPr>
          <w:i/>
          <w:lang w:val="en-ZA"/>
        </w:rPr>
        <w:t>thers</w:t>
      </w:r>
      <w:r w:rsidR="00C067AC" w:rsidRPr="004F679F">
        <w:rPr>
          <w:lang w:val="en-ZA"/>
        </w:rPr>
        <w:t xml:space="preserve"> (SA 63/2015) [2017] NASC (delivered on 26</w:t>
      </w:r>
      <w:r w:rsidRPr="004F679F">
        <w:rPr>
          <w:lang w:val="en-ZA"/>
        </w:rPr>
        <w:t xml:space="preserve"> October 2017</w:t>
      </w:r>
      <w:r w:rsidR="00C067AC" w:rsidRPr="004F679F">
        <w:rPr>
          <w:lang w:val="en-ZA"/>
        </w:rPr>
        <w:t>)</w:t>
      </w:r>
      <w:r w:rsidRPr="004F679F">
        <w:rPr>
          <w:lang w:val="en-ZA"/>
        </w:rPr>
        <w:t>.</w:t>
      </w:r>
    </w:p>
  </w:footnote>
  <w:footnote w:id="2">
    <w:p w14:paraId="5FB96C31" w14:textId="77777777" w:rsidR="00E9643A" w:rsidRPr="00064052" w:rsidRDefault="00E9643A" w:rsidP="001749EF">
      <w:pPr>
        <w:pStyle w:val="FootnoteText"/>
        <w:spacing w:line="240" w:lineRule="auto"/>
        <w:rPr>
          <w:lang w:val="en-ZA"/>
        </w:rPr>
      </w:pPr>
      <w:r w:rsidRPr="004F679F">
        <w:rPr>
          <w:rStyle w:val="FootnoteReference"/>
        </w:rPr>
        <w:footnoteRef/>
      </w:r>
      <w:r w:rsidRPr="004F679F">
        <w:t xml:space="preserve"> </w:t>
      </w:r>
      <w:r w:rsidRPr="004F679F">
        <w:rPr>
          <w:i/>
          <w:lang w:val="en-ZA"/>
        </w:rPr>
        <w:t>Tjamuaha</w:t>
      </w:r>
      <w:r w:rsidRPr="004F679F">
        <w:rPr>
          <w:lang w:val="en-ZA"/>
        </w:rPr>
        <w:t xml:space="preserve"> case para 16 quoting from Lee and Honore: </w:t>
      </w:r>
      <w:r w:rsidRPr="004F679F">
        <w:rPr>
          <w:i/>
          <w:lang w:val="en-ZA"/>
        </w:rPr>
        <w:t xml:space="preserve">Family Things and </w:t>
      </w:r>
      <w:r w:rsidR="00006D8A" w:rsidRPr="004F679F">
        <w:rPr>
          <w:i/>
          <w:lang w:val="en-ZA"/>
        </w:rPr>
        <w:t>Succession</w:t>
      </w:r>
      <w:r w:rsidRPr="004F679F">
        <w:rPr>
          <w:lang w:val="en-ZA"/>
        </w:rPr>
        <w:t xml:space="preserve"> 2</w:t>
      </w:r>
      <w:r w:rsidRPr="004F679F">
        <w:rPr>
          <w:vertAlign w:val="superscript"/>
          <w:lang w:val="en-ZA"/>
        </w:rPr>
        <w:t>nd</w:t>
      </w:r>
      <w:r w:rsidRPr="004F679F">
        <w:rPr>
          <w:lang w:val="en-ZA"/>
        </w:rPr>
        <w:t xml:space="preserve"> ed para 516.</w:t>
      </w:r>
    </w:p>
  </w:footnote>
  <w:footnote w:id="3">
    <w:p w14:paraId="67787F77" w14:textId="77777777" w:rsidR="00E9643A" w:rsidRPr="004F679F" w:rsidRDefault="00E9643A" w:rsidP="001749EF">
      <w:pPr>
        <w:pStyle w:val="FootnoteText"/>
        <w:spacing w:line="240" w:lineRule="auto"/>
        <w:rPr>
          <w:lang w:val="en-ZA"/>
        </w:rPr>
      </w:pPr>
      <w:r w:rsidRPr="004F679F">
        <w:rPr>
          <w:rStyle w:val="FootnoteReference"/>
        </w:rPr>
        <w:footnoteRef/>
      </w:r>
      <w:r w:rsidRPr="004F679F">
        <w:t xml:space="preserve"> 4 </w:t>
      </w:r>
      <w:r w:rsidRPr="004F679F">
        <w:rPr>
          <w:i/>
          <w:lang w:val="en-ZA"/>
        </w:rPr>
        <w:t xml:space="preserve">Lawsa: </w:t>
      </w:r>
      <w:r w:rsidRPr="004F679F">
        <w:rPr>
          <w:lang w:val="en-ZA"/>
        </w:rPr>
        <w:t>2 ed para 414.</w:t>
      </w:r>
    </w:p>
  </w:footnote>
  <w:footnote w:id="4">
    <w:p w14:paraId="14BEE601" w14:textId="77777777" w:rsidR="00E9643A" w:rsidRPr="004F679F" w:rsidRDefault="00E9643A" w:rsidP="001749EF">
      <w:pPr>
        <w:pStyle w:val="FootnoteText"/>
        <w:spacing w:line="240" w:lineRule="auto"/>
        <w:rPr>
          <w:lang w:val="en-ZA"/>
        </w:rPr>
      </w:pPr>
      <w:r w:rsidRPr="004F679F">
        <w:rPr>
          <w:rStyle w:val="FootnoteReference"/>
        </w:rPr>
        <w:footnoteRef/>
      </w:r>
      <w:r w:rsidRPr="004F679F">
        <w:t xml:space="preserve"> </w:t>
      </w:r>
      <w:r w:rsidRPr="004F679F">
        <w:rPr>
          <w:i/>
        </w:rPr>
        <w:t>Northview Shopping Centre (Pty) Ltd v Revclas Properties Johannesburg CC and Another</w:t>
      </w:r>
      <w:r w:rsidRPr="004F679F">
        <w:t xml:space="preserve"> 2010(3) SA 630 (SCA) para 25.</w:t>
      </w:r>
    </w:p>
  </w:footnote>
  <w:footnote w:id="5">
    <w:p w14:paraId="7A8A6BCF" w14:textId="77777777" w:rsidR="00E9643A" w:rsidRPr="004F679F" w:rsidRDefault="00E9643A" w:rsidP="001749EF">
      <w:pPr>
        <w:pStyle w:val="FootnoteText"/>
        <w:spacing w:line="240" w:lineRule="auto"/>
        <w:rPr>
          <w:lang w:val="en-ZA"/>
        </w:rPr>
      </w:pPr>
      <w:r w:rsidRPr="004F679F">
        <w:rPr>
          <w:rStyle w:val="FootnoteReference"/>
        </w:rPr>
        <w:footnoteRef/>
      </w:r>
      <w:r w:rsidRPr="004F679F">
        <w:t xml:space="preserve"> Section 29 of the Act.</w:t>
      </w:r>
    </w:p>
  </w:footnote>
  <w:footnote w:id="6">
    <w:p w14:paraId="2B56CDED" w14:textId="77777777" w:rsidR="00E9643A" w:rsidRPr="004F679F" w:rsidRDefault="00E9643A" w:rsidP="001749EF">
      <w:pPr>
        <w:pStyle w:val="FootnoteText"/>
        <w:spacing w:line="240" w:lineRule="auto"/>
        <w:rPr>
          <w:lang w:val="en-ZA"/>
        </w:rPr>
      </w:pPr>
      <w:r w:rsidRPr="004F679F">
        <w:rPr>
          <w:rStyle w:val="FootnoteReference"/>
        </w:rPr>
        <w:footnoteRef/>
      </w:r>
      <w:r w:rsidRPr="004F679F">
        <w:t xml:space="preserve"> Section 30 of the Act.</w:t>
      </w:r>
    </w:p>
  </w:footnote>
  <w:footnote w:id="7">
    <w:p w14:paraId="3C26BBF7" w14:textId="77777777" w:rsidR="00E9643A" w:rsidRPr="004F679F" w:rsidRDefault="00E9643A" w:rsidP="001749EF">
      <w:pPr>
        <w:pStyle w:val="FootnoteText"/>
        <w:spacing w:line="240" w:lineRule="auto"/>
        <w:rPr>
          <w:lang w:val="en-ZA"/>
        </w:rPr>
      </w:pPr>
      <w:r w:rsidRPr="004F679F">
        <w:rPr>
          <w:rStyle w:val="FootnoteReference"/>
        </w:rPr>
        <w:footnoteRef/>
      </w:r>
      <w:r w:rsidRPr="004F679F">
        <w:t xml:space="preserve"> Sections 35 and 36 of the Act.</w:t>
      </w:r>
    </w:p>
  </w:footnote>
  <w:footnote w:id="8">
    <w:p w14:paraId="3505B56B" w14:textId="77777777" w:rsidR="00E9643A" w:rsidRPr="004F679F" w:rsidRDefault="00E9643A" w:rsidP="001749EF">
      <w:pPr>
        <w:pStyle w:val="FootnoteText"/>
        <w:spacing w:line="240" w:lineRule="auto"/>
        <w:rPr>
          <w:lang w:val="en-ZA"/>
        </w:rPr>
      </w:pPr>
      <w:r w:rsidRPr="004F679F">
        <w:rPr>
          <w:rStyle w:val="FootnoteReference"/>
        </w:rPr>
        <w:footnoteRef/>
      </w:r>
      <w:r w:rsidRPr="004F679F">
        <w:t xml:space="preserve"> Section 37 of the Act.</w:t>
      </w:r>
    </w:p>
  </w:footnote>
  <w:footnote w:id="9">
    <w:p w14:paraId="370D96AC" w14:textId="77777777" w:rsidR="00E9643A" w:rsidRPr="00064052" w:rsidRDefault="00E9643A" w:rsidP="001749EF">
      <w:pPr>
        <w:pStyle w:val="FootnoteText"/>
        <w:spacing w:line="240" w:lineRule="auto"/>
        <w:rPr>
          <w:lang w:val="en-ZA"/>
        </w:rPr>
      </w:pPr>
      <w:r w:rsidRPr="004F679F">
        <w:rPr>
          <w:rStyle w:val="FootnoteReference"/>
        </w:rPr>
        <w:footnoteRef/>
      </w:r>
      <w:r w:rsidRPr="004F679F">
        <w:t xml:space="preserve"> Section 46 of the Act.</w:t>
      </w:r>
    </w:p>
  </w:footnote>
  <w:footnote w:id="10">
    <w:p w14:paraId="1F5A254B" w14:textId="77777777" w:rsidR="00E9643A" w:rsidRPr="004F679F" w:rsidRDefault="00E9643A" w:rsidP="001749EF">
      <w:pPr>
        <w:pStyle w:val="FootnoteText"/>
        <w:spacing w:line="240" w:lineRule="auto"/>
        <w:rPr>
          <w:lang w:val="en-ZA"/>
        </w:rPr>
      </w:pPr>
      <w:r w:rsidRPr="004F679F">
        <w:rPr>
          <w:rStyle w:val="FootnoteReference"/>
        </w:rPr>
        <w:footnoteRef/>
      </w:r>
      <w:r w:rsidRPr="004F679F">
        <w:t xml:space="preserve"> </w:t>
      </w:r>
      <w:r w:rsidRPr="004F679F">
        <w:rPr>
          <w:lang w:val="en-ZA"/>
        </w:rPr>
        <w:t>Act 28 of 2004.</w:t>
      </w:r>
    </w:p>
  </w:footnote>
  <w:footnote w:id="11">
    <w:p w14:paraId="60557BCC" w14:textId="77777777" w:rsidR="00E9643A" w:rsidRPr="00064052" w:rsidRDefault="00E9643A" w:rsidP="001749EF">
      <w:pPr>
        <w:pStyle w:val="FootnoteText"/>
        <w:spacing w:line="240" w:lineRule="auto"/>
        <w:rPr>
          <w:lang w:val="en-ZA"/>
        </w:rPr>
      </w:pPr>
      <w:r w:rsidRPr="00064052">
        <w:rPr>
          <w:rStyle w:val="FootnoteReference"/>
        </w:rPr>
        <w:footnoteRef/>
      </w:r>
      <w:r w:rsidRPr="00064052">
        <w:t xml:space="preserve"> </w:t>
      </w:r>
      <w:r>
        <w:t>Section 22 read with s</w:t>
      </w:r>
      <w:r w:rsidR="004F679F">
        <w:t xml:space="preserve">ection 55(4) and 60 of </w:t>
      </w:r>
      <w:r>
        <w:t>Act 28 of 2004.</w:t>
      </w:r>
    </w:p>
  </w:footnote>
  <w:footnote w:id="12">
    <w:p w14:paraId="4A7B1AE0" w14:textId="77777777" w:rsidR="00E9643A" w:rsidRPr="00064052" w:rsidRDefault="00E9643A" w:rsidP="001749EF">
      <w:pPr>
        <w:pStyle w:val="FootnoteText"/>
        <w:spacing w:line="240" w:lineRule="auto"/>
        <w:rPr>
          <w:lang w:val="en-ZA"/>
        </w:rPr>
      </w:pPr>
      <w:r w:rsidRPr="00064052">
        <w:rPr>
          <w:rStyle w:val="FootnoteReference"/>
        </w:rPr>
        <w:footnoteRef/>
      </w:r>
      <w:r w:rsidRPr="00064052">
        <w:t xml:space="preserve"> </w:t>
      </w:r>
      <w:r w:rsidRPr="00CE03D5">
        <w:rPr>
          <w:i/>
        </w:rPr>
        <w:t>Gien v Gien</w:t>
      </w:r>
      <w:r>
        <w:t xml:space="preserve"> 1979(2) SA 1115(T) at 1120.</w:t>
      </w:r>
    </w:p>
  </w:footnote>
  <w:footnote w:id="13">
    <w:p w14:paraId="6FC2CE13" w14:textId="77777777" w:rsidR="007E2D76" w:rsidRPr="007E2D76" w:rsidRDefault="007E2D76" w:rsidP="001749EF">
      <w:pPr>
        <w:pStyle w:val="FootnoteText"/>
        <w:spacing w:line="240" w:lineRule="auto"/>
        <w:rPr>
          <w:lang w:val="en-ZA"/>
        </w:rPr>
      </w:pPr>
      <w:r>
        <w:rPr>
          <w:rStyle w:val="FootnoteReference"/>
        </w:rPr>
        <w:footnoteRef/>
      </w:r>
      <w:r>
        <w:t xml:space="preserve"> </w:t>
      </w:r>
      <w:r>
        <w:rPr>
          <w:lang w:val="en-ZA"/>
        </w:rPr>
        <w:t>Lawsa: Things; Vol 27 paras 107 – 109.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8D70" w14:textId="77777777" w:rsidR="00E9643A" w:rsidRDefault="00E9643A"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4AF5BE4E" w14:textId="77777777" w:rsidR="00E9643A" w:rsidRDefault="00E9643A"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44383" w14:textId="77777777" w:rsidR="00E9643A" w:rsidRPr="00916555" w:rsidRDefault="00E9643A"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3B13E1">
      <w:rPr>
        <w:rStyle w:val="PageNumber"/>
        <w:noProof/>
      </w:rPr>
      <w:t>16</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BA8080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345CFFF2"/>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3" w15:restartNumberingAfterBreak="0">
    <w:nsid w:val="035036ED"/>
    <w:multiLevelType w:val="multilevel"/>
    <w:tmpl w:val="15129AF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4" w15:restartNumberingAfterBreak="0">
    <w:nsid w:val="11D67774"/>
    <w:multiLevelType w:val="multilevel"/>
    <w:tmpl w:val="77743E82"/>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5" w15:restartNumberingAfterBreak="0">
    <w:nsid w:val="1B3D388C"/>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6" w15:restartNumberingAfterBreak="0">
    <w:nsid w:val="230C4E2B"/>
    <w:multiLevelType w:val="hybridMultilevel"/>
    <w:tmpl w:val="128832A2"/>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7" w15:restartNumberingAfterBreak="0">
    <w:nsid w:val="24230A53"/>
    <w:multiLevelType w:val="multilevel"/>
    <w:tmpl w:val="8FAA13FE"/>
    <w:lvl w:ilvl="0">
      <w:start w:val="1"/>
      <w:numFmt w:val="decimal"/>
      <w:lvlText w:val="%1."/>
      <w:lvlJc w:val="left"/>
      <w:pPr>
        <w:tabs>
          <w:tab w:val="num" w:pos="0"/>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0"/>
        </w:tabs>
        <w:ind w:left="2177" w:hanging="72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8" w15:restartNumberingAfterBreak="0">
    <w:nsid w:val="2BF4614B"/>
    <w:multiLevelType w:val="multilevel"/>
    <w:tmpl w:val="591E53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9" w15:restartNumberingAfterBreak="0">
    <w:nsid w:val="3263400B"/>
    <w:multiLevelType w:val="hybridMultilevel"/>
    <w:tmpl w:val="70FAB5D2"/>
    <w:lvl w:ilvl="0" w:tplc="1F042002">
      <w:start w:val="1"/>
      <w:numFmt w:val="lowerLetter"/>
      <w:pStyle w:val="Heading2"/>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10" w15:restartNumberingAfterBreak="0">
    <w:nsid w:val="448C7508"/>
    <w:multiLevelType w:val="multilevel"/>
    <w:tmpl w:val="1026D9A4"/>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1" w15:restartNumberingAfterBreak="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2" w15:restartNumberingAfterBreak="0">
    <w:nsid w:val="5D6E1CFE"/>
    <w:multiLevelType w:val="multilevel"/>
    <w:tmpl w:val="EC306D9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67E751AB"/>
    <w:multiLevelType w:val="hybridMultilevel"/>
    <w:tmpl w:val="6D5A6C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A0B7E85"/>
    <w:multiLevelType w:val="hybridMultilevel"/>
    <w:tmpl w:val="ECC6F2DA"/>
    <w:lvl w:ilvl="0" w:tplc="2F80D23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2FA3B6E"/>
    <w:multiLevelType w:val="hybridMultilevel"/>
    <w:tmpl w:val="4D60DCA2"/>
    <w:lvl w:ilvl="0" w:tplc="710C72B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95F7D9B"/>
    <w:multiLevelType w:val="multilevel"/>
    <w:tmpl w:val="50E279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1"/>
  </w:num>
  <w:num w:numId="13">
    <w:abstractNumId w:val="2"/>
  </w:num>
  <w:num w:numId="14">
    <w:abstractNumId w:val="7"/>
  </w:num>
  <w:num w:numId="15">
    <w:abstractNumId w:val="5"/>
  </w:num>
  <w:num w:numId="16">
    <w:abstractNumId w:val="3"/>
  </w:num>
  <w:num w:numId="17">
    <w:abstractNumId w:val="16"/>
  </w:num>
  <w:num w:numId="18">
    <w:abstractNumId w:val="8"/>
  </w:num>
  <w:num w:numId="19">
    <w:abstractNumId w:val="4"/>
  </w:num>
  <w:num w:numId="20">
    <w:abstractNumId w:val="10"/>
  </w:num>
  <w:num w:numId="21">
    <w:abstractNumId w:val="9"/>
  </w:num>
  <w:num w:numId="22">
    <w:abstractNumId w:val="6"/>
  </w:num>
  <w:num w:numId="23">
    <w:abstractNumId w:val="12"/>
  </w:num>
  <w:num w:numId="24">
    <w:abstractNumId w:val="15"/>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05"/>
    <w:rsid w:val="00004B7D"/>
    <w:rsid w:val="00006D8A"/>
    <w:rsid w:val="00007461"/>
    <w:rsid w:val="00010A07"/>
    <w:rsid w:val="0002271E"/>
    <w:rsid w:val="000362F7"/>
    <w:rsid w:val="00051C9F"/>
    <w:rsid w:val="0005333A"/>
    <w:rsid w:val="00054104"/>
    <w:rsid w:val="000554B2"/>
    <w:rsid w:val="00064052"/>
    <w:rsid w:val="00065793"/>
    <w:rsid w:val="000659C3"/>
    <w:rsid w:val="00066BCD"/>
    <w:rsid w:val="00066D15"/>
    <w:rsid w:val="000675A0"/>
    <w:rsid w:val="00067A15"/>
    <w:rsid w:val="00072EBA"/>
    <w:rsid w:val="00073429"/>
    <w:rsid w:val="00077FD7"/>
    <w:rsid w:val="00084595"/>
    <w:rsid w:val="00084B1E"/>
    <w:rsid w:val="00086499"/>
    <w:rsid w:val="00090518"/>
    <w:rsid w:val="00094557"/>
    <w:rsid w:val="000A0F2C"/>
    <w:rsid w:val="000A1469"/>
    <w:rsid w:val="000A6C2E"/>
    <w:rsid w:val="000B1B0A"/>
    <w:rsid w:val="000B7020"/>
    <w:rsid w:val="000B77E4"/>
    <w:rsid w:val="000C715E"/>
    <w:rsid w:val="000C7F49"/>
    <w:rsid w:val="000E1982"/>
    <w:rsid w:val="000E3077"/>
    <w:rsid w:val="000E3BA0"/>
    <w:rsid w:val="000F277C"/>
    <w:rsid w:val="000F5A63"/>
    <w:rsid w:val="0010301A"/>
    <w:rsid w:val="00106039"/>
    <w:rsid w:val="001164E3"/>
    <w:rsid w:val="00125533"/>
    <w:rsid w:val="001329E3"/>
    <w:rsid w:val="00167A5A"/>
    <w:rsid w:val="001749EF"/>
    <w:rsid w:val="00186A62"/>
    <w:rsid w:val="001875AB"/>
    <w:rsid w:val="001932F2"/>
    <w:rsid w:val="001A18D4"/>
    <w:rsid w:val="001A1F5D"/>
    <w:rsid w:val="001A4C39"/>
    <w:rsid w:val="001B2C2C"/>
    <w:rsid w:val="001B2C4F"/>
    <w:rsid w:val="001D5092"/>
    <w:rsid w:val="001F0A2B"/>
    <w:rsid w:val="001F0EAA"/>
    <w:rsid w:val="001F20B9"/>
    <w:rsid w:val="001F4CF7"/>
    <w:rsid w:val="002004EA"/>
    <w:rsid w:val="00212CD1"/>
    <w:rsid w:val="00237740"/>
    <w:rsid w:val="00242303"/>
    <w:rsid w:val="002543F5"/>
    <w:rsid w:val="00261E98"/>
    <w:rsid w:val="00263E3B"/>
    <w:rsid w:val="00265B73"/>
    <w:rsid w:val="00266077"/>
    <w:rsid w:val="002736A7"/>
    <w:rsid w:val="0029595F"/>
    <w:rsid w:val="002B4082"/>
    <w:rsid w:val="002C601A"/>
    <w:rsid w:val="002C6C5F"/>
    <w:rsid w:val="002D6756"/>
    <w:rsid w:val="002E0C4A"/>
    <w:rsid w:val="002E3FB5"/>
    <w:rsid w:val="002E5960"/>
    <w:rsid w:val="002E6D53"/>
    <w:rsid w:val="002F0203"/>
    <w:rsid w:val="002F1BA8"/>
    <w:rsid w:val="002F6408"/>
    <w:rsid w:val="002F7779"/>
    <w:rsid w:val="0030043D"/>
    <w:rsid w:val="0030056D"/>
    <w:rsid w:val="003058B3"/>
    <w:rsid w:val="003147EC"/>
    <w:rsid w:val="00324F04"/>
    <w:rsid w:val="00325332"/>
    <w:rsid w:val="003255ED"/>
    <w:rsid w:val="0033476B"/>
    <w:rsid w:val="0034151D"/>
    <w:rsid w:val="00346C0D"/>
    <w:rsid w:val="00352F7E"/>
    <w:rsid w:val="00353118"/>
    <w:rsid w:val="00355341"/>
    <w:rsid w:val="00357108"/>
    <w:rsid w:val="003579F3"/>
    <w:rsid w:val="003606C7"/>
    <w:rsid w:val="003608CB"/>
    <w:rsid w:val="00367000"/>
    <w:rsid w:val="003724BB"/>
    <w:rsid w:val="00372EF8"/>
    <w:rsid w:val="00376761"/>
    <w:rsid w:val="00382DDF"/>
    <w:rsid w:val="0038335F"/>
    <w:rsid w:val="0038349E"/>
    <w:rsid w:val="00385B45"/>
    <w:rsid w:val="00391EDD"/>
    <w:rsid w:val="0039293A"/>
    <w:rsid w:val="00393812"/>
    <w:rsid w:val="003950E3"/>
    <w:rsid w:val="0039571C"/>
    <w:rsid w:val="003A6232"/>
    <w:rsid w:val="003A6C11"/>
    <w:rsid w:val="003B0D6F"/>
    <w:rsid w:val="003B13E1"/>
    <w:rsid w:val="003B6BE9"/>
    <w:rsid w:val="003C0176"/>
    <w:rsid w:val="003C2655"/>
    <w:rsid w:val="003C2669"/>
    <w:rsid w:val="003C2904"/>
    <w:rsid w:val="003C7D1E"/>
    <w:rsid w:val="003D0AA5"/>
    <w:rsid w:val="003D2B1A"/>
    <w:rsid w:val="003D41AA"/>
    <w:rsid w:val="003D4440"/>
    <w:rsid w:val="003E58F3"/>
    <w:rsid w:val="003E714F"/>
    <w:rsid w:val="003E7964"/>
    <w:rsid w:val="003F0821"/>
    <w:rsid w:val="003F2F13"/>
    <w:rsid w:val="003F6551"/>
    <w:rsid w:val="003F6D88"/>
    <w:rsid w:val="00401639"/>
    <w:rsid w:val="00402CC3"/>
    <w:rsid w:val="0041061F"/>
    <w:rsid w:val="00413AD6"/>
    <w:rsid w:val="004201CA"/>
    <w:rsid w:val="0044102B"/>
    <w:rsid w:val="00472555"/>
    <w:rsid w:val="0047357D"/>
    <w:rsid w:val="0047631F"/>
    <w:rsid w:val="0048141E"/>
    <w:rsid w:val="00481AEB"/>
    <w:rsid w:val="00484ED6"/>
    <w:rsid w:val="00493005"/>
    <w:rsid w:val="004A348E"/>
    <w:rsid w:val="004B21D8"/>
    <w:rsid w:val="004B23EE"/>
    <w:rsid w:val="004B2C50"/>
    <w:rsid w:val="004B3AF1"/>
    <w:rsid w:val="004B4F48"/>
    <w:rsid w:val="004B5389"/>
    <w:rsid w:val="004B65A1"/>
    <w:rsid w:val="004B6A4B"/>
    <w:rsid w:val="004C0B6C"/>
    <w:rsid w:val="004C5A18"/>
    <w:rsid w:val="004D268B"/>
    <w:rsid w:val="004E369C"/>
    <w:rsid w:val="004F0DEB"/>
    <w:rsid w:val="004F6722"/>
    <w:rsid w:val="004F679F"/>
    <w:rsid w:val="004F6C67"/>
    <w:rsid w:val="00534BF3"/>
    <w:rsid w:val="00535A57"/>
    <w:rsid w:val="00540577"/>
    <w:rsid w:val="0054277D"/>
    <w:rsid w:val="00560268"/>
    <w:rsid w:val="005626FB"/>
    <w:rsid w:val="00565190"/>
    <w:rsid w:val="005660AC"/>
    <w:rsid w:val="00573EE8"/>
    <w:rsid w:val="005764DF"/>
    <w:rsid w:val="00577218"/>
    <w:rsid w:val="005772EE"/>
    <w:rsid w:val="00583044"/>
    <w:rsid w:val="00592305"/>
    <w:rsid w:val="00592B6F"/>
    <w:rsid w:val="0059355D"/>
    <w:rsid w:val="005A5301"/>
    <w:rsid w:val="005B58B9"/>
    <w:rsid w:val="005C1026"/>
    <w:rsid w:val="005C51A3"/>
    <w:rsid w:val="005C74F4"/>
    <w:rsid w:val="005D48A6"/>
    <w:rsid w:val="005D4D58"/>
    <w:rsid w:val="005D5917"/>
    <w:rsid w:val="005E73F7"/>
    <w:rsid w:val="005F215A"/>
    <w:rsid w:val="00601706"/>
    <w:rsid w:val="0060170B"/>
    <w:rsid w:val="00610ECA"/>
    <w:rsid w:val="00612FA3"/>
    <w:rsid w:val="00620976"/>
    <w:rsid w:val="00620B06"/>
    <w:rsid w:val="00627C29"/>
    <w:rsid w:val="006374AF"/>
    <w:rsid w:val="0064148D"/>
    <w:rsid w:val="00646217"/>
    <w:rsid w:val="0065502D"/>
    <w:rsid w:val="00655F7D"/>
    <w:rsid w:val="0066338C"/>
    <w:rsid w:val="0066725F"/>
    <w:rsid w:val="006738FA"/>
    <w:rsid w:val="00676AB8"/>
    <w:rsid w:val="00682119"/>
    <w:rsid w:val="00695FC8"/>
    <w:rsid w:val="006A040B"/>
    <w:rsid w:val="006A1C9D"/>
    <w:rsid w:val="006A2F95"/>
    <w:rsid w:val="006A7192"/>
    <w:rsid w:val="006B2437"/>
    <w:rsid w:val="006B34CF"/>
    <w:rsid w:val="006B3890"/>
    <w:rsid w:val="006B70A4"/>
    <w:rsid w:val="006B7100"/>
    <w:rsid w:val="006D253D"/>
    <w:rsid w:val="006D6AFC"/>
    <w:rsid w:val="006E292C"/>
    <w:rsid w:val="006E43BC"/>
    <w:rsid w:val="006F5B48"/>
    <w:rsid w:val="006F7555"/>
    <w:rsid w:val="00701FFC"/>
    <w:rsid w:val="007065E9"/>
    <w:rsid w:val="00713659"/>
    <w:rsid w:val="00723811"/>
    <w:rsid w:val="00724DBF"/>
    <w:rsid w:val="00725F96"/>
    <w:rsid w:val="00730A05"/>
    <w:rsid w:val="0073157A"/>
    <w:rsid w:val="00742AB7"/>
    <w:rsid w:val="00747010"/>
    <w:rsid w:val="00747CB5"/>
    <w:rsid w:val="0076122F"/>
    <w:rsid w:val="00763274"/>
    <w:rsid w:val="00773F38"/>
    <w:rsid w:val="007750EC"/>
    <w:rsid w:val="007770C1"/>
    <w:rsid w:val="00792575"/>
    <w:rsid w:val="007B4449"/>
    <w:rsid w:val="007E08BB"/>
    <w:rsid w:val="007E2D76"/>
    <w:rsid w:val="007E3377"/>
    <w:rsid w:val="007E7735"/>
    <w:rsid w:val="007F4386"/>
    <w:rsid w:val="00800BE6"/>
    <w:rsid w:val="00803A93"/>
    <w:rsid w:val="00814B10"/>
    <w:rsid w:val="00815238"/>
    <w:rsid w:val="00823774"/>
    <w:rsid w:val="0082727F"/>
    <w:rsid w:val="00837755"/>
    <w:rsid w:val="008409AD"/>
    <w:rsid w:val="008449AD"/>
    <w:rsid w:val="00845795"/>
    <w:rsid w:val="00851E3F"/>
    <w:rsid w:val="00852080"/>
    <w:rsid w:val="00855E4C"/>
    <w:rsid w:val="00857146"/>
    <w:rsid w:val="00870683"/>
    <w:rsid w:val="00896A15"/>
    <w:rsid w:val="008A16A6"/>
    <w:rsid w:val="008A52D3"/>
    <w:rsid w:val="008B5D90"/>
    <w:rsid w:val="008D0F7B"/>
    <w:rsid w:val="008D31FA"/>
    <w:rsid w:val="008D6289"/>
    <w:rsid w:val="008E3223"/>
    <w:rsid w:val="0090375F"/>
    <w:rsid w:val="00906E85"/>
    <w:rsid w:val="00910B9B"/>
    <w:rsid w:val="00911DBB"/>
    <w:rsid w:val="00916555"/>
    <w:rsid w:val="00923DD2"/>
    <w:rsid w:val="00931CF5"/>
    <w:rsid w:val="0094765C"/>
    <w:rsid w:val="0095642F"/>
    <w:rsid w:val="009704B3"/>
    <w:rsid w:val="00972FAB"/>
    <w:rsid w:val="00973189"/>
    <w:rsid w:val="009733B3"/>
    <w:rsid w:val="0098442C"/>
    <w:rsid w:val="00985647"/>
    <w:rsid w:val="009927CE"/>
    <w:rsid w:val="00995F51"/>
    <w:rsid w:val="009A1417"/>
    <w:rsid w:val="009B0784"/>
    <w:rsid w:val="009C0CEC"/>
    <w:rsid w:val="009C5DF0"/>
    <w:rsid w:val="009C6B25"/>
    <w:rsid w:val="009E760A"/>
    <w:rsid w:val="009F19F0"/>
    <w:rsid w:val="009F6E6B"/>
    <w:rsid w:val="009F7855"/>
    <w:rsid w:val="00A02221"/>
    <w:rsid w:val="00A07EC9"/>
    <w:rsid w:val="00A16453"/>
    <w:rsid w:val="00A424EC"/>
    <w:rsid w:val="00A45DD1"/>
    <w:rsid w:val="00A52389"/>
    <w:rsid w:val="00A527B0"/>
    <w:rsid w:val="00A52956"/>
    <w:rsid w:val="00A5761B"/>
    <w:rsid w:val="00A6054B"/>
    <w:rsid w:val="00A665C0"/>
    <w:rsid w:val="00A67077"/>
    <w:rsid w:val="00A82A0A"/>
    <w:rsid w:val="00A834CD"/>
    <w:rsid w:val="00A8732D"/>
    <w:rsid w:val="00A936EE"/>
    <w:rsid w:val="00A93C5C"/>
    <w:rsid w:val="00A95585"/>
    <w:rsid w:val="00A97974"/>
    <w:rsid w:val="00AA10AC"/>
    <w:rsid w:val="00AA776F"/>
    <w:rsid w:val="00AD21BD"/>
    <w:rsid w:val="00AD32AC"/>
    <w:rsid w:val="00AD336A"/>
    <w:rsid w:val="00AE2BA7"/>
    <w:rsid w:val="00AE55C5"/>
    <w:rsid w:val="00AE7FD5"/>
    <w:rsid w:val="00AF14CB"/>
    <w:rsid w:val="00AF5070"/>
    <w:rsid w:val="00AF630C"/>
    <w:rsid w:val="00B12187"/>
    <w:rsid w:val="00B21AFA"/>
    <w:rsid w:val="00B245FE"/>
    <w:rsid w:val="00B42BD5"/>
    <w:rsid w:val="00B45DA3"/>
    <w:rsid w:val="00B5340A"/>
    <w:rsid w:val="00B607D4"/>
    <w:rsid w:val="00B617AF"/>
    <w:rsid w:val="00B658FB"/>
    <w:rsid w:val="00B87787"/>
    <w:rsid w:val="00BA1680"/>
    <w:rsid w:val="00BA1E9A"/>
    <w:rsid w:val="00BA279B"/>
    <w:rsid w:val="00BB7E80"/>
    <w:rsid w:val="00BC021E"/>
    <w:rsid w:val="00BC1C56"/>
    <w:rsid w:val="00BC4E05"/>
    <w:rsid w:val="00BC62A0"/>
    <w:rsid w:val="00BC7176"/>
    <w:rsid w:val="00BC760E"/>
    <w:rsid w:val="00BD44F4"/>
    <w:rsid w:val="00C0652B"/>
    <w:rsid w:val="00C067AC"/>
    <w:rsid w:val="00C14657"/>
    <w:rsid w:val="00C22E1A"/>
    <w:rsid w:val="00C3124D"/>
    <w:rsid w:val="00C4064A"/>
    <w:rsid w:val="00C4232B"/>
    <w:rsid w:val="00C45A8F"/>
    <w:rsid w:val="00C47B12"/>
    <w:rsid w:val="00C55637"/>
    <w:rsid w:val="00C60123"/>
    <w:rsid w:val="00C640B0"/>
    <w:rsid w:val="00C73ED1"/>
    <w:rsid w:val="00C74F87"/>
    <w:rsid w:val="00C83DF6"/>
    <w:rsid w:val="00C856E4"/>
    <w:rsid w:val="00C9064A"/>
    <w:rsid w:val="00C911AD"/>
    <w:rsid w:val="00C95D07"/>
    <w:rsid w:val="00CA0330"/>
    <w:rsid w:val="00CB2D23"/>
    <w:rsid w:val="00CC37D8"/>
    <w:rsid w:val="00CC40F9"/>
    <w:rsid w:val="00CC55F3"/>
    <w:rsid w:val="00CC5930"/>
    <w:rsid w:val="00CC6396"/>
    <w:rsid w:val="00CD32FB"/>
    <w:rsid w:val="00CD3332"/>
    <w:rsid w:val="00CD4B04"/>
    <w:rsid w:val="00CD700A"/>
    <w:rsid w:val="00CE0053"/>
    <w:rsid w:val="00CE03D5"/>
    <w:rsid w:val="00CE2B78"/>
    <w:rsid w:val="00CF5F07"/>
    <w:rsid w:val="00D02B6D"/>
    <w:rsid w:val="00D14827"/>
    <w:rsid w:val="00D15073"/>
    <w:rsid w:val="00D313A2"/>
    <w:rsid w:val="00D44319"/>
    <w:rsid w:val="00D47178"/>
    <w:rsid w:val="00D47282"/>
    <w:rsid w:val="00D56941"/>
    <w:rsid w:val="00D64EED"/>
    <w:rsid w:val="00D748DB"/>
    <w:rsid w:val="00D83E28"/>
    <w:rsid w:val="00D94DE1"/>
    <w:rsid w:val="00DC3419"/>
    <w:rsid w:val="00DC35CD"/>
    <w:rsid w:val="00DC59BC"/>
    <w:rsid w:val="00DC6393"/>
    <w:rsid w:val="00DD29D1"/>
    <w:rsid w:val="00DD5FEC"/>
    <w:rsid w:val="00DE3227"/>
    <w:rsid w:val="00DE36BF"/>
    <w:rsid w:val="00DF3280"/>
    <w:rsid w:val="00E06058"/>
    <w:rsid w:val="00E141B5"/>
    <w:rsid w:val="00E143BF"/>
    <w:rsid w:val="00E14420"/>
    <w:rsid w:val="00E20818"/>
    <w:rsid w:val="00E20DF5"/>
    <w:rsid w:val="00E232CE"/>
    <w:rsid w:val="00E31FA4"/>
    <w:rsid w:val="00E36BB3"/>
    <w:rsid w:val="00E61286"/>
    <w:rsid w:val="00E70AA8"/>
    <w:rsid w:val="00E77256"/>
    <w:rsid w:val="00E8789D"/>
    <w:rsid w:val="00E90AF4"/>
    <w:rsid w:val="00E92904"/>
    <w:rsid w:val="00E94097"/>
    <w:rsid w:val="00E9434F"/>
    <w:rsid w:val="00E9643A"/>
    <w:rsid w:val="00EB1E5A"/>
    <w:rsid w:val="00EB5AC9"/>
    <w:rsid w:val="00EB6057"/>
    <w:rsid w:val="00EC780B"/>
    <w:rsid w:val="00ED05AD"/>
    <w:rsid w:val="00ED266E"/>
    <w:rsid w:val="00ED7C4F"/>
    <w:rsid w:val="00EE1618"/>
    <w:rsid w:val="00EE6BD2"/>
    <w:rsid w:val="00EF0915"/>
    <w:rsid w:val="00F04D33"/>
    <w:rsid w:val="00F11E40"/>
    <w:rsid w:val="00F17AEE"/>
    <w:rsid w:val="00F21AC3"/>
    <w:rsid w:val="00F227E0"/>
    <w:rsid w:val="00F25B82"/>
    <w:rsid w:val="00F3598F"/>
    <w:rsid w:val="00F3617A"/>
    <w:rsid w:val="00F42423"/>
    <w:rsid w:val="00F53C3D"/>
    <w:rsid w:val="00F7742D"/>
    <w:rsid w:val="00FC17C5"/>
    <w:rsid w:val="00FF398B"/>
    <w:rsid w:val="00FF41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6CB09"/>
  <w15:docId w15:val="{A3849A04-65DF-46F6-9BDF-3ACE1267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005"/>
    <w:pPr>
      <w:widowControl w:val="0"/>
      <w:spacing w:line="480" w:lineRule="auto"/>
      <w:jc w:val="both"/>
    </w:pPr>
    <w:rPr>
      <w:rFonts w:ascii="Arial" w:hAnsi="Arial" w:cs="Arial"/>
      <w:spacing w:val="-3"/>
      <w:sz w:val="24"/>
      <w:szCs w:val="24"/>
      <w:lang w:val="en-GB" w:eastAsia="en-US"/>
    </w:rPr>
  </w:style>
  <w:style w:type="paragraph" w:styleId="Heading1">
    <w:name w:val="heading 1"/>
    <w:basedOn w:val="Normal"/>
    <w:next w:val="Normal"/>
    <w:qFormat/>
    <w:rsid w:val="00493005"/>
    <w:pPr>
      <w:numPr>
        <w:numId w:val="13"/>
      </w:numPr>
      <w:outlineLvl w:val="0"/>
    </w:pPr>
  </w:style>
  <w:style w:type="paragraph" w:styleId="Heading2">
    <w:name w:val="heading 2"/>
    <w:basedOn w:val="Normal"/>
    <w:next w:val="Normal"/>
    <w:qFormat/>
    <w:rsid w:val="00ED05AD"/>
    <w:pPr>
      <w:numPr>
        <w:numId w:val="21"/>
      </w:numPr>
      <w:ind w:left="108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style>
  <w:style w:type="paragraph" w:styleId="EnvelopeReturn">
    <w:name w:val="envelope return"/>
    <w:basedOn w:val="Normal"/>
    <w:rPr>
      <w:sz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Bullet">
    <w:name w:val="List Bullet"/>
    <w:basedOn w:val="Normal"/>
    <w:next w:val="Normal"/>
    <w:autoRedefine/>
    <w:pPr>
      <w:spacing w:after="360"/>
      <w:ind w:left="357" w:hanging="357"/>
    </w:pPr>
  </w:style>
  <w:style w:type="paragraph" w:styleId="ListNumber">
    <w:name w:val="List Number"/>
    <w:basedOn w:val="Normal"/>
    <w:pPr>
      <w:ind w:left="360" w:hanging="360"/>
    </w:pPr>
  </w:style>
  <w:style w:type="character" w:styleId="PageNumber">
    <w:name w:val="page number"/>
    <w:basedOn w:val="DefaultParagraphFont"/>
    <w:rPr>
      <w:rFonts w:ascii="Arial" w:hAnsi="Arial"/>
    </w:rPr>
  </w:style>
  <w:style w:type="paragraph" w:styleId="Subtitle">
    <w:name w:val="Subtitle"/>
    <w:basedOn w:val="Normal"/>
    <w:qFormat/>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uiPriority w:val="99"/>
    <w:rsid w:val="00C47B12"/>
    <w:rPr>
      <w:sz w:val="20"/>
      <w:szCs w:val="20"/>
    </w:rPr>
  </w:style>
  <w:style w:type="character" w:customStyle="1" w:styleId="FootnoteTextChar">
    <w:name w:val="Footnote Text Char"/>
    <w:basedOn w:val="DefaultParagraphFont"/>
    <w:link w:val="FootnoteText"/>
    <w:uiPriority w:val="99"/>
    <w:rsid w:val="00C47B12"/>
    <w:rPr>
      <w:rFonts w:ascii="Arial" w:hAnsi="Arial" w:cs="Arial"/>
      <w:spacing w:val="-3"/>
      <w:lang w:val="en-GB" w:eastAsia="en-US"/>
    </w:rPr>
  </w:style>
  <w:style w:type="character" w:styleId="FootnoteReference">
    <w:name w:val="footnote reference"/>
    <w:basedOn w:val="DefaultParagraphFont"/>
    <w:uiPriority w:val="99"/>
    <w:rsid w:val="00C47B12"/>
    <w:rPr>
      <w:vertAlign w:val="superscript"/>
    </w:rPr>
  </w:style>
  <w:style w:type="paragraph" w:styleId="BalloonText">
    <w:name w:val="Balloon Text"/>
    <w:basedOn w:val="Normal"/>
    <w:link w:val="BalloonTextChar"/>
    <w:rsid w:val="004930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93005"/>
    <w:rPr>
      <w:rFonts w:ascii="Tahoma" w:hAnsi="Tahoma" w:cs="Tahoma"/>
      <w:spacing w:val="-3"/>
      <w:sz w:val="16"/>
      <w:szCs w:val="16"/>
      <w:lang w:val="en-GB" w:eastAsia="en-US"/>
    </w:rPr>
  </w:style>
  <w:style w:type="paragraph" w:styleId="ListParagraph">
    <w:name w:val="List Paragraph"/>
    <w:basedOn w:val="Normal"/>
    <w:uiPriority w:val="34"/>
    <w:qFormat/>
    <w:rsid w:val="00493005"/>
    <w:pPr>
      <w:widowControl/>
      <w:spacing w:after="200" w:line="276" w:lineRule="auto"/>
      <w:ind w:left="720"/>
      <w:contextualSpacing/>
      <w:jc w:val="left"/>
    </w:pPr>
    <w:rPr>
      <w:rFonts w:ascii="Calibri" w:eastAsia="Calibri" w:hAnsi="Calibri" w:cs="Times New Roman"/>
      <w:spacing w:val="0"/>
      <w:sz w:val="22"/>
      <w:szCs w:val="22"/>
      <w:lang w:val="en-US"/>
    </w:rPr>
  </w:style>
  <w:style w:type="character" w:styleId="Emphasis">
    <w:name w:val="Emphasis"/>
    <w:basedOn w:val="DefaultParagraphFont"/>
    <w:qFormat/>
    <w:rsid w:val="00BA279B"/>
    <w:rPr>
      <w:rFonts w:ascii="Arial" w:hAnsi="Arial"/>
      <w:i w:val="0"/>
      <w:iCs/>
      <w:sz w:val="24"/>
    </w:rPr>
  </w:style>
  <w:style w:type="paragraph" w:styleId="NoSpacing">
    <w:name w:val="No Spacing"/>
    <w:uiPriority w:val="1"/>
    <w:qFormat/>
    <w:rsid w:val="00682119"/>
    <w:pPr>
      <w:widowControl w:val="0"/>
      <w:jc w:val="both"/>
    </w:pPr>
    <w:rPr>
      <w:rFonts w:ascii="Arial" w:hAnsi="Arial" w:cs="Arial"/>
      <w:spacing w:val="-3"/>
      <w:sz w:val="24"/>
      <w:szCs w:val="24"/>
      <w:lang w:val="en-GB" w:eastAsia="en-US"/>
    </w:rPr>
  </w:style>
  <w:style w:type="character" w:styleId="CommentReference">
    <w:name w:val="annotation reference"/>
    <w:basedOn w:val="DefaultParagraphFont"/>
    <w:semiHidden/>
    <w:unhideWhenUsed/>
    <w:rsid w:val="005B58B9"/>
    <w:rPr>
      <w:sz w:val="18"/>
      <w:szCs w:val="18"/>
    </w:rPr>
  </w:style>
  <w:style w:type="paragraph" w:styleId="CommentText">
    <w:name w:val="annotation text"/>
    <w:basedOn w:val="Normal"/>
    <w:link w:val="CommentTextChar"/>
    <w:semiHidden/>
    <w:unhideWhenUsed/>
    <w:rsid w:val="005B58B9"/>
    <w:pPr>
      <w:spacing w:line="240" w:lineRule="auto"/>
    </w:pPr>
  </w:style>
  <w:style w:type="character" w:customStyle="1" w:styleId="CommentTextChar">
    <w:name w:val="Comment Text Char"/>
    <w:basedOn w:val="DefaultParagraphFont"/>
    <w:link w:val="CommentText"/>
    <w:semiHidden/>
    <w:rsid w:val="005B58B9"/>
    <w:rPr>
      <w:rFonts w:ascii="Arial" w:hAnsi="Arial" w:cs="Arial"/>
      <w:spacing w:val="-3"/>
      <w:sz w:val="24"/>
      <w:szCs w:val="24"/>
      <w:lang w:val="en-GB" w:eastAsia="en-US"/>
    </w:rPr>
  </w:style>
  <w:style w:type="paragraph" w:styleId="CommentSubject">
    <w:name w:val="annotation subject"/>
    <w:basedOn w:val="CommentText"/>
    <w:next w:val="CommentText"/>
    <w:link w:val="CommentSubjectChar"/>
    <w:semiHidden/>
    <w:unhideWhenUsed/>
    <w:rsid w:val="005B58B9"/>
    <w:rPr>
      <w:b/>
      <w:bCs/>
      <w:sz w:val="20"/>
      <w:szCs w:val="20"/>
    </w:rPr>
  </w:style>
  <w:style w:type="character" w:customStyle="1" w:styleId="CommentSubjectChar">
    <w:name w:val="Comment Subject Char"/>
    <w:basedOn w:val="CommentTextChar"/>
    <w:link w:val="CommentSubject"/>
    <w:semiHidden/>
    <w:rsid w:val="005B58B9"/>
    <w:rPr>
      <w:rFonts w:ascii="Arial" w:hAnsi="Arial" w:cs="Arial"/>
      <w:b/>
      <w:bCs/>
      <w:spacing w:val="-3"/>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37546">
      <w:bodyDiv w:val="1"/>
      <w:marLeft w:val="0"/>
      <w:marRight w:val="0"/>
      <w:marTop w:val="0"/>
      <w:marBottom w:val="0"/>
      <w:divBdr>
        <w:top w:val="none" w:sz="0" w:space="0" w:color="auto"/>
        <w:left w:val="none" w:sz="0" w:space="0" w:color="auto"/>
        <w:bottom w:val="none" w:sz="0" w:space="0" w:color="auto"/>
        <w:right w:val="none" w:sz="0" w:space="0" w:color="auto"/>
      </w:divBdr>
    </w:div>
    <w:div w:id="1130324594">
      <w:bodyDiv w:val="1"/>
      <w:marLeft w:val="0"/>
      <w:marRight w:val="0"/>
      <w:marTop w:val="0"/>
      <w:marBottom w:val="0"/>
      <w:divBdr>
        <w:top w:val="none" w:sz="0" w:space="0" w:color="auto"/>
        <w:left w:val="none" w:sz="0" w:space="0" w:color="auto"/>
        <w:bottom w:val="none" w:sz="0" w:space="0" w:color="auto"/>
        <w:right w:val="none" w:sz="0" w:space="0" w:color="auto"/>
      </w:divBdr>
    </w:div>
    <w:div w:id="1307278564">
      <w:bodyDiv w:val="1"/>
      <w:marLeft w:val="0"/>
      <w:marRight w:val="0"/>
      <w:marTop w:val="0"/>
      <w:marBottom w:val="0"/>
      <w:divBdr>
        <w:top w:val="none" w:sz="0" w:space="0" w:color="auto"/>
        <w:left w:val="none" w:sz="0" w:space="0" w:color="auto"/>
        <w:bottom w:val="none" w:sz="0" w:space="0" w:color="auto"/>
        <w:right w:val="none" w:sz="0" w:space="0" w:color="auto"/>
      </w:divBdr>
    </w:div>
    <w:div w:id="1310549013">
      <w:bodyDiv w:val="1"/>
      <w:marLeft w:val="0"/>
      <w:marRight w:val="0"/>
      <w:marTop w:val="0"/>
      <w:marBottom w:val="0"/>
      <w:divBdr>
        <w:top w:val="none" w:sz="0" w:space="0" w:color="auto"/>
        <w:left w:val="none" w:sz="0" w:space="0" w:color="auto"/>
        <w:bottom w:val="none" w:sz="0" w:space="0" w:color="auto"/>
        <w:right w:val="none" w:sz="0" w:space="0" w:color="auto"/>
      </w:divBdr>
    </w:div>
    <w:div w:id="132890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2018-04-22T18:30:00+00:00</Judgment_x0020_Date>
    <Year xmlns="63bdd487-88aa-4c54-b893-ddaa81ed2e7c">2018</Year>
  </documentManagement>
</p:properties>
</file>

<file path=customXml/itemProps1.xml><?xml version="1.0" encoding="utf-8"?>
<ds:datastoreItem xmlns:ds="http://schemas.openxmlformats.org/officeDocument/2006/customXml" ds:itemID="{99408033-7CE0-4F46-858D-88A96E838C18}"/>
</file>

<file path=customXml/itemProps2.xml><?xml version="1.0" encoding="utf-8"?>
<ds:datastoreItem xmlns:ds="http://schemas.openxmlformats.org/officeDocument/2006/customXml" ds:itemID="{77578B24-0947-471B-8641-F2A7751C0C84}"/>
</file>

<file path=customXml/itemProps3.xml><?xml version="1.0" encoding="utf-8"?>
<ds:datastoreItem xmlns:ds="http://schemas.openxmlformats.org/officeDocument/2006/customXml" ds:itemID="{2B36F56F-0EB3-49AC-881F-481F25CBEA9A}"/>
</file>

<file path=customXml/itemProps4.xml><?xml version="1.0" encoding="utf-8"?>
<ds:datastoreItem xmlns:ds="http://schemas.openxmlformats.org/officeDocument/2006/customXml" ds:itemID="{D58AB294-F8D9-4ADB-9FB7-3C8959DAD431}"/>
</file>

<file path=docProps/app.xml><?xml version="1.0" encoding="utf-8"?>
<Properties xmlns="http://schemas.openxmlformats.org/officeDocument/2006/extended-properties" xmlns:vt="http://schemas.openxmlformats.org/officeDocument/2006/docPropsVTypes">
  <Template>Judgment</Template>
  <TotalTime>3</TotalTime>
  <Pages>16</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24637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NAMIBIA</dc:title>
  <dc:creator>Monica</dc:creator>
  <cp:lastModifiedBy>Neliswa Tjahikika</cp:lastModifiedBy>
  <cp:revision>2</cp:revision>
  <cp:lastPrinted>2018-04-20T12:27:00Z</cp:lastPrinted>
  <dcterms:created xsi:type="dcterms:W3CDTF">2018-04-26T06:12:00Z</dcterms:created>
  <dcterms:modified xsi:type="dcterms:W3CDTF">2018-04-26T06:12:00Z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