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367" w:rsidRPr="001C25CA" w:rsidRDefault="00D76EC6" w:rsidP="008C3367">
      <w:pPr>
        <w:keepNext/>
        <w:spacing w:line="360" w:lineRule="auto"/>
        <w:jc w:val="center"/>
        <w:outlineLvl w:val="0"/>
        <w:rPr>
          <w:rFonts w:ascii="Arial" w:hAnsi="Arial" w:cs="Arial"/>
          <w:b/>
          <w:bCs/>
          <w:sz w:val="24"/>
          <w:szCs w:val="24"/>
        </w:rPr>
      </w:pPr>
      <w:bookmarkStart w:id="0" w:name="_GoBack"/>
      <w:bookmarkEnd w:id="0"/>
      <w:r>
        <w:rPr>
          <w:rFonts w:ascii="Arial" w:hAnsi="Arial" w:cs="Arial"/>
          <w:b/>
          <w:bCs/>
          <w:sz w:val="24"/>
          <w:szCs w:val="24"/>
        </w:rPr>
        <w:t xml:space="preserve"> </w:t>
      </w:r>
      <w:r w:rsidR="008C3367" w:rsidRPr="001C25CA">
        <w:rPr>
          <w:rFonts w:ascii="Arial" w:hAnsi="Arial" w:cs="Arial"/>
          <w:b/>
          <w:bCs/>
          <w:noProof/>
          <w:sz w:val="24"/>
          <w:szCs w:val="24"/>
          <w:lang w:eastAsia="en-ZA"/>
        </w:rPr>
        <w:drawing>
          <wp:inline distT="0" distB="0" distL="0" distR="0" wp14:anchorId="3E29A9B8" wp14:editId="5F60D787">
            <wp:extent cx="1073150" cy="1132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73150" cy="1132840"/>
                    </a:xfrm>
                    <a:prstGeom prst="rect">
                      <a:avLst/>
                    </a:prstGeom>
                    <a:noFill/>
                    <a:ln w="9525">
                      <a:noFill/>
                      <a:miter lim="800000"/>
                      <a:headEnd/>
                      <a:tailEnd/>
                    </a:ln>
                  </pic:spPr>
                </pic:pic>
              </a:graphicData>
            </a:graphic>
          </wp:inline>
        </w:drawing>
      </w:r>
    </w:p>
    <w:p w:rsidR="008C3367" w:rsidRPr="001C25CA" w:rsidRDefault="008C3367" w:rsidP="008C3367">
      <w:pPr>
        <w:spacing w:line="480" w:lineRule="auto"/>
        <w:ind w:left="1701"/>
        <w:jc w:val="right"/>
        <w:rPr>
          <w:rFonts w:ascii="Arial" w:hAnsi="Arial" w:cs="Arial"/>
          <w:b/>
          <w:sz w:val="24"/>
          <w:szCs w:val="24"/>
        </w:rPr>
      </w:pPr>
      <w:r w:rsidRPr="001C25CA">
        <w:rPr>
          <w:rFonts w:ascii="Arial" w:hAnsi="Arial" w:cs="Arial"/>
          <w:b/>
          <w:sz w:val="24"/>
          <w:szCs w:val="24"/>
        </w:rPr>
        <w:t>REPORTABLE</w:t>
      </w:r>
    </w:p>
    <w:p w:rsidR="008C3367" w:rsidRPr="001C25CA" w:rsidRDefault="008C3367" w:rsidP="007C732D">
      <w:pPr>
        <w:spacing w:after="0" w:line="240" w:lineRule="auto"/>
        <w:jc w:val="right"/>
        <w:rPr>
          <w:rFonts w:ascii="Arial" w:hAnsi="Arial" w:cs="Arial"/>
          <w:sz w:val="24"/>
          <w:szCs w:val="24"/>
        </w:rPr>
      </w:pPr>
      <w:r w:rsidRPr="001C25CA">
        <w:rPr>
          <w:rFonts w:ascii="Arial" w:hAnsi="Arial" w:cs="Arial"/>
          <w:sz w:val="24"/>
          <w:szCs w:val="24"/>
        </w:rPr>
        <w:t xml:space="preserve">CASE NO: SA </w:t>
      </w:r>
      <w:r w:rsidR="00D76EC6">
        <w:rPr>
          <w:rFonts w:ascii="Arial" w:hAnsi="Arial" w:cs="Arial"/>
          <w:sz w:val="24"/>
          <w:szCs w:val="24"/>
        </w:rPr>
        <w:t>77</w:t>
      </w:r>
      <w:r w:rsidRPr="001C25CA">
        <w:rPr>
          <w:rFonts w:ascii="Arial" w:hAnsi="Arial" w:cs="Arial"/>
          <w:sz w:val="24"/>
          <w:szCs w:val="24"/>
        </w:rPr>
        <w:t>/201</w:t>
      </w:r>
      <w:r w:rsidR="00D76EC6">
        <w:rPr>
          <w:rFonts w:ascii="Arial" w:hAnsi="Arial" w:cs="Arial"/>
          <w:sz w:val="24"/>
          <w:szCs w:val="24"/>
        </w:rPr>
        <w:t>7</w:t>
      </w:r>
    </w:p>
    <w:p w:rsidR="008C3367" w:rsidRPr="001C25CA" w:rsidRDefault="008C3367" w:rsidP="008C3367">
      <w:pPr>
        <w:spacing w:line="240" w:lineRule="auto"/>
        <w:ind w:left="-142"/>
        <w:jc w:val="both"/>
        <w:rPr>
          <w:rFonts w:ascii="Arial" w:hAnsi="Arial" w:cs="Arial"/>
          <w:b/>
          <w:sz w:val="24"/>
          <w:szCs w:val="24"/>
        </w:rPr>
      </w:pPr>
    </w:p>
    <w:p w:rsidR="008C3367" w:rsidRPr="001C25CA" w:rsidRDefault="008C3367" w:rsidP="00B40CD3">
      <w:pPr>
        <w:spacing w:line="240" w:lineRule="auto"/>
        <w:jc w:val="both"/>
        <w:rPr>
          <w:rFonts w:ascii="Arial" w:hAnsi="Arial" w:cs="Arial"/>
          <w:b/>
          <w:sz w:val="24"/>
          <w:szCs w:val="24"/>
        </w:rPr>
      </w:pPr>
      <w:r w:rsidRPr="001C25CA">
        <w:rPr>
          <w:rFonts w:ascii="Arial" w:hAnsi="Arial" w:cs="Arial"/>
          <w:b/>
          <w:sz w:val="24"/>
          <w:szCs w:val="24"/>
        </w:rPr>
        <w:t>IN THE SUPREME COURT OF NAMIBIA</w:t>
      </w:r>
    </w:p>
    <w:p w:rsidR="008C3367" w:rsidRPr="001C25CA" w:rsidRDefault="008C3367" w:rsidP="00B40CD3">
      <w:pPr>
        <w:spacing w:line="240" w:lineRule="auto"/>
        <w:jc w:val="both"/>
        <w:rPr>
          <w:rFonts w:ascii="Arial" w:hAnsi="Arial" w:cs="Arial"/>
          <w:sz w:val="24"/>
          <w:szCs w:val="24"/>
        </w:rPr>
      </w:pPr>
    </w:p>
    <w:p w:rsidR="008C3367" w:rsidRPr="001C25CA" w:rsidRDefault="008C3367" w:rsidP="00B40CD3">
      <w:pPr>
        <w:spacing w:line="240" w:lineRule="auto"/>
        <w:jc w:val="both"/>
        <w:rPr>
          <w:rFonts w:ascii="Arial" w:hAnsi="Arial" w:cs="Arial"/>
          <w:sz w:val="24"/>
          <w:szCs w:val="24"/>
        </w:rPr>
      </w:pPr>
      <w:r w:rsidRPr="001C25CA">
        <w:rPr>
          <w:rFonts w:ascii="Arial" w:hAnsi="Arial" w:cs="Arial"/>
          <w:sz w:val="24"/>
          <w:szCs w:val="24"/>
        </w:rPr>
        <w:t>In the matter between:</w:t>
      </w:r>
    </w:p>
    <w:tbl>
      <w:tblPr>
        <w:tblW w:w="9215" w:type="dxa"/>
        <w:tblInd w:w="-142" w:type="dxa"/>
        <w:tblLook w:val="04A0" w:firstRow="1" w:lastRow="0" w:firstColumn="1" w:lastColumn="0" w:noHBand="0" w:noVBand="1"/>
      </w:tblPr>
      <w:tblGrid>
        <w:gridCol w:w="6204"/>
        <w:gridCol w:w="3011"/>
      </w:tblGrid>
      <w:tr w:rsidR="008C3367" w:rsidRPr="001C25CA" w:rsidTr="00B40CD3">
        <w:tc>
          <w:tcPr>
            <w:tcW w:w="6204" w:type="dxa"/>
            <w:shd w:val="clear" w:color="auto" w:fill="auto"/>
          </w:tcPr>
          <w:p w:rsidR="00D76EC6" w:rsidRDefault="00D76EC6" w:rsidP="00B40CD3">
            <w:pPr>
              <w:spacing w:line="240" w:lineRule="auto"/>
              <w:jc w:val="both"/>
              <w:rPr>
                <w:rFonts w:ascii="Arial" w:hAnsi="Arial" w:cs="Arial"/>
                <w:b/>
                <w:sz w:val="24"/>
                <w:szCs w:val="24"/>
              </w:rPr>
            </w:pPr>
          </w:p>
          <w:p w:rsidR="002212AD" w:rsidRPr="001C25CA" w:rsidRDefault="00D76EC6" w:rsidP="00B40CD3">
            <w:pPr>
              <w:spacing w:line="240" w:lineRule="auto"/>
              <w:jc w:val="both"/>
              <w:rPr>
                <w:rFonts w:ascii="Arial" w:hAnsi="Arial" w:cs="Arial"/>
                <w:b/>
                <w:sz w:val="24"/>
                <w:szCs w:val="24"/>
              </w:rPr>
            </w:pPr>
            <w:r>
              <w:rPr>
                <w:rFonts w:ascii="Arial" w:hAnsi="Arial" w:cs="Arial"/>
                <w:b/>
                <w:sz w:val="24"/>
                <w:szCs w:val="24"/>
              </w:rPr>
              <w:t>METROPOLITAN BANK OF ZIMBABWE LTD</w:t>
            </w:r>
          </w:p>
        </w:tc>
        <w:tc>
          <w:tcPr>
            <w:tcW w:w="3011" w:type="dxa"/>
            <w:shd w:val="clear" w:color="auto" w:fill="auto"/>
          </w:tcPr>
          <w:p w:rsidR="002212AD" w:rsidRPr="001C25CA" w:rsidRDefault="002212AD" w:rsidP="00B40CD3">
            <w:pPr>
              <w:spacing w:line="240" w:lineRule="auto"/>
              <w:jc w:val="right"/>
              <w:rPr>
                <w:rFonts w:ascii="Arial" w:hAnsi="Arial" w:cs="Arial"/>
                <w:b/>
                <w:sz w:val="24"/>
                <w:szCs w:val="24"/>
              </w:rPr>
            </w:pPr>
          </w:p>
          <w:p w:rsidR="008C3367" w:rsidRPr="001C25CA" w:rsidRDefault="00513468" w:rsidP="00B40CD3">
            <w:pPr>
              <w:spacing w:line="240" w:lineRule="auto"/>
              <w:jc w:val="right"/>
              <w:rPr>
                <w:rFonts w:ascii="Arial" w:hAnsi="Arial" w:cs="Arial"/>
                <w:b/>
                <w:sz w:val="24"/>
                <w:szCs w:val="24"/>
              </w:rPr>
            </w:pPr>
            <w:r>
              <w:rPr>
                <w:rFonts w:ascii="Arial" w:hAnsi="Arial" w:cs="Arial"/>
                <w:b/>
                <w:sz w:val="24"/>
                <w:szCs w:val="24"/>
              </w:rPr>
              <w:t xml:space="preserve">First </w:t>
            </w:r>
            <w:r w:rsidR="008C3367" w:rsidRPr="001C25CA">
              <w:rPr>
                <w:rFonts w:ascii="Arial" w:hAnsi="Arial" w:cs="Arial"/>
                <w:b/>
                <w:sz w:val="24"/>
                <w:szCs w:val="24"/>
              </w:rPr>
              <w:t>Appellant</w:t>
            </w:r>
          </w:p>
        </w:tc>
      </w:tr>
      <w:tr w:rsidR="00513468" w:rsidRPr="001C25CA" w:rsidTr="00B40CD3">
        <w:tc>
          <w:tcPr>
            <w:tcW w:w="6204" w:type="dxa"/>
            <w:shd w:val="clear" w:color="auto" w:fill="auto"/>
          </w:tcPr>
          <w:p w:rsidR="00513468" w:rsidRDefault="00513468" w:rsidP="00B40CD3">
            <w:pPr>
              <w:spacing w:line="240" w:lineRule="auto"/>
              <w:jc w:val="both"/>
              <w:rPr>
                <w:rFonts w:ascii="Arial" w:hAnsi="Arial" w:cs="Arial"/>
                <w:b/>
                <w:sz w:val="24"/>
                <w:szCs w:val="24"/>
              </w:rPr>
            </w:pPr>
            <w:r>
              <w:rPr>
                <w:rFonts w:ascii="Arial" w:hAnsi="Arial" w:cs="Arial"/>
                <w:b/>
                <w:sz w:val="24"/>
                <w:szCs w:val="24"/>
              </w:rPr>
              <w:t>WORLD EAGLE PROPERTIES (PTY) LTD</w:t>
            </w:r>
          </w:p>
        </w:tc>
        <w:tc>
          <w:tcPr>
            <w:tcW w:w="3011" w:type="dxa"/>
            <w:shd w:val="clear" w:color="auto" w:fill="auto"/>
          </w:tcPr>
          <w:p w:rsidR="00513468" w:rsidRPr="001C25CA" w:rsidRDefault="00513468" w:rsidP="00B40CD3">
            <w:pPr>
              <w:spacing w:line="240" w:lineRule="auto"/>
              <w:jc w:val="right"/>
              <w:rPr>
                <w:rFonts w:ascii="Arial" w:hAnsi="Arial" w:cs="Arial"/>
                <w:b/>
                <w:sz w:val="24"/>
                <w:szCs w:val="24"/>
              </w:rPr>
            </w:pPr>
            <w:r>
              <w:rPr>
                <w:rFonts w:ascii="Arial" w:hAnsi="Arial" w:cs="Arial"/>
                <w:b/>
                <w:sz w:val="24"/>
                <w:szCs w:val="24"/>
              </w:rPr>
              <w:t>Second Appellant</w:t>
            </w:r>
          </w:p>
        </w:tc>
      </w:tr>
      <w:tr w:rsidR="008C3367" w:rsidRPr="001C25CA" w:rsidTr="00B40CD3">
        <w:tc>
          <w:tcPr>
            <w:tcW w:w="6204" w:type="dxa"/>
            <w:shd w:val="clear" w:color="auto" w:fill="auto"/>
          </w:tcPr>
          <w:p w:rsidR="008C3367" w:rsidRPr="001C25CA" w:rsidRDefault="008C3367" w:rsidP="00B40CD3">
            <w:pPr>
              <w:spacing w:line="240" w:lineRule="auto"/>
              <w:jc w:val="both"/>
              <w:rPr>
                <w:rFonts w:ascii="Arial" w:hAnsi="Arial" w:cs="Arial"/>
                <w:b/>
                <w:sz w:val="24"/>
                <w:szCs w:val="24"/>
              </w:rPr>
            </w:pPr>
          </w:p>
        </w:tc>
        <w:tc>
          <w:tcPr>
            <w:tcW w:w="3011" w:type="dxa"/>
            <w:shd w:val="clear" w:color="auto" w:fill="auto"/>
          </w:tcPr>
          <w:p w:rsidR="008C3367" w:rsidRPr="001C25CA" w:rsidRDefault="008C3367" w:rsidP="00B40CD3">
            <w:pPr>
              <w:spacing w:line="240" w:lineRule="auto"/>
              <w:jc w:val="right"/>
              <w:rPr>
                <w:rFonts w:ascii="Arial" w:hAnsi="Arial" w:cs="Arial"/>
                <w:b/>
                <w:sz w:val="24"/>
                <w:szCs w:val="24"/>
              </w:rPr>
            </w:pPr>
          </w:p>
        </w:tc>
      </w:tr>
      <w:tr w:rsidR="008C3367" w:rsidRPr="001C25CA" w:rsidTr="00B40CD3">
        <w:tc>
          <w:tcPr>
            <w:tcW w:w="6204" w:type="dxa"/>
            <w:shd w:val="clear" w:color="auto" w:fill="auto"/>
          </w:tcPr>
          <w:p w:rsidR="008C3367" w:rsidRPr="001C25CA" w:rsidRDefault="007C732D" w:rsidP="00B40CD3">
            <w:pPr>
              <w:spacing w:line="240" w:lineRule="auto"/>
              <w:jc w:val="both"/>
              <w:rPr>
                <w:rFonts w:ascii="Arial" w:hAnsi="Arial" w:cs="Arial"/>
                <w:sz w:val="24"/>
                <w:szCs w:val="24"/>
              </w:rPr>
            </w:pPr>
            <w:r w:rsidRPr="001C25CA">
              <w:rPr>
                <w:rFonts w:ascii="Arial" w:hAnsi="Arial" w:cs="Arial"/>
                <w:sz w:val="24"/>
                <w:szCs w:val="24"/>
              </w:rPr>
              <w:t>a</w:t>
            </w:r>
            <w:r w:rsidR="008C3367" w:rsidRPr="001C25CA">
              <w:rPr>
                <w:rFonts w:ascii="Arial" w:hAnsi="Arial" w:cs="Arial"/>
                <w:sz w:val="24"/>
                <w:szCs w:val="24"/>
              </w:rPr>
              <w:t>nd</w:t>
            </w:r>
          </w:p>
        </w:tc>
        <w:tc>
          <w:tcPr>
            <w:tcW w:w="3011" w:type="dxa"/>
            <w:shd w:val="clear" w:color="auto" w:fill="auto"/>
          </w:tcPr>
          <w:p w:rsidR="008C3367" w:rsidRPr="001C25CA" w:rsidRDefault="008C3367" w:rsidP="00B40CD3">
            <w:pPr>
              <w:spacing w:line="240" w:lineRule="auto"/>
              <w:jc w:val="both"/>
              <w:rPr>
                <w:rFonts w:ascii="Arial" w:hAnsi="Arial" w:cs="Arial"/>
                <w:b/>
                <w:sz w:val="24"/>
                <w:szCs w:val="24"/>
              </w:rPr>
            </w:pPr>
          </w:p>
        </w:tc>
      </w:tr>
      <w:tr w:rsidR="008C3367" w:rsidRPr="001C25CA" w:rsidTr="00B40CD3">
        <w:tc>
          <w:tcPr>
            <w:tcW w:w="6204" w:type="dxa"/>
            <w:shd w:val="clear" w:color="auto" w:fill="auto"/>
          </w:tcPr>
          <w:p w:rsidR="008C3367" w:rsidRPr="001C25CA" w:rsidRDefault="008C3367" w:rsidP="00B40CD3">
            <w:pPr>
              <w:spacing w:line="240" w:lineRule="auto"/>
              <w:jc w:val="both"/>
              <w:rPr>
                <w:rFonts w:ascii="Arial" w:hAnsi="Arial" w:cs="Arial"/>
                <w:b/>
                <w:sz w:val="24"/>
                <w:szCs w:val="24"/>
              </w:rPr>
            </w:pPr>
          </w:p>
        </w:tc>
        <w:tc>
          <w:tcPr>
            <w:tcW w:w="3011" w:type="dxa"/>
            <w:shd w:val="clear" w:color="auto" w:fill="auto"/>
          </w:tcPr>
          <w:p w:rsidR="008C3367" w:rsidRPr="001C25CA" w:rsidRDefault="008C3367" w:rsidP="00B40CD3">
            <w:pPr>
              <w:spacing w:line="240" w:lineRule="auto"/>
              <w:jc w:val="both"/>
              <w:rPr>
                <w:rFonts w:ascii="Arial" w:hAnsi="Arial" w:cs="Arial"/>
                <w:b/>
                <w:sz w:val="24"/>
                <w:szCs w:val="24"/>
              </w:rPr>
            </w:pPr>
          </w:p>
        </w:tc>
      </w:tr>
      <w:tr w:rsidR="008C3367" w:rsidRPr="001C25CA" w:rsidTr="00B40CD3">
        <w:tc>
          <w:tcPr>
            <w:tcW w:w="6204" w:type="dxa"/>
            <w:shd w:val="clear" w:color="auto" w:fill="auto"/>
          </w:tcPr>
          <w:p w:rsidR="008C3367" w:rsidRPr="001C25CA" w:rsidRDefault="00513468" w:rsidP="00B40CD3">
            <w:pPr>
              <w:spacing w:line="240" w:lineRule="auto"/>
              <w:jc w:val="both"/>
              <w:rPr>
                <w:rFonts w:ascii="Arial" w:hAnsi="Arial" w:cs="Arial"/>
                <w:b/>
                <w:sz w:val="24"/>
                <w:szCs w:val="24"/>
              </w:rPr>
            </w:pPr>
            <w:r>
              <w:rPr>
                <w:rFonts w:ascii="Arial" w:hAnsi="Arial" w:cs="Arial"/>
                <w:b/>
                <w:sz w:val="24"/>
                <w:szCs w:val="24"/>
              </w:rPr>
              <w:t>BANK OF NAMIBIA</w:t>
            </w:r>
          </w:p>
        </w:tc>
        <w:tc>
          <w:tcPr>
            <w:tcW w:w="3011" w:type="dxa"/>
            <w:shd w:val="clear" w:color="auto" w:fill="auto"/>
          </w:tcPr>
          <w:p w:rsidR="00584213" w:rsidRPr="001C25CA" w:rsidRDefault="00584213" w:rsidP="00B40CD3">
            <w:pPr>
              <w:spacing w:line="240" w:lineRule="auto"/>
              <w:jc w:val="right"/>
              <w:rPr>
                <w:rFonts w:ascii="Arial" w:hAnsi="Arial" w:cs="Arial"/>
                <w:b/>
                <w:sz w:val="24"/>
                <w:szCs w:val="24"/>
              </w:rPr>
            </w:pPr>
            <w:r w:rsidRPr="001C25CA">
              <w:rPr>
                <w:rFonts w:ascii="Arial" w:hAnsi="Arial" w:cs="Arial"/>
                <w:b/>
                <w:sz w:val="24"/>
                <w:szCs w:val="24"/>
              </w:rPr>
              <w:t>Respondent</w:t>
            </w:r>
          </w:p>
        </w:tc>
      </w:tr>
      <w:tr w:rsidR="00584213" w:rsidRPr="001C25CA" w:rsidTr="00B40CD3">
        <w:tc>
          <w:tcPr>
            <w:tcW w:w="6204" w:type="dxa"/>
            <w:shd w:val="clear" w:color="auto" w:fill="auto"/>
          </w:tcPr>
          <w:p w:rsidR="00584213" w:rsidRDefault="00584213" w:rsidP="00B40CD3">
            <w:pPr>
              <w:spacing w:line="240" w:lineRule="auto"/>
              <w:ind w:firstLine="142"/>
              <w:jc w:val="both"/>
              <w:rPr>
                <w:rFonts w:ascii="Arial" w:hAnsi="Arial" w:cs="Arial"/>
                <w:b/>
                <w:sz w:val="24"/>
                <w:szCs w:val="24"/>
              </w:rPr>
            </w:pPr>
          </w:p>
          <w:p w:rsidR="00FB1DB0" w:rsidRPr="001C25CA" w:rsidRDefault="00FB1DB0" w:rsidP="00B40CD3">
            <w:pPr>
              <w:spacing w:line="240" w:lineRule="auto"/>
              <w:ind w:firstLine="142"/>
              <w:jc w:val="both"/>
              <w:rPr>
                <w:rFonts w:ascii="Arial" w:hAnsi="Arial" w:cs="Arial"/>
                <w:b/>
                <w:sz w:val="24"/>
                <w:szCs w:val="24"/>
              </w:rPr>
            </w:pPr>
          </w:p>
        </w:tc>
        <w:tc>
          <w:tcPr>
            <w:tcW w:w="3011" w:type="dxa"/>
            <w:shd w:val="clear" w:color="auto" w:fill="auto"/>
          </w:tcPr>
          <w:p w:rsidR="00584213" w:rsidRPr="001C25CA" w:rsidRDefault="00584213" w:rsidP="00B40CD3">
            <w:pPr>
              <w:spacing w:line="240" w:lineRule="auto"/>
              <w:ind w:firstLine="142"/>
              <w:jc w:val="right"/>
              <w:rPr>
                <w:rFonts w:ascii="Arial" w:hAnsi="Arial" w:cs="Arial"/>
                <w:b/>
                <w:sz w:val="24"/>
                <w:szCs w:val="24"/>
              </w:rPr>
            </w:pPr>
          </w:p>
        </w:tc>
      </w:tr>
    </w:tbl>
    <w:p w:rsidR="008C3367" w:rsidRPr="001C25CA" w:rsidRDefault="008C3367" w:rsidP="00B40CD3">
      <w:pPr>
        <w:spacing w:line="240" w:lineRule="auto"/>
        <w:ind w:left="-142" w:firstLine="142"/>
        <w:jc w:val="both"/>
        <w:rPr>
          <w:rFonts w:ascii="Arial" w:hAnsi="Arial" w:cs="Arial"/>
          <w:sz w:val="24"/>
          <w:szCs w:val="24"/>
        </w:rPr>
      </w:pPr>
      <w:r w:rsidRPr="001C25CA">
        <w:rPr>
          <w:rFonts w:ascii="Arial" w:hAnsi="Arial" w:cs="Arial"/>
          <w:b/>
          <w:sz w:val="24"/>
          <w:szCs w:val="24"/>
        </w:rPr>
        <w:t>Coram:</w:t>
      </w:r>
      <w:r w:rsidRPr="001C25CA">
        <w:rPr>
          <w:rFonts w:ascii="Arial" w:hAnsi="Arial" w:cs="Arial"/>
          <w:sz w:val="24"/>
          <w:szCs w:val="24"/>
        </w:rPr>
        <w:tab/>
      </w:r>
      <w:r w:rsidRPr="001C25CA">
        <w:rPr>
          <w:rFonts w:ascii="Arial" w:hAnsi="Arial" w:cs="Arial"/>
          <w:sz w:val="24"/>
          <w:szCs w:val="24"/>
        </w:rPr>
        <w:tab/>
      </w:r>
      <w:r w:rsidR="002212AD" w:rsidRPr="001C25CA">
        <w:rPr>
          <w:rFonts w:ascii="Arial" w:hAnsi="Arial" w:cs="Arial"/>
          <w:sz w:val="24"/>
          <w:szCs w:val="24"/>
        </w:rPr>
        <w:t>MAINGA JA</w:t>
      </w:r>
      <w:r w:rsidRPr="001C25CA">
        <w:rPr>
          <w:rFonts w:ascii="Arial" w:hAnsi="Arial" w:cs="Arial"/>
          <w:sz w:val="24"/>
          <w:szCs w:val="24"/>
        </w:rPr>
        <w:t>, SMUTS JA</w:t>
      </w:r>
      <w:r w:rsidR="009C70E6" w:rsidRPr="001C25CA">
        <w:rPr>
          <w:rFonts w:ascii="Arial" w:hAnsi="Arial" w:cs="Arial"/>
          <w:sz w:val="24"/>
          <w:szCs w:val="24"/>
        </w:rPr>
        <w:t xml:space="preserve"> and </w:t>
      </w:r>
      <w:r w:rsidR="00513468">
        <w:rPr>
          <w:rFonts w:ascii="Arial" w:hAnsi="Arial" w:cs="Arial"/>
          <w:sz w:val="24"/>
          <w:szCs w:val="24"/>
        </w:rPr>
        <w:t>HOFF</w:t>
      </w:r>
      <w:r w:rsidR="009C70E6" w:rsidRPr="001C25CA">
        <w:rPr>
          <w:rFonts w:ascii="Arial" w:hAnsi="Arial" w:cs="Arial"/>
          <w:sz w:val="24"/>
          <w:szCs w:val="24"/>
        </w:rPr>
        <w:t xml:space="preserve"> JA</w:t>
      </w:r>
    </w:p>
    <w:p w:rsidR="008C3367" w:rsidRPr="001C25CA" w:rsidRDefault="008C3367" w:rsidP="00B40CD3">
      <w:pPr>
        <w:spacing w:line="240" w:lineRule="auto"/>
        <w:ind w:left="-142" w:firstLine="142"/>
        <w:jc w:val="both"/>
        <w:rPr>
          <w:rFonts w:ascii="Arial" w:hAnsi="Arial" w:cs="Arial"/>
          <w:b/>
          <w:sz w:val="24"/>
          <w:szCs w:val="24"/>
        </w:rPr>
      </w:pPr>
      <w:r w:rsidRPr="001C25CA">
        <w:rPr>
          <w:rFonts w:ascii="Arial" w:hAnsi="Arial" w:cs="Arial"/>
          <w:b/>
          <w:sz w:val="24"/>
          <w:szCs w:val="24"/>
        </w:rPr>
        <w:t>Heard:</w:t>
      </w:r>
      <w:r w:rsidRPr="001C25CA">
        <w:rPr>
          <w:rFonts w:ascii="Arial" w:hAnsi="Arial" w:cs="Arial"/>
          <w:b/>
          <w:sz w:val="24"/>
          <w:szCs w:val="24"/>
        </w:rPr>
        <w:tab/>
      </w:r>
      <w:r w:rsidRPr="001C25CA">
        <w:rPr>
          <w:rFonts w:ascii="Arial" w:hAnsi="Arial" w:cs="Arial"/>
          <w:b/>
          <w:sz w:val="24"/>
          <w:szCs w:val="24"/>
        </w:rPr>
        <w:tab/>
      </w:r>
      <w:r w:rsidR="00513468">
        <w:rPr>
          <w:rFonts w:ascii="Arial" w:hAnsi="Arial" w:cs="Arial"/>
          <w:b/>
          <w:sz w:val="24"/>
          <w:szCs w:val="24"/>
        </w:rPr>
        <w:t>9 October</w:t>
      </w:r>
      <w:r w:rsidR="009C70E6" w:rsidRPr="001C25CA">
        <w:rPr>
          <w:rFonts w:ascii="Arial" w:hAnsi="Arial" w:cs="Arial"/>
          <w:b/>
          <w:sz w:val="24"/>
          <w:szCs w:val="24"/>
        </w:rPr>
        <w:t xml:space="preserve"> 2018</w:t>
      </w:r>
    </w:p>
    <w:p w:rsidR="008C3367" w:rsidRPr="001C25CA" w:rsidRDefault="008C3367" w:rsidP="00B40CD3">
      <w:pPr>
        <w:spacing w:line="240" w:lineRule="auto"/>
        <w:jc w:val="both"/>
        <w:rPr>
          <w:rFonts w:ascii="Arial" w:hAnsi="Arial" w:cs="Arial"/>
          <w:b/>
          <w:sz w:val="24"/>
          <w:szCs w:val="24"/>
        </w:rPr>
      </w:pPr>
      <w:r w:rsidRPr="001C25CA">
        <w:rPr>
          <w:rFonts w:ascii="Arial" w:hAnsi="Arial" w:cs="Arial"/>
          <w:b/>
          <w:sz w:val="24"/>
          <w:szCs w:val="24"/>
        </w:rPr>
        <w:t>Delivered:</w:t>
      </w:r>
      <w:r w:rsidRPr="001C25CA">
        <w:rPr>
          <w:rFonts w:ascii="Arial" w:hAnsi="Arial" w:cs="Arial"/>
          <w:b/>
          <w:sz w:val="24"/>
          <w:szCs w:val="24"/>
        </w:rPr>
        <w:tab/>
      </w:r>
      <w:r w:rsidR="00B40CD3" w:rsidRPr="001C25CA">
        <w:rPr>
          <w:rFonts w:ascii="Arial" w:hAnsi="Arial" w:cs="Arial"/>
          <w:b/>
          <w:sz w:val="24"/>
          <w:szCs w:val="24"/>
        </w:rPr>
        <w:tab/>
      </w:r>
      <w:r w:rsidR="0032319A">
        <w:rPr>
          <w:rFonts w:ascii="Arial" w:hAnsi="Arial" w:cs="Arial"/>
          <w:b/>
          <w:sz w:val="24"/>
          <w:szCs w:val="24"/>
        </w:rPr>
        <w:t>23</w:t>
      </w:r>
      <w:r w:rsidR="00FB1DB0">
        <w:rPr>
          <w:rFonts w:ascii="Arial" w:hAnsi="Arial" w:cs="Arial"/>
          <w:b/>
          <w:sz w:val="24"/>
          <w:szCs w:val="24"/>
        </w:rPr>
        <w:t xml:space="preserve"> October</w:t>
      </w:r>
      <w:r w:rsidR="009C70E6" w:rsidRPr="001C25CA">
        <w:rPr>
          <w:rFonts w:ascii="Arial" w:hAnsi="Arial" w:cs="Arial"/>
          <w:b/>
          <w:sz w:val="24"/>
          <w:szCs w:val="24"/>
        </w:rPr>
        <w:t xml:space="preserve"> 2018</w:t>
      </w:r>
    </w:p>
    <w:p w:rsidR="00A26B21" w:rsidRDefault="00A26B21" w:rsidP="009D0845">
      <w:pPr>
        <w:spacing w:line="360" w:lineRule="auto"/>
        <w:ind w:left="-142"/>
        <w:jc w:val="both"/>
        <w:rPr>
          <w:rFonts w:ascii="Arial" w:hAnsi="Arial" w:cs="Arial"/>
          <w:b/>
          <w:sz w:val="24"/>
          <w:szCs w:val="24"/>
          <w:lang w:val="en-GB"/>
        </w:rPr>
      </w:pPr>
    </w:p>
    <w:p w:rsidR="009D0845" w:rsidRDefault="009D0845" w:rsidP="009D0845">
      <w:pPr>
        <w:spacing w:after="0" w:line="360" w:lineRule="auto"/>
        <w:jc w:val="both"/>
        <w:rPr>
          <w:rFonts w:ascii="Arial" w:hAnsi="Arial" w:cs="Arial"/>
          <w:b/>
          <w:sz w:val="24"/>
          <w:szCs w:val="24"/>
          <w:lang w:val="en-GB"/>
        </w:rPr>
      </w:pPr>
    </w:p>
    <w:p w:rsidR="00C92CA9" w:rsidRPr="00C92CA9" w:rsidRDefault="008C3367" w:rsidP="00C92CA9">
      <w:pPr>
        <w:spacing w:after="0" w:line="360" w:lineRule="auto"/>
        <w:jc w:val="both"/>
        <w:rPr>
          <w:rFonts w:ascii="Arial" w:hAnsi="Arial" w:cs="Arial"/>
          <w:b/>
          <w:sz w:val="24"/>
          <w:szCs w:val="24"/>
        </w:rPr>
      </w:pPr>
      <w:r w:rsidRPr="00C92CA9">
        <w:rPr>
          <w:rFonts w:ascii="Arial" w:hAnsi="Arial" w:cs="Arial"/>
          <w:b/>
          <w:sz w:val="24"/>
          <w:szCs w:val="24"/>
          <w:lang w:val="en-GB"/>
        </w:rPr>
        <w:t>Summary:</w:t>
      </w:r>
      <w:r w:rsidR="00721889" w:rsidRPr="00C92CA9">
        <w:rPr>
          <w:rFonts w:ascii="Arial" w:hAnsi="Arial" w:cs="Arial"/>
          <w:b/>
          <w:sz w:val="24"/>
          <w:szCs w:val="24"/>
          <w:lang w:val="en-GB"/>
        </w:rPr>
        <w:tab/>
      </w:r>
      <w:r w:rsidR="00C92CA9" w:rsidRPr="00C92CA9">
        <w:rPr>
          <w:rFonts w:ascii="Arial" w:hAnsi="Arial" w:cs="Arial"/>
          <w:sz w:val="24"/>
          <w:szCs w:val="24"/>
        </w:rPr>
        <w:t>This is an appeal against the granting</w:t>
      </w:r>
      <w:r w:rsidR="00C479DB">
        <w:rPr>
          <w:rFonts w:ascii="Arial" w:hAnsi="Arial" w:cs="Arial"/>
          <w:sz w:val="24"/>
          <w:szCs w:val="24"/>
        </w:rPr>
        <w:t xml:space="preserve"> of</w:t>
      </w:r>
      <w:r w:rsidR="00C92CA9" w:rsidRPr="00C92CA9">
        <w:rPr>
          <w:rFonts w:ascii="Arial" w:hAnsi="Arial" w:cs="Arial"/>
          <w:sz w:val="24"/>
          <w:szCs w:val="24"/>
        </w:rPr>
        <w:t xml:space="preserve"> a final winding-up order in relation to the Small and Medium Enterprise Bank Limited</w:t>
      </w:r>
      <w:r w:rsidR="00C479DB">
        <w:rPr>
          <w:rFonts w:ascii="Arial" w:hAnsi="Arial" w:cs="Arial"/>
          <w:sz w:val="24"/>
          <w:szCs w:val="24"/>
        </w:rPr>
        <w:t xml:space="preserve"> granted by the High Court</w:t>
      </w:r>
      <w:r w:rsidR="00C92CA9" w:rsidRPr="00C92CA9">
        <w:rPr>
          <w:rFonts w:ascii="Arial" w:hAnsi="Arial" w:cs="Arial"/>
          <w:sz w:val="24"/>
          <w:szCs w:val="24"/>
        </w:rPr>
        <w:t xml:space="preserve"> on 29 November 2017. Reasons were provided on 4 December 2017.</w:t>
      </w:r>
    </w:p>
    <w:p w:rsidR="00C92CA9" w:rsidRPr="00C92CA9" w:rsidRDefault="00C92CA9" w:rsidP="00C92CA9">
      <w:pPr>
        <w:spacing w:after="0" w:line="360" w:lineRule="auto"/>
        <w:jc w:val="both"/>
        <w:rPr>
          <w:rFonts w:ascii="Arial" w:hAnsi="Arial" w:cs="Arial"/>
          <w:sz w:val="24"/>
          <w:szCs w:val="24"/>
        </w:rPr>
      </w:pPr>
    </w:p>
    <w:p w:rsidR="00C92CA9" w:rsidRPr="00C92CA9" w:rsidRDefault="00C92CA9" w:rsidP="00C92CA9">
      <w:pPr>
        <w:spacing w:after="0" w:line="360" w:lineRule="auto"/>
        <w:jc w:val="both"/>
        <w:rPr>
          <w:rFonts w:ascii="Arial" w:hAnsi="Arial" w:cs="Arial"/>
          <w:sz w:val="24"/>
          <w:szCs w:val="24"/>
        </w:rPr>
      </w:pPr>
      <w:r w:rsidRPr="00C92CA9">
        <w:rPr>
          <w:rFonts w:ascii="Arial" w:hAnsi="Arial" w:cs="Arial"/>
          <w:sz w:val="24"/>
          <w:szCs w:val="24"/>
        </w:rPr>
        <w:t>The appellants are two minority shareholders and opposed the winding-up application</w:t>
      </w:r>
      <w:r w:rsidR="00C479DB">
        <w:rPr>
          <w:rFonts w:ascii="Arial" w:hAnsi="Arial" w:cs="Arial"/>
          <w:sz w:val="24"/>
          <w:szCs w:val="24"/>
        </w:rPr>
        <w:t xml:space="preserve"> brought by the Bank of Namibia (BoN)</w:t>
      </w:r>
      <w:r w:rsidRPr="00C92CA9">
        <w:rPr>
          <w:rFonts w:ascii="Arial" w:hAnsi="Arial" w:cs="Arial"/>
          <w:sz w:val="24"/>
          <w:szCs w:val="24"/>
        </w:rPr>
        <w:t xml:space="preserve"> on the basis of non-compliance </w:t>
      </w:r>
      <w:r w:rsidRPr="00C92CA9">
        <w:rPr>
          <w:rFonts w:ascii="Arial" w:hAnsi="Arial" w:cs="Arial"/>
          <w:sz w:val="24"/>
          <w:szCs w:val="24"/>
        </w:rPr>
        <w:lastRenderedPageBreak/>
        <w:t>with section 351 of the Companies Act 2004 (the Act) and provisions of the Banking Institutions Act 2 of 1998 (BIA).</w:t>
      </w:r>
    </w:p>
    <w:p w:rsidR="00C92CA9" w:rsidRPr="00C92CA9" w:rsidRDefault="00C92CA9" w:rsidP="00C92CA9">
      <w:pPr>
        <w:spacing w:after="0" w:line="360" w:lineRule="auto"/>
        <w:jc w:val="both"/>
        <w:rPr>
          <w:rFonts w:ascii="Arial" w:hAnsi="Arial" w:cs="Arial"/>
          <w:sz w:val="24"/>
          <w:szCs w:val="24"/>
        </w:rPr>
      </w:pPr>
    </w:p>
    <w:p w:rsidR="00C92CA9" w:rsidRPr="00C92CA9" w:rsidRDefault="00C92CA9" w:rsidP="00C92CA9">
      <w:pPr>
        <w:spacing w:after="0" w:line="360" w:lineRule="auto"/>
        <w:jc w:val="both"/>
        <w:rPr>
          <w:rFonts w:ascii="Arial" w:hAnsi="Arial" w:cs="Arial"/>
          <w:sz w:val="24"/>
          <w:szCs w:val="24"/>
        </w:rPr>
      </w:pPr>
      <w:r w:rsidRPr="00C92CA9">
        <w:rPr>
          <w:rFonts w:ascii="Arial" w:hAnsi="Arial" w:cs="Arial"/>
          <w:i/>
          <w:sz w:val="24"/>
          <w:szCs w:val="24"/>
        </w:rPr>
        <w:t>Condonation and reinstatement of appeal -</w:t>
      </w:r>
      <w:r w:rsidRPr="00C92CA9">
        <w:rPr>
          <w:rFonts w:ascii="Arial" w:hAnsi="Arial" w:cs="Arial"/>
          <w:sz w:val="24"/>
          <w:szCs w:val="24"/>
        </w:rPr>
        <w:t xml:space="preserve"> Appellants applied for condonation and the reinstatement of the lapsed appeal as required by rule 17(1) of the Supreme Court Rule for the late filing of their heads of argument. In opposition to this application, respondent claimed that the record was also lodged out of time. Appellants lodged the record on 2 March 2018, more than 3 months after the order was handed down on 29 November 2017 but within the required period if calculated from the date when the reasons were provided, namely 4 December 2017. Rule 8(2)(b) requires a record to be filed within three months of the date of judgment or order appealed against.</w:t>
      </w:r>
    </w:p>
    <w:p w:rsidR="00C92CA9" w:rsidRPr="00C92CA9" w:rsidRDefault="00C92CA9" w:rsidP="00C92CA9">
      <w:pPr>
        <w:spacing w:after="0" w:line="360" w:lineRule="auto"/>
        <w:jc w:val="both"/>
        <w:rPr>
          <w:rFonts w:ascii="Arial" w:hAnsi="Arial" w:cs="Arial"/>
          <w:sz w:val="24"/>
          <w:szCs w:val="24"/>
        </w:rPr>
      </w:pPr>
    </w:p>
    <w:p w:rsidR="00C92CA9" w:rsidRPr="00C92CA9" w:rsidRDefault="00C92CA9" w:rsidP="00C92CA9">
      <w:pPr>
        <w:spacing w:after="0" w:line="360" w:lineRule="auto"/>
        <w:jc w:val="both"/>
        <w:rPr>
          <w:rFonts w:ascii="Arial" w:hAnsi="Arial" w:cs="Arial"/>
          <w:sz w:val="24"/>
          <w:szCs w:val="24"/>
        </w:rPr>
      </w:pPr>
      <w:r w:rsidRPr="00C92CA9">
        <w:rPr>
          <w:rFonts w:ascii="Arial" w:hAnsi="Arial" w:cs="Arial"/>
          <w:sz w:val="24"/>
          <w:szCs w:val="24"/>
        </w:rPr>
        <w:t xml:space="preserve">In relation to the record, the court found that the matter of </w:t>
      </w:r>
      <w:r w:rsidRPr="00C92CA9">
        <w:rPr>
          <w:rFonts w:ascii="Arial" w:hAnsi="Arial" w:cs="Arial"/>
          <w:i/>
          <w:sz w:val="24"/>
          <w:szCs w:val="24"/>
        </w:rPr>
        <w:t>Wirtz v Orford</w:t>
      </w:r>
      <w:r w:rsidRPr="00C92CA9">
        <w:rPr>
          <w:rFonts w:ascii="Arial" w:hAnsi="Arial" w:cs="Arial"/>
          <w:sz w:val="24"/>
          <w:szCs w:val="24"/>
        </w:rPr>
        <w:t xml:space="preserve"> relied on by respondent in arguing the three month period ran from the date of the order is distinguishable and the rules of court have since been amended to require appellants to specify grounds of appeal in a notice of appeal (which was not the case at the time of the </w:t>
      </w:r>
      <w:r w:rsidRPr="00C92CA9">
        <w:rPr>
          <w:rFonts w:ascii="Arial" w:hAnsi="Arial" w:cs="Arial"/>
          <w:i/>
          <w:sz w:val="24"/>
          <w:szCs w:val="24"/>
        </w:rPr>
        <w:t>Wirtz</w:t>
      </w:r>
      <w:r w:rsidRPr="00C92CA9">
        <w:rPr>
          <w:rFonts w:ascii="Arial" w:hAnsi="Arial" w:cs="Arial"/>
          <w:sz w:val="24"/>
          <w:szCs w:val="24"/>
        </w:rPr>
        <w:t xml:space="preserve"> judgment). This court found that the judgment appealed against was provided on 4 December 2017 for purposes of rule 8(2)(b). There was thus no need for application for condonation and reinstatement for the filing of the record.</w:t>
      </w:r>
    </w:p>
    <w:p w:rsidR="00C92CA9" w:rsidRPr="00C92CA9" w:rsidRDefault="00C92CA9" w:rsidP="00C92CA9">
      <w:pPr>
        <w:spacing w:after="0" w:line="360" w:lineRule="auto"/>
        <w:jc w:val="both"/>
        <w:rPr>
          <w:rFonts w:ascii="Arial" w:hAnsi="Arial" w:cs="Arial"/>
          <w:sz w:val="24"/>
          <w:szCs w:val="24"/>
        </w:rPr>
      </w:pPr>
    </w:p>
    <w:p w:rsidR="00C92CA9" w:rsidRPr="00C92CA9" w:rsidRDefault="00C92CA9" w:rsidP="00C92CA9">
      <w:pPr>
        <w:spacing w:after="0" w:line="360" w:lineRule="auto"/>
        <w:jc w:val="both"/>
        <w:rPr>
          <w:rFonts w:ascii="Arial" w:hAnsi="Arial" w:cs="Arial"/>
          <w:sz w:val="24"/>
          <w:szCs w:val="24"/>
        </w:rPr>
      </w:pPr>
      <w:r w:rsidRPr="00C92CA9">
        <w:rPr>
          <w:rFonts w:ascii="Arial" w:hAnsi="Arial" w:cs="Arial"/>
          <w:sz w:val="24"/>
          <w:szCs w:val="24"/>
        </w:rPr>
        <w:t>Appellants argued that the late filing of their heads of argument was due to an erroneous belief by their legal practitioner that the date of hearing of their appeal was 9 November 2018 and not the actual date of 9 October 2018; hence their application for condonation for non-compliance with the rule and for reinstatement of the appeal in terms of rule 17(2).</w:t>
      </w:r>
    </w:p>
    <w:p w:rsidR="00C92CA9" w:rsidRPr="00C92CA9" w:rsidRDefault="00C92CA9" w:rsidP="00C92CA9">
      <w:pPr>
        <w:spacing w:after="0" w:line="360" w:lineRule="auto"/>
        <w:jc w:val="both"/>
        <w:rPr>
          <w:rFonts w:ascii="Arial" w:hAnsi="Arial" w:cs="Arial"/>
          <w:sz w:val="24"/>
          <w:szCs w:val="24"/>
        </w:rPr>
      </w:pPr>
    </w:p>
    <w:p w:rsidR="00C92CA9" w:rsidRPr="00C92CA9" w:rsidRDefault="00C92CA9" w:rsidP="00C92CA9">
      <w:pPr>
        <w:spacing w:after="0" w:line="360" w:lineRule="auto"/>
        <w:jc w:val="both"/>
        <w:rPr>
          <w:rFonts w:ascii="Arial" w:hAnsi="Arial" w:cs="Arial"/>
          <w:sz w:val="24"/>
          <w:szCs w:val="24"/>
        </w:rPr>
      </w:pPr>
      <w:r w:rsidRPr="00C92CA9">
        <w:rPr>
          <w:rFonts w:ascii="Arial" w:hAnsi="Arial" w:cs="Arial"/>
          <w:sz w:val="24"/>
          <w:szCs w:val="24"/>
        </w:rPr>
        <w:t xml:space="preserve">In applying </w:t>
      </w:r>
      <w:r w:rsidRPr="00C92CA9">
        <w:rPr>
          <w:rFonts w:ascii="Arial" w:hAnsi="Arial" w:cs="Arial"/>
          <w:i/>
          <w:sz w:val="24"/>
          <w:szCs w:val="24"/>
        </w:rPr>
        <w:t xml:space="preserve">Rally for Democracy and Progress v Electoral Commission of Namibia, </w:t>
      </w:r>
      <w:r w:rsidRPr="00C92CA9">
        <w:rPr>
          <w:rFonts w:ascii="Arial" w:hAnsi="Arial" w:cs="Arial"/>
          <w:sz w:val="24"/>
          <w:szCs w:val="24"/>
        </w:rPr>
        <w:t xml:space="preserve">the court found that this explanation is not unreasonable, but this explanation only satisfies one leg of the two pronged enquiry. The court held that appellants need to satisfy the court that there are reasonable prospects of success in the merits of the appeal for condonation and reinstatement to be granted. </w:t>
      </w:r>
    </w:p>
    <w:p w:rsidR="00C92CA9" w:rsidRPr="00C92CA9" w:rsidRDefault="00C92CA9" w:rsidP="00C92CA9">
      <w:pPr>
        <w:spacing w:after="0" w:line="360" w:lineRule="auto"/>
        <w:jc w:val="both"/>
        <w:rPr>
          <w:rFonts w:ascii="Arial" w:hAnsi="Arial" w:cs="Arial"/>
          <w:sz w:val="24"/>
          <w:szCs w:val="24"/>
        </w:rPr>
      </w:pPr>
    </w:p>
    <w:p w:rsidR="00C92CA9" w:rsidRPr="00C92CA9" w:rsidRDefault="00C92CA9" w:rsidP="00C92CA9">
      <w:pPr>
        <w:spacing w:after="0" w:line="360" w:lineRule="auto"/>
        <w:jc w:val="both"/>
        <w:rPr>
          <w:rFonts w:ascii="Arial" w:hAnsi="Arial" w:cs="Arial"/>
          <w:sz w:val="24"/>
          <w:szCs w:val="24"/>
        </w:rPr>
      </w:pPr>
      <w:r w:rsidRPr="00C92CA9">
        <w:rPr>
          <w:rFonts w:ascii="Arial" w:hAnsi="Arial" w:cs="Arial"/>
          <w:sz w:val="24"/>
          <w:szCs w:val="24"/>
        </w:rPr>
        <w:lastRenderedPageBreak/>
        <w:t>On the merits, appellants’ argument focussed on a constitutional argument and procedural points of non-compliance with statutory provisions.</w:t>
      </w:r>
    </w:p>
    <w:p w:rsidR="00C92CA9" w:rsidRPr="00C92CA9" w:rsidRDefault="00C92CA9" w:rsidP="00C92CA9">
      <w:pPr>
        <w:spacing w:after="0" w:line="360" w:lineRule="auto"/>
        <w:jc w:val="both"/>
        <w:rPr>
          <w:rFonts w:ascii="Arial" w:hAnsi="Arial" w:cs="Arial"/>
          <w:sz w:val="24"/>
          <w:szCs w:val="24"/>
        </w:rPr>
      </w:pPr>
    </w:p>
    <w:p w:rsidR="00C92CA9" w:rsidRPr="00C92CA9" w:rsidRDefault="00C92CA9" w:rsidP="00C92CA9">
      <w:pPr>
        <w:spacing w:after="0" w:line="360" w:lineRule="auto"/>
        <w:jc w:val="both"/>
        <w:rPr>
          <w:rFonts w:ascii="Arial" w:hAnsi="Arial" w:cs="Arial"/>
          <w:sz w:val="24"/>
          <w:szCs w:val="24"/>
        </w:rPr>
      </w:pPr>
      <w:r w:rsidRPr="00C92CA9">
        <w:rPr>
          <w:rFonts w:ascii="Arial" w:hAnsi="Arial" w:cs="Arial"/>
          <w:i/>
          <w:sz w:val="24"/>
          <w:szCs w:val="24"/>
        </w:rPr>
        <w:t>Constitutional argument -</w:t>
      </w:r>
      <w:r w:rsidRPr="00C92CA9">
        <w:rPr>
          <w:rFonts w:ascii="Arial" w:hAnsi="Arial" w:cs="Arial"/>
          <w:sz w:val="24"/>
          <w:szCs w:val="24"/>
        </w:rPr>
        <w:t xml:space="preserve"> in support of their argument, appellants cited articles 95(j) and 98 of the Constitution. Appellants contended that, by virtue of the SME Bank’s objective to serve small and medium enterprises which are under served by the existing commercial banking sector and to uplift previously marginalised and disadvantaged communities, it is of necessity for the statutory provisions in the winding-up process of the SME Bank to be interpreted in light of Arts 95(j) and 98 of the Constitution. Appellants further argued that, even though these principles of State policy are not legally enforceable by virtue of Art 101, they should inform the statutory interpretation of the provisions raised in the procedural attacks upon the exercise of BoN’s powers under the BIA and that a winding-up application should only have been a last resort and that BoN was obliged to exhaust less far reaching remedies before doing so in view of the principles of State policy which enjoined government to pursue policies which raise the standard of living and in pursuit of economic growth and prosperity, as striven for by SME Bank.</w:t>
      </w:r>
    </w:p>
    <w:p w:rsidR="00C92CA9" w:rsidRPr="00C92CA9" w:rsidRDefault="00C92CA9" w:rsidP="00C92CA9">
      <w:pPr>
        <w:spacing w:after="0" w:line="360" w:lineRule="auto"/>
        <w:jc w:val="both"/>
        <w:rPr>
          <w:rFonts w:ascii="Arial" w:hAnsi="Arial" w:cs="Arial"/>
          <w:sz w:val="24"/>
          <w:szCs w:val="24"/>
        </w:rPr>
      </w:pPr>
    </w:p>
    <w:p w:rsidR="00C92CA9" w:rsidRPr="00C92CA9" w:rsidRDefault="00C92CA9" w:rsidP="00C92CA9">
      <w:pPr>
        <w:spacing w:after="0" w:line="360" w:lineRule="auto"/>
        <w:jc w:val="both"/>
        <w:rPr>
          <w:rFonts w:ascii="Arial" w:hAnsi="Arial" w:cs="Arial"/>
          <w:sz w:val="24"/>
          <w:szCs w:val="24"/>
        </w:rPr>
      </w:pPr>
      <w:r w:rsidRPr="00C92CA9">
        <w:rPr>
          <w:rFonts w:ascii="Arial" w:hAnsi="Arial" w:cs="Arial"/>
          <w:i/>
          <w:sz w:val="24"/>
          <w:szCs w:val="24"/>
        </w:rPr>
        <w:t>Held</w:t>
      </w:r>
      <w:r w:rsidRPr="00C92CA9">
        <w:rPr>
          <w:rFonts w:ascii="Arial" w:hAnsi="Arial" w:cs="Arial"/>
          <w:sz w:val="24"/>
          <w:szCs w:val="24"/>
        </w:rPr>
        <w:t>; the Constitution and the values enshrined in it form the starting point in interpreting statutory provisions. An interpretation of a provision consistent with advancing and giving effect to the values enshrined in the Constitution is to be preferred where a statute is reasonably capable of such interpretation.</w:t>
      </w:r>
    </w:p>
    <w:p w:rsidR="00C92CA9" w:rsidRPr="00C92CA9" w:rsidRDefault="00C92CA9" w:rsidP="00C92CA9">
      <w:pPr>
        <w:spacing w:after="0" w:line="360" w:lineRule="auto"/>
        <w:jc w:val="both"/>
        <w:rPr>
          <w:rFonts w:ascii="Arial" w:hAnsi="Arial" w:cs="Arial"/>
          <w:sz w:val="24"/>
          <w:szCs w:val="24"/>
        </w:rPr>
      </w:pPr>
    </w:p>
    <w:p w:rsidR="00C92CA9" w:rsidRPr="00C92CA9" w:rsidRDefault="00C92CA9" w:rsidP="00C92CA9">
      <w:pPr>
        <w:spacing w:after="0" w:line="360" w:lineRule="auto"/>
        <w:jc w:val="both"/>
        <w:rPr>
          <w:rFonts w:ascii="Arial" w:hAnsi="Arial" w:cs="Arial"/>
          <w:sz w:val="24"/>
          <w:szCs w:val="24"/>
        </w:rPr>
      </w:pPr>
      <w:r w:rsidRPr="00C92CA9">
        <w:rPr>
          <w:rFonts w:ascii="Arial" w:hAnsi="Arial" w:cs="Arial"/>
          <w:i/>
          <w:sz w:val="24"/>
          <w:szCs w:val="24"/>
        </w:rPr>
        <w:t>Held that</w:t>
      </w:r>
      <w:r w:rsidRPr="00C92CA9">
        <w:rPr>
          <w:rFonts w:ascii="Arial" w:hAnsi="Arial" w:cs="Arial"/>
          <w:sz w:val="24"/>
          <w:szCs w:val="24"/>
        </w:rPr>
        <w:t xml:space="preserve">; although </w:t>
      </w:r>
      <w:r w:rsidR="00C479DB">
        <w:rPr>
          <w:rFonts w:ascii="Arial" w:hAnsi="Arial" w:cs="Arial"/>
          <w:sz w:val="24"/>
          <w:szCs w:val="24"/>
        </w:rPr>
        <w:t>Art</w:t>
      </w:r>
      <w:r w:rsidRPr="00C92CA9">
        <w:rPr>
          <w:rFonts w:ascii="Arial" w:hAnsi="Arial" w:cs="Arial"/>
          <w:sz w:val="24"/>
          <w:szCs w:val="24"/>
        </w:rPr>
        <w:t xml:space="preserve"> 101 provides that</w:t>
      </w:r>
      <w:r w:rsidR="00C479DB">
        <w:rPr>
          <w:rFonts w:ascii="Arial" w:hAnsi="Arial" w:cs="Arial"/>
          <w:sz w:val="24"/>
          <w:szCs w:val="24"/>
        </w:rPr>
        <w:t>,</w:t>
      </w:r>
      <w:r w:rsidRPr="00C92CA9">
        <w:rPr>
          <w:rFonts w:ascii="Arial" w:hAnsi="Arial" w:cs="Arial"/>
          <w:sz w:val="24"/>
          <w:szCs w:val="24"/>
        </w:rPr>
        <w:t xml:space="preserve"> regard is to be had to the principles of state policy as cited by the appellants in the interpretation of laws, the provisions contained in BIA and the Act are not based upon the principles expressed in Arts 95(j) or 98. Those provisions accordingly do not apply.</w:t>
      </w:r>
    </w:p>
    <w:p w:rsidR="00C92CA9" w:rsidRPr="00C92CA9" w:rsidRDefault="00C92CA9" w:rsidP="00C92CA9">
      <w:pPr>
        <w:spacing w:after="0" w:line="360" w:lineRule="auto"/>
        <w:jc w:val="both"/>
        <w:rPr>
          <w:rFonts w:ascii="Arial" w:hAnsi="Arial" w:cs="Arial"/>
          <w:sz w:val="24"/>
          <w:szCs w:val="24"/>
        </w:rPr>
      </w:pPr>
    </w:p>
    <w:p w:rsidR="00C92CA9" w:rsidRPr="00C92CA9" w:rsidRDefault="00C92CA9" w:rsidP="00C92CA9">
      <w:pPr>
        <w:spacing w:after="0" w:line="360" w:lineRule="auto"/>
        <w:jc w:val="both"/>
        <w:rPr>
          <w:rFonts w:ascii="Arial" w:hAnsi="Arial" w:cs="Arial"/>
          <w:sz w:val="24"/>
          <w:szCs w:val="24"/>
        </w:rPr>
      </w:pPr>
      <w:r w:rsidRPr="00C92CA9">
        <w:rPr>
          <w:rFonts w:ascii="Arial" w:hAnsi="Arial" w:cs="Arial"/>
          <w:i/>
          <w:sz w:val="24"/>
          <w:szCs w:val="24"/>
        </w:rPr>
        <w:t>It is held that</w:t>
      </w:r>
      <w:r w:rsidRPr="00C92CA9">
        <w:rPr>
          <w:rFonts w:ascii="Arial" w:hAnsi="Arial" w:cs="Arial"/>
          <w:sz w:val="24"/>
          <w:szCs w:val="24"/>
        </w:rPr>
        <w:t>; the BIA vests extensive supervisory and regulatory powers in BoN, including a wide range of powers directed at remedial action as well as the power to apply for the winding-up of any banking institution; and the Act provides for the incorporation, management and liquidation of companies.</w:t>
      </w:r>
    </w:p>
    <w:p w:rsidR="00C92CA9" w:rsidRPr="00C92CA9" w:rsidRDefault="00C92CA9" w:rsidP="00C92CA9">
      <w:pPr>
        <w:spacing w:after="0" w:line="360" w:lineRule="auto"/>
        <w:jc w:val="both"/>
        <w:rPr>
          <w:rFonts w:ascii="Arial" w:hAnsi="Arial" w:cs="Arial"/>
          <w:sz w:val="24"/>
          <w:szCs w:val="24"/>
        </w:rPr>
      </w:pPr>
    </w:p>
    <w:p w:rsidR="00C92CA9" w:rsidRPr="00C92CA9" w:rsidRDefault="00C92CA9" w:rsidP="00C92CA9">
      <w:pPr>
        <w:spacing w:after="0" w:line="360" w:lineRule="auto"/>
        <w:jc w:val="both"/>
        <w:rPr>
          <w:rFonts w:ascii="Arial" w:hAnsi="Arial" w:cs="Arial"/>
          <w:sz w:val="24"/>
          <w:szCs w:val="24"/>
        </w:rPr>
      </w:pPr>
      <w:r w:rsidRPr="00C92CA9">
        <w:rPr>
          <w:rFonts w:ascii="Arial" w:hAnsi="Arial" w:cs="Arial"/>
          <w:i/>
          <w:sz w:val="24"/>
          <w:szCs w:val="24"/>
        </w:rPr>
        <w:lastRenderedPageBreak/>
        <w:t>It is further held that</w:t>
      </w:r>
      <w:r w:rsidRPr="00C92CA9">
        <w:rPr>
          <w:rFonts w:ascii="Arial" w:hAnsi="Arial" w:cs="Arial"/>
          <w:sz w:val="24"/>
          <w:szCs w:val="24"/>
        </w:rPr>
        <w:t>; BoN has a statutory duty to perform its supervisory functions and exercise its wide ranging powers in respect of banks in order to fulfil its important objective of maintaining a sound monetary, credit and financial system in Namibia and sustain the liquidity, solvency and functioning of that system. It does so in order to further another of its statutory objectives, namely the maintenance of monetary stability. A foundational principle of the Constitution embodied in Art 1(1) is that the Namibian State is founded upon the rule of law. This requires that BoN performs the statutory duties vested in it.</w:t>
      </w:r>
    </w:p>
    <w:p w:rsidR="00C92CA9" w:rsidRPr="00C92CA9" w:rsidRDefault="00C92CA9" w:rsidP="00C92CA9">
      <w:pPr>
        <w:spacing w:after="0" w:line="360" w:lineRule="auto"/>
        <w:jc w:val="both"/>
        <w:rPr>
          <w:rFonts w:ascii="Arial" w:hAnsi="Arial" w:cs="Arial"/>
          <w:sz w:val="24"/>
          <w:szCs w:val="24"/>
        </w:rPr>
      </w:pPr>
    </w:p>
    <w:p w:rsidR="00C92CA9" w:rsidRPr="00C92CA9" w:rsidRDefault="00C92CA9" w:rsidP="00C92CA9">
      <w:pPr>
        <w:spacing w:after="0" w:line="360" w:lineRule="auto"/>
        <w:jc w:val="both"/>
        <w:rPr>
          <w:rFonts w:ascii="Arial" w:hAnsi="Arial" w:cs="Arial"/>
          <w:sz w:val="24"/>
          <w:szCs w:val="24"/>
        </w:rPr>
      </w:pPr>
      <w:r w:rsidRPr="00C92CA9">
        <w:rPr>
          <w:rFonts w:ascii="Arial" w:hAnsi="Arial" w:cs="Arial"/>
          <w:i/>
          <w:sz w:val="24"/>
          <w:szCs w:val="24"/>
        </w:rPr>
        <w:t>Abuse of proceedings</w:t>
      </w:r>
      <w:r w:rsidRPr="00C92CA9">
        <w:rPr>
          <w:rFonts w:ascii="Arial" w:hAnsi="Arial" w:cs="Arial"/>
          <w:sz w:val="24"/>
          <w:szCs w:val="24"/>
        </w:rPr>
        <w:t xml:space="preserve"> </w:t>
      </w:r>
      <w:r w:rsidRPr="00C92CA9">
        <w:rPr>
          <w:rFonts w:ascii="Arial" w:hAnsi="Arial" w:cs="Arial"/>
          <w:i/>
          <w:sz w:val="24"/>
          <w:szCs w:val="24"/>
        </w:rPr>
        <w:t>–</w:t>
      </w:r>
      <w:r w:rsidRPr="00C92CA9">
        <w:rPr>
          <w:rFonts w:ascii="Arial" w:hAnsi="Arial" w:cs="Arial"/>
          <w:sz w:val="24"/>
          <w:szCs w:val="24"/>
        </w:rPr>
        <w:t xml:space="preserve"> appellants maintained that the winding-up of the SME Bank should have been the measure of last resort after other remedial measures open to Bon had been exhausted and there was short service.</w:t>
      </w:r>
    </w:p>
    <w:p w:rsidR="00C92CA9" w:rsidRPr="00C92CA9" w:rsidRDefault="00C92CA9" w:rsidP="00C92CA9">
      <w:pPr>
        <w:spacing w:after="0" w:line="360" w:lineRule="auto"/>
        <w:jc w:val="both"/>
        <w:rPr>
          <w:rFonts w:ascii="Arial" w:hAnsi="Arial" w:cs="Arial"/>
          <w:sz w:val="24"/>
          <w:szCs w:val="24"/>
        </w:rPr>
      </w:pPr>
    </w:p>
    <w:p w:rsidR="00C92CA9" w:rsidRPr="00C92CA9" w:rsidRDefault="00C92CA9" w:rsidP="00C92CA9">
      <w:pPr>
        <w:spacing w:after="0" w:line="360" w:lineRule="auto"/>
        <w:jc w:val="both"/>
        <w:rPr>
          <w:rFonts w:ascii="Arial" w:hAnsi="Arial" w:cs="Arial"/>
          <w:sz w:val="24"/>
          <w:szCs w:val="24"/>
        </w:rPr>
      </w:pPr>
      <w:r w:rsidRPr="00C92CA9">
        <w:rPr>
          <w:rFonts w:ascii="Arial" w:hAnsi="Arial" w:cs="Arial"/>
          <w:i/>
          <w:sz w:val="24"/>
          <w:szCs w:val="24"/>
        </w:rPr>
        <w:t>The court held that</w:t>
      </w:r>
      <w:r w:rsidRPr="00C92CA9">
        <w:rPr>
          <w:rFonts w:ascii="Arial" w:hAnsi="Arial" w:cs="Arial"/>
          <w:sz w:val="24"/>
          <w:szCs w:val="24"/>
        </w:rPr>
        <w:t xml:space="preserve">; this argument might have carried some weight if appellants had made out a case that the winding-up application constituted an abuse. Respondent, on its papers showed it was preceded </w:t>
      </w:r>
      <w:r w:rsidR="00C479DB">
        <w:rPr>
          <w:rFonts w:ascii="Arial" w:hAnsi="Arial" w:cs="Arial"/>
          <w:sz w:val="24"/>
          <w:szCs w:val="24"/>
        </w:rPr>
        <w:t>by</w:t>
      </w:r>
      <w:r w:rsidRPr="00C92CA9">
        <w:rPr>
          <w:rFonts w:ascii="Arial" w:hAnsi="Arial" w:cs="Arial"/>
          <w:sz w:val="24"/>
          <w:szCs w:val="24"/>
        </w:rPr>
        <w:t xml:space="preserve"> a series of steps, spanning several months. At each step appellants failed to provide satisfactory responses which led to BoN’s winding-up application.</w:t>
      </w:r>
    </w:p>
    <w:p w:rsidR="00C92CA9" w:rsidRPr="00C92CA9" w:rsidRDefault="00C92CA9" w:rsidP="00C92CA9">
      <w:pPr>
        <w:spacing w:after="0" w:line="360" w:lineRule="auto"/>
        <w:jc w:val="both"/>
        <w:rPr>
          <w:rFonts w:ascii="Arial" w:hAnsi="Arial" w:cs="Arial"/>
          <w:sz w:val="24"/>
          <w:szCs w:val="24"/>
        </w:rPr>
      </w:pPr>
    </w:p>
    <w:p w:rsidR="00C92CA9" w:rsidRPr="00C92CA9" w:rsidRDefault="00C92CA9" w:rsidP="00C92CA9">
      <w:pPr>
        <w:spacing w:after="0" w:line="360" w:lineRule="auto"/>
        <w:jc w:val="both"/>
        <w:rPr>
          <w:rFonts w:ascii="Arial" w:hAnsi="Arial" w:cs="Arial"/>
          <w:sz w:val="24"/>
          <w:szCs w:val="24"/>
        </w:rPr>
      </w:pPr>
      <w:r w:rsidRPr="00C92CA9">
        <w:rPr>
          <w:rFonts w:ascii="Arial" w:hAnsi="Arial" w:cs="Arial"/>
          <w:i/>
          <w:sz w:val="24"/>
          <w:szCs w:val="24"/>
        </w:rPr>
        <w:t>The court further held that</w:t>
      </w:r>
      <w:r w:rsidRPr="00C92CA9">
        <w:rPr>
          <w:rFonts w:ascii="Arial" w:hAnsi="Arial" w:cs="Arial"/>
          <w:sz w:val="24"/>
          <w:szCs w:val="24"/>
        </w:rPr>
        <w:t>, although the short service and notice of the application upon appellants would at first blush seem oppressive, the court was mindful of the fact that BoN was concerned about a run on SME Bank by depositors who were already calling up their deposits. Hence the matter being brought in the court a quo as an urgent application.</w:t>
      </w:r>
    </w:p>
    <w:p w:rsidR="00C92CA9" w:rsidRPr="00C92CA9" w:rsidRDefault="00C92CA9" w:rsidP="00C92CA9">
      <w:pPr>
        <w:spacing w:after="0" w:line="360" w:lineRule="auto"/>
        <w:jc w:val="both"/>
        <w:rPr>
          <w:rFonts w:ascii="Arial" w:hAnsi="Arial" w:cs="Arial"/>
          <w:sz w:val="24"/>
          <w:szCs w:val="24"/>
        </w:rPr>
      </w:pPr>
    </w:p>
    <w:p w:rsidR="00C92CA9" w:rsidRPr="00C92CA9" w:rsidRDefault="00C92CA9" w:rsidP="00C92CA9">
      <w:pPr>
        <w:spacing w:after="0" w:line="360" w:lineRule="auto"/>
        <w:jc w:val="both"/>
        <w:rPr>
          <w:rFonts w:ascii="Arial" w:hAnsi="Arial" w:cs="Arial"/>
          <w:sz w:val="24"/>
          <w:szCs w:val="24"/>
        </w:rPr>
      </w:pPr>
      <w:r w:rsidRPr="00C92CA9">
        <w:rPr>
          <w:rFonts w:ascii="Arial" w:hAnsi="Arial" w:cs="Arial"/>
          <w:i/>
          <w:sz w:val="24"/>
          <w:szCs w:val="24"/>
        </w:rPr>
        <w:t>It further held that</w:t>
      </w:r>
      <w:r w:rsidRPr="00C92CA9">
        <w:rPr>
          <w:rFonts w:ascii="Arial" w:hAnsi="Arial" w:cs="Arial"/>
          <w:sz w:val="24"/>
          <w:szCs w:val="24"/>
        </w:rPr>
        <w:t xml:space="preserve">; the court </w:t>
      </w:r>
      <w:r w:rsidRPr="00C92CA9">
        <w:rPr>
          <w:rFonts w:ascii="Arial" w:hAnsi="Arial" w:cs="Arial"/>
          <w:i/>
          <w:sz w:val="24"/>
          <w:szCs w:val="24"/>
        </w:rPr>
        <w:t>a quo</w:t>
      </w:r>
      <w:r w:rsidRPr="00C92CA9">
        <w:rPr>
          <w:rFonts w:ascii="Arial" w:hAnsi="Arial" w:cs="Arial"/>
          <w:sz w:val="24"/>
          <w:szCs w:val="24"/>
        </w:rPr>
        <w:t xml:space="preserve"> was correct to find that the SME Bank was insolvent and that it was just and equitable for it to be wound-up. The BoN’s winding-up application did not constitute abuse of process.</w:t>
      </w:r>
    </w:p>
    <w:p w:rsidR="00C92CA9" w:rsidRPr="00C92CA9" w:rsidRDefault="00C92CA9" w:rsidP="00C92CA9">
      <w:pPr>
        <w:spacing w:after="0" w:line="360" w:lineRule="auto"/>
        <w:jc w:val="both"/>
        <w:rPr>
          <w:rFonts w:ascii="Arial" w:hAnsi="Arial" w:cs="Arial"/>
          <w:sz w:val="24"/>
          <w:szCs w:val="24"/>
        </w:rPr>
      </w:pPr>
    </w:p>
    <w:p w:rsidR="00C92CA9" w:rsidRPr="00C92CA9" w:rsidRDefault="00C92CA9" w:rsidP="00C92CA9">
      <w:pPr>
        <w:spacing w:after="0" w:line="360" w:lineRule="auto"/>
        <w:jc w:val="both"/>
        <w:rPr>
          <w:rFonts w:ascii="Arial" w:hAnsi="Arial" w:cs="Arial"/>
          <w:sz w:val="24"/>
          <w:szCs w:val="24"/>
        </w:rPr>
      </w:pPr>
      <w:r w:rsidRPr="00C92CA9">
        <w:rPr>
          <w:rFonts w:ascii="Arial" w:hAnsi="Arial" w:cs="Arial"/>
          <w:i/>
          <w:sz w:val="24"/>
          <w:szCs w:val="24"/>
        </w:rPr>
        <w:t>Non-compliance with Section 351(4) of the Act –</w:t>
      </w:r>
      <w:r w:rsidRPr="00C92CA9">
        <w:rPr>
          <w:rFonts w:ascii="Arial" w:hAnsi="Arial" w:cs="Arial"/>
          <w:sz w:val="24"/>
          <w:szCs w:val="24"/>
        </w:rPr>
        <w:t xml:space="preserve"> appellants argued that s 351(4), a peremptory provision of the Act requiring lodging of an application of winding-up first with the Master of the High Court before it is presented to the court, had not been complied with – which according to appellants results in the application being a nullity and invalid; and that the provisional order should have been discharged even </w:t>
      </w:r>
      <w:r w:rsidRPr="00C92CA9">
        <w:rPr>
          <w:rFonts w:ascii="Arial" w:hAnsi="Arial" w:cs="Arial"/>
          <w:sz w:val="24"/>
          <w:szCs w:val="24"/>
        </w:rPr>
        <w:lastRenderedPageBreak/>
        <w:t xml:space="preserve">when a Master’s certificate was issued on 4 July 2017 stating that the application was lodged. Reference to Wallis JA in </w:t>
      </w:r>
      <w:r w:rsidRPr="00C92CA9">
        <w:rPr>
          <w:rFonts w:ascii="Arial" w:hAnsi="Arial" w:cs="Arial"/>
          <w:i/>
          <w:sz w:val="24"/>
          <w:szCs w:val="24"/>
        </w:rPr>
        <w:t>EB Steam Company (Pty) Ltd v Eskom Holdings Soc Ltd</w:t>
      </w:r>
      <w:r w:rsidRPr="00C92CA9">
        <w:rPr>
          <w:rFonts w:ascii="Arial" w:hAnsi="Arial" w:cs="Arial"/>
          <w:sz w:val="24"/>
          <w:szCs w:val="24"/>
        </w:rPr>
        <w:t xml:space="preserve"> where it was found that ‘that the requirements of lodging a copy of the application (and providing security) are peremptory’.</w:t>
      </w:r>
    </w:p>
    <w:p w:rsidR="00C92CA9" w:rsidRPr="00C92CA9" w:rsidRDefault="00C92CA9" w:rsidP="00C92CA9">
      <w:pPr>
        <w:spacing w:after="0" w:line="360" w:lineRule="auto"/>
        <w:jc w:val="both"/>
        <w:rPr>
          <w:rFonts w:ascii="Arial" w:hAnsi="Arial" w:cs="Arial"/>
          <w:sz w:val="24"/>
          <w:szCs w:val="24"/>
        </w:rPr>
      </w:pPr>
    </w:p>
    <w:p w:rsidR="00C92CA9" w:rsidRPr="00C92CA9" w:rsidRDefault="00C92CA9" w:rsidP="00C92CA9">
      <w:pPr>
        <w:spacing w:after="0" w:line="360" w:lineRule="auto"/>
        <w:jc w:val="both"/>
        <w:rPr>
          <w:rFonts w:ascii="Arial" w:hAnsi="Arial" w:cs="Arial"/>
          <w:sz w:val="24"/>
          <w:szCs w:val="24"/>
        </w:rPr>
      </w:pPr>
      <w:r w:rsidRPr="00C92CA9">
        <w:rPr>
          <w:rFonts w:ascii="Arial" w:hAnsi="Arial" w:cs="Arial"/>
          <w:sz w:val="24"/>
          <w:szCs w:val="24"/>
        </w:rPr>
        <w:t>The issue to be determined in this instance was whether a less than perfect compliance results in the invalidity of the application (as is the case in this instance)?</w:t>
      </w:r>
    </w:p>
    <w:p w:rsidR="00C92CA9" w:rsidRPr="00C92CA9" w:rsidRDefault="00C92CA9" w:rsidP="00C92CA9">
      <w:pPr>
        <w:spacing w:after="0" w:line="360" w:lineRule="auto"/>
        <w:jc w:val="both"/>
        <w:rPr>
          <w:rFonts w:ascii="Arial" w:hAnsi="Arial" w:cs="Arial"/>
          <w:sz w:val="24"/>
          <w:szCs w:val="24"/>
        </w:rPr>
      </w:pPr>
    </w:p>
    <w:p w:rsidR="00C92CA9" w:rsidRPr="00C92CA9" w:rsidRDefault="00C92CA9" w:rsidP="00C92CA9">
      <w:pPr>
        <w:spacing w:after="0" w:line="360" w:lineRule="auto"/>
        <w:jc w:val="both"/>
        <w:rPr>
          <w:rFonts w:ascii="Arial" w:hAnsi="Arial" w:cs="Arial"/>
          <w:sz w:val="24"/>
          <w:szCs w:val="24"/>
        </w:rPr>
      </w:pPr>
      <w:r w:rsidRPr="00C92CA9">
        <w:rPr>
          <w:rFonts w:ascii="Arial" w:hAnsi="Arial" w:cs="Arial"/>
          <w:i/>
          <w:sz w:val="24"/>
          <w:szCs w:val="24"/>
        </w:rPr>
        <w:t>It is held that</w:t>
      </w:r>
      <w:r w:rsidRPr="00C92CA9">
        <w:rPr>
          <w:rFonts w:ascii="Arial" w:hAnsi="Arial" w:cs="Arial"/>
          <w:sz w:val="24"/>
          <w:szCs w:val="24"/>
        </w:rPr>
        <w:t xml:space="preserve">; the consequence of strict non-compliance would need to be determined with reference to the scope and object of the provision in question – </w:t>
      </w:r>
      <w:r w:rsidRPr="00C92CA9">
        <w:rPr>
          <w:rFonts w:ascii="Arial" w:hAnsi="Arial" w:cs="Arial"/>
          <w:i/>
          <w:sz w:val="24"/>
          <w:szCs w:val="24"/>
        </w:rPr>
        <w:t>Torbitt v International University of Management</w:t>
      </w:r>
      <w:r w:rsidRPr="00C92CA9">
        <w:rPr>
          <w:rFonts w:ascii="Arial" w:hAnsi="Arial" w:cs="Arial"/>
          <w:sz w:val="24"/>
          <w:szCs w:val="24"/>
        </w:rPr>
        <w:t>.</w:t>
      </w:r>
    </w:p>
    <w:p w:rsidR="00C92CA9" w:rsidRPr="00C92CA9" w:rsidRDefault="00C92CA9" w:rsidP="00C92CA9">
      <w:pPr>
        <w:spacing w:after="0" w:line="360" w:lineRule="auto"/>
        <w:jc w:val="both"/>
        <w:rPr>
          <w:rFonts w:ascii="Arial" w:hAnsi="Arial" w:cs="Arial"/>
          <w:sz w:val="24"/>
          <w:szCs w:val="24"/>
        </w:rPr>
      </w:pPr>
    </w:p>
    <w:p w:rsidR="00C92CA9" w:rsidRPr="00C92CA9" w:rsidRDefault="00C92CA9" w:rsidP="00C92CA9">
      <w:pPr>
        <w:spacing w:after="0" w:line="360" w:lineRule="auto"/>
        <w:jc w:val="both"/>
        <w:rPr>
          <w:rFonts w:ascii="Arial" w:hAnsi="Arial" w:cs="Arial"/>
          <w:sz w:val="24"/>
          <w:szCs w:val="24"/>
        </w:rPr>
      </w:pPr>
      <w:r w:rsidRPr="00C92CA9">
        <w:rPr>
          <w:rFonts w:ascii="Arial" w:hAnsi="Arial" w:cs="Arial"/>
          <w:i/>
          <w:sz w:val="24"/>
          <w:szCs w:val="24"/>
        </w:rPr>
        <w:t>Held that</w:t>
      </w:r>
      <w:r w:rsidRPr="00C92CA9">
        <w:rPr>
          <w:rFonts w:ascii="Arial" w:hAnsi="Arial" w:cs="Arial"/>
          <w:sz w:val="24"/>
          <w:szCs w:val="24"/>
        </w:rPr>
        <w:t>; the purpose of section 351(4) is to alert the Master to the application and provide that office with the opportunity to file a report to court upon it. Respondent had fulfilled this underlying purpose.</w:t>
      </w:r>
    </w:p>
    <w:p w:rsidR="00C92CA9" w:rsidRPr="00C92CA9" w:rsidRDefault="00C92CA9" w:rsidP="00C92CA9">
      <w:pPr>
        <w:spacing w:after="0" w:line="360" w:lineRule="auto"/>
        <w:jc w:val="both"/>
        <w:rPr>
          <w:rFonts w:ascii="Arial" w:hAnsi="Arial" w:cs="Arial"/>
          <w:sz w:val="24"/>
          <w:szCs w:val="24"/>
        </w:rPr>
      </w:pPr>
    </w:p>
    <w:p w:rsidR="00C92CA9" w:rsidRPr="00C92CA9" w:rsidRDefault="00C92CA9" w:rsidP="00C92CA9">
      <w:pPr>
        <w:spacing w:after="0" w:line="360" w:lineRule="auto"/>
        <w:jc w:val="both"/>
        <w:rPr>
          <w:rFonts w:ascii="Arial" w:hAnsi="Arial" w:cs="Arial"/>
          <w:sz w:val="24"/>
          <w:szCs w:val="24"/>
        </w:rPr>
      </w:pPr>
      <w:r w:rsidRPr="00C92CA9">
        <w:rPr>
          <w:rFonts w:ascii="Arial" w:hAnsi="Arial" w:cs="Arial"/>
          <w:i/>
          <w:sz w:val="24"/>
          <w:szCs w:val="24"/>
        </w:rPr>
        <w:t>It is held that</w:t>
      </w:r>
      <w:r w:rsidRPr="00C92CA9">
        <w:rPr>
          <w:rFonts w:ascii="Arial" w:hAnsi="Arial" w:cs="Arial"/>
          <w:sz w:val="24"/>
          <w:szCs w:val="24"/>
        </w:rPr>
        <w:t xml:space="preserve">; the court a quo cannot be faulted for finding substantial compliance with section 351(4) and confirming the rule because a copy of a signed notice of motion and founding affidavit had been lodged when the application was presented to court. The annexures and every affidavit confirming facts stated in the founding affidavit were not lodged but were served a day later and a day before the application was first called in court. The Master was satisfied that this amounted to lodging the application for the purpose of s 351(4) and certified this and made a report to the court on the strength of the incomplete papers. </w:t>
      </w:r>
    </w:p>
    <w:p w:rsidR="00C92CA9" w:rsidRPr="00C92CA9" w:rsidRDefault="00C92CA9" w:rsidP="00C92CA9">
      <w:pPr>
        <w:spacing w:after="0" w:line="360" w:lineRule="auto"/>
        <w:jc w:val="both"/>
        <w:rPr>
          <w:rFonts w:ascii="Arial" w:hAnsi="Arial" w:cs="Arial"/>
          <w:sz w:val="24"/>
          <w:szCs w:val="24"/>
        </w:rPr>
      </w:pPr>
    </w:p>
    <w:p w:rsidR="00C92CA9" w:rsidRPr="00C92CA9" w:rsidRDefault="00C92CA9" w:rsidP="00C92CA9">
      <w:pPr>
        <w:spacing w:after="0" w:line="360" w:lineRule="auto"/>
        <w:jc w:val="both"/>
        <w:rPr>
          <w:rFonts w:ascii="Arial" w:hAnsi="Arial" w:cs="Arial"/>
          <w:sz w:val="24"/>
          <w:szCs w:val="24"/>
        </w:rPr>
      </w:pPr>
      <w:r w:rsidRPr="00C92CA9">
        <w:rPr>
          <w:rFonts w:ascii="Arial" w:hAnsi="Arial" w:cs="Arial"/>
          <w:i/>
          <w:sz w:val="24"/>
          <w:szCs w:val="24"/>
        </w:rPr>
        <w:t>It is further held that</w:t>
      </w:r>
      <w:r w:rsidRPr="00C92CA9">
        <w:rPr>
          <w:rFonts w:ascii="Arial" w:hAnsi="Arial" w:cs="Arial"/>
          <w:sz w:val="24"/>
          <w:szCs w:val="24"/>
        </w:rPr>
        <w:t>; if the court a quo was dissatisfied with respondent’s compliance with section 351(4), the consequence would be to postpone or refuse the application until compliance had occurred had the Master complained that the annexures and confirmatory affidavits had not been lodged.</w:t>
      </w:r>
    </w:p>
    <w:p w:rsidR="00C92CA9" w:rsidRPr="00C92CA9" w:rsidRDefault="00C92CA9" w:rsidP="00C92CA9">
      <w:pPr>
        <w:spacing w:after="0" w:line="360" w:lineRule="auto"/>
        <w:jc w:val="both"/>
        <w:rPr>
          <w:rFonts w:ascii="Arial" w:hAnsi="Arial" w:cs="Arial"/>
          <w:sz w:val="24"/>
          <w:szCs w:val="24"/>
        </w:rPr>
      </w:pPr>
    </w:p>
    <w:p w:rsidR="00C92CA9" w:rsidRPr="00C92CA9" w:rsidRDefault="00C92CA9" w:rsidP="00C92CA9">
      <w:pPr>
        <w:spacing w:after="0" w:line="360" w:lineRule="auto"/>
        <w:jc w:val="both"/>
        <w:rPr>
          <w:rFonts w:ascii="Arial" w:hAnsi="Arial" w:cs="Arial"/>
          <w:sz w:val="24"/>
          <w:szCs w:val="24"/>
        </w:rPr>
      </w:pPr>
      <w:r w:rsidRPr="00C92CA9">
        <w:rPr>
          <w:rFonts w:ascii="Arial" w:hAnsi="Arial" w:cs="Arial"/>
          <w:i/>
          <w:sz w:val="24"/>
          <w:szCs w:val="24"/>
        </w:rPr>
        <w:t>Non-compliance with section 58(5) of BIA –</w:t>
      </w:r>
      <w:r w:rsidRPr="00C92CA9">
        <w:rPr>
          <w:rFonts w:ascii="Arial" w:hAnsi="Arial" w:cs="Arial"/>
          <w:sz w:val="24"/>
          <w:szCs w:val="24"/>
        </w:rPr>
        <w:t xml:space="preserve"> </w:t>
      </w:r>
      <w:r w:rsidRPr="00C92CA9">
        <w:rPr>
          <w:rFonts w:ascii="Arial" w:hAnsi="Arial" w:cs="Arial"/>
          <w:i/>
          <w:sz w:val="24"/>
          <w:szCs w:val="24"/>
        </w:rPr>
        <w:t>it is held that</w:t>
      </w:r>
      <w:r w:rsidRPr="00C92CA9">
        <w:rPr>
          <w:rFonts w:ascii="Arial" w:hAnsi="Arial" w:cs="Arial"/>
          <w:sz w:val="24"/>
          <w:szCs w:val="24"/>
        </w:rPr>
        <w:t xml:space="preserve">; any concerns the appellants have with appointment of provisional liquidators is not relevant in determining whether or not a final order of winding-up should have been granted. </w:t>
      </w:r>
      <w:r w:rsidRPr="00C92CA9">
        <w:rPr>
          <w:rFonts w:ascii="Arial" w:hAnsi="Arial" w:cs="Arial"/>
          <w:sz w:val="24"/>
          <w:szCs w:val="24"/>
        </w:rPr>
        <w:lastRenderedPageBreak/>
        <w:t>The court a quo was correct in finding that if the appellants were aggrieved with those appointments, it was open to them to take the appointments on review.</w:t>
      </w:r>
    </w:p>
    <w:p w:rsidR="00C92CA9" w:rsidRPr="00C92CA9" w:rsidRDefault="00C92CA9" w:rsidP="00C92CA9">
      <w:pPr>
        <w:spacing w:after="0" w:line="360" w:lineRule="auto"/>
        <w:jc w:val="both"/>
        <w:rPr>
          <w:rFonts w:ascii="Arial" w:hAnsi="Arial" w:cs="Arial"/>
          <w:sz w:val="24"/>
          <w:szCs w:val="24"/>
        </w:rPr>
      </w:pPr>
    </w:p>
    <w:p w:rsidR="00C92CA9" w:rsidRPr="00C92CA9" w:rsidRDefault="00C92CA9" w:rsidP="00C92CA9">
      <w:pPr>
        <w:spacing w:after="0" w:line="360" w:lineRule="auto"/>
        <w:jc w:val="both"/>
        <w:rPr>
          <w:rFonts w:ascii="Arial" w:hAnsi="Arial" w:cs="Arial"/>
          <w:sz w:val="24"/>
          <w:szCs w:val="24"/>
        </w:rPr>
      </w:pPr>
      <w:r w:rsidRPr="00C92CA9">
        <w:rPr>
          <w:rFonts w:ascii="Arial" w:hAnsi="Arial" w:cs="Arial"/>
          <w:i/>
          <w:sz w:val="24"/>
          <w:szCs w:val="24"/>
        </w:rPr>
        <w:t>The court thus holds that</w:t>
      </w:r>
      <w:r w:rsidRPr="00C92CA9">
        <w:rPr>
          <w:rFonts w:ascii="Arial" w:hAnsi="Arial" w:cs="Arial"/>
          <w:sz w:val="24"/>
          <w:szCs w:val="24"/>
        </w:rPr>
        <w:t>; there is no merit in these grounds of appeal. Appellants’ appeal enjoys no prospects of success and that condonation and reinstatement should not be granted.</w:t>
      </w:r>
    </w:p>
    <w:p w:rsidR="00C92CA9" w:rsidRPr="00C92CA9" w:rsidRDefault="00C92CA9" w:rsidP="00C92CA9">
      <w:pPr>
        <w:spacing w:after="0" w:line="360" w:lineRule="auto"/>
        <w:jc w:val="both"/>
        <w:rPr>
          <w:rFonts w:ascii="Arial" w:hAnsi="Arial" w:cs="Arial"/>
          <w:sz w:val="24"/>
          <w:szCs w:val="24"/>
        </w:rPr>
      </w:pPr>
    </w:p>
    <w:p w:rsidR="00C92CA9" w:rsidRPr="00C92CA9" w:rsidRDefault="00C92CA9" w:rsidP="00C92CA9">
      <w:pPr>
        <w:spacing w:after="0" w:line="360" w:lineRule="auto"/>
        <w:jc w:val="both"/>
        <w:rPr>
          <w:rFonts w:ascii="Arial" w:hAnsi="Arial" w:cs="Arial"/>
          <w:sz w:val="24"/>
          <w:szCs w:val="24"/>
        </w:rPr>
      </w:pPr>
      <w:r w:rsidRPr="00C92CA9">
        <w:rPr>
          <w:rFonts w:ascii="Arial" w:hAnsi="Arial" w:cs="Arial"/>
          <w:i/>
          <w:sz w:val="24"/>
          <w:szCs w:val="24"/>
        </w:rPr>
        <w:t>It is further held that</w:t>
      </w:r>
      <w:r w:rsidRPr="00C92CA9">
        <w:rPr>
          <w:rFonts w:ascii="Arial" w:hAnsi="Arial" w:cs="Arial"/>
          <w:sz w:val="24"/>
          <w:szCs w:val="24"/>
        </w:rPr>
        <w:t>; because no issues of substance concerning the basis for winding-up were raised by appellants, and that their procedural points were without merit and merely served to delay the winding-up process of the SME Bank, costs in this court should likewise be borne by the appellants.</w:t>
      </w:r>
    </w:p>
    <w:p w:rsidR="00C92CA9" w:rsidRPr="00C92CA9" w:rsidRDefault="00C92CA9" w:rsidP="00C92CA9">
      <w:pPr>
        <w:spacing w:after="0" w:line="360" w:lineRule="auto"/>
        <w:jc w:val="both"/>
        <w:rPr>
          <w:rFonts w:ascii="Arial" w:hAnsi="Arial" w:cs="Arial"/>
          <w:sz w:val="24"/>
          <w:szCs w:val="24"/>
        </w:rPr>
      </w:pPr>
    </w:p>
    <w:p w:rsidR="00C92CA9" w:rsidRPr="00C92CA9" w:rsidRDefault="00C92CA9" w:rsidP="00C92CA9">
      <w:pPr>
        <w:spacing w:after="0" w:line="360" w:lineRule="auto"/>
        <w:jc w:val="both"/>
        <w:rPr>
          <w:rFonts w:ascii="Arial" w:hAnsi="Arial" w:cs="Arial"/>
          <w:sz w:val="24"/>
          <w:szCs w:val="24"/>
        </w:rPr>
      </w:pPr>
      <w:r w:rsidRPr="00C92CA9">
        <w:rPr>
          <w:rFonts w:ascii="Arial" w:hAnsi="Arial" w:cs="Arial"/>
          <w:sz w:val="24"/>
          <w:szCs w:val="24"/>
        </w:rPr>
        <w:t>Condonation and reinstatement refused and the matter is struck from the roll with costs.</w:t>
      </w:r>
    </w:p>
    <w:p w:rsidR="00EF6EF1" w:rsidRPr="001C25CA" w:rsidRDefault="00EF6EF1" w:rsidP="00C92CA9">
      <w:pPr>
        <w:spacing w:after="0" w:line="360" w:lineRule="auto"/>
        <w:jc w:val="both"/>
        <w:rPr>
          <w:rFonts w:ascii="Arial" w:hAnsi="Arial" w:cs="Arial"/>
          <w:sz w:val="24"/>
          <w:szCs w:val="24"/>
        </w:rPr>
      </w:pPr>
    </w:p>
    <w:p w:rsidR="008C3367" w:rsidRPr="001C25CA" w:rsidRDefault="008C3367" w:rsidP="00594EA3">
      <w:pPr>
        <w:pBdr>
          <w:top w:val="single" w:sz="12" w:space="1" w:color="auto"/>
          <w:bottom w:val="single" w:sz="12" w:space="1" w:color="auto"/>
        </w:pBdr>
        <w:spacing w:after="0" w:line="240" w:lineRule="auto"/>
        <w:jc w:val="both"/>
        <w:rPr>
          <w:rFonts w:ascii="Arial" w:hAnsi="Arial" w:cs="Arial"/>
          <w:b/>
          <w:sz w:val="24"/>
          <w:szCs w:val="24"/>
        </w:rPr>
      </w:pPr>
    </w:p>
    <w:p w:rsidR="008C3367" w:rsidRPr="001C25CA" w:rsidRDefault="008C3367" w:rsidP="00594EA3">
      <w:pPr>
        <w:pBdr>
          <w:top w:val="single" w:sz="12" w:space="1" w:color="auto"/>
          <w:bottom w:val="single" w:sz="12" w:space="1" w:color="auto"/>
        </w:pBdr>
        <w:spacing w:after="0" w:line="240" w:lineRule="auto"/>
        <w:jc w:val="center"/>
        <w:rPr>
          <w:rFonts w:ascii="Arial" w:hAnsi="Arial" w:cs="Arial"/>
          <w:b/>
          <w:sz w:val="24"/>
          <w:szCs w:val="24"/>
        </w:rPr>
      </w:pPr>
      <w:r w:rsidRPr="001C25CA">
        <w:rPr>
          <w:rFonts w:ascii="Arial" w:hAnsi="Arial" w:cs="Arial"/>
          <w:b/>
          <w:sz w:val="24"/>
          <w:szCs w:val="24"/>
        </w:rPr>
        <w:t>APPEAL JUDGMENT</w:t>
      </w:r>
      <w:r w:rsidR="003863FC">
        <w:rPr>
          <w:rFonts w:ascii="Arial" w:hAnsi="Arial" w:cs="Arial"/>
          <w:b/>
          <w:sz w:val="24"/>
          <w:szCs w:val="24"/>
        </w:rPr>
        <w:t xml:space="preserve"> (</w:t>
      </w:r>
      <w:r w:rsidR="00AB06FA">
        <w:rPr>
          <w:rFonts w:ascii="Arial" w:hAnsi="Arial" w:cs="Arial"/>
          <w:b/>
          <w:sz w:val="24"/>
          <w:szCs w:val="24"/>
        </w:rPr>
        <w:t>1</w:t>
      </w:r>
      <w:r w:rsidR="00BA4655">
        <w:rPr>
          <w:rFonts w:ascii="Arial" w:hAnsi="Arial" w:cs="Arial"/>
          <w:b/>
          <w:sz w:val="24"/>
          <w:szCs w:val="24"/>
        </w:rPr>
        <w:t>9</w:t>
      </w:r>
      <w:r w:rsidR="003863FC">
        <w:rPr>
          <w:rFonts w:ascii="Arial" w:hAnsi="Arial" w:cs="Arial"/>
          <w:b/>
          <w:sz w:val="24"/>
          <w:szCs w:val="24"/>
        </w:rPr>
        <w:t xml:space="preserve"> October 2018)</w:t>
      </w:r>
    </w:p>
    <w:p w:rsidR="008C3367" w:rsidRPr="001C25CA" w:rsidRDefault="008C3367" w:rsidP="00594EA3">
      <w:pPr>
        <w:pBdr>
          <w:top w:val="single" w:sz="12" w:space="1" w:color="auto"/>
          <w:bottom w:val="single" w:sz="12" w:space="1" w:color="auto"/>
        </w:pBdr>
        <w:spacing w:after="0" w:line="240" w:lineRule="auto"/>
        <w:jc w:val="both"/>
        <w:rPr>
          <w:rFonts w:ascii="Arial" w:hAnsi="Arial" w:cs="Arial"/>
          <w:b/>
          <w:sz w:val="24"/>
          <w:szCs w:val="24"/>
        </w:rPr>
      </w:pPr>
    </w:p>
    <w:p w:rsidR="00B40CD3" w:rsidRPr="001C25CA" w:rsidRDefault="00B40CD3" w:rsidP="00A26B21">
      <w:pPr>
        <w:pStyle w:val="NoSpacing"/>
        <w:rPr>
          <w:rFonts w:ascii="Arial" w:hAnsi="Arial" w:cs="Arial"/>
          <w:sz w:val="24"/>
          <w:szCs w:val="24"/>
        </w:rPr>
      </w:pPr>
    </w:p>
    <w:p w:rsidR="008C3367" w:rsidRPr="001C25CA" w:rsidRDefault="008C3367" w:rsidP="00395B99">
      <w:pPr>
        <w:spacing w:line="480" w:lineRule="auto"/>
        <w:jc w:val="both"/>
        <w:rPr>
          <w:rFonts w:ascii="Arial" w:hAnsi="Arial" w:cs="Arial"/>
          <w:sz w:val="24"/>
          <w:szCs w:val="24"/>
        </w:rPr>
      </w:pPr>
      <w:r w:rsidRPr="001C25CA">
        <w:rPr>
          <w:rFonts w:ascii="Arial" w:hAnsi="Arial" w:cs="Arial"/>
          <w:sz w:val="24"/>
          <w:szCs w:val="24"/>
        </w:rPr>
        <w:t>SMUTS JA (</w:t>
      </w:r>
      <w:r w:rsidR="002212AD" w:rsidRPr="001C25CA">
        <w:rPr>
          <w:rFonts w:ascii="Arial" w:hAnsi="Arial" w:cs="Arial"/>
          <w:sz w:val="24"/>
          <w:szCs w:val="24"/>
        </w:rPr>
        <w:t>MAINGA JA</w:t>
      </w:r>
      <w:r w:rsidR="00451609" w:rsidRPr="001C25CA">
        <w:rPr>
          <w:rFonts w:ascii="Arial" w:hAnsi="Arial" w:cs="Arial"/>
          <w:sz w:val="24"/>
          <w:szCs w:val="24"/>
        </w:rPr>
        <w:t xml:space="preserve"> and</w:t>
      </w:r>
      <w:r w:rsidRPr="001C25CA">
        <w:rPr>
          <w:rFonts w:ascii="Arial" w:hAnsi="Arial" w:cs="Arial"/>
          <w:sz w:val="24"/>
          <w:szCs w:val="24"/>
        </w:rPr>
        <w:t xml:space="preserve"> </w:t>
      </w:r>
      <w:r w:rsidR="00513468">
        <w:rPr>
          <w:rFonts w:ascii="Arial" w:hAnsi="Arial" w:cs="Arial"/>
          <w:sz w:val="24"/>
          <w:szCs w:val="24"/>
        </w:rPr>
        <w:t>HOFF</w:t>
      </w:r>
      <w:r w:rsidR="008B2795" w:rsidRPr="001C25CA">
        <w:rPr>
          <w:rFonts w:ascii="Arial" w:hAnsi="Arial" w:cs="Arial"/>
          <w:sz w:val="24"/>
          <w:szCs w:val="24"/>
        </w:rPr>
        <w:t xml:space="preserve"> JA</w:t>
      </w:r>
      <w:r w:rsidRPr="001C25CA">
        <w:rPr>
          <w:rFonts w:ascii="Arial" w:hAnsi="Arial" w:cs="Arial"/>
          <w:sz w:val="24"/>
          <w:szCs w:val="24"/>
        </w:rPr>
        <w:t xml:space="preserve"> concurring):</w:t>
      </w:r>
    </w:p>
    <w:p w:rsidR="00513468" w:rsidRDefault="00513468" w:rsidP="0051346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w:t>
      </w:r>
      <w:r w:rsidR="00FB1DB0">
        <w:rPr>
          <w:rFonts w:ascii="Arial" w:hAnsi="Arial" w:cs="Arial"/>
          <w:sz w:val="24"/>
          <w:szCs w:val="24"/>
        </w:rPr>
        <w:t>is</w:t>
      </w:r>
      <w:r>
        <w:rPr>
          <w:rFonts w:ascii="Arial" w:hAnsi="Arial" w:cs="Arial"/>
          <w:sz w:val="24"/>
          <w:szCs w:val="24"/>
        </w:rPr>
        <w:t xml:space="preserve"> appeal arises from a final winding-up order in relation to the Small and Medium Enterprise Bank</w:t>
      </w:r>
      <w:r w:rsidR="00FB1DB0">
        <w:rPr>
          <w:rFonts w:ascii="Arial" w:hAnsi="Arial" w:cs="Arial"/>
          <w:sz w:val="24"/>
          <w:szCs w:val="24"/>
        </w:rPr>
        <w:t xml:space="preserve"> Limited</w:t>
      </w:r>
      <w:r>
        <w:rPr>
          <w:rFonts w:ascii="Arial" w:hAnsi="Arial" w:cs="Arial"/>
          <w:sz w:val="24"/>
          <w:szCs w:val="24"/>
        </w:rPr>
        <w:t xml:space="preserve"> (SME Bank) granted by the High Court </w:t>
      </w:r>
      <w:r w:rsidR="00042A20">
        <w:rPr>
          <w:rFonts w:ascii="Arial" w:hAnsi="Arial" w:cs="Arial"/>
          <w:sz w:val="24"/>
          <w:szCs w:val="24"/>
        </w:rPr>
        <w:t xml:space="preserve">on </w:t>
      </w:r>
      <w:r w:rsidR="00092565">
        <w:rPr>
          <w:rFonts w:ascii="Arial" w:hAnsi="Arial" w:cs="Arial"/>
          <w:sz w:val="24"/>
          <w:szCs w:val="24"/>
        </w:rPr>
        <w:t>29</w:t>
      </w:r>
      <w:r w:rsidR="00042A20">
        <w:rPr>
          <w:rFonts w:ascii="Arial" w:hAnsi="Arial" w:cs="Arial"/>
          <w:sz w:val="24"/>
          <w:szCs w:val="24"/>
        </w:rPr>
        <w:t xml:space="preserve"> November 2017.</w:t>
      </w:r>
    </w:p>
    <w:p w:rsidR="00042A20" w:rsidRDefault="00042A20" w:rsidP="00042A20">
      <w:pPr>
        <w:pStyle w:val="NoSpacing"/>
        <w:spacing w:line="480" w:lineRule="auto"/>
        <w:jc w:val="both"/>
        <w:rPr>
          <w:rFonts w:ascii="Arial" w:hAnsi="Arial" w:cs="Arial"/>
          <w:sz w:val="24"/>
          <w:szCs w:val="24"/>
        </w:rPr>
      </w:pPr>
    </w:p>
    <w:p w:rsidR="00042A20" w:rsidRDefault="00042A20" w:rsidP="0051346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winding-up application </w:t>
      </w:r>
      <w:r w:rsidR="00092565">
        <w:rPr>
          <w:rFonts w:ascii="Arial" w:hAnsi="Arial" w:cs="Arial"/>
          <w:sz w:val="24"/>
          <w:szCs w:val="24"/>
        </w:rPr>
        <w:t>w</w:t>
      </w:r>
      <w:r>
        <w:rPr>
          <w:rFonts w:ascii="Arial" w:hAnsi="Arial" w:cs="Arial"/>
          <w:sz w:val="24"/>
          <w:szCs w:val="24"/>
        </w:rPr>
        <w:t>as brought by the Bank of Namibia</w:t>
      </w:r>
      <w:r w:rsidR="00092565">
        <w:rPr>
          <w:rFonts w:ascii="Arial" w:hAnsi="Arial" w:cs="Arial"/>
          <w:sz w:val="24"/>
          <w:szCs w:val="24"/>
        </w:rPr>
        <w:t xml:space="preserve"> (BoN)</w:t>
      </w:r>
      <w:r>
        <w:rPr>
          <w:rFonts w:ascii="Arial" w:hAnsi="Arial" w:cs="Arial"/>
          <w:sz w:val="24"/>
          <w:szCs w:val="24"/>
        </w:rPr>
        <w:t xml:space="preserve">, Namibia’s central bank </w:t>
      </w:r>
      <w:r w:rsidR="00092565">
        <w:rPr>
          <w:rFonts w:ascii="Arial" w:hAnsi="Arial" w:cs="Arial"/>
          <w:sz w:val="24"/>
          <w:szCs w:val="24"/>
        </w:rPr>
        <w:t xml:space="preserve">as </w:t>
      </w:r>
      <w:r>
        <w:rPr>
          <w:rFonts w:ascii="Arial" w:hAnsi="Arial" w:cs="Arial"/>
          <w:sz w:val="24"/>
          <w:szCs w:val="24"/>
        </w:rPr>
        <w:t xml:space="preserve">provided for in Art 128 of the Constitution and established under the Bank of Namibia Act, 8 of 1990 read with Act 15 of 1997. It is the respondent in </w:t>
      </w:r>
      <w:r w:rsidR="00FB1DB0">
        <w:rPr>
          <w:rFonts w:ascii="Arial" w:hAnsi="Arial" w:cs="Arial"/>
          <w:sz w:val="24"/>
          <w:szCs w:val="24"/>
        </w:rPr>
        <w:t>this</w:t>
      </w:r>
      <w:r>
        <w:rPr>
          <w:rFonts w:ascii="Arial" w:hAnsi="Arial" w:cs="Arial"/>
          <w:sz w:val="24"/>
          <w:szCs w:val="24"/>
        </w:rPr>
        <w:t xml:space="preserve"> appeal.</w:t>
      </w:r>
    </w:p>
    <w:p w:rsidR="000C2D19" w:rsidRDefault="000C2D19" w:rsidP="000C2D19">
      <w:pPr>
        <w:pStyle w:val="ListParagraph"/>
        <w:rPr>
          <w:rFonts w:ascii="Arial" w:hAnsi="Arial" w:cs="Arial"/>
          <w:sz w:val="24"/>
          <w:szCs w:val="24"/>
        </w:rPr>
      </w:pPr>
    </w:p>
    <w:p w:rsidR="000C2D19" w:rsidRDefault="000C2D19" w:rsidP="0051346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w:t>
      </w:r>
      <w:r w:rsidR="008A5BE0">
        <w:rPr>
          <w:rFonts w:ascii="Arial" w:hAnsi="Arial" w:cs="Arial"/>
          <w:sz w:val="24"/>
          <w:szCs w:val="24"/>
        </w:rPr>
        <w:t>first and second</w:t>
      </w:r>
      <w:r w:rsidR="00F92A4A">
        <w:rPr>
          <w:rFonts w:ascii="Arial" w:hAnsi="Arial" w:cs="Arial"/>
          <w:sz w:val="24"/>
          <w:szCs w:val="24"/>
        </w:rPr>
        <w:t xml:space="preserve"> </w:t>
      </w:r>
      <w:r>
        <w:rPr>
          <w:rFonts w:ascii="Arial" w:hAnsi="Arial" w:cs="Arial"/>
          <w:sz w:val="24"/>
          <w:szCs w:val="24"/>
        </w:rPr>
        <w:t>appellants are two minority shareholders in SME Bank, holding 30 and 5 percent of the shares</w:t>
      </w:r>
      <w:r w:rsidR="00092565">
        <w:rPr>
          <w:rFonts w:ascii="Arial" w:hAnsi="Arial" w:cs="Arial"/>
          <w:sz w:val="24"/>
          <w:szCs w:val="24"/>
        </w:rPr>
        <w:t xml:space="preserve"> respectively</w:t>
      </w:r>
      <w:r>
        <w:rPr>
          <w:rFonts w:ascii="Arial" w:hAnsi="Arial" w:cs="Arial"/>
          <w:sz w:val="24"/>
          <w:szCs w:val="24"/>
        </w:rPr>
        <w:t xml:space="preserve">. They opposed the winding-up </w:t>
      </w:r>
      <w:r>
        <w:rPr>
          <w:rFonts w:ascii="Arial" w:hAnsi="Arial" w:cs="Arial"/>
          <w:sz w:val="24"/>
          <w:szCs w:val="24"/>
        </w:rPr>
        <w:lastRenderedPageBreak/>
        <w:t>application. The majority shareholder</w:t>
      </w:r>
      <w:r w:rsidR="00EB6C94">
        <w:rPr>
          <w:rFonts w:ascii="Arial" w:hAnsi="Arial" w:cs="Arial"/>
          <w:sz w:val="24"/>
          <w:szCs w:val="24"/>
        </w:rPr>
        <w:t xml:space="preserve"> </w:t>
      </w:r>
      <w:r>
        <w:rPr>
          <w:rFonts w:ascii="Arial" w:hAnsi="Arial" w:cs="Arial"/>
          <w:sz w:val="24"/>
          <w:szCs w:val="24"/>
        </w:rPr>
        <w:t>with 65 percent of the shares i</w:t>
      </w:r>
      <w:r w:rsidR="00092565">
        <w:rPr>
          <w:rFonts w:ascii="Arial" w:hAnsi="Arial" w:cs="Arial"/>
          <w:sz w:val="24"/>
          <w:szCs w:val="24"/>
        </w:rPr>
        <w:t>s</w:t>
      </w:r>
      <w:r>
        <w:rPr>
          <w:rFonts w:ascii="Arial" w:hAnsi="Arial" w:cs="Arial"/>
          <w:sz w:val="24"/>
          <w:szCs w:val="24"/>
        </w:rPr>
        <w:t xml:space="preserve"> the Government of Namibia</w:t>
      </w:r>
      <w:r w:rsidR="008A5BE0" w:rsidRPr="008A5BE0">
        <w:rPr>
          <w:rFonts w:ascii="Arial" w:hAnsi="Arial" w:cs="Arial"/>
          <w:sz w:val="24"/>
          <w:szCs w:val="24"/>
        </w:rPr>
        <w:t xml:space="preserve"> </w:t>
      </w:r>
      <w:r w:rsidR="008A5BE0">
        <w:rPr>
          <w:rFonts w:ascii="Arial" w:hAnsi="Arial" w:cs="Arial"/>
          <w:sz w:val="24"/>
          <w:szCs w:val="24"/>
        </w:rPr>
        <w:t>which holds those shares</w:t>
      </w:r>
      <w:r>
        <w:rPr>
          <w:rFonts w:ascii="Arial" w:hAnsi="Arial" w:cs="Arial"/>
          <w:sz w:val="24"/>
          <w:szCs w:val="24"/>
        </w:rPr>
        <w:t xml:space="preserve"> through an entity, Namibia Financing Trust (Pty) Ltd. It did not oppose the winding-up application.</w:t>
      </w:r>
    </w:p>
    <w:p w:rsidR="000C2D19" w:rsidRPr="00FB1DB0" w:rsidRDefault="000C2D19" w:rsidP="00BA4655">
      <w:pPr>
        <w:pStyle w:val="ListParagraph"/>
        <w:spacing w:line="360" w:lineRule="auto"/>
        <w:rPr>
          <w:rFonts w:ascii="Arial" w:hAnsi="Arial" w:cs="Arial"/>
          <w:sz w:val="24"/>
          <w:szCs w:val="24"/>
        </w:rPr>
      </w:pPr>
    </w:p>
    <w:p w:rsidR="000C2D19" w:rsidRPr="00FB1DB0" w:rsidRDefault="000C2D19" w:rsidP="00513468">
      <w:pPr>
        <w:pStyle w:val="NoSpacing"/>
        <w:numPr>
          <w:ilvl w:val="0"/>
          <w:numId w:val="4"/>
        </w:numPr>
        <w:spacing w:line="480" w:lineRule="auto"/>
        <w:ind w:left="0" w:firstLine="0"/>
        <w:jc w:val="both"/>
        <w:rPr>
          <w:rFonts w:ascii="Arial" w:hAnsi="Arial" w:cs="Arial"/>
          <w:sz w:val="24"/>
          <w:szCs w:val="24"/>
        </w:rPr>
      </w:pPr>
      <w:r w:rsidRPr="00FB1DB0">
        <w:rPr>
          <w:rFonts w:ascii="Arial" w:hAnsi="Arial" w:cs="Arial"/>
          <w:sz w:val="24"/>
          <w:szCs w:val="24"/>
        </w:rPr>
        <w:t>The application was brought under s 351 of the Companies Act</w:t>
      </w:r>
      <w:r w:rsidR="00EB6C94">
        <w:rPr>
          <w:rFonts w:ascii="Arial" w:hAnsi="Arial" w:cs="Arial"/>
          <w:sz w:val="24"/>
          <w:szCs w:val="24"/>
        </w:rPr>
        <w:t>,</w:t>
      </w:r>
      <w:r w:rsidR="00FB1DB0" w:rsidRPr="00FB1DB0">
        <w:rPr>
          <w:rFonts w:ascii="Arial" w:hAnsi="Arial" w:cs="Arial"/>
          <w:sz w:val="24"/>
          <w:szCs w:val="24"/>
        </w:rPr>
        <w:t xml:space="preserve"> 28 of 2004 (the Act)</w:t>
      </w:r>
      <w:r w:rsidRPr="00FB1DB0">
        <w:rPr>
          <w:rFonts w:ascii="Arial" w:hAnsi="Arial" w:cs="Arial"/>
          <w:sz w:val="24"/>
          <w:szCs w:val="24"/>
        </w:rPr>
        <w:t xml:space="preserve"> on the grounds, that:</w:t>
      </w:r>
    </w:p>
    <w:p w:rsidR="000C2D19" w:rsidRPr="000231F7" w:rsidRDefault="000C2D19" w:rsidP="00BA4655">
      <w:pPr>
        <w:pStyle w:val="ListParagraph"/>
        <w:spacing w:line="360" w:lineRule="auto"/>
        <w:rPr>
          <w:rFonts w:ascii="Arial" w:hAnsi="Arial" w:cs="Arial"/>
        </w:rPr>
      </w:pPr>
    </w:p>
    <w:p w:rsidR="000C2D19" w:rsidRPr="000231F7" w:rsidRDefault="00092D5D" w:rsidP="000231F7">
      <w:pPr>
        <w:pStyle w:val="NoSpacing"/>
        <w:numPr>
          <w:ilvl w:val="0"/>
          <w:numId w:val="19"/>
        </w:numPr>
        <w:spacing w:line="360" w:lineRule="auto"/>
        <w:ind w:left="1418" w:hanging="698"/>
        <w:jc w:val="both"/>
        <w:rPr>
          <w:rFonts w:ascii="Arial" w:hAnsi="Arial" w:cs="Arial"/>
        </w:rPr>
      </w:pPr>
      <w:r w:rsidRPr="000231F7">
        <w:rPr>
          <w:rFonts w:ascii="Arial" w:hAnsi="Arial" w:cs="Arial"/>
        </w:rPr>
        <w:t xml:space="preserve">SME Bank </w:t>
      </w:r>
      <w:r w:rsidR="00092565" w:rsidRPr="000231F7">
        <w:rPr>
          <w:rFonts w:ascii="Arial" w:hAnsi="Arial" w:cs="Arial"/>
        </w:rPr>
        <w:t>wa</w:t>
      </w:r>
      <w:r w:rsidRPr="000231F7">
        <w:rPr>
          <w:rFonts w:ascii="Arial" w:hAnsi="Arial" w:cs="Arial"/>
        </w:rPr>
        <w:t xml:space="preserve">s insolvent </w:t>
      </w:r>
      <w:r w:rsidR="00F92A4A" w:rsidRPr="000231F7">
        <w:rPr>
          <w:rFonts w:ascii="Arial" w:hAnsi="Arial" w:cs="Arial"/>
        </w:rPr>
        <w:t xml:space="preserve">as </w:t>
      </w:r>
      <w:r w:rsidRPr="000231F7">
        <w:rPr>
          <w:rFonts w:ascii="Arial" w:hAnsi="Arial" w:cs="Arial"/>
        </w:rPr>
        <w:t>contemplated by s 1 of the Act read with s 58 of the Banking Institutions Act, 2 of 1998</w:t>
      </w:r>
      <w:r w:rsidR="00F92A4A" w:rsidRPr="000231F7">
        <w:rPr>
          <w:rFonts w:ascii="Arial" w:hAnsi="Arial" w:cs="Arial"/>
        </w:rPr>
        <w:t xml:space="preserve"> (BIA) </w:t>
      </w:r>
      <w:r w:rsidRPr="000231F7">
        <w:rPr>
          <w:rFonts w:ascii="Arial" w:hAnsi="Arial" w:cs="Arial"/>
        </w:rPr>
        <w:t>in that its liabilities exceeded its assets;</w:t>
      </w:r>
    </w:p>
    <w:p w:rsidR="00092D5D" w:rsidRPr="000231F7" w:rsidRDefault="00092565" w:rsidP="000231F7">
      <w:pPr>
        <w:pStyle w:val="NoSpacing"/>
        <w:numPr>
          <w:ilvl w:val="0"/>
          <w:numId w:val="19"/>
        </w:numPr>
        <w:spacing w:line="360" w:lineRule="auto"/>
        <w:ind w:left="1418" w:hanging="698"/>
        <w:jc w:val="both"/>
        <w:rPr>
          <w:rFonts w:ascii="Arial" w:hAnsi="Arial" w:cs="Arial"/>
        </w:rPr>
      </w:pPr>
      <w:r w:rsidRPr="000231F7">
        <w:rPr>
          <w:rFonts w:ascii="Arial" w:hAnsi="Arial" w:cs="Arial"/>
        </w:rPr>
        <w:t>SME wa</w:t>
      </w:r>
      <w:r w:rsidR="00092D5D" w:rsidRPr="000231F7">
        <w:rPr>
          <w:rFonts w:ascii="Arial" w:hAnsi="Arial" w:cs="Arial"/>
        </w:rPr>
        <w:t>s in any event com</w:t>
      </w:r>
      <w:r w:rsidR="00FB1DB0" w:rsidRPr="000231F7">
        <w:rPr>
          <w:rFonts w:ascii="Arial" w:hAnsi="Arial" w:cs="Arial"/>
        </w:rPr>
        <w:t>mercially insolvent in that it wa</w:t>
      </w:r>
      <w:r w:rsidR="00092D5D" w:rsidRPr="000231F7">
        <w:rPr>
          <w:rFonts w:ascii="Arial" w:hAnsi="Arial" w:cs="Arial"/>
        </w:rPr>
        <w:t>s unable to pay its debts as they fall due, as contemplated by s 350 (</w:t>
      </w:r>
      <w:r w:rsidR="00662DCC" w:rsidRPr="000231F7">
        <w:rPr>
          <w:rFonts w:ascii="Arial" w:hAnsi="Arial" w:cs="Arial"/>
        </w:rPr>
        <w:t>1)(c</w:t>
      </w:r>
      <w:r w:rsidR="00092D5D" w:rsidRPr="000231F7">
        <w:rPr>
          <w:rFonts w:ascii="Arial" w:hAnsi="Arial" w:cs="Arial"/>
        </w:rPr>
        <w:t>) and (2) of the Act read with s 349 (f); and</w:t>
      </w:r>
    </w:p>
    <w:p w:rsidR="00092D5D" w:rsidRDefault="008A5BE0" w:rsidP="000231F7">
      <w:pPr>
        <w:pStyle w:val="NoSpacing"/>
        <w:numPr>
          <w:ilvl w:val="0"/>
          <w:numId w:val="19"/>
        </w:numPr>
        <w:spacing w:line="360" w:lineRule="auto"/>
        <w:ind w:left="1418" w:hanging="698"/>
        <w:jc w:val="both"/>
        <w:rPr>
          <w:rFonts w:ascii="Arial" w:hAnsi="Arial" w:cs="Arial"/>
          <w:sz w:val="24"/>
          <w:szCs w:val="24"/>
        </w:rPr>
      </w:pPr>
      <w:r w:rsidRPr="000231F7">
        <w:rPr>
          <w:rFonts w:ascii="Arial" w:hAnsi="Arial" w:cs="Arial"/>
        </w:rPr>
        <w:t>i</w:t>
      </w:r>
      <w:r w:rsidR="00092D5D" w:rsidRPr="000231F7">
        <w:rPr>
          <w:rFonts w:ascii="Arial" w:hAnsi="Arial" w:cs="Arial"/>
        </w:rPr>
        <w:t xml:space="preserve">t is just and equitable that SME Bank be wound up as contemplated by s 349 (h) of the Act. </w:t>
      </w:r>
    </w:p>
    <w:p w:rsidR="000C2D19" w:rsidRDefault="000C2D19" w:rsidP="000C2D19">
      <w:pPr>
        <w:pStyle w:val="ListParagraph"/>
        <w:rPr>
          <w:rFonts w:ascii="Arial" w:hAnsi="Arial" w:cs="Arial"/>
          <w:sz w:val="24"/>
          <w:szCs w:val="24"/>
        </w:rPr>
      </w:pPr>
    </w:p>
    <w:p w:rsidR="000C2D19" w:rsidRDefault="00092D5D" w:rsidP="0051346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High Court granted a provisional winding-up order on 11 July 2017. The return date of </w:t>
      </w:r>
      <w:r w:rsidR="00FB1DB0">
        <w:rPr>
          <w:rFonts w:ascii="Arial" w:hAnsi="Arial" w:cs="Arial"/>
          <w:sz w:val="24"/>
          <w:szCs w:val="24"/>
        </w:rPr>
        <w:t>15</w:t>
      </w:r>
      <w:r>
        <w:rPr>
          <w:rFonts w:ascii="Arial" w:hAnsi="Arial" w:cs="Arial"/>
          <w:sz w:val="24"/>
          <w:szCs w:val="24"/>
        </w:rPr>
        <w:t xml:space="preserve"> September 2017 was extended to 18 October 2017 after the appellants had filed fur</w:t>
      </w:r>
      <w:r w:rsidR="00EB6C94">
        <w:rPr>
          <w:rFonts w:ascii="Arial" w:hAnsi="Arial" w:cs="Arial"/>
          <w:sz w:val="24"/>
          <w:szCs w:val="24"/>
        </w:rPr>
        <w:t>ther affidavits out of sequence. T</w:t>
      </w:r>
      <w:r>
        <w:rPr>
          <w:rFonts w:ascii="Arial" w:hAnsi="Arial" w:cs="Arial"/>
          <w:sz w:val="24"/>
          <w:szCs w:val="24"/>
        </w:rPr>
        <w:t xml:space="preserve">he final order was given on 29 November 2017, with reasons for the order provided on </w:t>
      </w:r>
      <w:r w:rsidR="008A5BE0">
        <w:rPr>
          <w:rFonts w:ascii="Arial" w:hAnsi="Arial" w:cs="Arial"/>
          <w:sz w:val="24"/>
          <w:szCs w:val="24"/>
        </w:rPr>
        <w:t>5</w:t>
      </w:r>
      <w:r>
        <w:rPr>
          <w:rFonts w:ascii="Arial" w:hAnsi="Arial" w:cs="Arial"/>
          <w:sz w:val="24"/>
          <w:szCs w:val="24"/>
        </w:rPr>
        <w:t xml:space="preserve"> December 2017. </w:t>
      </w:r>
    </w:p>
    <w:p w:rsidR="000C2D19" w:rsidRDefault="000C2D19" w:rsidP="000C2D19">
      <w:pPr>
        <w:pStyle w:val="ListParagraph"/>
        <w:rPr>
          <w:rFonts w:ascii="Arial" w:hAnsi="Arial" w:cs="Arial"/>
          <w:sz w:val="24"/>
          <w:szCs w:val="24"/>
        </w:rPr>
      </w:pPr>
    </w:p>
    <w:p w:rsidR="000C2D19" w:rsidRDefault="00092D5D" w:rsidP="0051346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In those reasons, </w:t>
      </w:r>
      <w:r w:rsidR="00662DCC">
        <w:rPr>
          <w:rFonts w:ascii="Arial" w:hAnsi="Arial" w:cs="Arial"/>
          <w:sz w:val="24"/>
          <w:szCs w:val="24"/>
        </w:rPr>
        <w:t>Prinsloo, J</w:t>
      </w:r>
      <w:r>
        <w:rPr>
          <w:rFonts w:ascii="Arial" w:hAnsi="Arial" w:cs="Arial"/>
          <w:sz w:val="24"/>
          <w:szCs w:val="24"/>
        </w:rPr>
        <w:t xml:space="preserve"> found that SME Bank was commercially and factually insolvent and unable to honour its commitments to its investors and creditors. The High Court also found</w:t>
      </w:r>
      <w:r w:rsidR="00031EBA">
        <w:rPr>
          <w:rFonts w:ascii="Arial" w:hAnsi="Arial" w:cs="Arial"/>
          <w:sz w:val="24"/>
          <w:szCs w:val="24"/>
        </w:rPr>
        <w:t xml:space="preserve"> that it was </w:t>
      </w:r>
      <w:r w:rsidR="00092565">
        <w:rPr>
          <w:rFonts w:ascii="Arial" w:hAnsi="Arial" w:cs="Arial"/>
          <w:sz w:val="24"/>
          <w:szCs w:val="24"/>
        </w:rPr>
        <w:t>just</w:t>
      </w:r>
      <w:r w:rsidR="00031EBA">
        <w:rPr>
          <w:rFonts w:ascii="Arial" w:hAnsi="Arial" w:cs="Arial"/>
          <w:sz w:val="24"/>
          <w:szCs w:val="24"/>
        </w:rPr>
        <w:t xml:space="preserve"> </w:t>
      </w:r>
      <w:r w:rsidR="00AE369C">
        <w:rPr>
          <w:rFonts w:ascii="Arial" w:hAnsi="Arial" w:cs="Arial"/>
          <w:sz w:val="24"/>
          <w:szCs w:val="24"/>
        </w:rPr>
        <w:t xml:space="preserve">and equitable for SME Bank to be wound-up. The court also found that </w:t>
      </w:r>
      <w:r w:rsidR="00092565">
        <w:rPr>
          <w:rFonts w:ascii="Arial" w:hAnsi="Arial" w:cs="Arial"/>
          <w:sz w:val="24"/>
          <w:szCs w:val="24"/>
        </w:rPr>
        <w:t xml:space="preserve">the </w:t>
      </w:r>
      <w:r w:rsidR="00AE369C">
        <w:rPr>
          <w:rFonts w:ascii="Arial" w:hAnsi="Arial" w:cs="Arial"/>
          <w:sz w:val="24"/>
          <w:szCs w:val="24"/>
        </w:rPr>
        <w:t xml:space="preserve">opposition </w:t>
      </w:r>
      <w:r w:rsidR="00092565">
        <w:rPr>
          <w:rFonts w:ascii="Arial" w:hAnsi="Arial" w:cs="Arial"/>
          <w:sz w:val="24"/>
          <w:szCs w:val="24"/>
        </w:rPr>
        <w:t xml:space="preserve">to the application </w:t>
      </w:r>
      <w:r w:rsidR="00AE369C">
        <w:rPr>
          <w:rFonts w:ascii="Arial" w:hAnsi="Arial" w:cs="Arial"/>
          <w:sz w:val="24"/>
          <w:szCs w:val="24"/>
        </w:rPr>
        <w:t xml:space="preserve">on </w:t>
      </w:r>
      <w:r w:rsidR="00092565">
        <w:rPr>
          <w:rFonts w:ascii="Arial" w:hAnsi="Arial" w:cs="Arial"/>
          <w:sz w:val="24"/>
          <w:szCs w:val="24"/>
        </w:rPr>
        <w:t>c</w:t>
      </w:r>
      <w:r w:rsidR="00AE369C">
        <w:rPr>
          <w:rFonts w:ascii="Arial" w:hAnsi="Arial" w:cs="Arial"/>
          <w:sz w:val="24"/>
          <w:szCs w:val="24"/>
        </w:rPr>
        <w:t xml:space="preserve">onstitutional grounds </w:t>
      </w:r>
      <w:r w:rsidR="00092565">
        <w:rPr>
          <w:rFonts w:ascii="Arial" w:hAnsi="Arial" w:cs="Arial"/>
          <w:sz w:val="24"/>
          <w:szCs w:val="24"/>
        </w:rPr>
        <w:t>was</w:t>
      </w:r>
      <w:r w:rsidR="00AE369C">
        <w:rPr>
          <w:rFonts w:ascii="Arial" w:hAnsi="Arial" w:cs="Arial"/>
          <w:sz w:val="24"/>
          <w:szCs w:val="24"/>
        </w:rPr>
        <w:t xml:space="preserve"> unfounded and also dismissed opposition based upon non-compliance with s 351 of the Act and provisions in the </w:t>
      </w:r>
      <w:r w:rsidR="00FB1DB0">
        <w:rPr>
          <w:rFonts w:ascii="Arial" w:hAnsi="Arial" w:cs="Arial"/>
          <w:sz w:val="24"/>
          <w:szCs w:val="24"/>
        </w:rPr>
        <w:t>BIA</w:t>
      </w:r>
      <w:r w:rsidR="00AE369C">
        <w:rPr>
          <w:rFonts w:ascii="Arial" w:hAnsi="Arial" w:cs="Arial"/>
          <w:sz w:val="24"/>
          <w:szCs w:val="24"/>
        </w:rPr>
        <w:t>.</w:t>
      </w:r>
    </w:p>
    <w:p w:rsidR="00AE369C" w:rsidRDefault="00AE369C" w:rsidP="00AE369C">
      <w:pPr>
        <w:pStyle w:val="ListParagraph"/>
        <w:rPr>
          <w:rFonts w:ascii="Arial" w:hAnsi="Arial" w:cs="Arial"/>
          <w:sz w:val="24"/>
          <w:szCs w:val="24"/>
        </w:rPr>
      </w:pPr>
    </w:p>
    <w:p w:rsidR="008A5BE0" w:rsidRDefault="00AE369C" w:rsidP="0051346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lastRenderedPageBreak/>
        <w:t xml:space="preserve">The appellants’ heads of arguments </w:t>
      </w:r>
      <w:r w:rsidR="00092565">
        <w:rPr>
          <w:rFonts w:ascii="Arial" w:hAnsi="Arial" w:cs="Arial"/>
          <w:sz w:val="24"/>
          <w:szCs w:val="24"/>
        </w:rPr>
        <w:t>were</w:t>
      </w:r>
      <w:r>
        <w:rPr>
          <w:rFonts w:ascii="Arial" w:hAnsi="Arial" w:cs="Arial"/>
          <w:sz w:val="24"/>
          <w:szCs w:val="24"/>
        </w:rPr>
        <w:t xml:space="preserve"> filed out of time</w:t>
      </w:r>
      <w:r w:rsidR="00092565">
        <w:rPr>
          <w:rFonts w:ascii="Arial" w:hAnsi="Arial" w:cs="Arial"/>
          <w:sz w:val="24"/>
          <w:szCs w:val="24"/>
        </w:rPr>
        <w:t xml:space="preserve">. This </w:t>
      </w:r>
      <w:r>
        <w:rPr>
          <w:rFonts w:ascii="Arial" w:hAnsi="Arial" w:cs="Arial"/>
          <w:sz w:val="24"/>
          <w:szCs w:val="24"/>
        </w:rPr>
        <w:t xml:space="preserve">results in an appeal lapsing under rule 17(2) of the rules of this Court. The appellants have applied for condonation and for the reinstatement of the appeal. In opposition to that application, the point is taken by the respondent that the record was also lodged out of time. This was because the record was lodged on 2 March 2018, more than 3 months after the order was handed down on 29 November 2017 but within </w:t>
      </w:r>
      <w:r w:rsidR="00092565">
        <w:rPr>
          <w:rFonts w:ascii="Arial" w:hAnsi="Arial" w:cs="Arial"/>
          <w:sz w:val="24"/>
          <w:szCs w:val="24"/>
        </w:rPr>
        <w:t xml:space="preserve">the required </w:t>
      </w:r>
      <w:r>
        <w:rPr>
          <w:rFonts w:ascii="Arial" w:hAnsi="Arial" w:cs="Arial"/>
          <w:sz w:val="24"/>
          <w:szCs w:val="24"/>
        </w:rPr>
        <w:t xml:space="preserve">period if calculated from the date when the reasons were </w:t>
      </w:r>
      <w:r w:rsidR="00FB1DB0">
        <w:rPr>
          <w:rFonts w:ascii="Arial" w:hAnsi="Arial" w:cs="Arial"/>
          <w:sz w:val="24"/>
          <w:szCs w:val="24"/>
        </w:rPr>
        <w:t>provided</w:t>
      </w:r>
      <w:r>
        <w:rPr>
          <w:rFonts w:ascii="Arial" w:hAnsi="Arial" w:cs="Arial"/>
          <w:sz w:val="24"/>
          <w:szCs w:val="24"/>
        </w:rPr>
        <w:t xml:space="preserve">, namely </w:t>
      </w:r>
      <w:r w:rsidR="001C1802">
        <w:rPr>
          <w:rFonts w:ascii="Arial" w:hAnsi="Arial" w:cs="Arial"/>
          <w:sz w:val="24"/>
          <w:szCs w:val="24"/>
        </w:rPr>
        <w:t>4</w:t>
      </w:r>
      <w:r>
        <w:rPr>
          <w:rFonts w:ascii="Arial" w:hAnsi="Arial" w:cs="Arial"/>
          <w:sz w:val="24"/>
          <w:szCs w:val="24"/>
        </w:rPr>
        <w:t xml:space="preserve"> December 2017. Rule 8(2)(b) requires a record to be filed within three months of the date of judgment or order appealed against. </w:t>
      </w:r>
    </w:p>
    <w:p w:rsidR="008A5BE0" w:rsidRDefault="008A5BE0" w:rsidP="008A5BE0">
      <w:pPr>
        <w:pStyle w:val="ListParagraph"/>
        <w:rPr>
          <w:rFonts w:ascii="Arial" w:hAnsi="Arial" w:cs="Arial"/>
          <w:sz w:val="24"/>
          <w:szCs w:val="24"/>
        </w:rPr>
      </w:pPr>
    </w:p>
    <w:p w:rsidR="008A5BE0" w:rsidRDefault="00EB6C94" w:rsidP="0051346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Mr Corbett, who with Mr Obbes, appeared for the respondent argued that the three month period operates from the date of the order on the strength of the </w:t>
      </w:r>
      <w:r w:rsidRPr="008A5BE0">
        <w:rPr>
          <w:rFonts w:ascii="Arial" w:hAnsi="Arial" w:cs="Arial"/>
          <w:i/>
          <w:sz w:val="24"/>
          <w:szCs w:val="24"/>
        </w:rPr>
        <w:t>obiter dictum</w:t>
      </w:r>
      <w:r>
        <w:rPr>
          <w:rFonts w:ascii="Arial" w:hAnsi="Arial" w:cs="Arial"/>
          <w:sz w:val="24"/>
          <w:szCs w:val="24"/>
        </w:rPr>
        <w:t xml:space="preserve"> in </w:t>
      </w:r>
      <w:r w:rsidRPr="00EB6C94">
        <w:rPr>
          <w:rFonts w:ascii="Arial" w:hAnsi="Arial" w:cs="Arial"/>
          <w:i/>
          <w:sz w:val="24"/>
          <w:szCs w:val="24"/>
        </w:rPr>
        <w:t>Wirt</w:t>
      </w:r>
      <w:r w:rsidR="008A5BE0">
        <w:rPr>
          <w:rFonts w:ascii="Arial" w:hAnsi="Arial" w:cs="Arial"/>
          <w:i/>
          <w:sz w:val="24"/>
          <w:szCs w:val="24"/>
        </w:rPr>
        <w:t>z</w:t>
      </w:r>
      <w:r w:rsidRPr="00EB6C94">
        <w:rPr>
          <w:rFonts w:ascii="Arial" w:hAnsi="Arial" w:cs="Arial"/>
          <w:i/>
          <w:sz w:val="24"/>
          <w:szCs w:val="24"/>
        </w:rPr>
        <w:t xml:space="preserve"> v O</w:t>
      </w:r>
      <w:r w:rsidR="00F92A4A">
        <w:rPr>
          <w:rFonts w:ascii="Arial" w:hAnsi="Arial" w:cs="Arial"/>
          <w:i/>
          <w:sz w:val="24"/>
          <w:szCs w:val="24"/>
        </w:rPr>
        <w:t>r</w:t>
      </w:r>
      <w:r w:rsidRPr="00EB6C94">
        <w:rPr>
          <w:rFonts w:ascii="Arial" w:hAnsi="Arial" w:cs="Arial"/>
          <w:i/>
          <w:sz w:val="24"/>
          <w:szCs w:val="24"/>
        </w:rPr>
        <w:t>ford</w:t>
      </w:r>
      <w:r>
        <w:rPr>
          <w:rFonts w:ascii="Arial" w:hAnsi="Arial" w:cs="Arial"/>
          <w:sz w:val="24"/>
          <w:szCs w:val="24"/>
        </w:rPr>
        <w:t xml:space="preserve"> 2005 NR </w:t>
      </w:r>
      <w:r w:rsidR="008A5BE0">
        <w:rPr>
          <w:rFonts w:ascii="Arial" w:hAnsi="Arial" w:cs="Arial"/>
          <w:sz w:val="24"/>
          <w:szCs w:val="24"/>
        </w:rPr>
        <w:t xml:space="preserve">175 </w:t>
      </w:r>
      <w:r w:rsidR="00F92A4A">
        <w:rPr>
          <w:rFonts w:ascii="Arial" w:hAnsi="Arial" w:cs="Arial"/>
          <w:sz w:val="24"/>
          <w:szCs w:val="24"/>
        </w:rPr>
        <w:t>(</w:t>
      </w:r>
      <w:r>
        <w:rPr>
          <w:rFonts w:ascii="Arial" w:hAnsi="Arial" w:cs="Arial"/>
          <w:sz w:val="24"/>
          <w:szCs w:val="24"/>
        </w:rPr>
        <w:t xml:space="preserve">SC) at </w:t>
      </w:r>
      <w:r w:rsidR="008A5BE0">
        <w:rPr>
          <w:rFonts w:ascii="Arial" w:hAnsi="Arial" w:cs="Arial"/>
          <w:sz w:val="24"/>
          <w:szCs w:val="24"/>
        </w:rPr>
        <w:t>194.</w:t>
      </w:r>
      <w:r>
        <w:rPr>
          <w:rFonts w:ascii="Arial" w:hAnsi="Arial" w:cs="Arial"/>
          <w:sz w:val="24"/>
          <w:szCs w:val="24"/>
        </w:rPr>
        <w:t xml:space="preserve"> But the facts in that matter are distinguishable and the rules have since been amended to require appellants to specify grounds of appeal in noti</w:t>
      </w:r>
      <w:r w:rsidR="008A5BE0">
        <w:rPr>
          <w:rFonts w:ascii="Arial" w:hAnsi="Arial" w:cs="Arial"/>
          <w:sz w:val="24"/>
          <w:szCs w:val="24"/>
        </w:rPr>
        <w:t>ce</w:t>
      </w:r>
      <w:r>
        <w:rPr>
          <w:rFonts w:ascii="Arial" w:hAnsi="Arial" w:cs="Arial"/>
          <w:sz w:val="24"/>
          <w:szCs w:val="24"/>
        </w:rPr>
        <w:t xml:space="preserve"> of appeal</w:t>
      </w:r>
      <w:r w:rsidR="008A5BE0">
        <w:rPr>
          <w:rFonts w:ascii="Arial" w:hAnsi="Arial" w:cs="Arial"/>
          <w:sz w:val="24"/>
          <w:szCs w:val="24"/>
        </w:rPr>
        <w:t xml:space="preserve"> (which was not the case when the </w:t>
      </w:r>
      <w:r w:rsidR="008A5BE0" w:rsidRPr="008A5BE0">
        <w:rPr>
          <w:rFonts w:ascii="Arial" w:hAnsi="Arial" w:cs="Arial"/>
          <w:i/>
          <w:sz w:val="24"/>
          <w:szCs w:val="24"/>
        </w:rPr>
        <w:t>Wirtz</w:t>
      </w:r>
      <w:r w:rsidR="008A5BE0">
        <w:rPr>
          <w:rFonts w:ascii="Arial" w:hAnsi="Arial" w:cs="Arial"/>
          <w:sz w:val="24"/>
          <w:szCs w:val="24"/>
        </w:rPr>
        <w:t xml:space="preserve"> judgment was given)</w:t>
      </w:r>
      <w:r>
        <w:rPr>
          <w:rFonts w:ascii="Arial" w:hAnsi="Arial" w:cs="Arial"/>
          <w:sz w:val="24"/>
          <w:szCs w:val="24"/>
        </w:rPr>
        <w:t xml:space="preserve">. </w:t>
      </w:r>
    </w:p>
    <w:p w:rsidR="008A5BE0" w:rsidRDefault="008A5BE0" w:rsidP="008A5BE0">
      <w:pPr>
        <w:pStyle w:val="ListParagraph"/>
        <w:rPr>
          <w:rFonts w:ascii="Arial" w:hAnsi="Arial" w:cs="Arial"/>
          <w:sz w:val="24"/>
          <w:szCs w:val="24"/>
        </w:rPr>
      </w:pPr>
    </w:p>
    <w:p w:rsidR="00F92A4A" w:rsidRDefault="00AE369C" w:rsidP="00F92A4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judgment </w:t>
      </w:r>
      <w:r w:rsidR="001D608A">
        <w:rPr>
          <w:rFonts w:ascii="Arial" w:hAnsi="Arial" w:cs="Arial"/>
          <w:sz w:val="24"/>
          <w:szCs w:val="24"/>
        </w:rPr>
        <w:t xml:space="preserve">appealed against was provided in this matter on </w:t>
      </w:r>
      <w:r w:rsidR="001C1802">
        <w:rPr>
          <w:rFonts w:ascii="Arial" w:hAnsi="Arial" w:cs="Arial"/>
          <w:sz w:val="24"/>
          <w:szCs w:val="24"/>
        </w:rPr>
        <w:t>4</w:t>
      </w:r>
      <w:r w:rsidR="001D608A">
        <w:rPr>
          <w:rFonts w:ascii="Arial" w:hAnsi="Arial" w:cs="Arial"/>
          <w:sz w:val="24"/>
          <w:szCs w:val="24"/>
        </w:rPr>
        <w:t xml:space="preserve"> December 2017 for the purpose of this rule. </w:t>
      </w:r>
      <w:r w:rsidR="008A5BE0" w:rsidRPr="00F92A4A">
        <w:rPr>
          <w:rFonts w:ascii="Arial" w:hAnsi="Arial" w:cs="Arial"/>
          <w:sz w:val="24"/>
          <w:szCs w:val="24"/>
        </w:rPr>
        <w:t xml:space="preserve">(It would be a different matter if a party seeks to appeal against an order where no reasons are given.) </w:t>
      </w:r>
    </w:p>
    <w:p w:rsidR="00F92A4A" w:rsidRDefault="00F92A4A" w:rsidP="00F92A4A">
      <w:pPr>
        <w:pStyle w:val="ListParagraph"/>
        <w:rPr>
          <w:rFonts w:ascii="Arial" w:hAnsi="Arial" w:cs="Arial"/>
          <w:sz w:val="24"/>
          <w:szCs w:val="24"/>
        </w:rPr>
      </w:pPr>
    </w:p>
    <w:p w:rsidR="00AE369C" w:rsidRPr="00F92A4A" w:rsidRDefault="001D608A" w:rsidP="00F92A4A">
      <w:pPr>
        <w:pStyle w:val="NoSpacing"/>
        <w:numPr>
          <w:ilvl w:val="0"/>
          <w:numId w:val="4"/>
        </w:numPr>
        <w:spacing w:line="480" w:lineRule="auto"/>
        <w:ind w:left="0" w:firstLine="0"/>
        <w:jc w:val="both"/>
        <w:rPr>
          <w:rFonts w:ascii="Arial" w:hAnsi="Arial" w:cs="Arial"/>
          <w:sz w:val="24"/>
          <w:szCs w:val="24"/>
        </w:rPr>
      </w:pPr>
      <w:r w:rsidRPr="00F92A4A">
        <w:rPr>
          <w:rFonts w:ascii="Arial" w:hAnsi="Arial" w:cs="Arial"/>
          <w:sz w:val="24"/>
          <w:szCs w:val="24"/>
        </w:rPr>
        <w:t>There is thus no need for an application for condonation and reinstatement concerning the filing of the record.</w:t>
      </w:r>
    </w:p>
    <w:p w:rsidR="00AE369C" w:rsidRDefault="00AE369C" w:rsidP="00362560">
      <w:pPr>
        <w:rPr>
          <w:rFonts w:ascii="Arial" w:hAnsi="Arial" w:cs="Arial"/>
          <w:sz w:val="24"/>
          <w:szCs w:val="24"/>
        </w:rPr>
      </w:pPr>
    </w:p>
    <w:p w:rsidR="00BA4655" w:rsidRDefault="00BA4655" w:rsidP="00362560">
      <w:pPr>
        <w:rPr>
          <w:rFonts w:ascii="Arial" w:hAnsi="Arial" w:cs="Arial"/>
          <w:sz w:val="24"/>
          <w:szCs w:val="24"/>
        </w:rPr>
      </w:pPr>
    </w:p>
    <w:p w:rsidR="00BA4655" w:rsidRDefault="00BA4655" w:rsidP="00362560">
      <w:pPr>
        <w:rPr>
          <w:rFonts w:ascii="Arial" w:hAnsi="Arial" w:cs="Arial"/>
          <w:sz w:val="24"/>
          <w:szCs w:val="24"/>
        </w:rPr>
      </w:pPr>
    </w:p>
    <w:p w:rsidR="00362560" w:rsidRPr="00362560" w:rsidRDefault="00362560" w:rsidP="00362560">
      <w:pPr>
        <w:rPr>
          <w:rFonts w:ascii="Arial" w:hAnsi="Arial" w:cs="Arial"/>
          <w:sz w:val="24"/>
          <w:szCs w:val="24"/>
          <w:u w:val="single"/>
        </w:rPr>
      </w:pPr>
      <w:r>
        <w:rPr>
          <w:rFonts w:ascii="Arial" w:hAnsi="Arial" w:cs="Arial"/>
          <w:sz w:val="24"/>
          <w:szCs w:val="24"/>
          <w:u w:val="single"/>
        </w:rPr>
        <w:lastRenderedPageBreak/>
        <w:t>Condonation and reinstatement</w:t>
      </w:r>
    </w:p>
    <w:p w:rsidR="00AE369C" w:rsidRDefault="00362560" w:rsidP="0051346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appellants apply for condonation</w:t>
      </w:r>
      <w:r w:rsidR="00092565">
        <w:rPr>
          <w:rFonts w:ascii="Arial" w:hAnsi="Arial" w:cs="Arial"/>
          <w:sz w:val="24"/>
          <w:szCs w:val="24"/>
        </w:rPr>
        <w:t xml:space="preserve"> for the late filing of heads of argument</w:t>
      </w:r>
      <w:r>
        <w:rPr>
          <w:rFonts w:ascii="Arial" w:hAnsi="Arial" w:cs="Arial"/>
          <w:sz w:val="24"/>
          <w:szCs w:val="24"/>
        </w:rPr>
        <w:t xml:space="preserve"> and reinstatement of the appeal. The appellants’ legal practitioner was under the mistaken belief that the date of hearing of their appeal was 9 November 2018 and not the actual date of 9 October 2018. Although there is an unfortunate lapse in the wording of rule 17(1) of the rules of this Court – by providing that heads of argument are to be filed ‘not more than 21 days before the hearing’ instead of ‘no</w:t>
      </w:r>
      <w:r w:rsidR="00662DCC">
        <w:rPr>
          <w:rFonts w:ascii="Arial" w:hAnsi="Arial" w:cs="Arial"/>
          <w:sz w:val="24"/>
          <w:szCs w:val="24"/>
        </w:rPr>
        <w:t>t</w:t>
      </w:r>
      <w:r>
        <w:rPr>
          <w:rFonts w:ascii="Arial" w:hAnsi="Arial" w:cs="Arial"/>
          <w:sz w:val="24"/>
          <w:szCs w:val="24"/>
        </w:rPr>
        <w:t xml:space="preserve"> later than</w:t>
      </w:r>
      <w:r w:rsidR="00FB1DB0">
        <w:rPr>
          <w:rFonts w:ascii="Arial" w:hAnsi="Arial" w:cs="Arial"/>
          <w:sz w:val="24"/>
          <w:szCs w:val="24"/>
        </w:rPr>
        <w:t xml:space="preserve"> 21 days</w:t>
      </w:r>
      <w:r>
        <w:rPr>
          <w:rFonts w:ascii="Arial" w:hAnsi="Arial" w:cs="Arial"/>
          <w:sz w:val="24"/>
          <w:szCs w:val="24"/>
        </w:rPr>
        <w:t>’</w:t>
      </w:r>
      <w:r w:rsidR="00092565">
        <w:rPr>
          <w:rFonts w:ascii="Arial" w:hAnsi="Arial" w:cs="Arial"/>
          <w:sz w:val="24"/>
          <w:szCs w:val="24"/>
        </w:rPr>
        <w:t>,</w:t>
      </w:r>
      <w:r>
        <w:rPr>
          <w:rFonts w:ascii="Arial" w:hAnsi="Arial" w:cs="Arial"/>
          <w:sz w:val="24"/>
          <w:szCs w:val="24"/>
        </w:rPr>
        <w:t xml:space="preserve"> the intention </w:t>
      </w:r>
      <w:r w:rsidR="00FB1DB0">
        <w:rPr>
          <w:rFonts w:ascii="Arial" w:hAnsi="Arial" w:cs="Arial"/>
          <w:sz w:val="24"/>
          <w:szCs w:val="24"/>
        </w:rPr>
        <w:t xml:space="preserve">of the rule giver </w:t>
      </w:r>
      <w:r>
        <w:rPr>
          <w:rFonts w:ascii="Arial" w:hAnsi="Arial" w:cs="Arial"/>
          <w:sz w:val="24"/>
          <w:szCs w:val="24"/>
        </w:rPr>
        <w:t xml:space="preserve">is clearly the latter meaning in the context of the wording of rule 17(1) construed as a whole and in </w:t>
      </w:r>
      <w:r w:rsidR="00092565">
        <w:rPr>
          <w:rFonts w:ascii="Arial" w:hAnsi="Arial" w:cs="Arial"/>
          <w:sz w:val="24"/>
          <w:szCs w:val="24"/>
        </w:rPr>
        <w:t>vi</w:t>
      </w:r>
      <w:r w:rsidR="00587010">
        <w:rPr>
          <w:rFonts w:ascii="Arial" w:hAnsi="Arial" w:cs="Arial"/>
          <w:sz w:val="24"/>
          <w:szCs w:val="24"/>
        </w:rPr>
        <w:t>ew of the wording of the former rule</w:t>
      </w:r>
      <w:r w:rsidR="00092565">
        <w:rPr>
          <w:rFonts w:ascii="Arial" w:hAnsi="Arial" w:cs="Arial"/>
          <w:sz w:val="24"/>
          <w:szCs w:val="24"/>
        </w:rPr>
        <w:t xml:space="preserve"> 11</w:t>
      </w:r>
      <w:r w:rsidR="00587010">
        <w:rPr>
          <w:rFonts w:ascii="Arial" w:hAnsi="Arial" w:cs="Arial"/>
          <w:sz w:val="24"/>
          <w:szCs w:val="24"/>
        </w:rPr>
        <w:t xml:space="preserve"> of the repealed rule</w:t>
      </w:r>
      <w:r w:rsidR="00092565">
        <w:rPr>
          <w:rFonts w:ascii="Arial" w:hAnsi="Arial" w:cs="Arial"/>
          <w:sz w:val="24"/>
          <w:szCs w:val="24"/>
        </w:rPr>
        <w:t>s</w:t>
      </w:r>
      <w:r w:rsidR="00587010">
        <w:rPr>
          <w:rFonts w:ascii="Arial" w:hAnsi="Arial" w:cs="Arial"/>
          <w:sz w:val="24"/>
          <w:szCs w:val="24"/>
        </w:rPr>
        <w:t xml:space="preserve"> of this Court. This is also how the rule is understood by practiti</w:t>
      </w:r>
      <w:r w:rsidR="00092565">
        <w:rPr>
          <w:rFonts w:ascii="Arial" w:hAnsi="Arial" w:cs="Arial"/>
          <w:sz w:val="24"/>
          <w:szCs w:val="24"/>
        </w:rPr>
        <w:t xml:space="preserve">oners and applied by this Court, namely that heads of argument of an appellant </w:t>
      </w:r>
      <w:r w:rsidR="00FB1DB0">
        <w:rPr>
          <w:rFonts w:ascii="Arial" w:hAnsi="Arial" w:cs="Arial"/>
          <w:sz w:val="24"/>
          <w:szCs w:val="24"/>
        </w:rPr>
        <w:t>must</w:t>
      </w:r>
      <w:r w:rsidR="00092565">
        <w:rPr>
          <w:rFonts w:ascii="Arial" w:hAnsi="Arial" w:cs="Arial"/>
          <w:sz w:val="24"/>
          <w:szCs w:val="24"/>
        </w:rPr>
        <w:t xml:space="preserve"> be filed no later than 21 days before the date of hearing and that a respondent</w:t>
      </w:r>
      <w:r w:rsidR="00787313">
        <w:rPr>
          <w:rFonts w:ascii="Arial" w:hAnsi="Arial" w:cs="Arial"/>
          <w:sz w:val="24"/>
          <w:szCs w:val="24"/>
        </w:rPr>
        <w:t>’s heads are to be filed no later than 10 days before the hearing.</w:t>
      </w:r>
    </w:p>
    <w:p w:rsidR="00AE369C" w:rsidRDefault="00AE369C" w:rsidP="00AE369C">
      <w:pPr>
        <w:pStyle w:val="ListParagraph"/>
        <w:rPr>
          <w:rFonts w:ascii="Arial" w:hAnsi="Arial" w:cs="Arial"/>
          <w:sz w:val="24"/>
          <w:szCs w:val="24"/>
        </w:rPr>
      </w:pPr>
    </w:p>
    <w:p w:rsidR="00FB1DB0" w:rsidRDefault="00587010" w:rsidP="0051346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appellants thus correctly applied for condonation for the non-compliance with the rule as applied and for reinstatement of the appeal in view of the provisions of rule 17(2). A detailed explanation is provided for the mistaken belief. The respondent does not take issue that </w:t>
      </w:r>
      <w:r w:rsidR="00787313">
        <w:rPr>
          <w:rFonts w:ascii="Arial" w:hAnsi="Arial" w:cs="Arial"/>
          <w:sz w:val="24"/>
          <w:szCs w:val="24"/>
        </w:rPr>
        <w:t>there was such an</w:t>
      </w:r>
      <w:r>
        <w:rPr>
          <w:rFonts w:ascii="Arial" w:hAnsi="Arial" w:cs="Arial"/>
          <w:sz w:val="24"/>
          <w:szCs w:val="24"/>
        </w:rPr>
        <w:t xml:space="preserve"> erroneous belief. </w:t>
      </w:r>
    </w:p>
    <w:p w:rsidR="00FB1DB0" w:rsidRDefault="00FB1DB0" w:rsidP="00FB1DB0">
      <w:pPr>
        <w:pStyle w:val="ListParagraph"/>
        <w:rPr>
          <w:rFonts w:ascii="Arial" w:hAnsi="Arial" w:cs="Arial"/>
          <w:sz w:val="24"/>
          <w:szCs w:val="24"/>
        </w:rPr>
      </w:pPr>
    </w:p>
    <w:p w:rsidR="00AE369C" w:rsidRDefault="00587010" w:rsidP="0051346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Applying </w:t>
      </w:r>
      <w:r w:rsidRPr="00587010">
        <w:rPr>
          <w:rFonts w:ascii="Arial" w:hAnsi="Arial" w:cs="Arial"/>
          <w:i/>
          <w:sz w:val="24"/>
          <w:szCs w:val="24"/>
        </w:rPr>
        <w:t>Rally for Democracy and Progress v Electoral Commission of Namibia</w:t>
      </w:r>
      <w:r w:rsidR="00FB1DB0">
        <w:rPr>
          <w:rFonts w:ascii="Arial" w:hAnsi="Arial" w:cs="Arial"/>
          <w:i/>
          <w:sz w:val="24"/>
          <w:szCs w:val="24"/>
        </w:rPr>
        <w:t>,</w:t>
      </w:r>
      <w:r>
        <w:rPr>
          <w:rStyle w:val="FootnoteReference"/>
          <w:rFonts w:ascii="Arial" w:hAnsi="Arial" w:cs="Arial"/>
          <w:sz w:val="24"/>
          <w:szCs w:val="24"/>
        </w:rPr>
        <w:footnoteReference w:id="1"/>
      </w:r>
      <w:r>
        <w:rPr>
          <w:rFonts w:ascii="Arial" w:hAnsi="Arial" w:cs="Arial"/>
          <w:i/>
          <w:sz w:val="24"/>
          <w:szCs w:val="24"/>
        </w:rPr>
        <w:t xml:space="preserve"> </w:t>
      </w:r>
      <w:r>
        <w:rPr>
          <w:rFonts w:ascii="Arial" w:hAnsi="Arial" w:cs="Arial"/>
          <w:sz w:val="24"/>
          <w:szCs w:val="24"/>
        </w:rPr>
        <w:t xml:space="preserve">this explanation is not </w:t>
      </w:r>
      <w:r w:rsidR="00787313">
        <w:rPr>
          <w:rFonts w:ascii="Arial" w:hAnsi="Arial" w:cs="Arial"/>
          <w:sz w:val="24"/>
          <w:szCs w:val="24"/>
        </w:rPr>
        <w:t>un</w:t>
      </w:r>
      <w:r>
        <w:rPr>
          <w:rFonts w:ascii="Arial" w:hAnsi="Arial" w:cs="Arial"/>
          <w:sz w:val="24"/>
          <w:szCs w:val="24"/>
        </w:rPr>
        <w:t xml:space="preserve">reasonable. But that only </w:t>
      </w:r>
      <w:r w:rsidR="00FB1DB0">
        <w:rPr>
          <w:rFonts w:ascii="Arial" w:hAnsi="Arial" w:cs="Arial"/>
          <w:sz w:val="24"/>
          <w:szCs w:val="24"/>
        </w:rPr>
        <w:t xml:space="preserve">satisfies </w:t>
      </w:r>
      <w:r>
        <w:rPr>
          <w:rFonts w:ascii="Arial" w:hAnsi="Arial" w:cs="Arial"/>
          <w:sz w:val="24"/>
          <w:szCs w:val="24"/>
        </w:rPr>
        <w:t xml:space="preserve">one leg </w:t>
      </w:r>
      <w:r w:rsidR="00FB1DB0">
        <w:rPr>
          <w:rFonts w:ascii="Arial" w:hAnsi="Arial" w:cs="Arial"/>
          <w:sz w:val="24"/>
          <w:szCs w:val="24"/>
        </w:rPr>
        <w:t>of the two pronged enquiry. The appellants</w:t>
      </w:r>
      <w:r>
        <w:rPr>
          <w:rFonts w:ascii="Arial" w:hAnsi="Arial" w:cs="Arial"/>
          <w:sz w:val="24"/>
          <w:szCs w:val="24"/>
        </w:rPr>
        <w:t xml:space="preserve"> would also need to </w:t>
      </w:r>
      <w:r w:rsidR="00FB1DB0">
        <w:rPr>
          <w:rFonts w:ascii="Arial" w:hAnsi="Arial" w:cs="Arial"/>
          <w:sz w:val="24"/>
          <w:szCs w:val="24"/>
        </w:rPr>
        <w:t>satisfy the court that there are</w:t>
      </w:r>
      <w:r>
        <w:rPr>
          <w:rFonts w:ascii="Arial" w:hAnsi="Arial" w:cs="Arial"/>
          <w:sz w:val="24"/>
          <w:szCs w:val="24"/>
        </w:rPr>
        <w:t xml:space="preserve"> reasonable prospects of success in the appeal for condonation and </w:t>
      </w:r>
      <w:r>
        <w:rPr>
          <w:rFonts w:ascii="Arial" w:hAnsi="Arial" w:cs="Arial"/>
          <w:sz w:val="24"/>
          <w:szCs w:val="24"/>
        </w:rPr>
        <w:lastRenderedPageBreak/>
        <w:t>reinstatement to be granted.</w:t>
      </w:r>
      <w:r w:rsidR="00787313">
        <w:rPr>
          <w:rFonts w:ascii="Arial" w:hAnsi="Arial" w:cs="Arial"/>
          <w:sz w:val="24"/>
          <w:szCs w:val="24"/>
        </w:rPr>
        <w:t xml:space="preserve"> The court accordingly hear</w:t>
      </w:r>
      <w:r w:rsidR="00A501D5">
        <w:rPr>
          <w:rFonts w:ascii="Arial" w:hAnsi="Arial" w:cs="Arial"/>
          <w:sz w:val="24"/>
          <w:szCs w:val="24"/>
        </w:rPr>
        <w:t>d</w:t>
      </w:r>
      <w:r w:rsidR="00787313">
        <w:rPr>
          <w:rFonts w:ascii="Arial" w:hAnsi="Arial" w:cs="Arial"/>
          <w:sz w:val="24"/>
          <w:szCs w:val="24"/>
        </w:rPr>
        <w:t xml:space="preserve"> full argument on the merits of the appeal.</w:t>
      </w:r>
    </w:p>
    <w:p w:rsidR="000C2D19" w:rsidRDefault="000C2D19" w:rsidP="00587010">
      <w:pPr>
        <w:rPr>
          <w:rFonts w:ascii="Arial" w:hAnsi="Arial" w:cs="Arial"/>
          <w:sz w:val="24"/>
          <w:szCs w:val="24"/>
        </w:rPr>
      </w:pPr>
    </w:p>
    <w:p w:rsidR="00587010" w:rsidRPr="00587010" w:rsidRDefault="00587010" w:rsidP="00587010">
      <w:pPr>
        <w:rPr>
          <w:rFonts w:ascii="Arial" w:hAnsi="Arial" w:cs="Arial"/>
          <w:sz w:val="24"/>
          <w:szCs w:val="24"/>
          <w:u w:val="single"/>
        </w:rPr>
      </w:pPr>
      <w:r>
        <w:rPr>
          <w:rFonts w:ascii="Arial" w:hAnsi="Arial" w:cs="Arial"/>
          <w:sz w:val="24"/>
          <w:szCs w:val="24"/>
          <w:u w:val="single"/>
        </w:rPr>
        <w:t>Factual background</w:t>
      </w:r>
    </w:p>
    <w:p w:rsidR="000C2D19" w:rsidRDefault="00587010" w:rsidP="0051346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respondent (B</w:t>
      </w:r>
      <w:r w:rsidR="00787313">
        <w:rPr>
          <w:rFonts w:ascii="Arial" w:hAnsi="Arial" w:cs="Arial"/>
          <w:sz w:val="24"/>
          <w:szCs w:val="24"/>
        </w:rPr>
        <w:t>o</w:t>
      </w:r>
      <w:r>
        <w:rPr>
          <w:rFonts w:ascii="Arial" w:hAnsi="Arial" w:cs="Arial"/>
          <w:sz w:val="24"/>
          <w:szCs w:val="24"/>
        </w:rPr>
        <w:t xml:space="preserve">N) is the regulator of the banking sector. It exercises wide powers of control and supervision over banks in order to </w:t>
      </w:r>
      <w:r w:rsidR="00787313">
        <w:rPr>
          <w:rFonts w:ascii="Arial" w:hAnsi="Arial" w:cs="Arial"/>
          <w:sz w:val="24"/>
          <w:szCs w:val="24"/>
        </w:rPr>
        <w:t xml:space="preserve">fulfil its statutory objectives to </w:t>
      </w:r>
      <w:r>
        <w:rPr>
          <w:rFonts w:ascii="Arial" w:hAnsi="Arial" w:cs="Arial"/>
          <w:sz w:val="24"/>
          <w:szCs w:val="24"/>
        </w:rPr>
        <w:t>maintain and promote a sound monetary credit and financial system in Namibia and to sustain the liquidity, solvency and functioning of that system.</w:t>
      </w:r>
      <w:r>
        <w:rPr>
          <w:rStyle w:val="FootnoteReference"/>
          <w:rFonts w:ascii="Arial" w:hAnsi="Arial" w:cs="Arial"/>
          <w:sz w:val="24"/>
          <w:szCs w:val="24"/>
        </w:rPr>
        <w:footnoteReference w:id="2"/>
      </w:r>
      <w:r>
        <w:rPr>
          <w:rFonts w:ascii="Arial" w:hAnsi="Arial" w:cs="Arial"/>
          <w:sz w:val="24"/>
          <w:szCs w:val="24"/>
        </w:rPr>
        <w:t xml:space="preserve"> Its statutory purposes also include the promotion and maintenance of monetary stability and conditions conducive to orderly, balanced and sustained economic development of Namibia.</w:t>
      </w:r>
      <w:r>
        <w:rPr>
          <w:rStyle w:val="FootnoteReference"/>
          <w:rFonts w:ascii="Arial" w:hAnsi="Arial" w:cs="Arial"/>
          <w:sz w:val="24"/>
          <w:szCs w:val="24"/>
        </w:rPr>
        <w:footnoteReference w:id="3"/>
      </w:r>
    </w:p>
    <w:p w:rsidR="000C2D19" w:rsidRDefault="000C2D19" w:rsidP="000C2D19">
      <w:pPr>
        <w:pStyle w:val="ListParagraph"/>
        <w:rPr>
          <w:rFonts w:ascii="Arial" w:hAnsi="Arial" w:cs="Arial"/>
          <w:sz w:val="24"/>
          <w:szCs w:val="24"/>
        </w:rPr>
      </w:pPr>
    </w:p>
    <w:p w:rsidR="000C2D19" w:rsidRDefault="00587010" w:rsidP="0051346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Included in its wide power</w:t>
      </w:r>
      <w:r w:rsidR="00787313">
        <w:rPr>
          <w:rFonts w:ascii="Arial" w:hAnsi="Arial" w:cs="Arial"/>
          <w:sz w:val="24"/>
          <w:szCs w:val="24"/>
        </w:rPr>
        <w:t>s</w:t>
      </w:r>
      <w:r>
        <w:rPr>
          <w:rFonts w:ascii="Arial" w:hAnsi="Arial" w:cs="Arial"/>
          <w:sz w:val="24"/>
          <w:szCs w:val="24"/>
        </w:rPr>
        <w:t xml:space="preserve"> under the BIA is requiring a banking </w:t>
      </w:r>
      <w:r w:rsidR="003863FC">
        <w:rPr>
          <w:rFonts w:ascii="Arial" w:hAnsi="Arial" w:cs="Arial"/>
          <w:sz w:val="24"/>
          <w:szCs w:val="24"/>
        </w:rPr>
        <w:t>institution</w:t>
      </w:r>
      <w:r w:rsidR="00A501D5">
        <w:rPr>
          <w:rFonts w:ascii="Arial" w:hAnsi="Arial" w:cs="Arial"/>
          <w:sz w:val="24"/>
          <w:szCs w:val="24"/>
        </w:rPr>
        <w:t xml:space="preserve"> (such as SME Bank)</w:t>
      </w:r>
      <w:r w:rsidR="003863FC">
        <w:rPr>
          <w:rFonts w:ascii="Arial" w:hAnsi="Arial" w:cs="Arial"/>
          <w:sz w:val="24"/>
          <w:szCs w:val="24"/>
        </w:rPr>
        <w:t xml:space="preserve"> to acquire further capital funds</w:t>
      </w:r>
      <w:r w:rsidR="00787313">
        <w:rPr>
          <w:rFonts w:ascii="Arial" w:hAnsi="Arial" w:cs="Arial"/>
          <w:sz w:val="24"/>
          <w:szCs w:val="24"/>
        </w:rPr>
        <w:t xml:space="preserve"> as</w:t>
      </w:r>
      <w:r w:rsidR="003863FC">
        <w:rPr>
          <w:rFonts w:ascii="Arial" w:hAnsi="Arial" w:cs="Arial"/>
          <w:sz w:val="24"/>
          <w:szCs w:val="24"/>
        </w:rPr>
        <w:t xml:space="preserve"> specified by BoN when there is a risk of existing capital funds of that bank being impaired.</w:t>
      </w:r>
      <w:r w:rsidR="003863FC">
        <w:rPr>
          <w:rStyle w:val="FootnoteReference"/>
          <w:rFonts w:ascii="Arial" w:hAnsi="Arial" w:cs="Arial"/>
          <w:sz w:val="24"/>
          <w:szCs w:val="24"/>
        </w:rPr>
        <w:footnoteReference w:id="4"/>
      </w:r>
      <w:r w:rsidR="003863FC">
        <w:rPr>
          <w:rFonts w:ascii="Arial" w:hAnsi="Arial" w:cs="Arial"/>
          <w:sz w:val="24"/>
          <w:szCs w:val="24"/>
        </w:rPr>
        <w:t xml:space="preserve"> B</w:t>
      </w:r>
      <w:r w:rsidR="00787313">
        <w:rPr>
          <w:rFonts w:ascii="Arial" w:hAnsi="Arial" w:cs="Arial"/>
          <w:sz w:val="24"/>
          <w:szCs w:val="24"/>
        </w:rPr>
        <w:t>o</w:t>
      </w:r>
      <w:r w:rsidR="003863FC">
        <w:rPr>
          <w:rFonts w:ascii="Arial" w:hAnsi="Arial" w:cs="Arial"/>
          <w:sz w:val="24"/>
          <w:szCs w:val="24"/>
        </w:rPr>
        <w:t>N is also empowered to conduct examination(s) of the affairs of a bank to determine whether it is in a sound financial condition and whether the BIA and other statutes are being complied with.</w:t>
      </w:r>
    </w:p>
    <w:p w:rsidR="000C2D19" w:rsidRDefault="000C2D19" w:rsidP="000C2D19">
      <w:pPr>
        <w:pStyle w:val="ListParagraph"/>
        <w:rPr>
          <w:rFonts w:ascii="Arial" w:hAnsi="Arial" w:cs="Arial"/>
          <w:sz w:val="24"/>
          <w:szCs w:val="24"/>
        </w:rPr>
      </w:pPr>
    </w:p>
    <w:p w:rsidR="000C2D19" w:rsidRDefault="003863FC" w:rsidP="0051346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B</w:t>
      </w:r>
      <w:r w:rsidR="00787313">
        <w:rPr>
          <w:rFonts w:ascii="Arial" w:hAnsi="Arial" w:cs="Arial"/>
          <w:sz w:val="24"/>
          <w:szCs w:val="24"/>
        </w:rPr>
        <w:t>o</w:t>
      </w:r>
      <w:r>
        <w:rPr>
          <w:rFonts w:ascii="Arial" w:hAnsi="Arial" w:cs="Arial"/>
          <w:sz w:val="24"/>
          <w:szCs w:val="24"/>
        </w:rPr>
        <w:t>N is expressly authorised to apply for the winding-up of a bank.</w:t>
      </w:r>
      <w:r>
        <w:rPr>
          <w:rStyle w:val="FootnoteReference"/>
          <w:rFonts w:ascii="Arial" w:hAnsi="Arial" w:cs="Arial"/>
          <w:sz w:val="24"/>
          <w:szCs w:val="24"/>
        </w:rPr>
        <w:footnoteReference w:id="5"/>
      </w:r>
    </w:p>
    <w:p w:rsidR="003863FC" w:rsidRDefault="003863FC" w:rsidP="003863FC">
      <w:pPr>
        <w:pStyle w:val="ListParagraph"/>
        <w:rPr>
          <w:rFonts w:ascii="Arial" w:hAnsi="Arial" w:cs="Arial"/>
          <w:sz w:val="24"/>
          <w:szCs w:val="24"/>
        </w:rPr>
      </w:pPr>
    </w:p>
    <w:p w:rsidR="003863FC" w:rsidRDefault="003863FC" w:rsidP="0051346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winding-up application arose in the following way. As its name would suggest, the SME Bank was set up</w:t>
      </w:r>
      <w:r w:rsidR="00A501D5">
        <w:rPr>
          <w:rFonts w:ascii="Arial" w:hAnsi="Arial" w:cs="Arial"/>
          <w:sz w:val="24"/>
          <w:szCs w:val="24"/>
        </w:rPr>
        <w:t xml:space="preserve"> as a banking institution</w:t>
      </w:r>
      <w:r>
        <w:rPr>
          <w:rFonts w:ascii="Arial" w:hAnsi="Arial" w:cs="Arial"/>
          <w:sz w:val="24"/>
          <w:szCs w:val="24"/>
        </w:rPr>
        <w:t xml:space="preserve"> with the </w:t>
      </w:r>
      <w:r w:rsidR="00787313">
        <w:rPr>
          <w:rFonts w:ascii="Arial" w:hAnsi="Arial" w:cs="Arial"/>
          <w:sz w:val="24"/>
          <w:szCs w:val="24"/>
        </w:rPr>
        <w:t>laudable</w:t>
      </w:r>
      <w:r>
        <w:rPr>
          <w:rFonts w:ascii="Arial" w:hAnsi="Arial" w:cs="Arial"/>
          <w:sz w:val="24"/>
          <w:szCs w:val="24"/>
        </w:rPr>
        <w:t xml:space="preserve"> aim of </w:t>
      </w:r>
      <w:r w:rsidR="00787313">
        <w:rPr>
          <w:rFonts w:ascii="Arial" w:hAnsi="Arial" w:cs="Arial"/>
          <w:sz w:val="24"/>
          <w:szCs w:val="24"/>
        </w:rPr>
        <w:lastRenderedPageBreak/>
        <w:t xml:space="preserve">serving </w:t>
      </w:r>
      <w:r>
        <w:rPr>
          <w:rFonts w:ascii="Arial" w:hAnsi="Arial" w:cs="Arial"/>
          <w:sz w:val="24"/>
          <w:szCs w:val="24"/>
        </w:rPr>
        <w:t xml:space="preserve">small and medium enterprises, especially in rural </w:t>
      </w:r>
      <w:r w:rsidR="00787313">
        <w:rPr>
          <w:rFonts w:ascii="Arial" w:hAnsi="Arial" w:cs="Arial"/>
          <w:sz w:val="24"/>
          <w:szCs w:val="24"/>
        </w:rPr>
        <w:t xml:space="preserve">or outlying </w:t>
      </w:r>
      <w:r>
        <w:rPr>
          <w:rFonts w:ascii="Arial" w:hAnsi="Arial" w:cs="Arial"/>
          <w:sz w:val="24"/>
          <w:szCs w:val="24"/>
        </w:rPr>
        <w:t>areas where businesses of that kind were underserved by the existing commercial banking sector.</w:t>
      </w:r>
    </w:p>
    <w:p w:rsidR="000C2D19" w:rsidRDefault="000C2D19" w:rsidP="000C2D19">
      <w:pPr>
        <w:pStyle w:val="ListParagraph"/>
        <w:rPr>
          <w:rFonts w:ascii="Arial" w:hAnsi="Arial" w:cs="Arial"/>
          <w:sz w:val="24"/>
          <w:szCs w:val="24"/>
        </w:rPr>
      </w:pPr>
    </w:p>
    <w:p w:rsidR="000C2D19" w:rsidRDefault="003863FC" w:rsidP="0051346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Its shareholders comprised the Government with its 65 percent stake and the appellants which are both Zimbabwean corporate entities.</w:t>
      </w:r>
    </w:p>
    <w:p w:rsidR="000C2D19" w:rsidRDefault="000C2D19" w:rsidP="000C2D19">
      <w:pPr>
        <w:pStyle w:val="ListParagraph"/>
        <w:rPr>
          <w:rFonts w:ascii="Arial" w:hAnsi="Arial" w:cs="Arial"/>
          <w:sz w:val="24"/>
          <w:szCs w:val="24"/>
        </w:rPr>
      </w:pPr>
    </w:p>
    <w:p w:rsidR="00A501D5" w:rsidRDefault="00092565" w:rsidP="0051346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During August 2016</w:t>
      </w:r>
      <w:r w:rsidR="001C1802">
        <w:rPr>
          <w:rFonts w:ascii="Arial" w:hAnsi="Arial" w:cs="Arial"/>
          <w:sz w:val="24"/>
          <w:szCs w:val="24"/>
        </w:rPr>
        <w:t>,</w:t>
      </w:r>
      <w:r>
        <w:rPr>
          <w:rFonts w:ascii="Arial" w:hAnsi="Arial" w:cs="Arial"/>
          <w:sz w:val="24"/>
          <w:szCs w:val="24"/>
        </w:rPr>
        <w:t xml:space="preserve"> SME Bank’s external auditors had concerns about investment</w:t>
      </w:r>
      <w:r w:rsidR="00A501D5">
        <w:rPr>
          <w:rFonts w:ascii="Arial" w:hAnsi="Arial" w:cs="Arial"/>
          <w:sz w:val="24"/>
          <w:szCs w:val="24"/>
        </w:rPr>
        <w:t>s</w:t>
      </w:r>
      <w:r>
        <w:rPr>
          <w:rFonts w:ascii="Arial" w:hAnsi="Arial" w:cs="Arial"/>
          <w:sz w:val="24"/>
          <w:szCs w:val="24"/>
        </w:rPr>
        <w:t xml:space="preserve"> totalling N$196 million by SME Bank with a South African entity called Mamepe Capital </w:t>
      </w:r>
      <w:r w:rsidR="00A501D5">
        <w:rPr>
          <w:rFonts w:ascii="Arial" w:hAnsi="Arial" w:cs="Arial"/>
          <w:sz w:val="24"/>
          <w:szCs w:val="24"/>
        </w:rPr>
        <w:t xml:space="preserve">(Pty) Ltd (Mamepe) </w:t>
      </w:r>
      <w:r>
        <w:rPr>
          <w:rFonts w:ascii="Arial" w:hAnsi="Arial" w:cs="Arial"/>
          <w:sz w:val="24"/>
          <w:szCs w:val="24"/>
        </w:rPr>
        <w:t>and drew these concerns</w:t>
      </w:r>
      <w:r w:rsidR="00787313">
        <w:rPr>
          <w:rFonts w:ascii="Arial" w:hAnsi="Arial" w:cs="Arial"/>
          <w:sz w:val="24"/>
          <w:szCs w:val="24"/>
        </w:rPr>
        <w:t xml:space="preserve"> to the attention of Bo</w:t>
      </w:r>
      <w:r w:rsidR="00A501D5">
        <w:rPr>
          <w:rFonts w:ascii="Arial" w:hAnsi="Arial" w:cs="Arial"/>
          <w:sz w:val="24"/>
          <w:szCs w:val="24"/>
        </w:rPr>
        <w:t>N</w:t>
      </w:r>
      <w:r w:rsidR="00787313">
        <w:rPr>
          <w:rFonts w:ascii="Arial" w:hAnsi="Arial" w:cs="Arial"/>
          <w:sz w:val="24"/>
          <w:szCs w:val="24"/>
        </w:rPr>
        <w:t>’s Banking Supervision Department</w:t>
      </w:r>
      <w:r w:rsidR="00EB6C94">
        <w:rPr>
          <w:rFonts w:ascii="Arial" w:hAnsi="Arial" w:cs="Arial"/>
          <w:sz w:val="24"/>
          <w:szCs w:val="24"/>
        </w:rPr>
        <w:t>.</w:t>
      </w:r>
      <w:r w:rsidR="00787313">
        <w:rPr>
          <w:rFonts w:ascii="Arial" w:hAnsi="Arial" w:cs="Arial"/>
          <w:sz w:val="24"/>
          <w:szCs w:val="24"/>
        </w:rPr>
        <w:t xml:space="preserve"> BoN’s Director of Banking Supervision sought and obtained documentation </w:t>
      </w:r>
      <w:r w:rsidR="00F92A4A">
        <w:rPr>
          <w:rFonts w:ascii="Arial" w:hAnsi="Arial" w:cs="Arial"/>
          <w:sz w:val="24"/>
          <w:szCs w:val="24"/>
        </w:rPr>
        <w:t xml:space="preserve">from SME Bank </w:t>
      </w:r>
      <w:r w:rsidR="008E7A2B">
        <w:rPr>
          <w:rFonts w:ascii="Arial" w:hAnsi="Arial" w:cs="Arial"/>
          <w:sz w:val="24"/>
          <w:szCs w:val="24"/>
        </w:rPr>
        <w:t>relating to</w:t>
      </w:r>
      <w:r w:rsidR="00787313">
        <w:rPr>
          <w:rFonts w:ascii="Arial" w:hAnsi="Arial" w:cs="Arial"/>
          <w:sz w:val="24"/>
          <w:szCs w:val="24"/>
        </w:rPr>
        <w:t xml:space="preserve"> these investments. Indications were </w:t>
      </w:r>
      <w:r w:rsidR="00A501D5">
        <w:rPr>
          <w:rFonts w:ascii="Arial" w:hAnsi="Arial" w:cs="Arial"/>
          <w:sz w:val="24"/>
          <w:szCs w:val="24"/>
        </w:rPr>
        <w:t xml:space="preserve">initially </w:t>
      </w:r>
      <w:r w:rsidR="00787313">
        <w:rPr>
          <w:rFonts w:ascii="Arial" w:hAnsi="Arial" w:cs="Arial"/>
          <w:sz w:val="24"/>
          <w:szCs w:val="24"/>
        </w:rPr>
        <w:t xml:space="preserve">that these investments were placed by Mamepe with VBS Mutual Bank </w:t>
      </w:r>
      <w:r w:rsidR="00EB6C94">
        <w:rPr>
          <w:rFonts w:ascii="Arial" w:hAnsi="Arial" w:cs="Arial"/>
          <w:sz w:val="24"/>
          <w:szCs w:val="24"/>
        </w:rPr>
        <w:t>Limit</w:t>
      </w:r>
      <w:r w:rsidR="008E7A2B">
        <w:rPr>
          <w:rFonts w:ascii="Arial" w:hAnsi="Arial" w:cs="Arial"/>
          <w:sz w:val="24"/>
          <w:szCs w:val="24"/>
        </w:rPr>
        <w:t>ed</w:t>
      </w:r>
      <w:r w:rsidR="00EB6C94">
        <w:rPr>
          <w:rFonts w:ascii="Arial" w:hAnsi="Arial" w:cs="Arial"/>
          <w:sz w:val="24"/>
          <w:szCs w:val="24"/>
        </w:rPr>
        <w:t xml:space="preserve"> </w:t>
      </w:r>
      <w:r w:rsidR="00A501D5">
        <w:rPr>
          <w:rFonts w:ascii="Arial" w:hAnsi="Arial" w:cs="Arial"/>
          <w:sz w:val="24"/>
          <w:szCs w:val="24"/>
        </w:rPr>
        <w:t>(VBS)</w:t>
      </w:r>
      <w:r w:rsidR="008E7A2B">
        <w:rPr>
          <w:rFonts w:ascii="Arial" w:hAnsi="Arial" w:cs="Arial"/>
          <w:sz w:val="24"/>
          <w:szCs w:val="24"/>
        </w:rPr>
        <w:t>,</w:t>
      </w:r>
      <w:r w:rsidR="00A501D5">
        <w:rPr>
          <w:rFonts w:ascii="Arial" w:hAnsi="Arial" w:cs="Arial"/>
          <w:sz w:val="24"/>
          <w:szCs w:val="24"/>
        </w:rPr>
        <w:t xml:space="preserve"> </w:t>
      </w:r>
      <w:r w:rsidR="00787313">
        <w:rPr>
          <w:rFonts w:ascii="Arial" w:hAnsi="Arial" w:cs="Arial"/>
          <w:sz w:val="24"/>
          <w:szCs w:val="24"/>
        </w:rPr>
        <w:t>also in South Africa. The investment not only exceeded the approval limit of SME Bank’s Chief Executive Officer (and required board approval which had not been given), but</w:t>
      </w:r>
      <w:r w:rsidR="00A501D5">
        <w:rPr>
          <w:rFonts w:ascii="Arial" w:hAnsi="Arial" w:cs="Arial"/>
          <w:sz w:val="24"/>
          <w:szCs w:val="24"/>
        </w:rPr>
        <w:t xml:space="preserve"> the </w:t>
      </w:r>
      <w:r w:rsidR="00787313">
        <w:rPr>
          <w:rFonts w:ascii="Arial" w:hAnsi="Arial" w:cs="Arial"/>
          <w:sz w:val="24"/>
          <w:szCs w:val="24"/>
        </w:rPr>
        <w:t>explanations by SME Bank</w:t>
      </w:r>
      <w:r w:rsidR="00A501D5">
        <w:rPr>
          <w:rFonts w:ascii="Arial" w:hAnsi="Arial" w:cs="Arial"/>
          <w:sz w:val="24"/>
          <w:szCs w:val="24"/>
        </w:rPr>
        <w:t>’</w:t>
      </w:r>
      <w:r w:rsidR="00662DCC">
        <w:rPr>
          <w:rFonts w:ascii="Arial" w:hAnsi="Arial" w:cs="Arial"/>
          <w:sz w:val="24"/>
          <w:szCs w:val="24"/>
        </w:rPr>
        <w:t>s</w:t>
      </w:r>
      <w:r w:rsidR="00A501D5">
        <w:rPr>
          <w:rFonts w:ascii="Arial" w:hAnsi="Arial" w:cs="Arial"/>
          <w:sz w:val="24"/>
          <w:szCs w:val="24"/>
        </w:rPr>
        <w:t xml:space="preserve"> management</w:t>
      </w:r>
      <w:r w:rsidR="00787313">
        <w:rPr>
          <w:rFonts w:ascii="Arial" w:hAnsi="Arial" w:cs="Arial"/>
          <w:sz w:val="24"/>
          <w:szCs w:val="24"/>
        </w:rPr>
        <w:t xml:space="preserve"> of the further placement to VBS Mutual Bank were unsatisfactory. </w:t>
      </w:r>
    </w:p>
    <w:p w:rsidR="00A501D5" w:rsidRDefault="00A501D5" w:rsidP="00A501D5">
      <w:pPr>
        <w:pStyle w:val="ListParagraph"/>
        <w:rPr>
          <w:rFonts w:ascii="Arial" w:hAnsi="Arial" w:cs="Arial"/>
          <w:sz w:val="24"/>
          <w:szCs w:val="24"/>
        </w:rPr>
      </w:pPr>
    </w:p>
    <w:p w:rsidR="000C2D19" w:rsidRDefault="00A501D5" w:rsidP="0051346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Further investigations</w:t>
      </w:r>
      <w:r w:rsidR="00787313">
        <w:rPr>
          <w:rFonts w:ascii="Arial" w:hAnsi="Arial" w:cs="Arial"/>
          <w:sz w:val="24"/>
          <w:szCs w:val="24"/>
        </w:rPr>
        <w:t xml:space="preserve"> by BoN officials revealed liquidity challenges at SME Bank and a targeted inspection was conducted commencing 26 September 2016. By mid-December 2016, no proper confirmation could be established from SME </w:t>
      </w:r>
      <w:r w:rsidR="00140A9D">
        <w:rPr>
          <w:rFonts w:ascii="Arial" w:hAnsi="Arial" w:cs="Arial"/>
          <w:sz w:val="24"/>
          <w:szCs w:val="24"/>
        </w:rPr>
        <w:t>Bank of the investments made with Mamepe and VBS. BoN calculated that if the investments were lost, SME Bank was insolvent or at l</w:t>
      </w:r>
      <w:r>
        <w:rPr>
          <w:rFonts w:ascii="Arial" w:hAnsi="Arial" w:cs="Arial"/>
          <w:sz w:val="24"/>
          <w:szCs w:val="24"/>
        </w:rPr>
        <w:t>e</w:t>
      </w:r>
      <w:r w:rsidR="00140A9D">
        <w:rPr>
          <w:rFonts w:ascii="Arial" w:hAnsi="Arial" w:cs="Arial"/>
          <w:sz w:val="24"/>
          <w:szCs w:val="24"/>
        </w:rPr>
        <w:t>ast likely to become insolvent on the strength of capital adequacy returns filed by SME Bank.</w:t>
      </w:r>
    </w:p>
    <w:p w:rsidR="00140A9D" w:rsidRDefault="00140A9D" w:rsidP="00140A9D">
      <w:pPr>
        <w:pStyle w:val="NoSpacing"/>
        <w:spacing w:line="480" w:lineRule="auto"/>
        <w:jc w:val="both"/>
        <w:rPr>
          <w:rFonts w:ascii="Arial" w:hAnsi="Arial" w:cs="Arial"/>
          <w:sz w:val="24"/>
          <w:szCs w:val="24"/>
        </w:rPr>
      </w:pPr>
    </w:p>
    <w:p w:rsidR="00140A9D" w:rsidRDefault="00140A9D" w:rsidP="0051346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lastRenderedPageBreak/>
        <w:t>The management and b</w:t>
      </w:r>
      <w:r w:rsidR="00A501D5">
        <w:rPr>
          <w:rFonts w:ascii="Arial" w:hAnsi="Arial" w:cs="Arial"/>
          <w:sz w:val="24"/>
          <w:szCs w:val="24"/>
        </w:rPr>
        <w:t>oard of SME Bank were entirely un</w:t>
      </w:r>
      <w:r>
        <w:rPr>
          <w:rFonts w:ascii="Arial" w:hAnsi="Arial" w:cs="Arial"/>
          <w:sz w:val="24"/>
          <w:szCs w:val="24"/>
        </w:rPr>
        <w:t>able to provide satisfactory answers to BoN for</w:t>
      </w:r>
      <w:r w:rsidR="001C1802">
        <w:rPr>
          <w:rFonts w:ascii="Arial" w:hAnsi="Arial" w:cs="Arial"/>
          <w:sz w:val="24"/>
          <w:szCs w:val="24"/>
        </w:rPr>
        <w:t xml:space="preserve"> the predicament SME Bank found</w:t>
      </w:r>
      <w:r>
        <w:rPr>
          <w:rFonts w:ascii="Arial" w:hAnsi="Arial" w:cs="Arial"/>
          <w:sz w:val="24"/>
          <w:szCs w:val="24"/>
        </w:rPr>
        <w:t xml:space="preserve"> itself in. BoN ultimately assumed control </w:t>
      </w:r>
      <w:r w:rsidR="001C1802">
        <w:rPr>
          <w:rFonts w:ascii="Arial" w:hAnsi="Arial" w:cs="Arial"/>
          <w:sz w:val="24"/>
          <w:szCs w:val="24"/>
        </w:rPr>
        <w:t>of</w:t>
      </w:r>
      <w:r>
        <w:rPr>
          <w:rFonts w:ascii="Arial" w:hAnsi="Arial" w:cs="Arial"/>
          <w:sz w:val="24"/>
          <w:szCs w:val="24"/>
        </w:rPr>
        <w:t xml:space="preserve"> SME Bank from 1 March 2017 under s 56 of BIA. After assuming control of SME Bank, </w:t>
      </w:r>
      <w:r w:rsidR="00BA4655">
        <w:rPr>
          <w:rFonts w:ascii="Arial" w:hAnsi="Arial" w:cs="Arial"/>
          <w:sz w:val="24"/>
          <w:szCs w:val="24"/>
        </w:rPr>
        <w:t>e</w:t>
      </w:r>
      <w:r w:rsidR="00A501D5">
        <w:rPr>
          <w:rFonts w:ascii="Arial" w:hAnsi="Arial" w:cs="Arial"/>
          <w:sz w:val="24"/>
          <w:szCs w:val="24"/>
        </w:rPr>
        <w:t>nquiries continued concerning the investments</w:t>
      </w:r>
      <w:r>
        <w:rPr>
          <w:rFonts w:ascii="Arial" w:hAnsi="Arial" w:cs="Arial"/>
          <w:sz w:val="24"/>
          <w:szCs w:val="24"/>
        </w:rPr>
        <w:t xml:space="preserve"> which showed that earlier information provided by SME Bank’s management had been contradictory and questionable.</w:t>
      </w:r>
      <w:r w:rsidR="00766963">
        <w:rPr>
          <w:rFonts w:ascii="Arial" w:hAnsi="Arial" w:cs="Arial"/>
          <w:sz w:val="24"/>
          <w:szCs w:val="24"/>
        </w:rPr>
        <w:t xml:space="preserve"> Further enquiries revealed that of </w:t>
      </w:r>
      <w:r w:rsidR="00F92A4A">
        <w:rPr>
          <w:rFonts w:ascii="Arial" w:hAnsi="Arial" w:cs="Arial"/>
          <w:sz w:val="24"/>
          <w:szCs w:val="24"/>
        </w:rPr>
        <w:t xml:space="preserve">the </w:t>
      </w:r>
      <w:r w:rsidR="00766963">
        <w:rPr>
          <w:rFonts w:ascii="Arial" w:hAnsi="Arial" w:cs="Arial"/>
          <w:sz w:val="24"/>
          <w:szCs w:val="24"/>
        </w:rPr>
        <w:t xml:space="preserve">allegedly invested funds in South Africa totalling N$199,7 million, only an amount of N$32.7 million was with Mamepe and that N$167 million was paid into accounts of other beneficiaries and </w:t>
      </w:r>
      <w:r w:rsidR="00A501D5">
        <w:rPr>
          <w:rFonts w:ascii="Arial" w:hAnsi="Arial" w:cs="Arial"/>
          <w:sz w:val="24"/>
          <w:szCs w:val="24"/>
        </w:rPr>
        <w:t xml:space="preserve">not </w:t>
      </w:r>
      <w:r w:rsidR="00F92A4A">
        <w:rPr>
          <w:rFonts w:ascii="Arial" w:hAnsi="Arial" w:cs="Arial"/>
          <w:sz w:val="24"/>
          <w:szCs w:val="24"/>
        </w:rPr>
        <w:t xml:space="preserve">placed </w:t>
      </w:r>
      <w:r w:rsidR="00A501D5">
        <w:rPr>
          <w:rFonts w:ascii="Arial" w:hAnsi="Arial" w:cs="Arial"/>
          <w:sz w:val="24"/>
          <w:szCs w:val="24"/>
        </w:rPr>
        <w:t>with</w:t>
      </w:r>
      <w:r w:rsidR="00766963">
        <w:rPr>
          <w:rFonts w:ascii="Arial" w:hAnsi="Arial" w:cs="Arial"/>
          <w:sz w:val="24"/>
          <w:szCs w:val="24"/>
        </w:rPr>
        <w:t xml:space="preserve"> VBS, contrary to earlier statements by SME Bank</w:t>
      </w:r>
      <w:r w:rsidR="00A501D5">
        <w:rPr>
          <w:rFonts w:ascii="Arial" w:hAnsi="Arial" w:cs="Arial"/>
          <w:sz w:val="24"/>
          <w:szCs w:val="24"/>
        </w:rPr>
        <w:t>’s</w:t>
      </w:r>
      <w:r w:rsidR="00766963">
        <w:rPr>
          <w:rFonts w:ascii="Arial" w:hAnsi="Arial" w:cs="Arial"/>
          <w:sz w:val="24"/>
          <w:szCs w:val="24"/>
        </w:rPr>
        <w:t xml:space="preserve"> management. Despite demand </w:t>
      </w:r>
      <w:r w:rsidR="00A501D5">
        <w:rPr>
          <w:rFonts w:ascii="Arial" w:hAnsi="Arial" w:cs="Arial"/>
          <w:sz w:val="24"/>
          <w:szCs w:val="24"/>
        </w:rPr>
        <w:t xml:space="preserve">for payment </w:t>
      </w:r>
      <w:r w:rsidR="00766963">
        <w:rPr>
          <w:rFonts w:ascii="Arial" w:hAnsi="Arial" w:cs="Arial"/>
          <w:sz w:val="24"/>
          <w:szCs w:val="24"/>
        </w:rPr>
        <w:t xml:space="preserve">after </w:t>
      </w:r>
      <w:r w:rsidR="00A501D5">
        <w:rPr>
          <w:rFonts w:ascii="Arial" w:hAnsi="Arial" w:cs="Arial"/>
          <w:sz w:val="24"/>
          <w:szCs w:val="24"/>
        </w:rPr>
        <w:t>maturation</w:t>
      </w:r>
      <w:r w:rsidR="00766963">
        <w:rPr>
          <w:rFonts w:ascii="Arial" w:hAnsi="Arial" w:cs="Arial"/>
          <w:sz w:val="24"/>
          <w:szCs w:val="24"/>
        </w:rPr>
        <w:t xml:space="preserve"> dates of investments</w:t>
      </w:r>
      <w:r w:rsidR="00A501D5">
        <w:rPr>
          <w:rFonts w:ascii="Arial" w:hAnsi="Arial" w:cs="Arial"/>
          <w:sz w:val="24"/>
          <w:szCs w:val="24"/>
        </w:rPr>
        <w:t xml:space="preserve"> exceeding N$88 million</w:t>
      </w:r>
      <w:r w:rsidR="00766963">
        <w:rPr>
          <w:rFonts w:ascii="Arial" w:hAnsi="Arial" w:cs="Arial"/>
          <w:sz w:val="24"/>
          <w:szCs w:val="24"/>
        </w:rPr>
        <w:t>, no amounts were returned by Mamepe until the provisional winding-up application was lodged in July 2017. Thereafter no sums were received by the provisional liquidat</w:t>
      </w:r>
      <w:r w:rsidR="00F92A4A">
        <w:rPr>
          <w:rFonts w:ascii="Arial" w:hAnsi="Arial" w:cs="Arial"/>
          <w:sz w:val="24"/>
          <w:szCs w:val="24"/>
        </w:rPr>
        <w:t>ors</w:t>
      </w:r>
      <w:r w:rsidR="00766963">
        <w:rPr>
          <w:rFonts w:ascii="Arial" w:hAnsi="Arial" w:cs="Arial"/>
          <w:sz w:val="24"/>
          <w:szCs w:val="24"/>
        </w:rPr>
        <w:t xml:space="preserve"> until the return date of 18 October 2017</w:t>
      </w:r>
      <w:r w:rsidR="00A501D5">
        <w:rPr>
          <w:rFonts w:ascii="Arial" w:hAnsi="Arial" w:cs="Arial"/>
          <w:sz w:val="24"/>
          <w:szCs w:val="24"/>
        </w:rPr>
        <w:t>, despite a further maturity date arising in the interim</w:t>
      </w:r>
      <w:r w:rsidR="00766963">
        <w:rPr>
          <w:rFonts w:ascii="Arial" w:hAnsi="Arial" w:cs="Arial"/>
          <w:sz w:val="24"/>
          <w:szCs w:val="24"/>
        </w:rPr>
        <w:t>.</w:t>
      </w:r>
    </w:p>
    <w:p w:rsidR="00140A9D" w:rsidRDefault="00140A9D" w:rsidP="00140A9D">
      <w:pPr>
        <w:pStyle w:val="NoSpacing"/>
        <w:spacing w:line="480" w:lineRule="auto"/>
        <w:jc w:val="both"/>
        <w:rPr>
          <w:rFonts w:ascii="Arial" w:hAnsi="Arial" w:cs="Arial"/>
          <w:sz w:val="24"/>
          <w:szCs w:val="24"/>
        </w:rPr>
      </w:pPr>
    </w:p>
    <w:p w:rsidR="00140A9D" w:rsidRDefault="00766963" w:rsidP="0051346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Prior to applying for the winding-up of SME Bank, BoN on 17 May 2017 required </w:t>
      </w:r>
      <w:r w:rsidR="00A501D5">
        <w:rPr>
          <w:rFonts w:ascii="Arial" w:hAnsi="Arial" w:cs="Arial"/>
          <w:sz w:val="24"/>
          <w:szCs w:val="24"/>
        </w:rPr>
        <w:t>SME Bank’s</w:t>
      </w:r>
      <w:r>
        <w:rPr>
          <w:rFonts w:ascii="Arial" w:hAnsi="Arial" w:cs="Arial"/>
          <w:sz w:val="24"/>
          <w:szCs w:val="24"/>
        </w:rPr>
        <w:t xml:space="preserve"> shareholders to acquire further capital to restore </w:t>
      </w:r>
      <w:r w:rsidR="00A501D5">
        <w:rPr>
          <w:rFonts w:ascii="Arial" w:hAnsi="Arial" w:cs="Arial"/>
          <w:sz w:val="24"/>
          <w:szCs w:val="24"/>
        </w:rPr>
        <w:t>its</w:t>
      </w:r>
      <w:r>
        <w:rPr>
          <w:rFonts w:ascii="Arial" w:hAnsi="Arial" w:cs="Arial"/>
          <w:sz w:val="24"/>
          <w:szCs w:val="24"/>
        </w:rPr>
        <w:t xml:space="preserve"> solvency. This was because BoN found that the investments in Mamepe and VBS </w:t>
      </w:r>
      <w:r w:rsidR="0014303A">
        <w:rPr>
          <w:rFonts w:ascii="Arial" w:hAnsi="Arial" w:cs="Arial"/>
          <w:sz w:val="24"/>
          <w:szCs w:val="24"/>
        </w:rPr>
        <w:t xml:space="preserve">were unsound and </w:t>
      </w:r>
      <w:r w:rsidR="00BC5BFA">
        <w:rPr>
          <w:rFonts w:ascii="Arial" w:hAnsi="Arial" w:cs="Arial"/>
          <w:sz w:val="24"/>
          <w:szCs w:val="24"/>
        </w:rPr>
        <w:t xml:space="preserve">held the view </w:t>
      </w:r>
      <w:r w:rsidR="0014303A">
        <w:rPr>
          <w:rFonts w:ascii="Arial" w:hAnsi="Arial" w:cs="Arial"/>
          <w:sz w:val="24"/>
          <w:szCs w:val="24"/>
        </w:rPr>
        <w:t>that SME Bank was insolvent.</w:t>
      </w:r>
    </w:p>
    <w:p w:rsidR="0014303A" w:rsidRDefault="0014303A" w:rsidP="0014303A">
      <w:pPr>
        <w:pStyle w:val="ListParagraph"/>
        <w:rPr>
          <w:rFonts w:ascii="Arial" w:hAnsi="Arial" w:cs="Arial"/>
          <w:sz w:val="24"/>
          <w:szCs w:val="24"/>
        </w:rPr>
      </w:pPr>
    </w:p>
    <w:p w:rsidR="0014303A" w:rsidRDefault="0014303A" w:rsidP="0051346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majority shareholder, being the Namibian Government decline</w:t>
      </w:r>
      <w:r w:rsidR="00BE3075">
        <w:rPr>
          <w:rFonts w:ascii="Arial" w:hAnsi="Arial" w:cs="Arial"/>
          <w:sz w:val="24"/>
          <w:szCs w:val="24"/>
        </w:rPr>
        <w:t>d</w:t>
      </w:r>
      <w:r>
        <w:rPr>
          <w:rFonts w:ascii="Arial" w:hAnsi="Arial" w:cs="Arial"/>
          <w:sz w:val="24"/>
          <w:szCs w:val="24"/>
        </w:rPr>
        <w:t xml:space="preserve"> to recapitalise the SME Bank and informed BoN to that effect. The appellants</w:t>
      </w:r>
      <w:r w:rsidR="00662DCC">
        <w:rPr>
          <w:rFonts w:ascii="Arial" w:hAnsi="Arial" w:cs="Arial"/>
          <w:sz w:val="24"/>
          <w:szCs w:val="24"/>
        </w:rPr>
        <w:t>,</w:t>
      </w:r>
      <w:r>
        <w:rPr>
          <w:rFonts w:ascii="Arial" w:hAnsi="Arial" w:cs="Arial"/>
          <w:sz w:val="24"/>
          <w:szCs w:val="24"/>
        </w:rPr>
        <w:t xml:space="preserve"> </w:t>
      </w:r>
      <w:r w:rsidR="00BE3075">
        <w:rPr>
          <w:rFonts w:ascii="Arial" w:hAnsi="Arial" w:cs="Arial"/>
          <w:sz w:val="24"/>
          <w:szCs w:val="24"/>
        </w:rPr>
        <w:t xml:space="preserve">although expressing a willingness to do so, </w:t>
      </w:r>
      <w:r>
        <w:rPr>
          <w:rFonts w:ascii="Arial" w:hAnsi="Arial" w:cs="Arial"/>
          <w:sz w:val="24"/>
          <w:szCs w:val="24"/>
        </w:rPr>
        <w:t xml:space="preserve">did not properly address </w:t>
      </w:r>
      <w:r w:rsidR="00BE3075">
        <w:rPr>
          <w:rFonts w:ascii="Arial" w:hAnsi="Arial" w:cs="Arial"/>
          <w:sz w:val="24"/>
          <w:szCs w:val="24"/>
        </w:rPr>
        <w:t xml:space="preserve">what steps </w:t>
      </w:r>
      <w:r w:rsidR="00F92A4A">
        <w:rPr>
          <w:rFonts w:ascii="Arial" w:hAnsi="Arial" w:cs="Arial"/>
          <w:sz w:val="24"/>
          <w:szCs w:val="24"/>
        </w:rPr>
        <w:t>they</w:t>
      </w:r>
      <w:r w:rsidR="00BE3075">
        <w:rPr>
          <w:rFonts w:ascii="Arial" w:hAnsi="Arial" w:cs="Arial"/>
          <w:sz w:val="24"/>
          <w:szCs w:val="24"/>
        </w:rPr>
        <w:t xml:space="preserve"> would take on </w:t>
      </w:r>
      <w:r>
        <w:rPr>
          <w:rFonts w:ascii="Arial" w:hAnsi="Arial" w:cs="Arial"/>
          <w:sz w:val="24"/>
          <w:szCs w:val="24"/>
        </w:rPr>
        <w:t xml:space="preserve">this issue either prior to the winding-up application or in </w:t>
      </w:r>
      <w:r w:rsidR="00BA4655">
        <w:rPr>
          <w:rFonts w:ascii="Arial" w:hAnsi="Arial" w:cs="Arial"/>
          <w:sz w:val="24"/>
          <w:szCs w:val="24"/>
        </w:rPr>
        <w:t>their</w:t>
      </w:r>
      <w:r>
        <w:rPr>
          <w:rFonts w:ascii="Arial" w:hAnsi="Arial" w:cs="Arial"/>
          <w:sz w:val="24"/>
          <w:szCs w:val="24"/>
        </w:rPr>
        <w:t xml:space="preserve"> lengthy opposing affidavit after the provisional order was granted.</w:t>
      </w:r>
    </w:p>
    <w:p w:rsidR="0014303A" w:rsidRDefault="0014303A" w:rsidP="00662DCC">
      <w:pPr>
        <w:rPr>
          <w:rFonts w:ascii="Arial" w:hAnsi="Arial" w:cs="Arial"/>
          <w:sz w:val="24"/>
          <w:szCs w:val="24"/>
        </w:rPr>
      </w:pPr>
    </w:p>
    <w:p w:rsidR="00662DCC" w:rsidRPr="00662DCC" w:rsidRDefault="00662DCC" w:rsidP="00662DCC">
      <w:pPr>
        <w:rPr>
          <w:rFonts w:ascii="Arial" w:hAnsi="Arial" w:cs="Arial"/>
          <w:sz w:val="24"/>
          <w:szCs w:val="24"/>
          <w:u w:val="single"/>
        </w:rPr>
      </w:pPr>
      <w:r>
        <w:rPr>
          <w:rFonts w:ascii="Arial" w:hAnsi="Arial" w:cs="Arial"/>
          <w:sz w:val="24"/>
          <w:szCs w:val="24"/>
          <w:u w:val="single"/>
        </w:rPr>
        <w:lastRenderedPageBreak/>
        <w:t>Proceedings before the High Court</w:t>
      </w:r>
    </w:p>
    <w:p w:rsidR="0014303A" w:rsidRDefault="0014303A" w:rsidP="0051346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appellants were provided with very short notice of the</w:t>
      </w:r>
      <w:r w:rsidR="00BC5BFA">
        <w:rPr>
          <w:rFonts w:ascii="Arial" w:hAnsi="Arial" w:cs="Arial"/>
          <w:sz w:val="24"/>
          <w:szCs w:val="24"/>
        </w:rPr>
        <w:t xml:space="preserve"> winding-up</w:t>
      </w:r>
      <w:r>
        <w:rPr>
          <w:rFonts w:ascii="Arial" w:hAnsi="Arial" w:cs="Arial"/>
          <w:sz w:val="24"/>
          <w:szCs w:val="24"/>
        </w:rPr>
        <w:t xml:space="preserve"> application and were only able to raise procedural points in opposition. </w:t>
      </w:r>
      <w:r w:rsidR="008E7A2B">
        <w:rPr>
          <w:rFonts w:ascii="Arial" w:hAnsi="Arial" w:cs="Arial"/>
          <w:sz w:val="24"/>
          <w:szCs w:val="24"/>
        </w:rPr>
        <w:t>These were dismissed and the provisional order was granted and</w:t>
      </w:r>
      <w:r>
        <w:rPr>
          <w:rFonts w:ascii="Arial" w:hAnsi="Arial" w:cs="Arial"/>
          <w:sz w:val="24"/>
          <w:szCs w:val="24"/>
        </w:rPr>
        <w:t xml:space="preserve"> the appellants</w:t>
      </w:r>
      <w:r w:rsidR="008E7A2B">
        <w:rPr>
          <w:rFonts w:ascii="Arial" w:hAnsi="Arial" w:cs="Arial"/>
          <w:sz w:val="24"/>
          <w:szCs w:val="24"/>
        </w:rPr>
        <w:t xml:space="preserve"> thereafter</w:t>
      </w:r>
      <w:r>
        <w:rPr>
          <w:rFonts w:ascii="Arial" w:hAnsi="Arial" w:cs="Arial"/>
          <w:sz w:val="24"/>
          <w:szCs w:val="24"/>
        </w:rPr>
        <w:t xml:space="preserve"> filed their opposing affidavit. </w:t>
      </w:r>
    </w:p>
    <w:p w:rsidR="0014303A" w:rsidRDefault="0014303A" w:rsidP="0014303A">
      <w:pPr>
        <w:pStyle w:val="ListParagraph"/>
        <w:rPr>
          <w:rFonts w:ascii="Arial" w:hAnsi="Arial" w:cs="Arial"/>
          <w:sz w:val="24"/>
          <w:szCs w:val="24"/>
        </w:rPr>
      </w:pPr>
    </w:p>
    <w:p w:rsidR="0014303A" w:rsidRDefault="0014303A" w:rsidP="0051346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Although </w:t>
      </w:r>
      <w:r w:rsidR="00BE3075">
        <w:rPr>
          <w:rFonts w:ascii="Arial" w:hAnsi="Arial" w:cs="Arial"/>
          <w:sz w:val="24"/>
          <w:szCs w:val="24"/>
        </w:rPr>
        <w:t>they</w:t>
      </w:r>
      <w:r>
        <w:rPr>
          <w:rFonts w:ascii="Arial" w:hAnsi="Arial" w:cs="Arial"/>
          <w:sz w:val="24"/>
          <w:szCs w:val="24"/>
        </w:rPr>
        <w:t xml:space="preserve"> denied that the investments with Mamepe and VBS were unsound</w:t>
      </w:r>
      <w:r w:rsidR="00BC5BFA">
        <w:rPr>
          <w:rFonts w:ascii="Arial" w:hAnsi="Arial" w:cs="Arial"/>
          <w:sz w:val="24"/>
          <w:szCs w:val="24"/>
        </w:rPr>
        <w:t>,</w:t>
      </w:r>
      <w:r>
        <w:rPr>
          <w:rFonts w:ascii="Arial" w:hAnsi="Arial" w:cs="Arial"/>
          <w:sz w:val="24"/>
          <w:szCs w:val="24"/>
        </w:rPr>
        <w:t xml:space="preserve"> little contrary factual material was</w:t>
      </w:r>
      <w:r w:rsidR="00BE3075">
        <w:rPr>
          <w:rFonts w:ascii="Arial" w:hAnsi="Arial" w:cs="Arial"/>
          <w:sz w:val="24"/>
          <w:szCs w:val="24"/>
        </w:rPr>
        <w:t xml:space="preserve"> provided concerning these investments. Nor was factual material </w:t>
      </w:r>
      <w:r>
        <w:rPr>
          <w:rFonts w:ascii="Arial" w:hAnsi="Arial" w:cs="Arial"/>
          <w:sz w:val="24"/>
          <w:szCs w:val="24"/>
        </w:rPr>
        <w:t xml:space="preserve">placed before the court </w:t>
      </w:r>
      <w:r w:rsidR="00BE3075">
        <w:rPr>
          <w:rFonts w:ascii="Arial" w:hAnsi="Arial" w:cs="Arial"/>
          <w:sz w:val="24"/>
          <w:szCs w:val="24"/>
        </w:rPr>
        <w:t>displa</w:t>
      </w:r>
      <w:r w:rsidR="00BC5BFA">
        <w:rPr>
          <w:rFonts w:ascii="Arial" w:hAnsi="Arial" w:cs="Arial"/>
          <w:sz w:val="24"/>
          <w:szCs w:val="24"/>
        </w:rPr>
        <w:t>c</w:t>
      </w:r>
      <w:r w:rsidR="00BE3075">
        <w:rPr>
          <w:rFonts w:ascii="Arial" w:hAnsi="Arial" w:cs="Arial"/>
          <w:sz w:val="24"/>
          <w:szCs w:val="24"/>
        </w:rPr>
        <w:t xml:space="preserve">ing </w:t>
      </w:r>
      <w:r w:rsidR="00BC5BFA">
        <w:rPr>
          <w:rFonts w:ascii="Arial" w:hAnsi="Arial" w:cs="Arial"/>
          <w:sz w:val="24"/>
          <w:szCs w:val="24"/>
        </w:rPr>
        <w:t>BoN’s</w:t>
      </w:r>
      <w:r w:rsidR="00BE3075">
        <w:rPr>
          <w:rFonts w:ascii="Arial" w:hAnsi="Arial" w:cs="Arial"/>
          <w:sz w:val="24"/>
          <w:szCs w:val="24"/>
        </w:rPr>
        <w:t xml:space="preserve"> concerns about the</w:t>
      </w:r>
      <w:r>
        <w:rPr>
          <w:rFonts w:ascii="Arial" w:hAnsi="Arial" w:cs="Arial"/>
          <w:sz w:val="24"/>
          <w:szCs w:val="24"/>
        </w:rPr>
        <w:t xml:space="preserve"> </w:t>
      </w:r>
      <w:r w:rsidR="00992B07">
        <w:rPr>
          <w:rFonts w:ascii="Arial" w:hAnsi="Arial" w:cs="Arial"/>
          <w:sz w:val="24"/>
          <w:szCs w:val="24"/>
        </w:rPr>
        <w:t xml:space="preserve">commercial </w:t>
      </w:r>
      <w:r>
        <w:rPr>
          <w:rFonts w:ascii="Arial" w:hAnsi="Arial" w:cs="Arial"/>
          <w:sz w:val="24"/>
          <w:szCs w:val="24"/>
        </w:rPr>
        <w:t>solvency of SME Bank and its lack of liquidity and in opposition to the grounds for the winding-up.</w:t>
      </w:r>
    </w:p>
    <w:p w:rsidR="0014303A" w:rsidRDefault="0014303A" w:rsidP="0014303A">
      <w:pPr>
        <w:pStyle w:val="ListParagraph"/>
        <w:rPr>
          <w:rFonts w:ascii="Arial" w:hAnsi="Arial" w:cs="Arial"/>
          <w:sz w:val="24"/>
          <w:szCs w:val="24"/>
        </w:rPr>
      </w:pPr>
    </w:p>
    <w:p w:rsidR="0014303A" w:rsidRDefault="0014303A" w:rsidP="0051346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On the extended return date the thrust of the appellants’ opposition centred on a constitutional argument and procedural points of non-compliance with statutory provisions.</w:t>
      </w:r>
    </w:p>
    <w:p w:rsidR="0014303A" w:rsidRDefault="0014303A" w:rsidP="0014303A">
      <w:pPr>
        <w:pStyle w:val="ListParagraph"/>
        <w:rPr>
          <w:rFonts w:ascii="Arial" w:hAnsi="Arial" w:cs="Arial"/>
          <w:sz w:val="24"/>
          <w:szCs w:val="24"/>
        </w:rPr>
      </w:pPr>
    </w:p>
    <w:p w:rsidR="0014303A" w:rsidRDefault="0014303A" w:rsidP="0051346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High Court found that the SME Bank was commercially and factually insolvent and unable to honour its commitments </w:t>
      </w:r>
      <w:r w:rsidR="00992B07">
        <w:rPr>
          <w:rFonts w:ascii="Arial" w:hAnsi="Arial" w:cs="Arial"/>
          <w:sz w:val="24"/>
          <w:szCs w:val="24"/>
        </w:rPr>
        <w:t>to its investors. The court also found that the substratum of the bank had disappeared and that it was also just and equitable that it be wound-up.</w:t>
      </w:r>
    </w:p>
    <w:p w:rsidR="00992B07" w:rsidRDefault="00992B07" w:rsidP="00992B07">
      <w:pPr>
        <w:pStyle w:val="ListParagraph"/>
        <w:rPr>
          <w:rFonts w:ascii="Arial" w:hAnsi="Arial" w:cs="Arial"/>
          <w:sz w:val="24"/>
          <w:szCs w:val="24"/>
        </w:rPr>
      </w:pPr>
    </w:p>
    <w:p w:rsidR="00992B07" w:rsidRDefault="00992B07" w:rsidP="0051346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These key findings would not appear to be placed in issue by the appellants in this appeal. </w:t>
      </w:r>
      <w:r w:rsidR="00BC5BFA">
        <w:rPr>
          <w:rFonts w:ascii="Arial" w:hAnsi="Arial" w:cs="Arial"/>
          <w:sz w:val="24"/>
          <w:szCs w:val="24"/>
        </w:rPr>
        <w:t xml:space="preserve">This was confirmed </w:t>
      </w:r>
      <w:r w:rsidR="008E7A2B">
        <w:rPr>
          <w:rFonts w:ascii="Arial" w:hAnsi="Arial" w:cs="Arial"/>
          <w:sz w:val="24"/>
          <w:szCs w:val="24"/>
        </w:rPr>
        <w:t xml:space="preserve">in oral </w:t>
      </w:r>
      <w:r w:rsidR="00BA4655">
        <w:rPr>
          <w:rFonts w:ascii="Arial" w:hAnsi="Arial" w:cs="Arial"/>
          <w:sz w:val="24"/>
          <w:szCs w:val="24"/>
        </w:rPr>
        <w:t>argument</w:t>
      </w:r>
      <w:r w:rsidR="008E7A2B">
        <w:rPr>
          <w:rFonts w:ascii="Arial" w:hAnsi="Arial" w:cs="Arial"/>
          <w:sz w:val="24"/>
          <w:szCs w:val="24"/>
        </w:rPr>
        <w:t xml:space="preserve"> </w:t>
      </w:r>
      <w:r w:rsidR="00BC5BFA">
        <w:rPr>
          <w:rFonts w:ascii="Arial" w:hAnsi="Arial" w:cs="Arial"/>
          <w:sz w:val="24"/>
          <w:szCs w:val="24"/>
        </w:rPr>
        <w:t>by Mr Bishop who</w:t>
      </w:r>
      <w:r w:rsidR="008E7A2B">
        <w:rPr>
          <w:rFonts w:ascii="Arial" w:hAnsi="Arial" w:cs="Arial"/>
          <w:sz w:val="24"/>
          <w:szCs w:val="24"/>
        </w:rPr>
        <w:t>,</w:t>
      </w:r>
      <w:r w:rsidR="00BC5BFA">
        <w:rPr>
          <w:rFonts w:ascii="Arial" w:hAnsi="Arial" w:cs="Arial"/>
          <w:sz w:val="24"/>
          <w:szCs w:val="24"/>
        </w:rPr>
        <w:t xml:space="preserve"> together with </w:t>
      </w:r>
      <w:r w:rsidR="00662DCC">
        <w:rPr>
          <w:rFonts w:ascii="Arial" w:hAnsi="Arial" w:cs="Arial"/>
          <w:sz w:val="24"/>
          <w:szCs w:val="24"/>
        </w:rPr>
        <w:t xml:space="preserve">Mr </w:t>
      </w:r>
      <w:r w:rsidR="00BC5BFA">
        <w:rPr>
          <w:rFonts w:ascii="Arial" w:hAnsi="Arial" w:cs="Arial"/>
          <w:sz w:val="24"/>
          <w:szCs w:val="24"/>
        </w:rPr>
        <w:t>Namandje</w:t>
      </w:r>
      <w:r w:rsidR="008E7A2B">
        <w:rPr>
          <w:rFonts w:ascii="Arial" w:hAnsi="Arial" w:cs="Arial"/>
          <w:sz w:val="24"/>
          <w:szCs w:val="24"/>
        </w:rPr>
        <w:t>,</w:t>
      </w:r>
      <w:r w:rsidR="00BC5BFA">
        <w:rPr>
          <w:rFonts w:ascii="Arial" w:hAnsi="Arial" w:cs="Arial"/>
          <w:sz w:val="24"/>
          <w:szCs w:val="24"/>
        </w:rPr>
        <w:t xml:space="preserve"> appeared for the appellants. Mr Bishop said that the appellants </w:t>
      </w:r>
      <w:r w:rsidR="008E7A2B">
        <w:rPr>
          <w:rFonts w:ascii="Arial" w:hAnsi="Arial" w:cs="Arial"/>
          <w:sz w:val="24"/>
          <w:szCs w:val="24"/>
        </w:rPr>
        <w:t>were</w:t>
      </w:r>
      <w:r w:rsidR="00BC5BFA">
        <w:rPr>
          <w:rFonts w:ascii="Arial" w:hAnsi="Arial" w:cs="Arial"/>
          <w:sz w:val="24"/>
          <w:szCs w:val="24"/>
        </w:rPr>
        <w:t xml:space="preserve"> not </w:t>
      </w:r>
      <w:r w:rsidR="008E7A2B">
        <w:rPr>
          <w:rFonts w:ascii="Arial" w:hAnsi="Arial" w:cs="Arial"/>
          <w:sz w:val="24"/>
          <w:szCs w:val="24"/>
        </w:rPr>
        <w:t xml:space="preserve">in a position to </w:t>
      </w:r>
      <w:r w:rsidR="00BC5BFA">
        <w:rPr>
          <w:rFonts w:ascii="Arial" w:hAnsi="Arial" w:cs="Arial"/>
          <w:sz w:val="24"/>
          <w:szCs w:val="24"/>
        </w:rPr>
        <w:t xml:space="preserve">dispute the insolvency of the SME Bank as they did not have the information at their disposal to do so as BoN had taken over control of SME Bank in </w:t>
      </w:r>
      <w:r w:rsidR="00BC5BFA">
        <w:rPr>
          <w:rFonts w:ascii="Arial" w:hAnsi="Arial" w:cs="Arial"/>
          <w:sz w:val="24"/>
          <w:szCs w:val="24"/>
        </w:rPr>
        <w:lastRenderedPageBreak/>
        <w:t xml:space="preserve">March 2017. </w:t>
      </w:r>
      <w:r>
        <w:rPr>
          <w:rFonts w:ascii="Arial" w:hAnsi="Arial" w:cs="Arial"/>
          <w:sz w:val="24"/>
          <w:szCs w:val="24"/>
        </w:rPr>
        <w:t>They instead persist</w:t>
      </w:r>
      <w:r w:rsidR="008E7A2B">
        <w:rPr>
          <w:rFonts w:ascii="Arial" w:hAnsi="Arial" w:cs="Arial"/>
          <w:sz w:val="24"/>
          <w:szCs w:val="24"/>
        </w:rPr>
        <w:t>ed</w:t>
      </w:r>
      <w:r>
        <w:rPr>
          <w:rFonts w:ascii="Arial" w:hAnsi="Arial" w:cs="Arial"/>
          <w:sz w:val="24"/>
          <w:szCs w:val="24"/>
        </w:rPr>
        <w:t xml:space="preserve"> with the constitutional and procedural points and argue</w:t>
      </w:r>
      <w:r w:rsidR="00BC5BFA">
        <w:rPr>
          <w:rFonts w:ascii="Arial" w:hAnsi="Arial" w:cs="Arial"/>
          <w:sz w:val="24"/>
          <w:szCs w:val="24"/>
        </w:rPr>
        <w:t>d</w:t>
      </w:r>
      <w:r>
        <w:rPr>
          <w:rFonts w:ascii="Arial" w:hAnsi="Arial" w:cs="Arial"/>
          <w:sz w:val="24"/>
          <w:szCs w:val="24"/>
        </w:rPr>
        <w:t xml:space="preserve"> that the High Court was precluded by these points from granti</w:t>
      </w:r>
      <w:r w:rsidR="00BC5BFA">
        <w:rPr>
          <w:rFonts w:ascii="Arial" w:hAnsi="Arial" w:cs="Arial"/>
          <w:sz w:val="24"/>
          <w:szCs w:val="24"/>
        </w:rPr>
        <w:t xml:space="preserve">ng an order winding-up SME Bank and should have discharged the </w:t>
      </w:r>
      <w:r w:rsidR="008E7A2B">
        <w:rPr>
          <w:rFonts w:ascii="Arial" w:hAnsi="Arial" w:cs="Arial"/>
          <w:sz w:val="24"/>
          <w:szCs w:val="24"/>
        </w:rPr>
        <w:t>provisional order</w:t>
      </w:r>
      <w:r w:rsidR="00BC5BFA">
        <w:rPr>
          <w:rFonts w:ascii="Arial" w:hAnsi="Arial" w:cs="Arial"/>
          <w:sz w:val="24"/>
          <w:szCs w:val="24"/>
        </w:rPr>
        <w:t>.</w:t>
      </w:r>
    </w:p>
    <w:p w:rsidR="00DD165B" w:rsidRDefault="00DD165B" w:rsidP="00662DCC">
      <w:pPr>
        <w:rPr>
          <w:rFonts w:ascii="Arial" w:hAnsi="Arial" w:cs="Arial"/>
          <w:sz w:val="24"/>
          <w:szCs w:val="24"/>
        </w:rPr>
      </w:pPr>
    </w:p>
    <w:p w:rsidR="00662DCC" w:rsidRPr="00662DCC" w:rsidRDefault="00662DCC" w:rsidP="00662DCC">
      <w:pPr>
        <w:rPr>
          <w:rFonts w:ascii="Arial" w:hAnsi="Arial" w:cs="Arial"/>
          <w:sz w:val="24"/>
          <w:szCs w:val="24"/>
          <w:u w:val="single"/>
        </w:rPr>
      </w:pPr>
      <w:r>
        <w:rPr>
          <w:rFonts w:ascii="Arial" w:hAnsi="Arial" w:cs="Arial"/>
          <w:sz w:val="24"/>
          <w:szCs w:val="24"/>
          <w:u w:val="single"/>
        </w:rPr>
        <w:t>Constitutional argument</w:t>
      </w:r>
    </w:p>
    <w:p w:rsidR="00DD165B" w:rsidRDefault="004211CC" w:rsidP="0051346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Mr Bishop correctly characterised the appellant’s opposition to the winding-up as procedural. The appellants in their answering affidavit and in argument before the High Court and in written argument in this court </w:t>
      </w:r>
      <w:r w:rsidR="008E7A2B">
        <w:rPr>
          <w:rFonts w:ascii="Arial" w:hAnsi="Arial" w:cs="Arial"/>
          <w:sz w:val="24"/>
          <w:szCs w:val="24"/>
        </w:rPr>
        <w:t>relied</w:t>
      </w:r>
      <w:r>
        <w:rPr>
          <w:rFonts w:ascii="Arial" w:hAnsi="Arial" w:cs="Arial"/>
          <w:sz w:val="24"/>
          <w:szCs w:val="24"/>
        </w:rPr>
        <w:t xml:space="preserve"> upon Arts 95(j) and 98 </w:t>
      </w:r>
      <w:r w:rsidR="00BA4655">
        <w:rPr>
          <w:rFonts w:ascii="Arial" w:hAnsi="Arial" w:cs="Arial"/>
          <w:sz w:val="24"/>
          <w:szCs w:val="24"/>
        </w:rPr>
        <w:t xml:space="preserve">of the </w:t>
      </w:r>
      <w:r w:rsidR="008E7A2B">
        <w:rPr>
          <w:rFonts w:ascii="Arial" w:hAnsi="Arial" w:cs="Arial"/>
          <w:sz w:val="24"/>
          <w:szCs w:val="24"/>
        </w:rPr>
        <w:t>C</w:t>
      </w:r>
      <w:r>
        <w:rPr>
          <w:rFonts w:ascii="Arial" w:hAnsi="Arial" w:cs="Arial"/>
          <w:sz w:val="24"/>
          <w:szCs w:val="24"/>
        </w:rPr>
        <w:t>onstitution in support of their opposition to the winding-up of SME Bank. Mr Bishop explained that the appellants were not seeking to invoke a fundamental right</w:t>
      </w:r>
      <w:r w:rsidR="00F92A4A">
        <w:rPr>
          <w:rFonts w:ascii="Arial" w:hAnsi="Arial" w:cs="Arial"/>
          <w:sz w:val="24"/>
          <w:szCs w:val="24"/>
        </w:rPr>
        <w:t xml:space="preserve"> protected by the Constitution</w:t>
      </w:r>
      <w:r>
        <w:rPr>
          <w:rFonts w:ascii="Arial" w:hAnsi="Arial" w:cs="Arial"/>
          <w:sz w:val="24"/>
          <w:szCs w:val="24"/>
        </w:rPr>
        <w:t xml:space="preserve"> but</w:t>
      </w:r>
      <w:r w:rsidR="008E7A2B">
        <w:rPr>
          <w:rFonts w:ascii="Arial" w:hAnsi="Arial" w:cs="Arial"/>
          <w:sz w:val="24"/>
          <w:szCs w:val="24"/>
        </w:rPr>
        <w:t>,</w:t>
      </w:r>
      <w:r>
        <w:rPr>
          <w:rFonts w:ascii="Arial" w:hAnsi="Arial" w:cs="Arial"/>
          <w:sz w:val="24"/>
          <w:szCs w:val="24"/>
        </w:rPr>
        <w:t xml:space="preserve"> as I understood the argument, asserted that the </w:t>
      </w:r>
      <w:r w:rsidR="00953906">
        <w:rPr>
          <w:rFonts w:ascii="Arial" w:hAnsi="Arial" w:cs="Arial"/>
          <w:sz w:val="24"/>
          <w:szCs w:val="24"/>
        </w:rPr>
        <w:t xml:space="preserve">statutory provisions are to be interpreted in the light of those provisions of the Constitution. This was because SME Bank had as its objective serving small and medium enterprises which were underserved and particularly those in outlying rural areas and </w:t>
      </w:r>
      <w:r w:rsidR="00662DCC">
        <w:rPr>
          <w:rFonts w:ascii="Arial" w:hAnsi="Arial" w:cs="Arial"/>
          <w:sz w:val="24"/>
          <w:szCs w:val="24"/>
        </w:rPr>
        <w:tab/>
      </w:r>
      <w:r w:rsidR="00953906">
        <w:rPr>
          <w:rFonts w:ascii="Arial" w:hAnsi="Arial" w:cs="Arial"/>
          <w:sz w:val="24"/>
          <w:szCs w:val="24"/>
        </w:rPr>
        <w:t>thus concerned with the upliftment of previously marginalised and disadvantaged communities.</w:t>
      </w:r>
    </w:p>
    <w:p w:rsidR="00642FBC" w:rsidRDefault="00642FBC" w:rsidP="00642FBC">
      <w:pPr>
        <w:pStyle w:val="ListParagraph"/>
        <w:rPr>
          <w:rFonts w:ascii="Arial" w:hAnsi="Arial" w:cs="Arial"/>
          <w:sz w:val="24"/>
          <w:szCs w:val="24"/>
        </w:rPr>
      </w:pPr>
    </w:p>
    <w:p w:rsidR="00642FBC" w:rsidRDefault="00AB06FA" w:rsidP="0051346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Article 95</w:t>
      </w:r>
      <w:r w:rsidR="00642FBC">
        <w:rPr>
          <w:rFonts w:ascii="Arial" w:hAnsi="Arial" w:cs="Arial"/>
          <w:sz w:val="24"/>
          <w:szCs w:val="24"/>
        </w:rPr>
        <w:t>(j) enjoins the State to promote the welfare of people by</w:t>
      </w:r>
      <w:r w:rsidR="008E7A2B">
        <w:rPr>
          <w:rFonts w:ascii="Arial" w:hAnsi="Arial" w:cs="Arial"/>
          <w:sz w:val="24"/>
          <w:szCs w:val="24"/>
        </w:rPr>
        <w:t>,</w:t>
      </w:r>
      <w:r w:rsidR="00642FBC">
        <w:rPr>
          <w:rFonts w:ascii="Arial" w:hAnsi="Arial" w:cs="Arial"/>
          <w:sz w:val="24"/>
          <w:szCs w:val="24"/>
        </w:rPr>
        <w:t xml:space="preserve"> amongst others</w:t>
      </w:r>
      <w:r w:rsidR="008E7A2B">
        <w:rPr>
          <w:rFonts w:ascii="Arial" w:hAnsi="Arial" w:cs="Arial"/>
          <w:sz w:val="24"/>
          <w:szCs w:val="24"/>
        </w:rPr>
        <w:t>,</w:t>
      </w:r>
      <w:r w:rsidR="00642FBC">
        <w:rPr>
          <w:rFonts w:ascii="Arial" w:hAnsi="Arial" w:cs="Arial"/>
          <w:sz w:val="24"/>
          <w:szCs w:val="24"/>
        </w:rPr>
        <w:t xml:space="preserve"> rais</w:t>
      </w:r>
      <w:r w:rsidR="008E7A2B">
        <w:rPr>
          <w:rFonts w:ascii="Arial" w:hAnsi="Arial" w:cs="Arial"/>
          <w:sz w:val="24"/>
          <w:szCs w:val="24"/>
        </w:rPr>
        <w:t>ing</w:t>
      </w:r>
      <w:r w:rsidR="00642FBC">
        <w:rPr>
          <w:rFonts w:ascii="Arial" w:hAnsi="Arial" w:cs="Arial"/>
          <w:sz w:val="24"/>
          <w:szCs w:val="24"/>
        </w:rPr>
        <w:t xml:space="preserve"> the standard of living of the Namibian people whilst Art 98 defines Namibia’s economic order as having the objective of securing economic growth, prosperity and a life of human dignity for all Namibians. Even though these principle</w:t>
      </w:r>
      <w:r w:rsidR="008E7A2B">
        <w:rPr>
          <w:rFonts w:ascii="Arial" w:hAnsi="Arial" w:cs="Arial"/>
          <w:sz w:val="24"/>
          <w:szCs w:val="24"/>
        </w:rPr>
        <w:t>s</w:t>
      </w:r>
      <w:r w:rsidR="00642FBC">
        <w:rPr>
          <w:rFonts w:ascii="Arial" w:hAnsi="Arial" w:cs="Arial"/>
          <w:sz w:val="24"/>
          <w:szCs w:val="24"/>
        </w:rPr>
        <w:t xml:space="preserve"> of State policy are not legally enforceable by virtue of Art 101, Mr Bishop argued that they should inform the statutory interpretation of the provisions raised in the procedural attacks </w:t>
      </w:r>
      <w:r w:rsidR="008E7A2B">
        <w:rPr>
          <w:rFonts w:ascii="Arial" w:hAnsi="Arial" w:cs="Arial"/>
          <w:sz w:val="24"/>
          <w:szCs w:val="24"/>
        </w:rPr>
        <w:t>upon the exercise of</w:t>
      </w:r>
      <w:r w:rsidR="00642FBC">
        <w:rPr>
          <w:rFonts w:ascii="Arial" w:hAnsi="Arial" w:cs="Arial"/>
          <w:sz w:val="24"/>
          <w:szCs w:val="24"/>
        </w:rPr>
        <w:t xml:space="preserve"> BoN’s powers under the BIA and that a winding-up application should only have been a last resort and that BoN was obliged to exhaust less far reaching remedies before doing so</w:t>
      </w:r>
      <w:r w:rsidR="008E7A2B">
        <w:rPr>
          <w:rFonts w:ascii="Arial" w:hAnsi="Arial" w:cs="Arial"/>
          <w:sz w:val="24"/>
          <w:szCs w:val="24"/>
        </w:rPr>
        <w:t xml:space="preserve"> in view of the principles of </w:t>
      </w:r>
      <w:r w:rsidR="008E7A2B">
        <w:rPr>
          <w:rFonts w:ascii="Arial" w:hAnsi="Arial" w:cs="Arial"/>
          <w:sz w:val="24"/>
          <w:szCs w:val="24"/>
        </w:rPr>
        <w:lastRenderedPageBreak/>
        <w:t xml:space="preserve">State </w:t>
      </w:r>
      <w:r w:rsidR="00F92A4A">
        <w:rPr>
          <w:rFonts w:ascii="Arial" w:hAnsi="Arial" w:cs="Arial"/>
          <w:sz w:val="24"/>
          <w:szCs w:val="24"/>
        </w:rPr>
        <w:t xml:space="preserve">policy </w:t>
      </w:r>
      <w:r w:rsidR="008E7A2B">
        <w:rPr>
          <w:rFonts w:ascii="Arial" w:hAnsi="Arial" w:cs="Arial"/>
          <w:sz w:val="24"/>
          <w:szCs w:val="24"/>
        </w:rPr>
        <w:t xml:space="preserve">which enjoined government to pursue policies which raise the standard of living and in </w:t>
      </w:r>
      <w:r w:rsidR="00662DCC">
        <w:rPr>
          <w:rFonts w:ascii="Arial" w:hAnsi="Arial" w:cs="Arial"/>
          <w:sz w:val="24"/>
          <w:szCs w:val="24"/>
        </w:rPr>
        <w:t>pursuit</w:t>
      </w:r>
      <w:r w:rsidR="008E7A2B">
        <w:rPr>
          <w:rFonts w:ascii="Arial" w:hAnsi="Arial" w:cs="Arial"/>
          <w:sz w:val="24"/>
          <w:szCs w:val="24"/>
        </w:rPr>
        <w:t xml:space="preserve"> of economic growth and prosperity, as striven for by SME Bank</w:t>
      </w:r>
      <w:r w:rsidR="00642FBC">
        <w:rPr>
          <w:rFonts w:ascii="Arial" w:hAnsi="Arial" w:cs="Arial"/>
          <w:sz w:val="24"/>
          <w:szCs w:val="24"/>
        </w:rPr>
        <w:t>.</w:t>
      </w:r>
    </w:p>
    <w:p w:rsidR="00642FBC" w:rsidRDefault="00642FBC" w:rsidP="00642FBC">
      <w:pPr>
        <w:pStyle w:val="ListParagraph"/>
        <w:rPr>
          <w:rFonts w:ascii="Arial" w:hAnsi="Arial" w:cs="Arial"/>
          <w:sz w:val="24"/>
          <w:szCs w:val="24"/>
        </w:rPr>
      </w:pPr>
    </w:p>
    <w:p w:rsidR="00642FBC" w:rsidRDefault="00642FBC" w:rsidP="0051346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Constitution and the values enshrined in it </w:t>
      </w:r>
      <w:r w:rsidR="00F92A4A">
        <w:rPr>
          <w:rFonts w:ascii="Arial" w:hAnsi="Arial" w:cs="Arial"/>
          <w:sz w:val="24"/>
          <w:szCs w:val="24"/>
        </w:rPr>
        <w:t>form the starting point in interpreting</w:t>
      </w:r>
      <w:r>
        <w:rPr>
          <w:rFonts w:ascii="Arial" w:hAnsi="Arial" w:cs="Arial"/>
          <w:sz w:val="24"/>
          <w:szCs w:val="24"/>
        </w:rPr>
        <w:t xml:space="preserve"> statutory </w:t>
      </w:r>
      <w:r w:rsidR="00F92A4A">
        <w:rPr>
          <w:rFonts w:ascii="Arial" w:hAnsi="Arial" w:cs="Arial"/>
          <w:sz w:val="24"/>
          <w:szCs w:val="24"/>
        </w:rPr>
        <w:t>provisions</w:t>
      </w:r>
      <w:r>
        <w:rPr>
          <w:rFonts w:ascii="Arial" w:hAnsi="Arial" w:cs="Arial"/>
          <w:sz w:val="24"/>
          <w:szCs w:val="24"/>
        </w:rPr>
        <w:t>. An interpretation consistent with</w:t>
      </w:r>
      <w:r w:rsidR="00F92A4A">
        <w:rPr>
          <w:rFonts w:ascii="Arial" w:hAnsi="Arial" w:cs="Arial"/>
          <w:sz w:val="24"/>
          <w:szCs w:val="24"/>
        </w:rPr>
        <w:t xml:space="preserve"> advancing and giving effect to</w:t>
      </w:r>
      <w:r>
        <w:rPr>
          <w:rFonts w:ascii="Arial" w:hAnsi="Arial" w:cs="Arial"/>
          <w:sz w:val="24"/>
          <w:szCs w:val="24"/>
        </w:rPr>
        <w:t xml:space="preserve"> the value</w:t>
      </w:r>
      <w:r w:rsidR="00F92A4A">
        <w:rPr>
          <w:rFonts w:ascii="Arial" w:hAnsi="Arial" w:cs="Arial"/>
          <w:sz w:val="24"/>
          <w:szCs w:val="24"/>
        </w:rPr>
        <w:t>s</w:t>
      </w:r>
      <w:r>
        <w:rPr>
          <w:rFonts w:ascii="Arial" w:hAnsi="Arial" w:cs="Arial"/>
          <w:sz w:val="24"/>
          <w:szCs w:val="24"/>
        </w:rPr>
        <w:t xml:space="preserve"> enshrined in the </w:t>
      </w:r>
      <w:r w:rsidR="00662DCC">
        <w:rPr>
          <w:rFonts w:ascii="Arial" w:hAnsi="Arial" w:cs="Arial"/>
          <w:sz w:val="24"/>
          <w:szCs w:val="24"/>
        </w:rPr>
        <w:t>C</w:t>
      </w:r>
      <w:r>
        <w:rPr>
          <w:rFonts w:ascii="Arial" w:hAnsi="Arial" w:cs="Arial"/>
          <w:sz w:val="24"/>
          <w:szCs w:val="24"/>
        </w:rPr>
        <w:t>onstitution is to be preferred</w:t>
      </w:r>
      <w:r w:rsidR="00F92A4A">
        <w:rPr>
          <w:rFonts w:ascii="Arial" w:hAnsi="Arial" w:cs="Arial"/>
          <w:sz w:val="24"/>
          <w:szCs w:val="24"/>
        </w:rPr>
        <w:t xml:space="preserve"> where a statute is reasonably capable of such interpretation</w:t>
      </w:r>
      <w:r>
        <w:rPr>
          <w:rFonts w:ascii="Arial" w:hAnsi="Arial" w:cs="Arial"/>
          <w:sz w:val="24"/>
          <w:szCs w:val="24"/>
        </w:rPr>
        <w:t>.</w:t>
      </w:r>
      <w:r w:rsidR="00F92A4A">
        <w:rPr>
          <w:rStyle w:val="FootnoteReference"/>
          <w:rFonts w:ascii="Arial" w:hAnsi="Arial" w:cs="Arial"/>
          <w:sz w:val="24"/>
          <w:szCs w:val="24"/>
        </w:rPr>
        <w:footnoteReference w:id="6"/>
      </w:r>
      <w:r>
        <w:rPr>
          <w:rFonts w:ascii="Arial" w:hAnsi="Arial" w:cs="Arial"/>
          <w:sz w:val="24"/>
          <w:szCs w:val="24"/>
        </w:rPr>
        <w:t xml:space="preserve"> </w:t>
      </w:r>
    </w:p>
    <w:p w:rsidR="00642FBC" w:rsidRDefault="00642FBC" w:rsidP="00642FBC">
      <w:pPr>
        <w:pStyle w:val="ListParagraph"/>
        <w:rPr>
          <w:rFonts w:ascii="Arial" w:hAnsi="Arial" w:cs="Arial"/>
          <w:sz w:val="24"/>
          <w:szCs w:val="24"/>
        </w:rPr>
      </w:pPr>
    </w:p>
    <w:p w:rsidR="00642FBC" w:rsidRDefault="00642FBC" w:rsidP="0051346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principles of State policy are</w:t>
      </w:r>
      <w:r w:rsidR="007A45D9">
        <w:rPr>
          <w:rFonts w:ascii="Arial" w:hAnsi="Arial" w:cs="Arial"/>
          <w:sz w:val="24"/>
          <w:szCs w:val="24"/>
        </w:rPr>
        <w:t xml:space="preserve"> however</w:t>
      </w:r>
      <w:r>
        <w:rPr>
          <w:rFonts w:ascii="Arial" w:hAnsi="Arial" w:cs="Arial"/>
          <w:sz w:val="24"/>
          <w:szCs w:val="24"/>
        </w:rPr>
        <w:t xml:space="preserve"> not legally enforceable as is spelt out in Art 101 which provides:</w:t>
      </w:r>
    </w:p>
    <w:p w:rsidR="00642FBC" w:rsidRDefault="00642FBC" w:rsidP="00BA4655">
      <w:pPr>
        <w:pStyle w:val="ListParagraph"/>
        <w:spacing w:after="0" w:line="360" w:lineRule="auto"/>
        <w:rPr>
          <w:rFonts w:ascii="Arial" w:hAnsi="Arial" w:cs="Arial"/>
          <w:sz w:val="24"/>
          <w:szCs w:val="24"/>
        </w:rPr>
      </w:pPr>
    </w:p>
    <w:p w:rsidR="007A1203" w:rsidRPr="007A1203" w:rsidRDefault="00642FBC" w:rsidP="007A1203">
      <w:pPr>
        <w:pStyle w:val="NoSpacing"/>
        <w:spacing w:line="360" w:lineRule="auto"/>
        <w:ind w:left="720"/>
        <w:jc w:val="both"/>
        <w:rPr>
          <w:rFonts w:ascii="Arial" w:hAnsi="Arial" w:cs="Arial"/>
        </w:rPr>
      </w:pPr>
      <w:r w:rsidRPr="007A1203">
        <w:rPr>
          <w:rFonts w:ascii="Arial" w:hAnsi="Arial" w:cs="Arial"/>
        </w:rPr>
        <w:t>‘</w:t>
      </w:r>
      <w:r w:rsidR="007A1203" w:rsidRPr="007A1203">
        <w:rPr>
          <w:rFonts w:ascii="Arial" w:hAnsi="Arial" w:cs="Arial"/>
          <w:b/>
        </w:rPr>
        <w:t>Application of the Principles contained in this Chapter</w:t>
      </w:r>
    </w:p>
    <w:p w:rsidR="00642FBC" w:rsidRPr="007A1203" w:rsidRDefault="007A1203" w:rsidP="007A1203">
      <w:pPr>
        <w:pStyle w:val="NoSpacing"/>
        <w:spacing w:line="360" w:lineRule="auto"/>
        <w:ind w:left="720"/>
        <w:jc w:val="both"/>
        <w:rPr>
          <w:rFonts w:ascii="Arial" w:hAnsi="Arial" w:cs="Arial"/>
        </w:rPr>
      </w:pPr>
      <w:r w:rsidRPr="007A1203">
        <w:rPr>
          <w:rFonts w:ascii="Arial" w:hAnsi="Arial" w:cs="Arial"/>
        </w:rPr>
        <w:t>The principles of state policy contained in this Chapter shall not of and by themselves be legally enforceable by any Court, but shall nevertheless guide the Government in making and applying laws to give effect to the fundamental objectives of the said principles. The Courts are entitled to have regard to the said principles in interpreting any laws based on them.</w:t>
      </w:r>
      <w:r w:rsidR="00642FBC" w:rsidRPr="007A1203">
        <w:rPr>
          <w:rFonts w:ascii="Arial" w:hAnsi="Arial" w:cs="Arial"/>
        </w:rPr>
        <w:t>’</w:t>
      </w:r>
    </w:p>
    <w:p w:rsidR="00642FBC" w:rsidRDefault="00642FBC" w:rsidP="00BA4655">
      <w:pPr>
        <w:pStyle w:val="ListParagraph"/>
        <w:spacing w:after="0" w:line="360" w:lineRule="auto"/>
        <w:rPr>
          <w:rFonts w:ascii="Arial" w:hAnsi="Arial" w:cs="Arial"/>
          <w:sz w:val="24"/>
          <w:szCs w:val="24"/>
        </w:rPr>
      </w:pPr>
    </w:p>
    <w:p w:rsidR="00642FBC" w:rsidRDefault="00111339" w:rsidP="0051346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R</w:t>
      </w:r>
      <w:r w:rsidR="00642FBC">
        <w:rPr>
          <w:rFonts w:ascii="Arial" w:hAnsi="Arial" w:cs="Arial"/>
          <w:sz w:val="24"/>
          <w:szCs w:val="24"/>
        </w:rPr>
        <w:t xml:space="preserve">ecourse to these principles may arise in </w:t>
      </w:r>
      <w:r>
        <w:rPr>
          <w:rFonts w:ascii="Arial" w:hAnsi="Arial" w:cs="Arial"/>
          <w:sz w:val="24"/>
          <w:szCs w:val="24"/>
        </w:rPr>
        <w:t xml:space="preserve">the </w:t>
      </w:r>
      <w:r w:rsidR="00642FBC">
        <w:rPr>
          <w:rFonts w:ascii="Arial" w:hAnsi="Arial" w:cs="Arial"/>
          <w:sz w:val="24"/>
          <w:szCs w:val="24"/>
        </w:rPr>
        <w:t>interpretation</w:t>
      </w:r>
      <w:r w:rsidR="008E7A2B">
        <w:rPr>
          <w:rFonts w:ascii="Arial" w:hAnsi="Arial" w:cs="Arial"/>
          <w:sz w:val="24"/>
          <w:szCs w:val="24"/>
        </w:rPr>
        <w:t xml:space="preserve"> of</w:t>
      </w:r>
      <w:r w:rsidR="00642FBC">
        <w:rPr>
          <w:rFonts w:ascii="Arial" w:hAnsi="Arial" w:cs="Arial"/>
          <w:sz w:val="24"/>
          <w:szCs w:val="24"/>
        </w:rPr>
        <w:t xml:space="preserve"> laws based upon those principles. The BIA </w:t>
      </w:r>
      <w:r>
        <w:rPr>
          <w:rFonts w:ascii="Arial" w:hAnsi="Arial" w:cs="Arial"/>
          <w:sz w:val="24"/>
          <w:szCs w:val="24"/>
        </w:rPr>
        <w:t xml:space="preserve">and the Act are however </w:t>
      </w:r>
      <w:r w:rsidR="00642FBC">
        <w:rPr>
          <w:rFonts w:ascii="Arial" w:hAnsi="Arial" w:cs="Arial"/>
          <w:sz w:val="24"/>
          <w:szCs w:val="24"/>
        </w:rPr>
        <w:t xml:space="preserve">not based upon Arts 95(j) or 98. </w:t>
      </w:r>
      <w:r w:rsidR="005171C3">
        <w:rPr>
          <w:rFonts w:ascii="Arial" w:hAnsi="Arial" w:cs="Arial"/>
          <w:sz w:val="24"/>
          <w:szCs w:val="24"/>
        </w:rPr>
        <w:t>The BIA</w:t>
      </w:r>
      <w:r w:rsidR="00642FBC">
        <w:rPr>
          <w:rFonts w:ascii="Arial" w:hAnsi="Arial" w:cs="Arial"/>
          <w:sz w:val="24"/>
          <w:szCs w:val="24"/>
        </w:rPr>
        <w:t xml:space="preserve"> is enacted to empower BoN to control, supervise and regulate banking institutions to protect the interests of persons making deposits with those institutions, as is spelt out in its long title. The BIA vests extensive supervisory and regulatory powers in BoN, including a wide range of </w:t>
      </w:r>
      <w:r w:rsidR="00BE0BE7">
        <w:rPr>
          <w:rFonts w:ascii="Arial" w:hAnsi="Arial" w:cs="Arial"/>
          <w:sz w:val="24"/>
          <w:szCs w:val="24"/>
        </w:rPr>
        <w:t>powers directed at remedial action as well as the power to apply for the winding-up of any banking institution.</w:t>
      </w:r>
      <w:r>
        <w:rPr>
          <w:rFonts w:ascii="Arial" w:hAnsi="Arial" w:cs="Arial"/>
          <w:sz w:val="24"/>
          <w:szCs w:val="24"/>
        </w:rPr>
        <w:t xml:space="preserve"> The Act provides for the incorporation</w:t>
      </w:r>
      <w:r w:rsidR="005171C3">
        <w:rPr>
          <w:rFonts w:ascii="Arial" w:hAnsi="Arial" w:cs="Arial"/>
          <w:sz w:val="24"/>
          <w:szCs w:val="24"/>
        </w:rPr>
        <w:t>,</w:t>
      </w:r>
      <w:r>
        <w:rPr>
          <w:rFonts w:ascii="Arial" w:hAnsi="Arial" w:cs="Arial"/>
          <w:sz w:val="24"/>
          <w:szCs w:val="24"/>
        </w:rPr>
        <w:t xml:space="preserve"> management and liquidation of companies.</w:t>
      </w:r>
      <w:r w:rsidR="008E7A2B">
        <w:rPr>
          <w:rFonts w:ascii="Arial" w:hAnsi="Arial" w:cs="Arial"/>
          <w:sz w:val="24"/>
          <w:szCs w:val="24"/>
        </w:rPr>
        <w:t xml:space="preserve"> </w:t>
      </w:r>
      <w:r w:rsidR="008E7A2B">
        <w:rPr>
          <w:rFonts w:ascii="Arial" w:hAnsi="Arial" w:cs="Arial"/>
          <w:sz w:val="24"/>
          <w:szCs w:val="24"/>
        </w:rPr>
        <w:lastRenderedPageBreak/>
        <w:t xml:space="preserve">It follows that the principles of State policy do not arise in the interpretation of the BIA </w:t>
      </w:r>
      <w:r>
        <w:rPr>
          <w:rFonts w:ascii="Arial" w:hAnsi="Arial" w:cs="Arial"/>
          <w:sz w:val="24"/>
          <w:szCs w:val="24"/>
        </w:rPr>
        <w:t xml:space="preserve">and the Act </w:t>
      </w:r>
      <w:r w:rsidR="008E7A2B">
        <w:rPr>
          <w:rFonts w:ascii="Arial" w:hAnsi="Arial" w:cs="Arial"/>
          <w:sz w:val="24"/>
          <w:szCs w:val="24"/>
        </w:rPr>
        <w:t xml:space="preserve">given that </w:t>
      </w:r>
      <w:r>
        <w:rPr>
          <w:rFonts w:ascii="Arial" w:hAnsi="Arial" w:cs="Arial"/>
          <w:sz w:val="24"/>
          <w:szCs w:val="24"/>
        </w:rPr>
        <w:t>they are</w:t>
      </w:r>
      <w:r w:rsidR="008E7A2B">
        <w:rPr>
          <w:rFonts w:ascii="Arial" w:hAnsi="Arial" w:cs="Arial"/>
          <w:sz w:val="24"/>
          <w:szCs w:val="24"/>
        </w:rPr>
        <w:t xml:space="preserve"> not based upon those principles.</w:t>
      </w:r>
      <w:r w:rsidR="005171C3">
        <w:rPr>
          <w:rFonts w:ascii="Arial" w:hAnsi="Arial" w:cs="Arial"/>
          <w:sz w:val="24"/>
          <w:szCs w:val="24"/>
        </w:rPr>
        <w:t xml:space="preserve"> Quite apart from not applying, the principles relied upon would in any event find greater application in ensuring </w:t>
      </w:r>
      <w:r w:rsidR="00FC02A9">
        <w:rPr>
          <w:rFonts w:ascii="Arial" w:hAnsi="Arial" w:cs="Arial"/>
          <w:sz w:val="24"/>
          <w:szCs w:val="24"/>
        </w:rPr>
        <w:t>bank supervision under BIA to safeguard hard earned savings of people and enterprises.</w:t>
      </w:r>
    </w:p>
    <w:p w:rsidR="00991227" w:rsidRDefault="00991227" w:rsidP="00991227">
      <w:pPr>
        <w:pStyle w:val="ListParagraph"/>
        <w:rPr>
          <w:rFonts w:ascii="Arial" w:hAnsi="Arial" w:cs="Arial"/>
          <w:sz w:val="24"/>
          <w:szCs w:val="24"/>
        </w:rPr>
      </w:pPr>
    </w:p>
    <w:p w:rsidR="00991227" w:rsidRDefault="00991227" w:rsidP="0051346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BoN has a statutory duty to perform its supervisory function</w:t>
      </w:r>
      <w:r w:rsidR="008E7A2B">
        <w:rPr>
          <w:rFonts w:ascii="Arial" w:hAnsi="Arial" w:cs="Arial"/>
          <w:sz w:val="24"/>
          <w:szCs w:val="24"/>
        </w:rPr>
        <w:t>s</w:t>
      </w:r>
      <w:r>
        <w:rPr>
          <w:rFonts w:ascii="Arial" w:hAnsi="Arial" w:cs="Arial"/>
          <w:sz w:val="24"/>
          <w:szCs w:val="24"/>
        </w:rPr>
        <w:t xml:space="preserve"> and exercise its wide ranging powers in respect of banks in order to fulfil its important objective of maintaining a sound monetary, credit and financial system in Namibia and sustain the liquidity, solvency and functioning of that system. It does so in order to further another of its statutory objectives, name</w:t>
      </w:r>
      <w:r w:rsidR="004774C0">
        <w:rPr>
          <w:rFonts w:ascii="Arial" w:hAnsi="Arial" w:cs="Arial"/>
          <w:sz w:val="24"/>
          <w:szCs w:val="24"/>
        </w:rPr>
        <w:t>ly</w:t>
      </w:r>
      <w:r>
        <w:rPr>
          <w:rFonts w:ascii="Arial" w:hAnsi="Arial" w:cs="Arial"/>
          <w:sz w:val="24"/>
          <w:szCs w:val="24"/>
        </w:rPr>
        <w:t xml:space="preserve"> the maintenance of monetary stability.</w:t>
      </w:r>
      <w:r w:rsidR="00111339">
        <w:rPr>
          <w:rFonts w:ascii="Arial" w:hAnsi="Arial" w:cs="Arial"/>
          <w:sz w:val="24"/>
          <w:szCs w:val="24"/>
        </w:rPr>
        <w:t xml:space="preserve"> A foundational principle of the Constitution embodied in Art 1(1) is that the Namibian State is founded upon the rule of law. This would require that BoN performs the statutory duties vested in it.</w:t>
      </w:r>
    </w:p>
    <w:p w:rsidR="00991227" w:rsidRDefault="00991227" w:rsidP="00FC02A9">
      <w:pPr>
        <w:rPr>
          <w:rFonts w:ascii="Arial" w:hAnsi="Arial" w:cs="Arial"/>
          <w:sz w:val="24"/>
          <w:szCs w:val="24"/>
        </w:rPr>
      </w:pPr>
    </w:p>
    <w:p w:rsidR="00FC02A9" w:rsidRPr="00FC02A9" w:rsidRDefault="00FC02A9" w:rsidP="00FC02A9">
      <w:pPr>
        <w:rPr>
          <w:rFonts w:ascii="Arial" w:hAnsi="Arial" w:cs="Arial"/>
          <w:sz w:val="24"/>
          <w:szCs w:val="24"/>
          <w:u w:val="single"/>
        </w:rPr>
      </w:pPr>
      <w:r>
        <w:rPr>
          <w:rFonts w:ascii="Arial" w:hAnsi="Arial" w:cs="Arial"/>
          <w:sz w:val="24"/>
          <w:szCs w:val="24"/>
          <w:u w:val="single"/>
        </w:rPr>
        <w:t>Abuse of proceedings?</w:t>
      </w:r>
    </w:p>
    <w:p w:rsidR="00991227" w:rsidRDefault="00991227" w:rsidP="0051346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Mr Bishop argued that the winding-up of a bank by BoN should be the measure of last resort after exhausting other remedial measure</w:t>
      </w:r>
      <w:r w:rsidR="004774C0">
        <w:rPr>
          <w:rFonts w:ascii="Arial" w:hAnsi="Arial" w:cs="Arial"/>
          <w:sz w:val="24"/>
          <w:szCs w:val="24"/>
        </w:rPr>
        <w:t>s</w:t>
      </w:r>
      <w:r>
        <w:rPr>
          <w:rFonts w:ascii="Arial" w:hAnsi="Arial" w:cs="Arial"/>
          <w:sz w:val="24"/>
          <w:szCs w:val="24"/>
        </w:rPr>
        <w:t xml:space="preserve"> open to BoN. This argument may carry </w:t>
      </w:r>
      <w:r w:rsidR="00111339">
        <w:rPr>
          <w:rFonts w:ascii="Arial" w:hAnsi="Arial" w:cs="Arial"/>
          <w:sz w:val="24"/>
          <w:szCs w:val="24"/>
        </w:rPr>
        <w:t>some</w:t>
      </w:r>
      <w:r>
        <w:rPr>
          <w:rFonts w:ascii="Arial" w:hAnsi="Arial" w:cs="Arial"/>
          <w:sz w:val="24"/>
          <w:szCs w:val="24"/>
        </w:rPr>
        <w:t xml:space="preserve"> weight if a case </w:t>
      </w:r>
      <w:r w:rsidR="004774C0">
        <w:rPr>
          <w:rFonts w:ascii="Arial" w:hAnsi="Arial" w:cs="Arial"/>
          <w:sz w:val="24"/>
          <w:szCs w:val="24"/>
        </w:rPr>
        <w:t>were</w:t>
      </w:r>
      <w:r>
        <w:rPr>
          <w:rFonts w:ascii="Arial" w:hAnsi="Arial" w:cs="Arial"/>
          <w:sz w:val="24"/>
          <w:szCs w:val="24"/>
        </w:rPr>
        <w:t xml:space="preserve"> made out that the </w:t>
      </w:r>
      <w:r w:rsidR="00B23B40">
        <w:rPr>
          <w:rFonts w:ascii="Arial" w:hAnsi="Arial" w:cs="Arial"/>
          <w:sz w:val="24"/>
          <w:szCs w:val="24"/>
        </w:rPr>
        <w:t xml:space="preserve">winding-up application constituted an abuse. In my view this was not </w:t>
      </w:r>
      <w:r w:rsidR="00111339">
        <w:rPr>
          <w:rFonts w:ascii="Arial" w:hAnsi="Arial" w:cs="Arial"/>
          <w:sz w:val="24"/>
          <w:szCs w:val="24"/>
        </w:rPr>
        <w:t>remotely established. It was prec</w:t>
      </w:r>
      <w:r w:rsidR="00B23B40">
        <w:rPr>
          <w:rFonts w:ascii="Arial" w:hAnsi="Arial" w:cs="Arial"/>
          <w:sz w:val="24"/>
          <w:szCs w:val="24"/>
        </w:rPr>
        <w:t xml:space="preserve">eded by a series of steps, </w:t>
      </w:r>
      <w:r w:rsidR="004774C0">
        <w:rPr>
          <w:rFonts w:ascii="Arial" w:hAnsi="Arial" w:cs="Arial"/>
          <w:sz w:val="24"/>
          <w:szCs w:val="24"/>
        </w:rPr>
        <w:t>spanning</w:t>
      </w:r>
      <w:r w:rsidR="00B23B40">
        <w:rPr>
          <w:rFonts w:ascii="Arial" w:hAnsi="Arial" w:cs="Arial"/>
          <w:sz w:val="24"/>
          <w:szCs w:val="24"/>
        </w:rPr>
        <w:t xml:space="preserve"> several months, starting with </w:t>
      </w:r>
      <w:r w:rsidR="004774C0">
        <w:rPr>
          <w:rFonts w:ascii="Arial" w:hAnsi="Arial" w:cs="Arial"/>
          <w:sz w:val="24"/>
          <w:szCs w:val="24"/>
        </w:rPr>
        <w:t xml:space="preserve">formally </w:t>
      </w:r>
      <w:r w:rsidR="00B23B40">
        <w:rPr>
          <w:rFonts w:ascii="Arial" w:hAnsi="Arial" w:cs="Arial"/>
          <w:sz w:val="24"/>
          <w:szCs w:val="24"/>
        </w:rPr>
        <w:t xml:space="preserve">seeking explanations for the investments. When those were unsatisfactory, the enquiries were escalated to the board, eliciting a further unsatisfactory response. Examinations were conducted and BoN </w:t>
      </w:r>
      <w:r w:rsidR="004774C0">
        <w:rPr>
          <w:rFonts w:ascii="Arial" w:hAnsi="Arial" w:cs="Arial"/>
          <w:sz w:val="24"/>
          <w:szCs w:val="24"/>
        </w:rPr>
        <w:t xml:space="preserve">thereafter </w:t>
      </w:r>
      <w:r w:rsidR="00B23B40">
        <w:rPr>
          <w:rFonts w:ascii="Arial" w:hAnsi="Arial" w:cs="Arial"/>
          <w:sz w:val="24"/>
          <w:szCs w:val="24"/>
        </w:rPr>
        <w:t>took control of the SME Bank through it</w:t>
      </w:r>
      <w:r w:rsidR="00662DCC">
        <w:rPr>
          <w:rFonts w:ascii="Arial" w:hAnsi="Arial" w:cs="Arial"/>
          <w:sz w:val="24"/>
          <w:szCs w:val="24"/>
        </w:rPr>
        <w:t>s</w:t>
      </w:r>
      <w:r w:rsidR="00B23B40">
        <w:rPr>
          <w:rFonts w:ascii="Arial" w:hAnsi="Arial" w:cs="Arial"/>
          <w:sz w:val="24"/>
          <w:szCs w:val="24"/>
        </w:rPr>
        <w:t xml:space="preserve"> appointees. When the situation deteriorated further as depositors sought repayment of investments, BoN called upon the shareholders to recapitalise SME </w:t>
      </w:r>
      <w:r w:rsidR="00B23B40">
        <w:rPr>
          <w:rFonts w:ascii="Arial" w:hAnsi="Arial" w:cs="Arial"/>
          <w:sz w:val="24"/>
          <w:szCs w:val="24"/>
        </w:rPr>
        <w:lastRenderedPageBreak/>
        <w:t xml:space="preserve">Bank. When the Government declined to do so </w:t>
      </w:r>
      <w:r w:rsidR="00111339">
        <w:rPr>
          <w:rFonts w:ascii="Arial" w:hAnsi="Arial" w:cs="Arial"/>
          <w:sz w:val="24"/>
          <w:szCs w:val="24"/>
        </w:rPr>
        <w:t xml:space="preserve">and the appellants were unable to do so, </w:t>
      </w:r>
      <w:r w:rsidR="00B23B40">
        <w:rPr>
          <w:rFonts w:ascii="Arial" w:hAnsi="Arial" w:cs="Arial"/>
          <w:sz w:val="24"/>
          <w:szCs w:val="24"/>
        </w:rPr>
        <w:t>the winding-up application was brought.</w:t>
      </w:r>
    </w:p>
    <w:p w:rsidR="00B23B40" w:rsidRDefault="00B23B40" w:rsidP="00B23B40">
      <w:pPr>
        <w:pStyle w:val="ListParagraph"/>
        <w:rPr>
          <w:rFonts w:ascii="Arial" w:hAnsi="Arial" w:cs="Arial"/>
          <w:sz w:val="24"/>
          <w:szCs w:val="24"/>
        </w:rPr>
      </w:pPr>
    </w:p>
    <w:p w:rsidR="00111339" w:rsidRDefault="00B23B40" w:rsidP="0051346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w:t>
      </w:r>
      <w:r w:rsidR="004774C0">
        <w:rPr>
          <w:rFonts w:ascii="Arial" w:hAnsi="Arial" w:cs="Arial"/>
          <w:sz w:val="24"/>
          <w:szCs w:val="24"/>
        </w:rPr>
        <w:t xml:space="preserve">very </w:t>
      </w:r>
      <w:r>
        <w:rPr>
          <w:rFonts w:ascii="Arial" w:hAnsi="Arial" w:cs="Arial"/>
          <w:sz w:val="24"/>
          <w:szCs w:val="24"/>
        </w:rPr>
        <w:t xml:space="preserve">short </w:t>
      </w:r>
      <w:r w:rsidR="004774C0">
        <w:rPr>
          <w:rFonts w:ascii="Arial" w:hAnsi="Arial" w:cs="Arial"/>
          <w:sz w:val="24"/>
          <w:szCs w:val="24"/>
        </w:rPr>
        <w:t>service and notice</w:t>
      </w:r>
      <w:r>
        <w:rPr>
          <w:rFonts w:ascii="Arial" w:hAnsi="Arial" w:cs="Arial"/>
          <w:sz w:val="24"/>
          <w:szCs w:val="24"/>
        </w:rPr>
        <w:t xml:space="preserve"> of the application upon the appellants would at first blush seem oppressive but BoN was concerned about a ru</w:t>
      </w:r>
      <w:r w:rsidR="0032579A">
        <w:rPr>
          <w:rFonts w:ascii="Arial" w:hAnsi="Arial" w:cs="Arial"/>
          <w:sz w:val="24"/>
          <w:szCs w:val="24"/>
        </w:rPr>
        <w:t>n on</w:t>
      </w:r>
      <w:r>
        <w:rPr>
          <w:rFonts w:ascii="Arial" w:hAnsi="Arial" w:cs="Arial"/>
          <w:sz w:val="24"/>
          <w:szCs w:val="24"/>
        </w:rPr>
        <w:t xml:space="preserve"> SME Bank by depositors </w:t>
      </w:r>
      <w:r w:rsidR="007A45D9">
        <w:rPr>
          <w:rFonts w:ascii="Arial" w:hAnsi="Arial" w:cs="Arial"/>
          <w:sz w:val="24"/>
          <w:szCs w:val="24"/>
        </w:rPr>
        <w:t>which</w:t>
      </w:r>
      <w:r>
        <w:rPr>
          <w:rFonts w:ascii="Arial" w:hAnsi="Arial" w:cs="Arial"/>
          <w:sz w:val="24"/>
          <w:szCs w:val="24"/>
        </w:rPr>
        <w:t xml:space="preserve"> wer</w:t>
      </w:r>
      <w:r w:rsidR="0032579A">
        <w:rPr>
          <w:rFonts w:ascii="Arial" w:hAnsi="Arial" w:cs="Arial"/>
          <w:sz w:val="24"/>
          <w:szCs w:val="24"/>
        </w:rPr>
        <w:t>e already starting to call up their deposits. Bo</w:t>
      </w:r>
      <w:r w:rsidR="004774C0">
        <w:rPr>
          <w:rFonts w:ascii="Arial" w:hAnsi="Arial" w:cs="Arial"/>
          <w:sz w:val="24"/>
          <w:szCs w:val="24"/>
        </w:rPr>
        <w:t>N</w:t>
      </w:r>
      <w:r w:rsidR="0032579A">
        <w:rPr>
          <w:rFonts w:ascii="Arial" w:hAnsi="Arial" w:cs="Arial"/>
          <w:sz w:val="24"/>
          <w:szCs w:val="24"/>
        </w:rPr>
        <w:t xml:space="preserve"> thus decided to approach the High Court as a matter of urgency. </w:t>
      </w:r>
    </w:p>
    <w:p w:rsidR="00111339" w:rsidRDefault="00111339" w:rsidP="00111339">
      <w:pPr>
        <w:pStyle w:val="ListParagraph"/>
        <w:rPr>
          <w:rFonts w:ascii="Arial" w:hAnsi="Arial" w:cs="Arial"/>
          <w:sz w:val="24"/>
          <w:szCs w:val="24"/>
        </w:rPr>
      </w:pPr>
    </w:p>
    <w:p w:rsidR="00FC02A9" w:rsidRDefault="0032579A" w:rsidP="0051346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grounds for winding-up are not in essence disputed. The High Court correctly found that SME Bank was insolvent and also that it was just and equitable for it to be wound up, particularly given the extent public funds invested in SME Bank. Those findings cannot be faulted. No</w:t>
      </w:r>
      <w:r w:rsidR="004774C0">
        <w:rPr>
          <w:rFonts w:ascii="Arial" w:hAnsi="Arial" w:cs="Arial"/>
          <w:sz w:val="24"/>
          <w:szCs w:val="24"/>
        </w:rPr>
        <w:t>t only wa</w:t>
      </w:r>
      <w:r>
        <w:rPr>
          <w:rFonts w:ascii="Arial" w:hAnsi="Arial" w:cs="Arial"/>
          <w:sz w:val="24"/>
          <w:szCs w:val="24"/>
        </w:rPr>
        <w:t>s it not established that the winding-up application in any way constituted an abuse, it would seem to me that BoN acted properly in exercising its statutory powers in bringing the application, particularly after the majority shareholder, the Government understandably de</w:t>
      </w:r>
      <w:r w:rsidR="004774C0">
        <w:rPr>
          <w:rFonts w:ascii="Arial" w:hAnsi="Arial" w:cs="Arial"/>
          <w:sz w:val="24"/>
          <w:szCs w:val="24"/>
        </w:rPr>
        <w:t xml:space="preserve">clined to recapitalise the Bank, in view of what amounts to at the very least serious mismanagement </w:t>
      </w:r>
      <w:r w:rsidR="00111339">
        <w:rPr>
          <w:rFonts w:ascii="Arial" w:hAnsi="Arial" w:cs="Arial"/>
          <w:sz w:val="24"/>
          <w:szCs w:val="24"/>
        </w:rPr>
        <w:t xml:space="preserve">and possibly worse </w:t>
      </w:r>
      <w:r w:rsidR="004774C0">
        <w:rPr>
          <w:rFonts w:ascii="Arial" w:hAnsi="Arial" w:cs="Arial"/>
          <w:sz w:val="24"/>
          <w:szCs w:val="24"/>
        </w:rPr>
        <w:t>and a</w:t>
      </w:r>
      <w:r w:rsidR="00111339">
        <w:rPr>
          <w:rFonts w:ascii="Arial" w:hAnsi="Arial" w:cs="Arial"/>
          <w:sz w:val="24"/>
          <w:szCs w:val="24"/>
        </w:rPr>
        <w:t xml:space="preserve"> comprehensive</w:t>
      </w:r>
      <w:r w:rsidR="004774C0">
        <w:rPr>
          <w:rFonts w:ascii="Arial" w:hAnsi="Arial" w:cs="Arial"/>
          <w:sz w:val="24"/>
          <w:szCs w:val="24"/>
        </w:rPr>
        <w:t xml:space="preserve"> failure of corporate governance on the part of SME Bank.</w:t>
      </w:r>
      <w:r w:rsidR="00111339">
        <w:rPr>
          <w:rFonts w:ascii="Arial" w:hAnsi="Arial" w:cs="Arial"/>
          <w:sz w:val="24"/>
          <w:szCs w:val="24"/>
        </w:rPr>
        <w:t xml:space="preserve"> </w:t>
      </w:r>
    </w:p>
    <w:p w:rsidR="00FC02A9" w:rsidRDefault="00FC02A9" w:rsidP="00FC02A9">
      <w:pPr>
        <w:pStyle w:val="ListParagraph"/>
        <w:rPr>
          <w:rFonts w:ascii="Arial" w:hAnsi="Arial" w:cs="Arial"/>
          <w:sz w:val="24"/>
          <w:szCs w:val="24"/>
        </w:rPr>
      </w:pPr>
    </w:p>
    <w:p w:rsidR="00B23B40" w:rsidRDefault="00111339" w:rsidP="0051346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 turn to the specific complaints of statutory non-compliance raised by the appellants.  </w:t>
      </w:r>
    </w:p>
    <w:p w:rsidR="0032579A" w:rsidRDefault="0032579A" w:rsidP="0032579A">
      <w:pPr>
        <w:pStyle w:val="ListParagraph"/>
        <w:rPr>
          <w:rFonts w:ascii="Arial" w:hAnsi="Arial" w:cs="Arial"/>
          <w:sz w:val="24"/>
          <w:szCs w:val="24"/>
        </w:rPr>
      </w:pPr>
    </w:p>
    <w:p w:rsidR="00992B07" w:rsidRPr="00BC5BFA" w:rsidRDefault="00992B07" w:rsidP="00BC5BFA">
      <w:pPr>
        <w:pStyle w:val="NoSpacing"/>
        <w:spacing w:line="480" w:lineRule="auto"/>
        <w:jc w:val="both"/>
        <w:rPr>
          <w:rFonts w:ascii="Arial" w:hAnsi="Arial" w:cs="Arial"/>
          <w:sz w:val="24"/>
          <w:szCs w:val="24"/>
          <w:u w:val="single"/>
        </w:rPr>
      </w:pPr>
      <w:r w:rsidRPr="00BC5BFA">
        <w:rPr>
          <w:rFonts w:ascii="Arial" w:hAnsi="Arial" w:cs="Arial"/>
          <w:sz w:val="24"/>
          <w:szCs w:val="24"/>
          <w:u w:val="single"/>
        </w:rPr>
        <w:t>Section 351</w:t>
      </w:r>
      <w:r w:rsidR="00BC5BFA">
        <w:rPr>
          <w:rFonts w:ascii="Arial" w:hAnsi="Arial" w:cs="Arial"/>
          <w:sz w:val="24"/>
          <w:szCs w:val="24"/>
          <w:u w:val="single"/>
        </w:rPr>
        <w:t>(4) of the Act</w:t>
      </w:r>
    </w:p>
    <w:p w:rsidR="00992B07" w:rsidRDefault="004774C0" w:rsidP="0051346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Mr Bishop argued that s 351(4) had not been complied with, resulting in the application being a nullity and that the provisional order should have been discharged for this reason. </w:t>
      </w:r>
      <w:r w:rsidR="00AB06FA">
        <w:rPr>
          <w:rFonts w:ascii="Arial" w:hAnsi="Arial" w:cs="Arial"/>
          <w:sz w:val="24"/>
          <w:szCs w:val="24"/>
        </w:rPr>
        <w:t>Section 351</w:t>
      </w:r>
      <w:r w:rsidR="00992B07">
        <w:rPr>
          <w:rFonts w:ascii="Arial" w:hAnsi="Arial" w:cs="Arial"/>
          <w:sz w:val="24"/>
          <w:szCs w:val="24"/>
        </w:rPr>
        <w:t>(4) provides:</w:t>
      </w:r>
    </w:p>
    <w:p w:rsidR="00992B07" w:rsidRDefault="00992B07" w:rsidP="00BA4655">
      <w:pPr>
        <w:pStyle w:val="ListParagraph"/>
        <w:spacing w:after="0" w:line="360" w:lineRule="auto"/>
        <w:rPr>
          <w:rFonts w:ascii="Arial" w:hAnsi="Arial" w:cs="Arial"/>
          <w:sz w:val="24"/>
          <w:szCs w:val="24"/>
        </w:rPr>
      </w:pPr>
    </w:p>
    <w:p w:rsidR="00992B07" w:rsidRPr="000A2F02" w:rsidRDefault="00992B07" w:rsidP="00BA4655">
      <w:pPr>
        <w:pStyle w:val="NoSpacing"/>
        <w:spacing w:line="360" w:lineRule="auto"/>
        <w:ind w:left="720"/>
        <w:jc w:val="both"/>
        <w:rPr>
          <w:rFonts w:ascii="Arial" w:hAnsi="Arial" w:cs="Arial"/>
        </w:rPr>
      </w:pPr>
      <w:r w:rsidRPr="000A2F02">
        <w:rPr>
          <w:rFonts w:ascii="Arial" w:hAnsi="Arial" w:cs="Arial"/>
        </w:rPr>
        <w:t>‘</w:t>
      </w:r>
      <w:r w:rsidR="000A2F02" w:rsidRPr="000A2F02">
        <w:rPr>
          <w:rFonts w:ascii="Arial" w:hAnsi="Arial" w:cs="Arial"/>
        </w:rPr>
        <w:t>Before an application for the winding-up of a company is presented to the Court, a copy of the application and of every affidavit confirming the facts stated therein must be lodged with the Master.</w:t>
      </w:r>
      <w:r w:rsidRPr="000A2F02">
        <w:rPr>
          <w:rFonts w:ascii="Arial" w:hAnsi="Arial" w:cs="Arial"/>
        </w:rPr>
        <w:t>’</w:t>
      </w:r>
    </w:p>
    <w:p w:rsidR="00992B07" w:rsidRDefault="00992B07" w:rsidP="00BA4655">
      <w:pPr>
        <w:pStyle w:val="ListParagraph"/>
        <w:spacing w:after="0" w:line="360" w:lineRule="auto"/>
        <w:rPr>
          <w:rFonts w:ascii="Arial" w:hAnsi="Arial" w:cs="Arial"/>
          <w:sz w:val="24"/>
          <w:szCs w:val="24"/>
        </w:rPr>
      </w:pPr>
    </w:p>
    <w:p w:rsidR="00992B07" w:rsidRDefault="00992B07" w:rsidP="0051346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When the winding-up </w:t>
      </w:r>
      <w:r w:rsidR="00BE3075">
        <w:rPr>
          <w:rFonts w:ascii="Arial" w:hAnsi="Arial" w:cs="Arial"/>
          <w:sz w:val="24"/>
          <w:szCs w:val="24"/>
        </w:rPr>
        <w:t xml:space="preserve">application </w:t>
      </w:r>
      <w:r>
        <w:rPr>
          <w:rFonts w:ascii="Arial" w:hAnsi="Arial" w:cs="Arial"/>
          <w:sz w:val="24"/>
          <w:szCs w:val="24"/>
        </w:rPr>
        <w:t xml:space="preserve">was </w:t>
      </w:r>
      <w:r w:rsidR="00BE3075">
        <w:rPr>
          <w:rFonts w:ascii="Arial" w:hAnsi="Arial" w:cs="Arial"/>
          <w:sz w:val="24"/>
          <w:szCs w:val="24"/>
        </w:rPr>
        <w:t xml:space="preserve">first </w:t>
      </w:r>
      <w:r w:rsidR="00BC5BFA">
        <w:rPr>
          <w:rFonts w:ascii="Arial" w:hAnsi="Arial" w:cs="Arial"/>
          <w:sz w:val="24"/>
          <w:szCs w:val="24"/>
        </w:rPr>
        <w:t>called</w:t>
      </w:r>
      <w:r>
        <w:rPr>
          <w:rFonts w:ascii="Arial" w:hAnsi="Arial" w:cs="Arial"/>
          <w:sz w:val="24"/>
          <w:szCs w:val="24"/>
        </w:rPr>
        <w:t xml:space="preserve"> on 6 July 2017, the point was taken by the appellants that this provision had not been complied with. This notwithstanding the fact that the Master had prior to the hearing</w:t>
      </w:r>
      <w:r w:rsidR="004774C0">
        <w:rPr>
          <w:rFonts w:ascii="Arial" w:hAnsi="Arial" w:cs="Arial"/>
          <w:sz w:val="24"/>
          <w:szCs w:val="24"/>
        </w:rPr>
        <w:t xml:space="preserve"> and</w:t>
      </w:r>
      <w:r>
        <w:rPr>
          <w:rFonts w:ascii="Arial" w:hAnsi="Arial" w:cs="Arial"/>
          <w:sz w:val="24"/>
          <w:szCs w:val="24"/>
        </w:rPr>
        <w:t xml:space="preserve"> </w:t>
      </w:r>
      <w:r w:rsidR="00BC5BFA">
        <w:rPr>
          <w:rFonts w:ascii="Arial" w:hAnsi="Arial" w:cs="Arial"/>
          <w:sz w:val="24"/>
          <w:szCs w:val="24"/>
        </w:rPr>
        <w:t xml:space="preserve">on 4 July 2017 </w:t>
      </w:r>
      <w:r>
        <w:rPr>
          <w:rFonts w:ascii="Arial" w:hAnsi="Arial" w:cs="Arial"/>
          <w:sz w:val="24"/>
          <w:szCs w:val="24"/>
        </w:rPr>
        <w:t>not only filed a certificate</w:t>
      </w:r>
      <w:r w:rsidR="00111339">
        <w:rPr>
          <w:rFonts w:ascii="Arial" w:hAnsi="Arial" w:cs="Arial"/>
          <w:sz w:val="24"/>
          <w:szCs w:val="24"/>
        </w:rPr>
        <w:t xml:space="preserve"> to the effect</w:t>
      </w:r>
      <w:r>
        <w:rPr>
          <w:rFonts w:ascii="Arial" w:hAnsi="Arial" w:cs="Arial"/>
          <w:sz w:val="24"/>
          <w:szCs w:val="24"/>
        </w:rPr>
        <w:t xml:space="preserve"> that sufficient security had been given as required by s 351(3)</w:t>
      </w:r>
      <w:r w:rsidR="004774C0">
        <w:rPr>
          <w:rFonts w:ascii="Arial" w:hAnsi="Arial" w:cs="Arial"/>
          <w:sz w:val="24"/>
          <w:szCs w:val="24"/>
        </w:rPr>
        <w:t>, but i</w:t>
      </w:r>
      <w:r w:rsidR="00BC5BFA">
        <w:rPr>
          <w:rFonts w:ascii="Arial" w:hAnsi="Arial" w:cs="Arial"/>
          <w:sz w:val="24"/>
          <w:szCs w:val="24"/>
        </w:rPr>
        <w:t>n that certificate further stated:</w:t>
      </w:r>
    </w:p>
    <w:p w:rsidR="00BC5BFA" w:rsidRDefault="00BC5BFA" w:rsidP="00BA4655">
      <w:pPr>
        <w:pStyle w:val="NoSpacing"/>
        <w:spacing w:line="360" w:lineRule="auto"/>
        <w:jc w:val="both"/>
        <w:rPr>
          <w:rFonts w:ascii="Arial" w:hAnsi="Arial" w:cs="Arial"/>
          <w:sz w:val="24"/>
          <w:szCs w:val="24"/>
        </w:rPr>
      </w:pPr>
    </w:p>
    <w:p w:rsidR="00BC5BFA" w:rsidRPr="000A2F02" w:rsidRDefault="00BC5BFA" w:rsidP="00BA4655">
      <w:pPr>
        <w:pStyle w:val="NoSpacing"/>
        <w:spacing w:line="360" w:lineRule="auto"/>
        <w:ind w:left="720"/>
        <w:jc w:val="both"/>
        <w:rPr>
          <w:rFonts w:ascii="Arial" w:hAnsi="Arial" w:cs="Arial"/>
        </w:rPr>
      </w:pPr>
      <w:r w:rsidRPr="000A2F02">
        <w:rPr>
          <w:rFonts w:ascii="Arial" w:hAnsi="Arial" w:cs="Arial"/>
        </w:rPr>
        <w:t>‘A copy of the application has been lodged with me. I have nothing further to report to this Honourable Court.’</w:t>
      </w:r>
    </w:p>
    <w:p w:rsidR="00992B07" w:rsidRDefault="00992B07" w:rsidP="00BA4655">
      <w:pPr>
        <w:pStyle w:val="ListParagraph"/>
        <w:spacing w:line="360" w:lineRule="auto"/>
        <w:rPr>
          <w:rFonts w:ascii="Arial" w:hAnsi="Arial" w:cs="Arial"/>
          <w:sz w:val="24"/>
          <w:szCs w:val="24"/>
        </w:rPr>
      </w:pPr>
    </w:p>
    <w:p w:rsidR="00992B07" w:rsidRDefault="00992B07" w:rsidP="0051346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point was tak</w:t>
      </w:r>
      <w:r w:rsidR="00D019CC">
        <w:rPr>
          <w:rFonts w:ascii="Arial" w:hAnsi="Arial" w:cs="Arial"/>
          <w:sz w:val="24"/>
          <w:szCs w:val="24"/>
        </w:rPr>
        <w:t xml:space="preserve">en on behalf of the respondents that the return of service indicated that the winding-up application was served on the Master on 5 July 2017 whilst her certificate in terms of s 351(3) </w:t>
      </w:r>
      <w:r w:rsidR="00BC5BFA">
        <w:rPr>
          <w:rFonts w:ascii="Arial" w:hAnsi="Arial" w:cs="Arial"/>
          <w:sz w:val="24"/>
          <w:szCs w:val="24"/>
        </w:rPr>
        <w:t xml:space="preserve">and (4) </w:t>
      </w:r>
      <w:r w:rsidR="00D019CC">
        <w:rPr>
          <w:rFonts w:ascii="Arial" w:hAnsi="Arial" w:cs="Arial"/>
          <w:sz w:val="24"/>
          <w:szCs w:val="24"/>
        </w:rPr>
        <w:t xml:space="preserve">was dated 4 July 2017. The appellants argued that s 351(4) is peremptory and that non-compliance is visited with invalidity of the application. </w:t>
      </w:r>
    </w:p>
    <w:p w:rsidR="00992B07" w:rsidRDefault="00992B07" w:rsidP="00992B07">
      <w:pPr>
        <w:pStyle w:val="ListParagraph"/>
        <w:rPr>
          <w:rFonts w:ascii="Arial" w:hAnsi="Arial" w:cs="Arial"/>
          <w:sz w:val="24"/>
          <w:szCs w:val="24"/>
        </w:rPr>
      </w:pPr>
    </w:p>
    <w:p w:rsidR="00992B07" w:rsidRDefault="00D019CC" w:rsidP="0051346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court </w:t>
      </w:r>
      <w:r w:rsidR="004774C0">
        <w:rPr>
          <w:rFonts w:ascii="Arial" w:hAnsi="Arial" w:cs="Arial"/>
          <w:sz w:val="24"/>
          <w:szCs w:val="24"/>
        </w:rPr>
        <w:t>observed</w:t>
      </w:r>
      <w:r>
        <w:rPr>
          <w:rFonts w:ascii="Arial" w:hAnsi="Arial" w:cs="Arial"/>
          <w:sz w:val="24"/>
          <w:szCs w:val="24"/>
        </w:rPr>
        <w:t xml:space="preserve"> that the application had been filed with the Registrar at 10h32 on 4 July</w:t>
      </w:r>
      <w:r w:rsidR="00BE3075">
        <w:rPr>
          <w:rFonts w:ascii="Arial" w:hAnsi="Arial" w:cs="Arial"/>
          <w:sz w:val="24"/>
          <w:szCs w:val="24"/>
        </w:rPr>
        <w:t xml:space="preserve"> 2017</w:t>
      </w:r>
      <w:r>
        <w:rPr>
          <w:rFonts w:ascii="Arial" w:hAnsi="Arial" w:cs="Arial"/>
          <w:sz w:val="24"/>
          <w:szCs w:val="24"/>
        </w:rPr>
        <w:t xml:space="preserve"> </w:t>
      </w:r>
      <w:r w:rsidR="00BC5BFA">
        <w:rPr>
          <w:rFonts w:ascii="Arial" w:hAnsi="Arial" w:cs="Arial"/>
          <w:sz w:val="24"/>
          <w:szCs w:val="24"/>
        </w:rPr>
        <w:t>but</w:t>
      </w:r>
      <w:r>
        <w:rPr>
          <w:rFonts w:ascii="Arial" w:hAnsi="Arial" w:cs="Arial"/>
          <w:sz w:val="24"/>
          <w:szCs w:val="24"/>
        </w:rPr>
        <w:t xml:space="preserve"> that it was not clear at what time the application was </w:t>
      </w:r>
      <w:r w:rsidR="00BC5BFA">
        <w:rPr>
          <w:rFonts w:ascii="Arial" w:hAnsi="Arial" w:cs="Arial"/>
          <w:sz w:val="24"/>
          <w:szCs w:val="24"/>
        </w:rPr>
        <w:t>lodged with</w:t>
      </w:r>
      <w:r>
        <w:rPr>
          <w:rFonts w:ascii="Arial" w:hAnsi="Arial" w:cs="Arial"/>
          <w:sz w:val="24"/>
          <w:szCs w:val="24"/>
        </w:rPr>
        <w:t xml:space="preserve"> the Master. </w:t>
      </w:r>
      <w:r w:rsidR="00BE3075">
        <w:rPr>
          <w:rFonts w:ascii="Arial" w:hAnsi="Arial" w:cs="Arial"/>
          <w:sz w:val="24"/>
          <w:szCs w:val="24"/>
        </w:rPr>
        <w:t>As</w:t>
      </w:r>
      <w:r>
        <w:rPr>
          <w:rFonts w:ascii="Arial" w:hAnsi="Arial" w:cs="Arial"/>
          <w:sz w:val="24"/>
          <w:szCs w:val="24"/>
        </w:rPr>
        <w:t xml:space="preserve"> the Master had filed her certificate on 4 July 2017</w:t>
      </w:r>
      <w:r w:rsidR="00BC5BFA">
        <w:rPr>
          <w:rFonts w:ascii="Arial" w:hAnsi="Arial" w:cs="Arial"/>
          <w:sz w:val="24"/>
          <w:szCs w:val="24"/>
        </w:rPr>
        <w:t xml:space="preserve"> certifying lodgement</w:t>
      </w:r>
      <w:r>
        <w:rPr>
          <w:rFonts w:ascii="Arial" w:hAnsi="Arial" w:cs="Arial"/>
          <w:sz w:val="24"/>
          <w:szCs w:val="24"/>
        </w:rPr>
        <w:t>, the court inferred that the application had been lodged with the Master by that date and that it would be speculative to consider where the application was first filed</w:t>
      </w:r>
      <w:r w:rsidR="004774C0">
        <w:rPr>
          <w:rFonts w:ascii="Arial" w:hAnsi="Arial" w:cs="Arial"/>
          <w:sz w:val="24"/>
          <w:szCs w:val="24"/>
        </w:rPr>
        <w:t xml:space="preserve"> in the absence of contrary factual matter</w:t>
      </w:r>
      <w:r>
        <w:rPr>
          <w:rFonts w:ascii="Arial" w:hAnsi="Arial" w:cs="Arial"/>
          <w:sz w:val="24"/>
          <w:szCs w:val="24"/>
        </w:rPr>
        <w:t>. After referring to authority, the High Court held that in the absence of t</w:t>
      </w:r>
      <w:r w:rsidR="00A8322C">
        <w:rPr>
          <w:rFonts w:ascii="Arial" w:hAnsi="Arial" w:cs="Arial"/>
          <w:sz w:val="24"/>
          <w:szCs w:val="24"/>
        </w:rPr>
        <w:t xml:space="preserve">imes specified for the respective filings, it would be speculative to find that there had been non-compliance </w:t>
      </w:r>
      <w:r w:rsidR="00A8322C">
        <w:rPr>
          <w:rFonts w:ascii="Arial" w:hAnsi="Arial" w:cs="Arial"/>
          <w:sz w:val="24"/>
          <w:szCs w:val="24"/>
        </w:rPr>
        <w:lastRenderedPageBreak/>
        <w:t>with s 351(4) and in any event found that there had been substantial compliance with the subsection</w:t>
      </w:r>
      <w:r w:rsidR="004774C0">
        <w:rPr>
          <w:rFonts w:ascii="Arial" w:hAnsi="Arial" w:cs="Arial"/>
          <w:sz w:val="24"/>
          <w:szCs w:val="24"/>
        </w:rPr>
        <w:t>, given the terms of the Master’s certificate dated 4 July stating that the application had been lodged</w:t>
      </w:r>
      <w:r w:rsidR="00A8322C">
        <w:rPr>
          <w:rFonts w:ascii="Arial" w:hAnsi="Arial" w:cs="Arial"/>
          <w:sz w:val="24"/>
          <w:szCs w:val="24"/>
        </w:rPr>
        <w:t>.</w:t>
      </w:r>
    </w:p>
    <w:p w:rsidR="00A8322C" w:rsidRDefault="00A8322C" w:rsidP="00A8322C">
      <w:pPr>
        <w:pStyle w:val="ListParagraph"/>
        <w:rPr>
          <w:rFonts w:ascii="Arial" w:hAnsi="Arial" w:cs="Arial"/>
          <w:sz w:val="24"/>
          <w:szCs w:val="24"/>
        </w:rPr>
      </w:pPr>
    </w:p>
    <w:p w:rsidR="00A8322C" w:rsidRDefault="00A8322C" w:rsidP="0051346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court dismissed the point and</w:t>
      </w:r>
      <w:r w:rsidR="00BC5BFA">
        <w:rPr>
          <w:rFonts w:ascii="Arial" w:hAnsi="Arial" w:cs="Arial"/>
          <w:sz w:val="24"/>
          <w:szCs w:val="24"/>
        </w:rPr>
        <w:t>,</w:t>
      </w:r>
      <w:r>
        <w:rPr>
          <w:rFonts w:ascii="Arial" w:hAnsi="Arial" w:cs="Arial"/>
          <w:sz w:val="24"/>
          <w:szCs w:val="24"/>
        </w:rPr>
        <w:t xml:space="preserve"> after</w:t>
      </w:r>
      <w:r w:rsidR="00BC5BFA">
        <w:rPr>
          <w:rFonts w:ascii="Arial" w:hAnsi="Arial" w:cs="Arial"/>
          <w:sz w:val="24"/>
          <w:szCs w:val="24"/>
        </w:rPr>
        <w:t xml:space="preserve"> </w:t>
      </w:r>
      <w:r w:rsidR="00111339">
        <w:rPr>
          <w:rFonts w:ascii="Arial" w:hAnsi="Arial" w:cs="Arial"/>
          <w:sz w:val="24"/>
          <w:szCs w:val="24"/>
        </w:rPr>
        <w:t>subsequent</w:t>
      </w:r>
      <w:r w:rsidR="00FC02A9">
        <w:rPr>
          <w:rFonts w:ascii="Arial" w:hAnsi="Arial" w:cs="Arial"/>
          <w:sz w:val="24"/>
          <w:szCs w:val="24"/>
        </w:rPr>
        <w:t>ly</w:t>
      </w:r>
      <w:r w:rsidR="00111339">
        <w:rPr>
          <w:rFonts w:ascii="Arial" w:hAnsi="Arial" w:cs="Arial"/>
          <w:sz w:val="24"/>
          <w:szCs w:val="24"/>
        </w:rPr>
        <w:t xml:space="preserve"> </w:t>
      </w:r>
      <w:r w:rsidR="00BC5BFA">
        <w:rPr>
          <w:rFonts w:ascii="Arial" w:hAnsi="Arial" w:cs="Arial"/>
          <w:sz w:val="24"/>
          <w:szCs w:val="24"/>
        </w:rPr>
        <w:t>hearing</w:t>
      </w:r>
      <w:r>
        <w:rPr>
          <w:rFonts w:ascii="Arial" w:hAnsi="Arial" w:cs="Arial"/>
          <w:sz w:val="24"/>
          <w:szCs w:val="24"/>
        </w:rPr>
        <w:t xml:space="preserve"> further argument</w:t>
      </w:r>
      <w:r w:rsidR="00BC5BFA">
        <w:rPr>
          <w:rFonts w:ascii="Arial" w:hAnsi="Arial" w:cs="Arial"/>
          <w:sz w:val="24"/>
          <w:szCs w:val="24"/>
        </w:rPr>
        <w:t>,</w:t>
      </w:r>
      <w:r>
        <w:rPr>
          <w:rFonts w:ascii="Arial" w:hAnsi="Arial" w:cs="Arial"/>
          <w:sz w:val="24"/>
          <w:szCs w:val="24"/>
        </w:rPr>
        <w:t xml:space="preserve"> granted a provisional winding-up order.</w:t>
      </w:r>
    </w:p>
    <w:p w:rsidR="00A8322C" w:rsidRDefault="00A8322C" w:rsidP="00A8322C">
      <w:pPr>
        <w:pStyle w:val="ListParagraph"/>
        <w:rPr>
          <w:rFonts w:ascii="Arial" w:hAnsi="Arial" w:cs="Arial"/>
          <w:sz w:val="24"/>
          <w:szCs w:val="24"/>
        </w:rPr>
      </w:pPr>
    </w:p>
    <w:p w:rsidR="00A8322C" w:rsidRDefault="00A8322C" w:rsidP="0051346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This point, having been determined</w:t>
      </w:r>
      <w:r w:rsidR="00BE3075">
        <w:rPr>
          <w:rFonts w:ascii="Arial" w:hAnsi="Arial" w:cs="Arial"/>
          <w:sz w:val="24"/>
          <w:szCs w:val="24"/>
        </w:rPr>
        <w:t>,</w:t>
      </w:r>
      <w:r>
        <w:rPr>
          <w:rFonts w:ascii="Arial" w:hAnsi="Arial" w:cs="Arial"/>
          <w:sz w:val="24"/>
          <w:szCs w:val="24"/>
        </w:rPr>
        <w:t xml:space="preserve"> was not raised in the answering affidavit deposed to on 22 August 2017.</w:t>
      </w:r>
    </w:p>
    <w:p w:rsidR="00A8322C" w:rsidRDefault="00A8322C" w:rsidP="00A8322C">
      <w:pPr>
        <w:pStyle w:val="ListParagraph"/>
        <w:rPr>
          <w:rFonts w:ascii="Arial" w:hAnsi="Arial" w:cs="Arial"/>
          <w:sz w:val="24"/>
          <w:szCs w:val="24"/>
        </w:rPr>
      </w:pPr>
    </w:p>
    <w:p w:rsidR="00A8322C" w:rsidRDefault="00111339" w:rsidP="0051346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BoN’s</w:t>
      </w:r>
      <w:r w:rsidR="00A8322C">
        <w:rPr>
          <w:rFonts w:ascii="Arial" w:hAnsi="Arial" w:cs="Arial"/>
          <w:sz w:val="24"/>
          <w:szCs w:val="24"/>
        </w:rPr>
        <w:t xml:space="preserve"> replying affidavit was subsequently </w:t>
      </w:r>
      <w:r w:rsidR="00BE3075">
        <w:rPr>
          <w:rFonts w:ascii="Arial" w:hAnsi="Arial" w:cs="Arial"/>
          <w:sz w:val="24"/>
          <w:szCs w:val="24"/>
        </w:rPr>
        <w:t>deposed to</w:t>
      </w:r>
      <w:r w:rsidR="00A8322C">
        <w:rPr>
          <w:rFonts w:ascii="Arial" w:hAnsi="Arial" w:cs="Arial"/>
          <w:sz w:val="24"/>
          <w:szCs w:val="24"/>
        </w:rPr>
        <w:t xml:space="preserve"> on </w:t>
      </w:r>
      <w:r w:rsidR="00BE3075">
        <w:rPr>
          <w:rFonts w:ascii="Arial" w:hAnsi="Arial" w:cs="Arial"/>
          <w:sz w:val="24"/>
          <w:szCs w:val="24"/>
        </w:rPr>
        <w:t xml:space="preserve">11 September </w:t>
      </w:r>
      <w:r w:rsidR="00A8322C">
        <w:rPr>
          <w:rFonts w:ascii="Arial" w:hAnsi="Arial" w:cs="Arial"/>
          <w:sz w:val="24"/>
          <w:szCs w:val="24"/>
        </w:rPr>
        <w:t>2017</w:t>
      </w:r>
      <w:r w:rsidR="00BE3075">
        <w:rPr>
          <w:rFonts w:ascii="Arial" w:hAnsi="Arial" w:cs="Arial"/>
          <w:sz w:val="24"/>
          <w:szCs w:val="24"/>
        </w:rPr>
        <w:t>.</w:t>
      </w:r>
      <w:r w:rsidR="00A8322C">
        <w:rPr>
          <w:rFonts w:ascii="Arial" w:hAnsi="Arial" w:cs="Arial"/>
          <w:sz w:val="24"/>
          <w:szCs w:val="24"/>
        </w:rPr>
        <w:t xml:space="preserve"> </w:t>
      </w:r>
      <w:r w:rsidR="004774C0">
        <w:rPr>
          <w:rFonts w:ascii="Arial" w:hAnsi="Arial" w:cs="Arial"/>
          <w:sz w:val="24"/>
          <w:szCs w:val="24"/>
        </w:rPr>
        <w:t xml:space="preserve">On </w:t>
      </w:r>
      <w:r w:rsidR="00A8322C">
        <w:rPr>
          <w:rFonts w:ascii="Arial" w:hAnsi="Arial" w:cs="Arial"/>
          <w:sz w:val="24"/>
          <w:szCs w:val="24"/>
        </w:rPr>
        <w:t xml:space="preserve">the return date and entirely out of sequence, </w:t>
      </w:r>
      <w:r w:rsidR="00A07047">
        <w:rPr>
          <w:rFonts w:ascii="Arial" w:hAnsi="Arial" w:cs="Arial"/>
          <w:sz w:val="24"/>
          <w:szCs w:val="24"/>
        </w:rPr>
        <w:t xml:space="preserve">the appellants however sought to file a further affidavit on this issue on 15 September 2017. In this affidavit, a legal practitioner acting for the appellants stated that he attended upon the Master’s office on that date to examine the timing of </w:t>
      </w:r>
      <w:r w:rsidR="00BC5BFA">
        <w:rPr>
          <w:rFonts w:ascii="Arial" w:hAnsi="Arial" w:cs="Arial"/>
          <w:sz w:val="24"/>
          <w:szCs w:val="24"/>
        </w:rPr>
        <w:t>the lodging of</w:t>
      </w:r>
      <w:r w:rsidR="00A07047">
        <w:rPr>
          <w:rFonts w:ascii="Arial" w:hAnsi="Arial" w:cs="Arial"/>
          <w:sz w:val="24"/>
          <w:szCs w:val="24"/>
        </w:rPr>
        <w:t xml:space="preserve"> the application o</w:t>
      </w:r>
      <w:r w:rsidR="00BE3075">
        <w:rPr>
          <w:rFonts w:ascii="Arial" w:hAnsi="Arial" w:cs="Arial"/>
          <w:sz w:val="24"/>
          <w:szCs w:val="24"/>
        </w:rPr>
        <w:t>n</w:t>
      </w:r>
      <w:r w:rsidR="00A07047">
        <w:rPr>
          <w:rFonts w:ascii="Arial" w:hAnsi="Arial" w:cs="Arial"/>
          <w:sz w:val="24"/>
          <w:szCs w:val="24"/>
        </w:rPr>
        <w:t xml:space="preserve"> the Master on 4 or 5 July with a view to raising this point yet again. Understandably the official </w:t>
      </w:r>
      <w:r w:rsidR="00BE3075">
        <w:rPr>
          <w:rFonts w:ascii="Arial" w:hAnsi="Arial" w:cs="Arial"/>
          <w:sz w:val="24"/>
          <w:szCs w:val="24"/>
        </w:rPr>
        <w:t>in</w:t>
      </w:r>
      <w:r w:rsidR="00A07047">
        <w:rPr>
          <w:rFonts w:ascii="Arial" w:hAnsi="Arial" w:cs="Arial"/>
          <w:sz w:val="24"/>
          <w:szCs w:val="24"/>
        </w:rPr>
        <w:t xml:space="preserve"> the Master’s office could not remember the exact time </w:t>
      </w:r>
      <w:r w:rsidR="004774C0">
        <w:rPr>
          <w:rFonts w:ascii="Arial" w:hAnsi="Arial" w:cs="Arial"/>
          <w:sz w:val="24"/>
          <w:szCs w:val="24"/>
        </w:rPr>
        <w:t xml:space="preserve">the </w:t>
      </w:r>
      <w:r w:rsidR="00A07047">
        <w:rPr>
          <w:rFonts w:ascii="Arial" w:hAnsi="Arial" w:cs="Arial"/>
          <w:sz w:val="24"/>
          <w:szCs w:val="24"/>
        </w:rPr>
        <w:t>application had been lodged but recalled being approached early on the morning of 4 July 2017</w:t>
      </w:r>
      <w:r w:rsidR="00B62F28">
        <w:rPr>
          <w:rFonts w:ascii="Arial" w:hAnsi="Arial" w:cs="Arial"/>
          <w:sz w:val="24"/>
          <w:szCs w:val="24"/>
        </w:rPr>
        <w:t xml:space="preserve"> for a certificate to be issued under s 351(3)</w:t>
      </w:r>
      <w:r w:rsidR="00BC5BFA">
        <w:rPr>
          <w:rFonts w:ascii="Arial" w:hAnsi="Arial" w:cs="Arial"/>
          <w:sz w:val="24"/>
          <w:szCs w:val="24"/>
        </w:rPr>
        <w:t xml:space="preserve"> and said t</w:t>
      </w:r>
      <w:r w:rsidR="00B62F28">
        <w:rPr>
          <w:rFonts w:ascii="Arial" w:hAnsi="Arial" w:cs="Arial"/>
          <w:sz w:val="24"/>
          <w:szCs w:val="24"/>
        </w:rPr>
        <w:t>he application was at that stage unsigned and</w:t>
      </w:r>
      <w:r w:rsidR="004774C0">
        <w:rPr>
          <w:rFonts w:ascii="Arial" w:hAnsi="Arial" w:cs="Arial"/>
          <w:sz w:val="24"/>
          <w:szCs w:val="24"/>
        </w:rPr>
        <w:t xml:space="preserve"> that</w:t>
      </w:r>
      <w:r w:rsidR="00B62F28">
        <w:rPr>
          <w:rFonts w:ascii="Arial" w:hAnsi="Arial" w:cs="Arial"/>
          <w:sz w:val="24"/>
          <w:szCs w:val="24"/>
        </w:rPr>
        <w:t xml:space="preserve"> a duly signed application was </w:t>
      </w:r>
      <w:r w:rsidR="00BE3075">
        <w:rPr>
          <w:rFonts w:ascii="Arial" w:hAnsi="Arial" w:cs="Arial"/>
          <w:sz w:val="24"/>
          <w:szCs w:val="24"/>
        </w:rPr>
        <w:t>formally served</w:t>
      </w:r>
      <w:r w:rsidR="00B62F28">
        <w:rPr>
          <w:rFonts w:ascii="Arial" w:hAnsi="Arial" w:cs="Arial"/>
          <w:sz w:val="24"/>
          <w:szCs w:val="24"/>
        </w:rPr>
        <w:t xml:space="preserve"> on 5 July 2017.</w:t>
      </w:r>
    </w:p>
    <w:p w:rsidR="00B62F28" w:rsidRDefault="00B62F28" w:rsidP="00B62F28">
      <w:pPr>
        <w:pStyle w:val="ListParagraph"/>
        <w:rPr>
          <w:rFonts w:ascii="Arial" w:hAnsi="Arial" w:cs="Arial"/>
          <w:sz w:val="24"/>
          <w:szCs w:val="24"/>
        </w:rPr>
      </w:pPr>
    </w:p>
    <w:p w:rsidR="00B62F28" w:rsidRDefault="00B62F28" w:rsidP="0051346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w:t>
      </w:r>
      <w:r w:rsidR="00BE3075">
        <w:rPr>
          <w:rFonts w:ascii="Arial" w:hAnsi="Arial" w:cs="Arial"/>
          <w:sz w:val="24"/>
          <w:szCs w:val="24"/>
        </w:rPr>
        <w:t>se</w:t>
      </w:r>
      <w:r>
        <w:rPr>
          <w:rFonts w:ascii="Arial" w:hAnsi="Arial" w:cs="Arial"/>
          <w:sz w:val="24"/>
          <w:szCs w:val="24"/>
        </w:rPr>
        <w:t xml:space="preserve"> affidavit</w:t>
      </w:r>
      <w:r w:rsidR="00BE3075">
        <w:rPr>
          <w:rFonts w:ascii="Arial" w:hAnsi="Arial" w:cs="Arial"/>
          <w:sz w:val="24"/>
          <w:szCs w:val="24"/>
        </w:rPr>
        <w:t>s were</w:t>
      </w:r>
      <w:r>
        <w:rPr>
          <w:rFonts w:ascii="Arial" w:hAnsi="Arial" w:cs="Arial"/>
          <w:sz w:val="24"/>
          <w:szCs w:val="24"/>
        </w:rPr>
        <w:t xml:space="preserve"> inexplicably not accompanied by an application to receive </w:t>
      </w:r>
      <w:r w:rsidR="004774C0">
        <w:rPr>
          <w:rFonts w:ascii="Arial" w:hAnsi="Arial" w:cs="Arial"/>
          <w:sz w:val="24"/>
          <w:szCs w:val="24"/>
        </w:rPr>
        <w:t>the</w:t>
      </w:r>
      <w:r w:rsidR="00111339">
        <w:rPr>
          <w:rFonts w:ascii="Arial" w:hAnsi="Arial" w:cs="Arial"/>
          <w:sz w:val="24"/>
          <w:szCs w:val="24"/>
        </w:rPr>
        <w:t>m</w:t>
      </w:r>
      <w:r>
        <w:rPr>
          <w:rFonts w:ascii="Arial" w:hAnsi="Arial" w:cs="Arial"/>
          <w:sz w:val="24"/>
          <w:szCs w:val="24"/>
        </w:rPr>
        <w:t>. Nor was there any explanation provided</w:t>
      </w:r>
      <w:r w:rsidR="00C76FB3">
        <w:rPr>
          <w:rFonts w:ascii="Arial" w:hAnsi="Arial" w:cs="Arial"/>
          <w:sz w:val="24"/>
          <w:szCs w:val="24"/>
        </w:rPr>
        <w:t xml:space="preserve"> as to wh</w:t>
      </w:r>
      <w:r>
        <w:rPr>
          <w:rFonts w:ascii="Arial" w:hAnsi="Arial" w:cs="Arial"/>
          <w:sz w:val="24"/>
          <w:szCs w:val="24"/>
        </w:rPr>
        <w:t>y affidavit</w:t>
      </w:r>
      <w:r w:rsidR="00C76FB3">
        <w:rPr>
          <w:rFonts w:ascii="Arial" w:hAnsi="Arial" w:cs="Arial"/>
          <w:sz w:val="24"/>
          <w:szCs w:val="24"/>
        </w:rPr>
        <w:t>s</w:t>
      </w:r>
      <w:r>
        <w:rPr>
          <w:rFonts w:ascii="Arial" w:hAnsi="Arial" w:cs="Arial"/>
          <w:sz w:val="24"/>
          <w:szCs w:val="24"/>
        </w:rPr>
        <w:t xml:space="preserve"> to this effect could not have been provided earlier on.</w:t>
      </w:r>
    </w:p>
    <w:p w:rsidR="00B62F28" w:rsidRDefault="00B62F28" w:rsidP="00B62F28">
      <w:pPr>
        <w:pStyle w:val="ListParagraph"/>
        <w:rPr>
          <w:rFonts w:ascii="Arial" w:hAnsi="Arial" w:cs="Arial"/>
          <w:sz w:val="24"/>
          <w:szCs w:val="24"/>
        </w:rPr>
      </w:pPr>
    </w:p>
    <w:p w:rsidR="00F71373" w:rsidRDefault="00F71373" w:rsidP="0051346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lastRenderedPageBreak/>
        <w:t xml:space="preserve">The </w:t>
      </w:r>
      <w:r w:rsidR="00563855">
        <w:rPr>
          <w:rFonts w:ascii="Arial" w:hAnsi="Arial" w:cs="Arial"/>
          <w:sz w:val="24"/>
          <w:szCs w:val="24"/>
        </w:rPr>
        <w:t>return date</w:t>
      </w:r>
      <w:r>
        <w:rPr>
          <w:rFonts w:ascii="Arial" w:hAnsi="Arial" w:cs="Arial"/>
          <w:sz w:val="24"/>
          <w:szCs w:val="24"/>
        </w:rPr>
        <w:t xml:space="preserve"> was extended to enable the respondent to deal with the belated allegations made about the sequence of lodging the application</w:t>
      </w:r>
      <w:r w:rsidR="004774C0">
        <w:rPr>
          <w:rFonts w:ascii="Arial" w:hAnsi="Arial" w:cs="Arial"/>
          <w:sz w:val="24"/>
          <w:szCs w:val="24"/>
        </w:rPr>
        <w:t xml:space="preserve"> upon the Master</w:t>
      </w:r>
      <w:r>
        <w:rPr>
          <w:rFonts w:ascii="Arial" w:hAnsi="Arial" w:cs="Arial"/>
          <w:sz w:val="24"/>
          <w:szCs w:val="24"/>
        </w:rPr>
        <w:t xml:space="preserve">. A further affidavit by BoN’s legal practitioner revealed that an unsigned copy of the application was lodged with the Master on 3 July already. This was done for the purpose of alerting the </w:t>
      </w:r>
      <w:r w:rsidR="00C76FB3">
        <w:rPr>
          <w:rFonts w:ascii="Arial" w:hAnsi="Arial" w:cs="Arial"/>
          <w:sz w:val="24"/>
          <w:szCs w:val="24"/>
        </w:rPr>
        <w:t>Ma</w:t>
      </w:r>
      <w:r w:rsidR="00563855">
        <w:rPr>
          <w:rFonts w:ascii="Arial" w:hAnsi="Arial" w:cs="Arial"/>
          <w:sz w:val="24"/>
          <w:szCs w:val="24"/>
        </w:rPr>
        <w:t>s</w:t>
      </w:r>
      <w:r w:rsidR="00C76FB3">
        <w:rPr>
          <w:rFonts w:ascii="Arial" w:hAnsi="Arial" w:cs="Arial"/>
          <w:sz w:val="24"/>
          <w:szCs w:val="24"/>
        </w:rPr>
        <w:t xml:space="preserve">ter </w:t>
      </w:r>
      <w:r>
        <w:rPr>
          <w:rFonts w:ascii="Arial" w:hAnsi="Arial" w:cs="Arial"/>
          <w:sz w:val="24"/>
          <w:szCs w:val="24"/>
        </w:rPr>
        <w:t>to the application</w:t>
      </w:r>
      <w:r w:rsidR="00563855">
        <w:rPr>
          <w:rFonts w:ascii="Arial" w:hAnsi="Arial" w:cs="Arial"/>
          <w:sz w:val="24"/>
          <w:szCs w:val="24"/>
        </w:rPr>
        <w:t xml:space="preserve"> as a forerunner to providing security</w:t>
      </w:r>
      <w:r>
        <w:rPr>
          <w:rFonts w:ascii="Arial" w:hAnsi="Arial" w:cs="Arial"/>
          <w:sz w:val="24"/>
          <w:szCs w:val="24"/>
        </w:rPr>
        <w:t xml:space="preserve">. On the following morning at 08h00 a duly signed notice of motion and founding affidavit were lodged, </w:t>
      </w:r>
      <w:r w:rsidR="00111339">
        <w:rPr>
          <w:rFonts w:ascii="Arial" w:hAnsi="Arial" w:cs="Arial"/>
          <w:sz w:val="24"/>
          <w:szCs w:val="24"/>
        </w:rPr>
        <w:t xml:space="preserve">but </w:t>
      </w:r>
      <w:r>
        <w:rPr>
          <w:rFonts w:ascii="Arial" w:hAnsi="Arial" w:cs="Arial"/>
          <w:sz w:val="24"/>
          <w:szCs w:val="24"/>
        </w:rPr>
        <w:t>without annexures and confirmatory affidavits as the latter had not been deposed to as yet. BoN’s bond of security was lodged at about 08h30 on 4 July 2017 and the Master’s certificate confirming this was provided later that day</w:t>
      </w:r>
      <w:r w:rsidR="00563855">
        <w:rPr>
          <w:rFonts w:ascii="Arial" w:hAnsi="Arial" w:cs="Arial"/>
          <w:sz w:val="24"/>
          <w:szCs w:val="24"/>
        </w:rPr>
        <w:t xml:space="preserve"> which included her statement to the effect that </w:t>
      </w:r>
      <w:r w:rsidR="00111339">
        <w:rPr>
          <w:rFonts w:ascii="Arial" w:hAnsi="Arial" w:cs="Arial"/>
          <w:sz w:val="24"/>
          <w:szCs w:val="24"/>
        </w:rPr>
        <w:t xml:space="preserve">a copy of </w:t>
      </w:r>
      <w:r w:rsidR="00563855">
        <w:rPr>
          <w:rFonts w:ascii="Arial" w:hAnsi="Arial" w:cs="Arial"/>
          <w:sz w:val="24"/>
          <w:szCs w:val="24"/>
        </w:rPr>
        <w:t>the application had been lodged and that there was nothing further to report</w:t>
      </w:r>
      <w:r>
        <w:rPr>
          <w:rFonts w:ascii="Arial" w:hAnsi="Arial" w:cs="Arial"/>
          <w:sz w:val="24"/>
          <w:szCs w:val="24"/>
        </w:rPr>
        <w:t xml:space="preserve">. The full application was served </w:t>
      </w:r>
      <w:r w:rsidR="004774C0">
        <w:rPr>
          <w:rFonts w:ascii="Arial" w:hAnsi="Arial" w:cs="Arial"/>
          <w:sz w:val="24"/>
          <w:szCs w:val="24"/>
        </w:rPr>
        <w:t xml:space="preserve">by the Deputy Sheriff </w:t>
      </w:r>
      <w:r>
        <w:rPr>
          <w:rFonts w:ascii="Arial" w:hAnsi="Arial" w:cs="Arial"/>
          <w:sz w:val="24"/>
          <w:szCs w:val="24"/>
        </w:rPr>
        <w:t>on the Master on 5 July 2017.</w:t>
      </w:r>
    </w:p>
    <w:p w:rsidR="00F71373" w:rsidRDefault="00F71373" w:rsidP="00F71373">
      <w:pPr>
        <w:pStyle w:val="ListParagraph"/>
        <w:rPr>
          <w:rFonts w:ascii="Arial" w:hAnsi="Arial" w:cs="Arial"/>
          <w:sz w:val="24"/>
          <w:szCs w:val="24"/>
        </w:rPr>
      </w:pPr>
    </w:p>
    <w:p w:rsidR="00F71373" w:rsidRDefault="00F71373" w:rsidP="0051346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Although there was no application for the receiving of the further affidavits and despite having dealt with this point prior to granting the provisional order, </w:t>
      </w:r>
      <w:r w:rsidR="00FC02A9">
        <w:rPr>
          <w:rFonts w:ascii="Arial" w:hAnsi="Arial" w:cs="Arial"/>
          <w:sz w:val="24"/>
          <w:szCs w:val="24"/>
        </w:rPr>
        <w:t>Prinsloo, J</w:t>
      </w:r>
      <w:r>
        <w:rPr>
          <w:rFonts w:ascii="Arial" w:hAnsi="Arial" w:cs="Arial"/>
          <w:sz w:val="24"/>
          <w:szCs w:val="24"/>
        </w:rPr>
        <w:t xml:space="preserve"> was prepared to take the further affidavits into account and </w:t>
      </w:r>
      <w:r w:rsidR="00111339">
        <w:rPr>
          <w:rFonts w:ascii="Arial" w:hAnsi="Arial" w:cs="Arial"/>
          <w:sz w:val="24"/>
          <w:szCs w:val="24"/>
        </w:rPr>
        <w:t>proceeded to find</w:t>
      </w:r>
      <w:r>
        <w:rPr>
          <w:rFonts w:ascii="Arial" w:hAnsi="Arial" w:cs="Arial"/>
          <w:sz w:val="24"/>
          <w:szCs w:val="24"/>
        </w:rPr>
        <w:t xml:space="preserve"> </w:t>
      </w:r>
      <w:r w:rsidR="00563855">
        <w:rPr>
          <w:rFonts w:ascii="Arial" w:hAnsi="Arial" w:cs="Arial"/>
          <w:sz w:val="24"/>
          <w:szCs w:val="24"/>
        </w:rPr>
        <w:t>no reason</w:t>
      </w:r>
      <w:r>
        <w:rPr>
          <w:rFonts w:ascii="Arial" w:hAnsi="Arial" w:cs="Arial"/>
          <w:sz w:val="24"/>
          <w:szCs w:val="24"/>
        </w:rPr>
        <w:t xml:space="preserve"> </w:t>
      </w:r>
      <w:r w:rsidR="00FC02A9">
        <w:rPr>
          <w:rFonts w:ascii="Arial" w:hAnsi="Arial" w:cs="Arial"/>
          <w:sz w:val="24"/>
          <w:szCs w:val="24"/>
        </w:rPr>
        <w:t xml:space="preserve">to reverse her earlier decision, having </w:t>
      </w:r>
      <w:r>
        <w:rPr>
          <w:rFonts w:ascii="Arial" w:hAnsi="Arial" w:cs="Arial"/>
          <w:sz w:val="24"/>
          <w:szCs w:val="24"/>
        </w:rPr>
        <w:t xml:space="preserve">heard argument </w:t>
      </w:r>
      <w:r w:rsidR="003F3800">
        <w:rPr>
          <w:rFonts w:ascii="Arial" w:hAnsi="Arial" w:cs="Arial"/>
          <w:sz w:val="24"/>
          <w:szCs w:val="24"/>
        </w:rPr>
        <w:t xml:space="preserve">on the question </w:t>
      </w:r>
      <w:r>
        <w:rPr>
          <w:rFonts w:ascii="Arial" w:hAnsi="Arial" w:cs="Arial"/>
          <w:sz w:val="24"/>
          <w:szCs w:val="24"/>
        </w:rPr>
        <w:t>that</w:t>
      </w:r>
      <w:r w:rsidR="003F3800">
        <w:rPr>
          <w:rFonts w:ascii="Arial" w:hAnsi="Arial" w:cs="Arial"/>
          <w:sz w:val="24"/>
          <w:szCs w:val="24"/>
        </w:rPr>
        <w:t>,</w:t>
      </w:r>
      <w:r>
        <w:rPr>
          <w:rFonts w:ascii="Arial" w:hAnsi="Arial" w:cs="Arial"/>
          <w:sz w:val="24"/>
          <w:szCs w:val="24"/>
        </w:rPr>
        <w:t xml:space="preserve"> because the </w:t>
      </w:r>
      <w:r w:rsidR="00111339">
        <w:rPr>
          <w:rFonts w:ascii="Arial" w:hAnsi="Arial" w:cs="Arial"/>
          <w:sz w:val="24"/>
          <w:szCs w:val="24"/>
        </w:rPr>
        <w:t xml:space="preserve">confirmatory </w:t>
      </w:r>
      <w:r>
        <w:rPr>
          <w:rFonts w:ascii="Arial" w:hAnsi="Arial" w:cs="Arial"/>
          <w:sz w:val="24"/>
          <w:szCs w:val="24"/>
        </w:rPr>
        <w:t>affidavits</w:t>
      </w:r>
      <w:r w:rsidR="00111339">
        <w:rPr>
          <w:rFonts w:ascii="Arial" w:hAnsi="Arial" w:cs="Arial"/>
          <w:sz w:val="24"/>
          <w:szCs w:val="24"/>
        </w:rPr>
        <w:t xml:space="preserve"> and annexures to the founding affidavit</w:t>
      </w:r>
      <w:r>
        <w:rPr>
          <w:rFonts w:ascii="Arial" w:hAnsi="Arial" w:cs="Arial"/>
          <w:sz w:val="24"/>
          <w:szCs w:val="24"/>
        </w:rPr>
        <w:t xml:space="preserve"> were</w:t>
      </w:r>
      <w:r w:rsidR="00111339">
        <w:rPr>
          <w:rFonts w:ascii="Arial" w:hAnsi="Arial" w:cs="Arial"/>
          <w:sz w:val="24"/>
          <w:szCs w:val="24"/>
        </w:rPr>
        <w:t xml:space="preserve"> not</w:t>
      </w:r>
      <w:r>
        <w:rPr>
          <w:rFonts w:ascii="Arial" w:hAnsi="Arial" w:cs="Arial"/>
          <w:sz w:val="24"/>
          <w:szCs w:val="24"/>
        </w:rPr>
        <w:t xml:space="preserve"> lodged when the application was lodged with the Master on 4 July 2017</w:t>
      </w:r>
      <w:r w:rsidR="00C76FB3">
        <w:rPr>
          <w:rFonts w:ascii="Arial" w:hAnsi="Arial" w:cs="Arial"/>
          <w:sz w:val="24"/>
          <w:szCs w:val="24"/>
        </w:rPr>
        <w:t>,</w:t>
      </w:r>
      <w:r>
        <w:rPr>
          <w:rFonts w:ascii="Arial" w:hAnsi="Arial" w:cs="Arial"/>
          <w:sz w:val="24"/>
          <w:szCs w:val="24"/>
        </w:rPr>
        <w:t xml:space="preserve"> s 351(4) had not been complied with and the rule should be discharged for that reason.</w:t>
      </w:r>
    </w:p>
    <w:p w:rsidR="00F71373" w:rsidRDefault="00F71373" w:rsidP="00F71373">
      <w:pPr>
        <w:pStyle w:val="ListParagraph"/>
        <w:rPr>
          <w:rFonts w:ascii="Arial" w:hAnsi="Arial" w:cs="Arial"/>
          <w:sz w:val="24"/>
          <w:szCs w:val="24"/>
        </w:rPr>
      </w:pPr>
    </w:p>
    <w:p w:rsidR="00F71373" w:rsidRDefault="00FC02A9" w:rsidP="0051346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Prinsloo, J</w:t>
      </w:r>
      <w:r w:rsidR="00F71373">
        <w:rPr>
          <w:rFonts w:ascii="Arial" w:hAnsi="Arial" w:cs="Arial"/>
          <w:sz w:val="24"/>
          <w:szCs w:val="24"/>
        </w:rPr>
        <w:t xml:space="preserve"> pointed out that although not all annexures </w:t>
      </w:r>
      <w:r w:rsidR="00111339">
        <w:rPr>
          <w:rFonts w:ascii="Arial" w:hAnsi="Arial" w:cs="Arial"/>
          <w:sz w:val="24"/>
          <w:szCs w:val="24"/>
        </w:rPr>
        <w:t xml:space="preserve">and none of the confirmatory affidavits </w:t>
      </w:r>
      <w:r w:rsidR="00F71373">
        <w:rPr>
          <w:rFonts w:ascii="Arial" w:hAnsi="Arial" w:cs="Arial"/>
          <w:sz w:val="24"/>
          <w:szCs w:val="24"/>
        </w:rPr>
        <w:t xml:space="preserve">were </w:t>
      </w:r>
      <w:r w:rsidR="00C76FB3">
        <w:rPr>
          <w:rFonts w:ascii="Arial" w:hAnsi="Arial" w:cs="Arial"/>
          <w:sz w:val="24"/>
          <w:szCs w:val="24"/>
        </w:rPr>
        <w:t>attached</w:t>
      </w:r>
      <w:r w:rsidR="00F71373">
        <w:rPr>
          <w:rFonts w:ascii="Arial" w:hAnsi="Arial" w:cs="Arial"/>
          <w:sz w:val="24"/>
          <w:szCs w:val="24"/>
        </w:rPr>
        <w:t xml:space="preserve">, the Master </w:t>
      </w:r>
      <w:r w:rsidR="00563855">
        <w:rPr>
          <w:rFonts w:ascii="Arial" w:hAnsi="Arial" w:cs="Arial"/>
          <w:sz w:val="24"/>
          <w:szCs w:val="24"/>
        </w:rPr>
        <w:t xml:space="preserve">had </w:t>
      </w:r>
      <w:r w:rsidR="00F71373">
        <w:rPr>
          <w:rFonts w:ascii="Arial" w:hAnsi="Arial" w:cs="Arial"/>
          <w:sz w:val="24"/>
          <w:szCs w:val="24"/>
        </w:rPr>
        <w:t>accepted that the application had been lodged and issued her certificate</w:t>
      </w:r>
      <w:r w:rsidR="003F3800">
        <w:rPr>
          <w:rFonts w:ascii="Arial" w:hAnsi="Arial" w:cs="Arial"/>
          <w:sz w:val="24"/>
          <w:szCs w:val="24"/>
        </w:rPr>
        <w:t>. This served</w:t>
      </w:r>
      <w:r w:rsidR="00F71373">
        <w:rPr>
          <w:rFonts w:ascii="Arial" w:hAnsi="Arial" w:cs="Arial"/>
          <w:sz w:val="24"/>
          <w:szCs w:val="24"/>
        </w:rPr>
        <w:t xml:space="preserve"> as prima facie proof of </w:t>
      </w:r>
      <w:r w:rsidR="00F71373">
        <w:rPr>
          <w:rFonts w:ascii="Arial" w:hAnsi="Arial" w:cs="Arial"/>
          <w:sz w:val="24"/>
          <w:szCs w:val="24"/>
        </w:rPr>
        <w:lastRenderedPageBreak/>
        <w:t>compliance with s 351(4). The court further found that the objectives of the Act had been met and found that any shortcomings did not invalidate the application.</w:t>
      </w:r>
    </w:p>
    <w:p w:rsidR="00F71373" w:rsidRDefault="00F71373" w:rsidP="00F71373">
      <w:pPr>
        <w:pStyle w:val="ListParagraph"/>
        <w:rPr>
          <w:rFonts w:ascii="Arial" w:hAnsi="Arial" w:cs="Arial"/>
          <w:sz w:val="24"/>
          <w:szCs w:val="24"/>
        </w:rPr>
      </w:pPr>
    </w:p>
    <w:p w:rsidR="002855CF" w:rsidRDefault="00F71373" w:rsidP="002855CF">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appellants appeal against this finding and argue that there was non-compliance with s 351(4) and that the entire applicatio</w:t>
      </w:r>
      <w:r w:rsidR="00FC02A9">
        <w:rPr>
          <w:rFonts w:ascii="Arial" w:hAnsi="Arial" w:cs="Arial"/>
          <w:sz w:val="24"/>
          <w:szCs w:val="24"/>
        </w:rPr>
        <w:t>n is a nullity as a consequence</w:t>
      </w:r>
      <w:r w:rsidR="00D479D5">
        <w:rPr>
          <w:rFonts w:ascii="Arial" w:hAnsi="Arial" w:cs="Arial"/>
          <w:sz w:val="24"/>
          <w:szCs w:val="24"/>
        </w:rPr>
        <w:t>.</w:t>
      </w:r>
    </w:p>
    <w:p w:rsidR="002855CF" w:rsidRDefault="002855CF" w:rsidP="002855CF">
      <w:pPr>
        <w:rPr>
          <w:rFonts w:ascii="Arial" w:hAnsi="Arial" w:cs="Arial"/>
          <w:sz w:val="24"/>
          <w:szCs w:val="24"/>
        </w:rPr>
      </w:pPr>
    </w:p>
    <w:p w:rsidR="002855CF" w:rsidRPr="002855CF" w:rsidRDefault="002855CF" w:rsidP="002855CF">
      <w:pPr>
        <w:rPr>
          <w:rFonts w:ascii="Arial" w:hAnsi="Arial" w:cs="Arial"/>
          <w:sz w:val="24"/>
          <w:szCs w:val="24"/>
          <w:u w:val="single"/>
        </w:rPr>
      </w:pPr>
      <w:r>
        <w:rPr>
          <w:rFonts w:ascii="Arial" w:hAnsi="Arial" w:cs="Arial"/>
          <w:sz w:val="24"/>
          <w:szCs w:val="24"/>
          <w:u w:val="single"/>
        </w:rPr>
        <w:t>Principles of interpretation statutes and text</w:t>
      </w:r>
    </w:p>
    <w:p w:rsidR="002855CF" w:rsidRDefault="002855CF" w:rsidP="002855CF">
      <w:pPr>
        <w:pStyle w:val="NoSpacing"/>
        <w:numPr>
          <w:ilvl w:val="0"/>
          <w:numId w:val="4"/>
        </w:numPr>
        <w:spacing w:line="480" w:lineRule="auto"/>
        <w:ind w:left="0" w:firstLine="0"/>
        <w:jc w:val="both"/>
        <w:rPr>
          <w:rFonts w:ascii="Arial" w:hAnsi="Arial" w:cs="Arial"/>
          <w:sz w:val="24"/>
          <w:szCs w:val="24"/>
        </w:rPr>
      </w:pPr>
      <w:r w:rsidRPr="002855CF">
        <w:rPr>
          <w:rFonts w:ascii="Arial" w:hAnsi="Arial" w:cs="Arial"/>
          <w:sz w:val="24"/>
          <w:szCs w:val="24"/>
        </w:rPr>
        <w:t>The approach applicable to the construction of text was recently summarised by this court</w:t>
      </w:r>
      <w:r>
        <w:rPr>
          <w:rStyle w:val="FootnoteReference"/>
          <w:rFonts w:ascii="Arial" w:hAnsi="Arial" w:cs="Arial"/>
          <w:sz w:val="24"/>
          <w:szCs w:val="24"/>
        </w:rPr>
        <w:footnoteReference w:id="7"/>
      </w:r>
      <w:r w:rsidRPr="002855CF">
        <w:rPr>
          <w:rFonts w:ascii="Arial" w:hAnsi="Arial" w:cs="Arial"/>
          <w:sz w:val="24"/>
          <w:szCs w:val="24"/>
        </w:rPr>
        <w:t xml:space="preserve"> with reference to an earlier decision of this court which had in turn followed recent trends in both England and South Africa: </w:t>
      </w:r>
    </w:p>
    <w:p w:rsidR="002855CF" w:rsidRDefault="002855CF" w:rsidP="002855CF">
      <w:pPr>
        <w:pStyle w:val="NoSpacing"/>
        <w:spacing w:line="480" w:lineRule="auto"/>
        <w:jc w:val="both"/>
        <w:rPr>
          <w:rFonts w:ascii="Arial" w:hAnsi="Arial" w:cs="Arial"/>
          <w:sz w:val="24"/>
          <w:szCs w:val="24"/>
        </w:rPr>
      </w:pPr>
    </w:p>
    <w:p w:rsidR="002855CF" w:rsidRPr="00E4696D" w:rsidRDefault="009602DC" w:rsidP="00BA4655">
      <w:pPr>
        <w:pStyle w:val="NoSpacing"/>
        <w:spacing w:line="360" w:lineRule="auto"/>
        <w:ind w:left="1440" w:hanging="720"/>
        <w:jc w:val="both"/>
        <w:rPr>
          <w:rFonts w:ascii="Arial" w:hAnsi="Arial" w:cs="Arial"/>
        </w:rPr>
      </w:pPr>
      <w:r>
        <w:rPr>
          <w:rFonts w:ascii="Arial" w:hAnsi="Arial" w:cs="Arial"/>
        </w:rPr>
        <w:t>‘</w:t>
      </w:r>
      <w:r w:rsidR="002855CF">
        <w:rPr>
          <w:rFonts w:ascii="Arial" w:hAnsi="Arial" w:cs="Arial"/>
        </w:rPr>
        <w:t>39.</w:t>
      </w:r>
      <w:r w:rsidR="002855CF">
        <w:rPr>
          <w:rFonts w:ascii="Arial" w:hAnsi="Arial" w:cs="Arial"/>
        </w:rPr>
        <w:tab/>
      </w:r>
      <w:r w:rsidR="002855CF" w:rsidRPr="00E4696D">
        <w:rPr>
          <w:rFonts w:ascii="Arial" w:hAnsi="Arial" w:cs="Arial"/>
        </w:rPr>
        <w:t xml:space="preserve">This court in </w:t>
      </w:r>
      <w:r w:rsidR="002855CF" w:rsidRPr="00E4696D">
        <w:rPr>
          <w:rFonts w:ascii="Arial" w:hAnsi="Arial" w:cs="Arial"/>
          <w:i/>
          <w:lang w:val="en-US"/>
        </w:rPr>
        <w:t xml:space="preserve">Total Namibia v OBM Engineering and Petroleum Distributors </w:t>
      </w:r>
      <w:r w:rsidR="002855CF" w:rsidRPr="00E4696D">
        <w:rPr>
          <w:rStyle w:val="FootnoteReference"/>
          <w:rFonts w:ascii="Arial" w:hAnsi="Arial" w:cs="Arial"/>
        </w:rPr>
        <w:footnoteReference w:id="8"/>
      </w:r>
      <w:r w:rsidR="002855CF" w:rsidRPr="00E4696D">
        <w:rPr>
          <w:rFonts w:ascii="Arial" w:hAnsi="Arial" w:cs="Arial"/>
        </w:rPr>
        <w:t xml:space="preserve"> recently referred to the approach to be followed in the construction of text and cited the lucid articulation by Wallis JA of the approach to interpretation in South Africa in </w:t>
      </w:r>
      <w:r w:rsidR="002855CF" w:rsidRPr="00E4696D">
        <w:rPr>
          <w:rFonts w:ascii="Arial" w:hAnsi="Arial" w:cs="Arial"/>
          <w:i/>
        </w:rPr>
        <w:t>Natal Joint Municipal Pension Fund v Endumeni Municipality</w:t>
      </w:r>
      <w:r w:rsidR="002855CF" w:rsidRPr="00E4696D">
        <w:rPr>
          <w:rStyle w:val="FootnoteReference"/>
          <w:rFonts w:ascii="Arial" w:hAnsi="Arial" w:cs="Arial"/>
          <w:i/>
        </w:rPr>
        <w:footnoteReference w:id="9"/>
      </w:r>
      <w:r w:rsidR="002855CF" w:rsidRPr="00E4696D">
        <w:rPr>
          <w:rFonts w:ascii="Arial" w:hAnsi="Arial" w:cs="Arial"/>
          <w:i/>
        </w:rPr>
        <w:t>.</w:t>
      </w:r>
    </w:p>
    <w:p w:rsidR="002855CF" w:rsidRPr="00E4696D" w:rsidRDefault="002855CF" w:rsidP="00BA4655">
      <w:pPr>
        <w:pStyle w:val="ListParagraph"/>
        <w:spacing w:after="0" w:line="360" w:lineRule="auto"/>
        <w:ind w:left="1440"/>
        <w:rPr>
          <w:rFonts w:ascii="Arial" w:hAnsi="Arial" w:cs="Arial"/>
        </w:rPr>
      </w:pPr>
    </w:p>
    <w:p w:rsidR="002855CF" w:rsidRPr="00E4696D" w:rsidRDefault="002855CF" w:rsidP="00BA4655">
      <w:pPr>
        <w:pStyle w:val="NoSpacing"/>
        <w:spacing w:line="360" w:lineRule="auto"/>
        <w:ind w:left="2160"/>
        <w:jc w:val="both"/>
        <w:rPr>
          <w:rFonts w:ascii="Arial" w:hAnsi="Arial" w:cs="Arial"/>
        </w:rPr>
      </w:pPr>
      <w:r>
        <w:rPr>
          <w:rFonts w:ascii="Arial" w:hAnsi="Arial" w:cs="Arial"/>
        </w:rPr>
        <w:t>“</w:t>
      </w:r>
      <w:r w:rsidRPr="00E4696D">
        <w:rPr>
          <w:rFonts w:ascii="Arial" w:hAnsi="Arial" w:cs="Arial"/>
        </w:rPr>
        <w:t xml:space="preserve">Interpretation is the process of attributing meaning to the words used in a document, be it legislation, some other statutory instrument, or contract, having regard to the context provided by reading the particular provision or provisions in the light of the document as a whole and the circumstances attendant upon its coming into existence. Whatever the nature of the document, consideration must be given to the language used in the light of the ordinary rules of grammar and syntax; the context in which the provision appears; the apparent purpose to which it is directed; and the material known to those responsible for its production. Where more than one meaning </w:t>
      </w:r>
      <w:r w:rsidRPr="00E4696D">
        <w:rPr>
          <w:rFonts w:ascii="Arial" w:hAnsi="Arial" w:cs="Arial"/>
        </w:rPr>
        <w:lastRenderedPageBreak/>
        <w:t>is possible, each possibility must be weighted in the light of all these factors. The process is objective, not subjective. A sensible meaning is to be preferred to one that leads to insensible or unbusinesslike results or undermines the apparent purpose of the document. Judges must be alert to, and guard against, the temptation to substitute what they regard as reasonable, sensible or business-like for the words actually used.</w:t>
      </w:r>
      <w:r>
        <w:rPr>
          <w:rFonts w:ascii="Arial" w:hAnsi="Arial" w:cs="Arial"/>
        </w:rPr>
        <w:t>”</w:t>
      </w:r>
    </w:p>
    <w:p w:rsidR="002855CF" w:rsidRPr="00E4696D" w:rsidRDefault="002855CF" w:rsidP="00BA4655">
      <w:pPr>
        <w:pStyle w:val="ListParagraph"/>
        <w:spacing w:after="0" w:line="360" w:lineRule="auto"/>
        <w:ind w:left="1440"/>
        <w:rPr>
          <w:rFonts w:ascii="Arial" w:hAnsi="Arial" w:cs="Arial"/>
        </w:rPr>
      </w:pPr>
    </w:p>
    <w:p w:rsidR="002855CF" w:rsidRPr="00E4696D" w:rsidRDefault="002855CF" w:rsidP="00BA4655">
      <w:pPr>
        <w:pStyle w:val="NoSpacing"/>
        <w:numPr>
          <w:ilvl w:val="0"/>
          <w:numId w:val="21"/>
        </w:numPr>
        <w:spacing w:line="360" w:lineRule="auto"/>
        <w:ind w:left="1418" w:hanging="698"/>
        <w:jc w:val="both"/>
        <w:rPr>
          <w:rFonts w:ascii="Arial" w:hAnsi="Arial" w:cs="Arial"/>
        </w:rPr>
      </w:pPr>
      <w:r w:rsidRPr="00E4696D">
        <w:rPr>
          <w:rFonts w:ascii="Arial" w:hAnsi="Arial" w:cs="Arial"/>
        </w:rPr>
        <w:t xml:space="preserve">In the </w:t>
      </w:r>
      <w:r w:rsidRPr="00E4696D">
        <w:rPr>
          <w:rFonts w:ascii="Arial" w:hAnsi="Arial" w:cs="Arial"/>
          <w:i/>
        </w:rPr>
        <w:t>Total</w:t>
      </w:r>
      <w:r w:rsidRPr="00E4696D">
        <w:rPr>
          <w:rFonts w:ascii="Arial" w:hAnsi="Arial" w:cs="Arial"/>
        </w:rPr>
        <w:t xml:space="preserve"> matter, this court also referred to the approach in England</w:t>
      </w:r>
      <w:r w:rsidRPr="00E4696D">
        <w:rPr>
          <w:rStyle w:val="FootnoteReference"/>
          <w:rFonts w:ascii="Arial" w:hAnsi="Arial" w:cs="Arial"/>
        </w:rPr>
        <w:footnoteReference w:id="10"/>
      </w:r>
      <w:r w:rsidRPr="00E4696D">
        <w:rPr>
          <w:rFonts w:ascii="Arial" w:hAnsi="Arial" w:cs="Arial"/>
        </w:rPr>
        <w:t xml:space="preserve"> and concluded:</w:t>
      </w:r>
      <w:r w:rsidRPr="00E4696D">
        <w:rPr>
          <w:rStyle w:val="FootnoteReference"/>
          <w:rFonts w:ascii="Arial" w:hAnsi="Arial" w:cs="Arial"/>
        </w:rPr>
        <w:footnoteReference w:id="11"/>
      </w:r>
    </w:p>
    <w:p w:rsidR="002855CF" w:rsidRPr="00E4696D" w:rsidRDefault="002855CF" w:rsidP="00BA4655">
      <w:pPr>
        <w:pStyle w:val="NoSpacing"/>
        <w:spacing w:line="360" w:lineRule="auto"/>
        <w:ind w:left="720"/>
        <w:jc w:val="both"/>
        <w:rPr>
          <w:rFonts w:ascii="Arial" w:hAnsi="Arial" w:cs="Arial"/>
        </w:rPr>
      </w:pPr>
    </w:p>
    <w:p w:rsidR="002855CF" w:rsidRPr="00E4696D" w:rsidRDefault="002855CF" w:rsidP="00BA4655">
      <w:pPr>
        <w:pStyle w:val="NoSpacing"/>
        <w:spacing w:line="360" w:lineRule="auto"/>
        <w:ind w:left="2160"/>
        <w:jc w:val="both"/>
        <w:rPr>
          <w:rFonts w:ascii="Arial" w:hAnsi="Arial" w:cs="Arial"/>
        </w:rPr>
      </w:pPr>
      <w:r>
        <w:rPr>
          <w:rFonts w:ascii="Arial" w:hAnsi="Arial" w:cs="Arial"/>
        </w:rPr>
        <w:t>“</w:t>
      </w:r>
      <w:r w:rsidRPr="00E4696D">
        <w:rPr>
          <w:rFonts w:ascii="Arial" w:hAnsi="Arial" w:cs="Arial"/>
        </w:rPr>
        <w:t>What is clear is that the courts in both the United Kingdom and in South Africa have accepted that the context in which a document is drafted is relevant to its construction in all circumstances, not only when the language of the contract appears ambiguous. That approach is consistent with our common-sense understanding that the meaning of words is, to a significant extent, determined by the context in which they are uttered. In my view, Namibian courts should also approach the question of construction on the basis that context is always relevant, regardless of whether the language is ambiguous or not.</w:t>
      </w:r>
      <w:r>
        <w:rPr>
          <w:rFonts w:ascii="Arial" w:hAnsi="Arial" w:cs="Arial"/>
        </w:rPr>
        <w:t>”</w:t>
      </w:r>
    </w:p>
    <w:p w:rsidR="002855CF" w:rsidRPr="00E4696D" w:rsidRDefault="002855CF" w:rsidP="00BA4655">
      <w:pPr>
        <w:pStyle w:val="ListParagraph"/>
        <w:spacing w:line="360" w:lineRule="auto"/>
        <w:ind w:left="1440"/>
        <w:rPr>
          <w:rFonts w:ascii="Arial" w:hAnsi="Arial" w:cs="Arial"/>
        </w:rPr>
      </w:pPr>
    </w:p>
    <w:p w:rsidR="002855CF" w:rsidRDefault="002855CF" w:rsidP="00BA4655">
      <w:pPr>
        <w:pStyle w:val="NoSpacing"/>
        <w:numPr>
          <w:ilvl w:val="0"/>
          <w:numId w:val="21"/>
        </w:numPr>
        <w:spacing w:line="360" w:lineRule="auto"/>
        <w:ind w:left="1418" w:hanging="698"/>
        <w:jc w:val="both"/>
        <w:rPr>
          <w:rFonts w:ascii="Arial" w:hAnsi="Arial" w:cs="Arial"/>
          <w:sz w:val="24"/>
          <w:szCs w:val="24"/>
        </w:rPr>
      </w:pPr>
      <w:r w:rsidRPr="00E4696D">
        <w:rPr>
          <w:rFonts w:ascii="Arial" w:hAnsi="Arial" w:cs="Arial"/>
        </w:rPr>
        <w:t xml:space="preserve">To paraphrase what was stated by this court in </w:t>
      </w:r>
      <w:r w:rsidRPr="00E4696D">
        <w:rPr>
          <w:rFonts w:ascii="Arial" w:hAnsi="Arial" w:cs="Arial"/>
          <w:i/>
        </w:rPr>
        <w:t>Total</w:t>
      </w:r>
      <w:r w:rsidRPr="00E4696D">
        <w:rPr>
          <w:rFonts w:ascii="Arial" w:hAnsi="Arial" w:cs="Arial"/>
        </w:rPr>
        <w:t>, the approach to interpretation would entail assessing the meaning of the words used within their statutory context, as well against the broader purpose of the Act.</w:t>
      </w:r>
      <w:r>
        <w:rPr>
          <w:rFonts w:ascii="Arial" w:hAnsi="Arial" w:cs="Arial"/>
        </w:rPr>
        <w:t>’</w:t>
      </w:r>
      <w:r w:rsidRPr="00EF3640">
        <w:rPr>
          <w:rStyle w:val="FootnoteReference"/>
          <w:rFonts w:ascii="Arial" w:hAnsi="Arial" w:cs="Arial"/>
        </w:rPr>
        <w:t xml:space="preserve"> </w:t>
      </w:r>
      <w:r w:rsidRPr="00E4696D">
        <w:rPr>
          <w:rStyle w:val="FootnoteReference"/>
          <w:rFonts w:ascii="Arial" w:hAnsi="Arial" w:cs="Arial"/>
        </w:rPr>
        <w:footnoteReference w:id="12"/>
      </w:r>
    </w:p>
    <w:p w:rsidR="00D479D5" w:rsidRDefault="00D479D5" w:rsidP="00BA4655">
      <w:pPr>
        <w:pStyle w:val="ListParagraph"/>
        <w:spacing w:line="360" w:lineRule="auto"/>
        <w:rPr>
          <w:rFonts w:ascii="Arial" w:hAnsi="Arial" w:cs="Arial"/>
          <w:sz w:val="24"/>
          <w:szCs w:val="24"/>
        </w:rPr>
      </w:pPr>
    </w:p>
    <w:p w:rsidR="00D479D5" w:rsidRDefault="00914143" w:rsidP="0051346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As in both the </w:t>
      </w:r>
      <w:r w:rsidRPr="00914143">
        <w:rPr>
          <w:rFonts w:ascii="Arial" w:hAnsi="Arial" w:cs="Arial"/>
          <w:i/>
          <w:sz w:val="24"/>
          <w:szCs w:val="24"/>
        </w:rPr>
        <w:t>Claud Bosch</w:t>
      </w:r>
      <w:r>
        <w:rPr>
          <w:rFonts w:ascii="Arial" w:hAnsi="Arial" w:cs="Arial"/>
          <w:sz w:val="24"/>
          <w:szCs w:val="24"/>
        </w:rPr>
        <w:t xml:space="preserve"> as well as the </w:t>
      </w:r>
      <w:r w:rsidRPr="00914143">
        <w:rPr>
          <w:rFonts w:ascii="Arial" w:hAnsi="Arial" w:cs="Arial"/>
          <w:i/>
          <w:sz w:val="24"/>
          <w:szCs w:val="24"/>
        </w:rPr>
        <w:t>Medical Aid Funds</w:t>
      </w:r>
      <w:r>
        <w:rPr>
          <w:rFonts w:ascii="Arial" w:hAnsi="Arial" w:cs="Arial"/>
          <w:sz w:val="24"/>
          <w:szCs w:val="24"/>
        </w:rPr>
        <w:t xml:space="preserve"> matters, the conte</w:t>
      </w:r>
      <w:r w:rsidR="00725ABD">
        <w:rPr>
          <w:rFonts w:ascii="Arial" w:hAnsi="Arial" w:cs="Arial"/>
          <w:sz w:val="24"/>
          <w:szCs w:val="24"/>
        </w:rPr>
        <w:t>x</w:t>
      </w:r>
      <w:r>
        <w:rPr>
          <w:rFonts w:ascii="Arial" w:hAnsi="Arial" w:cs="Arial"/>
          <w:sz w:val="24"/>
          <w:szCs w:val="24"/>
        </w:rPr>
        <w:t xml:space="preserve">t in this matter is the </w:t>
      </w:r>
      <w:r w:rsidR="00563855">
        <w:rPr>
          <w:rFonts w:ascii="Arial" w:hAnsi="Arial" w:cs="Arial"/>
          <w:sz w:val="24"/>
          <w:szCs w:val="24"/>
        </w:rPr>
        <w:t>legislation in question</w:t>
      </w:r>
      <w:r>
        <w:rPr>
          <w:rFonts w:ascii="Arial" w:hAnsi="Arial" w:cs="Arial"/>
          <w:sz w:val="24"/>
          <w:szCs w:val="24"/>
        </w:rPr>
        <w:t xml:space="preserve"> and its purpose</w:t>
      </w:r>
      <w:r w:rsidR="00725ABD">
        <w:rPr>
          <w:rFonts w:ascii="Arial" w:hAnsi="Arial" w:cs="Arial"/>
          <w:sz w:val="24"/>
          <w:szCs w:val="24"/>
        </w:rPr>
        <w:t xml:space="preserve">, and in particular </w:t>
      </w:r>
      <w:r w:rsidR="00126E64">
        <w:rPr>
          <w:rFonts w:ascii="Arial" w:hAnsi="Arial" w:cs="Arial"/>
          <w:sz w:val="24"/>
          <w:szCs w:val="24"/>
        </w:rPr>
        <w:t>C</w:t>
      </w:r>
      <w:r w:rsidR="00563855">
        <w:rPr>
          <w:rFonts w:ascii="Arial" w:hAnsi="Arial" w:cs="Arial"/>
          <w:sz w:val="24"/>
          <w:szCs w:val="24"/>
        </w:rPr>
        <w:t>hapter 14</w:t>
      </w:r>
      <w:r w:rsidR="00725ABD">
        <w:rPr>
          <w:rFonts w:ascii="Arial" w:hAnsi="Arial" w:cs="Arial"/>
          <w:sz w:val="24"/>
          <w:szCs w:val="24"/>
        </w:rPr>
        <w:t xml:space="preserve"> of the Act</w:t>
      </w:r>
      <w:r w:rsidR="00126E64">
        <w:rPr>
          <w:rFonts w:ascii="Arial" w:hAnsi="Arial" w:cs="Arial"/>
          <w:sz w:val="24"/>
          <w:szCs w:val="24"/>
        </w:rPr>
        <w:t xml:space="preserve"> which deals with winding-up of companies</w:t>
      </w:r>
      <w:r w:rsidR="00725ABD">
        <w:rPr>
          <w:rFonts w:ascii="Arial" w:hAnsi="Arial" w:cs="Arial"/>
          <w:sz w:val="24"/>
          <w:szCs w:val="24"/>
        </w:rPr>
        <w:t xml:space="preserve"> and the purpose of lodging the application with the Master prior to the matter proceeding to court</w:t>
      </w:r>
      <w:r>
        <w:rPr>
          <w:rFonts w:ascii="Arial" w:hAnsi="Arial" w:cs="Arial"/>
          <w:sz w:val="24"/>
          <w:szCs w:val="24"/>
        </w:rPr>
        <w:t>.</w:t>
      </w:r>
    </w:p>
    <w:p w:rsidR="00D479D5" w:rsidRDefault="00D479D5" w:rsidP="00D479D5">
      <w:pPr>
        <w:pStyle w:val="ListParagraph"/>
        <w:rPr>
          <w:rFonts w:ascii="Arial" w:hAnsi="Arial" w:cs="Arial"/>
          <w:sz w:val="24"/>
          <w:szCs w:val="24"/>
        </w:rPr>
      </w:pPr>
    </w:p>
    <w:p w:rsidR="002447B6" w:rsidRDefault="002447B6" w:rsidP="0051346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Section 351 sets out requirements and the procedure </w:t>
      </w:r>
      <w:r w:rsidR="00E870EB">
        <w:rPr>
          <w:rFonts w:ascii="Arial" w:hAnsi="Arial" w:cs="Arial"/>
          <w:sz w:val="24"/>
          <w:szCs w:val="24"/>
        </w:rPr>
        <w:t>to be followed in</w:t>
      </w:r>
      <w:r>
        <w:rPr>
          <w:rFonts w:ascii="Arial" w:hAnsi="Arial" w:cs="Arial"/>
          <w:sz w:val="24"/>
          <w:szCs w:val="24"/>
        </w:rPr>
        <w:t xml:space="preserve"> applications to wind-up companies. Subsection (1) essentially addresses who has </w:t>
      </w:r>
      <w:r w:rsidR="00725ABD">
        <w:rPr>
          <w:rFonts w:ascii="Arial" w:hAnsi="Arial" w:cs="Arial"/>
          <w:sz w:val="24"/>
          <w:szCs w:val="24"/>
        </w:rPr>
        <w:t xml:space="preserve">the standing </w:t>
      </w:r>
      <w:r>
        <w:rPr>
          <w:rFonts w:ascii="Arial" w:hAnsi="Arial" w:cs="Arial"/>
          <w:sz w:val="24"/>
          <w:szCs w:val="24"/>
        </w:rPr>
        <w:t xml:space="preserve">to bring such applications. Subsection (2) </w:t>
      </w:r>
      <w:r w:rsidR="00126E64">
        <w:rPr>
          <w:rFonts w:ascii="Arial" w:hAnsi="Arial" w:cs="Arial"/>
          <w:sz w:val="24"/>
          <w:szCs w:val="24"/>
        </w:rPr>
        <w:t>expands upon</w:t>
      </w:r>
      <w:r>
        <w:rPr>
          <w:rFonts w:ascii="Arial" w:hAnsi="Arial" w:cs="Arial"/>
          <w:sz w:val="24"/>
          <w:szCs w:val="24"/>
        </w:rPr>
        <w:t xml:space="preserve"> the requirements for </w:t>
      </w:r>
      <w:r w:rsidR="00725ABD">
        <w:rPr>
          <w:rFonts w:ascii="Arial" w:hAnsi="Arial" w:cs="Arial"/>
          <w:sz w:val="24"/>
          <w:szCs w:val="24"/>
        </w:rPr>
        <w:t>the standing of</w:t>
      </w:r>
      <w:r>
        <w:rPr>
          <w:rFonts w:ascii="Arial" w:hAnsi="Arial" w:cs="Arial"/>
          <w:sz w:val="24"/>
          <w:szCs w:val="24"/>
        </w:rPr>
        <w:t xml:space="preserve"> a member. Subsection (3) requires that an application must be accompanied by a certificate by the Master to the effect that sufficient security has been given for the costs of the application and administering the company until a provisional liquidator has been appointed. Subsection (4) require</w:t>
      </w:r>
      <w:r w:rsidR="00E870EB">
        <w:rPr>
          <w:rFonts w:ascii="Arial" w:hAnsi="Arial" w:cs="Arial"/>
          <w:sz w:val="24"/>
          <w:szCs w:val="24"/>
        </w:rPr>
        <w:t>s</w:t>
      </w:r>
      <w:r>
        <w:rPr>
          <w:rFonts w:ascii="Arial" w:hAnsi="Arial" w:cs="Arial"/>
          <w:sz w:val="24"/>
          <w:szCs w:val="24"/>
        </w:rPr>
        <w:t xml:space="preserve"> that a copy of the application </w:t>
      </w:r>
      <w:r w:rsidR="00725ABD">
        <w:rPr>
          <w:rFonts w:ascii="Arial" w:hAnsi="Arial" w:cs="Arial"/>
          <w:sz w:val="24"/>
          <w:szCs w:val="24"/>
        </w:rPr>
        <w:t xml:space="preserve">must </w:t>
      </w:r>
      <w:r>
        <w:rPr>
          <w:rFonts w:ascii="Arial" w:hAnsi="Arial" w:cs="Arial"/>
          <w:sz w:val="24"/>
          <w:szCs w:val="24"/>
        </w:rPr>
        <w:t>be lodged with the Master before an application is presented to court. Finally s 351(5) authorises and empowers the Master to report to the court:</w:t>
      </w:r>
    </w:p>
    <w:p w:rsidR="002447B6" w:rsidRDefault="002447B6" w:rsidP="00BA4655">
      <w:pPr>
        <w:pStyle w:val="ListParagraph"/>
        <w:spacing w:after="0" w:line="360" w:lineRule="auto"/>
        <w:rPr>
          <w:rFonts w:ascii="Arial" w:hAnsi="Arial" w:cs="Arial"/>
          <w:sz w:val="24"/>
          <w:szCs w:val="24"/>
        </w:rPr>
      </w:pPr>
    </w:p>
    <w:p w:rsidR="002447B6" w:rsidRPr="008F0180" w:rsidRDefault="002447B6" w:rsidP="00BA4655">
      <w:pPr>
        <w:pStyle w:val="NoSpacing"/>
        <w:spacing w:line="360" w:lineRule="auto"/>
        <w:ind w:left="720"/>
        <w:jc w:val="both"/>
        <w:rPr>
          <w:rFonts w:ascii="Arial" w:hAnsi="Arial" w:cs="Arial"/>
        </w:rPr>
      </w:pPr>
      <w:r w:rsidRPr="008F0180">
        <w:rPr>
          <w:rFonts w:ascii="Arial" w:hAnsi="Arial" w:cs="Arial"/>
        </w:rPr>
        <w:t xml:space="preserve">‘any facts </w:t>
      </w:r>
      <w:r w:rsidR="008F0180" w:rsidRPr="008F0180">
        <w:rPr>
          <w:rFonts w:ascii="Arial" w:hAnsi="Arial" w:cs="Arial"/>
        </w:rPr>
        <w:t>ascertained by him or her which appear to him or her to justify the court in postponing the hearing or dismissing the application and must transmit a copy of that report to the applicant or the agent of the applicant and to the company.’</w:t>
      </w:r>
    </w:p>
    <w:p w:rsidR="002447B6" w:rsidRDefault="002447B6" w:rsidP="00BA4655">
      <w:pPr>
        <w:pStyle w:val="ListParagraph"/>
        <w:spacing w:after="0" w:line="360" w:lineRule="auto"/>
        <w:rPr>
          <w:rFonts w:ascii="Arial" w:hAnsi="Arial" w:cs="Arial"/>
          <w:sz w:val="24"/>
          <w:szCs w:val="24"/>
        </w:rPr>
      </w:pPr>
    </w:p>
    <w:p w:rsidR="00126E64" w:rsidRPr="00E870EB" w:rsidRDefault="002447B6" w:rsidP="0051346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 </w:t>
      </w:r>
      <w:r w:rsidR="008F0180">
        <w:rPr>
          <w:rFonts w:ascii="Arial" w:hAnsi="Arial" w:cs="Arial"/>
          <w:sz w:val="24"/>
          <w:szCs w:val="24"/>
        </w:rPr>
        <w:t xml:space="preserve">The purpose of the requirement of </w:t>
      </w:r>
      <w:r w:rsidR="00126E64">
        <w:rPr>
          <w:rFonts w:ascii="Arial" w:hAnsi="Arial" w:cs="Arial"/>
          <w:sz w:val="24"/>
          <w:szCs w:val="24"/>
        </w:rPr>
        <w:t>lodging</w:t>
      </w:r>
      <w:r w:rsidR="008F0180">
        <w:rPr>
          <w:rFonts w:ascii="Arial" w:hAnsi="Arial" w:cs="Arial"/>
          <w:sz w:val="24"/>
          <w:szCs w:val="24"/>
        </w:rPr>
        <w:t xml:space="preserve"> the application upon the Master prior to its presentation to court is </w:t>
      </w:r>
      <w:r w:rsidR="00725ABD">
        <w:rPr>
          <w:rFonts w:ascii="Arial" w:hAnsi="Arial" w:cs="Arial"/>
          <w:sz w:val="24"/>
          <w:szCs w:val="24"/>
        </w:rPr>
        <w:t xml:space="preserve">plainly </w:t>
      </w:r>
      <w:r w:rsidR="008F0180">
        <w:rPr>
          <w:rFonts w:ascii="Arial" w:hAnsi="Arial" w:cs="Arial"/>
          <w:sz w:val="24"/>
          <w:szCs w:val="24"/>
        </w:rPr>
        <w:t xml:space="preserve">to afford the Master </w:t>
      </w:r>
      <w:r w:rsidR="00FC02A9">
        <w:rPr>
          <w:rFonts w:ascii="Arial" w:hAnsi="Arial" w:cs="Arial"/>
          <w:sz w:val="24"/>
          <w:szCs w:val="24"/>
        </w:rPr>
        <w:t xml:space="preserve">adequate opportunity </w:t>
      </w:r>
      <w:r w:rsidR="008F0180">
        <w:rPr>
          <w:rFonts w:ascii="Arial" w:hAnsi="Arial" w:cs="Arial"/>
          <w:sz w:val="24"/>
          <w:szCs w:val="24"/>
        </w:rPr>
        <w:t>to make a report as contemplated in s 351(5)</w:t>
      </w:r>
      <w:r w:rsidR="00E870EB">
        <w:rPr>
          <w:rFonts w:ascii="Arial" w:hAnsi="Arial" w:cs="Arial"/>
          <w:sz w:val="24"/>
          <w:szCs w:val="24"/>
        </w:rPr>
        <w:t>,</w:t>
      </w:r>
      <w:r w:rsidR="00126E64">
        <w:rPr>
          <w:rFonts w:ascii="Arial" w:hAnsi="Arial" w:cs="Arial"/>
          <w:sz w:val="24"/>
          <w:szCs w:val="24"/>
        </w:rPr>
        <w:t xml:space="preserve"> given the centrality of the Master’s office in the winding-up process. </w:t>
      </w:r>
      <w:r w:rsidR="00E870EB">
        <w:rPr>
          <w:rFonts w:ascii="Arial" w:hAnsi="Arial" w:cs="Arial"/>
          <w:sz w:val="24"/>
          <w:szCs w:val="24"/>
        </w:rPr>
        <w:t>I</w:t>
      </w:r>
      <w:r w:rsidR="00126E64">
        <w:rPr>
          <w:rFonts w:ascii="Arial" w:hAnsi="Arial" w:cs="Arial"/>
          <w:sz w:val="24"/>
          <w:szCs w:val="24"/>
        </w:rPr>
        <w:t xml:space="preserve">n discussing the rationale behind the equivalent provision in South Africa, Wallis, JA in </w:t>
      </w:r>
      <w:r w:rsidR="00126E64" w:rsidRPr="00126E64">
        <w:rPr>
          <w:rFonts w:ascii="Arial" w:hAnsi="Arial" w:cs="Arial"/>
          <w:i/>
          <w:sz w:val="24"/>
          <w:szCs w:val="24"/>
        </w:rPr>
        <w:t>E B Steam Company (Pty) Ltd v Eskom Holding Soc Ltd</w:t>
      </w:r>
      <w:r w:rsidR="00126E64">
        <w:rPr>
          <w:rStyle w:val="FootnoteReference"/>
          <w:rFonts w:ascii="Arial" w:hAnsi="Arial" w:cs="Arial"/>
          <w:sz w:val="24"/>
          <w:szCs w:val="24"/>
        </w:rPr>
        <w:footnoteReference w:id="13"/>
      </w:r>
      <w:r w:rsidR="00E870EB">
        <w:rPr>
          <w:rFonts w:ascii="Arial" w:hAnsi="Arial" w:cs="Arial"/>
          <w:i/>
          <w:sz w:val="24"/>
          <w:szCs w:val="24"/>
        </w:rPr>
        <w:t xml:space="preserve"> </w:t>
      </w:r>
      <w:r w:rsidR="00FC02A9" w:rsidRPr="00FC02A9">
        <w:rPr>
          <w:rFonts w:ascii="Arial" w:hAnsi="Arial" w:cs="Arial"/>
          <w:sz w:val="24"/>
          <w:szCs w:val="24"/>
        </w:rPr>
        <w:t xml:space="preserve">of the </w:t>
      </w:r>
      <w:r w:rsidR="00FC02A9">
        <w:rPr>
          <w:rFonts w:ascii="Arial" w:hAnsi="Arial" w:cs="Arial"/>
          <w:sz w:val="24"/>
          <w:szCs w:val="24"/>
        </w:rPr>
        <w:t xml:space="preserve">Supreme Court of Appeal (SCA) </w:t>
      </w:r>
      <w:r w:rsidR="00E870EB" w:rsidRPr="00E870EB">
        <w:rPr>
          <w:rFonts w:ascii="Arial" w:hAnsi="Arial" w:cs="Arial"/>
          <w:sz w:val="24"/>
          <w:szCs w:val="24"/>
        </w:rPr>
        <w:t>said:</w:t>
      </w:r>
    </w:p>
    <w:p w:rsidR="00126E64" w:rsidRDefault="00126E64" w:rsidP="00BA4655">
      <w:pPr>
        <w:pStyle w:val="NoSpacing"/>
        <w:spacing w:line="360" w:lineRule="auto"/>
        <w:jc w:val="both"/>
        <w:rPr>
          <w:rFonts w:ascii="Arial" w:hAnsi="Arial" w:cs="Arial"/>
          <w:sz w:val="24"/>
          <w:szCs w:val="24"/>
        </w:rPr>
      </w:pPr>
    </w:p>
    <w:p w:rsidR="00126E64" w:rsidRPr="00126E64" w:rsidRDefault="00126E64" w:rsidP="00BA4655">
      <w:pPr>
        <w:pStyle w:val="NoSpacing"/>
        <w:spacing w:line="360" w:lineRule="auto"/>
        <w:ind w:left="720"/>
        <w:jc w:val="both"/>
        <w:rPr>
          <w:rFonts w:ascii="Arial" w:hAnsi="Arial" w:cs="Arial"/>
        </w:rPr>
      </w:pPr>
      <w:r w:rsidRPr="00126E64">
        <w:rPr>
          <w:rFonts w:ascii="Arial" w:hAnsi="Arial" w:cs="Arial"/>
        </w:rPr>
        <w:t>‘As the Master is the person who will have to oversee the winding-up there are obvious reasons for ascertaining in advance whether the Master is aware of reasons why a winding-up order should not be granted.’</w:t>
      </w:r>
      <w:r>
        <w:rPr>
          <w:rStyle w:val="FootnoteReference"/>
          <w:rFonts w:ascii="Arial" w:hAnsi="Arial" w:cs="Arial"/>
        </w:rPr>
        <w:footnoteReference w:id="14"/>
      </w:r>
    </w:p>
    <w:p w:rsidR="00126E64" w:rsidRDefault="00126E64" w:rsidP="00126E64">
      <w:pPr>
        <w:pStyle w:val="NoSpacing"/>
        <w:spacing w:line="480" w:lineRule="auto"/>
        <w:jc w:val="both"/>
        <w:rPr>
          <w:rFonts w:ascii="Arial" w:hAnsi="Arial" w:cs="Arial"/>
          <w:sz w:val="24"/>
          <w:szCs w:val="24"/>
        </w:rPr>
      </w:pPr>
    </w:p>
    <w:p w:rsidR="00126E64" w:rsidRDefault="00126E64" w:rsidP="00126E64">
      <w:pPr>
        <w:pStyle w:val="NoSpacing"/>
        <w:spacing w:line="480" w:lineRule="auto"/>
        <w:jc w:val="both"/>
        <w:rPr>
          <w:rFonts w:ascii="Arial" w:hAnsi="Arial" w:cs="Arial"/>
          <w:sz w:val="24"/>
          <w:szCs w:val="24"/>
        </w:rPr>
      </w:pPr>
      <w:r>
        <w:rPr>
          <w:rFonts w:ascii="Arial" w:hAnsi="Arial" w:cs="Arial"/>
          <w:sz w:val="24"/>
          <w:szCs w:val="24"/>
        </w:rPr>
        <w:lastRenderedPageBreak/>
        <w:t>One such reason, referred to by Mr Bishop, is that a company may have already been placed under a provisional winding-up order.</w:t>
      </w:r>
    </w:p>
    <w:p w:rsidR="00126E64" w:rsidRDefault="00126E64" w:rsidP="00126E64">
      <w:pPr>
        <w:pStyle w:val="NoSpacing"/>
        <w:spacing w:line="480" w:lineRule="auto"/>
        <w:jc w:val="both"/>
        <w:rPr>
          <w:rFonts w:ascii="Arial" w:hAnsi="Arial" w:cs="Arial"/>
          <w:sz w:val="24"/>
          <w:szCs w:val="24"/>
        </w:rPr>
      </w:pPr>
    </w:p>
    <w:p w:rsidR="00D479D5" w:rsidRDefault="008F0180" w:rsidP="0051346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 This is the overall context in considering the </w:t>
      </w:r>
      <w:r w:rsidR="00E870EB">
        <w:rPr>
          <w:rFonts w:ascii="Arial" w:hAnsi="Arial" w:cs="Arial"/>
          <w:sz w:val="24"/>
          <w:szCs w:val="24"/>
        </w:rPr>
        <w:t>effect of not strictly complying with</w:t>
      </w:r>
      <w:r>
        <w:rPr>
          <w:rFonts w:ascii="Arial" w:hAnsi="Arial" w:cs="Arial"/>
          <w:sz w:val="24"/>
          <w:szCs w:val="24"/>
        </w:rPr>
        <w:t xml:space="preserve"> the requirement in s 351(4).</w:t>
      </w:r>
    </w:p>
    <w:p w:rsidR="00126E64" w:rsidRDefault="00126E64" w:rsidP="00126E64">
      <w:pPr>
        <w:pStyle w:val="NoSpacing"/>
        <w:spacing w:line="480" w:lineRule="auto"/>
        <w:jc w:val="both"/>
        <w:rPr>
          <w:rFonts w:ascii="Arial" w:hAnsi="Arial" w:cs="Arial"/>
          <w:sz w:val="24"/>
          <w:szCs w:val="24"/>
        </w:rPr>
      </w:pPr>
    </w:p>
    <w:p w:rsidR="00126E64" w:rsidRDefault="00126E64" w:rsidP="0051346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w:t>
      </w:r>
      <w:r w:rsidRPr="00126E64">
        <w:rPr>
          <w:rFonts w:ascii="Arial" w:hAnsi="Arial" w:cs="Arial"/>
          <w:i/>
          <w:sz w:val="24"/>
          <w:szCs w:val="24"/>
        </w:rPr>
        <w:t>E B Steam</w:t>
      </w:r>
      <w:r>
        <w:rPr>
          <w:rFonts w:ascii="Arial" w:hAnsi="Arial" w:cs="Arial"/>
          <w:sz w:val="24"/>
          <w:szCs w:val="24"/>
        </w:rPr>
        <w:t xml:space="preserve"> matter concerned the effect of the failure to comply with a different provision [s 346(4A)(a)] of the South African Companies Act</w:t>
      </w:r>
      <w:r w:rsidR="00E870EB">
        <w:rPr>
          <w:rStyle w:val="FootnoteReference"/>
          <w:rFonts w:ascii="Arial" w:hAnsi="Arial" w:cs="Arial"/>
          <w:sz w:val="24"/>
          <w:szCs w:val="24"/>
        </w:rPr>
        <w:footnoteReference w:id="15"/>
      </w:r>
      <w:r>
        <w:rPr>
          <w:rFonts w:ascii="Arial" w:hAnsi="Arial" w:cs="Arial"/>
          <w:sz w:val="24"/>
          <w:szCs w:val="24"/>
        </w:rPr>
        <w:t xml:space="preserve"> which requires that applications for winding-up are to be furnished to employees of the </w:t>
      </w:r>
      <w:r w:rsidR="00E870EB">
        <w:rPr>
          <w:rFonts w:ascii="Arial" w:hAnsi="Arial" w:cs="Arial"/>
          <w:sz w:val="24"/>
          <w:szCs w:val="24"/>
        </w:rPr>
        <w:t>company whose winding-up is sought</w:t>
      </w:r>
      <w:r>
        <w:rPr>
          <w:rFonts w:ascii="Arial" w:hAnsi="Arial" w:cs="Arial"/>
          <w:sz w:val="24"/>
          <w:szCs w:val="24"/>
        </w:rPr>
        <w:t>.</w:t>
      </w:r>
    </w:p>
    <w:p w:rsidR="00126E64" w:rsidRDefault="00126E64" w:rsidP="00126E64">
      <w:pPr>
        <w:pStyle w:val="ListParagraph"/>
        <w:rPr>
          <w:rFonts w:ascii="Arial" w:hAnsi="Arial" w:cs="Arial"/>
          <w:sz w:val="24"/>
          <w:szCs w:val="24"/>
        </w:rPr>
      </w:pPr>
    </w:p>
    <w:p w:rsidR="00126E64" w:rsidRDefault="00126E64" w:rsidP="0051346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Although the remarks in the judgment are thus </w:t>
      </w:r>
      <w:r w:rsidRPr="00E870EB">
        <w:rPr>
          <w:rFonts w:ascii="Arial" w:hAnsi="Arial" w:cs="Arial"/>
          <w:i/>
          <w:sz w:val="24"/>
          <w:szCs w:val="24"/>
        </w:rPr>
        <w:t>obiter</w:t>
      </w:r>
      <w:r>
        <w:rPr>
          <w:rFonts w:ascii="Arial" w:hAnsi="Arial" w:cs="Arial"/>
          <w:sz w:val="24"/>
          <w:szCs w:val="24"/>
        </w:rPr>
        <w:t>, the careful analysis of s 346 of that Act – the equivalent of s 351</w:t>
      </w:r>
      <w:r w:rsidR="00363974">
        <w:rPr>
          <w:rFonts w:ascii="Arial" w:hAnsi="Arial" w:cs="Arial"/>
          <w:sz w:val="24"/>
          <w:szCs w:val="24"/>
        </w:rPr>
        <w:t xml:space="preserve"> of the Act – is instructive.</w:t>
      </w:r>
    </w:p>
    <w:p w:rsidR="00363974" w:rsidRDefault="00363974" w:rsidP="00363974">
      <w:pPr>
        <w:pStyle w:val="ListParagraph"/>
        <w:rPr>
          <w:rFonts w:ascii="Arial" w:hAnsi="Arial" w:cs="Arial"/>
          <w:sz w:val="24"/>
          <w:szCs w:val="24"/>
        </w:rPr>
      </w:pPr>
    </w:p>
    <w:p w:rsidR="00363974" w:rsidRDefault="00363974" w:rsidP="0051346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court in </w:t>
      </w:r>
      <w:r w:rsidRPr="00363974">
        <w:rPr>
          <w:rFonts w:ascii="Arial" w:hAnsi="Arial" w:cs="Arial"/>
          <w:i/>
          <w:sz w:val="24"/>
          <w:szCs w:val="24"/>
        </w:rPr>
        <w:t>E</w:t>
      </w:r>
      <w:r>
        <w:rPr>
          <w:rFonts w:ascii="Arial" w:hAnsi="Arial" w:cs="Arial"/>
          <w:i/>
          <w:sz w:val="24"/>
          <w:szCs w:val="24"/>
        </w:rPr>
        <w:t xml:space="preserve"> </w:t>
      </w:r>
      <w:r w:rsidRPr="00363974">
        <w:rPr>
          <w:rFonts w:ascii="Arial" w:hAnsi="Arial" w:cs="Arial"/>
          <w:i/>
          <w:sz w:val="24"/>
          <w:szCs w:val="24"/>
        </w:rPr>
        <w:t>B Steam</w:t>
      </w:r>
      <w:r>
        <w:rPr>
          <w:rFonts w:ascii="Arial" w:hAnsi="Arial" w:cs="Arial"/>
          <w:sz w:val="24"/>
          <w:szCs w:val="24"/>
        </w:rPr>
        <w:t xml:space="preserve"> referred to the legislative history and the purpose of </w:t>
      </w:r>
      <w:r w:rsidR="00E870EB">
        <w:rPr>
          <w:rFonts w:ascii="Arial" w:hAnsi="Arial" w:cs="Arial"/>
          <w:sz w:val="24"/>
          <w:szCs w:val="24"/>
        </w:rPr>
        <w:t>introducing</w:t>
      </w:r>
      <w:r>
        <w:rPr>
          <w:rFonts w:ascii="Arial" w:hAnsi="Arial" w:cs="Arial"/>
          <w:sz w:val="24"/>
          <w:szCs w:val="24"/>
        </w:rPr>
        <w:t xml:space="preserve"> the requirement of service of a winding-up application on employees </w:t>
      </w:r>
      <w:r w:rsidR="00E870EB">
        <w:rPr>
          <w:rFonts w:ascii="Arial" w:hAnsi="Arial" w:cs="Arial"/>
          <w:sz w:val="24"/>
          <w:szCs w:val="24"/>
        </w:rPr>
        <w:t>- being</w:t>
      </w:r>
      <w:r>
        <w:rPr>
          <w:rFonts w:ascii="Arial" w:hAnsi="Arial" w:cs="Arial"/>
          <w:sz w:val="24"/>
          <w:szCs w:val="24"/>
        </w:rPr>
        <w:t xml:space="preserve"> for the protection of the interests of those employees. The court held that the provision is to be </w:t>
      </w:r>
      <w:r w:rsidR="00E870EB">
        <w:rPr>
          <w:rFonts w:ascii="Arial" w:hAnsi="Arial" w:cs="Arial"/>
          <w:sz w:val="24"/>
          <w:szCs w:val="24"/>
        </w:rPr>
        <w:t>construed</w:t>
      </w:r>
      <w:r>
        <w:rPr>
          <w:rFonts w:ascii="Arial" w:hAnsi="Arial" w:cs="Arial"/>
          <w:sz w:val="24"/>
          <w:szCs w:val="24"/>
        </w:rPr>
        <w:t xml:space="preserve"> in the light of </w:t>
      </w:r>
      <w:r w:rsidRPr="00E870EB">
        <w:rPr>
          <w:rFonts w:ascii="Arial" w:hAnsi="Arial" w:cs="Arial"/>
          <w:sz w:val="24"/>
          <w:szCs w:val="24"/>
          <w:u w:val="single"/>
        </w:rPr>
        <w:t>that</w:t>
      </w:r>
      <w:r>
        <w:rPr>
          <w:rFonts w:ascii="Arial" w:hAnsi="Arial" w:cs="Arial"/>
          <w:sz w:val="24"/>
          <w:szCs w:val="24"/>
        </w:rPr>
        <w:t xml:space="preserve"> purpose – and not as providing a technical defence to their employer to invoke to delay or postpone a winding-up order.</w:t>
      </w:r>
      <w:r>
        <w:rPr>
          <w:rStyle w:val="FootnoteReference"/>
          <w:rFonts w:ascii="Arial" w:hAnsi="Arial" w:cs="Arial"/>
          <w:sz w:val="24"/>
          <w:szCs w:val="24"/>
        </w:rPr>
        <w:footnoteReference w:id="16"/>
      </w:r>
    </w:p>
    <w:p w:rsidR="00185996" w:rsidRDefault="00185996" w:rsidP="00185996">
      <w:pPr>
        <w:pStyle w:val="ListParagraph"/>
        <w:rPr>
          <w:rFonts w:ascii="Arial" w:hAnsi="Arial" w:cs="Arial"/>
          <w:sz w:val="24"/>
          <w:szCs w:val="24"/>
        </w:rPr>
      </w:pPr>
    </w:p>
    <w:p w:rsidR="00185996" w:rsidRDefault="00185996" w:rsidP="0051346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In </w:t>
      </w:r>
      <w:r w:rsidR="00FC02A9">
        <w:rPr>
          <w:rFonts w:ascii="Arial" w:hAnsi="Arial" w:cs="Arial"/>
          <w:sz w:val="24"/>
          <w:szCs w:val="24"/>
        </w:rPr>
        <w:t xml:space="preserve">the course of </w:t>
      </w:r>
      <w:r>
        <w:rPr>
          <w:rFonts w:ascii="Arial" w:hAnsi="Arial" w:cs="Arial"/>
          <w:sz w:val="24"/>
          <w:szCs w:val="24"/>
        </w:rPr>
        <w:t>his analysis, Wallis</w:t>
      </w:r>
      <w:r w:rsidR="00D94F14">
        <w:rPr>
          <w:rFonts w:ascii="Arial" w:hAnsi="Arial" w:cs="Arial"/>
          <w:sz w:val="24"/>
          <w:szCs w:val="24"/>
        </w:rPr>
        <w:t>,</w:t>
      </w:r>
      <w:r>
        <w:rPr>
          <w:rFonts w:ascii="Arial" w:hAnsi="Arial" w:cs="Arial"/>
          <w:sz w:val="24"/>
          <w:szCs w:val="24"/>
        </w:rPr>
        <w:t xml:space="preserve"> JA referred to the requirement of lodging the application with the Master in similarly worded provision</w:t>
      </w:r>
      <w:r w:rsidR="00E870EB">
        <w:rPr>
          <w:rFonts w:ascii="Arial" w:hAnsi="Arial" w:cs="Arial"/>
          <w:sz w:val="24"/>
          <w:szCs w:val="24"/>
        </w:rPr>
        <w:t xml:space="preserve"> in s 346</w:t>
      </w:r>
      <w:r>
        <w:rPr>
          <w:rFonts w:ascii="Arial" w:hAnsi="Arial" w:cs="Arial"/>
          <w:sz w:val="24"/>
          <w:szCs w:val="24"/>
        </w:rPr>
        <w:t xml:space="preserve">. He firstly referred to authority that ‘presenting’ to the court meant when the application is </w:t>
      </w:r>
      <w:r>
        <w:rPr>
          <w:rFonts w:ascii="Arial" w:hAnsi="Arial" w:cs="Arial"/>
          <w:sz w:val="24"/>
          <w:szCs w:val="24"/>
        </w:rPr>
        <w:lastRenderedPageBreak/>
        <w:t>lodged with the Registrar. I accept that this also reflects the position</w:t>
      </w:r>
      <w:r w:rsidR="00E870EB">
        <w:rPr>
          <w:rFonts w:ascii="Arial" w:hAnsi="Arial" w:cs="Arial"/>
          <w:sz w:val="24"/>
          <w:szCs w:val="24"/>
        </w:rPr>
        <w:t xml:space="preserve"> in Namibia</w:t>
      </w:r>
      <w:r>
        <w:rPr>
          <w:rFonts w:ascii="Arial" w:hAnsi="Arial" w:cs="Arial"/>
          <w:sz w:val="24"/>
          <w:szCs w:val="24"/>
        </w:rPr>
        <w:t xml:space="preserve">. It would accord with the statutory purpose of providing </w:t>
      </w:r>
      <w:r w:rsidR="00E870EB">
        <w:rPr>
          <w:rFonts w:ascii="Arial" w:hAnsi="Arial" w:cs="Arial"/>
          <w:sz w:val="24"/>
          <w:szCs w:val="24"/>
        </w:rPr>
        <w:t>an adequate</w:t>
      </w:r>
      <w:r>
        <w:rPr>
          <w:rFonts w:ascii="Arial" w:hAnsi="Arial" w:cs="Arial"/>
          <w:sz w:val="24"/>
          <w:szCs w:val="24"/>
        </w:rPr>
        <w:t xml:space="preserve"> opportunity to the Master to report on any matter to the court.</w:t>
      </w:r>
    </w:p>
    <w:p w:rsidR="00185996" w:rsidRDefault="00185996" w:rsidP="00185996">
      <w:pPr>
        <w:pStyle w:val="ListParagraph"/>
        <w:rPr>
          <w:rFonts w:ascii="Arial" w:hAnsi="Arial" w:cs="Arial"/>
          <w:sz w:val="24"/>
          <w:szCs w:val="24"/>
        </w:rPr>
      </w:pPr>
    </w:p>
    <w:p w:rsidR="00185996" w:rsidRDefault="00185996" w:rsidP="0051346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Wallis</w:t>
      </w:r>
      <w:r w:rsidR="00D94F14">
        <w:rPr>
          <w:rFonts w:ascii="Arial" w:hAnsi="Arial" w:cs="Arial"/>
          <w:sz w:val="24"/>
          <w:szCs w:val="24"/>
        </w:rPr>
        <w:t>,</w:t>
      </w:r>
      <w:r>
        <w:rPr>
          <w:rFonts w:ascii="Arial" w:hAnsi="Arial" w:cs="Arial"/>
          <w:sz w:val="24"/>
          <w:szCs w:val="24"/>
        </w:rPr>
        <w:t xml:space="preserve"> JA further expresses the view that lodging the applica</w:t>
      </w:r>
      <w:r w:rsidR="00E870EB">
        <w:rPr>
          <w:rFonts w:ascii="Arial" w:hAnsi="Arial" w:cs="Arial"/>
          <w:sz w:val="24"/>
          <w:szCs w:val="24"/>
        </w:rPr>
        <w:t>tion with the Master</w:t>
      </w:r>
      <w:r>
        <w:rPr>
          <w:rFonts w:ascii="Arial" w:hAnsi="Arial" w:cs="Arial"/>
          <w:sz w:val="24"/>
          <w:szCs w:val="24"/>
        </w:rPr>
        <w:t xml:space="preserve"> is peremptory</w:t>
      </w:r>
      <w:r w:rsidR="00E870EB">
        <w:rPr>
          <w:rFonts w:ascii="Arial" w:hAnsi="Arial" w:cs="Arial"/>
          <w:sz w:val="24"/>
          <w:szCs w:val="24"/>
        </w:rPr>
        <w:t>,</w:t>
      </w:r>
      <w:r>
        <w:rPr>
          <w:rFonts w:ascii="Arial" w:hAnsi="Arial" w:cs="Arial"/>
          <w:sz w:val="24"/>
          <w:szCs w:val="24"/>
        </w:rPr>
        <w:t xml:space="preserve"> as is the provision of security.</w:t>
      </w:r>
      <w:r>
        <w:rPr>
          <w:rStyle w:val="FootnoteReference"/>
          <w:rFonts w:ascii="Arial" w:hAnsi="Arial" w:cs="Arial"/>
          <w:sz w:val="24"/>
          <w:szCs w:val="24"/>
        </w:rPr>
        <w:footnoteReference w:id="17"/>
      </w:r>
    </w:p>
    <w:p w:rsidR="00185996" w:rsidRDefault="00185996" w:rsidP="00185996">
      <w:pPr>
        <w:pStyle w:val="ListParagraph"/>
        <w:rPr>
          <w:rFonts w:ascii="Arial" w:hAnsi="Arial" w:cs="Arial"/>
          <w:sz w:val="24"/>
          <w:szCs w:val="24"/>
        </w:rPr>
      </w:pPr>
    </w:p>
    <w:p w:rsidR="00185996" w:rsidRDefault="00185996" w:rsidP="0051346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In dealing with the timing of furnishing the application upon employees (and the other named persons in that subsection), Wallis</w:t>
      </w:r>
      <w:r w:rsidR="00D94F14">
        <w:rPr>
          <w:rFonts w:ascii="Arial" w:hAnsi="Arial" w:cs="Arial"/>
          <w:sz w:val="24"/>
          <w:szCs w:val="24"/>
        </w:rPr>
        <w:t>,</w:t>
      </w:r>
      <w:r>
        <w:rPr>
          <w:rFonts w:ascii="Arial" w:hAnsi="Arial" w:cs="Arial"/>
          <w:sz w:val="24"/>
          <w:szCs w:val="24"/>
        </w:rPr>
        <w:t xml:space="preserve"> JA stressed:</w:t>
      </w:r>
    </w:p>
    <w:p w:rsidR="00185996" w:rsidRPr="001578CD" w:rsidRDefault="00185996" w:rsidP="00BA4655">
      <w:pPr>
        <w:pStyle w:val="ListParagraph"/>
        <w:spacing w:line="360" w:lineRule="auto"/>
        <w:rPr>
          <w:rFonts w:ascii="Arial" w:hAnsi="Arial" w:cs="Arial"/>
        </w:rPr>
      </w:pPr>
    </w:p>
    <w:p w:rsidR="00185996" w:rsidRPr="001578CD" w:rsidRDefault="00185996" w:rsidP="00BA4655">
      <w:pPr>
        <w:pStyle w:val="NoSpacing"/>
        <w:spacing w:line="360" w:lineRule="auto"/>
        <w:ind w:left="720"/>
        <w:jc w:val="both"/>
        <w:rPr>
          <w:rFonts w:ascii="Arial" w:hAnsi="Arial" w:cs="Arial"/>
        </w:rPr>
      </w:pPr>
      <w:r w:rsidRPr="001578CD">
        <w:rPr>
          <w:rFonts w:ascii="Arial" w:hAnsi="Arial" w:cs="Arial"/>
        </w:rPr>
        <w:t>‘The court should in general satisfy itself that the persons who are entitled to be furnished with the papers</w:t>
      </w:r>
      <w:r w:rsidR="001578CD" w:rsidRPr="001578CD">
        <w:rPr>
          <w:rFonts w:ascii="Arial" w:hAnsi="Arial" w:cs="Arial"/>
        </w:rPr>
        <w:t>, have had adequate opportunity to consider the application and decide whether to intervene.’</w:t>
      </w:r>
      <w:r w:rsidR="001578CD">
        <w:rPr>
          <w:rStyle w:val="FootnoteReference"/>
          <w:rFonts w:ascii="Arial" w:hAnsi="Arial" w:cs="Arial"/>
        </w:rPr>
        <w:footnoteReference w:id="18"/>
      </w:r>
    </w:p>
    <w:p w:rsidR="00185996" w:rsidRPr="001578CD" w:rsidRDefault="00185996" w:rsidP="00BA4655">
      <w:pPr>
        <w:pStyle w:val="ListParagraph"/>
        <w:spacing w:line="360" w:lineRule="auto"/>
        <w:rPr>
          <w:rFonts w:ascii="Arial" w:hAnsi="Arial" w:cs="Arial"/>
        </w:rPr>
      </w:pPr>
    </w:p>
    <w:p w:rsidR="00286F17" w:rsidRDefault="00D94F14" w:rsidP="0051346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That is afterall the purpose of </w:t>
      </w:r>
      <w:r w:rsidR="00FC02A9">
        <w:rPr>
          <w:rFonts w:ascii="Arial" w:hAnsi="Arial" w:cs="Arial"/>
          <w:sz w:val="24"/>
          <w:szCs w:val="24"/>
        </w:rPr>
        <w:t>lodging and furnishing the application upon the parties designated in the section</w:t>
      </w:r>
      <w:r>
        <w:rPr>
          <w:rFonts w:ascii="Arial" w:hAnsi="Arial" w:cs="Arial"/>
          <w:sz w:val="24"/>
          <w:szCs w:val="24"/>
        </w:rPr>
        <w:t xml:space="preserve">. </w:t>
      </w:r>
    </w:p>
    <w:p w:rsidR="00286F17" w:rsidRDefault="00286F17" w:rsidP="00286F17">
      <w:pPr>
        <w:pStyle w:val="NoSpacing"/>
        <w:spacing w:line="480" w:lineRule="auto"/>
        <w:jc w:val="both"/>
        <w:rPr>
          <w:rFonts w:ascii="Arial" w:hAnsi="Arial" w:cs="Arial"/>
          <w:sz w:val="24"/>
          <w:szCs w:val="24"/>
        </w:rPr>
      </w:pPr>
    </w:p>
    <w:p w:rsidR="00286F17" w:rsidRDefault="00286F17" w:rsidP="0051346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In</w:t>
      </w:r>
      <w:r w:rsidR="00FC02A9">
        <w:rPr>
          <w:rFonts w:ascii="Arial" w:hAnsi="Arial" w:cs="Arial"/>
          <w:sz w:val="24"/>
          <w:szCs w:val="24"/>
        </w:rPr>
        <w:t xml:space="preserve"> the</w:t>
      </w:r>
      <w:r>
        <w:rPr>
          <w:rFonts w:ascii="Arial" w:hAnsi="Arial" w:cs="Arial"/>
          <w:sz w:val="24"/>
          <w:szCs w:val="24"/>
        </w:rPr>
        <w:t xml:space="preserve"> </w:t>
      </w:r>
      <w:r>
        <w:rPr>
          <w:rFonts w:ascii="Arial" w:hAnsi="Arial" w:cs="Arial"/>
          <w:i/>
          <w:sz w:val="24"/>
          <w:szCs w:val="24"/>
        </w:rPr>
        <w:t>EB Steam</w:t>
      </w:r>
      <w:r w:rsidR="00FC02A9">
        <w:rPr>
          <w:rFonts w:ascii="Arial" w:hAnsi="Arial" w:cs="Arial"/>
          <w:i/>
          <w:sz w:val="24"/>
          <w:szCs w:val="24"/>
        </w:rPr>
        <w:t xml:space="preserve"> </w:t>
      </w:r>
      <w:r w:rsidR="00FC02A9">
        <w:rPr>
          <w:rFonts w:ascii="Arial" w:hAnsi="Arial" w:cs="Arial"/>
          <w:sz w:val="24"/>
          <w:szCs w:val="24"/>
        </w:rPr>
        <w:t>applications</w:t>
      </w:r>
      <w:r>
        <w:rPr>
          <w:rFonts w:ascii="Arial" w:hAnsi="Arial" w:cs="Arial"/>
          <w:i/>
          <w:sz w:val="24"/>
          <w:szCs w:val="24"/>
        </w:rPr>
        <w:t xml:space="preserve">, </w:t>
      </w:r>
      <w:r>
        <w:rPr>
          <w:rFonts w:ascii="Arial" w:hAnsi="Arial" w:cs="Arial"/>
          <w:sz w:val="24"/>
          <w:szCs w:val="24"/>
        </w:rPr>
        <w:t xml:space="preserve">the employees of the companies were cited as a ‘third party’ without the founding affidavit giving any indication of the number of employees and whether any were </w:t>
      </w:r>
      <w:r w:rsidR="004E198A">
        <w:rPr>
          <w:rFonts w:ascii="Arial" w:hAnsi="Arial" w:cs="Arial"/>
          <w:sz w:val="24"/>
          <w:szCs w:val="24"/>
        </w:rPr>
        <w:t xml:space="preserve">employed at the registered address or where they were employed. The sheriff purported to </w:t>
      </w:r>
      <w:r w:rsidR="00FC02A9">
        <w:rPr>
          <w:rFonts w:ascii="Arial" w:hAnsi="Arial" w:cs="Arial"/>
          <w:sz w:val="24"/>
          <w:szCs w:val="24"/>
        </w:rPr>
        <w:t xml:space="preserve">serve </w:t>
      </w:r>
      <w:r w:rsidR="004E198A">
        <w:rPr>
          <w:rFonts w:ascii="Arial" w:hAnsi="Arial" w:cs="Arial"/>
          <w:sz w:val="24"/>
          <w:szCs w:val="24"/>
        </w:rPr>
        <w:t>the applications o</w:t>
      </w:r>
      <w:r w:rsidR="00FC02A9">
        <w:rPr>
          <w:rFonts w:ascii="Arial" w:hAnsi="Arial" w:cs="Arial"/>
          <w:sz w:val="24"/>
          <w:szCs w:val="24"/>
        </w:rPr>
        <w:t>n</w:t>
      </w:r>
      <w:r w:rsidR="004E198A">
        <w:rPr>
          <w:rFonts w:ascii="Arial" w:hAnsi="Arial" w:cs="Arial"/>
          <w:sz w:val="24"/>
          <w:szCs w:val="24"/>
        </w:rPr>
        <w:t xml:space="preserve"> these employees – so cited – by affixing a copy of the application to the front door of the registered office. The </w:t>
      </w:r>
      <w:r w:rsidR="00FC02A9">
        <w:rPr>
          <w:rFonts w:ascii="Arial" w:hAnsi="Arial" w:cs="Arial"/>
          <w:sz w:val="24"/>
          <w:szCs w:val="24"/>
        </w:rPr>
        <w:t xml:space="preserve">employees of the </w:t>
      </w:r>
      <w:r w:rsidR="004E198A">
        <w:rPr>
          <w:rFonts w:ascii="Arial" w:hAnsi="Arial" w:cs="Arial"/>
          <w:sz w:val="24"/>
          <w:szCs w:val="24"/>
        </w:rPr>
        <w:t xml:space="preserve">different companies within the </w:t>
      </w:r>
      <w:r w:rsidR="004E198A" w:rsidRPr="004E198A">
        <w:rPr>
          <w:rFonts w:ascii="Arial" w:hAnsi="Arial" w:cs="Arial"/>
          <w:i/>
          <w:sz w:val="24"/>
          <w:szCs w:val="24"/>
        </w:rPr>
        <w:t>EB Steam</w:t>
      </w:r>
      <w:r w:rsidR="004E198A">
        <w:rPr>
          <w:rFonts w:ascii="Arial" w:hAnsi="Arial" w:cs="Arial"/>
          <w:sz w:val="24"/>
          <w:szCs w:val="24"/>
        </w:rPr>
        <w:t xml:space="preserve"> group sought to be wound-up</w:t>
      </w:r>
      <w:r w:rsidR="00FC02A9">
        <w:rPr>
          <w:rFonts w:ascii="Arial" w:hAnsi="Arial" w:cs="Arial"/>
          <w:sz w:val="24"/>
          <w:szCs w:val="24"/>
        </w:rPr>
        <w:t xml:space="preserve"> were employed</w:t>
      </w:r>
      <w:r w:rsidR="004E198A">
        <w:rPr>
          <w:rFonts w:ascii="Arial" w:hAnsi="Arial" w:cs="Arial"/>
          <w:sz w:val="24"/>
          <w:szCs w:val="24"/>
        </w:rPr>
        <w:t xml:space="preserve"> in a number of different locations around South Africa. The SCA held that the court below should not have been satisfied that there </w:t>
      </w:r>
      <w:r w:rsidR="004E198A">
        <w:rPr>
          <w:rFonts w:ascii="Arial" w:hAnsi="Arial" w:cs="Arial"/>
          <w:sz w:val="24"/>
          <w:szCs w:val="24"/>
        </w:rPr>
        <w:lastRenderedPageBreak/>
        <w:t xml:space="preserve">had been compliance with the requirement of s 346 that a copy of the application be furnished upon employees. The SCA proceeded to set aside the final order of winding-up and replaced </w:t>
      </w:r>
      <w:r w:rsidR="00FC02A9">
        <w:rPr>
          <w:rFonts w:ascii="Arial" w:hAnsi="Arial" w:cs="Arial"/>
          <w:sz w:val="24"/>
          <w:szCs w:val="24"/>
        </w:rPr>
        <w:t xml:space="preserve">it </w:t>
      </w:r>
      <w:r w:rsidR="004E198A">
        <w:rPr>
          <w:rFonts w:ascii="Arial" w:hAnsi="Arial" w:cs="Arial"/>
          <w:sz w:val="24"/>
          <w:szCs w:val="24"/>
        </w:rPr>
        <w:t xml:space="preserve">with a provisional order returnable eight weeks later with directions as to the furnishing of the application and provisional order upon employees. The </w:t>
      </w:r>
      <w:r w:rsidR="004E198A" w:rsidRPr="004E198A">
        <w:rPr>
          <w:rFonts w:ascii="Arial" w:hAnsi="Arial" w:cs="Arial"/>
          <w:i/>
          <w:sz w:val="24"/>
          <w:szCs w:val="24"/>
        </w:rPr>
        <w:t>obiter</w:t>
      </w:r>
      <w:r w:rsidR="004E198A">
        <w:rPr>
          <w:rFonts w:ascii="Arial" w:hAnsi="Arial" w:cs="Arial"/>
          <w:sz w:val="24"/>
          <w:szCs w:val="24"/>
        </w:rPr>
        <w:t xml:space="preserve"> remarks by Wallis JA are to be viewed in the overall context of that matter</w:t>
      </w:r>
      <w:r w:rsidR="00FC02A9">
        <w:rPr>
          <w:rFonts w:ascii="Arial" w:hAnsi="Arial" w:cs="Arial"/>
          <w:sz w:val="24"/>
          <w:szCs w:val="24"/>
        </w:rPr>
        <w:t>, including its outcome. The SCA did not find that the application was a nullity but merely required compliance with the provision in question</w:t>
      </w:r>
      <w:r w:rsidR="004E198A">
        <w:rPr>
          <w:rFonts w:ascii="Arial" w:hAnsi="Arial" w:cs="Arial"/>
          <w:sz w:val="24"/>
          <w:szCs w:val="24"/>
        </w:rPr>
        <w:t>.</w:t>
      </w:r>
    </w:p>
    <w:p w:rsidR="00286F17" w:rsidRDefault="00286F17" w:rsidP="00286F17">
      <w:pPr>
        <w:pStyle w:val="ListParagraph"/>
        <w:rPr>
          <w:rFonts w:ascii="Arial" w:hAnsi="Arial" w:cs="Arial"/>
          <w:sz w:val="24"/>
          <w:szCs w:val="24"/>
        </w:rPr>
      </w:pPr>
    </w:p>
    <w:p w:rsidR="00185996" w:rsidRDefault="00D94F14" w:rsidP="0051346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Whilst I agree with Wallis, </w:t>
      </w:r>
      <w:r w:rsidR="00E870EB">
        <w:rPr>
          <w:rFonts w:ascii="Arial" w:hAnsi="Arial" w:cs="Arial"/>
          <w:sz w:val="24"/>
          <w:szCs w:val="24"/>
        </w:rPr>
        <w:t>JA</w:t>
      </w:r>
      <w:r>
        <w:rPr>
          <w:rFonts w:ascii="Arial" w:hAnsi="Arial" w:cs="Arial"/>
          <w:sz w:val="24"/>
          <w:szCs w:val="24"/>
        </w:rPr>
        <w:t xml:space="preserve"> that the requirement</w:t>
      </w:r>
      <w:r w:rsidR="00E870EB">
        <w:rPr>
          <w:rFonts w:ascii="Arial" w:hAnsi="Arial" w:cs="Arial"/>
          <w:sz w:val="24"/>
          <w:szCs w:val="24"/>
        </w:rPr>
        <w:t>s</w:t>
      </w:r>
      <w:r>
        <w:rPr>
          <w:rFonts w:ascii="Arial" w:hAnsi="Arial" w:cs="Arial"/>
          <w:sz w:val="24"/>
          <w:szCs w:val="24"/>
        </w:rPr>
        <w:t xml:space="preserve"> of lodging a copy of the application (and providing security) are peremptory, the question arises as to whether a less than perfect compliance (as occurred in the instant matter) results in the invalidity of an application. It is certainly peremptory in the sense (as intended by Wallis, </w:t>
      </w:r>
      <w:r w:rsidR="00286F17">
        <w:rPr>
          <w:rFonts w:ascii="Arial" w:hAnsi="Arial" w:cs="Arial"/>
          <w:sz w:val="24"/>
          <w:szCs w:val="24"/>
        </w:rPr>
        <w:t>JA</w:t>
      </w:r>
      <w:r>
        <w:rPr>
          <w:rFonts w:ascii="Arial" w:hAnsi="Arial" w:cs="Arial"/>
          <w:sz w:val="24"/>
          <w:szCs w:val="24"/>
        </w:rPr>
        <w:t xml:space="preserve">) that a court would be entitled to (and should) </w:t>
      </w:r>
      <w:r w:rsidR="00FC02A9">
        <w:rPr>
          <w:rFonts w:ascii="Arial" w:hAnsi="Arial" w:cs="Arial"/>
          <w:sz w:val="24"/>
          <w:szCs w:val="24"/>
        </w:rPr>
        <w:t>direct compliance with s 351(4)</w:t>
      </w:r>
      <w:r>
        <w:rPr>
          <w:rFonts w:ascii="Arial" w:hAnsi="Arial" w:cs="Arial"/>
          <w:sz w:val="24"/>
          <w:szCs w:val="24"/>
        </w:rPr>
        <w:t xml:space="preserve"> if </w:t>
      </w:r>
      <w:r w:rsidR="00FC02A9">
        <w:rPr>
          <w:rFonts w:ascii="Arial" w:hAnsi="Arial" w:cs="Arial"/>
          <w:sz w:val="24"/>
          <w:szCs w:val="24"/>
        </w:rPr>
        <w:t>an application were</w:t>
      </w:r>
      <w:r>
        <w:rPr>
          <w:rFonts w:ascii="Arial" w:hAnsi="Arial" w:cs="Arial"/>
          <w:sz w:val="24"/>
          <w:szCs w:val="24"/>
        </w:rPr>
        <w:t xml:space="preserve"> not lodged with the Master</w:t>
      </w:r>
      <w:r w:rsidR="00FC02A9">
        <w:rPr>
          <w:rFonts w:ascii="Arial" w:hAnsi="Arial" w:cs="Arial"/>
          <w:sz w:val="24"/>
          <w:szCs w:val="24"/>
        </w:rPr>
        <w:t xml:space="preserve"> (and refuse it until this were done)</w:t>
      </w:r>
      <w:r>
        <w:rPr>
          <w:rFonts w:ascii="Arial" w:hAnsi="Arial" w:cs="Arial"/>
          <w:sz w:val="24"/>
          <w:szCs w:val="24"/>
        </w:rPr>
        <w:t xml:space="preserve"> or postpone it to enable this to occur</w:t>
      </w:r>
      <w:r w:rsidR="00FC02A9">
        <w:rPr>
          <w:rFonts w:ascii="Arial" w:hAnsi="Arial" w:cs="Arial"/>
          <w:sz w:val="24"/>
          <w:szCs w:val="24"/>
        </w:rPr>
        <w:t xml:space="preserve"> – so as</w:t>
      </w:r>
      <w:r w:rsidR="00E870EB">
        <w:rPr>
          <w:rFonts w:ascii="Arial" w:hAnsi="Arial" w:cs="Arial"/>
          <w:sz w:val="24"/>
          <w:szCs w:val="24"/>
        </w:rPr>
        <w:t xml:space="preserve"> to enable the Master to report to the court</w:t>
      </w:r>
      <w:r w:rsidR="004A64D1">
        <w:rPr>
          <w:rFonts w:ascii="Arial" w:hAnsi="Arial" w:cs="Arial"/>
          <w:sz w:val="24"/>
          <w:szCs w:val="24"/>
        </w:rPr>
        <w:t>, thus linking the question of compliance to the purpose of the provision.</w:t>
      </w:r>
      <w:r w:rsidR="004A64D1">
        <w:rPr>
          <w:rStyle w:val="FootnoteReference"/>
          <w:rFonts w:ascii="Arial" w:hAnsi="Arial" w:cs="Arial"/>
          <w:sz w:val="24"/>
          <w:szCs w:val="24"/>
        </w:rPr>
        <w:footnoteReference w:id="19"/>
      </w:r>
    </w:p>
    <w:p w:rsidR="00185996" w:rsidRDefault="00185996" w:rsidP="00185996">
      <w:pPr>
        <w:pStyle w:val="ListParagraph"/>
        <w:rPr>
          <w:rFonts w:ascii="Arial" w:hAnsi="Arial" w:cs="Arial"/>
          <w:sz w:val="24"/>
          <w:szCs w:val="24"/>
        </w:rPr>
      </w:pPr>
    </w:p>
    <w:p w:rsidR="00185996" w:rsidRDefault="00D94F14" w:rsidP="0051346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approach to ascertaining the consequences of non-compliance</w:t>
      </w:r>
      <w:r w:rsidR="00E870EB">
        <w:rPr>
          <w:rFonts w:ascii="Arial" w:hAnsi="Arial" w:cs="Arial"/>
          <w:sz w:val="24"/>
          <w:szCs w:val="24"/>
        </w:rPr>
        <w:t xml:space="preserve"> of provisions expressed in peremptory terms</w:t>
      </w:r>
      <w:r>
        <w:rPr>
          <w:rFonts w:ascii="Arial" w:hAnsi="Arial" w:cs="Arial"/>
          <w:sz w:val="24"/>
          <w:szCs w:val="24"/>
        </w:rPr>
        <w:t xml:space="preserve"> was recently address</w:t>
      </w:r>
      <w:r w:rsidR="00E870EB">
        <w:rPr>
          <w:rFonts w:ascii="Arial" w:hAnsi="Arial" w:cs="Arial"/>
          <w:sz w:val="24"/>
          <w:szCs w:val="24"/>
        </w:rPr>
        <w:t>ed by</w:t>
      </w:r>
      <w:r>
        <w:rPr>
          <w:rFonts w:ascii="Arial" w:hAnsi="Arial" w:cs="Arial"/>
          <w:sz w:val="24"/>
          <w:szCs w:val="24"/>
        </w:rPr>
        <w:t xml:space="preserve"> this court in </w:t>
      </w:r>
      <w:r w:rsidRPr="00D94F14">
        <w:rPr>
          <w:rFonts w:ascii="Arial" w:hAnsi="Arial" w:cs="Arial"/>
          <w:i/>
          <w:sz w:val="24"/>
          <w:szCs w:val="24"/>
        </w:rPr>
        <w:t>Torbitt v International University of Management</w:t>
      </w:r>
      <w:r>
        <w:rPr>
          <w:rStyle w:val="FootnoteReference"/>
          <w:rFonts w:ascii="Arial" w:hAnsi="Arial" w:cs="Arial"/>
          <w:sz w:val="24"/>
          <w:szCs w:val="24"/>
        </w:rPr>
        <w:footnoteReference w:id="20"/>
      </w:r>
      <w:r>
        <w:rPr>
          <w:rFonts w:ascii="Arial" w:hAnsi="Arial" w:cs="Arial"/>
          <w:sz w:val="24"/>
          <w:szCs w:val="24"/>
        </w:rPr>
        <w:t xml:space="preserve"> where it was stated:</w:t>
      </w:r>
    </w:p>
    <w:p w:rsidR="00D94F14" w:rsidRDefault="00D94F14" w:rsidP="00D94F14">
      <w:pPr>
        <w:pStyle w:val="NoSpacing"/>
        <w:spacing w:line="480" w:lineRule="auto"/>
        <w:jc w:val="both"/>
        <w:rPr>
          <w:rFonts w:ascii="Arial" w:hAnsi="Arial" w:cs="Arial"/>
          <w:sz w:val="24"/>
          <w:szCs w:val="24"/>
        </w:rPr>
      </w:pPr>
    </w:p>
    <w:p w:rsidR="00D94F14" w:rsidRPr="00D94F14" w:rsidRDefault="0023748C" w:rsidP="00BA4655">
      <w:pPr>
        <w:pStyle w:val="NoSpacing"/>
        <w:spacing w:line="360" w:lineRule="auto"/>
        <w:ind w:left="1440" w:hanging="720"/>
        <w:jc w:val="both"/>
        <w:rPr>
          <w:rFonts w:ascii="Arial" w:hAnsi="Arial" w:cs="Arial"/>
        </w:rPr>
      </w:pPr>
      <w:r>
        <w:rPr>
          <w:rFonts w:ascii="Arial" w:hAnsi="Arial" w:cs="Arial"/>
        </w:rPr>
        <w:t>‘</w:t>
      </w:r>
      <w:r w:rsidR="00D94F14" w:rsidRPr="00D94F14">
        <w:rPr>
          <w:rFonts w:ascii="Arial" w:hAnsi="Arial" w:cs="Arial"/>
        </w:rPr>
        <w:t>[30]</w:t>
      </w:r>
      <w:r w:rsidR="00D94F14" w:rsidRPr="00D94F14">
        <w:rPr>
          <w:rFonts w:ascii="Arial" w:hAnsi="Arial" w:cs="Arial"/>
        </w:rPr>
        <w:tab/>
        <w:t xml:space="preserve">The approach that a peremptory enactment must be obeyed exactly and that it is sufficient if a directory enactment is obeyed or fulfilled substantially has </w:t>
      </w:r>
      <w:r w:rsidR="00D94F14" w:rsidRPr="00D94F14">
        <w:rPr>
          <w:rFonts w:ascii="Arial" w:hAnsi="Arial" w:cs="Arial"/>
        </w:rPr>
        <w:lastRenderedPageBreak/>
        <w:t>been described as rigid and inflexible</w:t>
      </w:r>
      <w:r w:rsidR="00D94F14" w:rsidRPr="00D94F14">
        <w:rPr>
          <w:rStyle w:val="FootnoteReference"/>
          <w:rFonts w:ascii="Arial" w:hAnsi="Arial" w:cs="Arial"/>
        </w:rPr>
        <w:footnoteReference w:id="21"/>
      </w:r>
      <w:r>
        <w:rPr>
          <w:rFonts w:ascii="Arial" w:hAnsi="Arial" w:cs="Arial"/>
        </w:rPr>
        <w:t xml:space="preserve"> and “</w:t>
      </w:r>
      <w:r w:rsidR="00D94F14" w:rsidRPr="00D94F14">
        <w:rPr>
          <w:rFonts w:ascii="Arial" w:hAnsi="Arial" w:cs="Arial"/>
        </w:rPr>
        <w:t>that the modern approach manifests a tendency to incline towards flexibility</w:t>
      </w:r>
      <w:r>
        <w:rPr>
          <w:rFonts w:ascii="Arial" w:hAnsi="Arial" w:cs="Arial"/>
        </w:rPr>
        <w:t>”</w:t>
      </w:r>
      <w:r w:rsidR="00D94F14" w:rsidRPr="00D94F14">
        <w:rPr>
          <w:rFonts w:ascii="Arial" w:hAnsi="Arial" w:cs="Arial"/>
        </w:rPr>
        <w:t>’.</w:t>
      </w:r>
      <w:r w:rsidR="00D94F14" w:rsidRPr="00D94F14">
        <w:rPr>
          <w:rStyle w:val="FootnoteReference"/>
          <w:rFonts w:ascii="Arial" w:hAnsi="Arial" w:cs="Arial"/>
        </w:rPr>
        <w:footnoteReference w:id="22"/>
      </w:r>
    </w:p>
    <w:p w:rsidR="00185996" w:rsidRDefault="00185996" w:rsidP="00BA4655">
      <w:pPr>
        <w:pStyle w:val="ListParagraph"/>
        <w:spacing w:line="360" w:lineRule="auto"/>
        <w:rPr>
          <w:rFonts w:ascii="Arial" w:hAnsi="Arial" w:cs="Arial"/>
          <w:sz w:val="24"/>
          <w:szCs w:val="24"/>
        </w:rPr>
      </w:pPr>
    </w:p>
    <w:p w:rsidR="00185996" w:rsidRDefault="00D94F14" w:rsidP="0051346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After a </w:t>
      </w:r>
      <w:r w:rsidR="00E870EB">
        <w:rPr>
          <w:rFonts w:ascii="Arial" w:hAnsi="Arial" w:cs="Arial"/>
          <w:sz w:val="24"/>
          <w:szCs w:val="24"/>
        </w:rPr>
        <w:t xml:space="preserve">thorough </w:t>
      </w:r>
      <w:r>
        <w:rPr>
          <w:rFonts w:ascii="Arial" w:hAnsi="Arial" w:cs="Arial"/>
          <w:sz w:val="24"/>
          <w:szCs w:val="24"/>
        </w:rPr>
        <w:t>survey of authorities</w:t>
      </w:r>
      <w:r w:rsidR="00E870EB">
        <w:rPr>
          <w:rFonts w:ascii="Arial" w:hAnsi="Arial" w:cs="Arial"/>
          <w:sz w:val="24"/>
          <w:szCs w:val="24"/>
        </w:rPr>
        <w:t>,</w:t>
      </w:r>
      <w:r>
        <w:rPr>
          <w:rFonts w:ascii="Arial" w:hAnsi="Arial" w:cs="Arial"/>
          <w:sz w:val="24"/>
          <w:szCs w:val="24"/>
        </w:rPr>
        <w:t xml:space="preserve"> th</w:t>
      </w:r>
      <w:r w:rsidR="00E870EB">
        <w:rPr>
          <w:rFonts w:ascii="Arial" w:hAnsi="Arial" w:cs="Arial"/>
          <w:sz w:val="24"/>
          <w:szCs w:val="24"/>
        </w:rPr>
        <w:t>is</w:t>
      </w:r>
      <w:r>
        <w:rPr>
          <w:rFonts w:ascii="Arial" w:hAnsi="Arial" w:cs="Arial"/>
          <w:sz w:val="24"/>
          <w:szCs w:val="24"/>
        </w:rPr>
        <w:t xml:space="preserve"> court concluded that </w:t>
      </w:r>
      <w:r w:rsidR="00E870EB">
        <w:rPr>
          <w:rFonts w:ascii="Arial" w:hAnsi="Arial" w:cs="Arial"/>
          <w:sz w:val="24"/>
          <w:szCs w:val="24"/>
        </w:rPr>
        <w:t xml:space="preserve">the </w:t>
      </w:r>
      <w:r>
        <w:rPr>
          <w:rFonts w:ascii="Arial" w:hAnsi="Arial" w:cs="Arial"/>
          <w:sz w:val="24"/>
          <w:szCs w:val="24"/>
        </w:rPr>
        <w:t xml:space="preserve">consequences </w:t>
      </w:r>
      <w:r w:rsidR="004A64D1">
        <w:rPr>
          <w:rFonts w:ascii="Arial" w:hAnsi="Arial" w:cs="Arial"/>
          <w:sz w:val="24"/>
          <w:szCs w:val="24"/>
        </w:rPr>
        <w:t xml:space="preserve">of </w:t>
      </w:r>
      <w:r>
        <w:rPr>
          <w:rFonts w:ascii="Arial" w:hAnsi="Arial" w:cs="Arial"/>
          <w:sz w:val="24"/>
          <w:szCs w:val="24"/>
        </w:rPr>
        <w:t>str</w:t>
      </w:r>
      <w:r w:rsidR="00E870EB">
        <w:rPr>
          <w:rFonts w:ascii="Arial" w:hAnsi="Arial" w:cs="Arial"/>
          <w:sz w:val="24"/>
          <w:szCs w:val="24"/>
        </w:rPr>
        <w:t>ict</w:t>
      </w:r>
      <w:r>
        <w:rPr>
          <w:rFonts w:ascii="Arial" w:hAnsi="Arial" w:cs="Arial"/>
          <w:sz w:val="24"/>
          <w:szCs w:val="24"/>
        </w:rPr>
        <w:t xml:space="preserve"> </w:t>
      </w:r>
      <w:r w:rsidR="00634C4D">
        <w:rPr>
          <w:rFonts w:ascii="Arial" w:hAnsi="Arial" w:cs="Arial"/>
          <w:sz w:val="24"/>
          <w:szCs w:val="24"/>
        </w:rPr>
        <w:t xml:space="preserve">non-compliance would need to be determined with </w:t>
      </w:r>
      <w:r w:rsidR="00E81F72">
        <w:rPr>
          <w:rFonts w:ascii="Arial" w:hAnsi="Arial" w:cs="Arial"/>
          <w:sz w:val="24"/>
          <w:szCs w:val="24"/>
        </w:rPr>
        <w:t>reference to the scope and object of the provision in question.</w:t>
      </w:r>
      <w:r w:rsidR="00676179">
        <w:rPr>
          <w:rFonts w:ascii="Arial" w:hAnsi="Arial" w:cs="Arial"/>
          <w:sz w:val="24"/>
          <w:szCs w:val="24"/>
        </w:rPr>
        <w:t xml:space="preserve"> In that matter the question arose as to whether delivery </w:t>
      </w:r>
      <w:r w:rsidR="00E870EB">
        <w:rPr>
          <w:rFonts w:ascii="Arial" w:hAnsi="Arial" w:cs="Arial"/>
          <w:sz w:val="24"/>
          <w:szCs w:val="24"/>
        </w:rPr>
        <w:t>of an</w:t>
      </w:r>
      <w:r w:rsidR="00676179">
        <w:rPr>
          <w:rFonts w:ascii="Arial" w:hAnsi="Arial" w:cs="Arial"/>
          <w:sz w:val="24"/>
          <w:szCs w:val="24"/>
        </w:rPr>
        <w:t xml:space="preserve"> award by arbitrator outside a 30 day period prescribed by statute</w:t>
      </w:r>
      <w:r w:rsidR="00676179">
        <w:rPr>
          <w:rStyle w:val="FootnoteReference"/>
          <w:rFonts w:ascii="Arial" w:hAnsi="Arial" w:cs="Arial"/>
          <w:sz w:val="24"/>
          <w:szCs w:val="24"/>
        </w:rPr>
        <w:footnoteReference w:id="23"/>
      </w:r>
      <w:r w:rsidR="00676179">
        <w:rPr>
          <w:rFonts w:ascii="Arial" w:hAnsi="Arial" w:cs="Arial"/>
          <w:sz w:val="24"/>
          <w:szCs w:val="24"/>
        </w:rPr>
        <w:t xml:space="preserve"> would result in the late award being a nullity. This court concluded that the statutory injunction to deliver awards within 30 days is aimed at addressing delays in issuing awards and that non-compliance would</w:t>
      </w:r>
      <w:r w:rsidR="00E870EB">
        <w:rPr>
          <w:rFonts w:ascii="Arial" w:hAnsi="Arial" w:cs="Arial"/>
          <w:sz w:val="24"/>
          <w:szCs w:val="24"/>
        </w:rPr>
        <w:t xml:space="preserve"> not</w:t>
      </w:r>
      <w:r w:rsidR="00676179">
        <w:rPr>
          <w:rFonts w:ascii="Arial" w:hAnsi="Arial" w:cs="Arial"/>
          <w:sz w:val="24"/>
          <w:szCs w:val="24"/>
        </w:rPr>
        <w:t xml:space="preserve"> result in an award being a nullity</w:t>
      </w:r>
      <w:r w:rsidR="00676179">
        <w:rPr>
          <w:rStyle w:val="FootnoteReference"/>
          <w:rFonts w:ascii="Arial" w:hAnsi="Arial" w:cs="Arial"/>
          <w:sz w:val="24"/>
          <w:szCs w:val="24"/>
        </w:rPr>
        <w:footnoteReference w:id="24"/>
      </w:r>
      <w:r w:rsidR="00E870EB">
        <w:rPr>
          <w:rFonts w:ascii="Arial" w:hAnsi="Arial" w:cs="Arial"/>
          <w:sz w:val="24"/>
          <w:szCs w:val="24"/>
        </w:rPr>
        <w:t xml:space="preserve"> as that would undermine the statutory purpose. That </w:t>
      </w:r>
      <w:r w:rsidR="004A64D1">
        <w:rPr>
          <w:rFonts w:ascii="Arial" w:hAnsi="Arial" w:cs="Arial"/>
          <w:sz w:val="24"/>
          <w:szCs w:val="24"/>
        </w:rPr>
        <w:t xml:space="preserve">approach </w:t>
      </w:r>
      <w:r w:rsidR="00E870EB">
        <w:rPr>
          <w:rFonts w:ascii="Arial" w:hAnsi="Arial" w:cs="Arial"/>
          <w:sz w:val="24"/>
          <w:szCs w:val="24"/>
        </w:rPr>
        <w:t>also</w:t>
      </w:r>
      <w:r w:rsidR="00FF37E6">
        <w:rPr>
          <w:rFonts w:ascii="Arial" w:hAnsi="Arial" w:cs="Arial"/>
          <w:sz w:val="24"/>
          <w:szCs w:val="24"/>
        </w:rPr>
        <w:t xml:space="preserve"> </w:t>
      </w:r>
      <w:r w:rsidR="004A64D1">
        <w:rPr>
          <w:rFonts w:ascii="Arial" w:hAnsi="Arial" w:cs="Arial"/>
          <w:sz w:val="24"/>
          <w:szCs w:val="24"/>
        </w:rPr>
        <w:t>served to give</w:t>
      </w:r>
      <w:r w:rsidR="00FF37E6">
        <w:rPr>
          <w:rFonts w:ascii="Arial" w:hAnsi="Arial" w:cs="Arial"/>
          <w:sz w:val="24"/>
          <w:szCs w:val="24"/>
        </w:rPr>
        <w:t xml:space="preserve"> the provision a sensible meaning taking into account the statutory purpose.</w:t>
      </w:r>
    </w:p>
    <w:p w:rsidR="00676179" w:rsidRDefault="00676179" w:rsidP="00676179">
      <w:pPr>
        <w:pStyle w:val="NoSpacing"/>
        <w:spacing w:line="480" w:lineRule="auto"/>
        <w:jc w:val="both"/>
        <w:rPr>
          <w:rFonts w:ascii="Arial" w:hAnsi="Arial" w:cs="Arial"/>
          <w:sz w:val="24"/>
          <w:szCs w:val="24"/>
        </w:rPr>
      </w:pPr>
    </w:p>
    <w:p w:rsidR="00676179" w:rsidRDefault="00676179" w:rsidP="0051346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In this instance, a copy of a signed notice of motion and founding affidavit had been lodged when the application was presented to court. The annexures and every affidavit confirming facts stated in the founding affidavit were not lodged but were served a day later and a day before the application was first called in court. The Master was satisfied that this amounted to lodging the application</w:t>
      </w:r>
      <w:r w:rsidR="00FF37E6">
        <w:rPr>
          <w:rFonts w:ascii="Arial" w:hAnsi="Arial" w:cs="Arial"/>
          <w:sz w:val="24"/>
          <w:szCs w:val="24"/>
        </w:rPr>
        <w:t xml:space="preserve"> for the purpose of s 351(4)</w:t>
      </w:r>
      <w:r>
        <w:rPr>
          <w:rFonts w:ascii="Arial" w:hAnsi="Arial" w:cs="Arial"/>
          <w:sz w:val="24"/>
          <w:szCs w:val="24"/>
        </w:rPr>
        <w:t xml:space="preserve"> and certified this and made a report to the court on the strength of the incomplete papers.</w:t>
      </w:r>
    </w:p>
    <w:p w:rsidR="00185996" w:rsidRDefault="00185996" w:rsidP="00185996">
      <w:pPr>
        <w:pStyle w:val="ListParagraph"/>
        <w:rPr>
          <w:rFonts w:ascii="Arial" w:hAnsi="Arial" w:cs="Arial"/>
          <w:sz w:val="24"/>
          <w:szCs w:val="24"/>
        </w:rPr>
      </w:pPr>
    </w:p>
    <w:p w:rsidR="00185996" w:rsidRDefault="00676179" w:rsidP="0051346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lastRenderedPageBreak/>
        <w:t xml:space="preserve">The founding affidavit </w:t>
      </w:r>
      <w:r w:rsidR="00FF37E6">
        <w:rPr>
          <w:rFonts w:ascii="Arial" w:hAnsi="Arial" w:cs="Arial"/>
          <w:sz w:val="24"/>
          <w:szCs w:val="24"/>
        </w:rPr>
        <w:t>of</w:t>
      </w:r>
      <w:r>
        <w:rPr>
          <w:rFonts w:ascii="Arial" w:hAnsi="Arial" w:cs="Arial"/>
          <w:sz w:val="24"/>
          <w:szCs w:val="24"/>
        </w:rPr>
        <w:t xml:space="preserve"> some 30 pages refers to the</w:t>
      </w:r>
      <w:r w:rsidR="00FF37E6">
        <w:rPr>
          <w:rFonts w:ascii="Arial" w:hAnsi="Arial" w:cs="Arial"/>
          <w:sz w:val="24"/>
          <w:szCs w:val="24"/>
        </w:rPr>
        <w:t xml:space="preserve"> nature and import</w:t>
      </w:r>
      <w:r>
        <w:rPr>
          <w:rFonts w:ascii="Arial" w:hAnsi="Arial" w:cs="Arial"/>
          <w:sz w:val="24"/>
          <w:szCs w:val="24"/>
        </w:rPr>
        <w:t xml:space="preserve"> </w:t>
      </w:r>
      <w:r w:rsidR="004A64D1">
        <w:rPr>
          <w:rFonts w:ascii="Arial" w:hAnsi="Arial" w:cs="Arial"/>
          <w:sz w:val="24"/>
          <w:szCs w:val="24"/>
        </w:rPr>
        <w:t xml:space="preserve">of the </w:t>
      </w:r>
      <w:r>
        <w:rPr>
          <w:rFonts w:ascii="Arial" w:hAnsi="Arial" w:cs="Arial"/>
          <w:sz w:val="24"/>
          <w:szCs w:val="24"/>
        </w:rPr>
        <w:t xml:space="preserve">several annexures </w:t>
      </w:r>
      <w:r w:rsidR="00FF37E6">
        <w:rPr>
          <w:rFonts w:ascii="Arial" w:hAnsi="Arial" w:cs="Arial"/>
          <w:sz w:val="24"/>
          <w:szCs w:val="24"/>
        </w:rPr>
        <w:t>and states</w:t>
      </w:r>
      <w:r>
        <w:rPr>
          <w:rFonts w:ascii="Arial" w:hAnsi="Arial" w:cs="Arial"/>
          <w:sz w:val="24"/>
          <w:szCs w:val="24"/>
        </w:rPr>
        <w:t xml:space="preserve"> what fact</w:t>
      </w:r>
      <w:r w:rsidR="00FF37E6">
        <w:rPr>
          <w:rFonts w:ascii="Arial" w:hAnsi="Arial" w:cs="Arial"/>
          <w:sz w:val="24"/>
          <w:szCs w:val="24"/>
        </w:rPr>
        <w:t>(</w:t>
      </w:r>
      <w:r>
        <w:rPr>
          <w:rFonts w:ascii="Arial" w:hAnsi="Arial" w:cs="Arial"/>
          <w:sz w:val="24"/>
          <w:szCs w:val="24"/>
        </w:rPr>
        <w:t>s</w:t>
      </w:r>
      <w:r w:rsidR="00FF37E6">
        <w:rPr>
          <w:rFonts w:ascii="Arial" w:hAnsi="Arial" w:cs="Arial"/>
          <w:sz w:val="24"/>
          <w:szCs w:val="24"/>
        </w:rPr>
        <w:t>)</w:t>
      </w:r>
      <w:r>
        <w:rPr>
          <w:rFonts w:ascii="Arial" w:hAnsi="Arial" w:cs="Arial"/>
          <w:sz w:val="24"/>
          <w:szCs w:val="24"/>
        </w:rPr>
        <w:t xml:space="preserve"> or </w:t>
      </w:r>
      <w:r w:rsidR="00FF37E6">
        <w:rPr>
          <w:rFonts w:ascii="Arial" w:hAnsi="Arial" w:cs="Arial"/>
          <w:sz w:val="24"/>
          <w:szCs w:val="24"/>
        </w:rPr>
        <w:t>conclusion(</w:t>
      </w:r>
      <w:r>
        <w:rPr>
          <w:rFonts w:ascii="Arial" w:hAnsi="Arial" w:cs="Arial"/>
          <w:sz w:val="24"/>
          <w:szCs w:val="24"/>
        </w:rPr>
        <w:t>s</w:t>
      </w:r>
      <w:r w:rsidR="00FF37E6">
        <w:rPr>
          <w:rFonts w:ascii="Arial" w:hAnsi="Arial" w:cs="Arial"/>
          <w:sz w:val="24"/>
          <w:szCs w:val="24"/>
        </w:rPr>
        <w:t xml:space="preserve">) are relied upon </w:t>
      </w:r>
      <w:r w:rsidR="004A64D1">
        <w:rPr>
          <w:rFonts w:ascii="Arial" w:hAnsi="Arial" w:cs="Arial"/>
          <w:sz w:val="24"/>
          <w:szCs w:val="24"/>
        </w:rPr>
        <w:t>with reference to</w:t>
      </w:r>
      <w:r>
        <w:rPr>
          <w:rFonts w:ascii="Arial" w:hAnsi="Arial" w:cs="Arial"/>
          <w:sz w:val="24"/>
          <w:szCs w:val="24"/>
        </w:rPr>
        <w:t xml:space="preserve"> those annexures.</w:t>
      </w:r>
      <w:r w:rsidR="00A54F78">
        <w:rPr>
          <w:rFonts w:ascii="Arial" w:hAnsi="Arial" w:cs="Arial"/>
          <w:sz w:val="24"/>
          <w:szCs w:val="24"/>
        </w:rPr>
        <w:t xml:space="preserve"> It was certainly open to the Master to require that the annexures and confirmatory affidavits should be lodged before certifying that the application had been lodged and before making her report</w:t>
      </w:r>
      <w:r w:rsidR="00FF37E6">
        <w:rPr>
          <w:rFonts w:ascii="Arial" w:hAnsi="Arial" w:cs="Arial"/>
          <w:sz w:val="24"/>
          <w:szCs w:val="24"/>
        </w:rPr>
        <w:t xml:space="preserve"> or to draw it to the attention of the </w:t>
      </w:r>
      <w:r w:rsidR="003B72EC">
        <w:rPr>
          <w:rFonts w:ascii="Arial" w:hAnsi="Arial" w:cs="Arial"/>
          <w:sz w:val="24"/>
          <w:szCs w:val="24"/>
        </w:rPr>
        <w:t>court</w:t>
      </w:r>
      <w:r w:rsidR="00FF37E6">
        <w:rPr>
          <w:rFonts w:ascii="Arial" w:hAnsi="Arial" w:cs="Arial"/>
          <w:sz w:val="24"/>
          <w:szCs w:val="24"/>
        </w:rPr>
        <w:t xml:space="preserve"> that the papers were incomplete. But t</w:t>
      </w:r>
      <w:r w:rsidR="00A54F78">
        <w:rPr>
          <w:rFonts w:ascii="Arial" w:hAnsi="Arial" w:cs="Arial"/>
          <w:sz w:val="24"/>
          <w:szCs w:val="24"/>
        </w:rPr>
        <w:t>hose annexures and confirmatory affidavits were in any event served on the Master the following day and a day before the application was set down.</w:t>
      </w:r>
    </w:p>
    <w:p w:rsidR="00A54F78" w:rsidRDefault="00A54F78" w:rsidP="00A54F78">
      <w:pPr>
        <w:pStyle w:val="ListParagraph"/>
        <w:rPr>
          <w:rFonts w:ascii="Arial" w:hAnsi="Arial" w:cs="Arial"/>
          <w:sz w:val="24"/>
          <w:szCs w:val="24"/>
        </w:rPr>
      </w:pPr>
    </w:p>
    <w:p w:rsidR="00A54F78" w:rsidRDefault="00A54F78" w:rsidP="0051346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High Court was in my view entirely justified in brushing aside the preliminary point at the initial hearing in view of the Master’s certification that lodging had occurred in these circumstances. Did the position change after further affidavits showed </w:t>
      </w:r>
      <w:r w:rsidR="00FF37E6">
        <w:rPr>
          <w:rFonts w:ascii="Arial" w:hAnsi="Arial" w:cs="Arial"/>
          <w:sz w:val="24"/>
          <w:szCs w:val="24"/>
        </w:rPr>
        <w:t xml:space="preserve">a </w:t>
      </w:r>
      <w:r>
        <w:rPr>
          <w:rFonts w:ascii="Arial" w:hAnsi="Arial" w:cs="Arial"/>
          <w:sz w:val="24"/>
          <w:szCs w:val="24"/>
        </w:rPr>
        <w:t>less than perfect compliance with s 351(4) because annexures and confirmatory affidavits had not been lodged at that time? In my view not.</w:t>
      </w:r>
    </w:p>
    <w:p w:rsidR="00FF37E6" w:rsidRDefault="00FF37E6" w:rsidP="00FF37E6">
      <w:pPr>
        <w:pStyle w:val="ListParagraph"/>
        <w:rPr>
          <w:rFonts w:ascii="Arial" w:hAnsi="Arial" w:cs="Arial"/>
          <w:sz w:val="24"/>
          <w:szCs w:val="24"/>
        </w:rPr>
      </w:pPr>
    </w:p>
    <w:p w:rsidR="00FF37E6" w:rsidRDefault="00FF37E6" w:rsidP="0051346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Mr Bishop’s contention that </w:t>
      </w:r>
      <w:r w:rsidR="004A64D1">
        <w:rPr>
          <w:rFonts w:ascii="Arial" w:hAnsi="Arial" w:cs="Arial"/>
          <w:sz w:val="24"/>
          <w:szCs w:val="24"/>
        </w:rPr>
        <w:t xml:space="preserve">the High Court’s approach deprived </w:t>
      </w:r>
      <w:r>
        <w:rPr>
          <w:rFonts w:ascii="Arial" w:hAnsi="Arial" w:cs="Arial"/>
          <w:sz w:val="24"/>
          <w:szCs w:val="24"/>
        </w:rPr>
        <w:t xml:space="preserve">the Master of the opportunity to exercise a discretion to accept or refuse lodgement is based upon a contrived interpretation to s 351(4) and s 351(5) </w:t>
      </w:r>
      <w:r w:rsidR="004A64D1">
        <w:rPr>
          <w:rFonts w:ascii="Arial" w:hAnsi="Arial" w:cs="Arial"/>
          <w:sz w:val="24"/>
          <w:szCs w:val="24"/>
        </w:rPr>
        <w:t>in view of</w:t>
      </w:r>
      <w:r>
        <w:rPr>
          <w:rFonts w:ascii="Arial" w:hAnsi="Arial" w:cs="Arial"/>
          <w:sz w:val="24"/>
          <w:szCs w:val="24"/>
        </w:rPr>
        <w:t xml:space="preserve"> the purpose of lodgement </w:t>
      </w:r>
      <w:r w:rsidR="003B72EC">
        <w:rPr>
          <w:rFonts w:ascii="Arial" w:hAnsi="Arial" w:cs="Arial"/>
          <w:sz w:val="24"/>
          <w:szCs w:val="24"/>
        </w:rPr>
        <w:t>being</w:t>
      </w:r>
      <w:r>
        <w:rPr>
          <w:rFonts w:ascii="Arial" w:hAnsi="Arial" w:cs="Arial"/>
          <w:sz w:val="24"/>
          <w:szCs w:val="24"/>
        </w:rPr>
        <w:t xml:space="preserve"> to provide the Master with an adequate opportunity to provide the report contemplated by s 351(5), given the centrality of that office t</w:t>
      </w:r>
      <w:r w:rsidR="004A64D1">
        <w:rPr>
          <w:rFonts w:ascii="Arial" w:hAnsi="Arial" w:cs="Arial"/>
          <w:sz w:val="24"/>
          <w:szCs w:val="24"/>
        </w:rPr>
        <w:t>o the process of liquidations. T</w:t>
      </w:r>
      <w:r>
        <w:rPr>
          <w:rFonts w:ascii="Arial" w:hAnsi="Arial" w:cs="Arial"/>
          <w:sz w:val="24"/>
          <w:szCs w:val="24"/>
        </w:rPr>
        <w:t>he two stage involvement of the Master contended for by Mr Bishop does not accord with a sensible purposive approach to the provisions.</w:t>
      </w:r>
      <w:r w:rsidR="004A64D1">
        <w:rPr>
          <w:rFonts w:ascii="Arial" w:hAnsi="Arial" w:cs="Arial"/>
          <w:sz w:val="24"/>
          <w:szCs w:val="24"/>
        </w:rPr>
        <w:t xml:space="preserve"> Lodging with the Master does not in my view entail the exercise of a discretion on the part of the Master. The act of lodging is afterall one of delivering or depositing the application </w:t>
      </w:r>
      <w:r w:rsidR="004A64D1">
        <w:rPr>
          <w:rFonts w:ascii="Arial" w:hAnsi="Arial" w:cs="Arial"/>
          <w:sz w:val="24"/>
          <w:szCs w:val="24"/>
        </w:rPr>
        <w:lastRenderedPageBreak/>
        <w:t xml:space="preserve">with the Master in accordance with the ordinary meaning of the term </w:t>
      </w:r>
      <w:r w:rsidR="003B72EC">
        <w:rPr>
          <w:rFonts w:ascii="Arial" w:hAnsi="Arial" w:cs="Arial"/>
          <w:sz w:val="24"/>
          <w:szCs w:val="24"/>
        </w:rPr>
        <w:t>‘</w:t>
      </w:r>
      <w:r w:rsidR="004A64D1">
        <w:rPr>
          <w:rFonts w:ascii="Arial" w:hAnsi="Arial" w:cs="Arial"/>
          <w:sz w:val="24"/>
          <w:szCs w:val="24"/>
        </w:rPr>
        <w:t>lodge</w:t>
      </w:r>
      <w:r w:rsidR="003B72EC">
        <w:rPr>
          <w:rFonts w:ascii="Arial" w:hAnsi="Arial" w:cs="Arial"/>
          <w:sz w:val="24"/>
          <w:szCs w:val="24"/>
        </w:rPr>
        <w:t>’</w:t>
      </w:r>
      <w:r w:rsidR="004A64D1">
        <w:rPr>
          <w:rFonts w:ascii="Arial" w:hAnsi="Arial" w:cs="Arial"/>
          <w:sz w:val="24"/>
          <w:szCs w:val="24"/>
        </w:rPr>
        <w:t>,</w:t>
      </w:r>
      <w:r w:rsidR="004A64D1">
        <w:rPr>
          <w:rStyle w:val="FootnoteReference"/>
          <w:rFonts w:ascii="Arial" w:hAnsi="Arial" w:cs="Arial"/>
          <w:sz w:val="24"/>
          <w:szCs w:val="24"/>
        </w:rPr>
        <w:footnoteReference w:id="25"/>
      </w:r>
      <w:r w:rsidR="004A64D1">
        <w:rPr>
          <w:rFonts w:ascii="Arial" w:hAnsi="Arial" w:cs="Arial"/>
          <w:sz w:val="24"/>
          <w:szCs w:val="24"/>
        </w:rPr>
        <w:t xml:space="preserve"> buttressed in this instance </w:t>
      </w:r>
      <w:r w:rsidR="003B72EC">
        <w:rPr>
          <w:rFonts w:ascii="Arial" w:hAnsi="Arial" w:cs="Arial"/>
          <w:sz w:val="24"/>
          <w:szCs w:val="24"/>
        </w:rPr>
        <w:t>by</w:t>
      </w:r>
      <w:r w:rsidR="004A64D1">
        <w:rPr>
          <w:rFonts w:ascii="Arial" w:hAnsi="Arial" w:cs="Arial"/>
          <w:sz w:val="24"/>
          <w:szCs w:val="24"/>
        </w:rPr>
        <w:t xml:space="preserve"> the purpose of </w:t>
      </w:r>
      <w:r w:rsidR="003B72EC">
        <w:rPr>
          <w:rFonts w:ascii="Arial" w:hAnsi="Arial" w:cs="Arial"/>
          <w:sz w:val="24"/>
          <w:szCs w:val="24"/>
        </w:rPr>
        <w:t xml:space="preserve">lodging – so as to </w:t>
      </w:r>
      <w:r w:rsidR="004A64D1">
        <w:rPr>
          <w:rFonts w:ascii="Arial" w:hAnsi="Arial" w:cs="Arial"/>
          <w:sz w:val="24"/>
          <w:szCs w:val="24"/>
        </w:rPr>
        <w:t>mak</w:t>
      </w:r>
      <w:r w:rsidR="003B72EC">
        <w:rPr>
          <w:rFonts w:ascii="Arial" w:hAnsi="Arial" w:cs="Arial"/>
          <w:sz w:val="24"/>
          <w:szCs w:val="24"/>
        </w:rPr>
        <w:t>e</w:t>
      </w:r>
      <w:r w:rsidR="004A64D1">
        <w:rPr>
          <w:rFonts w:ascii="Arial" w:hAnsi="Arial" w:cs="Arial"/>
          <w:sz w:val="24"/>
          <w:szCs w:val="24"/>
        </w:rPr>
        <w:t xml:space="preserve"> a report to the court as contemplated by s 351(5). </w:t>
      </w:r>
      <w:r w:rsidR="003B72EC">
        <w:rPr>
          <w:rFonts w:ascii="Arial" w:hAnsi="Arial" w:cs="Arial"/>
          <w:sz w:val="24"/>
          <w:szCs w:val="24"/>
        </w:rPr>
        <w:t>In the case</w:t>
      </w:r>
      <w:r w:rsidR="004A64D1">
        <w:rPr>
          <w:rFonts w:ascii="Arial" w:hAnsi="Arial" w:cs="Arial"/>
          <w:sz w:val="24"/>
          <w:szCs w:val="24"/>
        </w:rPr>
        <w:t xml:space="preserve"> of a winding-up </w:t>
      </w:r>
      <w:r w:rsidR="003B72EC">
        <w:rPr>
          <w:rFonts w:ascii="Arial" w:hAnsi="Arial" w:cs="Arial"/>
          <w:sz w:val="24"/>
          <w:szCs w:val="24"/>
        </w:rPr>
        <w:t xml:space="preserve">order </w:t>
      </w:r>
      <w:r w:rsidR="004A64D1">
        <w:rPr>
          <w:rFonts w:ascii="Arial" w:hAnsi="Arial" w:cs="Arial"/>
          <w:sz w:val="24"/>
          <w:szCs w:val="24"/>
        </w:rPr>
        <w:t>already obtained</w:t>
      </w:r>
      <w:r w:rsidR="003B72EC">
        <w:rPr>
          <w:rFonts w:ascii="Arial" w:hAnsi="Arial" w:cs="Arial"/>
          <w:sz w:val="24"/>
          <w:szCs w:val="24"/>
        </w:rPr>
        <w:t xml:space="preserve"> in respect of a respondent company</w:t>
      </w:r>
      <w:r w:rsidR="004A64D1">
        <w:rPr>
          <w:rFonts w:ascii="Arial" w:hAnsi="Arial" w:cs="Arial"/>
          <w:sz w:val="24"/>
          <w:szCs w:val="24"/>
        </w:rPr>
        <w:t xml:space="preserve"> – the justification for Mr Bishop’s interpretation – could then be pointed out by the Master in her report</w:t>
      </w:r>
      <w:r w:rsidR="003B72EC">
        <w:rPr>
          <w:rFonts w:ascii="Arial" w:hAnsi="Arial" w:cs="Arial"/>
          <w:sz w:val="24"/>
          <w:szCs w:val="24"/>
        </w:rPr>
        <w:t xml:space="preserve"> prior to the hearing</w:t>
      </w:r>
      <w:r w:rsidR="00AB58A9">
        <w:rPr>
          <w:rFonts w:ascii="Arial" w:hAnsi="Arial" w:cs="Arial"/>
          <w:sz w:val="24"/>
          <w:szCs w:val="24"/>
        </w:rPr>
        <w:t xml:space="preserve"> and not require the </w:t>
      </w:r>
      <w:r w:rsidR="003B72EC">
        <w:rPr>
          <w:rFonts w:ascii="Arial" w:hAnsi="Arial" w:cs="Arial"/>
          <w:sz w:val="24"/>
          <w:szCs w:val="24"/>
        </w:rPr>
        <w:t>contrived construction</w:t>
      </w:r>
      <w:r w:rsidR="00AB58A9">
        <w:rPr>
          <w:rFonts w:ascii="Arial" w:hAnsi="Arial" w:cs="Arial"/>
          <w:sz w:val="24"/>
          <w:szCs w:val="24"/>
        </w:rPr>
        <w:t xml:space="preserve"> pressed by Mr Bishop</w:t>
      </w:r>
      <w:r w:rsidR="004A64D1">
        <w:rPr>
          <w:rFonts w:ascii="Arial" w:hAnsi="Arial" w:cs="Arial"/>
          <w:sz w:val="24"/>
          <w:szCs w:val="24"/>
        </w:rPr>
        <w:t xml:space="preserve">. An applicant would in </w:t>
      </w:r>
      <w:r w:rsidR="00AB58A9">
        <w:rPr>
          <w:rFonts w:ascii="Arial" w:hAnsi="Arial" w:cs="Arial"/>
          <w:sz w:val="24"/>
          <w:szCs w:val="24"/>
        </w:rPr>
        <w:t xml:space="preserve">all likelihood be apprised of such an eventuality of a prior </w:t>
      </w:r>
      <w:r w:rsidR="003B72EC">
        <w:rPr>
          <w:rFonts w:ascii="Arial" w:hAnsi="Arial" w:cs="Arial"/>
          <w:sz w:val="24"/>
          <w:szCs w:val="24"/>
        </w:rPr>
        <w:t xml:space="preserve">winding-up </w:t>
      </w:r>
      <w:r w:rsidR="00AB58A9">
        <w:rPr>
          <w:rFonts w:ascii="Arial" w:hAnsi="Arial" w:cs="Arial"/>
          <w:sz w:val="24"/>
          <w:szCs w:val="24"/>
        </w:rPr>
        <w:t>application</w:t>
      </w:r>
      <w:r w:rsidR="003B72EC">
        <w:rPr>
          <w:rFonts w:ascii="Arial" w:hAnsi="Arial" w:cs="Arial"/>
          <w:sz w:val="24"/>
          <w:szCs w:val="24"/>
        </w:rPr>
        <w:t xml:space="preserve"> and order</w:t>
      </w:r>
      <w:r w:rsidR="00AB58A9">
        <w:rPr>
          <w:rFonts w:ascii="Arial" w:hAnsi="Arial" w:cs="Arial"/>
          <w:sz w:val="24"/>
          <w:szCs w:val="24"/>
        </w:rPr>
        <w:t xml:space="preserve"> at the stage of providing security.</w:t>
      </w:r>
    </w:p>
    <w:p w:rsidR="00A54F78" w:rsidRDefault="00A54F78" w:rsidP="00A54F78">
      <w:pPr>
        <w:pStyle w:val="ListParagraph"/>
        <w:rPr>
          <w:rFonts w:ascii="Arial" w:hAnsi="Arial" w:cs="Arial"/>
          <w:sz w:val="24"/>
          <w:szCs w:val="24"/>
        </w:rPr>
      </w:pPr>
    </w:p>
    <w:p w:rsidR="00A54F78" w:rsidRDefault="00A54F78" w:rsidP="0051346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purpose of the </w:t>
      </w:r>
      <w:r w:rsidR="003B72EC">
        <w:rPr>
          <w:rFonts w:ascii="Arial" w:hAnsi="Arial" w:cs="Arial"/>
          <w:sz w:val="24"/>
          <w:szCs w:val="24"/>
        </w:rPr>
        <w:t>s 351(4)</w:t>
      </w:r>
      <w:r>
        <w:rPr>
          <w:rFonts w:ascii="Arial" w:hAnsi="Arial" w:cs="Arial"/>
          <w:sz w:val="24"/>
          <w:szCs w:val="24"/>
        </w:rPr>
        <w:t xml:space="preserve"> is to alert the Master to the application and provide that office with the opportunity to file a report to court upon it</w:t>
      </w:r>
      <w:r w:rsidR="00FF37E6">
        <w:rPr>
          <w:rFonts w:ascii="Arial" w:hAnsi="Arial" w:cs="Arial"/>
          <w:sz w:val="24"/>
          <w:szCs w:val="24"/>
        </w:rPr>
        <w:t>.</w:t>
      </w:r>
      <w:r>
        <w:rPr>
          <w:rFonts w:ascii="Arial" w:hAnsi="Arial" w:cs="Arial"/>
          <w:sz w:val="24"/>
          <w:szCs w:val="24"/>
        </w:rPr>
        <w:t xml:space="preserve"> This underlying purpose to the section was fulfilled. The Master was afforded an adequate opportunity to report to the court on the winding-up application and did so.</w:t>
      </w:r>
    </w:p>
    <w:p w:rsidR="00A54F78" w:rsidRDefault="00A54F78" w:rsidP="00A54F78">
      <w:pPr>
        <w:pStyle w:val="ListParagraph"/>
        <w:rPr>
          <w:rFonts w:ascii="Arial" w:hAnsi="Arial" w:cs="Arial"/>
          <w:sz w:val="24"/>
          <w:szCs w:val="24"/>
        </w:rPr>
      </w:pPr>
    </w:p>
    <w:p w:rsidR="00FF37E6" w:rsidRDefault="00A54F78" w:rsidP="0051346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High Court found that there was in any event substantial compliance with s 351(4) and confirmed the rule in granting the final order. The court</w:t>
      </w:r>
      <w:r w:rsidR="00FF37E6">
        <w:rPr>
          <w:rFonts w:ascii="Arial" w:hAnsi="Arial" w:cs="Arial"/>
          <w:sz w:val="24"/>
          <w:szCs w:val="24"/>
        </w:rPr>
        <w:t>’s</w:t>
      </w:r>
      <w:r>
        <w:rPr>
          <w:rFonts w:ascii="Arial" w:hAnsi="Arial" w:cs="Arial"/>
          <w:sz w:val="24"/>
          <w:szCs w:val="24"/>
        </w:rPr>
        <w:t xml:space="preserve"> approach in this regard (</w:t>
      </w:r>
      <w:r w:rsidR="001A6B0E">
        <w:rPr>
          <w:rFonts w:ascii="Arial" w:hAnsi="Arial" w:cs="Arial"/>
          <w:sz w:val="24"/>
          <w:szCs w:val="24"/>
        </w:rPr>
        <w:t xml:space="preserve">and in all of the other findings made) cannot be faulted. </w:t>
      </w:r>
    </w:p>
    <w:p w:rsidR="00FF37E6" w:rsidRDefault="00FF37E6" w:rsidP="00FF37E6">
      <w:pPr>
        <w:pStyle w:val="ListParagraph"/>
        <w:rPr>
          <w:rFonts w:ascii="Arial" w:hAnsi="Arial" w:cs="Arial"/>
          <w:sz w:val="24"/>
          <w:szCs w:val="24"/>
        </w:rPr>
      </w:pPr>
    </w:p>
    <w:p w:rsidR="00AB58A9" w:rsidRDefault="00FF37E6" w:rsidP="0051346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As</w:t>
      </w:r>
      <w:r w:rsidR="001A6B0E">
        <w:rPr>
          <w:rFonts w:ascii="Arial" w:hAnsi="Arial" w:cs="Arial"/>
          <w:sz w:val="24"/>
          <w:szCs w:val="24"/>
        </w:rPr>
        <w:t xml:space="preserve"> in the </w:t>
      </w:r>
      <w:r w:rsidR="001A6B0E">
        <w:rPr>
          <w:rFonts w:ascii="Arial" w:hAnsi="Arial" w:cs="Arial"/>
          <w:i/>
          <w:sz w:val="24"/>
          <w:szCs w:val="24"/>
        </w:rPr>
        <w:t>Torbitt</w:t>
      </w:r>
      <w:r w:rsidR="001A6B0E">
        <w:rPr>
          <w:rFonts w:ascii="Arial" w:hAnsi="Arial" w:cs="Arial"/>
          <w:sz w:val="24"/>
          <w:szCs w:val="24"/>
        </w:rPr>
        <w:t xml:space="preserve"> matter, the failure </w:t>
      </w:r>
      <w:r>
        <w:rPr>
          <w:rFonts w:ascii="Arial" w:hAnsi="Arial" w:cs="Arial"/>
          <w:sz w:val="24"/>
          <w:szCs w:val="24"/>
        </w:rPr>
        <w:t xml:space="preserve">in this matter </w:t>
      </w:r>
      <w:r w:rsidR="001A6B0E">
        <w:rPr>
          <w:rFonts w:ascii="Arial" w:hAnsi="Arial" w:cs="Arial"/>
          <w:sz w:val="24"/>
          <w:szCs w:val="24"/>
        </w:rPr>
        <w:t xml:space="preserve">to strictly comply with </w:t>
      </w:r>
      <w:r>
        <w:rPr>
          <w:rFonts w:ascii="Arial" w:hAnsi="Arial" w:cs="Arial"/>
          <w:sz w:val="24"/>
          <w:szCs w:val="24"/>
        </w:rPr>
        <w:t>the</w:t>
      </w:r>
      <w:r w:rsidR="001A6B0E">
        <w:rPr>
          <w:rFonts w:ascii="Arial" w:hAnsi="Arial" w:cs="Arial"/>
          <w:sz w:val="24"/>
          <w:szCs w:val="24"/>
        </w:rPr>
        <w:t xml:space="preserve"> peremptory provision </w:t>
      </w:r>
      <w:r>
        <w:rPr>
          <w:rFonts w:ascii="Arial" w:hAnsi="Arial" w:cs="Arial"/>
          <w:sz w:val="24"/>
          <w:szCs w:val="24"/>
        </w:rPr>
        <w:t xml:space="preserve">of s 351(4) </w:t>
      </w:r>
      <w:r w:rsidR="001A6B0E">
        <w:rPr>
          <w:rFonts w:ascii="Arial" w:hAnsi="Arial" w:cs="Arial"/>
          <w:sz w:val="24"/>
          <w:szCs w:val="24"/>
        </w:rPr>
        <w:t>does not result in a nullity. The consequence of strict non-compliance with s 351(4) could have resulted in postponement or refusal of the application had the Master complained that the annexures and confirmatory affidavits had not been lodged.</w:t>
      </w:r>
      <w:r w:rsidR="00494F8E">
        <w:rPr>
          <w:rFonts w:ascii="Arial" w:hAnsi="Arial" w:cs="Arial"/>
          <w:sz w:val="24"/>
          <w:szCs w:val="24"/>
        </w:rPr>
        <w:t xml:space="preserve"> But the Master did not do so and was able to report in this instance without them and in any event was in receipt of them prior to the set </w:t>
      </w:r>
      <w:r w:rsidR="00494F8E">
        <w:rPr>
          <w:rFonts w:ascii="Arial" w:hAnsi="Arial" w:cs="Arial"/>
          <w:sz w:val="24"/>
          <w:szCs w:val="24"/>
        </w:rPr>
        <w:lastRenderedPageBreak/>
        <w:t xml:space="preserve">down. </w:t>
      </w:r>
      <w:r w:rsidR="00AB58A9">
        <w:rPr>
          <w:rFonts w:ascii="Arial" w:hAnsi="Arial" w:cs="Arial"/>
          <w:sz w:val="24"/>
          <w:szCs w:val="24"/>
        </w:rPr>
        <w:t>It would serve absolutely no purpose at all for the rule to be extended for the annexures and confirmatory affidavits to be lodged because these were served the following day and in advance of the first set down. This demonstrates the contrived nature of this point.</w:t>
      </w:r>
    </w:p>
    <w:p w:rsidR="00AB58A9" w:rsidRDefault="00AB58A9" w:rsidP="00AB58A9">
      <w:pPr>
        <w:pStyle w:val="ListParagraph"/>
        <w:rPr>
          <w:rFonts w:ascii="Arial" w:hAnsi="Arial" w:cs="Arial"/>
          <w:sz w:val="24"/>
          <w:szCs w:val="24"/>
        </w:rPr>
      </w:pPr>
    </w:p>
    <w:p w:rsidR="00A54F78" w:rsidRDefault="00494F8E" w:rsidP="0051346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A similar issue arose in a matter very properly referred to us by appellants’ counsel, </w:t>
      </w:r>
      <w:r>
        <w:rPr>
          <w:rFonts w:ascii="Arial" w:hAnsi="Arial" w:cs="Arial"/>
          <w:i/>
          <w:sz w:val="24"/>
          <w:szCs w:val="24"/>
        </w:rPr>
        <w:t>Thaw Trading and Investments 005 CC v Aobakwe Louw Properties (Pty) Ltd</w:t>
      </w:r>
      <w:r>
        <w:rPr>
          <w:rStyle w:val="FootnoteReference"/>
          <w:rFonts w:ascii="Arial" w:hAnsi="Arial" w:cs="Arial"/>
          <w:i/>
          <w:sz w:val="24"/>
          <w:szCs w:val="24"/>
        </w:rPr>
        <w:footnoteReference w:id="26"/>
      </w:r>
      <w:r>
        <w:rPr>
          <w:rFonts w:ascii="Arial" w:hAnsi="Arial" w:cs="Arial"/>
          <w:sz w:val="24"/>
          <w:szCs w:val="24"/>
        </w:rPr>
        <w:t xml:space="preserve"> where a failure to comply with this obligation was not visited with a nullity as the Master had </w:t>
      </w:r>
      <w:r w:rsidR="00FF37E6">
        <w:rPr>
          <w:rFonts w:ascii="Arial" w:hAnsi="Arial" w:cs="Arial"/>
          <w:sz w:val="24"/>
          <w:szCs w:val="24"/>
        </w:rPr>
        <w:t>in that matter</w:t>
      </w:r>
      <w:r>
        <w:rPr>
          <w:rFonts w:ascii="Arial" w:hAnsi="Arial" w:cs="Arial"/>
          <w:sz w:val="24"/>
          <w:szCs w:val="24"/>
        </w:rPr>
        <w:t xml:space="preserve"> an opportunity to report to the court. It was found that it would be pointless to visit that non-compliance with a nullity. I agreed with that approach.</w:t>
      </w:r>
      <w:r w:rsidR="00FF37E6">
        <w:rPr>
          <w:rFonts w:ascii="Arial" w:hAnsi="Arial" w:cs="Arial"/>
          <w:sz w:val="24"/>
          <w:szCs w:val="24"/>
        </w:rPr>
        <w:t xml:space="preserve"> It accords a sensible meaning to the provision, taking into account its statutory purpose.</w:t>
      </w:r>
    </w:p>
    <w:p w:rsidR="00494F8E" w:rsidRDefault="00494F8E" w:rsidP="00494F8E">
      <w:pPr>
        <w:pStyle w:val="NoSpacing"/>
        <w:spacing w:line="480" w:lineRule="auto"/>
        <w:jc w:val="both"/>
        <w:rPr>
          <w:rFonts w:ascii="Arial" w:hAnsi="Arial" w:cs="Arial"/>
          <w:sz w:val="24"/>
          <w:szCs w:val="24"/>
        </w:rPr>
      </w:pPr>
    </w:p>
    <w:p w:rsidR="00494F8E" w:rsidRDefault="00494F8E" w:rsidP="0051346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It follows that </w:t>
      </w:r>
      <w:r w:rsidR="00FF37E6">
        <w:rPr>
          <w:rFonts w:ascii="Arial" w:hAnsi="Arial" w:cs="Arial"/>
          <w:sz w:val="24"/>
          <w:szCs w:val="24"/>
        </w:rPr>
        <w:t>there is no merit in this</w:t>
      </w:r>
      <w:r>
        <w:rPr>
          <w:rFonts w:ascii="Arial" w:hAnsi="Arial" w:cs="Arial"/>
          <w:sz w:val="24"/>
          <w:szCs w:val="24"/>
        </w:rPr>
        <w:t xml:space="preserve"> ground of appeal</w:t>
      </w:r>
      <w:r w:rsidR="00432E79">
        <w:rPr>
          <w:rFonts w:ascii="Arial" w:hAnsi="Arial" w:cs="Arial"/>
          <w:sz w:val="24"/>
          <w:szCs w:val="24"/>
        </w:rPr>
        <w:t>.</w:t>
      </w:r>
    </w:p>
    <w:p w:rsidR="00F25A0A" w:rsidRDefault="00F25A0A" w:rsidP="00F25A0A">
      <w:pPr>
        <w:pStyle w:val="ListParagraph"/>
        <w:rPr>
          <w:rFonts w:ascii="Arial" w:hAnsi="Arial" w:cs="Arial"/>
          <w:sz w:val="24"/>
          <w:szCs w:val="24"/>
        </w:rPr>
      </w:pPr>
    </w:p>
    <w:p w:rsidR="00F25A0A" w:rsidRPr="00F25A0A" w:rsidRDefault="00F25A0A" w:rsidP="00F25A0A">
      <w:pPr>
        <w:rPr>
          <w:rFonts w:ascii="Arial" w:hAnsi="Arial" w:cs="Arial"/>
          <w:sz w:val="24"/>
          <w:szCs w:val="24"/>
          <w:u w:val="single"/>
        </w:rPr>
      </w:pPr>
      <w:r>
        <w:rPr>
          <w:rFonts w:ascii="Arial" w:hAnsi="Arial" w:cs="Arial"/>
          <w:sz w:val="24"/>
          <w:szCs w:val="24"/>
          <w:u w:val="single"/>
        </w:rPr>
        <w:t>Section 58 of BIA</w:t>
      </w:r>
    </w:p>
    <w:p w:rsidR="00AB58A9" w:rsidRDefault="00F25A0A" w:rsidP="0051346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After the provisional order was granted, provisional liquidators were appointed on 11 July 2017. After the original return date and prior extended return date, the appellants filed an </w:t>
      </w:r>
      <w:r w:rsidR="00AB58A9">
        <w:rPr>
          <w:rFonts w:ascii="Arial" w:hAnsi="Arial" w:cs="Arial"/>
          <w:sz w:val="24"/>
          <w:szCs w:val="24"/>
        </w:rPr>
        <w:t>affidavit (on 9 October 2017) in which p</w:t>
      </w:r>
      <w:r>
        <w:rPr>
          <w:rFonts w:ascii="Arial" w:hAnsi="Arial" w:cs="Arial"/>
          <w:sz w:val="24"/>
          <w:szCs w:val="24"/>
        </w:rPr>
        <w:t xml:space="preserve">oints </w:t>
      </w:r>
      <w:r w:rsidR="00AB58A9">
        <w:rPr>
          <w:rFonts w:ascii="Arial" w:hAnsi="Arial" w:cs="Arial"/>
          <w:sz w:val="24"/>
          <w:szCs w:val="24"/>
        </w:rPr>
        <w:t>were</w:t>
      </w:r>
      <w:r>
        <w:rPr>
          <w:rFonts w:ascii="Arial" w:hAnsi="Arial" w:cs="Arial"/>
          <w:sz w:val="24"/>
          <w:szCs w:val="24"/>
        </w:rPr>
        <w:t xml:space="preserve"> taken concerning th</w:t>
      </w:r>
      <w:r w:rsidR="00AB58A9">
        <w:rPr>
          <w:rFonts w:ascii="Arial" w:hAnsi="Arial" w:cs="Arial"/>
          <w:sz w:val="24"/>
          <w:szCs w:val="24"/>
        </w:rPr>
        <w:t>eir</w:t>
      </w:r>
      <w:r>
        <w:rPr>
          <w:rFonts w:ascii="Arial" w:hAnsi="Arial" w:cs="Arial"/>
          <w:sz w:val="24"/>
          <w:szCs w:val="24"/>
        </w:rPr>
        <w:t xml:space="preserve"> appointment</w:t>
      </w:r>
      <w:r w:rsidR="00AB58A9">
        <w:rPr>
          <w:rFonts w:ascii="Arial" w:hAnsi="Arial" w:cs="Arial"/>
          <w:sz w:val="24"/>
          <w:szCs w:val="24"/>
        </w:rPr>
        <w:t>s</w:t>
      </w:r>
      <w:r>
        <w:rPr>
          <w:rFonts w:ascii="Arial" w:hAnsi="Arial" w:cs="Arial"/>
          <w:sz w:val="24"/>
          <w:szCs w:val="24"/>
        </w:rPr>
        <w:t>, contending that s 58 of BIA was not complied with in certain respects. For instance, the point is taken that the Master had not prior to their appointment submitted their particulars and qualifications to BoN even though BoN had in fact recommended</w:t>
      </w:r>
      <w:r w:rsidR="00AB58A9">
        <w:rPr>
          <w:rFonts w:ascii="Arial" w:hAnsi="Arial" w:cs="Arial"/>
          <w:sz w:val="24"/>
          <w:szCs w:val="24"/>
        </w:rPr>
        <w:t xml:space="preserve"> their appointment</w:t>
      </w:r>
      <w:r>
        <w:rPr>
          <w:rFonts w:ascii="Arial" w:hAnsi="Arial" w:cs="Arial"/>
          <w:sz w:val="24"/>
          <w:szCs w:val="24"/>
        </w:rPr>
        <w:t xml:space="preserve"> and that there had been prior discussions between the Governor of BoN and the Master when qualifications and </w:t>
      </w:r>
      <w:r>
        <w:rPr>
          <w:rFonts w:ascii="Arial" w:hAnsi="Arial" w:cs="Arial"/>
          <w:sz w:val="24"/>
          <w:szCs w:val="24"/>
        </w:rPr>
        <w:lastRenderedPageBreak/>
        <w:t xml:space="preserve">experience of potential liquidators were discussed. Following those discussions, the Master had made recommendations to BoN on 3 July and the provisional liquidators were then proposed and appointed by the Master on 11 July 2017. </w:t>
      </w:r>
    </w:p>
    <w:p w:rsidR="00AB58A9" w:rsidRDefault="00AB58A9" w:rsidP="00AB58A9">
      <w:pPr>
        <w:pStyle w:val="NoSpacing"/>
        <w:spacing w:line="480" w:lineRule="auto"/>
        <w:jc w:val="both"/>
        <w:rPr>
          <w:rFonts w:ascii="Arial" w:hAnsi="Arial" w:cs="Arial"/>
          <w:sz w:val="24"/>
          <w:szCs w:val="24"/>
        </w:rPr>
      </w:pPr>
    </w:p>
    <w:p w:rsidR="00F25A0A" w:rsidRPr="00AB58A9" w:rsidRDefault="00F25A0A" w:rsidP="00AB58A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High Court correctly found that there had been compliance with s 58(5) of BIA. The High Court also correctly f</w:t>
      </w:r>
      <w:r w:rsidR="003B72EC">
        <w:rPr>
          <w:rFonts w:ascii="Arial" w:hAnsi="Arial" w:cs="Arial"/>
          <w:sz w:val="24"/>
          <w:szCs w:val="24"/>
        </w:rPr>
        <w:t>o</w:t>
      </w:r>
      <w:r>
        <w:rPr>
          <w:rFonts w:ascii="Arial" w:hAnsi="Arial" w:cs="Arial"/>
          <w:sz w:val="24"/>
          <w:szCs w:val="24"/>
        </w:rPr>
        <w:t>und that if the appellants were aggrieved with those appointments, it was open to them to take the appointments on review. I entirely agree with that approach.</w:t>
      </w:r>
      <w:r w:rsidR="00AB58A9">
        <w:rPr>
          <w:rFonts w:ascii="Arial" w:hAnsi="Arial" w:cs="Arial"/>
          <w:sz w:val="24"/>
          <w:szCs w:val="24"/>
        </w:rPr>
        <w:t xml:space="preserve"> A</w:t>
      </w:r>
      <w:r w:rsidRPr="00AB58A9">
        <w:rPr>
          <w:rFonts w:ascii="Arial" w:hAnsi="Arial" w:cs="Arial"/>
          <w:sz w:val="24"/>
          <w:szCs w:val="24"/>
        </w:rPr>
        <w:t xml:space="preserve">ny procedural non-compliance with s 58 </w:t>
      </w:r>
      <w:r w:rsidR="00AB58A9">
        <w:rPr>
          <w:rFonts w:ascii="Arial" w:hAnsi="Arial" w:cs="Arial"/>
          <w:sz w:val="24"/>
          <w:szCs w:val="24"/>
        </w:rPr>
        <w:t xml:space="preserve">(which has not been established) </w:t>
      </w:r>
      <w:r w:rsidRPr="00AB58A9">
        <w:rPr>
          <w:rFonts w:ascii="Arial" w:hAnsi="Arial" w:cs="Arial"/>
          <w:sz w:val="24"/>
          <w:szCs w:val="24"/>
        </w:rPr>
        <w:t xml:space="preserve">would </w:t>
      </w:r>
      <w:r w:rsidR="00AB58A9">
        <w:rPr>
          <w:rFonts w:ascii="Arial" w:hAnsi="Arial" w:cs="Arial"/>
          <w:sz w:val="24"/>
          <w:szCs w:val="24"/>
        </w:rPr>
        <w:t xml:space="preserve">in any event </w:t>
      </w:r>
      <w:r w:rsidRPr="00AB58A9">
        <w:rPr>
          <w:rFonts w:ascii="Arial" w:hAnsi="Arial" w:cs="Arial"/>
          <w:sz w:val="24"/>
          <w:szCs w:val="24"/>
        </w:rPr>
        <w:t>not be relevant in determining whether or not to gr</w:t>
      </w:r>
      <w:r w:rsidR="00AB58A9">
        <w:rPr>
          <w:rFonts w:ascii="Arial" w:hAnsi="Arial" w:cs="Arial"/>
          <w:sz w:val="24"/>
          <w:szCs w:val="24"/>
        </w:rPr>
        <w:t>ant a final order of winding-up</w:t>
      </w:r>
      <w:r w:rsidRPr="00AB58A9">
        <w:rPr>
          <w:rFonts w:ascii="Arial" w:hAnsi="Arial" w:cs="Arial"/>
          <w:sz w:val="24"/>
          <w:szCs w:val="24"/>
        </w:rPr>
        <w:t>.</w:t>
      </w:r>
    </w:p>
    <w:p w:rsidR="00F25A0A" w:rsidRDefault="00F25A0A" w:rsidP="00F25A0A">
      <w:pPr>
        <w:pStyle w:val="ListParagraph"/>
        <w:rPr>
          <w:rFonts w:ascii="Arial" w:hAnsi="Arial" w:cs="Arial"/>
          <w:sz w:val="24"/>
          <w:szCs w:val="24"/>
        </w:rPr>
      </w:pPr>
    </w:p>
    <w:p w:rsidR="00F25A0A" w:rsidRDefault="003E34C8" w:rsidP="0051346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Upon enquiry, Mr Bishop</w:t>
      </w:r>
      <w:r w:rsidR="00AB58A9">
        <w:rPr>
          <w:rFonts w:ascii="Arial" w:hAnsi="Arial" w:cs="Arial"/>
          <w:sz w:val="24"/>
          <w:szCs w:val="24"/>
        </w:rPr>
        <w:t xml:space="preserve"> correctly</w:t>
      </w:r>
      <w:r>
        <w:rPr>
          <w:rFonts w:ascii="Arial" w:hAnsi="Arial" w:cs="Arial"/>
          <w:sz w:val="24"/>
          <w:szCs w:val="24"/>
        </w:rPr>
        <w:t xml:space="preserve"> conceded that any defects with the appointment of provisional liquidators would not of its own be relevant in determining whether or not to grant a final order. He argued that the cumulative effect of </w:t>
      </w:r>
      <w:r w:rsidR="00AB58A9">
        <w:rPr>
          <w:rFonts w:ascii="Arial" w:hAnsi="Arial" w:cs="Arial"/>
          <w:sz w:val="24"/>
          <w:szCs w:val="24"/>
        </w:rPr>
        <w:t xml:space="preserve">statutory </w:t>
      </w:r>
      <w:r>
        <w:rPr>
          <w:rFonts w:ascii="Arial" w:hAnsi="Arial" w:cs="Arial"/>
          <w:sz w:val="24"/>
          <w:szCs w:val="24"/>
        </w:rPr>
        <w:t>non-compliance</w:t>
      </w:r>
      <w:r w:rsidR="00AB58A9">
        <w:rPr>
          <w:rFonts w:ascii="Arial" w:hAnsi="Arial" w:cs="Arial"/>
          <w:sz w:val="24"/>
          <w:szCs w:val="24"/>
        </w:rPr>
        <w:t>s</w:t>
      </w:r>
      <w:r>
        <w:rPr>
          <w:rFonts w:ascii="Arial" w:hAnsi="Arial" w:cs="Arial"/>
          <w:sz w:val="24"/>
          <w:szCs w:val="24"/>
        </w:rPr>
        <w:t xml:space="preserve"> with s 351(4) of the Act, the failure to exhaust other remedies together with non-compliance with s 58 of BIA </w:t>
      </w:r>
      <w:r w:rsidR="00AB58A9">
        <w:rPr>
          <w:rFonts w:ascii="Arial" w:hAnsi="Arial" w:cs="Arial"/>
          <w:sz w:val="24"/>
          <w:szCs w:val="24"/>
        </w:rPr>
        <w:t xml:space="preserve">- </w:t>
      </w:r>
      <w:r>
        <w:rPr>
          <w:rFonts w:ascii="Arial" w:hAnsi="Arial" w:cs="Arial"/>
          <w:sz w:val="24"/>
          <w:szCs w:val="24"/>
        </w:rPr>
        <w:t>amounted to an abuse of liquidation proceedings and result in the rule being discharged.</w:t>
      </w:r>
    </w:p>
    <w:p w:rsidR="003E34C8" w:rsidRDefault="003E34C8" w:rsidP="003E34C8">
      <w:pPr>
        <w:pStyle w:val="ListParagraph"/>
        <w:rPr>
          <w:rFonts w:ascii="Arial" w:hAnsi="Arial" w:cs="Arial"/>
          <w:sz w:val="24"/>
          <w:szCs w:val="24"/>
        </w:rPr>
      </w:pPr>
    </w:p>
    <w:p w:rsidR="003E34C8" w:rsidRDefault="003E34C8" w:rsidP="0051346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difficulty with this argument is that its individual components demonstrably do not stand up to scrutiny and are baseless. No cumulative effect can or does arise.</w:t>
      </w:r>
    </w:p>
    <w:p w:rsidR="003E34C8" w:rsidRDefault="003E34C8" w:rsidP="003E34C8">
      <w:pPr>
        <w:rPr>
          <w:rFonts w:ascii="Arial" w:hAnsi="Arial" w:cs="Arial"/>
          <w:sz w:val="24"/>
          <w:szCs w:val="24"/>
        </w:rPr>
      </w:pPr>
    </w:p>
    <w:p w:rsidR="003E34C8" w:rsidRPr="003E34C8" w:rsidRDefault="003E34C8" w:rsidP="003E34C8">
      <w:pPr>
        <w:rPr>
          <w:rFonts w:ascii="Arial" w:hAnsi="Arial" w:cs="Arial"/>
          <w:sz w:val="24"/>
          <w:szCs w:val="24"/>
          <w:u w:val="single"/>
        </w:rPr>
      </w:pPr>
      <w:r>
        <w:rPr>
          <w:rFonts w:ascii="Arial" w:hAnsi="Arial" w:cs="Arial"/>
          <w:sz w:val="24"/>
          <w:szCs w:val="24"/>
          <w:u w:val="single"/>
        </w:rPr>
        <w:t>Section 362(1)(b)</w:t>
      </w:r>
    </w:p>
    <w:p w:rsidR="003B72EC" w:rsidRDefault="003E34C8" w:rsidP="0051346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In the appellant’s written argument the point is also taken that s 362(1)(b) of the Act was not complied with. This provision requires the </w:t>
      </w:r>
      <w:r w:rsidR="00AB58A9">
        <w:rPr>
          <w:rFonts w:ascii="Arial" w:hAnsi="Arial" w:cs="Arial"/>
          <w:sz w:val="24"/>
          <w:szCs w:val="24"/>
        </w:rPr>
        <w:t>R</w:t>
      </w:r>
      <w:r>
        <w:rPr>
          <w:rFonts w:ascii="Arial" w:hAnsi="Arial" w:cs="Arial"/>
          <w:sz w:val="24"/>
          <w:szCs w:val="24"/>
        </w:rPr>
        <w:t xml:space="preserve">egistrar to immediately send a copy of the provisional winding up order to the sheriff, the registrar or office </w:t>
      </w:r>
      <w:r>
        <w:rPr>
          <w:rFonts w:ascii="Arial" w:hAnsi="Arial" w:cs="Arial"/>
          <w:sz w:val="24"/>
          <w:szCs w:val="24"/>
        </w:rPr>
        <w:lastRenderedPageBreak/>
        <w:t xml:space="preserve">charged with the maintenance of a register of company assets and messengers of magistrates’ </w:t>
      </w:r>
      <w:r w:rsidR="002317A5">
        <w:rPr>
          <w:rFonts w:ascii="Arial" w:hAnsi="Arial" w:cs="Arial"/>
          <w:sz w:val="24"/>
          <w:szCs w:val="24"/>
        </w:rPr>
        <w:t>court where company property is under attachment. The Registrar gave a notice in accordance with this section on 28 September 2017. The appellants submit that this section was not complied with, given the fact that the provisional order was granted on 10 July already. The appellants also point out that there had until 6 October 2017 not been publication of the provisional order. These points</w:t>
      </w:r>
      <w:r w:rsidR="00AB58A9">
        <w:rPr>
          <w:rFonts w:ascii="Arial" w:hAnsi="Arial" w:cs="Arial"/>
          <w:sz w:val="24"/>
          <w:szCs w:val="24"/>
        </w:rPr>
        <w:t xml:space="preserve"> were raised in affidavit before the High Court but are</w:t>
      </w:r>
      <w:r w:rsidR="002317A5">
        <w:rPr>
          <w:rFonts w:ascii="Arial" w:hAnsi="Arial" w:cs="Arial"/>
          <w:sz w:val="24"/>
          <w:szCs w:val="24"/>
        </w:rPr>
        <w:t xml:space="preserve"> not raised in the appellant’s notice of appeal</w:t>
      </w:r>
      <w:r w:rsidR="00AB58A9">
        <w:rPr>
          <w:rFonts w:ascii="Arial" w:hAnsi="Arial" w:cs="Arial"/>
          <w:sz w:val="24"/>
          <w:szCs w:val="24"/>
        </w:rPr>
        <w:t>. It is not open to the appellants to raise them on appeal. But</w:t>
      </w:r>
      <w:r w:rsidR="002317A5">
        <w:rPr>
          <w:rFonts w:ascii="Arial" w:hAnsi="Arial" w:cs="Arial"/>
          <w:sz w:val="24"/>
          <w:szCs w:val="24"/>
        </w:rPr>
        <w:t xml:space="preserve"> I understood the appellant’s argument</w:t>
      </w:r>
      <w:r w:rsidR="00AB58A9">
        <w:rPr>
          <w:rFonts w:ascii="Arial" w:hAnsi="Arial" w:cs="Arial"/>
          <w:sz w:val="24"/>
          <w:szCs w:val="24"/>
        </w:rPr>
        <w:t xml:space="preserve"> that they are </w:t>
      </w:r>
      <w:r w:rsidR="003B72EC">
        <w:rPr>
          <w:rFonts w:ascii="Arial" w:hAnsi="Arial" w:cs="Arial"/>
          <w:sz w:val="24"/>
          <w:szCs w:val="24"/>
        </w:rPr>
        <w:t xml:space="preserve">also </w:t>
      </w:r>
      <w:r w:rsidR="00AB58A9">
        <w:rPr>
          <w:rFonts w:ascii="Arial" w:hAnsi="Arial" w:cs="Arial"/>
          <w:sz w:val="24"/>
          <w:szCs w:val="24"/>
        </w:rPr>
        <w:t xml:space="preserve">raised as part of the </w:t>
      </w:r>
      <w:r w:rsidR="002317A5">
        <w:rPr>
          <w:rFonts w:ascii="Arial" w:hAnsi="Arial" w:cs="Arial"/>
          <w:sz w:val="24"/>
          <w:szCs w:val="24"/>
        </w:rPr>
        <w:t xml:space="preserve">cumulative effect of abuse of the liquidation process. </w:t>
      </w:r>
    </w:p>
    <w:p w:rsidR="003B72EC" w:rsidRDefault="003B72EC" w:rsidP="003B72EC">
      <w:pPr>
        <w:pStyle w:val="NoSpacing"/>
        <w:spacing w:line="480" w:lineRule="auto"/>
        <w:jc w:val="both"/>
        <w:rPr>
          <w:rFonts w:ascii="Arial" w:hAnsi="Arial" w:cs="Arial"/>
          <w:sz w:val="24"/>
          <w:szCs w:val="24"/>
        </w:rPr>
      </w:pPr>
    </w:p>
    <w:p w:rsidR="003E34C8" w:rsidRDefault="002317A5" w:rsidP="0051346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As I have already demonstrated</w:t>
      </w:r>
      <w:r w:rsidR="003B72EC">
        <w:rPr>
          <w:rFonts w:ascii="Arial" w:hAnsi="Arial" w:cs="Arial"/>
          <w:sz w:val="24"/>
          <w:szCs w:val="24"/>
        </w:rPr>
        <w:t>,</w:t>
      </w:r>
      <w:r>
        <w:rPr>
          <w:rFonts w:ascii="Arial" w:hAnsi="Arial" w:cs="Arial"/>
          <w:sz w:val="24"/>
          <w:szCs w:val="24"/>
        </w:rPr>
        <w:t xml:space="preserve"> the other components of this argument are without substance. </w:t>
      </w:r>
      <w:r w:rsidR="00AB58A9">
        <w:rPr>
          <w:rFonts w:ascii="Arial" w:hAnsi="Arial" w:cs="Arial"/>
          <w:sz w:val="24"/>
          <w:szCs w:val="24"/>
        </w:rPr>
        <w:t xml:space="preserve">The further difficulty for this argument in that non-compliance would not result in the invalidity of the application but merely </w:t>
      </w:r>
      <w:r w:rsidR="003B72EC">
        <w:rPr>
          <w:rFonts w:ascii="Arial" w:hAnsi="Arial" w:cs="Arial"/>
          <w:sz w:val="24"/>
          <w:szCs w:val="24"/>
        </w:rPr>
        <w:t>a</w:t>
      </w:r>
      <w:r w:rsidR="00AB58A9">
        <w:rPr>
          <w:rFonts w:ascii="Arial" w:hAnsi="Arial" w:cs="Arial"/>
          <w:sz w:val="24"/>
          <w:szCs w:val="24"/>
        </w:rPr>
        <w:t xml:space="preserve"> further </w:t>
      </w:r>
      <w:r w:rsidR="00607F6F">
        <w:rPr>
          <w:rFonts w:ascii="Arial" w:hAnsi="Arial" w:cs="Arial"/>
          <w:sz w:val="24"/>
          <w:szCs w:val="24"/>
        </w:rPr>
        <w:t>extension</w:t>
      </w:r>
      <w:r w:rsidR="00AB58A9">
        <w:rPr>
          <w:rFonts w:ascii="Arial" w:hAnsi="Arial" w:cs="Arial"/>
          <w:sz w:val="24"/>
          <w:szCs w:val="24"/>
        </w:rPr>
        <w:t xml:space="preserve"> of the rule which would be pointless. </w:t>
      </w:r>
      <w:r>
        <w:rPr>
          <w:rFonts w:ascii="Arial" w:hAnsi="Arial" w:cs="Arial"/>
          <w:sz w:val="24"/>
          <w:szCs w:val="24"/>
        </w:rPr>
        <w:t>The</w:t>
      </w:r>
      <w:r w:rsidR="00AB58A9">
        <w:rPr>
          <w:rFonts w:ascii="Arial" w:hAnsi="Arial" w:cs="Arial"/>
          <w:sz w:val="24"/>
          <w:szCs w:val="24"/>
        </w:rPr>
        <w:t>se</w:t>
      </w:r>
      <w:r>
        <w:rPr>
          <w:rFonts w:ascii="Arial" w:hAnsi="Arial" w:cs="Arial"/>
          <w:sz w:val="24"/>
          <w:szCs w:val="24"/>
        </w:rPr>
        <w:t xml:space="preserve"> procedural imperfections identified by the appellants</w:t>
      </w:r>
      <w:r w:rsidR="003B72EC">
        <w:rPr>
          <w:rFonts w:ascii="Arial" w:hAnsi="Arial" w:cs="Arial"/>
          <w:sz w:val="24"/>
          <w:szCs w:val="24"/>
        </w:rPr>
        <w:t>,</w:t>
      </w:r>
      <w:r w:rsidR="00607F6F">
        <w:rPr>
          <w:rFonts w:ascii="Arial" w:hAnsi="Arial" w:cs="Arial"/>
          <w:sz w:val="24"/>
          <w:szCs w:val="24"/>
        </w:rPr>
        <w:t xml:space="preserve"> not giving rise to any identified prejudice</w:t>
      </w:r>
      <w:r w:rsidR="003B72EC">
        <w:rPr>
          <w:rFonts w:ascii="Arial" w:hAnsi="Arial" w:cs="Arial"/>
          <w:sz w:val="24"/>
          <w:szCs w:val="24"/>
        </w:rPr>
        <w:t>,</w:t>
      </w:r>
      <w:r>
        <w:rPr>
          <w:rFonts w:ascii="Arial" w:hAnsi="Arial" w:cs="Arial"/>
          <w:sz w:val="24"/>
          <w:szCs w:val="24"/>
        </w:rPr>
        <w:t xml:space="preserve"> thus do not establish any abuse on the part of BoN of the kind contended for.</w:t>
      </w:r>
    </w:p>
    <w:p w:rsidR="00A54F78" w:rsidRDefault="00A54F78" w:rsidP="00607F6F">
      <w:pPr>
        <w:rPr>
          <w:rFonts w:ascii="Arial" w:hAnsi="Arial" w:cs="Arial"/>
          <w:sz w:val="24"/>
          <w:szCs w:val="24"/>
        </w:rPr>
      </w:pPr>
    </w:p>
    <w:p w:rsidR="00607F6F" w:rsidRPr="00607F6F" w:rsidRDefault="00607F6F" w:rsidP="00607F6F">
      <w:pPr>
        <w:rPr>
          <w:rFonts w:ascii="Arial" w:hAnsi="Arial" w:cs="Arial"/>
          <w:sz w:val="24"/>
          <w:szCs w:val="24"/>
          <w:u w:val="single"/>
        </w:rPr>
      </w:pPr>
      <w:r>
        <w:rPr>
          <w:rFonts w:ascii="Arial" w:hAnsi="Arial" w:cs="Arial"/>
          <w:sz w:val="24"/>
          <w:szCs w:val="24"/>
          <w:u w:val="single"/>
        </w:rPr>
        <w:t>Conclusion</w:t>
      </w:r>
    </w:p>
    <w:p w:rsidR="00A54F78" w:rsidRDefault="002317A5" w:rsidP="0051346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It follows that the appeal enjoys no prospects of success and that condonation </w:t>
      </w:r>
      <w:r w:rsidR="00607F6F">
        <w:rPr>
          <w:rFonts w:ascii="Arial" w:hAnsi="Arial" w:cs="Arial"/>
          <w:sz w:val="24"/>
          <w:szCs w:val="24"/>
        </w:rPr>
        <w:t xml:space="preserve">and reinstatement </w:t>
      </w:r>
      <w:r>
        <w:rPr>
          <w:rFonts w:ascii="Arial" w:hAnsi="Arial" w:cs="Arial"/>
          <w:sz w:val="24"/>
          <w:szCs w:val="24"/>
        </w:rPr>
        <w:t>should not be granted.</w:t>
      </w:r>
    </w:p>
    <w:p w:rsidR="002317A5" w:rsidRDefault="002317A5" w:rsidP="002317A5">
      <w:pPr>
        <w:rPr>
          <w:rFonts w:ascii="Arial" w:hAnsi="Arial" w:cs="Arial"/>
          <w:sz w:val="24"/>
          <w:szCs w:val="24"/>
        </w:rPr>
      </w:pPr>
    </w:p>
    <w:p w:rsidR="002317A5" w:rsidRPr="002317A5" w:rsidRDefault="002317A5" w:rsidP="002317A5">
      <w:pPr>
        <w:rPr>
          <w:rFonts w:ascii="Arial" w:hAnsi="Arial" w:cs="Arial"/>
          <w:sz w:val="24"/>
          <w:szCs w:val="24"/>
          <w:u w:val="single"/>
        </w:rPr>
      </w:pPr>
      <w:r>
        <w:rPr>
          <w:rFonts w:ascii="Arial" w:hAnsi="Arial" w:cs="Arial"/>
          <w:sz w:val="24"/>
          <w:szCs w:val="24"/>
          <w:u w:val="single"/>
        </w:rPr>
        <w:t xml:space="preserve">Costs </w:t>
      </w:r>
    </w:p>
    <w:p w:rsidR="002317A5" w:rsidRDefault="002317A5" w:rsidP="0051346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Mr Bishop argued that the appellants’ opposition to the winding-up</w:t>
      </w:r>
      <w:r w:rsidR="00A932C8">
        <w:rPr>
          <w:rFonts w:ascii="Arial" w:hAnsi="Arial" w:cs="Arial"/>
          <w:sz w:val="24"/>
          <w:szCs w:val="24"/>
        </w:rPr>
        <w:t xml:space="preserve"> was </w:t>
      </w:r>
      <w:r w:rsidR="00A932C8" w:rsidRPr="00A932C8">
        <w:rPr>
          <w:rFonts w:ascii="Arial" w:hAnsi="Arial" w:cs="Arial"/>
          <w:i/>
          <w:sz w:val="24"/>
          <w:szCs w:val="24"/>
        </w:rPr>
        <w:t>bona fide</w:t>
      </w:r>
      <w:r w:rsidR="00A932C8">
        <w:rPr>
          <w:rFonts w:ascii="Arial" w:hAnsi="Arial" w:cs="Arial"/>
          <w:sz w:val="24"/>
          <w:szCs w:val="24"/>
        </w:rPr>
        <w:t xml:space="preserve"> and that, in the event of not succeeding with the appeal, the costs should be costs in the liquidation.</w:t>
      </w:r>
    </w:p>
    <w:p w:rsidR="002317A5" w:rsidRDefault="002317A5" w:rsidP="002317A5">
      <w:pPr>
        <w:pStyle w:val="ListParagraph"/>
        <w:rPr>
          <w:rFonts w:ascii="Arial" w:hAnsi="Arial" w:cs="Arial"/>
          <w:sz w:val="24"/>
          <w:szCs w:val="24"/>
        </w:rPr>
      </w:pPr>
    </w:p>
    <w:p w:rsidR="002317A5" w:rsidRDefault="00A932C8" w:rsidP="0051346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In considering the question of costs, the High Court cited </w:t>
      </w:r>
      <w:r w:rsidRPr="00A932C8">
        <w:rPr>
          <w:rFonts w:ascii="Arial" w:hAnsi="Arial" w:cs="Arial"/>
          <w:i/>
          <w:sz w:val="24"/>
          <w:szCs w:val="24"/>
        </w:rPr>
        <w:t>Blackman</w:t>
      </w:r>
      <w:r>
        <w:rPr>
          <w:rStyle w:val="FootnoteReference"/>
          <w:rFonts w:ascii="Arial" w:hAnsi="Arial" w:cs="Arial"/>
          <w:i/>
          <w:sz w:val="24"/>
          <w:szCs w:val="24"/>
        </w:rPr>
        <w:footnoteReference w:id="27"/>
      </w:r>
      <w:r>
        <w:rPr>
          <w:rFonts w:ascii="Arial" w:hAnsi="Arial" w:cs="Arial"/>
          <w:sz w:val="24"/>
          <w:szCs w:val="24"/>
        </w:rPr>
        <w:t xml:space="preserve"> in referring to the discretion to be exercised concerning costs of opposition to a successful application where the learned author stated the following:</w:t>
      </w:r>
    </w:p>
    <w:p w:rsidR="00A932C8" w:rsidRDefault="00A932C8" w:rsidP="00BA4655">
      <w:pPr>
        <w:pStyle w:val="ListParagraph"/>
        <w:spacing w:after="0" w:line="360" w:lineRule="auto"/>
        <w:rPr>
          <w:rFonts w:ascii="Arial" w:hAnsi="Arial" w:cs="Arial"/>
          <w:sz w:val="24"/>
          <w:szCs w:val="24"/>
        </w:rPr>
      </w:pPr>
    </w:p>
    <w:p w:rsidR="00A932C8" w:rsidRPr="00A64F96" w:rsidRDefault="00286F17" w:rsidP="00BA4655">
      <w:pPr>
        <w:pStyle w:val="NoSpacing"/>
        <w:spacing w:line="360" w:lineRule="auto"/>
        <w:ind w:left="720"/>
        <w:jc w:val="both"/>
        <w:rPr>
          <w:rFonts w:ascii="Arial" w:hAnsi="Arial" w:cs="Arial"/>
        </w:rPr>
      </w:pPr>
      <w:r w:rsidRPr="00A64F96">
        <w:rPr>
          <w:rFonts w:ascii="Arial" w:hAnsi="Arial" w:cs="Arial"/>
        </w:rPr>
        <w:t>‘</w:t>
      </w:r>
      <w:r w:rsidR="00A64F96">
        <w:rPr>
          <w:rFonts w:ascii="Arial" w:hAnsi="Arial" w:cs="Arial"/>
        </w:rPr>
        <w:t xml:space="preserve">The court may direct that the cost of opposition to a successful application for winding-up order be included in the costs of liquidation. However, the court will not make such a direction unless special circumstances exist and the opposition was bona fide and reasonable. The </w:t>
      </w:r>
      <w:r w:rsidR="00607F6F">
        <w:rPr>
          <w:rFonts w:ascii="Arial" w:hAnsi="Arial" w:cs="Arial"/>
        </w:rPr>
        <w:t>t</w:t>
      </w:r>
      <w:r w:rsidR="00A64F96">
        <w:rPr>
          <w:rFonts w:ascii="Arial" w:hAnsi="Arial" w:cs="Arial"/>
        </w:rPr>
        <w:t>est to be applied is whether or not it can be said that when the applications were launched (or when the final order were sought) it could fairly be said that there were no reasonable prospects of opposition proving successful.</w:t>
      </w:r>
      <w:r w:rsidRPr="00A64F96">
        <w:rPr>
          <w:rFonts w:ascii="Arial" w:hAnsi="Arial" w:cs="Arial"/>
        </w:rPr>
        <w:t>’</w:t>
      </w:r>
    </w:p>
    <w:p w:rsidR="002317A5" w:rsidRDefault="002317A5" w:rsidP="00BA4655">
      <w:pPr>
        <w:pStyle w:val="ListParagraph"/>
        <w:spacing w:after="0" w:line="360" w:lineRule="auto"/>
        <w:rPr>
          <w:rFonts w:ascii="Arial" w:hAnsi="Arial" w:cs="Arial"/>
          <w:sz w:val="24"/>
          <w:szCs w:val="24"/>
        </w:rPr>
      </w:pPr>
    </w:p>
    <w:p w:rsidR="002317A5" w:rsidRDefault="00A932C8" w:rsidP="0051346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 am satisfied that this approach also reflects the position in Namibia.</w:t>
      </w:r>
    </w:p>
    <w:p w:rsidR="002317A5" w:rsidRPr="002317A5" w:rsidRDefault="002317A5" w:rsidP="002317A5">
      <w:pPr>
        <w:rPr>
          <w:rFonts w:ascii="Arial" w:hAnsi="Arial" w:cs="Arial"/>
          <w:sz w:val="24"/>
          <w:szCs w:val="24"/>
        </w:rPr>
      </w:pPr>
    </w:p>
    <w:p w:rsidR="002317A5" w:rsidRDefault="00A932C8" w:rsidP="0051346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In applying this test, the High Court held that the appellants merely raised technical points </w:t>
      </w:r>
      <w:r w:rsidR="00607F6F">
        <w:rPr>
          <w:rFonts w:ascii="Arial" w:hAnsi="Arial" w:cs="Arial"/>
          <w:sz w:val="24"/>
          <w:szCs w:val="24"/>
        </w:rPr>
        <w:t xml:space="preserve">(which were without substance) </w:t>
      </w:r>
      <w:r>
        <w:rPr>
          <w:rFonts w:ascii="Arial" w:hAnsi="Arial" w:cs="Arial"/>
          <w:sz w:val="24"/>
          <w:szCs w:val="24"/>
        </w:rPr>
        <w:t xml:space="preserve">and that the opposition was thus not </w:t>
      </w:r>
      <w:r w:rsidRPr="00A932C8">
        <w:rPr>
          <w:rFonts w:ascii="Arial" w:hAnsi="Arial" w:cs="Arial"/>
          <w:i/>
          <w:sz w:val="24"/>
          <w:szCs w:val="24"/>
        </w:rPr>
        <w:t>bona fide</w:t>
      </w:r>
      <w:r>
        <w:rPr>
          <w:rFonts w:ascii="Arial" w:hAnsi="Arial" w:cs="Arial"/>
          <w:sz w:val="24"/>
          <w:szCs w:val="24"/>
        </w:rPr>
        <w:t>. The High Court clearly duly exercised its discretion properly</w:t>
      </w:r>
      <w:r w:rsidR="003B72EC">
        <w:rPr>
          <w:rFonts w:ascii="Arial" w:hAnsi="Arial" w:cs="Arial"/>
          <w:sz w:val="24"/>
          <w:szCs w:val="24"/>
        </w:rPr>
        <w:t xml:space="preserve"> in</w:t>
      </w:r>
      <w:r>
        <w:rPr>
          <w:rFonts w:ascii="Arial" w:hAnsi="Arial" w:cs="Arial"/>
          <w:sz w:val="24"/>
          <w:szCs w:val="24"/>
        </w:rPr>
        <w:t xml:space="preserve"> directing the appellants to pay the costs of opposition. That approach cannot be faulted.</w:t>
      </w:r>
    </w:p>
    <w:p w:rsidR="00A932C8" w:rsidRDefault="00A932C8" w:rsidP="00A932C8">
      <w:pPr>
        <w:pStyle w:val="ListParagraph"/>
        <w:rPr>
          <w:rFonts w:ascii="Arial" w:hAnsi="Arial" w:cs="Arial"/>
          <w:sz w:val="24"/>
          <w:szCs w:val="24"/>
        </w:rPr>
      </w:pPr>
    </w:p>
    <w:p w:rsidR="00A932C8" w:rsidRDefault="00A932C8" w:rsidP="0051346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As for the costs </w:t>
      </w:r>
      <w:r w:rsidR="00607F6F">
        <w:rPr>
          <w:rFonts w:ascii="Arial" w:hAnsi="Arial" w:cs="Arial"/>
          <w:sz w:val="24"/>
          <w:szCs w:val="24"/>
        </w:rPr>
        <w:t>in this Court</w:t>
      </w:r>
      <w:r>
        <w:rPr>
          <w:rFonts w:ascii="Arial" w:hAnsi="Arial" w:cs="Arial"/>
          <w:sz w:val="24"/>
          <w:szCs w:val="24"/>
        </w:rPr>
        <w:t xml:space="preserve">, the same procedural point taking was persisted with. No issues of substance concerning the basis for winding-up were raised. The appellants’ procedural point taking was without merit and merely served to delay the inevitable. They enjoyed no prospects of success and do not amount to </w:t>
      </w:r>
      <w:r w:rsidRPr="00A932C8">
        <w:rPr>
          <w:rFonts w:ascii="Arial" w:hAnsi="Arial" w:cs="Arial"/>
          <w:i/>
          <w:sz w:val="24"/>
          <w:szCs w:val="24"/>
        </w:rPr>
        <w:t>bona fide</w:t>
      </w:r>
      <w:r>
        <w:rPr>
          <w:rFonts w:ascii="Arial" w:hAnsi="Arial" w:cs="Arial"/>
          <w:sz w:val="24"/>
          <w:szCs w:val="24"/>
        </w:rPr>
        <w:t xml:space="preserve"> opposition to the winding-up.</w:t>
      </w:r>
    </w:p>
    <w:p w:rsidR="00A932C8" w:rsidRDefault="00A932C8" w:rsidP="00A932C8">
      <w:pPr>
        <w:pStyle w:val="ListParagraph"/>
        <w:rPr>
          <w:rFonts w:ascii="Arial" w:hAnsi="Arial" w:cs="Arial"/>
          <w:sz w:val="24"/>
          <w:szCs w:val="24"/>
        </w:rPr>
      </w:pPr>
    </w:p>
    <w:p w:rsidR="00A932C8" w:rsidRDefault="00A932C8" w:rsidP="0051346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lastRenderedPageBreak/>
        <w:t xml:space="preserve">The costs in this court should likewise be borne by the appellants. Both sides were represented by two counsel. The cost order will </w:t>
      </w:r>
      <w:r w:rsidR="00607F6F">
        <w:rPr>
          <w:rFonts w:ascii="Arial" w:hAnsi="Arial" w:cs="Arial"/>
          <w:sz w:val="24"/>
          <w:szCs w:val="24"/>
        </w:rPr>
        <w:t>reflect</w:t>
      </w:r>
      <w:r>
        <w:rPr>
          <w:rFonts w:ascii="Arial" w:hAnsi="Arial" w:cs="Arial"/>
          <w:sz w:val="24"/>
          <w:szCs w:val="24"/>
        </w:rPr>
        <w:t xml:space="preserve"> that.</w:t>
      </w:r>
    </w:p>
    <w:p w:rsidR="00A932C8" w:rsidRDefault="00A932C8" w:rsidP="00A932C8">
      <w:pPr>
        <w:rPr>
          <w:rFonts w:ascii="Arial" w:hAnsi="Arial" w:cs="Arial"/>
          <w:sz w:val="24"/>
          <w:szCs w:val="24"/>
        </w:rPr>
      </w:pPr>
    </w:p>
    <w:p w:rsidR="00A932C8" w:rsidRPr="00A932C8" w:rsidRDefault="00A932C8" w:rsidP="00A932C8">
      <w:pPr>
        <w:rPr>
          <w:rFonts w:ascii="Arial" w:hAnsi="Arial" w:cs="Arial"/>
          <w:sz w:val="24"/>
          <w:szCs w:val="24"/>
          <w:u w:val="single"/>
        </w:rPr>
      </w:pPr>
      <w:r>
        <w:rPr>
          <w:rFonts w:ascii="Arial" w:hAnsi="Arial" w:cs="Arial"/>
          <w:sz w:val="24"/>
          <w:szCs w:val="24"/>
          <w:u w:val="single"/>
        </w:rPr>
        <w:t>Order</w:t>
      </w:r>
    </w:p>
    <w:p w:rsidR="00A932C8" w:rsidRDefault="00286F17" w:rsidP="0051346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following order is made:</w:t>
      </w:r>
    </w:p>
    <w:p w:rsidR="00286F17" w:rsidRDefault="00286F17" w:rsidP="00286F17">
      <w:pPr>
        <w:pStyle w:val="NoSpacing"/>
        <w:spacing w:line="480" w:lineRule="auto"/>
        <w:jc w:val="both"/>
        <w:rPr>
          <w:rFonts w:ascii="Arial" w:hAnsi="Arial" w:cs="Arial"/>
          <w:sz w:val="24"/>
          <w:szCs w:val="24"/>
        </w:rPr>
      </w:pPr>
    </w:p>
    <w:p w:rsidR="00607F6F" w:rsidRDefault="00607F6F" w:rsidP="00286F17">
      <w:pPr>
        <w:pStyle w:val="NoSpacing"/>
        <w:numPr>
          <w:ilvl w:val="0"/>
          <w:numId w:val="22"/>
        </w:numPr>
        <w:spacing w:line="480" w:lineRule="auto"/>
        <w:ind w:left="1418" w:hanging="698"/>
        <w:jc w:val="both"/>
        <w:rPr>
          <w:rFonts w:ascii="Arial" w:hAnsi="Arial" w:cs="Arial"/>
          <w:sz w:val="24"/>
          <w:szCs w:val="24"/>
        </w:rPr>
      </w:pPr>
      <w:r>
        <w:rPr>
          <w:rFonts w:ascii="Arial" w:hAnsi="Arial" w:cs="Arial"/>
          <w:sz w:val="24"/>
          <w:szCs w:val="24"/>
        </w:rPr>
        <w:t>The application for condonation and reinstatement is dismissed with costs;</w:t>
      </w:r>
    </w:p>
    <w:p w:rsidR="00286F17" w:rsidRDefault="00286F17" w:rsidP="00286F17">
      <w:pPr>
        <w:pStyle w:val="NoSpacing"/>
        <w:numPr>
          <w:ilvl w:val="0"/>
          <w:numId w:val="22"/>
        </w:numPr>
        <w:spacing w:line="480" w:lineRule="auto"/>
        <w:ind w:left="1418" w:hanging="698"/>
        <w:jc w:val="both"/>
        <w:rPr>
          <w:rFonts w:ascii="Arial" w:hAnsi="Arial" w:cs="Arial"/>
          <w:sz w:val="24"/>
          <w:szCs w:val="24"/>
        </w:rPr>
      </w:pPr>
      <w:r>
        <w:rPr>
          <w:rFonts w:ascii="Arial" w:hAnsi="Arial" w:cs="Arial"/>
          <w:sz w:val="24"/>
          <w:szCs w:val="24"/>
        </w:rPr>
        <w:t xml:space="preserve">The matter is </w:t>
      </w:r>
      <w:r w:rsidR="00607F6F">
        <w:rPr>
          <w:rFonts w:ascii="Arial" w:hAnsi="Arial" w:cs="Arial"/>
          <w:sz w:val="24"/>
          <w:szCs w:val="24"/>
        </w:rPr>
        <w:t xml:space="preserve">thus </w:t>
      </w:r>
      <w:r>
        <w:rPr>
          <w:rFonts w:ascii="Arial" w:hAnsi="Arial" w:cs="Arial"/>
          <w:sz w:val="24"/>
          <w:szCs w:val="24"/>
        </w:rPr>
        <w:t>struck from the roll, with costs;</w:t>
      </w:r>
    </w:p>
    <w:p w:rsidR="00286F17" w:rsidRDefault="00286F17" w:rsidP="00286F17">
      <w:pPr>
        <w:pStyle w:val="NoSpacing"/>
        <w:numPr>
          <w:ilvl w:val="0"/>
          <w:numId w:val="22"/>
        </w:numPr>
        <w:spacing w:line="480" w:lineRule="auto"/>
        <w:ind w:left="1418" w:hanging="698"/>
        <w:jc w:val="both"/>
        <w:rPr>
          <w:rFonts w:ascii="Arial" w:hAnsi="Arial" w:cs="Arial"/>
          <w:sz w:val="24"/>
          <w:szCs w:val="24"/>
        </w:rPr>
      </w:pPr>
      <w:r>
        <w:rPr>
          <w:rFonts w:ascii="Arial" w:hAnsi="Arial" w:cs="Arial"/>
          <w:sz w:val="24"/>
          <w:szCs w:val="24"/>
        </w:rPr>
        <w:t xml:space="preserve">The costs include those </w:t>
      </w:r>
      <w:r w:rsidR="00607F6F">
        <w:rPr>
          <w:rFonts w:ascii="Arial" w:hAnsi="Arial" w:cs="Arial"/>
          <w:sz w:val="24"/>
          <w:szCs w:val="24"/>
        </w:rPr>
        <w:t xml:space="preserve">occasioned by the engagement </w:t>
      </w:r>
      <w:r>
        <w:rPr>
          <w:rFonts w:ascii="Arial" w:hAnsi="Arial" w:cs="Arial"/>
          <w:sz w:val="24"/>
          <w:szCs w:val="24"/>
        </w:rPr>
        <w:t>of one instructing and two instructed counsel.</w:t>
      </w:r>
    </w:p>
    <w:p w:rsidR="00286F17" w:rsidRPr="001C25CA" w:rsidRDefault="00286F17" w:rsidP="000A4DEC">
      <w:pPr>
        <w:pStyle w:val="NoSpacing"/>
        <w:spacing w:line="480" w:lineRule="auto"/>
        <w:jc w:val="both"/>
        <w:rPr>
          <w:rFonts w:ascii="Arial" w:hAnsi="Arial" w:cs="Arial"/>
          <w:sz w:val="24"/>
          <w:szCs w:val="24"/>
        </w:rPr>
      </w:pPr>
    </w:p>
    <w:p w:rsidR="002E426A" w:rsidRPr="001C25CA" w:rsidRDefault="002E426A" w:rsidP="002E426A">
      <w:pPr>
        <w:pStyle w:val="NoSpacing"/>
        <w:spacing w:line="480" w:lineRule="auto"/>
        <w:jc w:val="both"/>
        <w:rPr>
          <w:rFonts w:ascii="Arial" w:hAnsi="Arial" w:cs="Arial"/>
          <w:sz w:val="24"/>
          <w:szCs w:val="24"/>
        </w:rPr>
      </w:pPr>
    </w:p>
    <w:p w:rsidR="002E426A" w:rsidRPr="001C25CA" w:rsidRDefault="002E426A" w:rsidP="002E426A">
      <w:pPr>
        <w:pStyle w:val="NoSpacing"/>
        <w:spacing w:line="360" w:lineRule="auto"/>
        <w:rPr>
          <w:rFonts w:ascii="Arial" w:hAnsi="Arial" w:cs="Arial"/>
          <w:b/>
          <w:sz w:val="24"/>
          <w:szCs w:val="24"/>
        </w:rPr>
      </w:pPr>
      <w:r w:rsidRPr="001C25CA">
        <w:rPr>
          <w:rFonts w:ascii="Arial" w:hAnsi="Arial" w:cs="Arial"/>
          <w:b/>
          <w:sz w:val="24"/>
          <w:szCs w:val="24"/>
        </w:rPr>
        <w:t>___________________</w:t>
      </w:r>
    </w:p>
    <w:p w:rsidR="002E426A" w:rsidRPr="001C25CA" w:rsidRDefault="002E426A" w:rsidP="002E426A">
      <w:pPr>
        <w:pStyle w:val="NoSpacing"/>
        <w:spacing w:line="360" w:lineRule="auto"/>
        <w:rPr>
          <w:rFonts w:ascii="Arial" w:hAnsi="Arial" w:cs="Arial"/>
          <w:b/>
          <w:sz w:val="24"/>
          <w:szCs w:val="24"/>
        </w:rPr>
      </w:pPr>
      <w:r w:rsidRPr="001C25CA">
        <w:rPr>
          <w:rFonts w:ascii="Arial" w:hAnsi="Arial" w:cs="Arial"/>
          <w:b/>
          <w:sz w:val="24"/>
          <w:szCs w:val="24"/>
        </w:rPr>
        <w:t>SMUTS JA</w:t>
      </w:r>
    </w:p>
    <w:p w:rsidR="002E426A" w:rsidRPr="001C25CA" w:rsidRDefault="002E426A" w:rsidP="002E426A">
      <w:pPr>
        <w:pStyle w:val="NoSpacing"/>
        <w:rPr>
          <w:rFonts w:ascii="Arial" w:hAnsi="Arial" w:cs="Arial"/>
          <w:b/>
          <w:sz w:val="24"/>
          <w:szCs w:val="24"/>
        </w:rPr>
      </w:pPr>
    </w:p>
    <w:p w:rsidR="002E426A" w:rsidRPr="001C25CA" w:rsidRDefault="002E426A" w:rsidP="002E426A">
      <w:pPr>
        <w:pStyle w:val="NoSpacing"/>
        <w:rPr>
          <w:rFonts w:ascii="Arial" w:hAnsi="Arial" w:cs="Arial"/>
          <w:b/>
          <w:sz w:val="24"/>
          <w:szCs w:val="24"/>
        </w:rPr>
      </w:pPr>
    </w:p>
    <w:p w:rsidR="00305FE9" w:rsidRPr="001C25CA" w:rsidRDefault="00305FE9" w:rsidP="002E426A">
      <w:pPr>
        <w:pStyle w:val="NoSpacing"/>
        <w:rPr>
          <w:rFonts w:ascii="Arial" w:hAnsi="Arial" w:cs="Arial"/>
          <w:b/>
          <w:sz w:val="24"/>
          <w:szCs w:val="24"/>
        </w:rPr>
      </w:pPr>
    </w:p>
    <w:p w:rsidR="002E426A" w:rsidRPr="001C25CA" w:rsidRDefault="002E426A" w:rsidP="002E426A">
      <w:pPr>
        <w:pStyle w:val="NoSpacing"/>
        <w:rPr>
          <w:rFonts w:ascii="Arial" w:hAnsi="Arial" w:cs="Arial"/>
          <w:b/>
          <w:sz w:val="24"/>
          <w:szCs w:val="24"/>
        </w:rPr>
      </w:pPr>
    </w:p>
    <w:p w:rsidR="002E426A" w:rsidRPr="001C25CA" w:rsidRDefault="002E426A" w:rsidP="002E426A">
      <w:pPr>
        <w:pStyle w:val="NoSpacing"/>
        <w:spacing w:line="360" w:lineRule="auto"/>
        <w:rPr>
          <w:rFonts w:ascii="Arial" w:hAnsi="Arial" w:cs="Arial"/>
          <w:b/>
          <w:sz w:val="24"/>
          <w:szCs w:val="24"/>
        </w:rPr>
      </w:pPr>
      <w:r w:rsidRPr="001C25CA">
        <w:rPr>
          <w:rFonts w:ascii="Arial" w:hAnsi="Arial" w:cs="Arial"/>
          <w:b/>
          <w:sz w:val="24"/>
          <w:szCs w:val="24"/>
        </w:rPr>
        <w:t>___________________</w:t>
      </w:r>
    </w:p>
    <w:p w:rsidR="002E426A" w:rsidRPr="001C25CA" w:rsidRDefault="002E426A" w:rsidP="002E426A">
      <w:pPr>
        <w:pStyle w:val="NoSpacing"/>
        <w:spacing w:line="360" w:lineRule="auto"/>
        <w:rPr>
          <w:rFonts w:ascii="Arial" w:hAnsi="Arial" w:cs="Arial"/>
          <w:b/>
          <w:sz w:val="24"/>
          <w:szCs w:val="24"/>
        </w:rPr>
      </w:pPr>
      <w:r w:rsidRPr="001C25CA">
        <w:rPr>
          <w:rFonts w:ascii="Arial" w:hAnsi="Arial" w:cs="Arial"/>
          <w:b/>
          <w:sz w:val="24"/>
          <w:szCs w:val="24"/>
        </w:rPr>
        <w:t>MAINGA JA</w:t>
      </w:r>
    </w:p>
    <w:p w:rsidR="002E426A" w:rsidRPr="001C25CA" w:rsidRDefault="002E426A" w:rsidP="002E426A">
      <w:pPr>
        <w:pStyle w:val="NoSpacing"/>
        <w:rPr>
          <w:rFonts w:ascii="Arial" w:hAnsi="Arial" w:cs="Arial"/>
          <w:b/>
          <w:sz w:val="24"/>
          <w:szCs w:val="24"/>
        </w:rPr>
      </w:pPr>
    </w:p>
    <w:p w:rsidR="002E426A" w:rsidRPr="001C25CA" w:rsidRDefault="002E426A" w:rsidP="002E426A">
      <w:pPr>
        <w:pStyle w:val="NoSpacing"/>
        <w:rPr>
          <w:rFonts w:ascii="Arial" w:hAnsi="Arial" w:cs="Arial"/>
          <w:b/>
          <w:sz w:val="24"/>
          <w:szCs w:val="24"/>
        </w:rPr>
      </w:pPr>
    </w:p>
    <w:p w:rsidR="00305FE9" w:rsidRPr="001C25CA" w:rsidRDefault="00305FE9" w:rsidP="002E426A">
      <w:pPr>
        <w:pStyle w:val="NoSpacing"/>
        <w:rPr>
          <w:rFonts w:ascii="Arial" w:hAnsi="Arial" w:cs="Arial"/>
          <w:b/>
          <w:sz w:val="24"/>
          <w:szCs w:val="24"/>
        </w:rPr>
      </w:pPr>
    </w:p>
    <w:p w:rsidR="002E426A" w:rsidRPr="001C25CA" w:rsidRDefault="002E426A" w:rsidP="002E426A">
      <w:pPr>
        <w:pStyle w:val="NoSpacing"/>
        <w:rPr>
          <w:rFonts w:ascii="Arial" w:hAnsi="Arial" w:cs="Arial"/>
          <w:b/>
          <w:sz w:val="24"/>
          <w:szCs w:val="24"/>
        </w:rPr>
      </w:pPr>
    </w:p>
    <w:p w:rsidR="002E426A" w:rsidRPr="001C25CA" w:rsidRDefault="002E426A" w:rsidP="002E426A">
      <w:pPr>
        <w:pStyle w:val="NoSpacing"/>
        <w:spacing w:line="360" w:lineRule="auto"/>
        <w:rPr>
          <w:rFonts w:ascii="Arial" w:hAnsi="Arial" w:cs="Arial"/>
          <w:b/>
          <w:sz w:val="24"/>
          <w:szCs w:val="24"/>
        </w:rPr>
      </w:pPr>
      <w:r w:rsidRPr="001C25CA">
        <w:rPr>
          <w:rFonts w:ascii="Arial" w:hAnsi="Arial" w:cs="Arial"/>
          <w:b/>
          <w:sz w:val="24"/>
          <w:szCs w:val="24"/>
        </w:rPr>
        <w:t>___________________</w:t>
      </w:r>
    </w:p>
    <w:p w:rsidR="002E426A" w:rsidRPr="001C25CA" w:rsidRDefault="00513468" w:rsidP="002E426A">
      <w:pPr>
        <w:pStyle w:val="NoSpacing"/>
        <w:spacing w:line="480" w:lineRule="auto"/>
        <w:jc w:val="both"/>
        <w:rPr>
          <w:rFonts w:ascii="Arial" w:hAnsi="Arial" w:cs="Arial"/>
          <w:sz w:val="24"/>
          <w:szCs w:val="24"/>
        </w:rPr>
      </w:pPr>
      <w:r>
        <w:rPr>
          <w:rFonts w:ascii="Arial" w:hAnsi="Arial" w:cs="Arial"/>
          <w:b/>
          <w:sz w:val="24"/>
          <w:szCs w:val="24"/>
        </w:rPr>
        <w:t>HOFF</w:t>
      </w:r>
      <w:r w:rsidR="002E426A" w:rsidRPr="001C25CA">
        <w:rPr>
          <w:rFonts w:ascii="Arial" w:hAnsi="Arial" w:cs="Arial"/>
          <w:b/>
          <w:sz w:val="24"/>
          <w:szCs w:val="24"/>
        </w:rPr>
        <w:t xml:space="preserve"> JA</w:t>
      </w:r>
      <w:r w:rsidR="002E426A" w:rsidRPr="001C25CA">
        <w:rPr>
          <w:rFonts w:ascii="Arial" w:hAnsi="Arial" w:cs="Arial"/>
          <w:sz w:val="24"/>
          <w:szCs w:val="24"/>
        </w:rPr>
        <w:br w:type="page"/>
      </w:r>
    </w:p>
    <w:tbl>
      <w:tblPr>
        <w:tblW w:w="0" w:type="auto"/>
        <w:tblLook w:val="04A0" w:firstRow="1" w:lastRow="0" w:firstColumn="1" w:lastColumn="0" w:noHBand="0" w:noVBand="1"/>
      </w:tblPr>
      <w:tblGrid>
        <w:gridCol w:w="4386"/>
        <w:gridCol w:w="4261"/>
      </w:tblGrid>
      <w:tr w:rsidR="00721889" w:rsidRPr="001C25CA" w:rsidTr="005C0BAB">
        <w:tc>
          <w:tcPr>
            <w:tcW w:w="4386" w:type="dxa"/>
            <w:shd w:val="clear" w:color="auto" w:fill="auto"/>
          </w:tcPr>
          <w:p w:rsidR="00721889" w:rsidRPr="001C25CA" w:rsidRDefault="00721889" w:rsidP="002E426A">
            <w:pPr>
              <w:ind w:left="-108" w:right="-146"/>
              <w:rPr>
                <w:rFonts w:ascii="Arial" w:hAnsi="Arial" w:cs="Arial"/>
                <w:sz w:val="24"/>
                <w:szCs w:val="24"/>
              </w:rPr>
            </w:pPr>
            <w:r w:rsidRPr="001C25CA">
              <w:rPr>
                <w:rFonts w:ascii="Arial" w:hAnsi="Arial" w:cs="Arial"/>
                <w:sz w:val="24"/>
                <w:szCs w:val="24"/>
              </w:rPr>
              <w:lastRenderedPageBreak/>
              <w:t>APPEARANCES</w:t>
            </w:r>
          </w:p>
          <w:p w:rsidR="00721889" w:rsidRPr="001C25CA" w:rsidRDefault="00721889" w:rsidP="00503269">
            <w:pPr>
              <w:ind w:right="-146"/>
              <w:rPr>
                <w:rFonts w:ascii="Arial" w:hAnsi="Arial" w:cs="Arial"/>
                <w:sz w:val="24"/>
                <w:szCs w:val="24"/>
              </w:rPr>
            </w:pPr>
          </w:p>
          <w:p w:rsidR="00721889" w:rsidRPr="001C25CA" w:rsidRDefault="00721889" w:rsidP="002E426A">
            <w:pPr>
              <w:ind w:left="-108" w:right="-146"/>
              <w:rPr>
                <w:rFonts w:ascii="Arial" w:hAnsi="Arial" w:cs="Arial"/>
                <w:sz w:val="24"/>
                <w:szCs w:val="24"/>
              </w:rPr>
            </w:pPr>
            <w:r w:rsidRPr="001C25CA">
              <w:rPr>
                <w:rFonts w:ascii="Arial" w:hAnsi="Arial" w:cs="Arial"/>
                <w:sz w:val="24"/>
                <w:szCs w:val="24"/>
              </w:rPr>
              <w:t>APPELLANT</w:t>
            </w:r>
            <w:r w:rsidR="00AE5A44">
              <w:rPr>
                <w:rFonts w:ascii="Arial" w:hAnsi="Arial" w:cs="Arial"/>
                <w:sz w:val="24"/>
                <w:szCs w:val="24"/>
              </w:rPr>
              <w:t>S</w:t>
            </w:r>
            <w:r w:rsidRPr="001C25CA">
              <w:rPr>
                <w:rFonts w:ascii="Arial" w:hAnsi="Arial" w:cs="Arial"/>
                <w:sz w:val="24"/>
                <w:szCs w:val="24"/>
              </w:rPr>
              <w:t>:</w:t>
            </w:r>
          </w:p>
        </w:tc>
        <w:tc>
          <w:tcPr>
            <w:tcW w:w="4261" w:type="dxa"/>
            <w:shd w:val="clear" w:color="auto" w:fill="auto"/>
          </w:tcPr>
          <w:p w:rsidR="00721889" w:rsidRPr="001C25CA" w:rsidRDefault="00721889" w:rsidP="00503269">
            <w:pPr>
              <w:rPr>
                <w:rFonts w:ascii="Arial" w:hAnsi="Arial" w:cs="Arial"/>
                <w:sz w:val="24"/>
                <w:szCs w:val="24"/>
              </w:rPr>
            </w:pPr>
          </w:p>
          <w:p w:rsidR="00721889" w:rsidRPr="001C25CA" w:rsidRDefault="00721889" w:rsidP="00503269">
            <w:pPr>
              <w:rPr>
                <w:rFonts w:ascii="Arial" w:hAnsi="Arial" w:cs="Arial"/>
                <w:sz w:val="24"/>
                <w:szCs w:val="24"/>
              </w:rPr>
            </w:pPr>
          </w:p>
          <w:p w:rsidR="00721889" w:rsidRPr="001C25CA" w:rsidRDefault="00725ABD" w:rsidP="00503269">
            <w:pPr>
              <w:rPr>
                <w:rFonts w:ascii="Arial" w:hAnsi="Arial" w:cs="Arial"/>
                <w:sz w:val="24"/>
                <w:szCs w:val="24"/>
              </w:rPr>
            </w:pPr>
            <w:r>
              <w:rPr>
                <w:rFonts w:ascii="Arial" w:hAnsi="Arial" w:cs="Arial"/>
                <w:sz w:val="24"/>
                <w:szCs w:val="24"/>
              </w:rPr>
              <w:t>A Bishop, with S Namandje</w:t>
            </w:r>
          </w:p>
          <w:p w:rsidR="00860DA9" w:rsidRPr="001C25CA" w:rsidRDefault="00860DA9" w:rsidP="00725ABD">
            <w:pPr>
              <w:rPr>
                <w:rFonts w:ascii="Arial" w:hAnsi="Arial" w:cs="Arial"/>
                <w:sz w:val="24"/>
                <w:szCs w:val="24"/>
              </w:rPr>
            </w:pPr>
            <w:r w:rsidRPr="001C25CA">
              <w:rPr>
                <w:rFonts w:ascii="Arial" w:hAnsi="Arial" w:cs="Arial"/>
                <w:sz w:val="24"/>
                <w:szCs w:val="24"/>
              </w:rPr>
              <w:t xml:space="preserve">Instructed by </w:t>
            </w:r>
            <w:r w:rsidR="00725ABD">
              <w:rPr>
                <w:rFonts w:ascii="Arial" w:hAnsi="Arial" w:cs="Arial"/>
                <w:sz w:val="24"/>
                <w:szCs w:val="24"/>
              </w:rPr>
              <w:t>Sisa Namandje &amp; Co</w:t>
            </w:r>
          </w:p>
        </w:tc>
      </w:tr>
      <w:tr w:rsidR="00721889" w:rsidRPr="001C25CA" w:rsidTr="005C0BAB">
        <w:tc>
          <w:tcPr>
            <w:tcW w:w="4386" w:type="dxa"/>
            <w:shd w:val="clear" w:color="auto" w:fill="auto"/>
          </w:tcPr>
          <w:p w:rsidR="00721889" w:rsidRPr="001C25CA" w:rsidRDefault="00721889" w:rsidP="00503269">
            <w:pPr>
              <w:rPr>
                <w:rFonts w:ascii="Arial" w:hAnsi="Arial" w:cs="Arial"/>
                <w:sz w:val="24"/>
                <w:szCs w:val="24"/>
              </w:rPr>
            </w:pPr>
          </w:p>
          <w:p w:rsidR="00721889" w:rsidRPr="001C25CA" w:rsidRDefault="00721889" w:rsidP="002E426A">
            <w:pPr>
              <w:ind w:left="-108"/>
              <w:rPr>
                <w:rFonts w:ascii="Arial" w:hAnsi="Arial" w:cs="Arial"/>
                <w:sz w:val="24"/>
                <w:szCs w:val="24"/>
              </w:rPr>
            </w:pPr>
            <w:r w:rsidRPr="001C25CA">
              <w:rPr>
                <w:rFonts w:ascii="Arial" w:hAnsi="Arial" w:cs="Arial"/>
                <w:sz w:val="24"/>
                <w:szCs w:val="24"/>
              </w:rPr>
              <w:t>RESPONDENT</w:t>
            </w:r>
            <w:r w:rsidR="005D3137" w:rsidRPr="001C25CA">
              <w:rPr>
                <w:rFonts w:ascii="Arial" w:hAnsi="Arial" w:cs="Arial"/>
                <w:sz w:val="24"/>
                <w:szCs w:val="24"/>
              </w:rPr>
              <w:t>S</w:t>
            </w:r>
            <w:r w:rsidRPr="001C25CA">
              <w:rPr>
                <w:rFonts w:ascii="Arial" w:hAnsi="Arial" w:cs="Arial"/>
                <w:sz w:val="24"/>
                <w:szCs w:val="24"/>
              </w:rPr>
              <w:t>:</w:t>
            </w:r>
          </w:p>
        </w:tc>
        <w:tc>
          <w:tcPr>
            <w:tcW w:w="4261" w:type="dxa"/>
            <w:shd w:val="clear" w:color="auto" w:fill="auto"/>
          </w:tcPr>
          <w:p w:rsidR="00721889" w:rsidRPr="001C25CA" w:rsidRDefault="00721889" w:rsidP="00503269">
            <w:pPr>
              <w:rPr>
                <w:rFonts w:ascii="Arial" w:hAnsi="Arial" w:cs="Arial"/>
                <w:sz w:val="24"/>
                <w:szCs w:val="24"/>
              </w:rPr>
            </w:pPr>
          </w:p>
          <w:p w:rsidR="008A6323" w:rsidRDefault="00725ABD" w:rsidP="00864712">
            <w:pPr>
              <w:rPr>
                <w:rFonts w:ascii="Arial" w:hAnsi="Arial" w:cs="Arial"/>
                <w:sz w:val="24"/>
                <w:szCs w:val="24"/>
              </w:rPr>
            </w:pPr>
            <w:r>
              <w:rPr>
                <w:rFonts w:ascii="Arial" w:hAnsi="Arial" w:cs="Arial"/>
                <w:sz w:val="24"/>
                <w:szCs w:val="24"/>
              </w:rPr>
              <w:t>A W Corbett, with D Obbes</w:t>
            </w:r>
          </w:p>
          <w:p w:rsidR="00721889" w:rsidRPr="001C25CA" w:rsidRDefault="008A6323" w:rsidP="00725ABD">
            <w:pPr>
              <w:rPr>
                <w:rFonts w:ascii="Arial" w:hAnsi="Arial" w:cs="Arial"/>
                <w:sz w:val="24"/>
                <w:szCs w:val="24"/>
              </w:rPr>
            </w:pPr>
            <w:r>
              <w:rPr>
                <w:rFonts w:ascii="Arial" w:hAnsi="Arial" w:cs="Arial"/>
                <w:sz w:val="24"/>
                <w:szCs w:val="24"/>
              </w:rPr>
              <w:t xml:space="preserve">Instructed by </w:t>
            </w:r>
            <w:r w:rsidR="00725ABD">
              <w:rPr>
                <w:rFonts w:ascii="Arial" w:hAnsi="Arial" w:cs="Arial"/>
                <w:sz w:val="24"/>
                <w:szCs w:val="24"/>
              </w:rPr>
              <w:t>ENS Africa</w:t>
            </w:r>
            <w:r w:rsidR="00721889" w:rsidRPr="001C25CA">
              <w:rPr>
                <w:rFonts w:ascii="Arial" w:hAnsi="Arial" w:cs="Arial"/>
                <w:sz w:val="24"/>
                <w:szCs w:val="24"/>
              </w:rPr>
              <w:t xml:space="preserve"> </w:t>
            </w:r>
          </w:p>
        </w:tc>
      </w:tr>
    </w:tbl>
    <w:p w:rsidR="00721889" w:rsidRPr="001C25CA" w:rsidRDefault="00721889" w:rsidP="00721889">
      <w:pPr>
        <w:pStyle w:val="NoSpacing"/>
        <w:jc w:val="both"/>
        <w:rPr>
          <w:rFonts w:ascii="Arial" w:hAnsi="Arial" w:cs="Arial"/>
          <w:sz w:val="24"/>
          <w:szCs w:val="24"/>
        </w:rPr>
      </w:pPr>
    </w:p>
    <w:sectPr w:rsidR="00721889" w:rsidRPr="001C25CA" w:rsidSect="00F255FF">
      <w:headerReference w:type="default" r:id="rId9"/>
      <w:pgSz w:w="11906" w:h="16838"/>
      <w:pgMar w:top="811"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655" w:rsidRDefault="00E72655" w:rsidP="00B5013F">
      <w:pPr>
        <w:spacing w:after="0" w:line="240" w:lineRule="auto"/>
      </w:pPr>
      <w:r>
        <w:separator/>
      </w:r>
    </w:p>
  </w:endnote>
  <w:endnote w:type="continuationSeparator" w:id="0">
    <w:p w:rsidR="00E72655" w:rsidRDefault="00E72655" w:rsidP="00B5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655" w:rsidRDefault="00E72655" w:rsidP="00B5013F">
      <w:pPr>
        <w:spacing w:after="0" w:line="240" w:lineRule="auto"/>
      </w:pPr>
      <w:r>
        <w:separator/>
      </w:r>
    </w:p>
  </w:footnote>
  <w:footnote w:type="continuationSeparator" w:id="0">
    <w:p w:rsidR="00E72655" w:rsidRDefault="00E72655" w:rsidP="00B5013F">
      <w:pPr>
        <w:spacing w:after="0" w:line="240" w:lineRule="auto"/>
      </w:pPr>
      <w:r>
        <w:continuationSeparator/>
      </w:r>
    </w:p>
  </w:footnote>
  <w:footnote w:id="1">
    <w:p w:rsidR="00A932C8" w:rsidRPr="001C1802" w:rsidRDefault="00A932C8" w:rsidP="00A64F96">
      <w:pPr>
        <w:pStyle w:val="FootnoteText"/>
        <w:jc w:val="both"/>
        <w:rPr>
          <w:rFonts w:ascii="Arial" w:hAnsi="Arial" w:cs="Arial"/>
        </w:rPr>
      </w:pPr>
      <w:r w:rsidRPr="001C1802">
        <w:rPr>
          <w:rStyle w:val="FootnoteReference"/>
          <w:rFonts w:ascii="Arial" w:hAnsi="Arial" w:cs="Arial"/>
        </w:rPr>
        <w:footnoteRef/>
      </w:r>
      <w:r w:rsidRPr="001C1802">
        <w:rPr>
          <w:rFonts w:ascii="Arial" w:hAnsi="Arial" w:cs="Arial"/>
        </w:rPr>
        <w:t xml:space="preserve"> 2013(3) NR 664 (SC) at paras 35 and 37.</w:t>
      </w:r>
    </w:p>
  </w:footnote>
  <w:footnote w:id="2">
    <w:p w:rsidR="00A932C8" w:rsidRPr="001C1802" w:rsidRDefault="00A932C8" w:rsidP="00A64F96">
      <w:pPr>
        <w:pStyle w:val="FootnoteText"/>
        <w:jc w:val="both"/>
        <w:rPr>
          <w:rFonts w:ascii="Arial" w:hAnsi="Arial" w:cs="Arial"/>
        </w:rPr>
      </w:pPr>
      <w:r w:rsidRPr="001C1802">
        <w:rPr>
          <w:rStyle w:val="FootnoteReference"/>
          <w:rFonts w:ascii="Arial" w:hAnsi="Arial" w:cs="Arial"/>
        </w:rPr>
        <w:footnoteRef/>
      </w:r>
      <w:r w:rsidRPr="001C1802">
        <w:rPr>
          <w:rFonts w:ascii="Arial" w:hAnsi="Arial" w:cs="Arial"/>
        </w:rPr>
        <w:t xml:space="preserve"> Section 3 of the Bank of Namibia Act, 1997.</w:t>
      </w:r>
    </w:p>
  </w:footnote>
  <w:footnote w:id="3">
    <w:p w:rsidR="00A932C8" w:rsidRPr="001C1802" w:rsidRDefault="00A932C8" w:rsidP="00A64F96">
      <w:pPr>
        <w:pStyle w:val="FootnoteText"/>
        <w:jc w:val="both"/>
        <w:rPr>
          <w:rFonts w:ascii="Arial" w:hAnsi="Arial" w:cs="Arial"/>
        </w:rPr>
      </w:pPr>
      <w:r w:rsidRPr="001C1802">
        <w:rPr>
          <w:rStyle w:val="FootnoteReference"/>
          <w:rFonts w:ascii="Arial" w:hAnsi="Arial" w:cs="Arial"/>
        </w:rPr>
        <w:footnoteRef/>
      </w:r>
      <w:r w:rsidRPr="001C1802">
        <w:rPr>
          <w:rFonts w:ascii="Arial" w:hAnsi="Arial" w:cs="Arial"/>
        </w:rPr>
        <w:t xml:space="preserve"> Section 3 of the Bank of Namibia Act, 1997.</w:t>
      </w:r>
    </w:p>
  </w:footnote>
  <w:footnote w:id="4">
    <w:p w:rsidR="00A932C8" w:rsidRPr="001C1802" w:rsidRDefault="00A932C8" w:rsidP="00A64F96">
      <w:pPr>
        <w:pStyle w:val="FootnoteText"/>
        <w:jc w:val="both"/>
        <w:rPr>
          <w:rFonts w:ascii="Arial" w:hAnsi="Arial" w:cs="Arial"/>
        </w:rPr>
      </w:pPr>
      <w:r w:rsidRPr="001C1802">
        <w:rPr>
          <w:rStyle w:val="FootnoteReference"/>
          <w:rFonts w:ascii="Arial" w:hAnsi="Arial" w:cs="Arial"/>
        </w:rPr>
        <w:footnoteRef/>
      </w:r>
      <w:r w:rsidRPr="001C1802">
        <w:rPr>
          <w:rFonts w:ascii="Arial" w:hAnsi="Arial" w:cs="Arial"/>
        </w:rPr>
        <w:t xml:space="preserve"> Section 28(4) of BIA.</w:t>
      </w:r>
    </w:p>
  </w:footnote>
  <w:footnote w:id="5">
    <w:p w:rsidR="00A932C8" w:rsidRPr="001C1802" w:rsidRDefault="00A932C8" w:rsidP="00A64F96">
      <w:pPr>
        <w:pStyle w:val="FootnoteText"/>
        <w:jc w:val="both"/>
        <w:rPr>
          <w:rFonts w:ascii="Arial" w:hAnsi="Arial" w:cs="Arial"/>
        </w:rPr>
      </w:pPr>
      <w:r w:rsidRPr="001C1802">
        <w:rPr>
          <w:rStyle w:val="FootnoteReference"/>
          <w:rFonts w:ascii="Arial" w:hAnsi="Arial" w:cs="Arial"/>
        </w:rPr>
        <w:footnoteRef/>
      </w:r>
      <w:r w:rsidRPr="001C1802">
        <w:rPr>
          <w:rFonts w:ascii="Arial" w:hAnsi="Arial" w:cs="Arial"/>
        </w:rPr>
        <w:t xml:space="preserve"> Section 58(4) of BIA.</w:t>
      </w:r>
    </w:p>
  </w:footnote>
  <w:footnote w:id="6">
    <w:p w:rsidR="00A932C8" w:rsidRPr="001C1802" w:rsidRDefault="00A932C8" w:rsidP="00A64F96">
      <w:pPr>
        <w:pStyle w:val="FootnoteText"/>
        <w:jc w:val="both"/>
        <w:rPr>
          <w:rFonts w:ascii="Arial" w:hAnsi="Arial" w:cs="Arial"/>
        </w:rPr>
      </w:pPr>
      <w:r w:rsidRPr="001C1802">
        <w:rPr>
          <w:rStyle w:val="FootnoteReference"/>
          <w:rFonts w:ascii="Arial" w:hAnsi="Arial" w:cs="Arial"/>
        </w:rPr>
        <w:footnoteRef/>
      </w:r>
      <w:r w:rsidRPr="001C1802">
        <w:rPr>
          <w:rFonts w:ascii="Arial" w:hAnsi="Arial" w:cs="Arial"/>
        </w:rPr>
        <w:t xml:space="preserve"> </w:t>
      </w:r>
      <w:r w:rsidRPr="001C1802">
        <w:rPr>
          <w:rFonts w:ascii="Arial" w:hAnsi="Arial" w:cs="Arial"/>
          <w:i/>
        </w:rPr>
        <w:t>Bat</w:t>
      </w:r>
      <w:r w:rsidR="00662DCC" w:rsidRPr="001C1802">
        <w:rPr>
          <w:rFonts w:ascii="Arial" w:hAnsi="Arial" w:cs="Arial"/>
          <w:i/>
        </w:rPr>
        <w:t>o</w:t>
      </w:r>
      <w:r w:rsidRPr="001C1802">
        <w:rPr>
          <w:rFonts w:ascii="Arial" w:hAnsi="Arial" w:cs="Arial"/>
          <w:i/>
        </w:rPr>
        <w:t xml:space="preserve"> Star Fishing (Pty) Ltd v Minister of Environmental Affairs</w:t>
      </w:r>
      <w:r w:rsidRPr="001C1802">
        <w:rPr>
          <w:rFonts w:ascii="Arial" w:hAnsi="Arial" w:cs="Arial"/>
        </w:rPr>
        <w:t xml:space="preserve"> 2004(4) SA (CC) 490 at para 72.</w:t>
      </w:r>
    </w:p>
  </w:footnote>
  <w:footnote w:id="7">
    <w:p w:rsidR="00A932C8" w:rsidRPr="001C1802" w:rsidRDefault="00A932C8" w:rsidP="00A64F96">
      <w:pPr>
        <w:pStyle w:val="FootnoteText"/>
        <w:jc w:val="both"/>
        <w:rPr>
          <w:rFonts w:ascii="Arial" w:hAnsi="Arial" w:cs="Arial"/>
        </w:rPr>
      </w:pPr>
      <w:r w:rsidRPr="001C1802">
        <w:rPr>
          <w:rStyle w:val="FootnoteReference"/>
          <w:rFonts w:ascii="Arial" w:hAnsi="Arial" w:cs="Arial"/>
        </w:rPr>
        <w:footnoteRef/>
      </w:r>
      <w:r w:rsidRPr="001C1802">
        <w:rPr>
          <w:rFonts w:ascii="Arial" w:hAnsi="Arial" w:cs="Arial"/>
        </w:rPr>
        <w:t xml:space="preserve"> In </w:t>
      </w:r>
      <w:r w:rsidRPr="001C1802">
        <w:rPr>
          <w:rFonts w:ascii="Arial" w:hAnsi="Arial" w:cs="Arial"/>
          <w:i/>
        </w:rPr>
        <w:t xml:space="preserve">Namibia Association of Medical Aid Funds and Others v Namibia Competition Commission and another </w:t>
      </w:r>
      <w:r w:rsidRPr="001C1802">
        <w:rPr>
          <w:rFonts w:ascii="Arial" w:hAnsi="Arial" w:cs="Arial"/>
        </w:rPr>
        <w:t>2017 (3) NR</w:t>
      </w:r>
      <w:r w:rsidR="009602DC" w:rsidRPr="001C1802">
        <w:rPr>
          <w:rFonts w:ascii="Arial" w:hAnsi="Arial" w:cs="Arial"/>
        </w:rPr>
        <w:t xml:space="preserve"> </w:t>
      </w:r>
      <w:r w:rsidRPr="001C1802">
        <w:rPr>
          <w:rFonts w:ascii="Arial" w:hAnsi="Arial" w:cs="Arial"/>
        </w:rPr>
        <w:t xml:space="preserve">853 (SC) at paras 39-41. See also </w:t>
      </w:r>
      <w:r w:rsidRPr="001C1802">
        <w:rPr>
          <w:rFonts w:ascii="Arial" w:hAnsi="Arial" w:cs="Arial"/>
          <w:i/>
        </w:rPr>
        <w:t xml:space="preserve">Claude Bosch Architects v Auas Business Enterprises Number 123 (Pty) Ltd  </w:t>
      </w:r>
      <w:r w:rsidRPr="001C1802">
        <w:rPr>
          <w:rFonts w:ascii="Arial" w:hAnsi="Arial" w:cs="Arial"/>
        </w:rPr>
        <w:t>2018</w:t>
      </w:r>
      <w:r w:rsidR="009602DC" w:rsidRPr="001C1802">
        <w:rPr>
          <w:rFonts w:ascii="Arial" w:hAnsi="Arial" w:cs="Arial"/>
        </w:rPr>
        <w:t xml:space="preserve"> </w:t>
      </w:r>
      <w:r w:rsidRPr="001C1802">
        <w:rPr>
          <w:rFonts w:ascii="Arial" w:hAnsi="Arial" w:cs="Arial"/>
        </w:rPr>
        <w:t>(1) NR 155 (SC).</w:t>
      </w:r>
    </w:p>
  </w:footnote>
  <w:footnote w:id="8">
    <w:p w:rsidR="00A932C8" w:rsidRPr="001C1802" w:rsidRDefault="00A932C8" w:rsidP="00A64F96">
      <w:pPr>
        <w:pStyle w:val="FootnoteText"/>
        <w:jc w:val="both"/>
        <w:rPr>
          <w:rFonts w:ascii="Arial" w:hAnsi="Arial" w:cs="Arial"/>
          <w:lang w:val="en-US"/>
        </w:rPr>
      </w:pPr>
      <w:r w:rsidRPr="001C1802">
        <w:rPr>
          <w:rStyle w:val="FootnoteReference"/>
          <w:rFonts w:ascii="Arial" w:hAnsi="Arial" w:cs="Arial"/>
        </w:rPr>
        <w:footnoteRef/>
      </w:r>
      <w:r w:rsidRPr="001C1802">
        <w:rPr>
          <w:rFonts w:ascii="Arial" w:hAnsi="Arial" w:cs="Arial"/>
        </w:rPr>
        <w:t xml:space="preserve"> </w:t>
      </w:r>
      <w:r w:rsidRPr="001C1802">
        <w:rPr>
          <w:rFonts w:ascii="Arial" w:hAnsi="Arial" w:cs="Arial"/>
          <w:lang w:val="en-US"/>
        </w:rPr>
        <w:t>2015 (3) NR 733 (SC) at paras 17-20.</w:t>
      </w:r>
    </w:p>
  </w:footnote>
  <w:footnote w:id="9">
    <w:p w:rsidR="00A932C8" w:rsidRPr="001C1802" w:rsidRDefault="00A932C8" w:rsidP="00A64F96">
      <w:pPr>
        <w:pStyle w:val="FootnoteText"/>
        <w:jc w:val="both"/>
        <w:rPr>
          <w:rFonts w:ascii="Arial" w:hAnsi="Arial" w:cs="Arial"/>
          <w:lang w:val="en-US"/>
        </w:rPr>
      </w:pPr>
      <w:r w:rsidRPr="001C1802">
        <w:rPr>
          <w:rStyle w:val="FootnoteReference"/>
          <w:rFonts w:ascii="Arial" w:hAnsi="Arial" w:cs="Arial"/>
        </w:rPr>
        <w:footnoteRef/>
      </w:r>
      <w:r w:rsidRPr="001C1802">
        <w:rPr>
          <w:rFonts w:ascii="Arial" w:hAnsi="Arial" w:cs="Arial"/>
        </w:rPr>
        <w:t xml:space="preserve"> 2012 (4) SA 593 (SCA) at para 18.</w:t>
      </w:r>
    </w:p>
  </w:footnote>
  <w:footnote w:id="10">
    <w:p w:rsidR="00A932C8" w:rsidRPr="001C1802" w:rsidRDefault="00A932C8" w:rsidP="00A64F96">
      <w:pPr>
        <w:pStyle w:val="FootnoteText"/>
        <w:jc w:val="both"/>
        <w:rPr>
          <w:rFonts w:ascii="Arial" w:hAnsi="Arial" w:cs="Arial"/>
          <w:lang w:val="en-US"/>
        </w:rPr>
      </w:pPr>
      <w:r w:rsidRPr="001C1802">
        <w:rPr>
          <w:rStyle w:val="FootnoteReference"/>
          <w:rFonts w:ascii="Arial" w:hAnsi="Arial" w:cs="Arial"/>
        </w:rPr>
        <w:footnoteRef/>
      </w:r>
      <w:r w:rsidRPr="001C1802">
        <w:rPr>
          <w:rFonts w:ascii="Arial" w:hAnsi="Arial" w:cs="Arial"/>
        </w:rPr>
        <w:t xml:space="preserve"> As set out by Lord Hoffman in </w:t>
      </w:r>
      <w:r w:rsidRPr="001C1802">
        <w:rPr>
          <w:rFonts w:ascii="Arial" w:hAnsi="Arial" w:cs="Arial"/>
          <w:i/>
        </w:rPr>
        <w:t xml:space="preserve">Investors Compensation Scheme v West Bromwich Building Society </w:t>
      </w:r>
      <w:r w:rsidRPr="001C1802">
        <w:rPr>
          <w:rFonts w:ascii="Arial" w:hAnsi="Arial" w:cs="Arial"/>
        </w:rPr>
        <w:t>[1998] 1 WLR 896 (HL) at 912 – 913.</w:t>
      </w:r>
    </w:p>
  </w:footnote>
  <w:footnote w:id="11">
    <w:p w:rsidR="00A932C8" w:rsidRPr="001C1802" w:rsidRDefault="00A932C8" w:rsidP="00A64F96">
      <w:pPr>
        <w:pStyle w:val="FootnoteText"/>
        <w:jc w:val="both"/>
        <w:rPr>
          <w:rFonts w:ascii="Arial" w:hAnsi="Arial" w:cs="Arial"/>
          <w:lang w:val="en-US"/>
        </w:rPr>
      </w:pPr>
      <w:r w:rsidRPr="001C1802">
        <w:rPr>
          <w:rStyle w:val="FootnoteReference"/>
          <w:rFonts w:ascii="Arial" w:hAnsi="Arial" w:cs="Arial"/>
        </w:rPr>
        <w:footnoteRef/>
      </w:r>
      <w:r w:rsidRPr="001C1802">
        <w:rPr>
          <w:rFonts w:ascii="Arial" w:hAnsi="Arial" w:cs="Arial"/>
        </w:rPr>
        <w:t xml:space="preserve"> </w:t>
      </w:r>
      <w:r w:rsidRPr="001C1802">
        <w:rPr>
          <w:rFonts w:ascii="Arial" w:hAnsi="Arial" w:cs="Arial"/>
          <w:i/>
          <w:lang w:val="en-US"/>
        </w:rPr>
        <w:t xml:space="preserve">Total </w:t>
      </w:r>
      <w:r w:rsidRPr="001C1802">
        <w:rPr>
          <w:rFonts w:ascii="Arial" w:hAnsi="Arial" w:cs="Arial"/>
          <w:lang w:val="en-US"/>
        </w:rPr>
        <w:t>para 19.</w:t>
      </w:r>
    </w:p>
  </w:footnote>
  <w:footnote w:id="12">
    <w:p w:rsidR="00A932C8" w:rsidRPr="001C1802" w:rsidRDefault="00A932C8" w:rsidP="00A64F96">
      <w:pPr>
        <w:pStyle w:val="FootnoteText"/>
        <w:jc w:val="both"/>
        <w:rPr>
          <w:rFonts w:ascii="Arial" w:hAnsi="Arial" w:cs="Arial"/>
          <w:lang w:val="en-US"/>
        </w:rPr>
      </w:pPr>
      <w:r w:rsidRPr="001C1802">
        <w:rPr>
          <w:rStyle w:val="FootnoteReference"/>
          <w:rFonts w:ascii="Arial" w:hAnsi="Arial" w:cs="Arial"/>
        </w:rPr>
        <w:footnoteRef/>
      </w:r>
      <w:r w:rsidRPr="001C1802">
        <w:rPr>
          <w:rFonts w:ascii="Arial" w:hAnsi="Arial" w:cs="Arial"/>
        </w:rPr>
        <w:t xml:space="preserve"> </w:t>
      </w:r>
      <w:r w:rsidRPr="001C1802">
        <w:rPr>
          <w:rFonts w:ascii="Arial" w:hAnsi="Arial" w:cs="Arial"/>
          <w:lang w:val="en-US"/>
        </w:rPr>
        <w:t>At para 42.</w:t>
      </w:r>
    </w:p>
  </w:footnote>
  <w:footnote w:id="13">
    <w:p w:rsidR="00A932C8" w:rsidRPr="001C1802" w:rsidRDefault="00A932C8" w:rsidP="00A64F96">
      <w:pPr>
        <w:pStyle w:val="FootnoteText"/>
        <w:jc w:val="both"/>
        <w:rPr>
          <w:rFonts w:ascii="Arial" w:hAnsi="Arial" w:cs="Arial"/>
        </w:rPr>
      </w:pPr>
      <w:r w:rsidRPr="001C1802">
        <w:rPr>
          <w:rStyle w:val="FootnoteReference"/>
          <w:rFonts w:ascii="Arial" w:hAnsi="Arial" w:cs="Arial"/>
        </w:rPr>
        <w:footnoteRef/>
      </w:r>
      <w:r w:rsidRPr="001C1802">
        <w:rPr>
          <w:rFonts w:ascii="Arial" w:hAnsi="Arial" w:cs="Arial"/>
        </w:rPr>
        <w:t xml:space="preserve"> 2015</w:t>
      </w:r>
      <w:r w:rsidR="000231F7" w:rsidRPr="001C1802">
        <w:rPr>
          <w:rFonts w:ascii="Arial" w:hAnsi="Arial" w:cs="Arial"/>
        </w:rPr>
        <w:t xml:space="preserve"> </w:t>
      </w:r>
      <w:r w:rsidRPr="001C1802">
        <w:rPr>
          <w:rFonts w:ascii="Arial" w:hAnsi="Arial" w:cs="Arial"/>
        </w:rPr>
        <w:t>(3) SA 526 (SCA).</w:t>
      </w:r>
    </w:p>
  </w:footnote>
  <w:footnote w:id="14">
    <w:p w:rsidR="00A932C8" w:rsidRPr="001C1802" w:rsidRDefault="00A932C8" w:rsidP="00A64F96">
      <w:pPr>
        <w:pStyle w:val="FootnoteText"/>
        <w:jc w:val="both"/>
        <w:rPr>
          <w:rFonts w:ascii="Arial" w:hAnsi="Arial" w:cs="Arial"/>
        </w:rPr>
      </w:pPr>
      <w:r w:rsidRPr="001C1802">
        <w:rPr>
          <w:rStyle w:val="FootnoteReference"/>
          <w:rFonts w:ascii="Arial" w:hAnsi="Arial" w:cs="Arial"/>
        </w:rPr>
        <w:footnoteRef/>
      </w:r>
      <w:r w:rsidRPr="001C1802">
        <w:rPr>
          <w:rFonts w:ascii="Arial" w:hAnsi="Arial" w:cs="Arial"/>
        </w:rPr>
        <w:t xml:space="preserve"> At para 24.</w:t>
      </w:r>
    </w:p>
  </w:footnote>
  <w:footnote w:id="15">
    <w:p w:rsidR="00A932C8" w:rsidRPr="001C1802" w:rsidRDefault="00A932C8" w:rsidP="00A64F96">
      <w:pPr>
        <w:pStyle w:val="FootnoteText"/>
        <w:jc w:val="both"/>
        <w:rPr>
          <w:rFonts w:ascii="Arial" w:hAnsi="Arial" w:cs="Arial"/>
        </w:rPr>
      </w:pPr>
      <w:r w:rsidRPr="001C1802">
        <w:rPr>
          <w:rStyle w:val="FootnoteReference"/>
          <w:rFonts w:ascii="Arial" w:hAnsi="Arial" w:cs="Arial"/>
        </w:rPr>
        <w:footnoteRef/>
      </w:r>
      <w:r w:rsidRPr="001C1802">
        <w:rPr>
          <w:rFonts w:ascii="Arial" w:hAnsi="Arial" w:cs="Arial"/>
        </w:rPr>
        <w:t xml:space="preserve"> Act 18 of 1973.</w:t>
      </w:r>
    </w:p>
  </w:footnote>
  <w:footnote w:id="16">
    <w:p w:rsidR="00A932C8" w:rsidRPr="001C1802" w:rsidRDefault="00A932C8" w:rsidP="00A64F96">
      <w:pPr>
        <w:pStyle w:val="FootnoteText"/>
        <w:jc w:val="both"/>
        <w:rPr>
          <w:rFonts w:ascii="Arial" w:hAnsi="Arial" w:cs="Arial"/>
        </w:rPr>
      </w:pPr>
      <w:r w:rsidRPr="001C1802">
        <w:rPr>
          <w:rStyle w:val="FootnoteReference"/>
          <w:rFonts w:ascii="Arial" w:hAnsi="Arial" w:cs="Arial"/>
        </w:rPr>
        <w:footnoteRef/>
      </w:r>
      <w:r w:rsidRPr="001C1802">
        <w:rPr>
          <w:rFonts w:ascii="Arial" w:hAnsi="Arial" w:cs="Arial"/>
        </w:rPr>
        <w:t xml:space="preserve"> At para 7 – 8.</w:t>
      </w:r>
    </w:p>
  </w:footnote>
  <w:footnote w:id="17">
    <w:p w:rsidR="00A932C8" w:rsidRPr="001C1802" w:rsidRDefault="00A932C8" w:rsidP="00A64F96">
      <w:pPr>
        <w:pStyle w:val="FootnoteText"/>
        <w:jc w:val="both"/>
        <w:rPr>
          <w:rFonts w:ascii="Arial" w:hAnsi="Arial" w:cs="Arial"/>
        </w:rPr>
      </w:pPr>
      <w:r w:rsidRPr="001C1802">
        <w:rPr>
          <w:rStyle w:val="FootnoteReference"/>
          <w:rFonts w:ascii="Arial" w:hAnsi="Arial" w:cs="Arial"/>
        </w:rPr>
        <w:footnoteRef/>
      </w:r>
      <w:r w:rsidRPr="001C1802">
        <w:rPr>
          <w:rFonts w:ascii="Arial" w:hAnsi="Arial" w:cs="Arial"/>
        </w:rPr>
        <w:t xml:space="preserve"> Paras 9 and 10.</w:t>
      </w:r>
    </w:p>
  </w:footnote>
  <w:footnote w:id="18">
    <w:p w:rsidR="00A932C8" w:rsidRPr="001C1802" w:rsidRDefault="00A932C8" w:rsidP="00A64F96">
      <w:pPr>
        <w:pStyle w:val="FootnoteText"/>
        <w:jc w:val="both"/>
        <w:rPr>
          <w:rFonts w:ascii="Arial" w:hAnsi="Arial" w:cs="Arial"/>
        </w:rPr>
      </w:pPr>
      <w:r w:rsidRPr="001C1802">
        <w:rPr>
          <w:rStyle w:val="FootnoteReference"/>
          <w:rFonts w:ascii="Arial" w:hAnsi="Arial" w:cs="Arial"/>
        </w:rPr>
        <w:footnoteRef/>
      </w:r>
      <w:r w:rsidRPr="001C1802">
        <w:rPr>
          <w:rFonts w:ascii="Arial" w:hAnsi="Arial" w:cs="Arial"/>
        </w:rPr>
        <w:t xml:space="preserve"> Para 12.</w:t>
      </w:r>
    </w:p>
  </w:footnote>
  <w:footnote w:id="19">
    <w:p w:rsidR="004A64D1" w:rsidRPr="001C1802" w:rsidRDefault="004A64D1">
      <w:pPr>
        <w:pStyle w:val="FootnoteText"/>
        <w:rPr>
          <w:rFonts w:ascii="Arial" w:hAnsi="Arial" w:cs="Arial"/>
        </w:rPr>
      </w:pPr>
      <w:r w:rsidRPr="001C1802">
        <w:rPr>
          <w:rStyle w:val="FootnoteReference"/>
          <w:rFonts w:ascii="Arial" w:hAnsi="Arial" w:cs="Arial"/>
        </w:rPr>
        <w:footnoteRef/>
      </w:r>
      <w:r w:rsidRPr="001C1802">
        <w:rPr>
          <w:rFonts w:ascii="Arial" w:hAnsi="Arial" w:cs="Arial"/>
        </w:rPr>
        <w:t xml:space="preserve"> </w:t>
      </w:r>
      <w:r w:rsidRPr="001C1802">
        <w:rPr>
          <w:rFonts w:ascii="Arial" w:hAnsi="Arial" w:cs="Arial"/>
          <w:i/>
        </w:rPr>
        <w:t>Allpay Consolidated Investment Holdings (Pty) Ltd and Others v Chief Executive Officer, SA Social Security Agency and Others</w:t>
      </w:r>
      <w:r w:rsidRPr="001C1802">
        <w:rPr>
          <w:rFonts w:ascii="Arial" w:hAnsi="Arial" w:cs="Arial"/>
        </w:rPr>
        <w:t xml:space="preserve"> 2014</w:t>
      </w:r>
      <w:r w:rsidR="0023748C" w:rsidRPr="001C1802">
        <w:rPr>
          <w:rFonts w:ascii="Arial" w:hAnsi="Arial" w:cs="Arial"/>
        </w:rPr>
        <w:t xml:space="preserve"> </w:t>
      </w:r>
      <w:r w:rsidRPr="001C1802">
        <w:rPr>
          <w:rFonts w:ascii="Arial" w:hAnsi="Arial" w:cs="Arial"/>
        </w:rPr>
        <w:t>(1) SA 604 (CC) at para 30.</w:t>
      </w:r>
    </w:p>
  </w:footnote>
  <w:footnote w:id="20">
    <w:p w:rsidR="00A932C8" w:rsidRPr="001C1802" w:rsidRDefault="00A932C8" w:rsidP="00A64F96">
      <w:pPr>
        <w:pStyle w:val="FootnoteText"/>
        <w:jc w:val="both"/>
        <w:rPr>
          <w:rFonts w:ascii="Arial" w:hAnsi="Arial" w:cs="Arial"/>
        </w:rPr>
      </w:pPr>
      <w:r w:rsidRPr="001C1802">
        <w:rPr>
          <w:rStyle w:val="FootnoteReference"/>
          <w:rFonts w:ascii="Arial" w:hAnsi="Arial" w:cs="Arial"/>
        </w:rPr>
        <w:footnoteRef/>
      </w:r>
      <w:r w:rsidRPr="001C1802">
        <w:rPr>
          <w:rFonts w:ascii="Arial" w:hAnsi="Arial" w:cs="Arial"/>
        </w:rPr>
        <w:t xml:space="preserve"> 2017</w:t>
      </w:r>
      <w:r w:rsidR="0023748C" w:rsidRPr="001C1802">
        <w:rPr>
          <w:rFonts w:ascii="Arial" w:hAnsi="Arial" w:cs="Arial"/>
        </w:rPr>
        <w:t xml:space="preserve"> </w:t>
      </w:r>
      <w:r w:rsidRPr="001C1802">
        <w:rPr>
          <w:rFonts w:ascii="Arial" w:hAnsi="Arial" w:cs="Arial"/>
        </w:rPr>
        <w:t>(2) NR 233 (SC).</w:t>
      </w:r>
    </w:p>
  </w:footnote>
  <w:footnote w:id="21">
    <w:p w:rsidR="00A932C8" w:rsidRPr="001C1802" w:rsidRDefault="00A932C8" w:rsidP="00A64F96">
      <w:pPr>
        <w:pStyle w:val="FootnoteText"/>
        <w:jc w:val="both"/>
        <w:rPr>
          <w:rFonts w:ascii="Arial" w:hAnsi="Arial" w:cs="Arial"/>
        </w:rPr>
      </w:pPr>
      <w:r w:rsidRPr="001C1802">
        <w:rPr>
          <w:rStyle w:val="FootnoteReference"/>
          <w:rFonts w:ascii="Arial" w:hAnsi="Arial" w:cs="Arial"/>
        </w:rPr>
        <w:footnoteRef/>
      </w:r>
      <w:r w:rsidRPr="001C1802">
        <w:rPr>
          <w:rFonts w:ascii="Arial" w:hAnsi="Arial" w:cs="Arial"/>
        </w:rPr>
        <w:t xml:space="preserve"> </w:t>
      </w:r>
      <w:r w:rsidRPr="001C1802">
        <w:rPr>
          <w:rFonts w:ascii="Arial" w:hAnsi="Arial" w:cs="Arial"/>
          <w:i/>
        </w:rPr>
        <w:t>George Simataa v The Public Service Commission &amp; anothe</w:t>
      </w:r>
      <w:r w:rsidRPr="001C1802">
        <w:rPr>
          <w:rFonts w:ascii="Arial" w:hAnsi="Arial" w:cs="Arial"/>
        </w:rPr>
        <w:t xml:space="preserve">r (2013) NAHCMD 306 High Court judgment delivered on 30 October 2013; </w:t>
      </w:r>
      <w:r w:rsidRPr="001C1802">
        <w:rPr>
          <w:rFonts w:ascii="Arial" w:hAnsi="Arial" w:cs="Arial"/>
          <w:i/>
        </w:rPr>
        <w:t>Rally for Democracy</w:t>
      </w:r>
      <w:r w:rsidRPr="001C1802">
        <w:rPr>
          <w:rFonts w:ascii="Arial" w:hAnsi="Arial" w:cs="Arial"/>
        </w:rPr>
        <w:t xml:space="preserve"> (</w:t>
      </w:r>
      <w:r w:rsidRPr="001C1802">
        <w:rPr>
          <w:rFonts w:ascii="Arial" w:hAnsi="Arial" w:cs="Arial"/>
          <w:i/>
        </w:rPr>
        <w:t>supra</w:t>
      </w:r>
      <w:r w:rsidRPr="001C1802">
        <w:rPr>
          <w:rFonts w:ascii="Arial" w:hAnsi="Arial" w:cs="Arial"/>
        </w:rPr>
        <w:t>).</w:t>
      </w:r>
    </w:p>
  </w:footnote>
  <w:footnote w:id="22">
    <w:p w:rsidR="00A932C8" w:rsidRPr="001C1802" w:rsidRDefault="00A932C8" w:rsidP="00A64F96">
      <w:pPr>
        <w:pStyle w:val="FootnoteText"/>
        <w:jc w:val="both"/>
        <w:rPr>
          <w:rFonts w:ascii="Arial" w:hAnsi="Arial" w:cs="Arial"/>
        </w:rPr>
      </w:pPr>
      <w:r w:rsidRPr="001C1802">
        <w:rPr>
          <w:rStyle w:val="FootnoteReference"/>
          <w:rFonts w:ascii="Arial" w:hAnsi="Arial" w:cs="Arial"/>
        </w:rPr>
        <w:footnoteRef/>
      </w:r>
      <w:r w:rsidRPr="001C1802">
        <w:rPr>
          <w:rFonts w:ascii="Arial" w:hAnsi="Arial" w:cs="Arial"/>
        </w:rPr>
        <w:t xml:space="preserve"> </w:t>
      </w:r>
      <w:r w:rsidRPr="001C1802">
        <w:rPr>
          <w:rFonts w:ascii="Arial" w:hAnsi="Arial" w:cs="Arial"/>
          <w:i/>
        </w:rPr>
        <w:t>DTA of Namibia (supra); Rally for Democracy (supra).</w:t>
      </w:r>
    </w:p>
  </w:footnote>
  <w:footnote w:id="23">
    <w:p w:rsidR="00A932C8" w:rsidRPr="001C1802" w:rsidRDefault="00A932C8" w:rsidP="00A64F96">
      <w:pPr>
        <w:pStyle w:val="FootnoteText"/>
        <w:jc w:val="both"/>
        <w:rPr>
          <w:rFonts w:ascii="Arial" w:hAnsi="Arial" w:cs="Arial"/>
        </w:rPr>
      </w:pPr>
      <w:r w:rsidRPr="001C1802">
        <w:rPr>
          <w:rStyle w:val="FootnoteReference"/>
          <w:rFonts w:ascii="Arial" w:hAnsi="Arial" w:cs="Arial"/>
        </w:rPr>
        <w:footnoteRef/>
      </w:r>
      <w:r w:rsidRPr="001C1802">
        <w:rPr>
          <w:rFonts w:ascii="Arial" w:hAnsi="Arial" w:cs="Arial"/>
        </w:rPr>
        <w:t xml:space="preserve"> Section 86(18) of the Labour Act, 11 of 2007.</w:t>
      </w:r>
    </w:p>
  </w:footnote>
  <w:footnote w:id="24">
    <w:p w:rsidR="00A932C8" w:rsidRPr="001C1802" w:rsidRDefault="00A932C8" w:rsidP="00A64F96">
      <w:pPr>
        <w:pStyle w:val="FootnoteText"/>
        <w:jc w:val="both"/>
        <w:rPr>
          <w:rFonts w:ascii="Arial" w:hAnsi="Arial" w:cs="Arial"/>
        </w:rPr>
      </w:pPr>
      <w:r w:rsidRPr="001C1802">
        <w:rPr>
          <w:rStyle w:val="FootnoteReference"/>
          <w:rFonts w:ascii="Arial" w:hAnsi="Arial" w:cs="Arial"/>
        </w:rPr>
        <w:footnoteRef/>
      </w:r>
      <w:r w:rsidRPr="001C1802">
        <w:rPr>
          <w:rFonts w:ascii="Arial" w:hAnsi="Arial" w:cs="Arial"/>
        </w:rPr>
        <w:t xml:space="preserve"> At para 55.</w:t>
      </w:r>
    </w:p>
  </w:footnote>
  <w:footnote w:id="25">
    <w:p w:rsidR="004A64D1" w:rsidRPr="001C1802" w:rsidRDefault="004A64D1">
      <w:pPr>
        <w:pStyle w:val="FootnoteText"/>
        <w:rPr>
          <w:rFonts w:ascii="Arial" w:hAnsi="Arial" w:cs="Arial"/>
        </w:rPr>
      </w:pPr>
      <w:r w:rsidRPr="001C1802">
        <w:rPr>
          <w:rStyle w:val="FootnoteReference"/>
          <w:rFonts w:ascii="Arial" w:hAnsi="Arial" w:cs="Arial"/>
        </w:rPr>
        <w:footnoteRef/>
      </w:r>
      <w:r w:rsidRPr="001C1802">
        <w:rPr>
          <w:rFonts w:ascii="Arial" w:hAnsi="Arial" w:cs="Arial"/>
        </w:rPr>
        <w:t xml:space="preserve"> The New Shorter Oxford English Dictionary (Clerendon Press, Oxford, 1993).</w:t>
      </w:r>
    </w:p>
  </w:footnote>
  <w:footnote w:id="26">
    <w:p w:rsidR="00A932C8" w:rsidRPr="001C1802" w:rsidRDefault="00A932C8" w:rsidP="00A64F96">
      <w:pPr>
        <w:pStyle w:val="FootnoteText"/>
        <w:jc w:val="both"/>
        <w:rPr>
          <w:rFonts w:ascii="Arial" w:hAnsi="Arial" w:cs="Arial"/>
        </w:rPr>
      </w:pPr>
      <w:r w:rsidRPr="001C1802">
        <w:rPr>
          <w:rStyle w:val="FootnoteReference"/>
          <w:rFonts w:ascii="Arial" w:hAnsi="Arial" w:cs="Arial"/>
        </w:rPr>
        <w:footnoteRef/>
      </w:r>
      <w:r w:rsidRPr="001C1802">
        <w:rPr>
          <w:rFonts w:ascii="Arial" w:hAnsi="Arial" w:cs="Arial"/>
        </w:rPr>
        <w:t xml:space="preserve"> NW High Court Case No 1667/2012, 23 January 2014.</w:t>
      </w:r>
    </w:p>
  </w:footnote>
  <w:footnote w:id="27">
    <w:p w:rsidR="00A932C8" w:rsidRPr="001C1802" w:rsidRDefault="00A932C8" w:rsidP="00A64F96">
      <w:pPr>
        <w:pStyle w:val="FootnoteText"/>
        <w:jc w:val="both"/>
        <w:rPr>
          <w:rFonts w:ascii="Arial" w:hAnsi="Arial" w:cs="Arial"/>
        </w:rPr>
      </w:pPr>
      <w:r w:rsidRPr="001C1802">
        <w:rPr>
          <w:rStyle w:val="FootnoteReference"/>
          <w:rFonts w:ascii="Arial" w:hAnsi="Arial" w:cs="Arial"/>
        </w:rPr>
        <w:footnoteRef/>
      </w:r>
      <w:r w:rsidRPr="001C1802">
        <w:rPr>
          <w:rFonts w:ascii="Arial" w:hAnsi="Arial" w:cs="Arial"/>
        </w:rPr>
        <w:t xml:space="preserve"> MS Blackman Commentary on the Companies Act Vol 3, 14-18</w:t>
      </w:r>
      <w:r w:rsidR="00607F6F" w:rsidRPr="001C1802">
        <w:rPr>
          <w:rFonts w:ascii="Arial" w:hAnsi="Arial" w:cs="Arial"/>
        </w:rPr>
        <w:t>6</w:t>
      </w:r>
      <w:r w:rsidRPr="001C1802">
        <w:rPr>
          <w:rFonts w:ascii="Arial" w:hAnsi="Arial" w:cs="Arial"/>
        </w:rPr>
        <w:t>-2 (</w:t>
      </w:r>
      <w:r w:rsidR="00607F6F" w:rsidRPr="001C1802">
        <w:rPr>
          <w:rFonts w:ascii="Arial" w:hAnsi="Arial" w:cs="Arial"/>
        </w:rPr>
        <w:t>Updated</w:t>
      </w:r>
      <w:r w:rsidRPr="001C1802">
        <w:rPr>
          <w:rFonts w:ascii="Arial" w:hAnsi="Arial" w:cs="Arial"/>
        </w:rPr>
        <w:t xml:space="preserve"> Service 200</w:t>
      </w:r>
      <w:r w:rsidR="00607F6F" w:rsidRPr="001C1802">
        <w:rPr>
          <w:rFonts w:ascii="Arial" w:hAnsi="Arial" w:cs="Arial"/>
        </w:rPr>
        <w:t>9</w:t>
      </w:r>
      <w:r w:rsidRPr="001C1802">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782206"/>
      <w:docPartObj>
        <w:docPartGallery w:val="Page Numbers (Top of Page)"/>
        <w:docPartUnique/>
      </w:docPartObj>
    </w:sdtPr>
    <w:sdtEndPr>
      <w:rPr>
        <w:rFonts w:ascii="Arial" w:hAnsi="Arial" w:cs="Arial"/>
        <w:noProof/>
        <w:sz w:val="24"/>
        <w:szCs w:val="24"/>
      </w:rPr>
    </w:sdtEndPr>
    <w:sdtContent>
      <w:p w:rsidR="00A932C8" w:rsidRPr="00ED46B6" w:rsidRDefault="00A932C8">
        <w:pPr>
          <w:pStyle w:val="Header"/>
          <w:jc w:val="right"/>
          <w:rPr>
            <w:rFonts w:ascii="Arial" w:hAnsi="Arial" w:cs="Arial"/>
            <w:sz w:val="24"/>
            <w:szCs w:val="24"/>
          </w:rPr>
        </w:pPr>
        <w:r w:rsidRPr="00ED46B6">
          <w:rPr>
            <w:rFonts w:ascii="Arial" w:hAnsi="Arial" w:cs="Arial"/>
            <w:sz w:val="24"/>
            <w:szCs w:val="24"/>
          </w:rPr>
          <w:fldChar w:fldCharType="begin"/>
        </w:r>
        <w:r w:rsidRPr="00ED46B6">
          <w:rPr>
            <w:rFonts w:ascii="Arial" w:hAnsi="Arial" w:cs="Arial"/>
            <w:sz w:val="24"/>
            <w:szCs w:val="24"/>
          </w:rPr>
          <w:instrText xml:space="preserve"> PAGE   \* MERGEFORMAT </w:instrText>
        </w:r>
        <w:r w:rsidRPr="00ED46B6">
          <w:rPr>
            <w:rFonts w:ascii="Arial" w:hAnsi="Arial" w:cs="Arial"/>
            <w:sz w:val="24"/>
            <w:szCs w:val="24"/>
          </w:rPr>
          <w:fldChar w:fldCharType="separate"/>
        </w:r>
        <w:r w:rsidR="0020148E">
          <w:rPr>
            <w:rFonts w:ascii="Arial" w:hAnsi="Arial" w:cs="Arial"/>
            <w:noProof/>
            <w:sz w:val="24"/>
            <w:szCs w:val="24"/>
          </w:rPr>
          <w:t>5</w:t>
        </w:r>
        <w:r w:rsidRPr="00ED46B6">
          <w:rPr>
            <w:rFonts w:ascii="Arial" w:hAnsi="Arial" w:cs="Arial"/>
            <w:noProof/>
            <w:sz w:val="24"/>
            <w:szCs w:val="24"/>
          </w:rPr>
          <w:fldChar w:fldCharType="end"/>
        </w:r>
      </w:p>
    </w:sdtContent>
  </w:sdt>
  <w:p w:rsidR="00A932C8" w:rsidRDefault="00A932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E6816"/>
    <w:multiLevelType w:val="hybridMultilevel"/>
    <w:tmpl w:val="3ECA1742"/>
    <w:lvl w:ilvl="0" w:tplc="BF22F0D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E922944"/>
    <w:multiLevelType w:val="hybridMultilevel"/>
    <w:tmpl w:val="AD7ABE08"/>
    <w:lvl w:ilvl="0" w:tplc="E7E60FE2">
      <w:start w:val="1"/>
      <w:numFmt w:val="lowerRoman"/>
      <w:lvlText w:val="(%1)"/>
      <w:lvlJc w:val="left"/>
      <w:pPr>
        <w:ind w:left="2565" w:hanging="720"/>
      </w:pPr>
      <w:rPr>
        <w:rFonts w:hint="default"/>
      </w:rPr>
    </w:lvl>
    <w:lvl w:ilvl="1" w:tplc="1C090019" w:tentative="1">
      <w:start w:val="1"/>
      <w:numFmt w:val="lowerLetter"/>
      <w:lvlText w:val="%2."/>
      <w:lvlJc w:val="left"/>
      <w:pPr>
        <w:ind w:left="2925" w:hanging="360"/>
      </w:pPr>
    </w:lvl>
    <w:lvl w:ilvl="2" w:tplc="1C09001B" w:tentative="1">
      <w:start w:val="1"/>
      <w:numFmt w:val="lowerRoman"/>
      <w:lvlText w:val="%3."/>
      <w:lvlJc w:val="right"/>
      <w:pPr>
        <w:ind w:left="3645" w:hanging="180"/>
      </w:pPr>
    </w:lvl>
    <w:lvl w:ilvl="3" w:tplc="1C09000F" w:tentative="1">
      <w:start w:val="1"/>
      <w:numFmt w:val="decimal"/>
      <w:lvlText w:val="%4."/>
      <w:lvlJc w:val="left"/>
      <w:pPr>
        <w:ind w:left="4365" w:hanging="360"/>
      </w:pPr>
    </w:lvl>
    <w:lvl w:ilvl="4" w:tplc="1C090019" w:tentative="1">
      <w:start w:val="1"/>
      <w:numFmt w:val="lowerLetter"/>
      <w:lvlText w:val="%5."/>
      <w:lvlJc w:val="left"/>
      <w:pPr>
        <w:ind w:left="5085" w:hanging="360"/>
      </w:pPr>
    </w:lvl>
    <w:lvl w:ilvl="5" w:tplc="1C09001B" w:tentative="1">
      <w:start w:val="1"/>
      <w:numFmt w:val="lowerRoman"/>
      <w:lvlText w:val="%6."/>
      <w:lvlJc w:val="right"/>
      <w:pPr>
        <w:ind w:left="5805" w:hanging="180"/>
      </w:pPr>
    </w:lvl>
    <w:lvl w:ilvl="6" w:tplc="1C09000F" w:tentative="1">
      <w:start w:val="1"/>
      <w:numFmt w:val="decimal"/>
      <w:lvlText w:val="%7."/>
      <w:lvlJc w:val="left"/>
      <w:pPr>
        <w:ind w:left="6525" w:hanging="360"/>
      </w:pPr>
    </w:lvl>
    <w:lvl w:ilvl="7" w:tplc="1C090019" w:tentative="1">
      <w:start w:val="1"/>
      <w:numFmt w:val="lowerLetter"/>
      <w:lvlText w:val="%8."/>
      <w:lvlJc w:val="left"/>
      <w:pPr>
        <w:ind w:left="7245" w:hanging="360"/>
      </w:pPr>
    </w:lvl>
    <w:lvl w:ilvl="8" w:tplc="1C09001B" w:tentative="1">
      <w:start w:val="1"/>
      <w:numFmt w:val="lowerRoman"/>
      <w:lvlText w:val="%9."/>
      <w:lvlJc w:val="right"/>
      <w:pPr>
        <w:ind w:left="7965" w:hanging="180"/>
      </w:pPr>
    </w:lvl>
  </w:abstractNum>
  <w:abstractNum w:abstractNumId="2" w15:restartNumberingAfterBreak="0">
    <w:nsid w:val="161A1254"/>
    <w:multiLevelType w:val="hybridMultilevel"/>
    <w:tmpl w:val="86780F30"/>
    <w:lvl w:ilvl="0" w:tplc="D674D83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1CAF215E"/>
    <w:multiLevelType w:val="hybridMultilevel"/>
    <w:tmpl w:val="7E6ED998"/>
    <w:lvl w:ilvl="0" w:tplc="BA54A03A">
      <w:start w:val="1"/>
      <w:numFmt w:val="lowerLetter"/>
      <w:lvlText w:val="(%1)"/>
      <w:lvlJc w:val="left"/>
      <w:pPr>
        <w:ind w:left="1845" w:hanging="405"/>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15:restartNumberingAfterBreak="0">
    <w:nsid w:val="22B955BA"/>
    <w:multiLevelType w:val="hybridMultilevel"/>
    <w:tmpl w:val="F50C60B8"/>
    <w:lvl w:ilvl="0" w:tplc="B32E96EA">
      <w:start w:val="9"/>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24503766"/>
    <w:multiLevelType w:val="hybridMultilevel"/>
    <w:tmpl w:val="E73C8B68"/>
    <w:lvl w:ilvl="0" w:tplc="B9BE3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B47773"/>
    <w:multiLevelType w:val="hybridMultilevel"/>
    <w:tmpl w:val="32CAC00A"/>
    <w:lvl w:ilvl="0" w:tplc="CF94D642">
      <w:start w:val="1"/>
      <w:numFmt w:val="lowerLetter"/>
      <w:lvlText w:val="(%1)"/>
      <w:lvlJc w:val="left"/>
      <w:pPr>
        <w:ind w:left="1800" w:hanging="360"/>
      </w:pPr>
      <w:rPr>
        <w:rFonts w:asciiTheme="minorHAnsi" w:hAnsiTheme="minorHAnsi" w:cstheme="minorBidi" w:hint="default"/>
        <w:sz w:val="22"/>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15:restartNumberingAfterBreak="0">
    <w:nsid w:val="32036104"/>
    <w:multiLevelType w:val="hybridMultilevel"/>
    <w:tmpl w:val="0B7255D0"/>
    <w:lvl w:ilvl="0" w:tplc="9EE429CE">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15:restartNumberingAfterBreak="0">
    <w:nsid w:val="336E440D"/>
    <w:multiLevelType w:val="hybridMultilevel"/>
    <w:tmpl w:val="5A583AAA"/>
    <w:lvl w:ilvl="0" w:tplc="679E9010">
      <w:start w:val="1"/>
      <w:numFmt w:val="lowerLetter"/>
      <w:lvlText w:val="(%1)"/>
      <w:lvlJc w:val="left"/>
      <w:pPr>
        <w:ind w:left="1800" w:hanging="360"/>
      </w:pPr>
      <w:rPr>
        <w:rFonts w:asciiTheme="minorHAnsi" w:hAnsiTheme="minorHAnsi" w:cstheme="minorBidi" w:hint="default"/>
        <w:sz w:val="22"/>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9" w15:restartNumberingAfterBreak="0">
    <w:nsid w:val="3EE3447A"/>
    <w:multiLevelType w:val="hybridMultilevel"/>
    <w:tmpl w:val="13F0622A"/>
    <w:lvl w:ilvl="0" w:tplc="22546C10">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0" w15:restartNumberingAfterBreak="0">
    <w:nsid w:val="445B134E"/>
    <w:multiLevelType w:val="hybridMultilevel"/>
    <w:tmpl w:val="F2043A2C"/>
    <w:lvl w:ilvl="0" w:tplc="710C72B6">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8727573"/>
    <w:multiLevelType w:val="hybridMultilevel"/>
    <w:tmpl w:val="101C6218"/>
    <w:lvl w:ilvl="0" w:tplc="F1586070">
      <w:start w:val="1"/>
      <w:numFmt w:val="lowerRoman"/>
      <w:lvlText w:val="(%1)"/>
      <w:lvlJc w:val="left"/>
      <w:pPr>
        <w:ind w:left="2520" w:hanging="720"/>
      </w:pPr>
      <w:rPr>
        <w:rFonts w:asciiTheme="minorHAnsi" w:hAnsiTheme="minorHAnsi" w:cstheme="minorBidi" w:hint="default"/>
        <w:sz w:val="22"/>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2" w15:restartNumberingAfterBreak="0">
    <w:nsid w:val="4A6F4723"/>
    <w:multiLevelType w:val="hybridMultilevel"/>
    <w:tmpl w:val="E8EA0698"/>
    <w:lvl w:ilvl="0" w:tplc="E918E7A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4E317C71"/>
    <w:multiLevelType w:val="hybridMultilevel"/>
    <w:tmpl w:val="C70251C4"/>
    <w:lvl w:ilvl="0" w:tplc="255CA2E6">
      <w:start w:val="40"/>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51AB5722"/>
    <w:multiLevelType w:val="hybridMultilevel"/>
    <w:tmpl w:val="5AB06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31444C"/>
    <w:multiLevelType w:val="multilevel"/>
    <w:tmpl w:val="9AECF188"/>
    <w:lvl w:ilvl="0">
      <w:start w:val="1"/>
      <w:numFmt w:val="decimal"/>
      <w:lvlText w:val="%1."/>
      <w:lvlJc w:val="left"/>
      <w:pPr>
        <w:ind w:left="1080" w:hanging="360"/>
      </w:pPr>
      <w:rPr>
        <w:rFonts w:hint="default"/>
      </w:rPr>
    </w:lvl>
    <w:lvl w:ilvl="1">
      <w:start w:val="1"/>
      <w:numFmt w:val="decimal"/>
      <w:isLgl/>
      <w:lvlText w:val="%1.%2"/>
      <w:lvlJc w:val="left"/>
      <w:pPr>
        <w:ind w:left="1689" w:hanging="555"/>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3042" w:hanging="108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4230" w:hanging="144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418" w:hanging="1800"/>
      </w:pPr>
      <w:rPr>
        <w:rFonts w:hint="default"/>
      </w:rPr>
    </w:lvl>
    <w:lvl w:ilvl="8">
      <w:start w:val="1"/>
      <w:numFmt w:val="decimal"/>
      <w:isLgl/>
      <w:lvlText w:val="%1.%2.%3.%4.%5.%6.%7.%8.%9"/>
      <w:lvlJc w:val="left"/>
      <w:pPr>
        <w:ind w:left="5832" w:hanging="1800"/>
      </w:pPr>
      <w:rPr>
        <w:rFonts w:hint="default"/>
      </w:rPr>
    </w:lvl>
  </w:abstractNum>
  <w:abstractNum w:abstractNumId="16" w15:restartNumberingAfterBreak="0">
    <w:nsid w:val="5C2963F0"/>
    <w:multiLevelType w:val="hybridMultilevel"/>
    <w:tmpl w:val="7AF0D6B0"/>
    <w:lvl w:ilvl="0" w:tplc="EC529DC0">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7" w15:restartNumberingAfterBreak="0">
    <w:nsid w:val="5EE1332F"/>
    <w:multiLevelType w:val="hybridMultilevel"/>
    <w:tmpl w:val="5E44D3A0"/>
    <w:lvl w:ilvl="0" w:tplc="BF22F0D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F0A4C0F"/>
    <w:multiLevelType w:val="hybridMultilevel"/>
    <w:tmpl w:val="B810B52C"/>
    <w:lvl w:ilvl="0" w:tplc="CDD87D3A">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69DC7DC3"/>
    <w:multiLevelType w:val="hybridMultilevel"/>
    <w:tmpl w:val="C344B2B6"/>
    <w:lvl w:ilvl="0" w:tplc="5470C9C2">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0" w15:restartNumberingAfterBreak="0">
    <w:nsid w:val="6CA70BCD"/>
    <w:multiLevelType w:val="hybridMultilevel"/>
    <w:tmpl w:val="6DD2998E"/>
    <w:lvl w:ilvl="0" w:tplc="7B1A0D0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6FA55DD9"/>
    <w:multiLevelType w:val="hybridMultilevel"/>
    <w:tmpl w:val="0F163FE8"/>
    <w:lvl w:ilvl="0" w:tplc="1A3818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14"/>
  </w:num>
  <w:num w:numId="3">
    <w:abstractNumId w:val="21"/>
  </w:num>
  <w:num w:numId="4">
    <w:abstractNumId w:val="10"/>
  </w:num>
  <w:num w:numId="5">
    <w:abstractNumId w:val="15"/>
  </w:num>
  <w:num w:numId="6">
    <w:abstractNumId w:val="0"/>
  </w:num>
  <w:num w:numId="7">
    <w:abstractNumId w:val="18"/>
  </w:num>
  <w:num w:numId="8">
    <w:abstractNumId w:val="4"/>
  </w:num>
  <w:num w:numId="9">
    <w:abstractNumId w:val="19"/>
  </w:num>
  <w:num w:numId="10">
    <w:abstractNumId w:val="9"/>
  </w:num>
  <w:num w:numId="11">
    <w:abstractNumId w:val="3"/>
  </w:num>
  <w:num w:numId="12">
    <w:abstractNumId w:val="1"/>
  </w:num>
  <w:num w:numId="13">
    <w:abstractNumId w:val="6"/>
  </w:num>
  <w:num w:numId="14">
    <w:abstractNumId w:val="11"/>
  </w:num>
  <w:num w:numId="15">
    <w:abstractNumId w:val="8"/>
  </w:num>
  <w:num w:numId="16">
    <w:abstractNumId w:val="7"/>
  </w:num>
  <w:num w:numId="17">
    <w:abstractNumId w:val="16"/>
  </w:num>
  <w:num w:numId="18">
    <w:abstractNumId w:val="20"/>
  </w:num>
  <w:num w:numId="19">
    <w:abstractNumId w:val="12"/>
  </w:num>
  <w:num w:numId="20">
    <w:abstractNumId w:val="17"/>
  </w:num>
  <w:num w:numId="21">
    <w:abstractNumId w:val="1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190"/>
    <w:rsid w:val="0000045D"/>
    <w:rsid w:val="00000E0B"/>
    <w:rsid w:val="0000225F"/>
    <w:rsid w:val="00011EB9"/>
    <w:rsid w:val="00012D59"/>
    <w:rsid w:val="00020736"/>
    <w:rsid w:val="00021ECC"/>
    <w:rsid w:val="00022452"/>
    <w:rsid w:val="00022644"/>
    <w:rsid w:val="000231F7"/>
    <w:rsid w:val="00026DD5"/>
    <w:rsid w:val="0002744F"/>
    <w:rsid w:val="000276F0"/>
    <w:rsid w:val="00031EBA"/>
    <w:rsid w:val="00033256"/>
    <w:rsid w:val="000400C4"/>
    <w:rsid w:val="00042A20"/>
    <w:rsid w:val="00052B8A"/>
    <w:rsid w:val="00055805"/>
    <w:rsid w:val="00057B7B"/>
    <w:rsid w:val="000610A3"/>
    <w:rsid w:val="000626CC"/>
    <w:rsid w:val="000643B5"/>
    <w:rsid w:val="00065459"/>
    <w:rsid w:val="00066723"/>
    <w:rsid w:val="00073046"/>
    <w:rsid w:val="00076790"/>
    <w:rsid w:val="00076931"/>
    <w:rsid w:val="00076F53"/>
    <w:rsid w:val="00077B52"/>
    <w:rsid w:val="0008009C"/>
    <w:rsid w:val="000840CA"/>
    <w:rsid w:val="00084121"/>
    <w:rsid w:val="00090B47"/>
    <w:rsid w:val="00092565"/>
    <w:rsid w:val="00092D5D"/>
    <w:rsid w:val="00094C79"/>
    <w:rsid w:val="000A2F02"/>
    <w:rsid w:val="000A3C68"/>
    <w:rsid w:val="000A3CA0"/>
    <w:rsid w:val="000A3F6B"/>
    <w:rsid w:val="000A4DEC"/>
    <w:rsid w:val="000B06C9"/>
    <w:rsid w:val="000B0A11"/>
    <w:rsid w:val="000C2A58"/>
    <w:rsid w:val="000C2D19"/>
    <w:rsid w:val="000D1ADC"/>
    <w:rsid w:val="000D2762"/>
    <w:rsid w:val="000E008B"/>
    <w:rsid w:val="000E0BFC"/>
    <w:rsid w:val="000E3DF0"/>
    <w:rsid w:val="000E6B27"/>
    <w:rsid w:val="000F1A59"/>
    <w:rsid w:val="000F4BBD"/>
    <w:rsid w:val="000F61A4"/>
    <w:rsid w:val="000F7D77"/>
    <w:rsid w:val="00101FDB"/>
    <w:rsid w:val="0010254D"/>
    <w:rsid w:val="00107552"/>
    <w:rsid w:val="00111339"/>
    <w:rsid w:val="00112DA2"/>
    <w:rsid w:val="00114682"/>
    <w:rsid w:val="00121972"/>
    <w:rsid w:val="001227DB"/>
    <w:rsid w:val="0012439B"/>
    <w:rsid w:val="00126E64"/>
    <w:rsid w:val="00132216"/>
    <w:rsid w:val="001327CE"/>
    <w:rsid w:val="0013608D"/>
    <w:rsid w:val="00140678"/>
    <w:rsid w:val="00140A9D"/>
    <w:rsid w:val="00141FF6"/>
    <w:rsid w:val="001423E7"/>
    <w:rsid w:val="0014303A"/>
    <w:rsid w:val="00151FFA"/>
    <w:rsid w:val="001578CD"/>
    <w:rsid w:val="0017081A"/>
    <w:rsid w:val="00180CE0"/>
    <w:rsid w:val="001838C9"/>
    <w:rsid w:val="00185996"/>
    <w:rsid w:val="00190F70"/>
    <w:rsid w:val="00193825"/>
    <w:rsid w:val="00194D51"/>
    <w:rsid w:val="001957EE"/>
    <w:rsid w:val="00195AE1"/>
    <w:rsid w:val="001A0E25"/>
    <w:rsid w:val="001A2B18"/>
    <w:rsid w:val="001A4A99"/>
    <w:rsid w:val="001A666A"/>
    <w:rsid w:val="001A6B0E"/>
    <w:rsid w:val="001A7909"/>
    <w:rsid w:val="001C1802"/>
    <w:rsid w:val="001C25CA"/>
    <w:rsid w:val="001C353F"/>
    <w:rsid w:val="001C558D"/>
    <w:rsid w:val="001C7DF6"/>
    <w:rsid w:val="001D08D7"/>
    <w:rsid w:val="001D4856"/>
    <w:rsid w:val="001D4EB4"/>
    <w:rsid w:val="001D58BA"/>
    <w:rsid w:val="001D608A"/>
    <w:rsid w:val="001E299E"/>
    <w:rsid w:val="001E3888"/>
    <w:rsid w:val="001E44D9"/>
    <w:rsid w:val="001E4C77"/>
    <w:rsid w:val="001F4CB8"/>
    <w:rsid w:val="001F7942"/>
    <w:rsid w:val="0020148E"/>
    <w:rsid w:val="0020312C"/>
    <w:rsid w:val="00207960"/>
    <w:rsid w:val="00207D05"/>
    <w:rsid w:val="00215D8F"/>
    <w:rsid w:val="002212AD"/>
    <w:rsid w:val="00224757"/>
    <w:rsid w:val="002317A5"/>
    <w:rsid w:val="002337F7"/>
    <w:rsid w:val="00235E57"/>
    <w:rsid w:val="0023748C"/>
    <w:rsid w:val="002441F9"/>
    <w:rsid w:val="002447B6"/>
    <w:rsid w:val="002457A4"/>
    <w:rsid w:val="00251412"/>
    <w:rsid w:val="00262874"/>
    <w:rsid w:val="00263481"/>
    <w:rsid w:val="002658ED"/>
    <w:rsid w:val="002662E3"/>
    <w:rsid w:val="00266E2B"/>
    <w:rsid w:val="00273EE9"/>
    <w:rsid w:val="00274F4E"/>
    <w:rsid w:val="002855CF"/>
    <w:rsid w:val="00286029"/>
    <w:rsid w:val="00286F17"/>
    <w:rsid w:val="002A2B5C"/>
    <w:rsid w:val="002A4C01"/>
    <w:rsid w:val="002B0CAC"/>
    <w:rsid w:val="002B1CE3"/>
    <w:rsid w:val="002C0FC3"/>
    <w:rsid w:val="002C568C"/>
    <w:rsid w:val="002D1B71"/>
    <w:rsid w:val="002D1E38"/>
    <w:rsid w:val="002D1F1E"/>
    <w:rsid w:val="002E426A"/>
    <w:rsid w:val="002E4E6A"/>
    <w:rsid w:val="002E708E"/>
    <w:rsid w:val="003039EF"/>
    <w:rsid w:val="00305FE9"/>
    <w:rsid w:val="00306CA5"/>
    <w:rsid w:val="0030702B"/>
    <w:rsid w:val="0030737F"/>
    <w:rsid w:val="0030775E"/>
    <w:rsid w:val="00310940"/>
    <w:rsid w:val="00317522"/>
    <w:rsid w:val="003212CE"/>
    <w:rsid w:val="0032148F"/>
    <w:rsid w:val="00321ED1"/>
    <w:rsid w:val="0032319A"/>
    <w:rsid w:val="00324725"/>
    <w:rsid w:val="0032579A"/>
    <w:rsid w:val="00333E58"/>
    <w:rsid w:val="0033772A"/>
    <w:rsid w:val="00337BE9"/>
    <w:rsid w:val="00346C25"/>
    <w:rsid w:val="00352985"/>
    <w:rsid w:val="003551AC"/>
    <w:rsid w:val="00357C85"/>
    <w:rsid w:val="00362560"/>
    <w:rsid w:val="00363974"/>
    <w:rsid w:val="00364B6B"/>
    <w:rsid w:val="00370025"/>
    <w:rsid w:val="003745AA"/>
    <w:rsid w:val="003801E5"/>
    <w:rsid w:val="00381349"/>
    <w:rsid w:val="003863FC"/>
    <w:rsid w:val="00395B99"/>
    <w:rsid w:val="003A1DAC"/>
    <w:rsid w:val="003A2101"/>
    <w:rsid w:val="003A31DE"/>
    <w:rsid w:val="003A78BA"/>
    <w:rsid w:val="003B0665"/>
    <w:rsid w:val="003B72EC"/>
    <w:rsid w:val="003B7CB7"/>
    <w:rsid w:val="003C231E"/>
    <w:rsid w:val="003C4C67"/>
    <w:rsid w:val="003D4A07"/>
    <w:rsid w:val="003D6A9C"/>
    <w:rsid w:val="003D7216"/>
    <w:rsid w:val="003E1056"/>
    <w:rsid w:val="003E289D"/>
    <w:rsid w:val="003E34C8"/>
    <w:rsid w:val="003E77F5"/>
    <w:rsid w:val="003E7F28"/>
    <w:rsid w:val="003F3800"/>
    <w:rsid w:val="003F5965"/>
    <w:rsid w:val="004023CC"/>
    <w:rsid w:val="00406D6A"/>
    <w:rsid w:val="004107D3"/>
    <w:rsid w:val="00413FB2"/>
    <w:rsid w:val="00414C3B"/>
    <w:rsid w:val="004154C8"/>
    <w:rsid w:val="0041592B"/>
    <w:rsid w:val="00417BF1"/>
    <w:rsid w:val="004211CC"/>
    <w:rsid w:val="004215C2"/>
    <w:rsid w:val="00427400"/>
    <w:rsid w:val="00431601"/>
    <w:rsid w:val="00432E79"/>
    <w:rsid w:val="00436AEB"/>
    <w:rsid w:val="00450915"/>
    <w:rsid w:val="00451609"/>
    <w:rsid w:val="00456D8B"/>
    <w:rsid w:val="00457F24"/>
    <w:rsid w:val="00461B37"/>
    <w:rsid w:val="004738B5"/>
    <w:rsid w:val="00475114"/>
    <w:rsid w:val="004774C0"/>
    <w:rsid w:val="00485805"/>
    <w:rsid w:val="00485BB6"/>
    <w:rsid w:val="00492B12"/>
    <w:rsid w:val="00494F8E"/>
    <w:rsid w:val="00497D6A"/>
    <w:rsid w:val="00497DB0"/>
    <w:rsid w:val="004A5FD0"/>
    <w:rsid w:val="004A60BA"/>
    <w:rsid w:val="004A64D1"/>
    <w:rsid w:val="004B2A80"/>
    <w:rsid w:val="004B4AEE"/>
    <w:rsid w:val="004B584B"/>
    <w:rsid w:val="004B6477"/>
    <w:rsid w:val="004C0E0B"/>
    <w:rsid w:val="004C4D6B"/>
    <w:rsid w:val="004D1969"/>
    <w:rsid w:val="004E0F45"/>
    <w:rsid w:val="004E198A"/>
    <w:rsid w:val="004E2834"/>
    <w:rsid w:val="004E2A24"/>
    <w:rsid w:val="004F0B37"/>
    <w:rsid w:val="004F0C0D"/>
    <w:rsid w:val="004F15DB"/>
    <w:rsid w:val="004F2F0E"/>
    <w:rsid w:val="004F41EF"/>
    <w:rsid w:val="00503269"/>
    <w:rsid w:val="00510B8B"/>
    <w:rsid w:val="00511905"/>
    <w:rsid w:val="00512CAD"/>
    <w:rsid w:val="00513468"/>
    <w:rsid w:val="005157B4"/>
    <w:rsid w:val="005168D5"/>
    <w:rsid w:val="00516EBB"/>
    <w:rsid w:val="005171C3"/>
    <w:rsid w:val="00517EF4"/>
    <w:rsid w:val="00525868"/>
    <w:rsid w:val="0053087E"/>
    <w:rsid w:val="00532C17"/>
    <w:rsid w:val="0055044E"/>
    <w:rsid w:val="00551CFA"/>
    <w:rsid w:val="00552F70"/>
    <w:rsid w:val="00563855"/>
    <w:rsid w:val="005653A5"/>
    <w:rsid w:val="005717E1"/>
    <w:rsid w:val="00571EB3"/>
    <w:rsid w:val="00573289"/>
    <w:rsid w:val="00573E12"/>
    <w:rsid w:val="00576598"/>
    <w:rsid w:val="005821BB"/>
    <w:rsid w:val="00582D9F"/>
    <w:rsid w:val="00584213"/>
    <w:rsid w:val="00584D15"/>
    <w:rsid w:val="00587010"/>
    <w:rsid w:val="0059472F"/>
    <w:rsid w:val="00594EA3"/>
    <w:rsid w:val="005A0E6E"/>
    <w:rsid w:val="005A531E"/>
    <w:rsid w:val="005A73A9"/>
    <w:rsid w:val="005B483F"/>
    <w:rsid w:val="005C0BAB"/>
    <w:rsid w:val="005C38CD"/>
    <w:rsid w:val="005C5B26"/>
    <w:rsid w:val="005D1CBE"/>
    <w:rsid w:val="005D3137"/>
    <w:rsid w:val="005D54CF"/>
    <w:rsid w:val="005D6CA4"/>
    <w:rsid w:val="005D6E01"/>
    <w:rsid w:val="005E22D2"/>
    <w:rsid w:val="005E3190"/>
    <w:rsid w:val="005E4D0E"/>
    <w:rsid w:val="005F2A59"/>
    <w:rsid w:val="005F5C10"/>
    <w:rsid w:val="005F68D7"/>
    <w:rsid w:val="00607F6F"/>
    <w:rsid w:val="006105DE"/>
    <w:rsid w:val="00634C4D"/>
    <w:rsid w:val="00642FBC"/>
    <w:rsid w:val="00643C33"/>
    <w:rsid w:val="00644C54"/>
    <w:rsid w:val="006515A9"/>
    <w:rsid w:val="00653E17"/>
    <w:rsid w:val="00662CAC"/>
    <w:rsid w:val="00662DCC"/>
    <w:rsid w:val="00662F25"/>
    <w:rsid w:val="00670783"/>
    <w:rsid w:val="00673B76"/>
    <w:rsid w:val="00675D54"/>
    <w:rsid w:val="00676179"/>
    <w:rsid w:val="00682C7E"/>
    <w:rsid w:val="00684CD4"/>
    <w:rsid w:val="00692548"/>
    <w:rsid w:val="0069532C"/>
    <w:rsid w:val="006A06DE"/>
    <w:rsid w:val="006A29CE"/>
    <w:rsid w:val="006A368C"/>
    <w:rsid w:val="006A7919"/>
    <w:rsid w:val="006B30C3"/>
    <w:rsid w:val="006B79FA"/>
    <w:rsid w:val="006C367B"/>
    <w:rsid w:val="006C50CB"/>
    <w:rsid w:val="006C7E78"/>
    <w:rsid w:val="006D094B"/>
    <w:rsid w:val="006D7412"/>
    <w:rsid w:val="006E698F"/>
    <w:rsid w:val="006F1A08"/>
    <w:rsid w:val="006F4B7D"/>
    <w:rsid w:val="00703AD3"/>
    <w:rsid w:val="00710062"/>
    <w:rsid w:val="007104EF"/>
    <w:rsid w:val="00711D32"/>
    <w:rsid w:val="00712D3F"/>
    <w:rsid w:val="007217AA"/>
    <w:rsid w:val="00721889"/>
    <w:rsid w:val="00722186"/>
    <w:rsid w:val="007233CE"/>
    <w:rsid w:val="00725ABD"/>
    <w:rsid w:val="00726AAE"/>
    <w:rsid w:val="00730DB7"/>
    <w:rsid w:val="0073324C"/>
    <w:rsid w:val="007402BF"/>
    <w:rsid w:val="00742D5B"/>
    <w:rsid w:val="00744D03"/>
    <w:rsid w:val="00745BF5"/>
    <w:rsid w:val="007531D6"/>
    <w:rsid w:val="007545D2"/>
    <w:rsid w:val="00765464"/>
    <w:rsid w:val="00766963"/>
    <w:rsid w:val="00770A11"/>
    <w:rsid w:val="00770A4B"/>
    <w:rsid w:val="00771623"/>
    <w:rsid w:val="0077206A"/>
    <w:rsid w:val="007807B5"/>
    <w:rsid w:val="007841FA"/>
    <w:rsid w:val="0078589B"/>
    <w:rsid w:val="00786153"/>
    <w:rsid w:val="00786211"/>
    <w:rsid w:val="00787313"/>
    <w:rsid w:val="007973FE"/>
    <w:rsid w:val="007A0174"/>
    <w:rsid w:val="007A1203"/>
    <w:rsid w:val="007A45D9"/>
    <w:rsid w:val="007B02CA"/>
    <w:rsid w:val="007B28AB"/>
    <w:rsid w:val="007B65BB"/>
    <w:rsid w:val="007C732D"/>
    <w:rsid w:val="007D5428"/>
    <w:rsid w:val="007E349A"/>
    <w:rsid w:val="007E4BD8"/>
    <w:rsid w:val="007E5D66"/>
    <w:rsid w:val="007F632F"/>
    <w:rsid w:val="007F6CEC"/>
    <w:rsid w:val="007F7AA0"/>
    <w:rsid w:val="00811FDA"/>
    <w:rsid w:val="008150CF"/>
    <w:rsid w:val="00817BE0"/>
    <w:rsid w:val="0082655F"/>
    <w:rsid w:val="00826CA7"/>
    <w:rsid w:val="008301A4"/>
    <w:rsid w:val="00832B89"/>
    <w:rsid w:val="00844974"/>
    <w:rsid w:val="00852FF1"/>
    <w:rsid w:val="00854DD1"/>
    <w:rsid w:val="00856376"/>
    <w:rsid w:val="0086095A"/>
    <w:rsid w:val="00860CDF"/>
    <w:rsid w:val="00860DA9"/>
    <w:rsid w:val="00864712"/>
    <w:rsid w:val="0086653F"/>
    <w:rsid w:val="008730E4"/>
    <w:rsid w:val="00874C97"/>
    <w:rsid w:val="0088149D"/>
    <w:rsid w:val="00894EF0"/>
    <w:rsid w:val="008A1028"/>
    <w:rsid w:val="008A1B3F"/>
    <w:rsid w:val="008A3ADD"/>
    <w:rsid w:val="008A55C8"/>
    <w:rsid w:val="008A5BE0"/>
    <w:rsid w:val="008A6323"/>
    <w:rsid w:val="008B2795"/>
    <w:rsid w:val="008B65FB"/>
    <w:rsid w:val="008C024E"/>
    <w:rsid w:val="008C1A41"/>
    <w:rsid w:val="008C3367"/>
    <w:rsid w:val="008C3CCB"/>
    <w:rsid w:val="008E6FF0"/>
    <w:rsid w:val="008E7A2B"/>
    <w:rsid w:val="008F0180"/>
    <w:rsid w:val="008F3E78"/>
    <w:rsid w:val="008F45CA"/>
    <w:rsid w:val="009019E9"/>
    <w:rsid w:val="009021BA"/>
    <w:rsid w:val="00906CCA"/>
    <w:rsid w:val="00914143"/>
    <w:rsid w:val="00915E6F"/>
    <w:rsid w:val="0092134E"/>
    <w:rsid w:val="00922881"/>
    <w:rsid w:val="00923375"/>
    <w:rsid w:val="00924775"/>
    <w:rsid w:val="00934B73"/>
    <w:rsid w:val="009435D3"/>
    <w:rsid w:val="00945FA9"/>
    <w:rsid w:val="009509F3"/>
    <w:rsid w:val="009510CB"/>
    <w:rsid w:val="00951A76"/>
    <w:rsid w:val="00953906"/>
    <w:rsid w:val="009602DC"/>
    <w:rsid w:val="00960DA5"/>
    <w:rsid w:val="00963EDF"/>
    <w:rsid w:val="009667A6"/>
    <w:rsid w:val="00971638"/>
    <w:rsid w:val="00975830"/>
    <w:rsid w:val="009845A3"/>
    <w:rsid w:val="00985510"/>
    <w:rsid w:val="00985768"/>
    <w:rsid w:val="00986AA9"/>
    <w:rsid w:val="00990236"/>
    <w:rsid w:val="0099048E"/>
    <w:rsid w:val="00991227"/>
    <w:rsid w:val="00991729"/>
    <w:rsid w:val="00992B07"/>
    <w:rsid w:val="00997979"/>
    <w:rsid w:val="009A41F4"/>
    <w:rsid w:val="009A5DA5"/>
    <w:rsid w:val="009A655A"/>
    <w:rsid w:val="009B3D7F"/>
    <w:rsid w:val="009B6CF2"/>
    <w:rsid w:val="009B712C"/>
    <w:rsid w:val="009C0964"/>
    <w:rsid w:val="009C51C5"/>
    <w:rsid w:val="009C70E6"/>
    <w:rsid w:val="009D0357"/>
    <w:rsid w:val="009D0845"/>
    <w:rsid w:val="009E035A"/>
    <w:rsid w:val="009E7CF0"/>
    <w:rsid w:val="009F02EB"/>
    <w:rsid w:val="009F7D37"/>
    <w:rsid w:val="00A001B5"/>
    <w:rsid w:val="00A066DB"/>
    <w:rsid w:val="00A07047"/>
    <w:rsid w:val="00A106B4"/>
    <w:rsid w:val="00A14789"/>
    <w:rsid w:val="00A20498"/>
    <w:rsid w:val="00A25AFC"/>
    <w:rsid w:val="00A26B21"/>
    <w:rsid w:val="00A44318"/>
    <w:rsid w:val="00A45FF9"/>
    <w:rsid w:val="00A501D5"/>
    <w:rsid w:val="00A528F9"/>
    <w:rsid w:val="00A54F78"/>
    <w:rsid w:val="00A5797F"/>
    <w:rsid w:val="00A63522"/>
    <w:rsid w:val="00A64F96"/>
    <w:rsid w:val="00A6519D"/>
    <w:rsid w:val="00A66719"/>
    <w:rsid w:val="00A8275B"/>
    <w:rsid w:val="00A8322C"/>
    <w:rsid w:val="00A92144"/>
    <w:rsid w:val="00A932C8"/>
    <w:rsid w:val="00A94967"/>
    <w:rsid w:val="00AA341C"/>
    <w:rsid w:val="00AA4F7E"/>
    <w:rsid w:val="00AA7AAB"/>
    <w:rsid w:val="00AA7B0A"/>
    <w:rsid w:val="00AB06FA"/>
    <w:rsid w:val="00AB3F69"/>
    <w:rsid w:val="00AB4D39"/>
    <w:rsid w:val="00AB58A9"/>
    <w:rsid w:val="00AC0134"/>
    <w:rsid w:val="00AD6D9C"/>
    <w:rsid w:val="00AD7F23"/>
    <w:rsid w:val="00AE369C"/>
    <w:rsid w:val="00AE3877"/>
    <w:rsid w:val="00AE4FE7"/>
    <w:rsid w:val="00AE5A44"/>
    <w:rsid w:val="00AE6161"/>
    <w:rsid w:val="00AE78DB"/>
    <w:rsid w:val="00AF2889"/>
    <w:rsid w:val="00AF7B6D"/>
    <w:rsid w:val="00B02B85"/>
    <w:rsid w:val="00B02CAE"/>
    <w:rsid w:val="00B032CF"/>
    <w:rsid w:val="00B040F4"/>
    <w:rsid w:val="00B06B54"/>
    <w:rsid w:val="00B06BAE"/>
    <w:rsid w:val="00B13B3A"/>
    <w:rsid w:val="00B231CE"/>
    <w:rsid w:val="00B23B40"/>
    <w:rsid w:val="00B25242"/>
    <w:rsid w:val="00B26C68"/>
    <w:rsid w:val="00B30010"/>
    <w:rsid w:val="00B30288"/>
    <w:rsid w:val="00B32436"/>
    <w:rsid w:val="00B40CD3"/>
    <w:rsid w:val="00B41390"/>
    <w:rsid w:val="00B44617"/>
    <w:rsid w:val="00B45E78"/>
    <w:rsid w:val="00B45FBC"/>
    <w:rsid w:val="00B5013F"/>
    <w:rsid w:val="00B501DF"/>
    <w:rsid w:val="00B51071"/>
    <w:rsid w:val="00B539E3"/>
    <w:rsid w:val="00B53ED8"/>
    <w:rsid w:val="00B551E3"/>
    <w:rsid w:val="00B55A60"/>
    <w:rsid w:val="00B56B94"/>
    <w:rsid w:val="00B56F30"/>
    <w:rsid w:val="00B57A5E"/>
    <w:rsid w:val="00B62F28"/>
    <w:rsid w:val="00B65AAF"/>
    <w:rsid w:val="00B665DC"/>
    <w:rsid w:val="00B756B8"/>
    <w:rsid w:val="00B76AE2"/>
    <w:rsid w:val="00B85752"/>
    <w:rsid w:val="00B863A6"/>
    <w:rsid w:val="00B94BF9"/>
    <w:rsid w:val="00B95F70"/>
    <w:rsid w:val="00BA09F8"/>
    <w:rsid w:val="00BA4655"/>
    <w:rsid w:val="00BA5821"/>
    <w:rsid w:val="00BA6518"/>
    <w:rsid w:val="00BB108F"/>
    <w:rsid w:val="00BC05AF"/>
    <w:rsid w:val="00BC1430"/>
    <w:rsid w:val="00BC5BFA"/>
    <w:rsid w:val="00BD0CB3"/>
    <w:rsid w:val="00BD1121"/>
    <w:rsid w:val="00BD1685"/>
    <w:rsid w:val="00BD516C"/>
    <w:rsid w:val="00BE0BE7"/>
    <w:rsid w:val="00BE3075"/>
    <w:rsid w:val="00BE3CC2"/>
    <w:rsid w:val="00BF0146"/>
    <w:rsid w:val="00BF17E1"/>
    <w:rsid w:val="00BF3B10"/>
    <w:rsid w:val="00BF42DD"/>
    <w:rsid w:val="00C01777"/>
    <w:rsid w:val="00C03DC2"/>
    <w:rsid w:val="00C141AD"/>
    <w:rsid w:val="00C15776"/>
    <w:rsid w:val="00C17592"/>
    <w:rsid w:val="00C21C41"/>
    <w:rsid w:val="00C25ACC"/>
    <w:rsid w:val="00C27B12"/>
    <w:rsid w:val="00C31EDE"/>
    <w:rsid w:val="00C3277B"/>
    <w:rsid w:val="00C40889"/>
    <w:rsid w:val="00C479DB"/>
    <w:rsid w:val="00C50740"/>
    <w:rsid w:val="00C522BA"/>
    <w:rsid w:val="00C53D6F"/>
    <w:rsid w:val="00C543B6"/>
    <w:rsid w:val="00C54BFE"/>
    <w:rsid w:val="00C55F13"/>
    <w:rsid w:val="00C5715F"/>
    <w:rsid w:val="00C57BF0"/>
    <w:rsid w:val="00C65A0E"/>
    <w:rsid w:val="00C720A8"/>
    <w:rsid w:val="00C726FE"/>
    <w:rsid w:val="00C76FB3"/>
    <w:rsid w:val="00C7748D"/>
    <w:rsid w:val="00C8032B"/>
    <w:rsid w:val="00C82509"/>
    <w:rsid w:val="00C85199"/>
    <w:rsid w:val="00C87343"/>
    <w:rsid w:val="00C92CA9"/>
    <w:rsid w:val="00CA1800"/>
    <w:rsid w:val="00CA3D0A"/>
    <w:rsid w:val="00CB32A7"/>
    <w:rsid w:val="00CB754A"/>
    <w:rsid w:val="00CC108A"/>
    <w:rsid w:val="00CC7A02"/>
    <w:rsid w:val="00CD1D09"/>
    <w:rsid w:val="00CE3A02"/>
    <w:rsid w:val="00CE6404"/>
    <w:rsid w:val="00D019CC"/>
    <w:rsid w:val="00D01CF5"/>
    <w:rsid w:val="00D03039"/>
    <w:rsid w:val="00D05BB6"/>
    <w:rsid w:val="00D06C67"/>
    <w:rsid w:val="00D07A51"/>
    <w:rsid w:val="00D11E3A"/>
    <w:rsid w:val="00D16EC4"/>
    <w:rsid w:val="00D20E1D"/>
    <w:rsid w:val="00D301B6"/>
    <w:rsid w:val="00D3451B"/>
    <w:rsid w:val="00D36DE1"/>
    <w:rsid w:val="00D479D5"/>
    <w:rsid w:val="00D644FB"/>
    <w:rsid w:val="00D65D0E"/>
    <w:rsid w:val="00D76EC6"/>
    <w:rsid w:val="00D8490D"/>
    <w:rsid w:val="00D84BAC"/>
    <w:rsid w:val="00D85432"/>
    <w:rsid w:val="00D864C0"/>
    <w:rsid w:val="00D86876"/>
    <w:rsid w:val="00D87798"/>
    <w:rsid w:val="00D916AA"/>
    <w:rsid w:val="00D94F14"/>
    <w:rsid w:val="00D95C1E"/>
    <w:rsid w:val="00DA7694"/>
    <w:rsid w:val="00DB39B3"/>
    <w:rsid w:val="00DB6B70"/>
    <w:rsid w:val="00DB77E5"/>
    <w:rsid w:val="00DC0068"/>
    <w:rsid w:val="00DC016F"/>
    <w:rsid w:val="00DC594F"/>
    <w:rsid w:val="00DD165B"/>
    <w:rsid w:val="00DD3B6E"/>
    <w:rsid w:val="00DD7541"/>
    <w:rsid w:val="00DD756E"/>
    <w:rsid w:val="00DE039D"/>
    <w:rsid w:val="00DE1A54"/>
    <w:rsid w:val="00DE4719"/>
    <w:rsid w:val="00DF1F9C"/>
    <w:rsid w:val="00DF2594"/>
    <w:rsid w:val="00E02EDF"/>
    <w:rsid w:val="00E059A9"/>
    <w:rsid w:val="00E0755A"/>
    <w:rsid w:val="00E10EEA"/>
    <w:rsid w:val="00E16776"/>
    <w:rsid w:val="00E1692E"/>
    <w:rsid w:val="00E1729A"/>
    <w:rsid w:val="00E17E65"/>
    <w:rsid w:val="00E2050D"/>
    <w:rsid w:val="00E3218C"/>
    <w:rsid w:val="00E34535"/>
    <w:rsid w:val="00E350CD"/>
    <w:rsid w:val="00E42454"/>
    <w:rsid w:val="00E454C2"/>
    <w:rsid w:val="00E46EBC"/>
    <w:rsid w:val="00E50E95"/>
    <w:rsid w:val="00E52942"/>
    <w:rsid w:val="00E54957"/>
    <w:rsid w:val="00E62AEF"/>
    <w:rsid w:val="00E63D3D"/>
    <w:rsid w:val="00E65443"/>
    <w:rsid w:val="00E71546"/>
    <w:rsid w:val="00E72655"/>
    <w:rsid w:val="00E7527A"/>
    <w:rsid w:val="00E75B15"/>
    <w:rsid w:val="00E76268"/>
    <w:rsid w:val="00E76B62"/>
    <w:rsid w:val="00E76EE1"/>
    <w:rsid w:val="00E770D7"/>
    <w:rsid w:val="00E81F72"/>
    <w:rsid w:val="00E84B55"/>
    <w:rsid w:val="00E870EB"/>
    <w:rsid w:val="00E90AFE"/>
    <w:rsid w:val="00EA0987"/>
    <w:rsid w:val="00EA5644"/>
    <w:rsid w:val="00EA6B24"/>
    <w:rsid w:val="00EB403B"/>
    <w:rsid w:val="00EB4AB3"/>
    <w:rsid w:val="00EB6C94"/>
    <w:rsid w:val="00EC48CC"/>
    <w:rsid w:val="00EC5C7D"/>
    <w:rsid w:val="00EC7850"/>
    <w:rsid w:val="00ED04F8"/>
    <w:rsid w:val="00ED46B6"/>
    <w:rsid w:val="00EE7401"/>
    <w:rsid w:val="00EF4407"/>
    <w:rsid w:val="00EF5EE7"/>
    <w:rsid w:val="00EF68AC"/>
    <w:rsid w:val="00EF6EF1"/>
    <w:rsid w:val="00F00E47"/>
    <w:rsid w:val="00F01D36"/>
    <w:rsid w:val="00F03ABF"/>
    <w:rsid w:val="00F221DC"/>
    <w:rsid w:val="00F255FF"/>
    <w:rsid w:val="00F25A0A"/>
    <w:rsid w:val="00F2608D"/>
    <w:rsid w:val="00F35ACA"/>
    <w:rsid w:val="00F36521"/>
    <w:rsid w:val="00F36C83"/>
    <w:rsid w:val="00F41D83"/>
    <w:rsid w:val="00F468F2"/>
    <w:rsid w:val="00F50379"/>
    <w:rsid w:val="00F507DB"/>
    <w:rsid w:val="00F5582B"/>
    <w:rsid w:val="00F560A6"/>
    <w:rsid w:val="00F653DE"/>
    <w:rsid w:val="00F7039E"/>
    <w:rsid w:val="00F7134F"/>
    <w:rsid w:val="00F71373"/>
    <w:rsid w:val="00F713EC"/>
    <w:rsid w:val="00F732B8"/>
    <w:rsid w:val="00F741A7"/>
    <w:rsid w:val="00F92A4A"/>
    <w:rsid w:val="00F9698D"/>
    <w:rsid w:val="00F96BC1"/>
    <w:rsid w:val="00FA0DDF"/>
    <w:rsid w:val="00FA147E"/>
    <w:rsid w:val="00FA2A00"/>
    <w:rsid w:val="00FA4B55"/>
    <w:rsid w:val="00FB1B6F"/>
    <w:rsid w:val="00FB1DB0"/>
    <w:rsid w:val="00FB31DF"/>
    <w:rsid w:val="00FB5BE0"/>
    <w:rsid w:val="00FC02A9"/>
    <w:rsid w:val="00FC060D"/>
    <w:rsid w:val="00FC4AEE"/>
    <w:rsid w:val="00FC672E"/>
    <w:rsid w:val="00FC6CE4"/>
    <w:rsid w:val="00FC7A6B"/>
    <w:rsid w:val="00FD1E6B"/>
    <w:rsid w:val="00FD247C"/>
    <w:rsid w:val="00FD2C12"/>
    <w:rsid w:val="00FD2E1C"/>
    <w:rsid w:val="00FE5E27"/>
    <w:rsid w:val="00FE5E3B"/>
    <w:rsid w:val="00FE7278"/>
    <w:rsid w:val="00FF37E6"/>
    <w:rsid w:val="00FF3ADC"/>
    <w:rsid w:val="00FF41DA"/>
    <w:rsid w:val="00FF4533"/>
    <w:rsid w:val="00FF751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1FF0FD-89C9-453B-98E9-8FC4B6BF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2C7E"/>
    <w:pPr>
      <w:spacing w:after="0" w:line="240" w:lineRule="auto"/>
    </w:pPr>
  </w:style>
  <w:style w:type="paragraph" w:styleId="FootnoteText">
    <w:name w:val="footnote text"/>
    <w:basedOn w:val="Normal"/>
    <w:link w:val="FootnoteTextChar"/>
    <w:uiPriority w:val="99"/>
    <w:semiHidden/>
    <w:unhideWhenUsed/>
    <w:rsid w:val="00B501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13F"/>
    <w:rPr>
      <w:sz w:val="20"/>
      <w:szCs w:val="20"/>
    </w:rPr>
  </w:style>
  <w:style w:type="character" w:styleId="FootnoteReference">
    <w:name w:val="footnote reference"/>
    <w:basedOn w:val="DefaultParagraphFont"/>
    <w:uiPriority w:val="99"/>
    <w:semiHidden/>
    <w:unhideWhenUsed/>
    <w:rsid w:val="00B5013F"/>
    <w:rPr>
      <w:vertAlign w:val="superscript"/>
    </w:rPr>
  </w:style>
  <w:style w:type="paragraph" w:styleId="ListParagraph">
    <w:name w:val="List Paragraph"/>
    <w:basedOn w:val="Normal"/>
    <w:uiPriority w:val="34"/>
    <w:qFormat/>
    <w:rsid w:val="00207D05"/>
    <w:pPr>
      <w:ind w:left="720"/>
      <w:contextualSpacing/>
    </w:pPr>
  </w:style>
  <w:style w:type="character" w:customStyle="1" w:styleId="apple-converted-space">
    <w:name w:val="apple-converted-space"/>
    <w:basedOn w:val="DefaultParagraphFont"/>
    <w:rsid w:val="00DB39B3"/>
  </w:style>
  <w:style w:type="paragraph" w:customStyle="1" w:styleId="jugmentnumbered">
    <w:name w:val="jugmentnumbered"/>
    <w:basedOn w:val="Normal"/>
    <w:rsid w:val="00711D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nhideWhenUsed/>
    <w:rsid w:val="00F255FF"/>
    <w:pPr>
      <w:tabs>
        <w:tab w:val="center" w:pos="4513"/>
        <w:tab w:val="right" w:pos="9026"/>
      </w:tabs>
      <w:spacing w:after="0" w:line="240" w:lineRule="auto"/>
    </w:pPr>
  </w:style>
  <w:style w:type="character" w:customStyle="1" w:styleId="HeaderChar">
    <w:name w:val="Header Char"/>
    <w:basedOn w:val="DefaultParagraphFont"/>
    <w:link w:val="Header"/>
    <w:rsid w:val="00F255FF"/>
  </w:style>
  <w:style w:type="paragraph" w:styleId="Footer">
    <w:name w:val="footer"/>
    <w:basedOn w:val="Normal"/>
    <w:link w:val="FooterChar"/>
    <w:uiPriority w:val="99"/>
    <w:unhideWhenUsed/>
    <w:rsid w:val="00F25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5FF"/>
  </w:style>
  <w:style w:type="paragraph" w:styleId="BalloonText">
    <w:name w:val="Balloon Text"/>
    <w:basedOn w:val="Normal"/>
    <w:link w:val="BalloonTextChar"/>
    <w:uiPriority w:val="99"/>
    <w:semiHidden/>
    <w:unhideWhenUsed/>
    <w:rsid w:val="00C72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0A8"/>
    <w:rPr>
      <w:rFonts w:ascii="Segoe UI" w:hAnsi="Segoe UI" w:cs="Segoe UI"/>
      <w:sz w:val="18"/>
      <w:szCs w:val="18"/>
    </w:rPr>
  </w:style>
  <w:style w:type="character" w:styleId="CommentReference">
    <w:name w:val="annotation reference"/>
    <w:basedOn w:val="DefaultParagraphFont"/>
    <w:uiPriority w:val="99"/>
    <w:semiHidden/>
    <w:unhideWhenUsed/>
    <w:rsid w:val="00985510"/>
    <w:rPr>
      <w:sz w:val="18"/>
      <w:szCs w:val="18"/>
    </w:rPr>
  </w:style>
  <w:style w:type="paragraph" w:styleId="CommentText">
    <w:name w:val="annotation text"/>
    <w:basedOn w:val="Normal"/>
    <w:link w:val="CommentTextChar"/>
    <w:uiPriority w:val="99"/>
    <w:semiHidden/>
    <w:unhideWhenUsed/>
    <w:rsid w:val="00985510"/>
    <w:pPr>
      <w:spacing w:line="240" w:lineRule="auto"/>
    </w:pPr>
    <w:rPr>
      <w:sz w:val="24"/>
      <w:szCs w:val="24"/>
    </w:rPr>
  </w:style>
  <w:style w:type="character" w:customStyle="1" w:styleId="CommentTextChar">
    <w:name w:val="Comment Text Char"/>
    <w:basedOn w:val="DefaultParagraphFont"/>
    <w:link w:val="CommentText"/>
    <w:uiPriority w:val="99"/>
    <w:semiHidden/>
    <w:rsid w:val="00985510"/>
    <w:rPr>
      <w:sz w:val="24"/>
      <w:szCs w:val="24"/>
    </w:rPr>
  </w:style>
  <w:style w:type="paragraph" w:styleId="CommentSubject">
    <w:name w:val="annotation subject"/>
    <w:basedOn w:val="CommentText"/>
    <w:next w:val="CommentText"/>
    <w:link w:val="CommentSubjectChar"/>
    <w:uiPriority w:val="99"/>
    <w:semiHidden/>
    <w:unhideWhenUsed/>
    <w:rsid w:val="00985510"/>
    <w:rPr>
      <w:b/>
      <w:bCs/>
      <w:sz w:val="20"/>
      <w:szCs w:val="20"/>
    </w:rPr>
  </w:style>
  <w:style w:type="character" w:customStyle="1" w:styleId="CommentSubjectChar">
    <w:name w:val="Comment Subject Char"/>
    <w:basedOn w:val="CommentTextChar"/>
    <w:link w:val="CommentSubject"/>
    <w:uiPriority w:val="99"/>
    <w:semiHidden/>
    <w:rsid w:val="00985510"/>
    <w:rPr>
      <w:b/>
      <w:bCs/>
      <w:sz w:val="20"/>
      <w:szCs w:val="20"/>
    </w:rPr>
  </w:style>
  <w:style w:type="character" w:styleId="Emphasis">
    <w:name w:val="Emphasis"/>
    <w:basedOn w:val="DefaultParagraphFont"/>
    <w:uiPriority w:val="20"/>
    <w:qFormat/>
    <w:rsid w:val="001C25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78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5FC6A-972F-4AA1-AC47-4A5CB593F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8088</Words>
  <Characters>46104</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Neliswa Tjahikika</cp:lastModifiedBy>
  <cp:revision>2</cp:revision>
  <cp:lastPrinted>2018-10-22T08:28:00Z</cp:lastPrinted>
  <dcterms:created xsi:type="dcterms:W3CDTF">2018-10-23T08:32:00Z</dcterms:created>
  <dcterms:modified xsi:type="dcterms:W3CDTF">2018-10-23T08:32:00Z</dcterms:modified>
</cp:coreProperties>
</file>