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16E1" w:rsidRPr="00E6740A" w:rsidRDefault="000B16E1" w:rsidP="000B16E1">
      <w:pPr>
        <w:spacing w:line="360" w:lineRule="auto"/>
        <w:jc w:val="both"/>
        <w:rPr>
          <w:rFonts w:ascii="Arial" w:hAnsi="Arial" w:cs="Arial"/>
          <w:color w:val="000000" w:themeColor="text1"/>
          <w:sz w:val="24"/>
          <w:szCs w:val="24"/>
          <w:u w:val="single"/>
          <w:lang w:val="en-ZA"/>
        </w:rPr>
      </w:pPr>
      <w:bookmarkStart w:id="0" w:name="_GoBack"/>
      <w:bookmarkEnd w:id="0"/>
    </w:p>
    <w:p w:rsidR="000B16E1" w:rsidRPr="00E6740A" w:rsidRDefault="000B16E1" w:rsidP="000B16E1">
      <w:pPr>
        <w:spacing w:line="360" w:lineRule="auto"/>
        <w:jc w:val="both"/>
        <w:rPr>
          <w:rFonts w:ascii="Arial" w:hAnsi="Arial" w:cs="Arial"/>
          <w:color w:val="000000" w:themeColor="text1"/>
          <w:sz w:val="24"/>
          <w:szCs w:val="24"/>
          <w:u w:val="single"/>
          <w:lang w:val="en-ZA"/>
        </w:rPr>
      </w:pPr>
    </w:p>
    <w:p w:rsidR="000B16E1" w:rsidRPr="00E6740A" w:rsidRDefault="000B16E1" w:rsidP="000B16E1">
      <w:pPr>
        <w:spacing w:after="0" w:line="240" w:lineRule="auto"/>
        <w:jc w:val="both"/>
        <w:rPr>
          <w:rFonts w:ascii="Arial" w:hAnsi="Arial" w:cs="Arial"/>
          <w:b/>
          <w:color w:val="000000" w:themeColor="text1"/>
          <w:sz w:val="24"/>
          <w:szCs w:val="24"/>
        </w:rPr>
      </w:pPr>
    </w:p>
    <w:p w:rsidR="000B16E1" w:rsidRPr="00E6740A" w:rsidRDefault="000B16E1" w:rsidP="000B16E1">
      <w:pPr>
        <w:spacing w:after="0" w:line="240" w:lineRule="auto"/>
        <w:jc w:val="both"/>
        <w:rPr>
          <w:rFonts w:ascii="Arial" w:hAnsi="Arial" w:cs="Arial"/>
          <w:b/>
          <w:color w:val="000000" w:themeColor="text1"/>
          <w:sz w:val="24"/>
          <w:szCs w:val="24"/>
        </w:rPr>
      </w:pPr>
    </w:p>
    <w:p w:rsidR="000B16E1" w:rsidRPr="00E6740A" w:rsidRDefault="000B16E1" w:rsidP="000B16E1">
      <w:pPr>
        <w:spacing w:after="0" w:line="240" w:lineRule="auto"/>
        <w:jc w:val="both"/>
        <w:rPr>
          <w:rFonts w:ascii="Arial" w:hAnsi="Arial" w:cs="Arial"/>
          <w:b/>
          <w:color w:val="000000" w:themeColor="text1"/>
          <w:sz w:val="24"/>
          <w:szCs w:val="24"/>
        </w:rPr>
      </w:pPr>
    </w:p>
    <w:p w:rsidR="000B16E1" w:rsidRPr="00E6740A" w:rsidRDefault="000B16E1" w:rsidP="000B16E1">
      <w:pPr>
        <w:spacing w:after="0" w:line="240" w:lineRule="auto"/>
        <w:jc w:val="both"/>
        <w:rPr>
          <w:rFonts w:ascii="Arial" w:hAnsi="Arial" w:cs="Arial"/>
          <w:color w:val="000000" w:themeColor="text1"/>
          <w:sz w:val="24"/>
          <w:szCs w:val="24"/>
          <w:lang w:val="en-ZA"/>
        </w:rPr>
      </w:pPr>
      <w:r w:rsidRPr="00E6740A">
        <w:rPr>
          <w:rFonts w:ascii="Arial" w:hAnsi="Arial" w:cs="Arial"/>
          <w:noProof/>
          <w:color w:val="000000" w:themeColor="text1"/>
          <w:sz w:val="24"/>
          <w:szCs w:val="24"/>
          <w:lang w:val="en-ZA" w:eastAsia="en-ZA"/>
        </w:rPr>
        <w:drawing>
          <wp:anchor distT="0" distB="0" distL="114300" distR="114300" simplePos="0" relativeHeight="251659264" behindDoc="0" locked="0" layoutInCell="1" allowOverlap="1" wp14:anchorId="649EDA8F" wp14:editId="3D339882">
            <wp:simplePos x="0" y="0"/>
            <wp:positionH relativeFrom="page">
              <wp:align>center</wp:align>
            </wp:positionH>
            <wp:positionV relativeFrom="margin">
              <wp:posOffset>-581025</wp:posOffset>
            </wp:positionV>
            <wp:extent cx="1428750" cy="1485900"/>
            <wp:effectExtent l="0" t="0" r="0" b="0"/>
            <wp:wrapSquare wrapText="bothSides"/>
            <wp:docPr id="2" name="Picture 1" descr="NA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M1"/>
                    <pic:cNvPicPr>
                      <a:picLocks noChangeAspect="1" noChangeArrowheads="1"/>
                    </pic:cNvPicPr>
                  </pic:nvPicPr>
                  <pic:blipFill>
                    <a:blip r:embed="rId8" cstate="print"/>
                    <a:srcRect/>
                    <a:stretch>
                      <a:fillRect/>
                    </a:stretch>
                  </pic:blipFill>
                  <pic:spPr bwMode="auto">
                    <a:xfrm>
                      <a:off x="0" y="0"/>
                      <a:ext cx="1428750" cy="14859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0B16E1" w:rsidRPr="00E6740A" w:rsidRDefault="000B16E1" w:rsidP="000B16E1">
      <w:pPr>
        <w:spacing w:after="0" w:line="360" w:lineRule="auto"/>
        <w:jc w:val="right"/>
        <w:rPr>
          <w:rFonts w:ascii="Arial" w:hAnsi="Arial" w:cs="Arial"/>
          <w:b/>
          <w:color w:val="000000" w:themeColor="text1"/>
          <w:sz w:val="24"/>
          <w:szCs w:val="24"/>
          <w:lang w:val="en-ZA"/>
        </w:rPr>
      </w:pPr>
      <w:r w:rsidRPr="00E6740A">
        <w:rPr>
          <w:rFonts w:ascii="Arial" w:hAnsi="Arial" w:cs="Arial"/>
          <w:b/>
          <w:color w:val="000000" w:themeColor="text1"/>
          <w:sz w:val="24"/>
          <w:szCs w:val="24"/>
          <w:lang w:val="en-ZW"/>
        </w:rPr>
        <w:t>REPORTABLE</w:t>
      </w:r>
    </w:p>
    <w:p w:rsidR="000B16E1" w:rsidRPr="00E6740A" w:rsidRDefault="000B16E1" w:rsidP="000B16E1">
      <w:pPr>
        <w:spacing w:after="0" w:line="360" w:lineRule="auto"/>
        <w:jc w:val="right"/>
        <w:rPr>
          <w:rFonts w:ascii="Arial" w:hAnsi="Arial" w:cs="Arial"/>
          <w:color w:val="000000" w:themeColor="text1"/>
          <w:sz w:val="24"/>
          <w:szCs w:val="24"/>
          <w:lang w:val="en-ZA"/>
        </w:rPr>
      </w:pPr>
      <w:r w:rsidRPr="00E6740A">
        <w:rPr>
          <w:rFonts w:ascii="Arial" w:hAnsi="Arial" w:cs="Arial"/>
          <w:color w:val="000000" w:themeColor="text1"/>
          <w:sz w:val="24"/>
          <w:szCs w:val="24"/>
        </w:rPr>
        <w:t>CASE NO: SA 7/2017</w:t>
      </w:r>
    </w:p>
    <w:p w:rsidR="000B16E1" w:rsidRPr="00E6740A" w:rsidRDefault="000B16E1" w:rsidP="000B16E1">
      <w:pPr>
        <w:spacing w:after="0" w:line="240" w:lineRule="auto"/>
        <w:jc w:val="both"/>
        <w:rPr>
          <w:rFonts w:ascii="Arial" w:hAnsi="Arial" w:cs="Arial"/>
          <w:color w:val="000000" w:themeColor="text1"/>
          <w:sz w:val="24"/>
          <w:szCs w:val="24"/>
          <w:lang w:val="en-ZA"/>
        </w:rPr>
      </w:pPr>
    </w:p>
    <w:p w:rsidR="000B16E1" w:rsidRPr="00E6740A" w:rsidRDefault="000B16E1" w:rsidP="000B16E1">
      <w:pPr>
        <w:spacing w:after="0" w:line="240" w:lineRule="auto"/>
        <w:jc w:val="both"/>
        <w:rPr>
          <w:rFonts w:ascii="Arial" w:hAnsi="Arial" w:cs="Arial"/>
          <w:b/>
          <w:color w:val="000000" w:themeColor="text1"/>
          <w:sz w:val="24"/>
          <w:szCs w:val="24"/>
          <w:lang w:val="en-ZA"/>
        </w:rPr>
      </w:pPr>
    </w:p>
    <w:p w:rsidR="000B16E1" w:rsidRPr="00E6740A" w:rsidRDefault="000B16E1" w:rsidP="000B16E1">
      <w:pPr>
        <w:spacing w:after="0" w:line="240" w:lineRule="auto"/>
        <w:jc w:val="both"/>
        <w:rPr>
          <w:rFonts w:ascii="Arial" w:hAnsi="Arial" w:cs="Arial"/>
          <w:b/>
          <w:color w:val="000000" w:themeColor="text1"/>
          <w:sz w:val="24"/>
          <w:szCs w:val="24"/>
          <w:lang w:val="en-ZA"/>
        </w:rPr>
      </w:pPr>
      <w:r w:rsidRPr="00E6740A">
        <w:rPr>
          <w:rFonts w:ascii="Arial" w:hAnsi="Arial" w:cs="Arial"/>
          <w:b/>
          <w:color w:val="000000" w:themeColor="text1"/>
          <w:sz w:val="24"/>
          <w:szCs w:val="24"/>
          <w:lang w:val="en-ZA"/>
        </w:rPr>
        <w:t>IN THE SUPREME COURT OF NAMIBIA</w:t>
      </w:r>
    </w:p>
    <w:p w:rsidR="000B16E1" w:rsidRPr="00E6740A" w:rsidRDefault="000B16E1" w:rsidP="000B16E1">
      <w:pPr>
        <w:spacing w:after="0" w:line="240" w:lineRule="auto"/>
        <w:jc w:val="both"/>
        <w:rPr>
          <w:rFonts w:ascii="Arial" w:hAnsi="Arial" w:cs="Arial"/>
          <w:color w:val="000000" w:themeColor="text1"/>
          <w:sz w:val="24"/>
          <w:szCs w:val="24"/>
          <w:lang w:val="en-ZA"/>
        </w:rPr>
      </w:pPr>
    </w:p>
    <w:p w:rsidR="000B16E1" w:rsidRPr="00E6740A" w:rsidRDefault="000B16E1" w:rsidP="000B16E1">
      <w:pPr>
        <w:spacing w:after="0" w:line="240" w:lineRule="auto"/>
        <w:jc w:val="both"/>
        <w:rPr>
          <w:rFonts w:ascii="Arial" w:hAnsi="Arial" w:cs="Arial"/>
          <w:color w:val="000000" w:themeColor="text1"/>
          <w:sz w:val="24"/>
          <w:szCs w:val="24"/>
          <w:lang w:val="en-ZA"/>
        </w:rPr>
      </w:pPr>
    </w:p>
    <w:p w:rsidR="000B16E1" w:rsidRPr="00E6740A" w:rsidRDefault="000B16E1" w:rsidP="000B16E1">
      <w:pPr>
        <w:spacing w:after="0" w:line="240" w:lineRule="auto"/>
        <w:jc w:val="both"/>
        <w:rPr>
          <w:rFonts w:ascii="Arial" w:hAnsi="Arial" w:cs="Arial"/>
          <w:color w:val="000000" w:themeColor="text1"/>
          <w:sz w:val="24"/>
          <w:szCs w:val="24"/>
          <w:lang w:val="en-ZA"/>
        </w:rPr>
      </w:pPr>
      <w:r w:rsidRPr="00E6740A">
        <w:rPr>
          <w:rFonts w:ascii="Arial" w:hAnsi="Arial" w:cs="Arial"/>
          <w:color w:val="000000" w:themeColor="text1"/>
          <w:sz w:val="24"/>
          <w:szCs w:val="24"/>
          <w:lang w:val="en-ZA"/>
        </w:rPr>
        <w:t>In the matter between:</w:t>
      </w:r>
    </w:p>
    <w:p w:rsidR="000B16E1" w:rsidRPr="00E6740A" w:rsidRDefault="000B16E1" w:rsidP="000B16E1">
      <w:pPr>
        <w:spacing w:after="0" w:line="360" w:lineRule="auto"/>
        <w:rPr>
          <w:rFonts w:ascii="Arial" w:hAnsi="Arial" w:cs="Arial"/>
          <w:b/>
          <w:color w:val="000000" w:themeColor="text1"/>
          <w:sz w:val="24"/>
          <w:szCs w:val="24"/>
        </w:rPr>
      </w:pPr>
      <w:r w:rsidRPr="00E6740A">
        <w:rPr>
          <w:rFonts w:ascii="Arial" w:hAnsi="Arial" w:cs="Arial"/>
          <w:b/>
          <w:color w:val="000000" w:themeColor="text1"/>
          <w:sz w:val="24"/>
          <w:szCs w:val="24"/>
        </w:rPr>
        <w:tab/>
      </w:r>
      <w:r w:rsidRPr="00E6740A">
        <w:rPr>
          <w:rFonts w:ascii="Arial" w:hAnsi="Arial" w:cs="Arial"/>
          <w:color w:val="000000" w:themeColor="text1"/>
          <w:sz w:val="24"/>
          <w:szCs w:val="24"/>
        </w:rPr>
        <w:tab/>
      </w:r>
      <w:r w:rsidRPr="00E6740A">
        <w:rPr>
          <w:rFonts w:ascii="Arial" w:hAnsi="Arial" w:cs="Arial"/>
          <w:color w:val="000000" w:themeColor="text1"/>
          <w:sz w:val="24"/>
          <w:szCs w:val="24"/>
        </w:rPr>
        <w:tab/>
      </w:r>
    </w:p>
    <w:p w:rsidR="000B16E1" w:rsidRPr="00E6740A" w:rsidRDefault="000B16E1" w:rsidP="000B16E1">
      <w:pPr>
        <w:spacing w:after="0" w:line="360" w:lineRule="auto"/>
        <w:rPr>
          <w:rFonts w:ascii="Arial" w:hAnsi="Arial" w:cs="Arial"/>
          <w:b/>
          <w:color w:val="000000" w:themeColor="text1"/>
          <w:sz w:val="24"/>
          <w:szCs w:val="24"/>
        </w:rPr>
      </w:pPr>
      <w:r w:rsidRPr="00E6740A">
        <w:rPr>
          <w:rFonts w:ascii="Arial" w:hAnsi="Arial" w:cs="Arial"/>
          <w:b/>
          <w:color w:val="000000" w:themeColor="text1"/>
          <w:sz w:val="24"/>
          <w:szCs w:val="24"/>
        </w:rPr>
        <w:t>MINISTER OF SAFETY AND SEC</w:t>
      </w:r>
      <w:r>
        <w:rPr>
          <w:rFonts w:ascii="Arial" w:hAnsi="Arial" w:cs="Arial"/>
          <w:b/>
          <w:color w:val="000000" w:themeColor="text1"/>
          <w:sz w:val="24"/>
          <w:szCs w:val="24"/>
        </w:rPr>
        <w:t>URITY</w:t>
      </w:r>
      <w:r>
        <w:rPr>
          <w:rFonts w:ascii="Arial" w:hAnsi="Arial" w:cs="Arial"/>
          <w:b/>
          <w:color w:val="000000" w:themeColor="text1"/>
          <w:sz w:val="24"/>
          <w:szCs w:val="24"/>
        </w:rPr>
        <w:tab/>
      </w:r>
      <w:r>
        <w:rPr>
          <w:rFonts w:ascii="Arial" w:hAnsi="Arial" w:cs="Arial"/>
          <w:b/>
          <w:color w:val="000000" w:themeColor="text1"/>
          <w:sz w:val="24"/>
          <w:szCs w:val="24"/>
        </w:rPr>
        <w:tab/>
        <w:t xml:space="preserve">                    </w:t>
      </w:r>
      <w:r>
        <w:rPr>
          <w:rFonts w:ascii="Arial" w:hAnsi="Arial" w:cs="Arial"/>
          <w:b/>
          <w:color w:val="000000" w:themeColor="text1"/>
          <w:sz w:val="24"/>
          <w:szCs w:val="24"/>
        </w:rPr>
        <w:tab/>
        <w:t xml:space="preserve">       First</w:t>
      </w:r>
      <w:r w:rsidRPr="00E6740A">
        <w:rPr>
          <w:rFonts w:ascii="Arial" w:hAnsi="Arial" w:cs="Arial"/>
          <w:b/>
          <w:color w:val="000000" w:themeColor="text1"/>
          <w:sz w:val="24"/>
          <w:szCs w:val="24"/>
        </w:rPr>
        <w:t xml:space="preserve"> A</w:t>
      </w:r>
      <w:r>
        <w:rPr>
          <w:rFonts w:ascii="Arial" w:hAnsi="Arial" w:cs="Arial"/>
          <w:b/>
          <w:color w:val="000000" w:themeColor="text1"/>
          <w:sz w:val="24"/>
          <w:szCs w:val="24"/>
        </w:rPr>
        <w:t>ppellant</w:t>
      </w:r>
    </w:p>
    <w:p w:rsidR="000B16E1" w:rsidRPr="00E6740A" w:rsidRDefault="000B16E1" w:rsidP="000B16E1">
      <w:pPr>
        <w:spacing w:after="0" w:line="360" w:lineRule="auto"/>
        <w:rPr>
          <w:rFonts w:ascii="Arial" w:hAnsi="Arial" w:cs="Arial"/>
          <w:b/>
          <w:color w:val="000000" w:themeColor="text1"/>
          <w:sz w:val="24"/>
          <w:szCs w:val="24"/>
        </w:rPr>
      </w:pPr>
      <w:r w:rsidRPr="00E6740A">
        <w:rPr>
          <w:rFonts w:ascii="Arial" w:hAnsi="Arial" w:cs="Arial"/>
          <w:b/>
          <w:color w:val="000000" w:themeColor="text1"/>
          <w:sz w:val="24"/>
          <w:szCs w:val="24"/>
        </w:rPr>
        <w:t>PROSECUTOR-GENERAL</w:t>
      </w:r>
      <w:r w:rsidRPr="00E6740A">
        <w:rPr>
          <w:rFonts w:ascii="Arial" w:hAnsi="Arial" w:cs="Arial"/>
          <w:color w:val="000000" w:themeColor="text1"/>
          <w:sz w:val="24"/>
          <w:szCs w:val="24"/>
        </w:rPr>
        <w:tab/>
      </w:r>
      <w:r w:rsidRPr="00E6740A">
        <w:rPr>
          <w:rFonts w:ascii="Arial" w:hAnsi="Arial" w:cs="Arial"/>
          <w:color w:val="000000" w:themeColor="text1"/>
          <w:sz w:val="24"/>
          <w:szCs w:val="24"/>
        </w:rPr>
        <w:tab/>
      </w:r>
      <w:r w:rsidRPr="00E6740A">
        <w:rPr>
          <w:rFonts w:ascii="Arial" w:hAnsi="Arial" w:cs="Arial"/>
          <w:color w:val="000000" w:themeColor="text1"/>
          <w:sz w:val="24"/>
          <w:szCs w:val="24"/>
        </w:rPr>
        <w:tab/>
      </w:r>
      <w:r w:rsidRPr="00E6740A">
        <w:rPr>
          <w:rFonts w:ascii="Arial" w:hAnsi="Arial" w:cs="Arial"/>
          <w:color w:val="000000" w:themeColor="text1"/>
          <w:sz w:val="24"/>
          <w:szCs w:val="24"/>
        </w:rPr>
        <w:tab/>
        <w:t xml:space="preserve">               </w:t>
      </w:r>
      <w:r>
        <w:rPr>
          <w:rFonts w:ascii="Arial" w:hAnsi="Arial" w:cs="Arial"/>
          <w:color w:val="000000" w:themeColor="text1"/>
          <w:sz w:val="24"/>
          <w:szCs w:val="24"/>
        </w:rPr>
        <w:t xml:space="preserve">        </w:t>
      </w:r>
      <w:r w:rsidRPr="006F0311">
        <w:rPr>
          <w:rFonts w:ascii="Arial" w:hAnsi="Arial" w:cs="Arial"/>
          <w:b/>
          <w:color w:val="000000" w:themeColor="text1"/>
          <w:sz w:val="24"/>
          <w:szCs w:val="24"/>
        </w:rPr>
        <w:t>Second Appellant</w:t>
      </w:r>
      <w:r>
        <w:rPr>
          <w:rFonts w:ascii="Arial" w:hAnsi="Arial" w:cs="Arial"/>
          <w:b/>
          <w:color w:val="000000" w:themeColor="text1"/>
          <w:sz w:val="24"/>
          <w:szCs w:val="24"/>
        </w:rPr>
        <w:t xml:space="preserve"> </w:t>
      </w:r>
    </w:p>
    <w:p w:rsidR="000B16E1" w:rsidRPr="00E6740A" w:rsidRDefault="000B16E1" w:rsidP="000B16E1">
      <w:pPr>
        <w:spacing w:after="0" w:line="360" w:lineRule="auto"/>
        <w:rPr>
          <w:rFonts w:ascii="Arial" w:hAnsi="Arial" w:cs="Arial"/>
          <w:b/>
          <w:color w:val="000000" w:themeColor="text1"/>
          <w:sz w:val="24"/>
          <w:szCs w:val="24"/>
        </w:rPr>
      </w:pPr>
      <w:r w:rsidRPr="00E6740A">
        <w:rPr>
          <w:rFonts w:ascii="Arial" w:hAnsi="Arial" w:cs="Arial"/>
          <w:b/>
          <w:color w:val="000000" w:themeColor="text1"/>
          <w:sz w:val="24"/>
          <w:szCs w:val="24"/>
        </w:rPr>
        <w:t>GOVERNMENT OF THE REPUBLIC OF NAMIBIA</w:t>
      </w:r>
      <w:r w:rsidRPr="00E6740A">
        <w:rPr>
          <w:rFonts w:ascii="Arial" w:hAnsi="Arial" w:cs="Arial"/>
          <w:b/>
          <w:color w:val="000000" w:themeColor="text1"/>
          <w:sz w:val="24"/>
          <w:szCs w:val="24"/>
        </w:rPr>
        <w:tab/>
        <w:t xml:space="preserve">                    </w:t>
      </w:r>
      <w:r>
        <w:rPr>
          <w:rFonts w:ascii="Arial" w:hAnsi="Arial" w:cs="Arial"/>
          <w:b/>
          <w:color w:val="000000" w:themeColor="text1"/>
          <w:sz w:val="24"/>
          <w:szCs w:val="24"/>
        </w:rPr>
        <w:t xml:space="preserve">       </w:t>
      </w:r>
      <w:r w:rsidRPr="00E6740A">
        <w:rPr>
          <w:rFonts w:ascii="Arial" w:hAnsi="Arial" w:cs="Arial"/>
          <w:b/>
          <w:color w:val="000000" w:themeColor="text1"/>
          <w:sz w:val="24"/>
          <w:szCs w:val="24"/>
        </w:rPr>
        <w:t>T</w:t>
      </w:r>
      <w:r>
        <w:rPr>
          <w:rFonts w:ascii="Arial" w:hAnsi="Arial" w:cs="Arial"/>
          <w:b/>
          <w:color w:val="000000" w:themeColor="text1"/>
          <w:sz w:val="24"/>
          <w:szCs w:val="24"/>
        </w:rPr>
        <w:t>hird Appellant</w:t>
      </w:r>
    </w:p>
    <w:p w:rsidR="000B16E1" w:rsidRPr="00E6740A" w:rsidRDefault="000B16E1" w:rsidP="000B16E1">
      <w:pPr>
        <w:spacing w:after="0" w:line="360" w:lineRule="auto"/>
        <w:rPr>
          <w:rFonts w:ascii="Arial" w:hAnsi="Arial" w:cs="Arial"/>
          <w:b/>
          <w:color w:val="000000" w:themeColor="text1"/>
          <w:sz w:val="24"/>
          <w:szCs w:val="24"/>
        </w:rPr>
      </w:pPr>
    </w:p>
    <w:p w:rsidR="000B16E1" w:rsidRPr="00E6740A" w:rsidRDefault="000B16E1" w:rsidP="000B16E1">
      <w:pPr>
        <w:spacing w:after="0" w:line="360" w:lineRule="auto"/>
        <w:rPr>
          <w:rFonts w:ascii="Arial" w:hAnsi="Arial" w:cs="Arial"/>
          <w:color w:val="000000" w:themeColor="text1"/>
          <w:sz w:val="24"/>
          <w:szCs w:val="24"/>
        </w:rPr>
      </w:pPr>
      <w:r w:rsidRPr="00E6740A">
        <w:rPr>
          <w:rFonts w:ascii="Arial" w:hAnsi="Arial" w:cs="Arial"/>
          <w:color w:val="000000" w:themeColor="text1"/>
          <w:sz w:val="24"/>
          <w:szCs w:val="24"/>
        </w:rPr>
        <w:t>and</w:t>
      </w:r>
    </w:p>
    <w:p w:rsidR="000B16E1" w:rsidRPr="00E6740A" w:rsidRDefault="000B16E1" w:rsidP="000B16E1">
      <w:pPr>
        <w:spacing w:after="0" w:line="360" w:lineRule="auto"/>
        <w:rPr>
          <w:rFonts w:ascii="Arial" w:hAnsi="Arial" w:cs="Arial"/>
          <w:color w:val="000000" w:themeColor="text1"/>
          <w:sz w:val="24"/>
          <w:szCs w:val="24"/>
        </w:rPr>
      </w:pPr>
    </w:p>
    <w:p w:rsidR="000B16E1" w:rsidRPr="00E6740A" w:rsidRDefault="000B16E1" w:rsidP="000B16E1">
      <w:pPr>
        <w:spacing w:after="0" w:line="360" w:lineRule="auto"/>
        <w:rPr>
          <w:rFonts w:ascii="Arial" w:hAnsi="Arial" w:cs="Arial"/>
          <w:b/>
          <w:color w:val="000000" w:themeColor="text1"/>
          <w:sz w:val="24"/>
          <w:szCs w:val="24"/>
        </w:rPr>
      </w:pPr>
      <w:r w:rsidRPr="00E6740A">
        <w:rPr>
          <w:rFonts w:ascii="Arial" w:hAnsi="Arial" w:cs="Arial"/>
          <w:b/>
          <w:color w:val="000000" w:themeColor="text1"/>
          <w:sz w:val="24"/>
          <w:szCs w:val="24"/>
        </w:rPr>
        <w:t>RICHWELL KULISESA MAHUPELO</w:t>
      </w:r>
      <w:r w:rsidRPr="00E6740A">
        <w:rPr>
          <w:rFonts w:ascii="Arial" w:hAnsi="Arial" w:cs="Arial"/>
          <w:b/>
          <w:color w:val="000000" w:themeColor="text1"/>
          <w:sz w:val="24"/>
          <w:szCs w:val="24"/>
        </w:rPr>
        <w:tab/>
      </w:r>
      <w:r w:rsidRPr="00E6740A">
        <w:rPr>
          <w:rFonts w:ascii="Arial" w:hAnsi="Arial" w:cs="Arial"/>
          <w:b/>
          <w:color w:val="000000" w:themeColor="text1"/>
          <w:sz w:val="24"/>
          <w:szCs w:val="24"/>
        </w:rPr>
        <w:tab/>
      </w:r>
      <w:r w:rsidRPr="00E6740A">
        <w:rPr>
          <w:rFonts w:ascii="Arial" w:hAnsi="Arial" w:cs="Arial"/>
          <w:b/>
          <w:color w:val="000000" w:themeColor="text1"/>
          <w:sz w:val="24"/>
          <w:szCs w:val="24"/>
        </w:rPr>
        <w:tab/>
        <w:t xml:space="preserve">                       </w:t>
      </w:r>
      <w:r>
        <w:rPr>
          <w:rFonts w:ascii="Arial" w:hAnsi="Arial" w:cs="Arial"/>
          <w:b/>
          <w:color w:val="000000" w:themeColor="text1"/>
          <w:sz w:val="24"/>
          <w:szCs w:val="24"/>
        </w:rPr>
        <w:t xml:space="preserve">          </w:t>
      </w:r>
      <w:r w:rsidRPr="00E6740A">
        <w:rPr>
          <w:rFonts w:ascii="Arial" w:hAnsi="Arial" w:cs="Arial"/>
          <w:b/>
          <w:color w:val="000000" w:themeColor="text1"/>
          <w:sz w:val="24"/>
          <w:szCs w:val="24"/>
        </w:rPr>
        <w:t>Respondent</w:t>
      </w:r>
    </w:p>
    <w:p w:rsidR="000B16E1" w:rsidRPr="00E6740A" w:rsidRDefault="000B16E1" w:rsidP="000B16E1">
      <w:pPr>
        <w:spacing w:after="0" w:line="360" w:lineRule="auto"/>
        <w:jc w:val="both"/>
        <w:textAlignment w:val="baseline"/>
        <w:outlineLvl w:val="4"/>
        <w:rPr>
          <w:rFonts w:ascii="Arial" w:hAnsi="Arial" w:cs="Arial"/>
          <w:color w:val="000000" w:themeColor="text1"/>
          <w:sz w:val="24"/>
          <w:szCs w:val="24"/>
        </w:rPr>
      </w:pPr>
    </w:p>
    <w:p w:rsidR="000B16E1" w:rsidRPr="00E6740A" w:rsidRDefault="000B16E1" w:rsidP="000B16E1">
      <w:pPr>
        <w:spacing w:after="0" w:line="360" w:lineRule="auto"/>
        <w:jc w:val="both"/>
        <w:rPr>
          <w:rFonts w:ascii="Arial" w:hAnsi="Arial" w:cs="Arial"/>
          <w:color w:val="000000" w:themeColor="text1"/>
          <w:sz w:val="24"/>
          <w:szCs w:val="24"/>
        </w:rPr>
      </w:pPr>
      <w:r w:rsidRPr="00E6740A">
        <w:rPr>
          <w:rFonts w:ascii="Arial" w:hAnsi="Arial" w:cs="Arial"/>
          <w:b/>
          <w:color w:val="000000" w:themeColor="text1"/>
          <w:sz w:val="24"/>
          <w:szCs w:val="24"/>
        </w:rPr>
        <w:t>CORAM:</w:t>
      </w:r>
      <w:r>
        <w:rPr>
          <w:rFonts w:ascii="Arial" w:hAnsi="Arial" w:cs="Arial"/>
          <w:color w:val="000000" w:themeColor="text1"/>
          <w:sz w:val="24"/>
          <w:szCs w:val="24"/>
        </w:rPr>
        <w:tab/>
        <w:t xml:space="preserve">SHIVUTE CJ, CHOMBA AJA and </w:t>
      </w:r>
      <w:r w:rsidRPr="00E6740A">
        <w:rPr>
          <w:rFonts w:ascii="Arial" w:hAnsi="Arial" w:cs="Arial"/>
          <w:color w:val="000000" w:themeColor="text1"/>
          <w:sz w:val="24"/>
          <w:szCs w:val="24"/>
        </w:rPr>
        <w:t>MOKGORO AJA</w:t>
      </w:r>
    </w:p>
    <w:p w:rsidR="000B16E1" w:rsidRPr="00E6740A" w:rsidRDefault="000B16E1" w:rsidP="000B16E1">
      <w:pPr>
        <w:spacing w:after="0" w:line="360" w:lineRule="auto"/>
        <w:jc w:val="both"/>
        <w:rPr>
          <w:rFonts w:ascii="Arial" w:hAnsi="Arial" w:cs="Arial"/>
          <w:b/>
          <w:color w:val="000000" w:themeColor="text1"/>
          <w:sz w:val="24"/>
          <w:szCs w:val="24"/>
          <w:lang w:val="en-ZW"/>
        </w:rPr>
      </w:pPr>
      <w:r w:rsidRPr="00E6740A">
        <w:rPr>
          <w:rFonts w:ascii="Arial" w:hAnsi="Arial" w:cs="Arial"/>
          <w:b/>
          <w:color w:val="000000" w:themeColor="text1"/>
          <w:sz w:val="24"/>
          <w:szCs w:val="24"/>
          <w:lang w:val="en-ZW"/>
        </w:rPr>
        <w:t>Heard:</w:t>
      </w:r>
      <w:r w:rsidRPr="00E6740A">
        <w:rPr>
          <w:rFonts w:ascii="Arial" w:hAnsi="Arial" w:cs="Arial"/>
          <w:b/>
          <w:color w:val="000000" w:themeColor="text1"/>
          <w:sz w:val="24"/>
          <w:szCs w:val="24"/>
          <w:lang w:val="en-ZW"/>
        </w:rPr>
        <w:tab/>
        <w:t>4 July 2018</w:t>
      </w:r>
    </w:p>
    <w:p w:rsidR="000B16E1" w:rsidRPr="00E6740A" w:rsidRDefault="000B16E1" w:rsidP="000B16E1">
      <w:pPr>
        <w:spacing w:after="0" w:line="360" w:lineRule="auto"/>
        <w:jc w:val="both"/>
        <w:rPr>
          <w:rFonts w:ascii="Arial" w:hAnsi="Arial" w:cs="Arial"/>
          <w:b/>
          <w:color w:val="000000" w:themeColor="text1"/>
          <w:sz w:val="24"/>
          <w:szCs w:val="24"/>
          <w:lang w:val="en-ZW"/>
        </w:rPr>
      </w:pPr>
      <w:r w:rsidRPr="00E6740A">
        <w:rPr>
          <w:rFonts w:ascii="Arial" w:hAnsi="Arial" w:cs="Arial"/>
          <w:b/>
          <w:color w:val="000000" w:themeColor="text1"/>
          <w:sz w:val="24"/>
          <w:szCs w:val="24"/>
          <w:lang w:val="en-ZW"/>
        </w:rPr>
        <w:t>Delivered:</w:t>
      </w:r>
      <w:r w:rsidRPr="00E6740A">
        <w:rPr>
          <w:rFonts w:ascii="Arial" w:hAnsi="Arial" w:cs="Arial"/>
          <w:b/>
          <w:color w:val="000000" w:themeColor="text1"/>
          <w:sz w:val="24"/>
          <w:szCs w:val="24"/>
          <w:lang w:val="en-ZW"/>
        </w:rPr>
        <w:tab/>
      </w:r>
      <w:r w:rsidR="0024569A">
        <w:rPr>
          <w:rFonts w:ascii="Arial" w:hAnsi="Arial" w:cs="Arial"/>
          <w:b/>
          <w:color w:val="000000" w:themeColor="text1"/>
          <w:sz w:val="24"/>
          <w:szCs w:val="24"/>
          <w:lang w:val="en-ZW"/>
        </w:rPr>
        <w:t>2</w:t>
      </w:r>
      <w:r w:rsidR="00C22006">
        <w:rPr>
          <w:rFonts w:ascii="Arial" w:hAnsi="Arial" w:cs="Arial"/>
          <w:b/>
          <w:color w:val="000000" w:themeColor="text1"/>
          <w:sz w:val="24"/>
          <w:szCs w:val="24"/>
          <w:lang w:val="en-ZW"/>
        </w:rPr>
        <w:t>8</w:t>
      </w:r>
      <w:r w:rsidR="0024569A">
        <w:rPr>
          <w:rFonts w:ascii="Arial" w:hAnsi="Arial" w:cs="Arial"/>
          <w:b/>
          <w:color w:val="000000" w:themeColor="text1"/>
          <w:sz w:val="24"/>
          <w:szCs w:val="24"/>
          <w:lang w:val="en-ZW"/>
        </w:rPr>
        <w:t xml:space="preserve"> February 2019</w:t>
      </w:r>
    </w:p>
    <w:p w:rsidR="000B16E1" w:rsidRPr="00E6740A" w:rsidRDefault="000B16E1" w:rsidP="000B16E1">
      <w:pPr>
        <w:spacing w:after="0" w:line="360" w:lineRule="auto"/>
        <w:rPr>
          <w:rFonts w:ascii="Arial" w:hAnsi="Arial" w:cs="Arial"/>
          <w:b/>
          <w:color w:val="000000" w:themeColor="text1"/>
          <w:sz w:val="24"/>
          <w:szCs w:val="24"/>
        </w:rPr>
      </w:pPr>
    </w:p>
    <w:p w:rsidR="000B16E1" w:rsidRDefault="000B16E1" w:rsidP="000B16E1">
      <w:pPr>
        <w:spacing w:after="0" w:line="360" w:lineRule="auto"/>
        <w:jc w:val="both"/>
        <w:rPr>
          <w:rFonts w:ascii="Arial" w:hAnsi="Arial" w:cs="Arial"/>
          <w:color w:val="000000" w:themeColor="text1"/>
          <w:sz w:val="24"/>
          <w:szCs w:val="24"/>
        </w:rPr>
      </w:pPr>
      <w:r w:rsidRPr="00E6740A">
        <w:rPr>
          <w:rFonts w:ascii="Arial" w:hAnsi="Arial" w:cs="Arial"/>
          <w:b/>
          <w:color w:val="000000" w:themeColor="text1"/>
          <w:sz w:val="24"/>
          <w:szCs w:val="24"/>
        </w:rPr>
        <w:t xml:space="preserve">Summary: </w:t>
      </w:r>
      <w:r w:rsidRPr="00E6740A">
        <w:rPr>
          <w:rFonts w:ascii="Arial" w:hAnsi="Arial" w:cs="Arial"/>
          <w:color w:val="000000" w:themeColor="text1"/>
          <w:sz w:val="24"/>
          <w:szCs w:val="24"/>
        </w:rPr>
        <w:t xml:space="preserve"> </w:t>
      </w:r>
    </w:p>
    <w:p w:rsidR="00E178B9" w:rsidRDefault="006072C5" w:rsidP="000B16E1">
      <w:pPr>
        <w:spacing w:after="0" w:line="360" w:lineRule="auto"/>
        <w:jc w:val="both"/>
        <w:rPr>
          <w:rFonts w:ascii="Arial" w:hAnsi="Arial" w:cs="Arial"/>
          <w:color w:val="000000" w:themeColor="text1"/>
          <w:sz w:val="24"/>
          <w:szCs w:val="24"/>
        </w:rPr>
      </w:pPr>
      <w:r>
        <w:rPr>
          <w:rFonts w:ascii="Arial" w:hAnsi="Arial" w:cs="Arial"/>
          <w:color w:val="000000" w:themeColor="text1"/>
          <w:sz w:val="24"/>
          <w:szCs w:val="24"/>
        </w:rPr>
        <w:t xml:space="preserve">Mr Mahupelo </w:t>
      </w:r>
      <w:r w:rsidR="00225D16">
        <w:rPr>
          <w:rFonts w:ascii="Arial" w:hAnsi="Arial" w:cs="Arial"/>
          <w:color w:val="000000" w:themeColor="text1"/>
          <w:sz w:val="24"/>
          <w:szCs w:val="24"/>
        </w:rPr>
        <w:t>(who has been referred to in th</w:t>
      </w:r>
      <w:r w:rsidR="00935B17">
        <w:rPr>
          <w:rFonts w:ascii="Arial" w:hAnsi="Arial" w:cs="Arial"/>
          <w:color w:val="000000" w:themeColor="text1"/>
          <w:sz w:val="24"/>
          <w:szCs w:val="24"/>
        </w:rPr>
        <w:t>is</w:t>
      </w:r>
      <w:r w:rsidR="00225D16">
        <w:rPr>
          <w:rFonts w:ascii="Arial" w:hAnsi="Arial" w:cs="Arial"/>
          <w:color w:val="000000" w:themeColor="text1"/>
          <w:sz w:val="24"/>
          <w:szCs w:val="24"/>
        </w:rPr>
        <w:t xml:space="preserve"> judgment as ‘the respondent’) </w:t>
      </w:r>
      <w:r>
        <w:rPr>
          <w:rFonts w:ascii="Arial" w:hAnsi="Arial" w:cs="Arial"/>
          <w:color w:val="000000" w:themeColor="text1"/>
          <w:sz w:val="24"/>
          <w:szCs w:val="24"/>
        </w:rPr>
        <w:t>was one of the accused persons in the protracted criminal trial involving some 12</w:t>
      </w:r>
      <w:r w:rsidR="0074293E">
        <w:rPr>
          <w:rFonts w:ascii="Arial" w:hAnsi="Arial" w:cs="Arial"/>
          <w:color w:val="000000" w:themeColor="text1"/>
          <w:sz w:val="24"/>
          <w:szCs w:val="24"/>
        </w:rPr>
        <w:t>6</w:t>
      </w:r>
      <w:r>
        <w:rPr>
          <w:rFonts w:ascii="Arial" w:hAnsi="Arial" w:cs="Arial"/>
          <w:color w:val="000000" w:themeColor="text1"/>
          <w:sz w:val="24"/>
          <w:szCs w:val="24"/>
        </w:rPr>
        <w:t xml:space="preserve"> accused persons who were charged</w:t>
      </w:r>
      <w:r w:rsidR="00935B17">
        <w:rPr>
          <w:rFonts w:ascii="Arial" w:hAnsi="Arial" w:cs="Arial"/>
          <w:color w:val="000000" w:themeColor="text1"/>
          <w:sz w:val="24"/>
          <w:szCs w:val="24"/>
        </w:rPr>
        <w:t xml:space="preserve"> in the High Court of Namibia</w:t>
      </w:r>
      <w:r>
        <w:rPr>
          <w:rFonts w:ascii="Arial" w:hAnsi="Arial" w:cs="Arial"/>
          <w:color w:val="000000" w:themeColor="text1"/>
          <w:sz w:val="24"/>
          <w:szCs w:val="24"/>
        </w:rPr>
        <w:t xml:space="preserve">, amongst others, </w:t>
      </w:r>
      <w:r w:rsidR="00935B17">
        <w:rPr>
          <w:rFonts w:ascii="Arial" w:hAnsi="Arial" w:cs="Arial"/>
          <w:color w:val="000000" w:themeColor="text1"/>
          <w:sz w:val="24"/>
          <w:szCs w:val="24"/>
        </w:rPr>
        <w:t xml:space="preserve">with </w:t>
      </w:r>
      <w:r>
        <w:rPr>
          <w:rFonts w:ascii="Arial" w:hAnsi="Arial" w:cs="Arial"/>
          <w:color w:val="000000" w:themeColor="text1"/>
          <w:sz w:val="24"/>
          <w:szCs w:val="24"/>
        </w:rPr>
        <w:t>the crimes of high treason, murder, attempted murder and several other crime</w:t>
      </w:r>
      <w:r w:rsidR="00935B17">
        <w:rPr>
          <w:rFonts w:ascii="Arial" w:hAnsi="Arial" w:cs="Arial"/>
          <w:color w:val="000000" w:themeColor="text1"/>
          <w:sz w:val="24"/>
          <w:szCs w:val="24"/>
        </w:rPr>
        <w:t>s</w:t>
      </w:r>
      <w:r>
        <w:rPr>
          <w:rFonts w:ascii="Arial" w:hAnsi="Arial" w:cs="Arial"/>
          <w:color w:val="000000" w:themeColor="text1"/>
          <w:sz w:val="24"/>
          <w:szCs w:val="24"/>
        </w:rPr>
        <w:t xml:space="preserve"> and offences. </w:t>
      </w:r>
      <w:r w:rsidR="00225D16">
        <w:rPr>
          <w:rFonts w:ascii="Arial" w:hAnsi="Arial" w:cs="Arial"/>
          <w:color w:val="000000" w:themeColor="text1"/>
          <w:sz w:val="24"/>
          <w:szCs w:val="24"/>
        </w:rPr>
        <w:t xml:space="preserve">The charges stemmed from </w:t>
      </w:r>
      <w:r w:rsidR="00BD22FA">
        <w:rPr>
          <w:rFonts w:ascii="Arial" w:hAnsi="Arial" w:cs="Arial"/>
          <w:color w:val="000000" w:themeColor="text1"/>
          <w:sz w:val="24"/>
          <w:szCs w:val="24"/>
        </w:rPr>
        <w:t xml:space="preserve">activities leading to </w:t>
      </w:r>
      <w:r w:rsidR="005625F9" w:rsidRPr="005625F9">
        <w:rPr>
          <w:rFonts w:ascii="Arial" w:hAnsi="Arial"/>
          <w:sz w:val="24"/>
          <w:szCs w:val="24"/>
        </w:rPr>
        <w:t xml:space="preserve">an armed attack in and around the town of Katima Mulilo </w:t>
      </w:r>
      <w:r w:rsidR="00D94270">
        <w:rPr>
          <w:rFonts w:ascii="Arial" w:hAnsi="Arial"/>
          <w:sz w:val="24"/>
          <w:szCs w:val="24"/>
        </w:rPr>
        <w:t xml:space="preserve">in Zambezi Region </w:t>
      </w:r>
      <w:r w:rsidR="005625F9" w:rsidRPr="005625F9">
        <w:rPr>
          <w:rFonts w:ascii="Arial" w:hAnsi="Arial"/>
          <w:sz w:val="24"/>
          <w:szCs w:val="24"/>
        </w:rPr>
        <w:t>with the apparent purpose of achieving secession of the Caprivi</w:t>
      </w:r>
      <w:r w:rsidR="005625F9">
        <w:rPr>
          <w:rFonts w:ascii="Arial" w:hAnsi="Arial"/>
          <w:sz w:val="24"/>
          <w:szCs w:val="24"/>
        </w:rPr>
        <w:t xml:space="preserve"> </w:t>
      </w:r>
      <w:r w:rsidR="005625F9">
        <w:rPr>
          <w:rFonts w:ascii="Arial" w:hAnsi="Arial"/>
          <w:sz w:val="24"/>
          <w:szCs w:val="24"/>
        </w:rPr>
        <w:lastRenderedPageBreak/>
        <w:t xml:space="preserve">Region </w:t>
      </w:r>
      <w:r w:rsidR="005625F9" w:rsidRPr="005625F9">
        <w:rPr>
          <w:rFonts w:ascii="Arial" w:hAnsi="Arial"/>
          <w:sz w:val="24"/>
          <w:szCs w:val="24"/>
        </w:rPr>
        <w:t>(</w:t>
      </w:r>
      <w:r w:rsidR="00D94270">
        <w:rPr>
          <w:rFonts w:ascii="Arial" w:hAnsi="Arial"/>
          <w:sz w:val="24"/>
          <w:szCs w:val="24"/>
        </w:rPr>
        <w:t xml:space="preserve">as </w:t>
      </w:r>
      <w:r w:rsidR="005625F9" w:rsidRPr="005625F9">
        <w:rPr>
          <w:rFonts w:ascii="Arial" w:hAnsi="Arial"/>
          <w:sz w:val="24"/>
          <w:szCs w:val="24"/>
        </w:rPr>
        <w:t>Zambezi Region</w:t>
      </w:r>
      <w:r w:rsidR="00D94270">
        <w:rPr>
          <w:rFonts w:ascii="Arial" w:hAnsi="Arial"/>
          <w:sz w:val="24"/>
          <w:szCs w:val="24"/>
        </w:rPr>
        <w:t xml:space="preserve"> was then known</w:t>
      </w:r>
      <w:r w:rsidR="005625F9" w:rsidRPr="005625F9">
        <w:rPr>
          <w:rFonts w:ascii="Arial" w:hAnsi="Arial"/>
          <w:sz w:val="24"/>
          <w:szCs w:val="24"/>
        </w:rPr>
        <w:t>) from the Republic of Namibia.</w:t>
      </w:r>
      <w:r w:rsidR="005625F9">
        <w:rPr>
          <w:rFonts w:ascii="Arial" w:hAnsi="Arial"/>
          <w:sz w:val="24"/>
          <w:szCs w:val="24"/>
        </w:rPr>
        <w:t xml:space="preserve"> </w:t>
      </w:r>
      <w:r>
        <w:rPr>
          <w:rFonts w:ascii="Arial" w:hAnsi="Arial" w:cs="Arial"/>
          <w:color w:val="000000" w:themeColor="text1"/>
          <w:sz w:val="24"/>
          <w:szCs w:val="24"/>
        </w:rPr>
        <w:t>At the end of the</w:t>
      </w:r>
      <w:r w:rsidR="005625F9">
        <w:rPr>
          <w:rFonts w:ascii="Arial" w:hAnsi="Arial" w:cs="Arial"/>
          <w:color w:val="000000" w:themeColor="text1"/>
          <w:sz w:val="24"/>
          <w:szCs w:val="24"/>
        </w:rPr>
        <w:t xml:space="preserve"> prosecution case</w:t>
      </w:r>
      <w:r w:rsidR="00BD22FA">
        <w:rPr>
          <w:rFonts w:ascii="Arial" w:hAnsi="Arial" w:cs="Arial"/>
          <w:color w:val="000000" w:themeColor="text1"/>
          <w:sz w:val="24"/>
          <w:szCs w:val="24"/>
        </w:rPr>
        <w:t xml:space="preserve"> in the criminal trial, </w:t>
      </w:r>
      <w:r w:rsidR="00D94270">
        <w:rPr>
          <w:rFonts w:ascii="Arial" w:hAnsi="Arial" w:cs="Arial"/>
          <w:color w:val="000000" w:themeColor="text1"/>
          <w:sz w:val="24"/>
          <w:szCs w:val="24"/>
        </w:rPr>
        <w:t xml:space="preserve">Mr Mahupelo </w:t>
      </w:r>
      <w:r w:rsidR="005625F9">
        <w:rPr>
          <w:rFonts w:ascii="Arial" w:hAnsi="Arial" w:cs="Arial"/>
          <w:color w:val="000000" w:themeColor="text1"/>
          <w:sz w:val="24"/>
          <w:szCs w:val="24"/>
        </w:rPr>
        <w:t xml:space="preserve">was discharged as the prosecution failed to establish a case against him. He </w:t>
      </w:r>
      <w:r w:rsidR="00D94270">
        <w:rPr>
          <w:rFonts w:ascii="Arial" w:hAnsi="Arial" w:cs="Arial"/>
          <w:color w:val="000000" w:themeColor="text1"/>
          <w:sz w:val="24"/>
          <w:szCs w:val="24"/>
        </w:rPr>
        <w:t xml:space="preserve">later </w:t>
      </w:r>
      <w:r w:rsidR="005625F9">
        <w:rPr>
          <w:rFonts w:ascii="Arial" w:hAnsi="Arial" w:cs="Arial"/>
          <w:color w:val="000000" w:themeColor="text1"/>
          <w:sz w:val="24"/>
          <w:szCs w:val="24"/>
        </w:rPr>
        <w:t>sued the Minister of Safety and Security, the Prosecutor-General and the Government of Namibia</w:t>
      </w:r>
      <w:r w:rsidR="0074293E">
        <w:rPr>
          <w:rFonts w:ascii="Arial" w:hAnsi="Arial" w:cs="Arial"/>
          <w:color w:val="000000" w:themeColor="text1"/>
          <w:sz w:val="24"/>
          <w:szCs w:val="24"/>
        </w:rPr>
        <w:t xml:space="preserve"> (the defendants)</w:t>
      </w:r>
      <w:r w:rsidR="005625F9">
        <w:rPr>
          <w:rFonts w:ascii="Arial" w:hAnsi="Arial" w:cs="Arial"/>
          <w:color w:val="000000" w:themeColor="text1"/>
          <w:sz w:val="24"/>
          <w:szCs w:val="24"/>
        </w:rPr>
        <w:t xml:space="preserve"> for wrongful and malicious institution of the prosecution</w:t>
      </w:r>
      <w:r w:rsidR="0074293E">
        <w:rPr>
          <w:rFonts w:ascii="Arial" w:hAnsi="Arial" w:cs="Arial"/>
          <w:color w:val="000000" w:themeColor="text1"/>
          <w:sz w:val="24"/>
          <w:szCs w:val="24"/>
        </w:rPr>
        <w:t>, claiming N$15 321 400 in damages from the</w:t>
      </w:r>
      <w:r w:rsidR="00D94270">
        <w:rPr>
          <w:rFonts w:ascii="Arial" w:hAnsi="Arial" w:cs="Arial"/>
          <w:color w:val="000000" w:themeColor="text1"/>
          <w:sz w:val="24"/>
          <w:szCs w:val="24"/>
        </w:rPr>
        <w:t>m</w:t>
      </w:r>
      <w:r w:rsidR="0074293E">
        <w:rPr>
          <w:rFonts w:ascii="Arial" w:hAnsi="Arial" w:cs="Arial"/>
          <w:color w:val="000000" w:themeColor="text1"/>
          <w:sz w:val="24"/>
          <w:szCs w:val="24"/>
        </w:rPr>
        <w:t xml:space="preserve">. The main claim of </w:t>
      </w:r>
      <w:r w:rsidR="00D94270">
        <w:rPr>
          <w:rFonts w:ascii="Arial" w:hAnsi="Arial" w:cs="Arial"/>
          <w:color w:val="000000" w:themeColor="text1"/>
          <w:sz w:val="24"/>
          <w:szCs w:val="24"/>
        </w:rPr>
        <w:t xml:space="preserve">the </w:t>
      </w:r>
      <w:r w:rsidR="0074293E">
        <w:rPr>
          <w:rFonts w:ascii="Arial" w:hAnsi="Arial" w:cs="Arial"/>
          <w:color w:val="000000" w:themeColor="text1"/>
          <w:sz w:val="24"/>
          <w:szCs w:val="24"/>
        </w:rPr>
        <w:t xml:space="preserve">institution of the prosecution was amended to introduce an alternative claim for the wrongful and malicious continuation of the prosecution. The High Court dismissed the claim for the wrongful and malicious institution of the prosecution, but upheld the alternative claim for the </w:t>
      </w:r>
      <w:r w:rsidR="004E07D7">
        <w:rPr>
          <w:rFonts w:ascii="Arial" w:hAnsi="Arial" w:cs="Arial"/>
          <w:color w:val="000000" w:themeColor="text1"/>
          <w:sz w:val="24"/>
          <w:szCs w:val="24"/>
        </w:rPr>
        <w:t>‘</w:t>
      </w:r>
      <w:r w:rsidR="0074293E">
        <w:rPr>
          <w:rFonts w:ascii="Arial" w:hAnsi="Arial" w:cs="Arial"/>
          <w:color w:val="000000" w:themeColor="text1"/>
          <w:sz w:val="24"/>
          <w:szCs w:val="24"/>
        </w:rPr>
        <w:t>malicious continuation of the prosecution</w:t>
      </w:r>
      <w:r w:rsidR="00E178B9">
        <w:rPr>
          <w:rFonts w:ascii="Arial" w:hAnsi="Arial" w:cs="Arial"/>
          <w:color w:val="000000" w:themeColor="text1"/>
          <w:sz w:val="24"/>
          <w:szCs w:val="24"/>
        </w:rPr>
        <w:t xml:space="preserve"> without reasonable and probable cause</w:t>
      </w:r>
      <w:r w:rsidR="0074293E">
        <w:rPr>
          <w:rFonts w:ascii="Arial" w:hAnsi="Arial" w:cs="Arial"/>
          <w:color w:val="000000" w:themeColor="text1"/>
          <w:sz w:val="24"/>
          <w:szCs w:val="24"/>
        </w:rPr>
        <w:t>.</w:t>
      </w:r>
      <w:r w:rsidR="004E07D7">
        <w:rPr>
          <w:rFonts w:ascii="Arial" w:hAnsi="Arial" w:cs="Arial"/>
          <w:color w:val="000000" w:themeColor="text1"/>
          <w:sz w:val="24"/>
          <w:szCs w:val="24"/>
        </w:rPr>
        <w:t>’</w:t>
      </w:r>
      <w:r w:rsidR="0074293E">
        <w:rPr>
          <w:rFonts w:ascii="Arial" w:hAnsi="Arial" w:cs="Arial"/>
          <w:color w:val="000000" w:themeColor="text1"/>
          <w:sz w:val="24"/>
          <w:szCs w:val="24"/>
        </w:rPr>
        <w:t xml:space="preserve"> </w:t>
      </w:r>
      <w:r w:rsidR="00211EB3">
        <w:rPr>
          <w:rFonts w:ascii="Arial" w:hAnsi="Arial" w:cs="Arial"/>
          <w:color w:val="000000" w:themeColor="text1"/>
          <w:sz w:val="24"/>
          <w:szCs w:val="24"/>
        </w:rPr>
        <w:t xml:space="preserve">The High Court held that as the delict of ‘malicious continuation of a prosecution’ was not known at common law, it had to develop the common law in line with the constitutional ethos to accommodate the delict. It </w:t>
      </w:r>
      <w:r w:rsidR="00BD22FA">
        <w:rPr>
          <w:rFonts w:ascii="Arial" w:hAnsi="Arial" w:cs="Arial"/>
          <w:color w:val="000000" w:themeColor="text1"/>
          <w:sz w:val="24"/>
          <w:szCs w:val="24"/>
        </w:rPr>
        <w:t>accordingly developed the common law and h</w:t>
      </w:r>
      <w:r w:rsidR="00211EB3">
        <w:rPr>
          <w:rFonts w:ascii="Arial" w:hAnsi="Arial" w:cs="Arial"/>
          <w:color w:val="000000" w:themeColor="text1"/>
          <w:sz w:val="24"/>
          <w:szCs w:val="24"/>
        </w:rPr>
        <w:t>e</w:t>
      </w:r>
      <w:r w:rsidR="00BD22FA">
        <w:rPr>
          <w:rFonts w:ascii="Arial" w:hAnsi="Arial" w:cs="Arial"/>
          <w:color w:val="000000" w:themeColor="text1"/>
          <w:sz w:val="24"/>
          <w:szCs w:val="24"/>
        </w:rPr>
        <w:t>ld that the</w:t>
      </w:r>
      <w:r w:rsidR="00211EB3">
        <w:rPr>
          <w:rFonts w:ascii="Arial" w:hAnsi="Arial" w:cs="Arial"/>
          <w:color w:val="000000" w:themeColor="text1"/>
          <w:sz w:val="24"/>
          <w:szCs w:val="24"/>
        </w:rPr>
        <w:t xml:space="preserve"> Prosecutor-General (the PG) </w:t>
      </w:r>
      <w:r w:rsidR="00BD22FA">
        <w:rPr>
          <w:rFonts w:ascii="Arial" w:hAnsi="Arial" w:cs="Arial"/>
          <w:color w:val="000000" w:themeColor="text1"/>
          <w:sz w:val="24"/>
          <w:szCs w:val="24"/>
        </w:rPr>
        <w:t>was liable for maliciously maintaining the prosecution after 2011 when it became clear that the State had no evidence leading to the respondent’s conviction.</w:t>
      </w:r>
      <w:r w:rsidR="00211EB3">
        <w:rPr>
          <w:rFonts w:ascii="Arial" w:hAnsi="Arial" w:cs="Arial"/>
          <w:color w:val="000000" w:themeColor="text1"/>
          <w:sz w:val="24"/>
          <w:szCs w:val="24"/>
        </w:rPr>
        <w:t xml:space="preserve">   </w:t>
      </w:r>
    </w:p>
    <w:p w:rsidR="00E178B9" w:rsidRDefault="00E178B9" w:rsidP="000B16E1">
      <w:pPr>
        <w:spacing w:after="0" w:line="360" w:lineRule="auto"/>
        <w:jc w:val="both"/>
        <w:rPr>
          <w:rFonts w:ascii="Arial" w:hAnsi="Arial" w:cs="Arial"/>
          <w:color w:val="000000" w:themeColor="text1"/>
          <w:sz w:val="24"/>
          <w:szCs w:val="24"/>
        </w:rPr>
      </w:pPr>
    </w:p>
    <w:p w:rsidR="00AC4877" w:rsidRDefault="00E178B9" w:rsidP="000B16E1">
      <w:pPr>
        <w:spacing w:after="0" w:line="360" w:lineRule="auto"/>
        <w:jc w:val="both"/>
        <w:rPr>
          <w:rFonts w:ascii="Arial" w:hAnsi="Arial" w:cs="Arial"/>
          <w:color w:val="000000" w:themeColor="text1"/>
          <w:sz w:val="24"/>
          <w:szCs w:val="24"/>
        </w:rPr>
      </w:pPr>
      <w:r>
        <w:rPr>
          <w:rFonts w:ascii="Arial" w:hAnsi="Arial" w:cs="Arial"/>
          <w:color w:val="000000" w:themeColor="text1"/>
          <w:sz w:val="24"/>
          <w:szCs w:val="24"/>
        </w:rPr>
        <w:t>The defendants</w:t>
      </w:r>
      <w:r w:rsidR="004E07D7">
        <w:rPr>
          <w:rFonts w:ascii="Arial" w:hAnsi="Arial" w:cs="Arial"/>
          <w:color w:val="000000" w:themeColor="text1"/>
          <w:sz w:val="24"/>
          <w:szCs w:val="24"/>
        </w:rPr>
        <w:t xml:space="preserve"> - now appellants -</w:t>
      </w:r>
      <w:r>
        <w:rPr>
          <w:rFonts w:ascii="Arial" w:hAnsi="Arial" w:cs="Arial"/>
          <w:color w:val="000000" w:themeColor="text1"/>
          <w:sz w:val="24"/>
          <w:szCs w:val="24"/>
        </w:rPr>
        <w:t xml:space="preserve"> have appealed to the Supreme Court against the decision of the High Court. The appellants argued, amongst other things, that the High Court was wrong to have found that </w:t>
      </w:r>
      <w:r w:rsidR="004122C4">
        <w:rPr>
          <w:rFonts w:ascii="Arial" w:hAnsi="Arial" w:cs="Arial"/>
          <w:color w:val="000000" w:themeColor="text1"/>
          <w:sz w:val="24"/>
          <w:szCs w:val="24"/>
        </w:rPr>
        <w:t xml:space="preserve">the prosecutors who were delegated by the </w:t>
      </w:r>
      <w:r w:rsidR="00211EB3">
        <w:rPr>
          <w:rFonts w:ascii="Arial" w:hAnsi="Arial" w:cs="Arial"/>
          <w:color w:val="000000" w:themeColor="text1"/>
          <w:sz w:val="24"/>
          <w:szCs w:val="24"/>
        </w:rPr>
        <w:t>PG</w:t>
      </w:r>
      <w:r w:rsidR="004E07D7">
        <w:rPr>
          <w:rFonts w:ascii="Arial" w:hAnsi="Arial" w:cs="Arial"/>
          <w:color w:val="000000" w:themeColor="text1"/>
          <w:sz w:val="24"/>
          <w:szCs w:val="24"/>
        </w:rPr>
        <w:t xml:space="preserve"> </w:t>
      </w:r>
      <w:r w:rsidR="004122C4">
        <w:rPr>
          <w:rFonts w:ascii="Arial" w:hAnsi="Arial" w:cs="Arial"/>
          <w:color w:val="000000" w:themeColor="text1"/>
          <w:sz w:val="24"/>
          <w:szCs w:val="24"/>
        </w:rPr>
        <w:t xml:space="preserve">to prosecute Mr Mahupelo had </w:t>
      </w:r>
      <w:r>
        <w:rPr>
          <w:rFonts w:ascii="Arial" w:hAnsi="Arial" w:cs="Arial"/>
          <w:color w:val="000000" w:themeColor="text1"/>
          <w:sz w:val="24"/>
          <w:szCs w:val="24"/>
        </w:rPr>
        <w:t>no reasonable and probable cause to prosecute</w:t>
      </w:r>
      <w:r w:rsidR="004E07D7">
        <w:rPr>
          <w:rFonts w:ascii="Arial" w:hAnsi="Arial" w:cs="Arial"/>
          <w:color w:val="000000" w:themeColor="text1"/>
          <w:sz w:val="24"/>
          <w:szCs w:val="24"/>
        </w:rPr>
        <w:t xml:space="preserve"> him and that the PG was therefore liable for damages</w:t>
      </w:r>
      <w:r>
        <w:rPr>
          <w:rFonts w:ascii="Arial" w:hAnsi="Arial" w:cs="Arial"/>
          <w:color w:val="000000" w:themeColor="text1"/>
          <w:sz w:val="24"/>
          <w:szCs w:val="24"/>
        </w:rPr>
        <w:t>.</w:t>
      </w:r>
      <w:r w:rsidR="004E07D7">
        <w:rPr>
          <w:rFonts w:ascii="Arial" w:hAnsi="Arial" w:cs="Arial"/>
          <w:color w:val="000000" w:themeColor="text1"/>
          <w:sz w:val="24"/>
          <w:szCs w:val="24"/>
        </w:rPr>
        <w:t xml:space="preserve"> The appellants argued that there was ample evidence during the criminal trial </w:t>
      </w:r>
      <w:r w:rsidR="00AC4877">
        <w:rPr>
          <w:rFonts w:ascii="Arial" w:hAnsi="Arial" w:cs="Arial"/>
          <w:color w:val="000000" w:themeColor="text1"/>
          <w:sz w:val="24"/>
          <w:szCs w:val="24"/>
        </w:rPr>
        <w:t xml:space="preserve">implicating </w:t>
      </w:r>
      <w:r w:rsidR="004E07D7">
        <w:rPr>
          <w:rFonts w:ascii="Arial" w:hAnsi="Arial" w:cs="Arial"/>
          <w:color w:val="000000" w:themeColor="text1"/>
          <w:sz w:val="24"/>
          <w:szCs w:val="24"/>
        </w:rPr>
        <w:t xml:space="preserve">Mr Mahupelo </w:t>
      </w:r>
      <w:r w:rsidR="00AC4877">
        <w:rPr>
          <w:rFonts w:ascii="Arial" w:hAnsi="Arial" w:cs="Arial"/>
          <w:color w:val="000000" w:themeColor="text1"/>
          <w:sz w:val="24"/>
          <w:szCs w:val="24"/>
        </w:rPr>
        <w:t>in the commission of the crimes and offences and on the basis of which it could have been found that there was reasonable and probable cause to continue with his prosecution.</w:t>
      </w:r>
    </w:p>
    <w:p w:rsidR="00D94270" w:rsidRDefault="00D94270" w:rsidP="000B16E1">
      <w:pPr>
        <w:spacing w:after="0" w:line="360" w:lineRule="auto"/>
        <w:jc w:val="both"/>
        <w:rPr>
          <w:rFonts w:ascii="Arial" w:hAnsi="Arial" w:cs="Arial"/>
          <w:color w:val="000000" w:themeColor="text1"/>
          <w:sz w:val="24"/>
          <w:szCs w:val="24"/>
        </w:rPr>
      </w:pPr>
    </w:p>
    <w:p w:rsidR="00D94270" w:rsidRDefault="00AC4877" w:rsidP="000B16E1">
      <w:pPr>
        <w:spacing w:after="0" w:line="360" w:lineRule="auto"/>
        <w:jc w:val="both"/>
        <w:rPr>
          <w:rFonts w:ascii="Arial" w:hAnsi="Arial" w:cs="Arial"/>
          <w:color w:val="000000" w:themeColor="text1"/>
          <w:sz w:val="24"/>
          <w:szCs w:val="24"/>
        </w:rPr>
      </w:pPr>
      <w:r>
        <w:rPr>
          <w:rFonts w:ascii="Arial" w:hAnsi="Arial" w:cs="Arial"/>
          <w:color w:val="000000" w:themeColor="text1"/>
          <w:sz w:val="24"/>
          <w:szCs w:val="24"/>
        </w:rPr>
        <w:t xml:space="preserve">The Supreme Court agreed with the appellants’ argument that there was reasonable and probable cause to have continued with the prosecution of </w:t>
      </w:r>
      <w:r w:rsidR="00211EB3">
        <w:rPr>
          <w:rFonts w:ascii="Arial" w:hAnsi="Arial" w:cs="Arial"/>
          <w:color w:val="000000" w:themeColor="text1"/>
          <w:sz w:val="24"/>
          <w:szCs w:val="24"/>
        </w:rPr>
        <w:t>Mr Mahupelo. The Supreme Court reasoned that</w:t>
      </w:r>
      <w:r w:rsidR="0031685E">
        <w:rPr>
          <w:rFonts w:ascii="Arial" w:hAnsi="Arial" w:cs="Arial"/>
          <w:color w:val="000000" w:themeColor="text1"/>
          <w:sz w:val="24"/>
          <w:szCs w:val="24"/>
        </w:rPr>
        <w:t xml:space="preserve"> the High Court had adopted a wrong approach to the consideration of the evidence against the respondent</w:t>
      </w:r>
      <w:r w:rsidR="00D94270">
        <w:rPr>
          <w:rFonts w:ascii="Arial" w:hAnsi="Arial" w:cs="Arial"/>
          <w:color w:val="000000" w:themeColor="text1"/>
          <w:sz w:val="24"/>
          <w:szCs w:val="24"/>
        </w:rPr>
        <w:t xml:space="preserve"> led during the civil claim</w:t>
      </w:r>
      <w:r w:rsidR="0031685E">
        <w:rPr>
          <w:rFonts w:ascii="Arial" w:hAnsi="Arial" w:cs="Arial"/>
          <w:color w:val="000000" w:themeColor="text1"/>
          <w:sz w:val="24"/>
          <w:szCs w:val="24"/>
        </w:rPr>
        <w:t xml:space="preserve">, pointing out that the evidence and considerations necessary in establishing whether there was reasonable and probable cause and the lack of malice (as the law requires) to continue with the </w:t>
      </w:r>
      <w:r w:rsidR="0031685E">
        <w:rPr>
          <w:rFonts w:ascii="Arial" w:hAnsi="Arial" w:cs="Arial"/>
          <w:color w:val="000000" w:themeColor="text1"/>
          <w:sz w:val="24"/>
          <w:szCs w:val="24"/>
        </w:rPr>
        <w:lastRenderedPageBreak/>
        <w:t>prosecution were different from those necessary to prove the guilt of an accused person</w:t>
      </w:r>
      <w:r w:rsidR="00D94270">
        <w:rPr>
          <w:rFonts w:ascii="Arial" w:hAnsi="Arial" w:cs="Arial"/>
          <w:color w:val="000000" w:themeColor="text1"/>
          <w:sz w:val="24"/>
          <w:szCs w:val="24"/>
        </w:rPr>
        <w:t xml:space="preserve"> in a criminal trial</w:t>
      </w:r>
      <w:r w:rsidR="0031685E">
        <w:rPr>
          <w:rFonts w:ascii="Arial" w:hAnsi="Arial" w:cs="Arial"/>
          <w:color w:val="000000" w:themeColor="text1"/>
          <w:sz w:val="24"/>
          <w:szCs w:val="24"/>
        </w:rPr>
        <w:t xml:space="preserve">. After evaluating the evidence as a whole, the Supreme Court </w:t>
      </w:r>
      <w:r w:rsidR="00D94270">
        <w:rPr>
          <w:rFonts w:ascii="Arial" w:hAnsi="Arial" w:cs="Arial"/>
          <w:color w:val="000000" w:themeColor="text1"/>
          <w:sz w:val="24"/>
          <w:szCs w:val="24"/>
        </w:rPr>
        <w:t>held</w:t>
      </w:r>
      <w:r w:rsidR="0031685E">
        <w:rPr>
          <w:rFonts w:ascii="Arial" w:hAnsi="Arial" w:cs="Arial"/>
          <w:color w:val="000000" w:themeColor="text1"/>
          <w:sz w:val="24"/>
          <w:szCs w:val="24"/>
        </w:rPr>
        <w:t xml:space="preserve"> that there was evidence establishing reasonable and probable cause</w:t>
      </w:r>
      <w:r w:rsidR="00D63DD1">
        <w:rPr>
          <w:rFonts w:ascii="Arial" w:hAnsi="Arial" w:cs="Arial"/>
          <w:color w:val="000000" w:themeColor="text1"/>
          <w:sz w:val="24"/>
          <w:szCs w:val="24"/>
        </w:rPr>
        <w:t xml:space="preserve"> as well </w:t>
      </w:r>
      <w:r w:rsidR="00A77758">
        <w:rPr>
          <w:rFonts w:ascii="Arial" w:hAnsi="Arial" w:cs="Arial"/>
          <w:color w:val="000000" w:themeColor="text1"/>
          <w:sz w:val="24"/>
          <w:szCs w:val="24"/>
        </w:rPr>
        <w:t xml:space="preserve">as </w:t>
      </w:r>
      <w:r w:rsidR="00D63DD1">
        <w:rPr>
          <w:rFonts w:ascii="Arial" w:hAnsi="Arial" w:cs="Arial"/>
          <w:color w:val="000000" w:themeColor="text1"/>
          <w:sz w:val="24"/>
          <w:szCs w:val="24"/>
        </w:rPr>
        <w:t>the lack of malice</w:t>
      </w:r>
      <w:r w:rsidR="0031685E">
        <w:rPr>
          <w:rFonts w:ascii="Arial" w:hAnsi="Arial" w:cs="Arial"/>
          <w:color w:val="000000" w:themeColor="text1"/>
          <w:sz w:val="24"/>
          <w:szCs w:val="24"/>
        </w:rPr>
        <w:t xml:space="preserve"> in the prosecution of Mr Mahupelo. </w:t>
      </w:r>
    </w:p>
    <w:p w:rsidR="00D94270" w:rsidRDefault="00D94270" w:rsidP="000B16E1">
      <w:pPr>
        <w:spacing w:after="0" w:line="360" w:lineRule="auto"/>
        <w:jc w:val="both"/>
        <w:rPr>
          <w:rFonts w:ascii="Arial" w:hAnsi="Arial" w:cs="Arial"/>
          <w:color w:val="000000" w:themeColor="text1"/>
          <w:sz w:val="24"/>
          <w:szCs w:val="24"/>
        </w:rPr>
      </w:pPr>
    </w:p>
    <w:p w:rsidR="003A6194" w:rsidRDefault="003A6194" w:rsidP="000B16E1">
      <w:pPr>
        <w:spacing w:after="0" w:line="360" w:lineRule="auto"/>
        <w:jc w:val="both"/>
        <w:rPr>
          <w:rFonts w:ascii="Arial" w:hAnsi="Arial" w:cs="Arial"/>
          <w:color w:val="000000" w:themeColor="text1"/>
          <w:sz w:val="24"/>
          <w:szCs w:val="24"/>
        </w:rPr>
      </w:pPr>
      <w:r>
        <w:rPr>
          <w:rFonts w:ascii="Arial" w:hAnsi="Arial" w:cs="Arial"/>
          <w:color w:val="000000" w:themeColor="text1"/>
          <w:sz w:val="24"/>
          <w:szCs w:val="24"/>
        </w:rPr>
        <w:t>In the High Court</w:t>
      </w:r>
      <w:r w:rsidR="00573891">
        <w:rPr>
          <w:rFonts w:ascii="Arial" w:hAnsi="Arial" w:cs="Arial"/>
          <w:color w:val="000000" w:themeColor="text1"/>
          <w:sz w:val="24"/>
          <w:szCs w:val="24"/>
        </w:rPr>
        <w:t>,</w:t>
      </w:r>
      <w:r>
        <w:rPr>
          <w:rFonts w:ascii="Arial" w:hAnsi="Arial" w:cs="Arial"/>
          <w:color w:val="000000" w:themeColor="text1"/>
          <w:sz w:val="24"/>
          <w:szCs w:val="24"/>
        </w:rPr>
        <w:t xml:space="preserve"> Mr Mahupelo pleaded that if his claim for malicious continuation of the prosecution did not succeed, then the court should award him constitutional damages for the violation of his rights. This issue was, however, not decided by the High Court as that court found that the claim for malicious maintenance of the prosecution was well founded. The Supreme Court held that it was inappropriate for this alternative claim to be decided by it for the first and final time as a party who </w:t>
      </w:r>
      <w:r w:rsidR="005F3DA1">
        <w:rPr>
          <w:rFonts w:ascii="Arial" w:hAnsi="Arial" w:cs="Arial"/>
          <w:color w:val="000000" w:themeColor="text1"/>
          <w:sz w:val="24"/>
          <w:szCs w:val="24"/>
        </w:rPr>
        <w:t>may be</w:t>
      </w:r>
      <w:r>
        <w:rPr>
          <w:rFonts w:ascii="Arial" w:hAnsi="Arial" w:cs="Arial"/>
          <w:color w:val="000000" w:themeColor="text1"/>
          <w:sz w:val="24"/>
          <w:szCs w:val="24"/>
        </w:rPr>
        <w:t xml:space="preserve"> dissatisfied with its decision in this regard will not have a chance to appeal. It has accordingly </w:t>
      </w:r>
      <w:r w:rsidR="00D94270">
        <w:rPr>
          <w:rFonts w:ascii="Arial" w:hAnsi="Arial" w:cs="Arial"/>
          <w:color w:val="000000" w:themeColor="text1"/>
          <w:sz w:val="24"/>
          <w:szCs w:val="24"/>
        </w:rPr>
        <w:t xml:space="preserve">declined to decide the issue and </w:t>
      </w:r>
      <w:r>
        <w:rPr>
          <w:rFonts w:ascii="Arial" w:hAnsi="Arial" w:cs="Arial"/>
          <w:color w:val="000000" w:themeColor="text1"/>
          <w:sz w:val="24"/>
          <w:szCs w:val="24"/>
        </w:rPr>
        <w:t>referr</w:t>
      </w:r>
      <w:r w:rsidR="00A77758">
        <w:rPr>
          <w:rFonts w:ascii="Arial" w:hAnsi="Arial" w:cs="Arial"/>
          <w:color w:val="000000" w:themeColor="text1"/>
          <w:sz w:val="24"/>
          <w:szCs w:val="24"/>
        </w:rPr>
        <w:t>ed the matter back to the High C</w:t>
      </w:r>
      <w:r>
        <w:rPr>
          <w:rFonts w:ascii="Arial" w:hAnsi="Arial" w:cs="Arial"/>
          <w:color w:val="000000" w:themeColor="text1"/>
          <w:sz w:val="24"/>
          <w:szCs w:val="24"/>
        </w:rPr>
        <w:t>ourt for that court to decide</w:t>
      </w:r>
      <w:r w:rsidR="00D94270">
        <w:rPr>
          <w:rFonts w:ascii="Arial" w:hAnsi="Arial" w:cs="Arial"/>
          <w:color w:val="000000" w:themeColor="text1"/>
          <w:sz w:val="24"/>
          <w:szCs w:val="24"/>
        </w:rPr>
        <w:t xml:space="preserve"> it</w:t>
      </w:r>
      <w:r>
        <w:rPr>
          <w:rFonts w:ascii="Arial" w:hAnsi="Arial" w:cs="Arial"/>
          <w:color w:val="000000" w:themeColor="text1"/>
          <w:sz w:val="24"/>
          <w:szCs w:val="24"/>
        </w:rPr>
        <w:t xml:space="preserve"> first.  </w:t>
      </w:r>
      <w:r w:rsidR="0031685E">
        <w:rPr>
          <w:rFonts w:ascii="Arial" w:hAnsi="Arial" w:cs="Arial"/>
          <w:color w:val="000000" w:themeColor="text1"/>
          <w:sz w:val="24"/>
          <w:szCs w:val="24"/>
        </w:rPr>
        <w:t xml:space="preserve"> </w:t>
      </w:r>
    </w:p>
    <w:p w:rsidR="003A6194" w:rsidRDefault="003A6194" w:rsidP="000B16E1">
      <w:pPr>
        <w:spacing w:after="0" w:line="360" w:lineRule="auto"/>
        <w:jc w:val="both"/>
        <w:rPr>
          <w:rFonts w:ascii="Arial" w:hAnsi="Arial" w:cs="Arial"/>
          <w:color w:val="000000" w:themeColor="text1"/>
          <w:sz w:val="24"/>
          <w:szCs w:val="24"/>
        </w:rPr>
      </w:pPr>
    </w:p>
    <w:p w:rsidR="006072C5" w:rsidRPr="00E6740A" w:rsidRDefault="00AC4877" w:rsidP="000B16E1">
      <w:pPr>
        <w:spacing w:after="0" w:line="360" w:lineRule="auto"/>
        <w:jc w:val="both"/>
        <w:rPr>
          <w:rFonts w:ascii="Arial" w:hAnsi="Arial" w:cs="Arial"/>
          <w:color w:val="000000" w:themeColor="text1"/>
          <w:sz w:val="24"/>
          <w:szCs w:val="24"/>
          <w:lang w:val="en-GB"/>
        </w:rPr>
      </w:pPr>
      <w:r>
        <w:rPr>
          <w:rFonts w:ascii="Arial" w:hAnsi="Arial" w:cs="Arial"/>
          <w:color w:val="000000" w:themeColor="text1"/>
          <w:sz w:val="24"/>
          <w:szCs w:val="24"/>
        </w:rPr>
        <w:t xml:space="preserve"> </w:t>
      </w:r>
      <w:r w:rsidR="004E07D7">
        <w:rPr>
          <w:rFonts w:ascii="Arial" w:hAnsi="Arial" w:cs="Arial"/>
          <w:color w:val="000000" w:themeColor="text1"/>
          <w:sz w:val="24"/>
          <w:szCs w:val="24"/>
        </w:rPr>
        <w:t xml:space="preserve"> </w:t>
      </w:r>
      <w:r w:rsidR="00E178B9">
        <w:rPr>
          <w:rFonts w:ascii="Arial" w:hAnsi="Arial" w:cs="Arial"/>
          <w:color w:val="000000" w:themeColor="text1"/>
          <w:sz w:val="24"/>
          <w:szCs w:val="24"/>
        </w:rPr>
        <w:t xml:space="preserve">    </w:t>
      </w:r>
      <w:r w:rsidR="0074293E">
        <w:rPr>
          <w:rFonts w:ascii="Arial" w:hAnsi="Arial" w:cs="Arial"/>
          <w:color w:val="000000" w:themeColor="text1"/>
          <w:sz w:val="24"/>
          <w:szCs w:val="24"/>
        </w:rPr>
        <w:t xml:space="preserve">      </w:t>
      </w:r>
      <w:r w:rsidR="005625F9">
        <w:rPr>
          <w:rFonts w:ascii="Arial" w:hAnsi="Arial" w:cs="Arial"/>
          <w:color w:val="000000" w:themeColor="text1"/>
          <w:sz w:val="24"/>
          <w:szCs w:val="24"/>
        </w:rPr>
        <w:t xml:space="preserve">  </w:t>
      </w:r>
      <w:r w:rsidR="006072C5">
        <w:rPr>
          <w:rFonts w:ascii="Arial" w:hAnsi="Arial" w:cs="Arial"/>
          <w:color w:val="000000" w:themeColor="text1"/>
          <w:sz w:val="24"/>
          <w:szCs w:val="24"/>
        </w:rPr>
        <w:t xml:space="preserve">         </w:t>
      </w:r>
    </w:p>
    <w:p w:rsidR="000B16E1" w:rsidRPr="00E6740A" w:rsidRDefault="000B16E1" w:rsidP="000B16E1">
      <w:pPr>
        <w:pBdr>
          <w:top w:val="single" w:sz="12" w:space="1" w:color="auto"/>
          <w:bottom w:val="single" w:sz="12" w:space="1" w:color="auto"/>
        </w:pBdr>
        <w:spacing w:after="0" w:line="276" w:lineRule="auto"/>
        <w:jc w:val="center"/>
        <w:rPr>
          <w:rFonts w:ascii="Arial" w:hAnsi="Arial" w:cs="Arial"/>
          <w:b/>
          <w:color w:val="000000" w:themeColor="text1"/>
          <w:sz w:val="24"/>
          <w:szCs w:val="24"/>
        </w:rPr>
      </w:pPr>
    </w:p>
    <w:p w:rsidR="000B16E1" w:rsidRPr="00E6740A" w:rsidRDefault="000B16E1" w:rsidP="000B16E1">
      <w:pPr>
        <w:pBdr>
          <w:top w:val="single" w:sz="12" w:space="1" w:color="auto"/>
          <w:bottom w:val="single" w:sz="12" w:space="1" w:color="auto"/>
        </w:pBdr>
        <w:spacing w:after="0" w:line="276" w:lineRule="auto"/>
        <w:jc w:val="center"/>
        <w:rPr>
          <w:rFonts w:ascii="Arial" w:hAnsi="Arial" w:cs="Arial"/>
          <w:b/>
          <w:color w:val="000000" w:themeColor="text1"/>
          <w:sz w:val="24"/>
          <w:szCs w:val="24"/>
        </w:rPr>
      </w:pPr>
      <w:r>
        <w:rPr>
          <w:rFonts w:ascii="Arial" w:hAnsi="Arial" w:cs="Arial"/>
          <w:b/>
          <w:color w:val="000000" w:themeColor="text1"/>
          <w:sz w:val="24"/>
          <w:szCs w:val="24"/>
        </w:rPr>
        <w:t xml:space="preserve">APPEAL JUDGMENT  </w:t>
      </w:r>
    </w:p>
    <w:p w:rsidR="000B16E1" w:rsidRPr="00E6740A" w:rsidRDefault="000B16E1" w:rsidP="000B16E1">
      <w:pPr>
        <w:pBdr>
          <w:top w:val="single" w:sz="12" w:space="1" w:color="auto"/>
          <w:bottom w:val="single" w:sz="12" w:space="1" w:color="auto"/>
        </w:pBdr>
        <w:spacing w:after="0" w:line="276" w:lineRule="auto"/>
        <w:jc w:val="center"/>
        <w:rPr>
          <w:rFonts w:ascii="Arial" w:hAnsi="Arial" w:cs="Arial"/>
          <w:b/>
          <w:color w:val="000000" w:themeColor="text1"/>
          <w:sz w:val="24"/>
          <w:szCs w:val="24"/>
        </w:rPr>
      </w:pPr>
    </w:p>
    <w:p w:rsidR="000B16E1" w:rsidRPr="00E6740A" w:rsidRDefault="000B16E1" w:rsidP="000B16E1">
      <w:pPr>
        <w:spacing w:after="0" w:line="480" w:lineRule="auto"/>
        <w:ind w:hanging="3600"/>
        <w:jc w:val="both"/>
        <w:rPr>
          <w:rFonts w:ascii="Arial" w:hAnsi="Arial" w:cs="Arial"/>
          <w:color w:val="000000" w:themeColor="text1"/>
          <w:sz w:val="24"/>
          <w:szCs w:val="24"/>
        </w:rPr>
      </w:pPr>
    </w:p>
    <w:p w:rsidR="000B16E1" w:rsidRPr="00E6740A" w:rsidRDefault="000B16E1" w:rsidP="000B16E1">
      <w:pPr>
        <w:spacing w:after="0" w:line="480" w:lineRule="auto"/>
        <w:jc w:val="both"/>
        <w:rPr>
          <w:rFonts w:ascii="Arial" w:hAnsi="Arial" w:cs="Arial"/>
          <w:color w:val="000000" w:themeColor="text1"/>
          <w:sz w:val="24"/>
          <w:szCs w:val="24"/>
        </w:rPr>
      </w:pPr>
      <w:r w:rsidRPr="00E6740A">
        <w:rPr>
          <w:rFonts w:ascii="Arial" w:hAnsi="Arial" w:cs="Arial"/>
          <w:color w:val="000000" w:themeColor="text1"/>
          <w:sz w:val="24"/>
          <w:szCs w:val="24"/>
        </w:rPr>
        <w:t>SHIVUTE CJ (CHOMBA AJA &amp; MOKGORO AJA concurring)</w:t>
      </w:r>
      <w:r w:rsidR="003A6194">
        <w:rPr>
          <w:rFonts w:ascii="Arial" w:hAnsi="Arial" w:cs="Arial"/>
          <w:color w:val="000000" w:themeColor="text1"/>
          <w:sz w:val="24"/>
          <w:szCs w:val="24"/>
        </w:rPr>
        <w:t>:</w:t>
      </w:r>
    </w:p>
    <w:p w:rsidR="000B16E1" w:rsidRPr="008B3182" w:rsidRDefault="000B16E1" w:rsidP="000B16E1">
      <w:pPr>
        <w:pStyle w:val="ListParagraph"/>
        <w:numPr>
          <w:ilvl w:val="0"/>
          <w:numId w:val="22"/>
        </w:numPr>
        <w:spacing w:after="0" w:line="480" w:lineRule="auto"/>
        <w:ind w:left="0" w:firstLine="0"/>
        <w:jc w:val="both"/>
        <w:rPr>
          <w:rFonts w:ascii="Arial" w:eastAsia="Cambria" w:hAnsi="Arial" w:cs="Arial"/>
          <w:b/>
          <w:color w:val="000000" w:themeColor="text1"/>
          <w:sz w:val="24"/>
          <w:szCs w:val="24"/>
          <w:lang w:val="en-GB"/>
        </w:rPr>
      </w:pPr>
      <w:r w:rsidRPr="008B3182">
        <w:rPr>
          <w:rFonts w:ascii="Arial" w:hAnsi="Arial" w:cs="Arial"/>
          <w:color w:val="000000" w:themeColor="text1"/>
          <w:sz w:val="24"/>
          <w:szCs w:val="24"/>
        </w:rPr>
        <w:t>The decision to initiate and maintain the prosecution of an accused person forms a central part of the constitutional obligation of the prosecutorial authority. Wh</w:t>
      </w:r>
      <w:r w:rsidR="00B76FF6">
        <w:rPr>
          <w:rFonts w:ascii="Arial" w:hAnsi="Arial" w:cs="Arial"/>
          <w:color w:val="000000" w:themeColor="text1"/>
          <w:sz w:val="24"/>
          <w:szCs w:val="24"/>
        </w:rPr>
        <w:t xml:space="preserve">ile </w:t>
      </w:r>
      <w:r w:rsidRPr="008B3182">
        <w:rPr>
          <w:rFonts w:ascii="Arial" w:hAnsi="Arial" w:cs="Arial"/>
          <w:color w:val="000000" w:themeColor="text1"/>
          <w:sz w:val="24"/>
          <w:szCs w:val="24"/>
        </w:rPr>
        <w:t xml:space="preserve">it is imperative that prosecutors are able to perform their functions without the fear of attracting civil liability, their constitutional mandate should nonetheless be executed in a manner that </w:t>
      </w:r>
      <w:r w:rsidR="00B76FF6">
        <w:rPr>
          <w:rFonts w:ascii="Arial" w:hAnsi="Arial" w:cs="Arial"/>
          <w:color w:val="000000" w:themeColor="text1"/>
          <w:sz w:val="24"/>
          <w:szCs w:val="24"/>
        </w:rPr>
        <w:t xml:space="preserve">ensures a fair trial for </w:t>
      </w:r>
      <w:r w:rsidR="00D94270">
        <w:rPr>
          <w:rFonts w:ascii="Arial" w:hAnsi="Arial" w:cs="Arial"/>
          <w:color w:val="000000" w:themeColor="text1"/>
          <w:sz w:val="24"/>
          <w:szCs w:val="24"/>
        </w:rPr>
        <w:t xml:space="preserve">the </w:t>
      </w:r>
      <w:r w:rsidR="00B76FF6">
        <w:rPr>
          <w:rFonts w:ascii="Arial" w:hAnsi="Arial" w:cs="Arial"/>
          <w:color w:val="000000" w:themeColor="text1"/>
          <w:sz w:val="24"/>
          <w:szCs w:val="24"/>
        </w:rPr>
        <w:t xml:space="preserve">accused persons </w:t>
      </w:r>
      <w:r w:rsidR="00B15862">
        <w:rPr>
          <w:rFonts w:ascii="Arial" w:hAnsi="Arial" w:cs="Arial"/>
          <w:color w:val="000000" w:themeColor="text1"/>
          <w:sz w:val="24"/>
          <w:szCs w:val="24"/>
        </w:rPr>
        <w:t xml:space="preserve">they are prosecuting. Accused persons </w:t>
      </w:r>
      <w:r w:rsidR="00D94270">
        <w:rPr>
          <w:rFonts w:ascii="Arial" w:hAnsi="Arial" w:cs="Arial"/>
          <w:color w:val="000000" w:themeColor="text1"/>
          <w:sz w:val="24"/>
          <w:szCs w:val="24"/>
        </w:rPr>
        <w:t xml:space="preserve">must </w:t>
      </w:r>
      <w:r w:rsidR="00B15862">
        <w:rPr>
          <w:rFonts w:ascii="Arial" w:hAnsi="Arial" w:cs="Arial"/>
          <w:color w:val="000000" w:themeColor="text1"/>
          <w:sz w:val="24"/>
          <w:szCs w:val="24"/>
        </w:rPr>
        <w:t xml:space="preserve">be accorded their full </w:t>
      </w:r>
      <w:r w:rsidRPr="008B3182">
        <w:rPr>
          <w:rFonts w:ascii="Arial" w:hAnsi="Arial" w:cs="Arial"/>
          <w:color w:val="000000" w:themeColor="text1"/>
          <w:sz w:val="24"/>
          <w:szCs w:val="24"/>
        </w:rPr>
        <w:t xml:space="preserve">rights and </w:t>
      </w:r>
      <w:r w:rsidR="00B15862">
        <w:rPr>
          <w:rFonts w:ascii="Arial" w:hAnsi="Arial" w:cs="Arial"/>
          <w:color w:val="000000" w:themeColor="text1"/>
          <w:sz w:val="24"/>
          <w:szCs w:val="24"/>
        </w:rPr>
        <w:t xml:space="preserve">must </w:t>
      </w:r>
      <w:r w:rsidR="00D94270">
        <w:rPr>
          <w:rFonts w:ascii="Arial" w:hAnsi="Arial" w:cs="Arial"/>
          <w:color w:val="000000" w:themeColor="text1"/>
          <w:sz w:val="24"/>
          <w:szCs w:val="24"/>
        </w:rPr>
        <w:t xml:space="preserve">not be subject to </w:t>
      </w:r>
      <w:r w:rsidRPr="008B3182">
        <w:rPr>
          <w:rFonts w:ascii="Arial" w:hAnsi="Arial" w:cs="Arial"/>
          <w:color w:val="000000" w:themeColor="text1"/>
          <w:sz w:val="24"/>
          <w:szCs w:val="24"/>
        </w:rPr>
        <w:t xml:space="preserve">baseless prosecutions. At the heart of this </w:t>
      </w:r>
      <w:r w:rsidR="00B15862">
        <w:rPr>
          <w:rFonts w:ascii="Arial" w:hAnsi="Arial" w:cs="Arial"/>
          <w:color w:val="000000" w:themeColor="text1"/>
          <w:sz w:val="24"/>
          <w:szCs w:val="24"/>
        </w:rPr>
        <w:t xml:space="preserve">appeal </w:t>
      </w:r>
      <w:r w:rsidRPr="008B3182">
        <w:rPr>
          <w:rFonts w:ascii="Arial" w:hAnsi="Arial" w:cs="Arial"/>
          <w:color w:val="000000" w:themeColor="text1"/>
          <w:sz w:val="24"/>
          <w:szCs w:val="24"/>
        </w:rPr>
        <w:t xml:space="preserve">lies the intricate question of the extent to which </w:t>
      </w:r>
      <w:r w:rsidRPr="008B3182">
        <w:rPr>
          <w:rFonts w:ascii="Arial" w:hAnsi="Arial" w:cs="Arial"/>
          <w:color w:val="000000" w:themeColor="text1"/>
          <w:sz w:val="24"/>
          <w:szCs w:val="24"/>
        </w:rPr>
        <w:lastRenderedPageBreak/>
        <w:t>the prosecutorial authority may be held liable for a delictual claim for maintaining the prosecution allegedly without reasonable and probable cause after an</w:t>
      </w:r>
      <w:r w:rsidRPr="008B3182">
        <w:rPr>
          <w:rFonts w:ascii="Arial" w:hAnsi="Arial" w:cs="Arial"/>
          <w:sz w:val="24"/>
          <w:szCs w:val="24"/>
        </w:rPr>
        <w:t xml:space="preserve"> identifiable event</w:t>
      </w:r>
      <w:r w:rsidRPr="008B3182">
        <w:rPr>
          <w:rFonts w:ascii="Arial" w:hAnsi="Arial" w:cs="Arial"/>
          <w:color w:val="000000" w:themeColor="text1"/>
          <w:sz w:val="24"/>
          <w:szCs w:val="24"/>
        </w:rPr>
        <w:t xml:space="preserve">. </w:t>
      </w:r>
    </w:p>
    <w:p w:rsidR="000B16E1" w:rsidRPr="008B3182" w:rsidRDefault="000B16E1" w:rsidP="000B16E1">
      <w:pPr>
        <w:spacing w:after="0" w:line="480" w:lineRule="auto"/>
        <w:ind w:left="360"/>
        <w:jc w:val="both"/>
        <w:rPr>
          <w:rFonts w:ascii="Arial" w:eastAsia="Cambria" w:hAnsi="Arial" w:cs="Arial"/>
          <w:b/>
          <w:color w:val="000000" w:themeColor="text1"/>
          <w:sz w:val="24"/>
          <w:szCs w:val="24"/>
          <w:lang w:val="en-GB"/>
        </w:rPr>
      </w:pPr>
    </w:p>
    <w:p w:rsidR="000B16E1" w:rsidRPr="00585853" w:rsidRDefault="000B16E1" w:rsidP="000B16E1">
      <w:pPr>
        <w:pStyle w:val="NormalWeb"/>
        <w:numPr>
          <w:ilvl w:val="0"/>
          <w:numId w:val="22"/>
        </w:numPr>
        <w:shd w:val="clear" w:color="auto" w:fill="FFFFFF"/>
        <w:spacing w:before="0" w:beforeAutospacing="0" w:after="0" w:afterAutospacing="0" w:line="480" w:lineRule="auto"/>
        <w:ind w:left="0" w:firstLine="0"/>
        <w:jc w:val="both"/>
        <w:rPr>
          <w:rFonts w:ascii="Arial" w:hAnsi="Arial" w:cs="Arial"/>
          <w:color w:val="000000" w:themeColor="text1"/>
          <w:u w:val="single"/>
        </w:rPr>
      </w:pPr>
      <w:r w:rsidRPr="003D7B43">
        <w:rPr>
          <w:rFonts w:ascii="Arial" w:hAnsi="Arial" w:cs="Arial"/>
          <w:lang w:eastAsia="en-GB"/>
        </w:rPr>
        <w:t>Th</w:t>
      </w:r>
      <w:r>
        <w:rPr>
          <w:rFonts w:ascii="Arial" w:hAnsi="Arial" w:cs="Arial"/>
          <w:lang w:eastAsia="en-GB"/>
        </w:rPr>
        <w:t xml:space="preserve">e </w:t>
      </w:r>
      <w:r w:rsidRPr="003D7B43">
        <w:rPr>
          <w:rFonts w:ascii="Arial" w:hAnsi="Arial" w:cs="Arial"/>
          <w:lang w:eastAsia="en-GB"/>
        </w:rPr>
        <w:t xml:space="preserve">appeal </w:t>
      </w:r>
      <w:r>
        <w:rPr>
          <w:rFonts w:ascii="Arial" w:hAnsi="Arial" w:cs="Arial"/>
          <w:lang w:eastAsia="en-GB"/>
        </w:rPr>
        <w:t xml:space="preserve">is </w:t>
      </w:r>
      <w:r w:rsidRPr="003D7B43">
        <w:rPr>
          <w:rFonts w:ascii="Arial" w:hAnsi="Arial" w:cs="Arial"/>
          <w:lang w:eastAsia="en-GB"/>
        </w:rPr>
        <w:t xml:space="preserve">against the judgment and order of the High Court </w:t>
      </w:r>
      <w:r w:rsidRPr="003D7B43">
        <w:rPr>
          <w:rFonts w:ascii="Arial" w:hAnsi="Arial" w:cs="Arial"/>
          <w:color w:val="000000"/>
          <w:lang w:eastAsia="en-GB"/>
        </w:rPr>
        <w:t xml:space="preserve">granting a claim </w:t>
      </w:r>
      <w:r>
        <w:rPr>
          <w:rFonts w:ascii="Arial" w:hAnsi="Arial" w:cs="Arial"/>
          <w:color w:val="000000"/>
          <w:lang w:eastAsia="en-GB"/>
        </w:rPr>
        <w:t xml:space="preserve">of malicious maintaining of a prosecution </w:t>
      </w:r>
      <w:r w:rsidRPr="003D7B43">
        <w:rPr>
          <w:rFonts w:ascii="Arial" w:hAnsi="Arial" w:cs="Arial"/>
          <w:color w:val="000000"/>
          <w:lang w:eastAsia="en-GB"/>
        </w:rPr>
        <w:t>in favour of the respondent against the second appellant</w:t>
      </w:r>
      <w:r w:rsidR="00D911F4">
        <w:rPr>
          <w:rFonts w:ascii="Arial" w:hAnsi="Arial" w:cs="Arial"/>
          <w:color w:val="000000"/>
          <w:lang w:eastAsia="en-GB"/>
        </w:rPr>
        <w:t>,</w:t>
      </w:r>
      <w:r>
        <w:rPr>
          <w:rFonts w:ascii="Arial" w:hAnsi="Arial" w:cs="Arial"/>
          <w:color w:val="000000"/>
          <w:lang w:eastAsia="en-GB"/>
        </w:rPr>
        <w:t xml:space="preserve"> the Prosecutor-General</w:t>
      </w:r>
      <w:r w:rsidRPr="003D7B43">
        <w:rPr>
          <w:rFonts w:ascii="Arial" w:hAnsi="Arial" w:cs="Arial"/>
          <w:color w:val="000000"/>
          <w:lang w:eastAsia="en-GB"/>
        </w:rPr>
        <w:t xml:space="preserve">. The claim against the second appellant is founded on the allegations that the </w:t>
      </w:r>
      <w:r>
        <w:rPr>
          <w:rFonts w:ascii="Arial" w:hAnsi="Arial" w:cs="Arial"/>
          <w:color w:val="000000"/>
          <w:lang w:eastAsia="en-GB"/>
        </w:rPr>
        <w:t>Prosecutor-General (the PG) maintained</w:t>
      </w:r>
      <w:r w:rsidRPr="003D7B43">
        <w:rPr>
          <w:rFonts w:ascii="Arial" w:hAnsi="Arial" w:cs="Arial"/>
          <w:color w:val="000000"/>
          <w:lang w:eastAsia="en-GB"/>
        </w:rPr>
        <w:t xml:space="preserve"> </w:t>
      </w:r>
      <w:r w:rsidRPr="00E6740A">
        <w:rPr>
          <w:rFonts w:ascii="Arial" w:hAnsi="Arial" w:cs="Arial"/>
          <w:color w:val="000000" w:themeColor="text1"/>
        </w:rPr>
        <w:t xml:space="preserve">the </w:t>
      </w:r>
      <w:r>
        <w:rPr>
          <w:rFonts w:ascii="Arial" w:hAnsi="Arial" w:cs="Arial"/>
          <w:color w:val="000000" w:themeColor="text1"/>
        </w:rPr>
        <w:t xml:space="preserve">prosecution of the respondent maliciously </w:t>
      </w:r>
      <w:r w:rsidRPr="00E6740A">
        <w:rPr>
          <w:rFonts w:ascii="Arial" w:hAnsi="Arial" w:cs="Arial"/>
          <w:color w:val="000000" w:themeColor="text1"/>
        </w:rPr>
        <w:t>and without reasonable and probable cause</w:t>
      </w:r>
      <w:r w:rsidRPr="003D7B43">
        <w:rPr>
          <w:rFonts w:ascii="Arial" w:hAnsi="Arial" w:cs="Arial"/>
          <w:color w:val="000000"/>
          <w:lang w:eastAsia="en-GB"/>
        </w:rPr>
        <w:t xml:space="preserve"> </w:t>
      </w:r>
      <w:r>
        <w:rPr>
          <w:rFonts w:ascii="Arial" w:hAnsi="Arial" w:cs="Arial"/>
          <w:color w:val="000000"/>
          <w:lang w:eastAsia="en-GB"/>
        </w:rPr>
        <w:t xml:space="preserve">from </w:t>
      </w:r>
      <w:r w:rsidRPr="003D7B43">
        <w:rPr>
          <w:rFonts w:ascii="Arial" w:hAnsi="Arial" w:cs="Arial"/>
          <w:color w:val="000000"/>
          <w:lang w:eastAsia="en-GB"/>
        </w:rPr>
        <w:t>November 201</w:t>
      </w:r>
      <w:r w:rsidR="00D911F4">
        <w:rPr>
          <w:rFonts w:ascii="Arial" w:hAnsi="Arial" w:cs="Arial"/>
          <w:color w:val="000000"/>
          <w:lang w:eastAsia="en-GB"/>
        </w:rPr>
        <w:t>1</w:t>
      </w:r>
      <w:r>
        <w:rPr>
          <w:rFonts w:ascii="Arial" w:hAnsi="Arial" w:cs="Arial"/>
          <w:color w:val="000000"/>
          <w:lang w:eastAsia="en-GB"/>
        </w:rPr>
        <w:t xml:space="preserve"> onwards.</w:t>
      </w:r>
      <w:r w:rsidRPr="003D7B43">
        <w:rPr>
          <w:rFonts w:ascii="Arial" w:hAnsi="Arial" w:cs="Arial"/>
          <w:color w:val="000000"/>
          <w:lang w:eastAsia="en-GB"/>
        </w:rPr>
        <w:t xml:space="preserve">   </w:t>
      </w:r>
    </w:p>
    <w:p w:rsidR="00047406" w:rsidRDefault="00047406" w:rsidP="00047406">
      <w:pPr>
        <w:pStyle w:val="ListParagraph"/>
        <w:spacing w:after="0" w:line="240" w:lineRule="auto"/>
        <w:ind w:left="0"/>
        <w:jc w:val="both"/>
        <w:rPr>
          <w:rFonts w:ascii="Arial" w:hAnsi="Arial" w:cs="Arial"/>
          <w:color w:val="000000" w:themeColor="text1"/>
          <w:sz w:val="24"/>
          <w:szCs w:val="24"/>
          <w:u w:val="single"/>
        </w:rPr>
      </w:pPr>
    </w:p>
    <w:p w:rsidR="000B16E1" w:rsidRDefault="000B16E1" w:rsidP="00047406">
      <w:pPr>
        <w:pStyle w:val="ListParagraph"/>
        <w:spacing w:after="0" w:line="240" w:lineRule="auto"/>
        <w:ind w:left="0"/>
        <w:jc w:val="both"/>
        <w:rPr>
          <w:rFonts w:ascii="Arial" w:hAnsi="Arial" w:cs="Arial"/>
          <w:color w:val="000000" w:themeColor="text1"/>
          <w:sz w:val="24"/>
          <w:szCs w:val="24"/>
          <w:u w:val="single"/>
        </w:rPr>
      </w:pPr>
      <w:r w:rsidRPr="00E6740A">
        <w:rPr>
          <w:rFonts w:ascii="Arial" w:hAnsi="Arial" w:cs="Arial"/>
          <w:color w:val="000000" w:themeColor="text1"/>
          <w:sz w:val="24"/>
          <w:szCs w:val="24"/>
          <w:u w:val="single"/>
        </w:rPr>
        <w:t xml:space="preserve">Background </w:t>
      </w:r>
    </w:p>
    <w:p w:rsidR="00A77758" w:rsidRPr="00E6740A" w:rsidRDefault="00A77758" w:rsidP="00047406">
      <w:pPr>
        <w:pStyle w:val="ListParagraph"/>
        <w:spacing w:after="0" w:line="240" w:lineRule="auto"/>
        <w:ind w:left="0"/>
        <w:jc w:val="both"/>
        <w:rPr>
          <w:rFonts w:ascii="Arial" w:hAnsi="Arial" w:cs="Arial"/>
          <w:color w:val="000000" w:themeColor="text1"/>
          <w:sz w:val="24"/>
          <w:szCs w:val="24"/>
          <w:u w:val="single"/>
        </w:rPr>
      </w:pPr>
    </w:p>
    <w:p w:rsidR="000B16E1" w:rsidRPr="007B7D49" w:rsidRDefault="000B16E1" w:rsidP="00047406">
      <w:pPr>
        <w:numPr>
          <w:ilvl w:val="0"/>
          <w:numId w:val="22"/>
        </w:numPr>
        <w:tabs>
          <w:tab w:val="left" w:pos="567"/>
        </w:tabs>
        <w:spacing w:line="480" w:lineRule="auto"/>
        <w:ind w:left="0" w:firstLine="0"/>
        <w:contextualSpacing/>
        <w:jc w:val="both"/>
        <w:rPr>
          <w:rFonts w:ascii="Arial" w:hAnsi="Arial" w:cs="Arial"/>
          <w:sz w:val="24"/>
          <w:szCs w:val="24"/>
        </w:rPr>
      </w:pPr>
      <w:r w:rsidRPr="007B7D49">
        <w:rPr>
          <w:rFonts w:ascii="Arial" w:hAnsi="Arial" w:cs="Arial"/>
          <w:sz w:val="24"/>
          <w:szCs w:val="24"/>
        </w:rPr>
        <w:t>Th</w:t>
      </w:r>
      <w:r w:rsidRPr="007B7D49">
        <w:rPr>
          <w:rFonts w:ascii="Arial" w:eastAsia="Times New Roman" w:hAnsi="Arial" w:cs="Arial"/>
          <w:sz w:val="24"/>
          <w:szCs w:val="24"/>
        </w:rPr>
        <w:t xml:space="preserve">is </w:t>
      </w:r>
      <w:r>
        <w:rPr>
          <w:rFonts w:ascii="Arial" w:eastAsia="Times New Roman" w:hAnsi="Arial" w:cs="Arial"/>
          <w:sz w:val="24"/>
          <w:szCs w:val="24"/>
        </w:rPr>
        <w:t>case</w:t>
      </w:r>
      <w:r w:rsidRPr="007B7D49">
        <w:rPr>
          <w:rFonts w:ascii="Arial" w:eastAsia="Times New Roman" w:hAnsi="Arial" w:cs="Arial"/>
          <w:sz w:val="24"/>
          <w:szCs w:val="24"/>
        </w:rPr>
        <w:t xml:space="preserve"> has had a long history, </w:t>
      </w:r>
      <w:r>
        <w:rPr>
          <w:rFonts w:ascii="Arial" w:eastAsia="Times New Roman" w:hAnsi="Arial" w:cs="Arial"/>
          <w:sz w:val="24"/>
          <w:szCs w:val="24"/>
        </w:rPr>
        <w:t xml:space="preserve">with </w:t>
      </w:r>
      <w:r w:rsidRPr="007B7D49">
        <w:rPr>
          <w:rFonts w:ascii="Arial" w:eastAsia="Times New Roman" w:hAnsi="Arial" w:cs="Arial"/>
          <w:sz w:val="24"/>
          <w:szCs w:val="24"/>
        </w:rPr>
        <w:t xml:space="preserve">the </w:t>
      </w:r>
      <w:r>
        <w:rPr>
          <w:rFonts w:ascii="Arial" w:eastAsia="Times New Roman" w:hAnsi="Arial" w:cs="Arial"/>
          <w:sz w:val="24"/>
          <w:szCs w:val="24"/>
        </w:rPr>
        <w:t xml:space="preserve">events </w:t>
      </w:r>
      <w:r w:rsidRPr="007B7D49">
        <w:rPr>
          <w:rFonts w:ascii="Arial" w:eastAsia="Times New Roman" w:hAnsi="Arial" w:cs="Arial"/>
          <w:sz w:val="24"/>
          <w:szCs w:val="24"/>
        </w:rPr>
        <w:t xml:space="preserve">giving rise to it having </w:t>
      </w:r>
      <w:r>
        <w:rPr>
          <w:rFonts w:ascii="Arial" w:eastAsia="Times New Roman" w:hAnsi="Arial" w:cs="Arial"/>
          <w:sz w:val="24"/>
          <w:szCs w:val="24"/>
        </w:rPr>
        <w:t xml:space="preserve">occurred </w:t>
      </w:r>
      <w:r w:rsidRPr="007B7D49">
        <w:rPr>
          <w:rFonts w:ascii="Arial" w:eastAsia="Times New Roman" w:hAnsi="Arial" w:cs="Arial"/>
          <w:sz w:val="24"/>
          <w:szCs w:val="24"/>
        </w:rPr>
        <w:t>as far back as 1999.</w:t>
      </w:r>
      <w:r w:rsidRPr="007B7D49">
        <w:rPr>
          <w:rFonts w:ascii="Arial" w:hAnsi="Arial" w:cs="Arial"/>
          <w:sz w:val="24"/>
          <w:szCs w:val="24"/>
        </w:rPr>
        <w:t xml:space="preserve"> </w:t>
      </w:r>
      <w:r w:rsidR="008C761A">
        <w:rPr>
          <w:rFonts w:ascii="Arial" w:hAnsi="Arial" w:cs="Arial"/>
          <w:sz w:val="24"/>
          <w:szCs w:val="24"/>
        </w:rPr>
        <w:t>O</w:t>
      </w:r>
      <w:r w:rsidRPr="007B7D49">
        <w:rPr>
          <w:rFonts w:ascii="Arial" w:hAnsi="Arial" w:cs="Arial"/>
          <w:sz w:val="24"/>
          <w:szCs w:val="24"/>
        </w:rPr>
        <w:t>n</w:t>
      </w:r>
      <w:r w:rsidR="008C761A">
        <w:rPr>
          <w:rFonts w:ascii="Arial" w:hAnsi="Arial" w:cs="Arial"/>
          <w:sz w:val="24"/>
          <w:szCs w:val="24"/>
        </w:rPr>
        <w:t xml:space="preserve"> 2 </w:t>
      </w:r>
      <w:r w:rsidRPr="007B7D49">
        <w:rPr>
          <w:rFonts w:ascii="Arial" w:hAnsi="Arial" w:cs="Arial"/>
          <w:sz w:val="24"/>
          <w:szCs w:val="24"/>
        </w:rPr>
        <w:t xml:space="preserve">August </w:t>
      </w:r>
      <w:r w:rsidRPr="007B7D49">
        <w:rPr>
          <w:rFonts w:ascii="Arial" w:hAnsi="Arial" w:cs="Arial"/>
          <w:color w:val="000000" w:themeColor="text1"/>
          <w:sz w:val="24"/>
          <w:szCs w:val="24"/>
        </w:rPr>
        <w:t>1999 a</w:t>
      </w:r>
      <w:r w:rsidRPr="007B7D49">
        <w:rPr>
          <w:rFonts w:ascii="Arial" w:hAnsi="Arial" w:cs="Arial"/>
          <w:sz w:val="24"/>
          <w:szCs w:val="24"/>
        </w:rPr>
        <w:t xml:space="preserve"> group of people who either belonged to or were sympathetic to </w:t>
      </w:r>
      <w:r>
        <w:rPr>
          <w:rFonts w:ascii="Arial" w:hAnsi="Arial" w:cs="Arial"/>
          <w:sz w:val="24"/>
          <w:szCs w:val="24"/>
        </w:rPr>
        <w:t xml:space="preserve">an outfit called </w:t>
      </w:r>
      <w:r w:rsidRPr="007B7D49">
        <w:rPr>
          <w:rFonts w:ascii="Arial" w:hAnsi="Arial" w:cs="Arial"/>
          <w:sz w:val="24"/>
          <w:szCs w:val="24"/>
        </w:rPr>
        <w:t xml:space="preserve">the Caprivi Liberation Army attacked several </w:t>
      </w:r>
      <w:r>
        <w:rPr>
          <w:rFonts w:ascii="Arial" w:hAnsi="Arial" w:cs="Arial"/>
          <w:sz w:val="24"/>
          <w:szCs w:val="24"/>
        </w:rPr>
        <w:t>s</w:t>
      </w:r>
      <w:r w:rsidRPr="007B7D49">
        <w:rPr>
          <w:rFonts w:ascii="Arial" w:hAnsi="Arial" w:cs="Arial"/>
          <w:sz w:val="24"/>
          <w:szCs w:val="24"/>
        </w:rPr>
        <w:t>tate installations at or around</w:t>
      </w:r>
      <w:r w:rsidRPr="007B7D49">
        <w:rPr>
          <w:rFonts w:ascii="Arial" w:hAnsi="Arial" w:cs="Arial"/>
          <w:sz w:val="24"/>
          <w:szCs w:val="24"/>
          <w:lang w:val="en-ZA"/>
        </w:rPr>
        <w:t xml:space="preserve"> Katima Mulilo</w:t>
      </w:r>
      <w:r w:rsidR="00E94D4E">
        <w:rPr>
          <w:rFonts w:ascii="Arial" w:hAnsi="Arial" w:cs="Arial"/>
          <w:sz w:val="24"/>
          <w:szCs w:val="24"/>
          <w:lang w:val="en-ZA"/>
        </w:rPr>
        <w:t xml:space="preserve"> with the apparent purpose of </w:t>
      </w:r>
      <w:r w:rsidRPr="00272B6D">
        <w:rPr>
          <w:rFonts w:ascii="Arial" w:hAnsi="Arial" w:cs="Arial"/>
          <w:color w:val="000000" w:themeColor="text1"/>
          <w:sz w:val="24"/>
          <w:szCs w:val="24"/>
        </w:rPr>
        <w:t xml:space="preserve">furthering the campaign </w:t>
      </w:r>
      <w:r w:rsidR="00833E43">
        <w:rPr>
          <w:rFonts w:ascii="Arial" w:hAnsi="Arial" w:cs="Arial"/>
          <w:color w:val="000000" w:themeColor="text1"/>
          <w:sz w:val="24"/>
          <w:szCs w:val="24"/>
        </w:rPr>
        <w:t xml:space="preserve">for </w:t>
      </w:r>
      <w:r w:rsidRPr="007B7D49">
        <w:rPr>
          <w:rFonts w:ascii="Arial" w:hAnsi="Arial" w:cs="Arial"/>
          <w:color w:val="000000" w:themeColor="text1"/>
          <w:sz w:val="24"/>
          <w:szCs w:val="24"/>
        </w:rPr>
        <w:t>the then Caprivi Region (now Zambezi Region)</w:t>
      </w:r>
      <w:r w:rsidR="00833E43">
        <w:rPr>
          <w:rFonts w:ascii="Arial" w:hAnsi="Arial" w:cs="Arial"/>
          <w:color w:val="000000" w:themeColor="text1"/>
          <w:sz w:val="24"/>
          <w:szCs w:val="24"/>
        </w:rPr>
        <w:t xml:space="preserve"> to secede</w:t>
      </w:r>
      <w:r w:rsidRPr="007B7D49">
        <w:rPr>
          <w:rFonts w:ascii="Arial" w:hAnsi="Arial" w:cs="Arial"/>
          <w:color w:val="000000" w:themeColor="text1"/>
          <w:sz w:val="24"/>
          <w:szCs w:val="24"/>
        </w:rPr>
        <w:t xml:space="preserve"> from the </w:t>
      </w:r>
      <w:r>
        <w:rPr>
          <w:rFonts w:ascii="Arial" w:hAnsi="Arial" w:cs="Arial"/>
          <w:color w:val="000000" w:themeColor="text1"/>
          <w:sz w:val="24"/>
          <w:szCs w:val="24"/>
        </w:rPr>
        <w:t xml:space="preserve">Republic </w:t>
      </w:r>
      <w:r w:rsidRPr="007B7D49">
        <w:rPr>
          <w:rFonts w:ascii="Arial" w:hAnsi="Arial" w:cs="Arial"/>
          <w:color w:val="000000" w:themeColor="text1"/>
          <w:sz w:val="24"/>
          <w:szCs w:val="24"/>
        </w:rPr>
        <w:t xml:space="preserve">of Namibia. As a result of this violent attack, </w:t>
      </w:r>
      <w:r>
        <w:rPr>
          <w:rFonts w:ascii="Arial" w:hAnsi="Arial" w:cs="Arial"/>
          <w:color w:val="000000" w:themeColor="text1"/>
          <w:sz w:val="24"/>
          <w:szCs w:val="24"/>
        </w:rPr>
        <w:t>nine</w:t>
      </w:r>
      <w:r w:rsidRPr="007B7D49">
        <w:rPr>
          <w:rFonts w:ascii="Arial" w:hAnsi="Arial" w:cs="Arial"/>
          <w:color w:val="000000" w:themeColor="text1"/>
          <w:sz w:val="24"/>
          <w:szCs w:val="24"/>
        </w:rPr>
        <w:t xml:space="preserve"> people </w:t>
      </w:r>
      <w:r>
        <w:rPr>
          <w:rFonts w:ascii="Arial" w:hAnsi="Arial" w:cs="Arial"/>
          <w:color w:val="000000" w:themeColor="text1"/>
          <w:sz w:val="24"/>
          <w:szCs w:val="24"/>
        </w:rPr>
        <w:t xml:space="preserve">were killed, others injured and property destroyed. In the aftermath of the attack, several people </w:t>
      </w:r>
      <w:r w:rsidRPr="007B7D49">
        <w:rPr>
          <w:rFonts w:ascii="Arial" w:hAnsi="Arial" w:cs="Arial"/>
          <w:color w:val="000000" w:themeColor="text1"/>
          <w:sz w:val="24"/>
          <w:szCs w:val="24"/>
        </w:rPr>
        <w:t>were arrested, detained and prosecuted. The respondent</w:t>
      </w:r>
      <w:r w:rsidRPr="007B7D49">
        <w:rPr>
          <w:rFonts w:ascii="Arial" w:hAnsi="Arial" w:cs="Arial"/>
          <w:sz w:val="24"/>
          <w:szCs w:val="24"/>
        </w:rPr>
        <w:t xml:space="preserve">, in this </w:t>
      </w:r>
      <w:r>
        <w:rPr>
          <w:rFonts w:ascii="Arial" w:hAnsi="Arial" w:cs="Arial"/>
          <w:sz w:val="24"/>
          <w:szCs w:val="24"/>
        </w:rPr>
        <w:t>appeal</w:t>
      </w:r>
      <w:r w:rsidRPr="007B7D49">
        <w:rPr>
          <w:rFonts w:ascii="Arial" w:hAnsi="Arial" w:cs="Arial"/>
          <w:sz w:val="24"/>
          <w:szCs w:val="24"/>
        </w:rPr>
        <w:t xml:space="preserve">, </w:t>
      </w:r>
      <w:r>
        <w:rPr>
          <w:rFonts w:ascii="Arial" w:hAnsi="Arial" w:cs="Arial"/>
          <w:sz w:val="24"/>
          <w:szCs w:val="24"/>
        </w:rPr>
        <w:t>was</w:t>
      </w:r>
      <w:r w:rsidRPr="007B7D49">
        <w:rPr>
          <w:rFonts w:ascii="Arial" w:hAnsi="Arial" w:cs="Arial"/>
          <w:color w:val="000000" w:themeColor="text1"/>
          <w:sz w:val="24"/>
          <w:szCs w:val="24"/>
        </w:rPr>
        <w:t xml:space="preserve"> </w:t>
      </w:r>
      <w:r>
        <w:rPr>
          <w:rFonts w:ascii="Arial" w:hAnsi="Arial" w:cs="Arial"/>
          <w:color w:val="000000" w:themeColor="text1"/>
          <w:sz w:val="24"/>
          <w:szCs w:val="24"/>
        </w:rPr>
        <w:t>among the persons so</w:t>
      </w:r>
      <w:r w:rsidRPr="007B7D49">
        <w:rPr>
          <w:rFonts w:ascii="Arial" w:hAnsi="Arial" w:cs="Arial"/>
          <w:color w:val="000000" w:themeColor="text1"/>
          <w:sz w:val="24"/>
          <w:szCs w:val="24"/>
        </w:rPr>
        <w:t xml:space="preserve"> arrested, detained and prosecuted.   </w:t>
      </w:r>
    </w:p>
    <w:p w:rsidR="000B16E1" w:rsidRPr="00E6740A" w:rsidRDefault="000B16E1" w:rsidP="000B16E1">
      <w:pPr>
        <w:spacing w:after="0" w:line="480" w:lineRule="auto"/>
        <w:jc w:val="both"/>
        <w:rPr>
          <w:rFonts w:ascii="Arial" w:hAnsi="Arial" w:cs="Arial"/>
          <w:color w:val="000000" w:themeColor="text1"/>
          <w:sz w:val="24"/>
          <w:szCs w:val="24"/>
        </w:rPr>
      </w:pPr>
    </w:p>
    <w:p w:rsidR="000B16E1" w:rsidRDefault="000B16E1" w:rsidP="000B16E1">
      <w:pPr>
        <w:pStyle w:val="ListParagraph"/>
        <w:numPr>
          <w:ilvl w:val="0"/>
          <w:numId w:val="22"/>
        </w:numPr>
        <w:spacing w:after="0" w:line="480" w:lineRule="auto"/>
        <w:ind w:left="0" w:firstLine="0"/>
        <w:jc w:val="both"/>
        <w:rPr>
          <w:rFonts w:ascii="Arial" w:hAnsi="Arial" w:cs="Arial"/>
          <w:color w:val="000000" w:themeColor="text1"/>
          <w:sz w:val="24"/>
          <w:szCs w:val="24"/>
        </w:rPr>
      </w:pPr>
      <w:r>
        <w:rPr>
          <w:rFonts w:ascii="Arial" w:hAnsi="Arial" w:cs="Arial"/>
          <w:color w:val="000000" w:themeColor="text1"/>
          <w:sz w:val="24"/>
          <w:szCs w:val="24"/>
        </w:rPr>
        <w:t>The respondent together with 1</w:t>
      </w:r>
      <w:r w:rsidRPr="00272B6D">
        <w:rPr>
          <w:rFonts w:ascii="Arial" w:hAnsi="Arial" w:cs="Arial"/>
          <w:color w:val="000000" w:themeColor="text1"/>
          <w:sz w:val="24"/>
          <w:szCs w:val="24"/>
        </w:rPr>
        <w:t xml:space="preserve">25 </w:t>
      </w:r>
      <w:r>
        <w:rPr>
          <w:rFonts w:ascii="Arial" w:hAnsi="Arial" w:cs="Arial"/>
          <w:color w:val="000000" w:themeColor="text1"/>
          <w:sz w:val="24"/>
          <w:szCs w:val="24"/>
        </w:rPr>
        <w:t>co-</w:t>
      </w:r>
      <w:r w:rsidRPr="00272B6D">
        <w:rPr>
          <w:rFonts w:ascii="Arial" w:hAnsi="Arial" w:cs="Arial"/>
          <w:color w:val="000000" w:themeColor="text1"/>
          <w:sz w:val="24"/>
          <w:szCs w:val="24"/>
        </w:rPr>
        <w:t>accused persons,</w:t>
      </w:r>
      <w:r>
        <w:rPr>
          <w:rFonts w:ascii="Arial" w:hAnsi="Arial" w:cs="Arial"/>
          <w:color w:val="000000" w:themeColor="text1"/>
          <w:sz w:val="24"/>
          <w:szCs w:val="24"/>
        </w:rPr>
        <w:t xml:space="preserve"> were</w:t>
      </w:r>
      <w:r w:rsidRPr="00272B6D">
        <w:rPr>
          <w:rFonts w:ascii="Arial" w:hAnsi="Arial" w:cs="Arial"/>
          <w:color w:val="000000" w:themeColor="text1"/>
          <w:sz w:val="24"/>
          <w:szCs w:val="24"/>
        </w:rPr>
        <w:t xml:space="preserve"> </w:t>
      </w:r>
      <w:r>
        <w:rPr>
          <w:rFonts w:ascii="Arial" w:hAnsi="Arial" w:cs="Arial"/>
          <w:color w:val="000000" w:themeColor="text1"/>
          <w:sz w:val="24"/>
          <w:szCs w:val="24"/>
        </w:rPr>
        <w:t xml:space="preserve">then charged with </w:t>
      </w:r>
      <w:r w:rsidRPr="00272B6D">
        <w:rPr>
          <w:rFonts w:ascii="Arial" w:hAnsi="Arial" w:cs="Arial"/>
          <w:color w:val="000000" w:themeColor="text1"/>
          <w:sz w:val="24"/>
          <w:szCs w:val="24"/>
        </w:rPr>
        <w:t xml:space="preserve">various </w:t>
      </w:r>
      <w:r w:rsidR="00573891">
        <w:rPr>
          <w:rFonts w:ascii="Arial" w:hAnsi="Arial" w:cs="Arial"/>
          <w:color w:val="000000" w:themeColor="text1"/>
          <w:sz w:val="24"/>
          <w:szCs w:val="24"/>
        </w:rPr>
        <w:t xml:space="preserve">serious </w:t>
      </w:r>
      <w:r>
        <w:rPr>
          <w:rFonts w:ascii="Arial" w:hAnsi="Arial" w:cs="Arial"/>
          <w:color w:val="000000" w:themeColor="text1"/>
          <w:sz w:val="24"/>
          <w:szCs w:val="24"/>
        </w:rPr>
        <w:t xml:space="preserve">crimes and </w:t>
      </w:r>
      <w:r w:rsidRPr="00272B6D">
        <w:rPr>
          <w:rFonts w:ascii="Arial" w:hAnsi="Arial" w:cs="Arial"/>
          <w:color w:val="000000" w:themeColor="text1"/>
          <w:sz w:val="24"/>
          <w:szCs w:val="24"/>
        </w:rPr>
        <w:t xml:space="preserve">offences which included high treason, sedition, public violence, murder and robbery </w:t>
      </w:r>
      <w:r w:rsidR="00E94D4E">
        <w:rPr>
          <w:rFonts w:ascii="Arial" w:hAnsi="Arial" w:cs="Arial"/>
          <w:color w:val="000000" w:themeColor="text1"/>
          <w:sz w:val="24"/>
          <w:szCs w:val="24"/>
        </w:rPr>
        <w:t xml:space="preserve">in </w:t>
      </w:r>
      <w:r>
        <w:rPr>
          <w:rFonts w:ascii="Arial" w:hAnsi="Arial" w:cs="Arial"/>
          <w:color w:val="000000" w:themeColor="text1"/>
          <w:sz w:val="24"/>
          <w:szCs w:val="24"/>
        </w:rPr>
        <w:t xml:space="preserve">the </w:t>
      </w:r>
      <w:r w:rsidRPr="00971B3C">
        <w:rPr>
          <w:rFonts w:ascii="Arial" w:hAnsi="Arial" w:cs="Arial"/>
          <w:color w:val="000000" w:themeColor="text1"/>
          <w:sz w:val="24"/>
          <w:szCs w:val="24"/>
        </w:rPr>
        <w:t>Grootfontein</w:t>
      </w:r>
      <w:r>
        <w:rPr>
          <w:rFonts w:ascii="Arial" w:hAnsi="Arial" w:cs="Arial"/>
          <w:color w:val="000000" w:themeColor="text1"/>
          <w:sz w:val="24"/>
          <w:szCs w:val="24"/>
        </w:rPr>
        <w:t xml:space="preserve"> Magistrate’s Court</w:t>
      </w:r>
      <w:r w:rsidRPr="00971B3C">
        <w:rPr>
          <w:rFonts w:ascii="Arial" w:hAnsi="Arial" w:cs="Arial"/>
          <w:color w:val="000000" w:themeColor="text1"/>
          <w:sz w:val="24"/>
          <w:szCs w:val="24"/>
        </w:rPr>
        <w:t xml:space="preserve"> and </w:t>
      </w:r>
      <w:r>
        <w:rPr>
          <w:rFonts w:ascii="Arial" w:hAnsi="Arial" w:cs="Arial"/>
          <w:color w:val="000000" w:themeColor="text1"/>
          <w:sz w:val="24"/>
          <w:szCs w:val="24"/>
        </w:rPr>
        <w:t xml:space="preserve">were </w:t>
      </w:r>
      <w:r>
        <w:rPr>
          <w:rFonts w:ascii="Arial" w:hAnsi="Arial" w:cs="Arial"/>
          <w:color w:val="000000" w:themeColor="text1"/>
          <w:sz w:val="24"/>
          <w:szCs w:val="24"/>
        </w:rPr>
        <w:lastRenderedPageBreak/>
        <w:t xml:space="preserve">subsequently arraigned on those charges in </w:t>
      </w:r>
      <w:r w:rsidRPr="00971B3C">
        <w:rPr>
          <w:rFonts w:ascii="Arial" w:hAnsi="Arial" w:cs="Arial"/>
          <w:color w:val="000000" w:themeColor="text1"/>
          <w:sz w:val="24"/>
          <w:szCs w:val="24"/>
        </w:rPr>
        <w:t>the High Court.</w:t>
      </w:r>
      <w:r w:rsidRPr="00971B3C">
        <w:rPr>
          <w:color w:val="000000" w:themeColor="text1"/>
        </w:rPr>
        <w:t xml:space="preserve"> </w:t>
      </w:r>
      <w:r w:rsidRPr="00971B3C">
        <w:rPr>
          <w:rFonts w:ascii="Arial" w:hAnsi="Arial" w:cs="Arial"/>
          <w:color w:val="000000" w:themeColor="text1"/>
          <w:sz w:val="24"/>
          <w:szCs w:val="24"/>
        </w:rPr>
        <w:t xml:space="preserve"> </w:t>
      </w:r>
      <w:r w:rsidRPr="00E6740A">
        <w:rPr>
          <w:rFonts w:ascii="Arial" w:hAnsi="Arial" w:cs="Arial"/>
          <w:color w:val="000000" w:themeColor="text1"/>
          <w:sz w:val="24"/>
          <w:szCs w:val="24"/>
        </w:rPr>
        <w:t xml:space="preserve">The </w:t>
      </w:r>
      <w:r>
        <w:rPr>
          <w:rFonts w:ascii="Arial" w:hAnsi="Arial" w:cs="Arial"/>
          <w:color w:val="000000" w:themeColor="text1"/>
          <w:sz w:val="24"/>
          <w:szCs w:val="24"/>
        </w:rPr>
        <w:t xml:space="preserve">prosecution relied on the doctrine of </w:t>
      </w:r>
      <w:r w:rsidRPr="00E6740A">
        <w:rPr>
          <w:rFonts w:ascii="Arial" w:hAnsi="Arial" w:cs="Arial"/>
          <w:color w:val="000000" w:themeColor="text1"/>
          <w:sz w:val="24"/>
          <w:szCs w:val="24"/>
        </w:rPr>
        <w:t xml:space="preserve">common purpose and </w:t>
      </w:r>
      <w:r>
        <w:rPr>
          <w:rFonts w:ascii="Arial" w:hAnsi="Arial" w:cs="Arial"/>
          <w:color w:val="000000" w:themeColor="text1"/>
          <w:sz w:val="24"/>
          <w:szCs w:val="24"/>
        </w:rPr>
        <w:t xml:space="preserve">on </w:t>
      </w:r>
      <w:r w:rsidRPr="00E6740A">
        <w:rPr>
          <w:rFonts w:ascii="Arial" w:hAnsi="Arial" w:cs="Arial"/>
          <w:color w:val="000000" w:themeColor="text1"/>
          <w:sz w:val="24"/>
          <w:szCs w:val="24"/>
        </w:rPr>
        <w:t>conspiracy to commit the offences</w:t>
      </w:r>
      <w:r>
        <w:rPr>
          <w:rFonts w:ascii="Arial" w:hAnsi="Arial" w:cs="Arial"/>
          <w:color w:val="000000" w:themeColor="text1"/>
          <w:sz w:val="24"/>
          <w:szCs w:val="24"/>
        </w:rPr>
        <w:t xml:space="preserve"> and crimes listed on the indictment</w:t>
      </w:r>
      <w:r w:rsidRPr="00E6740A">
        <w:rPr>
          <w:rFonts w:ascii="Arial" w:hAnsi="Arial" w:cs="Arial"/>
          <w:color w:val="000000" w:themeColor="text1"/>
          <w:sz w:val="24"/>
          <w:szCs w:val="24"/>
        </w:rPr>
        <w:t xml:space="preserve">. </w:t>
      </w:r>
    </w:p>
    <w:p w:rsidR="000B16E1" w:rsidRDefault="000B16E1" w:rsidP="000B16E1">
      <w:pPr>
        <w:pStyle w:val="ListParagraph"/>
        <w:spacing w:after="0" w:line="480" w:lineRule="auto"/>
        <w:ind w:left="0"/>
        <w:jc w:val="both"/>
        <w:rPr>
          <w:rFonts w:ascii="Arial" w:hAnsi="Arial" w:cs="Arial"/>
          <w:color w:val="000000" w:themeColor="text1"/>
          <w:sz w:val="24"/>
          <w:szCs w:val="24"/>
        </w:rPr>
      </w:pPr>
    </w:p>
    <w:p w:rsidR="000B16E1" w:rsidRPr="00D300CF" w:rsidRDefault="000B16E1" w:rsidP="000B16E1">
      <w:pPr>
        <w:pStyle w:val="ListParagraph"/>
        <w:numPr>
          <w:ilvl w:val="0"/>
          <w:numId w:val="22"/>
        </w:numPr>
        <w:spacing w:after="0" w:line="480" w:lineRule="auto"/>
        <w:ind w:left="0" w:firstLine="0"/>
        <w:jc w:val="both"/>
        <w:rPr>
          <w:rFonts w:ascii="Arial" w:hAnsi="Arial" w:cs="Arial"/>
          <w:color w:val="000000" w:themeColor="text1"/>
          <w:sz w:val="24"/>
          <w:szCs w:val="24"/>
        </w:rPr>
      </w:pPr>
      <w:r w:rsidRPr="00D300CF">
        <w:rPr>
          <w:rFonts w:ascii="Arial" w:hAnsi="Arial" w:cs="Arial"/>
          <w:color w:val="000000" w:themeColor="text1"/>
          <w:sz w:val="24"/>
          <w:szCs w:val="24"/>
        </w:rPr>
        <w:t xml:space="preserve">The State led evidence against the respondent and </w:t>
      </w:r>
      <w:r>
        <w:rPr>
          <w:rFonts w:ascii="Arial" w:hAnsi="Arial" w:cs="Arial"/>
          <w:color w:val="000000" w:themeColor="text1"/>
          <w:sz w:val="24"/>
          <w:szCs w:val="24"/>
        </w:rPr>
        <w:t>at the close of the State case</w:t>
      </w:r>
      <w:r w:rsidRPr="00D300CF">
        <w:rPr>
          <w:rFonts w:ascii="Arial" w:hAnsi="Arial" w:cs="Arial"/>
          <w:color w:val="000000" w:themeColor="text1"/>
          <w:sz w:val="24"/>
          <w:szCs w:val="24"/>
        </w:rPr>
        <w:t xml:space="preserve">, the respondent was found not guilty and discharged in terms of s 174 of the Criminal procedure Act 51 of 1977 (the Act). Subsequently, the respondent sued the </w:t>
      </w:r>
      <w:r>
        <w:rPr>
          <w:rFonts w:ascii="Arial" w:hAnsi="Arial" w:cs="Arial"/>
          <w:color w:val="000000" w:themeColor="text1"/>
          <w:sz w:val="24"/>
          <w:szCs w:val="24"/>
        </w:rPr>
        <w:t xml:space="preserve">Minister of Safety and Security, the PG and the Government of Namibia being the </w:t>
      </w:r>
      <w:r w:rsidRPr="00D300CF">
        <w:rPr>
          <w:rFonts w:ascii="Arial" w:hAnsi="Arial" w:cs="Arial"/>
          <w:color w:val="000000" w:themeColor="text1"/>
          <w:sz w:val="24"/>
          <w:szCs w:val="24"/>
        </w:rPr>
        <w:t>first, second and third appellant</w:t>
      </w:r>
      <w:r>
        <w:rPr>
          <w:rFonts w:ascii="Arial" w:hAnsi="Arial" w:cs="Arial"/>
          <w:color w:val="000000" w:themeColor="text1"/>
          <w:sz w:val="24"/>
          <w:szCs w:val="24"/>
        </w:rPr>
        <w:t xml:space="preserve">s respectively herein </w:t>
      </w:r>
      <w:r w:rsidRPr="00D300CF">
        <w:rPr>
          <w:rFonts w:ascii="Arial" w:hAnsi="Arial" w:cs="Arial"/>
          <w:color w:val="000000" w:themeColor="text1"/>
          <w:sz w:val="24"/>
          <w:szCs w:val="24"/>
        </w:rPr>
        <w:t>for damages in the High Court</w:t>
      </w:r>
      <w:r>
        <w:rPr>
          <w:rFonts w:ascii="Arial" w:hAnsi="Arial" w:cs="Arial"/>
          <w:color w:val="000000" w:themeColor="text1"/>
          <w:sz w:val="24"/>
          <w:szCs w:val="24"/>
        </w:rPr>
        <w:t xml:space="preserve"> in the sum of N$15 321 400.</w:t>
      </w:r>
      <w:r w:rsidRPr="00D300CF">
        <w:rPr>
          <w:rFonts w:ascii="Arial" w:hAnsi="Arial" w:cs="Arial"/>
          <w:color w:val="000000" w:themeColor="text1"/>
          <w:sz w:val="24"/>
          <w:szCs w:val="24"/>
        </w:rPr>
        <w:t xml:space="preserve">  </w:t>
      </w:r>
    </w:p>
    <w:p w:rsidR="000B16E1" w:rsidRPr="00971B3C" w:rsidRDefault="000B16E1" w:rsidP="000B16E1">
      <w:pPr>
        <w:pStyle w:val="ListParagraph"/>
        <w:rPr>
          <w:rFonts w:ascii="Arial" w:hAnsi="Arial" w:cs="Arial"/>
          <w:color w:val="000000" w:themeColor="text1"/>
          <w:sz w:val="24"/>
          <w:szCs w:val="24"/>
        </w:rPr>
      </w:pPr>
    </w:p>
    <w:p w:rsidR="000B16E1" w:rsidRDefault="000B16E1" w:rsidP="00047406">
      <w:pPr>
        <w:spacing w:after="0" w:line="240" w:lineRule="auto"/>
        <w:jc w:val="both"/>
        <w:rPr>
          <w:rFonts w:ascii="Arial" w:hAnsi="Arial" w:cs="Arial"/>
          <w:sz w:val="24"/>
          <w:szCs w:val="24"/>
          <w:u w:val="single"/>
        </w:rPr>
      </w:pPr>
      <w:r w:rsidRPr="00E6740A">
        <w:rPr>
          <w:rFonts w:ascii="Arial" w:hAnsi="Arial" w:cs="Arial"/>
          <w:sz w:val="24"/>
          <w:szCs w:val="24"/>
          <w:u w:val="single"/>
        </w:rPr>
        <w:t xml:space="preserve">The pleadings </w:t>
      </w:r>
    </w:p>
    <w:p w:rsidR="00A77758" w:rsidRPr="00E6740A" w:rsidRDefault="00A77758" w:rsidP="00047406">
      <w:pPr>
        <w:spacing w:after="0" w:line="240" w:lineRule="auto"/>
        <w:jc w:val="both"/>
        <w:rPr>
          <w:rFonts w:ascii="Arial" w:hAnsi="Arial" w:cs="Arial"/>
          <w:sz w:val="24"/>
          <w:szCs w:val="24"/>
          <w:u w:val="single"/>
        </w:rPr>
      </w:pPr>
    </w:p>
    <w:p w:rsidR="000B16E1" w:rsidRPr="00E6740A" w:rsidRDefault="000B16E1" w:rsidP="00047406">
      <w:pPr>
        <w:pStyle w:val="ListParagraph"/>
        <w:numPr>
          <w:ilvl w:val="0"/>
          <w:numId w:val="22"/>
        </w:numPr>
        <w:spacing w:after="0" w:line="480" w:lineRule="auto"/>
        <w:ind w:left="0" w:firstLine="0"/>
        <w:jc w:val="both"/>
        <w:rPr>
          <w:rFonts w:ascii="Arial" w:hAnsi="Arial" w:cs="Arial"/>
          <w:sz w:val="24"/>
          <w:szCs w:val="24"/>
        </w:rPr>
      </w:pPr>
      <w:r>
        <w:rPr>
          <w:rFonts w:ascii="Arial" w:hAnsi="Arial" w:cs="Arial"/>
          <w:sz w:val="24"/>
          <w:szCs w:val="24"/>
        </w:rPr>
        <w:t>T</w:t>
      </w:r>
      <w:r w:rsidRPr="00E6740A">
        <w:rPr>
          <w:rFonts w:ascii="Arial" w:hAnsi="Arial" w:cs="Arial"/>
          <w:sz w:val="24"/>
          <w:szCs w:val="24"/>
        </w:rPr>
        <w:t xml:space="preserve">he main claim in the action </w:t>
      </w:r>
      <w:r>
        <w:rPr>
          <w:rFonts w:ascii="Arial" w:hAnsi="Arial" w:cs="Arial"/>
          <w:sz w:val="24"/>
          <w:szCs w:val="24"/>
        </w:rPr>
        <w:t>was</w:t>
      </w:r>
      <w:r w:rsidRPr="00E6740A">
        <w:rPr>
          <w:rFonts w:ascii="Arial" w:hAnsi="Arial" w:cs="Arial"/>
          <w:sz w:val="24"/>
          <w:szCs w:val="24"/>
        </w:rPr>
        <w:t xml:space="preserve"> for malicious prosecution and </w:t>
      </w:r>
      <w:r>
        <w:rPr>
          <w:rFonts w:ascii="Arial" w:hAnsi="Arial" w:cs="Arial"/>
          <w:sz w:val="24"/>
          <w:szCs w:val="24"/>
        </w:rPr>
        <w:t>was</w:t>
      </w:r>
      <w:r w:rsidRPr="00E6740A">
        <w:rPr>
          <w:rFonts w:ascii="Arial" w:hAnsi="Arial" w:cs="Arial"/>
          <w:sz w:val="24"/>
          <w:szCs w:val="24"/>
        </w:rPr>
        <w:t xml:space="preserve"> directed </w:t>
      </w:r>
      <w:r>
        <w:rPr>
          <w:rFonts w:ascii="Arial" w:hAnsi="Arial" w:cs="Arial"/>
          <w:sz w:val="24"/>
          <w:szCs w:val="24"/>
        </w:rPr>
        <w:t xml:space="preserve">against </w:t>
      </w:r>
      <w:r w:rsidRPr="00E6740A">
        <w:rPr>
          <w:rFonts w:ascii="Arial" w:hAnsi="Arial" w:cs="Arial"/>
          <w:sz w:val="24"/>
          <w:szCs w:val="24"/>
        </w:rPr>
        <w:t xml:space="preserve">the first </w:t>
      </w:r>
      <w:r>
        <w:rPr>
          <w:rFonts w:ascii="Arial" w:hAnsi="Arial" w:cs="Arial"/>
          <w:sz w:val="24"/>
          <w:szCs w:val="24"/>
        </w:rPr>
        <w:t xml:space="preserve">appellant </w:t>
      </w:r>
      <w:r w:rsidRPr="00E6740A">
        <w:rPr>
          <w:rFonts w:ascii="Arial" w:hAnsi="Arial" w:cs="Arial"/>
          <w:sz w:val="24"/>
          <w:szCs w:val="24"/>
        </w:rPr>
        <w:t xml:space="preserve">and </w:t>
      </w:r>
      <w:r>
        <w:rPr>
          <w:rFonts w:ascii="Arial" w:hAnsi="Arial" w:cs="Arial"/>
          <w:sz w:val="24"/>
          <w:szCs w:val="24"/>
        </w:rPr>
        <w:t>the PG</w:t>
      </w:r>
      <w:r w:rsidRPr="00E6740A">
        <w:rPr>
          <w:rFonts w:ascii="Arial" w:hAnsi="Arial" w:cs="Arial"/>
          <w:sz w:val="24"/>
          <w:szCs w:val="24"/>
        </w:rPr>
        <w:t xml:space="preserve">. The respondent in the alternative sought damages against the </w:t>
      </w:r>
      <w:r>
        <w:rPr>
          <w:rFonts w:ascii="Arial" w:hAnsi="Arial" w:cs="Arial"/>
          <w:sz w:val="24"/>
          <w:szCs w:val="24"/>
        </w:rPr>
        <w:t xml:space="preserve">PG </w:t>
      </w:r>
      <w:r w:rsidRPr="00E6740A">
        <w:rPr>
          <w:rFonts w:ascii="Arial" w:hAnsi="Arial" w:cs="Arial"/>
          <w:sz w:val="24"/>
          <w:szCs w:val="24"/>
        </w:rPr>
        <w:t xml:space="preserve">for </w:t>
      </w:r>
      <w:r>
        <w:rPr>
          <w:rFonts w:ascii="Arial" w:hAnsi="Arial" w:cs="Arial"/>
          <w:sz w:val="24"/>
          <w:szCs w:val="24"/>
        </w:rPr>
        <w:t xml:space="preserve">the </w:t>
      </w:r>
      <w:r w:rsidRPr="00E6740A">
        <w:rPr>
          <w:rFonts w:ascii="Arial" w:hAnsi="Arial" w:cs="Arial"/>
          <w:sz w:val="24"/>
          <w:szCs w:val="24"/>
        </w:rPr>
        <w:t xml:space="preserve">alleged malicious continuation of </w:t>
      </w:r>
      <w:r>
        <w:rPr>
          <w:rFonts w:ascii="Arial" w:hAnsi="Arial" w:cs="Arial"/>
          <w:sz w:val="24"/>
          <w:szCs w:val="24"/>
        </w:rPr>
        <w:t xml:space="preserve">his </w:t>
      </w:r>
      <w:r w:rsidRPr="00E6740A">
        <w:rPr>
          <w:rFonts w:ascii="Arial" w:hAnsi="Arial" w:cs="Arial"/>
          <w:sz w:val="24"/>
          <w:szCs w:val="24"/>
        </w:rPr>
        <w:t xml:space="preserve">prosecution. </w:t>
      </w:r>
      <w:r>
        <w:rPr>
          <w:rFonts w:ascii="Arial" w:hAnsi="Arial" w:cs="Arial"/>
          <w:sz w:val="24"/>
          <w:szCs w:val="24"/>
        </w:rPr>
        <w:t>In the further alternative, t</w:t>
      </w:r>
      <w:r w:rsidRPr="00E6740A">
        <w:rPr>
          <w:rFonts w:ascii="Arial" w:hAnsi="Arial" w:cs="Arial"/>
          <w:sz w:val="24"/>
          <w:szCs w:val="24"/>
        </w:rPr>
        <w:t xml:space="preserve">he respondent </w:t>
      </w:r>
      <w:r>
        <w:rPr>
          <w:rFonts w:ascii="Arial" w:hAnsi="Arial" w:cs="Arial"/>
          <w:sz w:val="24"/>
          <w:szCs w:val="24"/>
        </w:rPr>
        <w:t>brought a</w:t>
      </w:r>
      <w:r w:rsidRPr="00E6740A">
        <w:rPr>
          <w:rFonts w:ascii="Arial" w:hAnsi="Arial" w:cs="Arial"/>
          <w:sz w:val="24"/>
          <w:szCs w:val="24"/>
        </w:rPr>
        <w:t xml:space="preserve"> claim based on constitutional </w:t>
      </w:r>
      <w:r w:rsidRPr="00E6740A">
        <w:rPr>
          <w:rFonts w:ascii="Arial" w:hAnsi="Arial" w:cs="Arial"/>
          <w:color w:val="000000" w:themeColor="text1"/>
          <w:sz w:val="24"/>
          <w:szCs w:val="24"/>
        </w:rPr>
        <w:t>damages</w:t>
      </w:r>
      <w:r>
        <w:rPr>
          <w:rFonts w:ascii="Arial" w:hAnsi="Arial" w:cs="Arial"/>
          <w:color w:val="000000" w:themeColor="text1"/>
          <w:sz w:val="24"/>
          <w:szCs w:val="24"/>
        </w:rPr>
        <w:t xml:space="preserve"> in the event that the claim</w:t>
      </w:r>
      <w:r w:rsidRPr="00E6740A">
        <w:rPr>
          <w:rFonts w:ascii="Arial" w:hAnsi="Arial" w:cs="Arial"/>
          <w:color w:val="000000" w:themeColor="text1"/>
          <w:sz w:val="24"/>
          <w:szCs w:val="24"/>
        </w:rPr>
        <w:t xml:space="preserve"> </w:t>
      </w:r>
      <w:r>
        <w:rPr>
          <w:rFonts w:ascii="Arial" w:hAnsi="Arial" w:cs="Arial"/>
          <w:color w:val="000000" w:themeColor="text1"/>
          <w:sz w:val="24"/>
          <w:szCs w:val="24"/>
        </w:rPr>
        <w:t>f</w:t>
      </w:r>
      <w:r w:rsidRPr="00E6740A">
        <w:rPr>
          <w:rFonts w:ascii="Arial" w:hAnsi="Arial" w:cs="Arial"/>
          <w:color w:val="000000" w:themeColor="text1"/>
          <w:sz w:val="24"/>
          <w:szCs w:val="24"/>
        </w:rPr>
        <w:t>o</w:t>
      </w:r>
      <w:r>
        <w:rPr>
          <w:rFonts w:ascii="Arial" w:hAnsi="Arial" w:cs="Arial"/>
          <w:color w:val="000000" w:themeColor="text1"/>
          <w:sz w:val="24"/>
          <w:szCs w:val="24"/>
        </w:rPr>
        <w:t>r</w:t>
      </w:r>
      <w:r w:rsidRPr="00E6740A">
        <w:rPr>
          <w:rFonts w:ascii="Arial" w:hAnsi="Arial" w:cs="Arial"/>
          <w:color w:val="000000" w:themeColor="text1"/>
          <w:sz w:val="24"/>
          <w:szCs w:val="24"/>
        </w:rPr>
        <w:t xml:space="preserve"> malicious prosecution fails. </w:t>
      </w:r>
    </w:p>
    <w:p w:rsidR="000B16E1" w:rsidRPr="00E6740A" w:rsidRDefault="000B16E1" w:rsidP="000B16E1">
      <w:pPr>
        <w:pStyle w:val="ListParagraph"/>
        <w:rPr>
          <w:rFonts w:ascii="Arial" w:eastAsia="Times New Roman" w:hAnsi="Arial" w:cs="Arial"/>
          <w:color w:val="000000" w:themeColor="text1"/>
          <w:sz w:val="24"/>
          <w:szCs w:val="24"/>
        </w:rPr>
      </w:pPr>
    </w:p>
    <w:p w:rsidR="000B16E1" w:rsidRPr="008951E8" w:rsidRDefault="000B16E1" w:rsidP="000B16E1">
      <w:pPr>
        <w:pStyle w:val="ListParagraph"/>
        <w:numPr>
          <w:ilvl w:val="0"/>
          <w:numId w:val="22"/>
        </w:numPr>
        <w:spacing w:after="0" w:line="480" w:lineRule="auto"/>
        <w:ind w:left="0" w:firstLine="0"/>
        <w:jc w:val="both"/>
        <w:rPr>
          <w:rFonts w:ascii="Arial" w:hAnsi="Arial" w:cs="Arial"/>
          <w:sz w:val="24"/>
          <w:szCs w:val="24"/>
        </w:rPr>
      </w:pPr>
      <w:r w:rsidRPr="00E6740A">
        <w:rPr>
          <w:rFonts w:ascii="Arial" w:eastAsia="Times New Roman" w:hAnsi="Arial" w:cs="Arial"/>
          <w:color w:val="000000" w:themeColor="text1"/>
          <w:sz w:val="24"/>
          <w:szCs w:val="24"/>
        </w:rPr>
        <w:t>The basic allegation in the respondent</w:t>
      </w:r>
      <w:r>
        <w:rPr>
          <w:rFonts w:ascii="Arial" w:eastAsia="Times New Roman" w:hAnsi="Arial" w:cs="Arial"/>
          <w:color w:val="000000" w:themeColor="text1"/>
          <w:sz w:val="24"/>
          <w:szCs w:val="24"/>
        </w:rPr>
        <w:t>’s</w:t>
      </w:r>
      <w:r w:rsidRPr="00E6740A">
        <w:rPr>
          <w:rFonts w:ascii="Arial" w:eastAsia="Times New Roman" w:hAnsi="Arial" w:cs="Arial"/>
          <w:color w:val="000000" w:themeColor="text1"/>
          <w:sz w:val="24"/>
          <w:szCs w:val="24"/>
        </w:rPr>
        <w:t xml:space="preserve"> claim is that the appellants had acted </w:t>
      </w:r>
      <w:r>
        <w:rPr>
          <w:rFonts w:ascii="Arial" w:eastAsia="Times New Roman" w:hAnsi="Arial" w:cs="Arial"/>
          <w:color w:val="000000" w:themeColor="text1"/>
          <w:sz w:val="24"/>
          <w:szCs w:val="24"/>
        </w:rPr>
        <w:t xml:space="preserve">without reasonable and probable cause </w:t>
      </w:r>
      <w:r w:rsidRPr="00E6740A">
        <w:rPr>
          <w:rFonts w:ascii="Arial" w:eastAsia="Times New Roman" w:hAnsi="Arial" w:cs="Arial"/>
          <w:color w:val="000000" w:themeColor="text1"/>
          <w:sz w:val="24"/>
          <w:szCs w:val="24"/>
        </w:rPr>
        <w:t>and</w:t>
      </w:r>
      <w:r>
        <w:rPr>
          <w:rFonts w:ascii="Arial" w:eastAsia="Times New Roman" w:hAnsi="Arial" w:cs="Arial"/>
          <w:color w:val="000000" w:themeColor="text1"/>
          <w:sz w:val="24"/>
          <w:szCs w:val="24"/>
        </w:rPr>
        <w:t xml:space="preserve"> with</w:t>
      </w:r>
      <w:r w:rsidRPr="00E6740A">
        <w:rPr>
          <w:rFonts w:ascii="Arial" w:eastAsia="Times New Roman" w:hAnsi="Arial" w:cs="Arial"/>
          <w:color w:val="000000" w:themeColor="text1"/>
          <w:sz w:val="24"/>
          <w:szCs w:val="24"/>
        </w:rPr>
        <w:t xml:space="preserve"> malice when they initiated the prosecution being fully aware that they did not have sufficient evidence to convict him. The respondent further alleged </w:t>
      </w:r>
      <w:r>
        <w:rPr>
          <w:rFonts w:ascii="Arial" w:eastAsia="Times New Roman" w:hAnsi="Arial" w:cs="Arial"/>
          <w:color w:val="000000" w:themeColor="text1"/>
          <w:sz w:val="24"/>
          <w:szCs w:val="24"/>
        </w:rPr>
        <w:t xml:space="preserve">that </w:t>
      </w:r>
      <w:r w:rsidRPr="00E6740A">
        <w:rPr>
          <w:rFonts w:ascii="Arial" w:eastAsia="Times New Roman" w:hAnsi="Arial" w:cs="Arial"/>
          <w:color w:val="000000" w:themeColor="text1"/>
          <w:sz w:val="24"/>
          <w:szCs w:val="24"/>
        </w:rPr>
        <w:t xml:space="preserve">the appellants were malicious in persisting with the </w:t>
      </w:r>
      <w:r>
        <w:rPr>
          <w:rFonts w:ascii="Arial" w:eastAsia="Times New Roman" w:hAnsi="Arial" w:cs="Arial"/>
          <w:color w:val="000000" w:themeColor="text1"/>
          <w:sz w:val="24"/>
          <w:szCs w:val="24"/>
        </w:rPr>
        <w:t xml:space="preserve">criminal </w:t>
      </w:r>
      <w:r w:rsidRPr="00E6740A">
        <w:rPr>
          <w:rFonts w:ascii="Arial" w:eastAsia="Times New Roman" w:hAnsi="Arial" w:cs="Arial"/>
          <w:color w:val="000000" w:themeColor="text1"/>
          <w:sz w:val="24"/>
          <w:szCs w:val="24"/>
        </w:rPr>
        <w:t xml:space="preserve">trial whilst </w:t>
      </w:r>
      <w:r w:rsidR="00297EEF">
        <w:rPr>
          <w:rFonts w:ascii="Arial" w:eastAsia="Times New Roman" w:hAnsi="Arial" w:cs="Arial"/>
          <w:color w:val="000000" w:themeColor="text1"/>
          <w:sz w:val="24"/>
          <w:szCs w:val="24"/>
        </w:rPr>
        <w:t xml:space="preserve">being </w:t>
      </w:r>
      <w:r w:rsidRPr="00E6740A">
        <w:rPr>
          <w:rFonts w:ascii="Arial" w:eastAsia="Times New Roman" w:hAnsi="Arial" w:cs="Arial"/>
          <w:color w:val="000000" w:themeColor="text1"/>
          <w:sz w:val="24"/>
          <w:szCs w:val="24"/>
        </w:rPr>
        <w:t xml:space="preserve">aware that the </w:t>
      </w:r>
      <w:r>
        <w:rPr>
          <w:rFonts w:ascii="Arial" w:eastAsia="Times New Roman" w:hAnsi="Arial" w:cs="Arial"/>
          <w:color w:val="000000" w:themeColor="text1"/>
          <w:sz w:val="24"/>
          <w:szCs w:val="24"/>
        </w:rPr>
        <w:t xml:space="preserve">witnesses who testified against him </w:t>
      </w:r>
      <w:r w:rsidRPr="00E6740A">
        <w:rPr>
          <w:rFonts w:ascii="Arial" w:eastAsia="Times New Roman" w:hAnsi="Arial" w:cs="Arial"/>
          <w:color w:val="000000" w:themeColor="text1"/>
          <w:sz w:val="24"/>
          <w:szCs w:val="24"/>
        </w:rPr>
        <w:t xml:space="preserve">failed to implicate him </w:t>
      </w:r>
      <w:r>
        <w:rPr>
          <w:rFonts w:ascii="Arial" w:eastAsia="Times New Roman" w:hAnsi="Arial" w:cs="Arial"/>
          <w:color w:val="000000" w:themeColor="text1"/>
          <w:sz w:val="24"/>
          <w:szCs w:val="24"/>
        </w:rPr>
        <w:t xml:space="preserve">in </w:t>
      </w:r>
      <w:r w:rsidRPr="00E6740A">
        <w:rPr>
          <w:rFonts w:ascii="Arial" w:eastAsia="Times New Roman" w:hAnsi="Arial" w:cs="Arial"/>
          <w:color w:val="000000" w:themeColor="text1"/>
          <w:sz w:val="24"/>
          <w:szCs w:val="24"/>
        </w:rPr>
        <w:t xml:space="preserve">the </w:t>
      </w:r>
      <w:r>
        <w:rPr>
          <w:rFonts w:ascii="Arial" w:eastAsia="Times New Roman" w:hAnsi="Arial" w:cs="Arial"/>
          <w:color w:val="000000" w:themeColor="text1"/>
          <w:sz w:val="24"/>
          <w:szCs w:val="24"/>
        </w:rPr>
        <w:t>commission of the crimes and offences</w:t>
      </w:r>
      <w:r w:rsidRPr="00E6740A">
        <w:rPr>
          <w:rFonts w:ascii="Arial" w:eastAsia="Times New Roman" w:hAnsi="Arial" w:cs="Arial"/>
          <w:color w:val="000000" w:themeColor="text1"/>
          <w:sz w:val="24"/>
          <w:szCs w:val="24"/>
        </w:rPr>
        <w:t xml:space="preserve">. </w:t>
      </w:r>
    </w:p>
    <w:p w:rsidR="000B16E1" w:rsidRDefault="000B16E1" w:rsidP="000B16E1">
      <w:pPr>
        <w:pStyle w:val="ListParagraph"/>
        <w:numPr>
          <w:ilvl w:val="0"/>
          <w:numId w:val="22"/>
        </w:numPr>
        <w:spacing w:after="0" w:line="480" w:lineRule="auto"/>
        <w:ind w:left="0" w:firstLine="0"/>
        <w:jc w:val="both"/>
        <w:rPr>
          <w:rFonts w:ascii="Arial" w:hAnsi="Arial" w:cs="Arial"/>
          <w:sz w:val="24"/>
          <w:szCs w:val="24"/>
        </w:rPr>
      </w:pPr>
      <w:r w:rsidRPr="00E6740A">
        <w:rPr>
          <w:rFonts w:ascii="Arial" w:hAnsi="Arial" w:cs="Arial"/>
          <w:sz w:val="24"/>
          <w:szCs w:val="24"/>
        </w:rPr>
        <w:lastRenderedPageBreak/>
        <w:t>The appellants defend</w:t>
      </w:r>
      <w:r w:rsidR="00E94D4E">
        <w:rPr>
          <w:rFonts w:ascii="Arial" w:hAnsi="Arial" w:cs="Arial"/>
          <w:sz w:val="24"/>
          <w:szCs w:val="24"/>
        </w:rPr>
        <w:t>ed</w:t>
      </w:r>
      <w:r w:rsidRPr="00E6740A">
        <w:rPr>
          <w:rFonts w:ascii="Arial" w:hAnsi="Arial" w:cs="Arial"/>
          <w:sz w:val="24"/>
          <w:szCs w:val="24"/>
        </w:rPr>
        <w:t xml:space="preserve"> the claim</w:t>
      </w:r>
      <w:r>
        <w:rPr>
          <w:rFonts w:ascii="Arial" w:hAnsi="Arial" w:cs="Arial"/>
          <w:sz w:val="24"/>
          <w:szCs w:val="24"/>
        </w:rPr>
        <w:t>s</w:t>
      </w:r>
      <w:r w:rsidRPr="00E6740A">
        <w:rPr>
          <w:rFonts w:ascii="Arial" w:hAnsi="Arial" w:cs="Arial"/>
          <w:sz w:val="24"/>
          <w:szCs w:val="24"/>
        </w:rPr>
        <w:t>. In a nutshell, the appellants conceded that they set the law in motion, instigated and maintain</w:t>
      </w:r>
      <w:r>
        <w:rPr>
          <w:rFonts w:ascii="Arial" w:hAnsi="Arial" w:cs="Arial"/>
          <w:sz w:val="24"/>
          <w:szCs w:val="24"/>
        </w:rPr>
        <w:t>ed</w:t>
      </w:r>
      <w:r w:rsidRPr="00E6740A">
        <w:rPr>
          <w:rFonts w:ascii="Arial" w:hAnsi="Arial" w:cs="Arial"/>
          <w:sz w:val="24"/>
          <w:szCs w:val="24"/>
        </w:rPr>
        <w:t xml:space="preserve"> the prosecution against the respondent but denied that it was without a reasonable and probable cause</w:t>
      </w:r>
      <w:r>
        <w:rPr>
          <w:rFonts w:ascii="Arial" w:hAnsi="Arial" w:cs="Arial"/>
          <w:sz w:val="24"/>
          <w:szCs w:val="24"/>
        </w:rPr>
        <w:t xml:space="preserve"> or that it was actuated by malice</w:t>
      </w:r>
      <w:r w:rsidRPr="00E6740A">
        <w:rPr>
          <w:rFonts w:ascii="Arial" w:hAnsi="Arial" w:cs="Arial"/>
          <w:sz w:val="24"/>
          <w:szCs w:val="24"/>
        </w:rPr>
        <w:t xml:space="preserve">. </w:t>
      </w:r>
    </w:p>
    <w:p w:rsidR="000B16E1" w:rsidRDefault="000B16E1" w:rsidP="000B16E1">
      <w:pPr>
        <w:pStyle w:val="ListParagraph"/>
        <w:shd w:val="clear" w:color="auto" w:fill="FFFFFF"/>
        <w:spacing w:after="0" w:line="480" w:lineRule="auto"/>
        <w:ind w:left="0"/>
        <w:jc w:val="both"/>
        <w:rPr>
          <w:rFonts w:ascii="Arial" w:eastAsia="Times New Roman" w:hAnsi="Arial" w:cs="Arial"/>
          <w:color w:val="000000" w:themeColor="text1"/>
          <w:sz w:val="24"/>
          <w:szCs w:val="24"/>
          <w:u w:val="single"/>
          <w:lang w:val="en-ZA" w:eastAsia="en-ZA"/>
        </w:rPr>
      </w:pPr>
    </w:p>
    <w:p w:rsidR="000B16E1" w:rsidRPr="00E6740A" w:rsidRDefault="000B16E1" w:rsidP="000B16E1">
      <w:pPr>
        <w:pStyle w:val="ListParagraph"/>
        <w:shd w:val="clear" w:color="auto" w:fill="FFFFFF"/>
        <w:spacing w:after="0" w:line="480" w:lineRule="auto"/>
        <w:ind w:left="0"/>
        <w:jc w:val="both"/>
        <w:rPr>
          <w:rFonts w:ascii="Arial" w:eastAsia="Times New Roman" w:hAnsi="Arial" w:cs="Arial"/>
          <w:color w:val="000000" w:themeColor="text1"/>
          <w:sz w:val="24"/>
          <w:szCs w:val="24"/>
          <w:lang w:val="en-ZA" w:eastAsia="en-ZA"/>
        </w:rPr>
      </w:pPr>
      <w:r w:rsidRPr="00E6740A">
        <w:rPr>
          <w:rFonts w:ascii="Arial" w:eastAsia="Times New Roman" w:hAnsi="Arial" w:cs="Arial"/>
          <w:color w:val="000000" w:themeColor="text1"/>
          <w:sz w:val="24"/>
          <w:szCs w:val="24"/>
          <w:u w:val="single"/>
          <w:lang w:val="en-ZA" w:eastAsia="en-ZA"/>
        </w:rPr>
        <w:t>Pre-trial proceedings</w:t>
      </w:r>
    </w:p>
    <w:p w:rsidR="000B16E1" w:rsidRPr="00E6740A" w:rsidRDefault="000B16E1" w:rsidP="000B16E1">
      <w:pPr>
        <w:pStyle w:val="ListParagraph"/>
        <w:numPr>
          <w:ilvl w:val="0"/>
          <w:numId w:val="22"/>
        </w:numPr>
        <w:shd w:val="clear" w:color="auto" w:fill="FFFFFF"/>
        <w:spacing w:after="0" w:line="480" w:lineRule="auto"/>
        <w:ind w:left="0" w:firstLine="0"/>
        <w:jc w:val="both"/>
        <w:rPr>
          <w:rFonts w:ascii="Arial" w:hAnsi="Arial" w:cs="Arial"/>
          <w:color w:val="000000" w:themeColor="text1"/>
          <w:sz w:val="24"/>
          <w:szCs w:val="24"/>
        </w:rPr>
      </w:pPr>
      <w:r w:rsidRPr="00E6740A">
        <w:rPr>
          <w:rFonts w:ascii="Arial" w:hAnsi="Arial" w:cs="Arial"/>
          <w:color w:val="000000" w:themeColor="text1"/>
          <w:sz w:val="24"/>
          <w:szCs w:val="24"/>
          <w:shd w:val="clear" w:color="auto" w:fill="FFFFFF"/>
        </w:rPr>
        <w:t>The matter became the subject of the</w:t>
      </w:r>
      <w:r>
        <w:rPr>
          <w:rFonts w:ascii="Arial" w:hAnsi="Arial" w:cs="Arial"/>
          <w:color w:val="000000" w:themeColor="text1"/>
          <w:sz w:val="24"/>
          <w:szCs w:val="24"/>
          <w:shd w:val="clear" w:color="auto" w:fill="FFFFFF"/>
        </w:rPr>
        <w:t xml:space="preserve"> usual</w:t>
      </w:r>
      <w:r w:rsidRPr="00E6740A">
        <w:rPr>
          <w:rFonts w:ascii="Arial" w:hAnsi="Arial" w:cs="Arial"/>
          <w:color w:val="000000" w:themeColor="text1"/>
          <w:sz w:val="24"/>
          <w:szCs w:val="24"/>
          <w:shd w:val="clear" w:color="auto" w:fill="FFFFFF"/>
        </w:rPr>
        <w:t xml:space="preserve"> judicial case management process</w:t>
      </w:r>
      <w:r w:rsidR="00E94D4E">
        <w:rPr>
          <w:rFonts w:ascii="Arial" w:hAnsi="Arial" w:cs="Arial"/>
          <w:color w:val="000000" w:themeColor="text1"/>
          <w:sz w:val="24"/>
          <w:szCs w:val="24"/>
          <w:shd w:val="clear" w:color="auto" w:fill="FFFFFF"/>
        </w:rPr>
        <w:t xml:space="preserve"> in the High </w:t>
      </w:r>
      <w:r w:rsidR="00A77758">
        <w:rPr>
          <w:rFonts w:ascii="Arial" w:hAnsi="Arial" w:cs="Arial"/>
          <w:color w:val="000000" w:themeColor="text1"/>
          <w:sz w:val="24"/>
          <w:szCs w:val="24"/>
          <w:shd w:val="clear" w:color="auto" w:fill="FFFFFF"/>
        </w:rPr>
        <w:t>C</w:t>
      </w:r>
      <w:r w:rsidR="00E94D4E">
        <w:rPr>
          <w:rFonts w:ascii="Arial" w:hAnsi="Arial" w:cs="Arial"/>
          <w:color w:val="000000" w:themeColor="text1"/>
          <w:sz w:val="24"/>
          <w:szCs w:val="24"/>
          <w:shd w:val="clear" w:color="auto" w:fill="FFFFFF"/>
        </w:rPr>
        <w:t>ourt</w:t>
      </w:r>
      <w:r w:rsidRPr="00E6740A">
        <w:rPr>
          <w:rFonts w:ascii="Arial" w:hAnsi="Arial" w:cs="Arial"/>
          <w:color w:val="000000" w:themeColor="text1"/>
          <w:sz w:val="24"/>
          <w:szCs w:val="24"/>
          <w:shd w:val="clear" w:color="auto" w:fill="FFFFFF"/>
        </w:rPr>
        <w:t xml:space="preserve">. The parties agreed to separate the </w:t>
      </w:r>
      <w:r>
        <w:rPr>
          <w:rFonts w:ascii="Arial" w:hAnsi="Arial" w:cs="Arial"/>
          <w:color w:val="000000" w:themeColor="text1"/>
          <w:sz w:val="24"/>
          <w:szCs w:val="24"/>
          <w:shd w:val="clear" w:color="auto" w:fill="FFFFFF"/>
        </w:rPr>
        <w:t>merits from the quantum, with the matter</w:t>
      </w:r>
      <w:r w:rsidRPr="00E6740A">
        <w:rPr>
          <w:rFonts w:ascii="Arial" w:hAnsi="Arial" w:cs="Arial"/>
          <w:color w:val="000000" w:themeColor="text1"/>
          <w:sz w:val="24"/>
          <w:szCs w:val="24"/>
          <w:shd w:val="clear" w:color="auto" w:fill="FFFFFF"/>
        </w:rPr>
        <w:t xml:space="preserve"> proceed</w:t>
      </w:r>
      <w:r>
        <w:rPr>
          <w:rFonts w:ascii="Arial" w:hAnsi="Arial" w:cs="Arial"/>
          <w:color w:val="000000" w:themeColor="text1"/>
          <w:sz w:val="24"/>
          <w:szCs w:val="24"/>
          <w:shd w:val="clear" w:color="auto" w:fill="FFFFFF"/>
        </w:rPr>
        <w:t>ing</w:t>
      </w:r>
      <w:r w:rsidRPr="00E6740A">
        <w:rPr>
          <w:rFonts w:ascii="Arial" w:hAnsi="Arial" w:cs="Arial"/>
          <w:color w:val="000000" w:themeColor="text1"/>
          <w:sz w:val="24"/>
          <w:szCs w:val="24"/>
          <w:shd w:val="clear" w:color="auto" w:fill="FFFFFF"/>
        </w:rPr>
        <w:t xml:space="preserve"> only on the merits. </w:t>
      </w:r>
    </w:p>
    <w:p w:rsidR="000B16E1" w:rsidRDefault="000B16E1" w:rsidP="000B16E1">
      <w:pPr>
        <w:pStyle w:val="ListParagraph"/>
        <w:spacing w:after="0" w:line="480" w:lineRule="auto"/>
        <w:ind w:left="0"/>
        <w:rPr>
          <w:rFonts w:ascii="Arial" w:eastAsia="Gulim" w:hAnsi="Arial" w:cs="Arial"/>
          <w:color w:val="000000" w:themeColor="text1"/>
          <w:sz w:val="24"/>
          <w:szCs w:val="24"/>
          <w:u w:val="single"/>
          <w:lang w:val="en-GB"/>
        </w:rPr>
      </w:pPr>
    </w:p>
    <w:p w:rsidR="000B16E1" w:rsidRPr="00E6740A" w:rsidRDefault="000B16E1" w:rsidP="00157011">
      <w:pPr>
        <w:pStyle w:val="ListParagraph"/>
        <w:spacing w:after="0" w:line="480" w:lineRule="auto"/>
        <w:ind w:left="0"/>
        <w:jc w:val="both"/>
        <w:rPr>
          <w:rFonts w:ascii="Arial" w:eastAsia="Gulim" w:hAnsi="Arial" w:cs="Arial"/>
          <w:color w:val="000000" w:themeColor="text1"/>
          <w:sz w:val="24"/>
          <w:szCs w:val="24"/>
          <w:u w:val="single"/>
          <w:lang w:val="en-GB"/>
        </w:rPr>
      </w:pPr>
      <w:r w:rsidRPr="00E6740A">
        <w:rPr>
          <w:rFonts w:ascii="Arial" w:eastAsia="Gulim" w:hAnsi="Arial" w:cs="Arial"/>
          <w:color w:val="000000" w:themeColor="text1"/>
          <w:sz w:val="24"/>
          <w:szCs w:val="24"/>
          <w:u w:val="single"/>
          <w:lang w:val="en-GB"/>
        </w:rPr>
        <w:t>Principal submissions in the High Court</w:t>
      </w:r>
    </w:p>
    <w:p w:rsidR="000B16E1" w:rsidRPr="00E6740A" w:rsidRDefault="000B16E1" w:rsidP="000B16E1">
      <w:pPr>
        <w:pStyle w:val="ListParagraph"/>
        <w:numPr>
          <w:ilvl w:val="0"/>
          <w:numId w:val="22"/>
        </w:numPr>
        <w:spacing w:after="0" w:line="480" w:lineRule="auto"/>
        <w:ind w:left="0" w:firstLine="0"/>
        <w:jc w:val="both"/>
        <w:rPr>
          <w:rFonts w:ascii="Arial" w:hAnsi="Arial" w:cs="Arial"/>
          <w:color w:val="000000" w:themeColor="text1"/>
          <w:sz w:val="24"/>
          <w:szCs w:val="24"/>
        </w:rPr>
      </w:pPr>
      <w:r w:rsidRPr="00E6740A">
        <w:rPr>
          <w:rFonts w:ascii="Arial" w:hAnsi="Arial" w:cs="Arial"/>
          <w:color w:val="000000" w:themeColor="text1"/>
          <w:sz w:val="24"/>
          <w:szCs w:val="24"/>
        </w:rPr>
        <w:t xml:space="preserve">The respondent in support of the main claim </w:t>
      </w:r>
      <w:r w:rsidR="00D911F4">
        <w:rPr>
          <w:rFonts w:ascii="Arial" w:hAnsi="Arial" w:cs="Arial"/>
          <w:color w:val="000000" w:themeColor="text1"/>
          <w:sz w:val="24"/>
          <w:szCs w:val="24"/>
        </w:rPr>
        <w:t xml:space="preserve">pleaded </w:t>
      </w:r>
      <w:r w:rsidRPr="00E6740A">
        <w:rPr>
          <w:rFonts w:ascii="Arial" w:hAnsi="Arial" w:cs="Arial"/>
          <w:color w:val="000000" w:themeColor="text1"/>
          <w:sz w:val="24"/>
          <w:szCs w:val="24"/>
        </w:rPr>
        <w:t xml:space="preserve">that the first appellant, through his employees, </w:t>
      </w:r>
      <w:r>
        <w:rPr>
          <w:rFonts w:ascii="Arial" w:hAnsi="Arial" w:cs="Arial"/>
          <w:color w:val="000000" w:themeColor="text1"/>
          <w:sz w:val="24"/>
          <w:szCs w:val="24"/>
        </w:rPr>
        <w:t xml:space="preserve">being the Namibian Police, </w:t>
      </w:r>
      <w:r w:rsidRPr="00E6740A">
        <w:rPr>
          <w:rFonts w:ascii="Arial" w:hAnsi="Arial" w:cs="Arial"/>
          <w:color w:val="000000" w:themeColor="text1"/>
          <w:sz w:val="24"/>
          <w:szCs w:val="24"/>
        </w:rPr>
        <w:t>had malici</w:t>
      </w:r>
      <w:r>
        <w:rPr>
          <w:rFonts w:ascii="Arial" w:hAnsi="Arial" w:cs="Arial"/>
          <w:color w:val="000000" w:themeColor="text1"/>
          <w:sz w:val="24"/>
          <w:szCs w:val="24"/>
        </w:rPr>
        <w:t xml:space="preserve">ously and without reasonable and </w:t>
      </w:r>
      <w:r w:rsidRPr="00E6740A">
        <w:rPr>
          <w:rFonts w:ascii="Arial" w:hAnsi="Arial" w:cs="Arial"/>
          <w:color w:val="000000" w:themeColor="text1"/>
          <w:sz w:val="24"/>
          <w:szCs w:val="24"/>
        </w:rPr>
        <w:t xml:space="preserve">probable cause placed false information before the </w:t>
      </w:r>
      <w:r>
        <w:rPr>
          <w:rFonts w:ascii="Arial" w:hAnsi="Arial" w:cs="Arial"/>
          <w:color w:val="000000" w:themeColor="text1"/>
          <w:sz w:val="24"/>
          <w:szCs w:val="24"/>
        </w:rPr>
        <w:t xml:space="preserve">PG </w:t>
      </w:r>
      <w:r w:rsidRPr="00E6740A">
        <w:rPr>
          <w:rFonts w:ascii="Arial" w:hAnsi="Arial" w:cs="Arial"/>
          <w:color w:val="000000" w:themeColor="text1"/>
          <w:sz w:val="24"/>
          <w:szCs w:val="24"/>
        </w:rPr>
        <w:t xml:space="preserve">with the object of having him prosecuted for high treason and other charges contained in the indictment. The respondent </w:t>
      </w:r>
      <w:r w:rsidR="00D911F4">
        <w:rPr>
          <w:rFonts w:ascii="Arial" w:hAnsi="Arial" w:cs="Arial"/>
          <w:color w:val="000000" w:themeColor="text1"/>
          <w:sz w:val="24"/>
          <w:szCs w:val="24"/>
        </w:rPr>
        <w:t xml:space="preserve">pleaded </w:t>
      </w:r>
      <w:r w:rsidRPr="00E6740A">
        <w:rPr>
          <w:rFonts w:ascii="Arial" w:hAnsi="Arial" w:cs="Arial"/>
          <w:color w:val="000000" w:themeColor="text1"/>
          <w:sz w:val="24"/>
          <w:szCs w:val="24"/>
        </w:rPr>
        <w:t xml:space="preserve">that in consequence of the false </w:t>
      </w:r>
      <w:r w:rsidR="005C797C" w:rsidRPr="00E6740A">
        <w:rPr>
          <w:rFonts w:ascii="Arial" w:hAnsi="Arial" w:cs="Arial"/>
          <w:color w:val="000000" w:themeColor="text1"/>
          <w:sz w:val="24"/>
          <w:szCs w:val="24"/>
        </w:rPr>
        <w:t>information</w:t>
      </w:r>
      <w:r w:rsidR="005C797C">
        <w:rPr>
          <w:rFonts w:ascii="Arial" w:hAnsi="Arial" w:cs="Arial"/>
          <w:color w:val="000000" w:themeColor="text1"/>
          <w:sz w:val="24"/>
          <w:szCs w:val="24"/>
        </w:rPr>
        <w:t>;</w:t>
      </w:r>
      <w:r w:rsidRPr="00E6740A">
        <w:rPr>
          <w:rFonts w:ascii="Arial" w:hAnsi="Arial" w:cs="Arial"/>
          <w:color w:val="000000" w:themeColor="text1"/>
          <w:sz w:val="24"/>
          <w:szCs w:val="24"/>
        </w:rPr>
        <w:t xml:space="preserve"> he was arrested and subsequently prosecuted on the charges. </w:t>
      </w:r>
    </w:p>
    <w:p w:rsidR="000B16E1" w:rsidRPr="00E6740A" w:rsidRDefault="000B16E1" w:rsidP="000B16E1">
      <w:pPr>
        <w:spacing w:after="0" w:line="480" w:lineRule="auto"/>
        <w:jc w:val="both"/>
        <w:rPr>
          <w:rFonts w:ascii="Arial" w:hAnsi="Arial" w:cs="Arial"/>
          <w:color w:val="000000" w:themeColor="text1"/>
          <w:sz w:val="24"/>
          <w:szCs w:val="24"/>
        </w:rPr>
      </w:pPr>
    </w:p>
    <w:p w:rsidR="000B16E1" w:rsidRPr="00A81F50" w:rsidRDefault="000B16E1" w:rsidP="000B16E1">
      <w:pPr>
        <w:pStyle w:val="ListParagraph"/>
        <w:numPr>
          <w:ilvl w:val="0"/>
          <w:numId w:val="22"/>
        </w:numPr>
        <w:spacing w:after="0" w:line="480" w:lineRule="auto"/>
        <w:ind w:left="0" w:firstLine="0"/>
        <w:jc w:val="both"/>
        <w:rPr>
          <w:rFonts w:ascii="Arial" w:hAnsi="Arial" w:cs="Arial"/>
          <w:color w:val="000000" w:themeColor="text1"/>
        </w:rPr>
      </w:pPr>
      <w:r w:rsidRPr="00A81F50">
        <w:rPr>
          <w:rFonts w:ascii="Arial" w:hAnsi="Arial" w:cs="Arial"/>
          <w:color w:val="000000" w:themeColor="text1"/>
          <w:sz w:val="24"/>
          <w:szCs w:val="24"/>
        </w:rPr>
        <w:t xml:space="preserve">The respondent further </w:t>
      </w:r>
      <w:r w:rsidR="00D911F4">
        <w:rPr>
          <w:rFonts w:ascii="Arial" w:hAnsi="Arial" w:cs="Arial"/>
          <w:color w:val="000000" w:themeColor="text1"/>
          <w:sz w:val="24"/>
          <w:szCs w:val="24"/>
        </w:rPr>
        <w:t xml:space="preserve">pleaded </w:t>
      </w:r>
      <w:r w:rsidRPr="00A81F50">
        <w:rPr>
          <w:rFonts w:ascii="Arial" w:hAnsi="Arial" w:cs="Arial"/>
          <w:color w:val="000000" w:themeColor="text1"/>
          <w:sz w:val="24"/>
          <w:szCs w:val="24"/>
        </w:rPr>
        <w:t xml:space="preserve">that </w:t>
      </w:r>
      <w:r w:rsidRPr="00A81F50">
        <w:rPr>
          <w:rFonts w:ascii="Arial" w:hAnsi="Arial" w:cs="Arial"/>
          <w:sz w:val="24"/>
          <w:szCs w:val="24"/>
        </w:rPr>
        <w:t xml:space="preserve">when the </w:t>
      </w:r>
      <w:r>
        <w:rPr>
          <w:rFonts w:ascii="Arial" w:hAnsi="Arial" w:cs="Arial"/>
          <w:sz w:val="24"/>
          <w:szCs w:val="24"/>
        </w:rPr>
        <w:t xml:space="preserve">PG </w:t>
      </w:r>
      <w:r w:rsidRPr="00A81F50">
        <w:rPr>
          <w:rFonts w:ascii="Arial" w:hAnsi="Arial" w:cs="Arial"/>
          <w:sz w:val="24"/>
          <w:szCs w:val="24"/>
        </w:rPr>
        <w:t>and</w:t>
      </w:r>
      <w:r>
        <w:rPr>
          <w:rFonts w:ascii="Arial" w:hAnsi="Arial" w:cs="Arial"/>
          <w:sz w:val="24"/>
          <w:szCs w:val="24"/>
        </w:rPr>
        <w:t>/</w:t>
      </w:r>
      <w:r w:rsidRPr="00A81F50">
        <w:rPr>
          <w:rFonts w:ascii="Arial" w:hAnsi="Arial" w:cs="Arial"/>
          <w:sz w:val="24"/>
          <w:szCs w:val="24"/>
        </w:rPr>
        <w:t>or her employees set the law in motion or continued with his prosecution, they ha</w:t>
      </w:r>
      <w:r>
        <w:rPr>
          <w:rFonts w:ascii="Arial" w:hAnsi="Arial" w:cs="Arial"/>
          <w:sz w:val="24"/>
          <w:szCs w:val="24"/>
        </w:rPr>
        <w:t>d</w:t>
      </w:r>
      <w:r w:rsidRPr="00A81F50">
        <w:rPr>
          <w:rFonts w:ascii="Arial" w:hAnsi="Arial" w:cs="Arial"/>
          <w:sz w:val="24"/>
          <w:szCs w:val="24"/>
        </w:rPr>
        <w:t xml:space="preserve"> done so without having sufficient information at their disposal which could substantiate the charges preferred against him or justif</w:t>
      </w:r>
      <w:r>
        <w:rPr>
          <w:rFonts w:ascii="Arial" w:hAnsi="Arial" w:cs="Arial"/>
          <w:sz w:val="24"/>
          <w:szCs w:val="24"/>
        </w:rPr>
        <w:t>y</w:t>
      </w:r>
      <w:r w:rsidRPr="00A81F50">
        <w:rPr>
          <w:rFonts w:ascii="Arial" w:hAnsi="Arial" w:cs="Arial"/>
          <w:sz w:val="24"/>
          <w:szCs w:val="24"/>
        </w:rPr>
        <w:t xml:space="preserve"> his prosecution on such charges. </w:t>
      </w:r>
      <w:r w:rsidRPr="00A81F50">
        <w:rPr>
          <w:rFonts w:ascii="Arial" w:hAnsi="Arial" w:cs="Arial"/>
          <w:color w:val="000000" w:themeColor="text1"/>
          <w:sz w:val="24"/>
          <w:szCs w:val="24"/>
        </w:rPr>
        <w:t xml:space="preserve">The respondent claimed that the </w:t>
      </w:r>
      <w:r>
        <w:rPr>
          <w:rFonts w:ascii="Arial" w:hAnsi="Arial" w:cs="Arial"/>
          <w:color w:val="000000" w:themeColor="text1"/>
          <w:sz w:val="24"/>
          <w:szCs w:val="24"/>
        </w:rPr>
        <w:t xml:space="preserve">PG </w:t>
      </w:r>
      <w:r w:rsidRPr="00A81F50">
        <w:rPr>
          <w:rFonts w:ascii="Arial" w:hAnsi="Arial" w:cs="Arial"/>
          <w:color w:val="000000" w:themeColor="text1"/>
          <w:sz w:val="24"/>
          <w:szCs w:val="24"/>
        </w:rPr>
        <w:t>and</w:t>
      </w:r>
      <w:r>
        <w:rPr>
          <w:rFonts w:ascii="Arial" w:hAnsi="Arial" w:cs="Arial"/>
          <w:color w:val="000000" w:themeColor="text1"/>
          <w:sz w:val="24"/>
          <w:szCs w:val="24"/>
        </w:rPr>
        <w:t>/</w:t>
      </w:r>
      <w:r w:rsidRPr="00A81F50">
        <w:rPr>
          <w:rFonts w:ascii="Arial" w:hAnsi="Arial" w:cs="Arial"/>
          <w:color w:val="000000" w:themeColor="text1"/>
          <w:sz w:val="24"/>
          <w:szCs w:val="24"/>
        </w:rPr>
        <w:t xml:space="preserve">or her employees instigated his prosecution without having reasonable belief in the veracity </w:t>
      </w:r>
      <w:r w:rsidRPr="00A81F50">
        <w:rPr>
          <w:rFonts w:ascii="Arial" w:hAnsi="Arial" w:cs="Arial"/>
          <w:color w:val="000000" w:themeColor="text1"/>
          <w:sz w:val="24"/>
          <w:szCs w:val="24"/>
        </w:rPr>
        <w:lastRenderedPageBreak/>
        <w:t xml:space="preserve">of the information before them. </w:t>
      </w:r>
      <w:r>
        <w:rPr>
          <w:rFonts w:ascii="Arial" w:hAnsi="Arial" w:cs="Arial"/>
          <w:color w:val="000000" w:themeColor="text1"/>
          <w:sz w:val="24"/>
          <w:szCs w:val="24"/>
        </w:rPr>
        <w:t>H</w:t>
      </w:r>
      <w:r w:rsidRPr="00A81F50">
        <w:rPr>
          <w:rFonts w:ascii="Arial" w:hAnsi="Arial" w:cs="Arial"/>
          <w:color w:val="000000" w:themeColor="text1"/>
          <w:sz w:val="24"/>
          <w:szCs w:val="24"/>
        </w:rPr>
        <w:t xml:space="preserve">e thus </w:t>
      </w:r>
      <w:r>
        <w:rPr>
          <w:rFonts w:ascii="Arial" w:hAnsi="Arial" w:cs="Arial"/>
          <w:color w:val="000000" w:themeColor="text1"/>
          <w:sz w:val="24"/>
          <w:szCs w:val="24"/>
        </w:rPr>
        <w:t xml:space="preserve">contended </w:t>
      </w:r>
      <w:r w:rsidRPr="00A81F50">
        <w:rPr>
          <w:rFonts w:ascii="Arial" w:hAnsi="Arial" w:cs="Arial"/>
          <w:color w:val="000000" w:themeColor="text1"/>
          <w:sz w:val="24"/>
          <w:szCs w:val="24"/>
        </w:rPr>
        <w:t>that his arrest, detention and result</w:t>
      </w:r>
      <w:r>
        <w:rPr>
          <w:rFonts w:ascii="Arial" w:hAnsi="Arial" w:cs="Arial"/>
          <w:color w:val="000000" w:themeColor="text1"/>
          <w:sz w:val="24"/>
          <w:szCs w:val="24"/>
        </w:rPr>
        <w:t>ant</w:t>
      </w:r>
      <w:r w:rsidRPr="00A81F50">
        <w:rPr>
          <w:rFonts w:ascii="Arial" w:hAnsi="Arial" w:cs="Arial"/>
          <w:color w:val="000000" w:themeColor="text1"/>
          <w:sz w:val="24"/>
          <w:szCs w:val="24"/>
        </w:rPr>
        <w:t xml:space="preserve"> prosecution were instituted maliciously and without </w:t>
      </w:r>
      <w:r w:rsidR="007A7F30">
        <w:rPr>
          <w:rFonts w:ascii="Arial" w:hAnsi="Arial" w:cs="Arial"/>
          <w:color w:val="000000" w:themeColor="text1"/>
          <w:sz w:val="24"/>
          <w:szCs w:val="24"/>
        </w:rPr>
        <w:t>a</w:t>
      </w:r>
      <w:r w:rsidRPr="00A81F50">
        <w:rPr>
          <w:rFonts w:ascii="Arial" w:hAnsi="Arial" w:cs="Arial"/>
          <w:color w:val="000000" w:themeColor="text1"/>
          <w:sz w:val="24"/>
          <w:szCs w:val="24"/>
        </w:rPr>
        <w:t xml:space="preserve"> reasonable or probable cause.  </w:t>
      </w:r>
    </w:p>
    <w:p w:rsidR="000B16E1" w:rsidRPr="00A81F50" w:rsidRDefault="000B16E1" w:rsidP="00157011">
      <w:pPr>
        <w:pStyle w:val="ListParagraph"/>
        <w:spacing w:line="480" w:lineRule="auto"/>
        <w:jc w:val="both"/>
        <w:rPr>
          <w:rFonts w:ascii="Arial" w:hAnsi="Arial" w:cs="Arial"/>
          <w:color w:val="000000" w:themeColor="text1"/>
        </w:rPr>
      </w:pPr>
    </w:p>
    <w:p w:rsidR="000B16E1" w:rsidRDefault="000B16E1" w:rsidP="000B16E1">
      <w:pPr>
        <w:pStyle w:val="ListParagraph"/>
        <w:numPr>
          <w:ilvl w:val="0"/>
          <w:numId w:val="22"/>
        </w:numPr>
        <w:spacing w:after="0" w:line="480" w:lineRule="auto"/>
        <w:ind w:left="0" w:firstLine="0"/>
        <w:jc w:val="both"/>
        <w:rPr>
          <w:rFonts w:ascii="Arial" w:hAnsi="Arial" w:cs="Arial"/>
          <w:color w:val="000000" w:themeColor="text1"/>
          <w:sz w:val="24"/>
          <w:szCs w:val="24"/>
        </w:rPr>
      </w:pPr>
      <w:r>
        <w:rPr>
          <w:rFonts w:ascii="Arial" w:hAnsi="Arial" w:cs="Arial"/>
          <w:color w:val="000000" w:themeColor="text1"/>
          <w:sz w:val="24"/>
          <w:szCs w:val="24"/>
        </w:rPr>
        <w:t xml:space="preserve">As to </w:t>
      </w:r>
      <w:r w:rsidRPr="00A81F50">
        <w:rPr>
          <w:rFonts w:ascii="Arial" w:hAnsi="Arial" w:cs="Arial"/>
          <w:color w:val="000000" w:themeColor="text1"/>
          <w:sz w:val="24"/>
          <w:szCs w:val="24"/>
        </w:rPr>
        <w:t xml:space="preserve">the first alternative claim, the respondent </w:t>
      </w:r>
      <w:r w:rsidR="00D911F4">
        <w:rPr>
          <w:rFonts w:ascii="Arial" w:hAnsi="Arial" w:cs="Arial"/>
          <w:color w:val="000000" w:themeColor="text1"/>
          <w:sz w:val="24"/>
          <w:szCs w:val="24"/>
        </w:rPr>
        <w:t xml:space="preserve">pleaded </w:t>
      </w:r>
      <w:r w:rsidRPr="00A81F50">
        <w:rPr>
          <w:rFonts w:ascii="Arial" w:hAnsi="Arial" w:cs="Arial"/>
          <w:color w:val="000000" w:themeColor="text1"/>
          <w:sz w:val="24"/>
          <w:szCs w:val="24"/>
        </w:rPr>
        <w:t xml:space="preserve">that in </w:t>
      </w:r>
      <w:r w:rsidR="00A77758">
        <w:rPr>
          <w:rFonts w:ascii="Arial" w:hAnsi="Arial" w:cs="Arial"/>
          <w:color w:val="000000" w:themeColor="text1"/>
          <w:sz w:val="24"/>
          <w:szCs w:val="24"/>
        </w:rPr>
        <w:t xml:space="preserve">the </w:t>
      </w:r>
      <w:r w:rsidRPr="00A81F50">
        <w:rPr>
          <w:rFonts w:ascii="Arial" w:hAnsi="Arial" w:cs="Arial"/>
          <w:color w:val="000000" w:themeColor="text1"/>
          <w:sz w:val="24"/>
          <w:szCs w:val="24"/>
        </w:rPr>
        <w:t>event that the principal claim fail</w:t>
      </w:r>
      <w:r w:rsidR="00E94D4E">
        <w:rPr>
          <w:rFonts w:ascii="Arial" w:hAnsi="Arial" w:cs="Arial"/>
          <w:color w:val="000000" w:themeColor="text1"/>
          <w:sz w:val="24"/>
          <w:szCs w:val="24"/>
        </w:rPr>
        <w:t>ed</w:t>
      </w:r>
      <w:r w:rsidRPr="00A81F50">
        <w:rPr>
          <w:rFonts w:ascii="Arial" w:hAnsi="Arial" w:cs="Arial"/>
          <w:color w:val="000000" w:themeColor="text1"/>
          <w:sz w:val="24"/>
          <w:szCs w:val="24"/>
        </w:rPr>
        <w:t xml:space="preserve">, the common law should be developed to include a claim for damages </w:t>
      </w:r>
      <w:r>
        <w:rPr>
          <w:rFonts w:ascii="Arial" w:hAnsi="Arial" w:cs="Arial"/>
          <w:color w:val="000000" w:themeColor="text1"/>
          <w:sz w:val="24"/>
          <w:szCs w:val="24"/>
        </w:rPr>
        <w:t xml:space="preserve">for </w:t>
      </w:r>
      <w:r w:rsidRPr="00A81F50">
        <w:rPr>
          <w:rFonts w:ascii="Arial" w:hAnsi="Arial" w:cs="Arial"/>
          <w:color w:val="000000" w:themeColor="text1"/>
          <w:sz w:val="24"/>
          <w:szCs w:val="24"/>
        </w:rPr>
        <w:t xml:space="preserve">maintaining the prosecution maliciously and without reasonable and probable cause. The respondent </w:t>
      </w:r>
      <w:r w:rsidR="00D911F4">
        <w:rPr>
          <w:rFonts w:ascii="Arial" w:hAnsi="Arial" w:cs="Arial"/>
          <w:color w:val="000000" w:themeColor="text1"/>
          <w:sz w:val="24"/>
          <w:szCs w:val="24"/>
        </w:rPr>
        <w:t xml:space="preserve">argued </w:t>
      </w:r>
      <w:r w:rsidRPr="00A81F50">
        <w:rPr>
          <w:rFonts w:ascii="Arial" w:hAnsi="Arial" w:cs="Arial"/>
          <w:color w:val="000000" w:themeColor="text1"/>
          <w:sz w:val="24"/>
          <w:szCs w:val="24"/>
        </w:rPr>
        <w:t xml:space="preserve">that a defendant in a civil case ought to be held liable for damages in instances where the defendant lacked reasonable and probable cause for the prosecution, </w:t>
      </w:r>
      <w:r w:rsidRPr="00271509">
        <w:rPr>
          <w:rFonts w:ascii="Arial" w:hAnsi="Arial" w:cs="Arial"/>
          <w:color w:val="000000" w:themeColor="text1"/>
          <w:sz w:val="24"/>
          <w:szCs w:val="24"/>
        </w:rPr>
        <w:t>but they nevertheless maintained the</w:t>
      </w:r>
      <w:r w:rsidRPr="00A81F50">
        <w:rPr>
          <w:rFonts w:ascii="Arial" w:hAnsi="Arial" w:cs="Arial"/>
          <w:color w:val="000000" w:themeColor="text1"/>
          <w:sz w:val="24"/>
          <w:szCs w:val="24"/>
        </w:rPr>
        <w:t xml:space="preserve"> </w:t>
      </w:r>
      <w:r>
        <w:rPr>
          <w:rFonts w:ascii="Arial" w:hAnsi="Arial" w:cs="Arial"/>
          <w:color w:val="000000" w:themeColor="text1"/>
          <w:sz w:val="24"/>
          <w:szCs w:val="24"/>
        </w:rPr>
        <w:t>prosecution</w:t>
      </w:r>
      <w:r w:rsidRPr="00A81F50">
        <w:rPr>
          <w:rFonts w:ascii="Arial" w:hAnsi="Arial" w:cs="Arial"/>
          <w:color w:val="000000" w:themeColor="text1"/>
          <w:sz w:val="24"/>
          <w:szCs w:val="24"/>
        </w:rPr>
        <w:t xml:space="preserve"> t</w:t>
      </w:r>
      <w:r>
        <w:rPr>
          <w:rFonts w:ascii="Arial" w:hAnsi="Arial" w:cs="Arial"/>
          <w:color w:val="000000" w:themeColor="text1"/>
          <w:sz w:val="24"/>
          <w:szCs w:val="24"/>
        </w:rPr>
        <w:t>o the end.</w:t>
      </w:r>
      <w:r w:rsidRPr="00A81F50">
        <w:rPr>
          <w:rFonts w:ascii="Arial" w:hAnsi="Arial" w:cs="Arial"/>
          <w:color w:val="000000" w:themeColor="text1"/>
          <w:sz w:val="24"/>
          <w:szCs w:val="24"/>
        </w:rPr>
        <w:t xml:space="preserve">  </w:t>
      </w:r>
    </w:p>
    <w:p w:rsidR="000B16E1" w:rsidRPr="00A81F50" w:rsidRDefault="000B16E1" w:rsidP="000B16E1">
      <w:pPr>
        <w:pStyle w:val="ListParagraph"/>
        <w:spacing w:after="0" w:line="480" w:lineRule="auto"/>
        <w:ind w:left="0"/>
        <w:jc w:val="both"/>
        <w:rPr>
          <w:rFonts w:ascii="Arial" w:hAnsi="Arial" w:cs="Arial"/>
          <w:color w:val="000000" w:themeColor="text1"/>
          <w:sz w:val="24"/>
          <w:szCs w:val="24"/>
        </w:rPr>
      </w:pPr>
    </w:p>
    <w:p w:rsidR="000B16E1" w:rsidRDefault="000B16E1" w:rsidP="000B16E1">
      <w:pPr>
        <w:pStyle w:val="Textbody"/>
        <w:numPr>
          <w:ilvl w:val="0"/>
          <w:numId w:val="22"/>
        </w:numPr>
        <w:spacing w:after="0" w:line="480" w:lineRule="auto"/>
        <w:ind w:left="0" w:firstLine="0"/>
        <w:jc w:val="both"/>
        <w:rPr>
          <w:rFonts w:ascii="Arial" w:hAnsi="Arial" w:cs="Arial"/>
        </w:rPr>
      </w:pPr>
      <w:r w:rsidRPr="00882FD2">
        <w:rPr>
          <w:rFonts w:ascii="Arial" w:hAnsi="Arial" w:cs="Arial"/>
        </w:rPr>
        <w:t>The respondent</w:t>
      </w:r>
      <w:r>
        <w:rPr>
          <w:rFonts w:ascii="Arial" w:hAnsi="Arial" w:cs="Arial"/>
        </w:rPr>
        <w:t>’s</w:t>
      </w:r>
      <w:r w:rsidRPr="00882FD2">
        <w:rPr>
          <w:rFonts w:ascii="Arial" w:hAnsi="Arial" w:cs="Arial"/>
        </w:rPr>
        <w:t xml:space="preserve"> </w:t>
      </w:r>
      <w:r>
        <w:rPr>
          <w:rFonts w:ascii="Arial" w:hAnsi="Arial" w:cs="Arial"/>
        </w:rPr>
        <w:t xml:space="preserve">case </w:t>
      </w:r>
      <w:r w:rsidRPr="00882FD2">
        <w:rPr>
          <w:rFonts w:ascii="Arial" w:hAnsi="Arial" w:cs="Arial"/>
        </w:rPr>
        <w:t>was that the appellants</w:t>
      </w:r>
      <w:r>
        <w:rPr>
          <w:rFonts w:ascii="Arial" w:hAnsi="Arial" w:cs="Arial"/>
        </w:rPr>
        <w:t xml:space="preserve">, in particular the PG or her employees </w:t>
      </w:r>
      <w:r w:rsidRPr="00882FD2">
        <w:rPr>
          <w:rFonts w:ascii="Arial" w:hAnsi="Arial" w:cs="Arial"/>
        </w:rPr>
        <w:t xml:space="preserve">lacked reasonable and probable cause </w:t>
      </w:r>
      <w:r>
        <w:rPr>
          <w:rFonts w:ascii="Arial" w:hAnsi="Arial" w:cs="Arial"/>
        </w:rPr>
        <w:t xml:space="preserve">to maintain the prosecution </w:t>
      </w:r>
      <w:r w:rsidRPr="00882FD2">
        <w:rPr>
          <w:rFonts w:ascii="Arial" w:hAnsi="Arial" w:cs="Arial"/>
        </w:rPr>
        <w:t xml:space="preserve">from March 2006, </w:t>
      </w:r>
      <w:r>
        <w:rPr>
          <w:rFonts w:ascii="Arial" w:hAnsi="Arial" w:cs="Arial"/>
        </w:rPr>
        <w:t xml:space="preserve">alternatively from November 2011 </w:t>
      </w:r>
      <w:r w:rsidRPr="00882FD2">
        <w:rPr>
          <w:rFonts w:ascii="Arial" w:hAnsi="Arial" w:cs="Arial"/>
        </w:rPr>
        <w:t>onward</w:t>
      </w:r>
      <w:r>
        <w:rPr>
          <w:rFonts w:ascii="Arial" w:hAnsi="Arial" w:cs="Arial"/>
        </w:rPr>
        <w:t>s</w:t>
      </w:r>
      <w:r w:rsidRPr="00882FD2">
        <w:rPr>
          <w:rFonts w:ascii="Arial" w:hAnsi="Arial" w:cs="Arial"/>
        </w:rPr>
        <w:t xml:space="preserve">, after all witnesses who testified against him </w:t>
      </w:r>
      <w:r>
        <w:rPr>
          <w:rFonts w:ascii="Arial" w:hAnsi="Arial" w:cs="Arial"/>
        </w:rPr>
        <w:t xml:space="preserve">completed their testimonies </w:t>
      </w:r>
      <w:r w:rsidRPr="00882FD2">
        <w:rPr>
          <w:rFonts w:ascii="Arial" w:hAnsi="Arial" w:cs="Arial"/>
        </w:rPr>
        <w:t xml:space="preserve">and all the evidence that could have implicated him was led </w:t>
      </w:r>
      <w:r>
        <w:rPr>
          <w:rFonts w:ascii="Arial" w:hAnsi="Arial" w:cs="Arial"/>
        </w:rPr>
        <w:t>at</w:t>
      </w:r>
      <w:r w:rsidRPr="00882FD2">
        <w:rPr>
          <w:rFonts w:ascii="Arial" w:hAnsi="Arial" w:cs="Arial"/>
        </w:rPr>
        <w:t xml:space="preserve"> th</w:t>
      </w:r>
      <w:r>
        <w:rPr>
          <w:rFonts w:ascii="Arial" w:hAnsi="Arial" w:cs="Arial"/>
        </w:rPr>
        <w:t>at</w:t>
      </w:r>
      <w:r w:rsidRPr="00882FD2">
        <w:rPr>
          <w:rFonts w:ascii="Arial" w:hAnsi="Arial" w:cs="Arial"/>
        </w:rPr>
        <w:t xml:space="preserve"> stage. The respondent </w:t>
      </w:r>
      <w:r>
        <w:rPr>
          <w:rFonts w:ascii="Arial" w:hAnsi="Arial" w:cs="Arial"/>
        </w:rPr>
        <w:t xml:space="preserve">maintained </w:t>
      </w:r>
      <w:r w:rsidRPr="00882FD2">
        <w:rPr>
          <w:rFonts w:ascii="Arial" w:hAnsi="Arial" w:cs="Arial"/>
        </w:rPr>
        <w:t xml:space="preserve">that despite the knowledge </w:t>
      </w:r>
      <w:r w:rsidR="00D911F4">
        <w:rPr>
          <w:rFonts w:ascii="Arial" w:hAnsi="Arial" w:cs="Arial"/>
        </w:rPr>
        <w:t xml:space="preserve">of the lack of </w:t>
      </w:r>
      <w:r w:rsidRPr="00882FD2">
        <w:rPr>
          <w:rFonts w:ascii="Arial" w:hAnsi="Arial" w:cs="Arial"/>
        </w:rPr>
        <w:t xml:space="preserve">sufficient evidence to implicate him, the </w:t>
      </w:r>
      <w:r>
        <w:rPr>
          <w:rFonts w:ascii="Arial" w:hAnsi="Arial" w:cs="Arial"/>
        </w:rPr>
        <w:t>PG</w:t>
      </w:r>
      <w:r w:rsidRPr="00882FD2">
        <w:rPr>
          <w:rFonts w:ascii="Arial" w:hAnsi="Arial" w:cs="Arial"/>
        </w:rPr>
        <w:t xml:space="preserve"> </w:t>
      </w:r>
      <w:r>
        <w:rPr>
          <w:rFonts w:ascii="Arial" w:hAnsi="Arial" w:cs="Arial"/>
          <w:color w:val="000000" w:themeColor="text1"/>
        </w:rPr>
        <w:t xml:space="preserve">and </w:t>
      </w:r>
      <w:r w:rsidRPr="00E6740A">
        <w:rPr>
          <w:rFonts w:ascii="Arial" w:hAnsi="Arial" w:cs="Arial"/>
          <w:color w:val="000000" w:themeColor="text1"/>
        </w:rPr>
        <w:t xml:space="preserve">or </w:t>
      </w:r>
      <w:r w:rsidRPr="00882FD2">
        <w:rPr>
          <w:rFonts w:ascii="Arial" w:hAnsi="Arial" w:cs="Arial"/>
        </w:rPr>
        <w:t>her employees failed to stop</w:t>
      </w:r>
      <w:r>
        <w:rPr>
          <w:rFonts w:ascii="Arial" w:hAnsi="Arial" w:cs="Arial"/>
        </w:rPr>
        <w:t xml:space="preserve"> the </w:t>
      </w:r>
      <w:r w:rsidRPr="00882FD2">
        <w:rPr>
          <w:rFonts w:ascii="Arial" w:hAnsi="Arial" w:cs="Arial"/>
        </w:rPr>
        <w:t xml:space="preserve">prosecution. </w:t>
      </w:r>
    </w:p>
    <w:p w:rsidR="000B16E1" w:rsidRDefault="000B16E1" w:rsidP="000B16E1">
      <w:pPr>
        <w:pStyle w:val="Textbody"/>
        <w:spacing w:after="0" w:line="480" w:lineRule="auto"/>
        <w:jc w:val="both"/>
        <w:rPr>
          <w:rFonts w:ascii="Arial" w:hAnsi="Arial" w:cs="Arial"/>
        </w:rPr>
      </w:pPr>
    </w:p>
    <w:p w:rsidR="000B16E1" w:rsidRDefault="000B16E1" w:rsidP="000B16E1">
      <w:pPr>
        <w:pStyle w:val="Textbody"/>
        <w:numPr>
          <w:ilvl w:val="0"/>
          <w:numId w:val="22"/>
        </w:numPr>
        <w:spacing w:after="0" w:line="480" w:lineRule="auto"/>
        <w:ind w:left="0" w:firstLine="0"/>
        <w:jc w:val="both"/>
        <w:rPr>
          <w:rFonts w:ascii="Arial" w:hAnsi="Arial" w:cs="Arial"/>
        </w:rPr>
      </w:pPr>
      <w:r>
        <w:rPr>
          <w:rFonts w:ascii="Arial" w:hAnsi="Arial" w:cs="Arial"/>
        </w:rPr>
        <w:t>It was t</w:t>
      </w:r>
      <w:r w:rsidRPr="00882FD2">
        <w:rPr>
          <w:rFonts w:ascii="Arial" w:hAnsi="Arial" w:cs="Arial"/>
        </w:rPr>
        <w:t>he respondent</w:t>
      </w:r>
      <w:r>
        <w:rPr>
          <w:rFonts w:ascii="Arial" w:hAnsi="Arial" w:cs="Arial"/>
        </w:rPr>
        <w:t xml:space="preserve">’s further contention </w:t>
      </w:r>
      <w:r w:rsidRPr="00882FD2">
        <w:rPr>
          <w:rFonts w:ascii="Arial" w:hAnsi="Arial" w:cs="Arial"/>
        </w:rPr>
        <w:t xml:space="preserve">that had the </w:t>
      </w:r>
      <w:r>
        <w:rPr>
          <w:rFonts w:ascii="Arial" w:hAnsi="Arial" w:cs="Arial"/>
        </w:rPr>
        <w:t>PG</w:t>
      </w:r>
      <w:r w:rsidRPr="00882FD2">
        <w:rPr>
          <w:rFonts w:ascii="Arial" w:hAnsi="Arial" w:cs="Arial"/>
        </w:rPr>
        <w:t xml:space="preserve"> </w:t>
      </w:r>
      <w:r w:rsidRPr="00E6740A">
        <w:rPr>
          <w:rFonts w:ascii="Arial" w:hAnsi="Arial" w:cs="Arial"/>
          <w:color w:val="000000" w:themeColor="text1"/>
        </w:rPr>
        <w:t>and</w:t>
      </w:r>
      <w:r>
        <w:rPr>
          <w:rFonts w:ascii="Arial" w:hAnsi="Arial" w:cs="Arial"/>
          <w:color w:val="000000" w:themeColor="text1"/>
        </w:rPr>
        <w:t>/</w:t>
      </w:r>
      <w:r w:rsidRPr="00E6740A">
        <w:rPr>
          <w:rFonts w:ascii="Arial" w:hAnsi="Arial" w:cs="Arial"/>
          <w:color w:val="000000" w:themeColor="text1"/>
        </w:rPr>
        <w:t xml:space="preserve">or </w:t>
      </w:r>
      <w:r w:rsidRPr="00882FD2">
        <w:rPr>
          <w:rFonts w:ascii="Arial" w:hAnsi="Arial" w:cs="Arial"/>
        </w:rPr>
        <w:t>her employees continuously reviewed the evidence in support of the charges against him, they should at the very least from November 2011</w:t>
      </w:r>
      <w:r w:rsidR="00E94D4E">
        <w:rPr>
          <w:rFonts w:ascii="Arial" w:hAnsi="Arial" w:cs="Arial"/>
        </w:rPr>
        <w:t>,</w:t>
      </w:r>
      <w:r w:rsidRPr="00882FD2">
        <w:rPr>
          <w:rFonts w:ascii="Arial" w:hAnsi="Arial" w:cs="Arial"/>
        </w:rPr>
        <w:t xml:space="preserve"> have discontinued the proceedings</w:t>
      </w:r>
      <w:r>
        <w:rPr>
          <w:rFonts w:ascii="Arial" w:hAnsi="Arial" w:cs="Arial"/>
        </w:rPr>
        <w:t xml:space="preserve"> against him</w:t>
      </w:r>
      <w:r w:rsidRPr="00882FD2">
        <w:rPr>
          <w:rFonts w:ascii="Arial" w:hAnsi="Arial" w:cs="Arial"/>
        </w:rPr>
        <w:t>.</w:t>
      </w:r>
      <w:r>
        <w:rPr>
          <w:rFonts w:ascii="Arial" w:hAnsi="Arial" w:cs="Arial"/>
        </w:rPr>
        <w:t xml:space="preserve"> </w:t>
      </w:r>
    </w:p>
    <w:p w:rsidR="00047406" w:rsidRPr="00047406" w:rsidRDefault="00047406" w:rsidP="00047406">
      <w:pPr>
        <w:pStyle w:val="Textbody"/>
        <w:spacing w:after="0" w:line="480" w:lineRule="auto"/>
        <w:ind w:left="360"/>
        <w:jc w:val="both"/>
        <w:rPr>
          <w:rFonts w:ascii="Arial" w:hAnsi="Arial" w:cs="Arial"/>
        </w:rPr>
      </w:pPr>
    </w:p>
    <w:p w:rsidR="000B16E1" w:rsidRPr="00882FD2" w:rsidRDefault="000B16E1" w:rsidP="000B16E1">
      <w:pPr>
        <w:pStyle w:val="Textbody"/>
        <w:numPr>
          <w:ilvl w:val="0"/>
          <w:numId w:val="22"/>
        </w:numPr>
        <w:spacing w:after="0" w:line="480" w:lineRule="auto"/>
        <w:ind w:left="0" w:firstLine="0"/>
        <w:jc w:val="both"/>
        <w:rPr>
          <w:rFonts w:ascii="Arial" w:hAnsi="Arial" w:cs="Arial"/>
        </w:rPr>
      </w:pPr>
      <w:r>
        <w:rPr>
          <w:rFonts w:ascii="Arial" w:hAnsi="Arial" w:cs="Arial"/>
          <w:color w:val="000000" w:themeColor="text1"/>
        </w:rPr>
        <w:t xml:space="preserve">He </w:t>
      </w:r>
      <w:r w:rsidRPr="00E6740A">
        <w:rPr>
          <w:rFonts w:ascii="Arial" w:hAnsi="Arial" w:cs="Arial"/>
          <w:color w:val="000000" w:themeColor="text1"/>
        </w:rPr>
        <w:t>also argu</w:t>
      </w:r>
      <w:r>
        <w:rPr>
          <w:rFonts w:ascii="Arial" w:hAnsi="Arial" w:cs="Arial"/>
          <w:color w:val="000000" w:themeColor="text1"/>
        </w:rPr>
        <w:t>ed</w:t>
      </w:r>
      <w:r w:rsidRPr="00E6740A">
        <w:rPr>
          <w:rFonts w:ascii="Arial" w:hAnsi="Arial" w:cs="Arial"/>
          <w:color w:val="000000" w:themeColor="text1"/>
        </w:rPr>
        <w:t xml:space="preserve"> that the </w:t>
      </w:r>
      <w:r>
        <w:rPr>
          <w:rFonts w:ascii="Arial" w:hAnsi="Arial" w:cs="Arial"/>
          <w:color w:val="000000" w:themeColor="text1"/>
        </w:rPr>
        <w:t xml:space="preserve">PG </w:t>
      </w:r>
      <w:r w:rsidRPr="00E6740A">
        <w:rPr>
          <w:rFonts w:ascii="Arial" w:hAnsi="Arial" w:cs="Arial"/>
          <w:color w:val="000000" w:themeColor="text1"/>
        </w:rPr>
        <w:t xml:space="preserve">ought to have separated </w:t>
      </w:r>
      <w:r>
        <w:rPr>
          <w:rFonts w:ascii="Arial" w:hAnsi="Arial" w:cs="Arial"/>
          <w:color w:val="000000" w:themeColor="text1"/>
        </w:rPr>
        <w:t xml:space="preserve">the </w:t>
      </w:r>
      <w:r w:rsidRPr="00E6740A">
        <w:rPr>
          <w:rFonts w:ascii="Arial" w:hAnsi="Arial" w:cs="Arial"/>
          <w:color w:val="000000" w:themeColor="text1"/>
        </w:rPr>
        <w:t xml:space="preserve">trials of the accused </w:t>
      </w:r>
      <w:r>
        <w:rPr>
          <w:rFonts w:ascii="Arial" w:hAnsi="Arial" w:cs="Arial"/>
          <w:color w:val="000000" w:themeColor="text1"/>
        </w:rPr>
        <w:t xml:space="preserve">persons </w:t>
      </w:r>
      <w:r w:rsidRPr="00E6740A">
        <w:rPr>
          <w:rFonts w:ascii="Arial" w:hAnsi="Arial" w:cs="Arial"/>
          <w:color w:val="000000" w:themeColor="text1"/>
        </w:rPr>
        <w:t xml:space="preserve">between the group of accused </w:t>
      </w:r>
      <w:r>
        <w:rPr>
          <w:rFonts w:ascii="Arial" w:hAnsi="Arial" w:cs="Arial"/>
          <w:color w:val="000000" w:themeColor="text1"/>
        </w:rPr>
        <w:t xml:space="preserve">persons </w:t>
      </w:r>
      <w:r w:rsidRPr="00E6740A">
        <w:rPr>
          <w:rFonts w:ascii="Arial" w:hAnsi="Arial" w:cs="Arial"/>
          <w:color w:val="000000" w:themeColor="text1"/>
        </w:rPr>
        <w:t xml:space="preserve">referred </w:t>
      </w:r>
      <w:r>
        <w:rPr>
          <w:rFonts w:ascii="Arial" w:hAnsi="Arial" w:cs="Arial"/>
          <w:color w:val="000000" w:themeColor="text1"/>
        </w:rPr>
        <w:t>to by the PG and/</w:t>
      </w:r>
      <w:r w:rsidRPr="00E6740A">
        <w:rPr>
          <w:rFonts w:ascii="Arial" w:hAnsi="Arial" w:cs="Arial"/>
          <w:color w:val="000000" w:themeColor="text1"/>
        </w:rPr>
        <w:t xml:space="preserve">or her </w:t>
      </w:r>
      <w:r w:rsidRPr="00E6740A">
        <w:rPr>
          <w:rFonts w:ascii="Arial" w:hAnsi="Arial" w:cs="Arial"/>
          <w:color w:val="000000" w:themeColor="text1"/>
        </w:rPr>
        <w:lastRenderedPageBreak/>
        <w:t xml:space="preserve">employees as the </w:t>
      </w:r>
      <w:r>
        <w:rPr>
          <w:rFonts w:ascii="Arial" w:hAnsi="Arial" w:cs="Arial"/>
          <w:color w:val="000000" w:themeColor="text1"/>
        </w:rPr>
        <w:t>‘</w:t>
      </w:r>
      <w:r w:rsidRPr="00E6740A">
        <w:rPr>
          <w:rFonts w:ascii="Arial" w:hAnsi="Arial" w:cs="Arial"/>
          <w:color w:val="000000" w:themeColor="text1"/>
        </w:rPr>
        <w:t>attackers</w:t>
      </w:r>
      <w:r>
        <w:rPr>
          <w:rFonts w:ascii="Arial" w:hAnsi="Arial" w:cs="Arial"/>
          <w:color w:val="000000" w:themeColor="text1"/>
        </w:rPr>
        <w:t>’</w:t>
      </w:r>
      <w:r w:rsidRPr="00E6740A">
        <w:rPr>
          <w:rFonts w:ascii="Arial" w:hAnsi="Arial" w:cs="Arial"/>
          <w:color w:val="000000" w:themeColor="text1"/>
        </w:rPr>
        <w:t xml:space="preserve"> and the further group</w:t>
      </w:r>
      <w:r>
        <w:rPr>
          <w:rFonts w:ascii="Arial" w:hAnsi="Arial" w:cs="Arial"/>
          <w:color w:val="000000" w:themeColor="text1"/>
        </w:rPr>
        <w:t>s</w:t>
      </w:r>
      <w:r w:rsidRPr="00E6740A">
        <w:rPr>
          <w:rFonts w:ascii="Arial" w:hAnsi="Arial" w:cs="Arial"/>
          <w:color w:val="000000" w:themeColor="text1"/>
        </w:rPr>
        <w:t xml:space="preserve"> identified </w:t>
      </w:r>
      <w:r>
        <w:rPr>
          <w:rFonts w:ascii="Arial" w:hAnsi="Arial" w:cs="Arial"/>
          <w:color w:val="000000" w:themeColor="text1"/>
        </w:rPr>
        <w:t>as the ‘leadership group’ and the</w:t>
      </w:r>
      <w:r w:rsidRPr="00E6740A">
        <w:rPr>
          <w:rFonts w:ascii="Arial" w:hAnsi="Arial" w:cs="Arial"/>
          <w:color w:val="000000" w:themeColor="text1"/>
        </w:rPr>
        <w:t xml:space="preserve"> </w:t>
      </w:r>
      <w:r>
        <w:rPr>
          <w:rFonts w:ascii="Arial" w:hAnsi="Arial" w:cs="Arial"/>
          <w:color w:val="000000" w:themeColor="text1"/>
        </w:rPr>
        <w:t>‘</w:t>
      </w:r>
      <w:r w:rsidRPr="00E6740A">
        <w:rPr>
          <w:rFonts w:ascii="Arial" w:hAnsi="Arial" w:cs="Arial"/>
          <w:color w:val="000000" w:themeColor="text1"/>
        </w:rPr>
        <w:t>support group</w:t>
      </w:r>
      <w:r>
        <w:rPr>
          <w:rFonts w:ascii="Arial" w:hAnsi="Arial" w:cs="Arial"/>
          <w:color w:val="000000" w:themeColor="text1"/>
        </w:rPr>
        <w:t>’</w:t>
      </w:r>
      <w:r w:rsidRPr="00E6740A">
        <w:rPr>
          <w:rFonts w:ascii="Arial" w:hAnsi="Arial" w:cs="Arial"/>
          <w:color w:val="000000" w:themeColor="text1"/>
        </w:rPr>
        <w:t>. The respondent claimed that if the trial</w:t>
      </w:r>
      <w:r>
        <w:rPr>
          <w:rFonts w:ascii="Arial" w:hAnsi="Arial" w:cs="Arial"/>
          <w:color w:val="000000" w:themeColor="text1"/>
        </w:rPr>
        <w:t>s</w:t>
      </w:r>
      <w:r w:rsidRPr="00E6740A">
        <w:rPr>
          <w:rFonts w:ascii="Arial" w:hAnsi="Arial" w:cs="Arial"/>
          <w:color w:val="000000" w:themeColor="text1"/>
        </w:rPr>
        <w:t xml:space="preserve"> had been split</w:t>
      </w:r>
      <w:r>
        <w:rPr>
          <w:rFonts w:ascii="Arial" w:hAnsi="Arial" w:cs="Arial"/>
          <w:color w:val="000000" w:themeColor="text1"/>
        </w:rPr>
        <w:t xml:space="preserve"> in accordance with the groups referred to above, the duration of his </w:t>
      </w:r>
      <w:r w:rsidRPr="00E6740A">
        <w:rPr>
          <w:rFonts w:ascii="Arial" w:hAnsi="Arial" w:cs="Arial"/>
          <w:color w:val="000000" w:themeColor="text1"/>
        </w:rPr>
        <w:t>trial would have been shorter</w:t>
      </w:r>
      <w:r>
        <w:rPr>
          <w:rFonts w:ascii="Arial" w:hAnsi="Arial" w:cs="Arial"/>
          <w:color w:val="000000" w:themeColor="text1"/>
        </w:rPr>
        <w:t xml:space="preserve"> and he would have been released earlier than he was eventually released</w:t>
      </w:r>
      <w:r w:rsidRPr="00E6740A">
        <w:rPr>
          <w:rFonts w:ascii="Arial" w:hAnsi="Arial" w:cs="Arial"/>
          <w:color w:val="000000" w:themeColor="text1"/>
        </w:rPr>
        <w:t>.</w:t>
      </w:r>
      <w:r w:rsidRPr="00882FD2">
        <w:rPr>
          <w:rFonts w:ascii="Arial" w:hAnsi="Arial" w:cs="Arial"/>
        </w:rPr>
        <w:t xml:space="preserve"> </w:t>
      </w:r>
    </w:p>
    <w:p w:rsidR="000B16E1" w:rsidRPr="00E6740A" w:rsidRDefault="000B16E1" w:rsidP="000B16E1">
      <w:pPr>
        <w:pStyle w:val="Textbody"/>
        <w:spacing w:after="0" w:line="480" w:lineRule="auto"/>
        <w:jc w:val="both"/>
        <w:rPr>
          <w:rFonts w:ascii="Arial" w:hAnsi="Arial" w:cs="Arial"/>
          <w:color w:val="000000" w:themeColor="text1"/>
        </w:rPr>
      </w:pPr>
    </w:p>
    <w:p w:rsidR="000B16E1" w:rsidRPr="00882FD2" w:rsidRDefault="000B16E1" w:rsidP="000B16E1">
      <w:pPr>
        <w:pStyle w:val="ListParagraph"/>
        <w:numPr>
          <w:ilvl w:val="0"/>
          <w:numId w:val="22"/>
        </w:numPr>
        <w:spacing w:after="0" w:line="480" w:lineRule="auto"/>
        <w:ind w:left="0" w:firstLine="0"/>
        <w:jc w:val="both"/>
        <w:rPr>
          <w:rFonts w:ascii="Arial" w:hAnsi="Arial" w:cs="Arial"/>
          <w:color w:val="000000" w:themeColor="text1"/>
          <w:sz w:val="24"/>
          <w:szCs w:val="24"/>
        </w:rPr>
      </w:pPr>
      <w:r>
        <w:rPr>
          <w:rFonts w:ascii="Arial" w:hAnsi="Arial" w:cs="Arial"/>
          <w:color w:val="000000" w:themeColor="text1"/>
          <w:sz w:val="24"/>
          <w:szCs w:val="24"/>
        </w:rPr>
        <w:t xml:space="preserve">As to the </w:t>
      </w:r>
      <w:r w:rsidRPr="00882FD2">
        <w:rPr>
          <w:rFonts w:ascii="Arial" w:hAnsi="Arial" w:cs="Arial"/>
          <w:color w:val="000000" w:themeColor="text1"/>
          <w:sz w:val="24"/>
          <w:szCs w:val="24"/>
        </w:rPr>
        <w:t xml:space="preserve">second alternative claim, </w:t>
      </w:r>
      <w:r>
        <w:rPr>
          <w:rFonts w:ascii="Arial" w:hAnsi="Arial" w:cs="Arial"/>
          <w:color w:val="000000" w:themeColor="text1"/>
          <w:sz w:val="24"/>
          <w:szCs w:val="24"/>
        </w:rPr>
        <w:t xml:space="preserve">the respondent contended that </w:t>
      </w:r>
      <w:r w:rsidRPr="00882FD2">
        <w:rPr>
          <w:rFonts w:ascii="Arial" w:hAnsi="Arial" w:cs="Arial"/>
          <w:color w:val="000000" w:themeColor="text1"/>
          <w:sz w:val="24"/>
          <w:szCs w:val="24"/>
        </w:rPr>
        <w:t>should the claim for malicious prosecution fail, the appellants</w:t>
      </w:r>
      <w:r>
        <w:rPr>
          <w:rFonts w:ascii="Arial" w:hAnsi="Arial" w:cs="Arial"/>
          <w:color w:val="000000" w:themeColor="text1"/>
          <w:sz w:val="24"/>
          <w:szCs w:val="24"/>
        </w:rPr>
        <w:t xml:space="preserve"> t</w:t>
      </w:r>
      <w:r w:rsidRPr="00882FD2">
        <w:rPr>
          <w:rFonts w:ascii="Arial" w:hAnsi="Arial" w:cs="Arial"/>
          <w:color w:val="000000" w:themeColor="text1"/>
          <w:sz w:val="24"/>
          <w:szCs w:val="24"/>
        </w:rPr>
        <w:t xml:space="preserve">hrough their conduct violated his rights contained </w:t>
      </w:r>
      <w:r>
        <w:rPr>
          <w:rFonts w:ascii="Arial" w:hAnsi="Arial" w:cs="Arial"/>
          <w:color w:val="000000" w:themeColor="text1"/>
          <w:sz w:val="24"/>
          <w:szCs w:val="24"/>
        </w:rPr>
        <w:t>in</w:t>
      </w:r>
      <w:r w:rsidRPr="00882FD2">
        <w:rPr>
          <w:rFonts w:ascii="Arial" w:hAnsi="Arial" w:cs="Arial"/>
          <w:color w:val="000000" w:themeColor="text1"/>
          <w:sz w:val="24"/>
          <w:szCs w:val="24"/>
        </w:rPr>
        <w:t xml:space="preserve"> Arts 7, 8, 11, 12, 13, 16, 19 and 21 of the </w:t>
      </w:r>
      <w:r>
        <w:rPr>
          <w:rFonts w:ascii="Arial" w:hAnsi="Arial" w:cs="Arial"/>
          <w:color w:val="000000" w:themeColor="text1"/>
          <w:sz w:val="24"/>
          <w:szCs w:val="24"/>
        </w:rPr>
        <w:t xml:space="preserve">Namibian </w:t>
      </w:r>
      <w:r w:rsidRPr="00882FD2">
        <w:rPr>
          <w:rFonts w:ascii="Arial" w:hAnsi="Arial" w:cs="Arial"/>
          <w:color w:val="000000" w:themeColor="text1"/>
          <w:sz w:val="24"/>
          <w:szCs w:val="24"/>
        </w:rPr>
        <w:t>Constitution</w:t>
      </w:r>
      <w:r w:rsidRPr="00882FD2">
        <w:rPr>
          <w:rStyle w:val="FootnoteReference"/>
          <w:rFonts w:ascii="Arial" w:hAnsi="Arial" w:cs="Arial"/>
          <w:color w:val="000000" w:themeColor="text1"/>
          <w:sz w:val="24"/>
          <w:szCs w:val="24"/>
        </w:rPr>
        <w:footnoteReference w:id="1"/>
      </w:r>
      <w:r>
        <w:rPr>
          <w:rFonts w:ascii="Arial" w:hAnsi="Arial" w:cs="Arial"/>
          <w:color w:val="000000" w:themeColor="text1"/>
          <w:sz w:val="24"/>
          <w:szCs w:val="24"/>
        </w:rPr>
        <w:t xml:space="preserve"> and as such, </w:t>
      </w:r>
      <w:r w:rsidR="00152F7A">
        <w:rPr>
          <w:rFonts w:ascii="Arial" w:hAnsi="Arial" w:cs="Arial"/>
          <w:color w:val="000000" w:themeColor="text1"/>
          <w:sz w:val="24"/>
          <w:szCs w:val="24"/>
        </w:rPr>
        <w:t>were</w:t>
      </w:r>
      <w:r>
        <w:rPr>
          <w:rFonts w:ascii="Arial" w:hAnsi="Arial" w:cs="Arial"/>
          <w:color w:val="000000" w:themeColor="text1"/>
          <w:sz w:val="24"/>
          <w:szCs w:val="24"/>
        </w:rPr>
        <w:t xml:space="preserve"> liable for constitutional damages. </w:t>
      </w:r>
      <w:r w:rsidRPr="00882FD2">
        <w:rPr>
          <w:rFonts w:ascii="Arial" w:hAnsi="Arial" w:cs="Arial"/>
          <w:color w:val="000000" w:themeColor="text1"/>
          <w:sz w:val="24"/>
          <w:szCs w:val="24"/>
        </w:rPr>
        <w:t>According to the respondent, as a result of his arrest, detention and subsequent prosecution and the unreasonable delay in finali</w:t>
      </w:r>
      <w:r>
        <w:rPr>
          <w:rFonts w:ascii="Arial" w:hAnsi="Arial" w:cs="Arial"/>
          <w:color w:val="000000" w:themeColor="text1"/>
          <w:sz w:val="24"/>
          <w:szCs w:val="24"/>
        </w:rPr>
        <w:t>s</w:t>
      </w:r>
      <w:r w:rsidRPr="00882FD2">
        <w:rPr>
          <w:rFonts w:ascii="Arial" w:hAnsi="Arial" w:cs="Arial"/>
          <w:color w:val="000000" w:themeColor="text1"/>
          <w:sz w:val="24"/>
          <w:szCs w:val="24"/>
        </w:rPr>
        <w:t xml:space="preserve">ing his </w:t>
      </w:r>
      <w:r>
        <w:rPr>
          <w:rFonts w:ascii="Arial" w:hAnsi="Arial" w:cs="Arial"/>
          <w:color w:val="000000" w:themeColor="text1"/>
          <w:sz w:val="24"/>
          <w:szCs w:val="24"/>
        </w:rPr>
        <w:t xml:space="preserve">criminal </w:t>
      </w:r>
      <w:r w:rsidRPr="00882FD2">
        <w:rPr>
          <w:rFonts w:ascii="Arial" w:hAnsi="Arial" w:cs="Arial"/>
          <w:color w:val="000000" w:themeColor="text1"/>
          <w:sz w:val="24"/>
          <w:szCs w:val="24"/>
        </w:rPr>
        <w:t>trial, he suffered loss and damage</w:t>
      </w:r>
      <w:r>
        <w:rPr>
          <w:rFonts w:ascii="Arial" w:hAnsi="Arial" w:cs="Arial"/>
          <w:color w:val="000000" w:themeColor="text1"/>
          <w:sz w:val="24"/>
          <w:szCs w:val="24"/>
        </w:rPr>
        <w:t>. A</w:t>
      </w:r>
      <w:r w:rsidRPr="00882FD2">
        <w:rPr>
          <w:rFonts w:ascii="Arial" w:hAnsi="Arial" w:cs="Arial"/>
          <w:color w:val="000000" w:themeColor="text1"/>
          <w:sz w:val="24"/>
          <w:szCs w:val="24"/>
        </w:rPr>
        <w:t xml:space="preserve">s such, </w:t>
      </w:r>
      <w:r>
        <w:rPr>
          <w:rFonts w:ascii="Arial" w:hAnsi="Arial" w:cs="Arial"/>
          <w:color w:val="000000" w:themeColor="text1"/>
          <w:sz w:val="24"/>
          <w:szCs w:val="24"/>
        </w:rPr>
        <w:t>so it was alleged, he</w:t>
      </w:r>
      <w:r w:rsidRPr="00882FD2">
        <w:rPr>
          <w:rFonts w:ascii="Arial" w:hAnsi="Arial" w:cs="Arial"/>
          <w:color w:val="000000" w:themeColor="text1"/>
          <w:sz w:val="24"/>
          <w:szCs w:val="24"/>
        </w:rPr>
        <w:t xml:space="preserve"> </w:t>
      </w:r>
      <w:r>
        <w:rPr>
          <w:rFonts w:ascii="Arial" w:hAnsi="Arial" w:cs="Arial"/>
          <w:color w:val="000000" w:themeColor="text1"/>
          <w:sz w:val="24"/>
          <w:szCs w:val="24"/>
        </w:rPr>
        <w:t>wa</w:t>
      </w:r>
      <w:r w:rsidRPr="00882FD2">
        <w:rPr>
          <w:rFonts w:ascii="Arial" w:hAnsi="Arial" w:cs="Arial"/>
          <w:color w:val="000000" w:themeColor="text1"/>
          <w:sz w:val="24"/>
          <w:szCs w:val="24"/>
        </w:rPr>
        <w:t xml:space="preserve">s entitled </w:t>
      </w:r>
      <w:r>
        <w:rPr>
          <w:rFonts w:ascii="Arial" w:hAnsi="Arial" w:cs="Arial"/>
          <w:color w:val="000000" w:themeColor="text1"/>
          <w:sz w:val="24"/>
          <w:szCs w:val="24"/>
        </w:rPr>
        <w:t>to</w:t>
      </w:r>
      <w:r w:rsidRPr="00882FD2">
        <w:rPr>
          <w:rFonts w:ascii="Arial" w:hAnsi="Arial" w:cs="Arial"/>
          <w:color w:val="000000" w:themeColor="text1"/>
          <w:sz w:val="24"/>
          <w:szCs w:val="24"/>
        </w:rPr>
        <w:t xml:space="preserve"> an award </w:t>
      </w:r>
      <w:r>
        <w:rPr>
          <w:rFonts w:ascii="Arial" w:hAnsi="Arial" w:cs="Arial"/>
          <w:color w:val="000000" w:themeColor="text1"/>
          <w:sz w:val="24"/>
          <w:szCs w:val="24"/>
        </w:rPr>
        <w:t xml:space="preserve">of compensation </w:t>
      </w:r>
      <w:r w:rsidRPr="00882FD2">
        <w:rPr>
          <w:rFonts w:ascii="Arial" w:hAnsi="Arial" w:cs="Arial"/>
          <w:color w:val="000000" w:themeColor="text1"/>
          <w:sz w:val="24"/>
          <w:szCs w:val="24"/>
        </w:rPr>
        <w:t xml:space="preserve">in terms of Art 25(3) and Art 25(4) of the Constitution. </w:t>
      </w:r>
    </w:p>
    <w:p w:rsidR="00394A0F" w:rsidRPr="00394A0F" w:rsidRDefault="00394A0F" w:rsidP="00394A0F">
      <w:pPr>
        <w:spacing w:after="0" w:line="480" w:lineRule="auto"/>
        <w:ind w:left="360"/>
        <w:jc w:val="both"/>
        <w:rPr>
          <w:rFonts w:ascii="Arial" w:hAnsi="Arial" w:cs="Arial"/>
          <w:color w:val="000000" w:themeColor="text1"/>
          <w:sz w:val="24"/>
          <w:szCs w:val="24"/>
        </w:rPr>
      </w:pPr>
    </w:p>
    <w:p w:rsidR="000B16E1" w:rsidRPr="00934C4F" w:rsidRDefault="000B16E1" w:rsidP="000B16E1">
      <w:pPr>
        <w:pStyle w:val="ListParagraph"/>
        <w:numPr>
          <w:ilvl w:val="0"/>
          <w:numId w:val="22"/>
        </w:numPr>
        <w:spacing w:after="0" w:line="480" w:lineRule="auto"/>
        <w:ind w:left="0" w:firstLine="0"/>
        <w:jc w:val="both"/>
        <w:rPr>
          <w:rFonts w:ascii="Arial" w:hAnsi="Arial" w:cs="Arial"/>
          <w:color w:val="000000" w:themeColor="text1"/>
          <w:sz w:val="24"/>
          <w:szCs w:val="24"/>
        </w:rPr>
      </w:pPr>
      <w:r>
        <w:rPr>
          <w:rFonts w:ascii="Arial" w:hAnsi="Arial" w:cs="Arial"/>
          <w:color w:val="000000" w:themeColor="text1"/>
          <w:sz w:val="24"/>
          <w:szCs w:val="24"/>
        </w:rPr>
        <w:t>The appellants, o</w:t>
      </w:r>
      <w:r w:rsidRPr="00E6740A">
        <w:rPr>
          <w:rFonts w:ascii="Arial" w:hAnsi="Arial" w:cs="Arial"/>
          <w:color w:val="000000" w:themeColor="text1"/>
          <w:sz w:val="24"/>
          <w:szCs w:val="24"/>
        </w:rPr>
        <w:t xml:space="preserve">n the other hand, </w:t>
      </w:r>
      <w:r>
        <w:rPr>
          <w:rFonts w:ascii="Arial" w:hAnsi="Arial" w:cs="Arial"/>
          <w:color w:val="000000" w:themeColor="text1"/>
          <w:sz w:val="24"/>
          <w:szCs w:val="24"/>
        </w:rPr>
        <w:t>denied as regards the main</w:t>
      </w:r>
      <w:r w:rsidRPr="00E6740A">
        <w:rPr>
          <w:rFonts w:ascii="Arial" w:hAnsi="Arial" w:cs="Arial"/>
          <w:color w:val="000000" w:themeColor="text1"/>
          <w:sz w:val="24"/>
          <w:szCs w:val="24"/>
        </w:rPr>
        <w:t xml:space="preserve"> claim that the arrest and subsequent detention of the respondent was </w:t>
      </w:r>
      <w:r>
        <w:rPr>
          <w:rFonts w:ascii="Arial" w:hAnsi="Arial" w:cs="Arial"/>
          <w:color w:val="000000" w:themeColor="text1"/>
          <w:sz w:val="24"/>
          <w:szCs w:val="24"/>
        </w:rPr>
        <w:t xml:space="preserve">wrongful and </w:t>
      </w:r>
      <w:r w:rsidRPr="00E6740A">
        <w:rPr>
          <w:rFonts w:ascii="Arial" w:hAnsi="Arial" w:cs="Arial"/>
          <w:color w:val="000000" w:themeColor="text1"/>
          <w:sz w:val="24"/>
          <w:szCs w:val="24"/>
        </w:rPr>
        <w:t>unlawful. The</w:t>
      </w:r>
      <w:r>
        <w:rPr>
          <w:rFonts w:ascii="Arial" w:hAnsi="Arial" w:cs="Arial"/>
          <w:color w:val="000000" w:themeColor="text1"/>
          <w:sz w:val="24"/>
          <w:szCs w:val="24"/>
        </w:rPr>
        <w:t xml:space="preserve">y maintained </w:t>
      </w:r>
      <w:r w:rsidRPr="00934C4F">
        <w:rPr>
          <w:rFonts w:ascii="Arial" w:hAnsi="Arial" w:cs="Arial"/>
          <w:color w:val="000000" w:themeColor="text1"/>
          <w:sz w:val="24"/>
          <w:szCs w:val="24"/>
        </w:rPr>
        <w:t xml:space="preserve">that the arrest </w:t>
      </w:r>
      <w:r>
        <w:rPr>
          <w:rFonts w:ascii="Arial" w:hAnsi="Arial" w:cs="Arial"/>
          <w:color w:val="000000" w:themeColor="text1"/>
          <w:sz w:val="24"/>
          <w:szCs w:val="24"/>
        </w:rPr>
        <w:t xml:space="preserve">of the respondent </w:t>
      </w:r>
      <w:r w:rsidRPr="00934C4F">
        <w:rPr>
          <w:rFonts w:ascii="Arial" w:hAnsi="Arial" w:cs="Arial"/>
          <w:color w:val="000000" w:themeColor="text1"/>
          <w:sz w:val="24"/>
          <w:szCs w:val="24"/>
        </w:rPr>
        <w:t xml:space="preserve">was based on a reasonable suspicion that </w:t>
      </w:r>
      <w:r>
        <w:rPr>
          <w:rFonts w:ascii="Arial" w:hAnsi="Arial" w:cs="Arial"/>
          <w:color w:val="000000" w:themeColor="text1"/>
          <w:sz w:val="24"/>
          <w:szCs w:val="24"/>
        </w:rPr>
        <w:t xml:space="preserve">he </w:t>
      </w:r>
      <w:r w:rsidRPr="00934C4F">
        <w:rPr>
          <w:rFonts w:ascii="Arial" w:hAnsi="Arial" w:cs="Arial"/>
          <w:color w:val="000000" w:themeColor="text1"/>
          <w:sz w:val="24"/>
          <w:szCs w:val="24"/>
        </w:rPr>
        <w:t xml:space="preserve">had committed the </w:t>
      </w:r>
      <w:r>
        <w:rPr>
          <w:rFonts w:ascii="Arial" w:hAnsi="Arial" w:cs="Arial"/>
          <w:color w:val="000000" w:themeColor="text1"/>
          <w:sz w:val="24"/>
          <w:szCs w:val="24"/>
        </w:rPr>
        <w:t xml:space="preserve">crime </w:t>
      </w:r>
      <w:r w:rsidRPr="00934C4F">
        <w:rPr>
          <w:rFonts w:ascii="Arial" w:hAnsi="Arial" w:cs="Arial"/>
          <w:color w:val="000000" w:themeColor="text1"/>
          <w:sz w:val="24"/>
          <w:szCs w:val="24"/>
        </w:rPr>
        <w:t xml:space="preserve">of high treason and the other </w:t>
      </w:r>
      <w:r>
        <w:rPr>
          <w:rFonts w:ascii="Arial" w:hAnsi="Arial" w:cs="Arial"/>
          <w:color w:val="000000" w:themeColor="text1"/>
          <w:sz w:val="24"/>
          <w:szCs w:val="24"/>
        </w:rPr>
        <w:t xml:space="preserve">crimes and </w:t>
      </w:r>
      <w:r w:rsidRPr="00934C4F">
        <w:rPr>
          <w:rFonts w:ascii="Arial" w:hAnsi="Arial" w:cs="Arial"/>
          <w:color w:val="000000" w:themeColor="text1"/>
          <w:sz w:val="24"/>
          <w:szCs w:val="24"/>
        </w:rPr>
        <w:t>offe</w:t>
      </w:r>
      <w:r>
        <w:rPr>
          <w:rFonts w:ascii="Arial" w:hAnsi="Arial" w:cs="Arial"/>
          <w:color w:val="000000" w:themeColor="text1"/>
          <w:sz w:val="24"/>
          <w:szCs w:val="24"/>
        </w:rPr>
        <w:t xml:space="preserve">nces set out in the indictment. </w:t>
      </w:r>
      <w:r w:rsidRPr="00934C4F">
        <w:rPr>
          <w:rFonts w:ascii="Arial" w:hAnsi="Arial" w:cs="Arial"/>
          <w:color w:val="000000" w:themeColor="text1"/>
          <w:sz w:val="24"/>
          <w:szCs w:val="24"/>
        </w:rPr>
        <w:t>T</w:t>
      </w:r>
      <w:r>
        <w:rPr>
          <w:rFonts w:ascii="Arial" w:hAnsi="Arial" w:cs="Arial"/>
          <w:color w:val="000000" w:themeColor="text1"/>
          <w:sz w:val="24"/>
          <w:szCs w:val="24"/>
        </w:rPr>
        <w:t>he appellants</w:t>
      </w:r>
      <w:r w:rsidRPr="00934C4F">
        <w:rPr>
          <w:rFonts w:ascii="Arial" w:hAnsi="Arial" w:cs="Arial"/>
          <w:color w:val="000000" w:themeColor="text1"/>
          <w:sz w:val="24"/>
          <w:szCs w:val="24"/>
        </w:rPr>
        <w:t xml:space="preserve"> </w:t>
      </w:r>
      <w:r>
        <w:rPr>
          <w:rFonts w:ascii="Arial" w:hAnsi="Arial" w:cs="Arial"/>
          <w:color w:val="000000" w:themeColor="text1"/>
          <w:sz w:val="24"/>
          <w:szCs w:val="24"/>
        </w:rPr>
        <w:t xml:space="preserve">claimed </w:t>
      </w:r>
      <w:r w:rsidRPr="00934C4F">
        <w:rPr>
          <w:rFonts w:ascii="Arial" w:hAnsi="Arial" w:cs="Arial"/>
          <w:color w:val="000000" w:themeColor="text1"/>
          <w:sz w:val="24"/>
          <w:szCs w:val="24"/>
        </w:rPr>
        <w:t xml:space="preserve">that the evidence collected against the respondent provided sufficient grounds for the members of the Namibian Police to hold a reasonable belief that </w:t>
      </w:r>
      <w:r>
        <w:rPr>
          <w:rFonts w:ascii="Arial" w:hAnsi="Arial" w:cs="Arial"/>
          <w:color w:val="000000" w:themeColor="text1"/>
          <w:sz w:val="24"/>
          <w:szCs w:val="24"/>
        </w:rPr>
        <w:t xml:space="preserve">the respondent </w:t>
      </w:r>
      <w:r w:rsidRPr="00934C4F">
        <w:rPr>
          <w:rFonts w:ascii="Arial" w:hAnsi="Arial" w:cs="Arial"/>
          <w:color w:val="000000" w:themeColor="text1"/>
          <w:sz w:val="24"/>
          <w:szCs w:val="24"/>
        </w:rPr>
        <w:t xml:space="preserve">had committed the </w:t>
      </w:r>
      <w:r>
        <w:rPr>
          <w:rFonts w:ascii="Arial" w:hAnsi="Arial" w:cs="Arial"/>
          <w:color w:val="000000" w:themeColor="text1"/>
          <w:sz w:val="24"/>
          <w:szCs w:val="24"/>
        </w:rPr>
        <w:t xml:space="preserve">crimes and </w:t>
      </w:r>
      <w:r w:rsidRPr="00934C4F">
        <w:rPr>
          <w:rFonts w:ascii="Arial" w:hAnsi="Arial" w:cs="Arial"/>
          <w:color w:val="000000" w:themeColor="text1"/>
          <w:sz w:val="24"/>
          <w:szCs w:val="24"/>
        </w:rPr>
        <w:t xml:space="preserve">offences contained in the indictment. </w:t>
      </w:r>
    </w:p>
    <w:p w:rsidR="000B16E1" w:rsidRPr="00E6740A" w:rsidRDefault="000B16E1" w:rsidP="000B16E1">
      <w:pPr>
        <w:pStyle w:val="ListParagraph"/>
        <w:rPr>
          <w:rFonts w:ascii="Arial" w:hAnsi="Arial" w:cs="Arial"/>
          <w:color w:val="000000" w:themeColor="text1"/>
          <w:sz w:val="24"/>
          <w:szCs w:val="24"/>
        </w:rPr>
      </w:pPr>
    </w:p>
    <w:p w:rsidR="000B16E1" w:rsidRDefault="000B16E1" w:rsidP="000B16E1">
      <w:pPr>
        <w:pStyle w:val="ListParagraph"/>
        <w:numPr>
          <w:ilvl w:val="0"/>
          <w:numId w:val="22"/>
        </w:numPr>
        <w:spacing w:after="0" w:line="480" w:lineRule="auto"/>
        <w:ind w:left="0" w:firstLine="0"/>
        <w:jc w:val="both"/>
        <w:rPr>
          <w:rFonts w:ascii="Arial" w:hAnsi="Arial" w:cs="Arial"/>
          <w:color w:val="000000" w:themeColor="text1"/>
          <w:sz w:val="24"/>
          <w:szCs w:val="24"/>
        </w:rPr>
      </w:pPr>
      <w:r>
        <w:rPr>
          <w:rFonts w:ascii="Arial" w:hAnsi="Arial" w:cs="Arial"/>
          <w:color w:val="000000" w:themeColor="text1"/>
          <w:sz w:val="24"/>
          <w:szCs w:val="24"/>
        </w:rPr>
        <w:lastRenderedPageBreak/>
        <w:t xml:space="preserve">The appellants further contended that </w:t>
      </w:r>
      <w:r w:rsidRPr="00E6740A">
        <w:rPr>
          <w:rFonts w:ascii="Arial" w:hAnsi="Arial" w:cs="Arial"/>
          <w:color w:val="000000" w:themeColor="text1"/>
          <w:sz w:val="24"/>
          <w:szCs w:val="24"/>
        </w:rPr>
        <w:t xml:space="preserve">the decision to prosecute </w:t>
      </w:r>
      <w:r>
        <w:rPr>
          <w:rFonts w:ascii="Arial" w:hAnsi="Arial" w:cs="Arial"/>
          <w:color w:val="000000" w:themeColor="text1"/>
          <w:sz w:val="24"/>
          <w:szCs w:val="24"/>
        </w:rPr>
        <w:t xml:space="preserve">the respondent </w:t>
      </w:r>
      <w:r w:rsidRPr="00E6740A">
        <w:rPr>
          <w:rFonts w:ascii="Arial" w:hAnsi="Arial" w:cs="Arial"/>
          <w:color w:val="000000" w:themeColor="text1"/>
          <w:sz w:val="24"/>
          <w:szCs w:val="24"/>
        </w:rPr>
        <w:t xml:space="preserve">was </w:t>
      </w:r>
      <w:r>
        <w:rPr>
          <w:rFonts w:ascii="Arial" w:hAnsi="Arial" w:cs="Arial"/>
          <w:color w:val="000000" w:themeColor="text1"/>
          <w:sz w:val="24"/>
          <w:szCs w:val="24"/>
        </w:rPr>
        <w:t xml:space="preserve">made </w:t>
      </w:r>
      <w:r w:rsidRPr="00E6740A">
        <w:rPr>
          <w:rFonts w:ascii="Arial" w:hAnsi="Arial" w:cs="Arial"/>
          <w:color w:val="000000" w:themeColor="text1"/>
          <w:sz w:val="24"/>
          <w:szCs w:val="24"/>
        </w:rPr>
        <w:t xml:space="preserve">in accordance with the prosecutorial powers afforded </w:t>
      </w:r>
      <w:r>
        <w:rPr>
          <w:rFonts w:ascii="Arial" w:hAnsi="Arial" w:cs="Arial"/>
          <w:color w:val="000000" w:themeColor="text1"/>
          <w:sz w:val="24"/>
          <w:szCs w:val="24"/>
        </w:rPr>
        <w:t xml:space="preserve">to the PG </w:t>
      </w:r>
      <w:r w:rsidRPr="00E6740A">
        <w:rPr>
          <w:rFonts w:ascii="Arial" w:hAnsi="Arial" w:cs="Arial"/>
          <w:color w:val="000000" w:themeColor="text1"/>
          <w:sz w:val="24"/>
          <w:szCs w:val="24"/>
        </w:rPr>
        <w:t>by Art 88 of the</w:t>
      </w:r>
      <w:r>
        <w:rPr>
          <w:rFonts w:ascii="Arial" w:hAnsi="Arial" w:cs="Arial"/>
          <w:color w:val="000000" w:themeColor="text1"/>
          <w:sz w:val="24"/>
          <w:szCs w:val="24"/>
        </w:rPr>
        <w:t xml:space="preserve"> Namibian </w:t>
      </w:r>
      <w:r w:rsidRPr="00E6740A">
        <w:rPr>
          <w:rFonts w:ascii="Arial" w:hAnsi="Arial" w:cs="Arial"/>
          <w:color w:val="000000" w:themeColor="text1"/>
          <w:sz w:val="24"/>
          <w:szCs w:val="24"/>
        </w:rPr>
        <w:t>Constitution. The</w:t>
      </w:r>
      <w:r w:rsidR="00152F7A">
        <w:rPr>
          <w:rFonts w:ascii="Arial" w:hAnsi="Arial" w:cs="Arial"/>
          <w:color w:val="000000" w:themeColor="text1"/>
          <w:sz w:val="24"/>
          <w:szCs w:val="24"/>
        </w:rPr>
        <w:t>y</w:t>
      </w:r>
      <w:r w:rsidRPr="00E6740A">
        <w:rPr>
          <w:rFonts w:ascii="Arial" w:hAnsi="Arial" w:cs="Arial"/>
          <w:color w:val="000000" w:themeColor="text1"/>
          <w:sz w:val="24"/>
          <w:szCs w:val="24"/>
        </w:rPr>
        <w:t xml:space="preserve"> </w:t>
      </w:r>
      <w:r>
        <w:rPr>
          <w:rFonts w:ascii="Arial" w:hAnsi="Arial" w:cs="Arial"/>
          <w:color w:val="000000" w:themeColor="text1"/>
          <w:sz w:val="24"/>
          <w:szCs w:val="24"/>
        </w:rPr>
        <w:t xml:space="preserve">maintained </w:t>
      </w:r>
      <w:r w:rsidRPr="00E6740A">
        <w:rPr>
          <w:rFonts w:ascii="Arial" w:hAnsi="Arial" w:cs="Arial"/>
          <w:color w:val="000000" w:themeColor="text1"/>
          <w:sz w:val="24"/>
          <w:szCs w:val="24"/>
        </w:rPr>
        <w:t xml:space="preserve">that the employees of the </w:t>
      </w:r>
      <w:r>
        <w:rPr>
          <w:rFonts w:ascii="Arial" w:hAnsi="Arial" w:cs="Arial"/>
          <w:color w:val="000000" w:themeColor="text1"/>
          <w:sz w:val="24"/>
          <w:szCs w:val="24"/>
        </w:rPr>
        <w:t xml:space="preserve">PG </w:t>
      </w:r>
      <w:r w:rsidRPr="00E6740A">
        <w:rPr>
          <w:rFonts w:ascii="Arial" w:hAnsi="Arial" w:cs="Arial"/>
          <w:color w:val="000000" w:themeColor="text1"/>
          <w:sz w:val="24"/>
          <w:szCs w:val="24"/>
        </w:rPr>
        <w:t xml:space="preserve">had carried out an objective assessment of the evidence before instituting </w:t>
      </w:r>
      <w:r>
        <w:rPr>
          <w:rFonts w:ascii="Arial" w:hAnsi="Arial" w:cs="Arial"/>
          <w:color w:val="000000" w:themeColor="text1"/>
          <w:sz w:val="24"/>
          <w:szCs w:val="24"/>
        </w:rPr>
        <w:t xml:space="preserve">the </w:t>
      </w:r>
      <w:r w:rsidRPr="00E6740A">
        <w:rPr>
          <w:rFonts w:ascii="Arial" w:hAnsi="Arial" w:cs="Arial"/>
          <w:color w:val="000000" w:themeColor="text1"/>
          <w:sz w:val="24"/>
          <w:szCs w:val="24"/>
        </w:rPr>
        <w:t xml:space="preserve">prosecution and came to </w:t>
      </w:r>
      <w:r w:rsidR="00152F7A">
        <w:rPr>
          <w:rFonts w:ascii="Arial" w:hAnsi="Arial" w:cs="Arial"/>
          <w:color w:val="000000" w:themeColor="text1"/>
          <w:sz w:val="24"/>
          <w:szCs w:val="24"/>
        </w:rPr>
        <w:t xml:space="preserve">a </w:t>
      </w:r>
      <w:r w:rsidRPr="00E6740A">
        <w:rPr>
          <w:rFonts w:ascii="Arial" w:hAnsi="Arial" w:cs="Arial"/>
          <w:color w:val="000000" w:themeColor="text1"/>
          <w:sz w:val="24"/>
          <w:szCs w:val="24"/>
        </w:rPr>
        <w:t xml:space="preserve">reasonable </w:t>
      </w:r>
      <w:r w:rsidR="00152F7A">
        <w:rPr>
          <w:rFonts w:ascii="Arial" w:hAnsi="Arial" w:cs="Arial"/>
          <w:color w:val="000000" w:themeColor="text1"/>
          <w:sz w:val="24"/>
          <w:szCs w:val="24"/>
        </w:rPr>
        <w:t>conclusion</w:t>
      </w:r>
      <w:r w:rsidRPr="00E6740A">
        <w:rPr>
          <w:rFonts w:ascii="Arial" w:hAnsi="Arial" w:cs="Arial"/>
          <w:color w:val="000000" w:themeColor="text1"/>
          <w:sz w:val="24"/>
          <w:szCs w:val="24"/>
        </w:rPr>
        <w:t xml:space="preserve"> that there was a case against the respondent. </w:t>
      </w:r>
    </w:p>
    <w:p w:rsidR="000B16E1" w:rsidRPr="00E6740A" w:rsidRDefault="000B16E1" w:rsidP="000B16E1">
      <w:pPr>
        <w:pStyle w:val="ListParagraph"/>
        <w:spacing w:after="0" w:line="480" w:lineRule="auto"/>
        <w:ind w:left="0"/>
        <w:jc w:val="both"/>
        <w:rPr>
          <w:rFonts w:ascii="Arial" w:hAnsi="Arial" w:cs="Arial"/>
          <w:color w:val="000000" w:themeColor="text1"/>
          <w:sz w:val="24"/>
          <w:szCs w:val="24"/>
        </w:rPr>
      </w:pPr>
    </w:p>
    <w:p w:rsidR="000B16E1" w:rsidRDefault="000B16E1" w:rsidP="000B16E1">
      <w:pPr>
        <w:pStyle w:val="ListParagraph"/>
        <w:numPr>
          <w:ilvl w:val="0"/>
          <w:numId w:val="22"/>
        </w:numPr>
        <w:spacing w:after="0" w:line="480" w:lineRule="auto"/>
        <w:ind w:left="0" w:firstLine="0"/>
        <w:jc w:val="both"/>
        <w:rPr>
          <w:rFonts w:ascii="Arial" w:hAnsi="Arial" w:cs="Arial"/>
          <w:color w:val="000000" w:themeColor="text1"/>
          <w:sz w:val="24"/>
          <w:szCs w:val="24"/>
        </w:rPr>
      </w:pPr>
      <w:r>
        <w:rPr>
          <w:rFonts w:ascii="Arial" w:hAnsi="Arial" w:cs="Arial"/>
          <w:color w:val="000000" w:themeColor="text1"/>
          <w:sz w:val="24"/>
          <w:szCs w:val="24"/>
        </w:rPr>
        <w:t xml:space="preserve">Regarding the issue of </w:t>
      </w:r>
      <w:r w:rsidRPr="00E6740A">
        <w:rPr>
          <w:rFonts w:ascii="Arial" w:hAnsi="Arial" w:cs="Arial"/>
          <w:color w:val="000000" w:themeColor="text1"/>
          <w:sz w:val="24"/>
          <w:szCs w:val="24"/>
        </w:rPr>
        <w:t>malicious continu</w:t>
      </w:r>
      <w:r>
        <w:rPr>
          <w:rFonts w:ascii="Arial" w:hAnsi="Arial" w:cs="Arial"/>
          <w:color w:val="000000" w:themeColor="text1"/>
          <w:sz w:val="24"/>
          <w:szCs w:val="24"/>
        </w:rPr>
        <w:t xml:space="preserve">ation of the </w:t>
      </w:r>
      <w:r w:rsidRPr="00E6740A">
        <w:rPr>
          <w:rFonts w:ascii="Arial" w:hAnsi="Arial" w:cs="Arial"/>
          <w:color w:val="000000" w:themeColor="text1"/>
          <w:sz w:val="24"/>
          <w:szCs w:val="24"/>
        </w:rPr>
        <w:t xml:space="preserve">prosecution, </w:t>
      </w:r>
      <w:r>
        <w:rPr>
          <w:rFonts w:ascii="Arial" w:hAnsi="Arial" w:cs="Arial"/>
          <w:color w:val="000000" w:themeColor="text1"/>
          <w:sz w:val="24"/>
          <w:szCs w:val="24"/>
        </w:rPr>
        <w:t xml:space="preserve">the PG contended </w:t>
      </w:r>
      <w:r w:rsidRPr="00E6740A">
        <w:rPr>
          <w:rFonts w:ascii="Arial" w:hAnsi="Arial" w:cs="Arial"/>
          <w:color w:val="000000" w:themeColor="text1"/>
          <w:sz w:val="24"/>
          <w:szCs w:val="24"/>
        </w:rPr>
        <w:t xml:space="preserve">that the prosecution against the respondent could not be stopped </w:t>
      </w:r>
      <w:r>
        <w:rPr>
          <w:rFonts w:ascii="Arial" w:hAnsi="Arial" w:cs="Arial"/>
          <w:color w:val="000000" w:themeColor="text1"/>
          <w:sz w:val="24"/>
          <w:szCs w:val="24"/>
        </w:rPr>
        <w:t>as from March 2006 alternatively from</w:t>
      </w:r>
      <w:r w:rsidRPr="00E6740A">
        <w:rPr>
          <w:rFonts w:ascii="Arial" w:hAnsi="Arial" w:cs="Arial"/>
          <w:color w:val="000000" w:themeColor="text1"/>
          <w:sz w:val="24"/>
          <w:szCs w:val="24"/>
        </w:rPr>
        <w:t xml:space="preserve"> November 2011 because neither </w:t>
      </w:r>
      <w:r>
        <w:rPr>
          <w:rFonts w:ascii="Arial" w:hAnsi="Arial" w:cs="Arial"/>
          <w:color w:val="000000" w:themeColor="text1"/>
          <w:sz w:val="24"/>
          <w:szCs w:val="24"/>
        </w:rPr>
        <w:t xml:space="preserve">the PG </w:t>
      </w:r>
      <w:r w:rsidRPr="00E6740A">
        <w:rPr>
          <w:rFonts w:ascii="Arial" w:hAnsi="Arial" w:cs="Arial"/>
          <w:color w:val="000000" w:themeColor="text1"/>
          <w:sz w:val="24"/>
          <w:szCs w:val="24"/>
        </w:rPr>
        <w:t xml:space="preserve">nor her employees knew that all the evidence that could implicate the respondent had been presented and </w:t>
      </w:r>
      <w:r>
        <w:rPr>
          <w:rFonts w:ascii="Arial" w:hAnsi="Arial" w:cs="Arial"/>
          <w:color w:val="000000" w:themeColor="text1"/>
          <w:sz w:val="24"/>
          <w:szCs w:val="24"/>
        </w:rPr>
        <w:t xml:space="preserve">that not </w:t>
      </w:r>
      <w:r w:rsidRPr="00E6740A">
        <w:rPr>
          <w:rFonts w:ascii="Arial" w:hAnsi="Arial" w:cs="Arial"/>
          <w:color w:val="000000" w:themeColor="text1"/>
          <w:sz w:val="24"/>
          <w:szCs w:val="24"/>
        </w:rPr>
        <w:t>all witnesses who could implicate the respondent</w:t>
      </w:r>
      <w:r>
        <w:rPr>
          <w:rFonts w:ascii="Arial" w:hAnsi="Arial" w:cs="Arial"/>
          <w:color w:val="000000" w:themeColor="text1"/>
          <w:sz w:val="24"/>
          <w:szCs w:val="24"/>
        </w:rPr>
        <w:t xml:space="preserve"> had completed their testimonies.</w:t>
      </w:r>
    </w:p>
    <w:p w:rsidR="000B16E1" w:rsidRDefault="000B16E1" w:rsidP="000B16E1">
      <w:pPr>
        <w:pStyle w:val="ListParagraph"/>
        <w:spacing w:after="0" w:line="480" w:lineRule="auto"/>
        <w:ind w:left="0"/>
        <w:jc w:val="both"/>
        <w:rPr>
          <w:rFonts w:ascii="Arial" w:hAnsi="Arial" w:cs="Arial"/>
          <w:color w:val="000000" w:themeColor="text1"/>
          <w:sz w:val="24"/>
          <w:szCs w:val="24"/>
        </w:rPr>
      </w:pPr>
    </w:p>
    <w:p w:rsidR="000B16E1" w:rsidRPr="00E6740A" w:rsidRDefault="000B16E1" w:rsidP="000B16E1">
      <w:pPr>
        <w:pStyle w:val="ListParagraph"/>
        <w:numPr>
          <w:ilvl w:val="0"/>
          <w:numId w:val="22"/>
        </w:numPr>
        <w:spacing w:after="0" w:line="480" w:lineRule="auto"/>
        <w:ind w:left="0" w:firstLine="0"/>
        <w:jc w:val="both"/>
        <w:rPr>
          <w:rFonts w:ascii="Arial" w:hAnsi="Arial" w:cs="Arial"/>
          <w:color w:val="000000" w:themeColor="text1"/>
          <w:sz w:val="24"/>
          <w:szCs w:val="24"/>
        </w:rPr>
      </w:pPr>
      <w:r w:rsidRPr="00E6740A">
        <w:rPr>
          <w:rFonts w:ascii="Arial" w:hAnsi="Arial" w:cs="Arial"/>
          <w:color w:val="000000" w:themeColor="text1"/>
          <w:sz w:val="24"/>
          <w:szCs w:val="24"/>
        </w:rPr>
        <w:t xml:space="preserve">The </w:t>
      </w:r>
      <w:r>
        <w:rPr>
          <w:rFonts w:ascii="Arial" w:hAnsi="Arial" w:cs="Arial"/>
          <w:color w:val="000000" w:themeColor="text1"/>
          <w:sz w:val="24"/>
          <w:szCs w:val="24"/>
        </w:rPr>
        <w:t xml:space="preserve">PG further argued </w:t>
      </w:r>
      <w:r w:rsidRPr="00E6740A">
        <w:rPr>
          <w:rFonts w:ascii="Arial" w:hAnsi="Arial" w:cs="Arial"/>
          <w:color w:val="000000" w:themeColor="text1"/>
          <w:sz w:val="24"/>
          <w:szCs w:val="24"/>
        </w:rPr>
        <w:t xml:space="preserve">that she could not stop the prosecution </w:t>
      </w:r>
      <w:r>
        <w:rPr>
          <w:rFonts w:ascii="Arial" w:hAnsi="Arial" w:cs="Arial"/>
          <w:color w:val="000000" w:themeColor="text1"/>
          <w:sz w:val="24"/>
          <w:szCs w:val="24"/>
        </w:rPr>
        <w:t xml:space="preserve">at the stages as proposed by the respondent for the following reasons: (a) that </w:t>
      </w:r>
      <w:r w:rsidRPr="00E6740A">
        <w:rPr>
          <w:rFonts w:ascii="Arial" w:hAnsi="Arial" w:cs="Arial"/>
          <w:color w:val="000000" w:themeColor="text1"/>
          <w:sz w:val="24"/>
          <w:szCs w:val="24"/>
        </w:rPr>
        <w:t xml:space="preserve">it would </w:t>
      </w:r>
      <w:r>
        <w:rPr>
          <w:rFonts w:ascii="Arial" w:hAnsi="Arial" w:cs="Arial"/>
          <w:color w:val="000000" w:themeColor="text1"/>
          <w:sz w:val="24"/>
          <w:szCs w:val="24"/>
        </w:rPr>
        <w:t xml:space="preserve">have </w:t>
      </w:r>
      <w:r w:rsidRPr="00E6740A">
        <w:rPr>
          <w:rFonts w:ascii="Arial" w:hAnsi="Arial" w:cs="Arial"/>
          <w:color w:val="000000" w:themeColor="text1"/>
          <w:sz w:val="24"/>
          <w:szCs w:val="24"/>
        </w:rPr>
        <w:t>be</w:t>
      </w:r>
      <w:r>
        <w:rPr>
          <w:rFonts w:ascii="Arial" w:hAnsi="Arial" w:cs="Arial"/>
          <w:color w:val="000000" w:themeColor="text1"/>
          <w:sz w:val="24"/>
          <w:szCs w:val="24"/>
        </w:rPr>
        <w:t>en</w:t>
      </w:r>
      <w:r w:rsidRPr="00E6740A">
        <w:rPr>
          <w:rFonts w:ascii="Arial" w:hAnsi="Arial" w:cs="Arial"/>
          <w:color w:val="000000" w:themeColor="text1"/>
          <w:sz w:val="24"/>
          <w:szCs w:val="24"/>
        </w:rPr>
        <w:t xml:space="preserve"> </w:t>
      </w:r>
      <w:r>
        <w:rPr>
          <w:rFonts w:ascii="Arial" w:hAnsi="Arial" w:cs="Arial"/>
          <w:color w:val="000000" w:themeColor="text1"/>
          <w:sz w:val="24"/>
          <w:szCs w:val="24"/>
        </w:rPr>
        <w:t>prejudicial to the S</w:t>
      </w:r>
      <w:r w:rsidRPr="00E6740A">
        <w:rPr>
          <w:rFonts w:ascii="Arial" w:hAnsi="Arial" w:cs="Arial"/>
          <w:color w:val="000000" w:themeColor="text1"/>
          <w:sz w:val="24"/>
          <w:szCs w:val="24"/>
        </w:rPr>
        <w:t xml:space="preserve">tate’s case as witnesses could implicate </w:t>
      </w:r>
      <w:r>
        <w:rPr>
          <w:rFonts w:ascii="Arial" w:hAnsi="Arial" w:cs="Arial"/>
          <w:color w:val="000000" w:themeColor="text1"/>
          <w:sz w:val="24"/>
          <w:szCs w:val="24"/>
        </w:rPr>
        <w:t xml:space="preserve">the </w:t>
      </w:r>
      <w:r w:rsidRPr="00E6740A">
        <w:rPr>
          <w:rFonts w:ascii="Arial" w:hAnsi="Arial" w:cs="Arial"/>
          <w:color w:val="000000" w:themeColor="text1"/>
          <w:sz w:val="24"/>
          <w:szCs w:val="24"/>
        </w:rPr>
        <w:t xml:space="preserve">accused persons they had not referred </w:t>
      </w:r>
      <w:r>
        <w:rPr>
          <w:rFonts w:ascii="Arial" w:hAnsi="Arial" w:cs="Arial"/>
          <w:color w:val="000000" w:themeColor="text1"/>
          <w:sz w:val="24"/>
          <w:szCs w:val="24"/>
        </w:rPr>
        <w:t xml:space="preserve">to in their written statements; (b) that the appellants </w:t>
      </w:r>
      <w:r w:rsidRPr="00E6740A">
        <w:rPr>
          <w:rFonts w:ascii="Arial" w:hAnsi="Arial" w:cs="Arial"/>
          <w:color w:val="000000" w:themeColor="text1"/>
          <w:sz w:val="24"/>
          <w:szCs w:val="24"/>
        </w:rPr>
        <w:t xml:space="preserve">believed that </w:t>
      </w:r>
      <w:r>
        <w:rPr>
          <w:rFonts w:ascii="Arial" w:hAnsi="Arial" w:cs="Arial"/>
          <w:color w:val="000000" w:themeColor="text1"/>
          <w:sz w:val="24"/>
          <w:szCs w:val="24"/>
        </w:rPr>
        <w:t>they</w:t>
      </w:r>
      <w:r w:rsidRPr="00E6740A">
        <w:rPr>
          <w:rFonts w:ascii="Arial" w:hAnsi="Arial" w:cs="Arial"/>
          <w:color w:val="000000" w:themeColor="text1"/>
          <w:sz w:val="24"/>
          <w:szCs w:val="24"/>
        </w:rPr>
        <w:t xml:space="preserve"> had established common purpose and conspiracy from the </w:t>
      </w:r>
      <w:r>
        <w:rPr>
          <w:rFonts w:ascii="Arial" w:hAnsi="Arial" w:cs="Arial"/>
          <w:color w:val="000000" w:themeColor="text1"/>
          <w:sz w:val="24"/>
          <w:szCs w:val="24"/>
        </w:rPr>
        <w:t xml:space="preserve">evidence and witness statements, </w:t>
      </w:r>
      <w:r w:rsidRPr="00E6740A">
        <w:rPr>
          <w:rFonts w:ascii="Arial" w:hAnsi="Arial" w:cs="Arial"/>
          <w:color w:val="000000" w:themeColor="text1"/>
          <w:sz w:val="24"/>
          <w:szCs w:val="24"/>
        </w:rPr>
        <w:t xml:space="preserve">and </w:t>
      </w:r>
      <w:r>
        <w:rPr>
          <w:rFonts w:ascii="Arial" w:hAnsi="Arial" w:cs="Arial"/>
          <w:color w:val="000000" w:themeColor="text1"/>
          <w:sz w:val="24"/>
          <w:szCs w:val="24"/>
        </w:rPr>
        <w:t xml:space="preserve">(c) </w:t>
      </w:r>
      <w:r w:rsidRPr="00E6740A">
        <w:rPr>
          <w:rFonts w:ascii="Arial" w:hAnsi="Arial" w:cs="Arial"/>
          <w:color w:val="000000" w:themeColor="text1"/>
          <w:sz w:val="24"/>
          <w:szCs w:val="24"/>
        </w:rPr>
        <w:t>that there was a likelihood that the defence case could s</w:t>
      </w:r>
      <w:r>
        <w:rPr>
          <w:rFonts w:ascii="Arial" w:hAnsi="Arial" w:cs="Arial"/>
          <w:color w:val="000000" w:themeColor="text1"/>
          <w:sz w:val="24"/>
          <w:szCs w:val="24"/>
        </w:rPr>
        <w:t xml:space="preserve">upplement </w:t>
      </w:r>
      <w:r w:rsidRPr="00E6740A">
        <w:rPr>
          <w:rFonts w:ascii="Arial" w:hAnsi="Arial" w:cs="Arial"/>
          <w:color w:val="000000" w:themeColor="text1"/>
          <w:sz w:val="24"/>
          <w:szCs w:val="24"/>
        </w:rPr>
        <w:t xml:space="preserve">the </w:t>
      </w:r>
      <w:r>
        <w:rPr>
          <w:rFonts w:ascii="Arial" w:hAnsi="Arial" w:cs="Arial"/>
          <w:color w:val="000000" w:themeColor="text1"/>
          <w:sz w:val="24"/>
          <w:szCs w:val="24"/>
        </w:rPr>
        <w:t>S</w:t>
      </w:r>
      <w:r w:rsidRPr="00E6740A">
        <w:rPr>
          <w:rFonts w:ascii="Arial" w:hAnsi="Arial" w:cs="Arial"/>
          <w:color w:val="000000" w:themeColor="text1"/>
          <w:sz w:val="24"/>
          <w:szCs w:val="24"/>
        </w:rPr>
        <w:t xml:space="preserve">tate’s case. </w:t>
      </w:r>
    </w:p>
    <w:p w:rsidR="000B16E1" w:rsidRPr="00E6740A" w:rsidRDefault="000B16E1" w:rsidP="000B16E1">
      <w:pPr>
        <w:spacing w:after="0" w:line="480" w:lineRule="auto"/>
        <w:jc w:val="both"/>
        <w:rPr>
          <w:rFonts w:ascii="Arial" w:hAnsi="Arial" w:cs="Arial"/>
          <w:color w:val="000000" w:themeColor="text1"/>
          <w:sz w:val="24"/>
          <w:szCs w:val="24"/>
        </w:rPr>
      </w:pPr>
    </w:p>
    <w:p w:rsidR="000B16E1" w:rsidRPr="00FB6313" w:rsidRDefault="000B16E1" w:rsidP="000B16E1">
      <w:pPr>
        <w:pStyle w:val="ListParagraph"/>
        <w:numPr>
          <w:ilvl w:val="0"/>
          <w:numId w:val="22"/>
        </w:numPr>
        <w:spacing w:after="0" w:line="480" w:lineRule="auto"/>
        <w:ind w:left="0" w:firstLine="0"/>
        <w:jc w:val="both"/>
        <w:rPr>
          <w:rFonts w:ascii="Arial" w:hAnsi="Arial" w:cs="Arial"/>
          <w:color w:val="000000" w:themeColor="text1"/>
          <w:sz w:val="24"/>
          <w:szCs w:val="24"/>
        </w:rPr>
      </w:pPr>
      <w:r w:rsidRPr="00E6740A">
        <w:rPr>
          <w:rFonts w:ascii="Arial" w:hAnsi="Arial" w:cs="Arial"/>
          <w:color w:val="000000" w:themeColor="text1"/>
          <w:sz w:val="24"/>
          <w:szCs w:val="24"/>
        </w:rPr>
        <w:t>In response to the constitutional claim, the appellants c</w:t>
      </w:r>
      <w:r>
        <w:rPr>
          <w:rFonts w:ascii="Arial" w:hAnsi="Arial" w:cs="Arial"/>
          <w:color w:val="000000" w:themeColor="text1"/>
          <w:sz w:val="24"/>
          <w:szCs w:val="24"/>
        </w:rPr>
        <w:t xml:space="preserve">ountered </w:t>
      </w:r>
      <w:r w:rsidRPr="00E6740A">
        <w:rPr>
          <w:rFonts w:ascii="Arial" w:hAnsi="Arial" w:cs="Arial"/>
          <w:color w:val="000000" w:themeColor="text1"/>
          <w:sz w:val="24"/>
          <w:szCs w:val="24"/>
        </w:rPr>
        <w:t xml:space="preserve">that the remedy sought by the respondent </w:t>
      </w:r>
      <w:r>
        <w:rPr>
          <w:rFonts w:ascii="Arial" w:hAnsi="Arial" w:cs="Arial"/>
          <w:color w:val="000000" w:themeColor="text1"/>
          <w:sz w:val="24"/>
          <w:szCs w:val="24"/>
        </w:rPr>
        <w:t>wa</w:t>
      </w:r>
      <w:r w:rsidRPr="00E6740A">
        <w:rPr>
          <w:rFonts w:ascii="Arial" w:hAnsi="Arial" w:cs="Arial"/>
          <w:color w:val="000000" w:themeColor="text1"/>
          <w:sz w:val="24"/>
          <w:szCs w:val="24"/>
        </w:rPr>
        <w:t xml:space="preserve">s inappropriate as </w:t>
      </w:r>
      <w:r w:rsidRPr="00E6740A">
        <w:rPr>
          <w:rFonts w:ascii="Arial" w:hAnsi="Arial" w:cs="Arial"/>
          <w:color w:val="000000" w:themeColor="text1"/>
          <w:sz w:val="24"/>
          <w:szCs w:val="24"/>
          <w:lang w:val="en-ZA"/>
        </w:rPr>
        <w:t xml:space="preserve">Art 12 </w:t>
      </w:r>
      <w:r>
        <w:rPr>
          <w:rFonts w:ascii="Arial" w:hAnsi="Arial" w:cs="Arial"/>
          <w:color w:val="000000" w:themeColor="text1"/>
          <w:sz w:val="24"/>
          <w:szCs w:val="24"/>
          <w:lang w:val="en-ZA"/>
        </w:rPr>
        <w:t xml:space="preserve">of the Constitution </w:t>
      </w:r>
      <w:r w:rsidRPr="00E6740A">
        <w:rPr>
          <w:rFonts w:ascii="Arial" w:hAnsi="Arial" w:cs="Arial"/>
          <w:color w:val="000000" w:themeColor="text1"/>
          <w:sz w:val="24"/>
          <w:szCs w:val="24"/>
          <w:lang w:val="en-ZA"/>
        </w:rPr>
        <w:t>ha</w:t>
      </w:r>
      <w:r>
        <w:rPr>
          <w:rFonts w:ascii="Arial" w:hAnsi="Arial" w:cs="Arial"/>
          <w:color w:val="000000" w:themeColor="text1"/>
          <w:sz w:val="24"/>
          <w:szCs w:val="24"/>
          <w:lang w:val="en-ZA"/>
        </w:rPr>
        <w:t>d</w:t>
      </w:r>
      <w:r w:rsidRPr="00E6740A">
        <w:rPr>
          <w:rFonts w:ascii="Arial" w:hAnsi="Arial" w:cs="Arial"/>
          <w:color w:val="000000" w:themeColor="text1"/>
          <w:sz w:val="24"/>
          <w:szCs w:val="24"/>
          <w:lang w:val="en-ZA"/>
        </w:rPr>
        <w:t xml:space="preserve"> its own </w:t>
      </w:r>
      <w:r w:rsidRPr="00E6740A">
        <w:rPr>
          <w:rFonts w:ascii="Arial" w:hAnsi="Arial" w:cs="Arial"/>
          <w:color w:val="000000" w:themeColor="text1"/>
          <w:sz w:val="24"/>
          <w:szCs w:val="24"/>
          <w:lang w:val="en-ZA"/>
        </w:rPr>
        <w:lastRenderedPageBreak/>
        <w:t xml:space="preserve">remedy </w:t>
      </w:r>
      <w:r>
        <w:rPr>
          <w:rFonts w:ascii="Arial" w:hAnsi="Arial" w:cs="Arial"/>
          <w:color w:val="000000" w:themeColor="text1"/>
          <w:sz w:val="24"/>
          <w:szCs w:val="24"/>
          <w:lang w:val="en-ZA"/>
        </w:rPr>
        <w:t xml:space="preserve">in that </w:t>
      </w:r>
      <w:r w:rsidRPr="00E6740A">
        <w:rPr>
          <w:rFonts w:ascii="Arial" w:hAnsi="Arial" w:cs="Arial"/>
          <w:color w:val="000000" w:themeColor="text1"/>
          <w:sz w:val="24"/>
          <w:szCs w:val="24"/>
          <w:lang w:val="en-ZA"/>
        </w:rPr>
        <w:t>where a trial does not take place within a reasonable time</w:t>
      </w:r>
      <w:r>
        <w:rPr>
          <w:rFonts w:ascii="Arial" w:hAnsi="Arial" w:cs="Arial"/>
          <w:color w:val="000000" w:themeColor="text1"/>
          <w:sz w:val="24"/>
          <w:szCs w:val="24"/>
          <w:lang w:val="en-ZA"/>
        </w:rPr>
        <w:t xml:space="preserve"> t</w:t>
      </w:r>
      <w:r w:rsidRPr="00E6740A">
        <w:rPr>
          <w:rFonts w:ascii="Arial" w:hAnsi="Arial" w:cs="Arial"/>
          <w:color w:val="000000" w:themeColor="text1"/>
          <w:sz w:val="24"/>
          <w:szCs w:val="24"/>
          <w:lang w:val="en-ZA"/>
        </w:rPr>
        <w:t xml:space="preserve">he accused </w:t>
      </w:r>
      <w:r>
        <w:rPr>
          <w:rFonts w:ascii="Arial" w:hAnsi="Arial" w:cs="Arial"/>
          <w:color w:val="000000" w:themeColor="text1"/>
          <w:sz w:val="24"/>
          <w:szCs w:val="24"/>
          <w:lang w:val="en-ZA"/>
        </w:rPr>
        <w:t xml:space="preserve">person may </w:t>
      </w:r>
      <w:r w:rsidRPr="00E6740A">
        <w:rPr>
          <w:rFonts w:ascii="Arial" w:hAnsi="Arial" w:cs="Arial"/>
          <w:color w:val="000000" w:themeColor="text1"/>
          <w:sz w:val="24"/>
          <w:szCs w:val="24"/>
          <w:lang w:val="en-ZA"/>
        </w:rPr>
        <w:t>apply for his</w:t>
      </w:r>
      <w:r>
        <w:rPr>
          <w:rFonts w:ascii="Arial" w:hAnsi="Arial" w:cs="Arial"/>
          <w:color w:val="000000" w:themeColor="text1"/>
          <w:sz w:val="24"/>
          <w:szCs w:val="24"/>
          <w:lang w:val="en-ZA"/>
        </w:rPr>
        <w:t xml:space="preserve"> or her release. </w:t>
      </w:r>
      <w:r w:rsidRPr="00E6740A">
        <w:rPr>
          <w:rFonts w:ascii="Arial" w:hAnsi="Arial" w:cs="Arial"/>
          <w:color w:val="000000" w:themeColor="text1"/>
          <w:sz w:val="24"/>
          <w:szCs w:val="24"/>
          <w:lang w:val="en-ZA"/>
        </w:rPr>
        <w:t xml:space="preserve">The appellants </w:t>
      </w:r>
      <w:r>
        <w:rPr>
          <w:rFonts w:ascii="Arial" w:hAnsi="Arial" w:cs="Arial"/>
          <w:color w:val="000000" w:themeColor="text1"/>
          <w:sz w:val="24"/>
          <w:szCs w:val="24"/>
          <w:lang w:val="en-ZA"/>
        </w:rPr>
        <w:t>argued that Art 12 (1)(</w:t>
      </w:r>
      <w:r w:rsidRPr="00713BDC">
        <w:rPr>
          <w:rFonts w:ascii="Arial" w:hAnsi="Arial" w:cs="Arial"/>
          <w:i/>
          <w:color w:val="000000" w:themeColor="text1"/>
          <w:sz w:val="24"/>
          <w:szCs w:val="24"/>
          <w:lang w:val="en-ZA"/>
        </w:rPr>
        <w:t>b</w:t>
      </w:r>
      <w:r>
        <w:rPr>
          <w:rFonts w:ascii="Arial" w:hAnsi="Arial" w:cs="Arial"/>
          <w:color w:val="000000" w:themeColor="text1"/>
          <w:sz w:val="24"/>
          <w:szCs w:val="24"/>
          <w:lang w:val="en-ZA"/>
        </w:rPr>
        <w:t xml:space="preserve">) of the Constitution provided for </w:t>
      </w:r>
      <w:r w:rsidRPr="00E6740A">
        <w:rPr>
          <w:rFonts w:ascii="Arial" w:hAnsi="Arial" w:cs="Arial"/>
          <w:color w:val="000000" w:themeColor="text1"/>
          <w:sz w:val="24"/>
          <w:szCs w:val="24"/>
          <w:lang w:val="en-ZA"/>
        </w:rPr>
        <w:t xml:space="preserve">both a right and remedy for a breach, and the remedy </w:t>
      </w:r>
      <w:r>
        <w:rPr>
          <w:rFonts w:ascii="Arial" w:hAnsi="Arial" w:cs="Arial"/>
          <w:color w:val="000000" w:themeColor="text1"/>
          <w:sz w:val="24"/>
          <w:szCs w:val="24"/>
          <w:lang w:val="en-ZA"/>
        </w:rPr>
        <w:t xml:space="preserve">in this instance </w:t>
      </w:r>
      <w:r w:rsidR="00152F7A">
        <w:rPr>
          <w:rFonts w:ascii="Arial" w:hAnsi="Arial" w:cs="Arial"/>
          <w:color w:val="000000" w:themeColor="text1"/>
          <w:sz w:val="24"/>
          <w:szCs w:val="24"/>
          <w:lang w:val="en-ZA"/>
        </w:rPr>
        <w:t>wa</w:t>
      </w:r>
      <w:r w:rsidRPr="00E6740A">
        <w:rPr>
          <w:rFonts w:ascii="Arial" w:hAnsi="Arial" w:cs="Arial"/>
          <w:color w:val="000000" w:themeColor="text1"/>
          <w:sz w:val="24"/>
          <w:szCs w:val="24"/>
          <w:lang w:val="en-ZA"/>
        </w:rPr>
        <w:t>s release from trial.</w:t>
      </w:r>
      <w:r>
        <w:rPr>
          <w:rFonts w:ascii="Arial" w:hAnsi="Arial" w:cs="Arial"/>
          <w:color w:val="000000" w:themeColor="text1"/>
          <w:sz w:val="24"/>
          <w:szCs w:val="24"/>
          <w:lang w:val="en-ZA"/>
        </w:rPr>
        <w:t xml:space="preserve"> The </w:t>
      </w:r>
      <w:r w:rsidRPr="00E6740A">
        <w:rPr>
          <w:rFonts w:ascii="Arial" w:hAnsi="Arial" w:cs="Arial"/>
          <w:color w:val="000000" w:themeColor="text1"/>
          <w:sz w:val="24"/>
          <w:szCs w:val="24"/>
          <w:lang w:val="en-ZA"/>
        </w:rPr>
        <w:t xml:space="preserve">appellants </w:t>
      </w:r>
      <w:r>
        <w:rPr>
          <w:rFonts w:ascii="Arial" w:hAnsi="Arial" w:cs="Arial"/>
          <w:color w:val="000000" w:themeColor="text1"/>
          <w:sz w:val="24"/>
          <w:szCs w:val="24"/>
          <w:lang w:val="en-ZA"/>
        </w:rPr>
        <w:t>thus contended that despite being vested with the remedy in terms of Art 12(1)(</w:t>
      </w:r>
      <w:r w:rsidRPr="00713BDC">
        <w:rPr>
          <w:rFonts w:ascii="Arial" w:hAnsi="Arial" w:cs="Arial"/>
          <w:i/>
          <w:color w:val="000000" w:themeColor="text1"/>
          <w:sz w:val="24"/>
          <w:szCs w:val="24"/>
          <w:lang w:val="en-ZA"/>
        </w:rPr>
        <w:t>b</w:t>
      </w:r>
      <w:r>
        <w:rPr>
          <w:rFonts w:ascii="Arial" w:hAnsi="Arial" w:cs="Arial"/>
          <w:color w:val="000000" w:themeColor="text1"/>
          <w:sz w:val="24"/>
          <w:szCs w:val="24"/>
          <w:lang w:val="en-ZA"/>
        </w:rPr>
        <w:t xml:space="preserve">), the respondent had failed to invoke such a remedy and accordingly, it would be inappropriate to award </w:t>
      </w:r>
      <w:r w:rsidRPr="00E6740A">
        <w:rPr>
          <w:rFonts w:ascii="Arial" w:hAnsi="Arial" w:cs="Arial"/>
          <w:color w:val="000000" w:themeColor="text1"/>
          <w:sz w:val="24"/>
          <w:szCs w:val="24"/>
          <w:lang w:val="en-ZA"/>
        </w:rPr>
        <w:t>constitutional damages</w:t>
      </w:r>
      <w:r>
        <w:rPr>
          <w:rFonts w:ascii="Arial" w:hAnsi="Arial" w:cs="Arial"/>
          <w:color w:val="000000" w:themeColor="text1"/>
          <w:sz w:val="24"/>
          <w:szCs w:val="24"/>
          <w:lang w:val="en-ZA"/>
        </w:rPr>
        <w:t xml:space="preserve"> to him</w:t>
      </w:r>
      <w:r w:rsidRPr="00E6740A">
        <w:rPr>
          <w:rFonts w:ascii="Arial" w:hAnsi="Arial" w:cs="Arial"/>
          <w:color w:val="000000" w:themeColor="text1"/>
          <w:sz w:val="24"/>
          <w:szCs w:val="24"/>
          <w:lang w:val="en-ZA"/>
        </w:rPr>
        <w:t xml:space="preserve">. </w:t>
      </w:r>
    </w:p>
    <w:p w:rsidR="000B16E1" w:rsidRPr="00271509" w:rsidRDefault="000B16E1" w:rsidP="000B16E1">
      <w:pPr>
        <w:spacing w:after="0" w:line="480" w:lineRule="auto"/>
        <w:ind w:left="360"/>
        <w:jc w:val="both"/>
        <w:rPr>
          <w:rFonts w:ascii="Arial" w:hAnsi="Arial" w:cs="Arial"/>
          <w:color w:val="000000" w:themeColor="text1"/>
          <w:sz w:val="24"/>
          <w:szCs w:val="24"/>
        </w:rPr>
      </w:pPr>
    </w:p>
    <w:p w:rsidR="00157011" w:rsidRDefault="000B16E1" w:rsidP="000B16E1">
      <w:pPr>
        <w:pStyle w:val="ListParagraph"/>
        <w:numPr>
          <w:ilvl w:val="0"/>
          <w:numId w:val="22"/>
        </w:numPr>
        <w:spacing w:after="0" w:line="480" w:lineRule="auto"/>
        <w:ind w:left="0" w:firstLine="0"/>
        <w:jc w:val="both"/>
        <w:rPr>
          <w:rFonts w:ascii="Arial" w:hAnsi="Arial" w:cs="Arial"/>
          <w:color w:val="000000" w:themeColor="text1"/>
          <w:sz w:val="24"/>
          <w:szCs w:val="24"/>
        </w:rPr>
      </w:pPr>
      <w:r>
        <w:rPr>
          <w:rFonts w:ascii="Arial" w:hAnsi="Arial" w:cs="Arial"/>
          <w:color w:val="000000" w:themeColor="text1"/>
          <w:sz w:val="24"/>
          <w:szCs w:val="24"/>
        </w:rPr>
        <w:t>As to the respondent’s contention regarding the failure to separate the trials in specific groups, t</w:t>
      </w:r>
      <w:r w:rsidRPr="00E6740A">
        <w:rPr>
          <w:rFonts w:ascii="Arial" w:hAnsi="Arial" w:cs="Arial"/>
          <w:color w:val="000000" w:themeColor="text1"/>
          <w:sz w:val="24"/>
          <w:szCs w:val="24"/>
        </w:rPr>
        <w:t xml:space="preserve">he appellants argued that the respondent was legally represented and the defence team ought to have asserted </w:t>
      </w:r>
      <w:r w:rsidR="00152F7A">
        <w:rPr>
          <w:rFonts w:ascii="Arial" w:hAnsi="Arial" w:cs="Arial"/>
          <w:color w:val="000000" w:themeColor="text1"/>
          <w:sz w:val="24"/>
          <w:szCs w:val="24"/>
        </w:rPr>
        <w:t xml:space="preserve">his </w:t>
      </w:r>
      <w:r w:rsidRPr="00E6740A">
        <w:rPr>
          <w:rFonts w:ascii="Arial" w:hAnsi="Arial" w:cs="Arial"/>
          <w:color w:val="000000" w:themeColor="text1"/>
          <w:sz w:val="24"/>
          <w:szCs w:val="24"/>
        </w:rPr>
        <w:t xml:space="preserve">corresponding right to apply for separation </w:t>
      </w:r>
      <w:r>
        <w:rPr>
          <w:rFonts w:ascii="Arial" w:hAnsi="Arial" w:cs="Arial"/>
          <w:color w:val="000000" w:themeColor="text1"/>
          <w:sz w:val="24"/>
          <w:szCs w:val="24"/>
        </w:rPr>
        <w:t xml:space="preserve">of trials </w:t>
      </w:r>
      <w:r w:rsidRPr="00E6740A">
        <w:rPr>
          <w:rFonts w:ascii="Arial" w:hAnsi="Arial" w:cs="Arial"/>
          <w:color w:val="000000" w:themeColor="text1"/>
          <w:sz w:val="24"/>
          <w:szCs w:val="24"/>
        </w:rPr>
        <w:t xml:space="preserve">in terms of s 157 (2) of the Act, but failed to do so. The appellants further </w:t>
      </w:r>
      <w:r>
        <w:rPr>
          <w:rFonts w:ascii="Arial" w:hAnsi="Arial" w:cs="Arial"/>
          <w:color w:val="000000" w:themeColor="text1"/>
          <w:sz w:val="24"/>
          <w:szCs w:val="24"/>
        </w:rPr>
        <w:t xml:space="preserve">maintained </w:t>
      </w:r>
      <w:r w:rsidRPr="00E6740A">
        <w:rPr>
          <w:rFonts w:ascii="Arial" w:hAnsi="Arial" w:cs="Arial"/>
          <w:color w:val="000000" w:themeColor="text1"/>
          <w:sz w:val="24"/>
          <w:szCs w:val="24"/>
        </w:rPr>
        <w:t>that it would have been difficult to separate the trial</w:t>
      </w:r>
      <w:r>
        <w:rPr>
          <w:rFonts w:ascii="Arial" w:hAnsi="Arial" w:cs="Arial"/>
          <w:color w:val="000000" w:themeColor="text1"/>
          <w:sz w:val="24"/>
          <w:szCs w:val="24"/>
        </w:rPr>
        <w:t xml:space="preserve"> in circumstances </w:t>
      </w:r>
      <w:r w:rsidRPr="00E6740A">
        <w:rPr>
          <w:rFonts w:ascii="Arial" w:hAnsi="Arial" w:cs="Arial"/>
          <w:color w:val="000000" w:themeColor="text1"/>
          <w:sz w:val="24"/>
          <w:szCs w:val="24"/>
        </w:rPr>
        <w:t xml:space="preserve">where </w:t>
      </w:r>
      <w:r>
        <w:rPr>
          <w:rFonts w:ascii="Arial" w:hAnsi="Arial" w:cs="Arial"/>
          <w:color w:val="000000" w:themeColor="text1"/>
          <w:sz w:val="24"/>
          <w:szCs w:val="24"/>
        </w:rPr>
        <w:t>the pro</w:t>
      </w:r>
      <w:r w:rsidRPr="00E6740A">
        <w:rPr>
          <w:rFonts w:ascii="Arial" w:hAnsi="Arial" w:cs="Arial"/>
          <w:color w:val="000000" w:themeColor="text1"/>
          <w:sz w:val="24"/>
          <w:szCs w:val="24"/>
        </w:rPr>
        <w:t>s</w:t>
      </w:r>
      <w:r>
        <w:rPr>
          <w:rFonts w:ascii="Arial" w:hAnsi="Arial" w:cs="Arial"/>
          <w:color w:val="000000" w:themeColor="text1"/>
          <w:sz w:val="24"/>
          <w:szCs w:val="24"/>
        </w:rPr>
        <w:t xml:space="preserve">ecution’s case was based </w:t>
      </w:r>
      <w:r w:rsidRPr="002E09F7">
        <w:rPr>
          <w:rFonts w:ascii="Arial" w:hAnsi="Arial" w:cs="Arial"/>
          <w:color w:val="000000" w:themeColor="text1"/>
          <w:sz w:val="24"/>
          <w:szCs w:val="24"/>
        </w:rPr>
        <w:t>o</w:t>
      </w:r>
      <w:r>
        <w:rPr>
          <w:rFonts w:ascii="Arial" w:hAnsi="Arial" w:cs="Arial"/>
          <w:color w:val="000000" w:themeColor="text1"/>
          <w:sz w:val="24"/>
          <w:szCs w:val="24"/>
        </w:rPr>
        <w:t>n</w:t>
      </w:r>
      <w:r w:rsidRPr="002E09F7">
        <w:rPr>
          <w:rFonts w:ascii="Arial" w:hAnsi="Arial" w:cs="Arial"/>
          <w:color w:val="000000" w:themeColor="text1"/>
          <w:sz w:val="24"/>
          <w:szCs w:val="24"/>
        </w:rPr>
        <w:t xml:space="preserve"> common purpose and conspiracy. The</w:t>
      </w:r>
      <w:r>
        <w:rPr>
          <w:rFonts w:ascii="Arial" w:hAnsi="Arial" w:cs="Arial"/>
          <w:color w:val="000000" w:themeColor="text1"/>
          <w:sz w:val="24"/>
          <w:szCs w:val="24"/>
        </w:rPr>
        <w:t>y</w:t>
      </w:r>
      <w:r w:rsidRPr="002E09F7">
        <w:rPr>
          <w:rFonts w:ascii="Arial" w:hAnsi="Arial" w:cs="Arial"/>
          <w:color w:val="000000" w:themeColor="text1"/>
          <w:sz w:val="24"/>
          <w:szCs w:val="24"/>
        </w:rPr>
        <w:t xml:space="preserve"> also contended that it </w:t>
      </w:r>
      <w:r>
        <w:rPr>
          <w:rFonts w:ascii="Arial" w:hAnsi="Arial" w:cs="Arial"/>
          <w:color w:val="000000" w:themeColor="text1"/>
          <w:sz w:val="24"/>
          <w:szCs w:val="24"/>
        </w:rPr>
        <w:t>wa</w:t>
      </w:r>
      <w:r w:rsidRPr="002E09F7">
        <w:rPr>
          <w:rFonts w:ascii="Arial" w:hAnsi="Arial" w:cs="Arial"/>
          <w:color w:val="000000" w:themeColor="text1"/>
          <w:sz w:val="24"/>
          <w:szCs w:val="24"/>
        </w:rPr>
        <w:t>s speculative on the respondent</w:t>
      </w:r>
      <w:r>
        <w:rPr>
          <w:rFonts w:ascii="Arial" w:hAnsi="Arial" w:cs="Arial"/>
          <w:color w:val="000000" w:themeColor="text1"/>
          <w:sz w:val="24"/>
          <w:szCs w:val="24"/>
        </w:rPr>
        <w:t>’s part</w:t>
      </w:r>
      <w:r w:rsidRPr="002E09F7">
        <w:rPr>
          <w:rFonts w:ascii="Arial" w:hAnsi="Arial" w:cs="Arial"/>
          <w:color w:val="000000" w:themeColor="text1"/>
          <w:sz w:val="24"/>
          <w:szCs w:val="24"/>
        </w:rPr>
        <w:t xml:space="preserve"> to state that his trial could have been concluded </w:t>
      </w:r>
      <w:r w:rsidR="00BA188F">
        <w:rPr>
          <w:rFonts w:ascii="Arial" w:hAnsi="Arial" w:cs="Arial"/>
          <w:color w:val="000000" w:themeColor="text1"/>
          <w:sz w:val="24"/>
          <w:szCs w:val="24"/>
        </w:rPr>
        <w:t>more speedily</w:t>
      </w:r>
      <w:r w:rsidRPr="002E09F7">
        <w:rPr>
          <w:rFonts w:ascii="Arial" w:hAnsi="Arial" w:cs="Arial"/>
          <w:color w:val="000000" w:themeColor="text1"/>
          <w:sz w:val="24"/>
          <w:szCs w:val="24"/>
        </w:rPr>
        <w:t xml:space="preserve"> </w:t>
      </w:r>
      <w:r>
        <w:rPr>
          <w:rFonts w:ascii="Arial" w:hAnsi="Arial" w:cs="Arial"/>
          <w:color w:val="000000" w:themeColor="text1"/>
          <w:sz w:val="24"/>
          <w:szCs w:val="24"/>
        </w:rPr>
        <w:t xml:space="preserve">had </w:t>
      </w:r>
      <w:r w:rsidRPr="002E09F7">
        <w:rPr>
          <w:rFonts w:ascii="Arial" w:hAnsi="Arial" w:cs="Arial"/>
          <w:color w:val="000000" w:themeColor="text1"/>
          <w:sz w:val="24"/>
          <w:szCs w:val="24"/>
        </w:rPr>
        <w:t xml:space="preserve">the </w:t>
      </w:r>
      <w:r>
        <w:rPr>
          <w:rFonts w:ascii="Arial" w:hAnsi="Arial" w:cs="Arial"/>
          <w:color w:val="000000" w:themeColor="text1"/>
          <w:sz w:val="24"/>
          <w:szCs w:val="24"/>
        </w:rPr>
        <w:t>trial been</w:t>
      </w:r>
      <w:r w:rsidRPr="002E09F7">
        <w:rPr>
          <w:rFonts w:ascii="Arial" w:hAnsi="Arial" w:cs="Arial"/>
          <w:color w:val="000000" w:themeColor="text1"/>
          <w:sz w:val="24"/>
          <w:szCs w:val="24"/>
        </w:rPr>
        <w:t xml:space="preserve"> separated </w:t>
      </w:r>
      <w:r>
        <w:rPr>
          <w:rFonts w:ascii="Arial" w:hAnsi="Arial" w:cs="Arial"/>
          <w:color w:val="000000" w:themeColor="text1"/>
          <w:sz w:val="24"/>
          <w:szCs w:val="24"/>
        </w:rPr>
        <w:t xml:space="preserve">according to the roles allegedly played by the </w:t>
      </w:r>
      <w:r w:rsidRPr="002E09F7">
        <w:rPr>
          <w:rFonts w:ascii="Arial" w:hAnsi="Arial" w:cs="Arial"/>
          <w:color w:val="000000" w:themeColor="text1"/>
          <w:sz w:val="24"/>
          <w:szCs w:val="24"/>
        </w:rPr>
        <w:t>accused persons</w:t>
      </w:r>
      <w:r>
        <w:rPr>
          <w:rFonts w:ascii="Arial" w:hAnsi="Arial" w:cs="Arial"/>
          <w:color w:val="000000" w:themeColor="text1"/>
          <w:sz w:val="24"/>
          <w:szCs w:val="24"/>
        </w:rPr>
        <w:t xml:space="preserve"> in the attack</w:t>
      </w:r>
      <w:r w:rsidRPr="002E09F7">
        <w:rPr>
          <w:rFonts w:ascii="Arial" w:hAnsi="Arial" w:cs="Arial"/>
          <w:color w:val="000000" w:themeColor="text1"/>
          <w:sz w:val="24"/>
          <w:szCs w:val="24"/>
        </w:rPr>
        <w:t xml:space="preserve">. </w:t>
      </w:r>
    </w:p>
    <w:p w:rsidR="00157011" w:rsidRPr="00157011" w:rsidRDefault="00157011" w:rsidP="00157011">
      <w:pPr>
        <w:pStyle w:val="ListParagraph"/>
        <w:rPr>
          <w:rFonts w:ascii="Arial" w:hAnsi="Arial" w:cs="Arial"/>
          <w:color w:val="000000" w:themeColor="text1"/>
          <w:sz w:val="24"/>
          <w:szCs w:val="24"/>
        </w:rPr>
      </w:pPr>
    </w:p>
    <w:p w:rsidR="000B16E1" w:rsidRDefault="00120AC5" w:rsidP="00157011">
      <w:pPr>
        <w:spacing w:after="0" w:line="480" w:lineRule="auto"/>
        <w:jc w:val="both"/>
        <w:outlineLvl w:val="0"/>
        <w:rPr>
          <w:rFonts w:ascii="Arial" w:eastAsia="Gulim" w:hAnsi="Arial" w:cs="Arial"/>
          <w:color w:val="000000" w:themeColor="text1"/>
          <w:sz w:val="24"/>
          <w:szCs w:val="24"/>
          <w:u w:val="single"/>
          <w:lang w:val="en-GB"/>
        </w:rPr>
      </w:pPr>
      <w:r w:rsidRPr="00CE4AB7">
        <w:rPr>
          <w:rFonts w:ascii="Arial" w:eastAsia="Gulim" w:hAnsi="Arial" w:cs="Arial"/>
          <w:color w:val="000000" w:themeColor="text1"/>
          <w:sz w:val="24"/>
          <w:szCs w:val="24"/>
          <w:u w:val="single"/>
          <w:lang w:val="en-GB"/>
        </w:rPr>
        <w:t>Findings by t</w:t>
      </w:r>
      <w:r w:rsidR="000B16E1" w:rsidRPr="00CE4AB7">
        <w:rPr>
          <w:rFonts w:ascii="Arial" w:eastAsia="Gulim" w:hAnsi="Arial" w:cs="Arial"/>
          <w:color w:val="000000" w:themeColor="text1"/>
          <w:sz w:val="24"/>
          <w:szCs w:val="24"/>
          <w:u w:val="single"/>
          <w:lang w:val="en-GB"/>
        </w:rPr>
        <w:t>he High Court</w:t>
      </w:r>
    </w:p>
    <w:p w:rsidR="000B16E1" w:rsidRPr="00157011" w:rsidRDefault="000B16E1" w:rsidP="00157011">
      <w:pPr>
        <w:pStyle w:val="ListParagraph"/>
        <w:numPr>
          <w:ilvl w:val="0"/>
          <w:numId w:val="22"/>
        </w:numPr>
        <w:spacing w:after="0" w:line="480" w:lineRule="auto"/>
        <w:ind w:left="0" w:firstLine="0"/>
        <w:jc w:val="both"/>
        <w:rPr>
          <w:rFonts w:ascii="Arial" w:hAnsi="Arial" w:cs="Arial"/>
          <w:color w:val="000000" w:themeColor="text1"/>
          <w:sz w:val="24"/>
          <w:szCs w:val="24"/>
        </w:rPr>
      </w:pPr>
      <w:r w:rsidRPr="00157011">
        <w:rPr>
          <w:rFonts w:ascii="Arial" w:hAnsi="Arial" w:cs="Arial"/>
          <w:color w:val="000000" w:themeColor="text1"/>
          <w:sz w:val="24"/>
          <w:szCs w:val="24"/>
          <w:lang w:val="en-ZA"/>
        </w:rPr>
        <w:t xml:space="preserve">As for the main claim, the court </w:t>
      </w:r>
      <w:r w:rsidRPr="00157011">
        <w:rPr>
          <w:rFonts w:ascii="Arial" w:hAnsi="Arial" w:cs="Arial"/>
          <w:i/>
          <w:color w:val="000000" w:themeColor="text1"/>
          <w:sz w:val="24"/>
          <w:szCs w:val="24"/>
          <w:lang w:val="en-ZA"/>
        </w:rPr>
        <w:t>a quo</w:t>
      </w:r>
      <w:r w:rsidRPr="00157011">
        <w:rPr>
          <w:rFonts w:ascii="Arial" w:hAnsi="Arial" w:cs="Arial"/>
          <w:color w:val="000000" w:themeColor="text1"/>
          <w:sz w:val="24"/>
          <w:szCs w:val="24"/>
          <w:lang w:val="en-ZA"/>
        </w:rPr>
        <w:t xml:space="preserve"> held that in</w:t>
      </w:r>
      <w:r w:rsidRPr="00157011">
        <w:rPr>
          <w:rFonts w:ascii="Arial" w:hAnsi="Arial" w:cs="Arial"/>
          <w:color w:val="000000" w:themeColor="text1"/>
          <w:sz w:val="24"/>
          <w:szCs w:val="24"/>
        </w:rPr>
        <w:t xml:space="preserve"> order to succeed in an action for malicious prosecution, the plaintiff must prove all five requirements</w:t>
      </w:r>
      <w:r>
        <w:rPr>
          <w:rStyle w:val="FootnoteReference"/>
          <w:rFonts w:ascii="Arial" w:hAnsi="Arial" w:cs="Arial"/>
          <w:color w:val="000000" w:themeColor="text1"/>
          <w:sz w:val="24"/>
          <w:szCs w:val="24"/>
        </w:rPr>
        <w:footnoteReference w:id="2"/>
      </w:r>
      <w:r w:rsidRPr="00157011">
        <w:rPr>
          <w:rFonts w:ascii="Arial" w:hAnsi="Arial" w:cs="Arial"/>
          <w:color w:val="000000" w:themeColor="text1"/>
          <w:sz w:val="24"/>
          <w:szCs w:val="24"/>
        </w:rPr>
        <w:t xml:space="preserve"> set out in </w:t>
      </w:r>
      <w:r w:rsidRPr="00157011">
        <w:rPr>
          <w:rFonts w:ascii="Arial" w:hAnsi="Arial" w:cs="Arial"/>
          <w:i/>
          <w:color w:val="000000" w:themeColor="text1"/>
          <w:sz w:val="24"/>
          <w:szCs w:val="24"/>
        </w:rPr>
        <w:t xml:space="preserve">Akuake v </w:t>
      </w:r>
      <w:r w:rsidR="005C797C" w:rsidRPr="00157011">
        <w:rPr>
          <w:rFonts w:ascii="Arial" w:hAnsi="Arial" w:cs="Arial"/>
          <w:i/>
          <w:color w:val="000000" w:themeColor="text1"/>
          <w:sz w:val="24"/>
          <w:szCs w:val="24"/>
        </w:rPr>
        <w:t>Jansen</w:t>
      </w:r>
      <w:r w:rsidRPr="00157011">
        <w:rPr>
          <w:rFonts w:ascii="Arial" w:hAnsi="Arial" w:cs="Arial"/>
          <w:i/>
          <w:color w:val="000000" w:themeColor="text1"/>
          <w:sz w:val="24"/>
          <w:szCs w:val="24"/>
        </w:rPr>
        <w:t xml:space="preserve"> van Rensburg</w:t>
      </w:r>
      <w:r w:rsidRPr="00157011">
        <w:rPr>
          <w:rFonts w:ascii="Arial" w:hAnsi="Arial" w:cs="Arial"/>
          <w:color w:val="000000" w:themeColor="text1"/>
          <w:sz w:val="24"/>
          <w:szCs w:val="24"/>
        </w:rPr>
        <w:t>.</w:t>
      </w:r>
      <w:r>
        <w:rPr>
          <w:rStyle w:val="FootnoteReference"/>
          <w:rFonts w:ascii="Arial" w:hAnsi="Arial" w:cs="Arial"/>
          <w:color w:val="000000" w:themeColor="text1"/>
          <w:sz w:val="24"/>
          <w:szCs w:val="24"/>
        </w:rPr>
        <w:footnoteReference w:id="3"/>
      </w:r>
      <w:r w:rsidRPr="00157011">
        <w:rPr>
          <w:rFonts w:ascii="Arial" w:hAnsi="Arial" w:cs="Arial"/>
          <w:color w:val="000000" w:themeColor="text1"/>
          <w:sz w:val="24"/>
          <w:szCs w:val="24"/>
        </w:rPr>
        <w:t xml:space="preserve">  </w:t>
      </w:r>
    </w:p>
    <w:p w:rsidR="000B16E1" w:rsidRPr="002E09F7" w:rsidRDefault="000B16E1" w:rsidP="000B16E1">
      <w:pPr>
        <w:pStyle w:val="ListParagraph"/>
        <w:numPr>
          <w:ilvl w:val="0"/>
          <w:numId w:val="22"/>
        </w:numPr>
        <w:spacing w:after="0" w:line="480" w:lineRule="auto"/>
        <w:ind w:left="0" w:firstLine="0"/>
        <w:jc w:val="both"/>
        <w:rPr>
          <w:rFonts w:ascii="Arial" w:hAnsi="Arial" w:cs="Arial"/>
          <w:color w:val="000000" w:themeColor="text1"/>
          <w:sz w:val="24"/>
          <w:szCs w:val="24"/>
          <w:lang w:val="en-ZA"/>
        </w:rPr>
      </w:pPr>
      <w:r>
        <w:rPr>
          <w:rFonts w:ascii="Arial" w:hAnsi="Arial" w:cs="Arial"/>
          <w:color w:val="000000" w:themeColor="text1"/>
          <w:sz w:val="24"/>
          <w:szCs w:val="24"/>
          <w:lang w:val="en-ZA"/>
        </w:rPr>
        <w:lastRenderedPageBreak/>
        <w:t>A</w:t>
      </w:r>
      <w:r w:rsidRPr="00696421">
        <w:rPr>
          <w:rFonts w:ascii="Arial" w:hAnsi="Arial" w:cs="Arial"/>
          <w:color w:val="000000" w:themeColor="text1"/>
          <w:sz w:val="24"/>
          <w:szCs w:val="24"/>
          <w:lang w:val="en-ZA"/>
        </w:rPr>
        <w:t xml:space="preserve">fter </w:t>
      </w:r>
      <w:r w:rsidRPr="00696421">
        <w:rPr>
          <w:rFonts w:ascii="Arial" w:hAnsi="Arial" w:cs="Arial"/>
          <w:color w:val="000000" w:themeColor="text1"/>
          <w:sz w:val="24"/>
          <w:szCs w:val="24"/>
        </w:rPr>
        <w:t xml:space="preserve">evaluating </w:t>
      </w:r>
      <w:r>
        <w:rPr>
          <w:rFonts w:ascii="Arial" w:hAnsi="Arial" w:cs="Arial"/>
          <w:color w:val="000000" w:themeColor="text1"/>
          <w:sz w:val="24"/>
          <w:szCs w:val="24"/>
        </w:rPr>
        <w:t xml:space="preserve">the </w:t>
      </w:r>
      <w:r w:rsidRPr="00696421">
        <w:rPr>
          <w:rFonts w:ascii="Arial" w:hAnsi="Arial" w:cs="Arial"/>
          <w:color w:val="000000" w:themeColor="text1"/>
          <w:sz w:val="24"/>
          <w:szCs w:val="24"/>
        </w:rPr>
        <w:t xml:space="preserve">law and </w:t>
      </w:r>
      <w:r>
        <w:rPr>
          <w:rFonts w:ascii="Arial" w:hAnsi="Arial" w:cs="Arial"/>
          <w:color w:val="000000" w:themeColor="text1"/>
          <w:sz w:val="24"/>
          <w:szCs w:val="24"/>
        </w:rPr>
        <w:t xml:space="preserve">the </w:t>
      </w:r>
      <w:r w:rsidRPr="00696421">
        <w:rPr>
          <w:rFonts w:ascii="Arial" w:hAnsi="Arial" w:cs="Arial"/>
          <w:color w:val="000000" w:themeColor="text1"/>
          <w:sz w:val="24"/>
          <w:szCs w:val="24"/>
        </w:rPr>
        <w:t xml:space="preserve">facts, </w:t>
      </w:r>
      <w:r>
        <w:rPr>
          <w:rFonts w:ascii="Arial" w:hAnsi="Arial" w:cs="Arial"/>
          <w:color w:val="000000" w:themeColor="text1"/>
          <w:sz w:val="24"/>
          <w:szCs w:val="24"/>
        </w:rPr>
        <w:t xml:space="preserve">the High Court </w:t>
      </w:r>
      <w:r w:rsidRPr="00696421">
        <w:rPr>
          <w:rFonts w:ascii="Arial" w:hAnsi="Arial" w:cs="Arial"/>
          <w:color w:val="000000" w:themeColor="text1"/>
          <w:sz w:val="24"/>
          <w:szCs w:val="24"/>
        </w:rPr>
        <w:t xml:space="preserve">held that the respondent </w:t>
      </w:r>
      <w:r>
        <w:rPr>
          <w:rFonts w:ascii="Arial" w:hAnsi="Arial" w:cs="Arial"/>
          <w:color w:val="000000" w:themeColor="text1"/>
          <w:sz w:val="24"/>
          <w:szCs w:val="24"/>
        </w:rPr>
        <w:t xml:space="preserve">had </w:t>
      </w:r>
      <w:r w:rsidRPr="00696421">
        <w:rPr>
          <w:rFonts w:ascii="Arial" w:hAnsi="Arial" w:cs="Arial"/>
          <w:color w:val="000000" w:themeColor="text1"/>
          <w:sz w:val="24"/>
          <w:szCs w:val="24"/>
        </w:rPr>
        <w:t xml:space="preserve">failed to prove that the Namibian Police did anything more than place the available evidence before the </w:t>
      </w:r>
      <w:r>
        <w:rPr>
          <w:rFonts w:ascii="Arial" w:hAnsi="Arial" w:cs="Arial"/>
          <w:color w:val="000000" w:themeColor="text1"/>
          <w:sz w:val="24"/>
          <w:szCs w:val="24"/>
        </w:rPr>
        <w:t>PG</w:t>
      </w:r>
      <w:r w:rsidRPr="00696421">
        <w:rPr>
          <w:rFonts w:ascii="Arial" w:hAnsi="Arial" w:cs="Arial"/>
          <w:color w:val="000000" w:themeColor="text1"/>
          <w:sz w:val="24"/>
          <w:szCs w:val="24"/>
        </w:rPr>
        <w:t xml:space="preserve">, leaving it to the </w:t>
      </w:r>
      <w:r>
        <w:rPr>
          <w:rFonts w:ascii="Arial" w:hAnsi="Arial" w:cs="Arial"/>
          <w:color w:val="000000" w:themeColor="text1"/>
          <w:sz w:val="24"/>
          <w:szCs w:val="24"/>
        </w:rPr>
        <w:t>PG</w:t>
      </w:r>
      <w:r w:rsidRPr="00696421">
        <w:rPr>
          <w:rFonts w:ascii="Arial" w:hAnsi="Arial" w:cs="Arial"/>
          <w:color w:val="000000" w:themeColor="text1"/>
          <w:sz w:val="24"/>
          <w:szCs w:val="24"/>
        </w:rPr>
        <w:t xml:space="preserve"> to independently decide whether or not to prosecute. </w:t>
      </w:r>
      <w:r>
        <w:rPr>
          <w:rFonts w:ascii="Arial" w:hAnsi="Arial" w:cs="Arial"/>
          <w:color w:val="000000" w:themeColor="text1"/>
          <w:sz w:val="24"/>
          <w:szCs w:val="24"/>
        </w:rPr>
        <w:t xml:space="preserve">Accordingly, the principal claim against the first appellant and the PG was dismissed. </w:t>
      </w:r>
    </w:p>
    <w:p w:rsidR="000B16E1" w:rsidRPr="0004732B" w:rsidRDefault="000B16E1" w:rsidP="00157011">
      <w:pPr>
        <w:pStyle w:val="ListParagraph"/>
        <w:spacing w:line="480" w:lineRule="auto"/>
        <w:jc w:val="both"/>
        <w:rPr>
          <w:rFonts w:ascii="Arial" w:hAnsi="Arial" w:cs="Arial"/>
          <w:color w:val="000000" w:themeColor="text1"/>
          <w:sz w:val="24"/>
          <w:szCs w:val="24"/>
          <w:lang w:val="en-ZA"/>
        </w:rPr>
      </w:pPr>
    </w:p>
    <w:p w:rsidR="000B16E1" w:rsidRPr="00492084" w:rsidRDefault="000B16E1" w:rsidP="000B16E1">
      <w:pPr>
        <w:pStyle w:val="ListParagraph"/>
        <w:numPr>
          <w:ilvl w:val="0"/>
          <w:numId w:val="22"/>
        </w:numPr>
        <w:spacing w:after="0" w:line="480" w:lineRule="auto"/>
        <w:ind w:left="0" w:firstLine="0"/>
        <w:jc w:val="both"/>
        <w:rPr>
          <w:rFonts w:ascii="Arial" w:hAnsi="Arial" w:cs="Arial"/>
          <w:color w:val="000000" w:themeColor="text1"/>
          <w:sz w:val="24"/>
          <w:szCs w:val="24"/>
          <w:lang w:val="en-ZA"/>
        </w:rPr>
      </w:pPr>
      <w:r>
        <w:rPr>
          <w:rFonts w:ascii="Arial" w:hAnsi="Arial" w:cs="Arial"/>
          <w:color w:val="000000" w:themeColor="text1"/>
          <w:sz w:val="24"/>
          <w:szCs w:val="24"/>
          <w:lang w:val="en-ZA"/>
        </w:rPr>
        <w:t>In dismissing the principal claim</w:t>
      </w:r>
      <w:r w:rsidRPr="00BD0FD3">
        <w:rPr>
          <w:rFonts w:ascii="Arial" w:hAnsi="Arial" w:cs="Arial"/>
          <w:color w:val="000000" w:themeColor="text1"/>
          <w:sz w:val="24"/>
          <w:szCs w:val="24"/>
          <w:lang w:val="en-ZA"/>
        </w:rPr>
        <w:t xml:space="preserve">, </w:t>
      </w:r>
      <w:r>
        <w:rPr>
          <w:rFonts w:ascii="Arial" w:hAnsi="Arial" w:cs="Arial"/>
          <w:color w:val="000000" w:themeColor="text1"/>
          <w:sz w:val="24"/>
          <w:szCs w:val="24"/>
          <w:lang w:val="en-ZA"/>
        </w:rPr>
        <w:t xml:space="preserve">the High Court </w:t>
      </w:r>
      <w:r w:rsidRPr="00BD0FD3">
        <w:rPr>
          <w:rFonts w:ascii="Arial" w:hAnsi="Arial" w:cs="Arial"/>
          <w:color w:val="000000" w:themeColor="text1"/>
          <w:sz w:val="24"/>
          <w:szCs w:val="24"/>
          <w:lang w:val="en-ZA"/>
        </w:rPr>
        <w:t xml:space="preserve">held that the </w:t>
      </w:r>
      <w:r>
        <w:rPr>
          <w:rFonts w:ascii="Arial" w:hAnsi="Arial" w:cs="Arial"/>
          <w:color w:val="000000" w:themeColor="text1"/>
          <w:sz w:val="24"/>
          <w:szCs w:val="24"/>
          <w:lang w:val="en-ZA"/>
        </w:rPr>
        <w:t>PG</w:t>
      </w:r>
      <w:r w:rsidRPr="00BD0FD3">
        <w:rPr>
          <w:rFonts w:ascii="Arial" w:hAnsi="Arial" w:cs="Arial"/>
          <w:color w:val="000000" w:themeColor="text1"/>
          <w:sz w:val="24"/>
          <w:szCs w:val="24"/>
          <w:lang w:val="en-ZA"/>
        </w:rPr>
        <w:t xml:space="preserve"> not only h</w:t>
      </w:r>
      <w:r w:rsidRPr="00BD0FD3">
        <w:rPr>
          <w:rFonts w:ascii="Arial" w:eastAsia="Times New Roman" w:hAnsi="Arial" w:cs="Arial"/>
          <w:color w:val="000000" w:themeColor="text1"/>
          <w:sz w:val="24"/>
          <w:szCs w:val="24"/>
          <w:lang w:eastAsia="en-ZA"/>
        </w:rPr>
        <w:t>ad sufficient facts and information at her disposal to make the decision to initiate the prosecution</w:t>
      </w:r>
      <w:r>
        <w:rPr>
          <w:rFonts w:ascii="Arial" w:eastAsia="Times New Roman" w:hAnsi="Arial" w:cs="Arial"/>
          <w:color w:val="000000" w:themeColor="text1"/>
          <w:sz w:val="24"/>
          <w:szCs w:val="24"/>
          <w:lang w:eastAsia="en-ZA"/>
        </w:rPr>
        <w:t>,</w:t>
      </w:r>
      <w:r w:rsidRPr="00BD0FD3">
        <w:rPr>
          <w:rFonts w:ascii="Arial" w:eastAsia="Times New Roman" w:hAnsi="Arial" w:cs="Arial"/>
          <w:color w:val="000000" w:themeColor="text1"/>
          <w:sz w:val="24"/>
          <w:szCs w:val="24"/>
          <w:lang w:eastAsia="en-ZA"/>
        </w:rPr>
        <w:t xml:space="preserve"> </w:t>
      </w:r>
      <w:r w:rsidRPr="00BD0FD3">
        <w:rPr>
          <w:rFonts w:ascii="Arial" w:hAnsi="Arial" w:cs="Arial"/>
          <w:color w:val="000000" w:themeColor="text1"/>
          <w:sz w:val="24"/>
          <w:szCs w:val="24"/>
          <w:lang w:val="en-ZA"/>
        </w:rPr>
        <w:t xml:space="preserve">but she also had a reasonable </w:t>
      </w:r>
      <w:r w:rsidRPr="00BD0FD3">
        <w:rPr>
          <w:rFonts w:ascii="Arial" w:eastAsia="Times New Roman" w:hAnsi="Arial" w:cs="Arial"/>
          <w:color w:val="000000" w:themeColor="text1"/>
          <w:sz w:val="24"/>
          <w:szCs w:val="24"/>
          <w:lang w:eastAsia="en-ZA"/>
        </w:rPr>
        <w:t xml:space="preserve">belief </w:t>
      </w:r>
      <w:r>
        <w:rPr>
          <w:rFonts w:ascii="Arial" w:eastAsia="Times New Roman" w:hAnsi="Arial" w:cs="Arial"/>
          <w:color w:val="000000" w:themeColor="text1"/>
          <w:sz w:val="24"/>
          <w:szCs w:val="24"/>
          <w:lang w:eastAsia="en-ZA"/>
        </w:rPr>
        <w:t>i</w:t>
      </w:r>
      <w:r w:rsidRPr="00BD0FD3">
        <w:rPr>
          <w:rFonts w:ascii="Arial" w:eastAsia="Times New Roman" w:hAnsi="Arial" w:cs="Arial"/>
          <w:color w:val="000000" w:themeColor="text1"/>
          <w:sz w:val="24"/>
          <w:szCs w:val="24"/>
          <w:lang w:eastAsia="en-ZA"/>
        </w:rPr>
        <w:t xml:space="preserve">n the facts and information upon </w:t>
      </w:r>
      <w:r>
        <w:rPr>
          <w:rFonts w:ascii="Arial" w:eastAsia="Times New Roman" w:hAnsi="Arial" w:cs="Arial"/>
          <w:color w:val="000000" w:themeColor="text1"/>
          <w:sz w:val="24"/>
          <w:szCs w:val="24"/>
          <w:lang w:eastAsia="en-ZA"/>
        </w:rPr>
        <w:t xml:space="preserve">which </w:t>
      </w:r>
      <w:r w:rsidRPr="00BD0FD3">
        <w:rPr>
          <w:rFonts w:ascii="Arial" w:eastAsia="Times New Roman" w:hAnsi="Arial" w:cs="Arial"/>
          <w:color w:val="000000" w:themeColor="text1"/>
          <w:sz w:val="24"/>
          <w:szCs w:val="24"/>
          <w:lang w:eastAsia="en-ZA"/>
        </w:rPr>
        <w:t xml:space="preserve">she based her </w:t>
      </w:r>
      <w:r w:rsidR="005853B3">
        <w:rPr>
          <w:rFonts w:ascii="Arial" w:eastAsia="Times New Roman" w:hAnsi="Arial" w:cs="Arial"/>
          <w:color w:val="000000" w:themeColor="text1"/>
          <w:sz w:val="24"/>
          <w:szCs w:val="24"/>
          <w:lang w:eastAsia="en-ZA"/>
        </w:rPr>
        <w:t>choice</w:t>
      </w:r>
      <w:r w:rsidRPr="00BD0FD3">
        <w:rPr>
          <w:rFonts w:ascii="Arial" w:eastAsia="Times New Roman" w:hAnsi="Arial" w:cs="Arial"/>
          <w:color w:val="000000" w:themeColor="text1"/>
          <w:sz w:val="24"/>
          <w:szCs w:val="24"/>
          <w:lang w:eastAsia="en-ZA"/>
        </w:rPr>
        <w:t xml:space="preserve"> to prosecute the respondent. The court further held that </w:t>
      </w:r>
      <w:r w:rsidRPr="00BD0FD3">
        <w:rPr>
          <w:rFonts w:ascii="Arial" w:hAnsi="Arial" w:cs="Arial"/>
          <w:color w:val="000000" w:themeColor="text1"/>
          <w:sz w:val="24"/>
          <w:szCs w:val="24"/>
          <w:lang w:val="en-ZA"/>
        </w:rPr>
        <w:t>t</w:t>
      </w:r>
      <w:r w:rsidRPr="00BD0FD3">
        <w:rPr>
          <w:rFonts w:ascii="Arial" w:hAnsi="Arial" w:cs="Arial"/>
          <w:color w:val="000000" w:themeColor="text1"/>
          <w:sz w:val="24"/>
          <w:szCs w:val="24"/>
        </w:rPr>
        <w:t xml:space="preserve">here </w:t>
      </w:r>
      <w:r>
        <w:rPr>
          <w:rFonts w:ascii="Arial" w:hAnsi="Arial" w:cs="Arial"/>
          <w:color w:val="000000" w:themeColor="text1"/>
          <w:sz w:val="24"/>
          <w:szCs w:val="24"/>
        </w:rPr>
        <w:t>wa</w:t>
      </w:r>
      <w:r w:rsidRPr="00BD0FD3">
        <w:rPr>
          <w:rFonts w:ascii="Arial" w:hAnsi="Arial" w:cs="Arial"/>
          <w:color w:val="000000" w:themeColor="text1"/>
          <w:sz w:val="24"/>
          <w:szCs w:val="24"/>
        </w:rPr>
        <w:t>s no evidence point</w:t>
      </w:r>
      <w:r>
        <w:rPr>
          <w:rFonts w:ascii="Arial" w:hAnsi="Arial" w:cs="Arial"/>
          <w:color w:val="000000" w:themeColor="text1"/>
          <w:sz w:val="24"/>
          <w:szCs w:val="24"/>
        </w:rPr>
        <w:t>ing</w:t>
      </w:r>
      <w:r w:rsidRPr="00BD0FD3">
        <w:rPr>
          <w:rFonts w:ascii="Arial" w:hAnsi="Arial" w:cs="Arial"/>
          <w:color w:val="000000" w:themeColor="text1"/>
          <w:sz w:val="24"/>
          <w:szCs w:val="24"/>
        </w:rPr>
        <w:t xml:space="preserve"> </w:t>
      </w:r>
      <w:r>
        <w:rPr>
          <w:rFonts w:ascii="Arial" w:hAnsi="Arial" w:cs="Arial"/>
          <w:color w:val="000000" w:themeColor="text1"/>
          <w:sz w:val="24"/>
          <w:szCs w:val="24"/>
        </w:rPr>
        <w:t xml:space="preserve">(a) </w:t>
      </w:r>
      <w:r w:rsidRPr="00BD0FD3">
        <w:rPr>
          <w:rFonts w:ascii="Arial" w:hAnsi="Arial" w:cs="Arial"/>
          <w:color w:val="000000" w:themeColor="text1"/>
          <w:sz w:val="24"/>
          <w:szCs w:val="24"/>
        </w:rPr>
        <w:t xml:space="preserve">to the </w:t>
      </w:r>
      <w:r>
        <w:rPr>
          <w:rFonts w:ascii="Arial" w:hAnsi="Arial" w:cs="Arial"/>
          <w:color w:val="000000" w:themeColor="text1"/>
          <w:sz w:val="24"/>
          <w:szCs w:val="24"/>
        </w:rPr>
        <w:t>PG</w:t>
      </w:r>
      <w:r w:rsidRPr="00BD0FD3">
        <w:rPr>
          <w:rFonts w:ascii="Arial" w:hAnsi="Arial" w:cs="Arial"/>
          <w:color w:val="000000" w:themeColor="text1"/>
          <w:sz w:val="24"/>
          <w:szCs w:val="24"/>
        </w:rPr>
        <w:t xml:space="preserve"> </w:t>
      </w:r>
      <w:r>
        <w:rPr>
          <w:rFonts w:ascii="Arial" w:hAnsi="Arial" w:cs="Arial"/>
          <w:color w:val="000000" w:themeColor="text1"/>
          <w:sz w:val="24"/>
          <w:szCs w:val="24"/>
        </w:rPr>
        <w:t xml:space="preserve">having </w:t>
      </w:r>
      <w:r w:rsidRPr="00BD0FD3">
        <w:rPr>
          <w:rFonts w:ascii="Arial" w:hAnsi="Arial" w:cs="Arial"/>
          <w:color w:val="000000" w:themeColor="text1"/>
          <w:sz w:val="24"/>
          <w:szCs w:val="24"/>
        </w:rPr>
        <w:t>instigated the pro</w:t>
      </w:r>
      <w:r>
        <w:rPr>
          <w:rFonts w:ascii="Arial" w:hAnsi="Arial" w:cs="Arial"/>
          <w:color w:val="000000" w:themeColor="text1"/>
          <w:sz w:val="24"/>
          <w:szCs w:val="24"/>
        </w:rPr>
        <w:t>secution</w:t>
      </w:r>
      <w:r w:rsidRPr="00BD0FD3">
        <w:rPr>
          <w:rFonts w:ascii="Arial" w:hAnsi="Arial" w:cs="Arial"/>
          <w:color w:val="000000" w:themeColor="text1"/>
          <w:sz w:val="24"/>
          <w:szCs w:val="24"/>
        </w:rPr>
        <w:t xml:space="preserve"> with an intention to injure the respondent </w:t>
      </w:r>
      <w:r>
        <w:rPr>
          <w:rFonts w:ascii="Arial" w:hAnsi="Arial" w:cs="Arial"/>
          <w:color w:val="000000" w:themeColor="text1"/>
          <w:sz w:val="24"/>
          <w:szCs w:val="24"/>
        </w:rPr>
        <w:t xml:space="preserve">or (b) to the proceedings having been instituted </w:t>
      </w:r>
      <w:r w:rsidRPr="00BD0FD3">
        <w:rPr>
          <w:rFonts w:ascii="Arial" w:hAnsi="Arial" w:cs="Arial"/>
          <w:color w:val="000000" w:themeColor="text1"/>
          <w:sz w:val="24"/>
          <w:szCs w:val="24"/>
        </w:rPr>
        <w:t>in bad faith</w:t>
      </w:r>
      <w:r>
        <w:rPr>
          <w:rFonts w:ascii="Arial" w:hAnsi="Arial" w:cs="Arial"/>
          <w:color w:val="000000" w:themeColor="text1"/>
          <w:sz w:val="24"/>
          <w:szCs w:val="24"/>
        </w:rPr>
        <w:t xml:space="preserve">. </w:t>
      </w:r>
      <w:r>
        <w:rPr>
          <w:rFonts w:ascii="Arial" w:hAnsi="Arial" w:cs="Arial"/>
          <w:color w:val="000000" w:themeColor="text1"/>
          <w:sz w:val="24"/>
          <w:szCs w:val="24"/>
          <w:lang w:val="en-ZA"/>
        </w:rPr>
        <w:t>The remaining issue for decision was thus whether the PG and/or her employees had acted without reasonable and probable cause, and with malice in maintaining the prosecution beyond November 2011.</w:t>
      </w:r>
    </w:p>
    <w:p w:rsidR="000B16E1" w:rsidRPr="00492084" w:rsidRDefault="000B16E1" w:rsidP="00157011">
      <w:pPr>
        <w:pStyle w:val="ListParagraph"/>
        <w:spacing w:after="0" w:line="480" w:lineRule="auto"/>
        <w:jc w:val="both"/>
        <w:rPr>
          <w:rFonts w:ascii="Arial" w:hAnsi="Arial" w:cs="Arial"/>
          <w:color w:val="000000" w:themeColor="text1"/>
          <w:sz w:val="24"/>
          <w:szCs w:val="24"/>
          <w:lang w:val="en-ZA"/>
        </w:rPr>
      </w:pPr>
    </w:p>
    <w:p w:rsidR="000B16E1" w:rsidRPr="00E4347F" w:rsidRDefault="000B16E1" w:rsidP="000B16E1">
      <w:pPr>
        <w:pStyle w:val="ListParagraph"/>
        <w:numPr>
          <w:ilvl w:val="0"/>
          <w:numId w:val="22"/>
        </w:numPr>
        <w:spacing w:after="0" w:line="480" w:lineRule="auto"/>
        <w:ind w:left="0" w:firstLine="0"/>
        <w:jc w:val="both"/>
        <w:rPr>
          <w:rFonts w:ascii="Arial" w:hAnsi="Arial" w:cs="Arial"/>
          <w:sz w:val="24"/>
          <w:szCs w:val="24"/>
        </w:rPr>
      </w:pPr>
      <w:r w:rsidRPr="00E6740A">
        <w:rPr>
          <w:rFonts w:ascii="Arial" w:hAnsi="Arial" w:cs="Arial"/>
          <w:color w:val="000000" w:themeColor="text1"/>
          <w:sz w:val="24"/>
          <w:szCs w:val="24"/>
          <w:lang w:val="en-ZA"/>
        </w:rPr>
        <w:t>As to the claim based on malicious continu</w:t>
      </w:r>
      <w:r>
        <w:rPr>
          <w:rFonts w:ascii="Arial" w:hAnsi="Arial" w:cs="Arial"/>
          <w:color w:val="000000" w:themeColor="text1"/>
          <w:sz w:val="24"/>
          <w:szCs w:val="24"/>
          <w:lang w:val="en-ZA"/>
        </w:rPr>
        <w:t>ation</w:t>
      </w:r>
      <w:r w:rsidRPr="00E6740A">
        <w:rPr>
          <w:rFonts w:ascii="Arial" w:hAnsi="Arial" w:cs="Arial"/>
          <w:color w:val="000000" w:themeColor="text1"/>
          <w:sz w:val="24"/>
          <w:szCs w:val="24"/>
          <w:lang w:val="en-ZA"/>
        </w:rPr>
        <w:t xml:space="preserve"> </w:t>
      </w:r>
      <w:r>
        <w:rPr>
          <w:rFonts w:ascii="Arial" w:hAnsi="Arial" w:cs="Arial"/>
          <w:color w:val="000000" w:themeColor="text1"/>
          <w:sz w:val="24"/>
          <w:szCs w:val="24"/>
          <w:lang w:val="en-ZA"/>
        </w:rPr>
        <w:t xml:space="preserve">of the </w:t>
      </w:r>
      <w:r w:rsidRPr="00E6740A">
        <w:rPr>
          <w:rFonts w:ascii="Arial" w:hAnsi="Arial" w:cs="Arial"/>
          <w:color w:val="000000" w:themeColor="text1"/>
          <w:sz w:val="24"/>
          <w:szCs w:val="24"/>
          <w:lang w:val="en-ZA"/>
        </w:rPr>
        <w:t xml:space="preserve">prosecution, </w:t>
      </w:r>
      <w:r>
        <w:rPr>
          <w:rFonts w:ascii="Arial" w:hAnsi="Arial" w:cs="Arial"/>
          <w:color w:val="000000" w:themeColor="text1"/>
          <w:sz w:val="24"/>
          <w:szCs w:val="24"/>
          <w:lang w:val="en-ZA"/>
        </w:rPr>
        <w:t xml:space="preserve">after considering the requirements for the </w:t>
      </w:r>
      <w:r w:rsidRPr="009833CA">
        <w:rPr>
          <w:rFonts w:ascii="Arial" w:hAnsi="Arial" w:cs="Arial"/>
          <w:color w:val="000000" w:themeColor="text1"/>
          <w:sz w:val="24"/>
          <w:szCs w:val="24"/>
        </w:rPr>
        <w:t>succe</w:t>
      </w:r>
      <w:r>
        <w:rPr>
          <w:rFonts w:ascii="Arial" w:hAnsi="Arial" w:cs="Arial"/>
          <w:color w:val="000000" w:themeColor="text1"/>
          <w:sz w:val="24"/>
          <w:szCs w:val="24"/>
        </w:rPr>
        <w:t xml:space="preserve">ssful </w:t>
      </w:r>
      <w:r w:rsidRPr="009833CA">
        <w:rPr>
          <w:rFonts w:ascii="Arial" w:hAnsi="Arial" w:cs="Arial"/>
          <w:color w:val="000000" w:themeColor="text1"/>
          <w:sz w:val="24"/>
          <w:szCs w:val="24"/>
        </w:rPr>
        <w:t xml:space="preserve">action for malicious prosecution, </w:t>
      </w:r>
      <w:r>
        <w:rPr>
          <w:rFonts w:ascii="Arial" w:hAnsi="Arial" w:cs="Arial"/>
          <w:color w:val="000000" w:themeColor="text1"/>
          <w:sz w:val="24"/>
          <w:szCs w:val="24"/>
        </w:rPr>
        <w:t>the High Court held that t</w:t>
      </w:r>
      <w:r w:rsidRPr="00D955EB">
        <w:rPr>
          <w:rFonts w:ascii="Arial" w:hAnsi="Arial" w:cs="Arial"/>
          <w:sz w:val="24"/>
          <w:szCs w:val="24"/>
        </w:rPr>
        <w:t>he element of continuing or maintaining criminal proceedings</w:t>
      </w:r>
      <w:r>
        <w:rPr>
          <w:rFonts w:ascii="Arial" w:hAnsi="Arial" w:cs="Arial"/>
          <w:sz w:val="24"/>
          <w:szCs w:val="24"/>
        </w:rPr>
        <w:t xml:space="preserve"> beyond a stage where it could not be said to have been reasonable and probable to do so was not recognis</w:t>
      </w:r>
      <w:r w:rsidRPr="00D955EB">
        <w:rPr>
          <w:rFonts w:ascii="Arial" w:hAnsi="Arial" w:cs="Arial"/>
          <w:sz w:val="24"/>
          <w:szCs w:val="24"/>
        </w:rPr>
        <w:t>ed in our common law and ha</w:t>
      </w:r>
      <w:r>
        <w:rPr>
          <w:rFonts w:ascii="Arial" w:hAnsi="Arial" w:cs="Arial"/>
          <w:sz w:val="24"/>
          <w:szCs w:val="24"/>
        </w:rPr>
        <w:t>d</w:t>
      </w:r>
      <w:r w:rsidRPr="00D955EB">
        <w:rPr>
          <w:rFonts w:ascii="Arial" w:hAnsi="Arial" w:cs="Arial"/>
          <w:sz w:val="24"/>
          <w:szCs w:val="24"/>
        </w:rPr>
        <w:t xml:space="preserve"> also not </w:t>
      </w:r>
      <w:r>
        <w:rPr>
          <w:rFonts w:ascii="Arial" w:hAnsi="Arial" w:cs="Arial"/>
          <w:sz w:val="24"/>
          <w:szCs w:val="24"/>
        </w:rPr>
        <w:t xml:space="preserve">previously been </w:t>
      </w:r>
      <w:r w:rsidRPr="00D955EB">
        <w:rPr>
          <w:rFonts w:ascii="Arial" w:hAnsi="Arial" w:cs="Arial"/>
          <w:sz w:val="24"/>
          <w:szCs w:val="24"/>
        </w:rPr>
        <w:t xml:space="preserve">dealt with by our courts. </w:t>
      </w:r>
      <w:r w:rsidRPr="00E6740A">
        <w:rPr>
          <w:rFonts w:ascii="Arial" w:hAnsi="Arial" w:cs="Arial"/>
          <w:color w:val="000000" w:themeColor="text1"/>
          <w:sz w:val="24"/>
          <w:szCs w:val="24"/>
          <w:lang w:val="en-ZA"/>
        </w:rPr>
        <w:t xml:space="preserve">The court was thus of the view that </w:t>
      </w:r>
      <w:r>
        <w:rPr>
          <w:rFonts w:ascii="Arial" w:hAnsi="Arial" w:cs="Arial"/>
          <w:color w:val="000000" w:themeColor="text1"/>
          <w:sz w:val="24"/>
          <w:szCs w:val="24"/>
          <w:lang w:val="en-ZA"/>
        </w:rPr>
        <w:t xml:space="preserve">the </w:t>
      </w:r>
      <w:r w:rsidRPr="00E6740A">
        <w:rPr>
          <w:rFonts w:ascii="Arial" w:hAnsi="Arial" w:cs="Arial"/>
          <w:color w:val="000000" w:themeColor="text1"/>
          <w:sz w:val="24"/>
          <w:szCs w:val="24"/>
          <w:lang w:val="en-ZA"/>
        </w:rPr>
        <w:t xml:space="preserve">common law should be </w:t>
      </w:r>
      <w:r w:rsidRPr="00E6740A">
        <w:rPr>
          <w:rFonts w:ascii="Arial" w:hAnsi="Arial" w:cs="Arial"/>
          <w:color w:val="000000" w:themeColor="text1"/>
          <w:sz w:val="24"/>
          <w:szCs w:val="24"/>
        </w:rPr>
        <w:t xml:space="preserve">developed to introduce a </w:t>
      </w:r>
      <w:r w:rsidRPr="00E6740A">
        <w:rPr>
          <w:rFonts w:ascii="Arial" w:hAnsi="Arial" w:cs="Arial"/>
          <w:color w:val="000000" w:themeColor="text1"/>
          <w:sz w:val="24"/>
          <w:szCs w:val="24"/>
        </w:rPr>
        <w:lastRenderedPageBreak/>
        <w:t xml:space="preserve">delictual claim </w:t>
      </w:r>
      <w:r>
        <w:rPr>
          <w:rFonts w:ascii="Arial" w:hAnsi="Arial" w:cs="Arial"/>
          <w:color w:val="000000" w:themeColor="text1"/>
          <w:sz w:val="24"/>
          <w:szCs w:val="24"/>
        </w:rPr>
        <w:t>based on continuing or maintaining the prosecution without reasonable and probable cause</w:t>
      </w:r>
      <w:r w:rsidRPr="00E6740A">
        <w:rPr>
          <w:rFonts w:ascii="Arial" w:hAnsi="Arial" w:cs="Arial"/>
          <w:color w:val="000000" w:themeColor="text1"/>
          <w:sz w:val="24"/>
          <w:szCs w:val="24"/>
        </w:rPr>
        <w:t xml:space="preserve">. </w:t>
      </w:r>
    </w:p>
    <w:p w:rsidR="000B16E1" w:rsidRPr="00E4347F" w:rsidRDefault="000B16E1" w:rsidP="000B16E1">
      <w:pPr>
        <w:pStyle w:val="ListParagraph"/>
        <w:spacing w:after="0" w:line="480" w:lineRule="auto"/>
        <w:ind w:left="0"/>
        <w:jc w:val="both"/>
        <w:rPr>
          <w:rFonts w:ascii="Arial" w:hAnsi="Arial" w:cs="Arial"/>
          <w:sz w:val="24"/>
          <w:szCs w:val="24"/>
        </w:rPr>
      </w:pPr>
    </w:p>
    <w:p w:rsidR="000B16E1" w:rsidRPr="00937489" w:rsidRDefault="000B16E1" w:rsidP="000B16E1">
      <w:pPr>
        <w:pStyle w:val="ListParagraph"/>
        <w:numPr>
          <w:ilvl w:val="0"/>
          <w:numId w:val="22"/>
        </w:numPr>
        <w:spacing w:after="0" w:line="480" w:lineRule="auto"/>
        <w:ind w:left="0" w:firstLine="0"/>
        <w:jc w:val="both"/>
        <w:rPr>
          <w:rFonts w:ascii="Arial" w:hAnsi="Arial" w:cs="Arial"/>
          <w:sz w:val="24"/>
          <w:szCs w:val="24"/>
        </w:rPr>
      </w:pPr>
      <w:r>
        <w:rPr>
          <w:rFonts w:ascii="Arial" w:hAnsi="Arial" w:cs="Arial"/>
          <w:color w:val="000000" w:themeColor="text1"/>
          <w:sz w:val="24"/>
          <w:szCs w:val="24"/>
        </w:rPr>
        <w:t xml:space="preserve">The court was of a further view that like in the case of malicious prosecution, the plaintiff seeking for damages for malicious continuation of the prosecution is also required to satisfy the requirements set out in </w:t>
      </w:r>
      <w:r w:rsidRPr="0058371C">
        <w:rPr>
          <w:rFonts w:ascii="Arial" w:hAnsi="Arial" w:cs="Arial"/>
          <w:i/>
          <w:color w:val="000000" w:themeColor="text1"/>
          <w:sz w:val="24"/>
          <w:szCs w:val="24"/>
        </w:rPr>
        <w:t>Akuake v Janse</w:t>
      </w:r>
      <w:r>
        <w:rPr>
          <w:rFonts w:ascii="Arial" w:hAnsi="Arial" w:cs="Arial"/>
          <w:i/>
          <w:color w:val="000000" w:themeColor="text1"/>
          <w:sz w:val="24"/>
          <w:szCs w:val="24"/>
        </w:rPr>
        <w:t>n</w:t>
      </w:r>
      <w:r w:rsidRPr="0058371C">
        <w:rPr>
          <w:rFonts w:ascii="Arial" w:hAnsi="Arial" w:cs="Arial"/>
          <w:i/>
          <w:color w:val="000000" w:themeColor="text1"/>
          <w:sz w:val="24"/>
          <w:szCs w:val="24"/>
        </w:rPr>
        <w:t xml:space="preserve"> van Rensburg</w:t>
      </w:r>
      <w:r>
        <w:rPr>
          <w:rFonts w:ascii="Arial" w:hAnsi="Arial" w:cs="Arial"/>
          <w:color w:val="000000" w:themeColor="text1"/>
          <w:sz w:val="24"/>
          <w:szCs w:val="24"/>
        </w:rPr>
        <w:t xml:space="preserve">.  </w:t>
      </w:r>
    </w:p>
    <w:p w:rsidR="000B16E1" w:rsidRPr="009F4857" w:rsidRDefault="000B16E1" w:rsidP="000B16E1">
      <w:pPr>
        <w:pStyle w:val="ListParagraph"/>
        <w:spacing w:after="0" w:line="480" w:lineRule="auto"/>
        <w:ind w:left="0"/>
        <w:jc w:val="both"/>
        <w:rPr>
          <w:rFonts w:ascii="Arial" w:hAnsi="Arial" w:cs="Arial"/>
          <w:sz w:val="24"/>
          <w:szCs w:val="24"/>
        </w:rPr>
      </w:pPr>
    </w:p>
    <w:p w:rsidR="000B16E1" w:rsidRPr="00F12594" w:rsidRDefault="000B16E1" w:rsidP="000B16E1">
      <w:pPr>
        <w:pStyle w:val="ListParagraph"/>
        <w:numPr>
          <w:ilvl w:val="0"/>
          <w:numId w:val="22"/>
        </w:numPr>
        <w:spacing w:after="0" w:line="480" w:lineRule="auto"/>
        <w:ind w:left="0" w:firstLine="0"/>
        <w:jc w:val="both"/>
        <w:rPr>
          <w:rFonts w:ascii="Arial" w:hAnsi="Arial" w:cs="Arial"/>
          <w:sz w:val="24"/>
          <w:szCs w:val="24"/>
        </w:rPr>
      </w:pPr>
      <w:r w:rsidRPr="009F4857">
        <w:rPr>
          <w:rFonts w:ascii="Arial" w:hAnsi="Arial" w:cs="Arial"/>
          <w:color w:val="000000" w:themeColor="text1"/>
          <w:sz w:val="24"/>
          <w:szCs w:val="24"/>
        </w:rPr>
        <w:t xml:space="preserve">The court held that although the initiation of criminal proceedings was </w:t>
      </w:r>
      <w:r w:rsidRPr="009F4857">
        <w:rPr>
          <w:rFonts w:ascii="Arial" w:hAnsi="Arial" w:cs="Arial"/>
          <w:i/>
          <w:color w:val="000000" w:themeColor="text1"/>
          <w:sz w:val="24"/>
          <w:szCs w:val="24"/>
        </w:rPr>
        <w:t>bona fide</w:t>
      </w:r>
      <w:r w:rsidRPr="009F4857">
        <w:rPr>
          <w:rFonts w:ascii="Arial" w:hAnsi="Arial" w:cs="Arial"/>
          <w:color w:val="000000" w:themeColor="text1"/>
          <w:sz w:val="24"/>
          <w:szCs w:val="24"/>
        </w:rPr>
        <w:t xml:space="preserve">, it became clear at a certain point that the evidence against the </w:t>
      </w:r>
      <w:r>
        <w:rPr>
          <w:rFonts w:ascii="Arial" w:hAnsi="Arial" w:cs="Arial"/>
          <w:color w:val="000000" w:themeColor="text1"/>
          <w:sz w:val="24"/>
          <w:szCs w:val="24"/>
        </w:rPr>
        <w:t xml:space="preserve">respondent </w:t>
      </w:r>
      <w:r w:rsidRPr="009F4857">
        <w:rPr>
          <w:rFonts w:ascii="Arial" w:hAnsi="Arial" w:cs="Arial"/>
          <w:color w:val="000000" w:themeColor="text1"/>
          <w:sz w:val="24"/>
          <w:szCs w:val="24"/>
        </w:rPr>
        <w:t>could not sustain a conviction and that the continua</w:t>
      </w:r>
      <w:r>
        <w:rPr>
          <w:rFonts w:ascii="Arial" w:hAnsi="Arial" w:cs="Arial"/>
          <w:color w:val="000000" w:themeColor="text1"/>
          <w:sz w:val="24"/>
          <w:szCs w:val="24"/>
        </w:rPr>
        <w:t>tion</w:t>
      </w:r>
      <w:r w:rsidRPr="009F4857">
        <w:rPr>
          <w:rFonts w:ascii="Arial" w:hAnsi="Arial" w:cs="Arial"/>
          <w:color w:val="000000" w:themeColor="text1"/>
          <w:sz w:val="24"/>
          <w:szCs w:val="24"/>
        </w:rPr>
        <w:t xml:space="preserve"> of the criminal trial after that realisation was actionable and that malice could be inferred</w:t>
      </w:r>
      <w:r>
        <w:rPr>
          <w:rFonts w:ascii="Arial" w:hAnsi="Arial" w:cs="Arial"/>
          <w:color w:val="000000" w:themeColor="text1"/>
          <w:sz w:val="24"/>
          <w:szCs w:val="24"/>
        </w:rPr>
        <w:t xml:space="preserve"> from the conduct of the prosecutors.</w:t>
      </w:r>
      <w:r w:rsidRPr="009F4857">
        <w:rPr>
          <w:rFonts w:ascii="Arial" w:hAnsi="Arial" w:cs="Arial"/>
          <w:color w:val="000000" w:themeColor="text1"/>
          <w:sz w:val="24"/>
          <w:szCs w:val="24"/>
          <w:lang w:val="en-ZA"/>
        </w:rPr>
        <w:t xml:space="preserve"> </w:t>
      </w:r>
      <w:r w:rsidRPr="002A79C3">
        <w:rPr>
          <w:rFonts w:ascii="Arial" w:hAnsi="Arial" w:cs="Arial"/>
          <w:color w:val="000000" w:themeColor="text1"/>
          <w:sz w:val="24"/>
          <w:szCs w:val="24"/>
          <w:lang w:val="en-ZA"/>
        </w:rPr>
        <w:t xml:space="preserve">The court </w:t>
      </w:r>
      <w:r w:rsidRPr="002A79C3">
        <w:rPr>
          <w:rFonts w:ascii="Arial" w:hAnsi="Arial" w:cs="Arial"/>
          <w:color w:val="000000" w:themeColor="text1"/>
          <w:sz w:val="24"/>
          <w:szCs w:val="24"/>
        </w:rPr>
        <w:t xml:space="preserve">was persuaded that, on a balance of probabilities, the </w:t>
      </w:r>
      <w:r>
        <w:rPr>
          <w:rFonts w:ascii="Arial" w:hAnsi="Arial" w:cs="Arial"/>
          <w:color w:val="000000" w:themeColor="text1"/>
          <w:sz w:val="24"/>
          <w:szCs w:val="24"/>
        </w:rPr>
        <w:t xml:space="preserve">PG and or her employees </w:t>
      </w:r>
      <w:r w:rsidRPr="002A79C3">
        <w:rPr>
          <w:rFonts w:ascii="Arial" w:hAnsi="Arial" w:cs="Arial"/>
          <w:color w:val="000000" w:themeColor="text1"/>
          <w:sz w:val="24"/>
          <w:szCs w:val="24"/>
        </w:rPr>
        <w:t>lacked reasonable and probable cause to continue with the prosecution from</w:t>
      </w:r>
      <w:r w:rsidRPr="002A79C3">
        <w:rPr>
          <w:rFonts w:ascii="Arial" w:hAnsi="Arial" w:cs="Arial"/>
          <w:color w:val="000000" w:themeColor="text1"/>
          <w:sz w:val="24"/>
          <w:szCs w:val="24"/>
          <w:lang w:val="en-ZA"/>
        </w:rPr>
        <w:t xml:space="preserve"> November 201</w:t>
      </w:r>
      <w:r>
        <w:rPr>
          <w:rFonts w:ascii="Arial" w:hAnsi="Arial" w:cs="Arial"/>
          <w:color w:val="000000" w:themeColor="text1"/>
          <w:sz w:val="24"/>
          <w:szCs w:val="24"/>
          <w:lang w:val="en-ZA"/>
        </w:rPr>
        <w:t>1</w:t>
      </w:r>
      <w:r w:rsidRPr="002A79C3">
        <w:rPr>
          <w:rFonts w:ascii="Arial" w:hAnsi="Arial" w:cs="Arial"/>
          <w:color w:val="000000" w:themeColor="text1"/>
          <w:sz w:val="24"/>
          <w:szCs w:val="24"/>
          <w:lang w:val="en-ZA"/>
        </w:rPr>
        <w:t xml:space="preserve"> onward</w:t>
      </w:r>
      <w:r>
        <w:rPr>
          <w:rFonts w:ascii="Arial" w:hAnsi="Arial" w:cs="Arial"/>
          <w:color w:val="000000" w:themeColor="text1"/>
          <w:sz w:val="24"/>
          <w:szCs w:val="24"/>
          <w:lang w:val="en-ZA"/>
        </w:rPr>
        <w:t>s</w:t>
      </w:r>
      <w:r w:rsidRPr="002A79C3">
        <w:rPr>
          <w:rFonts w:ascii="Arial" w:hAnsi="Arial" w:cs="Arial"/>
          <w:color w:val="000000" w:themeColor="text1"/>
          <w:sz w:val="24"/>
          <w:szCs w:val="24"/>
          <w:lang w:val="en-ZA"/>
        </w:rPr>
        <w:t xml:space="preserve">, being fully aware that three </w:t>
      </w:r>
      <w:r w:rsidRPr="002A79C3">
        <w:rPr>
          <w:rFonts w:ascii="Arial" w:eastAsia="Times New Roman" w:hAnsi="Arial" w:cs="Arial"/>
          <w:sz w:val="24"/>
          <w:szCs w:val="24"/>
          <w:lang w:eastAsia="en-ZA"/>
        </w:rPr>
        <w:t>of the four witnesses who testified against the respondent fa</w:t>
      </w:r>
      <w:r w:rsidRPr="00225822">
        <w:rPr>
          <w:rFonts w:ascii="Arial" w:eastAsia="Times New Roman" w:hAnsi="Arial" w:cs="Arial"/>
          <w:color w:val="000000" w:themeColor="text1"/>
          <w:sz w:val="24"/>
          <w:szCs w:val="24"/>
          <w:lang w:eastAsia="en-ZA"/>
        </w:rPr>
        <w:t xml:space="preserve">iled to identify him in court, and further that the </w:t>
      </w:r>
      <w:r>
        <w:rPr>
          <w:rFonts w:ascii="Arial" w:eastAsia="Times New Roman" w:hAnsi="Arial" w:cs="Arial"/>
          <w:color w:val="000000" w:themeColor="text1"/>
          <w:sz w:val="24"/>
          <w:szCs w:val="24"/>
          <w:lang w:eastAsia="en-ZA"/>
        </w:rPr>
        <w:t>PG</w:t>
      </w:r>
      <w:r w:rsidRPr="00225822">
        <w:rPr>
          <w:rFonts w:ascii="Arial" w:eastAsia="Times New Roman" w:hAnsi="Arial" w:cs="Arial"/>
          <w:color w:val="000000" w:themeColor="text1"/>
          <w:sz w:val="24"/>
          <w:szCs w:val="24"/>
          <w:lang w:eastAsia="en-ZA"/>
        </w:rPr>
        <w:t xml:space="preserve"> failed to establish any inculpating evidence </w:t>
      </w:r>
      <w:r>
        <w:rPr>
          <w:rFonts w:ascii="Arial" w:eastAsia="Times New Roman" w:hAnsi="Arial" w:cs="Arial"/>
          <w:color w:val="000000" w:themeColor="text1"/>
          <w:sz w:val="24"/>
          <w:szCs w:val="24"/>
          <w:lang w:eastAsia="en-ZA"/>
        </w:rPr>
        <w:t xml:space="preserve">on the part of the </w:t>
      </w:r>
      <w:r w:rsidRPr="00225822">
        <w:rPr>
          <w:rFonts w:ascii="Arial" w:eastAsia="Times New Roman" w:hAnsi="Arial" w:cs="Arial"/>
          <w:color w:val="000000" w:themeColor="text1"/>
          <w:sz w:val="24"/>
          <w:szCs w:val="24"/>
          <w:lang w:eastAsia="en-ZA"/>
        </w:rPr>
        <w:t xml:space="preserve">respondent </w:t>
      </w:r>
      <w:r>
        <w:rPr>
          <w:rFonts w:ascii="Arial" w:eastAsia="Times New Roman" w:hAnsi="Arial" w:cs="Arial"/>
          <w:color w:val="000000" w:themeColor="text1"/>
          <w:sz w:val="24"/>
          <w:szCs w:val="24"/>
          <w:lang w:eastAsia="en-ZA"/>
        </w:rPr>
        <w:t xml:space="preserve">or </w:t>
      </w:r>
      <w:r w:rsidRPr="00225822">
        <w:rPr>
          <w:rFonts w:ascii="Arial" w:eastAsia="Times New Roman" w:hAnsi="Arial" w:cs="Arial"/>
          <w:color w:val="000000" w:themeColor="text1"/>
          <w:sz w:val="24"/>
          <w:szCs w:val="24"/>
          <w:lang w:eastAsia="en-ZA"/>
        </w:rPr>
        <w:t xml:space="preserve">anyone associated with him in the </w:t>
      </w:r>
      <w:r>
        <w:rPr>
          <w:rFonts w:ascii="Arial" w:eastAsia="Times New Roman" w:hAnsi="Arial" w:cs="Arial"/>
          <w:color w:val="000000" w:themeColor="text1"/>
          <w:sz w:val="24"/>
          <w:szCs w:val="24"/>
          <w:lang w:eastAsia="en-ZA"/>
        </w:rPr>
        <w:t xml:space="preserve">alleged </w:t>
      </w:r>
      <w:r w:rsidRPr="00225822">
        <w:rPr>
          <w:rFonts w:ascii="Arial" w:eastAsia="Times New Roman" w:hAnsi="Arial" w:cs="Arial"/>
          <w:color w:val="000000" w:themeColor="text1"/>
          <w:sz w:val="24"/>
          <w:szCs w:val="24"/>
          <w:lang w:eastAsia="en-ZA"/>
        </w:rPr>
        <w:t xml:space="preserve">commission of the offences. </w:t>
      </w:r>
    </w:p>
    <w:p w:rsidR="000B16E1" w:rsidRPr="00F12594" w:rsidRDefault="000B16E1" w:rsidP="00157011">
      <w:pPr>
        <w:pStyle w:val="ListParagraph"/>
        <w:spacing w:after="0" w:line="480" w:lineRule="auto"/>
        <w:jc w:val="both"/>
        <w:rPr>
          <w:rFonts w:ascii="Arial" w:eastAsia="Times New Roman" w:hAnsi="Arial" w:cs="Arial"/>
          <w:color w:val="000000" w:themeColor="text1"/>
          <w:sz w:val="24"/>
          <w:szCs w:val="24"/>
          <w:lang w:eastAsia="en-ZA"/>
        </w:rPr>
      </w:pPr>
    </w:p>
    <w:p w:rsidR="000B16E1" w:rsidRPr="007E52BA" w:rsidRDefault="000B16E1" w:rsidP="000B16E1">
      <w:pPr>
        <w:pStyle w:val="ListParagraph"/>
        <w:numPr>
          <w:ilvl w:val="0"/>
          <w:numId w:val="22"/>
        </w:numPr>
        <w:spacing w:after="0" w:line="480" w:lineRule="auto"/>
        <w:ind w:left="0" w:firstLine="0"/>
        <w:jc w:val="both"/>
        <w:rPr>
          <w:rFonts w:ascii="Arial" w:hAnsi="Arial" w:cs="Arial"/>
          <w:sz w:val="24"/>
          <w:szCs w:val="24"/>
        </w:rPr>
      </w:pPr>
      <w:r w:rsidRPr="00225822">
        <w:rPr>
          <w:rFonts w:ascii="Arial" w:eastAsia="Times New Roman" w:hAnsi="Arial" w:cs="Arial"/>
          <w:color w:val="000000" w:themeColor="text1"/>
          <w:sz w:val="24"/>
          <w:szCs w:val="24"/>
          <w:lang w:eastAsia="en-ZA"/>
        </w:rPr>
        <w:t xml:space="preserve">The court was also of the opinion that the request </w:t>
      </w:r>
      <w:r w:rsidRPr="002A79C3">
        <w:rPr>
          <w:rFonts w:ascii="Arial" w:eastAsia="Times New Roman" w:hAnsi="Arial" w:cs="Arial"/>
          <w:color w:val="000000" w:themeColor="text1"/>
          <w:sz w:val="24"/>
          <w:szCs w:val="24"/>
          <w:lang w:eastAsia="en-ZA"/>
        </w:rPr>
        <w:t xml:space="preserve">by the </w:t>
      </w:r>
      <w:r>
        <w:rPr>
          <w:rFonts w:ascii="Arial" w:eastAsia="Times New Roman" w:hAnsi="Arial" w:cs="Arial"/>
          <w:color w:val="000000" w:themeColor="text1"/>
          <w:sz w:val="24"/>
          <w:szCs w:val="24"/>
          <w:lang w:eastAsia="en-ZA"/>
        </w:rPr>
        <w:t>PG and/</w:t>
      </w:r>
      <w:r w:rsidRPr="002A79C3">
        <w:rPr>
          <w:rFonts w:ascii="Arial" w:eastAsia="Times New Roman" w:hAnsi="Arial" w:cs="Arial"/>
          <w:color w:val="000000" w:themeColor="text1"/>
          <w:sz w:val="24"/>
          <w:szCs w:val="24"/>
          <w:lang w:eastAsia="en-ZA"/>
        </w:rPr>
        <w:t>or her employee</w:t>
      </w:r>
      <w:r>
        <w:rPr>
          <w:rFonts w:ascii="Arial" w:eastAsia="Times New Roman" w:hAnsi="Arial" w:cs="Arial"/>
          <w:color w:val="000000" w:themeColor="text1"/>
          <w:sz w:val="24"/>
          <w:szCs w:val="24"/>
          <w:lang w:eastAsia="en-ZA"/>
        </w:rPr>
        <w:t>s</w:t>
      </w:r>
      <w:r w:rsidRPr="002A79C3">
        <w:rPr>
          <w:rFonts w:ascii="Arial" w:eastAsia="Times New Roman" w:hAnsi="Arial" w:cs="Arial"/>
          <w:color w:val="000000" w:themeColor="text1"/>
          <w:sz w:val="24"/>
          <w:szCs w:val="24"/>
          <w:lang w:eastAsia="en-ZA"/>
        </w:rPr>
        <w:t xml:space="preserve"> to carry out further investigation</w:t>
      </w:r>
      <w:r w:rsidR="007A7F30">
        <w:rPr>
          <w:rFonts w:ascii="Arial" w:eastAsia="Times New Roman" w:hAnsi="Arial" w:cs="Arial"/>
          <w:color w:val="000000" w:themeColor="text1"/>
          <w:sz w:val="24"/>
          <w:szCs w:val="24"/>
          <w:lang w:eastAsia="en-ZA"/>
        </w:rPr>
        <w:t>s</w:t>
      </w:r>
      <w:r w:rsidRPr="002A79C3">
        <w:rPr>
          <w:rFonts w:ascii="Arial" w:eastAsia="Times New Roman" w:hAnsi="Arial" w:cs="Arial"/>
          <w:color w:val="000000" w:themeColor="text1"/>
          <w:sz w:val="24"/>
          <w:szCs w:val="24"/>
          <w:lang w:eastAsia="en-ZA"/>
        </w:rPr>
        <w:t xml:space="preserve"> after the review of the evidence during November 2010 was an indication that the </w:t>
      </w:r>
      <w:r>
        <w:rPr>
          <w:rFonts w:ascii="Arial" w:eastAsia="Times New Roman" w:hAnsi="Arial" w:cs="Arial"/>
          <w:color w:val="000000" w:themeColor="text1"/>
          <w:sz w:val="24"/>
          <w:szCs w:val="24"/>
          <w:lang w:eastAsia="en-ZA"/>
        </w:rPr>
        <w:t xml:space="preserve">PG </w:t>
      </w:r>
      <w:r w:rsidRPr="002A79C3">
        <w:rPr>
          <w:rFonts w:ascii="Arial" w:eastAsia="Times New Roman" w:hAnsi="Arial" w:cs="Arial"/>
          <w:color w:val="000000" w:themeColor="text1"/>
          <w:sz w:val="24"/>
          <w:szCs w:val="24"/>
          <w:lang w:eastAsia="en-ZA"/>
        </w:rPr>
        <w:t xml:space="preserve">did not </w:t>
      </w:r>
      <w:r>
        <w:rPr>
          <w:rFonts w:ascii="Arial" w:eastAsia="Times New Roman" w:hAnsi="Arial" w:cs="Arial"/>
          <w:color w:val="000000" w:themeColor="text1"/>
          <w:sz w:val="24"/>
          <w:szCs w:val="24"/>
          <w:lang w:eastAsia="en-ZA"/>
        </w:rPr>
        <w:t xml:space="preserve">have </w:t>
      </w:r>
      <w:r w:rsidRPr="002A79C3">
        <w:rPr>
          <w:rFonts w:ascii="Arial" w:eastAsia="Times New Roman" w:hAnsi="Arial" w:cs="Arial"/>
          <w:color w:val="000000" w:themeColor="text1"/>
          <w:sz w:val="24"/>
          <w:szCs w:val="24"/>
          <w:lang w:eastAsia="en-ZA"/>
        </w:rPr>
        <w:t xml:space="preserve">sufficient </w:t>
      </w:r>
      <w:r w:rsidRPr="002A79C3">
        <w:rPr>
          <w:rFonts w:ascii="Arial" w:hAnsi="Arial" w:cs="Arial"/>
          <w:sz w:val="24"/>
          <w:szCs w:val="24"/>
        </w:rPr>
        <w:t xml:space="preserve">evidence upon which the </w:t>
      </w:r>
      <w:r>
        <w:rPr>
          <w:rFonts w:ascii="Arial" w:hAnsi="Arial" w:cs="Arial"/>
          <w:sz w:val="24"/>
          <w:szCs w:val="24"/>
        </w:rPr>
        <w:t xml:space="preserve">respondent could </w:t>
      </w:r>
      <w:r w:rsidRPr="002A79C3">
        <w:rPr>
          <w:rFonts w:ascii="Arial" w:hAnsi="Arial" w:cs="Arial"/>
          <w:sz w:val="24"/>
          <w:szCs w:val="24"/>
        </w:rPr>
        <w:t>be convicted.</w:t>
      </w:r>
      <w:r>
        <w:rPr>
          <w:rFonts w:ascii="Tahoma" w:hAnsi="Tahoma" w:cs="Tahoma"/>
        </w:rPr>
        <w:t xml:space="preserve"> </w:t>
      </w:r>
      <w:r w:rsidRPr="002A79C3">
        <w:rPr>
          <w:rFonts w:ascii="Arial" w:hAnsi="Arial" w:cs="Arial"/>
          <w:color w:val="000000" w:themeColor="text1"/>
          <w:sz w:val="24"/>
          <w:szCs w:val="24"/>
        </w:rPr>
        <w:t xml:space="preserve">In conclusion, the court held that the </w:t>
      </w:r>
      <w:r>
        <w:rPr>
          <w:rFonts w:ascii="Arial" w:hAnsi="Arial" w:cs="Arial"/>
          <w:color w:val="000000" w:themeColor="text1"/>
          <w:sz w:val="24"/>
          <w:szCs w:val="24"/>
        </w:rPr>
        <w:t xml:space="preserve">PG </w:t>
      </w:r>
      <w:r w:rsidRPr="007E52BA">
        <w:rPr>
          <w:rFonts w:ascii="Arial" w:hAnsi="Arial" w:cs="Arial"/>
          <w:color w:val="000000" w:themeColor="text1"/>
          <w:sz w:val="24"/>
          <w:szCs w:val="24"/>
        </w:rPr>
        <w:t xml:space="preserve">lacked reasonable and probable cause from </w:t>
      </w:r>
      <w:r>
        <w:rPr>
          <w:rFonts w:ascii="Arial" w:hAnsi="Arial" w:cs="Arial"/>
          <w:color w:val="000000" w:themeColor="text1"/>
          <w:sz w:val="24"/>
          <w:szCs w:val="24"/>
        </w:rPr>
        <w:t>November 2011</w:t>
      </w:r>
      <w:r w:rsidRPr="007E52BA">
        <w:rPr>
          <w:rFonts w:ascii="Arial" w:hAnsi="Arial" w:cs="Arial"/>
          <w:color w:val="000000" w:themeColor="text1"/>
          <w:sz w:val="24"/>
          <w:szCs w:val="24"/>
        </w:rPr>
        <w:t xml:space="preserve"> onward</w:t>
      </w:r>
      <w:r>
        <w:rPr>
          <w:rFonts w:ascii="Arial" w:hAnsi="Arial" w:cs="Arial"/>
          <w:color w:val="000000" w:themeColor="text1"/>
          <w:sz w:val="24"/>
          <w:szCs w:val="24"/>
        </w:rPr>
        <w:t>s</w:t>
      </w:r>
      <w:r w:rsidRPr="007E52BA">
        <w:rPr>
          <w:rFonts w:ascii="Arial" w:hAnsi="Arial" w:cs="Arial"/>
          <w:color w:val="000000" w:themeColor="text1"/>
          <w:sz w:val="24"/>
          <w:szCs w:val="24"/>
        </w:rPr>
        <w:t xml:space="preserve">.  </w:t>
      </w:r>
    </w:p>
    <w:p w:rsidR="000B16E1" w:rsidRPr="007E52BA" w:rsidRDefault="000B16E1" w:rsidP="000B16E1">
      <w:pPr>
        <w:pStyle w:val="ListParagraph"/>
        <w:spacing w:after="0" w:line="480" w:lineRule="auto"/>
        <w:ind w:left="0"/>
        <w:jc w:val="both"/>
        <w:rPr>
          <w:rFonts w:ascii="Arial" w:hAnsi="Arial" w:cs="Arial"/>
          <w:sz w:val="24"/>
          <w:szCs w:val="24"/>
        </w:rPr>
      </w:pPr>
    </w:p>
    <w:p w:rsidR="000B16E1" w:rsidRPr="00F21321" w:rsidRDefault="000B16E1" w:rsidP="000B16E1">
      <w:pPr>
        <w:pStyle w:val="ListParagraph"/>
        <w:numPr>
          <w:ilvl w:val="0"/>
          <w:numId w:val="22"/>
        </w:numPr>
        <w:spacing w:after="0" w:line="480" w:lineRule="auto"/>
        <w:ind w:left="0" w:firstLine="0"/>
        <w:jc w:val="both"/>
        <w:rPr>
          <w:rFonts w:ascii="Arial" w:hAnsi="Arial" w:cs="Arial"/>
          <w:color w:val="000000" w:themeColor="text1"/>
          <w:sz w:val="24"/>
          <w:szCs w:val="24"/>
        </w:rPr>
      </w:pPr>
      <w:r w:rsidRPr="007137CF">
        <w:rPr>
          <w:rFonts w:ascii="Arial" w:hAnsi="Arial" w:cs="Arial"/>
          <w:sz w:val="24"/>
          <w:szCs w:val="24"/>
        </w:rPr>
        <w:t xml:space="preserve">Regarding the issue of malice, the </w:t>
      </w:r>
      <w:r>
        <w:rPr>
          <w:rFonts w:ascii="Arial" w:hAnsi="Arial" w:cs="Arial"/>
          <w:sz w:val="24"/>
          <w:szCs w:val="24"/>
        </w:rPr>
        <w:t>High C</w:t>
      </w:r>
      <w:r w:rsidRPr="007137CF">
        <w:rPr>
          <w:rFonts w:ascii="Arial" w:hAnsi="Arial" w:cs="Arial"/>
          <w:sz w:val="24"/>
          <w:szCs w:val="24"/>
        </w:rPr>
        <w:t xml:space="preserve">ourt held that during the course of the proceedings, there was evidence of malice on the part of the </w:t>
      </w:r>
      <w:r>
        <w:rPr>
          <w:rFonts w:ascii="Arial" w:hAnsi="Arial" w:cs="Arial"/>
          <w:sz w:val="24"/>
          <w:szCs w:val="24"/>
        </w:rPr>
        <w:t>PG</w:t>
      </w:r>
      <w:r w:rsidRPr="007137CF">
        <w:rPr>
          <w:rFonts w:ascii="Arial" w:hAnsi="Arial" w:cs="Arial"/>
          <w:sz w:val="24"/>
          <w:szCs w:val="24"/>
        </w:rPr>
        <w:t xml:space="preserve"> </w:t>
      </w:r>
      <w:r>
        <w:rPr>
          <w:rFonts w:ascii="Arial" w:hAnsi="Arial" w:cs="Arial"/>
          <w:sz w:val="24"/>
          <w:szCs w:val="24"/>
        </w:rPr>
        <w:t>and/</w:t>
      </w:r>
      <w:r w:rsidRPr="007137CF">
        <w:rPr>
          <w:rFonts w:ascii="Arial" w:hAnsi="Arial" w:cs="Arial"/>
          <w:sz w:val="24"/>
          <w:szCs w:val="24"/>
        </w:rPr>
        <w:t xml:space="preserve">or her employees. The court inferred malice from its finding that the </w:t>
      </w:r>
      <w:r>
        <w:rPr>
          <w:rFonts w:ascii="Arial" w:hAnsi="Arial" w:cs="Arial"/>
          <w:sz w:val="24"/>
          <w:szCs w:val="24"/>
        </w:rPr>
        <w:t>PG</w:t>
      </w:r>
      <w:r w:rsidRPr="007137CF">
        <w:rPr>
          <w:rFonts w:ascii="Arial" w:hAnsi="Arial" w:cs="Arial"/>
          <w:sz w:val="24"/>
          <w:szCs w:val="24"/>
        </w:rPr>
        <w:t xml:space="preserve"> lacked reasonable and </w:t>
      </w:r>
      <w:r w:rsidRPr="007137CF">
        <w:rPr>
          <w:rFonts w:ascii="Arial" w:hAnsi="Arial" w:cs="Arial"/>
          <w:color w:val="000000" w:themeColor="text1"/>
          <w:sz w:val="24"/>
          <w:szCs w:val="24"/>
        </w:rPr>
        <w:t>probable cause to maintain th</w:t>
      </w:r>
      <w:r>
        <w:rPr>
          <w:rFonts w:ascii="Arial" w:hAnsi="Arial" w:cs="Arial"/>
          <w:color w:val="000000" w:themeColor="text1"/>
          <w:sz w:val="24"/>
          <w:szCs w:val="24"/>
        </w:rPr>
        <w:t>e prosecution from November 2011</w:t>
      </w:r>
      <w:r w:rsidRPr="007137CF">
        <w:rPr>
          <w:rFonts w:ascii="Arial" w:hAnsi="Arial" w:cs="Arial"/>
          <w:color w:val="000000" w:themeColor="text1"/>
          <w:sz w:val="24"/>
          <w:szCs w:val="24"/>
        </w:rPr>
        <w:t xml:space="preserve">. </w:t>
      </w:r>
      <w:r>
        <w:rPr>
          <w:rFonts w:ascii="Arial" w:hAnsi="Arial" w:cs="Arial"/>
          <w:color w:val="000000" w:themeColor="text1"/>
          <w:sz w:val="24"/>
          <w:szCs w:val="24"/>
        </w:rPr>
        <w:t xml:space="preserve">It </w:t>
      </w:r>
      <w:r w:rsidRPr="007137CF">
        <w:rPr>
          <w:rFonts w:ascii="Arial" w:eastAsia="Times New Roman" w:hAnsi="Arial" w:cs="Arial"/>
          <w:color w:val="000000" w:themeColor="text1"/>
          <w:sz w:val="24"/>
          <w:szCs w:val="24"/>
          <w:lang w:eastAsia="en-ZA"/>
        </w:rPr>
        <w:t>stated that the failure of the prosecut</w:t>
      </w:r>
      <w:r>
        <w:rPr>
          <w:rFonts w:ascii="Arial" w:eastAsia="Times New Roman" w:hAnsi="Arial" w:cs="Arial"/>
          <w:color w:val="000000" w:themeColor="text1"/>
          <w:sz w:val="24"/>
          <w:szCs w:val="24"/>
          <w:lang w:eastAsia="en-ZA"/>
        </w:rPr>
        <w:t xml:space="preserve">ion team </w:t>
      </w:r>
      <w:r w:rsidRPr="007137CF">
        <w:rPr>
          <w:rFonts w:ascii="Arial" w:eastAsia="Times New Roman" w:hAnsi="Arial" w:cs="Arial"/>
          <w:color w:val="000000" w:themeColor="text1"/>
          <w:sz w:val="24"/>
          <w:szCs w:val="24"/>
          <w:lang w:eastAsia="en-ZA"/>
        </w:rPr>
        <w:t xml:space="preserve">to do appraisals </w:t>
      </w:r>
      <w:r>
        <w:rPr>
          <w:rFonts w:ascii="Arial" w:eastAsia="Times New Roman" w:hAnsi="Arial" w:cs="Arial"/>
          <w:color w:val="000000" w:themeColor="text1"/>
          <w:sz w:val="24"/>
          <w:szCs w:val="24"/>
          <w:lang w:eastAsia="en-ZA"/>
        </w:rPr>
        <w:t xml:space="preserve">of the evidence </w:t>
      </w:r>
      <w:r w:rsidRPr="007137CF">
        <w:rPr>
          <w:rFonts w:ascii="Arial" w:eastAsia="Times New Roman" w:hAnsi="Arial" w:cs="Arial"/>
          <w:color w:val="000000" w:themeColor="text1"/>
          <w:sz w:val="24"/>
          <w:szCs w:val="24"/>
          <w:lang w:eastAsia="en-ZA"/>
        </w:rPr>
        <w:t>continu</w:t>
      </w:r>
      <w:r w:rsidR="00B26DC2">
        <w:rPr>
          <w:rFonts w:ascii="Arial" w:eastAsia="Times New Roman" w:hAnsi="Arial" w:cs="Arial"/>
          <w:color w:val="000000" w:themeColor="text1"/>
          <w:sz w:val="24"/>
          <w:szCs w:val="24"/>
          <w:lang w:eastAsia="en-ZA"/>
        </w:rPr>
        <w:t>al</w:t>
      </w:r>
      <w:r w:rsidRPr="007137CF">
        <w:rPr>
          <w:rFonts w:ascii="Arial" w:eastAsia="Times New Roman" w:hAnsi="Arial" w:cs="Arial"/>
          <w:color w:val="000000" w:themeColor="text1"/>
          <w:sz w:val="24"/>
          <w:szCs w:val="24"/>
          <w:lang w:eastAsia="en-ZA"/>
        </w:rPr>
        <w:t>ly points to the evidence of malice</w:t>
      </w:r>
      <w:r>
        <w:rPr>
          <w:rFonts w:ascii="Arial" w:eastAsia="Times New Roman" w:hAnsi="Arial" w:cs="Arial"/>
          <w:color w:val="000000" w:themeColor="text1"/>
          <w:sz w:val="24"/>
          <w:szCs w:val="24"/>
          <w:lang w:eastAsia="en-ZA"/>
        </w:rPr>
        <w:t xml:space="preserve"> on their part</w:t>
      </w:r>
      <w:r w:rsidRPr="007137CF">
        <w:rPr>
          <w:rFonts w:ascii="Arial" w:eastAsia="Times New Roman" w:hAnsi="Arial" w:cs="Arial"/>
          <w:color w:val="000000" w:themeColor="text1"/>
          <w:sz w:val="24"/>
          <w:szCs w:val="24"/>
          <w:lang w:eastAsia="en-ZA"/>
        </w:rPr>
        <w:t xml:space="preserve">. </w:t>
      </w:r>
      <w:r w:rsidRPr="007137CF">
        <w:rPr>
          <w:rFonts w:ascii="Arial" w:hAnsi="Arial" w:cs="Arial"/>
          <w:sz w:val="24"/>
          <w:szCs w:val="24"/>
        </w:rPr>
        <w:t xml:space="preserve">The court further inferred malice from the failure of the </w:t>
      </w:r>
      <w:r>
        <w:rPr>
          <w:rFonts w:ascii="Arial" w:hAnsi="Arial" w:cs="Arial"/>
          <w:sz w:val="24"/>
          <w:szCs w:val="24"/>
        </w:rPr>
        <w:t>PG and/</w:t>
      </w:r>
      <w:r w:rsidRPr="007137CF">
        <w:rPr>
          <w:rFonts w:ascii="Arial" w:hAnsi="Arial" w:cs="Arial"/>
          <w:sz w:val="24"/>
          <w:szCs w:val="24"/>
        </w:rPr>
        <w:t xml:space="preserve">or her employees to review the </w:t>
      </w:r>
      <w:r w:rsidRPr="007137CF">
        <w:rPr>
          <w:rFonts w:ascii="Arial" w:hAnsi="Arial" w:cs="Arial"/>
          <w:color w:val="000000" w:themeColor="text1"/>
          <w:sz w:val="24"/>
          <w:szCs w:val="24"/>
        </w:rPr>
        <w:t xml:space="preserve">evidence </w:t>
      </w:r>
      <w:r>
        <w:rPr>
          <w:rFonts w:ascii="Arial" w:hAnsi="Arial" w:cs="Arial"/>
          <w:color w:val="000000" w:themeColor="text1"/>
          <w:sz w:val="24"/>
          <w:szCs w:val="24"/>
        </w:rPr>
        <w:t xml:space="preserve">against the respondent </w:t>
      </w:r>
      <w:r w:rsidRPr="007137CF">
        <w:rPr>
          <w:rFonts w:ascii="Arial" w:eastAsia="Times New Roman" w:hAnsi="Arial" w:cs="Arial"/>
          <w:color w:val="000000" w:themeColor="text1"/>
          <w:sz w:val="24"/>
          <w:szCs w:val="24"/>
          <w:lang w:eastAsia="en-ZA"/>
        </w:rPr>
        <w:t xml:space="preserve">for </w:t>
      </w:r>
      <w:r>
        <w:rPr>
          <w:rFonts w:ascii="Arial" w:eastAsia="Times New Roman" w:hAnsi="Arial" w:cs="Arial"/>
          <w:color w:val="000000" w:themeColor="text1"/>
          <w:sz w:val="24"/>
          <w:szCs w:val="24"/>
          <w:lang w:eastAsia="en-ZA"/>
        </w:rPr>
        <w:t xml:space="preserve">a </w:t>
      </w:r>
      <w:r w:rsidRPr="008917EE">
        <w:rPr>
          <w:rFonts w:ascii="Arial" w:eastAsia="Times New Roman" w:hAnsi="Arial" w:cs="Arial"/>
          <w:color w:val="000000" w:themeColor="text1"/>
          <w:sz w:val="24"/>
          <w:szCs w:val="24"/>
          <w:lang w:eastAsia="en-ZA"/>
        </w:rPr>
        <w:t>period</w:t>
      </w:r>
      <w:r>
        <w:rPr>
          <w:rFonts w:ascii="Arial" w:eastAsia="Times New Roman" w:hAnsi="Arial" w:cs="Arial"/>
          <w:color w:val="000000" w:themeColor="text1"/>
          <w:sz w:val="24"/>
          <w:szCs w:val="24"/>
          <w:lang w:eastAsia="en-ZA"/>
        </w:rPr>
        <w:t xml:space="preserve"> of </w:t>
      </w:r>
      <w:r w:rsidRPr="007137CF">
        <w:rPr>
          <w:rFonts w:ascii="Arial" w:eastAsia="Times New Roman" w:hAnsi="Arial" w:cs="Arial"/>
          <w:color w:val="000000" w:themeColor="text1"/>
          <w:sz w:val="24"/>
          <w:szCs w:val="24"/>
          <w:lang w:eastAsia="en-ZA"/>
        </w:rPr>
        <w:t>six to ten years</w:t>
      </w:r>
      <w:r>
        <w:rPr>
          <w:rFonts w:ascii="Arial" w:eastAsia="Times New Roman" w:hAnsi="Arial" w:cs="Arial"/>
          <w:color w:val="000000" w:themeColor="text1"/>
          <w:sz w:val="24"/>
          <w:szCs w:val="24"/>
          <w:lang w:eastAsia="en-ZA"/>
        </w:rPr>
        <w:t xml:space="preserve"> after he was indicted</w:t>
      </w:r>
      <w:r w:rsidRPr="007137CF">
        <w:rPr>
          <w:rFonts w:ascii="Arial" w:eastAsia="Times New Roman" w:hAnsi="Arial" w:cs="Arial"/>
          <w:color w:val="000000" w:themeColor="text1"/>
          <w:sz w:val="24"/>
          <w:szCs w:val="24"/>
          <w:lang w:eastAsia="en-ZA"/>
        </w:rPr>
        <w:t xml:space="preserve">. </w:t>
      </w:r>
    </w:p>
    <w:p w:rsidR="000B16E1" w:rsidRPr="00F21321" w:rsidRDefault="000B16E1" w:rsidP="000B16E1">
      <w:pPr>
        <w:pStyle w:val="ListParagraph"/>
        <w:spacing w:after="0" w:line="480" w:lineRule="auto"/>
        <w:ind w:left="0"/>
        <w:jc w:val="both"/>
        <w:rPr>
          <w:rFonts w:ascii="Arial" w:hAnsi="Arial" w:cs="Arial"/>
          <w:color w:val="000000" w:themeColor="text1"/>
          <w:sz w:val="24"/>
          <w:szCs w:val="24"/>
        </w:rPr>
      </w:pPr>
    </w:p>
    <w:p w:rsidR="000B16E1" w:rsidRPr="00BC2CC4" w:rsidRDefault="000B16E1" w:rsidP="000B16E1">
      <w:pPr>
        <w:pStyle w:val="ListParagraph"/>
        <w:numPr>
          <w:ilvl w:val="0"/>
          <w:numId w:val="22"/>
        </w:numPr>
        <w:spacing w:after="0" w:line="480" w:lineRule="auto"/>
        <w:ind w:left="0" w:firstLine="0"/>
        <w:jc w:val="both"/>
        <w:rPr>
          <w:rFonts w:ascii="Arial" w:hAnsi="Arial" w:cs="Arial"/>
          <w:color w:val="000000" w:themeColor="text1"/>
          <w:sz w:val="24"/>
          <w:szCs w:val="24"/>
        </w:rPr>
      </w:pPr>
      <w:r w:rsidRPr="007137CF">
        <w:rPr>
          <w:rFonts w:ascii="Arial" w:eastAsia="Times New Roman" w:hAnsi="Arial" w:cs="Arial"/>
          <w:color w:val="000000" w:themeColor="text1"/>
          <w:sz w:val="24"/>
          <w:szCs w:val="24"/>
          <w:lang w:eastAsia="en-ZA"/>
        </w:rPr>
        <w:t xml:space="preserve">The </w:t>
      </w:r>
      <w:r>
        <w:rPr>
          <w:rFonts w:ascii="Arial" w:eastAsia="Times New Roman" w:hAnsi="Arial" w:cs="Arial"/>
          <w:color w:val="000000" w:themeColor="text1"/>
          <w:sz w:val="24"/>
          <w:szCs w:val="24"/>
          <w:lang w:eastAsia="en-ZA"/>
        </w:rPr>
        <w:t>High C</w:t>
      </w:r>
      <w:r w:rsidRPr="007137CF">
        <w:rPr>
          <w:rFonts w:ascii="Arial" w:eastAsia="Times New Roman" w:hAnsi="Arial" w:cs="Arial"/>
          <w:color w:val="000000" w:themeColor="text1"/>
          <w:sz w:val="24"/>
          <w:szCs w:val="24"/>
          <w:lang w:eastAsia="en-ZA"/>
        </w:rPr>
        <w:t xml:space="preserve">ourt also </w:t>
      </w:r>
      <w:r>
        <w:rPr>
          <w:rFonts w:ascii="Arial" w:eastAsia="Times New Roman" w:hAnsi="Arial" w:cs="Arial"/>
          <w:color w:val="000000" w:themeColor="text1"/>
          <w:sz w:val="24"/>
          <w:szCs w:val="24"/>
          <w:lang w:eastAsia="en-ZA"/>
        </w:rPr>
        <w:t xml:space="preserve">reasoned </w:t>
      </w:r>
      <w:r w:rsidRPr="007137CF">
        <w:rPr>
          <w:rFonts w:ascii="Arial" w:eastAsia="Times New Roman" w:hAnsi="Arial" w:cs="Arial"/>
          <w:color w:val="000000" w:themeColor="text1"/>
          <w:sz w:val="24"/>
          <w:szCs w:val="24"/>
          <w:lang w:eastAsia="en-ZA"/>
        </w:rPr>
        <w:t>that the State’s failure to provide sufficient resources to</w:t>
      </w:r>
      <w:r w:rsidRPr="007137CF">
        <w:rPr>
          <w:rFonts w:ascii="Arial" w:eastAsia="Times New Roman" w:hAnsi="Arial" w:cs="Arial"/>
          <w:iCs/>
          <w:sz w:val="24"/>
          <w:szCs w:val="24"/>
          <w:lang w:eastAsia="en-ZA"/>
        </w:rPr>
        <w:t xml:space="preserve"> avoid a violation of the respondent’s rights, also points to evidence of malice. In light of the above findings, the court </w:t>
      </w:r>
      <w:r w:rsidRPr="005328CF">
        <w:rPr>
          <w:rFonts w:ascii="Arial" w:eastAsia="Times New Roman" w:hAnsi="Arial" w:cs="Arial"/>
          <w:iCs/>
          <w:color w:val="000000" w:themeColor="text1"/>
          <w:sz w:val="24"/>
          <w:szCs w:val="24"/>
          <w:lang w:eastAsia="en-ZA"/>
        </w:rPr>
        <w:t xml:space="preserve">held that the respondent had </w:t>
      </w:r>
      <w:r w:rsidRPr="005328CF">
        <w:rPr>
          <w:rFonts w:ascii="Arial" w:eastAsia="Times New Roman" w:hAnsi="Arial" w:cs="Arial"/>
          <w:color w:val="000000" w:themeColor="text1"/>
          <w:sz w:val="24"/>
          <w:szCs w:val="24"/>
          <w:lang w:eastAsia="en-ZA"/>
        </w:rPr>
        <w:t xml:space="preserve">established the </w:t>
      </w:r>
      <w:r w:rsidRPr="00EF55A2">
        <w:rPr>
          <w:rFonts w:ascii="Arial" w:eastAsia="Times New Roman" w:hAnsi="Arial" w:cs="Arial"/>
          <w:color w:val="000000" w:themeColor="text1"/>
          <w:sz w:val="24"/>
          <w:szCs w:val="24"/>
          <w:lang w:eastAsia="en-ZA"/>
        </w:rPr>
        <w:t xml:space="preserve">requirements </w:t>
      </w:r>
      <w:r>
        <w:rPr>
          <w:rFonts w:ascii="Arial" w:eastAsia="Times New Roman" w:hAnsi="Arial" w:cs="Arial"/>
          <w:color w:val="000000" w:themeColor="text1"/>
          <w:sz w:val="24"/>
          <w:szCs w:val="24"/>
          <w:lang w:eastAsia="en-ZA"/>
        </w:rPr>
        <w:t xml:space="preserve">of malicious prosecution </w:t>
      </w:r>
      <w:r w:rsidRPr="00EF55A2">
        <w:rPr>
          <w:rFonts w:ascii="Arial" w:eastAsia="Times New Roman" w:hAnsi="Arial" w:cs="Arial"/>
          <w:color w:val="000000" w:themeColor="text1"/>
          <w:sz w:val="24"/>
          <w:szCs w:val="24"/>
          <w:lang w:eastAsia="en-ZA"/>
        </w:rPr>
        <w:t>it was called upon to decide</w:t>
      </w:r>
      <w:r w:rsidRPr="005328CF">
        <w:rPr>
          <w:rFonts w:ascii="Arial" w:eastAsia="Times New Roman" w:hAnsi="Arial" w:cs="Arial"/>
          <w:color w:val="000000" w:themeColor="text1"/>
          <w:sz w:val="24"/>
          <w:szCs w:val="24"/>
          <w:lang w:eastAsia="en-ZA"/>
        </w:rPr>
        <w:t xml:space="preserve">. </w:t>
      </w:r>
      <w:r w:rsidRPr="005328CF">
        <w:rPr>
          <w:rFonts w:ascii="Arial" w:hAnsi="Arial" w:cs="Arial"/>
          <w:color w:val="000000" w:themeColor="text1"/>
          <w:sz w:val="24"/>
          <w:szCs w:val="24"/>
          <w:shd w:val="clear" w:color="auto" w:fill="FFFFFF"/>
        </w:rPr>
        <w:t>The correctness of that decision has been challenged on a number of grounds</w:t>
      </w:r>
      <w:r>
        <w:rPr>
          <w:rFonts w:ascii="Arial" w:hAnsi="Arial" w:cs="Arial"/>
          <w:color w:val="000000" w:themeColor="text1"/>
          <w:sz w:val="24"/>
          <w:szCs w:val="24"/>
          <w:shd w:val="clear" w:color="auto" w:fill="FFFFFF"/>
        </w:rPr>
        <w:t xml:space="preserve"> before this court. It is thus opportune to deal with these legal challenges.  But before doing so, it is necessary to set out briefly the law on malicious prosecution and the role the Prosecutor-General is expected to play in our constitutional set up.</w:t>
      </w:r>
    </w:p>
    <w:p w:rsidR="002313C6" w:rsidRDefault="002313C6" w:rsidP="00157011">
      <w:pPr>
        <w:spacing w:after="0" w:line="480" w:lineRule="auto"/>
        <w:jc w:val="both"/>
        <w:rPr>
          <w:rFonts w:ascii="Arial" w:hAnsi="Arial" w:cs="Arial"/>
          <w:color w:val="000000" w:themeColor="text1"/>
          <w:sz w:val="24"/>
          <w:szCs w:val="24"/>
          <w:u w:val="single"/>
          <w:shd w:val="clear" w:color="auto" w:fill="FFFFFF"/>
        </w:rPr>
      </w:pPr>
    </w:p>
    <w:p w:rsidR="000B16E1" w:rsidRPr="00BC2CC4" w:rsidRDefault="000B16E1" w:rsidP="002313C6">
      <w:pPr>
        <w:spacing w:after="0" w:line="480" w:lineRule="auto"/>
        <w:jc w:val="both"/>
        <w:rPr>
          <w:rFonts w:ascii="Arial" w:hAnsi="Arial" w:cs="Arial"/>
          <w:color w:val="000000" w:themeColor="text1"/>
          <w:sz w:val="24"/>
          <w:szCs w:val="24"/>
          <w:u w:val="single"/>
          <w:shd w:val="clear" w:color="auto" w:fill="FFFFFF"/>
        </w:rPr>
      </w:pPr>
      <w:r w:rsidRPr="00BC2CC4">
        <w:rPr>
          <w:rFonts w:ascii="Arial" w:hAnsi="Arial" w:cs="Arial"/>
          <w:color w:val="000000" w:themeColor="text1"/>
          <w:sz w:val="24"/>
          <w:szCs w:val="24"/>
          <w:u w:val="single"/>
          <w:shd w:val="clear" w:color="auto" w:fill="FFFFFF"/>
        </w:rPr>
        <w:t xml:space="preserve">The law on malicious prosecution and Prosecutor-General’s constitutional obligations </w:t>
      </w:r>
    </w:p>
    <w:p w:rsidR="000B16E1" w:rsidRDefault="000B16E1" w:rsidP="00047406">
      <w:pPr>
        <w:pStyle w:val="ListParagraph"/>
        <w:numPr>
          <w:ilvl w:val="0"/>
          <w:numId w:val="22"/>
        </w:numPr>
        <w:spacing w:after="0" w:line="480" w:lineRule="auto"/>
        <w:ind w:left="0" w:firstLine="0"/>
        <w:jc w:val="both"/>
        <w:rPr>
          <w:rFonts w:ascii="Arial" w:hAnsi="Arial" w:cs="Arial"/>
          <w:sz w:val="24"/>
          <w:szCs w:val="24"/>
        </w:rPr>
      </w:pPr>
      <w:r w:rsidRPr="006863F0">
        <w:rPr>
          <w:rFonts w:ascii="Arial" w:hAnsi="Arial" w:cs="Arial"/>
          <w:color w:val="000000" w:themeColor="text1"/>
          <w:sz w:val="24"/>
          <w:szCs w:val="24"/>
        </w:rPr>
        <w:t xml:space="preserve">  </w:t>
      </w:r>
      <w:r w:rsidRPr="006863F0">
        <w:rPr>
          <w:rFonts w:ascii="Arial" w:hAnsi="Arial" w:cs="Arial"/>
          <w:sz w:val="24"/>
          <w:szCs w:val="24"/>
        </w:rPr>
        <w:t xml:space="preserve"> Professor McQuoid-Mason</w:t>
      </w:r>
      <w:r>
        <w:rPr>
          <w:rStyle w:val="FootnoteReference"/>
          <w:rFonts w:ascii="Arial" w:hAnsi="Arial" w:cs="Arial"/>
          <w:sz w:val="24"/>
          <w:szCs w:val="24"/>
        </w:rPr>
        <w:footnoteReference w:id="4"/>
      </w:r>
      <w:r w:rsidRPr="006863F0">
        <w:rPr>
          <w:rFonts w:ascii="Arial" w:hAnsi="Arial" w:cs="Arial"/>
          <w:sz w:val="24"/>
          <w:szCs w:val="24"/>
        </w:rPr>
        <w:t xml:space="preserve"> defines malicious prosecution as ‘an abuse of the process of the court by intentionally and unlawfully setting the law in motion on a criminal </w:t>
      </w:r>
      <w:r w:rsidRPr="006863F0">
        <w:rPr>
          <w:rFonts w:ascii="Arial" w:hAnsi="Arial" w:cs="Arial"/>
          <w:sz w:val="24"/>
          <w:szCs w:val="24"/>
        </w:rPr>
        <w:lastRenderedPageBreak/>
        <w:t xml:space="preserve">charge.’ He points out that </w:t>
      </w:r>
      <w:r w:rsidR="005853B3">
        <w:rPr>
          <w:rFonts w:ascii="Arial" w:hAnsi="Arial" w:cs="Arial"/>
          <w:sz w:val="24"/>
          <w:szCs w:val="24"/>
        </w:rPr>
        <w:t xml:space="preserve">generally </w:t>
      </w:r>
      <w:r w:rsidRPr="006863F0">
        <w:rPr>
          <w:rFonts w:ascii="Arial" w:hAnsi="Arial" w:cs="Arial"/>
          <w:sz w:val="24"/>
          <w:szCs w:val="24"/>
        </w:rPr>
        <w:t>actions for malicious prosecution are discouraged on the grounds of public policy.</w:t>
      </w:r>
      <w:r w:rsidRPr="00566F9D">
        <w:rPr>
          <w:rStyle w:val="FootnoteReference"/>
          <w:rFonts w:ascii="Arial" w:hAnsi="Arial" w:cs="Arial"/>
          <w:sz w:val="24"/>
          <w:szCs w:val="24"/>
        </w:rPr>
        <w:footnoteReference w:id="5"/>
      </w:r>
      <w:r w:rsidRPr="006863F0">
        <w:rPr>
          <w:rFonts w:ascii="Arial" w:hAnsi="Arial" w:cs="Arial"/>
          <w:sz w:val="24"/>
          <w:szCs w:val="24"/>
        </w:rPr>
        <w:t xml:space="preserve"> This is so because the exercise of prosecutorial discretion in the prosecution of cases is central to the criminal justice system. </w:t>
      </w:r>
      <w:r w:rsidR="002F04DC">
        <w:rPr>
          <w:rFonts w:ascii="Arial" w:hAnsi="Arial" w:cs="Arial"/>
          <w:sz w:val="24"/>
          <w:szCs w:val="24"/>
        </w:rPr>
        <w:t>I</w:t>
      </w:r>
      <w:r w:rsidRPr="006863F0">
        <w:rPr>
          <w:rFonts w:ascii="Arial" w:hAnsi="Arial" w:cs="Arial"/>
          <w:sz w:val="24"/>
          <w:szCs w:val="24"/>
        </w:rPr>
        <w:t>t is essential that prosecutors perform this function without the fear of attracting civil liability. This imperative, of course, has to be balanced with the rights of citizens to be protected against baseless prosecution</w:t>
      </w:r>
      <w:r>
        <w:rPr>
          <w:rFonts w:ascii="Arial" w:hAnsi="Arial" w:cs="Arial"/>
          <w:sz w:val="24"/>
          <w:szCs w:val="24"/>
        </w:rPr>
        <w:t>s</w:t>
      </w:r>
      <w:r w:rsidRPr="006863F0">
        <w:rPr>
          <w:rFonts w:ascii="Arial" w:hAnsi="Arial" w:cs="Arial"/>
          <w:sz w:val="24"/>
          <w:szCs w:val="24"/>
        </w:rPr>
        <w:t>.</w:t>
      </w:r>
      <w:r>
        <w:rPr>
          <w:rFonts w:ascii="Arial" w:hAnsi="Arial" w:cs="Arial"/>
          <w:sz w:val="24"/>
          <w:szCs w:val="24"/>
        </w:rPr>
        <w:t xml:space="preserve"> In Namibia, the Prosecutor-General and her staff occupy an important position within our constitutional milieu. It is for this consideration that Art 88(2) of the Namibian Constitution grants to the Prosecutor-General the power to prosecute ‘subject to the provisions of this Constitution. . .’ It is thus a sacred duty of a prosecutor to ensure that the trial of an accused person is fair in line with his or her obligation to prosecute subject to the Constitution and the law.      </w:t>
      </w:r>
      <w:r w:rsidRPr="006863F0">
        <w:rPr>
          <w:rFonts w:ascii="Arial" w:hAnsi="Arial" w:cs="Arial"/>
          <w:sz w:val="24"/>
          <w:szCs w:val="24"/>
        </w:rPr>
        <w:t xml:space="preserve">  </w:t>
      </w:r>
    </w:p>
    <w:p w:rsidR="000B16E1" w:rsidRPr="006863F0" w:rsidRDefault="000B16E1" w:rsidP="000B16E1">
      <w:pPr>
        <w:spacing w:after="0" w:line="480" w:lineRule="auto"/>
        <w:ind w:left="360"/>
        <w:jc w:val="both"/>
        <w:rPr>
          <w:rFonts w:ascii="Arial" w:hAnsi="Arial" w:cs="Arial"/>
          <w:sz w:val="24"/>
          <w:szCs w:val="24"/>
        </w:rPr>
      </w:pPr>
    </w:p>
    <w:p w:rsidR="000B16E1" w:rsidRDefault="000B16E1" w:rsidP="000B16E1">
      <w:pPr>
        <w:pStyle w:val="ListParagraph"/>
        <w:numPr>
          <w:ilvl w:val="0"/>
          <w:numId w:val="22"/>
        </w:numPr>
        <w:spacing w:after="0" w:line="480" w:lineRule="auto"/>
        <w:ind w:left="0" w:firstLine="0"/>
        <w:jc w:val="both"/>
        <w:rPr>
          <w:rFonts w:ascii="Arial" w:hAnsi="Arial" w:cs="Arial"/>
          <w:sz w:val="24"/>
          <w:szCs w:val="24"/>
        </w:rPr>
      </w:pPr>
      <w:r w:rsidRPr="006863F0">
        <w:rPr>
          <w:rFonts w:ascii="Arial" w:hAnsi="Arial" w:cs="Arial"/>
          <w:sz w:val="24"/>
          <w:szCs w:val="24"/>
        </w:rPr>
        <w:t xml:space="preserve">The House of Lords in </w:t>
      </w:r>
      <w:r w:rsidRPr="006863F0">
        <w:rPr>
          <w:rFonts w:ascii="Arial" w:hAnsi="Arial" w:cs="Arial"/>
          <w:i/>
          <w:sz w:val="24"/>
          <w:szCs w:val="24"/>
        </w:rPr>
        <w:t>Gregory v Portsmouth City Council</w:t>
      </w:r>
      <w:r w:rsidRPr="00566F9D">
        <w:rPr>
          <w:rStyle w:val="FootnoteReference"/>
          <w:rFonts w:ascii="Arial" w:hAnsi="Arial" w:cs="Arial"/>
          <w:sz w:val="24"/>
          <w:szCs w:val="24"/>
        </w:rPr>
        <w:footnoteReference w:id="6"/>
      </w:r>
      <w:r w:rsidRPr="006863F0">
        <w:rPr>
          <w:rFonts w:ascii="Arial" w:hAnsi="Arial" w:cs="Arial"/>
          <w:sz w:val="24"/>
          <w:szCs w:val="24"/>
        </w:rPr>
        <w:t xml:space="preserve"> explained the tension between the two competing </w:t>
      </w:r>
      <w:r>
        <w:rPr>
          <w:rFonts w:ascii="Arial" w:hAnsi="Arial" w:cs="Arial"/>
          <w:sz w:val="24"/>
          <w:szCs w:val="24"/>
        </w:rPr>
        <w:t xml:space="preserve">imperatives - the need to ensure that </w:t>
      </w:r>
      <w:r w:rsidRPr="006863F0">
        <w:rPr>
          <w:rFonts w:ascii="Arial" w:hAnsi="Arial" w:cs="Arial"/>
          <w:sz w:val="24"/>
          <w:szCs w:val="24"/>
        </w:rPr>
        <w:t>prosecutors are able to perform th</w:t>
      </w:r>
      <w:r>
        <w:rPr>
          <w:rFonts w:ascii="Arial" w:hAnsi="Arial" w:cs="Arial"/>
          <w:sz w:val="24"/>
          <w:szCs w:val="24"/>
        </w:rPr>
        <w:t>eir</w:t>
      </w:r>
      <w:r w:rsidRPr="006863F0">
        <w:rPr>
          <w:rFonts w:ascii="Arial" w:hAnsi="Arial" w:cs="Arial"/>
          <w:sz w:val="24"/>
          <w:szCs w:val="24"/>
        </w:rPr>
        <w:t xml:space="preserve"> function</w:t>
      </w:r>
      <w:r>
        <w:rPr>
          <w:rFonts w:ascii="Arial" w:hAnsi="Arial" w:cs="Arial"/>
          <w:sz w:val="24"/>
          <w:szCs w:val="24"/>
        </w:rPr>
        <w:t>s</w:t>
      </w:r>
      <w:r w:rsidRPr="006863F0">
        <w:rPr>
          <w:rFonts w:ascii="Arial" w:hAnsi="Arial" w:cs="Arial"/>
          <w:sz w:val="24"/>
          <w:szCs w:val="24"/>
        </w:rPr>
        <w:t xml:space="preserve"> without the fear of attracting civil liability</w:t>
      </w:r>
      <w:r>
        <w:rPr>
          <w:rFonts w:ascii="Arial" w:hAnsi="Arial" w:cs="Arial"/>
          <w:sz w:val="24"/>
          <w:szCs w:val="24"/>
        </w:rPr>
        <w:t xml:space="preserve"> and the necessity of protecting accused persons against baseless prosecutions - </w:t>
      </w:r>
      <w:r w:rsidRPr="006863F0">
        <w:rPr>
          <w:rFonts w:ascii="Arial" w:hAnsi="Arial" w:cs="Arial"/>
          <w:sz w:val="24"/>
          <w:szCs w:val="24"/>
        </w:rPr>
        <w:t>as follows:</w:t>
      </w:r>
    </w:p>
    <w:p w:rsidR="002313C6" w:rsidRPr="002313C6" w:rsidRDefault="002313C6" w:rsidP="002313C6">
      <w:pPr>
        <w:pStyle w:val="ListParagraph"/>
        <w:rPr>
          <w:rFonts w:ascii="Arial" w:hAnsi="Arial" w:cs="Arial"/>
          <w:sz w:val="24"/>
          <w:szCs w:val="24"/>
        </w:rPr>
      </w:pPr>
    </w:p>
    <w:p w:rsidR="000B16E1" w:rsidRPr="00BC2CC4" w:rsidRDefault="000B16E1" w:rsidP="000B16E1">
      <w:pPr>
        <w:pStyle w:val="NormalWeb"/>
        <w:spacing w:before="0" w:beforeAutospacing="0" w:after="0" w:afterAutospacing="0" w:line="360" w:lineRule="auto"/>
        <w:ind w:left="720"/>
        <w:jc w:val="both"/>
        <w:rPr>
          <w:rFonts w:ascii="Arial" w:hAnsi="Arial" w:cs="Arial"/>
          <w:sz w:val="22"/>
          <w:szCs w:val="22"/>
        </w:rPr>
      </w:pPr>
      <w:r w:rsidRPr="00BC2CC4">
        <w:rPr>
          <w:rFonts w:ascii="Arial" w:hAnsi="Arial" w:cs="Arial"/>
          <w:sz w:val="22"/>
          <w:szCs w:val="22"/>
        </w:rPr>
        <w:t>‘A distinctive feature of the tort is that the defendant has abused the coercive powers of the state. The law recognises that an official or private individual, who without justification sets in motion the criminal law against a defendant, is likely to cause serious injury to the victim. It will typically involve suffering for the victim and his family as well as damage to the reputation and credit of the victim. On the other hand, in a democracy, which upholds the rule of law, it is a delicate matter to allow actions to be brought in respect of the</w:t>
      </w:r>
      <w:r w:rsidR="002E3A78">
        <w:rPr>
          <w:rFonts w:ascii="Arial" w:hAnsi="Arial" w:cs="Arial"/>
          <w:sz w:val="22"/>
          <w:szCs w:val="22"/>
        </w:rPr>
        <w:t xml:space="preserve"> regular </w:t>
      </w:r>
      <w:r w:rsidR="002E3A78">
        <w:rPr>
          <w:rFonts w:ascii="Arial" w:hAnsi="Arial" w:cs="Arial"/>
          <w:sz w:val="22"/>
          <w:szCs w:val="22"/>
        </w:rPr>
        <w:lastRenderedPageBreak/>
        <w:t>processes of the law</w:t>
      </w:r>
      <w:r w:rsidR="003154E2">
        <w:rPr>
          <w:rFonts w:ascii="Arial" w:hAnsi="Arial" w:cs="Arial"/>
          <w:sz w:val="22"/>
          <w:szCs w:val="22"/>
        </w:rPr>
        <w:t>. . .</w:t>
      </w:r>
      <w:r w:rsidRPr="00BC2CC4">
        <w:rPr>
          <w:rFonts w:ascii="Arial" w:hAnsi="Arial" w:cs="Arial"/>
          <w:sz w:val="22"/>
          <w:szCs w:val="22"/>
        </w:rPr>
        <w:t xml:space="preserve">  The fear is that a widely drawn tort w</w:t>
      </w:r>
      <w:r w:rsidR="003154E2">
        <w:rPr>
          <w:rFonts w:ascii="Arial" w:hAnsi="Arial" w:cs="Arial"/>
          <w:sz w:val="22"/>
          <w:szCs w:val="22"/>
        </w:rPr>
        <w:t>ill discourage law enforcement. . .</w:t>
      </w:r>
      <w:r w:rsidRPr="00BC2CC4">
        <w:rPr>
          <w:rFonts w:ascii="Arial" w:hAnsi="Arial" w:cs="Arial"/>
          <w:sz w:val="22"/>
          <w:szCs w:val="22"/>
        </w:rPr>
        <w:t>’</w:t>
      </w:r>
      <w:r>
        <w:rPr>
          <w:rFonts w:ascii="Arial" w:hAnsi="Arial" w:cs="Arial"/>
          <w:sz w:val="22"/>
          <w:szCs w:val="22"/>
        </w:rPr>
        <w:t xml:space="preserve">  </w:t>
      </w:r>
    </w:p>
    <w:p w:rsidR="000B16E1" w:rsidRDefault="000B16E1" w:rsidP="002313C6">
      <w:pPr>
        <w:spacing w:line="480" w:lineRule="auto"/>
        <w:jc w:val="both"/>
        <w:rPr>
          <w:rFonts w:ascii="Arial" w:hAnsi="Arial" w:cs="Arial"/>
          <w:sz w:val="24"/>
          <w:szCs w:val="24"/>
        </w:rPr>
      </w:pPr>
    </w:p>
    <w:p w:rsidR="000B16E1" w:rsidRPr="006863F0" w:rsidRDefault="000B16E1" w:rsidP="000B16E1">
      <w:pPr>
        <w:pStyle w:val="ListParagraph"/>
        <w:numPr>
          <w:ilvl w:val="0"/>
          <w:numId w:val="22"/>
        </w:numPr>
        <w:spacing w:after="0" w:line="480" w:lineRule="auto"/>
        <w:ind w:left="0" w:firstLine="0"/>
        <w:jc w:val="both"/>
        <w:rPr>
          <w:rFonts w:ascii="Arial" w:hAnsi="Arial" w:cs="Arial"/>
          <w:sz w:val="24"/>
          <w:szCs w:val="24"/>
        </w:rPr>
      </w:pPr>
      <w:r w:rsidRPr="006863F0">
        <w:rPr>
          <w:rFonts w:ascii="Arial" w:hAnsi="Arial" w:cs="Arial"/>
          <w:sz w:val="24"/>
          <w:szCs w:val="24"/>
        </w:rPr>
        <w:t xml:space="preserve">The Supreme Court of Canada in </w:t>
      </w:r>
      <w:r w:rsidRPr="006863F0">
        <w:rPr>
          <w:rFonts w:ascii="Arial" w:hAnsi="Arial" w:cs="Arial"/>
          <w:i/>
          <w:sz w:val="24"/>
          <w:szCs w:val="24"/>
        </w:rPr>
        <w:t>Miazga v Kvello Estate</w:t>
      </w:r>
      <w:r w:rsidRPr="00566F9D">
        <w:rPr>
          <w:rStyle w:val="FootnoteReference"/>
          <w:rFonts w:ascii="Arial" w:hAnsi="Arial" w:cs="Arial"/>
          <w:sz w:val="24"/>
          <w:szCs w:val="24"/>
        </w:rPr>
        <w:footnoteReference w:id="7"/>
      </w:r>
      <w:r w:rsidRPr="006863F0">
        <w:rPr>
          <w:rFonts w:ascii="Arial" w:hAnsi="Arial" w:cs="Arial"/>
          <w:sz w:val="24"/>
          <w:szCs w:val="24"/>
        </w:rPr>
        <w:t xml:space="preserve"> explained the approach </w:t>
      </w:r>
      <w:r>
        <w:rPr>
          <w:rFonts w:ascii="Arial" w:hAnsi="Arial" w:cs="Arial"/>
          <w:sz w:val="24"/>
          <w:szCs w:val="24"/>
        </w:rPr>
        <w:t xml:space="preserve">to be adopted </w:t>
      </w:r>
      <w:r w:rsidRPr="006863F0">
        <w:rPr>
          <w:rFonts w:ascii="Arial" w:hAnsi="Arial" w:cs="Arial"/>
          <w:sz w:val="24"/>
          <w:szCs w:val="24"/>
        </w:rPr>
        <w:t>when claims of malicious prosecution against the Attorney-General as opposed to claims against private litigants</w:t>
      </w:r>
      <w:r>
        <w:rPr>
          <w:rFonts w:ascii="Arial" w:hAnsi="Arial" w:cs="Arial"/>
          <w:sz w:val="24"/>
          <w:szCs w:val="24"/>
        </w:rPr>
        <w:t xml:space="preserve"> are considered</w:t>
      </w:r>
      <w:r w:rsidRPr="006863F0">
        <w:rPr>
          <w:rFonts w:ascii="Arial" w:hAnsi="Arial" w:cs="Arial"/>
          <w:sz w:val="24"/>
          <w:szCs w:val="24"/>
        </w:rPr>
        <w:t>.  The court did this against the back</w:t>
      </w:r>
      <w:r>
        <w:rPr>
          <w:rFonts w:ascii="Arial" w:hAnsi="Arial" w:cs="Arial"/>
          <w:sz w:val="24"/>
          <w:szCs w:val="24"/>
        </w:rPr>
        <w:t>drop</w:t>
      </w:r>
      <w:r w:rsidRPr="006863F0">
        <w:rPr>
          <w:rFonts w:ascii="Arial" w:hAnsi="Arial" w:cs="Arial"/>
          <w:sz w:val="24"/>
          <w:szCs w:val="24"/>
        </w:rPr>
        <w:t xml:space="preserve"> of the historical origin of the claim for malicious prosecution.</w:t>
      </w:r>
      <w:r w:rsidRPr="00566F9D">
        <w:rPr>
          <w:rStyle w:val="FootnoteReference"/>
          <w:rFonts w:ascii="Arial" w:hAnsi="Arial" w:cs="Arial"/>
          <w:sz w:val="24"/>
          <w:szCs w:val="24"/>
        </w:rPr>
        <w:footnoteReference w:id="8"/>
      </w:r>
      <w:r w:rsidRPr="006863F0">
        <w:rPr>
          <w:rFonts w:ascii="Arial" w:hAnsi="Arial" w:cs="Arial"/>
          <w:sz w:val="24"/>
          <w:szCs w:val="24"/>
        </w:rPr>
        <w:t xml:space="preserve">  The court said that care should be taken </w:t>
      </w:r>
      <w:r>
        <w:rPr>
          <w:rFonts w:ascii="Arial" w:hAnsi="Arial" w:cs="Arial"/>
          <w:sz w:val="24"/>
          <w:szCs w:val="24"/>
        </w:rPr>
        <w:t xml:space="preserve">to </w:t>
      </w:r>
      <w:r w:rsidRPr="006863F0">
        <w:rPr>
          <w:rFonts w:ascii="Arial" w:hAnsi="Arial" w:cs="Arial"/>
          <w:sz w:val="24"/>
          <w:szCs w:val="24"/>
        </w:rPr>
        <w:t>not simply transpose the principles established in civil suits between private parties to cases involving the prosecution without necessary modifications.  Due regard had to be given to the constitutional principles governing the office of the Attorney-General.  It is for this reason that the Supreme Court of Canada has adopted ‘</w:t>
      </w:r>
      <w:r w:rsidRPr="006863F0">
        <w:rPr>
          <w:rFonts w:ascii="Arial" w:hAnsi="Arial" w:cs="Arial"/>
          <w:color w:val="000000"/>
          <w:sz w:val="24"/>
          <w:szCs w:val="24"/>
          <w:shd w:val="clear" w:color="auto" w:fill="FFFFFF"/>
        </w:rPr>
        <w:t>a very high threshold for the tort of malicious prosecution in an action against a public prosecutor</w:t>
      </w:r>
      <w:r w:rsidR="00F07F5B">
        <w:rPr>
          <w:rFonts w:ascii="Arial" w:hAnsi="Arial" w:cs="Arial"/>
          <w:color w:val="000000"/>
          <w:sz w:val="24"/>
          <w:szCs w:val="24"/>
          <w:shd w:val="clear" w:color="auto" w:fill="FFFFFF"/>
        </w:rPr>
        <w:t>.</w:t>
      </w:r>
      <w:r w:rsidRPr="006863F0">
        <w:rPr>
          <w:rFonts w:ascii="Arial" w:hAnsi="Arial" w:cs="Arial"/>
          <w:color w:val="000000"/>
          <w:sz w:val="24"/>
          <w:szCs w:val="24"/>
          <w:shd w:val="clear" w:color="auto" w:fill="FFFFFF"/>
        </w:rPr>
        <w:t>’</w:t>
      </w:r>
      <w:r w:rsidRPr="006863F0">
        <w:rPr>
          <w:rStyle w:val="FootnoteReference"/>
          <w:rFonts w:ascii="Arial" w:hAnsi="Arial" w:cs="Arial"/>
          <w:color w:val="000000"/>
          <w:sz w:val="24"/>
          <w:szCs w:val="24"/>
          <w:shd w:val="clear" w:color="auto" w:fill="FFFFFF"/>
        </w:rPr>
        <w:footnoteReference w:id="9"/>
      </w:r>
      <w:r w:rsidRPr="006863F0">
        <w:rPr>
          <w:rFonts w:ascii="Arial" w:hAnsi="Arial" w:cs="Arial"/>
          <w:color w:val="000000"/>
          <w:sz w:val="24"/>
          <w:szCs w:val="24"/>
          <w:shd w:val="clear" w:color="auto" w:fill="FFFFFF"/>
        </w:rPr>
        <w:t xml:space="preserve">   </w:t>
      </w:r>
    </w:p>
    <w:p w:rsidR="000B16E1" w:rsidRPr="006863F0" w:rsidRDefault="000B16E1" w:rsidP="000B16E1">
      <w:pPr>
        <w:spacing w:after="0" w:line="480" w:lineRule="auto"/>
        <w:ind w:left="360"/>
        <w:jc w:val="both"/>
        <w:rPr>
          <w:rFonts w:ascii="Arial" w:hAnsi="Arial" w:cs="Arial"/>
          <w:sz w:val="24"/>
          <w:szCs w:val="24"/>
        </w:rPr>
      </w:pPr>
    </w:p>
    <w:p w:rsidR="000B16E1" w:rsidRPr="006863F0" w:rsidRDefault="000B16E1" w:rsidP="000B16E1">
      <w:pPr>
        <w:pStyle w:val="ListParagraph"/>
        <w:numPr>
          <w:ilvl w:val="0"/>
          <w:numId w:val="22"/>
        </w:numPr>
        <w:spacing w:after="0" w:line="480" w:lineRule="auto"/>
        <w:ind w:left="0" w:firstLine="0"/>
        <w:jc w:val="both"/>
        <w:rPr>
          <w:rFonts w:ascii="Arial" w:hAnsi="Arial" w:cs="Arial"/>
          <w:sz w:val="24"/>
          <w:szCs w:val="24"/>
        </w:rPr>
      </w:pPr>
      <w:r w:rsidRPr="006863F0">
        <w:rPr>
          <w:rFonts w:ascii="Arial" w:hAnsi="Arial" w:cs="Arial"/>
          <w:sz w:val="24"/>
          <w:szCs w:val="24"/>
        </w:rPr>
        <w:t xml:space="preserve">The Court pointed out that an allegation of malicious prosecution constitutes </w:t>
      </w:r>
      <w:r>
        <w:rPr>
          <w:rFonts w:ascii="Arial" w:hAnsi="Arial" w:cs="Arial"/>
          <w:sz w:val="24"/>
          <w:szCs w:val="24"/>
        </w:rPr>
        <w:t>‘</w:t>
      </w:r>
      <w:r w:rsidRPr="006863F0">
        <w:rPr>
          <w:rFonts w:ascii="Arial" w:hAnsi="Arial" w:cs="Arial"/>
          <w:sz w:val="24"/>
          <w:szCs w:val="24"/>
        </w:rPr>
        <w:t>an after-the-fact attack</w:t>
      </w:r>
      <w:r>
        <w:rPr>
          <w:rFonts w:ascii="Arial" w:hAnsi="Arial" w:cs="Arial"/>
          <w:sz w:val="24"/>
          <w:szCs w:val="24"/>
        </w:rPr>
        <w:t>’</w:t>
      </w:r>
      <w:r w:rsidRPr="006863F0">
        <w:rPr>
          <w:rFonts w:ascii="Arial" w:hAnsi="Arial" w:cs="Arial"/>
          <w:sz w:val="24"/>
          <w:szCs w:val="24"/>
        </w:rPr>
        <w:t xml:space="preserve"> on the propriety of the prosecutor’s decision to initiate or continue criminal proceedings against </w:t>
      </w:r>
      <w:r>
        <w:rPr>
          <w:rFonts w:ascii="Arial" w:hAnsi="Arial" w:cs="Arial"/>
          <w:sz w:val="24"/>
          <w:szCs w:val="24"/>
        </w:rPr>
        <w:t xml:space="preserve">a </w:t>
      </w:r>
      <w:r w:rsidRPr="006863F0">
        <w:rPr>
          <w:rFonts w:ascii="Arial" w:hAnsi="Arial" w:cs="Arial"/>
          <w:sz w:val="24"/>
          <w:szCs w:val="24"/>
        </w:rPr>
        <w:t xml:space="preserve">plaintiff.  </w:t>
      </w:r>
      <w:r>
        <w:rPr>
          <w:rFonts w:ascii="Arial" w:hAnsi="Arial" w:cs="Arial"/>
          <w:sz w:val="24"/>
          <w:szCs w:val="24"/>
        </w:rPr>
        <w:t xml:space="preserve">It </w:t>
      </w:r>
      <w:r w:rsidRPr="006863F0">
        <w:rPr>
          <w:rFonts w:ascii="Arial" w:hAnsi="Arial" w:cs="Arial"/>
          <w:sz w:val="24"/>
          <w:szCs w:val="24"/>
        </w:rPr>
        <w:t xml:space="preserve">pointed out further that the decision to initiate or continue criminal proceedings lies at the core of prosecutorial discretion, which enjoys constitutional protection.  </w:t>
      </w:r>
      <w:r>
        <w:rPr>
          <w:rFonts w:ascii="Arial" w:hAnsi="Arial" w:cs="Arial"/>
          <w:sz w:val="24"/>
          <w:szCs w:val="24"/>
        </w:rPr>
        <w:t>At para 47 t</w:t>
      </w:r>
      <w:r w:rsidRPr="006863F0">
        <w:rPr>
          <w:rFonts w:ascii="Arial" w:hAnsi="Arial" w:cs="Arial"/>
          <w:sz w:val="24"/>
          <w:szCs w:val="24"/>
        </w:rPr>
        <w:t xml:space="preserve">he </w:t>
      </w:r>
      <w:r>
        <w:rPr>
          <w:rFonts w:ascii="Arial" w:hAnsi="Arial" w:cs="Arial"/>
          <w:sz w:val="24"/>
          <w:szCs w:val="24"/>
        </w:rPr>
        <w:t>c</w:t>
      </w:r>
      <w:r w:rsidRPr="006863F0">
        <w:rPr>
          <w:rFonts w:ascii="Arial" w:hAnsi="Arial" w:cs="Arial"/>
          <w:sz w:val="24"/>
          <w:szCs w:val="24"/>
        </w:rPr>
        <w:t xml:space="preserve">ourt </w:t>
      </w:r>
      <w:r w:rsidR="002F04DC">
        <w:rPr>
          <w:rFonts w:ascii="Arial" w:hAnsi="Arial" w:cs="Arial"/>
          <w:sz w:val="24"/>
          <w:szCs w:val="24"/>
        </w:rPr>
        <w:t>observed</w:t>
      </w:r>
      <w:r>
        <w:rPr>
          <w:rFonts w:ascii="Arial" w:hAnsi="Arial" w:cs="Arial"/>
          <w:sz w:val="24"/>
          <w:szCs w:val="24"/>
        </w:rPr>
        <w:t>:</w:t>
      </w:r>
    </w:p>
    <w:p w:rsidR="000B16E1" w:rsidRPr="00566F9D" w:rsidRDefault="000B16E1" w:rsidP="002313C6">
      <w:pPr>
        <w:pStyle w:val="ListParagraph"/>
        <w:spacing w:after="0" w:line="480" w:lineRule="auto"/>
        <w:ind w:left="0"/>
        <w:jc w:val="both"/>
        <w:rPr>
          <w:rFonts w:ascii="Arial" w:hAnsi="Arial" w:cs="Arial"/>
          <w:sz w:val="24"/>
          <w:szCs w:val="24"/>
        </w:rPr>
      </w:pPr>
    </w:p>
    <w:p w:rsidR="000B16E1" w:rsidRDefault="000B16E1" w:rsidP="000B16E1">
      <w:pPr>
        <w:pStyle w:val="ListParagraph"/>
        <w:spacing w:line="360" w:lineRule="auto"/>
        <w:jc w:val="both"/>
        <w:rPr>
          <w:rFonts w:ascii="Arial" w:hAnsi="Arial" w:cs="Arial"/>
        </w:rPr>
      </w:pPr>
      <w:r w:rsidRPr="00BC2CC4">
        <w:rPr>
          <w:rFonts w:ascii="Arial" w:hAnsi="Arial" w:cs="Arial"/>
        </w:rPr>
        <w:t xml:space="preserve">‘In exercising their discretion to prosecute, Crown prosecutors perform a function inherent in the office of the Attorney General that brings the principle of independence into play.  Its fundamental importance lies, not in protecting the interests of individual Crown </w:t>
      </w:r>
      <w:r w:rsidRPr="00BC2CC4">
        <w:rPr>
          <w:rFonts w:ascii="Arial" w:hAnsi="Arial" w:cs="Arial"/>
        </w:rPr>
        <w:lastRenderedPageBreak/>
        <w:t xml:space="preserve">attorneys, but in advancing the public interest by enabling prosecutors to make discretionary decisions in fulfilment of their professional obligations without fear of judicial or political interference, thus fulfilling their quasi-judicial role as </w:t>
      </w:r>
      <w:r w:rsidR="00F07F5B">
        <w:rPr>
          <w:rFonts w:ascii="Arial" w:hAnsi="Arial" w:cs="Arial"/>
        </w:rPr>
        <w:t>“</w:t>
      </w:r>
      <w:r w:rsidRPr="00BC2CC4">
        <w:rPr>
          <w:rFonts w:ascii="Arial" w:hAnsi="Arial" w:cs="Arial"/>
        </w:rPr>
        <w:t>ministers of justice”’.</w:t>
      </w:r>
      <w:r>
        <w:rPr>
          <w:rFonts w:ascii="Arial" w:hAnsi="Arial" w:cs="Arial"/>
        </w:rPr>
        <w:t xml:space="preserve"> </w:t>
      </w:r>
    </w:p>
    <w:p w:rsidR="002313C6" w:rsidRPr="002313C6" w:rsidRDefault="002313C6" w:rsidP="002313C6">
      <w:pPr>
        <w:pStyle w:val="ListParagraph"/>
        <w:spacing w:line="480" w:lineRule="auto"/>
        <w:jc w:val="both"/>
        <w:rPr>
          <w:rFonts w:ascii="Arial" w:hAnsi="Arial" w:cs="Arial"/>
          <w:sz w:val="24"/>
          <w:szCs w:val="24"/>
        </w:rPr>
      </w:pPr>
    </w:p>
    <w:p w:rsidR="000B16E1" w:rsidRPr="008E1DC1" w:rsidRDefault="000B16E1" w:rsidP="000B16E1">
      <w:pPr>
        <w:pStyle w:val="ListParagraph"/>
        <w:numPr>
          <w:ilvl w:val="0"/>
          <w:numId w:val="22"/>
        </w:numPr>
        <w:spacing w:after="0" w:line="480" w:lineRule="auto"/>
        <w:ind w:left="0" w:firstLine="0"/>
        <w:jc w:val="both"/>
        <w:rPr>
          <w:rFonts w:ascii="Arial" w:hAnsi="Arial" w:cs="Arial"/>
          <w:sz w:val="24"/>
          <w:szCs w:val="24"/>
        </w:rPr>
      </w:pPr>
      <w:r w:rsidRPr="008E1DC1">
        <w:rPr>
          <w:rFonts w:ascii="Arial" w:hAnsi="Arial" w:cs="Arial"/>
          <w:sz w:val="24"/>
          <w:szCs w:val="24"/>
        </w:rPr>
        <w:t xml:space="preserve">The court </w:t>
      </w:r>
      <w:r>
        <w:rPr>
          <w:rFonts w:ascii="Arial" w:hAnsi="Arial" w:cs="Arial"/>
          <w:sz w:val="24"/>
          <w:szCs w:val="24"/>
        </w:rPr>
        <w:t xml:space="preserve">pointed out </w:t>
      </w:r>
      <w:r w:rsidRPr="008E1DC1">
        <w:rPr>
          <w:rFonts w:ascii="Arial" w:hAnsi="Arial" w:cs="Arial"/>
          <w:sz w:val="24"/>
          <w:szCs w:val="24"/>
        </w:rPr>
        <w:t xml:space="preserve">that a stringent standard must be met before finding of liability on the part of a prosecutor is made. This ensures that courts </w:t>
      </w:r>
      <w:r w:rsidR="00E968F9">
        <w:rPr>
          <w:rFonts w:ascii="Arial" w:hAnsi="Arial" w:cs="Arial"/>
          <w:sz w:val="24"/>
          <w:szCs w:val="24"/>
        </w:rPr>
        <w:t>‘</w:t>
      </w:r>
      <w:r w:rsidRPr="008E1DC1">
        <w:rPr>
          <w:rFonts w:ascii="Arial" w:hAnsi="Arial" w:cs="Arial"/>
          <w:sz w:val="24"/>
          <w:szCs w:val="24"/>
        </w:rPr>
        <w:t>do not simply engage in the second-guessing of decisions made pursuant to the Crown’s prosecutorial discretion.</w:t>
      </w:r>
      <w:r w:rsidR="00E968F9">
        <w:rPr>
          <w:rFonts w:ascii="Arial" w:hAnsi="Arial" w:cs="Arial"/>
          <w:sz w:val="24"/>
          <w:szCs w:val="24"/>
        </w:rPr>
        <w:t>’</w:t>
      </w:r>
      <w:r w:rsidRPr="00566F9D">
        <w:rPr>
          <w:rStyle w:val="FootnoteReference"/>
          <w:rFonts w:ascii="Arial" w:hAnsi="Arial" w:cs="Arial"/>
          <w:sz w:val="24"/>
          <w:szCs w:val="24"/>
        </w:rPr>
        <w:footnoteReference w:id="10"/>
      </w:r>
      <w:r w:rsidRPr="008E1DC1">
        <w:rPr>
          <w:rFonts w:ascii="Arial" w:hAnsi="Arial" w:cs="Arial"/>
          <w:sz w:val="24"/>
          <w:szCs w:val="24"/>
        </w:rPr>
        <w:t xml:space="preserve">  At para 51, the court observed that liability should lie where;</w:t>
      </w:r>
    </w:p>
    <w:p w:rsidR="000B16E1" w:rsidRPr="00566F9D" w:rsidRDefault="000B16E1" w:rsidP="002313C6">
      <w:pPr>
        <w:pStyle w:val="ListParagraph"/>
        <w:spacing w:after="0" w:line="480" w:lineRule="auto"/>
        <w:ind w:left="0"/>
        <w:jc w:val="both"/>
        <w:rPr>
          <w:rFonts w:ascii="Arial" w:hAnsi="Arial" w:cs="Arial"/>
          <w:sz w:val="24"/>
          <w:szCs w:val="24"/>
        </w:rPr>
      </w:pPr>
    </w:p>
    <w:p w:rsidR="000B16E1" w:rsidRPr="006863F0" w:rsidRDefault="000B16E1" w:rsidP="000B16E1">
      <w:pPr>
        <w:pStyle w:val="ListParagraph"/>
        <w:spacing w:line="360" w:lineRule="auto"/>
        <w:jc w:val="both"/>
        <w:rPr>
          <w:rFonts w:ascii="Arial" w:hAnsi="Arial" w:cs="Arial"/>
        </w:rPr>
      </w:pPr>
      <w:r w:rsidRPr="006863F0">
        <w:rPr>
          <w:rFonts w:ascii="Arial" w:hAnsi="Arial" w:cs="Arial"/>
        </w:rPr>
        <w:t>‘…a Crown prosecutor’s actions are so egregious that they take the prosecutor outside his or her proper role as minister of justice, such that the general rule of judicial non-intervention with Crown discretion is no longer justified.</w:t>
      </w:r>
      <w:r w:rsidR="00F07F5B">
        <w:rPr>
          <w:rFonts w:ascii="Arial" w:hAnsi="Arial" w:cs="Arial"/>
        </w:rPr>
        <w:t>’</w:t>
      </w:r>
      <w:r w:rsidRPr="006863F0">
        <w:rPr>
          <w:rStyle w:val="FootnoteReference"/>
          <w:rFonts w:ascii="Arial" w:hAnsi="Arial" w:cs="Arial"/>
        </w:rPr>
        <w:footnoteReference w:id="11"/>
      </w:r>
    </w:p>
    <w:p w:rsidR="000B16E1" w:rsidRPr="00387BBB" w:rsidRDefault="000B16E1" w:rsidP="00387BBB">
      <w:pPr>
        <w:pStyle w:val="ListParagraph"/>
        <w:spacing w:line="480" w:lineRule="auto"/>
        <w:jc w:val="both"/>
        <w:rPr>
          <w:rFonts w:ascii="Arial" w:hAnsi="Arial" w:cs="Arial"/>
          <w:sz w:val="24"/>
          <w:szCs w:val="24"/>
        </w:rPr>
      </w:pPr>
    </w:p>
    <w:p w:rsidR="007F5DF8" w:rsidRPr="007F5DF8" w:rsidRDefault="00EB6BB6" w:rsidP="007F5DF8">
      <w:pPr>
        <w:pStyle w:val="ListParagraph"/>
        <w:numPr>
          <w:ilvl w:val="0"/>
          <w:numId w:val="22"/>
        </w:numPr>
        <w:tabs>
          <w:tab w:val="left" w:pos="0"/>
        </w:tabs>
        <w:spacing w:after="0" w:line="480" w:lineRule="auto"/>
        <w:ind w:left="0" w:firstLine="0"/>
        <w:jc w:val="both"/>
      </w:pPr>
      <w:r>
        <w:rPr>
          <w:rFonts w:ascii="Arial" w:hAnsi="Arial" w:cs="Arial"/>
          <w:color w:val="000000" w:themeColor="text1"/>
          <w:sz w:val="24"/>
          <w:szCs w:val="24"/>
          <w:shd w:val="clear" w:color="auto" w:fill="FFFFFF"/>
        </w:rPr>
        <w:t>I endorse this approach</w:t>
      </w:r>
      <w:r w:rsidR="007F5DF8">
        <w:rPr>
          <w:rFonts w:ascii="Arial" w:hAnsi="Arial" w:cs="Arial"/>
          <w:color w:val="000000" w:themeColor="text1"/>
          <w:sz w:val="24"/>
          <w:szCs w:val="24"/>
          <w:shd w:val="clear" w:color="auto" w:fill="FFFFFF"/>
        </w:rPr>
        <w:t>. F</w:t>
      </w:r>
      <w:r>
        <w:rPr>
          <w:rFonts w:ascii="Arial" w:hAnsi="Arial" w:cs="Arial"/>
          <w:color w:val="000000" w:themeColor="text1"/>
          <w:sz w:val="24"/>
          <w:szCs w:val="24"/>
          <w:shd w:val="clear" w:color="auto" w:fill="FFFFFF"/>
        </w:rPr>
        <w:t xml:space="preserve">or </w:t>
      </w:r>
      <w:r w:rsidR="007F5DF8">
        <w:rPr>
          <w:rFonts w:ascii="Arial" w:hAnsi="Arial" w:cs="Arial"/>
          <w:color w:val="000000" w:themeColor="text1"/>
          <w:sz w:val="24"/>
          <w:szCs w:val="24"/>
          <w:shd w:val="clear" w:color="auto" w:fill="FFFFFF"/>
        </w:rPr>
        <w:t xml:space="preserve">the exercise of </w:t>
      </w:r>
      <w:r>
        <w:rPr>
          <w:rFonts w:ascii="Arial" w:hAnsi="Arial" w:cs="Arial"/>
          <w:color w:val="000000" w:themeColor="text1"/>
          <w:sz w:val="24"/>
          <w:szCs w:val="24"/>
          <w:shd w:val="clear" w:color="auto" w:fill="FFFFFF"/>
        </w:rPr>
        <w:t xml:space="preserve">discretion </w:t>
      </w:r>
      <w:r w:rsidR="007F5DF8">
        <w:rPr>
          <w:rFonts w:ascii="Arial" w:hAnsi="Arial" w:cs="Arial"/>
          <w:color w:val="000000" w:themeColor="text1"/>
          <w:sz w:val="24"/>
          <w:szCs w:val="24"/>
          <w:shd w:val="clear" w:color="auto" w:fill="FFFFFF"/>
        </w:rPr>
        <w:t xml:space="preserve">by </w:t>
      </w:r>
      <w:r>
        <w:rPr>
          <w:rFonts w:ascii="Arial" w:hAnsi="Arial" w:cs="Arial"/>
          <w:color w:val="000000" w:themeColor="text1"/>
          <w:sz w:val="24"/>
          <w:szCs w:val="24"/>
          <w:shd w:val="clear" w:color="auto" w:fill="FFFFFF"/>
        </w:rPr>
        <w:t xml:space="preserve">a prosecutor to justify judicial intervention must be </w:t>
      </w:r>
      <w:r w:rsidR="002E3A78">
        <w:rPr>
          <w:rFonts w:ascii="Arial" w:hAnsi="Arial" w:cs="Arial"/>
          <w:color w:val="000000" w:themeColor="text1"/>
          <w:sz w:val="24"/>
          <w:szCs w:val="24"/>
          <w:shd w:val="clear" w:color="auto" w:fill="FFFFFF"/>
        </w:rPr>
        <w:t xml:space="preserve">an </w:t>
      </w:r>
      <w:r>
        <w:rPr>
          <w:rFonts w:ascii="Arial" w:hAnsi="Arial" w:cs="Arial"/>
          <w:color w:val="000000" w:themeColor="text1"/>
          <w:sz w:val="24"/>
          <w:szCs w:val="24"/>
          <w:shd w:val="clear" w:color="auto" w:fill="FFFFFF"/>
        </w:rPr>
        <w:t xml:space="preserve">egregious type </w:t>
      </w:r>
      <w:r w:rsidR="007F5DF8">
        <w:rPr>
          <w:rFonts w:ascii="Arial" w:hAnsi="Arial" w:cs="Arial"/>
          <w:color w:val="000000" w:themeColor="text1"/>
          <w:sz w:val="24"/>
          <w:szCs w:val="24"/>
          <w:shd w:val="clear" w:color="auto" w:fill="FFFFFF"/>
        </w:rPr>
        <w:t xml:space="preserve">of conduct </w:t>
      </w:r>
      <w:r>
        <w:rPr>
          <w:rFonts w:ascii="Arial" w:hAnsi="Arial" w:cs="Arial"/>
          <w:color w:val="000000" w:themeColor="text1"/>
          <w:sz w:val="24"/>
          <w:szCs w:val="24"/>
          <w:shd w:val="clear" w:color="auto" w:fill="FFFFFF"/>
        </w:rPr>
        <w:t xml:space="preserve">identified by the Canadian Supreme Court in </w:t>
      </w:r>
      <w:r w:rsidRPr="00EB6BB6">
        <w:rPr>
          <w:rFonts w:ascii="Arial" w:hAnsi="Arial" w:cs="Arial"/>
          <w:i/>
          <w:color w:val="000000" w:themeColor="text1"/>
          <w:sz w:val="24"/>
          <w:szCs w:val="24"/>
          <w:shd w:val="clear" w:color="auto" w:fill="FFFFFF"/>
        </w:rPr>
        <w:t>Miazga v Kvello Estate</w:t>
      </w:r>
      <w:r>
        <w:rPr>
          <w:rFonts w:ascii="Arial" w:hAnsi="Arial" w:cs="Arial"/>
          <w:color w:val="000000" w:themeColor="text1"/>
          <w:sz w:val="24"/>
          <w:szCs w:val="24"/>
          <w:shd w:val="clear" w:color="auto" w:fill="FFFFFF"/>
        </w:rPr>
        <w:t>. Error of ju</w:t>
      </w:r>
      <w:r w:rsidR="007F5DF8">
        <w:rPr>
          <w:rFonts w:ascii="Arial" w:hAnsi="Arial" w:cs="Arial"/>
          <w:color w:val="000000" w:themeColor="text1"/>
          <w:sz w:val="24"/>
          <w:szCs w:val="24"/>
          <w:shd w:val="clear" w:color="auto" w:fill="FFFFFF"/>
        </w:rPr>
        <w:t>d</w:t>
      </w:r>
      <w:r>
        <w:rPr>
          <w:rFonts w:ascii="Arial" w:hAnsi="Arial" w:cs="Arial"/>
          <w:color w:val="000000" w:themeColor="text1"/>
          <w:sz w:val="24"/>
          <w:szCs w:val="24"/>
          <w:shd w:val="clear" w:color="auto" w:fill="FFFFFF"/>
        </w:rPr>
        <w:t>gment in the exercise of the prosecuto</w:t>
      </w:r>
      <w:r w:rsidR="007F5DF8">
        <w:rPr>
          <w:rFonts w:ascii="Arial" w:hAnsi="Arial" w:cs="Arial"/>
          <w:color w:val="000000" w:themeColor="text1"/>
          <w:sz w:val="24"/>
          <w:szCs w:val="24"/>
          <w:shd w:val="clear" w:color="auto" w:fill="FFFFFF"/>
        </w:rPr>
        <w:t>r</w:t>
      </w:r>
      <w:r>
        <w:rPr>
          <w:rFonts w:ascii="Arial" w:hAnsi="Arial" w:cs="Arial"/>
          <w:color w:val="000000" w:themeColor="text1"/>
          <w:sz w:val="24"/>
          <w:szCs w:val="24"/>
          <w:shd w:val="clear" w:color="auto" w:fill="FFFFFF"/>
        </w:rPr>
        <w:t xml:space="preserve">’s discretion, even negligent error is not sufficient.  </w:t>
      </w:r>
    </w:p>
    <w:p w:rsidR="007F5DF8" w:rsidRPr="002313C6" w:rsidRDefault="007F5DF8" w:rsidP="007F5DF8">
      <w:pPr>
        <w:tabs>
          <w:tab w:val="left" w:pos="0"/>
        </w:tabs>
        <w:spacing w:after="0" w:line="480" w:lineRule="auto"/>
        <w:ind w:left="360"/>
        <w:jc w:val="both"/>
        <w:rPr>
          <w:rFonts w:ascii="Arial" w:hAnsi="Arial" w:cs="Arial"/>
        </w:rPr>
      </w:pPr>
    </w:p>
    <w:p w:rsidR="000B16E1" w:rsidRPr="00566DCA" w:rsidRDefault="000B16E1" w:rsidP="007F5DF8">
      <w:pPr>
        <w:pStyle w:val="ListParagraph"/>
        <w:numPr>
          <w:ilvl w:val="0"/>
          <w:numId w:val="22"/>
        </w:numPr>
        <w:tabs>
          <w:tab w:val="left" w:pos="0"/>
        </w:tabs>
        <w:spacing w:after="0" w:line="480" w:lineRule="auto"/>
        <w:ind w:left="0" w:firstLine="0"/>
        <w:jc w:val="both"/>
      </w:pPr>
      <w:r w:rsidRPr="00566DCA">
        <w:rPr>
          <w:rFonts w:ascii="Arial" w:hAnsi="Arial" w:cs="Arial"/>
          <w:color w:val="000000" w:themeColor="text1"/>
          <w:sz w:val="24"/>
          <w:szCs w:val="24"/>
          <w:shd w:val="clear" w:color="auto" w:fill="FFFFFF"/>
        </w:rPr>
        <w:t xml:space="preserve">The elements that must be </w:t>
      </w:r>
      <w:r>
        <w:rPr>
          <w:rFonts w:ascii="Arial" w:hAnsi="Arial" w:cs="Arial"/>
          <w:color w:val="000000" w:themeColor="text1"/>
          <w:sz w:val="24"/>
          <w:szCs w:val="24"/>
          <w:shd w:val="clear" w:color="auto" w:fill="FFFFFF"/>
        </w:rPr>
        <w:t xml:space="preserve">alleged and </w:t>
      </w:r>
      <w:r w:rsidRPr="00566DCA">
        <w:rPr>
          <w:rFonts w:ascii="Arial" w:hAnsi="Arial" w:cs="Arial"/>
          <w:color w:val="000000" w:themeColor="text1"/>
          <w:sz w:val="24"/>
          <w:szCs w:val="24"/>
          <w:shd w:val="clear" w:color="auto" w:fill="FFFFFF"/>
        </w:rPr>
        <w:t xml:space="preserve">proved in a claim for malicious prosecution </w:t>
      </w:r>
      <w:r>
        <w:rPr>
          <w:rFonts w:ascii="Arial" w:hAnsi="Arial" w:cs="Arial"/>
          <w:color w:val="000000" w:themeColor="text1"/>
          <w:sz w:val="24"/>
          <w:szCs w:val="24"/>
          <w:shd w:val="clear" w:color="auto" w:fill="FFFFFF"/>
        </w:rPr>
        <w:t xml:space="preserve">(on the merits and quantum) </w:t>
      </w:r>
      <w:r w:rsidRPr="00566DCA">
        <w:rPr>
          <w:rFonts w:ascii="Arial" w:hAnsi="Arial" w:cs="Arial"/>
          <w:color w:val="000000" w:themeColor="text1"/>
          <w:sz w:val="24"/>
          <w:szCs w:val="24"/>
          <w:shd w:val="clear" w:color="auto" w:fill="FFFFFF"/>
        </w:rPr>
        <w:t xml:space="preserve">were set out by Damaseb JP in </w:t>
      </w:r>
      <w:r w:rsidRPr="00566DCA">
        <w:rPr>
          <w:rFonts w:ascii="Arial" w:hAnsi="Arial" w:cs="Arial"/>
          <w:i/>
          <w:color w:val="000000" w:themeColor="text1"/>
          <w:sz w:val="24"/>
          <w:szCs w:val="24"/>
          <w:shd w:val="clear" w:color="auto" w:fill="FFFFFF"/>
        </w:rPr>
        <w:t>Akuake v Jansen van Rensburg</w:t>
      </w:r>
      <w:r w:rsidRPr="00566DCA">
        <w:rPr>
          <w:rFonts w:ascii="Arial" w:hAnsi="Arial" w:cs="Arial"/>
          <w:color w:val="000000" w:themeColor="text1"/>
          <w:sz w:val="24"/>
          <w:szCs w:val="24"/>
          <w:shd w:val="clear" w:color="auto" w:fill="FFFFFF"/>
        </w:rPr>
        <w:t>.</w:t>
      </w:r>
      <w:r>
        <w:rPr>
          <w:rStyle w:val="FootnoteReference"/>
          <w:rFonts w:ascii="Arial" w:hAnsi="Arial" w:cs="Arial"/>
          <w:color w:val="000000" w:themeColor="text1"/>
          <w:sz w:val="24"/>
          <w:szCs w:val="24"/>
          <w:shd w:val="clear" w:color="auto" w:fill="FFFFFF"/>
        </w:rPr>
        <w:footnoteReference w:id="12"/>
      </w:r>
      <w:r w:rsidRPr="00566DCA">
        <w:rPr>
          <w:rFonts w:ascii="Arial" w:hAnsi="Arial" w:cs="Arial"/>
          <w:color w:val="000000" w:themeColor="text1"/>
          <w:sz w:val="24"/>
          <w:szCs w:val="24"/>
          <w:shd w:val="clear" w:color="auto" w:fill="FFFFFF"/>
        </w:rPr>
        <w:t xml:space="preserve"> These requirements are:  </w:t>
      </w:r>
    </w:p>
    <w:p w:rsidR="000B16E1" w:rsidRPr="00387BBB" w:rsidRDefault="000B16E1" w:rsidP="00387BBB">
      <w:pPr>
        <w:tabs>
          <w:tab w:val="left" w:pos="0"/>
        </w:tabs>
        <w:spacing w:after="0" w:line="480" w:lineRule="auto"/>
        <w:ind w:left="360"/>
        <w:jc w:val="both"/>
        <w:rPr>
          <w:rFonts w:ascii="Arial" w:hAnsi="Arial" w:cs="Arial"/>
          <w:sz w:val="24"/>
          <w:szCs w:val="24"/>
        </w:rPr>
      </w:pPr>
    </w:p>
    <w:p w:rsidR="000B16E1" w:rsidRPr="00566DCA" w:rsidRDefault="000B16E1" w:rsidP="00047406">
      <w:pPr>
        <w:pStyle w:val="ListParagraph"/>
        <w:numPr>
          <w:ilvl w:val="0"/>
          <w:numId w:val="38"/>
        </w:numPr>
        <w:spacing w:after="0" w:line="360" w:lineRule="auto"/>
        <w:ind w:left="1570" w:hanging="850"/>
        <w:jc w:val="both"/>
        <w:rPr>
          <w:rFonts w:ascii="Arial" w:hAnsi="Arial" w:cs="Arial"/>
          <w:sz w:val="24"/>
          <w:szCs w:val="24"/>
        </w:rPr>
      </w:pPr>
      <w:r w:rsidRPr="00566DCA">
        <w:rPr>
          <w:rFonts w:ascii="Arial" w:hAnsi="Arial" w:cs="Arial"/>
          <w:sz w:val="24"/>
          <w:szCs w:val="24"/>
        </w:rPr>
        <w:t xml:space="preserve">The defendant </w:t>
      </w:r>
      <w:r w:rsidR="008C1F83">
        <w:rPr>
          <w:rFonts w:ascii="Arial" w:hAnsi="Arial" w:cs="Arial"/>
          <w:sz w:val="24"/>
          <w:szCs w:val="24"/>
        </w:rPr>
        <w:t xml:space="preserve">must have </w:t>
      </w:r>
      <w:r w:rsidRPr="00566DCA">
        <w:rPr>
          <w:rFonts w:ascii="Arial" w:hAnsi="Arial" w:cs="Arial"/>
          <w:sz w:val="24"/>
          <w:szCs w:val="24"/>
        </w:rPr>
        <w:t>instituted or instigated the proceedings;</w:t>
      </w:r>
    </w:p>
    <w:p w:rsidR="000B16E1" w:rsidRPr="00566DCA" w:rsidRDefault="000B16E1" w:rsidP="00047406">
      <w:pPr>
        <w:pStyle w:val="ListParagraph"/>
        <w:ind w:left="589"/>
        <w:rPr>
          <w:rFonts w:ascii="Arial" w:hAnsi="Arial" w:cs="Arial"/>
          <w:sz w:val="24"/>
          <w:szCs w:val="24"/>
        </w:rPr>
      </w:pPr>
    </w:p>
    <w:p w:rsidR="000B16E1" w:rsidRPr="00566DCA" w:rsidRDefault="000B16E1" w:rsidP="00047406">
      <w:pPr>
        <w:pStyle w:val="ListParagraph"/>
        <w:numPr>
          <w:ilvl w:val="0"/>
          <w:numId w:val="38"/>
        </w:numPr>
        <w:spacing w:after="0" w:line="360" w:lineRule="auto"/>
        <w:ind w:left="1570" w:hanging="850"/>
        <w:jc w:val="both"/>
        <w:rPr>
          <w:rFonts w:ascii="Arial" w:hAnsi="Arial" w:cs="Arial"/>
          <w:sz w:val="24"/>
          <w:szCs w:val="24"/>
        </w:rPr>
      </w:pPr>
      <w:r w:rsidRPr="00566DCA">
        <w:rPr>
          <w:rFonts w:ascii="Arial" w:hAnsi="Arial" w:cs="Arial"/>
          <w:sz w:val="24"/>
          <w:szCs w:val="24"/>
        </w:rPr>
        <w:lastRenderedPageBreak/>
        <w:t xml:space="preserve">The defendant </w:t>
      </w:r>
      <w:r w:rsidR="007020D1">
        <w:rPr>
          <w:rFonts w:ascii="Arial" w:hAnsi="Arial" w:cs="Arial"/>
          <w:sz w:val="24"/>
          <w:szCs w:val="24"/>
        </w:rPr>
        <w:t xml:space="preserve">must have </w:t>
      </w:r>
      <w:r w:rsidRPr="00566DCA">
        <w:rPr>
          <w:rFonts w:ascii="Arial" w:hAnsi="Arial" w:cs="Arial"/>
          <w:sz w:val="24"/>
          <w:szCs w:val="24"/>
        </w:rPr>
        <w:t>acted without reasonable and probable cause;</w:t>
      </w:r>
    </w:p>
    <w:p w:rsidR="000B16E1" w:rsidRPr="00566DCA" w:rsidRDefault="000B16E1" w:rsidP="00387BBB">
      <w:pPr>
        <w:pStyle w:val="ListParagraph"/>
        <w:spacing w:line="480" w:lineRule="auto"/>
        <w:ind w:left="589"/>
        <w:jc w:val="both"/>
        <w:rPr>
          <w:rFonts w:ascii="Arial" w:hAnsi="Arial" w:cs="Arial"/>
          <w:sz w:val="24"/>
          <w:szCs w:val="24"/>
        </w:rPr>
      </w:pPr>
    </w:p>
    <w:p w:rsidR="000B16E1" w:rsidRPr="00566DCA" w:rsidRDefault="000B16E1" w:rsidP="00047406">
      <w:pPr>
        <w:pStyle w:val="ListParagraph"/>
        <w:numPr>
          <w:ilvl w:val="0"/>
          <w:numId w:val="38"/>
        </w:numPr>
        <w:spacing w:after="0" w:line="360" w:lineRule="auto"/>
        <w:ind w:left="1570" w:hanging="850"/>
        <w:jc w:val="both"/>
        <w:rPr>
          <w:rFonts w:ascii="Arial" w:hAnsi="Arial" w:cs="Arial"/>
          <w:sz w:val="24"/>
          <w:szCs w:val="24"/>
        </w:rPr>
      </w:pPr>
      <w:r w:rsidRPr="00566DCA">
        <w:rPr>
          <w:rFonts w:ascii="Arial" w:hAnsi="Arial" w:cs="Arial"/>
          <w:sz w:val="24"/>
          <w:szCs w:val="24"/>
        </w:rPr>
        <w:t xml:space="preserve">The defendant </w:t>
      </w:r>
      <w:r w:rsidR="00A70B53">
        <w:rPr>
          <w:rFonts w:ascii="Arial" w:hAnsi="Arial" w:cs="Arial"/>
          <w:sz w:val="24"/>
          <w:szCs w:val="24"/>
        </w:rPr>
        <w:t xml:space="preserve">must have been </w:t>
      </w:r>
      <w:r w:rsidRPr="00566DCA">
        <w:rPr>
          <w:rFonts w:ascii="Arial" w:hAnsi="Arial" w:cs="Arial"/>
          <w:sz w:val="24"/>
          <w:szCs w:val="24"/>
        </w:rPr>
        <w:t>actuated by an improper motive or malice</w:t>
      </w:r>
      <w:r>
        <w:rPr>
          <w:rFonts w:ascii="Arial" w:hAnsi="Arial" w:cs="Arial"/>
          <w:sz w:val="24"/>
          <w:szCs w:val="24"/>
        </w:rPr>
        <w:t xml:space="preserve"> (or </w:t>
      </w:r>
      <w:r w:rsidRPr="003418C4">
        <w:rPr>
          <w:rFonts w:ascii="Arial" w:hAnsi="Arial" w:cs="Arial"/>
          <w:i/>
          <w:sz w:val="24"/>
          <w:szCs w:val="24"/>
        </w:rPr>
        <w:t>anim</w:t>
      </w:r>
      <w:r w:rsidR="008C1F83">
        <w:rPr>
          <w:rFonts w:ascii="Arial" w:hAnsi="Arial" w:cs="Arial"/>
          <w:i/>
          <w:sz w:val="24"/>
          <w:szCs w:val="24"/>
        </w:rPr>
        <w:t>o</w:t>
      </w:r>
      <w:r w:rsidRPr="003418C4">
        <w:rPr>
          <w:rFonts w:ascii="Arial" w:hAnsi="Arial" w:cs="Arial"/>
          <w:i/>
          <w:sz w:val="24"/>
          <w:szCs w:val="24"/>
        </w:rPr>
        <w:t xml:space="preserve"> injuriandi</w:t>
      </w:r>
      <w:r>
        <w:rPr>
          <w:rFonts w:ascii="Arial" w:hAnsi="Arial" w:cs="Arial"/>
          <w:sz w:val="24"/>
          <w:szCs w:val="24"/>
        </w:rPr>
        <w:t>);</w:t>
      </w:r>
    </w:p>
    <w:p w:rsidR="000B16E1" w:rsidRPr="00566DCA" w:rsidRDefault="000B16E1" w:rsidP="00387BBB">
      <w:pPr>
        <w:pStyle w:val="ListParagraph"/>
        <w:spacing w:line="480" w:lineRule="auto"/>
        <w:ind w:left="589"/>
        <w:jc w:val="both"/>
        <w:rPr>
          <w:rFonts w:ascii="Arial" w:hAnsi="Arial" w:cs="Arial"/>
          <w:sz w:val="24"/>
          <w:szCs w:val="24"/>
        </w:rPr>
      </w:pPr>
    </w:p>
    <w:p w:rsidR="000B16E1" w:rsidRDefault="000B16E1" w:rsidP="00047406">
      <w:pPr>
        <w:pStyle w:val="ListParagraph"/>
        <w:numPr>
          <w:ilvl w:val="0"/>
          <w:numId w:val="38"/>
        </w:numPr>
        <w:spacing w:after="0" w:line="360" w:lineRule="auto"/>
        <w:ind w:left="1570" w:hanging="850"/>
        <w:jc w:val="both"/>
        <w:rPr>
          <w:rFonts w:ascii="Arial" w:hAnsi="Arial" w:cs="Arial"/>
          <w:sz w:val="24"/>
          <w:szCs w:val="24"/>
        </w:rPr>
      </w:pPr>
      <w:r w:rsidRPr="00566DCA">
        <w:rPr>
          <w:rFonts w:ascii="Arial" w:hAnsi="Arial" w:cs="Arial"/>
          <w:sz w:val="24"/>
          <w:szCs w:val="24"/>
        </w:rPr>
        <w:t xml:space="preserve">The proceedings </w:t>
      </w:r>
      <w:r w:rsidR="007020D1">
        <w:rPr>
          <w:rFonts w:ascii="Arial" w:hAnsi="Arial" w:cs="Arial"/>
          <w:sz w:val="24"/>
          <w:szCs w:val="24"/>
        </w:rPr>
        <w:t xml:space="preserve">must have </w:t>
      </w:r>
      <w:r w:rsidRPr="00566DCA">
        <w:rPr>
          <w:rFonts w:ascii="Arial" w:hAnsi="Arial" w:cs="Arial"/>
          <w:sz w:val="24"/>
          <w:szCs w:val="24"/>
        </w:rPr>
        <w:t>terminated in the plaintiff’s favour</w:t>
      </w:r>
      <w:r>
        <w:rPr>
          <w:rFonts w:ascii="Arial" w:hAnsi="Arial" w:cs="Arial"/>
          <w:sz w:val="24"/>
          <w:szCs w:val="24"/>
        </w:rPr>
        <w:t xml:space="preserve">, and </w:t>
      </w:r>
    </w:p>
    <w:p w:rsidR="000B16E1" w:rsidRPr="005F6F9B" w:rsidRDefault="000B16E1" w:rsidP="00387BBB">
      <w:pPr>
        <w:pStyle w:val="ListParagraph"/>
        <w:spacing w:line="480" w:lineRule="auto"/>
        <w:ind w:left="589"/>
        <w:jc w:val="both"/>
        <w:rPr>
          <w:rFonts w:ascii="Arial" w:hAnsi="Arial" w:cs="Arial"/>
          <w:sz w:val="24"/>
          <w:szCs w:val="24"/>
        </w:rPr>
      </w:pPr>
    </w:p>
    <w:p w:rsidR="000B16E1" w:rsidRPr="00566DCA" w:rsidRDefault="000B16E1" w:rsidP="00047406">
      <w:pPr>
        <w:pStyle w:val="ListParagraph"/>
        <w:numPr>
          <w:ilvl w:val="0"/>
          <w:numId w:val="38"/>
        </w:numPr>
        <w:spacing w:after="0" w:line="360" w:lineRule="auto"/>
        <w:ind w:left="1570" w:hanging="850"/>
        <w:jc w:val="both"/>
        <w:rPr>
          <w:rFonts w:ascii="Arial" w:hAnsi="Arial" w:cs="Arial"/>
          <w:sz w:val="24"/>
          <w:szCs w:val="24"/>
        </w:rPr>
      </w:pPr>
      <w:r>
        <w:rPr>
          <w:rFonts w:ascii="Arial" w:hAnsi="Arial" w:cs="Arial"/>
          <w:sz w:val="24"/>
          <w:szCs w:val="24"/>
        </w:rPr>
        <w:t xml:space="preserve">The plaintiff </w:t>
      </w:r>
      <w:r w:rsidR="00A70B53">
        <w:rPr>
          <w:rFonts w:ascii="Arial" w:hAnsi="Arial" w:cs="Arial"/>
          <w:sz w:val="24"/>
          <w:szCs w:val="24"/>
        </w:rPr>
        <w:t xml:space="preserve">must have </w:t>
      </w:r>
      <w:r>
        <w:rPr>
          <w:rFonts w:ascii="Arial" w:hAnsi="Arial" w:cs="Arial"/>
          <w:sz w:val="24"/>
          <w:szCs w:val="24"/>
        </w:rPr>
        <w:t>suffered damage</w:t>
      </w:r>
      <w:r w:rsidR="007020D1">
        <w:rPr>
          <w:rFonts w:ascii="Arial" w:hAnsi="Arial" w:cs="Arial"/>
          <w:sz w:val="24"/>
          <w:szCs w:val="24"/>
        </w:rPr>
        <w:t xml:space="preserve"> (financial loss or personality infringement)</w:t>
      </w:r>
      <w:r w:rsidRPr="00566DCA">
        <w:rPr>
          <w:rFonts w:ascii="Arial" w:hAnsi="Arial" w:cs="Arial"/>
          <w:sz w:val="24"/>
          <w:szCs w:val="24"/>
        </w:rPr>
        <w:t>.</w:t>
      </w:r>
    </w:p>
    <w:p w:rsidR="002964F7" w:rsidRDefault="002964F7" w:rsidP="00387BBB">
      <w:pPr>
        <w:spacing w:after="0" w:line="480" w:lineRule="auto"/>
        <w:jc w:val="both"/>
        <w:rPr>
          <w:rFonts w:ascii="Arial" w:hAnsi="Arial" w:cs="Arial"/>
          <w:sz w:val="24"/>
          <w:szCs w:val="24"/>
          <w:u w:val="single"/>
        </w:rPr>
      </w:pPr>
    </w:p>
    <w:p w:rsidR="00B15862" w:rsidRDefault="00B15862" w:rsidP="00387BBB">
      <w:pPr>
        <w:spacing w:after="0" w:line="480" w:lineRule="auto"/>
        <w:jc w:val="both"/>
        <w:rPr>
          <w:rFonts w:ascii="Arial" w:hAnsi="Arial" w:cs="Arial"/>
          <w:sz w:val="24"/>
          <w:szCs w:val="24"/>
        </w:rPr>
      </w:pPr>
      <w:r w:rsidRPr="00B15862">
        <w:rPr>
          <w:rFonts w:ascii="Arial" w:hAnsi="Arial" w:cs="Arial"/>
          <w:sz w:val="24"/>
          <w:szCs w:val="24"/>
          <w:u w:val="single"/>
        </w:rPr>
        <w:t xml:space="preserve">Malice </w:t>
      </w:r>
      <w:r>
        <w:rPr>
          <w:rFonts w:ascii="Arial" w:hAnsi="Arial" w:cs="Arial"/>
          <w:sz w:val="24"/>
          <w:szCs w:val="24"/>
          <w:u w:val="single"/>
        </w:rPr>
        <w:t>and/</w:t>
      </w:r>
      <w:r w:rsidRPr="00B15862">
        <w:rPr>
          <w:rFonts w:ascii="Arial" w:hAnsi="Arial" w:cs="Arial"/>
          <w:sz w:val="24"/>
          <w:szCs w:val="24"/>
          <w:u w:val="single"/>
        </w:rPr>
        <w:t xml:space="preserve">or </w:t>
      </w:r>
      <w:r w:rsidRPr="00B15862">
        <w:rPr>
          <w:rFonts w:ascii="Arial" w:hAnsi="Arial" w:cs="Arial"/>
          <w:i/>
          <w:sz w:val="24"/>
          <w:szCs w:val="24"/>
          <w:u w:val="single"/>
        </w:rPr>
        <w:t>animus injuriandi</w:t>
      </w:r>
      <w:r>
        <w:rPr>
          <w:rFonts w:ascii="Arial" w:hAnsi="Arial" w:cs="Arial"/>
          <w:sz w:val="24"/>
          <w:szCs w:val="24"/>
        </w:rPr>
        <w:t>?</w:t>
      </w:r>
    </w:p>
    <w:p w:rsidR="004F1231" w:rsidRDefault="004F1231" w:rsidP="0031009B">
      <w:pPr>
        <w:pStyle w:val="ListParagraph"/>
        <w:numPr>
          <w:ilvl w:val="0"/>
          <w:numId w:val="22"/>
        </w:numPr>
        <w:spacing w:after="0" w:line="480" w:lineRule="auto"/>
        <w:ind w:left="0" w:firstLine="0"/>
        <w:jc w:val="both"/>
        <w:rPr>
          <w:rFonts w:ascii="Arial" w:hAnsi="Arial" w:cs="Arial"/>
          <w:sz w:val="24"/>
          <w:szCs w:val="24"/>
        </w:rPr>
      </w:pPr>
      <w:r w:rsidRPr="004F1231">
        <w:rPr>
          <w:rFonts w:ascii="Arial" w:hAnsi="Arial" w:cs="Arial"/>
          <w:sz w:val="24"/>
          <w:szCs w:val="24"/>
        </w:rPr>
        <w:t xml:space="preserve">There </w:t>
      </w:r>
      <w:r w:rsidR="00257BD7">
        <w:rPr>
          <w:rFonts w:ascii="Arial" w:hAnsi="Arial" w:cs="Arial"/>
          <w:sz w:val="24"/>
          <w:szCs w:val="24"/>
        </w:rPr>
        <w:t>a</w:t>
      </w:r>
      <w:r w:rsidR="0031009B">
        <w:rPr>
          <w:rFonts w:ascii="Arial" w:hAnsi="Arial" w:cs="Arial"/>
          <w:sz w:val="24"/>
          <w:szCs w:val="24"/>
        </w:rPr>
        <w:t>ppear</w:t>
      </w:r>
      <w:r w:rsidR="007F5DF8">
        <w:rPr>
          <w:rFonts w:ascii="Arial" w:hAnsi="Arial" w:cs="Arial"/>
          <w:sz w:val="24"/>
          <w:szCs w:val="24"/>
        </w:rPr>
        <w:t>s</w:t>
      </w:r>
      <w:r w:rsidR="0031009B">
        <w:rPr>
          <w:rFonts w:ascii="Arial" w:hAnsi="Arial" w:cs="Arial"/>
          <w:sz w:val="24"/>
          <w:szCs w:val="24"/>
        </w:rPr>
        <w:t xml:space="preserve"> to be </w:t>
      </w:r>
      <w:r w:rsidRPr="004F1231">
        <w:rPr>
          <w:rFonts w:ascii="Arial" w:hAnsi="Arial" w:cs="Arial"/>
          <w:sz w:val="24"/>
          <w:szCs w:val="24"/>
        </w:rPr>
        <w:t>divergent views in the cases and in the leading text</w:t>
      </w:r>
      <w:r w:rsidR="007F5DF8">
        <w:rPr>
          <w:rFonts w:ascii="Arial" w:hAnsi="Arial" w:cs="Arial"/>
          <w:sz w:val="24"/>
          <w:szCs w:val="24"/>
        </w:rPr>
        <w:t xml:space="preserve"> books</w:t>
      </w:r>
      <w:r w:rsidRPr="004F1231">
        <w:rPr>
          <w:rFonts w:ascii="Arial" w:hAnsi="Arial" w:cs="Arial"/>
          <w:sz w:val="24"/>
          <w:szCs w:val="24"/>
        </w:rPr>
        <w:t xml:space="preserve"> as to whether in a claim for malicious prosecution </w:t>
      </w:r>
      <w:r w:rsidR="00A70B53">
        <w:rPr>
          <w:rFonts w:ascii="Arial" w:hAnsi="Arial" w:cs="Arial"/>
          <w:sz w:val="24"/>
          <w:szCs w:val="24"/>
        </w:rPr>
        <w:t xml:space="preserve">in South African law </w:t>
      </w:r>
      <w:r w:rsidRPr="004F1231">
        <w:rPr>
          <w:rFonts w:ascii="Arial" w:hAnsi="Arial" w:cs="Arial"/>
          <w:sz w:val="24"/>
          <w:szCs w:val="24"/>
        </w:rPr>
        <w:t xml:space="preserve">the plaintiff must prove both </w:t>
      </w:r>
      <w:r w:rsidRPr="004F1231">
        <w:rPr>
          <w:rFonts w:ascii="Arial" w:hAnsi="Arial" w:cs="Arial"/>
          <w:i/>
          <w:sz w:val="24"/>
          <w:szCs w:val="24"/>
        </w:rPr>
        <w:t>animus iniuriandi</w:t>
      </w:r>
      <w:r w:rsidRPr="004F1231">
        <w:rPr>
          <w:rFonts w:ascii="Arial" w:hAnsi="Arial" w:cs="Arial"/>
          <w:sz w:val="24"/>
          <w:szCs w:val="24"/>
        </w:rPr>
        <w:t xml:space="preserve"> and malice. </w:t>
      </w:r>
      <w:r w:rsidR="00A70B53">
        <w:rPr>
          <w:rFonts w:ascii="Arial" w:hAnsi="Arial" w:cs="Arial"/>
          <w:sz w:val="24"/>
          <w:szCs w:val="24"/>
        </w:rPr>
        <w:t>As far as I was able to ascertain, this is a matter that has hitherto not been decided by our courts.</w:t>
      </w:r>
    </w:p>
    <w:p w:rsidR="00D42521" w:rsidRPr="00D42521" w:rsidRDefault="00D42521" w:rsidP="0031009B">
      <w:pPr>
        <w:spacing w:after="0" w:line="480" w:lineRule="auto"/>
        <w:ind w:left="360"/>
        <w:jc w:val="both"/>
        <w:rPr>
          <w:rFonts w:ascii="Arial" w:hAnsi="Arial" w:cs="Arial"/>
          <w:sz w:val="24"/>
          <w:szCs w:val="24"/>
        </w:rPr>
      </w:pPr>
    </w:p>
    <w:p w:rsidR="004F1231" w:rsidRDefault="004F1231" w:rsidP="0031009B">
      <w:pPr>
        <w:pStyle w:val="ListParagraph"/>
        <w:numPr>
          <w:ilvl w:val="0"/>
          <w:numId w:val="22"/>
        </w:numPr>
        <w:spacing w:after="0" w:line="480" w:lineRule="auto"/>
        <w:ind w:left="0" w:firstLine="0"/>
        <w:jc w:val="both"/>
        <w:rPr>
          <w:rFonts w:ascii="Arial" w:hAnsi="Arial" w:cs="Arial"/>
          <w:sz w:val="24"/>
          <w:szCs w:val="24"/>
        </w:rPr>
      </w:pPr>
      <w:r w:rsidRPr="004F1231">
        <w:rPr>
          <w:rFonts w:ascii="Arial" w:hAnsi="Arial" w:cs="Arial"/>
          <w:sz w:val="24"/>
          <w:szCs w:val="24"/>
        </w:rPr>
        <w:t xml:space="preserve">Professor McQuoid-Mason in LAWSA </w:t>
      </w:r>
      <w:r w:rsidR="007020D1">
        <w:rPr>
          <w:rFonts w:ascii="Arial" w:hAnsi="Arial" w:cs="Arial"/>
          <w:sz w:val="24"/>
          <w:szCs w:val="24"/>
        </w:rPr>
        <w:t xml:space="preserve">points out </w:t>
      </w:r>
      <w:r w:rsidRPr="004F1231">
        <w:rPr>
          <w:rFonts w:ascii="Arial" w:hAnsi="Arial" w:cs="Arial"/>
          <w:sz w:val="24"/>
          <w:szCs w:val="24"/>
        </w:rPr>
        <w:t xml:space="preserve">that malice means that the defendant had either an absence of belief in the guilt of the accused (which may include recklessness), or an improper or indirect motive other than that of bringing the plaintiff to justice. He states that traditionally malice has been distinguished from </w:t>
      </w:r>
      <w:r w:rsidRPr="004F1231">
        <w:rPr>
          <w:rFonts w:ascii="Arial" w:hAnsi="Arial" w:cs="Arial"/>
          <w:i/>
          <w:sz w:val="24"/>
          <w:szCs w:val="24"/>
        </w:rPr>
        <w:t>animus iniuriandi</w:t>
      </w:r>
      <w:r w:rsidRPr="004F1231">
        <w:rPr>
          <w:rFonts w:ascii="Arial" w:hAnsi="Arial" w:cs="Arial"/>
          <w:sz w:val="24"/>
          <w:szCs w:val="24"/>
        </w:rPr>
        <w:t xml:space="preserve">.  </w:t>
      </w:r>
      <w:r w:rsidR="00837E25">
        <w:rPr>
          <w:rFonts w:ascii="Arial" w:hAnsi="Arial" w:cs="Arial"/>
          <w:sz w:val="24"/>
          <w:szCs w:val="24"/>
        </w:rPr>
        <w:t xml:space="preserve">Malice is concerned with the question of lawfulness whereas </w:t>
      </w:r>
      <w:r w:rsidR="00837E25" w:rsidRPr="00837E25">
        <w:rPr>
          <w:rFonts w:ascii="Arial" w:hAnsi="Arial" w:cs="Arial"/>
          <w:i/>
          <w:sz w:val="24"/>
          <w:szCs w:val="24"/>
        </w:rPr>
        <w:t>animus iniuriandi</w:t>
      </w:r>
      <w:r w:rsidR="00837E25">
        <w:rPr>
          <w:rFonts w:ascii="Arial" w:hAnsi="Arial" w:cs="Arial"/>
          <w:sz w:val="24"/>
          <w:szCs w:val="24"/>
        </w:rPr>
        <w:t xml:space="preserve"> refers to fault. </w:t>
      </w:r>
      <w:r w:rsidRPr="004F1231">
        <w:rPr>
          <w:rFonts w:ascii="Arial" w:hAnsi="Arial" w:cs="Arial"/>
          <w:i/>
          <w:sz w:val="24"/>
          <w:szCs w:val="24"/>
        </w:rPr>
        <w:t>Animus in</w:t>
      </w:r>
      <w:r w:rsidR="007F5DF8">
        <w:rPr>
          <w:rFonts w:ascii="Arial" w:hAnsi="Arial" w:cs="Arial"/>
          <w:i/>
          <w:sz w:val="24"/>
          <w:szCs w:val="24"/>
        </w:rPr>
        <w:t>j</w:t>
      </w:r>
      <w:r w:rsidRPr="004F1231">
        <w:rPr>
          <w:rFonts w:ascii="Arial" w:hAnsi="Arial" w:cs="Arial"/>
          <w:i/>
          <w:sz w:val="24"/>
          <w:szCs w:val="24"/>
        </w:rPr>
        <w:t>uriandi</w:t>
      </w:r>
      <w:r w:rsidRPr="004F1231">
        <w:rPr>
          <w:rFonts w:ascii="Arial" w:hAnsi="Arial" w:cs="Arial"/>
          <w:sz w:val="24"/>
          <w:szCs w:val="24"/>
        </w:rPr>
        <w:t xml:space="preserve"> (which will generally be presumed</w:t>
      </w:r>
      <w:r w:rsidR="004E5F28">
        <w:rPr>
          <w:rFonts w:ascii="Arial" w:hAnsi="Arial" w:cs="Arial"/>
          <w:sz w:val="24"/>
          <w:szCs w:val="24"/>
        </w:rPr>
        <w:t xml:space="preserve"> under the </w:t>
      </w:r>
      <w:r w:rsidR="004E5F28" w:rsidRPr="004E5F28">
        <w:rPr>
          <w:rFonts w:ascii="Arial" w:hAnsi="Arial" w:cs="Arial"/>
          <w:i/>
          <w:sz w:val="24"/>
          <w:szCs w:val="24"/>
        </w:rPr>
        <w:t>actio in</w:t>
      </w:r>
      <w:r w:rsidR="004E5F28">
        <w:rPr>
          <w:rFonts w:ascii="Arial" w:hAnsi="Arial" w:cs="Arial"/>
          <w:i/>
          <w:sz w:val="24"/>
          <w:szCs w:val="24"/>
        </w:rPr>
        <w:t>i</w:t>
      </w:r>
      <w:r w:rsidR="004E5F28" w:rsidRPr="004E5F28">
        <w:rPr>
          <w:rFonts w:ascii="Arial" w:hAnsi="Arial" w:cs="Arial"/>
          <w:i/>
          <w:sz w:val="24"/>
          <w:szCs w:val="24"/>
        </w:rPr>
        <w:t>uriarum</w:t>
      </w:r>
      <w:r w:rsidRPr="004F1231">
        <w:rPr>
          <w:rFonts w:ascii="Arial" w:hAnsi="Arial" w:cs="Arial"/>
          <w:sz w:val="24"/>
          <w:szCs w:val="24"/>
        </w:rPr>
        <w:t xml:space="preserve">) is required as the fault element, and malice should still be required to establish wrongfulness. </w:t>
      </w:r>
      <w:r w:rsidR="007020D1">
        <w:rPr>
          <w:rFonts w:ascii="Arial" w:hAnsi="Arial" w:cs="Arial"/>
          <w:sz w:val="24"/>
          <w:szCs w:val="24"/>
        </w:rPr>
        <w:t xml:space="preserve">The learned professor </w:t>
      </w:r>
      <w:r w:rsidRPr="004F1231">
        <w:rPr>
          <w:rFonts w:ascii="Arial" w:hAnsi="Arial" w:cs="Arial"/>
          <w:sz w:val="24"/>
          <w:szCs w:val="24"/>
        </w:rPr>
        <w:t xml:space="preserve">states that in practice courts ‘appear to pay mere lip </w:t>
      </w:r>
      <w:r w:rsidRPr="004F1231">
        <w:rPr>
          <w:rFonts w:ascii="Arial" w:hAnsi="Arial" w:cs="Arial"/>
          <w:sz w:val="24"/>
          <w:szCs w:val="24"/>
        </w:rPr>
        <w:lastRenderedPageBreak/>
        <w:t xml:space="preserve">service to the concept of </w:t>
      </w:r>
      <w:r w:rsidRPr="004F1231">
        <w:rPr>
          <w:rFonts w:ascii="Arial" w:hAnsi="Arial" w:cs="Arial"/>
          <w:i/>
          <w:sz w:val="24"/>
          <w:szCs w:val="24"/>
        </w:rPr>
        <w:t xml:space="preserve">animus injuriandi </w:t>
      </w:r>
      <w:r w:rsidRPr="004F1231">
        <w:rPr>
          <w:rFonts w:ascii="Arial" w:hAnsi="Arial" w:cs="Arial"/>
          <w:sz w:val="24"/>
          <w:szCs w:val="24"/>
        </w:rPr>
        <w:t>and only enquire into the motives of the defendant.’</w:t>
      </w:r>
      <w:r w:rsidRPr="00FA3BBD">
        <w:rPr>
          <w:rStyle w:val="FootnoteReference"/>
          <w:rFonts w:ascii="Arial" w:hAnsi="Arial" w:cs="Arial"/>
          <w:sz w:val="24"/>
          <w:szCs w:val="24"/>
        </w:rPr>
        <w:footnoteReference w:id="13"/>
      </w:r>
    </w:p>
    <w:p w:rsidR="00D42521" w:rsidRPr="00D42521" w:rsidRDefault="00D42521" w:rsidP="0031009B">
      <w:pPr>
        <w:spacing w:after="0" w:line="480" w:lineRule="auto"/>
        <w:ind w:left="360"/>
        <w:jc w:val="both"/>
        <w:rPr>
          <w:rFonts w:ascii="Arial" w:hAnsi="Arial" w:cs="Arial"/>
          <w:sz w:val="24"/>
          <w:szCs w:val="24"/>
        </w:rPr>
      </w:pPr>
    </w:p>
    <w:p w:rsidR="00E166EE" w:rsidRPr="00837E25" w:rsidRDefault="00D42521" w:rsidP="00E166EE">
      <w:pPr>
        <w:pStyle w:val="ListParagraph"/>
        <w:numPr>
          <w:ilvl w:val="0"/>
          <w:numId w:val="22"/>
        </w:numPr>
        <w:spacing w:after="0" w:line="480" w:lineRule="auto"/>
        <w:ind w:left="0" w:firstLine="0"/>
        <w:jc w:val="both"/>
        <w:rPr>
          <w:rFonts w:ascii="Arial" w:hAnsi="Arial" w:cs="Arial"/>
          <w:color w:val="000000" w:themeColor="text1"/>
          <w:sz w:val="24"/>
          <w:szCs w:val="24"/>
        </w:rPr>
      </w:pPr>
      <w:r w:rsidRPr="00837E25">
        <w:rPr>
          <w:rFonts w:ascii="Arial" w:hAnsi="Arial" w:cs="Arial"/>
          <w:sz w:val="24"/>
          <w:szCs w:val="24"/>
        </w:rPr>
        <w:t xml:space="preserve">The South African Supreme Court of Appeal has held that what has to be proved is </w:t>
      </w:r>
      <w:r w:rsidRPr="00837E25">
        <w:rPr>
          <w:rFonts w:ascii="Arial" w:hAnsi="Arial" w:cs="Arial"/>
          <w:i/>
          <w:sz w:val="24"/>
          <w:szCs w:val="24"/>
        </w:rPr>
        <w:t>animus injuriandi</w:t>
      </w:r>
      <w:r w:rsidRPr="00837E25">
        <w:rPr>
          <w:rFonts w:ascii="Arial" w:hAnsi="Arial" w:cs="Arial"/>
          <w:sz w:val="24"/>
          <w:szCs w:val="24"/>
        </w:rPr>
        <w:t>.</w:t>
      </w:r>
      <w:r w:rsidRPr="00FA3BBD">
        <w:rPr>
          <w:rStyle w:val="FootnoteReference"/>
          <w:rFonts w:ascii="Arial" w:hAnsi="Arial" w:cs="Arial"/>
          <w:sz w:val="24"/>
          <w:szCs w:val="24"/>
        </w:rPr>
        <w:footnoteReference w:id="14"/>
      </w:r>
      <w:r w:rsidR="00837E25" w:rsidRPr="00837E25">
        <w:rPr>
          <w:rFonts w:ascii="Arial" w:hAnsi="Arial" w:cs="Arial"/>
          <w:sz w:val="24"/>
          <w:szCs w:val="24"/>
        </w:rPr>
        <w:t xml:space="preserve"> The same court </w:t>
      </w:r>
      <w:r w:rsidR="00E166EE" w:rsidRPr="00837E25">
        <w:rPr>
          <w:rFonts w:ascii="Arial" w:hAnsi="Arial" w:cs="Arial"/>
          <w:color w:val="000000" w:themeColor="text1"/>
          <w:sz w:val="24"/>
          <w:szCs w:val="24"/>
        </w:rPr>
        <w:t xml:space="preserve">pointed out in </w:t>
      </w:r>
      <w:r w:rsidR="00E166EE" w:rsidRPr="00837E25">
        <w:rPr>
          <w:rFonts w:ascii="Arial" w:hAnsi="Arial" w:cs="Arial"/>
          <w:i/>
          <w:color w:val="000000" w:themeColor="text1"/>
          <w:sz w:val="24"/>
          <w:szCs w:val="24"/>
        </w:rPr>
        <w:t>Relyan</w:t>
      </w:r>
      <w:r w:rsidR="00445EE7">
        <w:rPr>
          <w:rFonts w:ascii="Arial" w:hAnsi="Arial" w:cs="Arial"/>
          <w:i/>
          <w:color w:val="000000" w:themeColor="text1"/>
          <w:sz w:val="24"/>
          <w:szCs w:val="24"/>
        </w:rPr>
        <w:t>t</w:t>
      </w:r>
      <w:r w:rsidR="00E166EE" w:rsidRPr="00837E25">
        <w:rPr>
          <w:rFonts w:ascii="Arial" w:hAnsi="Arial" w:cs="Arial"/>
          <w:i/>
          <w:color w:val="000000" w:themeColor="text1"/>
          <w:sz w:val="24"/>
          <w:szCs w:val="24"/>
        </w:rPr>
        <w:t xml:space="preserve"> Trading (Pty) Ltd v Shongwe and another</w:t>
      </w:r>
      <w:r w:rsidR="00E166EE">
        <w:rPr>
          <w:rStyle w:val="FootnoteReference"/>
          <w:rFonts w:ascii="Arial" w:hAnsi="Arial" w:cs="Arial"/>
          <w:color w:val="000000" w:themeColor="text1"/>
          <w:sz w:val="24"/>
          <w:szCs w:val="24"/>
        </w:rPr>
        <w:footnoteReference w:id="15"/>
      </w:r>
      <w:r w:rsidR="00837E25">
        <w:rPr>
          <w:rFonts w:ascii="Arial" w:hAnsi="Arial" w:cs="Arial"/>
          <w:color w:val="000000" w:themeColor="text1"/>
          <w:sz w:val="24"/>
          <w:szCs w:val="24"/>
        </w:rPr>
        <w:t xml:space="preserve"> that:</w:t>
      </w:r>
    </w:p>
    <w:p w:rsidR="00E166EE" w:rsidRPr="00E20E5E" w:rsidRDefault="00E166EE" w:rsidP="00387BBB">
      <w:pPr>
        <w:pStyle w:val="ListParagraph"/>
        <w:spacing w:after="0" w:line="480" w:lineRule="auto"/>
        <w:jc w:val="both"/>
        <w:rPr>
          <w:rFonts w:ascii="Arial" w:hAnsi="Arial" w:cs="Arial"/>
          <w:color w:val="000000" w:themeColor="text1"/>
          <w:sz w:val="24"/>
          <w:szCs w:val="24"/>
        </w:rPr>
      </w:pPr>
    </w:p>
    <w:p w:rsidR="00E166EE" w:rsidRPr="00F3718A" w:rsidRDefault="00E166EE" w:rsidP="00047406">
      <w:pPr>
        <w:spacing w:after="0" w:line="360" w:lineRule="auto"/>
        <w:ind w:left="720"/>
        <w:jc w:val="both"/>
        <w:rPr>
          <w:rFonts w:ascii="Arial" w:hAnsi="Arial" w:cs="Arial"/>
          <w:color w:val="000000" w:themeColor="text1"/>
        </w:rPr>
      </w:pPr>
      <w:r w:rsidRPr="00F3718A">
        <w:rPr>
          <w:rFonts w:ascii="Arial" w:hAnsi="Arial" w:cs="Arial"/>
          <w:color w:val="000000" w:themeColor="text1"/>
        </w:rPr>
        <w:t xml:space="preserve">‘Although the expression “malice” is used, it means, in the context of the </w:t>
      </w:r>
      <w:r w:rsidRPr="00F3718A">
        <w:rPr>
          <w:rFonts w:ascii="Arial" w:hAnsi="Arial" w:cs="Arial"/>
          <w:i/>
          <w:color w:val="000000" w:themeColor="text1"/>
        </w:rPr>
        <w:t>actio iniuriarum, animus iniuriandi</w:t>
      </w:r>
      <w:r w:rsidRPr="00F3718A">
        <w:rPr>
          <w:rFonts w:ascii="Arial" w:hAnsi="Arial" w:cs="Arial"/>
          <w:color w:val="000000" w:themeColor="text1"/>
        </w:rPr>
        <w:t xml:space="preserve">. In </w:t>
      </w:r>
      <w:r w:rsidRPr="00F3718A">
        <w:rPr>
          <w:rFonts w:ascii="Arial" w:hAnsi="Arial" w:cs="Arial"/>
          <w:i/>
          <w:color w:val="000000" w:themeColor="text1"/>
        </w:rPr>
        <w:t>Moaki v Reckitt &amp; Colman (Africa) Ltd and another,</w:t>
      </w:r>
      <w:r w:rsidRPr="00F3718A">
        <w:rPr>
          <w:rFonts w:ascii="Arial" w:hAnsi="Arial" w:cs="Arial"/>
          <w:color w:val="000000" w:themeColor="text1"/>
        </w:rPr>
        <w:t xml:space="preserve"> Wessels JA said:</w:t>
      </w:r>
    </w:p>
    <w:p w:rsidR="00E166EE" w:rsidRDefault="00E166EE" w:rsidP="00047406">
      <w:pPr>
        <w:spacing w:after="0" w:line="360" w:lineRule="auto"/>
        <w:ind w:left="720"/>
        <w:jc w:val="both"/>
        <w:rPr>
          <w:rFonts w:ascii="Arial" w:hAnsi="Arial" w:cs="Arial"/>
          <w:color w:val="000000" w:themeColor="text1"/>
        </w:rPr>
      </w:pPr>
      <w:r w:rsidRPr="00F3718A">
        <w:rPr>
          <w:rFonts w:ascii="Arial" w:hAnsi="Arial" w:cs="Arial"/>
          <w:color w:val="000000" w:themeColor="text1"/>
        </w:rPr>
        <w:t xml:space="preserve">“Where relief is claimed by this </w:t>
      </w:r>
      <w:r w:rsidRPr="00F3718A">
        <w:rPr>
          <w:rFonts w:ascii="Arial" w:hAnsi="Arial" w:cs="Arial"/>
          <w:i/>
          <w:color w:val="000000" w:themeColor="text1"/>
        </w:rPr>
        <w:t>actio</w:t>
      </w:r>
      <w:r w:rsidRPr="00F3718A">
        <w:rPr>
          <w:rFonts w:ascii="Arial" w:hAnsi="Arial" w:cs="Arial"/>
          <w:color w:val="000000" w:themeColor="text1"/>
        </w:rPr>
        <w:t xml:space="preserve"> the plaintiff must allege and prove that the defendant intended to injure (either </w:t>
      </w:r>
      <w:r w:rsidRPr="00F3718A">
        <w:rPr>
          <w:rFonts w:ascii="Arial" w:hAnsi="Arial" w:cs="Arial"/>
          <w:i/>
          <w:color w:val="000000" w:themeColor="text1"/>
        </w:rPr>
        <w:t>dolus directus</w:t>
      </w:r>
      <w:r w:rsidRPr="00F3718A">
        <w:rPr>
          <w:rFonts w:ascii="Arial" w:hAnsi="Arial" w:cs="Arial"/>
          <w:color w:val="000000" w:themeColor="text1"/>
        </w:rPr>
        <w:t xml:space="preserve"> or </w:t>
      </w:r>
      <w:r w:rsidRPr="00F3718A">
        <w:rPr>
          <w:rFonts w:ascii="Arial" w:hAnsi="Arial" w:cs="Arial"/>
          <w:i/>
          <w:color w:val="000000" w:themeColor="text1"/>
        </w:rPr>
        <w:t>indirectus</w:t>
      </w:r>
      <w:r w:rsidRPr="00F3718A">
        <w:rPr>
          <w:rFonts w:ascii="Arial" w:hAnsi="Arial" w:cs="Arial"/>
          <w:color w:val="000000" w:themeColor="text1"/>
        </w:rPr>
        <w:t>). . .”</w:t>
      </w:r>
      <w:r w:rsidR="00573891">
        <w:rPr>
          <w:rFonts w:ascii="Arial" w:hAnsi="Arial" w:cs="Arial"/>
          <w:color w:val="000000" w:themeColor="text1"/>
        </w:rPr>
        <w:t>’</w:t>
      </w:r>
      <w:r w:rsidRPr="00F3718A">
        <w:rPr>
          <w:rFonts w:ascii="Arial" w:hAnsi="Arial" w:cs="Arial"/>
          <w:color w:val="000000" w:themeColor="text1"/>
        </w:rPr>
        <w:t xml:space="preserve"> </w:t>
      </w:r>
    </w:p>
    <w:p w:rsidR="00CE4AB7" w:rsidRPr="00F3718A" w:rsidRDefault="00CE4AB7" w:rsidP="00047406">
      <w:pPr>
        <w:spacing w:after="0" w:line="360" w:lineRule="auto"/>
        <w:ind w:left="720"/>
        <w:jc w:val="both"/>
        <w:rPr>
          <w:rFonts w:ascii="Arial" w:hAnsi="Arial" w:cs="Arial"/>
          <w:color w:val="000000" w:themeColor="text1"/>
        </w:rPr>
      </w:pPr>
    </w:p>
    <w:p w:rsidR="00E166EE" w:rsidRPr="00E20E5E" w:rsidRDefault="00E166EE" w:rsidP="00387BBB">
      <w:pPr>
        <w:pStyle w:val="ListParagraph"/>
        <w:spacing w:after="0"/>
        <w:jc w:val="both"/>
        <w:rPr>
          <w:rFonts w:ascii="Arial" w:hAnsi="Arial" w:cs="Arial"/>
          <w:color w:val="000000" w:themeColor="text1"/>
          <w:sz w:val="24"/>
          <w:szCs w:val="24"/>
        </w:rPr>
      </w:pPr>
    </w:p>
    <w:p w:rsidR="00D42521" w:rsidRPr="00D00C1F" w:rsidRDefault="00E166EE" w:rsidP="00445EE7">
      <w:pPr>
        <w:pStyle w:val="ListParagraph"/>
        <w:numPr>
          <w:ilvl w:val="0"/>
          <w:numId w:val="22"/>
        </w:numPr>
        <w:spacing w:after="0" w:line="480" w:lineRule="auto"/>
        <w:ind w:left="0" w:firstLine="0"/>
        <w:jc w:val="both"/>
        <w:rPr>
          <w:rFonts w:ascii="Arial" w:hAnsi="Arial" w:cs="Arial"/>
          <w:sz w:val="24"/>
          <w:szCs w:val="24"/>
        </w:rPr>
      </w:pPr>
      <w:r w:rsidRPr="00D00C1F">
        <w:rPr>
          <w:rFonts w:ascii="Arial" w:hAnsi="Arial" w:cs="Arial"/>
          <w:color w:val="000000" w:themeColor="text1"/>
          <w:sz w:val="24"/>
          <w:szCs w:val="24"/>
        </w:rPr>
        <w:t xml:space="preserve">This </w:t>
      </w:r>
      <w:r w:rsidR="00B11BB1" w:rsidRPr="00D00C1F">
        <w:rPr>
          <w:rFonts w:ascii="Arial" w:hAnsi="Arial" w:cs="Arial"/>
          <w:color w:val="000000" w:themeColor="text1"/>
          <w:sz w:val="24"/>
          <w:szCs w:val="24"/>
        </w:rPr>
        <w:t>dictum, so says Van Heerde</w:t>
      </w:r>
      <w:r w:rsidR="00D00C1F" w:rsidRPr="00D00C1F">
        <w:rPr>
          <w:rFonts w:ascii="Arial" w:hAnsi="Arial" w:cs="Arial"/>
          <w:color w:val="000000" w:themeColor="text1"/>
          <w:sz w:val="24"/>
          <w:szCs w:val="24"/>
        </w:rPr>
        <w:t>n</w:t>
      </w:r>
      <w:r w:rsidR="00B11BB1" w:rsidRPr="00D00C1F">
        <w:rPr>
          <w:rFonts w:ascii="Arial" w:hAnsi="Arial" w:cs="Arial"/>
          <w:color w:val="000000" w:themeColor="text1"/>
          <w:sz w:val="24"/>
          <w:szCs w:val="24"/>
        </w:rPr>
        <w:t xml:space="preserve"> JA in </w:t>
      </w:r>
      <w:r w:rsidR="00B11BB1" w:rsidRPr="00D00C1F">
        <w:rPr>
          <w:rFonts w:ascii="Arial" w:hAnsi="Arial" w:cs="Arial"/>
          <w:i/>
          <w:color w:val="000000" w:themeColor="text1"/>
          <w:sz w:val="24"/>
          <w:szCs w:val="24"/>
        </w:rPr>
        <w:t xml:space="preserve">Minister for Justice &amp; Constitutional Development </w:t>
      </w:r>
      <w:r w:rsidR="00D00C1F" w:rsidRPr="00D00C1F">
        <w:rPr>
          <w:rFonts w:ascii="Arial" w:hAnsi="Arial" w:cs="Arial"/>
          <w:i/>
          <w:color w:val="000000" w:themeColor="text1"/>
          <w:sz w:val="24"/>
          <w:szCs w:val="24"/>
        </w:rPr>
        <w:t>v Moleko</w:t>
      </w:r>
      <w:r w:rsidR="00D00C1F" w:rsidRPr="00D00C1F">
        <w:rPr>
          <w:rFonts w:ascii="Arial" w:hAnsi="Arial" w:cs="Arial"/>
          <w:color w:val="000000" w:themeColor="text1"/>
          <w:sz w:val="24"/>
          <w:szCs w:val="24"/>
        </w:rPr>
        <w:t>,</w:t>
      </w:r>
      <w:r w:rsidR="00D00C1F">
        <w:rPr>
          <w:rStyle w:val="FootnoteReference"/>
          <w:rFonts w:ascii="Arial" w:hAnsi="Arial" w:cs="Arial"/>
          <w:color w:val="000000" w:themeColor="text1"/>
          <w:sz w:val="24"/>
          <w:szCs w:val="24"/>
        </w:rPr>
        <w:footnoteReference w:id="16"/>
      </w:r>
      <w:r w:rsidR="00D00C1F" w:rsidRPr="00D00C1F">
        <w:rPr>
          <w:rFonts w:ascii="Arial" w:hAnsi="Arial" w:cs="Arial"/>
          <w:color w:val="000000" w:themeColor="text1"/>
          <w:sz w:val="24"/>
          <w:szCs w:val="24"/>
        </w:rPr>
        <w:t xml:space="preserve"> </w:t>
      </w:r>
      <w:r w:rsidRPr="00D00C1F">
        <w:rPr>
          <w:rFonts w:ascii="Arial" w:hAnsi="Arial" w:cs="Arial"/>
          <w:color w:val="000000" w:themeColor="text1"/>
          <w:sz w:val="24"/>
          <w:szCs w:val="24"/>
        </w:rPr>
        <w:t xml:space="preserve">means that </w:t>
      </w:r>
      <w:r w:rsidRPr="00D00C1F">
        <w:rPr>
          <w:rFonts w:ascii="Arial" w:hAnsi="Arial" w:cs="Arial"/>
          <w:i/>
          <w:color w:val="000000" w:themeColor="text1"/>
          <w:sz w:val="24"/>
          <w:szCs w:val="24"/>
        </w:rPr>
        <w:t>animus injuriandi</w:t>
      </w:r>
      <w:r w:rsidRPr="00D00C1F">
        <w:rPr>
          <w:rFonts w:ascii="Arial" w:hAnsi="Arial" w:cs="Arial"/>
          <w:color w:val="000000" w:themeColor="text1"/>
          <w:sz w:val="24"/>
          <w:szCs w:val="24"/>
        </w:rPr>
        <w:t xml:space="preserve">, and not malice must be proved before the defendant can be held liable for malicious prosecution as </w:t>
      </w:r>
      <w:r w:rsidRPr="00D00C1F">
        <w:rPr>
          <w:rFonts w:ascii="Arial" w:hAnsi="Arial" w:cs="Arial"/>
          <w:i/>
          <w:color w:val="000000" w:themeColor="text1"/>
          <w:sz w:val="24"/>
          <w:szCs w:val="24"/>
        </w:rPr>
        <w:t>injuria</w:t>
      </w:r>
      <w:r w:rsidRPr="00D00C1F">
        <w:rPr>
          <w:rFonts w:ascii="Arial" w:hAnsi="Arial" w:cs="Arial"/>
          <w:color w:val="000000" w:themeColor="text1"/>
          <w:sz w:val="24"/>
          <w:szCs w:val="24"/>
        </w:rPr>
        <w:t>.</w:t>
      </w:r>
      <w:r>
        <w:rPr>
          <w:rStyle w:val="FootnoteReference"/>
          <w:rFonts w:ascii="Arial" w:hAnsi="Arial" w:cs="Arial"/>
          <w:color w:val="000000" w:themeColor="text1"/>
          <w:sz w:val="24"/>
          <w:szCs w:val="24"/>
        </w:rPr>
        <w:footnoteReference w:id="17"/>
      </w:r>
      <w:r w:rsidR="00D00C1F" w:rsidRPr="00D00C1F">
        <w:rPr>
          <w:rFonts w:ascii="Arial" w:hAnsi="Arial" w:cs="Arial"/>
          <w:color w:val="000000" w:themeColor="text1"/>
          <w:sz w:val="24"/>
          <w:szCs w:val="24"/>
        </w:rPr>
        <w:t xml:space="preserve"> </w:t>
      </w:r>
      <w:r w:rsidR="00D00C1F">
        <w:rPr>
          <w:rFonts w:ascii="Arial" w:hAnsi="Arial" w:cs="Arial"/>
          <w:color w:val="000000" w:themeColor="text1"/>
          <w:sz w:val="24"/>
          <w:szCs w:val="24"/>
        </w:rPr>
        <w:t xml:space="preserve"> In </w:t>
      </w:r>
      <w:r w:rsidR="00D00C1F" w:rsidRPr="00D00C1F">
        <w:rPr>
          <w:rFonts w:ascii="Arial" w:hAnsi="Arial" w:cs="Arial"/>
          <w:i/>
          <w:color w:val="000000" w:themeColor="text1"/>
          <w:sz w:val="24"/>
          <w:szCs w:val="24"/>
        </w:rPr>
        <w:t>Rudolph and others  v Minister of Safety and Security and another</w:t>
      </w:r>
      <w:r w:rsidR="00D00C1F">
        <w:rPr>
          <w:rFonts w:ascii="Arial" w:hAnsi="Arial" w:cs="Arial"/>
          <w:color w:val="000000" w:themeColor="text1"/>
          <w:sz w:val="24"/>
          <w:szCs w:val="24"/>
        </w:rPr>
        <w:t>, t</w:t>
      </w:r>
      <w:r w:rsidR="00D42521" w:rsidRPr="00D00C1F">
        <w:rPr>
          <w:rFonts w:ascii="Arial" w:hAnsi="Arial" w:cs="Arial"/>
          <w:sz w:val="24"/>
          <w:szCs w:val="24"/>
        </w:rPr>
        <w:t xml:space="preserve">he </w:t>
      </w:r>
      <w:r w:rsidR="00D00C1F">
        <w:rPr>
          <w:rFonts w:ascii="Arial" w:hAnsi="Arial" w:cs="Arial"/>
          <w:sz w:val="24"/>
          <w:szCs w:val="24"/>
        </w:rPr>
        <w:t>c</w:t>
      </w:r>
      <w:r w:rsidR="00D42521" w:rsidRPr="00D00C1F">
        <w:rPr>
          <w:rFonts w:ascii="Arial" w:hAnsi="Arial" w:cs="Arial"/>
          <w:sz w:val="24"/>
          <w:szCs w:val="24"/>
        </w:rPr>
        <w:t>ourt explained what is required</w:t>
      </w:r>
      <w:r w:rsidR="00D00C1F">
        <w:rPr>
          <w:rFonts w:ascii="Arial" w:hAnsi="Arial" w:cs="Arial"/>
          <w:sz w:val="24"/>
          <w:szCs w:val="24"/>
        </w:rPr>
        <w:t xml:space="preserve"> </w:t>
      </w:r>
      <w:r w:rsidR="00D42521" w:rsidRPr="00D00C1F">
        <w:rPr>
          <w:rFonts w:ascii="Arial" w:hAnsi="Arial" w:cs="Arial"/>
          <w:sz w:val="24"/>
          <w:szCs w:val="24"/>
        </w:rPr>
        <w:t xml:space="preserve">by reference to its judgment in </w:t>
      </w:r>
      <w:r w:rsidR="00D42521" w:rsidRPr="00D00C1F">
        <w:rPr>
          <w:rFonts w:ascii="Arial" w:hAnsi="Arial" w:cs="Arial"/>
          <w:i/>
          <w:sz w:val="24"/>
          <w:szCs w:val="24"/>
        </w:rPr>
        <w:t>Moleko</w:t>
      </w:r>
      <w:r w:rsidR="00D42521" w:rsidRPr="00D00C1F">
        <w:rPr>
          <w:rFonts w:ascii="Arial" w:hAnsi="Arial" w:cs="Arial"/>
          <w:sz w:val="24"/>
          <w:szCs w:val="24"/>
        </w:rPr>
        <w:t>:</w:t>
      </w:r>
      <w:r w:rsidR="00D42521" w:rsidRPr="00FA3BBD">
        <w:rPr>
          <w:rStyle w:val="FootnoteReference"/>
          <w:rFonts w:ascii="Arial" w:hAnsi="Arial" w:cs="Arial"/>
          <w:sz w:val="24"/>
          <w:szCs w:val="24"/>
        </w:rPr>
        <w:footnoteReference w:id="18"/>
      </w:r>
    </w:p>
    <w:p w:rsidR="00D42521" w:rsidRPr="00FA3BBD" w:rsidRDefault="00D42521" w:rsidP="00387BBB">
      <w:pPr>
        <w:pStyle w:val="ListParagraph"/>
        <w:spacing w:after="0" w:line="480" w:lineRule="auto"/>
        <w:jc w:val="both"/>
        <w:rPr>
          <w:rFonts w:ascii="Arial" w:hAnsi="Arial" w:cs="Arial"/>
          <w:sz w:val="24"/>
          <w:szCs w:val="24"/>
        </w:rPr>
      </w:pPr>
    </w:p>
    <w:p w:rsidR="00D42521" w:rsidRDefault="00D42521" w:rsidP="00047406">
      <w:pPr>
        <w:pStyle w:val="ListParagraph"/>
        <w:spacing w:after="120" w:line="360" w:lineRule="auto"/>
        <w:contextualSpacing w:val="0"/>
        <w:jc w:val="both"/>
        <w:rPr>
          <w:rFonts w:ascii="Arial" w:hAnsi="Arial" w:cs="Arial"/>
        </w:rPr>
      </w:pPr>
      <w:r w:rsidRPr="0070112D">
        <w:rPr>
          <w:rFonts w:ascii="Arial" w:hAnsi="Arial" w:cs="Arial"/>
        </w:rPr>
        <w:t xml:space="preserve">‘The defendant must not only have been aware of what he or she was doing in instituting or initiating the prosecution, but must at least have foreseen the possibility that he or she was acting wrongfully, but nevertheless continued to act, reckless as to the consequences </w:t>
      </w:r>
      <w:r w:rsidRPr="0070112D">
        <w:rPr>
          <w:rFonts w:ascii="Arial" w:hAnsi="Arial" w:cs="Arial"/>
        </w:rPr>
        <w:lastRenderedPageBreak/>
        <w:t>of his or her conduct (</w:t>
      </w:r>
      <w:r w:rsidRPr="0070112D">
        <w:rPr>
          <w:rFonts w:ascii="Arial" w:hAnsi="Arial" w:cs="Arial"/>
          <w:i/>
        </w:rPr>
        <w:t>dolus eventualis</w:t>
      </w:r>
      <w:r w:rsidRPr="0070112D">
        <w:rPr>
          <w:rFonts w:ascii="Arial" w:hAnsi="Arial" w:cs="Arial"/>
        </w:rPr>
        <w:t xml:space="preserve">).  </w:t>
      </w:r>
      <w:r w:rsidRPr="0070112D">
        <w:rPr>
          <w:rFonts w:ascii="Arial" w:hAnsi="Arial" w:cs="Arial"/>
          <w:i/>
        </w:rPr>
        <w:t>Negligence on the part of the defendant (or, I would say, even gross negligence) will not suffice.</w:t>
      </w:r>
      <w:r w:rsidR="00257BD7" w:rsidRPr="0070112D">
        <w:rPr>
          <w:rFonts w:ascii="Arial" w:hAnsi="Arial" w:cs="Arial"/>
          <w:i/>
        </w:rPr>
        <w:t>’</w:t>
      </w:r>
      <w:r w:rsidR="00290B8D" w:rsidRPr="0070112D">
        <w:rPr>
          <w:rFonts w:ascii="Arial" w:hAnsi="Arial" w:cs="Arial"/>
        </w:rPr>
        <w:t xml:space="preserve"> (Emphasis added)</w:t>
      </w:r>
    </w:p>
    <w:p w:rsidR="002E3A78" w:rsidRPr="00387BBB" w:rsidRDefault="002E3A78" w:rsidP="00387BBB">
      <w:pPr>
        <w:pStyle w:val="ListParagraph"/>
        <w:spacing w:after="0" w:line="480" w:lineRule="auto"/>
        <w:contextualSpacing w:val="0"/>
        <w:jc w:val="both"/>
        <w:rPr>
          <w:rFonts w:ascii="Arial" w:hAnsi="Arial" w:cs="Arial"/>
          <w:sz w:val="24"/>
          <w:szCs w:val="24"/>
        </w:rPr>
      </w:pPr>
    </w:p>
    <w:p w:rsidR="0036207C" w:rsidRDefault="00D00C1F" w:rsidP="00CE4AB7">
      <w:pPr>
        <w:pStyle w:val="ListParagraph"/>
        <w:numPr>
          <w:ilvl w:val="0"/>
          <w:numId w:val="22"/>
        </w:numPr>
        <w:spacing w:after="240" w:line="480" w:lineRule="auto"/>
        <w:ind w:left="0" w:firstLine="0"/>
        <w:jc w:val="both"/>
        <w:rPr>
          <w:rFonts w:ascii="Arial" w:hAnsi="Arial" w:cs="Arial"/>
          <w:sz w:val="24"/>
          <w:szCs w:val="24"/>
        </w:rPr>
      </w:pPr>
      <w:r w:rsidRPr="00CA1E25">
        <w:rPr>
          <w:rFonts w:ascii="Arial" w:hAnsi="Arial" w:cs="Arial"/>
          <w:sz w:val="24"/>
          <w:szCs w:val="24"/>
        </w:rPr>
        <w:t xml:space="preserve">This is a salutary </w:t>
      </w:r>
      <w:r w:rsidR="0036207C">
        <w:rPr>
          <w:rFonts w:ascii="Arial" w:hAnsi="Arial" w:cs="Arial"/>
          <w:sz w:val="24"/>
          <w:szCs w:val="24"/>
        </w:rPr>
        <w:t xml:space="preserve">practice </w:t>
      </w:r>
      <w:r w:rsidRPr="00CA1E25">
        <w:rPr>
          <w:rFonts w:ascii="Arial" w:hAnsi="Arial" w:cs="Arial"/>
          <w:sz w:val="24"/>
          <w:szCs w:val="24"/>
        </w:rPr>
        <w:t xml:space="preserve">that </w:t>
      </w:r>
      <w:r w:rsidR="00CA1E25">
        <w:rPr>
          <w:rFonts w:ascii="Arial" w:hAnsi="Arial" w:cs="Arial"/>
          <w:sz w:val="24"/>
          <w:szCs w:val="24"/>
        </w:rPr>
        <w:t xml:space="preserve">in my view </w:t>
      </w:r>
      <w:r w:rsidRPr="00CA1E25">
        <w:rPr>
          <w:rFonts w:ascii="Arial" w:hAnsi="Arial" w:cs="Arial"/>
          <w:sz w:val="24"/>
          <w:szCs w:val="24"/>
        </w:rPr>
        <w:t>should be followed by our courts. It follows that in Namibia</w:t>
      </w:r>
      <w:r w:rsidR="00CA1E25" w:rsidRPr="00CA1E25">
        <w:rPr>
          <w:rFonts w:ascii="Arial" w:hAnsi="Arial" w:cs="Arial"/>
          <w:sz w:val="24"/>
          <w:szCs w:val="24"/>
        </w:rPr>
        <w:t>,</w:t>
      </w:r>
      <w:r w:rsidRPr="00CA1E25">
        <w:rPr>
          <w:rFonts w:ascii="Arial" w:hAnsi="Arial" w:cs="Arial"/>
          <w:sz w:val="24"/>
          <w:szCs w:val="24"/>
        </w:rPr>
        <w:t xml:space="preserve"> </w:t>
      </w:r>
      <w:r w:rsidR="00CA1E25" w:rsidRPr="00CA1E25">
        <w:rPr>
          <w:rFonts w:ascii="Arial" w:hAnsi="Arial" w:cs="Arial"/>
          <w:i/>
          <w:sz w:val="24"/>
          <w:szCs w:val="24"/>
        </w:rPr>
        <w:t>animus iniuriandi</w:t>
      </w:r>
      <w:r w:rsidR="00CA1E25" w:rsidRPr="00CA1E25">
        <w:rPr>
          <w:rFonts w:ascii="Arial" w:hAnsi="Arial" w:cs="Arial"/>
          <w:sz w:val="24"/>
          <w:szCs w:val="24"/>
        </w:rPr>
        <w:t xml:space="preserve"> </w:t>
      </w:r>
      <w:r w:rsidR="00CA1E25">
        <w:rPr>
          <w:rFonts w:ascii="Arial" w:hAnsi="Arial" w:cs="Arial"/>
          <w:sz w:val="24"/>
          <w:szCs w:val="24"/>
        </w:rPr>
        <w:t xml:space="preserve">is one of the </w:t>
      </w:r>
      <w:r w:rsidR="00E1459C">
        <w:rPr>
          <w:rFonts w:ascii="Arial" w:hAnsi="Arial" w:cs="Arial"/>
          <w:sz w:val="24"/>
          <w:szCs w:val="24"/>
        </w:rPr>
        <w:t xml:space="preserve">requirements that </w:t>
      </w:r>
      <w:r w:rsidR="00CA1E25" w:rsidRPr="00CA1E25">
        <w:rPr>
          <w:rFonts w:ascii="Arial" w:hAnsi="Arial" w:cs="Arial"/>
          <w:sz w:val="24"/>
          <w:szCs w:val="24"/>
        </w:rPr>
        <w:t xml:space="preserve">must be proved before the defendant can be held liable for malicious prosecution. I note that counsel on both sides support this approach. </w:t>
      </w:r>
      <w:r w:rsidRPr="00CA1E25">
        <w:rPr>
          <w:rFonts w:ascii="Arial" w:hAnsi="Arial" w:cs="Arial"/>
          <w:sz w:val="24"/>
          <w:szCs w:val="24"/>
        </w:rPr>
        <w:t xml:space="preserve"> </w:t>
      </w:r>
    </w:p>
    <w:p w:rsidR="00CE4AB7" w:rsidRPr="00CE4AB7" w:rsidRDefault="00CE4AB7" w:rsidP="00387BBB">
      <w:pPr>
        <w:pStyle w:val="ListParagraph"/>
        <w:spacing w:after="0" w:line="480" w:lineRule="auto"/>
        <w:ind w:left="0"/>
        <w:jc w:val="both"/>
        <w:rPr>
          <w:rFonts w:ascii="Arial" w:hAnsi="Arial" w:cs="Arial"/>
          <w:sz w:val="24"/>
          <w:szCs w:val="24"/>
        </w:rPr>
      </w:pPr>
    </w:p>
    <w:p w:rsidR="00D42521" w:rsidRDefault="00D42521" w:rsidP="00387BBB">
      <w:pPr>
        <w:pStyle w:val="ListParagraph"/>
        <w:numPr>
          <w:ilvl w:val="0"/>
          <w:numId w:val="22"/>
        </w:numPr>
        <w:spacing w:after="240" w:line="480" w:lineRule="auto"/>
        <w:ind w:left="0" w:firstLine="0"/>
        <w:jc w:val="both"/>
        <w:rPr>
          <w:rFonts w:ascii="Arial" w:hAnsi="Arial" w:cs="Arial"/>
          <w:sz w:val="24"/>
          <w:szCs w:val="24"/>
        </w:rPr>
      </w:pPr>
      <w:r w:rsidRPr="00E166EE">
        <w:rPr>
          <w:rFonts w:ascii="Arial" w:hAnsi="Arial" w:cs="Arial"/>
          <w:sz w:val="24"/>
          <w:szCs w:val="24"/>
        </w:rPr>
        <w:t xml:space="preserve">Professor McQuoid-Mason </w:t>
      </w:r>
      <w:r w:rsidR="00290B8D" w:rsidRPr="00E166EE">
        <w:rPr>
          <w:rFonts w:ascii="Arial" w:hAnsi="Arial" w:cs="Arial"/>
          <w:sz w:val="24"/>
          <w:szCs w:val="24"/>
        </w:rPr>
        <w:t xml:space="preserve">distinguishes </w:t>
      </w:r>
      <w:r w:rsidR="00290B8D" w:rsidRPr="00E166EE">
        <w:rPr>
          <w:rFonts w:ascii="Arial" w:hAnsi="Arial" w:cs="Arial"/>
          <w:i/>
          <w:sz w:val="24"/>
          <w:szCs w:val="24"/>
        </w:rPr>
        <w:t>animus iniuriandi</w:t>
      </w:r>
      <w:r w:rsidR="00290B8D" w:rsidRPr="00E166EE">
        <w:rPr>
          <w:rFonts w:ascii="Arial" w:hAnsi="Arial" w:cs="Arial"/>
          <w:sz w:val="24"/>
          <w:szCs w:val="24"/>
        </w:rPr>
        <w:t xml:space="preserve"> from malice </w:t>
      </w:r>
      <w:r w:rsidR="007F5DF8">
        <w:rPr>
          <w:rFonts w:ascii="Arial" w:hAnsi="Arial" w:cs="Arial"/>
          <w:sz w:val="24"/>
          <w:szCs w:val="24"/>
        </w:rPr>
        <w:t xml:space="preserve">in the </w:t>
      </w:r>
      <w:r w:rsidRPr="00E166EE">
        <w:rPr>
          <w:rFonts w:ascii="Arial" w:hAnsi="Arial" w:cs="Arial"/>
          <w:sz w:val="24"/>
          <w:szCs w:val="24"/>
        </w:rPr>
        <w:t>follow</w:t>
      </w:r>
      <w:r w:rsidR="007F5DF8">
        <w:rPr>
          <w:rFonts w:ascii="Arial" w:hAnsi="Arial" w:cs="Arial"/>
          <w:sz w:val="24"/>
          <w:szCs w:val="24"/>
        </w:rPr>
        <w:t>ing terms</w:t>
      </w:r>
      <w:r w:rsidRPr="00E166EE">
        <w:rPr>
          <w:rFonts w:ascii="Arial" w:hAnsi="Arial" w:cs="Arial"/>
          <w:sz w:val="24"/>
          <w:szCs w:val="24"/>
        </w:rPr>
        <w:t>:</w:t>
      </w:r>
    </w:p>
    <w:p w:rsidR="00387BBB" w:rsidRPr="00387BBB" w:rsidRDefault="00387BBB" w:rsidP="00387BBB">
      <w:pPr>
        <w:pStyle w:val="ListParagraph"/>
        <w:spacing w:after="0" w:line="480" w:lineRule="auto"/>
        <w:jc w:val="both"/>
        <w:rPr>
          <w:rFonts w:ascii="Arial" w:hAnsi="Arial" w:cs="Arial"/>
          <w:sz w:val="24"/>
          <w:szCs w:val="24"/>
        </w:rPr>
      </w:pPr>
    </w:p>
    <w:p w:rsidR="00D42521" w:rsidRPr="0036207C" w:rsidRDefault="00D42521" w:rsidP="00047406">
      <w:pPr>
        <w:spacing w:line="360" w:lineRule="auto"/>
        <w:ind w:left="720"/>
        <w:jc w:val="both"/>
        <w:rPr>
          <w:rFonts w:ascii="Arial" w:hAnsi="Arial" w:cs="Arial"/>
        </w:rPr>
      </w:pPr>
      <w:r w:rsidRPr="0036207C">
        <w:rPr>
          <w:rFonts w:ascii="Arial" w:hAnsi="Arial" w:cs="Arial"/>
        </w:rPr>
        <w:t>‘</w:t>
      </w:r>
      <w:r w:rsidRPr="0036207C">
        <w:rPr>
          <w:rFonts w:ascii="Arial" w:hAnsi="Arial" w:cs="Arial"/>
          <w:i/>
        </w:rPr>
        <w:t>Animus iniuriandi</w:t>
      </w:r>
      <w:r w:rsidRPr="0036207C">
        <w:rPr>
          <w:rFonts w:ascii="Arial" w:hAnsi="Arial" w:cs="Arial"/>
        </w:rPr>
        <w:t xml:space="preserve"> includes not only the intention to injure but also consciousness of wrongfulness, and is distinguishable from improper motive or malice. Malice is the actuating impulse preceding intention.</w:t>
      </w:r>
      <w:r w:rsidR="00047406">
        <w:rPr>
          <w:rFonts w:ascii="Arial" w:hAnsi="Arial" w:cs="Arial"/>
        </w:rPr>
        <w:t>’</w:t>
      </w:r>
      <w:r w:rsidRPr="0036207C">
        <w:rPr>
          <w:rStyle w:val="FootnoteReference"/>
          <w:rFonts w:ascii="Arial" w:hAnsi="Arial" w:cs="Arial"/>
        </w:rPr>
        <w:footnoteReference w:id="19"/>
      </w:r>
    </w:p>
    <w:p w:rsidR="00791F02" w:rsidRPr="00387BBB" w:rsidRDefault="00791F02" w:rsidP="00387BBB">
      <w:pPr>
        <w:spacing w:after="0" w:line="480" w:lineRule="auto"/>
        <w:ind w:left="1440"/>
        <w:jc w:val="both"/>
        <w:rPr>
          <w:rFonts w:ascii="Arial" w:hAnsi="Arial" w:cs="Arial"/>
          <w:sz w:val="24"/>
          <w:szCs w:val="24"/>
        </w:rPr>
      </w:pPr>
    </w:p>
    <w:p w:rsidR="00257BD7" w:rsidRDefault="00257BD7" w:rsidP="0031009B">
      <w:pPr>
        <w:pStyle w:val="ListParagraph"/>
        <w:numPr>
          <w:ilvl w:val="0"/>
          <w:numId w:val="22"/>
        </w:numPr>
        <w:spacing w:after="0" w:line="480" w:lineRule="auto"/>
        <w:ind w:left="0" w:firstLine="0"/>
        <w:jc w:val="both"/>
        <w:rPr>
          <w:rFonts w:ascii="Arial" w:hAnsi="Arial" w:cs="Arial"/>
          <w:sz w:val="24"/>
          <w:szCs w:val="24"/>
        </w:rPr>
      </w:pPr>
      <w:r w:rsidRPr="00E166EE">
        <w:rPr>
          <w:rFonts w:ascii="Arial" w:hAnsi="Arial" w:cs="Arial"/>
          <w:sz w:val="24"/>
          <w:szCs w:val="24"/>
        </w:rPr>
        <w:t xml:space="preserve">The existence of malice may point to the existence of </w:t>
      </w:r>
      <w:r w:rsidRPr="00E166EE">
        <w:rPr>
          <w:rFonts w:ascii="Arial" w:hAnsi="Arial" w:cs="Arial"/>
          <w:i/>
          <w:sz w:val="24"/>
          <w:szCs w:val="24"/>
        </w:rPr>
        <w:t>animus iniuriandi</w:t>
      </w:r>
      <w:r w:rsidRPr="00E166EE">
        <w:rPr>
          <w:rFonts w:ascii="Arial" w:hAnsi="Arial" w:cs="Arial"/>
          <w:sz w:val="24"/>
          <w:szCs w:val="24"/>
        </w:rPr>
        <w:t>, as indicating an awareness of the wrongfulness of the action.</w:t>
      </w:r>
      <w:r w:rsidRPr="00FA3BBD">
        <w:rPr>
          <w:rStyle w:val="FootnoteReference"/>
          <w:rFonts w:ascii="Arial" w:hAnsi="Arial" w:cs="Arial"/>
          <w:sz w:val="24"/>
          <w:szCs w:val="24"/>
        </w:rPr>
        <w:footnoteReference w:id="20"/>
      </w:r>
      <w:r w:rsidR="008C1F83" w:rsidRPr="00E166EE">
        <w:rPr>
          <w:rFonts w:ascii="Arial" w:hAnsi="Arial" w:cs="Arial"/>
          <w:sz w:val="24"/>
          <w:szCs w:val="24"/>
        </w:rPr>
        <w:t xml:space="preserve"> The position is explained in </w:t>
      </w:r>
      <w:r w:rsidR="008C1F83" w:rsidRPr="00445EE7">
        <w:rPr>
          <w:rFonts w:ascii="Arial" w:hAnsi="Arial" w:cs="Arial"/>
          <w:i/>
          <w:sz w:val="24"/>
          <w:szCs w:val="24"/>
        </w:rPr>
        <w:t>Neethling’s Law of Personality</w:t>
      </w:r>
      <w:r w:rsidR="008C1F83" w:rsidRPr="00E166EE">
        <w:rPr>
          <w:rFonts w:ascii="Arial" w:hAnsi="Arial" w:cs="Arial"/>
          <w:sz w:val="24"/>
          <w:szCs w:val="24"/>
        </w:rPr>
        <w:t xml:space="preserve"> as follows:</w:t>
      </w:r>
    </w:p>
    <w:p w:rsidR="00791F02" w:rsidRDefault="00791F02" w:rsidP="00387BBB">
      <w:pPr>
        <w:pStyle w:val="ListParagraph"/>
        <w:spacing w:after="0" w:line="480" w:lineRule="auto"/>
        <w:ind w:left="0"/>
        <w:jc w:val="both"/>
        <w:rPr>
          <w:rFonts w:ascii="Arial" w:hAnsi="Arial" w:cs="Arial"/>
          <w:sz w:val="24"/>
          <w:szCs w:val="24"/>
        </w:rPr>
      </w:pPr>
    </w:p>
    <w:p w:rsidR="00791F02" w:rsidRPr="00387BBB" w:rsidRDefault="00791F02" w:rsidP="00387BBB">
      <w:pPr>
        <w:spacing w:line="360" w:lineRule="auto"/>
        <w:ind w:left="720"/>
        <w:jc w:val="both"/>
        <w:rPr>
          <w:rFonts w:ascii="Arial" w:hAnsi="Arial" w:cs="Arial"/>
        </w:rPr>
      </w:pPr>
      <w:r w:rsidRPr="0036207C">
        <w:rPr>
          <w:rFonts w:ascii="Arial" w:hAnsi="Arial" w:cs="Arial"/>
          <w:i/>
        </w:rPr>
        <w:t xml:space="preserve">‘Animus iniuriandi </w:t>
      </w:r>
      <w:r w:rsidRPr="0036207C">
        <w:rPr>
          <w:rFonts w:ascii="Arial" w:hAnsi="Arial" w:cs="Arial"/>
        </w:rPr>
        <w:t xml:space="preserve">(intention) means that the defendant directed his will to prosecuting the plaintiff (and thus infringing his personality), in the awareness that reasonable grounds for the prosecution were (possibly) absent, in other words, that his conduct was (possibly) wrongful (consciousness of wrongfulness).  It follows from this that the defendant will go free where reasonable grounds for the prosecution were lacking, but the defendant honestly believed that the plaintiff was guilty.  In such a case the second element of </w:t>
      </w:r>
      <w:r w:rsidRPr="0036207C">
        <w:rPr>
          <w:rFonts w:ascii="Arial" w:hAnsi="Arial" w:cs="Arial"/>
          <w:i/>
        </w:rPr>
        <w:t>dolus</w:t>
      </w:r>
      <w:r w:rsidRPr="0036207C">
        <w:rPr>
          <w:rFonts w:ascii="Arial" w:hAnsi="Arial" w:cs="Arial"/>
        </w:rPr>
        <w:t xml:space="preserve">, </w:t>
      </w:r>
      <w:r w:rsidRPr="0036207C">
        <w:rPr>
          <w:rFonts w:ascii="Arial" w:hAnsi="Arial" w:cs="Arial"/>
        </w:rPr>
        <w:lastRenderedPageBreak/>
        <w:t xml:space="preserve">namely of consciousness of wrongfulness, and therefore </w:t>
      </w:r>
      <w:r w:rsidRPr="0036207C">
        <w:rPr>
          <w:rFonts w:ascii="Arial" w:hAnsi="Arial" w:cs="Arial"/>
          <w:i/>
        </w:rPr>
        <w:t>animus injuriandi</w:t>
      </w:r>
      <w:r w:rsidRPr="0036207C">
        <w:rPr>
          <w:rFonts w:ascii="Arial" w:hAnsi="Arial" w:cs="Arial"/>
        </w:rPr>
        <w:t xml:space="preserve">, will be lacking. His mistake therefore excludes the existence of </w:t>
      </w:r>
      <w:r w:rsidRPr="0036207C">
        <w:rPr>
          <w:rFonts w:ascii="Arial" w:hAnsi="Arial" w:cs="Arial"/>
          <w:i/>
        </w:rPr>
        <w:t>animus injuriandi.’</w:t>
      </w:r>
      <w:r w:rsidRPr="0036207C">
        <w:rPr>
          <w:rStyle w:val="FootnoteReference"/>
          <w:rFonts w:ascii="Arial" w:hAnsi="Arial" w:cs="Arial"/>
        </w:rPr>
        <w:footnoteReference w:id="21"/>
      </w:r>
      <w:r w:rsidRPr="0036207C">
        <w:rPr>
          <w:rFonts w:ascii="Arial" w:hAnsi="Arial" w:cs="Arial"/>
          <w:i/>
        </w:rPr>
        <w:t xml:space="preserve">  </w:t>
      </w:r>
    </w:p>
    <w:p w:rsidR="00791F02" w:rsidRPr="00387BBB" w:rsidRDefault="00791F02" w:rsidP="00387BBB">
      <w:pPr>
        <w:pStyle w:val="ListParagraph"/>
        <w:spacing w:after="0" w:line="480" w:lineRule="auto"/>
        <w:ind w:left="360"/>
        <w:jc w:val="both"/>
        <w:rPr>
          <w:rFonts w:ascii="Arial" w:hAnsi="Arial" w:cs="Arial"/>
          <w:sz w:val="24"/>
          <w:szCs w:val="24"/>
        </w:rPr>
      </w:pPr>
    </w:p>
    <w:p w:rsidR="00791F02" w:rsidRPr="00791F02" w:rsidRDefault="00E1459C" w:rsidP="0031009B">
      <w:pPr>
        <w:pStyle w:val="ListParagraph"/>
        <w:numPr>
          <w:ilvl w:val="0"/>
          <w:numId w:val="22"/>
        </w:numPr>
        <w:spacing w:after="0" w:line="480" w:lineRule="auto"/>
        <w:ind w:left="0" w:firstLine="0"/>
        <w:jc w:val="both"/>
        <w:rPr>
          <w:rFonts w:ascii="Arial" w:hAnsi="Arial" w:cs="Arial"/>
          <w:sz w:val="24"/>
          <w:szCs w:val="24"/>
        </w:rPr>
      </w:pPr>
      <w:r>
        <w:rPr>
          <w:rFonts w:ascii="Arial" w:hAnsi="Arial" w:cs="Arial"/>
          <w:color w:val="000000" w:themeColor="text1"/>
          <w:sz w:val="24"/>
          <w:szCs w:val="24"/>
          <w:shd w:val="clear" w:color="auto" w:fill="FFFFFF"/>
        </w:rPr>
        <w:t xml:space="preserve">Returning to the </w:t>
      </w:r>
      <w:r w:rsidR="000B16E1" w:rsidRPr="00791F02">
        <w:rPr>
          <w:rFonts w:ascii="Arial" w:hAnsi="Arial" w:cs="Arial"/>
          <w:color w:val="000000" w:themeColor="text1"/>
          <w:sz w:val="24"/>
          <w:szCs w:val="24"/>
          <w:shd w:val="clear" w:color="auto" w:fill="FFFFFF"/>
        </w:rPr>
        <w:t>requirements</w:t>
      </w:r>
      <w:r>
        <w:rPr>
          <w:rFonts w:ascii="Arial" w:hAnsi="Arial" w:cs="Arial"/>
          <w:color w:val="000000" w:themeColor="text1"/>
          <w:sz w:val="24"/>
          <w:szCs w:val="24"/>
          <w:shd w:val="clear" w:color="auto" w:fill="FFFFFF"/>
        </w:rPr>
        <w:t xml:space="preserve"> for successful claims for malicious prosecution</w:t>
      </w:r>
      <w:r w:rsidR="000B16E1" w:rsidRPr="00791F02">
        <w:rPr>
          <w:rFonts w:ascii="Arial" w:hAnsi="Arial" w:cs="Arial"/>
          <w:color w:val="000000" w:themeColor="text1"/>
          <w:sz w:val="24"/>
          <w:szCs w:val="24"/>
          <w:shd w:val="clear" w:color="auto" w:fill="FFFFFF"/>
        </w:rPr>
        <w:t xml:space="preserve">, the High Court found correctly that </w:t>
      </w:r>
      <w:r>
        <w:rPr>
          <w:rFonts w:ascii="Arial" w:hAnsi="Arial" w:cs="Arial"/>
          <w:color w:val="000000" w:themeColor="text1"/>
          <w:sz w:val="24"/>
          <w:szCs w:val="24"/>
          <w:shd w:val="clear" w:color="auto" w:fill="FFFFFF"/>
        </w:rPr>
        <w:t xml:space="preserve">in the present matter </w:t>
      </w:r>
      <w:r w:rsidR="000B16E1" w:rsidRPr="00791F02">
        <w:rPr>
          <w:rFonts w:ascii="Arial" w:hAnsi="Arial" w:cs="Arial"/>
          <w:color w:val="000000" w:themeColor="text1"/>
          <w:sz w:val="24"/>
          <w:szCs w:val="24"/>
          <w:shd w:val="clear" w:color="auto" w:fill="FFFFFF"/>
        </w:rPr>
        <w:t>the first and last requirements</w:t>
      </w:r>
      <w:r w:rsidR="0036207C">
        <w:rPr>
          <w:rFonts w:ascii="Arial" w:hAnsi="Arial" w:cs="Arial"/>
          <w:color w:val="000000" w:themeColor="text1"/>
          <w:sz w:val="24"/>
          <w:szCs w:val="24"/>
          <w:shd w:val="clear" w:color="auto" w:fill="FFFFFF"/>
        </w:rPr>
        <w:t xml:space="preserve"> set out in </w:t>
      </w:r>
      <w:r w:rsidR="0036207C" w:rsidRPr="0036207C">
        <w:rPr>
          <w:rFonts w:ascii="Arial" w:hAnsi="Arial" w:cs="Arial"/>
          <w:i/>
          <w:color w:val="000000" w:themeColor="text1"/>
          <w:sz w:val="24"/>
          <w:szCs w:val="24"/>
          <w:shd w:val="clear" w:color="auto" w:fill="FFFFFF"/>
        </w:rPr>
        <w:t>Akuake v Jansen van Rensburg</w:t>
      </w:r>
      <w:r w:rsidR="0036207C">
        <w:rPr>
          <w:rFonts w:ascii="Arial" w:hAnsi="Arial" w:cs="Arial"/>
          <w:color w:val="000000" w:themeColor="text1"/>
          <w:sz w:val="24"/>
          <w:szCs w:val="24"/>
          <w:shd w:val="clear" w:color="auto" w:fill="FFFFFF"/>
        </w:rPr>
        <w:t xml:space="preserve"> above</w:t>
      </w:r>
      <w:r w:rsidR="000B16E1" w:rsidRPr="00791F02">
        <w:rPr>
          <w:rFonts w:ascii="Arial" w:hAnsi="Arial" w:cs="Arial"/>
          <w:color w:val="000000" w:themeColor="text1"/>
          <w:sz w:val="24"/>
          <w:szCs w:val="24"/>
          <w:shd w:val="clear" w:color="auto" w:fill="FFFFFF"/>
        </w:rPr>
        <w:t xml:space="preserve"> were common cause, in that the appellants </w:t>
      </w:r>
      <w:r>
        <w:rPr>
          <w:rFonts w:ascii="Arial" w:hAnsi="Arial" w:cs="Arial"/>
          <w:color w:val="000000" w:themeColor="text1"/>
          <w:sz w:val="24"/>
          <w:szCs w:val="24"/>
          <w:shd w:val="clear" w:color="auto" w:fill="FFFFFF"/>
        </w:rPr>
        <w:t xml:space="preserve">had </w:t>
      </w:r>
      <w:r w:rsidR="000B16E1" w:rsidRPr="00791F02">
        <w:rPr>
          <w:rFonts w:ascii="Arial" w:hAnsi="Arial" w:cs="Arial"/>
          <w:color w:val="000000" w:themeColor="text1"/>
          <w:sz w:val="24"/>
          <w:szCs w:val="24"/>
          <w:shd w:val="clear" w:color="auto" w:fill="FFFFFF"/>
        </w:rPr>
        <w:t>set the law into motion and the prosecution of the respondent terminated in his favour. It will be recalled that the parties had agreed that the fifth requirement</w:t>
      </w:r>
      <w:r w:rsidR="00CA1E25">
        <w:rPr>
          <w:rFonts w:ascii="Arial" w:hAnsi="Arial" w:cs="Arial"/>
          <w:color w:val="000000" w:themeColor="text1"/>
          <w:sz w:val="24"/>
          <w:szCs w:val="24"/>
          <w:shd w:val="clear" w:color="auto" w:fill="FFFFFF"/>
        </w:rPr>
        <w:t>, namely the quantum f</w:t>
      </w:r>
      <w:r>
        <w:rPr>
          <w:rFonts w:ascii="Arial" w:hAnsi="Arial" w:cs="Arial"/>
          <w:color w:val="000000" w:themeColor="text1"/>
          <w:sz w:val="24"/>
          <w:szCs w:val="24"/>
          <w:shd w:val="clear" w:color="auto" w:fill="FFFFFF"/>
        </w:rPr>
        <w:t>or</w:t>
      </w:r>
      <w:r w:rsidR="00CA1E25">
        <w:rPr>
          <w:rFonts w:ascii="Arial" w:hAnsi="Arial" w:cs="Arial"/>
          <w:color w:val="000000" w:themeColor="text1"/>
          <w:sz w:val="24"/>
          <w:szCs w:val="24"/>
          <w:shd w:val="clear" w:color="auto" w:fill="FFFFFF"/>
        </w:rPr>
        <w:t xml:space="preserve"> damages,</w:t>
      </w:r>
      <w:r w:rsidR="000B16E1" w:rsidRPr="00791F02">
        <w:rPr>
          <w:rFonts w:ascii="Arial" w:hAnsi="Arial" w:cs="Arial"/>
          <w:color w:val="000000" w:themeColor="text1"/>
          <w:sz w:val="24"/>
          <w:szCs w:val="24"/>
          <w:shd w:val="clear" w:color="auto" w:fill="FFFFFF"/>
        </w:rPr>
        <w:t xml:space="preserve"> will be decided only </w:t>
      </w:r>
      <w:r w:rsidR="00CA1E25">
        <w:rPr>
          <w:rFonts w:ascii="Arial" w:hAnsi="Arial" w:cs="Arial"/>
          <w:color w:val="000000" w:themeColor="text1"/>
          <w:sz w:val="24"/>
          <w:szCs w:val="24"/>
          <w:shd w:val="clear" w:color="auto" w:fill="FFFFFF"/>
        </w:rPr>
        <w:t>once</w:t>
      </w:r>
      <w:r w:rsidR="000B16E1" w:rsidRPr="00791F02">
        <w:rPr>
          <w:rFonts w:ascii="Arial" w:hAnsi="Arial" w:cs="Arial"/>
          <w:color w:val="000000" w:themeColor="text1"/>
          <w:sz w:val="24"/>
          <w:szCs w:val="24"/>
          <w:shd w:val="clear" w:color="auto" w:fill="FFFFFF"/>
        </w:rPr>
        <w:t xml:space="preserve"> the court had determined th</w:t>
      </w:r>
      <w:r w:rsidR="00BA2A65">
        <w:rPr>
          <w:rFonts w:ascii="Arial" w:hAnsi="Arial" w:cs="Arial"/>
          <w:color w:val="000000" w:themeColor="text1"/>
          <w:sz w:val="24"/>
          <w:szCs w:val="24"/>
          <w:shd w:val="clear" w:color="auto" w:fill="FFFFFF"/>
        </w:rPr>
        <w:t>e appellants’ liability.</w:t>
      </w:r>
      <w:r w:rsidR="000B16E1" w:rsidRPr="00791F02">
        <w:rPr>
          <w:rFonts w:ascii="Arial" w:hAnsi="Arial" w:cs="Arial"/>
          <w:color w:val="000000" w:themeColor="text1"/>
          <w:sz w:val="24"/>
          <w:szCs w:val="24"/>
          <w:shd w:val="clear" w:color="auto" w:fill="FFFFFF"/>
        </w:rPr>
        <w:t xml:space="preserve"> It is against th</w:t>
      </w:r>
      <w:r w:rsidR="00CA1E25">
        <w:rPr>
          <w:rFonts w:ascii="Arial" w:hAnsi="Arial" w:cs="Arial"/>
          <w:color w:val="000000" w:themeColor="text1"/>
          <w:sz w:val="24"/>
          <w:szCs w:val="24"/>
          <w:shd w:val="clear" w:color="auto" w:fill="FFFFFF"/>
        </w:rPr>
        <w:t>e</w:t>
      </w:r>
      <w:r w:rsidR="000B16E1" w:rsidRPr="00791F02">
        <w:rPr>
          <w:rFonts w:ascii="Arial" w:hAnsi="Arial" w:cs="Arial"/>
          <w:color w:val="000000" w:themeColor="text1"/>
          <w:sz w:val="24"/>
          <w:szCs w:val="24"/>
          <w:shd w:val="clear" w:color="auto" w:fill="FFFFFF"/>
        </w:rPr>
        <w:t xml:space="preserve"> backdrop </w:t>
      </w:r>
      <w:r w:rsidR="00CA1E25">
        <w:rPr>
          <w:rFonts w:ascii="Arial" w:hAnsi="Arial" w:cs="Arial"/>
          <w:color w:val="000000" w:themeColor="text1"/>
          <w:sz w:val="24"/>
          <w:szCs w:val="24"/>
          <w:shd w:val="clear" w:color="auto" w:fill="FFFFFF"/>
        </w:rPr>
        <w:t xml:space="preserve">of the above legal principles and considerations </w:t>
      </w:r>
      <w:r w:rsidR="000B16E1" w:rsidRPr="00791F02">
        <w:rPr>
          <w:rFonts w:ascii="Arial" w:hAnsi="Arial" w:cs="Arial"/>
          <w:color w:val="000000" w:themeColor="text1"/>
          <w:sz w:val="24"/>
          <w:szCs w:val="24"/>
          <w:shd w:val="clear" w:color="auto" w:fill="FFFFFF"/>
        </w:rPr>
        <w:t>that the issues on appeal ought to be decided. I turn then to the consideration of those issues.</w:t>
      </w:r>
    </w:p>
    <w:p w:rsidR="00791F02" w:rsidRDefault="00791F02" w:rsidP="00387BBB">
      <w:pPr>
        <w:pStyle w:val="ListParagraph"/>
        <w:spacing w:after="0" w:line="480" w:lineRule="auto"/>
        <w:ind w:left="0"/>
        <w:jc w:val="both"/>
        <w:rPr>
          <w:rFonts w:ascii="Arial" w:hAnsi="Arial" w:cs="Arial"/>
          <w:color w:val="000000" w:themeColor="text1"/>
          <w:sz w:val="24"/>
          <w:szCs w:val="24"/>
          <w:shd w:val="clear" w:color="auto" w:fill="FFFFFF"/>
        </w:rPr>
      </w:pPr>
    </w:p>
    <w:p w:rsidR="00791F02" w:rsidRPr="00791F02" w:rsidRDefault="00791F02" w:rsidP="00F428C5">
      <w:pPr>
        <w:pStyle w:val="ListParagraph"/>
        <w:spacing w:after="0" w:line="480" w:lineRule="auto"/>
        <w:ind w:left="0"/>
        <w:jc w:val="both"/>
        <w:rPr>
          <w:rFonts w:ascii="Arial" w:hAnsi="Arial" w:cs="Arial"/>
          <w:sz w:val="24"/>
          <w:szCs w:val="24"/>
        </w:rPr>
      </w:pPr>
      <w:r w:rsidRPr="005F7D05">
        <w:rPr>
          <w:rFonts w:ascii="Arial" w:hAnsi="Arial" w:cs="Arial"/>
          <w:color w:val="000000" w:themeColor="text1"/>
          <w:sz w:val="24"/>
          <w:szCs w:val="24"/>
          <w:u w:val="single"/>
        </w:rPr>
        <w:t xml:space="preserve">The issues </w:t>
      </w:r>
      <w:r>
        <w:rPr>
          <w:rFonts w:ascii="Arial" w:hAnsi="Arial" w:cs="Arial"/>
          <w:color w:val="000000" w:themeColor="text1"/>
          <w:sz w:val="24"/>
          <w:szCs w:val="24"/>
          <w:u w:val="single"/>
        </w:rPr>
        <w:t>o</w:t>
      </w:r>
      <w:r w:rsidRPr="005F7D05">
        <w:rPr>
          <w:rFonts w:ascii="Arial" w:hAnsi="Arial" w:cs="Arial"/>
          <w:color w:val="000000" w:themeColor="text1"/>
          <w:sz w:val="24"/>
          <w:szCs w:val="24"/>
          <w:u w:val="single"/>
        </w:rPr>
        <w:t>n appeal</w:t>
      </w:r>
    </w:p>
    <w:p w:rsidR="00F428C5" w:rsidRDefault="00791F02" w:rsidP="0031009B">
      <w:pPr>
        <w:pStyle w:val="ListParagraph"/>
        <w:numPr>
          <w:ilvl w:val="0"/>
          <w:numId w:val="22"/>
        </w:numPr>
        <w:spacing w:after="0" w:line="480" w:lineRule="auto"/>
        <w:ind w:left="0" w:firstLine="0"/>
        <w:jc w:val="both"/>
        <w:rPr>
          <w:rFonts w:ascii="Arial" w:hAnsi="Arial" w:cs="Arial"/>
          <w:sz w:val="24"/>
          <w:szCs w:val="24"/>
        </w:rPr>
      </w:pPr>
      <w:r w:rsidRPr="00791F02">
        <w:rPr>
          <w:rFonts w:ascii="Arial" w:hAnsi="Arial" w:cs="Arial"/>
          <w:color w:val="000000" w:themeColor="text1"/>
          <w:sz w:val="24"/>
          <w:szCs w:val="24"/>
          <w:lang w:val="en-ZA"/>
        </w:rPr>
        <w:t xml:space="preserve">The first issue that falls for determination is whether the High Court was justified in developing the common law </w:t>
      </w:r>
      <w:r w:rsidRPr="00791F02">
        <w:rPr>
          <w:rFonts w:ascii="Arial" w:hAnsi="Arial" w:cs="Arial"/>
          <w:color w:val="000000" w:themeColor="text1"/>
          <w:sz w:val="24"/>
          <w:szCs w:val="24"/>
        </w:rPr>
        <w:t>to include a claim for malicious continuation of the prosecution.</w:t>
      </w:r>
      <w:r w:rsidRPr="00791F02">
        <w:rPr>
          <w:rFonts w:ascii="Arial" w:hAnsi="Arial" w:cs="Arial"/>
          <w:color w:val="000000" w:themeColor="text1"/>
        </w:rPr>
        <w:t xml:space="preserve"> </w:t>
      </w:r>
      <w:r w:rsidRPr="00791F02">
        <w:rPr>
          <w:rFonts w:ascii="Arial" w:hAnsi="Arial" w:cs="Arial"/>
          <w:color w:val="000000" w:themeColor="text1"/>
          <w:sz w:val="24"/>
          <w:szCs w:val="24"/>
        </w:rPr>
        <w:t xml:space="preserve"> </w:t>
      </w:r>
      <w:r w:rsidR="000D6E02">
        <w:rPr>
          <w:rFonts w:ascii="Arial" w:hAnsi="Arial" w:cs="Arial"/>
          <w:color w:val="000000" w:themeColor="text1"/>
          <w:sz w:val="24"/>
          <w:szCs w:val="24"/>
        </w:rPr>
        <w:t xml:space="preserve">The second issue </w:t>
      </w:r>
      <w:r w:rsidRPr="00791F02">
        <w:rPr>
          <w:rFonts w:ascii="Arial" w:hAnsi="Arial" w:cs="Arial"/>
          <w:color w:val="000000" w:themeColor="text1"/>
          <w:sz w:val="24"/>
          <w:szCs w:val="24"/>
        </w:rPr>
        <w:t xml:space="preserve">is whether the court </w:t>
      </w:r>
      <w:r w:rsidRPr="00791F02">
        <w:rPr>
          <w:rFonts w:ascii="Arial" w:hAnsi="Arial" w:cs="Arial"/>
          <w:i/>
          <w:color w:val="000000" w:themeColor="text1"/>
          <w:sz w:val="24"/>
          <w:szCs w:val="24"/>
        </w:rPr>
        <w:t>a quo</w:t>
      </w:r>
      <w:r w:rsidRPr="00791F02">
        <w:rPr>
          <w:rFonts w:ascii="Arial" w:hAnsi="Arial" w:cs="Arial"/>
          <w:color w:val="000000" w:themeColor="text1"/>
          <w:sz w:val="24"/>
          <w:szCs w:val="24"/>
        </w:rPr>
        <w:t xml:space="preserve"> was correct in holding that the PG maintained the prosecution after November 2011 maliciously and without reasonable and probable cause. Also a matter for decision is the question whether the appellants are liable to the respondent for constitutional damages, in the event that the claim for malicious continuation of the prosecution fails</w:t>
      </w:r>
      <w:r w:rsidRPr="00791F02">
        <w:rPr>
          <w:rFonts w:ascii="Arial" w:hAnsi="Arial" w:cs="Arial"/>
          <w:sz w:val="24"/>
          <w:szCs w:val="24"/>
        </w:rPr>
        <w:t xml:space="preserve">. </w:t>
      </w:r>
    </w:p>
    <w:p w:rsidR="000D6E02" w:rsidRDefault="000D6E02" w:rsidP="000D6E02">
      <w:pPr>
        <w:pStyle w:val="ListParagraph"/>
        <w:spacing w:after="0" w:line="480" w:lineRule="auto"/>
        <w:ind w:left="0"/>
        <w:jc w:val="both"/>
        <w:rPr>
          <w:rFonts w:ascii="Arial" w:hAnsi="Arial" w:cs="Arial"/>
          <w:sz w:val="24"/>
          <w:szCs w:val="24"/>
        </w:rPr>
      </w:pPr>
    </w:p>
    <w:p w:rsidR="00791F02" w:rsidRPr="00791F02" w:rsidRDefault="00791F02" w:rsidP="000D6E02">
      <w:pPr>
        <w:pStyle w:val="ListParagraph"/>
        <w:spacing w:after="0" w:line="480" w:lineRule="auto"/>
        <w:ind w:left="0"/>
        <w:jc w:val="both"/>
        <w:rPr>
          <w:rFonts w:ascii="Arial" w:hAnsi="Arial" w:cs="Arial"/>
          <w:color w:val="000000" w:themeColor="text1"/>
          <w:sz w:val="24"/>
          <w:szCs w:val="24"/>
          <w:u w:val="single"/>
          <w:lang w:val="en-ZA"/>
        </w:rPr>
      </w:pPr>
      <w:r w:rsidRPr="00791F02">
        <w:rPr>
          <w:rFonts w:ascii="Arial" w:hAnsi="Arial" w:cs="Arial"/>
          <w:color w:val="000000" w:themeColor="text1"/>
          <w:sz w:val="24"/>
          <w:szCs w:val="24"/>
          <w:u w:val="single"/>
          <w:lang w:val="en-ZA"/>
        </w:rPr>
        <w:lastRenderedPageBreak/>
        <w:t xml:space="preserve">Was the court </w:t>
      </w:r>
      <w:r w:rsidRPr="00791F02">
        <w:rPr>
          <w:rFonts w:ascii="Arial" w:hAnsi="Arial" w:cs="Arial"/>
          <w:i/>
          <w:color w:val="000000" w:themeColor="text1"/>
          <w:sz w:val="24"/>
          <w:szCs w:val="24"/>
          <w:u w:val="single"/>
          <w:lang w:val="en-ZA"/>
        </w:rPr>
        <w:t>a quo</w:t>
      </w:r>
      <w:r w:rsidRPr="00791F02">
        <w:rPr>
          <w:rFonts w:ascii="Arial" w:hAnsi="Arial" w:cs="Arial"/>
          <w:color w:val="000000" w:themeColor="text1"/>
          <w:sz w:val="24"/>
          <w:szCs w:val="24"/>
          <w:u w:val="single"/>
          <w:lang w:val="en-ZA"/>
        </w:rPr>
        <w:t xml:space="preserve"> correct in holding that the common law needed development to include the delict based on malicious continuation of a prosecution? </w:t>
      </w:r>
    </w:p>
    <w:p w:rsidR="00387BBB" w:rsidRPr="00387BBB" w:rsidRDefault="000B16E1" w:rsidP="0031009B">
      <w:pPr>
        <w:pStyle w:val="ListParagraph"/>
        <w:numPr>
          <w:ilvl w:val="0"/>
          <w:numId w:val="22"/>
        </w:numPr>
        <w:spacing w:after="0" w:line="480" w:lineRule="auto"/>
        <w:ind w:left="0" w:firstLine="0"/>
        <w:jc w:val="both"/>
        <w:rPr>
          <w:rFonts w:ascii="Arial" w:hAnsi="Arial" w:cs="Arial"/>
          <w:sz w:val="24"/>
          <w:szCs w:val="24"/>
        </w:rPr>
      </w:pPr>
      <w:r w:rsidRPr="00791F02">
        <w:rPr>
          <w:rFonts w:ascii="Arial" w:hAnsi="Arial" w:cs="Arial"/>
          <w:color w:val="000000" w:themeColor="text1"/>
          <w:sz w:val="24"/>
          <w:szCs w:val="24"/>
          <w:shd w:val="clear" w:color="auto" w:fill="FFFFFF"/>
        </w:rPr>
        <w:t xml:space="preserve">  </w:t>
      </w:r>
      <w:r w:rsidRPr="00791F02">
        <w:rPr>
          <w:rFonts w:ascii="Arial" w:hAnsi="Arial" w:cs="Arial"/>
          <w:color w:val="000000" w:themeColor="text1"/>
          <w:sz w:val="24"/>
          <w:szCs w:val="24"/>
        </w:rPr>
        <w:t xml:space="preserve">Mr Budlender, who appeared for the appellants together with Mr Marcus and Mr Namandje, firstly submitted that it was not necessary for the court </w:t>
      </w:r>
      <w:r w:rsidRPr="00791F02">
        <w:rPr>
          <w:rFonts w:ascii="Arial" w:hAnsi="Arial" w:cs="Arial"/>
          <w:i/>
          <w:color w:val="000000" w:themeColor="text1"/>
          <w:sz w:val="24"/>
          <w:szCs w:val="24"/>
        </w:rPr>
        <w:t>a quo</w:t>
      </w:r>
      <w:r w:rsidRPr="00791F02">
        <w:rPr>
          <w:rFonts w:ascii="Arial" w:hAnsi="Arial" w:cs="Arial"/>
          <w:color w:val="000000" w:themeColor="text1"/>
          <w:sz w:val="24"/>
          <w:szCs w:val="24"/>
        </w:rPr>
        <w:t xml:space="preserve"> to </w:t>
      </w:r>
      <w:r w:rsidR="00BA2A65">
        <w:rPr>
          <w:rFonts w:ascii="Arial" w:hAnsi="Arial" w:cs="Arial"/>
          <w:color w:val="000000" w:themeColor="text1"/>
          <w:sz w:val="24"/>
          <w:szCs w:val="24"/>
        </w:rPr>
        <w:t xml:space="preserve">have </w:t>
      </w:r>
      <w:r w:rsidRPr="00791F02">
        <w:rPr>
          <w:rFonts w:ascii="Arial" w:hAnsi="Arial" w:cs="Arial"/>
          <w:color w:val="000000" w:themeColor="text1"/>
          <w:sz w:val="24"/>
          <w:szCs w:val="24"/>
        </w:rPr>
        <w:t>develop</w:t>
      </w:r>
      <w:r w:rsidR="00BA2A65">
        <w:rPr>
          <w:rFonts w:ascii="Arial" w:hAnsi="Arial" w:cs="Arial"/>
          <w:color w:val="000000" w:themeColor="text1"/>
          <w:sz w:val="24"/>
          <w:szCs w:val="24"/>
        </w:rPr>
        <w:t>ed</w:t>
      </w:r>
      <w:r w:rsidRPr="00791F02">
        <w:rPr>
          <w:rFonts w:ascii="Arial" w:hAnsi="Arial" w:cs="Arial"/>
          <w:color w:val="000000" w:themeColor="text1"/>
          <w:sz w:val="24"/>
          <w:szCs w:val="24"/>
        </w:rPr>
        <w:t xml:space="preserve"> the common law in order to accommodate the element of malicious continuation of a prosecution as opposed to its initiation as this delict appears to have already been accepted at common law.</w:t>
      </w:r>
    </w:p>
    <w:p w:rsidR="000B16E1" w:rsidRPr="0031009B" w:rsidRDefault="0036207C" w:rsidP="00387BBB">
      <w:pPr>
        <w:pStyle w:val="ListParagraph"/>
        <w:spacing w:after="0" w:line="480" w:lineRule="auto"/>
        <w:ind w:left="0"/>
        <w:jc w:val="both"/>
        <w:rPr>
          <w:rFonts w:ascii="Arial" w:hAnsi="Arial" w:cs="Arial"/>
          <w:sz w:val="24"/>
          <w:szCs w:val="24"/>
        </w:rPr>
      </w:pPr>
      <w:r>
        <w:rPr>
          <w:rFonts w:ascii="Arial" w:hAnsi="Arial" w:cs="Arial"/>
          <w:color w:val="000000" w:themeColor="text1"/>
          <w:sz w:val="24"/>
          <w:szCs w:val="24"/>
        </w:rPr>
        <w:t xml:space="preserve">  </w:t>
      </w:r>
    </w:p>
    <w:p w:rsidR="0098751E" w:rsidRDefault="000B16E1" w:rsidP="0098751E">
      <w:pPr>
        <w:pStyle w:val="ListParagraph"/>
        <w:numPr>
          <w:ilvl w:val="0"/>
          <w:numId w:val="22"/>
        </w:numPr>
        <w:spacing w:before="240" w:after="0" w:line="480" w:lineRule="auto"/>
        <w:ind w:left="0" w:firstLine="0"/>
        <w:jc w:val="both"/>
        <w:rPr>
          <w:rFonts w:ascii="Arial" w:hAnsi="Arial" w:cs="Arial"/>
          <w:color w:val="000000" w:themeColor="text1"/>
          <w:sz w:val="24"/>
          <w:szCs w:val="24"/>
        </w:rPr>
      </w:pPr>
      <w:r w:rsidRPr="0098751E">
        <w:rPr>
          <w:rFonts w:ascii="Arial" w:hAnsi="Arial" w:cs="Arial"/>
          <w:color w:val="000000" w:themeColor="text1"/>
          <w:sz w:val="24"/>
          <w:szCs w:val="24"/>
          <w:shd w:val="clear" w:color="auto" w:fill="FFFFFF"/>
        </w:rPr>
        <w:t>In support of this proposition, counsel relied on a passage in the book by Maasdorp</w:t>
      </w:r>
      <w:r>
        <w:rPr>
          <w:rStyle w:val="FootnoteReference"/>
          <w:rFonts w:ascii="Arial" w:hAnsi="Arial" w:cs="Arial"/>
          <w:color w:val="000000" w:themeColor="text1"/>
          <w:sz w:val="24"/>
          <w:szCs w:val="24"/>
          <w:shd w:val="clear" w:color="auto" w:fill="FFFFFF"/>
        </w:rPr>
        <w:footnoteReference w:id="22"/>
      </w:r>
      <w:r w:rsidRPr="0098751E">
        <w:rPr>
          <w:rFonts w:ascii="Arial" w:hAnsi="Arial" w:cs="Arial"/>
          <w:color w:val="000000" w:themeColor="text1"/>
          <w:sz w:val="24"/>
          <w:szCs w:val="24"/>
          <w:shd w:val="clear" w:color="auto" w:fill="FFFFFF"/>
        </w:rPr>
        <w:t xml:space="preserve"> and argued that as</w:t>
      </w:r>
      <w:r w:rsidRPr="0098751E">
        <w:rPr>
          <w:rFonts w:ascii="Arial" w:hAnsi="Arial" w:cs="Arial"/>
          <w:color w:val="000000" w:themeColor="text1"/>
          <w:sz w:val="24"/>
          <w:szCs w:val="24"/>
        </w:rPr>
        <w:t xml:space="preserve"> regards the requirement of reasonable and probable cause, </w:t>
      </w:r>
      <w:r w:rsidRPr="0098751E">
        <w:rPr>
          <w:rFonts w:ascii="Arial" w:hAnsi="Arial" w:cs="Arial"/>
          <w:color w:val="000000" w:themeColor="text1"/>
          <w:sz w:val="24"/>
          <w:szCs w:val="24"/>
          <w:shd w:val="clear" w:color="auto" w:fill="FFFFFF"/>
        </w:rPr>
        <w:t xml:space="preserve">the common law establishes that this element </w:t>
      </w:r>
      <w:r w:rsidRPr="0098751E">
        <w:rPr>
          <w:rFonts w:ascii="Arial" w:hAnsi="Arial" w:cs="Arial"/>
          <w:color w:val="000000" w:themeColor="text1"/>
          <w:sz w:val="24"/>
          <w:szCs w:val="24"/>
        </w:rPr>
        <w:t>must be present not only at the  beginning of a prosecution, but throughout the course of the prosecution up to its very termination.</w:t>
      </w:r>
      <w:r w:rsidR="0031009B" w:rsidRPr="0098751E">
        <w:rPr>
          <w:rFonts w:ascii="Arial" w:hAnsi="Arial" w:cs="Arial"/>
          <w:color w:val="000000" w:themeColor="text1"/>
          <w:sz w:val="24"/>
          <w:szCs w:val="24"/>
        </w:rPr>
        <w:t xml:space="preserve">  </w:t>
      </w:r>
    </w:p>
    <w:p w:rsidR="0098751E" w:rsidRPr="0098751E" w:rsidRDefault="0098751E" w:rsidP="00387BBB">
      <w:pPr>
        <w:pStyle w:val="ListParagraph"/>
        <w:spacing w:after="0" w:line="480" w:lineRule="auto"/>
        <w:jc w:val="both"/>
        <w:rPr>
          <w:rFonts w:ascii="Arial" w:hAnsi="Arial" w:cs="Arial"/>
          <w:color w:val="000000" w:themeColor="text1"/>
          <w:sz w:val="24"/>
          <w:szCs w:val="24"/>
        </w:rPr>
      </w:pPr>
    </w:p>
    <w:p w:rsidR="0098751E" w:rsidRPr="0098751E" w:rsidRDefault="000B16E1" w:rsidP="0098751E">
      <w:pPr>
        <w:pStyle w:val="ListParagraph"/>
        <w:numPr>
          <w:ilvl w:val="0"/>
          <w:numId w:val="22"/>
        </w:numPr>
        <w:spacing w:before="240" w:after="0" w:line="480" w:lineRule="auto"/>
        <w:ind w:left="0" w:firstLine="0"/>
        <w:jc w:val="both"/>
        <w:rPr>
          <w:rFonts w:ascii="Arial" w:hAnsi="Arial" w:cs="Arial"/>
          <w:color w:val="000000" w:themeColor="text1"/>
          <w:sz w:val="24"/>
          <w:szCs w:val="24"/>
        </w:rPr>
      </w:pPr>
      <w:r w:rsidRPr="0098751E">
        <w:rPr>
          <w:rFonts w:ascii="Arial" w:hAnsi="Arial" w:cs="Arial"/>
          <w:color w:val="000000" w:themeColor="text1"/>
          <w:sz w:val="24"/>
          <w:szCs w:val="24"/>
        </w:rPr>
        <w:t xml:space="preserve">Counsel also referred to </w:t>
      </w:r>
      <w:r w:rsidRPr="0098751E">
        <w:rPr>
          <w:rFonts w:ascii="Arial" w:hAnsi="Arial" w:cs="Arial"/>
          <w:i/>
          <w:color w:val="000000" w:themeColor="text1"/>
          <w:sz w:val="24"/>
          <w:szCs w:val="24"/>
          <w:lang w:val="en-ZA"/>
        </w:rPr>
        <w:t>Van Noorden v Wiese</w:t>
      </w:r>
      <w:r w:rsidRPr="002507F3">
        <w:rPr>
          <w:rStyle w:val="FootnoteReference"/>
          <w:rFonts w:ascii="Arial" w:hAnsi="Arial" w:cs="Arial"/>
          <w:i/>
          <w:color w:val="000000" w:themeColor="text1"/>
          <w:sz w:val="24"/>
          <w:szCs w:val="24"/>
          <w:lang w:val="en-ZA"/>
        </w:rPr>
        <w:footnoteReference w:id="23"/>
      </w:r>
      <w:r w:rsidRPr="0098751E">
        <w:rPr>
          <w:rFonts w:ascii="Arial" w:hAnsi="Arial" w:cs="Arial"/>
          <w:color w:val="000000" w:themeColor="text1"/>
          <w:sz w:val="24"/>
          <w:szCs w:val="24"/>
          <w:lang w:val="en-ZA"/>
        </w:rPr>
        <w:t xml:space="preserve">, in which De Villiers CJ remarked that he did not know of any case in which it was held that if a person believed an offence had been committed, and other facts were brought to his notice which showed that no offence was committed, he would still be justified in proceeding in his original intention. According to the learned Chief Justice, if a person had a reasonable and probable cause at the initiation stage, but because of any subsequent information received by such person the reasonable and probable cause ceases, the prosecution ought to be </w:t>
      </w:r>
      <w:r w:rsidRPr="0098751E">
        <w:rPr>
          <w:rFonts w:ascii="Arial" w:hAnsi="Arial" w:cs="Arial"/>
          <w:color w:val="000000" w:themeColor="text1"/>
          <w:sz w:val="24"/>
          <w:szCs w:val="24"/>
          <w:lang w:val="en-ZA"/>
        </w:rPr>
        <w:lastRenderedPageBreak/>
        <w:t>terminated as well and failure to do so should result in the person being held liable for malicious prosecution.</w:t>
      </w:r>
      <w:r>
        <w:rPr>
          <w:rStyle w:val="FootnoteReference"/>
          <w:rFonts w:ascii="Arial" w:hAnsi="Arial" w:cs="Arial"/>
          <w:color w:val="000000" w:themeColor="text1"/>
          <w:sz w:val="24"/>
          <w:szCs w:val="24"/>
          <w:lang w:val="en-ZA"/>
        </w:rPr>
        <w:footnoteReference w:id="24"/>
      </w:r>
      <w:r w:rsidR="0098751E" w:rsidRPr="0098751E">
        <w:rPr>
          <w:rFonts w:ascii="Arial" w:hAnsi="Arial" w:cs="Arial"/>
          <w:color w:val="000000" w:themeColor="text1"/>
          <w:sz w:val="24"/>
          <w:szCs w:val="24"/>
          <w:lang w:val="en-ZA"/>
        </w:rPr>
        <w:t xml:space="preserve">    </w:t>
      </w:r>
    </w:p>
    <w:p w:rsidR="0098751E" w:rsidRPr="0098751E" w:rsidRDefault="0098751E" w:rsidP="00387BBB">
      <w:pPr>
        <w:pStyle w:val="ListParagraph"/>
        <w:spacing w:line="480" w:lineRule="auto"/>
        <w:jc w:val="both"/>
        <w:rPr>
          <w:rFonts w:ascii="Arial" w:hAnsi="Arial" w:cs="Arial"/>
          <w:color w:val="000000" w:themeColor="text1"/>
          <w:sz w:val="24"/>
          <w:szCs w:val="24"/>
        </w:rPr>
      </w:pPr>
    </w:p>
    <w:p w:rsidR="0098751E" w:rsidRDefault="000B16E1" w:rsidP="0098751E">
      <w:pPr>
        <w:pStyle w:val="ListParagraph"/>
        <w:numPr>
          <w:ilvl w:val="0"/>
          <w:numId w:val="22"/>
        </w:numPr>
        <w:spacing w:before="240" w:after="0" w:line="480" w:lineRule="auto"/>
        <w:ind w:left="0" w:firstLine="0"/>
        <w:jc w:val="both"/>
        <w:rPr>
          <w:rFonts w:ascii="Arial" w:hAnsi="Arial" w:cs="Arial"/>
          <w:color w:val="000000" w:themeColor="text1"/>
          <w:sz w:val="24"/>
          <w:szCs w:val="24"/>
        </w:rPr>
      </w:pPr>
      <w:r w:rsidRPr="0098751E">
        <w:rPr>
          <w:rFonts w:ascii="Arial" w:hAnsi="Arial" w:cs="Arial"/>
          <w:color w:val="000000" w:themeColor="text1"/>
          <w:sz w:val="24"/>
          <w:szCs w:val="24"/>
        </w:rPr>
        <w:t>Mr Budlender</w:t>
      </w:r>
      <w:r w:rsidR="00BA2A65">
        <w:rPr>
          <w:rFonts w:ascii="Arial" w:hAnsi="Arial" w:cs="Arial"/>
          <w:color w:val="000000" w:themeColor="text1"/>
          <w:sz w:val="24"/>
          <w:szCs w:val="24"/>
        </w:rPr>
        <w:t>,</w:t>
      </w:r>
      <w:r w:rsidRPr="0098751E">
        <w:rPr>
          <w:rFonts w:ascii="Arial" w:hAnsi="Arial" w:cs="Arial"/>
          <w:color w:val="000000" w:themeColor="text1"/>
          <w:sz w:val="24"/>
          <w:szCs w:val="24"/>
        </w:rPr>
        <w:t xml:space="preserve"> in the alternative</w:t>
      </w:r>
      <w:r w:rsidR="00BA2A65">
        <w:rPr>
          <w:rFonts w:ascii="Arial" w:hAnsi="Arial" w:cs="Arial"/>
          <w:color w:val="000000" w:themeColor="text1"/>
          <w:sz w:val="24"/>
          <w:szCs w:val="24"/>
        </w:rPr>
        <w:t>,</w:t>
      </w:r>
      <w:r w:rsidRPr="0098751E">
        <w:rPr>
          <w:rFonts w:ascii="Arial" w:hAnsi="Arial" w:cs="Arial"/>
          <w:color w:val="000000" w:themeColor="text1"/>
          <w:sz w:val="24"/>
          <w:szCs w:val="24"/>
        </w:rPr>
        <w:t xml:space="preserve"> submitted that in the event that this court finds that the common law does not provide for this delict, the common law may appropriately be developed, in light of the values contained in the Constitution. Building on the foregoing, counsel relied on </w:t>
      </w:r>
      <w:r w:rsidRPr="0098751E">
        <w:rPr>
          <w:rFonts w:ascii="Arial" w:hAnsi="Arial" w:cs="Arial"/>
          <w:i/>
          <w:color w:val="000000" w:themeColor="text1"/>
          <w:sz w:val="24"/>
          <w:szCs w:val="24"/>
        </w:rPr>
        <w:t xml:space="preserve">JS v LC </w:t>
      </w:r>
      <w:r w:rsidRPr="0098751E">
        <w:rPr>
          <w:rFonts w:ascii="Arial" w:hAnsi="Arial" w:cs="Arial"/>
          <w:color w:val="000000" w:themeColor="text1"/>
          <w:sz w:val="24"/>
          <w:szCs w:val="24"/>
        </w:rPr>
        <w:t xml:space="preserve">2016 (4) NR 939 (SC) para 28 where this court, albeit in a different context, reaffirmed the approach followed in </w:t>
      </w:r>
      <w:r w:rsidRPr="0098751E">
        <w:rPr>
          <w:rFonts w:ascii="Arial" w:hAnsi="Arial" w:cs="Arial"/>
          <w:i/>
          <w:color w:val="000000" w:themeColor="text1"/>
          <w:sz w:val="24"/>
          <w:szCs w:val="24"/>
        </w:rPr>
        <w:t>RH v DE</w:t>
      </w:r>
      <w:r w:rsidRPr="0098751E">
        <w:rPr>
          <w:rFonts w:ascii="Arial" w:hAnsi="Arial" w:cs="Arial"/>
          <w:color w:val="000000" w:themeColor="text1"/>
          <w:sz w:val="24"/>
          <w:szCs w:val="24"/>
        </w:rPr>
        <w:t xml:space="preserve"> 2014 (6) SA 436 (SCA) ([2014] ZASCA 133 to the effect that our courts are bound to develop the common law in line with the changing legal convictions of the community.</w:t>
      </w:r>
      <w:r>
        <w:rPr>
          <w:rStyle w:val="FootnoteReference"/>
          <w:rFonts w:ascii="Arial" w:hAnsi="Arial" w:cs="Arial"/>
          <w:color w:val="000000" w:themeColor="text1"/>
          <w:sz w:val="24"/>
          <w:szCs w:val="24"/>
        </w:rPr>
        <w:footnoteReference w:id="25"/>
      </w:r>
      <w:r w:rsidRPr="0098751E">
        <w:rPr>
          <w:rFonts w:ascii="Arial" w:hAnsi="Arial" w:cs="Arial"/>
          <w:color w:val="000000" w:themeColor="text1"/>
          <w:sz w:val="24"/>
          <w:szCs w:val="24"/>
        </w:rPr>
        <w:t xml:space="preserve"> Counsel further submitted that to the extent the common law is developed, the requirements for a delict of malicious prosecution should </w:t>
      </w:r>
      <w:r w:rsidRPr="0098751E">
        <w:rPr>
          <w:rFonts w:ascii="Arial" w:hAnsi="Arial" w:cs="Arial"/>
          <w:i/>
          <w:color w:val="000000" w:themeColor="text1"/>
          <w:sz w:val="24"/>
          <w:szCs w:val="24"/>
        </w:rPr>
        <w:t>mutatis mutandis</w:t>
      </w:r>
      <w:r w:rsidRPr="0098751E">
        <w:rPr>
          <w:rFonts w:ascii="Arial" w:hAnsi="Arial" w:cs="Arial"/>
          <w:color w:val="000000" w:themeColor="text1"/>
          <w:sz w:val="24"/>
          <w:szCs w:val="24"/>
        </w:rPr>
        <w:t xml:space="preserve"> apply to the delict of malicious continuation of the prosecution.</w:t>
      </w:r>
      <w:r w:rsidR="0098751E" w:rsidRPr="0098751E">
        <w:rPr>
          <w:rFonts w:ascii="Arial" w:hAnsi="Arial" w:cs="Arial"/>
          <w:color w:val="000000" w:themeColor="text1"/>
          <w:sz w:val="24"/>
          <w:szCs w:val="24"/>
        </w:rPr>
        <w:t xml:space="preserve">   </w:t>
      </w:r>
    </w:p>
    <w:p w:rsidR="0098751E" w:rsidRPr="0098751E" w:rsidRDefault="0098751E" w:rsidP="00387BBB">
      <w:pPr>
        <w:pStyle w:val="ListParagraph"/>
        <w:spacing w:after="0" w:line="480" w:lineRule="auto"/>
        <w:jc w:val="both"/>
        <w:rPr>
          <w:rFonts w:ascii="Arial" w:hAnsi="Arial" w:cs="Arial"/>
          <w:color w:val="000000" w:themeColor="text1"/>
          <w:sz w:val="24"/>
          <w:szCs w:val="24"/>
        </w:rPr>
      </w:pPr>
    </w:p>
    <w:p w:rsidR="0098751E" w:rsidRDefault="000B16E1" w:rsidP="0098751E">
      <w:pPr>
        <w:pStyle w:val="ListParagraph"/>
        <w:numPr>
          <w:ilvl w:val="0"/>
          <w:numId w:val="22"/>
        </w:numPr>
        <w:spacing w:before="240" w:after="0" w:line="480" w:lineRule="auto"/>
        <w:ind w:left="0" w:firstLine="0"/>
        <w:jc w:val="both"/>
        <w:rPr>
          <w:rFonts w:ascii="Arial" w:hAnsi="Arial" w:cs="Arial"/>
          <w:color w:val="000000" w:themeColor="text1"/>
          <w:sz w:val="24"/>
          <w:szCs w:val="24"/>
        </w:rPr>
      </w:pPr>
      <w:r w:rsidRPr="0098751E">
        <w:rPr>
          <w:rFonts w:ascii="Arial" w:hAnsi="Arial" w:cs="Arial"/>
          <w:color w:val="000000" w:themeColor="text1"/>
          <w:sz w:val="24"/>
          <w:szCs w:val="24"/>
        </w:rPr>
        <w:t xml:space="preserve">Mr </w:t>
      </w:r>
      <w:r w:rsidR="006A55F6" w:rsidRPr="0098751E">
        <w:rPr>
          <w:rFonts w:ascii="Arial" w:hAnsi="Arial" w:cs="Arial"/>
          <w:color w:val="000000" w:themeColor="text1"/>
          <w:sz w:val="24"/>
          <w:szCs w:val="24"/>
        </w:rPr>
        <w:t>Corbett,</w:t>
      </w:r>
      <w:r w:rsidRPr="0098751E">
        <w:rPr>
          <w:rFonts w:ascii="Arial" w:hAnsi="Arial" w:cs="Arial"/>
          <w:color w:val="000000" w:themeColor="text1"/>
          <w:sz w:val="24"/>
          <w:szCs w:val="24"/>
        </w:rPr>
        <w:t xml:space="preserve"> who argued the appeal on behalf of the respondent</w:t>
      </w:r>
      <w:r w:rsidR="006A55F6">
        <w:rPr>
          <w:rFonts w:ascii="Arial" w:hAnsi="Arial" w:cs="Arial"/>
          <w:color w:val="000000" w:themeColor="text1"/>
          <w:sz w:val="24"/>
          <w:szCs w:val="24"/>
        </w:rPr>
        <w:t xml:space="preserve"> together with Mr Hengari</w:t>
      </w:r>
      <w:r w:rsidRPr="0098751E">
        <w:rPr>
          <w:rFonts w:ascii="Arial" w:hAnsi="Arial" w:cs="Arial"/>
          <w:color w:val="000000" w:themeColor="text1"/>
          <w:sz w:val="24"/>
          <w:szCs w:val="24"/>
        </w:rPr>
        <w:t xml:space="preserve">, submitted that the court </w:t>
      </w:r>
      <w:r w:rsidRPr="0098751E">
        <w:rPr>
          <w:rFonts w:ascii="Arial" w:hAnsi="Arial" w:cs="Arial"/>
          <w:i/>
          <w:color w:val="000000" w:themeColor="text1"/>
          <w:sz w:val="24"/>
          <w:szCs w:val="24"/>
        </w:rPr>
        <w:t xml:space="preserve">a quo </w:t>
      </w:r>
      <w:r w:rsidRPr="0098751E">
        <w:rPr>
          <w:rFonts w:ascii="Arial" w:hAnsi="Arial" w:cs="Arial"/>
          <w:sz w:val="24"/>
          <w:szCs w:val="24"/>
        </w:rPr>
        <w:t>was correct in developing the common law to accommodate the element of continuation or maintenance of the prosecution.</w:t>
      </w:r>
      <w:r w:rsidRPr="0098751E">
        <w:rPr>
          <w:rFonts w:ascii="Arial" w:hAnsi="Arial" w:cs="Arial"/>
          <w:color w:val="000000" w:themeColor="text1"/>
          <w:sz w:val="24"/>
          <w:szCs w:val="24"/>
        </w:rPr>
        <w:t xml:space="preserve"> Counsel contended that the common law had to be developed to bring it in line with the constitutional obligations imposed upon the prosecuting authority by </w:t>
      </w:r>
      <w:r w:rsidRPr="0098751E">
        <w:rPr>
          <w:rFonts w:ascii="Arial" w:hAnsi="Arial" w:cs="Arial"/>
          <w:color w:val="000000" w:themeColor="text1"/>
          <w:sz w:val="24"/>
          <w:szCs w:val="24"/>
          <w:lang w:val="en-ZA"/>
        </w:rPr>
        <w:t>Art 12(1)(</w:t>
      </w:r>
      <w:r w:rsidRPr="0098751E">
        <w:rPr>
          <w:rFonts w:ascii="Arial" w:hAnsi="Arial" w:cs="Arial"/>
          <w:i/>
          <w:color w:val="000000" w:themeColor="text1"/>
          <w:sz w:val="24"/>
          <w:szCs w:val="24"/>
          <w:lang w:val="en-ZA"/>
        </w:rPr>
        <w:t>b</w:t>
      </w:r>
      <w:r w:rsidRPr="0098751E">
        <w:rPr>
          <w:rFonts w:ascii="Arial" w:hAnsi="Arial" w:cs="Arial"/>
          <w:color w:val="000000" w:themeColor="text1"/>
          <w:sz w:val="24"/>
          <w:szCs w:val="24"/>
          <w:lang w:val="en-ZA"/>
        </w:rPr>
        <w:t>) read with Art 88 of the Constitution</w:t>
      </w:r>
      <w:r w:rsidRPr="0098751E">
        <w:rPr>
          <w:rFonts w:ascii="Arial" w:hAnsi="Arial" w:cs="Arial"/>
          <w:color w:val="000000" w:themeColor="text1"/>
          <w:sz w:val="24"/>
          <w:szCs w:val="24"/>
        </w:rPr>
        <w:t>. Counsel submitted that the prosecutorial authority is required to exercise its mandate subject to the constitution and the laws of the country.</w:t>
      </w:r>
      <w:r w:rsidR="0098751E" w:rsidRPr="0098751E">
        <w:rPr>
          <w:rFonts w:ascii="Arial" w:hAnsi="Arial" w:cs="Arial"/>
          <w:color w:val="000000" w:themeColor="text1"/>
          <w:sz w:val="24"/>
          <w:szCs w:val="24"/>
        </w:rPr>
        <w:t xml:space="preserve">  </w:t>
      </w:r>
    </w:p>
    <w:p w:rsidR="008C761A" w:rsidRPr="008C761A" w:rsidRDefault="008C761A" w:rsidP="00387BBB">
      <w:pPr>
        <w:pStyle w:val="ListParagraph"/>
        <w:spacing w:after="0" w:line="480" w:lineRule="auto"/>
        <w:jc w:val="both"/>
        <w:rPr>
          <w:rFonts w:ascii="Arial" w:hAnsi="Arial" w:cs="Arial"/>
          <w:color w:val="000000" w:themeColor="text1"/>
          <w:sz w:val="24"/>
          <w:szCs w:val="24"/>
        </w:rPr>
      </w:pPr>
    </w:p>
    <w:p w:rsidR="000B16E1" w:rsidRPr="0098751E" w:rsidRDefault="000B16E1" w:rsidP="0098751E">
      <w:pPr>
        <w:pStyle w:val="ListParagraph"/>
        <w:numPr>
          <w:ilvl w:val="0"/>
          <w:numId w:val="22"/>
        </w:numPr>
        <w:spacing w:before="240" w:after="0" w:line="480" w:lineRule="auto"/>
        <w:ind w:left="0" w:firstLine="0"/>
        <w:jc w:val="both"/>
        <w:rPr>
          <w:rFonts w:ascii="Arial" w:hAnsi="Arial" w:cs="Arial"/>
          <w:color w:val="000000" w:themeColor="text1"/>
          <w:sz w:val="24"/>
          <w:szCs w:val="24"/>
        </w:rPr>
      </w:pPr>
      <w:r w:rsidRPr="0098751E">
        <w:rPr>
          <w:rFonts w:ascii="Arial" w:hAnsi="Arial" w:cs="Arial"/>
          <w:color w:val="000000" w:themeColor="text1"/>
          <w:sz w:val="24"/>
          <w:szCs w:val="24"/>
        </w:rPr>
        <w:lastRenderedPageBreak/>
        <w:t xml:space="preserve">With reference to </w:t>
      </w:r>
      <w:r w:rsidRPr="0098751E">
        <w:rPr>
          <w:rFonts w:ascii="Arial" w:hAnsi="Arial" w:cs="Arial"/>
          <w:i/>
          <w:color w:val="000000" w:themeColor="text1"/>
          <w:sz w:val="24"/>
          <w:szCs w:val="24"/>
        </w:rPr>
        <w:t xml:space="preserve">Heyns v Venter </w:t>
      </w:r>
      <w:r w:rsidRPr="0098751E">
        <w:rPr>
          <w:rFonts w:ascii="Arial" w:hAnsi="Arial" w:cs="Arial"/>
          <w:color w:val="000000" w:themeColor="text1"/>
          <w:sz w:val="24"/>
          <w:szCs w:val="24"/>
        </w:rPr>
        <w:t>2004 (3) SA 2000 (T)</w:t>
      </w:r>
      <w:r w:rsidR="00BA2A65">
        <w:rPr>
          <w:rFonts w:ascii="Arial" w:hAnsi="Arial" w:cs="Arial"/>
          <w:color w:val="000000" w:themeColor="text1"/>
          <w:sz w:val="24"/>
          <w:szCs w:val="24"/>
        </w:rPr>
        <w:t>,</w:t>
      </w:r>
      <w:r w:rsidRPr="0098751E">
        <w:rPr>
          <w:rFonts w:ascii="Arial" w:hAnsi="Arial" w:cs="Arial"/>
          <w:color w:val="000000" w:themeColor="text1"/>
          <w:sz w:val="24"/>
          <w:szCs w:val="24"/>
        </w:rPr>
        <w:t xml:space="preserve"> counsel submitted that courts were constitutionally obliged to develop the common law to bring it in line with the spirit, purport and objects of the Bill of Rights. Counsel further submitted that in view of the constitutional protection of human dignity, it was imperative to develop the ambit of the delict of malicious</w:t>
      </w:r>
      <w:r w:rsidR="00BA2A65">
        <w:rPr>
          <w:rFonts w:ascii="Arial" w:hAnsi="Arial" w:cs="Arial"/>
          <w:color w:val="000000" w:themeColor="text1"/>
          <w:sz w:val="24"/>
          <w:szCs w:val="24"/>
        </w:rPr>
        <w:t xml:space="preserve"> prosecution</w:t>
      </w:r>
      <w:r w:rsidRPr="0098751E">
        <w:rPr>
          <w:rFonts w:ascii="Arial" w:hAnsi="Arial" w:cs="Arial"/>
          <w:color w:val="000000" w:themeColor="text1"/>
          <w:sz w:val="24"/>
          <w:szCs w:val="24"/>
        </w:rPr>
        <w:t xml:space="preserve">. </w:t>
      </w:r>
      <w:r w:rsidRPr="0098751E">
        <w:rPr>
          <w:rFonts w:ascii="Arial" w:hAnsi="Arial" w:cs="Arial"/>
          <w:sz w:val="24"/>
          <w:szCs w:val="24"/>
        </w:rPr>
        <w:t xml:space="preserve">After referring to </w:t>
      </w:r>
      <w:r w:rsidR="00BA2A65">
        <w:rPr>
          <w:rFonts w:ascii="Arial" w:hAnsi="Arial" w:cs="Arial"/>
          <w:sz w:val="24"/>
          <w:szCs w:val="24"/>
        </w:rPr>
        <w:t>cases dealing with</w:t>
      </w:r>
      <w:r w:rsidRPr="0098751E">
        <w:rPr>
          <w:rFonts w:ascii="Arial" w:hAnsi="Arial" w:cs="Arial"/>
          <w:sz w:val="24"/>
          <w:szCs w:val="24"/>
        </w:rPr>
        <w:t xml:space="preserve"> the development of the common law</w:t>
      </w:r>
      <w:r w:rsidR="00F07F5B">
        <w:rPr>
          <w:rFonts w:ascii="Arial" w:hAnsi="Arial" w:cs="Arial"/>
          <w:sz w:val="24"/>
          <w:szCs w:val="24"/>
        </w:rPr>
        <w:t>,</w:t>
      </w:r>
      <w:r>
        <w:rPr>
          <w:rStyle w:val="FootnoteReference"/>
          <w:rFonts w:ascii="Arial" w:hAnsi="Arial" w:cs="Arial"/>
          <w:sz w:val="24"/>
          <w:szCs w:val="24"/>
        </w:rPr>
        <w:footnoteReference w:id="26"/>
      </w:r>
      <w:r w:rsidRPr="0098751E">
        <w:rPr>
          <w:rFonts w:ascii="Arial" w:hAnsi="Arial" w:cs="Arial"/>
          <w:color w:val="000000" w:themeColor="text1"/>
          <w:sz w:val="24"/>
          <w:szCs w:val="24"/>
        </w:rPr>
        <w:t xml:space="preserve"> counsel urged the court to develop this principle in order to bring our common law in line with the constitutional obligations imposed upon the prosecuting authority. </w:t>
      </w:r>
    </w:p>
    <w:p w:rsidR="000B16E1" w:rsidRDefault="000B16E1" w:rsidP="000B16E1">
      <w:pPr>
        <w:pStyle w:val="ListParagraph"/>
        <w:spacing w:before="240" w:after="0" w:line="480" w:lineRule="auto"/>
        <w:ind w:left="0"/>
        <w:jc w:val="both"/>
        <w:rPr>
          <w:rFonts w:ascii="Arial" w:hAnsi="Arial" w:cs="Arial"/>
          <w:color w:val="000000" w:themeColor="text1"/>
          <w:sz w:val="24"/>
          <w:szCs w:val="24"/>
        </w:rPr>
      </w:pPr>
    </w:p>
    <w:p w:rsidR="000B16E1" w:rsidRDefault="000B16E1" w:rsidP="0098751E">
      <w:pPr>
        <w:pStyle w:val="ListParagraph"/>
        <w:numPr>
          <w:ilvl w:val="0"/>
          <w:numId w:val="22"/>
        </w:numPr>
        <w:spacing w:before="240" w:after="0" w:line="480" w:lineRule="auto"/>
        <w:ind w:left="0" w:firstLine="0"/>
        <w:jc w:val="both"/>
        <w:rPr>
          <w:rFonts w:ascii="Arial" w:hAnsi="Arial" w:cs="Arial"/>
          <w:color w:val="000000" w:themeColor="text1"/>
          <w:sz w:val="24"/>
          <w:szCs w:val="24"/>
        </w:rPr>
      </w:pPr>
      <w:r w:rsidRPr="00C01BFC">
        <w:rPr>
          <w:rFonts w:ascii="Arial" w:hAnsi="Arial" w:cs="Arial"/>
          <w:color w:val="000000" w:themeColor="text1"/>
          <w:sz w:val="24"/>
          <w:szCs w:val="24"/>
        </w:rPr>
        <w:t xml:space="preserve">Counsel </w:t>
      </w:r>
      <w:r w:rsidR="00BA2A65">
        <w:rPr>
          <w:rFonts w:ascii="Arial" w:hAnsi="Arial" w:cs="Arial"/>
          <w:color w:val="000000" w:themeColor="text1"/>
          <w:sz w:val="24"/>
          <w:szCs w:val="24"/>
        </w:rPr>
        <w:t xml:space="preserve">also relied on </w:t>
      </w:r>
      <w:r>
        <w:rPr>
          <w:rFonts w:ascii="Arial" w:hAnsi="Arial" w:cs="Arial"/>
          <w:color w:val="000000" w:themeColor="text1"/>
          <w:sz w:val="24"/>
          <w:szCs w:val="24"/>
        </w:rPr>
        <w:t xml:space="preserve">decisions of Australian courts in </w:t>
      </w:r>
      <w:r>
        <w:rPr>
          <w:rFonts w:ascii="Arial" w:hAnsi="Arial" w:cs="Arial"/>
          <w:i/>
          <w:color w:val="000000" w:themeColor="text1"/>
          <w:sz w:val="24"/>
          <w:szCs w:val="24"/>
        </w:rPr>
        <w:t>Zreika v State of New South Wales</w:t>
      </w:r>
      <w:r>
        <w:rPr>
          <w:rStyle w:val="FootnoteReference"/>
          <w:rFonts w:ascii="Arial" w:hAnsi="Arial" w:cs="Arial"/>
          <w:i/>
          <w:color w:val="000000" w:themeColor="text1"/>
          <w:sz w:val="24"/>
          <w:szCs w:val="24"/>
        </w:rPr>
        <w:footnoteReference w:id="27"/>
      </w:r>
      <w:r>
        <w:rPr>
          <w:rFonts w:ascii="Arial" w:hAnsi="Arial" w:cs="Arial"/>
          <w:color w:val="000000" w:themeColor="text1"/>
          <w:sz w:val="24"/>
          <w:szCs w:val="24"/>
        </w:rPr>
        <w:t xml:space="preserve"> and </w:t>
      </w:r>
      <w:r>
        <w:rPr>
          <w:rFonts w:ascii="Arial" w:hAnsi="Arial" w:cs="Arial"/>
          <w:i/>
          <w:color w:val="000000" w:themeColor="text1"/>
          <w:sz w:val="24"/>
          <w:szCs w:val="24"/>
        </w:rPr>
        <w:t xml:space="preserve">Hathaway v </w:t>
      </w:r>
      <w:r w:rsidRPr="00851473">
        <w:rPr>
          <w:rFonts w:ascii="Arial" w:hAnsi="Arial" w:cs="Arial"/>
          <w:i/>
          <w:color w:val="000000" w:themeColor="text1"/>
          <w:sz w:val="24"/>
          <w:szCs w:val="24"/>
        </w:rPr>
        <w:t>State</w:t>
      </w:r>
      <w:r>
        <w:rPr>
          <w:rFonts w:ascii="Arial" w:hAnsi="Arial" w:cs="Arial"/>
          <w:i/>
          <w:color w:val="000000" w:themeColor="text1"/>
          <w:sz w:val="24"/>
          <w:szCs w:val="24"/>
        </w:rPr>
        <w:t xml:space="preserve"> of New South Wales</w:t>
      </w:r>
      <w:r>
        <w:rPr>
          <w:rStyle w:val="FootnoteReference"/>
          <w:rFonts w:ascii="Arial" w:hAnsi="Arial" w:cs="Arial"/>
          <w:i/>
          <w:color w:val="000000" w:themeColor="text1"/>
          <w:sz w:val="24"/>
          <w:szCs w:val="24"/>
        </w:rPr>
        <w:footnoteReference w:id="28"/>
      </w:r>
      <w:r w:rsidR="00BA2A65">
        <w:rPr>
          <w:rFonts w:ascii="Arial" w:hAnsi="Arial" w:cs="Arial"/>
          <w:color w:val="000000" w:themeColor="text1"/>
          <w:sz w:val="24"/>
          <w:szCs w:val="24"/>
        </w:rPr>
        <w:t xml:space="preserve"> for this approach</w:t>
      </w:r>
      <w:r w:rsidR="003076D5">
        <w:rPr>
          <w:rFonts w:ascii="Arial" w:hAnsi="Arial" w:cs="Arial"/>
          <w:color w:val="000000" w:themeColor="text1"/>
          <w:sz w:val="24"/>
          <w:szCs w:val="24"/>
        </w:rPr>
        <w:t>. I</w:t>
      </w:r>
      <w:r>
        <w:rPr>
          <w:rFonts w:ascii="Arial" w:hAnsi="Arial" w:cs="Arial"/>
          <w:color w:val="000000" w:themeColor="text1"/>
          <w:sz w:val="24"/>
          <w:szCs w:val="24"/>
        </w:rPr>
        <w:t xml:space="preserve">n </w:t>
      </w:r>
      <w:r w:rsidRPr="00DD008B">
        <w:rPr>
          <w:rFonts w:ascii="Arial" w:hAnsi="Arial" w:cs="Arial"/>
          <w:color w:val="000000" w:themeColor="text1"/>
          <w:sz w:val="24"/>
          <w:szCs w:val="24"/>
        </w:rPr>
        <w:t xml:space="preserve">the course of explaining the requirement of </w:t>
      </w:r>
      <w:r>
        <w:rPr>
          <w:rFonts w:ascii="Arial" w:hAnsi="Arial" w:cs="Arial"/>
          <w:color w:val="000000" w:themeColor="text1"/>
          <w:sz w:val="24"/>
          <w:szCs w:val="24"/>
        </w:rPr>
        <w:t xml:space="preserve">reasonable and </w:t>
      </w:r>
      <w:r w:rsidRPr="00DD008B">
        <w:rPr>
          <w:rFonts w:ascii="Arial" w:hAnsi="Arial" w:cs="Arial"/>
          <w:color w:val="000000" w:themeColor="text1"/>
          <w:sz w:val="24"/>
          <w:szCs w:val="24"/>
        </w:rPr>
        <w:t xml:space="preserve">probable cause, </w:t>
      </w:r>
      <w:r w:rsidR="003076D5">
        <w:rPr>
          <w:rFonts w:ascii="Arial" w:hAnsi="Arial" w:cs="Arial"/>
          <w:color w:val="000000" w:themeColor="text1"/>
          <w:sz w:val="24"/>
          <w:szCs w:val="24"/>
        </w:rPr>
        <w:t xml:space="preserve">the courts </w:t>
      </w:r>
      <w:r w:rsidRPr="00DD008B">
        <w:rPr>
          <w:rFonts w:ascii="Arial" w:hAnsi="Arial" w:cs="Arial"/>
          <w:color w:val="000000" w:themeColor="text1"/>
          <w:sz w:val="24"/>
          <w:szCs w:val="24"/>
        </w:rPr>
        <w:t>held that the absence of a reasonable and probable cause at an</w:t>
      </w:r>
      <w:r w:rsidRPr="00DD008B">
        <w:rPr>
          <w:rFonts w:ascii="Arial" w:hAnsi="Arial" w:cs="Arial"/>
          <w:sz w:val="24"/>
          <w:szCs w:val="24"/>
        </w:rPr>
        <w:t xml:space="preserve"> identifiable event during the </w:t>
      </w:r>
      <w:r w:rsidRPr="00DD008B">
        <w:rPr>
          <w:rFonts w:ascii="Arial" w:hAnsi="Arial" w:cs="Arial"/>
          <w:color w:val="000000" w:themeColor="text1"/>
          <w:sz w:val="24"/>
          <w:szCs w:val="24"/>
        </w:rPr>
        <w:t xml:space="preserve">criminal proceedings and </w:t>
      </w:r>
      <w:r>
        <w:rPr>
          <w:rFonts w:ascii="Arial" w:hAnsi="Arial" w:cs="Arial"/>
          <w:color w:val="000000" w:themeColor="text1"/>
          <w:sz w:val="24"/>
          <w:szCs w:val="24"/>
        </w:rPr>
        <w:t xml:space="preserve">where </w:t>
      </w:r>
      <w:r w:rsidRPr="00DD008B">
        <w:rPr>
          <w:rFonts w:ascii="Arial" w:hAnsi="Arial" w:cs="Arial"/>
          <w:color w:val="000000" w:themeColor="text1"/>
          <w:sz w:val="24"/>
          <w:szCs w:val="24"/>
        </w:rPr>
        <w:t>the prosecution is not stopped, give</w:t>
      </w:r>
      <w:r w:rsidR="006A55F6">
        <w:rPr>
          <w:rFonts w:ascii="Arial" w:hAnsi="Arial" w:cs="Arial"/>
          <w:color w:val="000000" w:themeColor="text1"/>
          <w:sz w:val="24"/>
          <w:szCs w:val="24"/>
        </w:rPr>
        <w:t>s</w:t>
      </w:r>
      <w:r>
        <w:rPr>
          <w:rFonts w:ascii="Arial" w:hAnsi="Arial" w:cs="Arial"/>
          <w:color w:val="000000" w:themeColor="text1"/>
          <w:sz w:val="24"/>
          <w:szCs w:val="24"/>
        </w:rPr>
        <w:t xml:space="preserve"> rise to a delictual claim based on malicious continuation of the prosecution. </w:t>
      </w:r>
    </w:p>
    <w:p w:rsidR="000B16E1" w:rsidRPr="002507F3" w:rsidRDefault="000B16E1" w:rsidP="00FA66E4">
      <w:pPr>
        <w:pStyle w:val="ListParagraph"/>
        <w:spacing w:after="0" w:line="480" w:lineRule="auto"/>
        <w:jc w:val="both"/>
        <w:rPr>
          <w:rFonts w:ascii="Arial" w:hAnsi="Arial" w:cs="Arial"/>
          <w:color w:val="000000" w:themeColor="text1"/>
          <w:sz w:val="24"/>
          <w:szCs w:val="24"/>
        </w:rPr>
      </w:pPr>
    </w:p>
    <w:p w:rsidR="000B16E1" w:rsidRPr="00A05774" w:rsidRDefault="000B16E1" w:rsidP="0098751E">
      <w:pPr>
        <w:pStyle w:val="ListParagraph"/>
        <w:numPr>
          <w:ilvl w:val="0"/>
          <w:numId w:val="22"/>
        </w:numPr>
        <w:spacing w:before="240" w:after="0" w:line="480" w:lineRule="auto"/>
        <w:ind w:left="0" w:firstLine="0"/>
        <w:jc w:val="both"/>
        <w:rPr>
          <w:rFonts w:ascii="Arial" w:hAnsi="Arial" w:cs="Arial"/>
          <w:sz w:val="24"/>
          <w:szCs w:val="24"/>
        </w:rPr>
      </w:pPr>
      <w:r w:rsidRPr="00A05774">
        <w:rPr>
          <w:rFonts w:ascii="Arial" w:hAnsi="Arial" w:cs="Arial"/>
          <w:sz w:val="24"/>
          <w:szCs w:val="24"/>
        </w:rPr>
        <w:t>Although it m</w:t>
      </w:r>
      <w:r w:rsidR="008C761A">
        <w:rPr>
          <w:rFonts w:ascii="Arial" w:hAnsi="Arial" w:cs="Arial"/>
          <w:sz w:val="24"/>
          <w:szCs w:val="24"/>
        </w:rPr>
        <w:t>ay be the case</w:t>
      </w:r>
      <w:r w:rsidRPr="00A05774">
        <w:rPr>
          <w:rFonts w:ascii="Arial" w:hAnsi="Arial" w:cs="Arial"/>
          <w:sz w:val="24"/>
          <w:szCs w:val="24"/>
        </w:rPr>
        <w:t xml:space="preserve"> that there </w:t>
      </w:r>
      <w:r>
        <w:rPr>
          <w:rFonts w:ascii="Arial" w:hAnsi="Arial" w:cs="Arial"/>
          <w:sz w:val="24"/>
          <w:szCs w:val="24"/>
        </w:rPr>
        <w:t>are</w:t>
      </w:r>
      <w:r w:rsidRPr="00A05774">
        <w:rPr>
          <w:rFonts w:ascii="Arial" w:hAnsi="Arial" w:cs="Arial"/>
          <w:sz w:val="24"/>
          <w:szCs w:val="24"/>
        </w:rPr>
        <w:t xml:space="preserve"> no explicit authorities within our jurisdiction on the issue, on a careful analysis of the old </w:t>
      </w:r>
      <w:r>
        <w:rPr>
          <w:rFonts w:ascii="Arial" w:hAnsi="Arial" w:cs="Arial"/>
          <w:sz w:val="24"/>
          <w:szCs w:val="24"/>
        </w:rPr>
        <w:t xml:space="preserve">persuasive South African </w:t>
      </w:r>
      <w:r w:rsidR="006A55F6">
        <w:rPr>
          <w:rFonts w:ascii="Arial" w:hAnsi="Arial" w:cs="Arial"/>
          <w:sz w:val="24"/>
          <w:szCs w:val="24"/>
        </w:rPr>
        <w:t>sources</w:t>
      </w:r>
      <w:r>
        <w:rPr>
          <w:rFonts w:ascii="Arial" w:hAnsi="Arial" w:cs="Arial"/>
          <w:sz w:val="24"/>
          <w:szCs w:val="24"/>
        </w:rPr>
        <w:t>,</w:t>
      </w:r>
      <w:r w:rsidRPr="00A05774">
        <w:rPr>
          <w:rFonts w:ascii="Arial" w:hAnsi="Arial" w:cs="Arial"/>
          <w:sz w:val="24"/>
          <w:szCs w:val="24"/>
        </w:rPr>
        <w:t xml:space="preserve"> I am unable to agree with the holding of the court </w:t>
      </w:r>
      <w:r w:rsidRPr="00A05774">
        <w:rPr>
          <w:rFonts w:ascii="Arial" w:hAnsi="Arial" w:cs="Arial"/>
          <w:i/>
          <w:sz w:val="24"/>
          <w:szCs w:val="24"/>
        </w:rPr>
        <w:t>a quo</w:t>
      </w:r>
      <w:r w:rsidRPr="00A05774">
        <w:rPr>
          <w:rFonts w:ascii="Arial" w:hAnsi="Arial" w:cs="Arial"/>
          <w:sz w:val="24"/>
          <w:szCs w:val="24"/>
        </w:rPr>
        <w:t xml:space="preserve"> </w:t>
      </w:r>
      <w:r>
        <w:rPr>
          <w:rFonts w:ascii="Arial" w:hAnsi="Arial" w:cs="Arial"/>
          <w:sz w:val="24"/>
          <w:szCs w:val="24"/>
        </w:rPr>
        <w:t>that it was necessary to develop the common law in this case</w:t>
      </w:r>
      <w:r w:rsidRPr="00A05774">
        <w:rPr>
          <w:rFonts w:ascii="Arial" w:hAnsi="Arial" w:cs="Arial"/>
          <w:sz w:val="24"/>
          <w:szCs w:val="24"/>
        </w:rPr>
        <w:t xml:space="preserve">.    </w:t>
      </w:r>
    </w:p>
    <w:p w:rsidR="000B16E1" w:rsidRPr="00A05774" w:rsidRDefault="000B16E1" w:rsidP="00FA66E4">
      <w:pPr>
        <w:pStyle w:val="ListParagraph"/>
        <w:spacing w:line="480" w:lineRule="auto"/>
        <w:jc w:val="both"/>
        <w:rPr>
          <w:rFonts w:ascii="Arial" w:hAnsi="Arial" w:cs="Arial"/>
          <w:sz w:val="24"/>
          <w:szCs w:val="24"/>
        </w:rPr>
      </w:pPr>
    </w:p>
    <w:p w:rsidR="000B16E1" w:rsidRPr="00A05774" w:rsidRDefault="000B16E1" w:rsidP="0098751E">
      <w:pPr>
        <w:pStyle w:val="ListParagraph"/>
        <w:numPr>
          <w:ilvl w:val="0"/>
          <w:numId w:val="22"/>
        </w:numPr>
        <w:spacing w:before="240" w:after="0" w:line="480" w:lineRule="auto"/>
        <w:ind w:left="0" w:firstLine="0"/>
        <w:jc w:val="both"/>
        <w:rPr>
          <w:rFonts w:ascii="Arial" w:hAnsi="Arial" w:cs="Arial"/>
          <w:sz w:val="24"/>
          <w:szCs w:val="24"/>
        </w:rPr>
      </w:pPr>
      <w:r>
        <w:rPr>
          <w:rFonts w:ascii="Arial" w:hAnsi="Arial" w:cs="Arial"/>
          <w:sz w:val="24"/>
          <w:szCs w:val="24"/>
        </w:rPr>
        <w:lastRenderedPageBreak/>
        <w:t>As previously noted, i</w:t>
      </w:r>
      <w:r w:rsidRPr="00A05774">
        <w:rPr>
          <w:rFonts w:ascii="Arial" w:hAnsi="Arial" w:cs="Arial"/>
          <w:sz w:val="24"/>
          <w:szCs w:val="24"/>
        </w:rPr>
        <w:t xml:space="preserve">n </w:t>
      </w:r>
      <w:r w:rsidRPr="00A05774">
        <w:rPr>
          <w:rFonts w:ascii="Arial" w:hAnsi="Arial" w:cs="Arial"/>
          <w:i/>
          <w:sz w:val="24"/>
          <w:szCs w:val="24"/>
          <w:lang w:val="en-ZA"/>
        </w:rPr>
        <w:t>Van Noorden v Wiese</w:t>
      </w:r>
      <w:r w:rsidRPr="00A05774">
        <w:rPr>
          <w:rFonts w:ascii="Arial" w:hAnsi="Arial" w:cs="Arial"/>
          <w:sz w:val="24"/>
          <w:szCs w:val="24"/>
          <w:lang w:val="en-ZA"/>
        </w:rPr>
        <w:t xml:space="preserve"> De Villiers CJ stated that he d</w:t>
      </w:r>
      <w:r>
        <w:rPr>
          <w:rFonts w:ascii="Arial" w:hAnsi="Arial" w:cs="Arial"/>
          <w:sz w:val="24"/>
          <w:szCs w:val="24"/>
          <w:lang w:val="en-ZA"/>
        </w:rPr>
        <w:t>id</w:t>
      </w:r>
      <w:r w:rsidRPr="00A05774">
        <w:rPr>
          <w:rFonts w:ascii="Arial" w:hAnsi="Arial" w:cs="Arial"/>
          <w:sz w:val="24"/>
          <w:szCs w:val="24"/>
          <w:lang w:val="en-ZA"/>
        </w:rPr>
        <w:t xml:space="preserve"> not know of any case in which it was held that if a person believe</w:t>
      </w:r>
      <w:r>
        <w:rPr>
          <w:rFonts w:ascii="Arial" w:hAnsi="Arial" w:cs="Arial"/>
          <w:sz w:val="24"/>
          <w:szCs w:val="24"/>
          <w:lang w:val="en-ZA"/>
        </w:rPr>
        <w:t>d</w:t>
      </w:r>
      <w:r w:rsidRPr="00A05774">
        <w:rPr>
          <w:rFonts w:ascii="Arial" w:hAnsi="Arial" w:cs="Arial"/>
          <w:sz w:val="24"/>
          <w:szCs w:val="24"/>
          <w:lang w:val="en-ZA"/>
        </w:rPr>
        <w:t xml:space="preserve"> an offence ha</w:t>
      </w:r>
      <w:r>
        <w:rPr>
          <w:rFonts w:ascii="Arial" w:hAnsi="Arial" w:cs="Arial"/>
          <w:sz w:val="24"/>
          <w:szCs w:val="24"/>
          <w:lang w:val="en-ZA"/>
        </w:rPr>
        <w:t>d</w:t>
      </w:r>
      <w:r w:rsidRPr="00A05774">
        <w:rPr>
          <w:rFonts w:ascii="Arial" w:hAnsi="Arial" w:cs="Arial"/>
          <w:sz w:val="24"/>
          <w:szCs w:val="24"/>
          <w:lang w:val="en-ZA"/>
        </w:rPr>
        <w:t xml:space="preserve"> been committed, and other facts </w:t>
      </w:r>
      <w:r>
        <w:rPr>
          <w:rFonts w:ascii="Arial" w:hAnsi="Arial" w:cs="Arial"/>
          <w:sz w:val="24"/>
          <w:szCs w:val="24"/>
          <w:lang w:val="en-ZA"/>
        </w:rPr>
        <w:t>wer</w:t>
      </w:r>
      <w:r w:rsidRPr="00A05774">
        <w:rPr>
          <w:rFonts w:ascii="Arial" w:hAnsi="Arial" w:cs="Arial"/>
          <w:sz w:val="24"/>
          <w:szCs w:val="24"/>
          <w:lang w:val="en-ZA"/>
        </w:rPr>
        <w:t>e brought to his notice which show</w:t>
      </w:r>
      <w:r>
        <w:rPr>
          <w:rFonts w:ascii="Arial" w:hAnsi="Arial" w:cs="Arial"/>
          <w:sz w:val="24"/>
          <w:szCs w:val="24"/>
          <w:lang w:val="en-ZA"/>
        </w:rPr>
        <w:t>ed</w:t>
      </w:r>
      <w:r w:rsidRPr="00A05774">
        <w:rPr>
          <w:rFonts w:ascii="Arial" w:hAnsi="Arial" w:cs="Arial"/>
          <w:sz w:val="24"/>
          <w:szCs w:val="24"/>
          <w:lang w:val="en-ZA"/>
        </w:rPr>
        <w:t xml:space="preserve"> that no offence </w:t>
      </w:r>
      <w:r>
        <w:rPr>
          <w:rFonts w:ascii="Arial" w:hAnsi="Arial" w:cs="Arial"/>
          <w:sz w:val="24"/>
          <w:szCs w:val="24"/>
          <w:lang w:val="en-ZA"/>
        </w:rPr>
        <w:t>h</w:t>
      </w:r>
      <w:r w:rsidRPr="00A05774">
        <w:rPr>
          <w:rFonts w:ascii="Arial" w:hAnsi="Arial" w:cs="Arial"/>
          <w:sz w:val="24"/>
          <w:szCs w:val="24"/>
          <w:lang w:val="en-ZA"/>
        </w:rPr>
        <w:t>a</w:t>
      </w:r>
      <w:r>
        <w:rPr>
          <w:rFonts w:ascii="Arial" w:hAnsi="Arial" w:cs="Arial"/>
          <w:sz w:val="24"/>
          <w:szCs w:val="24"/>
          <w:lang w:val="en-ZA"/>
        </w:rPr>
        <w:t>d been</w:t>
      </w:r>
      <w:r w:rsidRPr="00A05774">
        <w:rPr>
          <w:rFonts w:ascii="Arial" w:hAnsi="Arial" w:cs="Arial"/>
          <w:sz w:val="24"/>
          <w:szCs w:val="24"/>
          <w:lang w:val="en-ZA"/>
        </w:rPr>
        <w:t xml:space="preserve"> committed, he </w:t>
      </w:r>
      <w:r>
        <w:rPr>
          <w:rFonts w:ascii="Arial" w:hAnsi="Arial" w:cs="Arial"/>
          <w:sz w:val="24"/>
          <w:szCs w:val="24"/>
          <w:lang w:val="en-ZA"/>
        </w:rPr>
        <w:t xml:space="preserve">would </w:t>
      </w:r>
      <w:r w:rsidRPr="00A05774">
        <w:rPr>
          <w:rFonts w:ascii="Arial" w:hAnsi="Arial" w:cs="Arial"/>
          <w:sz w:val="24"/>
          <w:szCs w:val="24"/>
          <w:lang w:val="en-ZA"/>
        </w:rPr>
        <w:t xml:space="preserve">still </w:t>
      </w:r>
      <w:r>
        <w:rPr>
          <w:rFonts w:ascii="Arial" w:hAnsi="Arial" w:cs="Arial"/>
          <w:sz w:val="24"/>
          <w:szCs w:val="24"/>
          <w:lang w:val="en-ZA"/>
        </w:rPr>
        <w:t xml:space="preserve">be </w:t>
      </w:r>
      <w:r w:rsidRPr="00A05774">
        <w:rPr>
          <w:rFonts w:ascii="Arial" w:hAnsi="Arial" w:cs="Arial"/>
          <w:sz w:val="24"/>
          <w:szCs w:val="24"/>
          <w:lang w:val="en-ZA"/>
        </w:rPr>
        <w:t xml:space="preserve">justified in proceeding in his original intention. </w:t>
      </w:r>
      <w:r w:rsidR="00C762D5">
        <w:rPr>
          <w:rFonts w:ascii="Arial" w:hAnsi="Arial" w:cs="Arial"/>
          <w:sz w:val="24"/>
          <w:szCs w:val="24"/>
          <w:lang w:val="en-ZA"/>
        </w:rPr>
        <w:t>T</w:t>
      </w:r>
      <w:r>
        <w:rPr>
          <w:rFonts w:ascii="Arial" w:hAnsi="Arial" w:cs="Arial"/>
          <w:sz w:val="24"/>
          <w:szCs w:val="24"/>
          <w:lang w:val="en-ZA"/>
        </w:rPr>
        <w:t xml:space="preserve">he </w:t>
      </w:r>
      <w:r w:rsidRPr="00A05774">
        <w:rPr>
          <w:rFonts w:ascii="Arial" w:hAnsi="Arial" w:cs="Arial"/>
          <w:sz w:val="24"/>
          <w:szCs w:val="24"/>
          <w:lang w:val="en-ZA"/>
        </w:rPr>
        <w:t xml:space="preserve">Chief Justice </w:t>
      </w:r>
      <w:r>
        <w:rPr>
          <w:rFonts w:ascii="Arial" w:hAnsi="Arial" w:cs="Arial"/>
          <w:sz w:val="24"/>
          <w:szCs w:val="24"/>
          <w:lang w:val="en-ZA"/>
        </w:rPr>
        <w:t xml:space="preserve">pertinently </w:t>
      </w:r>
      <w:r w:rsidRPr="00A05774">
        <w:rPr>
          <w:rFonts w:ascii="Arial" w:hAnsi="Arial" w:cs="Arial"/>
          <w:sz w:val="24"/>
          <w:szCs w:val="24"/>
          <w:lang w:val="en-ZA"/>
        </w:rPr>
        <w:t xml:space="preserve">observed that it </w:t>
      </w:r>
      <w:r>
        <w:rPr>
          <w:rFonts w:ascii="Arial" w:hAnsi="Arial" w:cs="Arial"/>
          <w:sz w:val="24"/>
          <w:szCs w:val="24"/>
          <w:lang w:val="en-ZA"/>
        </w:rPr>
        <w:t>wa</w:t>
      </w:r>
      <w:r w:rsidRPr="00A05774">
        <w:rPr>
          <w:rFonts w:ascii="Arial" w:hAnsi="Arial" w:cs="Arial"/>
          <w:sz w:val="24"/>
          <w:szCs w:val="24"/>
          <w:lang w:val="en-ZA"/>
        </w:rPr>
        <w:t xml:space="preserve">s </w:t>
      </w:r>
      <w:r>
        <w:rPr>
          <w:rFonts w:ascii="Arial" w:hAnsi="Arial" w:cs="Arial"/>
          <w:sz w:val="24"/>
          <w:szCs w:val="24"/>
          <w:lang w:val="en-ZA"/>
        </w:rPr>
        <w:t xml:space="preserve">in </w:t>
      </w:r>
      <w:r w:rsidRPr="00A05774">
        <w:rPr>
          <w:rFonts w:ascii="Arial" w:hAnsi="Arial" w:cs="Arial"/>
          <w:sz w:val="24"/>
          <w:szCs w:val="24"/>
          <w:lang w:val="en-ZA"/>
        </w:rPr>
        <w:t xml:space="preserve">the interest of the public that </w:t>
      </w:r>
      <w:r>
        <w:rPr>
          <w:rFonts w:ascii="Arial" w:hAnsi="Arial" w:cs="Arial"/>
          <w:sz w:val="24"/>
          <w:szCs w:val="24"/>
          <w:lang w:val="en-ZA"/>
        </w:rPr>
        <w:t xml:space="preserve">the </w:t>
      </w:r>
      <w:r w:rsidRPr="00A05774">
        <w:rPr>
          <w:rFonts w:ascii="Arial" w:hAnsi="Arial" w:cs="Arial"/>
          <w:sz w:val="24"/>
          <w:szCs w:val="24"/>
          <w:lang w:val="en-ZA"/>
        </w:rPr>
        <w:t xml:space="preserve">offenders </w:t>
      </w:r>
      <w:r>
        <w:rPr>
          <w:rFonts w:ascii="Arial" w:hAnsi="Arial" w:cs="Arial"/>
          <w:sz w:val="24"/>
          <w:szCs w:val="24"/>
          <w:lang w:val="en-ZA"/>
        </w:rPr>
        <w:t xml:space="preserve">were </w:t>
      </w:r>
      <w:r w:rsidRPr="00A05774">
        <w:rPr>
          <w:rFonts w:ascii="Arial" w:hAnsi="Arial" w:cs="Arial"/>
          <w:sz w:val="24"/>
          <w:szCs w:val="24"/>
          <w:lang w:val="en-ZA"/>
        </w:rPr>
        <w:t xml:space="preserve">punished but it </w:t>
      </w:r>
      <w:r>
        <w:rPr>
          <w:rFonts w:ascii="Arial" w:hAnsi="Arial" w:cs="Arial"/>
          <w:sz w:val="24"/>
          <w:szCs w:val="24"/>
          <w:lang w:val="en-ZA"/>
        </w:rPr>
        <w:t>wa</w:t>
      </w:r>
      <w:r w:rsidRPr="00A05774">
        <w:rPr>
          <w:rFonts w:ascii="Arial" w:hAnsi="Arial" w:cs="Arial"/>
          <w:sz w:val="24"/>
          <w:szCs w:val="24"/>
          <w:lang w:val="en-ZA"/>
        </w:rPr>
        <w:t xml:space="preserve">s also a policy of the law that </w:t>
      </w:r>
      <w:r>
        <w:rPr>
          <w:rFonts w:ascii="Arial" w:hAnsi="Arial" w:cs="Arial"/>
          <w:sz w:val="24"/>
          <w:szCs w:val="24"/>
          <w:lang w:val="en-ZA"/>
        </w:rPr>
        <w:t xml:space="preserve">maintaining </w:t>
      </w:r>
      <w:r w:rsidRPr="00A05774">
        <w:rPr>
          <w:rFonts w:ascii="Arial" w:hAnsi="Arial" w:cs="Arial"/>
          <w:sz w:val="24"/>
          <w:szCs w:val="24"/>
          <w:lang w:val="en-ZA"/>
        </w:rPr>
        <w:t xml:space="preserve">the prosecution without reasonable and probable cause must not be allowed and encouraged. </w:t>
      </w:r>
    </w:p>
    <w:p w:rsidR="000B16E1" w:rsidRPr="00A05774" w:rsidRDefault="000B16E1" w:rsidP="00FA66E4">
      <w:pPr>
        <w:pStyle w:val="ListParagraph"/>
        <w:spacing w:after="0" w:line="480" w:lineRule="auto"/>
        <w:ind w:left="0"/>
        <w:jc w:val="both"/>
        <w:rPr>
          <w:rFonts w:ascii="Arial" w:hAnsi="Arial" w:cs="Arial"/>
          <w:sz w:val="24"/>
          <w:szCs w:val="24"/>
        </w:rPr>
      </w:pPr>
    </w:p>
    <w:p w:rsidR="000B16E1" w:rsidRDefault="000B16E1" w:rsidP="0098751E">
      <w:pPr>
        <w:pStyle w:val="ListParagraph"/>
        <w:numPr>
          <w:ilvl w:val="0"/>
          <w:numId w:val="22"/>
        </w:numPr>
        <w:spacing w:after="0" w:line="480" w:lineRule="auto"/>
        <w:ind w:left="0" w:firstLine="0"/>
        <w:jc w:val="both"/>
        <w:rPr>
          <w:rFonts w:ascii="Arial" w:hAnsi="Arial" w:cs="Arial"/>
          <w:color w:val="000000" w:themeColor="text1"/>
          <w:sz w:val="24"/>
          <w:szCs w:val="24"/>
        </w:rPr>
      </w:pPr>
      <w:r w:rsidRPr="00A05774">
        <w:rPr>
          <w:rFonts w:ascii="Arial" w:hAnsi="Arial" w:cs="Arial"/>
          <w:sz w:val="24"/>
          <w:szCs w:val="24"/>
        </w:rPr>
        <w:t xml:space="preserve">The </w:t>
      </w:r>
      <w:r>
        <w:rPr>
          <w:rFonts w:ascii="Arial" w:hAnsi="Arial" w:cs="Arial"/>
          <w:sz w:val="24"/>
          <w:szCs w:val="24"/>
        </w:rPr>
        <w:t xml:space="preserve">propositions put forth </w:t>
      </w:r>
      <w:r w:rsidRPr="00A05774">
        <w:rPr>
          <w:rFonts w:ascii="Arial" w:hAnsi="Arial" w:cs="Arial"/>
          <w:sz w:val="24"/>
          <w:szCs w:val="24"/>
        </w:rPr>
        <w:t xml:space="preserve">in the </w:t>
      </w:r>
      <w:r w:rsidRPr="00A05774">
        <w:rPr>
          <w:rFonts w:ascii="Arial" w:hAnsi="Arial" w:cs="Arial"/>
          <w:i/>
          <w:sz w:val="24"/>
          <w:szCs w:val="24"/>
          <w:lang w:val="en-ZA"/>
        </w:rPr>
        <w:t xml:space="preserve">Van Noorden </w:t>
      </w:r>
      <w:r w:rsidRPr="00A05774">
        <w:rPr>
          <w:rFonts w:ascii="Arial" w:hAnsi="Arial" w:cs="Arial"/>
          <w:sz w:val="24"/>
          <w:szCs w:val="24"/>
          <w:lang w:val="en-ZA"/>
        </w:rPr>
        <w:t xml:space="preserve">matter confirm the principle enunciated by Maasdorp (supra) where he, after a thorough consideration of the authorities on the common law and decided cases, stated that </w:t>
      </w:r>
      <w:r w:rsidRPr="00A05774">
        <w:rPr>
          <w:rFonts w:ascii="Arial" w:hAnsi="Arial" w:cs="Arial"/>
          <w:sz w:val="24"/>
          <w:szCs w:val="24"/>
          <w:shd w:val="clear" w:color="auto" w:fill="FFFFFF"/>
        </w:rPr>
        <w:t>as</w:t>
      </w:r>
      <w:r w:rsidRPr="00A05774">
        <w:rPr>
          <w:rFonts w:ascii="Arial" w:hAnsi="Arial" w:cs="Arial"/>
          <w:sz w:val="24"/>
          <w:szCs w:val="24"/>
        </w:rPr>
        <w:t xml:space="preserve"> regards the element of </w:t>
      </w:r>
      <w:r>
        <w:rPr>
          <w:rFonts w:ascii="Arial" w:hAnsi="Arial" w:cs="Arial"/>
          <w:sz w:val="24"/>
          <w:szCs w:val="24"/>
        </w:rPr>
        <w:t xml:space="preserve">reasonable </w:t>
      </w:r>
      <w:r w:rsidRPr="00A05774">
        <w:rPr>
          <w:rFonts w:ascii="Arial" w:hAnsi="Arial" w:cs="Arial"/>
          <w:sz w:val="24"/>
          <w:szCs w:val="24"/>
        </w:rPr>
        <w:t xml:space="preserve">and probable cause, </w:t>
      </w:r>
      <w:r w:rsidRPr="00A05774">
        <w:rPr>
          <w:rFonts w:ascii="Arial" w:hAnsi="Arial" w:cs="Arial"/>
          <w:sz w:val="24"/>
          <w:szCs w:val="24"/>
          <w:shd w:val="clear" w:color="auto" w:fill="FFFFFF"/>
        </w:rPr>
        <w:t xml:space="preserve">this element </w:t>
      </w:r>
      <w:r w:rsidRPr="00A05774">
        <w:rPr>
          <w:rFonts w:ascii="Arial" w:hAnsi="Arial" w:cs="Arial"/>
          <w:sz w:val="24"/>
          <w:szCs w:val="24"/>
        </w:rPr>
        <w:t xml:space="preserve">must be present not only at the beginning of a prosecution, but throughout the course of the prosecution up to its very termination. </w:t>
      </w:r>
      <w:r>
        <w:rPr>
          <w:rFonts w:ascii="Arial" w:hAnsi="Arial" w:cs="Arial"/>
          <w:color w:val="000000" w:themeColor="text1"/>
          <w:sz w:val="24"/>
          <w:szCs w:val="24"/>
        </w:rPr>
        <w:t>Maasdorp puts the position thus:</w:t>
      </w:r>
    </w:p>
    <w:p w:rsidR="000B16E1" w:rsidRPr="00054E6E" w:rsidRDefault="000B16E1" w:rsidP="00FA66E4">
      <w:pPr>
        <w:pStyle w:val="ListParagraph"/>
        <w:spacing w:after="0" w:line="480" w:lineRule="auto"/>
        <w:jc w:val="both"/>
        <w:rPr>
          <w:rFonts w:ascii="Arial" w:hAnsi="Arial" w:cs="Arial"/>
          <w:color w:val="000000" w:themeColor="text1"/>
          <w:sz w:val="24"/>
          <w:szCs w:val="24"/>
        </w:rPr>
      </w:pPr>
    </w:p>
    <w:p w:rsidR="000B16E1" w:rsidRPr="001E1E88" w:rsidRDefault="000B16E1" w:rsidP="002E7459">
      <w:pPr>
        <w:spacing w:after="0" w:line="360" w:lineRule="auto"/>
        <w:ind w:left="720"/>
        <w:jc w:val="both"/>
        <w:rPr>
          <w:rFonts w:ascii="Arial" w:hAnsi="Arial" w:cs="Arial"/>
          <w:color w:val="000000" w:themeColor="text1"/>
        </w:rPr>
      </w:pPr>
      <w:r w:rsidRPr="001E1E88">
        <w:rPr>
          <w:rFonts w:ascii="Arial" w:hAnsi="Arial" w:cs="Arial"/>
          <w:color w:val="000000" w:themeColor="text1"/>
        </w:rPr>
        <w:t xml:space="preserve">‘As regards reasonable and probable cause, it should be added that these elements must be present not only at the beginning of a prosecution, but throughout the prosecution up to its very termination. If, therefore, facts come to the knowledge of the complainant or person instituting the criminal proceedings at any time during their continuance, showing that no crime or offence has actually been committed by the accused person, he will be bound to give notice to the authorities, and to stop the prosecution, and if he fails to do so, he will be liable in damages.’  </w:t>
      </w:r>
    </w:p>
    <w:p w:rsidR="000B16E1" w:rsidRPr="00126654" w:rsidRDefault="000B16E1" w:rsidP="00881BE4">
      <w:pPr>
        <w:pStyle w:val="ListParagraph"/>
        <w:spacing w:after="0" w:line="480" w:lineRule="auto"/>
        <w:jc w:val="both"/>
        <w:rPr>
          <w:rFonts w:ascii="Arial" w:hAnsi="Arial" w:cs="Arial"/>
          <w:color w:val="000000" w:themeColor="text1"/>
          <w:sz w:val="24"/>
          <w:szCs w:val="24"/>
        </w:rPr>
      </w:pPr>
    </w:p>
    <w:p w:rsidR="000B16E1" w:rsidRPr="00A05774" w:rsidRDefault="000B16E1" w:rsidP="0098751E">
      <w:pPr>
        <w:pStyle w:val="ListParagraph"/>
        <w:numPr>
          <w:ilvl w:val="0"/>
          <w:numId w:val="22"/>
        </w:numPr>
        <w:spacing w:before="240" w:after="0" w:line="480" w:lineRule="auto"/>
        <w:ind w:left="0" w:firstLine="0"/>
        <w:jc w:val="both"/>
        <w:rPr>
          <w:rFonts w:ascii="Arial" w:hAnsi="Arial" w:cs="Arial"/>
          <w:sz w:val="24"/>
          <w:szCs w:val="24"/>
        </w:rPr>
      </w:pPr>
      <w:r w:rsidRPr="00A05774">
        <w:rPr>
          <w:rFonts w:ascii="Arial" w:hAnsi="Arial" w:cs="Arial"/>
          <w:sz w:val="24"/>
          <w:szCs w:val="24"/>
        </w:rPr>
        <w:t xml:space="preserve">Another case instructive in this regard is the </w:t>
      </w:r>
      <w:r w:rsidRPr="00A05774">
        <w:rPr>
          <w:rFonts w:ascii="Arial" w:hAnsi="Arial" w:cs="Arial"/>
          <w:i/>
          <w:sz w:val="24"/>
          <w:szCs w:val="24"/>
        </w:rPr>
        <w:t xml:space="preserve">Hathaway </w:t>
      </w:r>
      <w:r w:rsidRPr="00A05774">
        <w:rPr>
          <w:rFonts w:ascii="Arial" w:hAnsi="Arial" w:cs="Arial"/>
          <w:sz w:val="24"/>
          <w:szCs w:val="24"/>
        </w:rPr>
        <w:t xml:space="preserve">matter </w:t>
      </w:r>
      <w:r>
        <w:rPr>
          <w:rFonts w:ascii="Arial" w:hAnsi="Arial" w:cs="Arial"/>
          <w:sz w:val="24"/>
          <w:szCs w:val="24"/>
        </w:rPr>
        <w:t>on which counsel for the respondent relied for the proposition that the co</w:t>
      </w:r>
      <w:r w:rsidR="00F37A40">
        <w:rPr>
          <w:rFonts w:ascii="Arial" w:hAnsi="Arial" w:cs="Arial"/>
          <w:sz w:val="24"/>
          <w:szCs w:val="24"/>
        </w:rPr>
        <w:t>mmon law needed to be developed</w:t>
      </w:r>
      <w:r>
        <w:rPr>
          <w:rFonts w:ascii="Arial" w:hAnsi="Arial" w:cs="Arial"/>
          <w:sz w:val="24"/>
          <w:szCs w:val="24"/>
        </w:rPr>
        <w:t xml:space="preserve"> to include a delict for maintaining a prosecution without reasonable and probable cause. </w:t>
      </w:r>
      <w:r>
        <w:rPr>
          <w:rFonts w:ascii="Arial" w:hAnsi="Arial" w:cs="Arial"/>
          <w:sz w:val="24"/>
          <w:szCs w:val="24"/>
        </w:rPr>
        <w:lastRenderedPageBreak/>
        <w:t xml:space="preserve">In that case, it was </w:t>
      </w:r>
      <w:r w:rsidRPr="00A05774">
        <w:rPr>
          <w:rFonts w:ascii="Arial" w:hAnsi="Arial" w:cs="Arial"/>
          <w:sz w:val="24"/>
          <w:szCs w:val="24"/>
        </w:rPr>
        <w:t>held that if the prosecutor bec</w:t>
      </w:r>
      <w:r>
        <w:rPr>
          <w:rFonts w:ascii="Arial" w:hAnsi="Arial" w:cs="Arial"/>
          <w:sz w:val="24"/>
          <w:szCs w:val="24"/>
        </w:rPr>
        <w:t>a</w:t>
      </w:r>
      <w:r w:rsidRPr="00A05774">
        <w:rPr>
          <w:rFonts w:ascii="Arial" w:hAnsi="Arial" w:cs="Arial"/>
          <w:sz w:val="24"/>
          <w:szCs w:val="24"/>
        </w:rPr>
        <w:t>me aware during the criminal proceedings that the essential reasonable and probable cause that existed at the commence</w:t>
      </w:r>
      <w:r>
        <w:rPr>
          <w:rFonts w:ascii="Arial" w:hAnsi="Arial" w:cs="Arial"/>
          <w:sz w:val="24"/>
          <w:szCs w:val="24"/>
        </w:rPr>
        <w:t>ment</w:t>
      </w:r>
      <w:r w:rsidRPr="00A05774">
        <w:rPr>
          <w:rFonts w:ascii="Arial" w:hAnsi="Arial" w:cs="Arial"/>
          <w:sz w:val="24"/>
          <w:szCs w:val="24"/>
        </w:rPr>
        <w:t xml:space="preserve"> of the case </w:t>
      </w:r>
      <w:r>
        <w:rPr>
          <w:rFonts w:ascii="Arial" w:hAnsi="Arial" w:cs="Arial"/>
          <w:sz w:val="24"/>
          <w:szCs w:val="24"/>
        </w:rPr>
        <w:t xml:space="preserve">was </w:t>
      </w:r>
      <w:r w:rsidRPr="00A05774">
        <w:rPr>
          <w:rFonts w:ascii="Arial" w:hAnsi="Arial" w:cs="Arial"/>
          <w:sz w:val="24"/>
          <w:szCs w:val="24"/>
        </w:rPr>
        <w:t xml:space="preserve">no longer in existence, </w:t>
      </w:r>
      <w:r>
        <w:rPr>
          <w:rFonts w:ascii="Arial" w:hAnsi="Arial" w:cs="Arial"/>
          <w:sz w:val="24"/>
          <w:szCs w:val="24"/>
        </w:rPr>
        <w:t xml:space="preserve">the prosecutor </w:t>
      </w:r>
      <w:r w:rsidRPr="00A05774">
        <w:rPr>
          <w:rFonts w:ascii="Arial" w:hAnsi="Arial" w:cs="Arial"/>
          <w:sz w:val="24"/>
          <w:szCs w:val="24"/>
        </w:rPr>
        <w:t xml:space="preserve">ought to terminate the prosecution, and if he or she fails to do so, he or she </w:t>
      </w:r>
      <w:r>
        <w:rPr>
          <w:rFonts w:ascii="Arial" w:hAnsi="Arial" w:cs="Arial"/>
          <w:sz w:val="24"/>
          <w:szCs w:val="24"/>
        </w:rPr>
        <w:t xml:space="preserve">may be </w:t>
      </w:r>
      <w:r w:rsidRPr="00A05774">
        <w:rPr>
          <w:rFonts w:ascii="Arial" w:hAnsi="Arial" w:cs="Arial"/>
          <w:sz w:val="24"/>
          <w:szCs w:val="24"/>
        </w:rPr>
        <w:t xml:space="preserve">liable for damages. </w:t>
      </w:r>
      <w:r w:rsidR="00801B6F" w:rsidRPr="00953DC7">
        <w:rPr>
          <w:rFonts w:ascii="Arial" w:hAnsi="Arial" w:cs="Arial"/>
          <w:sz w:val="24"/>
          <w:szCs w:val="24"/>
        </w:rPr>
        <w:t>These sources appear to recognize the delict of malicious prosecution from its initiation to the end. This interpretation is consistent with the consideration that the requirements for the initiation and continuation of malicious prosecution</w:t>
      </w:r>
      <w:r w:rsidR="00801B6F">
        <w:rPr>
          <w:rFonts w:ascii="Arial" w:hAnsi="Arial" w:cs="Arial"/>
          <w:sz w:val="24"/>
          <w:szCs w:val="24"/>
        </w:rPr>
        <w:t xml:space="preserve"> are the same. </w:t>
      </w:r>
    </w:p>
    <w:p w:rsidR="000B16E1" w:rsidRPr="00A05774" w:rsidRDefault="000B16E1" w:rsidP="00FA66E4">
      <w:pPr>
        <w:pStyle w:val="ListParagraph"/>
        <w:spacing w:after="0" w:line="480" w:lineRule="auto"/>
        <w:jc w:val="both"/>
        <w:rPr>
          <w:rFonts w:ascii="Arial" w:hAnsi="Arial" w:cs="Arial"/>
          <w:sz w:val="24"/>
          <w:szCs w:val="24"/>
        </w:rPr>
      </w:pPr>
    </w:p>
    <w:p w:rsidR="000B16E1" w:rsidRPr="00A05774" w:rsidRDefault="000B16E1" w:rsidP="0098751E">
      <w:pPr>
        <w:pStyle w:val="ListParagraph"/>
        <w:numPr>
          <w:ilvl w:val="0"/>
          <w:numId w:val="22"/>
        </w:numPr>
        <w:spacing w:before="240" w:after="0" w:line="480" w:lineRule="auto"/>
        <w:ind w:left="0" w:firstLine="0"/>
        <w:jc w:val="both"/>
        <w:rPr>
          <w:rFonts w:ascii="Arial" w:hAnsi="Arial" w:cs="Arial"/>
          <w:sz w:val="24"/>
          <w:szCs w:val="24"/>
        </w:rPr>
      </w:pPr>
      <w:r w:rsidRPr="00A05774">
        <w:rPr>
          <w:rFonts w:ascii="Arial" w:hAnsi="Arial" w:cs="Arial"/>
          <w:sz w:val="24"/>
          <w:szCs w:val="24"/>
        </w:rPr>
        <w:t xml:space="preserve">In light of the above </w:t>
      </w:r>
      <w:r>
        <w:rPr>
          <w:rFonts w:ascii="Arial" w:hAnsi="Arial" w:cs="Arial"/>
          <w:sz w:val="24"/>
          <w:szCs w:val="24"/>
        </w:rPr>
        <w:t xml:space="preserve">persuasive </w:t>
      </w:r>
      <w:r w:rsidR="00931CDF">
        <w:rPr>
          <w:rFonts w:ascii="Arial" w:hAnsi="Arial" w:cs="Arial"/>
          <w:sz w:val="24"/>
          <w:szCs w:val="24"/>
        </w:rPr>
        <w:t>sources</w:t>
      </w:r>
      <w:r w:rsidRPr="00A05774">
        <w:rPr>
          <w:rFonts w:ascii="Arial" w:hAnsi="Arial" w:cs="Arial"/>
          <w:sz w:val="24"/>
          <w:szCs w:val="24"/>
        </w:rPr>
        <w:t xml:space="preserve">, </w:t>
      </w:r>
      <w:r>
        <w:rPr>
          <w:rFonts w:ascii="Arial" w:hAnsi="Arial" w:cs="Arial"/>
          <w:sz w:val="24"/>
          <w:szCs w:val="24"/>
        </w:rPr>
        <w:t xml:space="preserve">the finding </w:t>
      </w:r>
      <w:r w:rsidR="00931CDF">
        <w:rPr>
          <w:rFonts w:ascii="Arial" w:hAnsi="Arial" w:cs="Arial"/>
          <w:sz w:val="24"/>
          <w:szCs w:val="24"/>
        </w:rPr>
        <w:t>by</w:t>
      </w:r>
      <w:r>
        <w:rPr>
          <w:rFonts w:ascii="Arial" w:hAnsi="Arial" w:cs="Arial"/>
          <w:sz w:val="24"/>
          <w:szCs w:val="24"/>
        </w:rPr>
        <w:t xml:space="preserve"> the court a </w:t>
      </w:r>
      <w:r w:rsidRPr="009341CC">
        <w:rPr>
          <w:rFonts w:ascii="Arial" w:hAnsi="Arial" w:cs="Arial"/>
          <w:i/>
          <w:sz w:val="24"/>
          <w:szCs w:val="24"/>
        </w:rPr>
        <w:t>quo</w:t>
      </w:r>
      <w:r>
        <w:rPr>
          <w:rFonts w:ascii="Arial" w:hAnsi="Arial" w:cs="Arial"/>
          <w:sz w:val="24"/>
          <w:szCs w:val="24"/>
        </w:rPr>
        <w:t xml:space="preserve"> that </w:t>
      </w:r>
      <w:r w:rsidRPr="00A05774">
        <w:rPr>
          <w:rFonts w:ascii="Arial" w:hAnsi="Arial" w:cs="Arial"/>
          <w:sz w:val="24"/>
          <w:szCs w:val="24"/>
        </w:rPr>
        <w:t>it was necessary to develop our common law to include a delict based on malicious continu</w:t>
      </w:r>
      <w:r>
        <w:rPr>
          <w:rFonts w:ascii="Arial" w:hAnsi="Arial" w:cs="Arial"/>
          <w:sz w:val="24"/>
          <w:szCs w:val="24"/>
        </w:rPr>
        <w:t>ation</w:t>
      </w:r>
      <w:r w:rsidRPr="00A05774">
        <w:rPr>
          <w:rFonts w:ascii="Arial" w:hAnsi="Arial" w:cs="Arial"/>
          <w:sz w:val="24"/>
          <w:szCs w:val="24"/>
        </w:rPr>
        <w:t xml:space="preserve"> </w:t>
      </w:r>
      <w:r>
        <w:rPr>
          <w:rFonts w:ascii="Arial" w:hAnsi="Arial" w:cs="Arial"/>
          <w:sz w:val="24"/>
          <w:szCs w:val="24"/>
        </w:rPr>
        <w:t xml:space="preserve">or maintenance </w:t>
      </w:r>
      <w:r w:rsidRPr="00A05774">
        <w:rPr>
          <w:rFonts w:ascii="Arial" w:hAnsi="Arial" w:cs="Arial"/>
          <w:sz w:val="24"/>
          <w:szCs w:val="24"/>
        </w:rPr>
        <w:t xml:space="preserve">of </w:t>
      </w:r>
      <w:r>
        <w:rPr>
          <w:rFonts w:ascii="Arial" w:hAnsi="Arial" w:cs="Arial"/>
          <w:sz w:val="24"/>
          <w:szCs w:val="24"/>
        </w:rPr>
        <w:t xml:space="preserve">a </w:t>
      </w:r>
      <w:r w:rsidRPr="00A05774">
        <w:rPr>
          <w:rFonts w:ascii="Arial" w:hAnsi="Arial" w:cs="Arial"/>
          <w:sz w:val="24"/>
          <w:szCs w:val="24"/>
        </w:rPr>
        <w:t>prosecution</w:t>
      </w:r>
      <w:r>
        <w:rPr>
          <w:rFonts w:ascii="Arial" w:hAnsi="Arial" w:cs="Arial"/>
          <w:sz w:val="24"/>
          <w:szCs w:val="24"/>
        </w:rPr>
        <w:t xml:space="preserve"> cannot be supported</w:t>
      </w:r>
      <w:r w:rsidRPr="00A05774">
        <w:rPr>
          <w:rFonts w:ascii="Arial" w:hAnsi="Arial" w:cs="Arial"/>
          <w:sz w:val="24"/>
          <w:szCs w:val="24"/>
        </w:rPr>
        <w:t xml:space="preserve">. </w:t>
      </w:r>
      <w:r>
        <w:rPr>
          <w:rFonts w:ascii="Arial" w:hAnsi="Arial" w:cs="Arial"/>
          <w:sz w:val="24"/>
          <w:szCs w:val="24"/>
        </w:rPr>
        <w:t xml:space="preserve"> While it may be necessary in appropriate cases to develop the common law to bring it in line with the values espoused in our constitution, on the facts of this case it was not necessary to develop the common law as the delict of malicious continuation of a prosecution has been recognized at common law</w:t>
      </w:r>
      <w:r w:rsidRPr="00A05774">
        <w:rPr>
          <w:rFonts w:ascii="Arial" w:hAnsi="Arial" w:cs="Arial"/>
          <w:sz w:val="24"/>
          <w:szCs w:val="24"/>
        </w:rPr>
        <w:t>.</w:t>
      </w:r>
    </w:p>
    <w:p w:rsidR="000B16E1" w:rsidRPr="00A05774" w:rsidRDefault="000B16E1" w:rsidP="00FA66E4">
      <w:pPr>
        <w:pStyle w:val="ListParagraph"/>
        <w:spacing w:after="0" w:line="480" w:lineRule="auto"/>
        <w:jc w:val="both"/>
        <w:rPr>
          <w:rFonts w:ascii="Arial" w:hAnsi="Arial" w:cs="Arial"/>
          <w:color w:val="000000" w:themeColor="text1"/>
          <w:sz w:val="24"/>
          <w:szCs w:val="24"/>
        </w:rPr>
      </w:pPr>
    </w:p>
    <w:p w:rsidR="000B16E1" w:rsidRPr="0032590B" w:rsidRDefault="000B16E1" w:rsidP="0098751E">
      <w:pPr>
        <w:pStyle w:val="ListParagraph"/>
        <w:numPr>
          <w:ilvl w:val="0"/>
          <w:numId w:val="22"/>
        </w:numPr>
        <w:spacing w:before="240" w:after="0" w:line="480" w:lineRule="auto"/>
        <w:ind w:left="0" w:firstLine="0"/>
        <w:jc w:val="both"/>
        <w:rPr>
          <w:rFonts w:ascii="Arial" w:hAnsi="Arial" w:cs="Arial"/>
          <w:color w:val="000000" w:themeColor="text1"/>
          <w:sz w:val="24"/>
          <w:szCs w:val="24"/>
        </w:rPr>
      </w:pPr>
      <w:r w:rsidRPr="00A05774">
        <w:rPr>
          <w:rFonts w:ascii="Arial" w:hAnsi="Arial" w:cs="Arial"/>
          <w:color w:val="000000" w:themeColor="text1"/>
          <w:sz w:val="24"/>
          <w:szCs w:val="24"/>
        </w:rPr>
        <w:t xml:space="preserve">As to the workable standard for the continuation of a malicious prosecution, the court </w:t>
      </w:r>
      <w:r w:rsidRPr="00A05774">
        <w:rPr>
          <w:rFonts w:ascii="Arial" w:hAnsi="Arial" w:cs="Arial"/>
          <w:i/>
          <w:color w:val="000000" w:themeColor="text1"/>
          <w:sz w:val="24"/>
          <w:szCs w:val="24"/>
        </w:rPr>
        <w:t xml:space="preserve">a quo </w:t>
      </w:r>
      <w:r w:rsidRPr="00A05774">
        <w:rPr>
          <w:rFonts w:ascii="Arial" w:hAnsi="Arial" w:cs="Arial"/>
          <w:color w:val="000000" w:themeColor="text1"/>
          <w:sz w:val="24"/>
          <w:szCs w:val="24"/>
        </w:rPr>
        <w:t xml:space="preserve">was of the view that the five </w:t>
      </w:r>
      <w:r w:rsidRPr="00A05774">
        <w:rPr>
          <w:rFonts w:ascii="Arial"/>
          <w:color w:val="000000" w:themeColor="text1"/>
          <w:sz w:val="24"/>
          <w:szCs w:val="24"/>
        </w:rPr>
        <w:t>requirements the plaintiff must pro</w:t>
      </w:r>
      <w:r>
        <w:rPr>
          <w:rFonts w:ascii="Arial"/>
          <w:color w:val="000000" w:themeColor="text1"/>
          <w:sz w:val="24"/>
          <w:szCs w:val="24"/>
        </w:rPr>
        <w:t>ve</w:t>
      </w:r>
      <w:r w:rsidRPr="00A05774">
        <w:rPr>
          <w:rFonts w:ascii="Arial"/>
          <w:color w:val="000000" w:themeColor="text1"/>
          <w:sz w:val="24"/>
          <w:szCs w:val="24"/>
        </w:rPr>
        <w:t xml:space="preserve"> in a claim</w:t>
      </w:r>
      <w:r w:rsidRPr="00A05774">
        <w:rPr>
          <w:rFonts w:ascii="Arial" w:hAnsi="Arial" w:cs="Arial"/>
          <w:color w:val="000000" w:themeColor="text1"/>
          <w:sz w:val="24"/>
          <w:szCs w:val="24"/>
        </w:rPr>
        <w:t xml:space="preserve"> o</w:t>
      </w:r>
      <w:r w:rsidR="00931CDF">
        <w:rPr>
          <w:rFonts w:ascii="Arial" w:hAnsi="Arial" w:cs="Arial"/>
          <w:color w:val="000000" w:themeColor="text1"/>
          <w:sz w:val="24"/>
          <w:szCs w:val="24"/>
        </w:rPr>
        <w:t>f</w:t>
      </w:r>
      <w:r w:rsidRPr="00A05774">
        <w:rPr>
          <w:rFonts w:ascii="Arial" w:hAnsi="Arial" w:cs="Arial"/>
          <w:color w:val="000000" w:themeColor="text1"/>
          <w:sz w:val="24"/>
          <w:szCs w:val="24"/>
        </w:rPr>
        <w:t xml:space="preserve"> malicious prosecution</w:t>
      </w:r>
      <w:r w:rsidRPr="00A05774">
        <w:rPr>
          <w:rFonts w:ascii="Arial"/>
          <w:color w:val="000000" w:themeColor="text1"/>
          <w:sz w:val="24"/>
          <w:szCs w:val="24"/>
        </w:rPr>
        <w:t xml:space="preserve"> as laid down in </w:t>
      </w:r>
      <w:r w:rsidRPr="002944EF">
        <w:rPr>
          <w:rFonts w:ascii="Arial" w:hAnsi="Arial" w:cs="Arial"/>
          <w:i/>
          <w:color w:val="000000" w:themeColor="text1"/>
          <w:sz w:val="24"/>
          <w:szCs w:val="24"/>
          <w:lang w:val="en-ZA"/>
        </w:rPr>
        <w:t>Akuake v Jansen van Rensburg</w:t>
      </w:r>
      <w:r w:rsidRPr="00A05774">
        <w:rPr>
          <w:rFonts w:ascii="Arial" w:hAnsi="Arial" w:cs="Arial"/>
          <w:color w:val="000000" w:themeColor="text1"/>
          <w:sz w:val="24"/>
          <w:szCs w:val="24"/>
          <w:lang w:val="en-ZA"/>
        </w:rPr>
        <w:t xml:space="preserve"> </w:t>
      </w:r>
      <w:r>
        <w:rPr>
          <w:rFonts w:ascii="Arial" w:hAnsi="Arial" w:cs="Arial"/>
          <w:color w:val="000000" w:themeColor="text1"/>
          <w:sz w:val="24"/>
          <w:szCs w:val="24"/>
          <w:lang w:val="en-ZA"/>
        </w:rPr>
        <w:t xml:space="preserve">were also </w:t>
      </w:r>
      <w:r w:rsidRPr="00A05774">
        <w:rPr>
          <w:rFonts w:ascii="Arial" w:hAnsi="Arial" w:cs="Arial"/>
          <w:color w:val="000000" w:themeColor="text1"/>
          <w:sz w:val="24"/>
          <w:szCs w:val="24"/>
          <w:lang w:val="en-ZA"/>
        </w:rPr>
        <w:t>appl</w:t>
      </w:r>
      <w:r>
        <w:rPr>
          <w:rFonts w:ascii="Arial" w:hAnsi="Arial" w:cs="Arial"/>
          <w:color w:val="000000" w:themeColor="text1"/>
          <w:sz w:val="24"/>
          <w:szCs w:val="24"/>
          <w:lang w:val="en-ZA"/>
        </w:rPr>
        <w:t xml:space="preserve">icable </w:t>
      </w:r>
      <w:r w:rsidRPr="00A05774">
        <w:rPr>
          <w:rFonts w:ascii="Arial" w:hAnsi="Arial" w:cs="Arial"/>
          <w:color w:val="000000" w:themeColor="text1"/>
          <w:sz w:val="24"/>
          <w:szCs w:val="24"/>
          <w:lang w:val="en-ZA"/>
        </w:rPr>
        <w:t>to</w:t>
      </w:r>
      <w:r w:rsidRPr="00A05774">
        <w:rPr>
          <w:rFonts w:ascii="Arial"/>
          <w:color w:val="000000" w:themeColor="text1"/>
          <w:sz w:val="24"/>
          <w:szCs w:val="24"/>
        </w:rPr>
        <w:t xml:space="preserve"> a claim for </w:t>
      </w:r>
      <w:r w:rsidRPr="00A05774">
        <w:rPr>
          <w:rFonts w:ascii="Arial" w:hAnsi="Arial" w:cs="Arial"/>
          <w:color w:val="000000" w:themeColor="text1"/>
          <w:sz w:val="24"/>
          <w:szCs w:val="24"/>
        </w:rPr>
        <w:t>malicious continu</w:t>
      </w:r>
      <w:r>
        <w:rPr>
          <w:rFonts w:ascii="Arial" w:hAnsi="Arial" w:cs="Arial"/>
          <w:color w:val="000000" w:themeColor="text1"/>
          <w:sz w:val="24"/>
          <w:szCs w:val="24"/>
        </w:rPr>
        <w:t>ation</w:t>
      </w:r>
      <w:r w:rsidRPr="00A05774">
        <w:rPr>
          <w:rFonts w:ascii="Arial" w:hAnsi="Arial" w:cs="Arial"/>
          <w:color w:val="000000" w:themeColor="text1"/>
          <w:sz w:val="24"/>
          <w:szCs w:val="24"/>
        </w:rPr>
        <w:t xml:space="preserve"> </w:t>
      </w:r>
      <w:r>
        <w:rPr>
          <w:rFonts w:ascii="Arial" w:hAnsi="Arial" w:cs="Arial"/>
          <w:color w:val="000000" w:themeColor="text1"/>
          <w:sz w:val="24"/>
          <w:szCs w:val="24"/>
        </w:rPr>
        <w:t xml:space="preserve">of a </w:t>
      </w:r>
      <w:r w:rsidRPr="00A05774">
        <w:rPr>
          <w:rFonts w:ascii="Arial" w:hAnsi="Arial" w:cs="Arial"/>
          <w:color w:val="000000" w:themeColor="text1"/>
          <w:sz w:val="24"/>
          <w:szCs w:val="24"/>
        </w:rPr>
        <w:t xml:space="preserve">prosecution. </w:t>
      </w:r>
      <w:r w:rsidRPr="00A05774">
        <w:rPr>
          <w:rFonts w:ascii="Arial"/>
          <w:color w:val="000000" w:themeColor="text1"/>
          <w:sz w:val="24"/>
          <w:szCs w:val="24"/>
        </w:rPr>
        <w:t xml:space="preserve">In my considered view, that is indeed the proper </w:t>
      </w:r>
      <w:r w:rsidR="00931CDF">
        <w:rPr>
          <w:rFonts w:ascii="Arial"/>
          <w:color w:val="000000" w:themeColor="text1"/>
          <w:sz w:val="24"/>
          <w:szCs w:val="24"/>
        </w:rPr>
        <w:t xml:space="preserve">approach </w:t>
      </w:r>
      <w:r w:rsidRPr="00A05774">
        <w:rPr>
          <w:rFonts w:ascii="Arial"/>
          <w:color w:val="000000" w:themeColor="text1"/>
          <w:sz w:val="24"/>
          <w:szCs w:val="24"/>
        </w:rPr>
        <w:t>to the issue (except that maintaining the prosecution replaces initiating the prosecution as a requirement).</w:t>
      </w:r>
    </w:p>
    <w:p w:rsidR="000B16E1" w:rsidRPr="00A05774" w:rsidRDefault="000B16E1" w:rsidP="000B16E1">
      <w:pPr>
        <w:pStyle w:val="ListParagraph"/>
        <w:spacing w:before="240" w:after="0" w:line="480" w:lineRule="auto"/>
        <w:ind w:left="0"/>
        <w:jc w:val="both"/>
        <w:rPr>
          <w:rFonts w:ascii="Arial" w:hAnsi="Arial" w:cs="Arial"/>
          <w:color w:val="000000" w:themeColor="text1"/>
          <w:sz w:val="24"/>
          <w:szCs w:val="24"/>
        </w:rPr>
      </w:pPr>
    </w:p>
    <w:p w:rsidR="000B16E1" w:rsidRDefault="000B16E1" w:rsidP="0098751E">
      <w:pPr>
        <w:pStyle w:val="ListParagraph"/>
        <w:numPr>
          <w:ilvl w:val="0"/>
          <w:numId w:val="22"/>
        </w:numPr>
        <w:spacing w:before="240" w:after="0" w:line="480" w:lineRule="auto"/>
        <w:ind w:left="0" w:firstLine="0"/>
        <w:jc w:val="both"/>
        <w:rPr>
          <w:rFonts w:ascii="Arial" w:hAnsi="Arial" w:cs="Arial"/>
          <w:color w:val="000000" w:themeColor="text1"/>
          <w:sz w:val="24"/>
          <w:szCs w:val="24"/>
        </w:rPr>
      </w:pPr>
      <w:r w:rsidRPr="005C105E">
        <w:rPr>
          <w:rFonts w:ascii="Arial" w:hAnsi="Arial" w:cs="Arial"/>
          <w:color w:val="000000" w:themeColor="text1"/>
          <w:sz w:val="24"/>
          <w:szCs w:val="24"/>
        </w:rPr>
        <w:lastRenderedPageBreak/>
        <w:t>Insofar as th</w:t>
      </w:r>
      <w:r>
        <w:rPr>
          <w:rFonts w:ascii="Arial" w:hAnsi="Arial" w:cs="Arial"/>
          <w:color w:val="000000" w:themeColor="text1"/>
          <w:sz w:val="24"/>
          <w:szCs w:val="24"/>
        </w:rPr>
        <w:t>e</w:t>
      </w:r>
      <w:r w:rsidRPr="005C105E">
        <w:rPr>
          <w:rFonts w:ascii="Arial" w:hAnsi="Arial" w:cs="Arial"/>
          <w:color w:val="000000" w:themeColor="text1"/>
          <w:sz w:val="24"/>
          <w:szCs w:val="24"/>
        </w:rPr>
        <w:t xml:space="preserve"> claim </w:t>
      </w:r>
      <w:r>
        <w:rPr>
          <w:rFonts w:ascii="Arial" w:hAnsi="Arial" w:cs="Arial"/>
          <w:color w:val="000000" w:themeColor="text1"/>
          <w:sz w:val="24"/>
          <w:szCs w:val="24"/>
        </w:rPr>
        <w:t>for malicious</w:t>
      </w:r>
      <w:r w:rsidR="004752B8">
        <w:rPr>
          <w:rFonts w:ascii="Arial" w:hAnsi="Arial" w:cs="Arial"/>
          <w:color w:val="000000" w:themeColor="text1"/>
          <w:sz w:val="24"/>
          <w:szCs w:val="24"/>
        </w:rPr>
        <w:t>ly</w:t>
      </w:r>
      <w:r>
        <w:rPr>
          <w:rFonts w:ascii="Arial" w:hAnsi="Arial" w:cs="Arial"/>
          <w:color w:val="000000" w:themeColor="text1"/>
          <w:sz w:val="24"/>
          <w:szCs w:val="24"/>
        </w:rPr>
        <w:t xml:space="preserve"> maintaining the prosecution </w:t>
      </w:r>
      <w:r w:rsidRPr="005C105E">
        <w:rPr>
          <w:rFonts w:ascii="Arial" w:hAnsi="Arial" w:cs="Arial"/>
          <w:color w:val="000000" w:themeColor="text1"/>
          <w:sz w:val="24"/>
          <w:szCs w:val="24"/>
        </w:rPr>
        <w:t xml:space="preserve">is concerned, requirements (a) and (d) </w:t>
      </w:r>
      <w:r>
        <w:rPr>
          <w:rFonts w:ascii="Arial" w:hAnsi="Arial" w:cs="Arial"/>
          <w:color w:val="000000" w:themeColor="text1"/>
          <w:sz w:val="24"/>
          <w:szCs w:val="24"/>
        </w:rPr>
        <w:t xml:space="preserve">identified </w:t>
      </w:r>
      <w:r w:rsidRPr="005C105E">
        <w:rPr>
          <w:rFonts w:ascii="Arial" w:hAnsi="Arial" w:cs="Arial"/>
          <w:color w:val="000000" w:themeColor="text1"/>
          <w:sz w:val="24"/>
          <w:szCs w:val="24"/>
        </w:rPr>
        <w:t xml:space="preserve">in para </w:t>
      </w:r>
      <w:r w:rsidRPr="00E1459C">
        <w:rPr>
          <w:rFonts w:ascii="Arial" w:hAnsi="Arial" w:cs="Arial"/>
          <w:color w:val="000000" w:themeColor="text1"/>
          <w:sz w:val="24"/>
          <w:szCs w:val="24"/>
        </w:rPr>
        <w:t>[3</w:t>
      </w:r>
      <w:r w:rsidR="002E7459">
        <w:rPr>
          <w:rFonts w:ascii="Arial" w:hAnsi="Arial" w:cs="Arial"/>
          <w:color w:val="000000" w:themeColor="text1"/>
          <w:sz w:val="24"/>
          <w:szCs w:val="24"/>
        </w:rPr>
        <w:t>8</w:t>
      </w:r>
      <w:r w:rsidRPr="00E1459C">
        <w:rPr>
          <w:rFonts w:ascii="Arial" w:hAnsi="Arial" w:cs="Arial"/>
          <w:color w:val="000000" w:themeColor="text1"/>
          <w:sz w:val="24"/>
          <w:szCs w:val="24"/>
        </w:rPr>
        <w:t>]</w:t>
      </w:r>
      <w:r w:rsidRPr="005C105E">
        <w:rPr>
          <w:rFonts w:ascii="Arial" w:hAnsi="Arial" w:cs="Arial"/>
          <w:color w:val="000000" w:themeColor="text1"/>
          <w:sz w:val="24"/>
          <w:szCs w:val="24"/>
        </w:rPr>
        <w:t xml:space="preserve"> </w:t>
      </w:r>
      <w:r>
        <w:rPr>
          <w:rFonts w:ascii="Arial" w:hAnsi="Arial" w:cs="Arial"/>
          <w:color w:val="000000" w:themeColor="text1"/>
          <w:sz w:val="24"/>
          <w:szCs w:val="24"/>
        </w:rPr>
        <w:t>of this judgment</w:t>
      </w:r>
      <w:r w:rsidRPr="005C105E">
        <w:rPr>
          <w:rFonts w:ascii="Arial" w:hAnsi="Arial" w:cs="Arial"/>
          <w:color w:val="000000" w:themeColor="text1"/>
          <w:sz w:val="24"/>
          <w:szCs w:val="24"/>
        </w:rPr>
        <w:t xml:space="preserve"> are not disputed by the appellants. </w:t>
      </w:r>
      <w:r>
        <w:rPr>
          <w:rFonts w:ascii="Arial" w:hAnsi="Arial" w:cs="Arial"/>
          <w:color w:val="000000" w:themeColor="text1"/>
          <w:sz w:val="24"/>
          <w:szCs w:val="24"/>
        </w:rPr>
        <w:t>A</w:t>
      </w:r>
      <w:r w:rsidR="00931CDF">
        <w:rPr>
          <w:rFonts w:ascii="Arial" w:hAnsi="Arial" w:cs="Arial"/>
          <w:color w:val="000000" w:themeColor="text1"/>
          <w:sz w:val="24"/>
          <w:szCs w:val="24"/>
        </w:rPr>
        <w:t xml:space="preserve">s regards </w:t>
      </w:r>
      <w:r>
        <w:rPr>
          <w:rFonts w:ascii="Arial" w:hAnsi="Arial" w:cs="Arial"/>
          <w:color w:val="000000" w:themeColor="text1"/>
          <w:sz w:val="24"/>
          <w:szCs w:val="24"/>
        </w:rPr>
        <w:t>requirement (e)</w:t>
      </w:r>
      <w:r w:rsidRPr="005C105E">
        <w:rPr>
          <w:rFonts w:ascii="Arial" w:hAnsi="Arial" w:cs="Arial"/>
          <w:color w:val="000000" w:themeColor="text1"/>
          <w:sz w:val="24"/>
          <w:szCs w:val="24"/>
        </w:rPr>
        <w:t xml:space="preserve">, </w:t>
      </w:r>
      <w:r w:rsidR="00931CDF">
        <w:rPr>
          <w:rFonts w:ascii="Arial" w:hAnsi="Arial" w:cs="Arial"/>
          <w:color w:val="000000" w:themeColor="text1"/>
          <w:sz w:val="24"/>
          <w:szCs w:val="24"/>
        </w:rPr>
        <w:t>it was n</w:t>
      </w:r>
      <w:r>
        <w:rPr>
          <w:rFonts w:ascii="Arial" w:hAnsi="Arial" w:cs="Arial"/>
          <w:color w:val="000000" w:themeColor="text1"/>
          <w:sz w:val="24"/>
          <w:szCs w:val="24"/>
        </w:rPr>
        <w:t xml:space="preserve">oted </w:t>
      </w:r>
      <w:r w:rsidR="00931CDF">
        <w:rPr>
          <w:rFonts w:ascii="Arial" w:hAnsi="Arial" w:cs="Arial"/>
          <w:color w:val="000000" w:themeColor="text1"/>
          <w:sz w:val="24"/>
          <w:szCs w:val="24"/>
        </w:rPr>
        <w:t xml:space="preserve">earlier </w:t>
      </w:r>
      <w:r>
        <w:rPr>
          <w:rFonts w:ascii="Arial" w:hAnsi="Arial" w:cs="Arial"/>
          <w:color w:val="000000" w:themeColor="text1"/>
          <w:sz w:val="24"/>
          <w:szCs w:val="24"/>
        </w:rPr>
        <w:t xml:space="preserve">that </w:t>
      </w:r>
      <w:r w:rsidRPr="005C105E">
        <w:rPr>
          <w:rFonts w:ascii="Arial" w:hAnsi="Arial" w:cs="Arial"/>
          <w:color w:val="000000" w:themeColor="text1"/>
          <w:sz w:val="24"/>
          <w:szCs w:val="24"/>
        </w:rPr>
        <w:t xml:space="preserve">the parties </w:t>
      </w:r>
      <w:r>
        <w:rPr>
          <w:rFonts w:ascii="Arial" w:hAnsi="Arial" w:cs="Arial"/>
          <w:color w:val="000000" w:themeColor="text1"/>
          <w:sz w:val="24"/>
          <w:szCs w:val="24"/>
        </w:rPr>
        <w:t xml:space="preserve">had </w:t>
      </w:r>
      <w:r w:rsidRPr="005C105E">
        <w:rPr>
          <w:rFonts w:ascii="Arial" w:hAnsi="Arial" w:cs="Arial"/>
          <w:color w:val="000000" w:themeColor="text1"/>
          <w:sz w:val="24"/>
          <w:szCs w:val="24"/>
        </w:rPr>
        <w:t xml:space="preserve">agreed to separate the </w:t>
      </w:r>
      <w:r>
        <w:rPr>
          <w:rFonts w:ascii="Arial" w:hAnsi="Arial" w:cs="Arial"/>
          <w:color w:val="000000" w:themeColor="text1"/>
          <w:sz w:val="24"/>
          <w:szCs w:val="24"/>
        </w:rPr>
        <w:t>issue of liability from quantum</w:t>
      </w:r>
      <w:r w:rsidRPr="005C105E">
        <w:rPr>
          <w:rFonts w:ascii="Arial" w:hAnsi="Arial" w:cs="Arial"/>
          <w:color w:val="000000" w:themeColor="text1"/>
          <w:sz w:val="24"/>
          <w:szCs w:val="24"/>
        </w:rPr>
        <w:t xml:space="preserve">, with the latter </w:t>
      </w:r>
      <w:r>
        <w:rPr>
          <w:rFonts w:ascii="Arial" w:hAnsi="Arial" w:cs="Arial"/>
          <w:color w:val="000000" w:themeColor="text1"/>
          <w:sz w:val="24"/>
          <w:szCs w:val="24"/>
        </w:rPr>
        <w:t xml:space="preserve">issue </w:t>
      </w:r>
      <w:r w:rsidRPr="005C105E">
        <w:rPr>
          <w:rFonts w:ascii="Arial" w:hAnsi="Arial" w:cs="Arial"/>
          <w:color w:val="000000" w:themeColor="text1"/>
          <w:sz w:val="24"/>
          <w:szCs w:val="24"/>
        </w:rPr>
        <w:t xml:space="preserve">to be determined at a later stage. </w:t>
      </w:r>
      <w:r w:rsidRPr="0031693E">
        <w:rPr>
          <w:rFonts w:ascii="Arial" w:hAnsi="Arial" w:cs="Arial"/>
          <w:color w:val="000000" w:themeColor="text1"/>
          <w:sz w:val="24"/>
          <w:szCs w:val="24"/>
        </w:rPr>
        <w:t xml:space="preserve">Consequently, we were </w:t>
      </w:r>
      <w:r w:rsidRPr="0031693E">
        <w:rPr>
          <w:rFonts w:ascii="Arial" w:hAnsi="Arial" w:cs="Arial"/>
          <w:sz w:val="24"/>
          <w:szCs w:val="24"/>
          <w:lang w:val="en-ZA"/>
        </w:rPr>
        <w:t>only called upon to determine whether or not the PG had acted without reasonable and probable cause, and with malice in maintaining the prosecution beyond November 2011</w:t>
      </w:r>
      <w:r w:rsidRPr="005C105E">
        <w:rPr>
          <w:rFonts w:ascii="Arial" w:hAnsi="Arial" w:cs="Arial"/>
          <w:sz w:val="24"/>
          <w:szCs w:val="24"/>
          <w:lang w:val="en-ZA"/>
        </w:rPr>
        <w:t xml:space="preserve">.  </w:t>
      </w:r>
      <w:r w:rsidRPr="005C105E">
        <w:rPr>
          <w:rFonts w:ascii="Arial" w:hAnsi="Arial" w:cs="Arial"/>
          <w:color w:val="000000" w:themeColor="text1"/>
          <w:sz w:val="24"/>
          <w:szCs w:val="24"/>
        </w:rPr>
        <w:t xml:space="preserve">  </w:t>
      </w:r>
    </w:p>
    <w:p w:rsidR="000B16E1" w:rsidRPr="00117CFC" w:rsidRDefault="000B16E1" w:rsidP="00FA66E4">
      <w:pPr>
        <w:pStyle w:val="ListParagraph"/>
        <w:spacing w:after="0" w:line="480" w:lineRule="auto"/>
        <w:jc w:val="both"/>
        <w:rPr>
          <w:rFonts w:ascii="Arial" w:hAnsi="Arial" w:cs="Arial"/>
          <w:color w:val="000000" w:themeColor="text1"/>
          <w:sz w:val="24"/>
          <w:szCs w:val="24"/>
        </w:rPr>
      </w:pPr>
    </w:p>
    <w:p w:rsidR="000B16E1" w:rsidRDefault="000B16E1" w:rsidP="0098751E">
      <w:pPr>
        <w:pStyle w:val="ListParagraph"/>
        <w:numPr>
          <w:ilvl w:val="0"/>
          <w:numId w:val="22"/>
        </w:numPr>
        <w:spacing w:before="240" w:after="0" w:line="480" w:lineRule="auto"/>
        <w:ind w:left="0" w:firstLine="0"/>
        <w:jc w:val="both"/>
        <w:rPr>
          <w:rFonts w:ascii="Arial" w:hAnsi="Arial" w:cs="Arial"/>
          <w:color w:val="000000" w:themeColor="text1"/>
          <w:sz w:val="24"/>
          <w:szCs w:val="24"/>
        </w:rPr>
      </w:pPr>
      <w:r>
        <w:rPr>
          <w:rFonts w:ascii="Arial" w:hAnsi="Arial" w:cs="Arial"/>
          <w:color w:val="000000" w:themeColor="text1"/>
          <w:sz w:val="24"/>
          <w:szCs w:val="24"/>
        </w:rPr>
        <w:t>It was held in the court below t</w:t>
      </w:r>
      <w:r w:rsidRPr="00117CFC">
        <w:rPr>
          <w:rFonts w:ascii="Arial" w:hAnsi="Arial" w:cs="Arial"/>
          <w:color w:val="000000" w:themeColor="text1"/>
          <w:sz w:val="24"/>
          <w:szCs w:val="24"/>
        </w:rPr>
        <w:t xml:space="preserve">hat </w:t>
      </w:r>
      <w:r>
        <w:rPr>
          <w:rFonts w:ascii="Arial" w:hAnsi="Arial" w:cs="Arial"/>
          <w:color w:val="000000" w:themeColor="text1"/>
          <w:sz w:val="24"/>
          <w:szCs w:val="24"/>
        </w:rPr>
        <w:t xml:space="preserve">viewed </w:t>
      </w:r>
      <w:r w:rsidRPr="00117CFC">
        <w:rPr>
          <w:rFonts w:ascii="Arial" w:hAnsi="Arial" w:cs="Arial"/>
          <w:color w:val="000000" w:themeColor="text1"/>
          <w:sz w:val="24"/>
          <w:szCs w:val="24"/>
        </w:rPr>
        <w:t xml:space="preserve">objectively, although the </w:t>
      </w:r>
      <w:r>
        <w:rPr>
          <w:rFonts w:ascii="Arial" w:hAnsi="Arial" w:cs="Arial"/>
          <w:color w:val="000000" w:themeColor="text1"/>
          <w:sz w:val="24"/>
          <w:szCs w:val="24"/>
        </w:rPr>
        <w:t xml:space="preserve">PG </w:t>
      </w:r>
      <w:r w:rsidRPr="00117CFC">
        <w:rPr>
          <w:rFonts w:ascii="Arial" w:hAnsi="Arial" w:cs="Arial"/>
          <w:color w:val="000000" w:themeColor="text1"/>
          <w:sz w:val="24"/>
          <w:szCs w:val="24"/>
        </w:rPr>
        <w:t xml:space="preserve">had reasonable </w:t>
      </w:r>
      <w:r>
        <w:rPr>
          <w:rFonts w:ascii="Arial" w:hAnsi="Arial" w:cs="Arial"/>
          <w:color w:val="000000" w:themeColor="text1"/>
          <w:sz w:val="24"/>
          <w:szCs w:val="24"/>
        </w:rPr>
        <w:t xml:space="preserve">and probable </w:t>
      </w:r>
      <w:r w:rsidRPr="00117CFC">
        <w:rPr>
          <w:rFonts w:ascii="Arial" w:hAnsi="Arial" w:cs="Arial"/>
          <w:color w:val="000000" w:themeColor="text1"/>
          <w:sz w:val="24"/>
          <w:szCs w:val="24"/>
        </w:rPr>
        <w:t xml:space="preserve">cause to institute the prosecution, </w:t>
      </w:r>
      <w:r>
        <w:rPr>
          <w:rFonts w:ascii="Arial" w:hAnsi="Arial" w:cs="Arial"/>
          <w:color w:val="000000" w:themeColor="text1"/>
          <w:sz w:val="24"/>
          <w:szCs w:val="24"/>
        </w:rPr>
        <w:t>she</w:t>
      </w:r>
      <w:r w:rsidRPr="00117CFC">
        <w:rPr>
          <w:rFonts w:ascii="Arial" w:hAnsi="Arial" w:cs="Arial"/>
          <w:color w:val="000000" w:themeColor="text1"/>
          <w:sz w:val="24"/>
          <w:szCs w:val="24"/>
        </w:rPr>
        <w:t xml:space="preserve"> lacked reasonable and probable </w:t>
      </w:r>
      <w:r>
        <w:rPr>
          <w:rFonts w:ascii="Arial" w:hAnsi="Arial" w:cs="Arial"/>
          <w:color w:val="000000" w:themeColor="text1"/>
          <w:sz w:val="24"/>
          <w:szCs w:val="24"/>
        </w:rPr>
        <w:t xml:space="preserve">cause </w:t>
      </w:r>
      <w:r w:rsidRPr="00117CFC">
        <w:rPr>
          <w:rFonts w:ascii="Arial" w:hAnsi="Arial" w:cs="Arial"/>
          <w:color w:val="000000" w:themeColor="text1"/>
          <w:sz w:val="24"/>
          <w:szCs w:val="24"/>
        </w:rPr>
        <w:t>to maintain the prosecu</w:t>
      </w:r>
      <w:r>
        <w:rPr>
          <w:rFonts w:ascii="Arial" w:hAnsi="Arial" w:cs="Arial"/>
          <w:color w:val="000000" w:themeColor="text1"/>
          <w:sz w:val="24"/>
          <w:szCs w:val="24"/>
        </w:rPr>
        <w:t xml:space="preserve">tion from November 2011 </w:t>
      </w:r>
      <w:r w:rsidRPr="00117CFC">
        <w:rPr>
          <w:rFonts w:ascii="Arial" w:hAnsi="Arial" w:cs="Arial"/>
          <w:color w:val="000000" w:themeColor="text1"/>
          <w:sz w:val="24"/>
          <w:szCs w:val="24"/>
        </w:rPr>
        <w:t xml:space="preserve">onwards. </w:t>
      </w:r>
      <w:r>
        <w:rPr>
          <w:rFonts w:ascii="Arial" w:hAnsi="Arial" w:cs="Arial"/>
          <w:color w:val="000000" w:themeColor="text1"/>
          <w:sz w:val="24"/>
          <w:szCs w:val="24"/>
        </w:rPr>
        <w:t>In its reasoning</w:t>
      </w:r>
      <w:r w:rsidRPr="00117CFC">
        <w:rPr>
          <w:rFonts w:ascii="Arial" w:hAnsi="Arial" w:cs="Arial"/>
          <w:color w:val="000000" w:themeColor="text1"/>
          <w:sz w:val="24"/>
          <w:szCs w:val="24"/>
        </w:rPr>
        <w:t xml:space="preserve"> for this finding the </w:t>
      </w:r>
      <w:r>
        <w:rPr>
          <w:rFonts w:ascii="Arial" w:hAnsi="Arial" w:cs="Arial"/>
          <w:color w:val="000000" w:themeColor="text1"/>
          <w:sz w:val="24"/>
          <w:szCs w:val="24"/>
        </w:rPr>
        <w:t>High C</w:t>
      </w:r>
      <w:r w:rsidRPr="00117CFC">
        <w:rPr>
          <w:rFonts w:ascii="Arial" w:hAnsi="Arial" w:cs="Arial"/>
          <w:color w:val="000000" w:themeColor="text1"/>
          <w:sz w:val="24"/>
          <w:szCs w:val="24"/>
        </w:rPr>
        <w:t xml:space="preserve">ourt stated that three of the four </w:t>
      </w:r>
      <w:r w:rsidRPr="00117CFC">
        <w:rPr>
          <w:rFonts w:ascii="Arial" w:eastAsia="Times New Roman" w:hAnsi="Arial" w:cs="Arial"/>
          <w:color w:val="000000" w:themeColor="text1"/>
          <w:sz w:val="24"/>
          <w:szCs w:val="24"/>
          <w:lang w:eastAsia="en-ZA"/>
        </w:rPr>
        <w:t xml:space="preserve">witnesses called by the </w:t>
      </w:r>
      <w:r>
        <w:rPr>
          <w:rFonts w:ascii="Arial" w:eastAsia="Times New Roman" w:hAnsi="Arial" w:cs="Arial"/>
          <w:color w:val="000000" w:themeColor="text1"/>
          <w:sz w:val="24"/>
          <w:szCs w:val="24"/>
          <w:lang w:eastAsia="en-ZA"/>
        </w:rPr>
        <w:t>S</w:t>
      </w:r>
      <w:r w:rsidRPr="00117CFC">
        <w:rPr>
          <w:rFonts w:ascii="Arial" w:eastAsia="Times New Roman" w:hAnsi="Arial" w:cs="Arial"/>
          <w:color w:val="000000" w:themeColor="text1"/>
          <w:sz w:val="24"/>
          <w:szCs w:val="24"/>
          <w:lang w:eastAsia="en-ZA"/>
        </w:rPr>
        <w:t xml:space="preserve">tate (including the respondent’s ex-wife) failed to identify the respondent during the criminal trial. </w:t>
      </w:r>
      <w:r>
        <w:rPr>
          <w:rFonts w:ascii="Arial" w:eastAsia="Times New Roman" w:hAnsi="Arial" w:cs="Arial"/>
          <w:color w:val="000000" w:themeColor="text1"/>
          <w:sz w:val="24"/>
          <w:szCs w:val="24"/>
          <w:lang w:eastAsia="en-ZA"/>
        </w:rPr>
        <w:t xml:space="preserve">The court a </w:t>
      </w:r>
      <w:r w:rsidRPr="00225822">
        <w:rPr>
          <w:rFonts w:ascii="Arial" w:eastAsia="Times New Roman" w:hAnsi="Arial" w:cs="Arial"/>
          <w:i/>
          <w:color w:val="000000" w:themeColor="text1"/>
          <w:sz w:val="24"/>
          <w:szCs w:val="24"/>
          <w:lang w:eastAsia="en-ZA"/>
        </w:rPr>
        <w:t>quo</w:t>
      </w:r>
      <w:r>
        <w:rPr>
          <w:rFonts w:ascii="Arial" w:eastAsia="Times New Roman" w:hAnsi="Arial" w:cs="Arial"/>
          <w:color w:val="000000" w:themeColor="text1"/>
          <w:sz w:val="24"/>
          <w:szCs w:val="24"/>
          <w:lang w:eastAsia="en-ZA"/>
        </w:rPr>
        <w:t xml:space="preserve"> </w:t>
      </w:r>
      <w:r w:rsidRPr="00117CFC">
        <w:rPr>
          <w:rFonts w:ascii="Arial" w:eastAsia="Times New Roman" w:hAnsi="Arial" w:cs="Arial"/>
          <w:sz w:val="24"/>
          <w:szCs w:val="24"/>
          <w:lang w:eastAsia="en-ZA"/>
        </w:rPr>
        <w:t xml:space="preserve">went </w:t>
      </w:r>
      <w:r>
        <w:rPr>
          <w:rFonts w:ascii="Arial" w:eastAsia="Times New Roman" w:hAnsi="Arial" w:cs="Arial"/>
          <w:sz w:val="24"/>
          <w:szCs w:val="24"/>
          <w:lang w:eastAsia="en-ZA"/>
        </w:rPr>
        <w:t xml:space="preserve">on </w:t>
      </w:r>
      <w:r w:rsidRPr="00117CFC">
        <w:rPr>
          <w:rFonts w:ascii="Arial" w:eastAsia="Times New Roman" w:hAnsi="Arial" w:cs="Arial"/>
          <w:sz w:val="24"/>
          <w:szCs w:val="24"/>
          <w:lang w:eastAsia="en-ZA"/>
        </w:rPr>
        <w:t xml:space="preserve">to state that the appellants </w:t>
      </w:r>
      <w:r>
        <w:rPr>
          <w:rFonts w:ascii="Arial" w:eastAsia="Times New Roman" w:hAnsi="Arial" w:cs="Arial"/>
          <w:sz w:val="24"/>
          <w:szCs w:val="24"/>
          <w:lang w:eastAsia="en-ZA"/>
        </w:rPr>
        <w:t xml:space="preserve">also </w:t>
      </w:r>
      <w:r w:rsidRPr="00117CFC">
        <w:rPr>
          <w:rFonts w:ascii="Arial" w:eastAsia="Times New Roman" w:hAnsi="Arial" w:cs="Arial"/>
          <w:sz w:val="24"/>
          <w:szCs w:val="24"/>
          <w:lang w:eastAsia="en-ZA"/>
        </w:rPr>
        <w:t xml:space="preserve">failed to establish any inculpating evidence </w:t>
      </w:r>
      <w:r>
        <w:rPr>
          <w:rFonts w:ascii="Arial" w:eastAsia="Times New Roman" w:hAnsi="Arial" w:cs="Arial"/>
          <w:sz w:val="24"/>
          <w:szCs w:val="24"/>
          <w:lang w:eastAsia="en-ZA"/>
        </w:rPr>
        <w:t>against the respondent</w:t>
      </w:r>
      <w:r w:rsidRPr="00117CFC">
        <w:rPr>
          <w:rFonts w:ascii="Arial" w:eastAsia="Times New Roman" w:hAnsi="Arial" w:cs="Arial"/>
          <w:sz w:val="24"/>
          <w:szCs w:val="24"/>
          <w:lang w:eastAsia="en-ZA"/>
        </w:rPr>
        <w:t xml:space="preserve">. The court also reasoned that </w:t>
      </w:r>
      <w:r>
        <w:rPr>
          <w:rFonts w:ascii="Arial" w:eastAsia="Times New Roman" w:hAnsi="Arial" w:cs="Arial"/>
          <w:sz w:val="24"/>
          <w:szCs w:val="24"/>
          <w:lang w:eastAsia="en-ZA"/>
        </w:rPr>
        <w:t xml:space="preserve">the </w:t>
      </w:r>
      <w:r w:rsidRPr="00117CFC">
        <w:rPr>
          <w:rFonts w:ascii="Arial" w:eastAsia="Times New Roman" w:hAnsi="Arial" w:cs="Arial"/>
          <w:bCs/>
          <w:sz w:val="24"/>
          <w:szCs w:val="24"/>
          <w:lang w:eastAsia="en-ZA"/>
        </w:rPr>
        <w:t xml:space="preserve">further investigations </w:t>
      </w:r>
      <w:r>
        <w:rPr>
          <w:rFonts w:ascii="Arial" w:eastAsia="Times New Roman" w:hAnsi="Arial" w:cs="Arial"/>
          <w:bCs/>
          <w:sz w:val="24"/>
          <w:szCs w:val="24"/>
          <w:lang w:eastAsia="en-ZA"/>
        </w:rPr>
        <w:t xml:space="preserve">requested by the prosecution </w:t>
      </w:r>
      <w:r w:rsidRPr="00117CFC">
        <w:rPr>
          <w:rFonts w:ascii="Arial" w:eastAsia="Times New Roman" w:hAnsi="Arial" w:cs="Arial"/>
          <w:bCs/>
          <w:sz w:val="24"/>
          <w:szCs w:val="24"/>
          <w:lang w:eastAsia="en-ZA"/>
        </w:rPr>
        <w:t xml:space="preserve">after the </w:t>
      </w:r>
      <w:r w:rsidRPr="00117CFC">
        <w:rPr>
          <w:rFonts w:ascii="Arial" w:eastAsia="Times New Roman" w:hAnsi="Arial" w:cs="Arial"/>
          <w:sz w:val="24"/>
          <w:szCs w:val="24"/>
          <w:lang w:eastAsia="en-ZA"/>
        </w:rPr>
        <w:t xml:space="preserve">review of the evidence in </w:t>
      </w:r>
      <w:r w:rsidRPr="00117CFC">
        <w:rPr>
          <w:rFonts w:ascii="Arial" w:eastAsia="Times New Roman" w:hAnsi="Arial" w:cs="Arial"/>
          <w:bCs/>
          <w:sz w:val="24"/>
          <w:szCs w:val="24"/>
          <w:lang w:eastAsia="en-ZA"/>
        </w:rPr>
        <w:t>November 201</w:t>
      </w:r>
      <w:r w:rsidR="004752B8">
        <w:rPr>
          <w:rFonts w:ascii="Arial" w:eastAsia="Times New Roman" w:hAnsi="Arial" w:cs="Arial"/>
          <w:bCs/>
          <w:sz w:val="24"/>
          <w:szCs w:val="24"/>
          <w:lang w:eastAsia="en-ZA"/>
        </w:rPr>
        <w:t>0</w:t>
      </w:r>
      <w:r w:rsidRPr="00117CFC">
        <w:rPr>
          <w:rFonts w:ascii="Arial" w:eastAsia="Times New Roman" w:hAnsi="Arial" w:cs="Arial"/>
          <w:bCs/>
          <w:sz w:val="24"/>
          <w:szCs w:val="24"/>
          <w:lang w:eastAsia="en-ZA"/>
        </w:rPr>
        <w:t xml:space="preserve"> </w:t>
      </w:r>
      <w:r w:rsidRPr="00117CFC">
        <w:rPr>
          <w:rFonts w:ascii="Arial" w:eastAsia="Times New Roman" w:hAnsi="Arial" w:cs="Arial"/>
          <w:sz w:val="24"/>
          <w:szCs w:val="24"/>
          <w:lang w:eastAsia="en-ZA"/>
        </w:rPr>
        <w:t xml:space="preserve">was </w:t>
      </w:r>
      <w:r w:rsidRPr="00117CFC">
        <w:rPr>
          <w:rFonts w:ascii="Arial" w:eastAsia="Times New Roman" w:hAnsi="Arial" w:cs="Arial"/>
          <w:color w:val="000000" w:themeColor="text1"/>
          <w:sz w:val="24"/>
          <w:szCs w:val="24"/>
          <w:lang w:eastAsia="en-ZA"/>
        </w:rPr>
        <w:t xml:space="preserve">an indication that the </w:t>
      </w:r>
      <w:r>
        <w:rPr>
          <w:rFonts w:ascii="Arial" w:eastAsia="Times New Roman" w:hAnsi="Arial" w:cs="Arial"/>
          <w:color w:val="000000" w:themeColor="text1"/>
          <w:sz w:val="24"/>
          <w:szCs w:val="24"/>
          <w:lang w:eastAsia="en-ZA"/>
        </w:rPr>
        <w:t>p</w:t>
      </w:r>
      <w:r w:rsidRPr="00117CFC">
        <w:rPr>
          <w:rFonts w:ascii="Arial" w:eastAsia="Times New Roman" w:hAnsi="Arial" w:cs="Arial"/>
          <w:color w:val="000000" w:themeColor="text1"/>
          <w:sz w:val="24"/>
          <w:szCs w:val="24"/>
          <w:lang w:eastAsia="en-ZA"/>
        </w:rPr>
        <w:t xml:space="preserve">rosecution did not </w:t>
      </w:r>
      <w:r>
        <w:rPr>
          <w:rFonts w:ascii="Arial" w:eastAsia="Times New Roman" w:hAnsi="Arial" w:cs="Arial"/>
          <w:color w:val="000000" w:themeColor="text1"/>
          <w:sz w:val="24"/>
          <w:szCs w:val="24"/>
          <w:lang w:eastAsia="en-ZA"/>
        </w:rPr>
        <w:t xml:space="preserve">have </w:t>
      </w:r>
      <w:r w:rsidRPr="00117CFC">
        <w:rPr>
          <w:rFonts w:ascii="Arial" w:eastAsia="Times New Roman" w:hAnsi="Arial" w:cs="Arial"/>
          <w:color w:val="000000" w:themeColor="text1"/>
          <w:sz w:val="24"/>
          <w:szCs w:val="24"/>
          <w:lang w:eastAsia="en-ZA"/>
        </w:rPr>
        <w:t xml:space="preserve">sufficient </w:t>
      </w:r>
      <w:r w:rsidRPr="00117CFC">
        <w:rPr>
          <w:rFonts w:ascii="Arial" w:hAnsi="Arial" w:cs="Arial"/>
          <w:sz w:val="24"/>
          <w:szCs w:val="24"/>
        </w:rPr>
        <w:t>evidence upon which the respondent could be convicted</w:t>
      </w:r>
      <w:r w:rsidR="00E52C86">
        <w:rPr>
          <w:rFonts w:ascii="Arial" w:hAnsi="Arial" w:cs="Arial"/>
          <w:sz w:val="24"/>
          <w:szCs w:val="24"/>
        </w:rPr>
        <w:t xml:space="preserve"> in the first place</w:t>
      </w:r>
      <w:r w:rsidRPr="00117CFC">
        <w:rPr>
          <w:rFonts w:ascii="Arial" w:hAnsi="Arial" w:cs="Arial"/>
          <w:sz w:val="24"/>
          <w:szCs w:val="24"/>
        </w:rPr>
        <w:t>.</w:t>
      </w:r>
      <w:r w:rsidRPr="00117CFC">
        <w:rPr>
          <w:rFonts w:ascii="Tahoma" w:hAnsi="Tahoma" w:cs="Tahoma"/>
        </w:rPr>
        <w:t xml:space="preserve"> </w:t>
      </w:r>
    </w:p>
    <w:p w:rsidR="000B16E1" w:rsidRPr="00117CFC" w:rsidRDefault="000B16E1" w:rsidP="00FA66E4">
      <w:pPr>
        <w:pStyle w:val="ListParagraph"/>
        <w:spacing w:after="0" w:line="480" w:lineRule="auto"/>
        <w:jc w:val="both"/>
        <w:rPr>
          <w:rFonts w:ascii="Arial" w:hAnsi="Arial" w:cs="Arial"/>
          <w:color w:val="000000" w:themeColor="text1"/>
          <w:sz w:val="24"/>
          <w:szCs w:val="24"/>
        </w:rPr>
      </w:pPr>
    </w:p>
    <w:p w:rsidR="002E7459" w:rsidRDefault="000B16E1" w:rsidP="00CE4AB7">
      <w:pPr>
        <w:pStyle w:val="ListParagraph"/>
        <w:numPr>
          <w:ilvl w:val="0"/>
          <w:numId w:val="22"/>
        </w:numPr>
        <w:spacing w:before="240" w:after="0" w:line="480" w:lineRule="auto"/>
        <w:ind w:left="0" w:firstLine="0"/>
        <w:jc w:val="both"/>
        <w:rPr>
          <w:rFonts w:ascii="Arial" w:hAnsi="Arial" w:cs="Arial"/>
          <w:color w:val="000000" w:themeColor="text1"/>
          <w:sz w:val="24"/>
          <w:szCs w:val="24"/>
        </w:rPr>
      </w:pPr>
      <w:r>
        <w:rPr>
          <w:rFonts w:ascii="Arial" w:hAnsi="Arial" w:cs="Arial"/>
          <w:color w:val="000000" w:themeColor="text1"/>
          <w:sz w:val="24"/>
          <w:szCs w:val="24"/>
        </w:rPr>
        <w:t xml:space="preserve">The court </w:t>
      </w:r>
      <w:r w:rsidRPr="00F37399">
        <w:rPr>
          <w:rFonts w:ascii="Arial" w:hAnsi="Arial" w:cs="Arial"/>
          <w:i/>
          <w:color w:val="000000" w:themeColor="text1"/>
          <w:sz w:val="24"/>
          <w:szCs w:val="24"/>
        </w:rPr>
        <w:t>a quo</w:t>
      </w:r>
      <w:r>
        <w:rPr>
          <w:rFonts w:ascii="Arial" w:hAnsi="Arial" w:cs="Arial"/>
          <w:color w:val="000000" w:themeColor="text1"/>
          <w:sz w:val="24"/>
          <w:szCs w:val="24"/>
        </w:rPr>
        <w:t xml:space="preserve"> </w:t>
      </w:r>
      <w:r w:rsidRPr="00117CFC">
        <w:rPr>
          <w:rFonts w:ascii="Arial" w:hAnsi="Arial" w:cs="Arial"/>
          <w:color w:val="000000" w:themeColor="text1"/>
          <w:sz w:val="24"/>
          <w:szCs w:val="24"/>
        </w:rPr>
        <w:t>also found that</w:t>
      </w:r>
      <w:r>
        <w:rPr>
          <w:rFonts w:ascii="Arial" w:hAnsi="Arial" w:cs="Arial"/>
          <w:color w:val="000000" w:themeColor="text1"/>
          <w:sz w:val="24"/>
          <w:szCs w:val="24"/>
        </w:rPr>
        <w:t xml:space="preserve"> the PG</w:t>
      </w:r>
      <w:r w:rsidRPr="00117CFC">
        <w:rPr>
          <w:rFonts w:ascii="Arial" w:hAnsi="Arial" w:cs="Arial"/>
          <w:color w:val="000000" w:themeColor="text1"/>
          <w:sz w:val="24"/>
          <w:szCs w:val="24"/>
        </w:rPr>
        <w:t xml:space="preserve">, </w:t>
      </w:r>
      <w:r w:rsidRPr="00117CFC">
        <w:rPr>
          <w:rFonts w:ascii="Arial" w:eastAsia="Times New Roman" w:hAnsi="Arial" w:cs="Arial"/>
          <w:color w:val="000000" w:themeColor="text1"/>
          <w:sz w:val="24"/>
          <w:szCs w:val="24"/>
          <w:lang w:eastAsia="en-ZA"/>
        </w:rPr>
        <w:t xml:space="preserve">in particular </w:t>
      </w:r>
      <w:r>
        <w:rPr>
          <w:rFonts w:ascii="Arial" w:eastAsia="Times New Roman" w:hAnsi="Arial" w:cs="Arial"/>
          <w:color w:val="000000" w:themeColor="text1"/>
          <w:sz w:val="24"/>
          <w:szCs w:val="24"/>
          <w:lang w:eastAsia="en-ZA"/>
        </w:rPr>
        <w:t xml:space="preserve">Mr July, one of </w:t>
      </w:r>
      <w:r w:rsidRPr="00117CFC">
        <w:rPr>
          <w:rFonts w:ascii="Arial" w:eastAsia="Times New Roman" w:hAnsi="Arial" w:cs="Arial"/>
          <w:color w:val="000000" w:themeColor="text1"/>
          <w:sz w:val="24"/>
          <w:szCs w:val="24"/>
          <w:lang w:eastAsia="en-ZA"/>
        </w:rPr>
        <w:t>the prosecutor</w:t>
      </w:r>
      <w:r>
        <w:rPr>
          <w:rFonts w:ascii="Arial" w:eastAsia="Times New Roman" w:hAnsi="Arial" w:cs="Arial"/>
          <w:color w:val="000000" w:themeColor="text1"/>
          <w:sz w:val="24"/>
          <w:szCs w:val="24"/>
          <w:lang w:eastAsia="en-ZA"/>
        </w:rPr>
        <w:t>s who had the conduct of the case</w:t>
      </w:r>
      <w:r w:rsidR="00E52C86">
        <w:rPr>
          <w:rFonts w:ascii="Arial" w:eastAsia="Times New Roman" w:hAnsi="Arial" w:cs="Arial"/>
          <w:color w:val="000000" w:themeColor="text1"/>
          <w:sz w:val="24"/>
          <w:szCs w:val="24"/>
          <w:lang w:eastAsia="en-ZA"/>
        </w:rPr>
        <w:t xml:space="preserve"> at the criminal trial and who testified on behalf of the appellants in the civil claim</w:t>
      </w:r>
      <w:r>
        <w:rPr>
          <w:rFonts w:ascii="Arial" w:eastAsia="Times New Roman" w:hAnsi="Arial" w:cs="Arial"/>
          <w:color w:val="000000" w:themeColor="text1"/>
          <w:sz w:val="24"/>
          <w:szCs w:val="24"/>
          <w:lang w:eastAsia="en-ZA"/>
        </w:rPr>
        <w:t>,</w:t>
      </w:r>
      <w:r w:rsidRPr="00117CFC">
        <w:rPr>
          <w:rFonts w:ascii="Arial" w:eastAsia="Times New Roman" w:hAnsi="Arial" w:cs="Arial"/>
          <w:color w:val="000000" w:themeColor="text1"/>
          <w:sz w:val="24"/>
          <w:szCs w:val="24"/>
          <w:lang w:eastAsia="en-ZA"/>
        </w:rPr>
        <w:t xml:space="preserve"> had no sufficient basis for an honest belief in the case h</w:t>
      </w:r>
      <w:r w:rsidR="00E52C86">
        <w:rPr>
          <w:rFonts w:ascii="Arial" w:eastAsia="Times New Roman" w:hAnsi="Arial" w:cs="Arial"/>
          <w:color w:val="000000" w:themeColor="text1"/>
          <w:sz w:val="24"/>
          <w:szCs w:val="24"/>
          <w:lang w:eastAsia="en-ZA"/>
        </w:rPr>
        <w:t>is team</w:t>
      </w:r>
      <w:r w:rsidRPr="00117CFC">
        <w:rPr>
          <w:rFonts w:ascii="Arial" w:eastAsia="Times New Roman" w:hAnsi="Arial" w:cs="Arial"/>
          <w:color w:val="000000" w:themeColor="text1"/>
          <w:sz w:val="24"/>
          <w:szCs w:val="24"/>
          <w:lang w:eastAsia="en-ZA"/>
        </w:rPr>
        <w:t xml:space="preserve"> maintained from November 2011. </w:t>
      </w:r>
      <w:r>
        <w:rPr>
          <w:rFonts w:ascii="Arial" w:eastAsia="Times New Roman" w:hAnsi="Arial" w:cs="Arial"/>
          <w:color w:val="000000" w:themeColor="text1"/>
          <w:sz w:val="24"/>
          <w:szCs w:val="24"/>
          <w:lang w:eastAsia="en-ZA"/>
        </w:rPr>
        <w:t xml:space="preserve">In this respect, the court stated </w:t>
      </w:r>
      <w:r w:rsidRPr="00117CFC">
        <w:rPr>
          <w:rFonts w:ascii="Arial" w:eastAsia="Times New Roman" w:hAnsi="Arial" w:cs="Arial"/>
          <w:color w:val="000000" w:themeColor="text1"/>
          <w:sz w:val="24"/>
          <w:szCs w:val="24"/>
          <w:lang w:eastAsia="en-ZA"/>
        </w:rPr>
        <w:t xml:space="preserve">that </w:t>
      </w:r>
      <w:r>
        <w:rPr>
          <w:rFonts w:ascii="Arial" w:eastAsia="Times New Roman" w:hAnsi="Arial" w:cs="Arial"/>
          <w:color w:val="000000" w:themeColor="text1"/>
          <w:sz w:val="24"/>
          <w:szCs w:val="24"/>
          <w:lang w:eastAsia="en-ZA"/>
        </w:rPr>
        <w:t xml:space="preserve">Mr </w:t>
      </w:r>
      <w:r w:rsidRPr="00117CFC">
        <w:rPr>
          <w:rFonts w:ascii="Arial" w:hAnsi="Arial" w:cs="Arial"/>
          <w:color w:val="000000" w:themeColor="text1"/>
          <w:sz w:val="24"/>
          <w:szCs w:val="24"/>
        </w:rPr>
        <w:t xml:space="preserve">July </w:t>
      </w:r>
      <w:r w:rsidRPr="00117CFC">
        <w:rPr>
          <w:rFonts w:ascii="Arial" w:eastAsia="Times New Roman" w:hAnsi="Arial" w:cs="Arial"/>
          <w:color w:val="000000" w:themeColor="text1"/>
          <w:sz w:val="24"/>
          <w:szCs w:val="24"/>
          <w:lang w:eastAsia="en-ZA"/>
        </w:rPr>
        <w:t xml:space="preserve">knew </w:t>
      </w:r>
      <w:r>
        <w:rPr>
          <w:rFonts w:ascii="Arial" w:eastAsia="Times New Roman" w:hAnsi="Arial" w:cs="Arial"/>
          <w:color w:val="000000" w:themeColor="text1"/>
          <w:sz w:val="24"/>
          <w:szCs w:val="24"/>
          <w:lang w:eastAsia="en-ZA"/>
        </w:rPr>
        <w:lastRenderedPageBreak/>
        <w:t>from N</w:t>
      </w:r>
      <w:r w:rsidRPr="00117CFC">
        <w:rPr>
          <w:rFonts w:ascii="Arial" w:eastAsia="Times New Roman" w:hAnsi="Arial" w:cs="Arial"/>
          <w:color w:val="000000" w:themeColor="text1"/>
          <w:sz w:val="24"/>
          <w:szCs w:val="24"/>
          <w:lang w:eastAsia="en-ZA"/>
        </w:rPr>
        <w:t xml:space="preserve">ovember 2011 that he lacked reasonable grounds for continuing </w:t>
      </w:r>
      <w:r w:rsidR="00E52C86">
        <w:rPr>
          <w:rFonts w:ascii="Arial" w:eastAsia="Times New Roman" w:hAnsi="Arial" w:cs="Arial"/>
          <w:color w:val="000000" w:themeColor="text1"/>
          <w:sz w:val="24"/>
          <w:szCs w:val="24"/>
          <w:lang w:eastAsia="en-ZA"/>
        </w:rPr>
        <w:t xml:space="preserve">with </w:t>
      </w:r>
      <w:r w:rsidRPr="00117CFC">
        <w:rPr>
          <w:rFonts w:ascii="Arial" w:eastAsia="Times New Roman" w:hAnsi="Arial" w:cs="Arial"/>
          <w:color w:val="000000" w:themeColor="text1"/>
          <w:sz w:val="24"/>
          <w:szCs w:val="24"/>
          <w:lang w:eastAsia="en-ZA"/>
        </w:rPr>
        <w:t>the proceedings, but kept them going in the hope</w:t>
      </w:r>
      <w:r>
        <w:rPr>
          <w:rFonts w:ascii="Arial" w:eastAsia="Times New Roman" w:hAnsi="Arial" w:cs="Arial"/>
          <w:color w:val="000000" w:themeColor="text1"/>
          <w:sz w:val="24"/>
          <w:szCs w:val="24"/>
          <w:lang w:eastAsia="en-ZA"/>
        </w:rPr>
        <w:t xml:space="preserve"> that </w:t>
      </w:r>
      <w:r w:rsidRPr="00117CFC">
        <w:rPr>
          <w:rFonts w:ascii="Arial" w:eastAsia="Times New Roman" w:hAnsi="Arial" w:cs="Arial"/>
          <w:color w:val="000000" w:themeColor="text1"/>
          <w:sz w:val="24"/>
          <w:szCs w:val="24"/>
          <w:lang w:eastAsia="en-ZA"/>
        </w:rPr>
        <w:t>some incriminating evide</w:t>
      </w:r>
      <w:r>
        <w:rPr>
          <w:rFonts w:ascii="Arial" w:eastAsia="Times New Roman" w:hAnsi="Arial" w:cs="Arial"/>
          <w:color w:val="000000" w:themeColor="text1"/>
          <w:sz w:val="24"/>
          <w:szCs w:val="24"/>
          <w:lang w:eastAsia="en-ZA"/>
        </w:rPr>
        <w:t>nce would ‘miraculously turn up’. D</w:t>
      </w:r>
      <w:r>
        <w:rPr>
          <w:rFonts w:ascii="Arial" w:hAnsi="Arial" w:cs="Arial"/>
          <w:color w:val="000000" w:themeColor="text1"/>
          <w:sz w:val="24"/>
          <w:szCs w:val="24"/>
        </w:rPr>
        <w:t xml:space="preserve">espite </w:t>
      </w:r>
      <w:r w:rsidRPr="00117CFC">
        <w:rPr>
          <w:rFonts w:ascii="Arial" w:hAnsi="Arial" w:cs="Arial"/>
          <w:color w:val="000000" w:themeColor="text1"/>
          <w:sz w:val="24"/>
          <w:szCs w:val="24"/>
        </w:rPr>
        <w:t xml:space="preserve">accepting that </w:t>
      </w:r>
      <w:r>
        <w:rPr>
          <w:rFonts w:ascii="Arial" w:hAnsi="Arial" w:cs="Arial"/>
          <w:color w:val="000000" w:themeColor="text1"/>
          <w:sz w:val="24"/>
          <w:szCs w:val="24"/>
        </w:rPr>
        <w:t xml:space="preserve">Mr </w:t>
      </w:r>
      <w:r w:rsidRPr="00117CFC">
        <w:rPr>
          <w:rFonts w:ascii="Arial" w:hAnsi="Arial" w:cs="Arial"/>
          <w:color w:val="000000" w:themeColor="text1"/>
          <w:sz w:val="24"/>
          <w:szCs w:val="24"/>
        </w:rPr>
        <w:t>July did not harbour any ill will or spite against the respondent</w:t>
      </w:r>
      <w:r>
        <w:rPr>
          <w:rFonts w:ascii="Arial" w:hAnsi="Arial" w:cs="Arial"/>
          <w:color w:val="000000" w:themeColor="text1"/>
          <w:sz w:val="24"/>
          <w:szCs w:val="24"/>
        </w:rPr>
        <w:t>, the court in the same vein</w:t>
      </w:r>
      <w:r w:rsidRPr="00117CFC">
        <w:rPr>
          <w:rFonts w:ascii="Arial" w:hAnsi="Arial" w:cs="Arial"/>
          <w:color w:val="000000" w:themeColor="text1"/>
          <w:sz w:val="24"/>
          <w:szCs w:val="24"/>
        </w:rPr>
        <w:t xml:space="preserve"> held that there was evidence of malice </w:t>
      </w:r>
      <w:r>
        <w:rPr>
          <w:rFonts w:ascii="Arial" w:hAnsi="Arial" w:cs="Arial"/>
          <w:color w:val="000000" w:themeColor="text1"/>
          <w:sz w:val="24"/>
          <w:szCs w:val="24"/>
        </w:rPr>
        <w:t xml:space="preserve">on Mr July’s part </w:t>
      </w:r>
      <w:r w:rsidRPr="00117CFC">
        <w:rPr>
          <w:rFonts w:ascii="Arial" w:hAnsi="Arial" w:cs="Arial"/>
          <w:color w:val="000000" w:themeColor="text1"/>
          <w:sz w:val="24"/>
          <w:szCs w:val="24"/>
        </w:rPr>
        <w:t>in maintaining the prosecution from November 2011 onwards.</w:t>
      </w:r>
      <w:r w:rsidR="00527ED8">
        <w:rPr>
          <w:rFonts w:ascii="Arial" w:hAnsi="Arial" w:cs="Arial"/>
          <w:color w:val="000000" w:themeColor="text1"/>
          <w:sz w:val="24"/>
          <w:szCs w:val="24"/>
        </w:rPr>
        <w:t xml:space="preserve"> The court found that Mr July ‘had no</w:t>
      </w:r>
      <w:r w:rsidR="00E52C86">
        <w:rPr>
          <w:rFonts w:ascii="Arial" w:hAnsi="Arial" w:cs="Arial"/>
          <w:color w:val="000000" w:themeColor="text1"/>
          <w:sz w:val="24"/>
          <w:szCs w:val="24"/>
        </w:rPr>
        <w:t xml:space="preserve"> </w:t>
      </w:r>
      <w:r w:rsidR="00527ED8">
        <w:rPr>
          <w:rFonts w:ascii="Arial" w:hAnsi="Arial" w:cs="Arial"/>
          <w:color w:val="000000" w:themeColor="text1"/>
          <w:sz w:val="24"/>
          <w:szCs w:val="24"/>
        </w:rPr>
        <w:t xml:space="preserve">sufficient basis for any honest belief in the case he maintained at this stage.’ </w:t>
      </w:r>
      <w:r w:rsidR="00E52C86">
        <w:rPr>
          <w:rFonts w:ascii="Arial" w:hAnsi="Arial" w:cs="Arial"/>
          <w:color w:val="000000" w:themeColor="text1"/>
          <w:sz w:val="24"/>
          <w:szCs w:val="24"/>
        </w:rPr>
        <w:t>In this respect, the court made an unfortunate finding of dishonesty on the part of Mr July.</w:t>
      </w:r>
      <w:r w:rsidR="009B5168">
        <w:rPr>
          <w:rFonts w:ascii="Arial" w:hAnsi="Arial" w:cs="Arial"/>
          <w:color w:val="000000" w:themeColor="text1"/>
          <w:sz w:val="24"/>
          <w:szCs w:val="24"/>
        </w:rPr>
        <w:t xml:space="preserve"> This finding is </w:t>
      </w:r>
      <w:r w:rsidR="00527ED8">
        <w:rPr>
          <w:rFonts w:ascii="Arial" w:hAnsi="Arial" w:cs="Arial"/>
          <w:color w:val="000000" w:themeColor="text1"/>
          <w:sz w:val="24"/>
          <w:szCs w:val="24"/>
        </w:rPr>
        <w:t xml:space="preserve">however </w:t>
      </w:r>
      <w:r w:rsidR="009B5168">
        <w:rPr>
          <w:rFonts w:ascii="Arial" w:hAnsi="Arial" w:cs="Arial"/>
          <w:color w:val="000000" w:themeColor="text1"/>
          <w:sz w:val="24"/>
          <w:szCs w:val="24"/>
        </w:rPr>
        <w:t>not supported by counsel for the respondent</w:t>
      </w:r>
      <w:r w:rsidR="00527ED8">
        <w:rPr>
          <w:rFonts w:ascii="Arial" w:hAnsi="Arial" w:cs="Arial"/>
          <w:color w:val="000000" w:themeColor="text1"/>
          <w:sz w:val="24"/>
          <w:szCs w:val="24"/>
        </w:rPr>
        <w:t>.</w:t>
      </w:r>
      <w:r w:rsidR="009B5168">
        <w:rPr>
          <w:rFonts w:ascii="Arial" w:hAnsi="Arial" w:cs="Arial"/>
          <w:color w:val="000000" w:themeColor="text1"/>
          <w:sz w:val="24"/>
          <w:szCs w:val="24"/>
        </w:rPr>
        <w:t xml:space="preserve"> </w:t>
      </w:r>
      <w:r w:rsidR="00E52C86">
        <w:rPr>
          <w:rFonts w:ascii="Arial" w:hAnsi="Arial" w:cs="Arial"/>
          <w:color w:val="000000" w:themeColor="text1"/>
          <w:sz w:val="24"/>
          <w:szCs w:val="24"/>
        </w:rPr>
        <w:t xml:space="preserve">  </w:t>
      </w:r>
      <w:r w:rsidRPr="00117CFC">
        <w:rPr>
          <w:rFonts w:ascii="Arial" w:hAnsi="Arial" w:cs="Arial"/>
          <w:color w:val="000000" w:themeColor="text1"/>
          <w:sz w:val="24"/>
          <w:szCs w:val="24"/>
        </w:rPr>
        <w:t xml:space="preserve"> </w:t>
      </w:r>
    </w:p>
    <w:p w:rsidR="00CE4AB7" w:rsidRPr="00CE4AB7" w:rsidRDefault="00CE4AB7" w:rsidP="00FA66E4">
      <w:pPr>
        <w:pStyle w:val="ListParagraph"/>
        <w:spacing w:after="0" w:line="480" w:lineRule="auto"/>
        <w:jc w:val="both"/>
        <w:rPr>
          <w:rFonts w:ascii="Arial" w:hAnsi="Arial" w:cs="Arial"/>
          <w:color w:val="000000" w:themeColor="text1"/>
          <w:sz w:val="24"/>
          <w:szCs w:val="24"/>
        </w:rPr>
      </w:pPr>
    </w:p>
    <w:p w:rsidR="000B16E1" w:rsidRDefault="000B16E1" w:rsidP="0098751E">
      <w:pPr>
        <w:pStyle w:val="ListParagraph"/>
        <w:numPr>
          <w:ilvl w:val="0"/>
          <w:numId w:val="22"/>
        </w:numPr>
        <w:spacing w:before="240" w:after="0" w:line="480" w:lineRule="auto"/>
        <w:ind w:left="0" w:firstLine="0"/>
        <w:jc w:val="both"/>
        <w:rPr>
          <w:rFonts w:ascii="Arial" w:hAnsi="Arial" w:cs="Arial"/>
          <w:color w:val="000000" w:themeColor="text1"/>
          <w:sz w:val="24"/>
          <w:szCs w:val="24"/>
        </w:rPr>
      </w:pPr>
      <w:r>
        <w:rPr>
          <w:rFonts w:ascii="Arial" w:hAnsi="Arial" w:cs="Arial"/>
          <w:color w:val="000000" w:themeColor="text1"/>
          <w:sz w:val="24"/>
          <w:szCs w:val="24"/>
        </w:rPr>
        <w:t>As previously observed, t</w:t>
      </w:r>
      <w:r w:rsidRPr="004E2DA6">
        <w:rPr>
          <w:rFonts w:ascii="Arial" w:hAnsi="Arial" w:cs="Arial"/>
          <w:color w:val="000000" w:themeColor="text1"/>
          <w:sz w:val="24"/>
          <w:szCs w:val="24"/>
        </w:rPr>
        <w:t>he court inferred malice from the following circumstances</w:t>
      </w:r>
      <w:r>
        <w:rPr>
          <w:rFonts w:ascii="Arial" w:hAnsi="Arial" w:cs="Arial"/>
          <w:color w:val="000000" w:themeColor="text1"/>
          <w:sz w:val="24"/>
          <w:szCs w:val="24"/>
        </w:rPr>
        <w:t>:</w:t>
      </w:r>
      <w:r w:rsidRPr="004E2DA6">
        <w:rPr>
          <w:rFonts w:ascii="Arial" w:hAnsi="Arial" w:cs="Arial"/>
          <w:color w:val="000000" w:themeColor="text1"/>
          <w:sz w:val="24"/>
          <w:szCs w:val="24"/>
        </w:rPr>
        <w:t xml:space="preserve"> (a) that the</w:t>
      </w:r>
      <w:r w:rsidRPr="004E2DA6">
        <w:rPr>
          <w:rFonts w:ascii="Arial" w:eastAsia="Times New Roman" w:hAnsi="Arial" w:cs="Arial"/>
          <w:color w:val="000000" w:themeColor="text1"/>
          <w:sz w:val="24"/>
          <w:szCs w:val="24"/>
          <w:lang w:eastAsia="en-ZA"/>
        </w:rPr>
        <w:t xml:space="preserve"> prosecutor failed </w:t>
      </w:r>
      <w:r>
        <w:rPr>
          <w:rFonts w:ascii="Arial" w:eastAsia="Times New Roman" w:hAnsi="Arial" w:cs="Arial"/>
          <w:color w:val="000000" w:themeColor="text1"/>
          <w:sz w:val="24"/>
          <w:szCs w:val="24"/>
          <w:lang w:eastAsia="en-ZA"/>
        </w:rPr>
        <w:t xml:space="preserve">to </w:t>
      </w:r>
      <w:r w:rsidRPr="004E2DA6">
        <w:rPr>
          <w:rFonts w:ascii="Arial" w:eastAsia="Times New Roman" w:hAnsi="Arial" w:cs="Arial"/>
          <w:color w:val="000000" w:themeColor="text1"/>
          <w:sz w:val="24"/>
          <w:szCs w:val="24"/>
          <w:lang w:eastAsia="en-ZA"/>
        </w:rPr>
        <w:t>carry out continuous appraisals of the evidence against the respondent</w:t>
      </w:r>
      <w:r w:rsidRPr="004E2DA6">
        <w:rPr>
          <w:rFonts w:ascii="Arial" w:hAnsi="Arial" w:cs="Arial"/>
          <w:color w:val="000000" w:themeColor="text1"/>
          <w:sz w:val="24"/>
          <w:szCs w:val="24"/>
        </w:rPr>
        <w:t xml:space="preserve">; (b) that despite being aware of the exceptional circumstances of the case such as the number of accused persons and witnesses to testify, the prosecutorial authority failed to comply with its constitutional mandate in </w:t>
      </w:r>
      <w:r>
        <w:rPr>
          <w:rFonts w:ascii="Arial" w:hAnsi="Arial" w:cs="Arial"/>
          <w:color w:val="000000" w:themeColor="text1"/>
          <w:sz w:val="24"/>
          <w:szCs w:val="24"/>
        </w:rPr>
        <w:t xml:space="preserve">mobilizing </w:t>
      </w:r>
      <w:r w:rsidRPr="004E2DA6">
        <w:rPr>
          <w:rFonts w:ascii="Arial" w:hAnsi="Arial" w:cs="Arial"/>
          <w:color w:val="000000" w:themeColor="text1"/>
          <w:sz w:val="24"/>
          <w:szCs w:val="24"/>
        </w:rPr>
        <w:t xml:space="preserve">sufficient </w:t>
      </w:r>
      <w:r>
        <w:rPr>
          <w:rFonts w:ascii="Arial" w:hAnsi="Arial" w:cs="Arial"/>
          <w:color w:val="000000" w:themeColor="text1"/>
          <w:sz w:val="24"/>
          <w:szCs w:val="24"/>
        </w:rPr>
        <w:t xml:space="preserve">human resources in the form of more </w:t>
      </w:r>
      <w:r w:rsidRPr="004E2DA6">
        <w:rPr>
          <w:rFonts w:ascii="Arial" w:hAnsi="Arial" w:cs="Arial"/>
          <w:color w:val="000000" w:themeColor="text1"/>
          <w:sz w:val="24"/>
          <w:szCs w:val="24"/>
        </w:rPr>
        <w:t>prosecutors to deal</w:t>
      </w:r>
      <w:r>
        <w:rPr>
          <w:rFonts w:ascii="Arial" w:hAnsi="Arial" w:cs="Arial"/>
          <w:color w:val="000000" w:themeColor="text1"/>
          <w:sz w:val="24"/>
          <w:szCs w:val="24"/>
        </w:rPr>
        <w:t xml:space="preserve"> </w:t>
      </w:r>
      <w:r w:rsidRPr="004E2DA6">
        <w:rPr>
          <w:rFonts w:ascii="Arial" w:hAnsi="Arial" w:cs="Arial"/>
          <w:color w:val="000000" w:themeColor="text1"/>
          <w:sz w:val="24"/>
          <w:szCs w:val="24"/>
        </w:rPr>
        <w:t>with</w:t>
      </w:r>
      <w:r>
        <w:rPr>
          <w:rFonts w:ascii="Arial" w:hAnsi="Arial" w:cs="Arial"/>
          <w:color w:val="000000" w:themeColor="text1"/>
          <w:sz w:val="24"/>
          <w:szCs w:val="24"/>
        </w:rPr>
        <w:t xml:space="preserve"> the case </w:t>
      </w:r>
      <w:r w:rsidRPr="004E2DA6">
        <w:rPr>
          <w:rFonts w:ascii="Arial" w:hAnsi="Arial" w:cs="Arial"/>
          <w:color w:val="000000" w:themeColor="text1"/>
          <w:sz w:val="24"/>
          <w:szCs w:val="24"/>
        </w:rPr>
        <w:t xml:space="preserve">within a reasonable period; and that, despite knowing that there was no case against the respondent, </w:t>
      </w:r>
      <w:r w:rsidRPr="00953DC7">
        <w:rPr>
          <w:rFonts w:ascii="Arial" w:hAnsi="Arial" w:cs="Arial"/>
          <w:color w:val="000000" w:themeColor="text1"/>
          <w:sz w:val="24"/>
          <w:szCs w:val="24"/>
        </w:rPr>
        <w:t>the prosecutorial authority continued with the prosecution</w:t>
      </w:r>
      <w:r w:rsidRPr="004E2DA6">
        <w:rPr>
          <w:rFonts w:ascii="Arial" w:hAnsi="Arial" w:cs="Arial"/>
          <w:color w:val="000000" w:themeColor="text1"/>
          <w:sz w:val="24"/>
          <w:szCs w:val="24"/>
        </w:rPr>
        <w:t>.</w:t>
      </w:r>
      <w:r>
        <w:rPr>
          <w:rFonts w:ascii="Arial" w:hAnsi="Arial" w:cs="Arial"/>
          <w:color w:val="000000" w:themeColor="text1"/>
          <w:sz w:val="24"/>
          <w:szCs w:val="24"/>
        </w:rPr>
        <w:t xml:space="preserve"> </w:t>
      </w:r>
    </w:p>
    <w:p w:rsidR="000B16E1" w:rsidRDefault="000B16E1" w:rsidP="000B16E1">
      <w:pPr>
        <w:pStyle w:val="ListParagraph"/>
        <w:spacing w:after="0" w:line="480" w:lineRule="auto"/>
        <w:ind w:left="0"/>
        <w:jc w:val="both"/>
        <w:rPr>
          <w:rFonts w:ascii="Arial" w:hAnsi="Arial" w:cs="Arial"/>
          <w:color w:val="000000" w:themeColor="text1"/>
          <w:sz w:val="24"/>
          <w:szCs w:val="24"/>
          <w:u w:val="single"/>
          <w:lang w:val="en-ZA"/>
        </w:rPr>
      </w:pPr>
    </w:p>
    <w:p w:rsidR="000B16E1" w:rsidRPr="0080306B" w:rsidRDefault="000B16E1" w:rsidP="000B16E1">
      <w:pPr>
        <w:pStyle w:val="ListParagraph"/>
        <w:spacing w:after="0" w:line="480" w:lineRule="auto"/>
        <w:ind w:left="0"/>
        <w:jc w:val="both"/>
        <w:rPr>
          <w:rFonts w:ascii="Arial" w:hAnsi="Arial" w:cs="Arial"/>
          <w:color w:val="000000" w:themeColor="text1"/>
          <w:sz w:val="24"/>
          <w:szCs w:val="24"/>
          <w:u w:val="single"/>
          <w:lang w:val="en-ZA"/>
        </w:rPr>
      </w:pPr>
      <w:r w:rsidRPr="0080306B">
        <w:rPr>
          <w:rFonts w:ascii="Arial" w:hAnsi="Arial" w:cs="Arial"/>
          <w:color w:val="000000" w:themeColor="text1"/>
          <w:sz w:val="24"/>
          <w:szCs w:val="24"/>
          <w:u w:val="single"/>
          <w:lang w:val="en-ZA"/>
        </w:rPr>
        <w:t>The reasonable and probable cause requirement</w:t>
      </w:r>
    </w:p>
    <w:p w:rsidR="000B16E1" w:rsidRDefault="000B16E1" w:rsidP="0098751E">
      <w:pPr>
        <w:pStyle w:val="ListParagraph"/>
        <w:numPr>
          <w:ilvl w:val="0"/>
          <w:numId w:val="22"/>
        </w:numPr>
        <w:spacing w:after="0" w:line="480" w:lineRule="auto"/>
        <w:ind w:left="0" w:firstLine="0"/>
        <w:jc w:val="both"/>
        <w:rPr>
          <w:rFonts w:ascii="Arial" w:hAnsi="Arial" w:cs="Arial"/>
          <w:color w:val="000000" w:themeColor="text1"/>
          <w:sz w:val="24"/>
          <w:szCs w:val="24"/>
        </w:rPr>
      </w:pPr>
      <w:r w:rsidRPr="00247A13">
        <w:rPr>
          <w:rFonts w:ascii="Arial" w:hAnsi="Arial" w:cs="Arial"/>
          <w:color w:val="000000" w:themeColor="text1"/>
          <w:sz w:val="24"/>
          <w:szCs w:val="24"/>
        </w:rPr>
        <w:t xml:space="preserve">In </w:t>
      </w:r>
      <w:r w:rsidRPr="00247A13">
        <w:rPr>
          <w:rFonts w:ascii="Arial" w:hAnsi="Arial" w:cs="Arial"/>
          <w:i/>
          <w:color w:val="000000" w:themeColor="text1"/>
          <w:sz w:val="24"/>
          <w:szCs w:val="24"/>
        </w:rPr>
        <w:t>Waterhouse v Shields</w:t>
      </w:r>
      <w:r w:rsidRPr="00247A13">
        <w:rPr>
          <w:rStyle w:val="FootnoteReference"/>
          <w:rFonts w:ascii="Arial" w:hAnsi="Arial" w:cs="Arial"/>
          <w:i/>
          <w:color w:val="000000" w:themeColor="text1"/>
          <w:sz w:val="24"/>
          <w:szCs w:val="24"/>
        </w:rPr>
        <w:footnoteReference w:id="29"/>
      </w:r>
      <w:r w:rsidRPr="00247A13">
        <w:rPr>
          <w:rFonts w:ascii="Arial" w:hAnsi="Arial" w:cs="Arial"/>
          <w:color w:val="000000" w:themeColor="text1"/>
          <w:sz w:val="24"/>
          <w:szCs w:val="24"/>
        </w:rPr>
        <w:t>, Gardiner J cit</w:t>
      </w:r>
      <w:r>
        <w:rPr>
          <w:rFonts w:ascii="Arial" w:hAnsi="Arial" w:cs="Arial"/>
          <w:color w:val="000000" w:themeColor="text1"/>
          <w:sz w:val="24"/>
          <w:szCs w:val="24"/>
        </w:rPr>
        <w:t>ed</w:t>
      </w:r>
      <w:r w:rsidRPr="00247A13">
        <w:rPr>
          <w:rFonts w:ascii="Arial" w:hAnsi="Arial" w:cs="Arial"/>
          <w:color w:val="000000" w:themeColor="text1"/>
          <w:sz w:val="24"/>
          <w:szCs w:val="24"/>
        </w:rPr>
        <w:t xml:space="preserve"> with approval the definition </w:t>
      </w:r>
      <w:r>
        <w:rPr>
          <w:rFonts w:ascii="Arial" w:hAnsi="Arial" w:cs="Arial"/>
          <w:color w:val="000000" w:themeColor="text1"/>
          <w:sz w:val="24"/>
          <w:szCs w:val="24"/>
        </w:rPr>
        <w:t xml:space="preserve">of ‘reasonable and probable cause’ originally </w:t>
      </w:r>
      <w:r w:rsidRPr="00247A13">
        <w:rPr>
          <w:rFonts w:ascii="Arial" w:hAnsi="Arial" w:cs="Arial"/>
          <w:color w:val="000000" w:themeColor="text1"/>
          <w:sz w:val="24"/>
          <w:szCs w:val="24"/>
        </w:rPr>
        <w:t xml:space="preserve">developed by Hawkins J in </w:t>
      </w:r>
      <w:r w:rsidRPr="00247A13">
        <w:rPr>
          <w:rFonts w:ascii="Arial" w:hAnsi="Arial" w:cs="Arial"/>
          <w:i/>
          <w:color w:val="000000" w:themeColor="text1"/>
          <w:sz w:val="24"/>
          <w:szCs w:val="24"/>
        </w:rPr>
        <w:t>Hicks v Faulkner</w:t>
      </w:r>
      <w:r w:rsidRPr="00247A13">
        <w:rPr>
          <w:rFonts w:ascii="Arial" w:hAnsi="Arial" w:cs="Arial"/>
          <w:color w:val="000000" w:themeColor="text1"/>
          <w:sz w:val="24"/>
          <w:szCs w:val="24"/>
        </w:rPr>
        <w:t>,</w:t>
      </w:r>
      <w:r w:rsidRPr="00247A13">
        <w:rPr>
          <w:rStyle w:val="FootnoteReference"/>
          <w:rFonts w:ascii="Arial" w:hAnsi="Arial" w:cs="Arial"/>
          <w:color w:val="000000" w:themeColor="text1"/>
          <w:sz w:val="24"/>
          <w:szCs w:val="24"/>
        </w:rPr>
        <w:footnoteReference w:id="30"/>
      </w:r>
      <w:r w:rsidRPr="00247A13">
        <w:rPr>
          <w:rFonts w:ascii="Arial" w:hAnsi="Arial" w:cs="Arial"/>
          <w:color w:val="000000" w:themeColor="text1"/>
          <w:sz w:val="24"/>
          <w:szCs w:val="24"/>
        </w:rPr>
        <w:t xml:space="preserve"> </w:t>
      </w:r>
      <w:r>
        <w:rPr>
          <w:rFonts w:ascii="Arial" w:hAnsi="Arial" w:cs="Arial"/>
          <w:color w:val="000000" w:themeColor="text1"/>
          <w:sz w:val="24"/>
          <w:szCs w:val="24"/>
        </w:rPr>
        <w:lastRenderedPageBreak/>
        <w:t xml:space="preserve">which is usually followed in English law and has been accepted by courts in South Africa. </w:t>
      </w:r>
      <w:r w:rsidRPr="00247A13">
        <w:rPr>
          <w:rFonts w:ascii="Arial" w:hAnsi="Arial" w:cs="Arial"/>
          <w:color w:val="000000" w:themeColor="text1"/>
          <w:sz w:val="24"/>
          <w:szCs w:val="24"/>
        </w:rPr>
        <w:t xml:space="preserve"> </w:t>
      </w:r>
      <w:r>
        <w:rPr>
          <w:rFonts w:ascii="Arial" w:hAnsi="Arial" w:cs="Arial"/>
          <w:color w:val="000000" w:themeColor="text1"/>
          <w:sz w:val="24"/>
          <w:szCs w:val="24"/>
        </w:rPr>
        <w:t xml:space="preserve">The phrase has been understood to </w:t>
      </w:r>
      <w:r w:rsidRPr="00247A13">
        <w:rPr>
          <w:rFonts w:ascii="Arial" w:hAnsi="Arial" w:cs="Arial"/>
          <w:color w:val="000000" w:themeColor="text1"/>
          <w:sz w:val="24"/>
          <w:szCs w:val="24"/>
        </w:rPr>
        <w:t>mean</w:t>
      </w:r>
      <w:r>
        <w:rPr>
          <w:rFonts w:ascii="Arial" w:hAnsi="Arial" w:cs="Arial"/>
          <w:color w:val="000000" w:themeColor="text1"/>
          <w:sz w:val="24"/>
          <w:szCs w:val="24"/>
        </w:rPr>
        <w:t>:</w:t>
      </w:r>
      <w:r w:rsidRPr="00247A13">
        <w:rPr>
          <w:rFonts w:ascii="Arial" w:hAnsi="Arial" w:cs="Arial"/>
          <w:color w:val="000000" w:themeColor="text1"/>
          <w:sz w:val="24"/>
          <w:szCs w:val="24"/>
        </w:rPr>
        <w:t xml:space="preserve"> </w:t>
      </w:r>
    </w:p>
    <w:p w:rsidR="000B16E1" w:rsidRPr="0057595F" w:rsidRDefault="000B16E1" w:rsidP="00FA66E4">
      <w:pPr>
        <w:pStyle w:val="ListParagraph"/>
        <w:spacing w:after="0" w:line="480" w:lineRule="auto"/>
        <w:jc w:val="both"/>
        <w:rPr>
          <w:rFonts w:ascii="Arial" w:hAnsi="Arial" w:cs="Arial"/>
          <w:color w:val="000000" w:themeColor="text1"/>
          <w:sz w:val="24"/>
          <w:szCs w:val="24"/>
        </w:rPr>
      </w:pPr>
    </w:p>
    <w:p w:rsidR="000B16E1" w:rsidRPr="0057595F" w:rsidRDefault="000B16E1" w:rsidP="002E7459">
      <w:pPr>
        <w:spacing w:after="0" w:line="360" w:lineRule="auto"/>
        <w:ind w:left="720"/>
        <w:jc w:val="both"/>
        <w:rPr>
          <w:rFonts w:ascii="Arial" w:hAnsi="Arial" w:cs="Arial"/>
          <w:color w:val="000000" w:themeColor="text1"/>
        </w:rPr>
      </w:pPr>
      <w:r w:rsidRPr="0057595F">
        <w:rPr>
          <w:rFonts w:ascii="Arial" w:hAnsi="Arial" w:cs="Arial"/>
          <w:color w:val="000000" w:themeColor="text1"/>
        </w:rPr>
        <w:t xml:space="preserve">‘[A]n honest belief in the guilt of the accused based upon a full conviction, founded on reasonable grounds, of the existence of a state of circumstances, which assuming them to be true, would reasonably lead to any ordinary prudent and cautious man, placed in the position of the accuser, to the conclusion that the person charged was probably guilty of the crime imputed.’ </w:t>
      </w:r>
    </w:p>
    <w:p w:rsidR="000B16E1" w:rsidRPr="002E7800" w:rsidRDefault="000B16E1" w:rsidP="00953DC7">
      <w:pPr>
        <w:spacing w:after="0" w:line="480" w:lineRule="auto"/>
        <w:ind w:left="1080"/>
        <w:jc w:val="both"/>
        <w:rPr>
          <w:rFonts w:ascii="Arial" w:hAnsi="Arial" w:cs="Arial"/>
          <w:color w:val="000000" w:themeColor="text1"/>
          <w:sz w:val="24"/>
          <w:szCs w:val="24"/>
        </w:rPr>
      </w:pPr>
    </w:p>
    <w:p w:rsidR="000B16E1" w:rsidRDefault="000B16E1" w:rsidP="0098751E">
      <w:pPr>
        <w:pStyle w:val="ListParagraph"/>
        <w:numPr>
          <w:ilvl w:val="0"/>
          <w:numId w:val="22"/>
        </w:numPr>
        <w:spacing w:after="0" w:line="480" w:lineRule="auto"/>
        <w:ind w:left="0" w:firstLine="0"/>
        <w:jc w:val="both"/>
        <w:rPr>
          <w:rFonts w:ascii="Arial" w:hAnsi="Arial" w:cs="Arial"/>
          <w:color w:val="000000" w:themeColor="text1"/>
          <w:sz w:val="24"/>
          <w:szCs w:val="24"/>
        </w:rPr>
      </w:pPr>
      <w:r w:rsidRPr="00D4540D">
        <w:rPr>
          <w:rFonts w:ascii="Arial" w:hAnsi="Arial" w:cs="Arial"/>
          <w:color w:val="000000" w:themeColor="text1"/>
          <w:sz w:val="24"/>
          <w:szCs w:val="24"/>
        </w:rPr>
        <w:t xml:space="preserve">In </w:t>
      </w:r>
      <w:r w:rsidRPr="00D4540D">
        <w:rPr>
          <w:rFonts w:ascii="Arial" w:hAnsi="Arial" w:cs="Arial"/>
          <w:i/>
          <w:color w:val="000000" w:themeColor="text1"/>
          <w:sz w:val="24"/>
          <w:szCs w:val="24"/>
        </w:rPr>
        <w:t>Glinski v Mcl</w:t>
      </w:r>
      <w:r>
        <w:rPr>
          <w:rFonts w:ascii="Arial" w:hAnsi="Arial" w:cs="Arial"/>
          <w:i/>
          <w:color w:val="000000" w:themeColor="text1"/>
          <w:sz w:val="24"/>
          <w:szCs w:val="24"/>
        </w:rPr>
        <w:t>ver</w:t>
      </w:r>
      <w:r w:rsidRPr="00D4540D">
        <w:rPr>
          <w:rFonts w:ascii="Arial" w:hAnsi="Arial" w:cs="Arial"/>
          <w:i/>
          <w:color w:val="000000" w:themeColor="text1"/>
          <w:sz w:val="24"/>
          <w:szCs w:val="24"/>
        </w:rPr>
        <w:t xml:space="preserve"> </w:t>
      </w:r>
      <w:r w:rsidRPr="00D4540D">
        <w:rPr>
          <w:rFonts w:ascii="Arial" w:hAnsi="Arial" w:cs="Arial"/>
          <w:color w:val="000000" w:themeColor="text1"/>
          <w:sz w:val="24"/>
          <w:szCs w:val="24"/>
        </w:rPr>
        <w:t xml:space="preserve">1962 (1) All ER 696 (HL), in the course of explaining what </w:t>
      </w:r>
      <w:r>
        <w:rPr>
          <w:rFonts w:ascii="Arial" w:hAnsi="Arial" w:cs="Arial"/>
          <w:color w:val="000000" w:themeColor="text1"/>
          <w:sz w:val="24"/>
          <w:szCs w:val="24"/>
        </w:rPr>
        <w:t>‘</w:t>
      </w:r>
      <w:r w:rsidRPr="00D4540D">
        <w:rPr>
          <w:rFonts w:ascii="Arial" w:hAnsi="Arial" w:cs="Arial"/>
          <w:color w:val="000000" w:themeColor="text1"/>
          <w:sz w:val="24"/>
          <w:szCs w:val="24"/>
        </w:rPr>
        <w:t>belie</w:t>
      </w:r>
      <w:r>
        <w:rPr>
          <w:rFonts w:ascii="Arial" w:hAnsi="Arial" w:cs="Arial"/>
          <w:color w:val="000000" w:themeColor="text1"/>
          <w:sz w:val="24"/>
          <w:szCs w:val="24"/>
        </w:rPr>
        <w:t>f</w:t>
      </w:r>
      <w:r w:rsidRPr="00D4540D">
        <w:rPr>
          <w:rFonts w:ascii="Arial" w:hAnsi="Arial" w:cs="Arial"/>
          <w:color w:val="000000" w:themeColor="text1"/>
          <w:sz w:val="24"/>
          <w:szCs w:val="24"/>
        </w:rPr>
        <w:t xml:space="preserve"> in the person’s guilt</w:t>
      </w:r>
      <w:r>
        <w:rPr>
          <w:rFonts w:ascii="Arial" w:hAnsi="Arial" w:cs="Arial"/>
          <w:color w:val="000000" w:themeColor="text1"/>
          <w:sz w:val="24"/>
          <w:szCs w:val="24"/>
        </w:rPr>
        <w:t>’</w:t>
      </w:r>
      <w:r w:rsidRPr="00D4540D">
        <w:rPr>
          <w:rFonts w:ascii="Arial" w:hAnsi="Arial" w:cs="Arial"/>
          <w:color w:val="000000" w:themeColor="text1"/>
          <w:sz w:val="24"/>
          <w:szCs w:val="24"/>
        </w:rPr>
        <w:t xml:space="preserve"> entail</w:t>
      </w:r>
      <w:r>
        <w:rPr>
          <w:rFonts w:ascii="Arial" w:hAnsi="Arial" w:cs="Arial"/>
          <w:color w:val="000000" w:themeColor="text1"/>
          <w:sz w:val="24"/>
          <w:szCs w:val="24"/>
        </w:rPr>
        <w:t>ed</w:t>
      </w:r>
      <w:r w:rsidRPr="00D4540D">
        <w:rPr>
          <w:rFonts w:ascii="Arial" w:hAnsi="Arial" w:cs="Arial"/>
          <w:color w:val="000000" w:themeColor="text1"/>
          <w:sz w:val="24"/>
          <w:szCs w:val="24"/>
        </w:rPr>
        <w:t xml:space="preserve">, </w:t>
      </w:r>
      <w:r>
        <w:rPr>
          <w:rFonts w:ascii="Arial" w:hAnsi="Arial" w:cs="Arial"/>
          <w:color w:val="000000" w:themeColor="text1"/>
          <w:sz w:val="24"/>
          <w:szCs w:val="24"/>
        </w:rPr>
        <w:t xml:space="preserve">Lord Denning </w:t>
      </w:r>
      <w:r w:rsidRPr="00D4540D">
        <w:rPr>
          <w:rFonts w:ascii="Arial" w:hAnsi="Arial" w:cs="Arial"/>
          <w:color w:val="000000" w:themeColor="text1"/>
          <w:sz w:val="24"/>
          <w:szCs w:val="24"/>
        </w:rPr>
        <w:t xml:space="preserve">cautioned that the </w:t>
      </w:r>
      <w:r>
        <w:rPr>
          <w:rFonts w:ascii="Arial" w:hAnsi="Arial" w:cs="Arial"/>
          <w:color w:val="000000" w:themeColor="text1"/>
          <w:sz w:val="24"/>
          <w:szCs w:val="24"/>
        </w:rPr>
        <w:t xml:space="preserve">use of the </w:t>
      </w:r>
      <w:r w:rsidRPr="00D4540D">
        <w:rPr>
          <w:rFonts w:ascii="Arial" w:hAnsi="Arial" w:cs="Arial"/>
          <w:color w:val="000000" w:themeColor="text1"/>
          <w:sz w:val="24"/>
          <w:szCs w:val="24"/>
        </w:rPr>
        <w:t>word ‘guilt</w:t>
      </w:r>
      <w:r>
        <w:rPr>
          <w:rFonts w:ascii="Arial" w:hAnsi="Arial" w:cs="Arial"/>
          <w:color w:val="000000" w:themeColor="text1"/>
          <w:sz w:val="24"/>
          <w:szCs w:val="24"/>
        </w:rPr>
        <w:t>y</w:t>
      </w:r>
      <w:r w:rsidRPr="00D4540D">
        <w:rPr>
          <w:rFonts w:ascii="Arial" w:hAnsi="Arial" w:cs="Arial"/>
          <w:color w:val="000000" w:themeColor="text1"/>
          <w:sz w:val="24"/>
          <w:szCs w:val="24"/>
        </w:rPr>
        <w:t xml:space="preserve">’ </w:t>
      </w:r>
      <w:r>
        <w:rPr>
          <w:rFonts w:ascii="Arial" w:hAnsi="Arial" w:cs="Arial"/>
          <w:color w:val="000000" w:themeColor="text1"/>
          <w:sz w:val="24"/>
          <w:szCs w:val="24"/>
        </w:rPr>
        <w:t xml:space="preserve">in the above definition </w:t>
      </w:r>
      <w:r w:rsidRPr="00D4540D">
        <w:rPr>
          <w:rFonts w:ascii="Arial" w:hAnsi="Arial" w:cs="Arial"/>
          <w:color w:val="000000" w:themeColor="text1"/>
          <w:sz w:val="24"/>
          <w:szCs w:val="24"/>
        </w:rPr>
        <w:t>might be misleading. I</w:t>
      </w:r>
      <w:r>
        <w:rPr>
          <w:rFonts w:ascii="Arial" w:hAnsi="Arial" w:cs="Arial"/>
          <w:color w:val="000000" w:themeColor="text1"/>
          <w:sz w:val="24"/>
          <w:szCs w:val="24"/>
        </w:rPr>
        <w:t>n the Law Lord’s view, ‘belief in the person’s guilt’</w:t>
      </w:r>
      <w:r w:rsidRPr="00D4540D">
        <w:rPr>
          <w:rFonts w:ascii="Arial" w:hAnsi="Arial" w:cs="Arial"/>
          <w:color w:val="000000" w:themeColor="text1"/>
          <w:sz w:val="24"/>
          <w:szCs w:val="24"/>
        </w:rPr>
        <w:t xml:space="preserve"> </w:t>
      </w:r>
      <w:r>
        <w:rPr>
          <w:rFonts w:ascii="Arial" w:hAnsi="Arial" w:cs="Arial"/>
          <w:color w:val="000000" w:themeColor="text1"/>
          <w:sz w:val="24"/>
          <w:szCs w:val="24"/>
        </w:rPr>
        <w:t>implies</w:t>
      </w:r>
      <w:r w:rsidRPr="00D4540D">
        <w:rPr>
          <w:rFonts w:ascii="Arial" w:hAnsi="Arial" w:cs="Arial"/>
          <w:color w:val="000000" w:themeColor="text1"/>
          <w:sz w:val="24"/>
          <w:szCs w:val="24"/>
        </w:rPr>
        <w:t xml:space="preserve"> that in order to have a reasonable and probable cause, </w:t>
      </w:r>
      <w:r>
        <w:rPr>
          <w:rFonts w:ascii="Arial" w:hAnsi="Arial" w:cs="Arial"/>
          <w:color w:val="000000" w:themeColor="text1"/>
          <w:sz w:val="24"/>
          <w:szCs w:val="24"/>
        </w:rPr>
        <w:t xml:space="preserve">the person </w:t>
      </w:r>
      <w:r w:rsidRPr="00D4540D">
        <w:rPr>
          <w:rFonts w:ascii="Arial" w:hAnsi="Arial" w:cs="Arial"/>
          <w:color w:val="000000" w:themeColor="text1"/>
          <w:sz w:val="24"/>
          <w:szCs w:val="24"/>
        </w:rPr>
        <w:t xml:space="preserve">who brings a prosecution, must </w:t>
      </w:r>
      <w:r>
        <w:rPr>
          <w:rFonts w:ascii="Arial" w:hAnsi="Arial" w:cs="Arial"/>
          <w:color w:val="000000" w:themeColor="text1"/>
          <w:sz w:val="24"/>
          <w:szCs w:val="24"/>
        </w:rPr>
        <w:t xml:space="preserve">at his peril, </w:t>
      </w:r>
      <w:r w:rsidRPr="00D4540D">
        <w:rPr>
          <w:rFonts w:ascii="Arial" w:hAnsi="Arial" w:cs="Arial"/>
          <w:color w:val="000000" w:themeColor="text1"/>
          <w:sz w:val="24"/>
          <w:szCs w:val="24"/>
        </w:rPr>
        <w:t>be</w:t>
      </w:r>
      <w:r>
        <w:rPr>
          <w:rFonts w:ascii="Arial" w:hAnsi="Arial" w:cs="Arial"/>
          <w:color w:val="000000" w:themeColor="text1"/>
          <w:sz w:val="24"/>
          <w:szCs w:val="24"/>
        </w:rPr>
        <w:t xml:space="preserve"> sure of the </w:t>
      </w:r>
      <w:r w:rsidRPr="00D4540D">
        <w:rPr>
          <w:rFonts w:ascii="Arial" w:hAnsi="Arial" w:cs="Arial"/>
          <w:color w:val="000000" w:themeColor="text1"/>
          <w:sz w:val="24"/>
          <w:szCs w:val="24"/>
        </w:rPr>
        <w:t>guilt of the accused</w:t>
      </w:r>
      <w:r>
        <w:rPr>
          <w:rFonts w:ascii="Arial" w:hAnsi="Arial" w:cs="Arial"/>
          <w:color w:val="000000" w:themeColor="text1"/>
          <w:sz w:val="24"/>
          <w:szCs w:val="24"/>
        </w:rPr>
        <w:t>, as a jury (in the English system) or a trial judge (in our system) must before they convict</w:t>
      </w:r>
      <w:r w:rsidRPr="00D4540D">
        <w:rPr>
          <w:rFonts w:ascii="Arial" w:hAnsi="Arial" w:cs="Arial"/>
          <w:color w:val="000000" w:themeColor="text1"/>
          <w:sz w:val="24"/>
          <w:szCs w:val="24"/>
        </w:rPr>
        <w:t>. Whereas in truth</w:t>
      </w:r>
      <w:r w:rsidR="009825DE">
        <w:rPr>
          <w:rFonts w:ascii="Arial" w:hAnsi="Arial" w:cs="Arial"/>
          <w:color w:val="000000" w:themeColor="text1"/>
          <w:sz w:val="24"/>
          <w:szCs w:val="24"/>
        </w:rPr>
        <w:t xml:space="preserve"> what</w:t>
      </w:r>
      <w:r w:rsidRPr="00D4540D">
        <w:rPr>
          <w:rFonts w:ascii="Arial" w:hAnsi="Arial" w:cs="Arial"/>
          <w:color w:val="000000" w:themeColor="text1"/>
          <w:sz w:val="24"/>
          <w:szCs w:val="24"/>
        </w:rPr>
        <w:t xml:space="preserve"> </w:t>
      </w:r>
      <w:r>
        <w:rPr>
          <w:rFonts w:ascii="Arial" w:hAnsi="Arial" w:cs="Arial"/>
          <w:color w:val="000000" w:themeColor="text1"/>
          <w:sz w:val="24"/>
          <w:szCs w:val="24"/>
        </w:rPr>
        <w:t>the p</w:t>
      </w:r>
      <w:r w:rsidRPr="00D4540D">
        <w:rPr>
          <w:rFonts w:ascii="Arial" w:hAnsi="Arial" w:cs="Arial"/>
          <w:color w:val="000000" w:themeColor="text1"/>
          <w:sz w:val="24"/>
          <w:szCs w:val="24"/>
        </w:rPr>
        <w:t>e</w:t>
      </w:r>
      <w:r>
        <w:rPr>
          <w:rFonts w:ascii="Arial" w:hAnsi="Arial" w:cs="Arial"/>
          <w:color w:val="000000" w:themeColor="text1"/>
          <w:sz w:val="24"/>
          <w:szCs w:val="24"/>
        </w:rPr>
        <w:t xml:space="preserve">rson who brings the prosecution must do is satisfy </w:t>
      </w:r>
      <w:r w:rsidR="00230A43">
        <w:rPr>
          <w:rFonts w:ascii="Arial" w:hAnsi="Arial" w:cs="Arial"/>
          <w:color w:val="000000" w:themeColor="text1"/>
          <w:sz w:val="24"/>
          <w:szCs w:val="24"/>
        </w:rPr>
        <w:t>himself or herself</w:t>
      </w:r>
      <w:r>
        <w:rPr>
          <w:rFonts w:ascii="Arial" w:hAnsi="Arial" w:cs="Arial"/>
          <w:color w:val="000000" w:themeColor="text1"/>
          <w:sz w:val="24"/>
          <w:szCs w:val="24"/>
        </w:rPr>
        <w:t xml:space="preserve"> that ‘</w:t>
      </w:r>
      <w:r w:rsidRPr="00D4540D">
        <w:rPr>
          <w:rFonts w:ascii="Arial" w:hAnsi="Arial" w:cs="Arial"/>
          <w:color w:val="000000" w:themeColor="text1"/>
          <w:sz w:val="24"/>
          <w:szCs w:val="24"/>
        </w:rPr>
        <w:t>there is a proper case to lay before</w:t>
      </w:r>
      <w:r>
        <w:rPr>
          <w:rFonts w:ascii="Arial" w:hAnsi="Arial" w:cs="Arial"/>
          <w:color w:val="000000" w:themeColor="text1"/>
          <w:sz w:val="24"/>
          <w:szCs w:val="24"/>
        </w:rPr>
        <w:t>’</w:t>
      </w:r>
      <w:r w:rsidRPr="00D4540D">
        <w:rPr>
          <w:rFonts w:ascii="Arial" w:hAnsi="Arial" w:cs="Arial"/>
          <w:color w:val="000000" w:themeColor="text1"/>
          <w:sz w:val="24"/>
          <w:szCs w:val="24"/>
        </w:rPr>
        <w:t xml:space="preserve"> the court. </w:t>
      </w:r>
      <w:r>
        <w:rPr>
          <w:rFonts w:ascii="Arial" w:hAnsi="Arial" w:cs="Arial"/>
          <w:color w:val="000000" w:themeColor="text1"/>
          <w:sz w:val="24"/>
          <w:szCs w:val="24"/>
        </w:rPr>
        <w:t>After all, he or she can neither judge whether the witnesses are telling the truth nor can he know what defences the accused may set up. According to Lord Denning, t</w:t>
      </w:r>
      <w:r w:rsidRPr="00D4540D">
        <w:rPr>
          <w:rFonts w:ascii="Arial" w:hAnsi="Arial" w:cs="Arial"/>
          <w:color w:val="000000" w:themeColor="text1"/>
          <w:sz w:val="24"/>
          <w:szCs w:val="24"/>
        </w:rPr>
        <w:t xml:space="preserve">he determination </w:t>
      </w:r>
      <w:r>
        <w:rPr>
          <w:rFonts w:ascii="Arial" w:hAnsi="Arial" w:cs="Arial"/>
          <w:color w:val="000000" w:themeColor="text1"/>
          <w:sz w:val="24"/>
          <w:szCs w:val="24"/>
        </w:rPr>
        <w:t xml:space="preserve">of </w:t>
      </w:r>
      <w:r w:rsidRPr="00D4540D">
        <w:rPr>
          <w:rFonts w:ascii="Arial" w:hAnsi="Arial" w:cs="Arial"/>
          <w:color w:val="000000" w:themeColor="text1"/>
          <w:sz w:val="24"/>
          <w:szCs w:val="24"/>
        </w:rPr>
        <w:t xml:space="preserve">the guilt or innocence of the accused remains the duty of the </w:t>
      </w:r>
      <w:r>
        <w:rPr>
          <w:rFonts w:ascii="Arial" w:hAnsi="Arial" w:cs="Arial"/>
          <w:color w:val="000000" w:themeColor="text1"/>
          <w:sz w:val="24"/>
          <w:szCs w:val="24"/>
        </w:rPr>
        <w:t xml:space="preserve">trial </w:t>
      </w:r>
      <w:r w:rsidRPr="00D4540D">
        <w:rPr>
          <w:rFonts w:ascii="Arial" w:hAnsi="Arial" w:cs="Arial"/>
          <w:color w:val="000000" w:themeColor="text1"/>
          <w:sz w:val="24"/>
          <w:szCs w:val="24"/>
        </w:rPr>
        <w:t>court</w:t>
      </w:r>
      <w:r>
        <w:rPr>
          <w:rFonts w:ascii="Arial" w:hAnsi="Arial" w:cs="Arial"/>
          <w:color w:val="000000" w:themeColor="text1"/>
          <w:sz w:val="24"/>
          <w:szCs w:val="24"/>
        </w:rPr>
        <w:t>.</w:t>
      </w:r>
      <w:r>
        <w:rPr>
          <w:rStyle w:val="FootnoteReference"/>
          <w:rFonts w:ascii="Arial" w:hAnsi="Arial" w:cs="Arial"/>
          <w:color w:val="000000" w:themeColor="text1"/>
          <w:sz w:val="24"/>
          <w:szCs w:val="24"/>
        </w:rPr>
        <w:footnoteReference w:id="31"/>
      </w:r>
      <w:r w:rsidRPr="00D4540D">
        <w:rPr>
          <w:rFonts w:ascii="Arial" w:hAnsi="Arial" w:cs="Arial"/>
          <w:color w:val="000000" w:themeColor="text1"/>
          <w:sz w:val="24"/>
          <w:szCs w:val="24"/>
        </w:rPr>
        <w:t xml:space="preserve"> </w:t>
      </w:r>
      <w:r>
        <w:rPr>
          <w:rFonts w:ascii="Arial" w:hAnsi="Arial" w:cs="Arial"/>
          <w:color w:val="000000" w:themeColor="text1"/>
          <w:sz w:val="24"/>
          <w:szCs w:val="24"/>
        </w:rPr>
        <w:t xml:space="preserve"> </w:t>
      </w:r>
      <w:r w:rsidRPr="00D4540D">
        <w:rPr>
          <w:rFonts w:ascii="Arial" w:hAnsi="Arial" w:cs="Arial"/>
          <w:color w:val="000000" w:themeColor="text1"/>
          <w:sz w:val="24"/>
          <w:szCs w:val="24"/>
        </w:rPr>
        <w:t xml:space="preserve"> </w:t>
      </w:r>
    </w:p>
    <w:p w:rsidR="000B16E1" w:rsidRPr="00981A50" w:rsidRDefault="000B16E1" w:rsidP="00FA66E4">
      <w:pPr>
        <w:pStyle w:val="ListParagraph"/>
        <w:spacing w:after="0" w:line="480" w:lineRule="auto"/>
        <w:jc w:val="both"/>
        <w:rPr>
          <w:rFonts w:ascii="Arial" w:hAnsi="Arial" w:cs="Arial"/>
          <w:color w:val="000000" w:themeColor="text1"/>
          <w:sz w:val="24"/>
          <w:szCs w:val="24"/>
        </w:rPr>
      </w:pPr>
    </w:p>
    <w:p w:rsidR="000B16E1" w:rsidRPr="00FA66E4" w:rsidRDefault="000B16E1" w:rsidP="00356083">
      <w:pPr>
        <w:pStyle w:val="ListParagraph"/>
        <w:numPr>
          <w:ilvl w:val="0"/>
          <w:numId w:val="22"/>
        </w:numPr>
        <w:spacing w:after="0" w:line="480" w:lineRule="auto"/>
        <w:ind w:left="0" w:firstLine="0"/>
        <w:jc w:val="both"/>
        <w:rPr>
          <w:rFonts w:ascii="Arial" w:hAnsi="Arial" w:cs="Arial"/>
          <w:color w:val="000000" w:themeColor="text1"/>
          <w:sz w:val="24"/>
          <w:szCs w:val="24"/>
        </w:rPr>
      </w:pPr>
      <w:r w:rsidRPr="00981A50">
        <w:rPr>
          <w:rFonts w:ascii="Arial" w:hAnsi="Arial" w:cs="Arial"/>
          <w:color w:val="000000" w:themeColor="text1"/>
          <w:sz w:val="24"/>
          <w:szCs w:val="24"/>
        </w:rPr>
        <w:t xml:space="preserve">In </w:t>
      </w:r>
      <w:r w:rsidRPr="008C6D06">
        <w:rPr>
          <w:rFonts w:ascii="Arial" w:hAnsi="Arial" w:cs="Arial"/>
          <w:i/>
          <w:color w:val="000000" w:themeColor="text1"/>
          <w:sz w:val="24"/>
          <w:szCs w:val="24"/>
        </w:rPr>
        <w:t>Prinsloo and another v Newman</w:t>
      </w:r>
      <w:r w:rsidRPr="00335528">
        <w:rPr>
          <w:rStyle w:val="FootnoteReference"/>
          <w:rFonts w:ascii="Arial" w:hAnsi="Arial" w:cs="Arial"/>
          <w:color w:val="000000" w:themeColor="text1"/>
          <w:sz w:val="24"/>
          <w:szCs w:val="24"/>
        </w:rPr>
        <w:footnoteReference w:id="32"/>
      </w:r>
      <w:r w:rsidRPr="008C6D06">
        <w:rPr>
          <w:rFonts w:ascii="Arial" w:hAnsi="Arial" w:cs="Arial"/>
          <w:color w:val="000000" w:themeColor="text1"/>
          <w:sz w:val="24"/>
          <w:szCs w:val="24"/>
        </w:rPr>
        <w:t xml:space="preserve"> the South African Appellate Division held that</w:t>
      </w:r>
      <w:r>
        <w:rPr>
          <w:rFonts w:ascii="Arial" w:hAnsi="Arial" w:cs="Arial"/>
          <w:color w:val="000000" w:themeColor="text1"/>
          <w:sz w:val="24"/>
          <w:szCs w:val="24"/>
        </w:rPr>
        <w:t xml:space="preserve"> the concept of reasonable and probable cause involves both a subjective and an objective </w:t>
      </w:r>
      <w:r>
        <w:rPr>
          <w:rFonts w:ascii="Arial" w:hAnsi="Arial" w:cs="Arial"/>
          <w:color w:val="000000" w:themeColor="text1"/>
          <w:sz w:val="24"/>
          <w:szCs w:val="24"/>
        </w:rPr>
        <w:lastRenderedPageBreak/>
        <w:t>element.</w:t>
      </w:r>
      <w:r>
        <w:rPr>
          <w:rStyle w:val="FootnoteReference"/>
          <w:rFonts w:ascii="Arial" w:hAnsi="Arial" w:cs="Arial"/>
          <w:color w:val="000000" w:themeColor="text1"/>
          <w:sz w:val="24"/>
          <w:szCs w:val="24"/>
        </w:rPr>
        <w:footnoteReference w:id="33"/>
      </w:r>
      <w:r w:rsidRPr="00981A50">
        <w:rPr>
          <w:rFonts w:ascii="Arial" w:hAnsi="Arial" w:cs="Arial"/>
          <w:color w:val="000000" w:themeColor="text1"/>
          <w:sz w:val="24"/>
          <w:szCs w:val="24"/>
        </w:rPr>
        <w:t xml:space="preserve"> </w:t>
      </w:r>
      <w:r w:rsidRPr="00462751">
        <w:rPr>
          <w:rFonts w:ascii="Arial" w:hAnsi="Arial" w:cs="Arial"/>
          <w:color w:val="000000" w:themeColor="text1"/>
          <w:sz w:val="24"/>
          <w:szCs w:val="24"/>
        </w:rPr>
        <w:t xml:space="preserve">As an objective consideration, the defendant must have sufficient facts from which a reasonable person could have concluded that the plaintiff had committed the offence </w:t>
      </w:r>
      <w:r>
        <w:rPr>
          <w:rFonts w:ascii="Arial" w:hAnsi="Arial" w:cs="Arial"/>
          <w:color w:val="000000" w:themeColor="text1"/>
          <w:sz w:val="24"/>
          <w:szCs w:val="24"/>
        </w:rPr>
        <w:t xml:space="preserve">or crime </w:t>
      </w:r>
      <w:r w:rsidRPr="00462751">
        <w:rPr>
          <w:rFonts w:ascii="Arial" w:hAnsi="Arial" w:cs="Arial"/>
          <w:color w:val="000000" w:themeColor="text1"/>
          <w:sz w:val="24"/>
          <w:szCs w:val="24"/>
        </w:rPr>
        <w:t xml:space="preserve">charged. As to the subjective element, the </w:t>
      </w:r>
      <w:r w:rsidRPr="00462751">
        <w:rPr>
          <w:rFonts w:ascii="Arial" w:hAnsi="Arial" w:cs="Arial"/>
          <w:sz w:val="24"/>
          <w:szCs w:val="24"/>
        </w:rPr>
        <w:t>defendant must have subjectively held an honest belief in the guilt of the plaintiff. It accordingly follows that in a claim for malicious continuation of a prosecution on the facts and circumstances similar to those obtaining in this appeal, there has to be a finding as to the subjective state of mind of the prosecutor as well as an objective consideration</w:t>
      </w:r>
      <w:r w:rsidRPr="00FC18A8">
        <w:rPr>
          <w:rFonts w:ascii="Arial" w:hAnsi="Arial" w:cs="Arial"/>
          <w:sz w:val="24"/>
          <w:szCs w:val="24"/>
        </w:rPr>
        <w:t xml:space="preserve"> of the adequacy of the evidence available to him or her.</w:t>
      </w:r>
      <w:r>
        <w:rPr>
          <w:rFonts w:ascii="Arial" w:hAnsi="Arial" w:cs="Arial"/>
          <w:sz w:val="24"/>
          <w:szCs w:val="24"/>
        </w:rPr>
        <w:t xml:space="preserve"> </w:t>
      </w:r>
      <w:r>
        <w:rPr>
          <w:rFonts w:ascii="Tahoma" w:hAnsi="Tahoma" w:cs="Tahoma"/>
        </w:rPr>
        <w:t xml:space="preserve"> </w:t>
      </w:r>
      <w:r w:rsidRPr="009117F7">
        <w:rPr>
          <w:rFonts w:ascii="Arial" w:hAnsi="Arial" w:cs="Arial"/>
          <w:sz w:val="24"/>
          <w:szCs w:val="24"/>
        </w:rPr>
        <w:t xml:space="preserve">The court </w:t>
      </w:r>
      <w:r>
        <w:rPr>
          <w:rFonts w:ascii="Arial" w:hAnsi="Arial" w:cs="Arial"/>
          <w:sz w:val="24"/>
          <w:szCs w:val="24"/>
        </w:rPr>
        <w:t xml:space="preserve">in </w:t>
      </w:r>
      <w:r w:rsidRPr="00B54028">
        <w:rPr>
          <w:rFonts w:ascii="Arial" w:hAnsi="Arial" w:cs="Arial"/>
          <w:i/>
          <w:sz w:val="24"/>
          <w:szCs w:val="24"/>
        </w:rPr>
        <w:t>Prinsloo v Newman</w:t>
      </w:r>
      <w:r>
        <w:rPr>
          <w:rFonts w:ascii="Arial" w:hAnsi="Arial" w:cs="Arial"/>
          <w:sz w:val="24"/>
          <w:szCs w:val="24"/>
        </w:rPr>
        <w:t xml:space="preserve"> </w:t>
      </w:r>
      <w:r w:rsidRPr="009117F7">
        <w:rPr>
          <w:rFonts w:ascii="Arial" w:hAnsi="Arial" w:cs="Arial"/>
          <w:sz w:val="24"/>
          <w:szCs w:val="24"/>
        </w:rPr>
        <w:t xml:space="preserve">also </w:t>
      </w:r>
      <w:r w:rsidRPr="008C6D06">
        <w:rPr>
          <w:rFonts w:ascii="Arial" w:hAnsi="Arial" w:cs="Arial"/>
          <w:color w:val="000000" w:themeColor="text1"/>
          <w:sz w:val="24"/>
          <w:szCs w:val="24"/>
        </w:rPr>
        <w:t>held that a defendant will not be liable if there exist, objectively</w:t>
      </w:r>
      <w:r>
        <w:rPr>
          <w:rFonts w:ascii="Arial" w:hAnsi="Arial" w:cs="Arial"/>
          <w:color w:val="000000" w:themeColor="text1"/>
          <w:sz w:val="24"/>
          <w:szCs w:val="24"/>
        </w:rPr>
        <w:t xml:space="preserve"> speaking</w:t>
      </w:r>
      <w:r w:rsidRPr="008C6D06">
        <w:rPr>
          <w:rFonts w:ascii="Arial" w:hAnsi="Arial" w:cs="Arial"/>
          <w:color w:val="000000" w:themeColor="text1"/>
          <w:sz w:val="24"/>
          <w:szCs w:val="24"/>
        </w:rPr>
        <w:t>, reasonable grounds for the prosecution and he or she, subjectively believed in the plaintiff’s guilt. T</w:t>
      </w:r>
      <w:r w:rsidRPr="008C6D06">
        <w:rPr>
          <w:rFonts w:ascii="Arial" w:hAnsi="Arial" w:cs="Arial"/>
          <w:sz w:val="24"/>
          <w:szCs w:val="24"/>
        </w:rPr>
        <w:t>h</w:t>
      </w:r>
      <w:r>
        <w:rPr>
          <w:rFonts w:ascii="Arial" w:hAnsi="Arial" w:cs="Arial"/>
          <w:sz w:val="24"/>
          <w:szCs w:val="24"/>
        </w:rPr>
        <w:t>is approach was followed by the</w:t>
      </w:r>
      <w:r w:rsidRPr="008C6D06">
        <w:rPr>
          <w:rFonts w:ascii="Arial" w:hAnsi="Arial" w:cs="Arial"/>
          <w:sz w:val="24"/>
          <w:szCs w:val="24"/>
        </w:rPr>
        <w:t xml:space="preserve"> South African Supreme Court of Appeal in </w:t>
      </w:r>
      <w:r w:rsidRPr="008C6D06">
        <w:rPr>
          <w:rFonts w:ascii="Arial" w:hAnsi="Arial" w:cs="Arial"/>
          <w:i/>
          <w:sz w:val="24"/>
          <w:szCs w:val="24"/>
        </w:rPr>
        <w:t xml:space="preserve">Relyant Trading (Pty) Ltd v </w:t>
      </w:r>
      <w:r w:rsidRPr="002D2849">
        <w:rPr>
          <w:rFonts w:ascii="Arial" w:hAnsi="Arial" w:cs="Arial"/>
          <w:i/>
          <w:sz w:val="24"/>
          <w:szCs w:val="24"/>
        </w:rPr>
        <w:t>Shongwe</w:t>
      </w:r>
      <w:r w:rsidR="002D2849">
        <w:rPr>
          <w:rFonts w:ascii="Arial" w:hAnsi="Arial" w:cs="Arial"/>
          <w:sz w:val="24"/>
          <w:szCs w:val="24"/>
        </w:rPr>
        <w:t>.</w:t>
      </w:r>
      <w:r w:rsidRPr="00335528">
        <w:rPr>
          <w:rStyle w:val="FootnoteReference"/>
          <w:rFonts w:ascii="Arial" w:hAnsi="Arial" w:cs="Arial"/>
          <w:i/>
          <w:sz w:val="24"/>
          <w:szCs w:val="24"/>
        </w:rPr>
        <w:footnoteReference w:id="34"/>
      </w:r>
      <w:r w:rsidRPr="008C6D06">
        <w:rPr>
          <w:rFonts w:ascii="Arial" w:hAnsi="Arial" w:cs="Arial"/>
          <w:sz w:val="24"/>
          <w:szCs w:val="24"/>
        </w:rPr>
        <w:t xml:space="preserve"> </w:t>
      </w:r>
    </w:p>
    <w:p w:rsidR="00FA66E4" w:rsidRPr="00B54028" w:rsidRDefault="00FA66E4" w:rsidP="00FA66E4">
      <w:pPr>
        <w:pStyle w:val="ListParagraph"/>
        <w:spacing w:after="0" w:line="480" w:lineRule="auto"/>
        <w:ind w:left="0"/>
        <w:jc w:val="both"/>
        <w:rPr>
          <w:rFonts w:ascii="Arial" w:hAnsi="Arial" w:cs="Arial"/>
          <w:color w:val="000000" w:themeColor="text1"/>
          <w:sz w:val="24"/>
          <w:szCs w:val="24"/>
        </w:rPr>
      </w:pPr>
    </w:p>
    <w:p w:rsidR="000B16E1" w:rsidRDefault="000B16E1" w:rsidP="00356083">
      <w:pPr>
        <w:pStyle w:val="ListParagraph"/>
        <w:numPr>
          <w:ilvl w:val="0"/>
          <w:numId w:val="22"/>
        </w:numPr>
        <w:spacing w:after="0" w:line="480" w:lineRule="auto"/>
        <w:ind w:left="0" w:firstLine="0"/>
        <w:jc w:val="both"/>
        <w:rPr>
          <w:rFonts w:ascii="Arial" w:hAnsi="Arial" w:cs="Arial"/>
          <w:color w:val="000000" w:themeColor="text1"/>
          <w:sz w:val="24"/>
          <w:szCs w:val="24"/>
        </w:rPr>
      </w:pPr>
      <w:r w:rsidRPr="007C39F2">
        <w:rPr>
          <w:rFonts w:ascii="Arial" w:hAnsi="Arial" w:cs="Arial"/>
          <w:color w:val="000000" w:themeColor="text1"/>
          <w:sz w:val="24"/>
          <w:szCs w:val="24"/>
        </w:rPr>
        <w:t xml:space="preserve">As explained by Schreiner JA in </w:t>
      </w:r>
      <w:r w:rsidRPr="007C39F2">
        <w:rPr>
          <w:rFonts w:ascii="Arial" w:hAnsi="Arial" w:cs="Arial"/>
          <w:i/>
          <w:color w:val="000000" w:themeColor="text1"/>
          <w:sz w:val="24"/>
          <w:szCs w:val="24"/>
        </w:rPr>
        <w:t xml:space="preserve">Beckenstrater v Rottcher and </w:t>
      </w:r>
      <w:r w:rsidRPr="00607A6A">
        <w:rPr>
          <w:rFonts w:ascii="Arial" w:hAnsi="Arial" w:cs="Arial"/>
          <w:i/>
          <w:color w:val="000000" w:themeColor="text1"/>
          <w:sz w:val="24"/>
          <w:szCs w:val="24"/>
        </w:rPr>
        <w:t>another</w:t>
      </w:r>
      <w:r w:rsidR="0012456D">
        <w:rPr>
          <w:rFonts w:ascii="Arial" w:hAnsi="Arial" w:cs="Arial"/>
          <w:i/>
          <w:color w:val="000000" w:themeColor="text1"/>
          <w:sz w:val="24"/>
          <w:szCs w:val="24"/>
        </w:rPr>
        <w:t>,</w:t>
      </w:r>
      <w:r w:rsidRPr="004B6803">
        <w:rPr>
          <w:rStyle w:val="FootnoteReference"/>
          <w:rFonts w:ascii="Arial" w:hAnsi="Arial" w:cs="Arial"/>
          <w:color w:val="000000" w:themeColor="text1"/>
          <w:sz w:val="24"/>
          <w:szCs w:val="24"/>
        </w:rPr>
        <w:footnoteReference w:id="35"/>
      </w:r>
      <w:r w:rsidRPr="007C39F2">
        <w:rPr>
          <w:rFonts w:ascii="Arial" w:hAnsi="Arial" w:cs="Arial"/>
          <w:color w:val="000000" w:themeColor="text1"/>
          <w:sz w:val="24"/>
          <w:szCs w:val="24"/>
        </w:rPr>
        <w:t xml:space="preserve"> when it is alleged that a defendant had no reasonable </w:t>
      </w:r>
      <w:r>
        <w:rPr>
          <w:rFonts w:ascii="Arial" w:hAnsi="Arial" w:cs="Arial"/>
          <w:color w:val="000000" w:themeColor="text1"/>
          <w:sz w:val="24"/>
          <w:szCs w:val="24"/>
        </w:rPr>
        <w:t xml:space="preserve">and probable </w:t>
      </w:r>
      <w:r w:rsidRPr="007C39F2">
        <w:rPr>
          <w:rFonts w:ascii="Arial" w:hAnsi="Arial" w:cs="Arial"/>
          <w:color w:val="000000" w:themeColor="text1"/>
          <w:sz w:val="24"/>
          <w:szCs w:val="24"/>
        </w:rPr>
        <w:t xml:space="preserve">cause for prosecuting, </w:t>
      </w:r>
      <w:r>
        <w:rPr>
          <w:rFonts w:ascii="Arial" w:hAnsi="Arial" w:cs="Arial"/>
          <w:color w:val="000000" w:themeColor="text1"/>
          <w:sz w:val="24"/>
          <w:szCs w:val="24"/>
        </w:rPr>
        <w:t>i</w:t>
      </w:r>
      <w:r w:rsidRPr="007C39F2">
        <w:rPr>
          <w:rFonts w:ascii="Arial" w:hAnsi="Arial" w:cs="Arial"/>
          <w:color w:val="000000" w:themeColor="text1"/>
          <w:sz w:val="24"/>
          <w:szCs w:val="24"/>
        </w:rPr>
        <w:t xml:space="preserve">t means that </w:t>
      </w:r>
      <w:r>
        <w:rPr>
          <w:rFonts w:ascii="Arial" w:hAnsi="Arial" w:cs="Arial"/>
          <w:color w:val="000000" w:themeColor="text1"/>
          <w:sz w:val="24"/>
          <w:szCs w:val="24"/>
        </w:rPr>
        <w:t xml:space="preserve">he or she </w:t>
      </w:r>
      <w:r w:rsidRPr="007C39F2">
        <w:rPr>
          <w:rFonts w:ascii="Arial" w:hAnsi="Arial" w:cs="Arial"/>
          <w:color w:val="000000" w:themeColor="text1"/>
          <w:sz w:val="24"/>
          <w:szCs w:val="24"/>
        </w:rPr>
        <w:t xml:space="preserve">did not have such information as would lead a reasonable </w:t>
      </w:r>
      <w:r>
        <w:rPr>
          <w:rFonts w:ascii="Arial" w:hAnsi="Arial" w:cs="Arial"/>
          <w:color w:val="000000" w:themeColor="text1"/>
          <w:sz w:val="24"/>
          <w:szCs w:val="24"/>
        </w:rPr>
        <w:t>person</w:t>
      </w:r>
      <w:r w:rsidRPr="007C39F2">
        <w:rPr>
          <w:rFonts w:ascii="Arial" w:hAnsi="Arial" w:cs="Arial"/>
          <w:color w:val="000000" w:themeColor="text1"/>
          <w:sz w:val="24"/>
          <w:szCs w:val="24"/>
        </w:rPr>
        <w:t xml:space="preserve"> to conclude that the plaintiff had probably been guilty of the offence charged; if, despite </w:t>
      </w:r>
      <w:r>
        <w:rPr>
          <w:rFonts w:ascii="Arial" w:hAnsi="Arial" w:cs="Arial"/>
          <w:color w:val="000000" w:themeColor="text1"/>
          <w:sz w:val="24"/>
          <w:szCs w:val="24"/>
        </w:rPr>
        <w:t>being in possession of</w:t>
      </w:r>
      <w:r w:rsidRPr="007C39F2">
        <w:rPr>
          <w:rFonts w:ascii="Arial" w:hAnsi="Arial" w:cs="Arial"/>
          <w:color w:val="000000" w:themeColor="text1"/>
          <w:sz w:val="24"/>
          <w:szCs w:val="24"/>
        </w:rPr>
        <w:t xml:space="preserve"> such information, the defendant is shown </w:t>
      </w:r>
      <w:r>
        <w:rPr>
          <w:rFonts w:ascii="Arial" w:hAnsi="Arial" w:cs="Arial"/>
          <w:color w:val="000000" w:themeColor="text1"/>
          <w:sz w:val="24"/>
          <w:szCs w:val="24"/>
        </w:rPr>
        <w:t xml:space="preserve">to </w:t>
      </w:r>
      <w:r w:rsidRPr="007C39F2">
        <w:rPr>
          <w:rFonts w:ascii="Arial" w:hAnsi="Arial" w:cs="Arial"/>
          <w:color w:val="000000" w:themeColor="text1"/>
          <w:sz w:val="24"/>
          <w:szCs w:val="24"/>
        </w:rPr>
        <w:t xml:space="preserve">not have believed in the plaintiff's guilt, a subjective element comes into play and disproves the existence of </w:t>
      </w:r>
      <w:r>
        <w:rPr>
          <w:rFonts w:ascii="Arial" w:hAnsi="Arial" w:cs="Arial"/>
          <w:color w:val="000000" w:themeColor="text1"/>
          <w:sz w:val="24"/>
          <w:szCs w:val="24"/>
        </w:rPr>
        <w:t xml:space="preserve">a </w:t>
      </w:r>
      <w:r w:rsidRPr="007C39F2">
        <w:rPr>
          <w:rFonts w:ascii="Arial" w:hAnsi="Arial" w:cs="Arial"/>
          <w:color w:val="000000" w:themeColor="text1"/>
          <w:sz w:val="24"/>
          <w:szCs w:val="24"/>
        </w:rPr>
        <w:t>reasonable and probable cause</w:t>
      </w:r>
      <w:r>
        <w:rPr>
          <w:rFonts w:ascii="Arial" w:hAnsi="Arial" w:cs="Arial"/>
          <w:color w:val="000000" w:themeColor="text1"/>
          <w:sz w:val="24"/>
          <w:szCs w:val="24"/>
        </w:rPr>
        <w:t xml:space="preserve"> on the part of the defendant</w:t>
      </w:r>
      <w:r w:rsidRPr="007C39F2">
        <w:rPr>
          <w:rFonts w:ascii="Arial" w:hAnsi="Arial" w:cs="Arial"/>
          <w:color w:val="000000" w:themeColor="text1"/>
          <w:sz w:val="24"/>
          <w:szCs w:val="24"/>
        </w:rPr>
        <w:t xml:space="preserve">. </w:t>
      </w:r>
    </w:p>
    <w:p w:rsidR="000B16E1" w:rsidRPr="00B54028" w:rsidRDefault="000B16E1" w:rsidP="000B16E1">
      <w:pPr>
        <w:pStyle w:val="ListParagraph"/>
        <w:rPr>
          <w:rFonts w:ascii="Arial" w:hAnsi="Arial" w:cs="Arial"/>
          <w:color w:val="000000" w:themeColor="text1"/>
          <w:sz w:val="24"/>
          <w:szCs w:val="24"/>
        </w:rPr>
      </w:pPr>
    </w:p>
    <w:p w:rsidR="000B16E1" w:rsidRDefault="000B16E1" w:rsidP="00356083">
      <w:pPr>
        <w:pStyle w:val="ListParagraph"/>
        <w:numPr>
          <w:ilvl w:val="0"/>
          <w:numId w:val="22"/>
        </w:numPr>
        <w:spacing w:after="0" w:line="480" w:lineRule="auto"/>
        <w:ind w:left="0" w:firstLine="0"/>
        <w:jc w:val="both"/>
        <w:rPr>
          <w:rFonts w:ascii="Arial" w:hAnsi="Arial" w:cs="Arial"/>
          <w:color w:val="000000" w:themeColor="text1"/>
          <w:sz w:val="24"/>
          <w:szCs w:val="24"/>
        </w:rPr>
      </w:pPr>
      <w:r w:rsidRPr="008C6D06">
        <w:rPr>
          <w:rFonts w:ascii="Arial" w:hAnsi="Arial" w:cs="Arial"/>
          <w:color w:val="000000" w:themeColor="text1"/>
          <w:sz w:val="24"/>
          <w:szCs w:val="24"/>
        </w:rPr>
        <w:lastRenderedPageBreak/>
        <w:t xml:space="preserve">Hawkins J </w:t>
      </w:r>
      <w:r>
        <w:rPr>
          <w:rFonts w:ascii="Arial" w:hAnsi="Arial" w:cs="Arial"/>
          <w:color w:val="000000" w:themeColor="text1"/>
          <w:sz w:val="24"/>
          <w:szCs w:val="24"/>
        </w:rPr>
        <w:t xml:space="preserve">pointed out </w:t>
      </w:r>
      <w:r w:rsidRPr="008C6D06">
        <w:rPr>
          <w:rFonts w:ascii="Arial" w:hAnsi="Arial" w:cs="Arial"/>
          <w:color w:val="000000" w:themeColor="text1"/>
          <w:sz w:val="24"/>
          <w:szCs w:val="24"/>
        </w:rPr>
        <w:t xml:space="preserve">in </w:t>
      </w:r>
      <w:r w:rsidRPr="008C6D06">
        <w:rPr>
          <w:rFonts w:ascii="Arial" w:hAnsi="Arial" w:cs="Arial"/>
          <w:i/>
          <w:color w:val="000000" w:themeColor="text1"/>
          <w:sz w:val="24"/>
          <w:szCs w:val="24"/>
        </w:rPr>
        <w:t>Hicks</w:t>
      </w:r>
      <w:r>
        <w:rPr>
          <w:rFonts w:ascii="Arial" w:hAnsi="Arial" w:cs="Arial"/>
          <w:i/>
          <w:color w:val="000000" w:themeColor="text1"/>
          <w:sz w:val="24"/>
          <w:szCs w:val="24"/>
        </w:rPr>
        <w:t xml:space="preserve"> v Faulkner</w:t>
      </w:r>
      <w:r>
        <w:rPr>
          <w:rFonts w:ascii="Arial" w:hAnsi="Arial" w:cs="Arial"/>
          <w:color w:val="000000" w:themeColor="text1"/>
          <w:sz w:val="24"/>
          <w:szCs w:val="24"/>
        </w:rPr>
        <w:t xml:space="preserve"> above,</w:t>
      </w:r>
      <w:r w:rsidRPr="008C6D06">
        <w:rPr>
          <w:rFonts w:ascii="Arial" w:hAnsi="Arial" w:cs="Arial"/>
          <w:color w:val="000000" w:themeColor="text1"/>
          <w:sz w:val="24"/>
          <w:szCs w:val="24"/>
        </w:rPr>
        <w:t xml:space="preserve"> </w:t>
      </w:r>
      <w:r w:rsidR="002D2849">
        <w:rPr>
          <w:rFonts w:ascii="Arial" w:hAnsi="Arial" w:cs="Arial"/>
          <w:color w:val="000000" w:themeColor="text1"/>
          <w:sz w:val="24"/>
          <w:szCs w:val="24"/>
        </w:rPr>
        <w:t xml:space="preserve">that </w:t>
      </w:r>
      <w:r w:rsidRPr="008C6D06">
        <w:rPr>
          <w:rFonts w:ascii="Arial" w:hAnsi="Arial" w:cs="Arial"/>
          <w:color w:val="000000" w:themeColor="text1"/>
          <w:sz w:val="24"/>
          <w:szCs w:val="24"/>
        </w:rPr>
        <w:t xml:space="preserve">the question of reasonable and probable cause depends not upon the actual existence, but upon the reasonable </w:t>
      </w:r>
      <w:r w:rsidRPr="008C6D06">
        <w:rPr>
          <w:rFonts w:ascii="Arial" w:hAnsi="Arial" w:cs="Arial"/>
          <w:i/>
          <w:color w:val="000000" w:themeColor="text1"/>
          <w:sz w:val="24"/>
          <w:szCs w:val="24"/>
        </w:rPr>
        <w:t>bona fide</w:t>
      </w:r>
      <w:r w:rsidRPr="008C6D06">
        <w:rPr>
          <w:rFonts w:ascii="Arial" w:hAnsi="Arial" w:cs="Arial"/>
          <w:color w:val="000000" w:themeColor="text1"/>
          <w:sz w:val="24"/>
          <w:szCs w:val="24"/>
        </w:rPr>
        <w:t xml:space="preserve"> belief in the existence of such state of things as would amount to a justification of the course pursued in the making </w:t>
      </w:r>
      <w:r>
        <w:rPr>
          <w:rFonts w:ascii="Arial" w:hAnsi="Arial" w:cs="Arial"/>
          <w:color w:val="000000" w:themeColor="text1"/>
          <w:sz w:val="24"/>
          <w:szCs w:val="24"/>
        </w:rPr>
        <w:t xml:space="preserve">of </w:t>
      </w:r>
      <w:r w:rsidRPr="008C6D06">
        <w:rPr>
          <w:rFonts w:ascii="Arial" w:hAnsi="Arial" w:cs="Arial"/>
          <w:color w:val="000000" w:themeColor="text1"/>
          <w:sz w:val="24"/>
          <w:szCs w:val="24"/>
        </w:rPr>
        <w:t xml:space="preserve">the </w:t>
      </w:r>
      <w:r>
        <w:rPr>
          <w:rFonts w:ascii="Arial" w:hAnsi="Arial" w:cs="Arial"/>
          <w:color w:val="000000" w:themeColor="text1"/>
          <w:sz w:val="24"/>
          <w:szCs w:val="24"/>
        </w:rPr>
        <w:t>allegation</w:t>
      </w:r>
      <w:r w:rsidRPr="008C6D06">
        <w:rPr>
          <w:rFonts w:ascii="Arial" w:hAnsi="Arial" w:cs="Arial"/>
          <w:color w:val="000000" w:themeColor="text1"/>
          <w:sz w:val="24"/>
          <w:szCs w:val="24"/>
        </w:rPr>
        <w:t xml:space="preserve"> complained of.</w:t>
      </w:r>
      <w:r>
        <w:rPr>
          <w:rStyle w:val="FootnoteReference"/>
          <w:rFonts w:ascii="Arial" w:hAnsi="Arial" w:cs="Arial"/>
          <w:color w:val="000000" w:themeColor="text1"/>
          <w:sz w:val="24"/>
          <w:szCs w:val="24"/>
        </w:rPr>
        <w:footnoteReference w:id="36"/>
      </w:r>
      <w:r w:rsidRPr="008C6D06">
        <w:rPr>
          <w:rFonts w:ascii="Arial" w:hAnsi="Arial" w:cs="Arial"/>
          <w:color w:val="000000" w:themeColor="text1"/>
          <w:sz w:val="24"/>
          <w:szCs w:val="24"/>
        </w:rPr>
        <w:t xml:space="preserve"> The learned judge was thus of the view that when applying the objective and subjective test</w:t>
      </w:r>
      <w:r>
        <w:rPr>
          <w:rFonts w:ascii="Arial" w:hAnsi="Arial" w:cs="Arial"/>
          <w:color w:val="000000" w:themeColor="text1"/>
          <w:sz w:val="24"/>
          <w:szCs w:val="24"/>
        </w:rPr>
        <w:t>s</w:t>
      </w:r>
      <w:r w:rsidRPr="008C6D06">
        <w:rPr>
          <w:rFonts w:ascii="Arial" w:hAnsi="Arial" w:cs="Arial"/>
          <w:color w:val="000000" w:themeColor="text1"/>
          <w:sz w:val="24"/>
          <w:szCs w:val="24"/>
        </w:rPr>
        <w:t xml:space="preserve">, sight should not be lost </w:t>
      </w:r>
      <w:r>
        <w:rPr>
          <w:rFonts w:ascii="Arial" w:hAnsi="Arial" w:cs="Arial"/>
          <w:color w:val="000000" w:themeColor="text1"/>
          <w:sz w:val="24"/>
          <w:szCs w:val="24"/>
        </w:rPr>
        <w:t>of</w:t>
      </w:r>
      <w:r w:rsidRPr="008C6D06">
        <w:rPr>
          <w:rFonts w:ascii="Arial" w:hAnsi="Arial" w:cs="Arial"/>
          <w:color w:val="000000" w:themeColor="text1"/>
          <w:sz w:val="24"/>
          <w:szCs w:val="24"/>
        </w:rPr>
        <w:t xml:space="preserve"> the distinction drawn between the facts required to establish the </w:t>
      </w:r>
      <w:r w:rsidRPr="008917EE">
        <w:rPr>
          <w:rFonts w:ascii="Arial" w:hAnsi="Arial" w:cs="Arial"/>
          <w:i/>
          <w:color w:val="000000" w:themeColor="text1"/>
          <w:sz w:val="24"/>
          <w:szCs w:val="24"/>
        </w:rPr>
        <w:t>actual</w:t>
      </w:r>
      <w:r w:rsidRPr="008C6D06">
        <w:rPr>
          <w:rFonts w:ascii="Arial" w:hAnsi="Arial" w:cs="Arial"/>
          <w:color w:val="000000" w:themeColor="text1"/>
          <w:sz w:val="24"/>
          <w:szCs w:val="24"/>
        </w:rPr>
        <w:t xml:space="preserve"> </w:t>
      </w:r>
      <w:r w:rsidRPr="008917EE">
        <w:rPr>
          <w:rFonts w:ascii="Arial" w:hAnsi="Arial" w:cs="Arial"/>
          <w:i/>
          <w:color w:val="000000" w:themeColor="text1"/>
          <w:sz w:val="24"/>
          <w:szCs w:val="24"/>
        </w:rPr>
        <w:t>guilt</w:t>
      </w:r>
      <w:r w:rsidRPr="008C6D06">
        <w:rPr>
          <w:rFonts w:ascii="Arial" w:hAnsi="Arial" w:cs="Arial"/>
          <w:color w:val="000000" w:themeColor="text1"/>
          <w:sz w:val="24"/>
          <w:szCs w:val="24"/>
        </w:rPr>
        <w:t xml:space="preserve"> </w:t>
      </w:r>
      <w:r>
        <w:rPr>
          <w:rFonts w:ascii="Arial" w:hAnsi="Arial" w:cs="Arial"/>
          <w:color w:val="000000" w:themeColor="text1"/>
          <w:sz w:val="24"/>
          <w:szCs w:val="24"/>
        </w:rPr>
        <w:t xml:space="preserve">of the </w:t>
      </w:r>
      <w:r w:rsidRPr="008C6D06">
        <w:rPr>
          <w:rFonts w:ascii="Arial" w:hAnsi="Arial" w:cs="Arial"/>
          <w:color w:val="000000" w:themeColor="text1"/>
          <w:sz w:val="24"/>
          <w:szCs w:val="24"/>
        </w:rPr>
        <w:t xml:space="preserve">plaintiff and those required to establish a reasonable </w:t>
      </w:r>
      <w:r w:rsidRPr="008C6D06">
        <w:rPr>
          <w:rFonts w:ascii="Arial" w:hAnsi="Arial" w:cs="Arial"/>
          <w:i/>
          <w:color w:val="000000" w:themeColor="text1"/>
          <w:sz w:val="24"/>
          <w:szCs w:val="24"/>
        </w:rPr>
        <w:t>bona fide</w:t>
      </w:r>
      <w:r w:rsidRPr="008C6D06">
        <w:rPr>
          <w:rFonts w:ascii="Arial" w:hAnsi="Arial" w:cs="Arial"/>
          <w:color w:val="000000" w:themeColor="text1"/>
          <w:sz w:val="24"/>
          <w:szCs w:val="24"/>
        </w:rPr>
        <w:t xml:space="preserve"> </w:t>
      </w:r>
      <w:r w:rsidRPr="008917EE">
        <w:rPr>
          <w:rFonts w:ascii="Arial" w:hAnsi="Arial" w:cs="Arial"/>
          <w:i/>
          <w:color w:val="000000" w:themeColor="text1"/>
          <w:sz w:val="24"/>
          <w:szCs w:val="24"/>
        </w:rPr>
        <w:t xml:space="preserve">belief in the guilt </w:t>
      </w:r>
      <w:r w:rsidRPr="008C6D06">
        <w:rPr>
          <w:rFonts w:ascii="Arial" w:hAnsi="Arial" w:cs="Arial"/>
          <w:color w:val="000000" w:themeColor="text1"/>
          <w:sz w:val="24"/>
          <w:szCs w:val="24"/>
        </w:rPr>
        <w:t>of the plaintiff, as many facts admissible to prove the latter would be wholly inadmissible to prove the former.</w:t>
      </w:r>
      <w:r>
        <w:rPr>
          <w:rStyle w:val="FootnoteReference"/>
          <w:rFonts w:ascii="Arial" w:hAnsi="Arial" w:cs="Arial"/>
          <w:color w:val="000000" w:themeColor="text1"/>
          <w:sz w:val="24"/>
          <w:szCs w:val="24"/>
        </w:rPr>
        <w:footnoteReference w:id="37"/>
      </w:r>
      <w:r w:rsidRPr="008C6D06">
        <w:rPr>
          <w:rFonts w:ascii="Arial" w:hAnsi="Arial" w:cs="Arial"/>
          <w:color w:val="000000" w:themeColor="text1"/>
          <w:sz w:val="24"/>
          <w:szCs w:val="24"/>
        </w:rPr>
        <w:t xml:space="preserve"> </w:t>
      </w:r>
      <w:r>
        <w:rPr>
          <w:rFonts w:ascii="Arial" w:hAnsi="Arial" w:cs="Arial"/>
          <w:color w:val="000000" w:themeColor="text1"/>
          <w:sz w:val="24"/>
          <w:szCs w:val="24"/>
        </w:rPr>
        <w:t xml:space="preserve">This is an important distinction that the court </w:t>
      </w:r>
      <w:r w:rsidRPr="008917EE">
        <w:rPr>
          <w:rFonts w:ascii="Arial" w:hAnsi="Arial" w:cs="Arial"/>
          <w:i/>
          <w:color w:val="000000" w:themeColor="text1"/>
          <w:sz w:val="24"/>
          <w:szCs w:val="24"/>
        </w:rPr>
        <w:t>a quo</w:t>
      </w:r>
      <w:r>
        <w:rPr>
          <w:rFonts w:ascii="Arial" w:hAnsi="Arial" w:cs="Arial"/>
          <w:color w:val="000000" w:themeColor="text1"/>
          <w:sz w:val="24"/>
          <w:szCs w:val="24"/>
        </w:rPr>
        <w:t xml:space="preserve"> appears to have overlooked. As a consequence of this error, the court below impermissibly adopted an </w:t>
      </w:r>
      <w:r w:rsidRPr="00163E94">
        <w:rPr>
          <w:rFonts w:ascii="Arial" w:hAnsi="Arial" w:cs="Arial"/>
          <w:color w:val="000000" w:themeColor="text1"/>
          <w:sz w:val="24"/>
          <w:szCs w:val="24"/>
        </w:rPr>
        <w:t>approach of conducting an analysis of the evidence proffered against the respondent as if it was evaluating the evidence in a criminal trial</w:t>
      </w:r>
      <w:r>
        <w:rPr>
          <w:rFonts w:ascii="Arial" w:hAnsi="Arial" w:cs="Arial"/>
          <w:color w:val="000000" w:themeColor="text1"/>
          <w:sz w:val="24"/>
          <w:szCs w:val="24"/>
        </w:rPr>
        <w:t>.</w:t>
      </w:r>
      <w:r w:rsidRPr="008C6D06">
        <w:rPr>
          <w:rFonts w:ascii="Arial" w:hAnsi="Arial" w:cs="Arial"/>
          <w:color w:val="000000" w:themeColor="text1"/>
          <w:sz w:val="24"/>
          <w:szCs w:val="24"/>
        </w:rPr>
        <w:t xml:space="preserve"> </w:t>
      </w:r>
    </w:p>
    <w:p w:rsidR="000B16E1" w:rsidRPr="00F61154" w:rsidRDefault="000B16E1" w:rsidP="00FA66E4">
      <w:pPr>
        <w:pStyle w:val="ListParagraph"/>
        <w:spacing w:after="0" w:line="480" w:lineRule="auto"/>
        <w:jc w:val="both"/>
        <w:rPr>
          <w:rFonts w:ascii="Arial" w:hAnsi="Arial" w:cs="Arial"/>
          <w:color w:val="000000" w:themeColor="text1"/>
          <w:sz w:val="24"/>
          <w:szCs w:val="24"/>
        </w:rPr>
      </w:pPr>
    </w:p>
    <w:p w:rsidR="000B16E1" w:rsidRPr="00F61154" w:rsidRDefault="000B16E1" w:rsidP="00356083">
      <w:pPr>
        <w:pStyle w:val="ListParagraph"/>
        <w:numPr>
          <w:ilvl w:val="0"/>
          <w:numId w:val="22"/>
        </w:numPr>
        <w:spacing w:after="0" w:line="480" w:lineRule="auto"/>
        <w:ind w:left="0" w:firstLine="0"/>
        <w:jc w:val="both"/>
        <w:rPr>
          <w:rFonts w:ascii="Arial" w:hAnsi="Arial" w:cs="Arial"/>
          <w:color w:val="000000" w:themeColor="text1"/>
          <w:sz w:val="24"/>
          <w:szCs w:val="24"/>
        </w:rPr>
      </w:pPr>
      <w:r w:rsidRPr="00F15D8B">
        <w:rPr>
          <w:rFonts w:ascii="Arial" w:hAnsi="Arial" w:cs="Arial"/>
          <w:color w:val="000000" w:themeColor="text1"/>
          <w:sz w:val="24"/>
          <w:szCs w:val="24"/>
        </w:rPr>
        <w:t>Accordingly</w:t>
      </w:r>
      <w:r>
        <w:rPr>
          <w:rFonts w:ascii="Arial" w:hAnsi="Arial" w:cs="Arial"/>
          <w:color w:val="000000" w:themeColor="text1"/>
          <w:sz w:val="24"/>
          <w:szCs w:val="24"/>
        </w:rPr>
        <w:t xml:space="preserve">, </w:t>
      </w:r>
      <w:r w:rsidRPr="00F61154">
        <w:rPr>
          <w:rFonts w:ascii="Arial" w:hAnsi="Arial" w:cs="Arial"/>
          <w:color w:val="000000" w:themeColor="text1"/>
          <w:sz w:val="24"/>
          <w:szCs w:val="24"/>
        </w:rPr>
        <w:t xml:space="preserve">the </w:t>
      </w:r>
      <w:r>
        <w:rPr>
          <w:rFonts w:ascii="Arial" w:hAnsi="Arial" w:cs="Arial"/>
          <w:color w:val="000000" w:themeColor="text1"/>
          <w:sz w:val="24"/>
          <w:szCs w:val="24"/>
        </w:rPr>
        <w:t xml:space="preserve">court </w:t>
      </w:r>
      <w:r w:rsidRPr="00DA74A6">
        <w:rPr>
          <w:rFonts w:ascii="Arial" w:hAnsi="Arial" w:cs="Arial"/>
          <w:i/>
          <w:color w:val="000000" w:themeColor="text1"/>
          <w:sz w:val="24"/>
          <w:szCs w:val="24"/>
        </w:rPr>
        <w:t xml:space="preserve">a quo </w:t>
      </w:r>
      <w:r>
        <w:rPr>
          <w:rFonts w:ascii="Arial" w:hAnsi="Arial" w:cs="Arial"/>
          <w:color w:val="000000" w:themeColor="text1"/>
          <w:sz w:val="24"/>
          <w:szCs w:val="24"/>
        </w:rPr>
        <w:t>held</w:t>
      </w:r>
      <w:r w:rsidRPr="00F61154">
        <w:rPr>
          <w:rFonts w:ascii="Arial" w:hAnsi="Arial" w:cs="Arial"/>
          <w:color w:val="000000" w:themeColor="text1"/>
          <w:sz w:val="24"/>
          <w:szCs w:val="24"/>
        </w:rPr>
        <w:t xml:space="preserve"> that </w:t>
      </w:r>
      <w:r w:rsidRPr="00D955EB">
        <w:rPr>
          <w:rFonts w:ascii="Arial" w:eastAsia="Times New Roman" w:hAnsi="Arial" w:cs="Arial"/>
          <w:sz w:val="24"/>
          <w:szCs w:val="24"/>
          <w:lang w:eastAsia="en-ZA"/>
        </w:rPr>
        <w:t xml:space="preserve">the </w:t>
      </w:r>
      <w:r>
        <w:rPr>
          <w:rFonts w:ascii="Arial" w:eastAsia="Times New Roman" w:hAnsi="Arial" w:cs="Arial"/>
          <w:sz w:val="24"/>
          <w:szCs w:val="24"/>
          <w:lang w:eastAsia="en-ZA"/>
        </w:rPr>
        <w:t xml:space="preserve">PG and Mr July </w:t>
      </w:r>
      <w:r w:rsidRPr="00D955EB">
        <w:rPr>
          <w:rFonts w:ascii="Arial" w:eastAsia="Times New Roman" w:hAnsi="Arial" w:cs="Arial"/>
          <w:sz w:val="24"/>
          <w:szCs w:val="24"/>
          <w:lang w:eastAsia="en-ZA"/>
        </w:rPr>
        <w:t>lacked reasonable and probable cause to continue with the prosecution from November 201</w:t>
      </w:r>
      <w:r>
        <w:rPr>
          <w:rFonts w:ascii="Arial" w:eastAsia="Times New Roman" w:hAnsi="Arial" w:cs="Arial"/>
          <w:sz w:val="24"/>
          <w:szCs w:val="24"/>
          <w:lang w:eastAsia="en-ZA"/>
        </w:rPr>
        <w:t xml:space="preserve">1. </w:t>
      </w:r>
      <w:r w:rsidRPr="00F61154">
        <w:rPr>
          <w:rFonts w:ascii="Arial" w:hAnsi="Arial" w:cs="Arial"/>
          <w:color w:val="000000" w:themeColor="text1"/>
          <w:sz w:val="24"/>
          <w:szCs w:val="24"/>
        </w:rPr>
        <w:t xml:space="preserve">The </w:t>
      </w:r>
      <w:r>
        <w:rPr>
          <w:rFonts w:ascii="Arial" w:hAnsi="Arial" w:cs="Arial"/>
          <w:color w:val="000000" w:themeColor="text1"/>
          <w:sz w:val="24"/>
          <w:szCs w:val="24"/>
        </w:rPr>
        <w:t>lack of reasonable and probable cause a</w:t>
      </w:r>
      <w:r w:rsidR="0012456D">
        <w:rPr>
          <w:rFonts w:ascii="Arial" w:hAnsi="Arial" w:cs="Arial"/>
          <w:color w:val="000000" w:themeColor="text1"/>
          <w:sz w:val="24"/>
          <w:szCs w:val="24"/>
        </w:rPr>
        <w:t>ttributed</w:t>
      </w:r>
      <w:r w:rsidRPr="00F61154">
        <w:rPr>
          <w:rFonts w:ascii="Arial" w:hAnsi="Arial" w:cs="Arial"/>
          <w:color w:val="000000" w:themeColor="text1"/>
          <w:sz w:val="24"/>
          <w:szCs w:val="24"/>
        </w:rPr>
        <w:t xml:space="preserve"> to </w:t>
      </w:r>
      <w:r>
        <w:rPr>
          <w:rFonts w:ascii="Arial" w:hAnsi="Arial" w:cs="Arial"/>
          <w:color w:val="000000" w:themeColor="text1"/>
          <w:sz w:val="24"/>
          <w:szCs w:val="24"/>
        </w:rPr>
        <w:t xml:space="preserve">the PG and Mr July </w:t>
      </w:r>
      <w:r w:rsidRPr="00F61154">
        <w:rPr>
          <w:rFonts w:ascii="Arial" w:hAnsi="Arial" w:cs="Arial"/>
          <w:color w:val="000000" w:themeColor="text1"/>
          <w:sz w:val="24"/>
          <w:szCs w:val="24"/>
        </w:rPr>
        <w:t>appears from the following passage</w:t>
      </w:r>
      <w:r>
        <w:rPr>
          <w:rFonts w:ascii="Arial" w:hAnsi="Arial" w:cs="Arial"/>
          <w:color w:val="000000" w:themeColor="text1"/>
          <w:sz w:val="24"/>
          <w:szCs w:val="24"/>
        </w:rPr>
        <w:t>s</w:t>
      </w:r>
      <w:r w:rsidRPr="00F61154">
        <w:rPr>
          <w:rFonts w:ascii="Arial" w:hAnsi="Arial" w:cs="Arial"/>
          <w:color w:val="000000" w:themeColor="text1"/>
          <w:sz w:val="24"/>
          <w:szCs w:val="24"/>
        </w:rPr>
        <w:t xml:space="preserve"> in the judgment </w:t>
      </w:r>
      <w:r>
        <w:rPr>
          <w:rFonts w:ascii="Arial" w:hAnsi="Arial" w:cs="Arial"/>
          <w:color w:val="000000" w:themeColor="text1"/>
          <w:sz w:val="24"/>
          <w:szCs w:val="24"/>
        </w:rPr>
        <w:t xml:space="preserve"> of the High Court:</w:t>
      </w:r>
    </w:p>
    <w:p w:rsidR="000B16E1" w:rsidRDefault="000B16E1" w:rsidP="00FA66E4">
      <w:pPr>
        <w:spacing w:after="0" w:line="480" w:lineRule="auto"/>
        <w:ind w:left="720"/>
        <w:jc w:val="both"/>
        <w:rPr>
          <w:rFonts w:ascii="Arial" w:eastAsia="Times New Roman" w:hAnsi="Arial" w:cs="Arial"/>
          <w:lang w:eastAsia="en-ZA"/>
        </w:rPr>
      </w:pPr>
    </w:p>
    <w:p w:rsidR="000B16E1" w:rsidRPr="007F5AC7" w:rsidRDefault="000B16E1" w:rsidP="002E7459">
      <w:pPr>
        <w:spacing w:after="0" w:line="360" w:lineRule="auto"/>
        <w:ind w:left="720"/>
        <w:jc w:val="both"/>
        <w:rPr>
          <w:rFonts w:ascii="Arial" w:eastAsia="Times New Roman" w:hAnsi="Arial" w:cs="Arial"/>
          <w:lang w:eastAsia="en-ZA"/>
        </w:rPr>
      </w:pPr>
      <w:r>
        <w:rPr>
          <w:rFonts w:ascii="Arial" w:eastAsia="Times New Roman" w:hAnsi="Arial" w:cs="Arial"/>
          <w:lang w:eastAsia="en-ZA"/>
        </w:rPr>
        <w:t>‘[197]</w:t>
      </w:r>
      <w:r>
        <w:rPr>
          <w:rFonts w:ascii="Arial" w:eastAsia="Times New Roman" w:hAnsi="Arial" w:cs="Arial"/>
          <w:lang w:eastAsia="en-ZA"/>
        </w:rPr>
        <w:tab/>
      </w:r>
      <w:r w:rsidRPr="007F5AC7">
        <w:rPr>
          <w:rFonts w:ascii="Arial" w:eastAsia="Times New Roman" w:hAnsi="Arial" w:cs="Arial"/>
          <w:lang w:eastAsia="en-ZA"/>
        </w:rPr>
        <w:t>I am persuaded on the balance of probabilities that the defendant lacked reasonable and probable cause to continue with the prosecution from November 2010</w:t>
      </w:r>
      <w:r w:rsidR="00826766">
        <w:rPr>
          <w:rStyle w:val="FootnoteReference"/>
          <w:rFonts w:ascii="Arial" w:eastAsia="Times New Roman" w:hAnsi="Arial" w:cs="Arial"/>
          <w:lang w:eastAsia="en-ZA"/>
        </w:rPr>
        <w:footnoteReference w:id="38"/>
      </w:r>
      <w:r w:rsidR="00C01820">
        <w:rPr>
          <w:rFonts w:ascii="Arial" w:eastAsia="Times New Roman" w:hAnsi="Arial" w:cs="Arial"/>
          <w:lang w:eastAsia="en-ZA"/>
        </w:rPr>
        <w:t xml:space="preserve"> (sic)</w:t>
      </w:r>
      <w:r w:rsidRPr="007F5AC7">
        <w:rPr>
          <w:rFonts w:ascii="Arial" w:eastAsia="Times New Roman" w:hAnsi="Arial" w:cs="Arial"/>
          <w:lang w:eastAsia="en-ZA"/>
        </w:rPr>
        <w:t xml:space="preserve">. As to the objective standpoint, the following circumstances were known to the second defendant and or her employees: </w:t>
      </w:r>
    </w:p>
    <w:p w:rsidR="000B16E1" w:rsidRPr="00230EDF" w:rsidRDefault="000B16E1" w:rsidP="002E7459">
      <w:pPr>
        <w:spacing w:after="0" w:line="360" w:lineRule="auto"/>
        <w:ind w:left="360"/>
        <w:jc w:val="both"/>
        <w:rPr>
          <w:rFonts w:ascii="Arial" w:eastAsia="Times New Roman" w:hAnsi="Arial" w:cs="Arial"/>
          <w:lang w:eastAsia="en-ZA"/>
        </w:rPr>
      </w:pPr>
    </w:p>
    <w:p w:rsidR="000B16E1" w:rsidRPr="00230EDF" w:rsidRDefault="000B16E1" w:rsidP="002E7459">
      <w:pPr>
        <w:pStyle w:val="ListParagraph"/>
        <w:numPr>
          <w:ilvl w:val="0"/>
          <w:numId w:val="26"/>
        </w:numPr>
        <w:spacing w:after="0" w:line="360" w:lineRule="auto"/>
        <w:ind w:left="1080"/>
        <w:jc w:val="both"/>
        <w:rPr>
          <w:rFonts w:ascii="Arial" w:eastAsia="Times New Roman" w:hAnsi="Arial" w:cs="Arial"/>
          <w:lang w:eastAsia="en-ZA"/>
        </w:rPr>
      </w:pPr>
      <w:r w:rsidRPr="00230EDF">
        <w:rPr>
          <w:rFonts w:ascii="Arial" w:eastAsia="Times New Roman" w:hAnsi="Arial" w:cs="Arial"/>
          <w:lang w:eastAsia="en-ZA"/>
        </w:rPr>
        <w:lastRenderedPageBreak/>
        <w:t>The lack of witnesses identifying the plaintiff as the offender;</w:t>
      </w:r>
    </w:p>
    <w:p w:rsidR="000B16E1" w:rsidRPr="00230EDF" w:rsidRDefault="000B16E1" w:rsidP="002E7459">
      <w:pPr>
        <w:pStyle w:val="ListParagraph"/>
        <w:spacing w:after="0" w:line="360" w:lineRule="auto"/>
        <w:ind w:left="1080"/>
        <w:jc w:val="both"/>
        <w:rPr>
          <w:rFonts w:ascii="Arial" w:eastAsia="Times New Roman" w:hAnsi="Arial" w:cs="Arial"/>
          <w:lang w:eastAsia="en-ZA"/>
        </w:rPr>
      </w:pPr>
      <w:r w:rsidRPr="00230EDF">
        <w:rPr>
          <w:rFonts w:ascii="Arial" w:eastAsia="Times New Roman" w:hAnsi="Arial" w:cs="Arial"/>
          <w:lang w:eastAsia="en-ZA"/>
        </w:rPr>
        <w:t>It was clear from the evidence before court that three of the four witnesses who testified against the plaintiff, failed to identify him in court. It is important to note that one of these witnesses was Ms. Highness Chikuchiya, the former wife of the plaintiff.</w:t>
      </w:r>
    </w:p>
    <w:p w:rsidR="000B16E1" w:rsidRPr="00230EDF" w:rsidRDefault="000B16E1" w:rsidP="002E7459">
      <w:pPr>
        <w:pStyle w:val="ListParagraph"/>
        <w:spacing w:after="0" w:line="360" w:lineRule="auto"/>
        <w:ind w:left="1080"/>
        <w:jc w:val="both"/>
        <w:rPr>
          <w:rFonts w:ascii="Arial" w:eastAsia="Times New Roman" w:hAnsi="Arial" w:cs="Arial"/>
          <w:lang w:eastAsia="en-ZA"/>
        </w:rPr>
      </w:pPr>
    </w:p>
    <w:p w:rsidR="000B16E1" w:rsidRPr="00230EDF" w:rsidRDefault="000B16E1" w:rsidP="002E7459">
      <w:pPr>
        <w:pStyle w:val="ListParagraph"/>
        <w:numPr>
          <w:ilvl w:val="0"/>
          <w:numId w:val="26"/>
        </w:numPr>
        <w:spacing w:after="0" w:line="360" w:lineRule="auto"/>
        <w:ind w:left="1080"/>
        <w:jc w:val="both"/>
        <w:rPr>
          <w:rFonts w:ascii="Arial" w:eastAsia="Times New Roman" w:hAnsi="Arial" w:cs="Arial"/>
          <w:lang w:eastAsia="en-ZA"/>
        </w:rPr>
      </w:pPr>
      <w:r w:rsidRPr="00230EDF">
        <w:rPr>
          <w:rFonts w:ascii="Arial" w:eastAsia="Times New Roman" w:hAnsi="Arial" w:cs="Arial"/>
          <w:lang w:eastAsia="en-ZA"/>
        </w:rPr>
        <w:t>The failure to establish any inculpating evidence between the plaintiff and anyone associated with him in the commission of the offences;</w:t>
      </w:r>
    </w:p>
    <w:p w:rsidR="000B16E1" w:rsidRPr="00230EDF" w:rsidRDefault="000B16E1" w:rsidP="002E7459">
      <w:pPr>
        <w:pStyle w:val="ListParagraph"/>
        <w:spacing w:after="0" w:line="360" w:lineRule="auto"/>
        <w:ind w:left="1080"/>
        <w:jc w:val="both"/>
        <w:rPr>
          <w:rFonts w:ascii="Arial" w:eastAsia="Times New Roman" w:hAnsi="Arial" w:cs="Arial"/>
          <w:color w:val="FF0000"/>
          <w:lang w:eastAsia="en-ZA"/>
        </w:rPr>
      </w:pPr>
      <w:r w:rsidRPr="00230EDF">
        <w:rPr>
          <w:rFonts w:ascii="Arial" w:eastAsia="Times New Roman" w:hAnsi="Arial" w:cs="Arial"/>
          <w:lang w:eastAsia="en-ZA"/>
        </w:rPr>
        <w:t>According to the evidence of the defence witnesses, the plaintiff was seen in the company of the rebel leader, Mr. Bennet Mutuso and was also arrested in the same vehicle with Bennet Mutuso. The plaintiff was cross-examined on this aspect and denied any association with Bennet Mutuso and he informed the court that he did not know Bennet Mutuso before their arrest.  Bennet Mutuso did not come to his house as alleged and the plaintiff denied being related to him. There was no evidence or finding that his denials were false or contrived</w:t>
      </w:r>
      <w:r w:rsidRPr="00230EDF">
        <w:rPr>
          <w:rFonts w:ascii="Arial" w:eastAsia="Times New Roman" w:hAnsi="Arial" w:cs="Arial"/>
          <w:color w:val="FF0000"/>
          <w:lang w:eastAsia="en-ZA"/>
        </w:rPr>
        <w:t>.</w:t>
      </w:r>
    </w:p>
    <w:p w:rsidR="000B16E1" w:rsidRPr="00230EDF" w:rsidRDefault="000B16E1" w:rsidP="002E7459">
      <w:pPr>
        <w:spacing w:after="0" w:line="360" w:lineRule="auto"/>
        <w:ind w:left="240"/>
        <w:jc w:val="both"/>
        <w:rPr>
          <w:rFonts w:ascii="Arial" w:eastAsia="Times New Roman" w:hAnsi="Arial" w:cs="Arial"/>
          <w:lang w:eastAsia="en-ZA"/>
        </w:rPr>
      </w:pPr>
    </w:p>
    <w:p w:rsidR="000B16E1" w:rsidRPr="00230EDF" w:rsidRDefault="000B16E1" w:rsidP="002E7459">
      <w:pPr>
        <w:pStyle w:val="ListParagraph"/>
        <w:numPr>
          <w:ilvl w:val="0"/>
          <w:numId w:val="26"/>
        </w:numPr>
        <w:spacing w:after="0" w:line="360" w:lineRule="auto"/>
        <w:ind w:left="1080"/>
        <w:jc w:val="both"/>
        <w:rPr>
          <w:rFonts w:ascii="Arial" w:eastAsia="Times New Roman" w:hAnsi="Arial" w:cs="Arial"/>
          <w:lang w:eastAsia="en-ZA"/>
        </w:rPr>
      </w:pPr>
      <w:r w:rsidRPr="00230EDF">
        <w:rPr>
          <w:rFonts w:ascii="Arial" w:eastAsia="Times New Roman" w:hAnsi="Arial" w:cs="Arial"/>
          <w:lang w:eastAsia="en-ZA"/>
        </w:rPr>
        <w:t>The fact that the November 2010 review of the evidence prompted a furth</w:t>
      </w:r>
      <w:r>
        <w:rPr>
          <w:rFonts w:ascii="Arial" w:eastAsia="Times New Roman" w:hAnsi="Arial" w:cs="Arial"/>
          <w:lang w:eastAsia="en-ZA"/>
        </w:rPr>
        <w:t>er investigation in this matter;</w:t>
      </w:r>
    </w:p>
    <w:p w:rsidR="000B16E1" w:rsidRPr="00230EDF" w:rsidRDefault="000B16E1" w:rsidP="002E7459">
      <w:pPr>
        <w:pStyle w:val="ListParagraph"/>
        <w:spacing w:after="0" w:line="360" w:lineRule="auto"/>
        <w:ind w:left="1080"/>
        <w:jc w:val="both"/>
        <w:rPr>
          <w:rFonts w:ascii="Arial" w:eastAsia="Times New Roman" w:hAnsi="Arial" w:cs="Arial"/>
          <w:lang w:eastAsia="en-ZA"/>
        </w:rPr>
      </w:pPr>
      <w:r w:rsidRPr="00230EDF">
        <w:rPr>
          <w:rFonts w:ascii="Arial" w:eastAsia="Times New Roman" w:hAnsi="Arial" w:cs="Arial"/>
          <w:lang w:eastAsia="en-ZA"/>
        </w:rPr>
        <w:t>The second defendant informed the court that it was humanly impossible to have appraisals of the evidence of individual accused persons throughout the trial. They have managed to do so during November 2010, and that they asked the first defendant to do a further investigation and that investigations were done, and the defence lawyers for the plaintiff successfully objected to the admission of this new evidence.</w:t>
      </w:r>
      <w:r>
        <w:rPr>
          <w:rFonts w:ascii="Arial" w:eastAsia="Times New Roman" w:hAnsi="Arial" w:cs="Arial"/>
          <w:lang w:eastAsia="en-ZA"/>
        </w:rPr>
        <w:t>’</w:t>
      </w:r>
    </w:p>
    <w:p w:rsidR="000B16E1" w:rsidRDefault="000B16E1" w:rsidP="00FA66E4">
      <w:pPr>
        <w:pStyle w:val="ListParagraph"/>
        <w:spacing w:after="0" w:line="480" w:lineRule="auto"/>
        <w:ind w:left="1080"/>
        <w:jc w:val="both"/>
        <w:rPr>
          <w:rFonts w:ascii="Arial" w:hAnsi="Arial" w:cs="Arial"/>
          <w:color w:val="000000" w:themeColor="text1"/>
          <w:sz w:val="24"/>
          <w:szCs w:val="24"/>
        </w:rPr>
      </w:pPr>
    </w:p>
    <w:p w:rsidR="000B16E1" w:rsidRDefault="000B16E1" w:rsidP="00356083">
      <w:pPr>
        <w:pStyle w:val="ListParagraph"/>
        <w:numPr>
          <w:ilvl w:val="0"/>
          <w:numId w:val="22"/>
        </w:numPr>
        <w:spacing w:after="0" w:line="480" w:lineRule="auto"/>
        <w:ind w:left="0" w:firstLine="0"/>
        <w:jc w:val="both"/>
        <w:rPr>
          <w:rFonts w:ascii="Arial" w:hAnsi="Arial" w:cs="Arial"/>
          <w:color w:val="000000" w:themeColor="text1"/>
          <w:sz w:val="24"/>
          <w:szCs w:val="24"/>
        </w:rPr>
      </w:pPr>
      <w:r>
        <w:rPr>
          <w:rFonts w:ascii="Arial" w:hAnsi="Arial" w:cs="Arial"/>
          <w:color w:val="000000" w:themeColor="text1"/>
          <w:sz w:val="24"/>
          <w:szCs w:val="24"/>
        </w:rPr>
        <w:t>B</w:t>
      </w:r>
      <w:r w:rsidRPr="00F014F6">
        <w:rPr>
          <w:rFonts w:ascii="Arial" w:hAnsi="Arial" w:cs="Arial"/>
          <w:color w:val="000000" w:themeColor="text1"/>
          <w:sz w:val="24"/>
          <w:szCs w:val="24"/>
        </w:rPr>
        <w:t xml:space="preserve">efore us it was contended </w:t>
      </w:r>
      <w:r>
        <w:rPr>
          <w:rFonts w:ascii="Arial" w:hAnsi="Arial" w:cs="Arial"/>
          <w:color w:val="000000" w:themeColor="text1"/>
          <w:sz w:val="24"/>
          <w:szCs w:val="24"/>
        </w:rPr>
        <w:t xml:space="preserve">on behalf of the appellants </w:t>
      </w:r>
      <w:r w:rsidRPr="00F014F6">
        <w:rPr>
          <w:rFonts w:ascii="Arial" w:hAnsi="Arial" w:cs="Arial"/>
          <w:color w:val="000000" w:themeColor="text1"/>
          <w:sz w:val="24"/>
          <w:szCs w:val="24"/>
        </w:rPr>
        <w:t xml:space="preserve">that having regard to the pleadings and the evidence, the court </w:t>
      </w:r>
      <w:r w:rsidRPr="00F014F6">
        <w:rPr>
          <w:rFonts w:ascii="Arial" w:hAnsi="Arial" w:cs="Arial"/>
          <w:i/>
          <w:color w:val="000000" w:themeColor="text1"/>
          <w:sz w:val="24"/>
          <w:szCs w:val="24"/>
        </w:rPr>
        <w:t>a quo</w:t>
      </w:r>
      <w:r w:rsidRPr="00F014F6">
        <w:rPr>
          <w:rFonts w:ascii="Arial" w:hAnsi="Arial" w:cs="Arial"/>
          <w:color w:val="000000" w:themeColor="text1"/>
          <w:sz w:val="24"/>
          <w:szCs w:val="24"/>
        </w:rPr>
        <w:t xml:space="preserve"> was not justified in holding that the </w:t>
      </w:r>
      <w:r>
        <w:rPr>
          <w:rFonts w:ascii="Arial" w:hAnsi="Arial" w:cs="Arial"/>
          <w:color w:val="000000" w:themeColor="text1"/>
          <w:sz w:val="24"/>
          <w:szCs w:val="24"/>
        </w:rPr>
        <w:t xml:space="preserve">PG </w:t>
      </w:r>
      <w:r w:rsidRPr="00D955EB">
        <w:rPr>
          <w:rFonts w:ascii="Arial" w:eastAsia="Times New Roman" w:hAnsi="Arial" w:cs="Arial"/>
          <w:sz w:val="24"/>
          <w:szCs w:val="24"/>
          <w:lang w:eastAsia="en-ZA"/>
        </w:rPr>
        <w:t>lacked reasonable and probable cause to continue with the prosecution from November 201</w:t>
      </w:r>
      <w:r>
        <w:rPr>
          <w:rFonts w:ascii="Arial" w:eastAsia="Times New Roman" w:hAnsi="Arial" w:cs="Arial"/>
          <w:sz w:val="24"/>
          <w:szCs w:val="24"/>
          <w:lang w:eastAsia="en-ZA"/>
        </w:rPr>
        <w:t xml:space="preserve">1. </w:t>
      </w:r>
      <w:r w:rsidRPr="00F014F6">
        <w:rPr>
          <w:rFonts w:ascii="Arial" w:hAnsi="Arial" w:cs="Arial"/>
          <w:color w:val="000000" w:themeColor="text1"/>
          <w:sz w:val="24"/>
          <w:szCs w:val="24"/>
        </w:rPr>
        <w:t xml:space="preserve"> </w:t>
      </w:r>
    </w:p>
    <w:p w:rsidR="000B16E1" w:rsidRPr="008622BC" w:rsidRDefault="000B16E1" w:rsidP="00FA66E4">
      <w:pPr>
        <w:pStyle w:val="ListParagraph"/>
        <w:spacing w:after="0" w:line="480" w:lineRule="auto"/>
        <w:jc w:val="both"/>
        <w:rPr>
          <w:rFonts w:ascii="Arial" w:hAnsi="Arial" w:cs="Arial"/>
          <w:color w:val="000000" w:themeColor="text1"/>
          <w:sz w:val="24"/>
          <w:szCs w:val="24"/>
        </w:rPr>
      </w:pPr>
    </w:p>
    <w:p w:rsidR="000B16E1" w:rsidRDefault="000B16E1" w:rsidP="00356083">
      <w:pPr>
        <w:pStyle w:val="ListParagraph"/>
        <w:numPr>
          <w:ilvl w:val="0"/>
          <w:numId w:val="22"/>
        </w:numPr>
        <w:spacing w:after="0" w:line="480" w:lineRule="auto"/>
        <w:ind w:left="0" w:firstLine="0"/>
        <w:jc w:val="both"/>
        <w:rPr>
          <w:rFonts w:ascii="Arial" w:hAnsi="Arial" w:cs="Arial"/>
          <w:color w:val="000000" w:themeColor="text1"/>
          <w:sz w:val="24"/>
          <w:szCs w:val="24"/>
        </w:rPr>
      </w:pPr>
      <w:r>
        <w:rPr>
          <w:rFonts w:ascii="Arial" w:hAnsi="Arial" w:cs="Arial"/>
          <w:color w:val="000000" w:themeColor="text1"/>
          <w:sz w:val="24"/>
          <w:szCs w:val="24"/>
        </w:rPr>
        <w:t xml:space="preserve">Counsel </w:t>
      </w:r>
      <w:r w:rsidRPr="008622BC">
        <w:rPr>
          <w:rFonts w:ascii="Arial" w:hAnsi="Arial" w:cs="Arial"/>
          <w:color w:val="000000" w:themeColor="text1"/>
          <w:sz w:val="24"/>
          <w:szCs w:val="24"/>
        </w:rPr>
        <w:t>f</w:t>
      </w:r>
      <w:r>
        <w:rPr>
          <w:rFonts w:ascii="Arial" w:hAnsi="Arial" w:cs="Arial"/>
          <w:color w:val="000000" w:themeColor="text1"/>
          <w:sz w:val="24"/>
          <w:szCs w:val="24"/>
        </w:rPr>
        <w:t>or</w:t>
      </w:r>
      <w:r w:rsidRPr="008622BC">
        <w:rPr>
          <w:rFonts w:ascii="Arial" w:hAnsi="Arial" w:cs="Arial"/>
          <w:color w:val="000000" w:themeColor="text1"/>
          <w:sz w:val="24"/>
          <w:szCs w:val="24"/>
        </w:rPr>
        <w:t xml:space="preserve"> the appellants </w:t>
      </w:r>
      <w:r>
        <w:rPr>
          <w:rFonts w:ascii="Arial" w:hAnsi="Arial" w:cs="Arial"/>
          <w:color w:val="000000" w:themeColor="text1"/>
          <w:sz w:val="24"/>
          <w:szCs w:val="24"/>
        </w:rPr>
        <w:t xml:space="preserve">argued </w:t>
      </w:r>
      <w:r w:rsidRPr="008622BC">
        <w:rPr>
          <w:rFonts w:ascii="Arial" w:hAnsi="Arial" w:cs="Arial"/>
          <w:color w:val="000000" w:themeColor="text1"/>
          <w:sz w:val="24"/>
          <w:szCs w:val="24"/>
        </w:rPr>
        <w:t xml:space="preserve">that although it </w:t>
      </w:r>
      <w:r>
        <w:rPr>
          <w:rFonts w:ascii="Arial" w:hAnsi="Arial" w:cs="Arial"/>
          <w:color w:val="000000" w:themeColor="text1"/>
          <w:sz w:val="24"/>
          <w:szCs w:val="24"/>
        </w:rPr>
        <w:t>wa</w:t>
      </w:r>
      <w:r w:rsidRPr="008622BC">
        <w:rPr>
          <w:rFonts w:ascii="Arial" w:hAnsi="Arial" w:cs="Arial"/>
          <w:color w:val="000000" w:themeColor="text1"/>
          <w:sz w:val="24"/>
          <w:szCs w:val="24"/>
        </w:rPr>
        <w:t>s t</w:t>
      </w:r>
      <w:r>
        <w:rPr>
          <w:rFonts w:ascii="Arial" w:hAnsi="Arial" w:cs="Arial"/>
          <w:color w:val="000000" w:themeColor="text1"/>
          <w:sz w:val="24"/>
          <w:szCs w:val="24"/>
        </w:rPr>
        <w:t xml:space="preserve">he case </w:t>
      </w:r>
      <w:r w:rsidRPr="008622BC">
        <w:rPr>
          <w:rFonts w:ascii="Arial" w:hAnsi="Arial" w:cs="Arial"/>
          <w:color w:val="000000" w:themeColor="text1"/>
          <w:sz w:val="24"/>
          <w:szCs w:val="24"/>
        </w:rPr>
        <w:t xml:space="preserve">that </w:t>
      </w:r>
      <w:r w:rsidR="00826766">
        <w:rPr>
          <w:rFonts w:ascii="Arial" w:hAnsi="Arial" w:cs="Arial"/>
          <w:color w:val="000000" w:themeColor="text1"/>
          <w:sz w:val="24"/>
          <w:szCs w:val="24"/>
        </w:rPr>
        <w:t xml:space="preserve">the </w:t>
      </w:r>
      <w:r w:rsidRPr="008622BC">
        <w:rPr>
          <w:rFonts w:ascii="Arial" w:hAnsi="Arial" w:cs="Arial"/>
          <w:color w:val="000000" w:themeColor="text1"/>
          <w:sz w:val="24"/>
          <w:szCs w:val="24"/>
        </w:rPr>
        <w:t xml:space="preserve">witnesses </w:t>
      </w:r>
      <w:r w:rsidR="00826766">
        <w:rPr>
          <w:rFonts w:ascii="Arial" w:hAnsi="Arial" w:cs="Arial"/>
          <w:color w:val="000000" w:themeColor="text1"/>
          <w:sz w:val="24"/>
          <w:szCs w:val="24"/>
        </w:rPr>
        <w:t xml:space="preserve">who </w:t>
      </w:r>
      <w:r w:rsidRPr="008622BC">
        <w:rPr>
          <w:rFonts w:ascii="Arial" w:hAnsi="Arial" w:cs="Arial"/>
          <w:color w:val="000000" w:themeColor="text1"/>
          <w:sz w:val="24"/>
          <w:szCs w:val="24"/>
        </w:rPr>
        <w:t xml:space="preserve">named the respondent in their witness statements failed to identify him during the trial, there was evidence </w:t>
      </w:r>
      <w:r w:rsidRPr="00F15D8B">
        <w:rPr>
          <w:rFonts w:ascii="Arial" w:hAnsi="Arial" w:cs="Arial"/>
          <w:i/>
          <w:color w:val="000000" w:themeColor="text1"/>
          <w:sz w:val="24"/>
          <w:szCs w:val="24"/>
        </w:rPr>
        <w:t>aliunde</w:t>
      </w:r>
      <w:r>
        <w:rPr>
          <w:rFonts w:ascii="Arial" w:hAnsi="Arial" w:cs="Arial"/>
          <w:color w:val="000000" w:themeColor="text1"/>
          <w:sz w:val="24"/>
          <w:szCs w:val="24"/>
        </w:rPr>
        <w:t xml:space="preserve"> i</w:t>
      </w:r>
      <w:r w:rsidRPr="008622BC">
        <w:rPr>
          <w:rFonts w:ascii="Arial" w:hAnsi="Arial" w:cs="Arial"/>
          <w:color w:val="000000" w:themeColor="text1"/>
          <w:sz w:val="24"/>
          <w:szCs w:val="24"/>
        </w:rPr>
        <w:t xml:space="preserve">ncriminating the respondent. </w:t>
      </w:r>
      <w:r>
        <w:rPr>
          <w:rFonts w:ascii="Arial" w:hAnsi="Arial" w:cs="Arial"/>
          <w:color w:val="000000" w:themeColor="text1"/>
          <w:sz w:val="24"/>
          <w:szCs w:val="24"/>
        </w:rPr>
        <w:t xml:space="preserve">Counsel contended that it </w:t>
      </w:r>
      <w:r>
        <w:rPr>
          <w:rFonts w:ascii="Arial" w:hAnsi="Arial" w:cs="Arial"/>
          <w:color w:val="000000" w:themeColor="text1"/>
          <w:sz w:val="24"/>
          <w:szCs w:val="24"/>
        </w:rPr>
        <w:lastRenderedPageBreak/>
        <w:t xml:space="preserve">was </w:t>
      </w:r>
      <w:r w:rsidRPr="008622BC">
        <w:rPr>
          <w:rFonts w:ascii="Arial" w:hAnsi="Arial" w:cs="Arial"/>
          <w:color w:val="000000" w:themeColor="text1"/>
          <w:sz w:val="24"/>
          <w:szCs w:val="24"/>
        </w:rPr>
        <w:t xml:space="preserve">established </w:t>
      </w:r>
      <w:r>
        <w:rPr>
          <w:rFonts w:ascii="Arial" w:hAnsi="Arial" w:cs="Arial"/>
          <w:color w:val="000000" w:themeColor="text1"/>
          <w:sz w:val="24"/>
          <w:szCs w:val="24"/>
        </w:rPr>
        <w:t xml:space="preserve">in the criminal trial </w:t>
      </w:r>
      <w:r w:rsidRPr="008622BC">
        <w:rPr>
          <w:rFonts w:ascii="Arial" w:hAnsi="Arial" w:cs="Arial"/>
          <w:color w:val="000000" w:themeColor="text1"/>
          <w:sz w:val="24"/>
          <w:szCs w:val="24"/>
        </w:rPr>
        <w:t xml:space="preserve">that the respondent </w:t>
      </w:r>
      <w:r>
        <w:rPr>
          <w:rFonts w:ascii="Arial" w:hAnsi="Arial" w:cs="Arial"/>
          <w:color w:val="000000" w:themeColor="text1"/>
          <w:sz w:val="24"/>
          <w:szCs w:val="24"/>
        </w:rPr>
        <w:t xml:space="preserve">is the same person witnesses referred to in their sworn statements as </w:t>
      </w:r>
      <w:r w:rsidRPr="008622BC">
        <w:rPr>
          <w:rFonts w:ascii="Arial" w:hAnsi="Arial" w:cs="Arial"/>
          <w:color w:val="000000" w:themeColor="text1"/>
          <w:sz w:val="24"/>
          <w:szCs w:val="24"/>
        </w:rPr>
        <w:t>Shin</w:t>
      </w:r>
      <w:r>
        <w:rPr>
          <w:rFonts w:ascii="Arial" w:hAnsi="Arial" w:cs="Arial"/>
          <w:color w:val="000000" w:themeColor="text1"/>
          <w:sz w:val="24"/>
          <w:szCs w:val="24"/>
        </w:rPr>
        <w:t>e</w:t>
      </w:r>
      <w:r w:rsidRPr="008622BC">
        <w:rPr>
          <w:rFonts w:ascii="Arial" w:hAnsi="Arial" w:cs="Arial"/>
          <w:color w:val="000000" w:themeColor="text1"/>
          <w:sz w:val="24"/>
          <w:szCs w:val="24"/>
        </w:rPr>
        <w:t xml:space="preserve"> </w:t>
      </w:r>
      <w:r>
        <w:rPr>
          <w:rFonts w:ascii="Arial" w:hAnsi="Arial" w:cs="Arial"/>
          <w:color w:val="000000" w:themeColor="text1"/>
          <w:sz w:val="24"/>
          <w:szCs w:val="24"/>
        </w:rPr>
        <w:t xml:space="preserve">(sometimes spelt as </w:t>
      </w:r>
      <w:r w:rsidR="00062D09">
        <w:rPr>
          <w:rFonts w:ascii="Arial" w:hAnsi="Arial" w:cs="Arial"/>
          <w:color w:val="000000" w:themeColor="text1"/>
          <w:sz w:val="24"/>
          <w:szCs w:val="24"/>
        </w:rPr>
        <w:t xml:space="preserve">‘Shain’ or </w:t>
      </w:r>
      <w:r>
        <w:rPr>
          <w:rFonts w:ascii="Arial" w:hAnsi="Arial" w:cs="Arial"/>
          <w:color w:val="000000" w:themeColor="text1"/>
          <w:sz w:val="24"/>
          <w:szCs w:val="24"/>
        </w:rPr>
        <w:t xml:space="preserve">‘Shaini)’ </w:t>
      </w:r>
      <w:r w:rsidRPr="008622BC">
        <w:rPr>
          <w:rFonts w:ascii="Arial" w:hAnsi="Arial" w:cs="Arial"/>
          <w:color w:val="000000" w:themeColor="text1"/>
          <w:sz w:val="24"/>
          <w:szCs w:val="24"/>
        </w:rPr>
        <w:t>Mahupelo</w:t>
      </w:r>
      <w:r>
        <w:rPr>
          <w:rFonts w:ascii="Arial" w:hAnsi="Arial" w:cs="Arial"/>
          <w:color w:val="000000" w:themeColor="text1"/>
          <w:sz w:val="24"/>
          <w:szCs w:val="24"/>
        </w:rPr>
        <w:t xml:space="preserve">. </w:t>
      </w:r>
      <w:r w:rsidRPr="008622BC">
        <w:rPr>
          <w:rFonts w:ascii="Arial" w:hAnsi="Arial" w:cs="Arial"/>
          <w:color w:val="000000" w:themeColor="text1"/>
          <w:sz w:val="24"/>
          <w:szCs w:val="24"/>
        </w:rPr>
        <w:t xml:space="preserve"> </w:t>
      </w:r>
      <w:r>
        <w:rPr>
          <w:rFonts w:ascii="Arial" w:hAnsi="Arial" w:cs="Arial"/>
          <w:color w:val="000000" w:themeColor="text1"/>
          <w:sz w:val="24"/>
          <w:szCs w:val="24"/>
        </w:rPr>
        <w:t xml:space="preserve">In this respect, </w:t>
      </w:r>
      <w:r w:rsidRPr="008622BC">
        <w:rPr>
          <w:rFonts w:ascii="Arial" w:hAnsi="Arial" w:cs="Arial"/>
          <w:color w:val="000000" w:themeColor="text1"/>
          <w:sz w:val="24"/>
          <w:szCs w:val="24"/>
        </w:rPr>
        <w:t xml:space="preserve">counsel referred the court to </w:t>
      </w:r>
      <w:r>
        <w:rPr>
          <w:rFonts w:ascii="Arial" w:hAnsi="Arial" w:cs="Arial"/>
          <w:color w:val="000000" w:themeColor="text1"/>
          <w:sz w:val="24"/>
          <w:szCs w:val="24"/>
        </w:rPr>
        <w:t xml:space="preserve">pertinent </w:t>
      </w:r>
      <w:r w:rsidRPr="008622BC">
        <w:rPr>
          <w:rFonts w:ascii="Arial" w:hAnsi="Arial" w:cs="Arial"/>
          <w:color w:val="000000" w:themeColor="text1"/>
          <w:sz w:val="24"/>
          <w:szCs w:val="24"/>
        </w:rPr>
        <w:t xml:space="preserve">parts of the testimonies of </w:t>
      </w:r>
      <w:r>
        <w:rPr>
          <w:rFonts w:ascii="Arial" w:hAnsi="Arial" w:cs="Arial"/>
          <w:color w:val="000000" w:themeColor="text1"/>
          <w:sz w:val="24"/>
          <w:szCs w:val="24"/>
        </w:rPr>
        <w:t>the witnesses who were called on behalf of the State, which I find necessary to briefly re</w:t>
      </w:r>
      <w:r w:rsidR="00062D09">
        <w:rPr>
          <w:rFonts w:ascii="Arial" w:hAnsi="Arial" w:cs="Arial"/>
          <w:color w:val="000000" w:themeColor="text1"/>
          <w:sz w:val="24"/>
          <w:szCs w:val="24"/>
        </w:rPr>
        <w:t>count</w:t>
      </w:r>
      <w:r>
        <w:rPr>
          <w:rFonts w:ascii="Arial" w:hAnsi="Arial" w:cs="Arial"/>
          <w:color w:val="000000" w:themeColor="text1"/>
          <w:sz w:val="24"/>
          <w:szCs w:val="24"/>
        </w:rPr>
        <w:t xml:space="preserve">. </w:t>
      </w:r>
      <w:r w:rsidRPr="008622BC">
        <w:rPr>
          <w:rFonts w:ascii="Arial" w:hAnsi="Arial" w:cs="Arial"/>
          <w:color w:val="000000" w:themeColor="text1"/>
          <w:sz w:val="24"/>
          <w:szCs w:val="24"/>
        </w:rPr>
        <w:t xml:space="preserve"> </w:t>
      </w:r>
    </w:p>
    <w:p w:rsidR="000B16E1" w:rsidRDefault="000B16E1" w:rsidP="000B16E1">
      <w:pPr>
        <w:pStyle w:val="ListParagraph"/>
        <w:spacing w:after="0" w:line="480" w:lineRule="auto"/>
        <w:ind w:left="0"/>
        <w:jc w:val="both"/>
        <w:rPr>
          <w:rFonts w:ascii="Arial" w:hAnsi="Arial" w:cs="Arial"/>
          <w:color w:val="000000" w:themeColor="text1"/>
          <w:sz w:val="24"/>
          <w:szCs w:val="24"/>
        </w:rPr>
      </w:pPr>
    </w:p>
    <w:p w:rsidR="00826766" w:rsidRPr="00826766" w:rsidRDefault="000B16E1" w:rsidP="00356083">
      <w:pPr>
        <w:pStyle w:val="ListParagraph"/>
        <w:numPr>
          <w:ilvl w:val="0"/>
          <w:numId w:val="22"/>
        </w:numPr>
        <w:spacing w:after="0" w:line="480" w:lineRule="auto"/>
        <w:ind w:left="0" w:firstLine="0"/>
        <w:jc w:val="both"/>
        <w:rPr>
          <w:rFonts w:ascii="Arial" w:hAnsi="Arial" w:cs="Arial"/>
          <w:color w:val="000000" w:themeColor="text1"/>
          <w:sz w:val="24"/>
          <w:szCs w:val="24"/>
        </w:rPr>
      </w:pPr>
      <w:r w:rsidRPr="00E8168C">
        <w:rPr>
          <w:rFonts w:ascii="Arial" w:hAnsi="Arial" w:cs="Arial"/>
          <w:color w:val="000000" w:themeColor="text1"/>
          <w:sz w:val="24"/>
          <w:szCs w:val="24"/>
        </w:rPr>
        <w:t>Ham</w:t>
      </w:r>
      <w:r w:rsidR="009703F6">
        <w:rPr>
          <w:rFonts w:ascii="Arial" w:hAnsi="Arial" w:cs="Arial"/>
          <w:color w:val="000000" w:themeColor="text1"/>
          <w:sz w:val="24"/>
          <w:szCs w:val="24"/>
        </w:rPr>
        <w:t>le</w:t>
      </w:r>
      <w:r w:rsidRPr="00E8168C">
        <w:rPr>
          <w:rFonts w:ascii="Arial" w:hAnsi="Arial" w:cs="Arial"/>
          <w:color w:val="000000" w:themeColor="text1"/>
          <w:sz w:val="24"/>
          <w:szCs w:val="24"/>
        </w:rPr>
        <w:t xml:space="preserve">t Muzwaki testified that </w:t>
      </w:r>
      <w:r w:rsidR="009703F6">
        <w:rPr>
          <w:rFonts w:ascii="Arial" w:hAnsi="Arial" w:cs="Arial"/>
          <w:color w:val="000000" w:themeColor="text1"/>
          <w:sz w:val="24"/>
          <w:szCs w:val="24"/>
        </w:rPr>
        <w:t>‘</w:t>
      </w:r>
      <w:r w:rsidRPr="00E8168C">
        <w:rPr>
          <w:rFonts w:ascii="Arial" w:hAnsi="Arial" w:cs="Arial"/>
          <w:color w:val="000000" w:themeColor="text1"/>
          <w:sz w:val="24"/>
          <w:szCs w:val="24"/>
        </w:rPr>
        <w:t>Shine</w:t>
      </w:r>
      <w:r w:rsidR="009703F6">
        <w:rPr>
          <w:rFonts w:ascii="Arial" w:hAnsi="Arial" w:cs="Arial"/>
          <w:color w:val="000000" w:themeColor="text1"/>
          <w:sz w:val="24"/>
          <w:szCs w:val="24"/>
        </w:rPr>
        <w:t>’</w:t>
      </w:r>
      <w:r w:rsidRPr="00E8168C">
        <w:rPr>
          <w:rFonts w:ascii="Arial" w:hAnsi="Arial" w:cs="Arial"/>
          <w:color w:val="000000" w:themeColor="text1"/>
          <w:sz w:val="24"/>
          <w:szCs w:val="24"/>
        </w:rPr>
        <w:t xml:space="preserve"> Mahupelo </w:t>
      </w:r>
      <w:r w:rsidR="009703F6">
        <w:rPr>
          <w:rFonts w:ascii="Arial" w:hAnsi="Arial" w:cs="Arial"/>
          <w:color w:val="000000" w:themeColor="text1"/>
          <w:sz w:val="24"/>
          <w:szCs w:val="24"/>
        </w:rPr>
        <w:t xml:space="preserve">bought </w:t>
      </w:r>
      <w:r w:rsidRPr="00E8168C">
        <w:rPr>
          <w:rFonts w:ascii="Arial" w:hAnsi="Arial" w:cs="Arial"/>
          <w:color w:val="000000" w:themeColor="text1"/>
          <w:sz w:val="24"/>
          <w:szCs w:val="24"/>
        </w:rPr>
        <w:t xml:space="preserve">food, which was taken to the rebels in the bush during </w:t>
      </w:r>
      <w:r w:rsidR="009703F6">
        <w:rPr>
          <w:rFonts w:ascii="Arial" w:hAnsi="Arial" w:cs="Arial"/>
          <w:color w:val="000000" w:themeColor="text1"/>
          <w:sz w:val="24"/>
          <w:szCs w:val="24"/>
        </w:rPr>
        <w:t xml:space="preserve">the </w:t>
      </w:r>
      <w:r>
        <w:rPr>
          <w:rFonts w:ascii="Arial" w:hAnsi="Arial" w:cs="Arial"/>
          <w:color w:val="000000" w:themeColor="text1"/>
          <w:sz w:val="24"/>
          <w:szCs w:val="24"/>
        </w:rPr>
        <w:t>‘</w:t>
      </w:r>
      <w:r w:rsidRPr="00E8168C">
        <w:rPr>
          <w:rFonts w:ascii="Arial" w:hAnsi="Arial" w:cs="Arial"/>
          <w:color w:val="000000" w:themeColor="text1"/>
          <w:sz w:val="24"/>
          <w:szCs w:val="24"/>
        </w:rPr>
        <w:t>evening time</w:t>
      </w:r>
      <w:r>
        <w:rPr>
          <w:rFonts w:ascii="Arial" w:hAnsi="Arial" w:cs="Arial"/>
          <w:color w:val="000000" w:themeColor="text1"/>
          <w:sz w:val="24"/>
          <w:szCs w:val="24"/>
        </w:rPr>
        <w:t>’</w:t>
      </w:r>
      <w:r w:rsidRPr="00E8168C">
        <w:rPr>
          <w:rFonts w:ascii="Arial" w:hAnsi="Arial" w:cs="Arial"/>
          <w:color w:val="000000" w:themeColor="text1"/>
          <w:sz w:val="24"/>
          <w:szCs w:val="24"/>
        </w:rPr>
        <w:t>. The respondent’s ex-wife</w:t>
      </w:r>
      <w:r w:rsidR="00A86F5A">
        <w:rPr>
          <w:rFonts w:ascii="Arial" w:hAnsi="Arial" w:cs="Arial"/>
          <w:color w:val="000000" w:themeColor="text1"/>
          <w:sz w:val="24"/>
          <w:szCs w:val="24"/>
        </w:rPr>
        <w:t>,</w:t>
      </w:r>
      <w:r w:rsidRPr="00E8168C">
        <w:rPr>
          <w:rFonts w:ascii="Arial" w:hAnsi="Arial" w:cs="Arial"/>
          <w:color w:val="000000" w:themeColor="text1"/>
          <w:sz w:val="24"/>
          <w:szCs w:val="24"/>
        </w:rPr>
        <w:t xml:space="preserve"> </w:t>
      </w:r>
      <w:r w:rsidR="00FB5A83">
        <w:rPr>
          <w:rFonts w:ascii="Arial" w:hAnsi="Arial" w:cs="Arial"/>
          <w:color w:val="000000" w:themeColor="text1"/>
          <w:sz w:val="24"/>
          <w:szCs w:val="24"/>
        </w:rPr>
        <w:t>Highness Chakusiya</w:t>
      </w:r>
      <w:r w:rsidRPr="00E8168C">
        <w:rPr>
          <w:rFonts w:ascii="Arial" w:hAnsi="Arial" w:cs="Arial"/>
          <w:snapToGrid w:val="0"/>
          <w:sz w:val="24"/>
          <w:szCs w:val="24"/>
        </w:rPr>
        <w:t xml:space="preserve"> Lubinda</w:t>
      </w:r>
      <w:r w:rsidR="00A86F5A">
        <w:rPr>
          <w:rFonts w:ascii="Arial" w:hAnsi="Arial" w:cs="Arial"/>
          <w:snapToGrid w:val="0"/>
          <w:sz w:val="24"/>
          <w:szCs w:val="24"/>
        </w:rPr>
        <w:t>,</w:t>
      </w:r>
      <w:r w:rsidRPr="00E8168C">
        <w:rPr>
          <w:rFonts w:ascii="Arial" w:hAnsi="Arial" w:cs="Arial"/>
          <w:color w:val="000000" w:themeColor="text1"/>
          <w:sz w:val="24"/>
          <w:szCs w:val="24"/>
        </w:rPr>
        <w:t xml:space="preserve"> testified that her husband</w:t>
      </w:r>
      <w:r w:rsidR="009703F6">
        <w:rPr>
          <w:rFonts w:ascii="Arial" w:hAnsi="Arial" w:cs="Arial"/>
          <w:color w:val="000000" w:themeColor="text1"/>
          <w:sz w:val="24"/>
          <w:szCs w:val="24"/>
        </w:rPr>
        <w:t>,</w:t>
      </w:r>
      <w:r w:rsidRPr="00E8168C">
        <w:rPr>
          <w:rFonts w:ascii="Arial" w:hAnsi="Arial" w:cs="Arial"/>
          <w:color w:val="000000" w:themeColor="text1"/>
          <w:sz w:val="24"/>
          <w:szCs w:val="24"/>
        </w:rPr>
        <w:t xml:space="preserve"> Richwell Mahupelo</w:t>
      </w:r>
      <w:r w:rsidR="009703F6">
        <w:rPr>
          <w:rFonts w:ascii="Arial" w:hAnsi="Arial" w:cs="Arial"/>
          <w:color w:val="000000" w:themeColor="text1"/>
          <w:sz w:val="24"/>
          <w:szCs w:val="24"/>
        </w:rPr>
        <w:t>,</w:t>
      </w:r>
      <w:r w:rsidRPr="00E8168C">
        <w:rPr>
          <w:rFonts w:ascii="Arial" w:hAnsi="Arial" w:cs="Arial"/>
          <w:color w:val="000000" w:themeColor="text1"/>
          <w:sz w:val="24"/>
          <w:szCs w:val="24"/>
        </w:rPr>
        <w:t xml:space="preserve"> personally brought food to their house, </w:t>
      </w:r>
      <w:r w:rsidRPr="001A6EF5">
        <w:rPr>
          <w:rFonts w:ascii="Arial" w:hAnsi="Arial" w:cs="Arial"/>
          <w:color w:val="000000" w:themeColor="text1"/>
          <w:sz w:val="24"/>
          <w:szCs w:val="24"/>
        </w:rPr>
        <w:t xml:space="preserve">which was </w:t>
      </w:r>
      <w:r w:rsidR="00BA4203">
        <w:rPr>
          <w:rFonts w:ascii="Arial" w:hAnsi="Arial" w:cs="Arial"/>
          <w:color w:val="000000" w:themeColor="text1"/>
          <w:sz w:val="24"/>
          <w:szCs w:val="24"/>
        </w:rPr>
        <w:t xml:space="preserve">locked in a hut and later </w:t>
      </w:r>
      <w:r w:rsidRPr="001A6EF5">
        <w:rPr>
          <w:rFonts w:ascii="Arial" w:hAnsi="Arial" w:cs="Arial"/>
          <w:color w:val="000000" w:themeColor="text1"/>
          <w:sz w:val="24"/>
          <w:szCs w:val="24"/>
        </w:rPr>
        <w:t xml:space="preserve">taken </w:t>
      </w:r>
      <w:r w:rsidR="003F2AC4">
        <w:rPr>
          <w:rFonts w:ascii="Arial" w:hAnsi="Arial" w:cs="Arial"/>
          <w:color w:val="000000" w:themeColor="text1"/>
          <w:sz w:val="24"/>
          <w:szCs w:val="24"/>
        </w:rPr>
        <w:t xml:space="preserve">away </w:t>
      </w:r>
      <w:r w:rsidRPr="001A6EF5">
        <w:rPr>
          <w:rFonts w:ascii="Arial" w:hAnsi="Arial" w:cs="Arial"/>
          <w:color w:val="000000" w:themeColor="text1"/>
          <w:sz w:val="24"/>
          <w:szCs w:val="24"/>
        </w:rPr>
        <w:t xml:space="preserve">by unknown persons </w:t>
      </w:r>
      <w:r w:rsidR="009703F6">
        <w:rPr>
          <w:rFonts w:ascii="Arial" w:hAnsi="Arial" w:cs="Arial"/>
          <w:color w:val="000000" w:themeColor="text1"/>
          <w:sz w:val="24"/>
          <w:szCs w:val="24"/>
        </w:rPr>
        <w:t xml:space="preserve">at </w:t>
      </w:r>
      <w:r w:rsidRPr="001A6EF5">
        <w:rPr>
          <w:rFonts w:ascii="Arial" w:hAnsi="Arial" w:cs="Arial"/>
          <w:color w:val="000000" w:themeColor="text1"/>
          <w:sz w:val="24"/>
          <w:szCs w:val="24"/>
        </w:rPr>
        <w:t xml:space="preserve">night. She further testified that when asked for whom the food was intended, her husband </w:t>
      </w:r>
      <w:r w:rsidR="00826766">
        <w:rPr>
          <w:rFonts w:ascii="Arial" w:hAnsi="Arial" w:cs="Arial"/>
          <w:color w:val="000000" w:themeColor="text1"/>
          <w:sz w:val="24"/>
          <w:szCs w:val="24"/>
        </w:rPr>
        <w:t xml:space="preserve">refused to </w:t>
      </w:r>
      <w:r>
        <w:rPr>
          <w:rFonts w:ascii="Arial" w:hAnsi="Arial" w:cs="Arial"/>
          <w:color w:val="000000" w:themeColor="text1"/>
          <w:sz w:val="24"/>
          <w:szCs w:val="24"/>
        </w:rPr>
        <w:t>reveal</w:t>
      </w:r>
      <w:r w:rsidRPr="001A6EF5">
        <w:rPr>
          <w:rFonts w:ascii="Arial" w:hAnsi="Arial" w:cs="Arial"/>
          <w:color w:val="000000" w:themeColor="text1"/>
          <w:sz w:val="24"/>
          <w:szCs w:val="24"/>
        </w:rPr>
        <w:t xml:space="preserve">. </w:t>
      </w:r>
      <w:r w:rsidR="009703F6">
        <w:rPr>
          <w:rFonts w:ascii="Arial" w:hAnsi="Arial" w:cs="Arial"/>
          <w:color w:val="000000" w:themeColor="text1"/>
          <w:sz w:val="24"/>
          <w:szCs w:val="24"/>
        </w:rPr>
        <w:t xml:space="preserve">Another witness, </w:t>
      </w:r>
      <w:r w:rsidRPr="001A6EF5">
        <w:rPr>
          <w:rFonts w:ascii="Arial" w:hAnsi="Arial" w:cs="Arial"/>
          <w:snapToGrid w:val="0"/>
          <w:sz w:val="24"/>
          <w:szCs w:val="24"/>
        </w:rPr>
        <w:t>Given Earthquake Tubaleye</w:t>
      </w:r>
      <w:r w:rsidR="009703F6">
        <w:rPr>
          <w:rFonts w:ascii="Arial" w:hAnsi="Arial" w:cs="Arial"/>
          <w:snapToGrid w:val="0"/>
          <w:sz w:val="24"/>
          <w:szCs w:val="24"/>
        </w:rPr>
        <w:t>,</w:t>
      </w:r>
      <w:r>
        <w:rPr>
          <w:rFonts w:ascii="Arial" w:hAnsi="Arial" w:cs="Arial"/>
          <w:snapToGrid w:val="0"/>
          <w:sz w:val="24"/>
          <w:szCs w:val="24"/>
        </w:rPr>
        <w:t xml:space="preserve"> t</w:t>
      </w:r>
      <w:r w:rsidR="003F2AC4">
        <w:rPr>
          <w:rFonts w:ascii="Arial" w:hAnsi="Arial" w:cs="Arial"/>
          <w:snapToGrid w:val="0"/>
          <w:sz w:val="24"/>
          <w:szCs w:val="24"/>
        </w:rPr>
        <w:t xml:space="preserve">old the court </w:t>
      </w:r>
      <w:r>
        <w:rPr>
          <w:rFonts w:ascii="Arial" w:hAnsi="Arial" w:cs="Arial"/>
          <w:snapToGrid w:val="0"/>
          <w:sz w:val="24"/>
          <w:szCs w:val="24"/>
        </w:rPr>
        <w:t xml:space="preserve">that he saw Shine Mahupelo offload food which was then taken by Starline Tabakuza and Kennedy Tabakuza to Zambia where mealie meal was exchanged for meat. </w:t>
      </w:r>
      <w:r w:rsidR="003F2AC4">
        <w:rPr>
          <w:rFonts w:ascii="Arial" w:hAnsi="Arial" w:cs="Arial"/>
          <w:snapToGrid w:val="0"/>
          <w:sz w:val="24"/>
          <w:szCs w:val="24"/>
        </w:rPr>
        <w:t>It was w</w:t>
      </w:r>
      <w:r w:rsidR="009703F6">
        <w:rPr>
          <w:rFonts w:ascii="Arial" w:hAnsi="Arial" w:cs="Arial"/>
          <w:snapToGrid w:val="0"/>
          <w:sz w:val="24"/>
          <w:szCs w:val="24"/>
        </w:rPr>
        <w:t>i</w:t>
      </w:r>
      <w:r w:rsidR="002D2849">
        <w:rPr>
          <w:rFonts w:ascii="Arial" w:hAnsi="Arial" w:cs="Arial"/>
          <w:snapToGrid w:val="0"/>
          <w:sz w:val="24"/>
          <w:szCs w:val="24"/>
        </w:rPr>
        <w:t>t</w:t>
      </w:r>
      <w:r w:rsidR="009703F6">
        <w:rPr>
          <w:rFonts w:ascii="Arial" w:hAnsi="Arial" w:cs="Arial"/>
          <w:snapToGrid w:val="0"/>
          <w:sz w:val="24"/>
          <w:szCs w:val="24"/>
        </w:rPr>
        <w:t xml:space="preserve">ness </w:t>
      </w:r>
      <w:r w:rsidRPr="00092912">
        <w:rPr>
          <w:rFonts w:ascii="Arial" w:hAnsi="Arial" w:cs="Arial"/>
          <w:snapToGrid w:val="0"/>
          <w:sz w:val="24"/>
          <w:szCs w:val="24"/>
        </w:rPr>
        <w:t>Sinjabaa Hobby Habaini</w:t>
      </w:r>
      <w:r w:rsidR="003F2AC4">
        <w:rPr>
          <w:rFonts w:ascii="Arial" w:hAnsi="Arial" w:cs="Arial"/>
          <w:snapToGrid w:val="0"/>
          <w:sz w:val="24"/>
          <w:szCs w:val="24"/>
        </w:rPr>
        <w:t xml:space="preserve">’s evidence </w:t>
      </w:r>
      <w:r>
        <w:rPr>
          <w:rFonts w:ascii="Arial" w:hAnsi="Arial" w:cs="Arial"/>
          <w:snapToGrid w:val="0"/>
          <w:sz w:val="24"/>
          <w:szCs w:val="24"/>
        </w:rPr>
        <w:t>that he saw Bennet Mutuso in the company of Richwell Mahupelo and the former was carrying a travel bag and an AK 47 rifle. One Agrey Mwaba was the driver of the motor vehicle in question.</w:t>
      </w:r>
      <w:r w:rsidR="008F291F">
        <w:rPr>
          <w:rFonts w:ascii="Arial" w:hAnsi="Arial" w:cs="Arial"/>
          <w:snapToGrid w:val="0"/>
          <w:sz w:val="24"/>
          <w:szCs w:val="24"/>
        </w:rPr>
        <w:t xml:space="preserve"> </w:t>
      </w:r>
    </w:p>
    <w:p w:rsidR="00826766" w:rsidRPr="00826766" w:rsidRDefault="00826766" w:rsidP="00826766">
      <w:pPr>
        <w:spacing w:after="0" w:line="480" w:lineRule="auto"/>
        <w:ind w:left="360"/>
        <w:jc w:val="both"/>
        <w:rPr>
          <w:rFonts w:ascii="Arial" w:hAnsi="Arial" w:cs="Arial"/>
          <w:color w:val="000000" w:themeColor="text1"/>
          <w:sz w:val="24"/>
          <w:szCs w:val="24"/>
        </w:rPr>
      </w:pPr>
    </w:p>
    <w:p w:rsidR="000B16E1" w:rsidRDefault="000B16E1" w:rsidP="00356083">
      <w:pPr>
        <w:pStyle w:val="ListParagraph"/>
        <w:numPr>
          <w:ilvl w:val="0"/>
          <w:numId w:val="22"/>
        </w:numPr>
        <w:spacing w:after="0" w:line="480" w:lineRule="auto"/>
        <w:ind w:left="0" w:firstLine="0"/>
        <w:jc w:val="both"/>
        <w:rPr>
          <w:rFonts w:ascii="Arial" w:hAnsi="Arial" w:cs="Arial"/>
          <w:color w:val="000000" w:themeColor="text1"/>
          <w:sz w:val="24"/>
          <w:szCs w:val="24"/>
        </w:rPr>
      </w:pPr>
      <w:r>
        <w:rPr>
          <w:rFonts w:ascii="Arial" w:hAnsi="Arial" w:cs="Arial"/>
          <w:color w:val="000000" w:themeColor="text1"/>
          <w:sz w:val="24"/>
          <w:szCs w:val="24"/>
        </w:rPr>
        <w:t xml:space="preserve">Counsel further rightly contended </w:t>
      </w:r>
      <w:r w:rsidRPr="00D74DAC">
        <w:rPr>
          <w:rFonts w:ascii="Arial" w:hAnsi="Arial" w:cs="Arial"/>
          <w:color w:val="000000" w:themeColor="text1"/>
          <w:sz w:val="24"/>
          <w:szCs w:val="24"/>
        </w:rPr>
        <w:t xml:space="preserve">that during the </w:t>
      </w:r>
      <w:r>
        <w:rPr>
          <w:rFonts w:ascii="Arial" w:hAnsi="Arial" w:cs="Arial"/>
          <w:color w:val="000000" w:themeColor="text1"/>
          <w:sz w:val="24"/>
          <w:szCs w:val="24"/>
        </w:rPr>
        <w:t xml:space="preserve">criminal </w:t>
      </w:r>
      <w:r w:rsidRPr="00D74DAC">
        <w:rPr>
          <w:rFonts w:ascii="Arial" w:hAnsi="Arial" w:cs="Arial"/>
          <w:color w:val="000000" w:themeColor="text1"/>
          <w:sz w:val="24"/>
          <w:szCs w:val="24"/>
        </w:rPr>
        <w:t xml:space="preserve">trial </w:t>
      </w:r>
      <w:r>
        <w:rPr>
          <w:rFonts w:ascii="Arial" w:hAnsi="Arial" w:cs="Arial"/>
          <w:color w:val="000000" w:themeColor="text1"/>
          <w:sz w:val="24"/>
          <w:szCs w:val="24"/>
        </w:rPr>
        <w:t xml:space="preserve">the respondent </w:t>
      </w:r>
      <w:r w:rsidRPr="00D74DAC">
        <w:rPr>
          <w:rFonts w:ascii="Arial" w:hAnsi="Arial" w:cs="Arial"/>
          <w:color w:val="000000" w:themeColor="text1"/>
          <w:sz w:val="24"/>
          <w:szCs w:val="24"/>
        </w:rPr>
        <w:t xml:space="preserve">did not dispute that the witnesses who mentioned his name were referring to him. It was further </w:t>
      </w:r>
      <w:r>
        <w:rPr>
          <w:rFonts w:ascii="Arial" w:hAnsi="Arial" w:cs="Arial"/>
          <w:color w:val="000000" w:themeColor="text1"/>
          <w:sz w:val="24"/>
          <w:szCs w:val="24"/>
        </w:rPr>
        <w:t xml:space="preserve">correctly </w:t>
      </w:r>
      <w:r w:rsidRPr="00D74DAC">
        <w:rPr>
          <w:rFonts w:ascii="Arial" w:hAnsi="Arial" w:cs="Arial"/>
          <w:color w:val="000000" w:themeColor="text1"/>
          <w:sz w:val="24"/>
          <w:szCs w:val="24"/>
        </w:rPr>
        <w:t xml:space="preserve">contended that the respondent accepted </w:t>
      </w:r>
      <w:r>
        <w:rPr>
          <w:rFonts w:ascii="Arial" w:hAnsi="Arial" w:cs="Arial"/>
          <w:color w:val="000000" w:themeColor="text1"/>
          <w:sz w:val="24"/>
          <w:szCs w:val="24"/>
        </w:rPr>
        <w:t>during the trial t</w:t>
      </w:r>
      <w:r w:rsidRPr="00D74DAC">
        <w:rPr>
          <w:rFonts w:ascii="Arial" w:hAnsi="Arial" w:cs="Arial"/>
          <w:color w:val="000000" w:themeColor="text1"/>
          <w:sz w:val="24"/>
          <w:szCs w:val="24"/>
        </w:rPr>
        <w:t xml:space="preserve">hat the witness statements in possession of the </w:t>
      </w:r>
      <w:r>
        <w:rPr>
          <w:rFonts w:ascii="Arial" w:hAnsi="Arial" w:cs="Arial"/>
          <w:color w:val="000000" w:themeColor="text1"/>
          <w:sz w:val="24"/>
          <w:szCs w:val="24"/>
        </w:rPr>
        <w:t>p</w:t>
      </w:r>
      <w:r w:rsidRPr="00D74DAC">
        <w:rPr>
          <w:rFonts w:ascii="Arial" w:hAnsi="Arial" w:cs="Arial"/>
          <w:color w:val="000000" w:themeColor="text1"/>
          <w:sz w:val="24"/>
          <w:szCs w:val="24"/>
        </w:rPr>
        <w:t xml:space="preserve">rosecution made allegations concerning him. </w:t>
      </w:r>
      <w:r>
        <w:rPr>
          <w:rFonts w:ascii="Arial" w:hAnsi="Arial" w:cs="Arial"/>
          <w:color w:val="000000" w:themeColor="text1"/>
          <w:sz w:val="24"/>
          <w:szCs w:val="24"/>
        </w:rPr>
        <w:t xml:space="preserve">The respondent </w:t>
      </w:r>
      <w:r w:rsidRPr="00D74DAC">
        <w:rPr>
          <w:rFonts w:ascii="Arial" w:hAnsi="Arial" w:cs="Arial"/>
          <w:color w:val="000000" w:themeColor="text1"/>
          <w:sz w:val="24"/>
          <w:szCs w:val="24"/>
        </w:rPr>
        <w:t xml:space="preserve">further accepted that if the allegations were true, they would implicate him in </w:t>
      </w:r>
      <w:r w:rsidRPr="00D74DAC">
        <w:rPr>
          <w:rFonts w:ascii="Arial" w:hAnsi="Arial" w:cs="Arial"/>
          <w:color w:val="000000" w:themeColor="text1"/>
          <w:sz w:val="24"/>
          <w:szCs w:val="24"/>
        </w:rPr>
        <w:lastRenderedPageBreak/>
        <w:t>the comm</w:t>
      </w:r>
      <w:r>
        <w:rPr>
          <w:rFonts w:ascii="Arial" w:hAnsi="Arial" w:cs="Arial"/>
          <w:color w:val="000000" w:themeColor="text1"/>
          <w:sz w:val="24"/>
          <w:szCs w:val="24"/>
        </w:rPr>
        <w:t xml:space="preserve">ission of the offences charged, but he </w:t>
      </w:r>
      <w:r w:rsidRPr="00D74DAC">
        <w:rPr>
          <w:rFonts w:ascii="Arial" w:hAnsi="Arial" w:cs="Arial"/>
          <w:color w:val="000000" w:themeColor="text1"/>
          <w:sz w:val="24"/>
          <w:szCs w:val="24"/>
        </w:rPr>
        <w:t>maintained that the allegations were false</w:t>
      </w:r>
      <w:r w:rsidRPr="00C8335B">
        <w:rPr>
          <w:rFonts w:ascii="Arial" w:hAnsi="Arial" w:cs="Arial"/>
          <w:color w:val="000000" w:themeColor="text1"/>
          <w:sz w:val="24"/>
          <w:szCs w:val="24"/>
        </w:rPr>
        <w:t xml:space="preserve">. </w:t>
      </w:r>
      <w:r>
        <w:rPr>
          <w:rFonts w:ascii="Arial" w:hAnsi="Arial" w:cs="Arial"/>
          <w:color w:val="000000" w:themeColor="text1"/>
          <w:sz w:val="24"/>
          <w:szCs w:val="24"/>
        </w:rPr>
        <w:t xml:space="preserve">According to counsel, based on this </w:t>
      </w:r>
      <w:r w:rsidRPr="00C8335B">
        <w:rPr>
          <w:rFonts w:ascii="Arial" w:hAnsi="Arial" w:cs="Arial"/>
          <w:color w:val="000000" w:themeColor="text1"/>
          <w:sz w:val="24"/>
          <w:szCs w:val="24"/>
        </w:rPr>
        <w:t>evidence</w:t>
      </w:r>
      <w:r>
        <w:rPr>
          <w:rFonts w:ascii="Arial" w:hAnsi="Arial" w:cs="Arial"/>
          <w:color w:val="000000" w:themeColor="text1"/>
          <w:sz w:val="24"/>
          <w:szCs w:val="24"/>
        </w:rPr>
        <w:t xml:space="preserve">, the PG reasonably believed that the respondent had a case to answer beyond November 2011. </w:t>
      </w:r>
    </w:p>
    <w:p w:rsidR="007168A6" w:rsidRPr="007168A6" w:rsidRDefault="007168A6" w:rsidP="007168A6">
      <w:pPr>
        <w:spacing w:after="0" w:line="480" w:lineRule="auto"/>
        <w:ind w:left="360"/>
        <w:jc w:val="both"/>
        <w:rPr>
          <w:rFonts w:ascii="Arial" w:hAnsi="Arial" w:cs="Arial"/>
          <w:color w:val="000000" w:themeColor="text1"/>
          <w:sz w:val="24"/>
          <w:szCs w:val="24"/>
        </w:rPr>
      </w:pPr>
    </w:p>
    <w:p w:rsidR="000B16E1" w:rsidRPr="00ED2243" w:rsidRDefault="000B16E1" w:rsidP="00356083">
      <w:pPr>
        <w:pStyle w:val="ListParagraph"/>
        <w:numPr>
          <w:ilvl w:val="0"/>
          <w:numId w:val="22"/>
        </w:numPr>
        <w:spacing w:after="0" w:line="480" w:lineRule="auto"/>
        <w:ind w:left="0" w:firstLine="0"/>
        <w:jc w:val="both"/>
        <w:rPr>
          <w:rFonts w:ascii="Arial" w:hAnsi="Arial" w:cs="Arial"/>
          <w:color w:val="000000" w:themeColor="text1"/>
          <w:sz w:val="24"/>
          <w:szCs w:val="24"/>
        </w:rPr>
      </w:pPr>
      <w:r>
        <w:rPr>
          <w:rFonts w:ascii="Arial" w:hAnsi="Arial" w:cs="Arial"/>
          <w:color w:val="000000" w:themeColor="text1"/>
          <w:sz w:val="24"/>
          <w:szCs w:val="24"/>
        </w:rPr>
        <w:t xml:space="preserve">It was also submitted that neither the PG </w:t>
      </w:r>
      <w:r>
        <w:rPr>
          <w:rFonts w:ascii="Arial" w:hAnsi="Arial" w:cs="Arial"/>
          <w:sz w:val="24"/>
          <w:szCs w:val="24"/>
        </w:rPr>
        <w:t xml:space="preserve">nor </w:t>
      </w:r>
      <w:r w:rsidR="00826766">
        <w:rPr>
          <w:rFonts w:ascii="Arial" w:hAnsi="Arial" w:cs="Arial"/>
          <w:sz w:val="24"/>
          <w:szCs w:val="24"/>
        </w:rPr>
        <w:t xml:space="preserve">those delegated by her </w:t>
      </w:r>
      <w:r>
        <w:rPr>
          <w:rFonts w:ascii="Arial" w:hAnsi="Arial" w:cs="Arial"/>
          <w:sz w:val="24"/>
          <w:szCs w:val="24"/>
        </w:rPr>
        <w:t xml:space="preserve">were </w:t>
      </w:r>
      <w:r w:rsidRPr="00DE045A">
        <w:rPr>
          <w:rFonts w:ascii="Arial" w:hAnsi="Arial" w:cs="Arial"/>
          <w:sz w:val="24"/>
          <w:szCs w:val="24"/>
        </w:rPr>
        <w:t xml:space="preserve">in a position to know that all the evidence that would implicate the </w:t>
      </w:r>
      <w:r>
        <w:rPr>
          <w:rFonts w:ascii="Arial" w:hAnsi="Arial" w:cs="Arial"/>
          <w:sz w:val="24"/>
          <w:szCs w:val="24"/>
        </w:rPr>
        <w:t xml:space="preserve">respondent </w:t>
      </w:r>
      <w:r w:rsidRPr="00DE045A">
        <w:rPr>
          <w:rFonts w:ascii="Arial" w:hAnsi="Arial" w:cs="Arial"/>
          <w:sz w:val="24"/>
          <w:szCs w:val="24"/>
        </w:rPr>
        <w:t>was presented</w:t>
      </w:r>
      <w:r w:rsidRPr="00DE045A">
        <w:rPr>
          <w:rFonts w:ascii="Arial" w:hAnsi="Arial" w:cs="Arial"/>
          <w:color w:val="000000" w:themeColor="text1"/>
          <w:sz w:val="24"/>
          <w:szCs w:val="24"/>
        </w:rPr>
        <w:t xml:space="preserve"> </w:t>
      </w:r>
      <w:r>
        <w:rPr>
          <w:rFonts w:ascii="Arial" w:hAnsi="Arial" w:cs="Arial"/>
          <w:color w:val="000000" w:themeColor="text1"/>
          <w:sz w:val="24"/>
          <w:szCs w:val="24"/>
        </w:rPr>
        <w:t xml:space="preserve">and that all the witnesses that </w:t>
      </w:r>
      <w:r w:rsidRPr="00A14DE7">
        <w:rPr>
          <w:rFonts w:ascii="Arial" w:hAnsi="Arial" w:cs="Arial"/>
          <w:color w:val="000000" w:themeColor="text1"/>
          <w:sz w:val="24"/>
          <w:szCs w:val="24"/>
        </w:rPr>
        <w:t xml:space="preserve">could implicate the respondent had completed their testimonies, </w:t>
      </w:r>
      <w:r w:rsidRPr="00A14DE7">
        <w:rPr>
          <w:rFonts w:ascii="Arial" w:hAnsi="Arial" w:cs="Arial"/>
          <w:sz w:val="24"/>
          <w:szCs w:val="24"/>
        </w:rPr>
        <w:t>because they did not perform regular appraisals of the evidence</w:t>
      </w:r>
      <w:r>
        <w:rPr>
          <w:rFonts w:ascii="Arial" w:hAnsi="Arial" w:cs="Arial"/>
          <w:sz w:val="24"/>
          <w:szCs w:val="24"/>
        </w:rPr>
        <w:t xml:space="preserve"> with respect to each accused person</w:t>
      </w:r>
      <w:r w:rsidRPr="00ED2243">
        <w:rPr>
          <w:rFonts w:ascii="Arial" w:hAnsi="Arial" w:cs="Arial"/>
          <w:color w:val="000000" w:themeColor="text1"/>
          <w:sz w:val="24"/>
          <w:szCs w:val="24"/>
        </w:rPr>
        <w:t xml:space="preserve">. </w:t>
      </w:r>
      <w:r>
        <w:rPr>
          <w:rFonts w:ascii="Arial" w:hAnsi="Arial" w:cs="Arial"/>
          <w:color w:val="000000" w:themeColor="text1"/>
          <w:sz w:val="24"/>
          <w:szCs w:val="24"/>
        </w:rPr>
        <w:t>Counsel argued that the contention made on behalf of the respondent that the criminal proceedings</w:t>
      </w:r>
      <w:r w:rsidRPr="00ED2243">
        <w:rPr>
          <w:rFonts w:ascii="Arial" w:hAnsi="Arial" w:cs="Arial"/>
          <w:color w:val="000000" w:themeColor="text1"/>
          <w:sz w:val="24"/>
          <w:szCs w:val="24"/>
        </w:rPr>
        <w:t xml:space="preserve"> should have been terminated by March 2006</w:t>
      </w:r>
      <w:r>
        <w:rPr>
          <w:rFonts w:ascii="Arial" w:hAnsi="Arial" w:cs="Arial"/>
          <w:color w:val="000000" w:themeColor="text1"/>
          <w:sz w:val="24"/>
          <w:szCs w:val="24"/>
        </w:rPr>
        <w:t xml:space="preserve"> was mi</w:t>
      </w:r>
      <w:r w:rsidRPr="00ED2243">
        <w:rPr>
          <w:rFonts w:ascii="Arial" w:hAnsi="Arial" w:cs="Arial"/>
          <w:color w:val="000000" w:themeColor="text1"/>
          <w:sz w:val="24"/>
          <w:szCs w:val="24"/>
        </w:rPr>
        <w:t>splaced as by this time not all witnesses that nam</w:t>
      </w:r>
      <w:r>
        <w:rPr>
          <w:rFonts w:ascii="Arial" w:hAnsi="Arial" w:cs="Arial"/>
          <w:color w:val="000000" w:themeColor="text1"/>
          <w:sz w:val="24"/>
          <w:szCs w:val="24"/>
        </w:rPr>
        <w:t>ed the respondent had testified. Counsel submitted that the trial record reveals that the</w:t>
      </w:r>
      <w:r w:rsidRPr="00ED2243">
        <w:rPr>
          <w:rFonts w:ascii="Arial" w:hAnsi="Arial" w:cs="Arial"/>
          <w:color w:val="000000" w:themeColor="text1"/>
          <w:sz w:val="24"/>
          <w:szCs w:val="24"/>
        </w:rPr>
        <w:t xml:space="preserve"> last witness testified </w:t>
      </w:r>
      <w:r w:rsidRPr="00A62A2A">
        <w:rPr>
          <w:rFonts w:ascii="Arial" w:hAnsi="Arial" w:cs="Arial"/>
          <w:color w:val="000000" w:themeColor="text1"/>
          <w:sz w:val="24"/>
          <w:szCs w:val="24"/>
        </w:rPr>
        <w:t>only on 6 J</w:t>
      </w:r>
      <w:r w:rsidRPr="00ED2243">
        <w:rPr>
          <w:rFonts w:ascii="Arial" w:hAnsi="Arial" w:cs="Arial"/>
          <w:color w:val="000000" w:themeColor="text1"/>
          <w:sz w:val="24"/>
          <w:szCs w:val="24"/>
        </w:rPr>
        <w:t>une 201</w:t>
      </w:r>
      <w:r>
        <w:rPr>
          <w:rFonts w:ascii="Arial" w:hAnsi="Arial" w:cs="Arial"/>
          <w:color w:val="000000" w:themeColor="text1"/>
          <w:sz w:val="24"/>
          <w:szCs w:val="24"/>
        </w:rPr>
        <w:t>1</w:t>
      </w:r>
      <w:r w:rsidRPr="00ED2243">
        <w:rPr>
          <w:rFonts w:ascii="Arial" w:hAnsi="Arial" w:cs="Arial"/>
          <w:color w:val="000000" w:themeColor="text1"/>
          <w:sz w:val="24"/>
          <w:szCs w:val="24"/>
        </w:rPr>
        <w:t xml:space="preserve">. </w:t>
      </w:r>
    </w:p>
    <w:p w:rsidR="000B16E1" w:rsidRPr="00ED2243" w:rsidRDefault="000B16E1" w:rsidP="00FA66E4">
      <w:pPr>
        <w:pStyle w:val="ListParagraph"/>
        <w:spacing w:after="0" w:line="480" w:lineRule="auto"/>
        <w:jc w:val="both"/>
        <w:rPr>
          <w:rFonts w:ascii="Arial" w:hAnsi="Arial" w:cs="Arial"/>
          <w:color w:val="000000" w:themeColor="text1"/>
          <w:sz w:val="24"/>
          <w:szCs w:val="24"/>
        </w:rPr>
      </w:pPr>
    </w:p>
    <w:p w:rsidR="000B16E1" w:rsidRDefault="000B16E1" w:rsidP="00692B2C">
      <w:pPr>
        <w:pStyle w:val="ListParagraph"/>
        <w:numPr>
          <w:ilvl w:val="0"/>
          <w:numId w:val="22"/>
        </w:numPr>
        <w:spacing w:after="0" w:line="480" w:lineRule="auto"/>
        <w:ind w:left="0" w:firstLine="0"/>
        <w:jc w:val="both"/>
        <w:rPr>
          <w:rFonts w:ascii="Arial" w:hAnsi="Arial" w:cs="Arial"/>
          <w:color w:val="000000" w:themeColor="text1"/>
          <w:sz w:val="24"/>
          <w:szCs w:val="24"/>
        </w:rPr>
      </w:pPr>
      <w:r w:rsidRPr="00ED2243">
        <w:rPr>
          <w:rFonts w:ascii="Arial" w:hAnsi="Arial" w:cs="Arial"/>
          <w:color w:val="000000" w:themeColor="text1"/>
          <w:sz w:val="24"/>
          <w:szCs w:val="24"/>
        </w:rPr>
        <w:t>Counsel further point</w:t>
      </w:r>
      <w:r w:rsidR="00692B2C">
        <w:rPr>
          <w:rFonts w:ascii="Arial" w:hAnsi="Arial" w:cs="Arial"/>
          <w:color w:val="000000" w:themeColor="text1"/>
          <w:sz w:val="24"/>
          <w:szCs w:val="24"/>
        </w:rPr>
        <w:t>ed</w:t>
      </w:r>
      <w:r w:rsidRPr="00ED2243">
        <w:rPr>
          <w:rFonts w:ascii="Arial" w:hAnsi="Arial" w:cs="Arial"/>
          <w:color w:val="000000" w:themeColor="text1"/>
          <w:sz w:val="24"/>
          <w:szCs w:val="24"/>
        </w:rPr>
        <w:t xml:space="preserve"> </w:t>
      </w:r>
      <w:r w:rsidR="005031FE">
        <w:rPr>
          <w:rFonts w:ascii="Arial" w:hAnsi="Arial" w:cs="Arial"/>
          <w:color w:val="000000" w:themeColor="text1"/>
          <w:sz w:val="24"/>
          <w:szCs w:val="24"/>
        </w:rPr>
        <w:t>out that</w:t>
      </w:r>
      <w:r w:rsidRPr="00ED2243">
        <w:rPr>
          <w:rFonts w:ascii="Arial" w:hAnsi="Arial" w:cs="Arial"/>
          <w:color w:val="000000" w:themeColor="text1"/>
          <w:sz w:val="24"/>
          <w:szCs w:val="24"/>
        </w:rPr>
        <w:t xml:space="preserve"> it could have been risky and prejudicial to the State’s case to stop the prosecution at any of the stages proposed by the respondent, because there were instances where witnesses implicated certain accused persons that they did not refer to in their written statements to the </w:t>
      </w:r>
      <w:r>
        <w:rPr>
          <w:rFonts w:ascii="Arial" w:hAnsi="Arial" w:cs="Arial"/>
          <w:color w:val="000000" w:themeColor="text1"/>
          <w:sz w:val="24"/>
          <w:szCs w:val="24"/>
        </w:rPr>
        <w:t>p</w:t>
      </w:r>
      <w:r w:rsidRPr="00ED2243">
        <w:rPr>
          <w:rFonts w:ascii="Arial" w:hAnsi="Arial" w:cs="Arial"/>
          <w:color w:val="000000" w:themeColor="text1"/>
          <w:sz w:val="24"/>
          <w:szCs w:val="24"/>
        </w:rPr>
        <w:t xml:space="preserve">olice. </w:t>
      </w:r>
      <w:r>
        <w:rPr>
          <w:rFonts w:ascii="Arial" w:hAnsi="Arial" w:cs="Arial"/>
          <w:color w:val="000000" w:themeColor="text1"/>
          <w:sz w:val="24"/>
          <w:szCs w:val="24"/>
        </w:rPr>
        <w:t>According to counsel</w:t>
      </w:r>
      <w:r w:rsidRPr="00ED2243">
        <w:rPr>
          <w:rFonts w:ascii="Arial" w:hAnsi="Arial" w:cs="Arial"/>
          <w:color w:val="000000" w:themeColor="text1"/>
          <w:sz w:val="24"/>
          <w:szCs w:val="24"/>
        </w:rPr>
        <w:t>, there was a possibility that wi</w:t>
      </w:r>
      <w:r>
        <w:rPr>
          <w:rFonts w:ascii="Arial" w:hAnsi="Arial" w:cs="Arial"/>
          <w:color w:val="000000" w:themeColor="text1"/>
          <w:sz w:val="24"/>
          <w:szCs w:val="24"/>
        </w:rPr>
        <w:t xml:space="preserve">tnesses called after November 2011 </w:t>
      </w:r>
      <w:r w:rsidRPr="00ED2243">
        <w:rPr>
          <w:rFonts w:ascii="Arial" w:hAnsi="Arial" w:cs="Arial"/>
          <w:color w:val="000000" w:themeColor="text1"/>
          <w:sz w:val="24"/>
          <w:szCs w:val="24"/>
        </w:rPr>
        <w:t xml:space="preserve">could implicate the respondent.  It was also contended that based on the available witness statements and the evidence during the trial, common purpose or a conspiracy to overthrow the Namibian government was </w:t>
      </w:r>
      <w:r w:rsidRPr="007442E3">
        <w:rPr>
          <w:rFonts w:ascii="Arial" w:hAnsi="Arial" w:cs="Arial"/>
          <w:i/>
          <w:color w:val="000000" w:themeColor="text1"/>
          <w:sz w:val="24"/>
          <w:szCs w:val="24"/>
        </w:rPr>
        <w:t>prima facie</w:t>
      </w:r>
      <w:r w:rsidRPr="00ED2243">
        <w:rPr>
          <w:rFonts w:ascii="Arial" w:hAnsi="Arial" w:cs="Arial"/>
          <w:color w:val="000000" w:themeColor="text1"/>
          <w:sz w:val="24"/>
          <w:szCs w:val="24"/>
        </w:rPr>
        <w:t xml:space="preserve"> established and as such, the second appellant believed that </w:t>
      </w:r>
      <w:r w:rsidRPr="00ED2243">
        <w:rPr>
          <w:rFonts w:ascii="Arial" w:hAnsi="Arial" w:cs="Arial"/>
          <w:color w:val="000000" w:themeColor="text1"/>
          <w:sz w:val="24"/>
          <w:szCs w:val="24"/>
        </w:rPr>
        <w:lastRenderedPageBreak/>
        <w:t xml:space="preserve">there was a possibility that the State’s case could be strengthened during the </w:t>
      </w:r>
      <w:r>
        <w:rPr>
          <w:rFonts w:ascii="Arial" w:hAnsi="Arial" w:cs="Arial"/>
          <w:color w:val="000000" w:themeColor="text1"/>
          <w:sz w:val="24"/>
          <w:szCs w:val="24"/>
        </w:rPr>
        <w:t xml:space="preserve">defence </w:t>
      </w:r>
      <w:r w:rsidRPr="00ED2243">
        <w:rPr>
          <w:rFonts w:ascii="Arial" w:hAnsi="Arial" w:cs="Arial"/>
          <w:color w:val="000000" w:themeColor="text1"/>
          <w:sz w:val="24"/>
          <w:szCs w:val="24"/>
        </w:rPr>
        <w:t xml:space="preserve">case. </w:t>
      </w:r>
    </w:p>
    <w:p w:rsidR="00692B2C" w:rsidRPr="00692B2C" w:rsidRDefault="00692B2C" w:rsidP="00FA66E4">
      <w:pPr>
        <w:pStyle w:val="ListParagraph"/>
        <w:spacing w:after="0" w:line="480" w:lineRule="auto"/>
        <w:jc w:val="both"/>
        <w:rPr>
          <w:rFonts w:ascii="Arial" w:hAnsi="Arial" w:cs="Arial"/>
          <w:color w:val="000000" w:themeColor="text1"/>
          <w:sz w:val="24"/>
          <w:szCs w:val="24"/>
        </w:rPr>
      </w:pPr>
    </w:p>
    <w:p w:rsidR="000B16E1" w:rsidRDefault="000B16E1" w:rsidP="00356083">
      <w:pPr>
        <w:pStyle w:val="ListParagraph"/>
        <w:numPr>
          <w:ilvl w:val="0"/>
          <w:numId w:val="22"/>
        </w:numPr>
        <w:spacing w:after="0" w:line="480" w:lineRule="auto"/>
        <w:ind w:left="0" w:firstLine="0"/>
        <w:jc w:val="both"/>
        <w:rPr>
          <w:rFonts w:ascii="Arial" w:hAnsi="Arial" w:cs="Arial"/>
          <w:color w:val="000000" w:themeColor="text1"/>
          <w:sz w:val="24"/>
          <w:szCs w:val="24"/>
        </w:rPr>
      </w:pPr>
      <w:r>
        <w:rPr>
          <w:rFonts w:ascii="Arial" w:hAnsi="Arial" w:cs="Arial"/>
          <w:color w:val="000000" w:themeColor="text1"/>
          <w:sz w:val="24"/>
          <w:szCs w:val="24"/>
        </w:rPr>
        <w:t xml:space="preserve">Counsel for the respondent in support of the judgment </w:t>
      </w:r>
      <w:r w:rsidRPr="000E0844">
        <w:rPr>
          <w:rFonts w:ascii="Arial" w:hAnsi="Arial" w:cs="Arial"/>
          <w:i/>
          <w:color w:val="000000" w:themeColor="text1"/>
          <w:sz w:val="24"/>
          <w:szCs w:val="24"/>
        </w:rPr>
        <w:t>a quo</w:t>
      </w:r>
      <w:r>
        <w:rPr>
          <w:rFonts w:ascii="Arial" w:hAnsi="Arial" w:cs="Arial"/>
          <w:i/>
          <w:color w:val="000000" w:themeColor="text1"/>
          <w:sz w:val="24"/>
          <w:szCs w:val="24"/>
        </w:rPr>
        <w:t xml:space="preserve"> </w:t>
      </w:r>
      <w:r w:rsidRPr="00F15D8B">
        <w:rPr>
          <w:rFonts w:ascii="Arial" w:hAnsi="Arial" w:cs="Arial"/>
          <w:color w:val="000000" w:themeColor="text1"/>
          <w:sz w:val="24"/>
          <w:szCs w:val="24"/>
        </w:rPr>
        <w:t>argued</w:t>
      </w:r>
      <w:r>
        <w:rPr>
          <w:rFonts w:ascii="Arial" w:hAnsi="Arial" w:cs="Arial"/>
          <w:color w:val="000000" w:themeColor="text1"/>
          <w:sz w:val="24"/>
          <w:szCs w:val="24"/>
        </w:rPr>
        <w:t xml:space="preserve"> that had the PG and/or her employees carried out regular appraisals of the evidence at their disposal, the length of the trial against those accused persons not found guilty and discharged at </w:t>
      </w:r>
      <w:r w:rsidRPr="00E6740A">
        <w:rPr>
          <w:rFonts w:ascii="Arial" w:hAnsi="Arial" w:cs="Arial"/>
          <w:color w:val="000000" w:themeColor="text1"/>
          <w:sz w:val="24"/>
          <w:szCs w:val="24"/>
        </w:rPr>
        <w:t xml:space="preserve">the close of the State case </w:t>
      </w:r>
      <w:r>
        <w:rPr>
          <w:rFonts w:ascii="Arial" w:hAnsi="Arial" w:cs="Arial"/>
          <w:color w:val="000000" w:themeColor="text1"/>
          <w:sz w:val="24"/>
          <w:szCs w:val="24"/>
        </w:rPr>
        <w:t xml:space="preserve">could have been shortened. According to counsel, if regular assessments of the evidence were carried out, the PG and/or her employees would have realised that they did not have sufficient evidence to continue with the prosecution of the respondent beyond March 2006, alternatively November 2011. </w:t>
      </w:r>
    </w:p>
    <w:p w:rsidR="00692B2C" w:rsidRPr="00692B2C" w:rsidRDefault="00692B2C" w:rsidP="00FA66E4">
      <w:pPr>
        <w:pStyle w:val="ListParagraph"/>
        <w:spacing w:after="0" w:line="480" w:lineRule="auto"/>
        <w:jc w:val="both"/>
        <w:rPr>
          <w:rFonts w:ascii="Arial" w:hAnsi="Arial" w:cs="Arial"/>
          <w:color w:val="000000" w:themeColor="text1"/>
          <w:sz w:val="24"/>
          <w:szCs w:val="24"/>
        </w:rPr>
      </w:pPr>
    </w:p>
    <w:p w:rsidR="000B16E1" w:rsidRDefault="000B16E1" w:rsidP="00356083">
      <w:pPr>
        <w:pStyle w:val="ListParagraph"/>
        <w:numPr>
          <w:ilvl w:val="0"/>
          <w:numId w:val="22"/>
        </w:numPr>
        <w:spacing w:after="0" w:line="480" w:lineRule="auto"/>
        <w:ind w:left="0" w:firstLine="0"/>
        <w:jc w:val="both"/>
        <w:rPr>
          <w:rFonts w:ascii="Arial" w:hAnsi="Arial" w:cs="Arial"/>
          <w:color w:val="000000" w:themeColor="text1"/>
          <w:sz w:val="24"/>
          <w:szCs w:val="24"/>
        </w:rPr>
      </w:pPr>
      <w:r>
        <w:rPr>
          <w:rFonts w:ascii="Arial" w:hAnsi="Arial" w:cs="Arial"/>
          <w:color w:val="000000" w:themeColor="text1"/>
          <w:sz w:val="24"/>
          <w:szCs w:val="24"/>
        </w:rPr>
        <w:t xml:space="preserve">On behalf of the respondent, counsel also objected to the argument that </w:t>
      </w:r>
      <w:r w:rsidRPr="00ED2243">
        <w:rPr>
          <w:rFonts w:ascii="Arial" w:hAnsi="Arial" w:cs="Arial"/>
          <w:color w:val="000000" w:themeColor="text1"/>
          <w:sz w:val="24"/>
          <w:szCs w:val="24"/>
        </w:rPr>
        <w:t xml:space="preserve">it could have been risky and prejudicial to the State’s case to stop the prosecution at any of the stages </w:t>
      </w:r>
      <w:r>
        <w:rPr>
          <w:rFonts w:ascii="Arial" w:hAnsi="Arial" w:cs="Arial"/>
          <w:color w:val="000000" w:themeColor="text1"/>
          <w:sz w:val="24"/>
          <w:szCs w:val="24"/>
        </w:rPr>
        <w:t xml:space="preserve">advanced in argument </w:t>
      </w:r>
      <w:r w:rsidRPr="00ED2243">
        <w:rPr>
          <w:rFonts w:ascii="Arial" w:hAnsi="Arial" w:cs="Arial"/>
          <w:color w:val="000000" w:themeColor="text1"/>
          <w:sz w:val="24"/>
          <w:szCs w:val="24"/>
        </w:rPr>
        <w:t>by the respondent</w:t>
      </w:r>
      <w:r>
        <w:rPr>
          <w:rFonts w:ascii="Arial" w:hAnsi="Arial" w:cs="Arial"/>
          <w:color w:val="000000" w:themeColor="text1"/>
          <w:sz w:val="24"/>
          <w:szCs w:val="24"/>
        </w:rPr>
        <w:t>.</w:t>
      </w:r>
      <w:r w:rsidRPr="00ED2243">
        <w:rPr>
          <w:rFonts w:ascii="Arial" w:hAnsi="Arial" w:cs="Arial"/>
          <w:color w:val="000000" w:themeColor="text1"/>
          <w:sz w:val="24"/>
          <w:szCs w:val="24"/>
        </w:rPr>
        <w:t xml:space="preserve"> </w:t>
      </w:r>
      <w:r>
        <w:rPr>
          <w:rFonts w:ascii="Arial" w:hAnsi="Arial" w:cs="Arial"/>
          <w:color w:val="000000" w:themeColor="text1"/>
          <w:sz w:val="24"/>
          <w:szCs w:val="24"/>
        </w:rPr>
        <w:t xml:space="preserve">Counsel argued that such a belief is entirely </w:t>
      </w:r>
      <w:r w:rsidR="005031FE">
        <w:rPr>
          <w:rFonts w:ascii="Arial" w:hAnsi="Arial" w:cs="Arial"/>
          <w:color w:val="000000" w:themeColor="text1"/>
          <w:sz w:val="24"/>
          <w:szCs w:val="24"/>
        </w:rPr>
        <w:t xml:space="preserve">based </w:t>
      </w:r>
      <w:r>
        <w:rPr>
          <w:rFonts w:ascii="Arial" w:hAnsi="Arial" w:cs="Arial"/>
          <w:color w:val="000000" w:themeColor="text1"/>
          <w:sz w:val="24"/>
          <w:szCs w:val="24"/>
        </w:rPr>
        <w:t xml:space="preserve">upon speculation and thus could not be reasonably held by the PG </w:t>
      </w:r>
      <w:r w:rsidRPr="00307FD9">
        <w:rPr>
          <w:rFonts w:ascii="Arial" w:hAnsi="Arial" w:cs="Arial"/>
          <w:color w:val="000000" w:themeColor="text1"/>
          <w:sz w:val="24"/>
          <w:szCs w:val="24"/>
        </w:rPr>
        <w:t>and</w:t>
      </w:r>
      <w:r>
        <w:rPr>
          <w:rFonts w:ascii="Arial" w:hAnsi="Arial" w:cs="Arial"/>
          <w:color w:val="000000" w:themeColor="text1"/>
          <w:sz w:val="24"/>
          <w:szCs w:val="24"/>
        </w:rPr>
        <w:t>/</w:t>
      </w:r>
      <w:r w:rsidRPr="00307FD9">
        <w:rPr>
          <w:rFonts w:ascii="Arial" w:hAnsi="Arial" w:cs="Arial"/>
          <w:color w:val="000000" w:themeColor="text1"/>
          <w:sz w:val="24"/>
          <w:szCs w:val="24"/>
        </w:rPr>
        <w:t>or her</w:t>
      </w:r>
      <w:r>
        <w:rPr>
          <w:rFonts w:ascii="Arial" w:hAnsi="Arial" w:cs="Arial"/>
          <w:color w:val="000000" w:themeColor="text1"/>
          <w:sz w:val="24"/>
          <w:szCs w:val="24"/>
        </w:rPr>
        <w:t xml:space="preserve"> employees.</w:t>
      </w:r>
    </w:p>
    <w:p w:rsidR="002E7459" w:rsidRPr="002E7459" w:rsidRDefault="002E7459" w:rsidP="002E7459">
      <w:pPr>
        <w:spacing w:after="0" w:line="480" w:lineRule="auto"/>
        <w:ind w:left="360"/>
        <w:jc w:val="both"/>
        <w:rPr>
          <w:rFonts w:ascii="Arial" w:hAnsi="Arial" w:cs="Arial"/>
          <w:color w:val="000000" w:themeColor="text1"/>
          <w:sz w:val="24"/>
          <w:szCs w:val="24"/>
        </w:rPr>
      </w:pPr>
    </w:p>
    <w:p w:rsidR="000B16E1" w:rsidRPr="00F53BC9" w:rsidRDefault="000B16E1" w:rsidP="00356083">
      <w:pPr>
        <w:pStyle w:val="ListParagraph"/>
        <w:numPr>
          <w:ilvl w:val="0"/>
          <w:numId w:val="22"/>
        </w:numPr>
        <w:spacing w:after="0" w:line="480" w:lineRule="auto"/>
        <w:ind w:left="0" w:firstLine="0"/>
        <w:jc w:val="both"/>
        <w:rPr>
          <w:rFonts w:ascii="Arial" w:hAnsi="Arial" w:cs="Arial"/>
          <w:color w:val="000000" w:themeColor="text1"/>
          <w:sz w:val="24"/>
          <w:szCs w:val="24"/>
        </w:rPr>
      </w:pPr>
      <w:r>
        <w:rPr>
          <w:rFonts w:ascii="Arial" w:hAnsi="Arial" w:cs="Arial"/>
          <w:color w:val="000000" w:themeColor="text1"/>
          <w:sz w:val="24"/>
          <w:szCs w:val="24"/>
        </w:rPr>
        <w:t xml:space="preserve">Counsel further submitted that it was also speculative on the part of the PG and/or her employees to hold the belief that their case based on common purpose or </w:t>
      </w:r>
      <w:r w:rsidRPr="00ED2243">
        <w:rPr>
          <w:rFonts w:ascii="Arial" w:hAnsi="Arial" w:cs="Arial"/>
          <w:color w:val="000000" w:themeColor="text1"/>
          <w:sz w:val="24"/>
          <w:szCs w:val="24"/>
        </w:rPr>
        <w:t xml:space="preserve">conspiracy </w:t>
      </w:r>
      <w:r>
        <w:rPr>
          <w:rFonts w:ascii="Arial" w:hAnsi="Arial" w:cs="Arial"/>
          <w:color w:val="000000" w:themeColor="text1"/>
          <w:sz w:val="24"/>
          <w:szCs w:val="24"/>
        </w:rPr>
        <w:t>co</w:t>
      </w:r>
      <w:r w:rsidRPr="00ED2243">
        <w:rPr>
          <w:rFonts w:ascii="Arial" w:hAnsi="Arial" w:cs="Arial"/>
          <w:color w:val="000000" w:themeColor="text1"/>
          <w:sz w:val="24"/>
          <w:szCs w:val="24"/>
        </w:rPr>
        <w:t xml:space="preserve">uld be strengthened during the case of the defence. </w:t>
      </w:r>
      <w:r>
        <w:rPr>
          <w:rFonts w:ascii="Arial" w:hAnsi="Arial" w:cs="Arial"/>
          <w:color w:val="000000" w:themeColor="text1"/>
          <w:sz w:val="24"/>
          <w:szCs w:val="24"/>
        </w:rPr>
        <w:t xml:space="preserve">Counsel submitted that the criminal trial against all the accused persons took </w:t>
      </w:r>
      <w:r w:rsidR="00A33C88">
        <w:rPr>
          <w:rFonts w:ascii="Arial" w:hAnsi="Arial" w:cs="Arial"/>
          <w:color w:val="000000" w:themeColor="text1"/>
          <w:sz w:val="24"/>
          <w:szCs w:val="24"/>
        </w:rPr>
        <w:t>‘fifteen years’</w:t>
      </w:r>
      <w:r>
        <w:rPr>
          <w:rFonts w:ascii="Arial" w:hAnsi="Arial" w:cs="Arial"/>
          <w:color w:val="000000" w:themeColor="text1"/>
          <w:sz w:val="24"/>
          <w:szCs w:val="24"/>
        </w:rPr>
        <w:t xml:space="preserve"> to finalise. Counsel contended that when one has regard to the proposition advanced by the PG, it becomes apparent that the PG found it acceptable to put the respondent on trial for 15 years (should he not </w:t>
      </w:r>
      <w:r w:rsidR="00881BE4">
        <w:rPr>
          <w:rFonts w:ascii="Arial" w:hAnsi="Arial" w:cs="Arial"/>
          <w:color w:val="000000" w:themeColor="text1"/>
          <w:sz w:val="24"/>
          <w:szCs w:val="24"/>
        </w:rPr>
        <w:lastRenderedPageBreak/>
        <w:t xml:space="preserve">have </w:t>
      </w:r>
      <w:r>
        <w:rPr>
          <w:rFonts w:ascii="Arial" w:hAnsi="Arial" w:cs="Arial"/>
          <w:color w:val="000000" w:themeColor="text1"/>
          <w:sz w:val="24"/>
          <w:szCs w:val="24"/>
        </w:rPr>
        <w:t xml:space="preserve">been discharged) on account of </w:t>
      </w:r>
      <w:r w:rsidR="00A33C88">
        <w:rPr>
          <w:rFonts w:ascii="Arial" w:hAnsi="Arial" w:cs="Arial"/>
          <w:color w:val="000000" w:themeColor="text1"/>
          <w:sz w:val="24"/>
          <w:szCs w:val="24"/>
        </w:rPr>
        <w:t>‘</w:t>
      </w:r>
      <w:r>
        <w:rPr>
          <w:rFonts w:ascii="Arial" w:hAnsi="Arial" w:cs="Arial"/>
          <w:color w:val="000000" w:themeColor="text1"/>
          <w:sz w:val="24"/>
          <w:szCs w:val="24"/>
        </w:rPr>
        <w:t>flimsy evidence</w:t>
      </w:r>
      <w:r w:rsidR="00A33C88">
        <w:rPr>
          <w:rFonts w:ascii="Arial" w:hAnsi="Arial" w:cs="Arial"/>
          <w:color w:val="000000" w:themeColor="text1"/>
          <w:sz w:val="24"/>
          <w:szCs w:val="24"/>
        </w:rPr>
        <w:t>’</w:t>
      </w:r>
      <w:r>
        <w:rPr>
          <w:rFonts w:ascii="Arial" w:hAnsi="Arial" w:cs="Arial"/>
          <w:color w:val="000000" w:themeColor="text1"/>
          <w:sz w:val="24"/>
          <w:szCs w:val="24"/>
        </w:rPr>
        <w:t xml:space="preserve">, in the hope that the respondent himself or his co-accused would build a case against him. </w:t>
      </w:r>
      <w:r w:rsidRPr="00F53BC9">
        <w:rPr>
          <w:rFonts w:ascii="Arial" w:hAnsi="Arial" w:cs="Arial"/>
          <w:color w:val="000000" w:themeColor="text1"/>
          <w:sz w:val="24"/>
          <w:szCs w:val="24"/>
        </w:rPr>
        <w:t>Counsel c</w:t>
      </w:r>
      <w:r>
        <w:rPr>
          <w:rFonts w:ascii="Arial" w:hAnsi="Arial" w:cs="Arial"/>
          <w:color w:val="000000" w:themeColor="text1"/>
          <w:sz w:val="24"/>
          <w:szCs w:val="24"/>
        </w:rPr>
        <w:t>ontende</w:t>
      </w:r>
      <w:r w:rsidRPr="00F53BC9">
        <w:rPr>
          <w:rFonts w:ascii="Arial" w:hAnsi="Arial" w:cs="Arial"/>
          <w:color w:val="000000" w:themeColor="text1"/>
          <w:sz w:val="24"/>
          <w:szCs w:val="24"/>
        </w:rPr>
        <w:t xml:space="preserve">d that the continued prosecution of the respondent on this basis – even if there was </w:t>
      </w:r>
      <w:r>
        <w:rPr>
          <w:rFonts w:ascii="Arial" w:hAnsi="Arial" w:cs="Arial"/>
          <w:color w:val="000000" w:themeColor="text1"/>
          <w:sz w:val="24"/>
          <w:szCs w:val="24"/>
        </w:rPr>
        <w:t xml:space="preserve">a </w:t>
      </w:r>
      <w:r w:rsidRPr="00F53BC9">
        <w:rPr>
          <w:rFonts w:ascii="Arial" w:hAnsi="Arial" w:cs="Arial"/>
          <w:color w:val="000000" w:themeColor="text1"/>
          <w:sz w:val="24"/>
          <w:szCs w:val="24"/>
        </w:rPr>
        <w:t xml:space="preserve">reasonable and probable cause </w:t>
      </w:r>
      <w:r>
        <w:rPr>
          <w:rFonts w:ascii="Arial" w:hAnsi="Arial" w:cs="Arial"/>
          <w:color w:val="000000" w:themeColor="text1"/>
          <w:sz w:val="24"/>
          <w:szCs w:val="24"/>
        </w:rPr>
        <w:t>to initiate the prosecution</w:t>
      </w:r>
      <w:r w:rsidRPr="00F53BC9">
        <w:rPr>
          <w:rFonts w:ascii="Arial" w:hAnsi="Arial" w:cs="Arial"/>
          <w:color w:val="000000" w:themeColor="text1"/>
          <w:sz w:val="24"/>
          <w:szCs w:val="24"/>
        </w:rPr>
        <w:t xml:space="preserve">– </w:t>
      </w:r>
      <w:r>
        <w:rPr>
          <w:rFonts w:ascii="Arial" w:hAnsi="Arial" w:cs="Arial"/>
          <w:color w:val="000000" w:themeColor="text1"/>
          <w:sz w:val="24"/>
          <w:szCs w:val="24"/>
        </w:rPr>
        <w:t xml:space="preserve">rendered it </w:t>
      </w:r>
      <w:r w:rsidRPr="00F53BC9">
        <w:rPr>
          <w:rFonts w:ascii="Arial" w:hAnsi="Arial" w:cs="Arial"/>
          <w:color w:val="000000" w:themeColor="text1"/>
          <w:sz w:val="24"/>
          <w:szCs w:val="24"/>
        </w:rPr>
        <w:t xml:space="preserve">malicious, in the sense of </w:t>
      </w:r>
      <w:r w:rsidRPr="00F53BC9">
        <w:rPr>
          <w:rFonts w:ascii="Arial" w:hAnsi="Arial" w:cs="Arial"/>
          <w:i/>
          <w:color w:val="000000" w:themeColor="text1"/>
          <w:sz w:val="24"/>
          <w:szCs w:val="24"/>
        </w:rPr>
        <w:t>dolus eventualis</w:t>
      </w:r>
      <w:r w:rsidRPr="00F53BC9">
        <w:rPr>
          <w:rFonts w:ascii="Arial" w:hAnsi="Arial" w:cs="Arial"/>
          <w:color w:val="000000" w:themeColor="text1"/>
          <w:sz w:val="24"/>
          <w:szCs w:val="24"/>
        </w:rPr>
        <w:t xml:space="preserve"> on the part of the </w:t>
      </w:r>
      <w:r>
        <w:rPr>
          <w:rFonts w:ascii="Arial" w:hAnsi="Arial" w:cs="Arial"/>
          <w:color w:val="000000" w:themeColor="text1"/>
          <w:sz w:val="24"/>
          <w:szCs w:val="24"/>
        </w:rPr>
        <w:t>PG and/or her employees</w:t>
      </w:r>
      <w:r w:rsidRPr="00F53BC9">
        <w:rPr>
          <w:rFonts w:ascii="Arial" w:hAnsi="Arial" w:cs="Arial"/>
          <w:color w:val="000000" w:themeColor="text1"/>
          <w:sz w:val="24"/>
          <w:szCs w:val="24"/>
        </w:rPr>
        <w:t xml:space="preserve">. </w:t>
      </w:r>
    </w:p>
    <w:p w:rsidR="000B16E1" w:rsidRPr="006345F9" w:rsidRDefault="000B16E1" w:rsidP="00FA66E4">
      <w:pPr>
        <w:pStyle w:val="ListParagraph"/>
        <w:spacing w:after="0" w:line="480" w:lineRule="auto"/>
        <w:jc w:val="both"/>
        <w:rPr>
          <w:rFonts w:ascii="Arial" w:hAnsi="Arial" w:cs="Arial"/>
          <w:color w:val="000000" w:themeColor="text1"/>
          <w:sz w:val="24"/>
          <w:szCs w:val="24"/>
        </w:rPr>
      </w:pPr>
    </w:p>
    <w:p w:rsidR="000B16E1" w:rsidRPr="00302801" w:rsidRDefault="00390C86" w:rsidP="00356083">
      <w:pPr>
        <w:pStyle w:val="ListParagraph"/>
        <w:numPr>
          <w:ilvl w:val="0"/>
          <w:numId w:val="22"/>
        </w:numPr>
        <w:spacing w:after="0" w:line="480" w:lineRule="auto"/>
        <w:ind w:left="0" w:firstLine="0"/>
        <w:jc w:val="both"/>
        <w:rPr>
          <w:rFonts w:ascii="Arial" w:hAnsi="Arial" w:cs="Arial"/>
        </w:rPr>
      </w:pPr>
      <w:r>
        <w:rPr>
          <w:rFonts w:ascii="Arial" w:hAnsi="Arial" w:cs="Arial"/>
          <w:color w:val="000000" w:themeColor="text1"/>
          <w:sz w:val="24"/>
          <w:szCs w:val="24"/>
        </w:rPr>
        <w:t>H</w:t>
      </w:r>
      <w:r w:rsidR="000B16E1">
        <w:rPr>
          <w:rFonts w:ascii="Arial" w:hAnsi="Arial" w:cs="Arial"/>
          <w:color w:val="000000" w:themeColor="text1"/>
          <w:sz w:val="24"/>
          <w:szCs w:val="24"/>
        </w:rPr>
        <w:t xml:space="preserve">e further submitted </w:t>
      </w:r>
      <w:r w:rsidR="000B16E1" w:rsidRPr="008F291F">
        <w:rPr>
          <w:rFonts w:ascii="Arial" w:hAnsi="Arial" w:cs="Arial"/>
          <w:color w:val="000000" w:themeColor="text1"/>
          <w:sz w:val="24"/>
          <w:szCs w:val="24"/>
        </w:rPr>
        <w:t xml:space="preserve">that </w:t>
      </w:r>
      <w:r w:rsidR="000B16E1">
        <w:rPr>
          <w:rFonts w:ascii="Arial" w:hAnsi="Arial" w:cs="Arial"/>
          <w:sz w:val="24"/>
          <w:szCs w:val="24"/>
        </w:rPr>
        <w:t>a prior agreement or conspiracy</w:t>
      </w:r>
      <w:r>
        <w:rPr>
          <w:rFonts w:ascii="Arial" w:hAnsi="Arial" w:cs="Arial"/>
          <w:sz w:val="24"/>
          <w:szCs w:val="24"/>
        </w:rPr>
        <w:t xml:space="preserve"> to commit the crime is one of the core </w:t>
      </w:r>
      <w:r w:rsidR="00760BE1">
        <w:rPr>
          <w:rFonts w:ascii="Arial" w:hAnsi="Arial" w:cs="Arial"/>
          <w:sz w:val="24"/>
          <w:szCs w:val="24"/>
        </w:rPr>
        <w:t xml:space="preserve">requirements </w:t>
      </w:r>
      <w:r>
        <w:rPr>
          <w:rFonts w:ascii="Arial" w:hAnsi="Arial" w:cs="Arial"/>
          <w:sz w:val="24"/>
          <w:szCs w:val="24"/>
        </w:rPr>
        <w:t>of the doctrine of common purpose</w:t>
      </w:r>
      <w:r w:rsidR="00A33C88">
        <w:rPr>
          <w:rFonts w:ascii="Arial" w:hAnsi="Arial" w:cs="Arial"/>
          <w:sz w:val="24"/>
          <w:szCs w:val="24"/>
        </w:rPr>
        <w:t xml:space="preserve"> and that there was no evidence of a prior agreement</w:t>
      </w:r>
      <w:r w:rsidR="00760BE1">
        <w:rPr>
          <w:rFonts w:ascii="Arial" w:hAnsi="Arial" w:cs="Arial"/>
          <w:sz w:val="24"/>
          <w:szCs w:val="24"/>
        </w:rPr>
        <w:t xml:space="preserve"> in this case</w:t>
      </w:r>
      <w:r w:rsidR="000B16E1" w:rsidRPr="008951F9">
        <w:rPr>
          <w:rFonts w:ascii="Arial" w:hAnsi="Arial" w:cs="Arial"/>
          <w:sz w:val="24"/>
          <w:szCs w:val="24"/>
        </w:rPr>
        <w:t xml:space="preserve">. Counsel </w:t>
      </w:r>
      <w:r w:rsidR="000B16E1">
        <w:rPr>
          <w:rFonts w:ascii="Arial" w:hAnsi="Arial" w:cs="Arial"/>
          <w:sz w:val="24"/>
          <w:szCs w:val="24"/>
        </w:rPr>
        <w:t xml:space="preserve">relies for this proposition on the remarks by </w:t>
      </w:r>
      <w:r w:rsidR="000B16E1" w:rsidRPr="008951F9">
        <w:rPr>
          <w:rFonts w:ascii="Arial" w:hAnsi="Arial" w:cs="Arial"/>
          <w:sz w:val="24"/>
          <w:szCs w:val="24"/>
        </w:rPr>
        <w:t xml:space="preserve">Friedman J in </w:t>
      </w:r>
      <w:r w:rsidR="000B16E1" w:rsidRPr="008951F9">
        <w:rPr>
          <w:rFonts w:ascii="Arial" w:hAnsi="Arial" w:cs="Arial"/>
          <w:i/>
          <w:sz w:val="24"/>
          <w:szCs w:val="24"/>
        </w:rPr>
        <w:t>S v Banda</w:t>
      </w:r>
      <w:r w:rsidR="008879D2">
        <w:rPr>
          <w:rFonts w:ascii="Arial" w:hAnsi="Arial" w:cs="Arial"/>
          <w:i/>
          <w:sz w:val="24"/>
          <w:szCs w:val="24"/>
        </w:rPr>
        <w:t xml:space="preserve"> and others</w:t>
      </w:r>
      <w:r w:rsidR="000B16E1" w:rsidRPr="008951F9">
        <w:rPr>
          <w:rStyle w:val="FootnoteReference"/>
          <w:rFonts w:ascii="Arial" w:hAnsi="Arial" w:cs="Arial"/>
          <w:i/>
          <w:sz w:val="24"/>
          <w:szCs w:val="24"/>
        </w:rPr>
        <w:footnoteReference w:id="39"/>
      </w:r>
      <w:r w:rsidR="000B16E1" w:rsidRPr="008951F9">
        <w:rPr>
          <w:rFonts w:ascii="Arial" w:hAnsi="Arial" w:cs="Arial"/>
          <w:sz w:val="24"/>
          <w:szCs w:val="24"/>
        </w:rPr>
        <w:t xml:space="preserve"> </w:t>
      </w:r>
      <w:r w:rsidR="000B16E1">
        <w:rPr>
          <w:rFonts w:ascii="Arial" w:hAnsi="Arial" w:cs="Arial"/>
          <w:sz w:val="24"/>
          <w:szCs w:val="24"/>
        </w:rPr>
        <w:t xml:space="preserve">where the learned Judge at </w:t>
      </w:r>
      <w:r w:rsidR="00D653E2">
        <w:rPr>
          <w:rFonts w:ascii="Arial" w:hAnsi="Arial" w:cs="Arial"/>
          <w:sz w:val="24"/>
          <w:szCs w:val="24"/>
        </w:rPr>
        <w:t>501F</w:t>
      </w:r>
      <w:r w:rsidR="000B16E1">
        <w:rPr>
          <w:rFonts w:ascii="Arial" w:hAnsi="Arial" w:cs="Arial"/>
          <w:sz w:val="24"/>
          <w:szCs w:val="24"/>
        </w:rPr>
        <w:t xml:space="preserve"> observed:</w:t>
      </w:r>
    </w:p>
    <w:p w:rsidR="00302801" w:rsidRPr="00302801" w:rsidRDefault="00302801" w:rsidP="00302801">
      <w:pPr>
        <w:pStyle w:val="ListParagraph"/>
        <w:spacing w:after="0" w:line="480" w:lineRule="auto"/>
        <w:jc w:val="both"/>
        <w:rPr>
          <w:rFonts w:ascii="Arial" w:hAnsi="Arial" w:cs="Arial"/>
          <w:sz w:val="24"/>
          <w:szCs w:val="24"/>
        </w:rPr>
      </w:pPr>
    </w:p>
    <w:p w:rsidR="000B16E1" w:rsidRPr="00B80A67" w:rsidRDefault="000B16E1" w:rsidP="000B16E1">
      <w:pPr>
        <w:pStyle w:val="ListParagraph"/>
        <w:spacing w:after="0" w:line="360" w:lineRule="auto"/>
        <w:jc w:val="both"/>
        <w:rPr>
          <w:rFonts w:ascii="Arial" w:hAnsi="Arial" w:cs="Arial"/>
        </w:rPr>
      </w:pPr>
      <w:r>
        <w:rPr>
          <w:rFonts w:ascii="Arial" w:hAnsi="Arial" w:cs="Arial"/>
        </w:rPr>
        <w:t>‘</w:t>
      </w:r>
      <w:r w:rsidRPr="00B80A67">
        <w:rPr>
          <w:rFonts w:ascii="Arial" w:hAnsi="Arial" w:cs="Arial"/>
        </w:rPr>
        <w:t xml:space="preserve">In the absence of a prior agreement </w:t>
      </w:r>
      <w:r w:rsidRPr="00C145E2">
        <w:rPr>
          <w:rFonts w:ascii="Arial" w:hAnsi="Arial" w:cs="Arial"/>
          <w:i/>
        </w:rPr>
        <w:t>or conspiracy</w:t>
      </w:r>
      <w:r w:rsidRPr="00B80A67">
        <w:rPr>
          <w:rFonts w:ascii="Arial" w:hAnsi="Arial" w:cs="Arial"/>
        </w:rPr>
        <w:t xml:space="preserve">, the doctrine of common purpose may not be used as a method or technique to subsume the guilt of all the accused without anything more. It cannot operate as a dragnet operation systematically to draw all the accused. Association by way of participation, and the </w:t>
      </w:r>
      <w:r w:rsidRPr="00B80A67">
        <w:rPr>
          <w:rFonts w:ascii="Arial" w:hAnsi="Arial" w:cs="Arial"/>
          <w:i/>
        </w:rPr>
        <w:t>mens rea</w:t>
      </w:r>
      <w:r w:rsidRPr="00B80A67">
        <w:rPr>
          <w:rFonts w:ascii="Arial" w:hAnsi="Arial" w:cs="Arial"/>
        </w:rPr>
        <w:t xml:space="preserve"> of each accused person involved, are necessary and essential prerequisites.</w:t>
      </w:r>
      <w:r>
        <w:rPr>
          <w:rFonts w:ascii="Arial" w:hAnsi="Arial" w:cs="Arial"/>
        </w:rPr>
        <w:t>’ (Emphasis is mine).</w:t>
      </w:r>
    </w:p>
    <w:p w:rsidR="000B16E1" w:rsidRPr="00F531AD" w:rsidRDefault="000B16E1" w:rsidP="00302801">
      <w:pPr>
        <w:pStyle w:val="ListParagraph"/>
        <w:spacing w:after="0" w:line="480" w:lineRule="auto"/>
        <w:jc w:val="both"/>
        <w:rPr>
          <w:rFonts w:ascii="Arial" w:hAnsi="Arial" w:cs="Arial"/>
          <w:color w:val="FF0000"/>
          <w:sz w:val="24"/>
          <w:szCs w:val="24"/>
        </w:rPr>
      </w:pPr>
    </w:p>
    <w:p w:rsidR="000B16E1" w:rsidRPr="00B44596" w:rsidRDefault="000B16E1" w:rsidP="00356083">
      <w:pPr>
        <w:pStyle w:val="ListParagraph"/>
        <w:numPr>
          <w:ilvl w:val="0"/>
          <w:numId w:val="22"/>
        </w:numPr>
        <w:spacing w:after="0" w:line="480" w:lineRule="auto"/>
        <w:ind w:left="0" w:firstLine="0"/>
        <w:jc w:val="both"/>
        <w:rPr>
          <w:rFonts w:ascii="Arial" w:hAnsi="Arial" w:cs="Arial"/>
          <w:color w:val="000000" w:themeColor="text1"/>
          <w:sz w:val="24"/>
          <w:szCs w:val="24"/>
        </w:rPr>
      </w:pPr>
      <w:r w:rsidRPr="00B44596">
        <w:rPr>
          <w:rFonts w:ascii="Arial" w:hAnsi="Arial" w:cs="Arial"/>
          <w:color w:val="000000" w:themeColor="text1"/>
          <w:sz w:val="24"/>
          <w:szCs w:val="24"/>
        </w:rPr>
        <w:t xml:space="preserve">Counsel argued that the remarks quoted above apply with equal force to the present matter. </w:t>
      </w:r>
      <w:r>
        <w:rPr>
          <w:rFonts w:ascii="Arial" w:hAnsi="Arial" w:cs="Arial"/>
          <w:color w:val="000000" w:themeColor="text1"/>
          <w:sz w:val="24"/>
          <w:szCs w:val="24"/>
        </w:rPr>
        <w:t>Counsel was of c</w:t>
      </w:r>
      <w:r w:rsidR="00CE4AB7">
        <w:rPr>
          <w:rFonts w:ascii="Arial" w:hAnsi="Arial" w:cs="Arial"/>
          <w:color w:val="000000" w:themeColor="text1"/>
          <w:sz w:val="24"/>
          <w:szCs w:val="24"/>
        </w:rPr>
        <w:t>o</w:t>
      </w:r>
      <w:r>
        <w:rPr>
          <w:rFonts w:ascii="Arial" w:hAnsi="Arial" w:cs="Arial"/>
          <w:color w:val="000000" w:themeColor="text1"/>
          <w:sz w:val="24"/>
          <w:szCs w:val="24"/>
        </w:rPr>
        <w:t xml:space="preserve">urse correct in pointing out that </w:t>
      </w:r>
      <w:r w:rsidRPr="00B44596">
        <w:rPr>
          <w:rFonts w:ascii="Arial" w:hAnsi="Arial" w:cs="Arial"/>
          <w:color w:val="000000" w:themeColor="text1"/>
          <w:sz w:val="24"/>
          <w:szCs w:val="24"/>
        </w:rPr>
        <w:t xml:space="preserve">three out of the four witnesses who testified against the respondent failed to identify him during the </w:t>
      </w:r>
      <w:r>
        <w:rPr>
          <w:rFonts w:ascii="Arial" w:hAnsi="Arial" w:cs="Arial"/>
          <w:color w:val="000000" w:themeColor="text1"/>
          <w:sz w:val="24"/>
          <w:szCs w:val="24"/>
        </w:rPr>
        <w:t xml:space="preserve">criminal </w:t>
      </w:r>
      <w:r w:rsidRPr="00B44596">
        <w:rPr>
          <w:rFonts w:ascii="Arial" w:hAnsi="Arial" w:cs="Arial"/>
          <w:color w:val="000000" w:themeColor="text1"/>
          <w:sz w:val="24"/>
          <w:szCs w:val="24"/>
        </w:rPr>
        <w:t xml:space="preserve">trial. The remaining witness did not give cogent evidence of the respondent’s association with the commission of the offences charged. </w:t>
      </w:r>
      <w:r>
        <w:rPr>
          <w:rFonts w:ascii="Arial" w:hAnsi="Arial" w:cs="Arial"/>
          <w:color w:val="000000" w:themeColor="text1"/>
          <w:sz w:val="24"/>
          <w:szCs w:val="24"/>
        </w:rPr>
        <w:t xml:space="preserve">That led him to conclude his argument on this aspect that </w:t>
      </w:r>
      <w:r w:rsidRPr="00B44596">
        <w:rPr>
          <w:rFonts w:ascii="Arial" w:hAnsi="Arial" w:cs="Arial"/>
          <w:color w:val="000000" w:themeColor="text1"/>
          <w:sz w:val="24"/>
          <w:szCs w:val="24"/>
        </w:rPr>
        <w:t xml:space="preserve">there could be no suggestion that the prosecutorial authority had any </w:t>
      </w:r>
      <w:r w:rsidRPr="00B44596">
        <w:rPr>
          <w:rFonts w:ascii="Arial" w:hAnsi="Arial" w:cs="Arial"/>
          <w:color w:val="000000" w:themeColor="text1"/>
          <w:sz w:val="24"/>
          <w:szCs w:val="24"/>
        </w:rPr>
        <w:lastRenderedPageBreak/>
        <w:t xml:space="preserve">evidence to implicate the respondent in the commission of the offences </w:t>
      </w:r>
      <w:r>
        <w:rPr>
          <w:rFonts w:ascii="Arial" w:hAnsi="Arial" w:cs="Arial"/>
          <w:color w:val="000000" w:themeColor="text1"/>
          <w:sz w:val="24"/>
          <w:szCs w:val="24"/>
        </w:rPr>
        <w:t>and crimes in the indictment,</w:t>
      </w:r>
      <w:r w:rsidRPr="00B44596">
        <w:rPr>
          <w:rFonts w:ascii="Arial" w:hAnsi="Arial" w:cs="Arial"/>
          <w:color w:val="000000" w:themeColor="text1"/>
          <w:sz w:val="24"/>
          <w:szCs w:val="24"/>
        </w:rPr>
        <w:t xml:space="preserve"> whether by way of direct involvement or an act of association sufficient to satisfy the above requirements in regard to common purpose and</w:t>
      </w:r>
      <w:r>
        <w:rPr>
          <w:rFonts w:ascii="Arial" w:hAnsi="Arial" w:cs="Arial"/>
          <w:color w:val="000000" w:themeColor="text1"/>
          <w:sz w:val="24"/>
          <w:szCs w:val="24"/>
        </w:rPr>
        <w:t>/</w:t>
      </w:r>
      <w:r w:rsidRPr="00B44596">
        <w:rPr>
          <w:rFonts w:ascii="Arial" w:hAnsi="Arial" w:cs="Arial"/>
          <w:color w:val="000000" w:themeColor="text1"/>
          <w:sz w:val="24"/>
          <w:szCs w:val="24"/>
        </w:rPr>
        <w:t xml:space="preserve">or conspiracy. </w:t>
      </w:r>
      <w:r>
        <w:rPr>
          <w:rFonts w:ascii="Arial" w:hAnsi="Arial" w:cs="Arial"/>
          <w:color w:val="000000" w:themeColor="text1"/>
          <w:sz w:val="24"/>
          <w:szCs w:val="24"/>
        </w:rPr>
        <w:t xml:space="preserve">I pause to observe that by relying on the passage in </w:t>
      </w:r>
      <w:r w:rsidRPr="004013A3">
        <w:rPr>
          <w:rFonts w:ascii="Arial" w:hAnsi="Arial" w:cs="Arial"/>
          <w:i/>
          <w:color w:val="000000" w:themeColor="text1"/>
          <w:sz w:val="24"/>
          <w:szCs w:val="24"/>
        </w:rPr>
        <w:t>Banda</w:t>
      </w:r>
      <w:r>
        <w:rPr>
          <w:rFonts w:ascii="Arial" w:hAnsi="Arial" w:cs="Arial"/>
          <w:color w:val="000000" w:themeColor="text1"/>
          <w:sz w:val="24"/>
          <w:szCs w:val="24"/>
        </w:rPr>
        <w:t xml:space="preserve"> quoted above, counsel appears to have overlooked the fact that in this case the prosecution relied on conspiracy as a </w:t>
      </w:r>
      <w:r w:rsidRPr="00C145E2">
        <w:rPr>
          <w:rFonts w:ascii="Arial" w:hAnsi="Arial" w:cs="Arial"/>
          <w:color w:val="000000" w:themeColor="text1"/>
          <w:sz w:val="24"/>
          <w:szCs w:val="24"/>
        </w:rPr>
        <w:t xml:space="preserve">basis for the prosecution of the respondent and that conspiracy is one of the exceptions Friedman </w:t>
      </w:r>
      <w:r w:rsidR="00692B2C">
        <w:rPr>
          <w:rFonts w:ascii="Arial" w:hAnsi="Arial" w:cs="Arial"/>
          <w:color w:val="000000" w:themeColor="text1"/>
          <w:sz w:val="24"/>
          <w:szCs w:val="24"/>
        </w:rPr>
        <w:t xml:space="preserve">J </w:t>
      </w:r>
      <w:r w:rsidRPr="00C145E2">
        <w:rPr>
          <w:rFonts w:ascii="Arial" w:hAnsi="Arial" w:cs="Arial"/>
          <w:color w:val="000000" w:themeColor="text1"/>
          <w:sz w:val="24"/>
          <w:szCs w:val="24"/>
        </w:rPr>
        <w:t>referred to</w:t>
      </w:r>
      <w:r>
        <w:rPr>
          <w:rFonts w:ascii="Arial" w:hAnsi="Arial" w:cs="Arial"/>
          <w:color w:val="000000" w:themeColor="text1"/>
          <w:sz w:val="24"/>
          <w:szCs w:val="24"/>
        </w:rPr>
        <w:t xml:space="preserve">. </w:t>
      </w:r>
    </w:p>
    <w:p w:rsidR="000B16E1" w:rsidRDefault="000B16E1" w:rsidP="00302801">
      <w:pPr>
        <w:pStyle w:val="ListParagraph"/>
        <w:spacing w:after="0" w:line="480" w:lineRule="auto"/>
        <w:ind w:left="0"/>
        <w:jc w:val="both"/>
        <w:rPr>
          <w:rFonts w:ascii="Arial" w:hAnsi="Arial" w:cs="Arial"/>
          <w:color w:val="000000" w:themeColor="text1"/>
          <w:sz w:val="24"/>
          <w:szCs w:val="24"/>
          <w:u w:val="single"/>
        </w:rPr>
      </w:pPr>
    </w:p>
    <w:p w:rsidR="000B16E1" w:rsidRDefault="000B16E1" w:rsidP="000B16E1">
      <w:pPr>
        <w:pStyle w:val="ListParagraph"/>
        <w:ind w:left="0"/>
        <w:rPr>
          <w:rFonts w:ascii="Arial" w:hAnsi="Arial" w:cs="Arial"/>
          <w:color w:val="000000" w:themeColor="text1"/>
          <w:sz w:val="24"/>
          <w:szCs w:val="24"/>
          <w:u w:val="single"/>
        </w:rPr>
      </w:pPr>
      <w:r w:rsidRPr="00391FE5">
        <w:rPr>
          <w:rFonts w:ascii="Arial" w:hAnsi="Arial" w:cs="Arial"/>
          <w:color w:val="000000" w:themeColor="text1"/>
          <w:sz w:val="24"/>
          <w:szCs w:val="24"/>
          <w:u w:val="single"/>
        </w:rPr>
        <w:t>Analysis of the evidence</w:t>
      </w:r>
    </w:p>
    <w:p w:rsidR="000B16E1" w:rsidRPr="00391FE5" w:rsidRDefault="000B16E1" w:rsidP="000B16E1">
      <w:pPr>
        <w:pStyle w:val="ListParagraph"/>
        <w:ind w:left="0"/>
        <w:rPr>
          <w:rFonts w:ascii="Arial" w:hAnsi="Arial" w:cs="Arial"/>
          <w:color w:val="000000" w:themeColor="text1"/>
          <w:sz w:val="24"/>
          <w:szCs w:val="24"/>
          <w:u w:val="single"/>
        </w:rPr>
      </w:pPr>
      <w:r w:rsidRPr="00391FE5">
        <w:rPr>
          <w:rFonts w:ascii="Arial" w:hAnsi="Arial" w:cs="Arial"/>
          <w:color w:val="000000" w:themeColor="text1"/>
          <w:sz w:val="24"/>
          <w:szCs w:val="24"/>
          <w:u w:val="single"/>
        </w:rPr>
        <w:t xml:space="preserve"> </w:t>
      </w:r>
    </w:p>
    <w:p w:rsidR="000B16E1" w:rsidRPr="00D623DD" w:rsidRDefault="000B16E1" w:rsidP="00356083">
      <w:pPr>
        <w:pStyle w:val="ListParagraph"/>
        <w:numPr>
          <w:ilvl w:val="0"/>
          <w:numId w:val="22"/>
        </w:numPr>
        <w:spacing w:after="0" w:line="480" w:lineRule="auto"/>
        <w:ind w:left="0" w:firstLine="0"/>
        <w:jc w:val="both"/>
        <w:rPr>
          <w:rFonts w:ascii="Arial" w:hAnsi="Arial" w:cs="Arial"/>
          <w:color w:val="000000" w:themeColor="text1"/>
          <w:sz w:val="24"/>
          <w:szCs w:val="24"/>
        </w:rPr>
      </w:pPr>
      <w:r>
        <w:rPr>
          <w:rFonts w:ascii="Arial" w:hAnsi="Arial" w:cs="Arial"/>
          <w:color w:val="000000" w:themeColor="text1"/>
          <w:sz w:val="24"/>
          <w:szCs w:val="24"/>
        </w:rPr>
        <w:t>It seems to me nevertheless that t</w:t>
      </w:r>
      <w:r w:rsidRPr="00D74DAC">
        <w:rPr>
          <w:rFonts w:ascii="Arial" w:hAnsi="Arial" w:cs="Arial"/>
          <w:color w:val="000000" w:themeColor="text1"/>
          <w:sz w:val="24"/>
          <w:szCs w:val="24"/>
        </w:rPr>
        <w:t xml:space="preserve">he </w:t>
      </w:r>
      <w:r>
        <w:rPr>
          <w:rFonts w:ascii="Arial" w:hAnsi="Arial" w:cs="Arial"/>
          <w:color w:val="000000" w:themeColor="text1"/>
          <w:sz w:val="24"/>
          <w:szCs w:val="24"/>
        </w:rPr>
        <w:t xml:space="preserve">fundamental </w:t>
      </w:r>
      <w:r w:rsidRPr="00D74DAC">
        <w:rPr>
          <w:rFonts w:ascii="Arial" w:hAnsi="Arial" w:cs="Arial"/>
          <w:color w:val="000000" w:themeColor="text1"/>
          <w:sz w:val="24"/>
          <w:szCs w:val="24"/>
        </w:rPr>
        <w:t>question to be addressed at this stage is</w:t>
      </w:r>
      <w:r>
        <w:rPr>
          <w:rFonts w:ascii="Arial" w:hAnsi="Arial" w:cs="Arial"/>
          <w:color w:val="000000" w:themeColor="text1"/>
          <w:sz w:val="24"/>
          <w:szCs w:val="24"/>
        </w:rPr>
        <w:t xml:space="preserve"> this: I</w:t>
      </w:r>
      <w:r w:rsidRPr="00D74DAC">
        <w:rPr>
          <w:rFonts w:ascii="Arial" w:hAnsi="Arial" w:cs="Arial"/>
          <w:color w:val="000000" w:themeColor="text1"/>
          <w:sz w:val="24"/>
          <w:szCs w:val="24"/>
        </w:rPr>
        <w:t xml:space="preserve">f </w:t>
      </w:r>
      <w:r>
        <w:rPr>
          <w:rFonts w:ascii="Arial" w:hAnsi="Arial" w:cs="Arial"/>
          <w:color w:val="000000" w:themeColor="text1"/>
          <w:sz w:val="24"/>
          <w:szCs w:val="24"/>
        </w:rPr>
        <w:t xml:space="preserve">the </w:t>
      </w:r>
      <w:r w:rsidRPr="00D74DAC">
        <w:rPr>
          <w:rFonts w:ascii="Arial" w:hAnsi="Arial" w:cs="Arial"/>
          <w:color w:val="000000" w:themeColor="text1"/>
          <w:sz w:val="24"/>
          <w:szCs w:val="24"/>
        </w:rPr>
        <w:t xml:space="preserve">initiation of </w:t>
      </w:r>
      <w:r>
        <w:rPr>
          <w:rFonts w:ascii="Arial" w:hAnsi="Arial" w:cs="Arial"/>
          <w:color w:val="000000" w:themeColor="text1"/>
          <w:sz w:val="24"/>
          <w:szCs w:val="24"/>
        </w:rPr>
        <w:t xml:space="preserve">the </w:t>
      </w:r>
      <w:r w:rsidRPr="00D74DAC">
        <w:rPr>
          <w:rFonts w:ascii="Arial" w:hAnsi="Arial" w:cs="Arial"/>
          <w:color w:val="000000" w:themeColor="text1"/>
          <w:sz w:val="24"/>
          <w:szCs w:val="24"/>
        </w:rPr>
        <w:t>prosecution was lawful and pe</w:t>
      </w:r>
      <w:r w:rsidRPr="00D623DD">
        <w:rPr>
          <w:rFonts w:ascii="Arial" w:hAnsi="Arial" w:cs="Arial"/>
          <w:color w:val="000000" w:themeColor="text1"/>
          <w:sz w:val="24"/>
          <w:szCs w:val="24"/>
        </w:rPr>
        <w:t xml:space="preserve">rmissible, what changed during the </w:t>
      </w:r>
      <w:r>
        <w:rPr>
          <w:rFonts w:ascii="Arial" w:hAnsi="Arial" w:cs="Arial"/>
          <w:color w:val="000000" w:themeColor="text1"/>
          <w:sz w:val="24"/>
          <w:szCs w:val="24"/>
        </w:rPr>
        <w:t xml:space="preserve">criminal </w:t>
      </w:r>
      <w:r w:rsidRPr="00D623DD">
        <w:rPr>
          <w:rFonts w:ascii="Arial" w:hAnsi="Arial" w:cs="Arial"/>
          <w:color w:val="000000" w:themeColor="text1"/>
          <w:sz w:val="24"/>
          <w:szCs w:val="24"/>
        </w:rPr>
        <w:t xml:space="preserve">trial that led the court </w:t>
      </w:r>
      <w:r w:rsidRPr="00D623DD">
        <w:rPr>
          <w:rFonts w:ascii="Arial" w:hAnsi="Arial" w:cs="Arial"/>
          <w:i/>
          <w:color w:val="000000" w:themeColor="text1"/>
          <w:sz w:val="24"/>
          <w:szCs w:val="24"/>
        </w:rPr>
        <w:t>a quo</w:t>
      </w:r>
      <w:r w:rsidRPr="00D623DD">
        <w:rPr>
          <w:rFonts w:ascii="Arial" w:hAnsi="Arial" w:cs="Arial"/>
          <w:color w:val="000000" w:themeColor="text1"/>
          <w:sz w:val="24"/>
          <w:szCs w:val="24"/>
        </w:rPr>
        <w:t xml:space="preserve"> to conclude that there was </w:t>
      </w:r>
      <w:r>
        <w:rPr>
          <w:rFonts w:ascii="Arial" w:hAnsi="Arial" w:cs="Arial"/>
          <w:color w:val="000000" w:themeColor="text1"/>
          <w:sz w:val="24"/>
          <w:szCs w:val="24"/>
        </w:rPr>
        <w:t xml:space="preserve">insufficient evidence to incriminate </w:t>
      </w:r>
      <w:r w:rsidRPr="00D623DD">
        <w:rPr>
          <w:rFonts w:ascii="Arial" w:hAnsi="Arial" w:cs="Arial"/>
          <w:color w:val="000000" w:themeColor="text1"/>
          <w:sz w:val="24"/>
          <w:szCs w:val="24"/>
        </w:rPr>
        <w:t>the respondent</w:t>
      </w:r>
      <w:r>
        <w:rPr>
          <w:rFonts w:ascii="Arial" w:hAnsi="Arial" w:cs="Arial"/>
          <w:color w:val="000000" w:themeColor="text1"/>
          <w:sz w:val="24"/>
          <w:szCs w:val="24"/>
        </w:rPr>
        <w:t xml:space="preserve"> and that as such, the prosecution should have been terminated by November 2011? </w:t>
      </w:r>
      <w:r w:rsidRPr="00D623DD">
        <w:rPr>
          <w:rFonts w:ascii="Arial" w:hAnsi="Arial" w:cs="Arial"/>
          <w:color w:val="000000" w:themeColor="text1"/>
          <w:sz w:val="24"/>
          <w:szCs w:val="24"/>
        </w:rPr>
        <w:t xml:space="preserve"> </w:t>
      </w:r>
    </w:p>
    <w:p w:rsidR="000B16E1" w:rsidRPr="00D74DAC" w:rsidRDefault="000B16E1" w:rsidP="00302801">
      <w:pPr>
        <w:pStyle w:val="ListParagraph"/>
        <w:spacing w:after="0" w:line="480" w:lineRule="auto"/>
        <w:jc w:val="both"/>
        <w:rPr>
          <w:rFonts w:ascii="Arial" w:hAnsi="Arial" w:cs="Arial"/>
          <w:color w:val="000000" w:themeColor="text1"/>
          <w:sz w:val="24"/>
          <w:szCs w:val="24"/>
        </w:rPr>
      </w:pPr>
    </w:p>
    <w:p w:rsidR="000B16E1" w:rsidRDefault="000B16E1" w:rsidP="00356083">
      <w:pPr>
        <w:pStyle w:val="ListParagraph"/>
        <w:numPr>
          <w:ilvl w:val="0"/>
          <w:numId w:val="22"/>
        </w:numPr>
        <w:spacing w:after="0" w:line="480" w:lineRule="auto"/>
        <w:ind w:left="0" w:firstLine="0"/>
        <w:jc w:val="both"/>
        <w:rPr>
          <w:rFonts w:ascii="Arial" w:hAnsi="Arial" w:cs="Arial"/>
          <w:color w:val="000000" w:themeColor="text1"/>
          <w:sz w:val="24"/>
          <w:szCs w:val="24"/>
        </w:rPr>
      </w:pPr>
      <w:r w:rsidRPr="00872C56">
        <w:rPr>
          <w:rFonts w:ascii="Arial" w:hAnsi="Arial" w:cs="Arial"/>
          <w:color w:val="000000" w:themeColor="text1"/>
          <w:sz w:val="24"/>
          <w:szCs w:val="24"/>
        </w:rPr>
        <w:t xml:space="preserve">On </w:t>
      </w:r>
      <w:r>
        <w:rPr>
          <w:rFonts w:ascii="Arial" w:hAnsi="Arial" w:cs="Arial"/>
          <w:color w:val="000000" w:themeColor="text1"/>
          <w:sz w:val="24"/>
          <w:szCs w:val="24"/>
        </w:rPr>
        <w:t xml:space="preserve">the </w:t>
      </w:r>
      <w:r w:rsidRPr="00872C56">
        <w:rPr>
          <w:rFonts w:ascii="Arial" w:hAnsi="Arial" w:cs="Arial"/>
          <w:color w:val="000000" w:themeColor="text1"/>
          <w:sz w:val="24"/>
          <w:szCs w:val="24"/>
        </w:rPr>
        <w:t xml:space="preserve">analysis of the evidence placed before the </w:t>
      </w:r>
      <w:r>
        <w:rPr>
          <w:rFonts w:ascii="Arial" w:hAnsi="Arial" w:cs="Arial"/>
          <w:color w:val="000000" w:themeColor="text1"/>
          <w:sz w:val="24"/>
          <w:szCs w:val="24"/>
        </w:rPr>
        <w:t>High C</w:t>
      </w:r>
      <w:r w:rsidRPr="00872C56">
        <w:rPr>
          <w:rFonts w:ascii="Arial" w:hAnsi="Arial" w:cs="Arial"/>
          <w:color w:val="000000" w:themeColor="text1"/>
          <w:sz w:val="24"/>
          <w:szCs w:val="24"/>
        </w:rPr>
        <w:t xml:space="preserve">ourt, it is evident that the only thing that </w:t>
      </w:r>
      <w:r>
        <w:rPr>
          <w:rFonts w:ascii="Arial" w:hAnsi="Arial" w:cs="Arial"/>
          <w:color w:val="000000" w:themeColor="text1"/>
          <w:sz w:val="24"/>
          <w:szCs w:val="24"/>
        </w:rPr>
        <w:t xml:space="preserve">appears to have </w:t>
      </w:r>
      <w:r w:rsidRPr="00872C56">
        <w:rPr>
          <w:rFonts w:ascii="Arial" w:hAnsi="Arial" w:cs="Arial"/>
          <w:color w:val="000000" w:themeColor="text1"/>
          <w:sz w:val="24"/>
          <w:szCs w:val="24"/>
        </w:rPr>
        <w:t>changed was the</w:t>
      </w:r>
      <w:r>
        <w:rPr>
          <w:rFonts w:ascii="Arial" w:hAnsi="Arial" w:cs="Arial"/>
          <w:color w:val="000000" w:themeColor="text1"/>
          <w:sz w:val="24"/>
          <w:szCs w:val="24"/>
        </w:rPr>
        <w:t xml:space="preserve"> </w:t>
      </w:r>
      <w:r w:rsidR="00692B2C">
        <w:rPr>
          <w:rFonts w:ascii="Arial" w:hAnsi="Arial" w:cs="Arial"/>
          <w:color w:val="000000" w:themeColor="text1"/>
          <w:sz w:val="24"/>
          <w:szCs w:val="24"/>
        </w:rPr>
        <w:t>in</w:t>
      </w:r>
      <w:r>
        <w:rPr>
          <w:rFonts w:ascii="Arial" w:hAnsi="Arial" w:cs="Arial"/>
          <w:color w:val="000000" w:themeColor="text1"/>
          <w:sz w:val="24"/>
          <w:szCs w:val="24"/>
        </w:rPr>
        <w:t xml:space="preserve">ability of the three witnesses, including the respondent’s ex-wife, </w:t>
      </w:r>
      <w:r w:rsidRPr="00872C56">
        <w:rPr>
          <w:rFonts w:ascii="Arial" w:hAnsi="Arial" w:cs="Arial"/>
          <w:color w:val="000000" w:themeColor="text1"/>
          <w:sz w:val="24"/>
          <w:szCs w:val="24"/>
        </w:rPr>
        <w:t xml:space="preserve">to identify the respondent in court. </w:t>
      </w:r>
      <w:r>
        <w:rPr>
          <w:rFonts w:ascii="Arial" w:hAnsi="Arial" w:cs="Arial"/>
          <w:color w:val="000000" w:themeColor="text1"/>
          <w:sz w:val="24"/>
          <w:szCs w:val="24"/>
        </w:rPr>
        <w:t xml:space="preserve">It is not surprising that both the </w:t>
      </w:r>
      <w:r w:rsidRPr="006541F4">
        <w:rPr>
          <w:rFonts w:ascii="Arial" w:hAnsi="Arial" w:cs="Arial"/>
          <w:color w:val="000000" w:themeColor="text1"/>
          <w:sz w:val="24"/>
          <w:szCs w:val="24"/>
        </w:rPr>
        <w:t xml:space="preserve">respondent </w:t>
      </w:r>
      <w:r w:rsidRPr="00C145E2">
        <w:rPr>
          <w:rFonts w:ascii="Arial" w:hAnsi="Arial" w:cs="Arial"/>
          <w:color w:val="000000" w:themeColor="text1"/>
          <w:sz w:val="24"/>
          <w:szCs w:val="24"/>
        </w:rPr>
        <w:t xml:space="preserve">and the </w:t>
      </w:r>
      <w:r>
        <w:rPr>
          <w:rFonts w:ascii="Arial" w:hAnsi="Arial" w:cs="Arial"/>
          <w:color w:val="000000" w:themeColor="text1"/>
          <w:sz w:val="24"/>
          <w:szCs w:val="24"/>
        </w:rPr>
        <w:t>trial court were</w:t>
      </w:r>
      <w:r w:rsidRPr="006541F4">
        <w:rPr>
          <w:rFonts w:ascii="Arial" w:hAnsi="Arial" w:cs="Arial"/>
          <w:color w:val="000000" w:themeColor="text1"/>
          <w:sz w:val="24"/>
          <w:szCs w:val="24"/>
        </w:rPr>
        <w:t xml:space="preserve"> </w:t>
      </w:r>
      <w:r>
        <w:rPr>
          <w:rFonts w:ascii="Arial" w:hAnsi="Arial" w:cs="Arial"/>
          <w:color w:val="000000" w:themeColor="text1"/>
          <w:sz w:val="24"/>
          <w:szCs w:val="24"/>
        </w:rPr>
        <w:t xml:space="preserve">puzzled </w:t>
      </w:r>
      <w:r w:rsidRPr="006541F4">
        <w:rPr>
          <w:rFonts w:ascii="Arial" w:hAnsi="Arial" w:cs="Arial"/>
          <w:color w:val="000000" w:themeColor="text1"/>
          <w:sz w:val="24"/>
          <w:szCs w:val="24"/>
        </w:rPr>
        <w:t xml:space="preserve">that </w:t>
      </w:r>
      <w:r>
        <w:rPr>
          <w:rFonts w:ascii="Arial" w:hAnsi="Arial" w:cs="Arial"/>
          <w:color w:val="000000" w:themeColor="text1"/>
          <w:sz w:val="24"/>
          <w:szCs w:val="24"/>
        </w:rPr>
        <w:t xml:space="preserve">the respondent’s </w:t>
      </w:r>
      <w:r w:rsidRPr="006541F4">
        <w:rPr>
          <w:rFonts w:ascii="Arial" w:hAnsi="Arial" w:cs="Arial"/>
          <w:color w:val="000000" w:themeColor="text1"/>
          <w:sz w:val="24"/>
          <w:szCs w:val="24"/>
        </w:rPr>
        <w:t xml:space="preserve">ex-wife </w:t>
      </w:r>
      <w:r>
        <w:rPr>
          <w:rFonts w:ascii="Arial" w:hAnsi="Arial" w:cs="Arial"/>
          <w:color w:val="000000" w:themeColor="text1"/>
          <w:sz w:val="24"/>
          <w:szCs w:val="24"/>
        </w:rPr>
        <w:t>could not recognis</w:t>
      </w:r>
      <w:r w:rsidRPr="006541F4">
        <w:rPr>
          <w:rFonts w:ascii="Arial" w:hAnsi="Arial" w:cs="Arial"/>
          <w:color w:val="000000" w:themeColor="text1"/>
          <w:sz w:val="24"/>
          <w:szCs w:val="24"/>
        </w:rPr>
        <w:t xml:space="preserve">e </w:t>
      </w:r>
      <w:r>
        <w:rPr>
          <w:rFonts w:ascii="Arial" w:hAnsi="Arial" w:cs="Arial"/>
          <w:color w:val="000000" w:themeColor="text1"/>
          <w:sz w:val="24"/>
          <w:szCs w:val="24"/>
        </w:rPr>
        <w:t xml:space="preserve">and identify the respondent in court. It is indeed </w:t>
      </w:r>
      <w:r w:rsidR="004915A7">
        <w:rPr>
          <w:rFonts w:ascii="Arial" w:hAnsi="Arial" w:cs="Arial"/>
          <w:color w:val="000000" w:themeColor="text1"/>
          <w:sz w:val="24"/>
          <w:szCs w:val="24"/>
        </w:rPr>
        <w:t xml:space="preserve">an </w:t>
      </w:r>
      <w:r w:rsidR="008C761A">
        <w:rPr>
          <w:rFonts w:ascii="Arial" w:hAnsi="Arial" w:cs="Arial"/>
          <w:color w:val="000000" w:themeColor="text1"/>
          <w:sz w:val="24"/>
          <w:szCs w:val="24"/>
        </w:rPr>
        <w:t>extraordinary</w:t>
      </w:r>
      <w:r w:rsidR="004915A7">
        <w:rPr>
          <w:rFonts w:ascii="Arial" w:hAnsi="Arial" w:cs="Arial"/>
          <w:color w:val="000000" w:themeColor="text1"/>
          <w:sz w:val="24"/>
          <w:szCs w:val="24"/>
        </w:rPr>
        <w:t xml:space="preserve"> and a</w:t>
      </w:r>
      <w:r>
        <w:rPr>
          <w:rFonts w:ascii="Arial" w:hAnsi="Arial" w:cs="Arial"/>
          <w:color w:val="000000" w:themeColor="text1"/>
          <w:sz w:val="24"/>
          <w:szCs w:val="24"/>
        </w:rPr>
        <w:t xml:space="preserve">stonishing </w:t>
      </w:r>
      <w:r w:rsidR="004915A7">
        <w:rPr>
          <w:rFonts w:ascii="Arial" w:hAnsi="Arial" w:cs="Arial"/>
          <w:color w:val="000000" w:themeColor="text1"/>
          <w:sz w:val="24"/>
          <w:szCs w:val="24"/>
        </w:rPr>
        <w:t xml:space="preserve">occurrence. </w:t>
      </w:r>
      <w:r w:rsidR="007168A6">
        <w:rPr>
          <w:rFonts w:ascii="Arial" w:hAnsi="Arial" w:cs="Arial"/>
          <w:color w:val="000000" w:themeColor="text1"/>
          <w:sz w:val="24"/>
          <w:szCs w:val="24"/>
        </w:rPr>
        <w:t xml:space="preserve">However, the witnesses’ inability to identify the respondent in the dock does not have the automatic consequence that their evidence had to be summarily rejected. </w:t>
      </w:r>
      <w:r w:rsidR="004915A7">
        <w:rPr>
          <w:rFonts w:ascii="Arial" w:hAnsi="Arial" w:cs="Arial"/>
          <w:color w:val="000000" w:themeColor="text1"/>
          <w:sz w:val="24"/>
          <w:szCs w:val="24"/>
        </w:rPr>
        <w:t xml:space="preserve">To </w:t>
      </w:r>
      <w:r>
        <w:rPr>
          <w:rFonts w:ascii="Arial" w:hAnsi="Arial" w:cs="Arial"/>
          <w:color w:val="000000" w:themeColor="text1"/>
          <w:sz w:val="24"/>
          <w:szCs w:val="24"/>
        </w:rPr>
        <w:t>my mind t</w:t>
      </w:r>
      <w:r w:rsidR="004915A7">
        <w:rPr>
          <w:rFonts w:ascii="Arial" w:hAnsi="Arial" w:cs="Arial"/>
          <w:color w:val="000000" w:themeColor="text1"/>
          <w:sz w:val="24"/>
          <w:szCs w:val="24"/>
        </w:rPr>
        <w:t xml:space="preserve">he failure by the ex-wife to identify her ex-husband smacked of a </w:t>
      </w:r>
      <w:r w:rsidR="004915A7">
        <w:rPr>
          <w:rFonts w:ascii="Arial" w:hAnsi="Arial" w:cs="Arial"/>
          <w:color w:val="000000" w:themeColor="text1"/>
          <w:sz w:val="24"/>
          <w:szCs w:val="24"/>
        </w:rPr>
        <w:lastRenderedPageBreak/>
        <w:t xml:space="preserve">contrived stratagem on </w:t>
      </w:r>
      <w:r>
        <w:rPr>
          <w:rFonts w:ascii="Arial" w:hAnsi="Arial" w:cs="Arial"/>
          <w:color w:val="000000" w:themeColor="text1"/>
          <w:sz w:val="24"/>
          <w:szCs w:val="24"/>
        </w:rPr>
        <w:t>he</w:t>
      </w:r>
      <w:r w:rsidR="004915A7">
        <w:rPr>
          <w:rFonts w:ascii="Arial" w:hAnsi="Arial" w:cs="Arial"/>
          <w:color w:val="000000" w:themeColor="text1"/>
          <w:sz w:val="24"/>
          <w:szCs w:val="24"/>
        </w:rPr>
        <w:t>r</w:t>
      </w:r>
      <w:r>
        <w:rPr>
          <w:rFonts w:ascii="Arial" w:hAnsi="Arial" w:cs="Arial"/>
          <w:color w:val="000000" w:themeColor="text1"/>
          <w:sz w:val="24"/>
          <w:szCs w:val="24"/>
        </w:rPr>
        <w:t xml:space="preserve"> part </w:t>
      </w:r>
      <w:r w:rsidR="004915A7">
        <w:rPr>
          <w:rFonts w:ascii="Arial" w:hAnsi="Arial" w:cs="Arial"/>
          <w:color w:val="000000" w:themeColor="text1"/>
          <w:sz w:val="24"/>
          <w:szCs w:val="24"/>
        </w:rPr>
        <w:t xml:space="preserve">and </w:t>
      </w:r>
      <w:r w:rsidR="007168A6">
        <w:rPr>
          <w:rFonts w:ascii="Arial" w:hAnsi="Arial" w:cs="Arial"/>
          <w:color w:val="000000" w:themeColor="text1"/>
          <w:sz w:val="24"/>
          <w:szCs w:val="24"/>
        </w:rPr>
        <w:t xml:space="preserve">that of </w:t>
      </w:r>
      <w:r>
        <w:rPr>
          <w:rFonts w:ascii="Arial" w:hAnsi="Arial" w:cs="Arial"/>
          <w:color w:val="000000" w:themeColor="text1"/>
          <w:sz w:val="24"/>
          <w:szCs w:val="24"/>
        </w:rPr>
        <w:t xml:space="preserve">other witnesses to </w:t>
      </w:r>
      <w:r w:rsidR="004915A7">
        <w:rPr>
          <w:rFonts w:ascii="Arial" w:hAnsi="Arial" w:cs="Arial"/>
          <w:color w:val="000000" w:themeColor="text1"/>
          <w:sz w:val="24"/>
          <w:szCs w:val="24"/>
        </w:rPr>
        <w:t xml:space="preserve">deliberately </w:t>
      </w:r>
      <w:r>
        <w:rPr>
          <w:rFonts w:ascii="Arial" w:hAnsi="Arial" w:cs="Arial"/>
          <w:color w:val="000000" w:themeColor="text1"/>
          <w:sz w:val="24"/>
          <w:szCs w:val="24"/>
        </w:rPr>
        <w:t xml:space="preserve">not identify the respondent. This </w:t>
      </w:r>
      <w:r w:rsidR="00096C1F">
        <w:rPr>
          <w:rFonts w:ascii="Arial" w:hAnsi="Arial" w:cs="Arial"/>
          <w:color w:val="000000" w:themeColor="text1"/>
          <w:sz w:val="24"/>
          <w:szCs w:val="24"/>
        </w:rPr>
        <w:t xml:space="preserve">finding is in line with </w:t>
      </w:r>
      <w:r>
        <w:rPr>
          <w:rFonts w:ascii="Arial" w:hAnsi="Arial" w:cs="Arial"/>
          <w:color w:val="000000" w:themeColor="text1"/>
          <w:sz w:val="24"/>
          <w:szCs w:val="24"/>
        </w:rPr>
        <w:t xml:space="preserve">Mr July’s evidence that </w:t>
      </w:r>
      <w:r w:rsidRPr="009D2CCE">
        <w:rPr>
          <w:rFonts w:ascii="Arial" w:hAnsi="Arial" w:cs="Arial"/>
          <w:color w:val="000000" w:themeColor="text1"/>
          <w:sz w:val="24"/>
          <w:szCs w:val="24"/>
        </w:rPr>
        <w:t>it became a strategy of witnesses during consultations to say that they would be able to identify the accused person</w:t>
      </w:r>
      <w:r>
        <w:rPr>
          <w:rFonts w:ascii="Arial" w:hAnsi="Arial" w:cs="Arial"/>
          <w:color w:val="000000" w:themeColor="text1"/>
          <w:sz w:val="24"/>
          <w:szCs w:val="24"/>
        </w:rPr>
        <w:t xml:space="preserve"> referred to in their statements,</w:t>
      </w:r>
      <w:r w:rsidRPr="009D2CCE">
        <w:rPr>
          <w:rFonts w:ascii="Arial" w:hAnsi="Arial" w:cs="Arial"/>
          <w:color w:val="000000" w:themeColor="text1"/>
          <w:sz w:val="24"/>
          <w:szCs w:val="24"/>
        </w:rPr>
        <w:t xml:space="preserve"> but </w:t>
      </w:r>
      <w:r>
        <w:rPr>
          <w:rFonts w:ascii="Arial" w:hAnsi="Arial" w:cs="Arial"/>
          <w:color w:val="000000" w:themeColor="text1"/>
          <w:sz w:val="24"/>
          <w:szCs w:val="24"/>
        </w:rPr>
        <w:t xml:space="preserve">when asked to identify </w:t>
      </w:r>
      <w:r w:rsidR="00DD011E">
        <w:rPr>
          <w:rFonts w:ascii="Arial" w:hAnsi="Arial" w:cs="Arial"/>
          <w:color w:val="000000" w:themeColor="text1"/>
          <w:sz w:val="24"/>
          <w:szCs w:val="24"/>
        </w:rPr>
        <w:t xml:space="preserve">such </w:t>
      </w:r>
      <w:r>
        <w:rPr>
          <w:rFonts w:ascii="Arial" w:hAnsi="Arial" w:cs="Arial"/>
          <w:color w:val="000000" w:themeColor="text1"/>
          <w:sz w:val="24"/>
          <w:szCs w:val="24"/>
        </w:rPr>
        <w:t>accused person in court they would fail to do so</w:t>
      </w:r>
      <w:r w:rsidRPr="009D2CCE">
        <w:rPr>
          <w:rFonts w:ascii="Arial" w:hAnsi="Arial" w:cs="Arial"/>
          <w:color w:val="000000" w:themeColor="text1"/>
          <w:sz w:val="24"/>
          <w:szCs w:val="24"/>
        </w:rPr>
        <w:t>.</w:t>
      </w:r>
      <w:r>
        <w:rPr>
          <w:rFonts w:ascii="Arial" w:hAnsi="Arial" w:cs="Arial"/>
          <w:color w:val="000000" w:themeColor="text1"/>
          <w:sz w:val="24"/>
          <w:szCs w:val="24"/>
        </w:rPr>
        <w:t xml:space="preserve"> One aspect that is </w:t>
      </w:r>
      <w:r w:rsidR="008C761A">
        <w:rPr>
          <w:rFonts w:ascii="Arial" w:hAnsi="Arial" w:cs="Arial"/>
          <w:color w:val="000000" w:themeColor="text1"/>
          <w:sz w:val="24"/>
          <w:szCs w:val="24"/>
        </w:rPr>
        <w:t xml:space="preserve">crystal </w:t>
      </w:r>
      <w:r>
        <w:rPr>
          <w:rFonts w:ascii="Arial" w:hAnsi="Arial" w:cs="Arial"/>
          <w:color w:val="000000" w:themeColor="text1"/>
          <w:sz w:val="24"/>
          <w:szCs w:val="24"/>
        </w:rPr>
        <w:t>clear on the court record is that the</w:t>
      </w:r>
      <w:r w:rsidRPr="00872C56">
        <w:rPr>
          <w:rFonts w:ascii="Arial" w:hAnsi="Arial" w:cs="Arial"/>
          <w:color w:val="000000" w:themeColor="text1"/>
          <w:sz w:val="24"/>
          <w:szCs w:val="24"/>
        </w:rPr>
        <w:t xml:space="preserve"> </w:t>
      </w:r>
      <w:r>
        <w:rPr>
          <w:rFonts w:ascii="Arial" w:hAnsi="Arial" w:cs="Arial"/>
          <w:color w:val="000000" w:themeColor="text1"/>
          <w:sz w:val="24"/>
          <w:szCs w:val="24"/>
        </w:rPr>
        <w:t xml:space="preserve">person </w:t>
      </w:r>
      <w:r w:rsidR="004915A7">
        <w:rPr>
          <w:rFonts w:ascii="Arial" w:hAnsi="Arial" w:cs="Arial"/>
          <w:color w:val="000000" w:themeColor="text1"/>
          <w:sz w:val="24"/>
          <w:szCs w:val="24"/>
        </w:rPr>
        <w:t xml:space="preserve">variously referred to </w:t>
      </w:r>
      <w:r>
        <w:rPr>
          <w:rFonts w:ascii="Arial" w:hAnsi="Arial" w:cs="Arial"/>
          <w:color w:val="000000" w:themeColor="text1"/>
          <w:sz w:val="24"/>
          <w:szCs w:val="24"/>
        </w:rPr>
        <w:t xml:space="preserve">by the witnesses as </w:t>
      </w:r>
      <w:r w:rsidRPr="00872C56">
        <w:rPr>
          <w:rFonts w:ascii="Arial" w:hAnsi="Arial" w:cs="Arial"/>
          <w:color w:val="000000" w:themeColor="text1"/>
          <w:sz w:val="24"/>
          <w:szCs w:val="24"/>
        </w:rPr>
        <w:t>‘Shine Mahupelo’ or ‘Shai</w:t>
      </w:r>
      <w:r>
        <w:rPr>
          <w:rFonts w:ascii="Arial" w:hAnsi="Arial" w:cs="Arial"/>
          <w:color w:val="000000" w:themeColor="text1"/>
          <w:sz w:val="24"/>
          <w:szCs w:val="24"/>
        </w:rPr>
        <w:t xml:space="preserve">ni Mahupelo’ </w:t>
      </w:r>
      <w:r w:rsidR="00390C86">
        <w:rPr>
          <w:rFonts w:ascii="Arial" w:hAnsi="Arial" w:cs="Arial"/>
          <w:color w:val="000000" w:themeColor="text1"/>
          <w:sz w:val="24"/>
          <w:szCs w:val="24"/>
        </w:rPr>
        <w:t xml:space="preserve">or Richwell Mahupelo </w:t>
      </w:r>
      <w:r>
        <w:rPr>
          <w:rFonts w:ascii="Arial" w:hAnsi="Arial" w:cs="Arial"/>
          <w:color w:val="000000" w:themeColor="text1"/>
          <w:sz w:val="24"/>
          <w:szCs w:val="24"/>
        </w:rPr>
        <w:t xml:space="preserve">is the respondent. In fact, the </w:t>
      </w:r>
      <w:r w:rsidRPr="00872C56">
        <w:rPr>
          <w:rFonts w:ascii="Arial" w:hAnsi="Arial" w:cs="Arial"/>
          <w:color w:val="000000" w:themeColor="text1"/>
          <w:sz w:val="24"/>
          <w:szCs w:val="24"/>
        </w:rPr>
        <w:t xml:space="preserve">respondent </w:t>
      </w:r>
      <w:r>
        <w:rPr>
          <w:rFonts w:ascii="Arial" w:hAnsi="Arial" w:cs="Arial"/>
          <w:color w:val="000000" w:themeColor="text1"/>
          <w:sz w:val="24"/>
          <w:szCs w:val="24"/>
        </w:rPr>
        <w:t xml:space="preserve">conceded </w:t>
      </w:r>
      <w:r w:rsidRPr="00872C56">
        <w:rPr>
          <w:rFonts w:ascii="Arial" w:hAnsi="Arial" w:cs="Arial"/>
          <w:color w:val="000000" w:themeColor="text1"/>
          <w:sz w:val="24"/>
          <w:szCs w:val="24"/>
        </w:rPr>
        <w:t xml:space="preserve">that </w:t>
      </w:r>
      <w:r>
        <w:rPr>
          <w:rFonts w:ascii="Arial" w:hAnsi="Arial" w:cs="Arial"/>
          <w:color w:val="000000" w:themeColor="text1"/>
          <w:sz w:val="24"/>
          <w:szCs w:val="24"/>
        </w:rPr>
        <w:t xml:space="preserve">the </w:t>
      </w:r>
      <w:r w:rsidR="008550A8">
        <w:rPr>
          <w:rFonts w:ascii="Arial" w:hAnsi="Arial" w:cs="Arial"/>
          <w:color w:val="000000" w:themeColor="text1"/>
          <w:sz w:val="24"/>
          <w:szCs w:val="24"/>
        </w:rPr>
        <w:t xml:space="preserve">name </w:t>
      </w:r>
      <w:r w:rsidR="003F2AC4">
        <w:rPr>
          <w:rFonts w:ascii="Arial" w:hAnsi="Arial" w:cs="Arial"/>
          <w:color w:val="000000" w:themeColor="text1"/>
          <w:sz w:val="24"/>
          <w:szCs w:val="24"/>
        </w:rPr>
        <w:t>‘</w:t>
      </w:r>
      <w:r w:rsidR="008550A8">
        <w:rPr>
          <w:rFonts w:ascii="Arial" w:hAnsi="Arial" w:cs="Arial"/>
          <w:color w:val="000000" w:themeColor="text1"/>
          <w:sz w:val="24"/>
          <w:szCs w:val="24"/>
        </w:rPr>
        <w:t>Shain</w:t>
      </w:r>
      <w:r w:rsidR="00456BBB">
        <w:rPr>
          <w:rFonts w:ascii="Arial" w:hAnsi="Arial" w:cs="Arial"/>
          <w:color w:val="000000" w:themeColor="text1"/>
          <w:sz w:val="24"/>
          <w:szCs w:val="24"/>
        </w:rPr>
        <w:t>i</w:t>
      </w:r>
      <w:r w:rsidR="003F2AC4">
        <w:rPr>
          <w:rFonts w:ascii="Arial" w:hAnsi="Arial" w:cs="Arial"/>
          <w:color w:val="000000" w:themeColor="text1"/>
          <w:sz w:val="24"/>
          <w:szCs w:val="24"/>
        </w:rPr>
        <w:t>’</w:t>
      </w:r>
      <w:r w:rsidR="008550A8">
        <w:rPr>
          <w:rFonts w:ascii="Arial" w:hAnsi="Arial" w:cs="Arial"/>
          <w:color w:val="000000" w:themeColor="text1"/>
          <w:sz w:val="24"/>
          <w:szCs w:val="24"/>
        </w:rPr>
        <w:t xml:space="preserve"> mentioned </w:t>
      </w:r>
      <w:r w:rsidR="008C761A">
        <w:rPr>
          <w:rFonts w:ascii="Arial" w:hAnsi="Arial" w:cs="Arial"/>
          <w:color w:val="000000" w:themeColor="text1"/>
          <w:sz w:val="24"/>
          <w:szCs w:val="24"/>
        </w:rPr>
        <w:t xml:space="preserve">by </w:t>
      </w:r>
      <w:r w:rsidR="008550A8">
        <w:rPr>
          <w:rFonts w:ascii="Arial" w:hAnsi="Arial" w:cs="Arial"/>
          <w:color w:val="000000" w:themeColor="text1"/>
          <w:sz w:val="24"/>
          <w:szCs w:val="24"/>
        </w:rPr>
        <w:t xml:space="preserve">some witnesses in their statements at the criminal trial was his nickname and that the </w:t>
      </w:r>
      <w:r w:rsidRPr="009D2CCE">
        <w:rPr>
          <w:rFonts w:ascii="Arial" w:hAnsi="Arial" w:cs="Arial"/>
          <w:color w:val="000000" w:themeColor="text1"/>
          <w:sz w:val="24"/>
          <w:szCs w:val="24"/>
        </w:rPr>
        <w:t>allegations made by the witnesses concerned him.</w:t>
      </w:r>
      <w:r w:rsidR="008550A8">
        <w:rPr>
          <w:rFonts w:ascii="Arial" w:hAnsi="Arial" w:cs="Arial"/>
          <w:color w:val="000000" w:themeColor="text1"/>
          <w:sz w:val="24"/>
          <w:szCs w:val="24"/>
        </w:rPr>
        <w:t xml:space="preserve"> He maintained, however, that the allegations were false.</w:t>
      </w:r>
    </w:p>
    <w:p w:rsidR="000B16E1" w:rsidRPr="008B14F0" w:rsidRDefault="000B16E1" w:rsidP="000B16E1">
      <w:pPr>
        <w:spacing w:after="0" w:line="480" w:lineRule="auto"/>
        <w:ind w:left="360"/>
        <w:jc w:val="both"/>
        <w:rPr>
          <w:rFonts w:ascii="Arial" w:hAnsi="Arial" w:cs="Arial"/>
          <w:color w:val="000000" w:themeColor="text1"/>
          <w:sz w:val="24"/>
          <w:szCs w:val="24"/>
        </w:rPr>
      </w:pPr>
    </w:p>
    <w:p w:rsidR="000B16E1" w:rsidRDefault="000B16E1" w:rsidP="00356083">
      <w:pPr>
        <w:pStyle w:val="ListParagraph"/>
        <w:numPr>
          <w:ilvl w:val="0"/>
          <w:numId w:val="22"/>
        </w:numPr>
        <w:spacing w:after="0" w:line="480" w:lineRule="auto"/>
        <w:ind w:left="0" w:firstLine="0"/>
        <w:jc w:val="both"/>
        <w:rPr>
          <w:rFonts w:ascii="Arial" w:hAnsi="Arial" w:cs="Arial"/>
          <w:color w:val="000000" w:themeColor="text1"/>
          <w:sz w:val="24"/>
          <w:szCs w:val="24"/>
        </w:rPr>
      </w:pPr>
      <w:r w:rsidRPr="009D2CCE">
        <w:rPr>
          <w:rFonts w:ascii="Arial" w:hAnsi="Arial" w:cs="Arial"/>
          <w:color w:val="000000" w:themeColor="text1"/>
          <w:sz w:val="24"/>
          <w:szCs w:val="24"/>
        </w:rPr>
        <w:t xml:space="preserve">Mr. July </w:t>
      </w:r>
      <w:r>
        <w:rPr>
          <w:rFonts w:ascii="Arial" w:hAnsi="Arial" w:cs="Arial"/>
          <w:color w:val="000000" w:themeColor="text1"/>
          <w:sz w:val="24"/>
          <w:szCs w:val="24"/>
        </w:rPr>
        <w:t xml:space="preserve">explained </w:t>
      </w:r>
      <w:r w:rsidRPr="009D2CCE">
        <w:rPr>
          <w:rFonts w:ascii="Arial" w:hAnsi="Arial" w:cs="Arial"/>
          <w:color w:val="000000" w:themeColor="text1"/>
          <w:sz w:val="24"/>
          <w:szCs w:val="24"/>
        </w:rPr>
        <w:t xml:space="preserve">that the most reasonable justification </w:t>
      </w:r>
      <w:r>
        <w:rPr>
          <w:rFonts w:ascii="Arial" w:hAnsi="Arial" w:cs="Arial"/>
          <w:color w:val="000000" w:themeColor="text1"/>
          <w:sz w:val="24"/>
          <w:szCs w:val="24"/>
        </w:rPr>
        <w:t xml:space="preserve">for their failure to identify </w:t>
      </w:r>
      <w:r w:rsidRPr="009D2CCE">
        <w:rPr>
          <w:rFonts w:ascii="Arial" w:hAnsi="Arial" w:cs="Arial"/>
          <w:color w:val="000000" w:themeColor="text1"/>
          <w:sz w:val="24"/>
          <w:szCs w:val="24"/>
        </w:rPr>
        <w:t xml:space="preserve">the respondent in court was due </w:t>
      </w:r>
      <w:r>
        <w:rPr>
          <w:rFonts w:ascii="Arial" w:hAnsi="Arial" w:cs="Arial"/>
          <w:color w:val="000000" w:themeColor="text1"/>
          <w:sz w:val="24"/>
          <w:szCs w:val="24"/>
        </w:rPr>
        <w:t xml:space="preserve">to </w:t>
      </w:r>
      <w:r w:rsidRPr="009D2CCE">
        <w:rPr>
          <w:rFonts w:ascii="Arial" w:hAnsi="Arial" w:cs="Arial"/>
          <w:color w:val="000000" w:themeColor="text1"/>
          <w:sz w:val="24"/>
          <w:szCs w:val="24"/>
        </w:rPr>
        <w:t>close family relations between the witnesses</w:t>
      </w:r>
      <w:r w:rsidRPr="006F2522">
        <w:rPr>
          <w:rFonts w:ascii="Arial" w:hAnsi="Arial" w:cs="Arial"/>
          <w:color w:val="000000" w:themeColor="text1"/>
          <w:sz w:val="24"/>
          <w:szCs w:val="24"/>
        </w:rPr>
        <w:t xml:space="preserve"> and the accused persons, or fear of ha</w:t>
      </w:r>
      <w:r>
        <w:rPr>
          <w:rFonts w:ascii="Arial" w:hAnsi="Arial" w:cs="Arial"/>
          <w:color w:val="000000" w:themeColor="text1"/>
          <w:sz w:val="24"/>
          <w:szCs w:val="24"/>
        </w:rPr>
        <w:t xml:space="preserve">rassment. I agree with Mr. July’s evidence that </w:t>
      </w:r>
      <w:r w:rsidRPr="006F2522">
        <w:rPr>
          <w:rFonts w:ascii="Arial" w:hAnsi="Arial" w:cs="Arial"/>
          <w:color w:val="000000" w:themeColor="text1"/>
          <w:sz w:val="24"/>
          <w:szCs w:val="24"/>
        </w:rPr>
        <w:t xml:space="preserve">an inescapable conclusion that may be made of this state of affairs is that the identity of the respondent was not disputed, </w:t>
      </w:r>
      <w:r>
        <w:rPr>
          <w:rFonts w:ascii="Arial" w:hAnsi="Arial" w:cs="Arial"/>
          <w:color w:val="000000" w:themeColor="text1"/>
          <w:sz w:val="24"/>
          <w:szCs w:val="24"/>
        </w:rPr>
        <w:t xml:space="preserve">and further that the </w:t>
      </w:r>
      <w:r w:rsidRPr="006F2522">
        <w:rPr>
          <w:rFonts w:ascii="Arial" w:hAnsi="Arial" w:cs="Arial"/>
          <w:color w:val="000000" w:themeColor="text1"/>
          <w:sz w:val="24"/>
          <w:szCs w:val="24"/>
        </w:rPr>
        <w:t xml:space="preserve">main evidence against the respondent was that he had been providing foodstuff to rebels and this is precisely what </w:t>
      </w:r>
      <w:r>
        <w:rPr>
          <w:rFonts w:ascii="Arial" w:hAnsi="Arial" w:cs="Arial"/>
          <w:color w:val="000000" w:themeColor="text1"/>
          <w:sz w:val="24"/>
          <w:szCs w:val="24"/>
        </w:rPr>
        <w:t xml:space="preserve">is contained in the </w:t>
      </w:r>
      <w:r w:rsidRPr="006F2522">
        <w:rPr>
          <w:rFonts w:ascii="Arial" w:hAnsi="Arial" w:cs="Arial"/>
          <w:color w:val="000000" w:themeColor="text1"/>
          <w:sz w:val="24"/>
          <w:szCs w:val="24"/>
        </w:rPr>
        <w:t>witness</w:t>
      </w:r>
      <w:r>
        <w:rPr>
          <w:rFonts w:ascii="Arial" w:hAnsi="Arial" w:cs="Arial"/>
          <w:color w:val="000000" w:themeColor="text1"/>
          <w:sz w:val="24"/>
          <w:szCs w:val="24"/>
        </w:rPr>
        <w:t xml:space="preserve">es’ statements. That is also what the witnesses </w:t>
      </w:r>
      <w:r w:rsidRPr="006F2522">
        <w:rPr>
          <w:rFonts w:ascii="Arial" w:hAnsi="Arial" w:cs="Arial"/>
          <w:color w:val="000000" w:themeColor="text1"/>
          <w:sz w:val="24"/>
          <w:szCs w:val="24"/>
        </w:rPr>
        <w:t xml:space="preserve">testified </w:t>
      </w:r>
      <w:r>
        <w:rPr>
          <w:rFonts w:ascii="Arial" w:hAnsi="Arial" w:cs="Arial"/>
          <w:color w:val="000000" w:themeColor="text1"/>
          <w:sz w:val="24"/>
          <w:szCs w:val="24"/>
        </w:rPr>
        <w:t>about</w:t>
      </w:r>
      <w:r w:rsidRPr="006F2522">
        <w:rPr>
          <w:rFonts w:ascii="Arial" w:hAnsi="Arial" w:cs="Arial"/>
          <w:color w:val="000000" w:themeColor="text1"/>
          <w:sz w:val="24"/>
          <w:szCs w:val="24"/>
        </w:rPr>
        <w:t>.</w:t>
      </w:r>
    </w:p>
    <w:p w:rsidR="000B16E1" w:rsidRPr="00E133E1" w:rsidRDefault="000B16E1" w:rsidP="00302801">
      <w:pPr>
        <w:pStyle w:val="ListParagraph"/>
        <w:spacing w:after="0" w:line="480" w:lineRule="auto"/>
        <w:jc w:val="both"/>
        <w:rPr>
          <w:rFonts w:ascii="Arial" w:hAnsi="Arial" w:cs="Arial"/>
          <w:color w:val="000000" w:themeColor="text1"/>
          <w:sz w:val="24"/>
          <w:szCs w:val="24"/>
        </w:rPr>
      </w:pPr>
    </w:p>
    <w:p w:rsidR="00456BBB" w:rsidRDefault="000B16E1" w:rsidP="00BA4203">
      <w:pPr>
        <w:pStyle w:val="ListParagraph"/>
        <w:numPr>
          <w:ilvl w:val="0"/>
          <w:numId w:val="22"/>
        </w:numPr>
        <w:spacing w:after="0" w:line="480" w:lineRule="auto"/>
        <w:ind w:left="0" w:firstLine="0"/>
        <w:jc w:val="both"/>
        <w:rPr>
          <w:rFonts w:ascii="Arial" w:hAnsi="Arial" w:cs="Arial"/>
          <w:color w:val="000000" w:themeColor="text1"/>
          <w:sz w:val="24"/>
          <w:szCs w:val="24"/>
        </w:rPr>
      </w:pPr>
      <w:r w:rsidRPr="003A2B48">
        <w:rPr>
          <w:rFonts w:ascii="Arial" w:hAnsi="Arial" w:cs="Arial"/>
          <w:color w:val="000000" w:themeColor="text1"/>
          <w:sz w:val="24"/>
          <w:szCs w:val="24"/>
        </w:rPr>
        <w:t xml:space="preserve">I thus agree with the appellants in their submission that although the criminal court found that there was insufficient evidence to secure a conviction for the purposes of the criminal law, there was evidence against the respondent establishing reasonable and </w:t>
      </w:r>
      <w:r w:rsidRPr="003A2B48">
        <w:rPr>
          <w:rFonts w:ascii="Arial" w:hAnsi="Arial" w:cs="Arial"/>
          <w:color w:val="000000" w:themeColor="text1"/>
          <w:sz w:val="24"/>
          <w:szCs w:val="24"/>
        </w:rPr>
        <w:lastRenderedPageBreak/>
        <w:t>probable cause</w:t>
      </w:r>
      <w:r w:rsidR="008550A8">
        <w:rPr>
          <w:rFonts w:ascii="Arial" w:hAnsi="Arial" w:cs="Arial"/>
          <w:color w:val="000000" w:themeColor="text1"/>
          <w:sz w:val="24"/>
          <w:szCs w:val="24"/>
        </w:rPr>
        <w:t xml:space="preserve"> on the part of the prosecution not only to initiate the prosecution, but also to continue with it right up to the end of the State case</w:t>
      </w:r>
      <w:r w:rsidRPr="003A2B48">
        <w:rPr>
          <w:rFonts w:ascii="Arial" w:hAnsi="Arial" w:cs="Arial"/>
          <w:color w:val="000000" w:themeColor="text1"/>
          <w:sz w:val="24"/>
          <w:szCs w:val="24"/>
        </w:rPr>
        <w:t xml:space="preserve">. </w:t>
      </w:r>
    </w:p>
    <w:p w:rsidR="00BA4203" w:rsidRPr="00BA4203" w:rsidRDefault="00BA4203" w:rsidP="00302801">
      <w:pPr>
        <w:pStyle w:val="ListParagraph"/>
        <w:spacing w:after="0" w:line="480" w:lineRule="auto"/>
        <w:jc w:val="both"/>
        <w:rPr>
          <w:rFonts w:ascii="Arial" w:hAnsi="Arial" w:cs="Arial"/>
          <w:color w:val="000000" w:themeColor="text1"/>
          <w:sz w:val="24"/>
          <w:szCs w:val="24"/>
        </w:rPr>
      </w:pPr>
    </w:p>
    <w:p w:rsidR="000B16E1" w:rsidRPr="00456BBB" w:rsidRDefault="000B16E1" w:rsidP="00356083">
      <w:pPr>
        <w:pStyle w:val="ListParagraph"/>
        <w:numPr>
          <w:ilvl w:val="0"/>
          <w:numId w:val="22"/>
        </w:numPr>
        <w:spacing w:after="0" w:line="480" w:lineRule="auto"/>
        <w:ind w:left="0" w:firstLine="0"/>
        <w:jc w:val="both"/>
        <w:rPr>
          <w:rFonts w:ascii="Arial" w:hAnsi="Arial" w:cs="Arial"/>
          <w:color w:val="000000" w:themeColor="text1"/>
          <w:sz w:val="24"/>
          <w:szCs w:val="24"/>
        </w:rPr>
      </w:pPr>
      <w:r w:rsidRPr="003A2B48">
        <w:rPr>
          <w:rFonts w:ascii="Arial" w:hAnsi="Arial" w:cs="Arial"/>
          <w:sz w:val="24"/>
          <w:szCs w:val="24"/>
        </w:rPr>
        <w:t xml:space="preserve">  </w:t>
      </w:r>
      <w:r w:rsidR="00456BBB" w:rsidRPr="00456BBB">
        <w:rPr>
          <w:rFonts w:ascii="Arial" w:hAnsi="Arial" w:cs="Arial"/>
          <w:snapToGrid w:val="0"/>
          <w:sz w:val="24"/>
          <w:szCs w:val="24"/>
        </w:rPr>
        <w:t>Additional objective evidence was that the respondent was arrested together with Bennet Mutuso, who was a well-known rebel leader, while travelling in a car at night. The evidence from the respondent’s wife that the respondent used to take food in the bush is significant when considered against the backdrop of the 2 August 1999 attack. According to Mr July, the prosecution had information that the rebels were being supplied with food by other people and that the fact that the respondent was in the company of Mutuso after the 2 August 1999 attack meant that he ha</w:t>
      </w:r>
      <w:r w:rsidR="00456BBB">
        <w:rPr>
          <w:rFonts w:ascii="Arial" w:hAnsi="Arial" w:cs="Arial"/>
          <w:snapToGrid w:val="0"/>
          <w:sz w:val="24"/>
          <w:szCs w:val="24"/>
        </w:rPr>
        <w:t xml:space="preserve">d intimate connection to Mutuso. </w:t>
      </w:r>
    </w:p>
    <w:p w:rsidR="00456BBB" w:rsidRPr="00456BBB" w:rsidRDefault="00456BBB" w:rsidP="00302801">
      <w:pPr>
        <w:pStyle w:val="ListParagraph"/>
        <w:spacing w:after="0" w:line="480" w:lineRule="auto"/>
        <w:jc w:val="both"/>
        <w:rPr>
          <w:rFonts w:ascii="Arial" w:hAnsi="Arial" w:cs="Arial"/>
          <w:color w:val="000000" w:themeColor="text1"/>
          <w:sz w:val="24"/>
          <w:szCs w:val="24"/>
        </w:rPr>
      </w:pPr>
    </w:p>
    <w:p w:rsidR="00456BBB" w:rsidRPr="00456BBB" w:rsidRDefault="00456BBB" w:rsidP="00456BBB">
      <w:pPr>
        <w:pStyle w:val="ListParagraph"/>
        <w:numPr>
          <w:ilvl w:val="0"/>
          <w:numId w:val="22"/>
        </w:numPr>
        <w:spacing w:after="0" w:line="480" w:lineRule="auto"/>
        <w:ind w:left="0" w:firstLine="0"/>
        <w:jc w:val="both"/>
        <w:rPr>
          <w:rFonts w:ascii="Arial" w:hAnsi="Arial" w:cs="Arial"/>
          <w:color w:val="000000" w:themeColor="text1"/>
          <w:sz w:val="24"/>
          <w:szCs w:val="24"/>
        </w:rPr>
      </w:pPr>
      <w:r w:rsidRPr="003A2B48">
        <w:rPr>
          <w:rFonts w:ascii="Arial" w:hAnsi="Arial" w:cs="Arial"/>
          <w:color w:val="000000" w:themeColor="text1"/>
          <w:sz w:val="24"/>
          <w:szCs w:val="24"/>
        </w:rPr>
        <w:t xml:space="preserve">It </w:t>
      </w:r>
      <w:r>
        <w:rPr>
          <w:rFonts w:ascii="Arial" w:hAnsi="Arial" w:cs="Arial"/>
          <w:color w:val="000000" w:themeColor="text1"/>
          <w:sz w:val="24"/>
          <w:szCs w:val="24"/>
        </w:rPr>
        <w:t xml:space="preserve">is trite </w:t>
      </w:r>
      <w:r w:rsidRPr="003A2B48">
        <w:rPr>
          <w:rFonts w:ascii="Arial" w:hAnsi="Arial" w:cs="Arial"/>
          <w:color w:val="000000" w:themeColor="text1"/>
          <w:sz w:val="24"/>
          <w:szCs w:val="24"/>
        </w:rPr>
        <w:t>that the principles and considerations applicable in a criminal trial to secure a conviction of an accused person are different from those relevant in the consideration of the question of reasonable and probable cause in a malicious prosecution claim. Thus</w:t>
      </w:r>
      <w:r>
        <w:rPr>
          <w:rFonts w:ascii="Arial" w:hAnsi="Arial" w:cs="Arial"/>
          <w:color w:val="000000" w:themeColor="text1"/>
          <w:sz w:val="24"/>
          <w:szCs w:val="24"/>
        </w:rPr>
        <w:t>,</w:t>
      </w:r>
      <w:r w:rsidRPr="003A2B48">
        <w:rPr>
          <w:rFonts w:ascii="Arial" w:hAnsi="Arial" w:cs="Arial"/>
          <w:color w:val="000000" w:themeColor="text1"/>
          <w:sz w:val="24"/>
          <w:szCs w:val="24"/>
        </w:rPr>
        <w:t xml:space="preserve"> the court in a claim for malicious prosecution is not concerned with </w:t>
      </w:r>
      <w:r>
        <w:rPr>
          <w:rFonts w:ascii="Arial" w:hAnsi="Arial" w:cs="Arial"/>
          <w:color w:val="000000" w:themeColor="text1"/>
          <w:sz w:val="24"/>
          <w:szCs w:val="24"/>
        </w:rPr>
        <w:t xml:space="preserve">the question of </w:t>
      </w:r>
      <w:r w:rsidRPr="003A2B48">
        <w:rPr>
          <w:rFonts w:ascii="Arial" w:hAnsi="Arial" w:cs="Arial"/>
          <w:color w:val="000000" w:themeColor="text1"/>
          <w:sz w:val="24"/>
          <w:szCs w:val="24"/>
        </w:rPr>
        <w:t>whether the respondent was guilty of the offences with which he stood</w:t>
      </w:r>
      <w:r>
        <w:rPr>
          <w:rFonts w:ascii="Arial" w:hAnsi="Arial" w:cs="Arial"/>
          <w:color w:val="000000" w:themeColor="text1"/>
          <w:sz w:val="24"/>
          <w:szCs w:val="24"/>
        </w:rPr>
        <w:t xml:space="preserve"> charged</w:t>
      </w:r>
      <w:r w:rsidRPr="003A2B48">
        <w:rPr>
          <w:rFonts w:ascii="Arial" w:hAnsi="Arial" w:cs="Arial"/>
          <w:color w:val="000000" w:themeColor="text1"/>
          <w:sz w:val="24"/>
          <w:szCs w:val="24"/>
        </w:rPr>
        <w:t xml:space="preserve">. That was the concern of the criminal court. </w:t>
      </w:r>
      <w:r w:rsidRPr="003A2B48">
        <w:rPr>
          <w:rFonts w:ascii="Arial" w:hAnsi="Arial" w:cs="Arial"/>
          <w:sz w:val="24"/>
          <w:szCs w:val="24"/>
        </w:rPr>
        <w:t xml:space="preserve">The legal question the court </w:t>
      </w:r>
      <w:r w:rsidRPr="003A2B48">
        <w:rPr>
          <w:rFonts w:ascii="Arial" w:hAnsi="Arial" w:cs="Arial"/>
          <w:i/>
          <w:sz w:val="24"/>
          <w:szCs w:val="24"/>
        </w:rPr>
        <w:t>a quo</w:t>
      </w:r>
      <w:r w:rsidRPr="003A2B48">
        <w:rPr>
          <w:rFonts w:ascii="Arial" w:hAnsi="Arial" w:cs="Arial"/>
          <w:sz w:val="24"/>
          <w:szCs w:val="24"/>
        </w:rPr>
        <w:t xml:space="preserve"> was called upon to determine is rather whether, given the pleadings and evidence before it, can it be said that the PG subjectively and objectively lacked reasonable and probable cause to continue with the prosecution and </w:t>
      </w:r>
      <w:r>
        <w:rPr>
          <w:rFonts w:ascii="Arial" w:hAnsi="Arial" w:cs="Arial"/>
          <w:sz w:val="24"/>
          <w:szCs w:val="24"/>
        </w:rPr>
        <w:t xml:space="preserve">that </w:t>
      </w:r>
      <w:r w:rsidRPr="003A2B48">
        <w:rPr>
          <w:rFonts w:ascii="Arial" w:hAnsi="Arial" w:cs="Arial"/>
          <w:sz w:val="24"/>
          <w:szCs w:val="24"/>
        </w:rPr>
        <w:t xml:space="preserve">notwithstanding that realization the PG </w:t>
      </w:r>
      <w:r>
        <w:rPr>
          <w:rFonts w:ascii="Arial" w:hAnsi="Arial" w:cs="Arial"/>
          <w:sz w:val="24"/>
          <w:szCs w:val="24"/>
        </w:rPr>
        <w:t>continued to act, reckless as to the consequences of her conduct? In my respectful view, that question should have been answered in the negative.</w:t>
      </w:r>
    </w:p>
    <w:p w:rsidR="000B16E1" w:rsidRPr="003A2B48" w:rsidRDefault="000B16E1" w:rsidP="000B16E1">
      <w:pPr>
        <w:pStyle w:val="ListParagraph"/>
        <w:rPr>
          <w:rFonts w:ascii="Arial" w:hAnsi="Arial" w:cs="Arial"/>
          <w:color w:val="000000" w:themeColor="text1"/>
          <w:sz w:val="24"/>
          <w:szCs w:val="24"/>
        </w:rPr>
      </w:pPr>
    </w:p>
    <w:p w:rsidR="00E61454" w:rsidRDefault="007168A6" w:rsidP="00356083">
      <w:pPr>
        <w:pStyle w:val="ListParagraph"/>
        <w:numPr>
          <w:ilvl w:val="0"/>
          <w:numId w:val="22"/>
        </w:numPr>
        <w:spacing w:after="0" w:line="480" w:lineRule="auto"/>
        <w:ind w:left="0" w:firstLine="0"/>
        <w:jc w:val="both"/>
        <w:rPr>
          <w:rFonts w:ascii="Arial" w:hAnsi="Arial" w:cs="Arial"/>
          <w:color w:val="000000" w:themeColor="text1"/>
          <w:sz w:val="24"/>
          <w:szCs w:val="24"/>
        </w:rPr>
      </w:pPr>
      <w:r>
        <w:rPr>
          <w:rFonts w:ascii="Arial" w:hAnsi="Arial" w:cs="Arial"/>
          <w:color w:val="000000" w:themeColor="text1"/>
          <w:sz w:val="24"/>
          <w:szCs w:val="24"/>
        </w:rPr>
        <w:lastRenderedPageBreak/>
        <w:t xml:space="preserve">As to </w:t>
      </w:r>
      <w:r w:rsidRPr="007168A6">
        <w:rPr>
          <w:rFonts w:ascii="Arial" w:hAnsi="Arial" w:cs="Arial"/>
          <w:i/>
          <w:color w:val="000000" w:themeColor="text1"/>
          <w:sz w:val="24"/>
          <w:szCs w:val="24"/>
        </w:rPr>
        <w:t>animus iniuriandi</w:t>
      </w:r>
      <w:r>
        <w:rPr>
          <w:rFonts w:ascii="Arial" w:hAnsi="Arial" w:cs="Arial"/>
          <w:color w:val="000000" w:themeColor="text1"/>
          <w:sz w:val="24"/>
          <w:szCs w:val="24"/>
        </w:rPr>
        <w:t xml:space="preserve">, </w:t>
      </w:r>
      <w:r w:rsidR="008C761A">
        <w:rPr>
          <w:rFonts w:ascii="Arial" w:hAnsi="Arial" w:cs="Arial"/>
          <w:color w:val="000000" w:themeColor="text1"/>
          <w:sz w:val="24"/>
          <w:szCs w:val="24"/>
        </w:rPr>
        <w:t xml:space="preserve">Mr July gave evidence that he honestly believed in the case he maintained against the respondent from November 2011. </w:t>
      </w:r>
      <w:r w:rsidR="00101B86">
        <w:rPr>
          <w:rFonts w:ascii="Arial" w:hAnsi="Arial" w:cs="Arial"/>
          <w:color w:val="000000" w:themeColor="text1"/>
          <w:sz w:val="24"/>
          <w:szCs w:val="24"/>
        </w:rPr>
        <w:t xml:space="preserve">It was not put to him that he was not telling the truth in that regard or </w:t>
      </w:r>
      <w:r w:rsidR="00206611">
        <w:rPr>
          <w:rFonts w:ascii="Arial" w:hAnsi="Arial" w:cs="Arial"/>
          <w:color w:val="000000" w:themeColor="text1"/>
          <w:sz w:val="24"/>
          <w:szCs w:val="24"/>
        </w:rPr>
        <w:t xml:space="preserve">in </w:t>
      </w:r>
      <w:r w:rsidR="00101B86">
        <w:rPr>
          <w:rFonts w:ascii="Arial" w:hAnsi="Arial" w:cs="Arial"/>
          <w:color w:val="000000" w:themeColor="text1"/>
          <w:sz w:val="24"/>
          <w:szCs w:val="24"/>
        </w:rPr>
        <w:t>any other respect. His evidence was neither gainsaid nor was there a basis for it to be rejected. In my respectful view</w:t>
      </w:r>
      <w:r w:rsidR="00206611">
        <w:rPr>
          <w:rFonts w:ascii="Arial" w:hAnsi="Arial" w:cs="Arial"/>
          <w:color w:val="000000" w:themeColor="text1"/>
          <w:sz w:val="24"/>
          <w:szCs w:val="24"/>
        </w:rPr>
        <w:t>,</w:t>
      </w:r>
      <w:r w:rsidR="00101B86">
        <w:rPr>
          <w:rFonts w:ascii="Arial" w:hAnsi="Arial" w:cs="Arial"/>
          <w:color w:val="000000" w:themeColor="text1"/>
          <w:sz w:val="24"/>
          <w:szCs w:val="24"/>
        </w:rPr>
        <w:t xml:space="preserve"> his undisputed evidence should have been accepted by the High Court.  </w:t>
      </w:r>
      <w:r w:rsidR="00206611">
        <w:rPr>
          <w:rFonts w:ascii="Arial" w:hAnsi="Arial" w:cs="Arial"/>
          <w:color w:val="000000" w:themeColor="text1"/>
          <w:sz w:val="24"/>
          <w:szCs w:val="24"/>
        </w:rPr>
        <w:t>As to an attempt to obtain additional evidence to bolster the State’s case, this step in itself does not appear to demonstrate that the prosecution concluded that it did not have a case against the respondent and should therefore</w:t>
      </w:r>
      <w:r w:rsidR="00881BE4">
        <w:rPr>
          <w:rFonts w:ascii="Arial" w:hAnsi="Arial" w:cs="Arial"/>
          <w:color w:val="000000" w:themeColor="text1"/>
          <w:sz w:val="24"/>
          <w:szCs w:val="24"/>
        </w:rPr>
        <w:t xml:space="preserve"> have</w:t>
      </w:r>
      <w:r w:rsidR="00206611">
        <w:rPr>
          <w:rFonts w:ascii="Arial" w:hAnsi="Arial" w:cs="Arial"/>
          <w:color w:val="000000" w:themeColor="text1"/>
          <w:sz w:val="24"/>
          <w:szCs w:val="24"/>
        </w:rPr>
        <w:t xml:space="preserve"> concluded its case then. First, the evidence sought was not in respect of the respondent only, but in respect of all accused persons. Secondly, although the evidence was ultimately not admitted, some accused persons were nevertheless convicted</w:t>
      </w:r>
      <w:r w:rsidR="00E61454">
        <w:rPr>
          <w:rFonts w:ascii="Arial" w:hAnsi="Arial" w:cs="Arial"/>
          <w:color w:val="000000" w:themeColor="text1"/>
          <w:sz w:val="24"/>
          <w:szCs w:val="24"/>
        </w:rPr>
        <w:t>, which demonstrates that the search for additional evidence was not entirely motivated by the lack of evidence in respect of all accused persons</w:t>
      </w:r>
      <w:r w:rsidR="00206611">
        <w:rPr>
          <w:rFonts w:ascii="Arial" w:hAnsi="Arial" w:cs="Arial"/>
          <w:color w:val="000000" w:themeColor="text1"/>
          <w:sz w:val="24"/>
          <w:szCs w:val="24"/>
        </w:rPr>
        <w:t>.</w:t>
      </w:r>
      <w:r w:rsidR="00456BBB">
        <w:rPr>
          <w:rFonts w:ascii="Arial" w:hAnsi="Arial" w:cs="Arial"/>
          <w:color w:val="000000" w:themeColor="text1"/>
          <w:sz w:val="24"/>
          <w:szCs w:val="24"/>
        </w:rPr>
        <w:t xml:space="preserve"> </w:t>
      </w:r>
    </w:p>
    <w:p w:rsidR="00E61454" w:rsidRPr="00E61454" w:rsidRDefault="00E61454" w:rsidP="00302801">
      <w:pPr>
        <w:pStyle w:val="ListParagraph"/>
        <w:spacing w:after="0" w:line="480" w:lineRule="auto"/>
        <w:jc w:val="both"/>
        <w:rPr>
          <w:rFonts w:ascii="Arial" w:hAnsi="Arial" w:cs="Arial"/>
          <w:color w:val="000000" w:themeColor="text1"/>
          <w:sz w:val="24"/>
          <w:szCs w:val="24"/>
        </w:rPr>
      </w:pPr>
    </w:p>
    <w:p w:rsidR="00DC1B8B" w:rsidRDefault="00356083" w:rsidP="00356083">
      <w:pPr>
        <w:pStyle w:val="ListParagraph"/>
        <w:numPr>
          <w:ilvl w:val="0"/>
          <w:numId w:val="22"/>
        </w:numPr>
        <w:spacing w:after="0" w:line="480" w:lineRule="auto"/>
        <w:ind w:left="0" w:firstLine="0"/>
        <w:jc w:val="both"/>
        <w:rPr>
          <w:rFonts w:ascii="Arial" w:hAnsi="Arial" w:cs="Arial"/>
          <w:color w:val="000000" w:themeColor="text1"/>
          <w:sz w:val="24"/>
          <w:szCs w:val="24"/>
        </w:rPr>
      </w:pPr>
      <w:r>
        <w:rPr>
          <w:rFonts w:ascii="Arial" w:hAnsi="Arial" w:cs="Arial"/>
          <w:color w:val="000000" w:themeColor="text1"/>
          <w:sz w:val="24"/>
          <w:szCs w:val="24"/>
        </w:rPr>
        <w:t>As regards</w:t>
      </w:r>
      <w:r w:rsidR="000B16E1" w:rsidRPr="002B4B2A">
        <w:rPr>
          <w:rFonts w:ascii="Arial" w:hAnsi="Arial" w:cs="Arial"/>
          <w:color w:val="000000" w:themeColor="text1"/>
          <w:sz w:val="24"/>
          <w:szCs w:val="24"/>
        </w:rPr>
        <w:t xml:space="preserve"> the doctrine of common purpose, I find the statements on th</w:t>
      </w:r>
      <w:r w:rsidR="000B16E1">
        <w:rPr>
          <w:rFonts w:ascii="Arial" w:hAnsi="Arial" w:cs="Arial"/>
          <w:color w:val="000000" w:themeColor="text1"/>
          <w:sz w:val="24"/>
          <w:szCs w:val="24"/>
        </w:rPr>
        <w:t xml:space="preserve">is aspect of the </w:t>
      </w:r>
      <w:r w:rsidR="000B16E1" w:rsidRPr="002B4B2A">
        <w:rPr>
          <w:rFonts w:ascii="Arial" w:hAnsi="Arial" w:cs="Arial"/>
          <w:color w:val="000000" w:themeColor="text1"/>
          <w:sz w:val="24"/>
          <w:szCs w:val="24"/>
        </w:rPr>
        <w:t xml:space="preserve">law by Moseneke J in </w:t>
      </w:r>
      <w:r w:rsidR="000B16E1" w:rsidRPr="002B4B2A">
        <w:rPr>
          <w:rFonts w:ascii="Arial" w:hAnsi="Arial" w:cs="Arial"/>
          <w:i/>
          <w:color w:val="000000" w:themeColor="text1"/>
          <w:sz w:val="24"/>
          <w:szCs w:val="24"/>
        </w:rPr>
        <w:t>S v Thebus and another</w:t>
      </w:r>
      <w:r w:rsidR="000B16E1">
        <w:rPr>
          <w:rStyle w:val="FootnoteReference"/>
          <w:rFonts w:ascii="Arial" w:hAnsi="Arial" w:cs="Arial"/>
          <w:i/>
          <w:color w:val="000000" w:themeColor="text1"/>
          <w:sz w:val="24"/>
          <w:szCs w:val="24"/>
        </w:rPr>
        <w:footnoteReference w:id="40"/>
      </w:r>
      <w:r w:rsidR="000B16E1" w:rsidRPr="002B4B2A">
        <w:rPr>
          <w:rFonts w:ascii="Arial" w:hAnsi="Arial" w:cs="Arial"/>
          <w:color w:val="000000" w:themeColor="text1"/>
          <w:sz w:val="24"/>
          <w:szCs w:val="24"/>
        </w:rPr>
        <w:t xml:space="preserve"> </w:t>
      </w:r>
      <w:r w:rsidR="000B16E1">
        <w:rPr>
          <w:rFonts w:ascii="Arial" w:hAnsi="Arial" w:cs="Arial"/>
          <w:color w:val="000000" w:themeColor="text1"/>
          <w:sz w:val="24"/>
          <w:szCs w:val="24"/>
        </w:rPr>
        <w:t>worth</w:t>
      </w:r>
      <w:r w:rsidR="00E61454">
        <w:rPr>
          <w:rFonts w:ascii="Arial" w:hAnsi="Arial" w:cs="Arial"/>
          <w:color w:val="000000" w:themeColor="text1"/>
          <w:sz w:val="24"/>
          <w:szCs w:val="24"/>
        </w:rPr>
        <w:t>y of adoption</w:t>
      </w:r>
      <w:r w:rsidR="000B16E1">
        <w:rPr>
          <w:rFonts w:ascii="Arial" w:hAnsi="Arial" w:cs="Arial"/>
          <w:color w:val="000000" w:themeColor="text1"/>
          <w:sz w:val="24"/>
          <w:szCs w:val="24"/>
        </w:rPr>
        <w:t xml:space="preserve">. </w:t>
      </w:r>
      <w:r w:rsidR="00AD05EB">
        <w:rPr>
          <w:rFonts w:ascii="Arial" w:hAnsi="Arial" w:cs="Arial"/>
          <w:color w:val="000000" w:themeColor="text1"/>
          <w:sz w:val="24"/>
          <w:szCs w:val="24"/>
        </w:rPr>
        <w:t xml:space="preserve">At para 19 </w:t>
      </w:r>
      <w:r w:rsidR="00E61454">
        <w:rPr>
          <w:rFonts w:ascii="Arial" w:hAnsi="Arial" w:cs="Arial"/>
          <w:color w:val="000000" w:themeColor="text1"/>
          <w:sz w:val="24"/>
          <w:szCs w:val="24"/>
        </w:rPr>
        <w:t xml:space="preserve">of the judgment </w:t>
      </w:r>
      <w:r w:rsidR="00AD05EB">
        <w:rPr>
          <w:rFonts w:ascii="Arial" w:hAnsi="Arial" w:cs="Arial"/>
          <w:color w:val="000000" w:themeColor="text1"/>
          <w:sz w:val="24"/>
          <w:szCs w:val="24"/>
        </w:rPr>
        <w:t xml:space="preserve">the learned Justice said the following: </w:t>
      </w:r>
    </w:p>
    <w:p w:rsidR="00DC1B8B" w:rsidRPr="00302801" w:rsidRDefault="00DC1B8B" w:rsidP="00302801">
      <w:pPr>
        <w:spacing w:after="0" w:line="480" w:lineRule="auto"/>
        <w:ind w:left="720"/>
        <w:jc w:val="both"/>
        <w:rPr>
          <w:rFonts w:ascii="Arial" w:hAnsi="Arial" w:cs="Arial"/>
          <w:color w:val="000000" w:themeColor="text1"/>
          <w:sz w:val="24"/>
          <w:szCs w:val="24"/>
        </w:rPr>
      </w:pPr>
    </w:p>
    <w:p w:rsidR="000B16E1" w:rsidRPr="00DC1B8B" w:rsidRDefault="00DC1B8B" w:rsidP="00DC1B8B">
      <w:pPr>
        <w:spacing w:after="0" w:line="360" w:lineRule="auto"/>
        <w:ind w:left="720"/>
        <w:jc w:val="both"/>
        <w:rPr>
          <w:rFonts w:ascii="Arial" w:hAnsi="Arial" w:cs="Arial"/>
          <w:color w:val="000000" w:themeColor="text1"/>
        </w:rPr>
      </w:pPr>
      <w:r w:rsidRPr="00DC1B8B">
        <w:rPr>
          <w:rFonts w:ascii="Arial" w:hAnsi="Arial" w:cs="Arial"/>
          <w:color w:val="000000" w:themeColor="text1"/>
        </w:rPr>
        <w:t>‘T</w:t>
      </w:r>
      <w:r w:rsidR="000B16E1" w:rsidRPr="00DC1B8B">
        <w:rPr>
          <w:rFonts w:ascii="Arial" w:hAnsi="Arial" w:cs="Arial"/>
          <w:color w:val="000000" w:themeColor="text1"/>
        </w:rPr>
        <w:t>he liability requirements of a joint criminal enterprise f</w:t>
      </w:r>
      <w:r w:rsidRPr="00DC1B8B">
        <w:rPr>
          <w:rFonts w:ascii="Arial" w:hAnsi="Arial" w:cs="Arial"/>
          <w:color w:val="000000" w:themeColor="text1"/>
        </w:rPr>
        <w:t>a</w:t>
      </w:r>
      <w:r w:rsidR="000B16E1" w:rsidRPr="00DC1B8B">
        <w:rPr>
          <w:rFonts w:ascii="Arial" w:hAnsi="Arial" w:cs="Arial"/>
          <w:color w:val="000000" w:themeColor="text1"/>
        </w:rPr>
        <w:t xml:space="preserve">ll into two categories. The first arises where there is a prior agreement, </w:t>
      </w:r>
      <w:r w:rsidRPr="00DC1B8B">
        <w:rPr>
          <w:rFonts w:ascii="Arial" w:hAnsi="Arial" w:cs="Arial"/>
          <w:color w:val="000000" w:themeColor="text1"/>
        </w:rPr>
        <w:t xml:space="preserve">express or </w:t>
      </w:r>
      <w:r w:rsidR="000B16E1" w:rsidRPr="00DC1B8B">
        <w:rPr>
          <w:rFonts w:ascii="Arial" w:hAnsi="Arial" w:cs="Arial"/>
          <w:color w:val="000000" w:themeColor="text1"/>
        </w:rPr>
        <w:t>implied, to commit a common offence. In the second category, no such prior agreement exists or is proved. The liability arises from an active association and participation in a common criminal design with the requisite blameworthy state of mind.</w:t>
      </w:r>
      <w:r w:rsidRPr="00DC1B8B">
        <w:rPr>
          <w:rFonts w:ascii="Arial" w:hAnsi="Arial" w:cs="Arial"/>
          <w:color w:val="000000" w:themeColor="text1"/>
        </w:rPr>
        <w:t>’</w:t>
      </w:r>
      <w:r w:rsidR="000B16E1" w:rsidRPr="00DC1B8B">
        <w:rPr>
          <w:rFonts w:ascii="Arial" w:hAnsi="Arial" w:cs="Arial"/>
          <w:color w:val="000000" w:themeColor="text1"/>
        </w:rPr>
        <w:t xml:space="preserve"> </w:t>
      </w:r>
    </w:p>
    <w:p w:rsidR="000B16E1" w:rsidRPr="002B4B2A" w:rsidRDefault="000B16E1" w:rsidP="000B16E1">
      <w:pPr>
        <w:pStyle w:val="ListParagraph"/>
        <w:rPr>
          <w:rFonts w:ascii="Arial" w:hAnsi="Arial" w:cs="Arial"/>
          <w:color w:val="000000" w:themeColor="text1"/>
          <w:sz w:val="24"/>
          <w:szCs w:val="24"/>
        </w:rPr>
      </w:pPr>
    </w:p>
    <w:p w:rsidR="000B16E1" w:rsidRPr="00EA6958" w:rsidRDefault="000B16E1" w:rsidP="00356083">
      <w:pPr>
        <w:pStyle w:val="ListParagraph"/>
        <w:numPr>
          <w:ilvl w:val="0"/>
          <w:numId w:val="22"/>
        </w:numPr>
        <w:spacing w:after="0" w:line="480" w:lineRule="auto"/>
        <w:ind w:left="0" w:firstLine="0"/>
        <w:jc w:val="both"/>
        <w:rPr>
          <w:rFonts w:ascii="Arial" w:hAnsi="Arial" w:cs="Arial"/>
          <w:color w:val="000000" w:themeColor="text1"/>
          <w:sz w:val="24"/>
          <w:szCs w:val="24"/>
        </w:rPr>
      </w:pPr>
      <w:r w:rsidRPr="00EA6958">
        <w:rPr>
          <w:rFonts w:ascii="Arial" w:hAnsi="Arial" w:cs="Arial"/>
          <w:color w:val="000000" w:themeColor="text1"/>
          <w:sz w:val="24"/>
          <w:szCs w:val="24"/>
        </w:rPr>
        <w:lastRenderedPageBreak/>
        <w:t xml:space="preserve">An </w:t>
      </w:r>
      <w:r w:rsidR="00E61454">
        <w:rPr>
          <w:rFonts w:ascii="Arial" w:hAnsi="Arial" w:cs="Arial"/>
          <w:color w:val="000000" w:themeColor="text1"/>
          <w:sz w:val="24"/>
          <w:szCs w:val="24"/>
        </w:rPr>
        <w:t xml:space="preserve">overt </w:t>
      </w:r>
      <w:r w:rsidRPr="00EA6958">
        <w:rPr>
          <w:rFonts w:ascii="Arial" w:hAnsi="Arial" w:cs="Arial"/>
          <w:color w:val="000000" w:themeColor="text1"/>
          <w:sz w:val="24"/>
          <w:szCs w:val="24"/>
        </w:rPr>
        <w:t xml:space="preserve">act </w:t>
      </w:r>
      <w:r w:rsidR="00DC1B8B">
        <w:rPr>
          <w:rFonts w:ascii="Arial" w:hAnsi="Arial" w:cs="Arial"/>
          <w:color w:val="000000" w:themeColor="text1"/>
          <w:sz w:val="24"/>
          <w:szCs w:val="24"/>
        </w:rPr>
        <w:t xml:space="preserve">of association </w:t>
      </w:r>
      <w:r w:rsidRPr="00EA6958">
        <w:rPr>
          <w:rFonts w:ascii="Arial" w:hAnsi="Arial" w:cs="Arial"/>
          <w:color w:val="000000" w:themeColor="text1"/>
          <w:sz w:val="24"/>
          <w:szCs w:val="24"/>
        </w:rPr>
        <w:t>may also be in the form of an omission</w:t>
      </w:r>
      <w:r>
        <w:rPr>
          <w:rFonts w:ascii="Arial" w:hAnsi="Arial" w:cs="Arial"/>
          <w:color w:val="000000" w:themeColor="text1"/>
          <w:sz w:val="24"/>
          <w:szCs w:val="24"/>
        </w:rPr>
        <w:t xml:space="preserve">, especially in the crime of </w:t>
      </w:r>
      <w:r w:rsidR="00DD011E">
        <w:rPr>
          <w:rFonts w:ascii="Arial" w:hAnsi="Arial" w:cs="Arial"/>
          <w:color w:val="000000" w:themeColor="text1"/>
          <w:sz w:val="24"/>
          <w:szCs w:val="24"/>
        </w:rPr>
        <w:t xml:space="preserve">high </w:t>
      </w:r>
      <w:r>
        <w:rPr>
          <w:rFonts w:ascii="Arial" w:hAnsi="Arial" w:cs="Arial"/>
          <w:color w:val="000000" w:themeColor="text1"/>
          <w:sz w:val="24"/>
          <w:szCs w:val="24"/>
        </w:rPr>
        <w:t>treason</w:t>
      </w:r>
      <w:r w:rsidRPr="00EA6958">
        <w:rPr>
          <w:rFonts w:ascii="Arial" w:hAnsi="Arial" w:cs="Arial"/>
          <w:color w:val="000000" w:themeColor="text1"/>
          <w:sz w:val="24"/>
          <w:szCs w:val="24"/>
        </w:rPr>
        <w:t xml:space="preserve">. </w:t>
      </w:r>
      <w:r w:rsidRPr="00EA6958">
        <w:rPr>
          <w:rFonts w:ascii="Arial" w:hAnsi="Arial" w:cs="Arial"/>
          <w:sz w:val="24"/>
          <w:szCs w:val="24"/>
        </w:rPr>
        <w:t xml:space="preserve">In this regard </w:t>
      </w:r>
      <w:r>
        <w:rPr>
          <w:rFonts w:ascii="Arial" w:hAnsi="Arial" w:cs="Arial"/>
          <w:sz w:val="24"/>
          <w:szCs w:val="24"/>
        </w:rPr>
        <w:t xml:space="preserve">Friedman J in S v </w:t>
      </w:r>
      <w:r w:rsidRPr="00EA6958">
        <w:rPr>
          <w:rFonts w:ascii="Arial" w:hAnsi="Arial" w:cs="Arial"/>
          <w:i/>
          <w:color w:val="000000" w:themeColor="text1"/>
          <w:sz w:val="24"/>
          <w:szCs w:val="24"/>
        </w:rPr>
        <w:t xml:space="preserve">Banda </w:t>
      </w:r>
      <w:r w:rsidRPr="00EA6958">
        <w:rPr>
          <w:rFonts w:ascii="Arial" w:hAnsi="Arial" w:cs="Arial"/>
          <w:color w:val="000000" w:themeColor="text1"/>
          <w:sz w:val="24"/>
          <w:szCs w:val="24"/>
        </w:rPr>
        <w:t>matter</w:t>
      </w:r>
      <w:r>
        <w:rPr>
          <w:rFonts w:ascii="Arial" w:hAnsi="Arial" w:cs="Arial"/>
          <w:color w:val="000000" w:themeColor="text1"/>
          <w:sz w:val="24"/>
          <w:szCs w:val="24"/>
        </w:rPr>
        <w:t xml:space="preserve"> </w:t>
      </w:r>
      <w:r w:rsidR="008879D2">
        <w:rPr>
          <w:rFonts w:ascii="Arial" w:hAnsi="Arial" w:cs="Arial"/>
          <w:color w:val="000000" w:themeColor="text1"/>
          <w:sz w:val="24"/>
          <w:szCs w:val="24"/>
        </w:rPr>
        <w:t xml:space="preserve">at 512A-B </w:t>
      </w:r>
      <w:r w:rsidRPr="00EA6958">
        <w:rPr>
          <w:rFonts w:ascii="Arial" w:hAnsi="Arial" w:cs="Arial"/>
          <w:sz w:val="24"/>
          <w:szCs w:val="24"/>
        </w:rPr>
        <w:t xml:space="preserve">stated </w:t>
      </w:r>
      <w:r w:rsidR="008879D2">
        <w:rPr>
          <w:rFonts w:ascii="Arial" w:hAnsi="Arial" w:cs="Arial"/>
          <w:sz w:val="24"/>
          <w:szCs w:val="24"/>
        </w:rPr>
        <w:t>as follows</w:t>
      </w:r>
      <w:r w:rsidRPr="00EA6958">
        <w:rPr>
          <w:rFonts w:ascii="Arial" w:hAnsi="Arial" w:cs="Arial"/>
          <w:sz w:val="24"/>
          <w:szCs w:val="24"/>
        </w:rPr>
        <w:t xml:space="preserve">: </w:t>
      </w:r>
      <w:r w:rsidRPr="00EA6958">
        <w:rPr>
          <w:rFonts w:ascii="Arial" w:hAnsi="Arial" w:cs="Arial"/>
          <w:color w:val="000000" w:themeColor="text1"/>
          <w:sz w:val="24"/>
          <w:szCs w:val="24"/>
        </w:rPr>
        <w:t xml:space="preserve">   </w:t>
      </w:r>
    </w:p>
    <w:p w:rsidR="000B16E1" w:rsidRPr="00302801" w:rsidRDefault="000B16E1" w:rsidP="00302801">
      <w:pPr>
        <w:spacing w:after="0" w:line="480" w:lineRule="auto"/>
        <w:ind w:left="360"/>
        <w:jc w:val="both"/>
        <w:rPr>
          <w:rFonts w:ascii="Arial" w:hAnsi="Arial" w:cs="Arial"/>
          <w:color w:val="000000" w:themeColor="text1"/>
          <w:sz w:val="24"/>
          <w:szCs w:val="24"/>
        </w:rPr>
      </w:pPr>
    </w:p>
    <w:p w:rsidR="000B16E1" w:rsidRPr="00700EA2" w:rsidRDefault="000B16E1" w:rsidP="00700EA2">
      <w:pPr>
        <w:spacing w:after="0" w:line="360" w:lineRule="auto"/>
        <w:ind w:left="720"/>
        <w:jc w:val="both"/>
        <w:rPr>
          <w:rFonts w:ascii="Arial" w:hAnsi="Arial" w:cs="Arial"/>
          <w:color w:val="000000" w:themeColor="text1"/>
        </w:rPr>
      </w:pPr>
      <w:r w:rsidRPr="00700EA2">
        <w:rPr>
          <w:rFonts w:ascii="Arial" w:hAnsi="Arial" w:cs="Arial"/>
          <w:color w:val="000000" w:themeColor="text1"/>
        </w:rPr>
        <w:t>'According to the authorities that I have cited the crime of treason provides an exception to the rule as to mere non-disclosure. It seems clear that anyone who, knowing of the commission of this crime, refrains from giving information to the authorities must by reason of this mere non-disclosure be regarded as having taken part in treasonable conduct. Even bare knowledge of its attempt or commencement without disclosure of the same to the authorities may render a person liable, even though the person has in no way taken part in the plans of the principal offender.’</w:t>
      </w:r>
    </w:p>
    <w:p w:rsidR="000B16E1" w:rsidRPr="00302801" w:rsidRDefault="000B16E1" w:rsidP="000B16E1">
      <w:pPr>
        <w:spacing w:after="0" w:line="480" w:lineRule="auto"/>
        <w:ind w:left="360"/>
        <w:jc w:val="both"/>
        <w:rPr>
          <w:rFonts w:ascii="Arial" w:hAnsi="Arial" w:cs="Arial"/>
          <w:color w:val="000000" w:themeColor="text1"/>
          <w:sz w:val="24"/>
          <w:szCs w:val="24"/>
        </w:rPr>
      </w:pPr>
    </w:p>
    <w:p w:rsidR="000B16E1" w:rsidRPr="00DC1B8B" w:rsidRDefault="000B16E1" w:rsidP="00356083">
      <w:pPr>
        <w:pStyle w:val="ListParagraph"/>
        <w:numPr>
          <w:ilvl w:val="0"/>
          <w:numId w:val="22"/>
        </w:numPr>
        <w:spacing w:after="0" w:line="480" w:lineRule="auto"/>
        <w:ind w:left="0" w:firstLine="0"/>
        <w:jc w:val="both"/>
        <w:rPr>
          <w:rFonts w:ascii="Arial" w:hAnsi="Arial" w:cs="Arial"/>
          <w:color w:val="000000" w:themeColor="text1"/>
          <w:sz w:val="24"/>
          <w:szCs w:val="24"/>
        </w:rPr>
      </w:pPr>
      <w:r w:rsidRPr="00DC1B8B">
        <w:rPr>
          <w:rFonts w:ascii="Arial" w:hAnsi="Arial" w:cs="Arial"/>
          <w:sz w:val="24"/>
          <w:szCs w:val="24"/>
        </w:rPr>
        <w:t>At the hearing of this matter</w:t>
      </w:r>
      <w:r w:rsidRPr="00DC1B8B">
        <w:rPr>
          <w:rFonts w:ascii="Arial" w:hAnsi="Arial" w:cs="Arial"/>
          <w:color w:val="000000" w:themeColor="text1"/>
          <w:sz w:val="24"/>
          <w:szCs w:val="24"/>
        </w:rPr>
        <w:t xml:space="preserve">, counsel for the appellants was at pains to argue that the findings of the court </w:t>
      </w:r>
      <w:r w:rsidRPr="00DC1B8B">
        <w:rPr>
          <w:rFonts w:ascii="Arial" w:hAnsi="Arial" w:cs="Arial"/>
          <w:i/>
          <w:color w:val="000000" w:themeColor="text1"/>
          <w:sz w:val="24"/>
          <w:szCs w:val="24"/>
        </w:rPr>
        <w:t>a quo</w:t>
      </w:r>
      <w:r w:rsidRPr="00DC1B8B">
        <w:rPr>
          <w:rFonts w:ascii="Arial" w:hAnsi="Arial" w:cs="Arial"/>
          <w:color w:val="000000" w:themeColor="text1"/>
          <w:sz w:val="24"/>
          <w:szCs w:val="24"/>
        </w:rPr>
        <w:t xml:space="preserve"> were, on the facts and evidence, wrong. Counsel submitted that the evidence tendered during the criminal trial established that the respondent had actively associated himself with the crimes for which he stood charged. Counsel argued that the evidence in possession of the prosecutorial authority </w:t>
      </w:r>
      <w:r w:rsidR="00E61454">
        <w:rPr>
          <w:rFonts w:ascii="Arial" w:hAnsi="Arial" w:cs="Arial"/>
          <w:color w:val="000000" w:themeColor="text1"/>
          <w:sz w:val="24"/>
          <w:szCs w:val="24"/>
        </w:rPr>
        <w:t xml:space="preserve">at the initiation of the prosecution </w:t>
      </w:r>
      <w:r w:rsidRPr="00DC1B8B">
        <w:rPr>
          <w:rFonts w:ascii="Arial" w:hAnsi="Arial" w:cs="Arial"/>
          <w:color w:val="000000" w:themeColor="text1"/>
          <w:sz w:val="24"/>
          <w:szCs w:val="24"/>
        </w:rPr>
        <w:t>established that the respondent actively advocated for the secession of the region from the rest of the country.</w:t>
      </w:r>
      <w:r w:rsidR="00DC1B8B" w:rsidRPr="00DC1B8B">
        <w:rPr>
          <w:rFonts w:ascii="Arial" w:hAnsi="Arial" w:cs="Arial"/>
          <w:color w:val="000000" w:themeColor="text1"/>
          <w:sz w:val="24"/>
          <w:szCs w:val="24"/>
        </w:rPr>
        <w:t xml:space="preserve"> </w:t>
      </w:r>
      <w:r w:rsidR="00DC1B8B">
        <w:rPr>
          <w:rFonts w:ascii="Arial" w:hAnsi="Arial" w:cs="Arial"/>
          <w:color w:val="000000" w:themeColor="text1"/>
          <w:sz w:val="24"/>
          <w:szCs w:val="24"/>
        </w:rPr>
        <w:t>T</w:t>
      </w:r>
      <w:r w:rsidRPr="00DC1B8B">
        <w:rPr>
          <w:rFonts w:ascii="Arial" w:hAnsi="Arial" w:cs="Arial"/>
          <w:color w:val="000000" w:themeColor="text1"/>
          <w:sz w:val="24"/>
          <w:szCs w:val="24"/>
        </w:rPr>
        <w:t>he respondent had prior knowledge of the plan</w:t>
      </w:r>
      <w:r w:rsidR="00AB3967">
        <w:rPr>
          <w:rFonts w:ascii="Arial" w:hAnsi="Arial" w:cs="Arial"/>
          <w:color w:val="000000" w:themeColor="text1"/>
          <w:sz w:val="24"/>
          <w:szCs w:val="24"/>
        </w:rPr>
        <w:t xml:space="preserve"> for the region</w:t>
      </w:r>
      <w:r w:rsidRPr="00DC1B8B">
        <w:rPr>
          <w:rFonts w:ascii="Arial" w:hAnsi="Arial" w:cs="Arial"/>
          <w:color w:val="000000" w:themeColor="text1"/>
          <w:sz w:val="24"/>
          <w:szCs w:val="24"/>
        </w:rPr>
        <w:t xml:space="preserve"> to secede the region from the rest of the country, but despite this knowledge, he failed to give such information to the authorities of the planned attack or the actual commission of the crimes contained in the indictment. </w:t>
      </w:r>
      <w:r w:rsidR="00DD011E">
        <w:rPr>
          <w:rFonts w:ascii="Arial" w:hAnsi="Arial" w:cs="Arial"/>
          <w:color w:val="000000" w:themeColor="text1"/>
          <w:sz w:val="24"/>
          <w:szCs w:val="24"/>
        </w:rPr>
        <w:t xml:space="preserve">In addition, he supplied food </w:t>
      </w:r>
      <w:r w:rsidR="00700EA2">
        <w:rPr>
          <w:rFonts w:ascii="Arial" w:hAnsi="Arial" w:cs="Arial"/>
          <w:color w:val="000000" w:themeColor="text1"/>
          <w:sz w:val="24"/>
          <w:szCs w:val="24"/>
        </w:rPr>
        <w:t>t</w:t>
      </w:r>
      <w:r w:rsidR="00DD011E">
        <w:rPr>
          <w:rFonts w:ascii="Arial" w:hAnsi="Arial" w:cs="Arial"/>
          <w:color w:val="000000" w:themeColor="text1"/>
          <w:sz w:val="24"/>
          <w:szCs w:val="24"/>
        </w:rPr>
        <w:t xml:space="preserve">o the people who were preparing to attack the installations in and around Katima Mulilo. </w:t>
      </w:r>
      <w:r w:rsidR="00700EA2">
        <w:rPr>
          <w:rFonts w:ascii="Arial" w:hAnsi="Arial" w:cs="Arial"/>
          <w:color w:val="000000" w:themeColor="text1"/>
          <w:sz w:val="24"/>
          <w:szCs w:val="24"/>
        </w:rPr>
        <w:t xml:space="preserve">He was arrested while in the company of a rebel leader who was armed with an AK 47 rifle. </w:t>
      </w:r>
      <w:r w:rsidRPr="00DC1B8B">
        <w:rPr>
          <w:rFonts w:ascii="Arial" w:hAnsi="Arial" w:cs="Arial"/>
          <w:color w:val="000000" w:themeColor="text1"/>
          <w:sz w:val="24"/>
          <w:szCs w:val="24"/>
        </w:rPr>
        <w:t xml:space="preserve">Counsel argued that when all these facts and evidence are wholly considered, the </w:t>
      </w:r>
      <w:r w:rsidRPr="00DC1B8B">
        <w:rPr>
          <w:rFonts w:ascii="Arial" w:hAnsi="Arial" w:cs="Arial"/>
          <w:color w:val="000000" w:themeColor="text1"/>
          <w:sz w:val="24"/>
          <w:szCs w:val="24"/>
        </w:rPr>
        <w:lastRenderedPageBreak/>
        <w:t xml:space="preserve">appellants were justified in holding a firm belief that they had </w:t>
      </w:r>
      <w:r w:rsidRPr="00DC1B8B">
        <w:rPr>
          <w:rFonts w:ascii="Arial" w:hAnsi="Arial" w:cs="Arial"/>
          <w:i/>
          <w:color w:val="000000" w:themeColor="text1"/>
          <w:sz w:val="24"/>
          <w:szCs w:val="24"/>
        </w:rPr>
        <w:t>prima facie</w:t>
      </w:r>
      <w:r w:rsidRPr="00DC1B8B">
        <w:rPr>
          <w:rFonts w:ascii="Arial" w:hAnsi="Arial" w:cs="Arial"/>
          <w:color w:val="000000" w:themeColor="text1"/>
          <w:sz w:val="24"/>
          <w:szCs w:val="24"/>
        </w:rPr>
        <w:t xml:space="preserve"> established the requirement of the doctrine of common purpose or conspiracy. </w:t>
      </w:r>
    </w:p>
    <w:p w:rsidR="000B16E1" w:rsidRPr="001278EA" w:rsidRDefault="000B16E1" w:rsidP="00302801">
      <w:pPr>
        <w:pStyle w:val="ListParagraph"/>
        <w:spacing w:after="0" w:line="480" w:lineRule="auto"/>
        <w:jc w:val="both"/>
        <w:rPr>
          <w:rFonts w:ascii="Arial" w:hAnsi="Arial" w:cs="Arial"/>
          <w:color w:val="000000" w:themeColor="text1"/>
          <w:sz w:val="24"/>
          <w:szCs w:val="24"/>
        </w:rPr>
      </w:pPr>
    </w:p>
    <w:p w:rsidR="000B16E1" w:rsidRDefault="000B16E1" w:rsidP="00356083">
      <w:pPr>
        <w:pStyle w:val="ListParagraph"/>
        <w:numPr>
          <w:ilvl w:val="0"/>
          <w:numId w:val="22"/>
        </w:numPr>
        <w:spacing w:after="0" w:line="480" w:lineRule="auto"/>
        <w:ind w:left="0" w:firstLine="0"/>
        <w:jc w:val="both"/>
        <w:rPr>
          <w:rFonts w:ascii="Arial" w:hAnsi="Arial" w:cs="Arial"/>
          <w:color w:val="000000" w:themeColor="text1"/>
          <w:sz w:val="24"/>
          <w:szCs w:val="24"/>
        </w:rPr>
      </w:pPr>
      <w:r w:rsidRPr="000D41CC">
        <w:rPr>
          <w:rFonts w:ascii="Arial" w:hAnsi="Arial" w:cs="Arial"/>
          <w:color w:val="000000" w:themeColor="text1"/>
          <w:sz w:val="24"/>
          <w:szCs w:val="24"/>
        </w:rPr>
        <w:t xml:space="preserve">I agree with the </w:t>
      </w:r>
      <w:r>
        <w:rPr>
          <w:rFonts w:ascii="Arial" w:hAnsi="Arial" w:cs="Arial"/>
          <w:color w:val="000000" w:themeColor="text1"/>
          <w:sz w:val="24"/>
          <w:szCs w:val="24"/>
        </w:rPr>
        <w:t xml:space="preserve">argument advanced </w:t>
      </w:r>
      <w:r w:rsidRPr="000D41CC">
        <w:rPr>
          <w:rFonts w:ascii="Arial" w:hAnsi="Arial" w:cs="Arial"/>
          <w:color w:val="000000" w:themeColor="text1"/>
          <w:sz w:val="24"/>
          <w:szCs w:val="24"/>
        </w:rPr>
        <w:t>by</w:t>
      </w:r>
      <w:r>
        <w:rPr>
          <w:rFonts w:ascii="Arial" w:hAnsi="Arial" w:cs="Arial"/>
          <w:color w:val="000000" w:themeColor="text1"/>
          <w:sz w:val="24"/>
          <w:szCs w:val="24"/>
        </w:rPr>
        <w:t xml:space="preserve"> the appellants that when the </w:t>
      </w:r>
      <w:r w:rsidRPr="00A7172F">
        <w:rPr>
          <w:rFonts w:ascii="Arial" w:hAnsi="Arial" w:cs="Arial"/>
          <w:color w:val="000000" w:themeColor="text1"/>
          <w:sz w:val="24"/>
          <w:szCs w:val="24"/>
        </w:rPr>
        <w:t xml:space="preserve">pleadings and evidence </w:t>
      </w:r>
      <w:r>
        <w:rPr>
          <w:rFonts w:ascii="Arial" w:hAnsi="Arial" w:cs="Arial"/>
          <w:color w:val="000000" w:themeColor="text1"/>
          <w:sz w:val="24"/>
          <w:szCs w:val="24"/>
        </w:rPr>
        <w:t>are assessed i</w:t>
      </w:r>
      <w:r w:rsidRPr="00A7172F">
        <w:rPr>
          <w:rFonts w:ascii="Arial" w:hAnsi="Arial" w:cs="Arial"/>
          <w:color w:val="000000" w:themeColor="text1"/>
          <w:sz w:val="24"/>
          <w:szCs w:val="24"/>
        </w:rPr>
        <w:t xml:space="preserve">n </w:t>
      </w:r>
      <w:r>
        <w:rPr>
          <w:rFonts w:ascii="Arial" w:hAnsi="Arial" w:cs="Arial"/>
          <w:color w:val="000000" w:themeColor="text1"/>
          <w:sz w:val="24"/>
          <w:szCs w:val="24"/>
        </w:rPr>
        <w:t xml:space="preserve">their entirety, </w:t>
      </w:r>
      <w:r w:rsidRPr="00A7172F">
        <w:rPr>
          <w:rFonts w:ascii="Arial" w:hAnsi="Arial" w:cs="Arial"/>
          <w:color w:val="000000" w:themeColor="text1"/>
          <w:sz w:val="24"/>
          <w:szCs w:val="24"/>
        </w:rPr>
        <w:t>the fact that certain witnesses who had named the respondent in their sworn statement</w:t>
      </w:r>
      <w:r>
        <w:rPr>
          <w:rFonts w:ascii="Arial" w:hAnsi="Arial" w:cs="Arial"/>
          <w:color w:val="000000" w:themeColor="text1"/>
          <w:sz w:val="24"/>
          <w:szCs w:val="24"/>
        </w:rPr>
        <w:t>s</w:t>
      </w:r>
      <w:r w:rsidRPr="00A7172F">
        <w:rPr>
          <w:rFonts w:ascii="Arial" w:hAnsi="Arial" w:cs="Arial"/>
          <w:color w:val="000000" w:themeColor="text1"/>
          <w:sz w:val="24"/>
          <w:szCs w:val="24"/>
        </w:rPr>
        <w:t xml:space="preserve"> failed to identify</w:t>
      </w:r>
      <w:r>
        <w:rPr>
          <w:rFonts w:ascii="Arial" w:hAnsi="Arial" w:cs="Arial"/>
          <w:color w:val="000000" w:themeColor="text1"/>
          <w:sz w:val="24"/>
          <w:szCs w:val="24"/>
        </w:rPr>
        <w:t xml:space="preserve"> him </w:t>
      </w:r>
      <w:r w:rsidRPr="00A7172F">
        <w:rPr>
          <w:rFonts w:ascii="Arial" w:hAnsi="Arial" w:cs="Arial"/>
          <w:color w:val="000000" w:themeColor="text1"/>
          <w:sz w:val="24"/>
          <w:szCs w:val="24"/>
        </w:rPr>
        <w:t xml:space="preserve">during the trial does not mean that there was </w:t>
      </w:r>
      <w:r>
        <w:rPr>
          <w:rFonts w:ascii="Arial" w:hAnsi="Arial" w:cs="Arial"/>
          <w:color w:val="000000" w:themeColor="text1"/>
          <w:sz w:val="24"/>
          <w:szCs w:val="24"/>
        </w:rPr>
        <w:t>n</w:t>
      </w:r>
      <w:r w:rsidRPr="00A7172F">
        <w:rPr>
          <w:rFonts w:ascii="Arial" w:hAnsi="Arial" w:cs="Arial"/>
          <w:color w:val="000000" w:themeColor="text1"/>
          <w:sz w:val="24"/>
          <w:szCs w:val="24"/>
        </w:rPr>
        <w:t xml:space="preserve">o inculpatory evidence against the respondent. </w:t>
      </w:r>
      <w:r>
        <w:rPr>
          <w:rFonts w:ascii="Arial" w:hAnsi="Arial" w:cs="Arial"/>
          <w:color w:val="000000" w:themeColor="text1"/>
          <w:sz w:val="24"/>
          <w:szCs w:val="24"/>
        </w:rPr>
        <w:t>T</w:t>
      </w:r>
      <w:r w:rsidRPr="0067535D">
        <w:rPr>
          <w:rFonts w:ascii="Arial" w:hAnsi="Arial" w:cs="Arial"/>
          <w:color w:val="000000" w:themeColor="text1"/>
          <w:sz w:val="24"/>
          <w:szCs w:val="24"/>
        </w:rPr>
        <w:t xml:space="preserve">he failure to identify the respondent does not </w:t>
      </w:r>
      <w:r>
        <w:rPr>
          <w:rFonts w:ascii="Arial" w:hAnsi="Arial" w:cs="Arial"/>
          <w:color w:val="000000" w:themeColor="text1"/>
          <w:sz w:val="24"/>
          <w:szCs w:val="24"/>
        </w:rPr>
        <w:t xml:space="preserve">in itself </w:t>
      </w:r>
      <w:r w:rsidRPr="0067535D">
        <w:rPr>
          <w:rFonts w:ascii="Arial" w:hAnsi="Arial" w:cs="Arial"/>
          <w:color w:val="000000" w:themeColor="text1"/>
          <w:sz w:val="24"/>
          <w:szCs w:val="24"/>
        </w:rPr>
        <w:t>train smash the veracity of the testimonies of the witnesses</w:t>
      </w:r>
      <w:r>
        <w:rPr>
          <w:rFonts w:ascii="Arial" w:hAnsi="Arial" w:cs="Arial"/>
          <w:color w:val="000000" w:themeColor="text1"/>
          <w:sz w:val="24"/>
          <w:szCs w:val="24"/>
        </w:rPr>
        <w:t xml:space="preserve"> </w:t>
      </w:r>
      <w:r w:rsidR="00E61454">
        <w:rPr>
          <w:rFonts w:ascii="Arial" w:hAnsi="Arial" w:cs="Arial"/>
          <w:color w:val="000000" w:themeColor="text1"/>
          <w:sz w:val="24"/>
          <w:szCs w:val="24"/>
        </w:rPr>
        <w:t>as to what they alleged the respondent had done</w:t>
      </w:r>
      <w:r w:rsidRPr="0067535D">
        <w:rPr>
          <w:rFonts w:ascii="Arial" w:hAnsi="Arial" w:cs="Arial"/>
          <w:color w:val="000000" w:themeColor="text1"/>
          <w:sz w:val="24"/>
          <w:szCs w:val="24"/>
        </w:rPr>
        <w:t xml:space="preserve">. </w:t>
      </w:r>
      <w:r>
        <w:rPr>
          <w:rFonts w:ascii="Arial" w:hAnsi="Arial" w:cs="Arial"/>
          <w:color w:val="000000" w:themeColor="text1"/>
          <w:sz w:val="24"/>
          <w:szCs w:val="24"/>
        </w:rPr>
        <w:t xml:space="preserve">I am therefore of the considered opinion that based on the case pleaded by the appellants, the PG and her delegates had </w:t>
      </w:r>
      <w:r w:rsidRPr="00E83421">
        <w:rPr>
          <w:rFonts w:ascii="Arial" w:hAnsi="Arial" w:cs="Arial"/>
          <w:sz w:val="24"/>
          <w:szCs w:val="24"/>
        </w:rPr>
        <w:t>an honest belief founded on reasonable ground</w:t>
      </w:r>
      <w:r>
        <w:rPr>
          <w:rFonts w:ascii="Arial" w:hAnsi="Arial" w:cs="Arial"/>
          <w:sz w:val="24"/>
          <w:szCs w:val="24"/>
        </w:rPr>
        <w:t>s</w:t>
      </w:r>
      <w:r w:rsidRPr="00E83421">
        <w:rPr>
          <w:rFonts w:ascii="Arial" w:hAnsi="Arial" w:cs="Arial"/>
          <w:sz w:val="24"/>
          <w:szCs w:val="24"/>
        </w:rPr>
        <w:t xml:space="preserve"> that the </w:t>
      </w:r>
      <w:r>
        <w:rPr>
          <w:rFonts w:ascii="Arial" w:hAnsi="Arial" w:cs="Arial"/>
          <w:sz w:val="24"/>
          <w:szCs w:val="24"/>
        </w:rPr>
        <w:t xml:space="preserve">continuation </w:t>
      </w:r>
      <w:r w:rsidRPr="00E83421">
        <w:rPr>
          <w:rFonts w:ascii="Arial" w:hAnsi="Arial" w:cs="Arial"/>
          <w:sz w:val="24"/>
          <w:szCs w:val="24"/>
        </w:rPr>
        <w:t xml:space="preserve">of </w:t>
      </w:r>
      <w:r>
        <w:rPr>
          <w:rFonts w:ascii="Arial" w:hAnsi="Arial" w:cs="Arial"/>
          <w:sz w:val="24"/>
          <w:szCs w:val="24"/>
        </w:rPr>
        <w:t xml:space="preserve">the prosecution was </w:t>
      </w:r>
      <w:r w:rsidRPr="00E83421">
        <w:rPr>
          <w:rFonts w:ascii="Arial" w:hAnsi="Arial" w:cs="Arial"/>
          <w:sz w:val="24"/>
          <w:szCs w:val="24"/>
        </w:rPr>
        <w:t>justified</w:t>
      </w:r>
      <w:r>
        <w:rPr>
          <w:rFonts w:ascii="Arial" w:hAnsi="Arial" w:cs="Arial"/>
          <w:color w:val="000000" w:themeColor="text1"/>
          <w:sz w:val="24"/>
          <w:szCs w:val="24"/>
        </w:rPr>
        <w:t xml:space="preserve">. Consequently, that part of the judgment </w:t>
      </w:r>
      <w:r w:rsidRPr="003A6E2B">
        <w:rPr>
          <w:rFonts w:ascii="Arial" w:hAnsi="Arial" w:cs="Arial"/>
          <w:i/>
          <w:color w:val="000000" w:themeColor="text1"/>
          <w:sz w:val="24"/>
          <w:szCs w:val="24"/>
        </w:rPr>
        <w:t>a quo</w:t>
      </w:r>
      <w:r>
        <w:rPr>
          <w:rFonts w:ascii="Arial" w:hAnsi="Arial" w:cs="Arial"/>
          <w:color w:val="000000" w:themeColor="text1"/>
          <w:sz w:val="24"/>
          <w:szCs w:val="24"/>
        </w:rPr>
        <w:t xml:space="preserve"> dealing with this aspect ought to be corrected.  </w:t>
      </w:r>
    </w:p>
    <w:p w:rsidR="000B16E1" w:rsidRPr="00770FF9" w:rsidRDefault="000B16E1" w:rsidP="00302801">
      <w:pPr>
        <w:pStyle w:val="ListParagraph"/>
        <w:spacing w:after="0" w:line="480" w:lineRule="auto"/>
        <w:jc w:val="both"/>
        <w:rPr>
          <w:rFonts w:ascii="Arial" w:hAnsi="Arial" w:cs="Arial"/>
          <w:color w:val="000000" w:themeColor="text1"/>
          <w:sz w:val="24"/>
          <w:szCs w:val="24"/>
        </w:rPr>
      </w:pPr>
    </w:p>
    <w:p w:rsidR="00B12871" w:rsidRDefault="000B16E1" w:rsidP="00B12871">
      <w:pPr>
        <w:pStyle w:val="ListParagraph"/>
        <w:numPr>
          <w:ilvl w:val="0"/>
          <w:numId w:val="22"/>
        </w:numPr>
        <w:spacing w:after="0" w:line="480" w:lineRule="auto"/>
        <w:ind w:left="0" w:firstLine="0"/>
        <w:jc w:val="both"/>
        <w:rPr>
          <w:rFonts w:ascii="Arial" w:hAnsi="Arial" w:cs="Arial"/>
          <w:color w:val="000000" w:themeColor="text1"/>
          <w:sz w:val="24"/>
          <w:szCs w:val="24"/>
        </w:rPr>
      </w:pPr>
      <w:r>
        <w:rPr>
          <w:rFonts w:ascii="Arial" w:hAnsi="Arial" w:cs="Arial"/>
          <w:color w:val="000000" w:themeColor="text1"/>
          <w:sz w:val="24"/>
          <w:szCs w:val="24"/>
        </w:rPr>
        <w:t xml:space="preserve">As </w:t>
      </w:r>
      <w:r w:rsidR="00356083">
        <w:rPr>
          <w:rFonts w:ascii="Arial" w:hAnsi="Arial" w:cs="Arial"/>
          <w:color w:val="000000" w:themeColor="text1"/>
          <w:sz w:val="24"/>
          <w:szCs w:val="24"/>
        </w:rPr>
        <w:t>to</w:t>
      </w:r>
      <w:r>
        <w:rPr>
          <w:rFonts w:ascii="Arial" w:hAnsi="Arial" w:cs="Arial"/>
          <w:color w:val="000000" w:themeColor="text1"/>
          <w:sz w:val="24"/>
          <w:szCs w:val="24"/>
        </w:rPr>
        <w:t xml:space="preserve"> the requirements of reasonable and probable cause, and malice, it is absolutely indispensable for the purpose of this action that the respondent must prove that </w:t>
      </w:r>
      <w:r w:rsidRPr="009000EA">
        <w:rPr>
          <w:rFonts w:ascii="Arial" w:hAnsi="Arial" w:cs="Arial"/>
          <w:color w:val="000000" w:themeColor="text1"/>
          <w:sz w:val="24"/>
          <w:szCs w:val="24"/>
        </w:rPr>
        <w:t xml:space="preserve">the prosecution was maintained maliciously and without reasonable and probable cause. </w:t>
      </w:r>
    </w:p>
    <w:p w:rsidR="00B12871" w:rsidRPr="00B12871" w:rsidRDefault="00B12871" w:rsidP="00302801">
      <w:pPr>
        <w:pStyle w:val="ListParagraph"/>
        <w:spacing w:after="0" w:line="480" w:lineRule="auto"/>
        <w:jc w:val="both"/>
        <w:rPr>
          <w:rFonts w:ascii="Arial" w:hAnsi="Arial" w:cs="Arial"/>
          <w:color w:val="000000" w:themeColor="text1"/>
          <w:sz w:val="24"/>
          <w:szCs w:val="24"/>
        </w:rPr>
      </w:pPr>
    </w:p>
    <w:p w:rsidR="000B16E1" w:rsidRPr="005A4EA3" w:rsidRDefault="000B16E1" w:rsidP="00356083">
      <w:pPr>
        <w:pStyle w:val="ListParagraph"/>
        <w:numPr>
          <w:ilvl w:val="0"/>
          <w:numId w:val="22"/>
        </w:numPr>
        <w:spacing w:after="0" w:line="480" w:lineRule="auto"/>
        <w:ind w:left="0" w:firstLine="0"/>
        <w:jc w:val="both"/>
        <w:rPr>
          <w:rFonts w:ascii="Arial" w:hAnsi="Arial" w:cs="Arial"/>
          <w:color w:val="000000" w:themeColor="text1"/>
          <w:sz w:val="24"/>
          <w:szCs w:val="24"/>
        </w:rPr>
      </w:pPr>
      <w:r>
        <w:rPr>
          <w:rFonts w:ascii="Arial" w:hAnsi="Arial" w:cs="Arial"/>
          <w:color w:val="000000" w:themeColor="text1"/>
          <w:sz w:val="24"/>
          <w:szCs w:val="24"/>
        </w:rPr>
        <w:t xml:space="preserve">Whereas the PG bore the onus of proving the guilt of the respondent in the criminal trial, in the claim for malicious prosecution the respondent bore the onus to prove the absence of reasonable and probable cause and </w:t>
      </w:r>
      <w:r w:rsidR="006C3DA5" w:rsidRPr="006C3DA5">
        <w:rPr>
          <w:rFonts w:ascii="Arial" w:hAnsi="Arial" w:cs="Arial"/>
          <w:i/>
          <w:color w:val="000000" w:themeColor="text1"/>
          <w:sz w:val="24"/>
          <w:szCs w:val="24"/>
        </w:rPr>
        <w:t>animus injuria</w:t>
      </w:r>
      <w:r w:rsidR="006C3DA5">
        <w:rPr>
          <w:rFonts w:ascii="Arial" w:hAnsi="Arial" w:cs="Arial"/>
          <w:color w:val="000000" w:themeColor="text1"/>
          <w:sz w:val="24"/>
          <w:szCs w:val="24"/>
        </w:rPr>
        <w:t xml:space="preserve"> </w:t>
      </w:r>
      <w:r>
        <w:rPr>
          <w:rFonts w:ascii="Arial" w:hAnsi="Arial" w:cs="Arial"/>
          <w:color w:val="000000" w:themeColor="text1"/>
          <w:sz w:val="24"/>
          <w:szCs w:val="24"/>
        </w:rPr>
        <w:t xml:space="preserve">on the part of the PG. </w:t>
      </w:r>
      <w:r w:rsidRPr="009000EA">
        <w:rPr>
          <w:rFonts w:ascii="Arial" w:hAnsi="Arial" w:cs="Arial"/>
          <w:color w:val="000000" w:themeColor="text1"/>
          <w:sz w:val="24"/>
          <w:szCs w:val="24"/>
        </w:rPr>
        <w:t xml:space="preserve">If one or other of these elements is lacking, then </w:t>
      </w:r>
      <w:r w:rsidR="006C3DA5">
        <w:rPr>
          <w:rFonts w:ascii="Arial" w:hAnsi="Arial" w:cs="Arial"/>
          <w:color w:val="000000" w:themeColor="text1"/>
          <w:sz w:val="24"/>
          <w:szCs w:val="24"/>
        </w:rPr>
        <w:t xml:space="preserve">a defendant </w:t>
      </w:r>
      <w:r w:rsidRPr="009000EA">
        <w:rPr>
          <w:rFonts w:ascii="Arial" w:hAnsi="Arial" w:cs="Arial"/>
          <w:color w:val="000000" w:themeColor="text1"/>
          <w:sz w:val="24"/>
          <w:szCs w:val="24"/>
        </w:rPr>
        <w:t xml:space="preserve">will not be </w:t>
      </w:r>
      <w:r w:rsidR="006C3DA5">
        <w:rPr>
          <w:rFonts w:ascii="Arial" w:hAnsi="Arial" w:cs="Arial"/>
          <w:color w:val="000000" w:themeColor="text1"/>
          <w:sz w:val="24"/>
          <w:szCs w:val="24"/>
        </w:rPr>
        <w:t>held liable</w:t>
      </w:r>
      <w:r w:rsidRPr="009000EA">
        <w:rPr>
          <w:rFonts w:ascii="Arial" w:hAnsi="Arial" w:cs="Arial"/>
          <w:color w:val="000000" w:themeColor="text1"/>
          <w:sz w:val="24"/>
          <w:szCs w:val="24"/>
        </w:rPr>
        <w:t xml:space="preserve">. </w:t>
      </w:r>
      <w:r w:rsidRPr="009000EA">
        <w:rPr>
          <w:rFonts w:ascii="Arial" w:hAnsi="Arial" w:cs="Arial"/>
          <w:sz w:val="24"/>
          <w:szCs w:val="24"/>
        </w:rPr>
        <w:t xml:space="preserve">It is </w:t>
      </w:r>
      <w:r w:rsidRPr="009000EA">
        <w:rPr>
          <w:rFonts w:ascii="Arial" w:hAnsi="Arial" w:cs="Arial"/>
          <w:sz w:val="24"/>
          <w:szCs w:val="24"/>
        </w:rPr>
        <w:lastRenderedPageBreak/>
        <w:t xml:space="preserve">thus improbable to find that a </w:t>
      </w:r>
      <w:r>
        <w:rPr>
          <w:rFonts w:ascii="Arial" w:hAnsi="Arial" w:cs="Arial"/>
          <w:sz w:val="24"/>
          <w:szCs w:val="24"/>
        </w:rPr>
        <w:t xml:space="preserve">defendant </w:t>
      </w:r>
      <w:r w:rsidRPr="009000EA">
        <w:rPr>
          <w:rFonts w:ascii="Arial" w:hAnsi="Arial" w:cs="Arial"/>
          <w:sz w:val="24"/>
          <w:szCs w:val="24"/>
        </w:rPr>
        <w:t xml:space="preserve">acted maliciously where there is reasonable and probable cause to prosecute or to find that the defendant who was motivated by malice had reasonable and probable cause to prosecute. </w:t>
      </w:r>
      <w:r w:rsidRPr="009000EA">
        <w:rPr>
          <w:rFonts w:ascii="Arial" w:hAnsi="Arial" w:cs="Arial"/>
          <w:color w:val="000000" w:themeColor="text1"/>
          <w:sz w:val="24"/>
          <w:szCs w:val="24"/>
        </w:rPr>
        <w:t xml:space="preserve">The </w:t>
      </w:r>
      <w:r w:rsidRPr="009000EA">
        <w:rPr>
          <w:rFonts w:ascii="Arial" w:hAnsi="Arial" w:cs="Arial"/>
          <w:sz w:val="24"/>
          <w:szCs w:val="24"/>
        </w:rPr>
        <w:t>finding that there was reasonable and probable cause to prosecute invariably neutralises the existence of malice in the circumstances as the latter is contingent on the former.</w:t>
      </w:r>
      <w:r w:rsidR="00AD05EB">
        <w:rPr>
          <w:rFonts w:ascii="Arial" w:hAnsi="Arial" w:cs="Arial"/>
          <w:sz w:val="24"/>
          <w:szCs w:val="24"/>
        </w:rPr>
        <w:t xml:space="preserve"> It is my considered opinion that viewed objectively, there existed reasonable grounds for the prosecution of the respondent and viewed subjectively, the prosecuting team believed in the respondent’s guilt.  </w:t>
      </w:r>
    </w:p>
    <w:p w:rsidR="000B16E1" w:rsidRPr="00C778FA" w:rsidRDefault="000B16E1" w:rsidP="000B16E1">
      <w:pPr>
        <w:spacing w:after="0" w:line="480" w:lineRule="auto"/>
        <w:ind w:left="360"/>
        <w:jc w:val="both"/>
        <w:rPr>
          <w:rFonts w:ascii="Arial" w:hAnsi="Arial" w:cs="Arial"/>
          <w:color w:val="000000" w:themeColor="text1"/>
          <w:sz w:val="24"/>
          <w:szCs w:val="24"/>
        </w:rPr>
      </w:pPr>
    </w:p>
    <w:p w:rsidR="000B16E1" w:rsidRDefault="000B16E1" w:rsidP="00356083">
      <w:pPr>
        <w:pStyle w:val="ListParagraph"/>
        <w:numPr>
          <w:ilvl w:val="0"/>
          <w:numId w:val="22"/>
        </w:numPr>
        <w:spacing w:after="0" w:line="480" w:lineRule="auto"/>
        <w:ind w:left="0" w:firstLine="0"/>
        <w:jc w:val="both"/>
        <w:rPr>
          <w:rFonts w:ascii="Arial" w:hAnsi="Arial" w:cs="Arial"/>
          <w:color w:val="000000" w:themeColor="text1"/>
          <w:sz w:val="24"/>
          <w:szCs w:val="24"/>
        </w:rPr>
      </w:pPr>
      <w:r w:rsidRPr="001B5AA8">
        <w:rPr>
          <w:rFonts w:ascii="Arial" w:hAnsi="Arial" w:cs="Arial"/>
          <w:color w:val="000000" w:themeColor="text1"/>
          <w:sz w:val="24"/>
          <w:szCs w:val="24"/>
        </w:rPr>
        <w:t>In light of the above</w:t>
      </w:r>
      <w:r>
        <w:rPr>
          <w:rFonts w:ascii="Arial" w:hAnsi="Arial" w:cs="Arial"/>
          <w:color w:val="000000" w:themeColor="text1"/>
          <w:sz w:val="24"/>
          <w:szCs w:val="24"/>
        </w:rPr>
        <w:t xml:space="preserve"> findings</w:t>
      </w:r>
      <w:r w:rsidRPr="001B5AA8">
        <w:rPr>
          <w:rFonts w:ascii="Arial" w:hAnsi="Arial" w:cs="Arial"/>
          <w:color w:val="000000" w:themeColor="text1"/>
          <w:sz w:val="24"/>
          <w:szCs w:val="24"/>
        </w:rPr>
        <w:t xml:space="preserve">, I am in agreement with counsel for the appellants that the respondent’s claim based on the malicious continuation of his prosecution falls to be dismissed on this ground alone. </w:t>
      </w:r>
      <w:r w:rsidR="00AC7AA2">
        <w:rPr>
          <w:rFonts w:ascii="Arial" w:hAnsi="Arial" w:cs="Arial"/>
          <w:color w:val="000000" w:themeColor="text1"/>
          <w:sz w:val="24"/>
          <w:szCs w:val="24"/>
        </w:rPr>
        <w:t>The remai</w:t>
      </w:r>
      <w:r w:rsidRPr="001B5AA8">
        <w:rPr>
          <w:rFonts w:ascii="Arial" w:hAnsi="Arial" w:cs="Arial"/>
          <w:color w:val="000000" w:themeColor="text1"/>
          <w:sz w:val="24"/>
          <w:szCs w:val="24"/>
        </w:rPr>
        <w:t>n</w:t>
      </w:r>
      <w:r w:rsidR="00AC7AA2">
        <w:rPr>
          <w:rFonts w:ascii="Arial" w:hAnsi="Arial" w:cs="Arial"/>
          <w:color w:val="000000" w:themeColor="text1"/>
          <w:sz w:val="24"/>
          <w:szCs w:val="24"/>
        </w:rPr>
        <w:t>ing</w:t>
      </w:r>
      <w:r w:rsidRPr="001B5AA8">
        <w:rPr>
          <w:rFonts w:ascii="Arial" w:hAnsi="Arial" w:cs="Arial"/>
          <w:color w:val="000000" w:themeColor="text1"/>
          <w:sz w:val="24"/>
          <w:szCs w:val="24"/>
        </w:rPr>
        <w:t xml:space="preserve"> </w:t>
      </w:r>
      <w:r w:rsidR="00AC7AA2">
        <w:rPr>
          <w:rFonts w:ascii="Arial" w:hAnsi="Arial" w:cs="Arial"/>
          <w:color w:val="000000" w:themeColor="text1"/>
          <w:sz w:val="24"/>
          <w:szCs w:val="24"/>
        </w:rPr>
        <w:t>aspect of the case is</w:t>
      </w:r>
      <w:r w:rsidRPr="001B5AA8">
        <w:rPr>
          <w:rFonts w:ascii="Arial" w:hAnsi="Arial" w:cs="Arial"/>
          <w:color w:val="000000" w:themeColor="text1"/>
          <w:sz w:val="24"/>
          <w:szCs w:val="24"/>
        </w:rPr>
        <w:t xml:space="preserve"> only that part of the appeal pertaining to the claim for constitutional damages. </w:t>
      </w:r>
      <w:r w:rsidR="00B12871">
        <w:rPr>
          <w:rFonts w:ascii="Arial" w:hAnsi="Arial" w:cs="Arial"/>
          <w:color w:val="000000" w:themeColor="text1"/>
          <w:sz w:val="24"/>
          <w:szCs w:val="24"/>
        </w:rPr>
        <w:t xml:space="preserve">The respondent’s pleaded </w:t>
      </w:r>
      <w:r w:rsidR="002B7350">
        <w:rPr>
          <w:rFonts w:ascii="Arial" w:hAnsi="Arial" w:cs="Arial"/>
          <w:color w:val="000000" w:themeColor="text1"/>
          <w:sz w:val="24"/>
          <w:szCs w:val="24"/>
        </w:rPr>
        <w:t xml:space="preserve">grounds of </w:t>
      </w:r>
      <w:r w:rsidR="00B12871">
        <w:rPr>
          <w:rFonts w:ascii="Arial" w:hAnsi="Arial" w:cs="Arial"/>
          <w:color w:val="000000" w:themeColor="text1"/>
          <w:sz w:val="24"/>
          <w:szCs w:val="24"/>
        </w:rPr>
        <w:t xml:space="preserve">the failure to separate the trial; the failure to stop the prosecution and the </w:t>
      </w:r>
      <w:r w:rsidR="00CB5DB8">
        <w:rPr>
          <w:rFonts w:ascii="Arial" w:hAnsi="Arial" w:cs="Arial"/>
          <w:color w:val="000000" w:themeColor="text1"/>
          <w:sz w:val="24"/>
          <w:szCs w:val="24"/>
        </w:rPr>
        <w:t xml:space="preserve">alleged inordinate </w:t>
      </w:r>
      <w:r w:rsidR="00B12871">
        <w:rPr>
          <w:rFonts w:ascii="Arial" w:hAnsi="Arial" w:cs="Arial"/>
          <w:color w:val="000000" w:themeColor="text1"/>
          <w:sz w:val="24"/>
          <w:szCs w:val="24"/>
        </w:rPr>
        <w:t xml:space="preserve">length </w:t>
      </w:r>
      <w:r w:rsidR="002B7350">
        <w:rPr>
          <w:rFonts w:ascii="Arial" w:hAnsi="Arial" w:cs="Arial"/>
          <w:color w:val="000000" w:themeColor="text1"/>
          <w:sz w:val="24"/>
          <w:szCs w:val="24"/>
        </w:rPr>
        <w:t xml:space="preserve">of </w:t>
      </w:r>
      <w:r w:rsidR="00B12871">
        <w:rPr>
          <w:rFonts w:ascii="Arial" w:hAnsi="Arial" w:cs="Arial"/>
          <w:color w:val="000000" w:themeColor="text1"/>
          <w:sz w:val="24"/>
          <w:szCs w:val="24"/>
        </w:rPr>
        <w:t xml:space="preserve">the criminal trial </w:t>
      </w:r>
      <w:r w:rsidR="002B7350">
        <w:rPr>
          <w:rFonts w:ascii="Arial" w:hAnsi="Arial" w:cs="Arial"/>
          <w:color w:val="000000" w:themeColor="text1"/>
          <w:sz w:val="24"/>
          <w:szCs w:val="24"/>
        </w:rPr>
        <w:t>appear to me to relate more to the cons</w:t>
      </w:r>
      <w:r w:rsidR="00B12871">
        <w:rPr>
          <w:rFonts w:ascii="Arial" w:hAnsi="Arial" w:cs="Arial"/>
          <w:color w:val="000000" w:themeColor="text1"/>
          <w:sz w:val="24"/>
          <w:szCs w:val="24"/>
        </w:rPr>
        <w:t>t</w:t>
      </w:r>
      <w:r w:rsidR="002B7350">
        <w:rPr>
          <w:rFonts w:ascii="Arial" w:hAnsi="Arial" w:cs="Arial"/>
          <w:color w:val="000000" w:themeColor="text1"/>
          <w:sz w:val="24"/>
          <w:szCs w:val="24"/>
        </w:rPr>
        <w:t xml:space="preserve">itutional question and as such it is best that they are </w:t>
      </w:r>
      <w:r w:rsidR="00CB5DB8">
        <w:rPr>
          <w:rFonts w:ascii="Arial" w:hAnsi="Arial" w:cs="Arial"/>
          <w:color w:val="000000" w:themeColor="text1"/>
          <w:sz w:val="24"/>
          <w:szCs w:val="24"/>
        </w:rPr>
        <w:t>dealt with under the claim for constitutional damages.</w:t>
      </w:r>
      <w:r w:rsidR="002B7350">
        <w:rPr>
          <w:rFonts w:ascii="Arial" w:hAnsi="Arial" w:cs="Arial"/>
          <w:color w:val="000000" w:themeColor="text1"/>
          <w:sz w:val="24"/>
          <w:szCs w:val="24"/>
        </w:rPr>
        <w:t xml:space="preserve">  </w:t>
      </w:r>
      <w:r w:rsidR="00B12871">
        <w:rPr>
          <w:rFonts w:ascii="Arial" w:hAnsi="Arial" w:cs="Arial"/>
          <w:color w:val="000000" w:themeColor="text1"/>
          <w:sz w:val="24"/>
          <w:szCs w:val="24"/>
        </w:rPr>
        <w:t xml:space="preserve"> </w:t>
      </w:r>
    </w:p>
    <w:p w:rsidR="000B16E1" w:rsidRDefault="000B16E1" w:rsidP="000B16E1">
      <w:pPr>
        <w:pStyle w:val="ListParagraph"/>
        <w:spacing w:after="0" w:line="480" w:lineRule="auto"/>
        <w:ind w:left="0"/>
        <w:jc w:val="both"/>
        <w:rPr>
          <w:rFonts w:ascii="Arial" w:hAnsi="Arial" w:cs="Arial"/>
          <w:color w:val="000000" w:themeColor="text1"/>
          <w:sz w:val="24"/>
          <w:szCs w:val="24"/>
        </w:rPr>
      </w:pPr>
    </w:p>
    <w:p w:rsidR="000B16E1" w:rsidRPr="00A41AFC" w:rsidRDefault="000B16E1" w:rsidP="005414A7">
      <w:pPr>
        <w:pStyle w:val="ListParagraph"/>
        <w:numPr>
          <w:ilvl w:val="0"/>
          <w:numId w:val="22"/>
        </w:numPr>
        <w:spacing w:after="0" w:line="480" w:lineRule="auto"/>
        <w:ind w:left="0" w:firstLine="0"/>
        <w:jc w:val="both"/>
        <w:rPr>
          <w:rFonts w:ascii="Arial" w:hAnsi="Arial" w:cs="Arial"/>
          <w:color w:val="000000" w:themeColor="text1"/>
          <w:sz w:val="24"/>
          <w:szCs w:val="24"/>
        </w:rPr>
      </w:pPr>
      <w:r w:rsidRPr="00A41AFC">
        <w:rPr>
          <w:rFonts w:ascii="Arial" w:hAnsi="Arial" w:cs="Arial"/>
          <w:color w:val="000000" w:themeColor="text1"/>
          <w:sz w:val="24"/>
          <w:szCs w:val="24"/>
        </w:rPr>
        <w:t xml:space="preserve">As to the claim based on constitutional damages, it will be recalled that the court </w:t>
      </w:r>
      <w:r w:rsidRPr="00A41AFC">
        <w:rPr>
          <w:rFonts w:ascii="Arial" w:hAnsi="Arial" w:cs="Arial"/>
          <w:i/>
          <w:color w:val="000000" w:themeColor="text1"/>
          <w:sz w:val="24"/>
          <w:szCs w:val="24"/>
        </w:rPr>
        <w:t>a quo</w:t>
      </w:r>
      <w:r w:rsidRPr="00A41AFC">
        <w:rPr>
          <w:rFonts w:ascii="Arial" w:hAnsi="Arial" w:cs="Arial"/>
          <w:color w:val="000000" w:themeColor="text1"/>
          <w:sz w:val="24"/>
          <w:szCs w:val="24"/>
        </w:rPr>
        <w:t xml:space="preserve"> did not decide this </w:t>
      </w:r>
      <w:r>
        <w:rPr>
          <w:rFonts w:ascii="Arial" w:hAnsi="Arial" w:cs="Arial"/>
          <w:color w:val="000000" w:themeColor="text1"/>
          <w:sz w:val="24"/>
          <w:szCs w:val="24"/>
        </w:rPr>
        <w:t>issue</w:t>
      </w:r>
      <w:r w:rsidRPr="00A41AFC">
        <w:rPr>
          <w:rFonts w:ascii="Arial" w:hAnsi="Arial" w:cs="Arial"/>
          <w:color w:val="000000" w:themeColor="text1"/>
          <w:sz w:val="24"/>
          <w:szCs w:val="24"/>
        </w:rPr>
        <w:t xml:space="preserve"> for the reason that the claim based on maliciously maintaining the prosecution succeeded. </w:t>
      </w:r>
      <w:r w:rsidRPr="00A41AFC">
        <w:rPr>
          <w:rFonts w:ascii="Arial" w:hAnsi="Arial" w:cs="Arial"/>
          <w:sz w:val="24"/>
          <w:szCs w:val="24"/>
        </w:rPr>
        <w:t xml:space="preserve">In this manner, the court </w:t>
      </w:r>
      <w:r w:rsidRPr="00A41AFC">
        <w:rPr>
          <w:rFonts w:ascii="Arial" w:hAnsi="Arial" w:cs="Arial"/>
          <w:i/>
          <w:sz w:val="24"/>
          <w:szCs w:val="24"/>
        </w:rPr>
        <w:t>a quo</w:t>
      </w:r>
      <w:r w:rsidRPr="00A41AFC">
        <w:rPr>
          <w:rFonts w:ascii="Arial" w:hAnsi="Arial" w:cs="Arial"/>
          <w:sz w:val="24"/>
          <w:szCs w:val="24"/>
        </w:rPr>
        <w:t xml:space="preserve"> disposed of the matter without considering the merits and demerits of the constitutional question. The </w:t>
      </w:r>
      <w:r w:rsidRPr="00A41AFC">
        <w:rPr>
          <w:rFonts w:ascii="Arial" w:hAnsi="Arial" w:cs="Arial"/>
          <w:sz w:val="24"/>
          <w:szCs w:val="24"/>
        </w:rPr>
        <w:lastRenderedPageBreak/>
        <w:t xml:space="preserve">question that now arises is whether this court should decide this alternative claim as a court of first and last instance.   </w:t>
      </w:r>
    </w:p>
    <w:p w:rsidR="000B16E1" w:rsidRPr="00A41AFC" w:rsidRDefault="000B16E1" w:rsidP="00302801">
      <w:pPr>
        <w:pStyle w:val="ListParagraph"/>
        <w:spacing w:after="0" w:line="480" w:lineRule="auto"/>
        <w:jc w:val="both"/>
        <w:rPr>
          <w:rFonts w:ascii="Arial" w:hAnsi="Arial" w:cs="Arial"/>
          <w:color w:val="000000" w:themeColor="text1"/>
          <w:sz w:val="24"/>
          <w:szCs w:val="24"/>
        </w:rPr>
      </w:pPr>
    </w:p>
    <w:p w:rsidR="000B16E1" w:rsidRDefault="000B16E1" w:rsidP="005414A7">
      <w:pPr>
        <w:pStyle w:val="ListParagraph"/>
        <w:numPr>
          <w:ilvl w:val="0"/>
          <w:numId w:val="22"/>
        </w:numPr>
        <w:spacing w:after="0" w:line="480" w:lineRule="auto"/>
        <w:ind w:left="0" w:firstLine="0"/>
        <w:jc w:val="both"/>
        <w:rPr>
          <w:rFonts w:ascii="Arial" w:hAnsi="Arial" w:cs="Arial"/>
          <w:color w:val="000000" w:themeColor="text1"/>
          <w:sz w:val="24"/>
          <w:szCs w:val="24"/>
        </w:rPr>
      </w:pPr>
      <w:r w:rsidRPr="00A41AFC">
        <w:rPr>
          <w:rFonts w:ascii="Arial" w:hAnsi="Arial" w:cs="Arial"/>
          <w:color w:val="000000" w:themeColor="text1"/>
          <w:sz w:val="24"/>
          <w:szCs w:val="24"/>
        </w:rPr>
        <w:t>This court has had occasion</w:t>
      </w:r>
      <w:r>
        <w:rPr>
          <w:rFonts w:ascii="Arial" w:hAnsi="Arial" w:cs="Arial"/>
          <w:color w:val="000000" w:themeColor="text1"/>
          <w:sz w:val="24"/>
          <w:szCs w:val="24"/>
        </w:rPr>
        <w:t>s</w:t>
      </w:r>
      <w:r w:rsidRPr="00A41AFC">
        <w:rPr>
          <w:rFonts w:ascii="Arial" w:hAnsi="Arial" w:cs="Arial"/>
          <w:color w:val="000000" w:themeColor="text1"/>
          <w:sz w:val="24"/>
          <w:szCs w:val="24"/>
        </w:rPr>
        <w:t xml:space="preserve"> to consider the implications of an apex court sitting as a court of first and last instance on important constitutional questions. </w:t>
      </w:r>
      <w:r w:rsidRPr="00A41AFC">
        <w:rPr>
          <w:rFonts w:ascii="Arial" w:eastAsia="Gulim" w:hAnsi="Arial" w:cs="Arial"/>
          <w:color w:val="000000" w:themeColor="text1"/>
          <w:sz w:val="24"/>
          <w:szCs w:val="24"/>
          <w:lang w:val="en-GB"/>
        </w:rPr>
        <w:t xml:space="preserve">In </w:t>
      </w:r>
      <w:r w:rsidRPr="00A41AFC">
        <w:rPr>
          <w:rFonts w:ascii="Arial" w:hAnsi="Arial" w:cs="Arial"/>
          <w:i/>
          <w:color w:val="000000" w:themeColor="text1"/>
          <w:sz w:val="24"/>
          <w:szCs w:val="24"/>
        </w:rPr>
        <w:t>Teek v President of the Republic of Namibia and others</w:t>
      </w:r>
      <w:r w:rsidR="002E7459">
        <w:rPr>
          <w:rFonts w:ascii="Arial" w:hAnsi="Arial" w:cs="Arial"/>
          <w:color w:val="000000" w:themeColor="text1"/>
          <w:sz w:val="24"/>
          <w:szCs w:val="24"/>
        </w:rPr>
        <w:t>,</w:t>
      </w:r>
      <w:r>
        <w:rPr>
          <w:rStyle w:val="FootnoteReference"/>
          <w:rFonts w:ascii="Arial" w:hAnsi="Arial" w:cs="Arial"/>
          <w:i/>
          <w:color w:val="000000" w:themeColor="text1"/>
          <w:sz w:val="24"/>
          <w:szCs w:val="24"/>
        </w:rPr>
        <w:footnoteReference w:id="41"/>
      </w:r>
      <w:r w:rsidRPr="00A41AFC">
        <w:rPr>
          <w:rFonts w:ascii="Arial" w:hAnsi="Arial" w:cs="Arial"/>
          <w:color w:val="000000" w:themeColor="text1"/>
          <w:sz w:val="24"/>
          <w:szCs w:val="24"/>
        </w:rPr>
        <w:t xml:space="preserve"> </w:t>
      </w:r>
      <w:r>
        <w:rPr>
          <w:rFonts w:ascii="Arial" w:hAnsi="Arial" w:cs="Arial"/>
          <w:color w:val="000000" w:themeColor="text1"/>
          <w:sz w:val="24"/>
          <w:szCs w:val="24"/>
        </w:rPr>
        <w:t xml:space="preserve">for example, </w:t>
      </w:r>
      <w:r w:rsidRPr="00A41AFC">
        <w:rPr>
          <w:rFonts w:ascii="Arial" w:hAnsi="Arial" w:cs="Arial"/>
          <w:color w:val="000000" w:themeColor="text1"/>
          <w:sz w:val="24"/>
          <w:szCs w:val="24"/>
        </w:rPr>
        <w:t xml:space="preserve">Ngcobo AJA at para 41 </w:t>
      </w:r>
      <w:r w:rsidR="00AC7AA2">
        <w:rPr>
          <w:rFonts w:ascii="Arial" w:hAnsi="Arial" w:cs="Arial"/>
          <w:color w:val="000000" w:themeColor="text1"/>
          <w:sz w:val="24"/>
          <w:szCs w:val="24"/>
        </w:rPr>
        <w:t xml:space="preserve">with </w:t>
      </w:r>
      <w:r w:rsidRPr="00A41AFC">
        <w:rPr>
          <w:rFonts w:ascii="Arial" w:hAnsi="Arial" w:cs="Arial"/>
          <w:color w:val="000000" w:themeColor="text1"/>
          <w:sz w:val="24"/>
          <w:szCs w:val="24"/>
        </w:rPr>
        <w:t>refer</w:t>
      </w:r>
      <w:r w:rsidR="00AC7AA2">
        <w:rPr>
          <w:rFonts w:ascii="Arial" w:hAnsi="Arial" w:cs="Arial"/>
          <w:color w:val="000000" w:themeColor="text1"/>
          <w:sz w:val="24"/>
          <w:szCs w:val="24"/>
        </w:rPr>
        <w:t>ence</w:t>
      </w:r>
      <w:r w:rsidRPr="00A41AFC">
        <w:rPr>
          <w:rFonts w:ascii="Arial" w:hAnsi="Arial" w:cs="Arial"/>
          <w:color w:val="000000" w:themeColor="text1"/>
          <w:sz w:val="24"/>
          <w:szCs w:val="24"/>
        </w:rPr>
        <w:t xml:space="preserve"> </w:t>
      </w:r>
      <w:r>
        <w:rPr>
          <w:rFonts w:ascii="Arial" w:hAnsi="Arial" w:cs="Arial"/>
          <w:color w:val="000000" w:themeColor="text1"/>
          <w:sz w:val="24"/>
          <w:szCs w:val="24"/>
        </w:rPr>
        <w:t xml:space="preserve">to cases </w:t>
      </w:r>
      <w:r w:rsidRPr="00A41AFC">
        <w:rPr>
          <w:rFonts w:ascii="Arial" w:hAnsi="Arial" w:cs="Arial"/>
          <w:color w:val="000000" w:themeColor="text1"/>
          <w:sz w:val="24"/>
          <w:szCs w:val="24"/>
        </w:rPr>
        <w:t xml:space="preserve">of the </w:t>
      </w:r>
      <w:r w:rsidR="00AD05EB">
        <w:rPr>
          <w:rFonts w:ascii="Arial" w:hAnsi="Arial" w:cs="Arial"/>
          <w:color w:val="000000" w:themeColor="text1"/>
          <w:sz w:val="24"/>
          <w:szCs w:val="24"/>
        </w:rPr>
        <w:t xml:space="preserve">Constitutional Court of </w:t>
      </w:r>
      <w:r w:rsidRPr="00A41AFC">
        <w:rPr>
          <w:rFonts w:ascii="Arial" w:hAnsi="Arial" w:cs="Arial"/>
          <w:color w:val="000000" w:themeColor="text1"/>
          <w:sz w:val="24"/>
          <w:szCs w:val="24"/>
        </w:rPr>
        <w:t>South African</w:t>
      </w:r>
      <w:r w:rsidR="00AC7AA2">
        <w:rPr>
          <w:rFonts w:ascii="Arial" w:hAnsi="Arial" w:cs="Arial"/>
          <w:color w:val="000000" w:themeColor="text1"/>
          <w:sz w:val="24"/>
          <w:szCs w:val="24"/>
        </w:rPr>
        <w:t>,</w:t>
      </w:r>
      <w:r w:rsidRPr="00A41AFC">
        <w:rPr>
          <w:rFonts w:ascii="Arial" w:hAnsi="Arial" w:cs="Arial"/>
          <w:color w:val="000000" w:themeColor="text1"/>
          <w:sz w:val="24"/>
          <w:szCs w:val="24"/>
        </w:rPr>
        <w:t xml:space="preserve"> stated that it </w:t>
      </w:r>
      <w:r>
        <w:rPr>
          <w:rFonts w:ascii="Arial" w:hAnsi="Arial" w:cs="Arial"/>
          <w:color w:val="000000" w:themeColor="text1"/>
          <w:sz w:val="24"/>
          <w:szCs w:val="24"/>
        </w:rPr>
        <w:t>wa</w:t>
      </w:r>
      <w:r w:rsidRPr="00A41AFC">
        <w:rPr>
          <w:rFonts w:ascii="Arial" w:hAnsi="Arial" w:cs="Arial"/>
          <w:color w:val="000000" w:themeColor="text1"/>
          <w:sz w:val="24"/>
          <w:szCs w:val="24"/>
        </w:rPr>
        <w:t xml:space="preserve">s </w:t>
      </w:r>
      <w:r>
        <w:rPr>
          <w:rFonts w:ascii="Arial" w:hAnsi="Arial" w:cs="Arial"/>
          <w:color w:val="000000" w:themeColor="text1"/>
          <w:sz w:val="24"/>
          <w:szCs w:val="24"/>
        </w:rPr>
        <w:t xml:space="preserve">undesirable </w:t>
      </w:r>
      <w:r w:rsidRPr="00A41AFC">
        <w:rPr>
          <w:rFonts w:ascii="Arial" w:hAnsi="Arial" w:cs="Arial"/>
          <w:color w:val="000000" w:themeColor="text1"/>
          <w:sz w:val="24"/>
          <w:szCs w:val="24"/>
        </w:rPr>
        <w:t xml:space="preserve">for an apex court to sit as a court of first and last instance, </w:t>
      </w:r>
      <w:r w:rsidR="00AC7AA2">
        <w:rPr>
          <w:rFonts w:ascii="Arial" w:hAnsi="Arial" w:cs="Arial"/>
          <w:color w:val="000000" w:themeColor="text1"/>
          <w:sz w:val="24"/>
          <w:szCs w:val="24"/>
        </w:rPr>
        <w:t>w</w:t>
      </w:r>
      <w:r w:rsidRPr="00A41AFC">
        <w:rPr>
          <w:rFonts w:ascii="Arial" w:hAnsi="Arial" w:cs="Arial"/>
          <w:color w:val="000000" w:themeColor="text1"/>
          <w:sz w:val="24"/>
          <w:szCs w:val="24"/>
        </w:rPr>
        <w:t>h</w:t>
      </w:r>
      <w:r w:rsidR="00AC7AA2">
        <w:rPr>
          <w:rFonts w:ascii="Arial" w:hAnsi="Arial" w:cs="Arial"/>
          <w:color w:val="000000" w:themeColor="text1"/>
          <w:sz w:val="24"/>
          <w:szCs w:val="24"/>
        </w:rPr>
        <w:t>ere</w:t>
      </w:r>
      <w:r w:rsidRPr="00A41AFC">
        <w:rPr>
          <w:rFonts w:ascii="Arial" w:hAnsi="Arial" w:cs="Arial"/>
          <w:color w:val="000000" w:themeColor="text1"/>
          <w:sz w:val="24"/>
          <w:szCs w:val="24"/>
        </w:rPr>
        <w:t xml:space="preserve"> matters are decided </w:t>
      </w:r>
      <w:r w:rsidR="00AC7AA2">
        <w:rPr>
          <w:rFonts w:ascii="Arial" w:hAnsi="Arial" w:cs="Arial"/>
          <w:color w:val="000000" w:themeColor="text1"/>
          <w:sz w:val="24"/>
          <w:szCs w:val="24"/>
        </w:rPr>
        <w:t xml:space="preserve">finally </w:t>
      </w:r>
      <w:r w:rsidRPr="00A41AFC">
        <w:rPr>
          <w:rFonts w:ascii="Arial" w:hAnsi="Arial" w:cs="Arial"/>
          <w:color w:val="000000" w:themeColor="text1"/>
          <w:sz w:val="24"/>
          <w:szCs w:val="24"/>
        </w:rPr>
        <w:t xml:space="preserve">without the possibility of appealing against the decision given. </w:t>
      </w:r>
    </w:p>
    <w:p w:rsidR="000B16E1" w:rsidRPr="00A41AFC" w:rsidRDefault="000B16E1" w:rsidP="00302801">
      <w:pPr>
        <w:pStyle w:val="ListParagraph"/>
        <w:spacing w:after="0" w:line="480" w:lineRule="auto"/>
        <w:jc w:val="both"/>
        <w:rPr>
          <w:rFonts w:ascii="Arial" w:hAnsi="Arial" w:cs="Arial"/>
          <w:color w:val="000000" w:themeColor="text1"/>
          <w:sz w:val="24"/>
          <w:szCs w:val="24"/>
        </w:rPr>
      </w:pPr>
    </w:p>
    <w:p w:rsidR="000B16E1" w:rsidRPr="00A41AFC" w:rsidRDefault="000B16E1" w:rsidP="005414A7">
      <w:pPr>
        <w:pStyle w:val="ListParagraph"/>
        <w:numPr>
          <w:ilvl w:val="0"/>
          <w:numId w:val="22"/>
        </w:numPr>
        <w:spacing w:after="0" w:line="480" w:lineRule="auto"/>
        <w:ind w:left="0" w:firstLine="0"/>
        <w:jc w:val="both"/>
        <w:rPr>
          <w:rFonts w:ascii="Arial" w:eastAsia="Gulim" w:hAnsi="Arial" w:cs="Arial"/>
          <w:color w:val="000000" w:themeColor="text1"/>
          <w:sz w:val="24"/>
          <w:szCs w:val="24"/>
          <w:lang w:val="en-GB"/>
        </w:rPr>
      </w:pPr>
      <w:r w:rsidRPr="00A41AFC">
        <w:rPr>
          <w:rFonts w:ascii="Arial" w:hAnsi="Arial" w:cs="Arial"/>
          <w:color w:val="000000" w:themeColor="text1"/>
          <w:sz w:val="24"/>
          <w:szCs w:val="24"/>
        </w:rPr>
        <w:t xml:space="preserve">The learned judge further stated that experience </w:t>
      </w:r>
      <w:r w:rsidR="00AC7AA2">
        <w:rPr>
          <w:rFonts w:ascii="Arial" w:hAnsi="Arial" w:cs="Arial"/>
          <w:color w:val="000000" w:themeColor="text1"/>
          <w:sz w:val="24"/>
          <w:szCs w:val="24"/>
        </w:rPr>
        <w:t xml:space="preserve">had </w:t>
      </w:r>
      <w:r w:rsidRPr="00A41AFC">
        <w:rPr>
          <w:rFonts w:ascii="Arial" w:hAnsi="Arial" w:cs="Arial"/>
          <w:color w:val="000000" w:themeColor="text1"/>
          <w:sz w:val="24"/>
          <w:szCs w:val="24"/>
        </w:rPr>
        <w:t>show</w:t>
      </w:r>
      <w:r w:rsidR="00AC7AA2">
        <w:rPr>
          <w:rFonts w:ascii="Arial" w:hAnsi="Arial" w:cs="Arial"/>
          <w:color w:val="000000" w:themeColor="text1"/>
          <w:sz w:val="24"/>
          <w:szCs w:val="24"/>
        </w:rPr>
        <w:t>n</w:t>
      </w:r>
      <w:r w:rsidRPr="00A41AFC">
        <w:rPr>
          <w:rFonts w:ascii="Arial" w:hAnsi="Arial" w:cs="Arial"/>
          <w:color w:val="000000" w:themeColor="text1"/>
          <w:sz w:val="24"/>
          <w:szCs w:val="24"/>
        </w:rPr>
        <w:t xml:space="preserve"> that decisions </w:t>
      </w:r>
      <w:r w:rsidR="006F0552">
        <w:rPr>
          <w:rFonts w:ascii="Arial" w:hAnsi="Arial" w:cs="Arial"/>
          <w:color w:val="000000" w:themeColor="text1"/>
          <w:sz w:val="24"/>
          <w:szCs w:val="24"/>
        </w:rPr>
        <w:t>we</w:t>
      </w:r>
      <w:r w:rsidRPr="00A41AFC">
        <w:rPr>
          <w:rFonts w:ascii="Arial" w:hAnsi="Arial" w:cs="Arial"/>
          <w:color w:val="000000" w:themeColor="text1"/>
          <w:sz w:val="24"/>
          <w:szCs w:val="24"/>
        </w:rPr>
        <w:t>re more likely to be correct if more than one court ha</w:t>
      </w:r>
      <w:r w:rsidR="006F0552">
        <w:rPr>
          <w:rFonts w:ascii="Arial" w:hAnsi="Arial" w:cs="Arial"/>
          <w:color w:val="000000" w:themeColor="text1"/>
          <w:sz w:val="24"/>
          <w:szCs w:val="24"/>
        </w:rPr>
        <w:t>d</w:t>
      </w:r>
      <w:r w:rsidRPr="00A41AFC">
        <w:rPr>
          <w:rFonts w:ascii="Arial" w:hAnsi="Arial" w:cs="Arial"/>
          <w:color w:val="000000" w:themeColor="text1"/>
          <w:sz w:val="24"/>
          <w:szCs w:val="24"/>
        </w:rPr>
        <w:t xml:space="preserve"> been required to consider </w:t>
      </w:r>
      <w:r w:rsidR="00AC7AA2">
        <w:rPr>
          <w:rFonts w:ascii="Arial" w:hAnsi="Arial" w:cs="Arial"/>
          <w:color w:val="000000" w:themeColor="text1"/>
          <w:sz w:val="24"/>
          <w:szCs w:val="24"/>
        </w:rPr>
        <w:t xml:space="preserve">and decide </w:t>
      </w:r>
      <w:r w:rsidRPr="00A41AFC">
        <w:rPr>
          <w:rFonts w:ascii="Arial" w:hAnsi="Arial" w:cs="Arial"/>
          <w:color w:val="000000" w:themeColor="text1"/>
          <w:sz w:val="24"/>
          <w:szCs w:val="24"/>
        </w:rPr>
        <w:t>the issues raised. In such circumstances</w:t>
      </w:r>
      <w:r w:rsidR="00AC7AA2">
        <w:rPr>
          <w:rFonts w:ascii="Arial" w:hAnsi="Arial" w:cs="Arial"/>
          <w:color w:val="000000" w:themeColor="text1"/>
          <w:sz w:val="24"/>
          <w:szCs w:val="24"/>
        </w:rPr>
        <w:t>,</w:t>
      </w:r>
      <w:r w:rsidRPr="00A41AFC">
        <w:rPr>
          <w:rFonts w:ascii="Arial" w:hAnsi="Arial" w:cs="Arial"/>
          <w:color w:val="000000" w:themeColor="text1"/>
          <w:sz w:val="24"/>
          <w:szCs w:val="24"/>
        </w:rPr>
        <w:t xml:space="preserve"> the losing party has an opportunity of challenging the reasoning on which the first judgment is based, and of reconsidering and refining arguments previously raised in the light of such judgment. </w:t>
      </w:r>
      <w:r>
        <w:rPr>
          <w:rFonts w:ascii="Arial" w:hAnsi="Arial" w:cs="Arial"/>
          <w:color w:val="000000" w:themeColor="text1"/>
          <w:sz w:val="24"/>
          <w:szCs w:val="24"/>
        </w:rPr>
        <w:t xml:space="preserve">I respectfully </w:t>
      </w:r>
      <w:r w:rsidR="00AC7AA2">
        <w:rPr>
          <w:rFonts w:ascii="Arial" w:hAnsi="Arial" w:cs="Arial"/>
          <w:color w:val="000000" w:themeColor="text1"/>
          <w:sz w:val="24"/>
          <w:szCs w:val="24"/>
        </w:rPr>
        <w:t>endorse such a wise and pra</w:t>
      </w:r>
      <w:r w:rsidR="00D653E2">
        <w:rPr>
          <w:rFonts w:ascii="Arial" w:hAnsi="Arial" w:cs="Arial"/>
          <w:color w:val="000000" w:themeColor="text1"/>
          <w:sz w:val="24"/>
          <w:szCs w:val="24"/>
        </w:rPr>
        <w:t>gmatic</w:t>
      </w:r>
      <w:r w:rsidR="00AC7AA2">
        <w:rPr>
          <w:rFonts w:ascii="Arial" w:hAnsi="Arial" w:cs="Arial"/>
          <w:color w:val="000000" w:themeColor="text1"/>
          <w:sz w:val="24"/>
          <w:szCs w:val="24"/>
        </w:rPr>
        <w:t xml:space="preserve"> approach</w:t>
      </w:r>
      <w:r>
        <w:rPr>
          <w:rFonts w:ascii="Arial" w:hAnsi="Arial" w:cs="Arial"/>
          <w:color w:val="000000" w:themeColor="text1"/>
          <w:sz w:val="24"/>
          <w:szCs w:val="24"/>
        </w:rPr>
        <w:t>.</w:t>
      </w:r>
    </w:p>
    <w:p w:rsidR="000B16E1" w:rsidRPr="00A41AFC" w:rsidRDefault="000B16E1" w:rsidP="009211E3">
      <w:pPr>
        <w:pStyle w:val="ListParagraph"/>
        <w:spacing w:after="0" w:line="480" w:lineRule="auto"/>
        <w:jc w:val="both"/>
        <w:rPr>
          <w:rFonts w:ascii="Arial" w:hAnsi="Arial" w:cs="Arial"/>
          <w:color w:val="000000" w:themeColor="text1"/>
          <w:sz w:val="24"/>
          <w:szCs w:val="24"/>
        </w:rPr>
      </w:pPr>
    </w:p>
    <w:p w:rsidR="000B16E1" w:rsidRPr="00D25723" w:rsidRDefault="000B16E1" w:rsidP="005414A7">
      <w:pPr>
        <w:pStyle w:val="ListParagraph"/>
        <w:numPr>
          <w:ilvl w:val="0"/>
          <w:numId w:val="22"/>
        </w:numPr>
        <w:spacing w:after="0" w:line="480" w:lineRule="auto"/>
        <w:ind w:left="0" w:firstLine="0"/>
        <w:jc w:val="both"/>
        <w:rPr>
          <w:rFonts w:ascii="Arial" w:eastAsia="Gulim" w:hAnsi="Arial" w:cs="Arial"/>
          <w:color w:val="000000" w:themeColor="text1"/>
          <w:sz w:val="24"/>
          <w:szCs w:val="24"/>
          <w:lang w:val="en-GB"/>
        </w:rPr>
      </w:pPr>
      <w:r w:rsidRPr="00D25723">
        <w:rPr>
          <w:rFonts w:ascii="Arial" w:hAnsi="Arial" w:cs="Arial"/>
          <w:color w:val="000000" w:themeColor="text1"/>
          <w:sz w:val="24"/>
          <w:szCs w:val="24"/>
        </w:rPr>
        <w:t xml:space="preserve">Accepting the sentiments expressed by Ngcobo AJA, I am convinced </w:t>
      </w:r>
      <w:r w:rsidRPr="00D25723">
        <w:rPr>
          <w:rFonts w:ascii="Arial" w:eastAsia="Gulim" w:hAnsi="Arial" w:cs="Arial"/>
          <w:color w:val="000000" w:themeColor="text1"/>
          <w:sz w:val="24"/>
          <w:szCs w:val="24"/>
          <w:lang w:val="en-GB"/>
        </w:rPr>
        <w:t>that the benefits that may be derived from the views of the judges of the High Court on such a novel point of law and a</w:t>
      </w:r>
      <w:r w:rsidR="00AC7AA2" w:rsidRPr="00D25723">
        <w:rPr>
          <w:rFonts w:ascii="Arial" w:eastAsia="Gulim" w:hAnsi="Arial" w:cs="Arial"/>
          <w:color w:val="000000" w:themeColor="text1"/>
          <w:sz w:val="24"/>
          <w:szCs w:val="24"/>
          <w:lang w:val="en-GB"/>
        </w:rPr>
        <w:t xml:space="preserve">n issue of immense </w:t>
      </w:r>
      <w:r w:rsidRPr="00D25723">
        <w:rPr>
          <w:rFonts w:ascii="Arial" w:eastAsia="Gulim" w:hAnsi="Arial" w:cs="Arial"/>
          <w:color w:val="000000" w:themeColor="text1"/>
          <w:sz w:val="24"/>
          <w:szCs w:val="24"/>
          <w:lang w:val="en-GB"/>
        </w:rPr>
        <w:t>constitutional importan</w:t>
      </w:r>
      <w:r w:rsidR="00AC7AA2" w:rsidRPr="00D25723">
        <w:rPr>
          <w:rFonts w:ascii="Arial" w:eastAsia="Gulim" w:hAnsi="Arial" w:cs="Arial"/>
          <w:color w:val="000000" w:themeColor="text1"/>
          <w:sz w:val="24"/>
          <w:szCs w:val="24"/>
          <w:lang w:val="en-GB"/>
        </w:rPr>
        <w:t>ce</w:t>
      </w:r>
      <w:r w:rsidRPr="00D25723">
        <w:rPr>
          <w:rFonts w:ascii="Arial" w:eastAsia="Gulim" w:hAnsi="Arial" w:cs="Arial"/>
          <w:color w:val="000000" w:themeColor="text1"/>
          <w:sz w:val="24"/>
          <w:szCs w:val="24"/>
          <w:lang w:val="en-GB"/>
        </w:rPr>
        <w:t xml:space="preserve"> by far outweigh the election of departing from </w:t>
      </w:r>
      <w:r w:rsidR="00AC7AA2" w:rsidRPr="00D25723">
        <w:rPr>
          <w:rFonts w:ascii="Arial" w:eastAsia="Gulim" w:hAnsi="Arial" w:cs="Arial"/>
          <w:color w:val="000000" w:themeColor="text1"/>
          <w:sz w:val="24"/>
          <w:szCs w:val="24"/>
          <w:lang w:val="en-GB"/>
        </w:rPr>
        <w:t xml:space="preserve">the </w:t>
      </w:r>
      <w:r w:rsidRPr="00D25723">
        <w:rPr>
          <w:rFonts w:ascii="Arial" w:eastAsia="Gulim" w:hAnsi="Arial" w:cs="Arial"/>
          <w:color w:val="000000" w:themeColor="text1"/>
          <w:sz w:val="24"/>
          <w:szCs w:val="24"/>
          <w:lang w:val="en-GB"/>
        </w:rPr>
        <w:t>approach</w:t>
      </w:r>
      <w:r w:rsidR="00AC7AA2" w:rsidRPr="00D25723">
        <w:rPr>
          <w:rFonts w:ascii="Arial" w:eastAsia="Gulim" w:hAnsi="Arial" w:cs="Arial"/>
          <w:color w:val="000000" w:themeColor="text1"/>
          <w:sz w:val="24"/>
          <w:szCs w:val="24"/>
          <w:lang w:val="en-GB"/>
        </w:rPr>
        <w:t xml:space="preserve"> so carefully considered and </w:t>
      </w:r>
      <w:r w:rsidR="00D653E2">
        <w:rPr>
          <w:rFonts w:ascii="Arial" w:eastAsia="Gulim" w:hAnsi="Arial" w:cs="Arial"/>
          <w:color w:val="000000" w:themeColor="text1"/>
          <w:sz w:val="24"/>
          <w:szCs w:val="24"/>
          <w:lang w:val="en-GB"/>
        </w:rPr>
        <w:t xml:space="preserve">admirably </w:t>
      </w:r>
      <w:r w:rsidR="00AC7AA2" w:rsidRPr="00D25723">
        <w:rPr>
          <w:rFonts w:ascii="Arial" w:eastAsia="Gulim" w:hAnsi="Arial" w:cs="Arial"/>
          <w:color w:val="000000" w:themeColor="text1"/>
          <w:sz w:val="24"/>
          <w:szCs w:val="24"/>
          <w:lang w:val="en-GB"/>
        </w:rPr>
        <w:t>articulated by Ngcobo AJA</w:t>
      </w:r>
      <w:r w:rsidRPr="00D25723">
        <w:rPr>
          <w:rFonts w:ascii="Arial" w:eastAsia="Gulim" w:hAnsi="Arial" w:cs="Arial"/>
          <w:color w:val="000000" w:themeColor="text1"/>
          <w:sz w:val="24"/>
          <w:szCs w:val="24"/>
          <w:lang w:val="en-GB"/>
        </w:rPr>
        <w:t xml:space="preserve">. This approach will not only afford the losing party an opportunity to </w:t>
      </w:r>
      <w:r w:rsidRPr="00D25723">
        <w:rPr>
          <w:rFonts w:ascii="Arial" w:eastAsia="Gulim" w:hAnsi="Arial" w:cs="Arial"/>
          <w:color w:val="000000" w:themeColor="text1"/>
          <w:sz w:val="24"/>
          <w:szCs w:val="24"/>
          <w:lang w:val="en-GB"/>
        </w:rPr>
        <w:lastRenderedPageBreak/>
        <w:t xml:space="preserve">participate in appeal proceedings, if dissatisfied with the decision of the High Court but it will also grant the apex court an occasion to fully consider and decide a matter of great public and constitutional importance. I should, however, not be understood to suggest that this is the approach to be followed in each and every case. Where compelling reasons exit in a particular case, this court </w:t>
      </w:r>
      <w:r w:rsidR="006F0552">
        <w:rPr>
          <w:rFonts w:ascii="Arial" w:eastAsia="Gulim" w:hAnsi="Arial" w:cs="Arial"/>
          <w:color w:val="000000" w:themeColor="text1"/>
          <w:sz w:val="24"/>
          <w:szCs w:val="24"/>
          <w:lang w:val="en-GB"/>
        </w:rPr>
        <w:t xml:space="preserve">may </w:t>
      </w:r>
      <w:r w:rsidRPr="00D25723">
        <w:rPr>
          <w:rFonts w:ascii="Arial" w:eastAsia="Gulim" w:hAnsi="Arial" w:cs="Arial"/>
          <w:color w:val="000000" w:themeColor="text1"/>
          <w:sz w:val="24"/>
          <w:szCs w:val="24"/>
          <w:lang w:val="en-GB"/>
        </w:rPr>
        <w:t>deviat</w:t>
      </w:r>
      <w:r w:rsidR="006F0552">
        <w:rPr>
          <w:rFonts w:ascii="Arial" w:eastAsia="Gulim" w:hAnsi="Arial" w:cs="Arial"/>
          <w:color w:val="000000" w:themeColor="text1"/>
          <w:sz w:val="24"/>
          <w:szCs w:val="24"/>
          <w:lang w:val="en-GB"/>
        </w:rPr>
        <w:t>e</w:t>
      </w:r>
      <w:r w:rsidRPr="00D25723">
        <w:rPr>
          <w:rFonts w:ascii="Arial" w:eastAsia="Gulim" w:hAnsi="Arial" w:cs="Arial"/>
          <w:color w:val="000000" w:themeColor="text1"/>
          <w:sz w:val="24"/>
          <w:szCs w:val="24"/>
          <w:lang w:val="en-GB"/>
        </w:rPr>
        <w:t xml:space="preserve"> from this approach. In my respectful view, however, there are compelling reasons on the facts of this case for this court to not decide the matter as a court of first and last instance.  For all these reasons, I am of the view that, the constitutional question should first be decided by the court below.   </w:t>
      </w:r>
    </w:p>
    <w:p w:rsidR="00A86F5A" w:rsidRDefault="00A86F5A" w:rsidP="000B16E1">
      <w:pPr>
        <w:spacing w:after="0" w:line="480" w:lineRule="auto"/>
        <w:jc w:val="both"/>
        <w:rPr>
          <w:rFonts w:ascii="Arial" w:eastAsia="Gulim" w:hAnsi="Arial" w:cs="Arial"/>
          <w:color w:val="000000" w:themeColor="text1"/>
          <w:sz w:val="24"/>
          <w:szCs w:val="24"/>
          <w:u w:val="single"/>
          <w:lang w:val="en-GB"/>
        </w:rPr>
      </w:pPr>
    </w:p>
    <w:p w:rsidR="000B16E1" w:rsidRDefault="000B16E1" w:rsidP="000B16E1">
      <w:pPr>
        <w:spacing w:after="0" w:line="480" w:lineRule="auto"/>
        <w:jc w:val="both"/>
        <w:rPr>
          <w:rFonts w:ascii="Arial" w:eastAsia="Gulim" w:hAnsi="Arial" w:cs="Arial"/>
          <w:color w:val="000000" w:themeColor="text1"/>
          <w:sz w:val="24"/>
          <w:szCs w:val="24"/>
          <w:u w:val="single"/>
          <w:lang w:val="en-GB"/>
        </w:rPr>
      </w:pPr>
      <w:r w:rsidRPr="00405243">
        <w:rPr>
          <w:rFonts w:ascii="Arial" w:eastAsia="Gulim" w:hAnsi="Arial" w:cs="Arial"/>
          <w:color w:val="000000" w:themeColor="text1"/>
          <w:sz w:val="24"/>
          <w:szCs w:val="24"/>
          <w:u w:val="single"/>
          <w:lang w:val="en-GB"/>
        </w:rPr>
        <w:t>Costs</w:t>
      </w:r>
    </w:p>
    <w:p w:rsidR="000B16E1" w:rsidRPr="00B70F9E" w:rsidRDefault="000B16E1" w:rsidP="005414A7">
      <w:pPr>
        <w:pStyle w:val="ListParagraph"/>
        <w:numPr>
          <w:ilvl w:val="0"/>
          <w:numId w:val="22"/>
        </w:numPr>
        <w:spacing w:after="0" w:line="480" w:lineRule="auto"/>
        <w:ind w:left="0" w:firstLine="0"/>
        <w:jc w:val="both"/>
        <w:rPr>
          <w:rFonts w:ascii="Arial" w:eastAsia="Gulim" w:hAnsi="Arial" w:cs="Arial"/>
          <w:color w:val="000000" w:themeColor="text1"/>
          <w:sz w:val="24"/>
          <w:szCs w:val="24"/>
          <w:lang w:val="en-GB"/>
        </w:rPr>
      </w:pPr>
      <w:r w:rsidRPr="00B70F9E">
        <w:rPr>
          <w:rFonts w:ascii="Arial" w:eastAsia="Gulim" w:hAnsi="Arial" w:cs="Arial"/>
          <w:color w:val="000000" w:themeColor="text1"/>
          <w:sz w:val="24"/>
          <w:szCs w:val="24"/>
          <w:lang w:val="en-GB"/>
        </w:rPr>
        <w:t xml:space="preserve"> In their notice of appeal, the appellants asked for </w:t>
      </w:r>
      <w:r w:rsidR="003E3957">
        <w:rPr>
          <w:rFonts w:ascii="Arial" w:eastAsia="Gulim" w:hAnsi="Arial" w:cs="Arial"/>
          <w:color w:val="000000" w:themeColor="text1"/>
          <w:sz w:val="24"/>
          <w:szCs w:val="24"/>
          <w:lang w:val="en-GB"/>
        </w:rPr>
        <w:t xml:space="preserve">a </w:t>
      </w:r>
      <w:r w:rsidRPr="00B70F9E">
        <w:rPr>
          <w:rFonts w:ascii="Arial" w:eastAsia="Gulim" w:hAnsi="Arial" w:cs="Arial"/>
          <w:color w:val="000000" w:themeColor="text1"/>
          <w:sz w:val="24"/>
          <w:szCs w:val="24"/>
          <w:lang w:val="en-GB"/>
        </w:rPr>
        <w:t xml:space="preserve">costs </w:t>
      </w:r>
      <w:r w:rsidR="003E3957">
        <w:rPr>
          <w:rFonts w:ascii="Arial" w:eastAsia="Gulim" w:hAnsi="Arial" w:cs="Arial"/>
          <w:color w:val="000000" w:themeColor="text1"/>
          <w:sz w:val="24"/>
          <w:szCs w:val="24"/>
          <w:lang w:val="en-GB"/>
        </w:rPr>
        <w:t xml:space="preserve">order </w:t>
      </w:r>
      <w:r w:rsidRPr="00B70F9E">
        <w:rPr>
          <w:rFonts w:ascii="Arial" w:eastAsia="Gulim" w:hAnsi="Arial" w:cs="Arial"/>
          <w:color w:val="000000" w:themeColor="text1"/>
          <w:sz w:val="24"/>
          <w:szCs w:val="24"/>
          <w:lang w:val="en-GB"/>
        </w:rPr>
        <w:t xml:space="preserve">in this court, including </w:t>
      </w:r>
      <w:r w:rsidR="003E3957">
        <w:rPr>
          <w:rFonts w:ascii="Arial" w:eastAsia="Gulim" w:hAnsi="Arial" w:cs="Arial"/>
          <w:color w:val="000000" w:themeColor="text1"/>
          <w:sz w:val="24"/>
          <w:szCs w:val="24"/>
          <w:lang w:val="en-GB"/>
        </w:rPr>
        <w:t xml:space="preserve">the </w:t>
      </w:r>
      <w:r w:rsidRPr="00B70F9E">
        <w:rPr>
          <w:rFonts w:ascii="Arial" w:eastAsia="Gulim" w:hAnsi="Arial" w:cs="Arial"/>
          <w:color w:val="000000" w:themeColor="text1"/>
          <w:sz w:val="24"/>
          <w:szCs w:val="24"/>
          <w:lang w:val="en-GB"/>
        </w:rPr>
        <w:t>co</w:t>
      </w:r>
      <w:r w:rsidR="003E3957">
        <w:rPr>
          <w:rFonts w:ascii="Arial" w:eastAsia="Gulim" w:hAnsi="Arial" w:cs="Arial"/>
          <w:color w:val="000000" w:themeColor="text1"/>
          <w:sz w:val="24"/>
          <w:szCs w:val="24"/>
          <w:lang w:val="en-GB"/>
        </w:rPr>
        <w:t>s</w:t>
      </w:r>
      <w:r w:rsidRPr="00B70F9E">
        <w:rPr>
          <w:rFonts w:ascii="Arial" w:eastAsia="Gulim" w:hAnsi="Arial" w:cs="Arial"/>
          <w:color w:val="000000" w:themeColor="text1"/>
          <w:sz w:val="24"/>
          <w:szCs w:val="24"/>
          <w:lang w:val="en-GB"/>
        </w:rPr>
        <w:t xml:space="preserve">ts of one instructing and two instructed counsel. The respondent on his part also asked for costs should the appeal be dismissed. However, it came to light during oral submissions that counsel for the respondent argued the appeal on instructions of the Director of Legal Aid. Section 18 of the Legal Aid Act 29 of 1990 states that </w:t>
      </w:r>
      <w:r w:rsidR="003E3957">
        <w:rPr>
          <w:rFonts w:ascii="Arial" w:eastAsia="Gulim" w:hAnsi="Arial" w:cs="Arial"/>
          <w:color w:val="000000" w:themeColor="text1"/>
          <w:sz w:val="24"/>
          <w:szCs w:val="24"/>
          <w:lang w:val="en-GB"/>
        </w:rPr>
        <w:t>‘</w:t>
      </w:r>
      <w:r>
        <w:rPr>
          <w:rFonts w:ascii="Arial" w:eastAsia="Gulim" w:hAnsi="Arial" w:cs="Arial"/>
          <w:color w:val="000000" w:themeColor="text1"/>
          <w:sz w:val="24"/>
          <w:szCs w:val="24"/>
          <w:lang w:val="en-GB"/>
        </w:rPr>
        <w:t>n</w:t>
      </w:r>
      <w:r w:rsidRPr="00E426E2">
        <w:rPr>
          <w:rFonts w:ascii="Arial" w:eastAsia="Gulim" w:hAnsi="Arial" w:cs="Arial"/>
          <w:color w:val="000000" w:themeColor="text1"/>
          <w:sz w:val="24"/>
          <w:szCs w:val="24"/>
          <w:lang w:val="en-GB"/>
        </w:rPr>
        <w:t>o order as to costs shall be made against the State in or in connection with any proceedings in respect of which legal aid was granted and neither shall the State be liable for any costs awarded in any such proceedings.</w:t>
      </w:r>
      <w:r w:rsidR="003E3957">
        <w:rPr>
          <w:rFonts w:ascii="Arial" w:eastAsia="Gulim" w:hAnsi="Arial" w:cs="Arial"/>
          <w:color w:val="000000" w:themeColor="text1"/>
          <w:sz w:val="24"/>
          <w:szCs w:val="24"/>
          <w:lang w:val="en-GB"/>
        </w:rPr>
        <w:t>’</w:t>
      </w:r>
      <w:r w:rsidRPr="00B70F9E">
        <w:rPr>
          <w:rFonts w:ascii="Arial" w:eastAsia="Gulim" w:hAnsi="Arial" w:cs="Arial"/>
          <w:color w:val="000000" w:themeColor="text1"/>
          <w:sz w:val="24"/>
          <w:szCs w:val="24"/>
          <w:lang w:val="en-GB"/>
        </w:rPr>
        <w:t xml:space="preserve"> </w:t>
      </w:r>
      <w:r w:rsidR="003E3957">
        <w:rPr>
          <w:rFonts w:ascii="Arial" w:eastAsia="Gulim" w:hAnsi="Arial" w:cs="Arial"/>
          <w:color w:val="000000" w:themeColor="text1"/>
          <w:sz w:val="24"/>
          <w:szCs w:val="24"/>
          <w:lang w:val="en-GB"/>
        </w:rPr>
        <w:t>I</w:t>
      </w:r>
      <w:r w:rsidR="003965EA">
        <w:rPr>
          <w:rFonts w:ascii="Arial" w:eastAsia="Gulim" w:hAnsi="Arial" w:cs="Arial"/>
          <w:color w:val="000000" w:themeColor="text1"/>
          <w:sz w:val="24"/>
          <w:szCs w:val="24"/>
          <w:lang w:val="en-GB"/>
        </w:rPr>
        <w:t xml:space="preserve">f I understand this provision correctly, ordering the respondent to pay costs in the circumstances of this case would amount to ordering the State to pay </w:t>
      </w:r>
      <w:r w:rsidR="003E3957">
        <w:rPr>
          <w:rFonts w:ascii="Arial" w:eastAsia="Gulim" w:hAnsi="Arial" w:cs="Arial"/>
          <w:color w:val="000000" w:themeColor="text1"/>
          <w:sz w:val="24"/>
          <w:szCs w:val="24"/>
          <w:lang w:val="en-GB"/>
        </w:rPr>
        <w:t xml:space="preserve">the </w:t>
      </w:r>
      <w:r w:rsidR="003965EA">
        <w:rPr>
          <w:rFonts w:ascii="Arial" w:eastAsia="Gulim" w:hAnsi="Arial" w:cs="Arial"/>
          <w:color w:val="000000" w:themeColor="text1"/>
          <w:sz w:val="24"/>
          <w:szCs w:val="24"/>
          <w:lang w:val="en-GB"/>
        </w:rPr>
        <w:t xml:space="preserve">costs of the appeal. In any event, this </w:t>
      </w:r>
      <w:r>
        <w:rPr>
          <w:rFonts w:ascii="Arial" w:eastAsia="Gulim" w:hAnsi="Arial" w:cs="Arial"/>
          <w:color w:val="000000" w:themeColor="text1"/>
          <w:sz w:val="24"/>
          <w:szCs w:val="24"/>
          <w:lang w:val="en-GB"/>
        </w:rPr>
        <w:t>is not an appropriate case to make a costs</w:t>
      </w:r>
      <w:r w:rsidR="003965EA">
        <w:rPr>
          <w:rFonts w:ascii="Arial" w:eastAsia="Gulim" w:hAnsi="Arial" w:cs="Arial"/>
          <w:color w:val="000000" w:themeColor="text1"/>
          <w:sz w:val="24"/>
          <w:szCs w:val="24"/>
          <w:lang w:val="en-GB"/>
        </w:rPr>
        <w:t xml:space="preserve"> order as the respondent</w:t>
      </w:r>
      <w:r w:rsidR="003E3957">
        <w:rPr>
          <w:rFonts w:ascii="Arial" w:eastAsia="Gulim" w:hAnsi="Arial" w:cs="Arial"/>
          <w:color w:val="000000" w:themeColor="text1"/>
          <w:sz w:val="24"/>
          <w:szCs w:val="24"/>
          <w:lang w:val="en-GB"/>
        </w:rPr>
        <w:t xml:space="preserve"> sought to </w:t>
      </w:r>
      <w:r w:rsidR="006F0552">
        <w:rPr>
          <w:rFonts w:ascii="Arial" w:eastAsia="Gulim" w:hAnsi="Arial" w:cs="Arial"/>
          <w:color w:val="000000" w:themeColor="text1"/>
          <w:sz w:val="24"/>
          <w:szCs w:val="24"/>
          <w:lang w:val="en-GB"/>
        </w:rPr>
        <w:t xml:space="preserve">ventilate </w:t>
      </w:r>
      <w:r w:rsidR="003E3957">
        <w:rPr>
          <w:rFonts w:ascii="Arial" w:eastAsia="Gulim" w:hAnsi="Arial" w:cs="Arial"/>
          <w:color w:val="000000" w:themeColor="text1"/>
          <w:sz w:val="24"/>
          <w:szCs w:val="24"/>
          <w:lang w:val="en-GB"/>
        </w:rPr>
        <w:t>legal principles of great public and constitutional importance, some of which have not hitherto been traversed by our courts</w:t>
      </w:r>
      <w:r>
        <w:rPr>
          <w:rFonts w:ascii="Arial" w:eastAsia="Gulim" w:hAnsi="Arial" w:cs="Arial"/>
          <w:color w:val="000000" w:themeColor="text1"/>
          <w:sz w:val="24"/>
          <w:szCs w:val="24"/>
          <w:lang w:val="en-GB"/>
        </w:rPr>
        <w:t>.</w:t>
      </w:r>
      <w:r w:rsidR="003E3957">
        <w:rPr>
          <w:rFonts w:ascii="Arial" w:eastAsia="Gulim" w:hAnsi="Arial" w:cs="Arial"/>
          <w:color w:val="000000" w:themeColor="text1"/>
          <w:sz w:val="24"/>
          <w:szCs w:val="24"/>
          <w:lang w:val="en-GB"/>
        </w:rPr>
        <w:t xml:space="preserve"> In those circumstances, I propose that no order as to costs should be made.  </w:t>
      </w:r>
      <w:r w:rsidRPr="00B70F9E">
        <w:rPr>
          <w:rFonts w:ascii="Arial" w:eastAsia="Gulim" w:hAnsi="Arial" w:cs="Arial"/>
          <w:color w:val="000000" w:themeColor="text1"/>
          <w:sz w:val="24"/>
          <w:szCs w:val="24"/>
          <w:lang w:val="en-GB"/>
        </w:rPr>
        <w:t xml:space="preserve"> </w:t>
      </w:r>
    </w:p>
    <w:p w:rsidR="000B16E1" w:rsidRPr="00B70F9E" w:rsidRDefault="000B16E1" w:rsidP="003E3957">
      <w:pPr>
        <w:spacing w:line="240" w:lineRule="auto"/>
        <w:rPr>
          <w:rFonts w:ascii="Arial" w:hAnsi="Arial" w:cs="Arial"/>
          <w:color w:val="000000" w:themeColor="text1"/>
          <w:sz w:val="24"/>
          <w:szCs w:val="24"/>
          <w:u w:val="single"/>
        </w:rPr>
      </w:pPr>
      <w:r w:rsidRPr="00B70F9E">
        <w:rPr>
          <w:rFonts w:ascii="Arial" w:hAnsi="Arial" w:cs="Arial"/>
          <w:color w:val="000000" w:themeColor="text1"/>
          <w:sz w:val="24"/>
          <w:szCs w:val="24"/>
          <w:u w:val="single"/>
        </w:rPr>
        <w:lastRenderedPageBreak/>
        <w:t>Order</w:t>
      </w:r>
    </w:p>
    <w:p w:rsidR="000B16E1" w:rsidRPr="00B70F9E" w:rsidRDefault="000B16E1" w:rsidP="003E3957">
      <w:pPr>
        <w:spacing w:after="0" w:line="240" w:lineRule="auto"/>
        <w:ind w:left="360"/>
        <w:jc w:val="both"/>
        <w:rPr>
          <w:rFonts w:ascii="Arial" w:hAnsi="Arial" w:cs="Arial"/>
          <w:color w:val="000000" w:themeColor="text1"/>
          <w:sz w:val="24"/>
          <w:szCs w:val="24"/>
        </w:rPr>
      </w:pPr>
    </w:p>
    <w:p w:rsidR="000B16E1" w:rsidRDefault="003E3957" w:rsidP="005414A7">
      <w:pPr>
        <w:pStyle w:val="ListParagraph"/>
        <w:numPr>
          <w:ilvl w:val="0"/>
          <w:numId w:val="22"/>
        </w:numPr>
        <w:spacing w:after="0" w:line="480" w:lineRule="auto"/>
        <w:ind w:left="0" w:firstLine="0"/>
        <w:jc w:val="both"/>
        <w:rPr>
          <w:rFonts w:ascii="Arial" w:hAnsi="Arial" w:cs="Arial"/>
          <w:color w:val="000000" w:themeColor="text1"/>
          <w:sz w:val="24"/>
          <w:szCs w:val="24"/>
        </w:rPr>
      </w:pPr>
      <w:r>
        <w:rPr>
          <w:rFonts w:ascii="Arial" w:hAnsi="Arial" w:cs="Arial"/>
          <w:color w:val="000000" w:themeColor="text1"/>
          <w:sz w:val="24"/>
          <w:szCs w:val="24"/>
        </w:rPr>
        <w:t xml:space="preserve">Accordingly, </w:t>
      </w:r>
      <w:r w:rsidR="000B16E1" w:rsidRPr="00B70F9E">
        <w:rPr>
          <w:rFonts w:ascii="Arial" w:hAnsi="Arial" w:cs="Arial"/>
          <w:color w:val="000000" w:themeColor="text1"/>
          <w:sz w:val="24"/>
          <w:szCs w:val="24"/>
        </w:rPr>
        <w:t>the following order</w:t>
      </w:r>
      <w:r>
        <w:rPr>
          <w:rFonts w:ascii="Arial" w:hAnsi="Arial" w:cs="Arial"/>
          <w:color w:val="000000" w:themeColor="text1"/>
          <w:sz w:val="24"/>
          <w:szCs w:val="24"/>
        </w:rPr>
        <w:t xml:space="preserve"> is made</w:t>
      </w:r>
      <w:r w:rsidR="000B16E1" w:rsidRPr="00B70F9E">
        <w:rPr>
          <w:rFonts w:ascii="Arial" w:hAnsi="Arial" w:cs="Arial"/>
          <w:color w:val="000000" w:themeColor="text1"/>
          <w:sz w:val="24"/>
          <w:szCs w:val="24"/>
        </w:rPr>
        <w:t>:</w:t>
      </w:r>
    </w:p>
    <w:p w:rsidR="009211E3" w:rsidRPr="00B70F9E" w:rsidRDefault="009211E3" w:rsidP="00DA2EF9">
      <w:pPr>
        <w:pStyle w:val="ListParagraph"/>
        <w:spacing w:after="0" w:line="360" w:lineRule="auto"/>
        <w:ind w:left="0"/>
        <w:jc w:val="both"/>
        <w:rPr>
          <w:rFonts w:ascii="Arial" w:hAnsi="Arial" w:cs="Arial"/>
          <w:color w:val="000000" w:themeColor="text1"/>
          <w:sz w:val="24"/>
          <w:szCs w:val="24"/>
        </w:rPr>
      </w:pPr>
    </w:p>
    <w:p w:rsidR="000B16E1" w:rsidRPr="00E6740A" w:rsidRDefault="000B16E1" w:rsidP="003E3957">
      <w:pPr>
        <w:widowControl w:val="0"/>
        <w:spacing w:after="0" w:line="480" w:lineRule="auto"/>
        <w:ind w:firstLine="709"/>
        <w:jc w:val="both"/>
        <w:rPr>
          <w:rFonts w:ascii="Arial" w:eastAsia="Times New Roman" w:hAnsi="Arial" w:cs="Arial"/>
          <w:color w:val="000000" w:themeColor="text1"/>
          <w:spacing w:val="-3"/>
          <w:sz w:val="24"/>
          <w:szCs w:val="24"/>
          <w:lang w:val="en-GB"/>
        </w:rPr>
      </w:pPr>
      <w:r w:rsidRPr="00E6740A">
        <w:rPr>
          <w:rFonts w:ascii="Arial" w:eastAsia="Times New Roman" w:hAnsi="Arial" w:cs="Arial"/>
          <w:color w:val="000000" w:themeColor="text1"/>
          <w:spacing w:val="-3"/>
          <w:sz w:val="24"/>
          <w:szCs w:val="24"/>
          <w:lang w:val="en-GB"/>
        </w:rPr>
        <w:t>(a)</w:t>
      </w:r>
      <w:r w:rsidRPr="00E6740A">
        <w:rPr>
          <w:rFonts w:ascii="Arial" w:eastAsia="Times New Roman" w:hAnsi="Arial" w:cs="Arial"/>
          <w:color w:val="000000" w:themeColor="text1"/>
          <w:spacing w:val="-3"/>
          <w:sz w:val="24"/>
          <w:szCs w:val="24"/>
          <w:lang w:val="en-GB"/>
        </w:rPr>
        <w:tab/>
      </w:r>
      <w:bookmarkStart w:id="1" w:name="_Hlk520191707"/>
      <w:r w:rsidRPr="00E6740A">
        <w:rPr>
          <w:rFonts w:ascii="Arial" w:eastAsia="Times New Roman" w:hAnsi="Arial" w:cs="Arial"/>
          <w:color w:val="000000" w:themeColor="text1"/>
          <w:spacing w:val="-3"/>
          <w:sz w:val="24"/>
          <w:szCs w:val="24"/>
          <w:lang w:val="en-GB"/>
        </w:rPr>
        <w:t>The appeal is upheld</w:t>
      </w:r>
      <w:r w:rsidR="006F0552">
        <w:rPr>
          <w:rFonts w:ascii="Arial" w:eastAsia="Times New Roman" w:hAnsi="Arial" w:cs="Arial"/>
          <w:color w:val="000000" w:themeColor="text1"/>
          <w:spacing w:val="-3"/>
          <w:sz w:val="24"/>
          <w:szCs w:val="24"/>
          <w:lang w:val="en-GB"/>
        </w:rPr>
        <w:t xml:space="preserve"> in part</w:t>
      </w:r>
      <w:r>
        <w:rPr>
          <w:rFonts w:ascii="Arial" w:eastAsia="Times New Roman" w:hAnsi="Arial" w:cs="Arial"/>
          <w:color w:val="000000" w:themeColor="text1"/>
          <w:spacing w:val="-3"/>
          <w:sz w:val="24"/>
          <w:szCs w:val="24"/>
          <w:lang w:val="en-GB"/>
        </w:rPr>
        <w:t>.</w:t>
      </w:r>
    </w:p>
    <w:p w:rsidR="000B16E1" w:rsidRPr="00E6740A" w:rsidRDefault="000B16E1" w:rsidP="00DA2EF9">
      <w:pPr>
        <w:widowControl w:val="0"/>
        <w:spacing w:after="0" w:line="360" w:lineRule="auto"/>
        <w:ind w:hanging="720"/>
        <w:jc w:val="both"/>
        <w:rPr>
          <w:rFonts w:ascii="Arial" w:eastAsia="Times New Roman" w:hAnsi="Arial" w:cs="Arial"/>
          <w:color w:val="000000" w:themeColor="text1"/>
          <w:spacing w:val="-3"/>
          <w:sz w:val="24"/>
          <w:szCs w:val="24"/>
          <w:lang w:val="en-GB"/>
        </w:rPr>
      </w:pPr>
    </w:p>
    <w:p w:rsidR="000B16E1" w:rsidRPr="00E6740A" w:rsidRDefault="000B16E1" w:rsidP="000B16E1">
      <w:pPr>
        <w:widowControl w:val="0"/>
        <w:spacing w:after="0" w:line="360" w:lineRule="auto"/>
        <w:ind w:left="1418" w:hanging="709"/>
        <w:jc w:val="both"/>
        <w:rPr>
          <w:rFonts w:ascii="Arial" w:eastAsia="Times New Roman" w:hAnsi="Arial" w:cs="Arial"/>
          <w:color w:val="000000" w:themeColor="text1"/>
          <w:spacing w:val="-3"/>
          <w:sz w:val="24"/>
          <w:szCs w:val="24"/>
          <w:lang w:val="en-GB"/>
        </w:rPr>
      </w:pPr>
      <w:r w:rsidRPr="00E6740A">
        <w:rPr>
          <w:rFonts w:ascii="Arial" w:eastAsia="Times New Roman" w:hAnsi="Arial" w:cs="Arial"/>
          <w:color w:val="000000" w:themeColor="text1"/>
          <w:spacing w:val="-3"/>
          <w:sz w:val="24"/>
          <w:szCs w:val="24"/>
          <w:lang w:val="en-GB"/>
        </w:rPr>
        <w:t>(b)</w:t>
      </w:r>
      <w:r w:rsidRPr="00E6740A">
        <w:rPr>
          <w:rFonts w:ascii="Arial" w:eastAsia="Times New Roman" w:hAnsi="Arial" w:cs="Arial"/>
          <w:color w:val="000000" w:themeColor="text1"/>
          <w:spacing w:val="-3"/>
          <w:sz w:val="24"/>
          <w:szCs w:val="24"/>
          <w:lang w:val="en-GB"/>
        </w:rPr>
        <w:tab/>
        <w:t xml:space="preserve">The portion of the order of the court </w:t>
      </w:r>
      <w:r w:rsidRPr="00E6740A">
        <w:rPr>
          <w:rFonts w:ascii="Arial" w:eastAsia="Times New Roman" w:hAnsi="Arial" w:cs="Arial"/>
          <w:i/>
          <w:color w:val="000000" w:themeColor="text1"/>
          <w:spacing w:val="-3"/>
          <w:sz w:val="24"/>
          <w:szCs w:val="24"/>
          <w:lang w:val="en-GB"/>
        </w:rPr>
        <w:t xml:space="preserve">a quo </w:t>
      </w:r>
      <w:r w:rsidRPr="00E6740A">
        <w:rPr>
          <w:rFonts w:ascii="Arial" w:eastAsia="Times New Roman" w:hAnsi="Arial" w:cs="Arial"/>
          <w:color w:val="000000" w:themeColor="text1"/>
          <w:spacing w:val="-3"/>
          <w:sz w:val="24"/>
          <w:szCs w:val="24"/>
          <w:lang w:val="en-GB"/>
        </w:rPr>
        <w:t>upholding the respondent’s alternative claim based on malicious continuation of</w:t>
      </w:r>
      <w:r>
        <w:rPr>
          <w:rFonts w:ascii="Arial" w:eastAsia="Times New Roman" w:hAnsi="Arial" w:cs="Arial"/>
          <w:color w:val="000000" w:themeColor="text1"/>
          <w:spacing w:val="-3"/>
          <w:sz w:val="24"/>
          <w:szCs w:val="24"/>
          <w:lang w:val="en-GB"/>
        </w:rPr>
        <w:t xml:space="preserve"> the</w:t>
      </w:r>
      <w:r w:rsidRPr="00E6740A">
        <w:rPr>
          <w:rFonts w:ascii="Arial" w:eastAsia="Times New Roman" w:hAnsi="Arial" w:cs="Arial"/>
          <w:color w:val="000000" w:themeColor="text1"/>
          <w:spacing w:val="-3"/>
          <w:sz w:val="24"/>
          <w:szCs w:val="24"/>
          <w:lang w:val="en-GB"/>
        </w:rPr>
        <w:t xml:space="preserve"> prosecution without reasonable and probable cause is set aside.</w:t>
      </w:r>
      <w:r>
        <w:rPr>
          <w:rFonts w:ascii="Arial" w:eastAsia="Times New Roman" w:hAnsi="Arial" w:cs="Arial"/>
          <w:color w:val="000000" w:themeColor="text1"/>
          <w:spacing w:val="-3"/>
          <w:sz w:val="24"/>
          <w:szCs w:val="24"/>
          <w:lang w:val="en-GB"/>
        </w:rPr>
        <w:t xml:space="preserve"> </w:t>
      </w:r>
    </w:p>
    <w:p w:rsidR="000B16E1" w:rsidRPr="00E6740A" w:rsidRDefault="000B16E1" w:rsidP="00DA2EF9">
      <w:pPr>
        <w:widowControl w:val="0"/>
        <w:spacing w:after="0" w:line="360" w:lineRule="auto"/>
        <w:ind w:hanging="720"/>
        <w:jc w:val="both"/>
        <w:rPr>
          <w:rFonts w:ascii="Arial" w:eastAsia="Times New Roman" w:hAnsi="Arial" w:cs="Arial"/>
          <w:color w:val="000000" w:themeColor="text1"/>
          <w:spacing w:val="-3"/>
          <w:sz w:val="24"/>
          <w:szCs w:val="24"/>
          <w:lang w:val="en-GB"/>
        </w:rPr>
      </w:pPr>
    </w:p>
    <w:p w:rsidR="000B16E1" w:rsidRDefault="000B16E1" w:rsidP="000B16E1">
      <w:pPr>
        <w:widowControl w:val="0"/>
        <w:spacing w:after="0" w:line="360" w:lineRule="auto"/>
        <w:ind w:left="1418" w:hanging="709"/>
        <w:jc w:val="both"/>
        <w:rPr>
          <w:rFonts w:ascii="Arial" w:eastAsia="Times New Roman" w:hAnsi="Arial" w:cs="Arial"/>
          <w:color w:val="000000" w:themeColor="text1"/>
          <w:spacing w:val="-3"/>
          <w:sz w:val="24"/>
          <w:szCs w:val="24"/>
          <w:lang w:val="en-GB"/>
        </w:rPr>
      </w:pPr>
      <w:r w:rsidRPr="00E6740A">
        <w:rPr>
          <w:rFonts w:ascii="Arial" w:eastAsia="Times New Roman" w:hAnsi="Arial" w:cs="Arial"/>
          <w:color w:val="000000" w:themeColor="text1"/>
          <w:spacing w:val="-3"/>
          <w:sz w:val="24"/>
          <w:szCs w:val="24"/>
          <w:lang w:val="en-GB"/>
        </w:rPr>
        <w:t xml:space="preserve">(c) </w:t>
      </w:r>
      <w:r w:rsidRPr="00E6740A">
        <w:rPr>
          <w:rFonts w:ascii="Arial" w:eastAsia="Times New Roman" w:hAnsi="Arial" w:cs="Arial"/>
          <w:color w:val="000000" w:themeColor="text1"/>
          <w:spacing w:val="-3"/>
          <w:sz w:val="24"/>
          <w:szCs w:val="24"/>
          <w:lang w:val="en-GB"/>
        </w:rPr>
        <w:tab/>
      </w:r>
      <w:r>
        <w:rPr>
          <w:rFonts w:ascii="Arial" w:eastAsia="Times New Roman" w:hAnsi="Arial" w:cs="Arial"/>
          <w:color w:val="000000" w:themeColor="text1"/>
          <w:spacing w:val="-3"/>
          <w:sz w:val="24"/>
          <w:szCs w:val="24"/>
          <w:lang w:val="en-GB"/>
        </w:rPr>
        <w:t xml:space="preserve">The question of </w:t>
      </w:r>
      <w:r w:rsidR="003E3957">
        <w:rPr>
          <w:rFonts w:ascii="Arial" w:eastAsia="Times New Roman" w:hAnsi="Arial" w:cs="Arial"/>
          <w:color w:val="000000" w:themeColor="text1"/>
          <w:spacing w:val="-3"/>
          <w:sz w:val="24"/>
          <w:szCs w:val="24"/>
          <w:lang w:val="en-GB"/>
        </w:rPr>
        <w:t xml:space="preserve">whether or not the respondent should be awarded </w:t>
      </w:r>
      <w:r>
        <w:rPr>
          <w:rFonts w:ascii="Arial" w:eastAsia="Times New Roman" w:hAnsi="Arial" w:cs="Arial"/>
          <w:color w:val="000000" w:themeColor="text1"/>
          <w:spacing w:val="-3"/>
          <w:sz w:val="24"/>
          <w:szCs w:val="24"/>
          <w:lang w:val="en-GB"/>
        </w:rPr>
        <w:t>constitutional damages is referred back to the High Court for determination</w:t>
      </w:r>
      <w:r w:rsidR="003E3957">
        <w:rPr>
          <w:rFonts w:ascii="Arial" w:eastAsia="Times New Roman" w:hAnsi="Arial" w:cs="Arial"/>
          <w:color w:val="000000" w:themeColor="text1"/>
          <w:spacing w:val="-3"/>
          <w:sz w:val="24"/>
          <w:szCs w:val="24"/>
          <w:lang w:val="en-GB"/>
        </w:rPr>
        <w:t xml:space="preserve"> in accordance with case management rules before any </w:t>
      </w:r>
      <w:r w:rsidR="006F0552">
        <w:rPr>
          <w:rFonts w:ascii="Arial" w:eastAsia="Times New Roman" w:hAnsi="Arial" w:cs="Arial"/>
          <w:color w:val="000000" w:themeColor="text1"/>
          <w:spacing w:val="-3"/>
          <w:sz w:val="24"/>
          <w:szCs w:val="24"/>
          <w:lang w:val="en-GB"/>
        </w:rPr>
        <w:t>j</w:t>
      </w:r>
      <w:r w:rsidR="003E3957">
        <w:rPr>
          <w:rFonts w:ascii="Arial" w:eastAsia="Times New Roman" w:hAnsi="Arial" w:cs="Arial"/>
          <w:color w:val="000000" w:themeColor="text1"/>
          <w:spacing w:val="-3"/>
          <w:sz w:val="24"/>
          <w:szCs w:val="24"/>
          <w:lang w:val="en-GB"/>
        </w:rPr>
        <w:t xml:space="preserve">udge in the event that the learned </w:t>
      </w:r>
      <w:r w:rsidR="006F0552">
        <w:rPr>
          <w:rFonts w:ascii="Arial" w:eastAsia="Times New Roman" w:hAnsi="Arial" w:cs="Arial"/>
          <w:color w:val="000000" w:themeColor="text1"/>
          <w:spacing w:val="-3"/>
          <w:sz w:val="24"/>
          <w:szCs w:val="24"/>
          <w:lang w:val="en-GB"/>
        </w:rPr>
        <w:t>j</w:t>
      </w:r>
      <w:r w:rsidR="003E3957">
        <w:rPr>
          <w:rFonts w:ascii="Arial" w:eastAsia="Times New Roman" w:hAnsi="Arial" w:cs="Arial"/>
          <w:color w:val="000000" w:themeColor="text1"/>
          <w:spacing w:val="-3"/>
          <w:sz w:val="24"/>
          <w:szCs w:val="24"/>
          <w:lang w:val="en-GB"/>
        </w:rPr>
        <w:t>udge who presided over the matter in the High Court is no</w:t>
      </w:r>
      <w:r w:rsidR="006F0552">
        <w:rPr>
          <w:rFonts w:ascii="Arial" w:eastAsia="Times New Roman" w:hAnsi="Arial" w:cs="Arial"/>
          <w:color w:val="000000" w:themeColor="text1"/>
          <w:spacing w:val="-3"/>
          <w:sz w:val="24"/>
          <w:szCs w:val="24"/>
          <w:lang w:val="en-GB"/>
        </w:rPr>
        <w:t xml:space="preserve"> longer </w:t>
      </w:r>
      <w:r w:rsidR="003E3957">
        <w:rPr>
          <w:rFonts w:ascii="Arial" w:eastAsia="Times New Roman" w:hAnsi="Arial" w:cs="Arial"/>
          <w:color w:val="000000" w:themeColor="text1"/>
          <w:spacing w:val="-3"/>
          <w:sz w:val="24"/>
          <w:szCs w:val="24"/>
          <w:lang w:val="en-GB"/>
        </w:rPr>
        <w:t>available</w:t>
      </w:r>
      <w:r>
        <w:rPr>
          <w:rFonts w:ascii="Arial" w:eastAsia="Times New Roman" w:hAnsi="Arial" w:cs="Arial"/>
          <w:color w:val="000000" w:themeColor="text1"/>
          <w:spacing w:val="-3"/>
          <w:sz w:val="24"/>
          <w:szCs w:val="24"/>
          <w:lang w:val="en-GB"/>
        </w:rPr>
        <w:t>.</w:t>
      </w:r>
    </w:p>
    <w:p w:rsidR="000B16E1" w:rsidRDefault="000B16E1" w:rsidP="00DA2EF9">
      <w:pPr>
        <w:widowControl w:val="0"/>
        <w:spacing w:after="0" w:line="360" w:lineRule="auto"/>
        <w:ind w:hanging="11"/>
        <w:jc w:val="both"/>
        <w:rPr>
          <w:rFonts w:ascii="Arial" w:eastAsia="Times New Roman" w:hAnsi="Arial" w:cs="Arial"/>
          <w:color w:val="000000" w:themeColor="text1"/>
          <w:spacing w:val="-3"/>
          <w:sz w:val="24"/>
          <w:szCs w:val="24"/>
          <w:lang w:val="en-GB"/>
        </w:rPr>
      </w:pPr>
    </w:p>
    <w:p w:rsidR="000B16E1" w:rsidRPr="00E6740A" w:rsidRDefault="000B16E1" w:rsidP="000B16E1">
      <w:pPr>
        <w:widowControl w:val="0"/>
        <w:spacing w:after="0" w:line="360" w:lineRule="auto"/>
        <w:ind w:left="1418" w:hanging="709"/>
        <w:jc w:val="both"/>
        <w:rPr>
          <w:rFonts w:ascii="Arial" w:eastAsia="Times New Roman" w:hAnsi="Arial" w:cs="Arial"/>
          <w:color w:val="000000" w:themeColor="text1"/>
          <w:spacing w:val="-3"/>
          <w:sz w:val="24"/>
          <w:szCs w:val="24"/>
          <w:lang w:val="en-GB"/>
        </w:rPr>
      </w:pPr>
      <w:r>
        <w:rPr>
          <w:rFonts w:ascii="Arial" w:eastAsia="Times New Roman" w:hAnsi="Arial" w:cs="Arial"/>
          <w:color w:val="000000" w:themeColor="text1"/>
          <w:spacing w:val="-3"/>
          <w:sz w:val="24"/>
          <w:szCs w:val="24"/>
          <w:lang w:val="en-GB"/>
        </w:rPr>
        <w:t>(d)</w:t>
      </w:r>
      <w:r>
        <w:rPr>
          <w:rFonts w:ascii="Arial" w:eastAsia="Times New Roman" w:hAnsi="Arial" w:cs="Arial"/>
          <w:color w:val="000000" w:themeColor="text1"/>
          <w:spacing w:val="-3"/>
          <w:sz w:val="24"/>
          <w:szCs w:val="24"/>
          <w:lang w:val="en-GB"/>
        </w:rPr>
        <w:tab/>
      </w:r>
      <w:r w:rsidRPr="00E6740A">
        <w:rPr>
          <w:rFonts w:ascii="Arial" w:eastAsia="Times New Roman" w:hAnsi="Arial" w:cs="Arial"/>
          <w:color w:val="000000" w:themeColor="text1"/>
          <w:spacing w:val="-3"/>
          <w:sz w:val="24"/>
          <w:szCs w:val="24"/>
          <w:lang w:val="en-GB"/>
        </w:rPr>
        <w:t>No order as to costs is made</w:t>
      </w:r>
      <w:r>
        <w:rPr>
          <w:rFonts w:ascii="Arial" w:eastAsia="Times New Roman" w:hAnsi="Arial" w:cs="Arial"/>
          <w:color w:val="000000" w:themeColor="text1"/>
          <w:spacing w:val="-3"/>
          <w:sz w:val="24"/>
          <w:szCs w:val="24"/>
          <w:lang w:val="en-GB"/>
        </w:rPr>
        <w:t xml:space="preserve">. </w:t>
      </w:r>
    </w:p>
    <w:bookmarkEnd w:id="1"/>
    <w:p w:rsidR="000B16E1" w:rsidRPr="00E6740A" w:rsidRDefault="000B16E1" w:rsidP="000B16E1">
      <w:pPr>
        <w:spacing w:after="0" w:line="240" w:lineRule="auto"/>
        <w:ind w:left="1276" w:hanging="567"/>
        <w:contextualSpacing/>
        <w:jc w:val="both"/>
        <w:rPr>
          <w:rFonts w:ascii="Arial" w:eastAsia="Cambria" w:hAnsi="Arial" w:cs="Arial"/>
          <w:b/>
          <w:color w:val="000000" w:themeColor="text1"/>
          <w:sz w:val="24"/>
          <w:szCs w:val="24"/>
          <w:lang w:val="en-GB"/>
        </w:rPr>
      </w:pPr>
    </w:p>
    <w:p w:rsidR="00CC2907" w:rsidRDefault="00CC2907" w:rsidP="000B16E1">
      <w:pPr>
        <w:spacing w:after="0" w:line="240" w:lineRule="auto"/>
        <w:contextualSpacing/>
        <w:jc w:val="both"/>
        <w:rPr>
          <w:rFonts w:ascii="Arial" w:eastAsia="Cambria" w:hAnsi="Arial" w:cs="Arial"/>
          <w:b/>
          <w:color w:val="000000" w:themeColor="text1"/>
          <w:sz w:val="24"/>
          <w:szCs w:val="24"/>
          <w:lang w:val="en-GB"/>
        </w:rPr>
      </w:pPr>
    </w:p>
    <w:p w:rsidR="00CC2907" w:rsidRDefault="00CC2907" w:rsidP="000B16E1">
      <w:pPr>
        <w:spacing w:after="0" w:line="240" w:lineRule="auto"/>
        <w:contextualSpacing/>
        <w:jc w:val="both"/>
        <w:rPr>
          <w:rFonts w:ascii="Arial" w:eastAsia="Cambria" w:hAnsi="Arial" w:cs="Arial"/>
          <w:b/>
          <w:color w:val="000000" w:themeColor="text1"/>
          <w:sz w:val="24"/>
          <w:szCs w:val="24"/>
          <w:lang w:val="en-GB"/>
        </w:rPr>
      </w:pPr>
    </w:p>
    <w:p w:rsidR="00DA2EF9" w:rsidRDefault="00DA2EF9" w:rsidP="000B16E1">
      <w:pPr>
        <w:spacing w:after="0" w:line="240" w:lineRule="auto"/>
        <w:contextualSpacing/>
        <w:jc w:val="both"/>
        <w:rPr>
          <w:rFonts w:ascii="Arial" w:eastAsia="Cambria" w:hAnsi="Arial" w:cs="Arial"/>
          <w:b/>
          <w:color w:val="000000" w:themeColor="text1"/>
          <w:sz w:val="24"/>
          <w:szCs w:val="24"/>
          <w:lang w:val="en-GB"/>
        </w:rPr>
      </w:pPr>
    </w:p>
    <w:p w:rsidR="000B16E1" w:rsidRPr="009211E3" w:rsidRDefault="000B16E1" w:rsidP="000B16E1">
      <w:pPr>
        <w:spacing w:after="0" w:line="240" w:lineRule="auto"/>
        <w:contextualSpacing/>
        <w:jc w:val="both"/>
        <w:rPr>
          <w:rFonts w:ascii="Arial" w:eastAsia="Cambria" w:hAnsi="Arial" w:cs="Arial"/>
          <w:color w:val="000000" w:themeColor="text1"/>
          <w:sz w:val="24"/>
          <w:szCs w:val="24"/>
          <w:lang w:val="en-GB"/>
        </w:rPr>
      </w:pPr>
      <w:r w:rsidRPr="009211E3">
        <w:rPr>
          <w:rFonts w:ascii="Arial" w:eastAsia="Cambria" w:hAnsi="Arial" w:cs="Arial"/>
          <w:color w:val="000000" w:themeColor="text1"/>
          <w:sz w:val="24"/>
          <w:szCs w:val="24"/>
          <w:lang w:val="en-GB"/>
        </w:rPr>
        <w:t>_____________</w:t>
      </w:r>
      <w:r w:rsidR="003002F9">
        <w:rPr>
          <w:rFonts w:ascii="Arial" w:eastAsia="Cambria" w:hAnsi="Arial" w:cs="Arial"/>
          <w:color w:val="000000" w:themeColor="text1"/>
          <w:sz w:val="24"/>
          <w:szCs w:val="24"/>
          <w:lang w:val="en-GB"/>
        </w:rPr>
        <w:softHyphen/>
      </w:r>
      <w:r w:rsidR="003002F9">
        <w:rPr>
          <w:rFonts w:ascii="Arial" w:eastAsia="Cambria" w:hAnsi="Arial" w:cs="Arial"/>
          <w:color w:val="000000" w:themeColor="text1"/>
          <w:sz w:val="24"/>
          <w:szCs w:val="24"/>
          <w:lang w:val="en-GB"/>
        </w:rPr>
        <w:softHyphen/>
      </w:r>
      <w:r w:rsidR="003002F9">
        <w:rPr>
          <w:rFonts w:ascii="Arial" w:eastAsia="Cambria" w:hAnsi="Arial" w:cs="Arial"/>
          <w:color w:val="000000" w:themeColor="text1"/>
          <w:sz w:val="24"/>
          <w:szCs w:val="24"/>
          <w:lang w:val="en-GB"/>
        </w:rPr>
        <w:softHyphen/>
      </w:r>
      <w:r w:rsidR="003002F9">
        <w:rPr>
          <w:rFonts w:ascii="Arial" w:eastAsia="Cambria" w:hAnsi="Arial" w:cs="Arial"/>
          <w:color w:val="000000" w:themeColor="text1"/>
          <w:sz w:val="24"/>
          <w:szCs w:val="24"/>
          <w:lang w:val="en-GB"/>
        </w:rPr>
        <w:softHyphen/>
      </w:r>
      <w:r w:rsidR="003002F9">
        <w:rPr>
          <w:rFonts w:ascii="Arial" w:eastAsia="Cambria" w:hAnsi="Arial" w:cs="Arial"/>
          <w:color w:val="000000" w:themeColor="text1"/>
          <w:sz w:val="24"/>
          <w:szCs w:val="24"/>
          <w:lang w:val="en-GB"/>
        </w:rPr>
        <w:softHyphen/>
      </w:r>
      <w:r w:rsidR="003002F9">
        <w:rPr>
          <w:rFonts w:ascii="Arial" w:eastAsia="Cambria" w:hAnsi="Arial" w:cs="Arial"/>
          <w:color w:val="000000" w:themeColor="text1"/>
          <w:sz w:val="24"/>
          <w:szCs w:val="24"/>
          <w:lang w:val="en-GB"/>
        </w:rPr>
        <w:softHyphen/>
      </w:r>
      <w:r w:rsidR="003002F9">
        <w:rPr>
          <w:rFonts w:ascii="Arial" w:eastAsia="Cambria" w:hAnsi="Arial" w:cs="Arial"/>
          <w:color w:val="000000" w:themeColor="text1"/>
          <w:sz w:val="24"/>
          <w:szCs w:val="24"/>
          <w:lang w:val="en-GB"/>
        </w:rPr>
        <w:softHyphen/>
      </w:r>
      <w:r w:rsidR="003002F9">
        <w:rPr>
          <w:rFonts w:ascii="Arial" w:eastAsia="Cambria" w:hAnsi="Arial" w:cs="Arial"/>
          <w:color w:val="000000" w:themeColor="text1"/>
          <w:sz w:val="24"/>
          <w:szCs w:val="24"/>
          <w:lang w:val="en-GB"/>
        </w:rPr>
        <w:softHyphen/>
      </w:r>
      <w:r w:rsidR="003002F9">
        <w:rPr>
          <w:rFonts w:ascii="Arial" w:eastAsia="Cambria" w:hAnsi="Arial" w:cs="Arial"/>
          <w:color w:val="000000" w:themeColor="text1"/>
          <w:sz w:val="24"/>
          <w:szCs w:val="24"/>
          <w:lang w:val="en-GB"/>
        </w:rPr>
        <w:softHyphen/>
      </w:r>
      <w:r w:rsidR="003002F9">
        <w:rPr>
          <w:rFonts w:ascii="Arial" w:eastAsia="Cambria" w:hAnsi="Arial" w:cs="Arial"/>
          <w:color w:val="000000" w:themeColor="text1"/>
          <w:sz w:val="24"/>
          <w:szCs w:val="24"/>
          <w:lang w:val="en-GB"/>
        </w:rPr>
        <w:softHyphen/>
      </w:r>
      <w:r w:rsidR="003002F9">
        <w:rPr>
          <w:rFonts w:ascii="Arial" w:eastAsia="Cambria" w:hAnsi="Arial" w:cs="Arial"/>
          <w:color w:val="000000" w:themeColor="text1"/>
          <w:sz w:val="24"/>
          <w:szCs w:val="24"/>
          <w:lang w:val="en-GB"/>
        </w:rPr>
        <w:softHyphen/>
        <w:t>______</w:t>
      </w:r>
      <w:r w:rsidR="00CC2907">
        <w:rPr>
          <w:rFonts w:ascii="Arial" w:eastAsia="Cambria" w:hAnsi="Arial" w:cs="Arial"/>
          <w:color w:val="000000" w:themeColor="text1"/>
          <w:sz w:val="24"/>
          <w:szCs w:val="24"/>
          <w:lang w:val="en-GB"/>
        </w:rPr>
        <w:t>_</w:t>
      </w:r>
    </w:p>
    <w:p w:rsidR="000B16E1" w:rsidRPr="00E6740A" w:rsidRDefault="000B16E1" w:rsidP="000B16E1">
      <w:pPr>
        <w:spacing w:after="0" w:line="240" w:lineRule="auto"/>
        <w:contextualSpacing/>
        <w:jc w:val="both"/>
        <w:rPr>
          <w:rFonts w:ascii="Arial" w:eastAsia="Cambria" w:hAnsi="Arial" w:cs="Arial"/>
          <w:b/>
          <w:color w:val="000000" w:themeColor="text1"/>
          <w:sz w:val="24"/>
          <w:szCs w:val="24"/>
          <w:lang w:val="en-GB"/>
        </w:rPr>
      </w:pPr>
      <w:r w:rsidRPr="00E6740A">
        <w:rPr>
          <w:rFonts w:ascii="Arial" w:eastAsia="Cambria" w:hAnsi="Arial" w:cs="Arial"/>
          <w:b/>
          <w:color w:val="000000" w:themeColor="text1"/>
          <w:sz w:val="24"/>
          <w:szCs w:val="24"/>
          <w:lang w:val="en-GB"/>
        </w:rPr>
        <w:t>SHIVUTE CJ</w:t>
      </w:r>
    </w:p>
    <w:p w:rsidR="000B16E1" w:rsidRDefault="000B16E1" w:rsidP="000B16E1">
      <w:pPr>
        <w:spacing w:after="0" w:line="240" w:lineRule="auto"/>
        <w:ind w:left="1276" w:hanging="567"/>
        <w:contextualSpacing/>
        <w:jc w:val="both"/>
        <w:rPr>
          <w:rFonts w:ascii="Arial" w:eastAsia="Cambria" w:hAnsi="Arial" w:cs="Arial"/>
          <w:b/>
          <w:color w:val="000000" w:themeColor="text1"/>
          <w:sz w:val="24"/>
          <w:szCs w:val="24"/>
          <w:lang w:val="en-GB"/>
        </w:rPr>
      </w:pPr>
    </w:p>
    <w:p w:rsidR="00CC2907" w:rsidRDefault="00CC2907" w:rsidP="00CC2907">
      <w:pPr>
        <w:spacing w:after="0" w:line="240" w:lineRule="auto"/>
        <w:ind w:left="1276" w:hanging="567"/>
        <w:contextualSpacing/>
        <w:jc w:val="both"/>
        <w:rPr>
          <w:rFonts w:ascii="Arial" w:eastAsia="Cambria" w:hAnsi="Arial" w:cs="Arial"/>
          <w:b/>
          <w:color w:val="000000" w:themeColor="text1"/>
          <w:sz w:val="24"/>
          <w:szCs w:val="24"/>
          <w:lang w:val="en-GB"/>
        </w:rPr>
      </w:pPr>
    </w:p>
    <w:p w:rsidR="0024569A" w:rsidRDefault="0024569A" w:rsidP="000B16E1">
      <w:pPr>
        <w:spacing w:after="0" w:line="240" w:lineRule="auto"/>
        <w:contextualSpacing/>
        <w:jc w:val="both"/>
        <w:rPr>
          <w:rFonts w:ascii="Arial" w:eastAsia="Cambria" w:hAnsi="Arial" w:cs="Arial"/>
          <w:color w:val="000000" w:themeColor="text1"/>
          <w:sz w:val="24"/>
          <w:szCs w:val="24"/>
          <w:lang w:val="en-GB"/>
        </w:rPr>
      </w:pPr>
    </w:p>
    <w:p w:rsidR="00CC2907" w:rsidRDefault="00CC2907" w:rsidP="000B16E1">
      <w:pPr>
        <w:spacing w:after="0" w:line="240" w:lineRule="auto"/>
        <w:contextualSpacing/>
        <w:jc w:val="both"/>
        <w:rPr>
          <w:rFonts w:ascii="Arial" w:eastAsia="Cambria" w:hAnsi="Arial" w:cs="Arial"/>
          <w:color w:val="000000" w:themeColor="text1"/>
          <w:sz w:val="24"/>
          <w:szCs w:val="24"/>
          <w:lang w:val="en-GB"/>
        </w:rPr>
      </w:pPr>
    </w:p>
    <w:p w:rsidR="00475C09" w:rsidRDefault="00475C09" w:rsidP="000B16E1">
      <w:pPr>
        <w:spacing w:after="0" w:line="240" w:lineRule="auto"/>
        <w:contextualSpacing/>
        <w:jc w:val="both"/>
        <w:rPr>
          <w:rFonts w:ascii="Arial" w:eastAsia="Cambria" w:hAnsi="Arial" w:cs="Arial"/>
          <w:color w:val="000000" w:themeColor="text1"/>
          <w:sz w:val="24"/>
          <w:szCs w:val="24"/>
          <w:lang w:val="en-GB"/>
        </w:rPr>
      </w:pPr>
    </w:p>
    <w:p w:rsidR="00CC2907" w:rsidRDefault="00CC2907" w:rsidP="000B16E1">
      <w:pPr>
        <w:spacing w:after="0" w:line="240" w:lineRule="auto"/>
        <w:contextualSpacing/>
        <w:jc w:val="both"/>
        <w:rPr>
          <w:rFonts w:ascii="Arial" w:eastAsia="Cambria" w:hAnsi="Arial" w:cs="Arial"/>
          <w:color w:val="000000" w:themeColor="text1"/>
          <w:sz w:val="24"/>
          <w:szCs w:val="24"/>
          <w:lang w:val="en-GB"/>
        </w:rPr>
      </w:pPr>
      <w:r>
        <w:rPr>
          <w:rFonts w:ascii="Arial" w:eastAsia="Cambria" w:hAnsi="Arial" w:cs="Arial"/>
          <w:color w:val="000000" w:themeColor="text1"/>
          <w:sz w:val="24"/>
          <w:szCs w:val="24"/>
          <w:lang w:val="en-GB"/>
        </w:rPr>
        <w:t>____________________</w:t>
      </w:r>
    </w:p>
    <w:p w:rsidR="00CC2907" w:rsidRPr="00CC2907" w:rsidRDefault="00CC2907" w:rsidP="000B16E1">
      <w:pPr>
        <w:spacing w:after="0" w:line="240" w:lineRule="auto"/>
        <w:contextualSpacing/>
        <w:jc w:val="both"/>
        <w:rPr>
          <w:rFonts w:ascii="Arial" w:eastAsia="Cambria" w:hAnsi="Arial" w:cs="Arial"/>
          <w:b/>
          <w:color w:val="000000" w:themeColor="text1"/>
          <w:sz w:val="24"/>
          <w:szCs w:val="24"/>
          <w:lang w:val="en-GB"/>
        </w:rPr>
      </w:pPr>
      <w:r w:rsidRPr="00CC2907">
        <w:rPr>
          <w:rFonts w:ascii="Arial" w:eastAsia="Cambria" w:hAnsi="Arial" w:cs="Arial"/>
          <w:b/>
          <w:color w:val="000000" w:themeColor="text1"/>
          <w:sz w:val="24"/>
          <w:szCs w:val="24"/>
          <w:lang w:val="en-GB"/>
        </w:rPr>
        <w:t>CHOMBA AJA</w:t>
      </w:r>
    </w:p>
    <w:p w:rsidR="00C22006" w:rsidRDefault="00C22006" w:rsidP="00CC2907">
      <w:pPr>
        <w:spacing w:after="0" w:line="240" w:lineRule="auto"/>
        <w:contextualSpacing/>
        <w:jc w:val="both"/>
        <w:rPr>
          <w:rFonts w:ascii="Arial" w:eastAsia="Cambria" w:hAnsi="Arial" w:cs="Arial"/>
          <w:color w:val="000000" w:themeColor="text1"/>
          <w:sz w:val="24"/>
          <w:szCs w:val="24"/>
          <w:lang w:val="en-GB"/>
        </w:rPr>
      </w:pPr>
    </w:p>
    <w:p w:rsidR="00CC2907" w:rsidRDefault="00CC2907" w:rsidP="00CC2907">
      <w:pPr>
        <w:spacing w:after="0" w:line="240" w:lineRule="auto"/>
        <w:contextualSpacing/>
        <w:jc w:val="both"/>
        <w:rPr>
          <w:rFonts w:ascii="Arial" w:eastAsia="Cambria" w:hAnsi="Arial" w:cs="Arial"/>
          <w:color w:val="000000" w:themeColor="text1"/>
          <w:sz w:val="24"/>
          <w:szCs w:val="24"/>
          <w:lang w:val="en-GB"/>
        </w:rPr>
      </w:pPr>
    </w:p>
    <w:p w:rsidR="00CC2907" w:rsidRDefault="00CC2907" w:rsidP="00CC2907">
      <w:pPr>
        <w:spacing w:after="0" w:line="240" w:lineRule="auto"/>
        <w:contextualSpacing/>
        <w:jc w:val="both"/>
        <w:rPr>
          <w:rFonts w:ascii="Arial" w:eastAsia="Cambria" w:hAnsi="Arial" w:cs="Arial"/>
          <w:color w:val="000000" w:themeColor="text1"/>
          <w:sz w:val="24"/>
          <w:szCs w:val="24"/>
          <w:lang w:val="en-GB"/>
        </w:rPr>
      </w:pPr>
    </w:p>
    <w:p w:rsidR="00CC2907" w:rsidRDefault="00CC2907" w:rsidP="00CC2907">
      <w:pPr>
        <w:spacing w:after="0" w:line="240" w:lineRule="auto"/>
        <w:contextualSpacing/>
        <w:jc w:val="both"/>
        <w:rPr>
          <w:rFonts w:ascii="Arial" w:eastAsia="Cambria" w:hAnsi="Arial" w:cs="Arial"/>
          <w:color w:val="000000" w:themeColor="text1"/>
          <w:sz w:val="24"/>
          <w:szCs w:val="24"/>
          <w:lang w:val="en-GB"/>
        </w:rPr>
      </w:pPr>
    </w:p>
    <w:p w:rsidR="000B16E1" w:rsidRPr="009211E3" w:rsidRDefault="000B16E1" w:rsidP="00CC2907">
      <w:pPr>
        <w:spacing w:after="0" w:line="240" w:lineRule="auto"/>
        <w:contextualSpacing/>
        <w:jc w:val="both"/>
        <w:rPr>
          <w:rFonts w:ascii="Arial" w:eastAsia="Cambria" w:hAnsi="Arial" w:cs="Arial"/>
          <w:color w:val="000000" w:themeColor="text1"/>
          <w:sz w:val="24"/>
          <w:szCs w:val="24"/>
          <w:lang w:val="en-GB"/>
        </w:rPr>
      </w:pPr>
      <w:r w:rsidRPr="009211E3">
        <w:rPr>
          <w:rFonts w:ascii="Arial" w:eastAsia="Cambria" w:hAnsi="Arial" w:cs="Arial"/>
          <w:color w:val="000000" w:themeColor="text1"/>
          <w:sz w:val="24"/>
          <w:szCs w:val="24"/>
          <w:lang w:val="en-GB"/>
        </w:rPr>
        <w:t>_________</w:t>
      </w:r>
      <w:r w:rsidR="003002F9">
        <w:rPr>
          <w:rFonts w:ascii="Arial" w:eastAsia="Cambria" w:hAnsi="Arial" w:cs="Arial"/>
          <w:color w:val="000000" w:themeColor="text1"/>
          <w:sz w:val="24"/>
          <w:szCs w:val="24"/>
          <w:lang w:val="en-GB"/>
        </w:rPr>
        <w:t>______</w:t>
      </w:r>
      <w:r w:rsidR="0024569A">
        <w:rPr>
          <w:rFonts w:ascii="Arial" w:eastAsia="Cambria" w:hAnsi="Arial" w:cs="Arial"/>
          <w:color w:val="000000" w:themeColor="text1"/>
          <w:sz w:val="24"/>
          <w:szCs w:val="24"/>
          <w:lang w:val="en-GB"/>
        </w:rPr>
        <w:t>____</w:t>
      </w:r>
      <w:r w:rsidR="00CC2907">
        <w:rPr>
          <w:rFonts w:ascii="Arial" w:eastAsia="Cambria" w:hAnsi="Arial" w:cs="Arial"/>
          <w:color w:val="000000" w:themeColor="text1"/>
          <w:sz w:val="24"/>
          <w:szCs w:val="24"/>
          <w:lang w:val="en-GB"/>
        </w:rPr>
        <w:t>_</w:t>
      </w:r>
    </w:p>
    <w:p w:rsidR="000B16E1" w:rsidRDefault="00881BE4" w:rsidP="000B16E1">
      <w:pPr>
        <w:spacing w:after="0" w:line="240" w:lineRule="auto"/>
        <w:contextualSpacing/>
        <w:jc w:val="both"/>
        <w:rPr>
          <w:rFonts w:ascii="Arial" w:eastAsia="Cambria" w:hAnsi="Arial" w:cs="Arial"/>
          <w:b/>
          <w:color w:val="000000" w:themeColor="text1"/>
          <w:sz w:val="24"/>
          <w:szCs w:val="24"/>
          <w:lang w:val="en-GB"/>
        </w:rPr>
      </w:pPr>
      <w:r>
        <w:rPr>
          <w:rFonts w:ascii="Arial" w:eastAsia="Cambria" w:hAnsi="Arial" w:cs="Arial"/>
          <w:b/>
          <w:color w:val="000000" w:themeColor="text1"/>
          <w:sz w:val="24"/>
          <w:szCs w:val="24"/>
          <w:lang w:val="en-GB"/>
        </w:rPr>
        <w:t>MOKGORO</w:t>
      </w:r>
      <w:r w:rsidR="000B16E1" w:rsidRPr="00E6740A">
        <w:rPr>
          <w:rFonts w:ascii="Arial" w:eastAsia="Cambria" w:hAnsi="Arial" w:cs="Arial"/>
          <w:b/>
          <w:color w:val="000000" w:themeColor="text1"/>
          <w:sz w:val="24"/>
          <w:szCs w:val="24"/>
          <w:lang w:val="en-GB"/>
        </w:rPr>
        <w:t xml:space="preserve"> AJA</w:t>
      </w:r>
    </w:p>
    <w:p w:rsidR="00CC2907" w:rsidRDefault="00CC2907" w:rsidP="000B16E1">
      <w:pPr>
        <w:spacing w:after="0" w:line="240" w:lineRule="auto"/>
        <w:contextualSpacing/>
        <w:jc w:val="both"/>
        <w:rPr>
          <w:rFonts w:ascii="Arial" w:eastAsia="Cambria" w:hAnsi="Arial" w:cs="Arial"/>
          <w:b/>
          <w:color w:val="000000" w:themeColor="text1"/>
          <w:sz w:val="24"/>
          <w:szCs w:val="24"/>
          <w:lang w:val="en-GB"/>
        </w:rPr>
      </w:pPr>
    </w:p>
    <w:p w:rsidR="000B16E1" w:rsidRDefault="000B16E1" w:rsidP="000B16E1">
      <w:pPr>
        <w:spacing w:after="0" w:line="480" w:lineRule="auto"/>
        <w:jc w:val="both"/>
        <w:rPr>
          <w:rFonts w:ascii="Arial" w:hAnsi="Arial" w:cs="Arial"/>
          <w:color w:val="000000" w:themeColor="text1"/>
          <w:sz w:val="24"/>
          <w:szCs w:val="24"/>
          <w:lang w:val="en-GB"/>
        </w:rPr>
      </w:pPr>
      <w:r w:rsidRPr="00E6740A">
        <w:rPr>
          <w:rFonts w:ascii="Arial" w:hAnsi="Arial" w:cs="Arial"/>
          <w:color w:val="000000" w:themeColor="text1"/>
          <w:sz w:val="24"/>
          <w:szCs w:val="24"/>
          <w:lang w:val="en-GB"/>
        </w:rPr>
        <w:lastRenderedPageBreak/>
        <w:t>APPEARANCES</w:t>
      </w:r>
      <w:r>
        <w:rPr>
          <w:rFonts w:ascii="Arial" w:hAnsi="Arial" w:cs="Arial"/>
          <w:color w:val="000000" w:themeColor="text1"/>
          <w:sz w:val="24"/>
          <w:szCs w:val="24"/>
          <w:lang w:val="en-GB"/>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4"/>
        <w:gridCol w:w="4387"/>
      </w:tblGrid>
      <w:tr w:rsidR="000B16E1" w:rsidRPr="00E6740A" w:rsidTr="00DC1B8B">
        <w:tc>
          <w:tcPr>
            <w:tcW w:w="3784" w:type="dxa"/>
          </w:tcPr>
          <w:p w:rsidR="000B16E1" w:rsidRPr="00E6740A" w:rsidRDefault="000B16E1" w:rsidP="00DC1B8B">
            <w:pPr>
              <w:spacing w:line="480" w:lineRule="auto"/>
              <w:jc w:val="both"/>
              <w:rPr>
                <w:rFonts w:ascii="Arial" w:hAnsi="Arial" w:cs="Arial"/>
                <w:color w:val="000000" w:themeColor="text1"/>
                <w:sz w:val="24"/>
                <w:szCs w:val="24"/>
                <w:lang w:val="en-GB"/>
              </w:rPr>
            </w:pPr>
            <w:r w:rsidRPr="00E6740A">
              <w:rPr>
                <w:rFonts w:ascii="Arial" w:hAnsi="Arial" w:cs="Arial"/>
                <w:color w:val="000000" w:themeColor="text1"/>
                <w:sz w:val="24"/>
                <w:szCs w:val="24"/>
                <w:lang w:val="en-GB"/>
              </w:rPr>
              <w:t>APPELLANTS:</w:t>
            </w:r>
          </w:p>
        </w:tc>
        <w:tc>
          <w:tcPr>
            <w:tcW w:w="4387" w:type="dxa"/>
          </w:tcPr>
          <w:p w:rsidR="000B16E1" w:rsidRDefault="000B16E1" w:rsidP="00DC1B8B">
            <w:pPr>
              <w:tabs>
                <w:tab w:val="left" w:pos="851"/>
              </w:tabs>
              <w:spacing w:line="480" w:lineRule="auto"/>
              <w:jc w:val="both"/>
              <w:rPr>
                <w:rFonts w:ascii="Arial" w:hAnsi="Arial" w:cs="Arial"/>
                <w:color w:val="000000" w:themeColor="text1"/>
                <w:sz w:val="24"/>
                <w:szCs w:val="24"/>
              </w:rPr>
            </w:pPr>
            <w:r w:rsidRPr="00E6740A">
              <w:rPr>
                <w:rFonts w:ascii="Arial" w:hAnsi="Arial" w:cs="Arial"/>
                <w:color w:val="000000" w:themeColor="text1"/>
                <w:sz w:val="24"/>
                <w:szCs w:val="24"/>
              </w:rPr>
              <w:t>G Budlender</w:t>
            </w:r>
            <w:r w:rsidR="00503E87">
              <w:rPr>
                <w:rFonts w:ascii="Arial" w:hAnsi="Arial" w:cs="Arial"/>
                <w:color w:val="000000" w:themeColor="text1"/>
                <w:sz w:val="24"/>
                <w:szCs w:val="24"/>
              </w:rPr>
              <w:t xml:space="preserve"> SC</w:t>
            </w:r>
            <w:r w:rsidRPr="00E6740A">
              <w:rPr>
                <w:rFonts w:ascii="Arial" w:hAnsi="Arial" w:cs="Arial"/>
                <w:color w:val="000000" w:themeColor="text1"/>
                <w:sz w:val="24"/>
                <w:szCs w:val="24"/>
              </w:rPr>
              <w:t xml:space="preserve"> </w:t>
            </w:r>
            <w:r>
              <w:rPr>
                <w:rFonts w:ascii="Arial" w:hAnsi="Arial" w:cs="Arial"/>
                <w:color w:val="000000" w:themeColor="text1"/>
                <w:sz w:val="24"/>
                <w:szCs w:val="24"/>
              </w:rPr>
              <w:t xml:space="preserve">( with him N Marcus and </w:t>
            </w:r>
            <w:r w:rsidRPr="00E6740A">
              <w:rPr>
                <w:rFonts w:ascii="Arial" w:hAnsi="Arial" w:cs="Arial"/>
                <w:color w:val="000000" w:themeColor="text1"/>
                <w:sz w:val="24"/>
                <w:szCs w:val="24"/>
              </w:rPr>
              <w:t xml:space="preserve">S Namandje) </w:t>
            </w:r>
          </w:p>
          <w:p w:rsidR="000B16E1" w:rsidRPr="00E6740A" w:rsidRDefault="000B16E1" w:rsidP="00DC1B8B">
            <w:pPr>
              <w:tabs>
                <w:tab w:val="left" w:pos="851"/>
              </w:tabs>
              <w:spacing w:line="480" w:lineRule="auto"/>
              <w:jc w:val="both"/>
              <w:rPr>
                <w:rFonts w:ascii="Arial" w:hAnsi="Arial" w:cs="Arial"/>
                <w:color w:val="000000" w:themeColor="text1"/>
                <w:sz w:val="24"/>
                <w:szCs w:val="24"/>
              </w:rPr>
            </w:pPr>
            <w:r w:rsidRPr="00E6740A">
              <w:rPr>
                <w:rFonts w:ascii="Arial" w:hAnsi="Arial" w:cs="Arial"/>
                <w:color w:val="000000" w:themeColor="text1"/>
                <w:sz w:val="24"/>
                <w:szCs w:val="24"/>
              </w:rPr>
              <w:t xml:space="preserve">Instructed by Government Attorney </w:t>
            </w:r>
          </w:p>
          <w:p w:rsidR="000B16E1" w:rsidRPr="00E6740A" w:rsidRDefault="000B16E1" w:rsidP="00DC1B8B">
            <w:pPr>
              <w:pStyle w:val="ListParagraph"/>
              <w:tabs>
                <w:tab w:val="left" w:pos="851"/>
              </w:tabs>
              <w:spacing w:line="480" w:lineRule="auto"/>
              <w:ind w:left="851" w:hanging="851"/>
              <w:jc w:val="both"/>
              <w:rPr>
                <w:rFonts w:ascii="Arial" w:hAnsi="Arial" w:cs="Arial"/>
                <w:color w:val="000000" w:themeColor="text1"/>
                <w:sz w:val="24"/>
                <w:szCs w:val="24"/>
                <w:lang w:val="en-GB"/>
              </w:rPr>
            </w:pPr>
          </w:p>
        </w:tc>
      </w:tr>
      <w:tr w:rsidR="000B16E1" w:rsidRPr="00E6740A" w:rsidTr="00DC1B8B">
        <w:tc>
          <w:tcPr>
            <w:tcW w:w="3784" w:type="dxa"/>
          </w:tcPr>
          <w:p w:rsidR="000B16E1" w:rsidRPr="00E6740A" w:rsidRDefault="000B16E1" w:rsidP="00DC1B8B">
            <w:pPr>
              <w:spacing w:line="480" w:lineRule="auto"/>
              <w:jc w:val="both"/>
              <w:rPr>
                <w:rFonts w:ascii="Arial" w:hAnsi="Arial" w:cs="Arial"/>
                <w:color w:val="000000" w:themeColor="text1"/>
                <w:sz w:val="24"/>
                <w:szCs w:val="24"/>
                <w:lang w:val="en-GB"/>
              </w:rPr>
            </w:pPr>
            <w:r w:rsidRPr="00E6740A">
              <w:rPr>
                <w:rFonts w:ascii="Arial" w:hAnsi="Arial" w:cs="Arial"/>
                <w:color w:val="000000" w:themeColor="text1"/>
                <w:sz w:val="24"/>
                <w:szCs w:val="24"/>
                <w:lang w:val="en-GB"/>
              </w:rPr>
              <w:t xml:space="preserve">RESPONDENT:                                       </w:t>
            </w:r>
          </w:p>
        </w:tc>
        <w:tc>
          <w:tcPr>
            <w:tcW w:w="4387" w:type="dxa"/>
          </w:tcPr>
          <w:p w:rsidR="000B16E1" w:rsidRPr="00E6740A" w:rsidRDefault="00CD2DD1" w:rsidP="00DC1B8B">
            <w:pPr>
              <w:spacing w:line="480" w:lineRule="auto"/>
              <w:jc w:val="both"/>
              <w:rPr>
                <w:rFonts w:ascii="Arial" w:hAnsi="Arial" w:cs="Arial"/>
                <w:color w:val="000000" w:themeColor="text1"/>
                <w:sz w:val="24"/>
                <w:szCs w:val="24"/>
                <w:lang w:val="en-ZW"/>
              </w:rPr>
            </w:pPr>
            <w:r>
              <w:rPr>
                <w:rFonts w:ascii="Arial" w:hAnsi="Arial" w:cs="Arial"/>
                <w:color w:val="000000" w:themeColor="text1"/>
                <w:sz w:val="24"/>
                <w:szCs w:val="24"/>
                <w:lang w:val="en-ZW"/>
              </w:rPr>
              <w:t>AW Corbett</w:t>
            </w:r>
            <w:r w:rsidR="00503E87">
              <w:rPr>
                <w:rFonts w:ascii="Arial" w:hAnsi="Arial" w:cs="Arial"/>
                <w:color w:val="000000" w:themeColor="text1"/>
                <w:sz w:val="24"/>
                <w:szCs w:val="24"/>
                <w:lang w:val="en-ZW"/>
              </w:rPr>
              <w:t xml:space="preserve"> </w:t>
            </w:r>
            <w:r w:rsidR="000B16E1" w:rsidRPr="00E6740A">
              <w:rPr>
                <w:rFonts w:ascii="Arial" w:hAnsi="Arial" w:cs="Arial"/>
                <w:color w:val="000000" w:themeColor="text1"/>
                <w:sz w:val="24"/>
                <w:szCs w:val="24"/>
                <w:lang w:val="en-ZW"/>
              </w:rPr>
              <w:t xml:space="preserve">(with him U Hengari) </w:t>
            </w:r>
            <w:r w:rsidR="000B16E1">
              <w:rPr>
                <w:rFonts w:ascii="Arial" w:hAnsi="Arial" w:cs="Arial"/>
                <w:color w:val="000000" w:themeColor="text1"/>
                <w:sz w:val="24"/>
                <w:szCs w:val="24"/>
                <w:lang w:val="en-ZW"/>
              </w:rPr>
              <w:t>I</w:t>
            </w:r>
            <w:r w:rsidR="000B16E1" w:rsidRPr="00E6740A">
              <w:rPr>
                <w:rFonts w:ascii="Arial" w:hAnsi="Arial" w:cs="Arial"/>
                <w:color w:val="000000" w:themeColor="text1"/>
                <w:sz w:val="24"/>
                <w:szCs w:val="24"/>
                <w:lang w:val="en-ZW"/>
              </w:rPr>
              <w:t>nstructed by Legal Aid Namibia</w:t>
            </w:r>
          </w:p>
        </w:tc>
      </w:tr>
      <w:tr w:rsidR="000B16E1" w:rsidRPr="00E6740A" w:rsidTr="00DC1B8B">
        <w:tc>
          <w:tcPr>
            <w:tcW w:w="3784" w:type="dxa"/>
          </w:tcPr>
          <w:p w:rsidR="000B16E1" w:rsidRPr="00E6740A" w:rsidRDefault="000B16E1" w:rsidP="00DC1B8B">
            <w:pPr>
              <w:spacing w:line="480" w:lineRule="auto"/>
              <w:jc w:val="both"/>
              <w:rPr>
                <w:rFonts w:ascii="Arial" w:hAnsi="Arial" w:cs="Arial"/>
                <w:color w:val="000000" w:themeColor="text1"/>
                <w:sz w:val="24"/>
                <w:szCs w:val="24"/>
                <w:lang w:val="en-GB"/>
              </w:rPr>
            </w:pPr>
          </w:p>
        </w:tc>
        <w:tc>
          <w:tcPr>
            <w:tcW w:w="4387" w:type="dxa"/>
          </w:tcPr>
          <w:p w:rsidR="000B16E1" w:rsidRPr="00E6740A" w:rsidRDefault="000B16E1" w:rsidP="00DC1B8B">
            <w:pPr>
              <w:spacing w:line="480" w:lineRule="auto"/>
              <w:jc w:val="both"/>
              <w:rPr>
                <w:rFonts w:ascii="Arial" w:hAnsi="Arial" w:cs="Arial"/>
                <w:color w:val="000000" w:themeColor="text1"/>
                <w:sz w:val="24"/>
                <w:szCs w:val="24"/>
                <w:lang w:val="en-ZW"/>
              </w:rPr>
            </w:pPr>
          </w:p>
        </w:tc>
      </w:tr>
    </w:tbl>
    <w:p w:rsidR="000B16E1" w:rsidRDefault="000B16E1" w:rsidP="000B16E1">
      <w:pPr>
        <w:pStyle w:val="ListParagraph"/>
        <w:spacing w:after="0" w:line="480" w:lineRule="auto"/>
        <w:ind w:left="0"/>
        <w:jc w:val="both"/>
        <w:rPr>
          <w:rFonts w:ascii="Arial" w:hAnsi="Arial" w:cs="Arial"/>
          <w:i/>
          <w:color w:val="FF0000"/>
          <w:sz w:val="24"/>
          <w:szCs w:val="24"/>
          <w:u w:val="single"/>
          <w:lang w:val="en-ZA"/>
        </w:rPr>
      </w:pPr>
    </w:p>
    <w:p w:rsidR="000B16E1" w:rsidRDefault="000B16E1" w:rsidP="000B16E1">
      <w:pPr>
        <w:pStyle w:val="ListParagraph"/>
        <w:spacing w:after="0" w:line="480" w:lineRule="auto"/>
        <w:ind w:left="0"/>
        <w:jc w:val="both"/>
        <w:rPr>
          <w:rFonts w:ascii="Arial" w:hAnsi="Arial" w:cs="Arial"/>
          <w:i/>
          <w:color w:val="FF0000"/>
          <w:sz w:val="24"/>
          <w:szCs w:val="24"/>
          <w:u w:val="single"/>
          <w:lang w:val="en-ZA"/>
        </w:rPr>
      </w:pPr>
    </w:p>
    <w:p w:rsidR="000B16E1" w:rsidRDefault="000B16E1" w:rsidP="000B16E1">
      <w:pPr>
        <w:spacing w:line="480" w:lineRule="auto"/>
        <w:jc w:val="both"/>
        <w:rPr>
          <w:rFonts w:ascii="Arial" w:hAnsi="Arial" w:cs="Arial"/>
          <w:i/>
          <w:color w:val="000000" w:themeColor="text1"/>
          <w:sz w:val="24"/>
          <w:szCs w:val="24"/>
          <w:u w:val="single"/>
        </w:rPr>
      </w:pPr>
    </w:p>
    <w:p w:rsidR="009B480A" w:rsidRDefault="009B480A"/>
    <w:sectPr w:rsidR="009B480A" w:rsidSect="00DC1B8B">
      <w:head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0E1C" w:rsidRDefault="00F00E1C" w:rsidP="000B16E1">
      <w:pPr>
        <w:spacing w:after="0" w:line="240" w:lineRule="auto"/>
      </w:pPr>
      <w:r>
        <w:separator/>
      </w:r>
    </w:p>
  </w:endnote>
  <w:endnote w:type="continuationSeparator" w:id="0">
    <w:p w:rsidR="00F00E1C" w:rsidRDefault="00F00E1C" w:rsidP="000B16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Gulim">
    <w:altName w:val="Arial Unicode MS"/>
    <w:panose1 w:val="020B0600000101010101"/>
    <w:charset w:val="81"/>
    <w:family w:val="roman"/>
    <w:notTrueType/>
    <w:pitch w:val="fixed"/>
    <w:sig w:usb0="00000000"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0E1C" w:rsidRDefault="00F00E1C" w:rsidP="000B16E1">
      <w:pPr>
        <w:spacing w:after="0" w:line="240" w:lineRule="auto"/>
      </w:pPr>
      <w:r>
        <w:separator/>
      </w:r>
    </w:p>
  </w:footnote>
  <w:footnote w:type="continuationSeparator" w:id="0">
    <w:p w:rsidR="00F00E1C" w:rsidRDefault="00F00E1C" w:rsidP="000B16E1">
      <w:pPr>
        <w:spacing w:after="0" w:line="240" w:lineRule="auto"/>
      </w:pPr>
      <w:r>
        <w:continuationSeparator/>
      </w:r>
    </w:p>
  </w:footnote>
  <w:footnote w:id="1">
    <w:p w:rsidR="003A6194" w:rsidRPr="00DF0DBC" w:rsidRDefault="003A6194" w:rsidP="000B16E1">
      <w:pPr>
        <w:pStyle w:val="FootnoteText"/>
        <w:rPr>
          <w:rFonts w:ascii="Arial" w:hAnsi="Arial" w:cs="Arial"/>
          <w:lang w:val="en-ZA"/>
        </w:rPr>
      </w:pPr>
      <w:r w:rsidRPr="00C655A9">
        <w:rPr>
          <w:rStyle w:val="FootnoteReference"/>
          <w:rFonts w:ascii="Arial" w:hAnsi="Arial" w:cs="Arial"/>
        </w:rPr>
        <w:footnoteRef/>
      </w:r>
      <w:r w:rsidRPr="00C655A9">
        <w:rPr>
          <w:rFonts w:ascii="Arial" w:hAnsi="Arial" w:cs="Arial"/>
        </w:rPr>
        <w:t xml:space="preserve"> </w:t>
      </w:r>
      <w:r>
        <w:rPr>
          <w:rFonts w:ascii="Arial" w:hAnsi="Arial" w:cs="Arial"/>
        </w:rPr>
        <w:t>These Articles c</w:t>
      </w:r>
      <w:r w:rsidRPr="00C655A9">
        <w:rPr>
          <w:rFonts w:ascii="Arial" w:hAnsi="Arial" w:cs="Arial"/>
        </w:rPr>
        <w:t>on</w:t>
      </w:r>
      <w:r>
        <w:rPr>
          <w:rFonts w:ascii="Arial" w:hAnsi="Arial" w:cs="Arial"/>
        </w:rPr>
        <w:t>cern the protection of liberty, respect for human dignity, prohibition of arbitrary arrest and dentition, the right to privacy, the right to property, the right to practise a culture and the protection of fundamental freedoms respectively</w:t>
      </w:r>
      <w:r w:rsidRPr="00C655A9">
        <w:rPr>
          <w:rFonts w:ascii="Arial" w:hAnsi="Arial" w:cs="Arial"/>
        </w:rPr>
        <w:t>.</w:t>
      </w:r>
      <w:r>
        <w:rPr>
          <w:rFonts w:ascii="Arial" w:hAnsi="Arial" w:cs="Arial"/>
        </w:rPr>
        <w:t xml:space="preserve"> </w:t>
      </w:r>
    </w:p>
  </w:footnote>
  <w:footnote w:id="2">
    <w:p w:rsidR="003A6194" w:rsidRPr="00A77758" w:rsidRDefault="003A6194" w:rsidP="00157011">
      <w:pPr>
        <w:pStyle w:val="FootnoteText"/>
        <w:jc w:val="both"/>
        <w:rPr>
          <w:rFonts w:ascii="Arial" w:hAnsi="Arial" w:cs="Arial"/>
          <w:lang w:val="en-GB"/>
        </w:rPr>
      </w:pPr>
      <w:r w:rsidRPr="00A77758">
        <w:rPr>
          <w:rStyle w:val="FootnoteReference"/>
          <w:rFonts w:ascii="Arial" w:hAnsi="Arial" w:cs="Arial"/>
        </w:rPr>
        <w:footnoteRef/>
      </w:r>
      <w:r w:rsidRPr="00A77758">
        <w:rPr>
          <w:rFonts w:ascii="Arial" w:hAnsi="Arial" w:cs="Arial"/>
        </w:rPr>
        <w:t xml:space="preserve"> </w:t>
      </w:r>
      <w:r w:rsidRPr="00A77758">
        <w:rPr>
          <w:rFonts w:ascii="Arial" w:hAnsi="Arial" w:cs="Arial"/>
          <w:lang w:val="en-GB"/>
        </w:rPr>
        <w:t>More about them later in this judgment.</w:t>
      </w:r>
    </w:p>
  </w:footnote>
  <w:footnote w:id="3">
    <w:p w:rsidR="003A6194" w:rsidRPr="00D94737" w:rsidRDefault="003A6194" w:rsidP="00157011">
      <w:pPr>
        <w:pStyle w:val="FootnoteText"/>
        <w:jc w:val="both"/>
        <w:rPr>
          <w:rFonts w:ascii="Arial" w:hAnsi="Arial" w:cs="Arial"/>
          <w:lang w:val="en-GB"/>
        </w:rPr>
      </w:pPr>
      <w:r w:rsidRPr="00A77758">
        <w:rPr>
          <w:rStyle w:val="FootnoteReference"/>
          <w:rFonts w:ascii="Arial" w:hAnsi="Arial" w:cs="Arial"/>
        </w:rPr>
        <w:footnoteRef/>
      </w:r>
      <w:r w:rsidRPr="00A77758">
        <w:rPr>
          <w:rFonts w:ascii="Arial" w:hAnsi="Arial" w:cs="Arial"/>
        </w:rPr>
        <w:t xml:space="preserve"> </w:t>
      </w:r>
      <w:r w:rsidRPr="00A77758">
        <w:rPr>
          <w:rFonts w:ascii="Arial" w:hAnsi="Arial" w:cs="Arial"/>
          <w:lang w:val="en-GB"/>
        </w:rPr>
        <w:t>2009 (1) NR 403 HC</w:t>
      </w:r>
    </w:p>
  </w:footnote>
  <w:footnote w:id="4">
    <w:p w:rsidR="003A6194" w:rsidRPr="008B77A6" w:rsidRDefault="003A6194" w:rsidP="002313C6">
      <w:pPr>
        <w:pStyle w:val="FootnoteText"/>
        <w:jc w:val="both"/>
        <w:rPr>
          <w:rFonts w:ascii="Arial" w:hAnsi="Arial" w:cs="Arial"/>
          <w:lang w:val="en-GB"/>
        </w:rPr>
      </w:pPr>
      <w:r w:rsidRPr="008B77A6">
        <w:rPr>
          <w:rStyle w:val="FootnoteReference"/>
          <w:rFonts w:ascii="Arial" w:hAnsi="Arial" w:cs="Arial"/>
        </w:rPr>
        <w:footnoteRef/>
      </w:r>
      <w:r w:rsidRPr="008B77A6">
        <w:rPr>
          <w:rFonts w:ascii="Arial" w:hAnsi="Arial" w:cs="Arial"/>
        </w:rPr>
        <w:t xml:space="preserve"> </w:t>
      </w:r>
      <w:r w:rsidRPr="008B77A6">
        <w:rPr>
          <w:rFonts w:ascii="Arial" w:hAnsi="Arial" w:cs="Arial"/>
          <w:lang w:val="en-GB"/>
        </w:rPr>
        <w:t xml:space="preserve">McQuoid-Mason ‘Malicious Proceedings’ in Joubert </w:t>
      </w:r>
      <w:r w:rsidR="002F04DC" w:rsidRPr="008B77A6">
        <w:rPr>
          <w:rFonts w:ascii="Arial" w:hAnsi="Arial" w:cs="Arial"/>
          <w:lang w:val="en-GB"/>
        </w:rPr>
        <w:t xml:space="preserve">et al </w:t>
      </w:r>
      <w:r w:rsidRPr="008B77A6">
        <w:rPr>
          <w:rFonts w:ascii="Arial" w:hAnsi="Arial" w:cs="Arial"/>
          <w:i/>
          <w:lang w:val="en-GB"/>
        </w:rPr>
        <w:t>The Law of South Africa</w:t>
      </w:r>
      <w:r w:rsidRPr="008B77A6">
        <w:rPr>
          <w:rFonts w:ascii="Arial" w:hAnsi="Arial" w:cs="Arial"/>
          <w:lang w:val="en-GB"/>
        </w:rPr>
        <w:t xml:space="preserve"> </w:t>
      </w:r>
      <w:r w:rsidR="002F04DC" w:rsidRPr="008B77A6">
        <w:rPr>
          <w:rFonts w:ascii="Arial" w:hAnsi="Arial" w:cs="Arial"/>
          <w:lang w:val="en-GB"/>
        </w:rPr>
        <w:t xml:space="preserve">(LAWSA) </w:t>
      </w:r>
      <w:r w:rsidRPr="008B77A6">
        <w:rPr>
          <w:rFonts w:ascii="Arial" w:hAnsi="Arial" w:cs="Arial"/>
          <w:lang w:val="en-GB"/>
        </w:rPr>
        <w:t>(2</w:t>
      </w:r>
      <w:r w:rsidRPr="008B77A6">
        <w:rPr>
          <w:rFonts w:ascii="Arial" w:hAnsi="Arial" w:cs="Arial"/>
          <w:vertAlign w:val="superscript"/>
          <w:lang w:val="en-GB"/>
        </w:rPr>
        <w:t>nd</w:t>
      </w:r>
      <w:r w:rsidRPr="008B77A6">
        <w:rPr>
          <w:rFonts w:ascii="Arial" w:hAnsi="Arial" w:cs="Arial"/>
          <w:lang w:val="en-GB"/>
        </w:rPr>
        <w:t xml:space="preserve"> </w:t>
      </w:r>
      <w:r w:rsidR="005C797C" w:rsidRPr="008B77A6">
        <w:rPr>
          <w:rFonts w:ascii="Arial" w:hAnsi="Arial" w:cs="Arial"/>
          <w:lang w:val="en-GB"/>
        </w:rPr>
        <w:t>Ed</w:t>
      </w:r>
      <w:r w:rsidR="002F04DC" w:rsidRPr="008B77A6">
        <w:rPr>
          <w:rFonts w:ascii="Arial" w:hAnsi="Arial" w:cs="Arial"/>
          <w:lang w:val="en-GB"/>
        </w:rPr>
        <w:t xml:space="preserve">), </w:t>
      </w:r>
      <w:r w:rsidRPr="008B77A6">
        <w:rPr>
          <w:rFonts w:ascii="Arial" w:hAnsi="Arial" w:cs="Arial"/>
          <w:lang w:val="en-GB"/>
        </w:rPr>
        <w:t xml:space="preserve">2008) Vol 15 Part 2, at para 315.     </w:t>
      </w:r>
    </w:p>
  </w:footnote>
  <w:footnote w:id="5">
    <w:p w:rsidR="003A6194" w:rsidRPr="002E3A78" w:rsidRDefault="003A6194" w:rsidP="000B16E1">
      <w:pPr>
        <w:pStyle w:val="FootnoteText"/>
        <w:jc w:val="both"/>
        <w:rPr>
          <w:rFonts w:ascii="Times New Roman" w:hAnsi="Times New Roman" w:cs="Times New Roman"/>
        </w:rPr>
      </w:pPr>
      <w:r w:rsidRPr="002E3A78">
        <w:rPr>
          <w:rStyle w:val="FootnoteReference"/>
          <w:rFonts w:ascii="Arial" w:hAnsi="Arial" w:cs="Arial"/>
        </w:rPr>
        <w:footnoteRef/>
      </w:r>
      <w:r w:rsidRPr="002E3A78">
        <w:rPr>
          <w:rFonts w:ascii="Arial" w:hAnsi="Arial" w:cs="Arial"/>
        </w:rPr>
        <w:t xml:space="preserve"> Id. para 311</w:t>
      </w:r>
      <w:r w:rsidRPr="002E3A78">
        <w:rPr>
          <w:rFonts w:ascii="Times New Roman" w:hAnsi="Times New Roman" w:cs="Times New Roman"/>
        </w:rPr>
        <w:t xml:space="preserve">  </w:t>
      </w:r>
    </w:p>
  </w:footnote>
  <w:footnote w:id="6">
    <w:p w:rsidR="003A6194" w:rsidRPr="006863F0" w:rsidRDefault="003A6194" w:rsidP="000B16E1">
      <w:pPr>
        <w:pStyle w:val="FootnoteText"/>
        <w:jc w:val="both"/>
        <w:rPr>
          <w:rFonts w:ascii="Arial" w:hAnsi="Arial" w:cs="Arial"/>
          <w:highlight w:val="yellow"/>
        </w:rPr>
      </w:pPr>
      <w:r w:rsidRPr="002E3A78">
        <w:rPr>
          <w:rStyle w:val="FootnoteReference"/>
          <w:rFonts w:ascii="Arial" w:hAnsi="Arial" w:cs="Arial"/>
        </w:rPr>
        <w:footnoteRef/>
      </w:r>
      <w:r w:rsidRPr="002E3A78">
        <w:rPr>
          <w:rFonts w:ascii="Arial" w:hAnsi="Arial" w:cs="Arial"/>
        </w:rPr>
        <w:t xml:space="preserve"> 2000 1 All ER 560 (HL)</w:t>
      </w:r>
    </w:p>
  </w:footnote>
  <w:footnote w:id="7">
    <w:p w:rsidR="003A6194" w:rsidRPr="002E3A78" w:rsidRDefault="003A6194" w:rsidP="002313C6">
      <w:pPr>
        <w:pStyle w:val="FootnoteText"/>
        <w:jc w:val="both"/>
        <w:rPr>
          <w:rFonts w:ascii="Arial" w:hAnsi="Arial" w:cs="Arial"/>
        </w:rPr>
      </w:pPr>
      <w:r w:rsidRPr="002E3A78">
        <w:rPr>
          <w:rStyle w:val="FootnoteReference"/>
          <w:rFonts w:ascii="Arial" w:hAnsi="Arial" w:cs="Arial"/>
        </w:rPr>
        <w:footnoteRef/>
      </w:r>
      <w:r w:rsidRPr="002E3A78">
        <w:rPr>
          <w:rFonts w:ascii="Arial" w:hAnsi="Arial" w:cs="Arial"/>
        </w:rPr>
        <w:t xml:space="preserve"> 2009 SCC 51</w:t>
      </w:r>
    </w:p>
  </w:footnote>
  <w:footnote w:id="8">
    <w:p w:rsidR="003A6194" w:rsidRPr="002E3A78" w:rsidRDefault="003A6194" w:rsidP="002313C6">
      <w:pPr>
        <w:pStyle w:val="FootnoteText"/>
        <w:jc w:val="both"/>
        <w:rPr>
          <w:rFonts w:ascii="Arial" w:hAnsi="Arial" w:cs="Arial"/>
        </w:rPr>
      </w:pPr>
      <w:r w:rsidRPr="002E3A78">
        <w:rPr>
          <w:rStyle w:val="FootnoteReference"/>
          <w:rFonts w:ascii="Arial" w:hAnsi="Arial" w:cs="Arial"/>
        </w:rPr>
        <w:footnoteRef/>
      </w:r>
      <w:r w:rsidRPr="002E3A78">
        <w:rPr>
          <w:rFonts w:ascii="Arial" w:hAnsi="Arial" w:cs="Arial"/>
        </w:rPr>
        <w:t xml:space="preserve"> At para 42</w:t>
      </w:r>
    </w:p>
  </w:footnote>
  <w:footnote w:id="9">
    <w:p w:rsidR="003A6194" w:rsidRPr="00A5204B" w:rsidRDefault="003A6194" w:rsidP="002313C6">
      <w:pPr>
        <w:pStyle w:val="FootnoteText"/>
        <w:jc w:val="both"/>
        <w:rPr>
          <w:rFonts w:ascii="Times New Roman" w:hAnsi="Times New Roman" w:cs="Times New Roman"/>
          <w:lang w:val="en-ZA"/>
        </w:rPr>
      </w:pPr>
      <w:r w:rsidRPr="002E3A78">
        <w:rPr>
          <w:rStyle w:val="FootnoteReference"/>
          <w:rFonts w:ascii="Arial" w:hAnsi="Arial" w:cs="Arial"/>
        </w:rPr>
        <w:footnoteRef/>
      </w:r>
      <w:r w:rsidRPr="002E3A78">
        <w:rPr>
          <w:rFonts w:ascii="Arial" w:hAnsi="Arial" w:cs="Arial"/>
        </w:rPr>
        <w:t xml:space="preserve"> At para</w:t>
      </w:r>
      <w:r w:rsidRPr="002E3A78">
        <w:rPr>
          <w:rFonts w:ascii="Arial" w:hAnsi="Arial" w:cs="Arial"/>
          <w:lang w:val="en-ZA"/>
        </w:rPr>
        <w:t xml:space="preserve"> 44</w:t>
      </w:r>
    </w:p>
  </w:footnote>
  <w:footnote w:id="10">
    <w:p w:rsidR="003A6194" w:rsidRPr="002E3A78" w:rsidRDefault="003A6194" w:rsidP="00387BBB">
      <w:pPr>
        <w:pStyle w:val="FootnoteText"/>
        <w:jc w:val="both"/>
        <w:rPr>
          <w:rFonts w:ascii="Arial" w:hAnsi="Arial" w:cs="Arial"/>
        </w:rPr>
      </w:pPr>
      <w:r w:rsidRPr="002E3A78">
        <w:rPr>
          <w:rStyle w:val="FootnoteReference"/>
          <w:rFonts w:ascii="Arial" w:hAnsi="Arial" w:cs="Arial"/>
        </w:rPr>
        <w:footnoteRef/>
      </w:r>
      <w:r w:rsidRPr="002E3A78">
        <w:rPr>
          <w:rFonts w:ascii="Arial" w:hAnsi="Arial" w:cs="Arial"/>
        </w:rPr>
        <w:t xml:space="preserve"> At para 49</w:t>
      </w:r>
    </w:p>
  </w:footnote>
  <w:footnote w:id="11">
    <w:p w:rsidR="003A6194" w:rsidRPr="002E3A78" w:rsidRDefault="003A6194" w:rsidP="00387BBB">
      <w:pPr>
        <w:pStyle w:val="FootnoteText"/>
        <w:jc w:val="both"/>
        <w:rPr>
          <w:rFonts w:ascii="Arial" w:hAnsi="Arial" w:cs="Arial"/>
        </w:rPr>
      </w:pPr>
      <w:r w:rsidRPr="002E3A78">
        <w:rPr>
          <w:rStyle w:val="FootnoteReference"/>
          <w:rFonts w:ascii="Arial" w:hAnsi="Arial" w:cs="Arial"/>
        </w:rPr>
        <w:footnoteRef/>
      </w:r>
      <w:r w:rsidRPr="002E3A78">
        <w:rPr>
          <w:rFonts w:ascii="Arial" w:hAnsi="Arial" w:cs="Arial"/>
        </w:rPr>
        <w:t xml:space="preserve"> Para 51</w:t>
      </w:r>
    </w:p>
  </w:footnote>
  <w:footnote w:id="12">
    <w:p w:rsidR="003A6194" w:rsidRPr="00C34686" w:rsidRDefault="003A6194" w:rsidP="00387BBB">
      <w:pPr>
        <w:pStyle w:val="FootnoteText"/>
        <w:jc w:val="both"/>
        <w:rPr>
          <w:lang w:val="en-GB"/>
        </w:rPr>
      </w:pPr>
      <w:r w:rsidRPr="002E3A78">
        <w:rPr>
          <w:rStyle w:val="FootnoteReference"/>
          <w:rFonts w:ascii="Arial" w:hAnsi="Arial" w:cs="Arial"/>
        </w:rPr>
        <w:footnoteRef/>
      </w:r>
      <w:r w:rsidRPr="002E3A78">
        <w:rPr>
          <w:rFonts w:ascii="Arial" w:hAnsi="Arial" w:cs="Arial"/>
        </w:rPr>
        <w:t xml:space="preserve"> </w:t>
      </w:r>
      <w:r w:rsidRPr="002E3A78">
        <w:rPr>
          <w:rFonts w:ascii="Arial" w:hAnsi="Arial" w:cs="Arial"/>
          <w:lang w:val="en-GB"/>
        </w:rPr>
        <w:t xml:space="preserve">Cited in footnote </w:t>
      </w:r>
      <w:r w:rsidR="002E3A78" w:rsidRPr="002E3A78">
        <w:rPr>
          <w:rFonts w:ascii="Arial" w:hAnsi="Arial" w:cs="Arial"/>
          <w:lang w:val="en-GB"/>
        </w:rPr>
        <w:t>3</w:t>
      </w:r>
      <w:r w:rsidRPr="002E3A78">
        <w:rPr>
          <w:rFonts w:ascii="Arial" w:hAnsi="Arial" w:cs="Arial"/>
          <w:lang w:val="en-GB"/>
        </w:rPr>
        <w:t xml:space="preserve"> above.</w:t>
      </w:r>
    </w:p>
  </w:footnote>
  <w:footnote w:id="13">
    <w:p w:rsidR="003A6194" w:rsidRPr="002E3A78" w:rsidRDefault="003A6194" w:rsidP="00387BBB">
      <w:pPr>
        <w:pStyle w:val="FootnoteText"/>
        <w:jc w:val="both"/>
        <w:rPr>
          <w:rFonts w:ascii="Arial" w:hAnsi="Arial" w:cs="Arial"/>
        </w:rPr>
      </w:pPr>
      <w:r w:rsidRPr="002E3A78">
        <w:rPr>
          <w:rStyle w:val="FootnoteReference"/>
          <w:rFonts w:ascii="Arial" w:hAnsi="Arial" w:cs="Arial"/>
        </w:rPr>
        <w:footnoteRef/>
      </w:r>
      <w:r w:rsidRPr="002E3A78">
        <w:rPr>
          <w:rFonts w:ascii="Arial" w:hAnsi="Arial" w:cs="Arial"/>
        </w:rPr>
        <w:t xml:space="preserve"> LAWSA para 328, 329</w:t>
      </w:r>
    </w:p>
  </w:footnote>
  <w:footnote w:id="14">
    <w:p w:rsidR="003A6194" w:rsidRPr="002E3A78" w:rsidRDefault="003A6194" w:rsidP="00387BBB">
      <w:pPr>
        <w:pStyle w:val="FootnoteText"/>
        <w:jc w:val="both"/>
        <w:rPr>
          <w:rFonts w:ascii="Arial" w:hAnsi="Arial" w:cs="Arial"/>
          <w:lang w:val="en-ZA"/>
        </w:rPr>
      </w:pPr>
      <w:r w:rsidRPr="002E3A78">
        <w:rPr>
          <w:rStyle w:val="FootnoteReference"/>
          <w:rFonts w:ascii="Arial" w:hAnsi="Arial" w:cs="Arial"/>
        </w:rPr>
        <w:footnoteRef/>
      </w:r>
      <w:r w:rsidRPr="002E3A78">
        <w:rPr>
          <w:rFonts w:ascii="Arial" w:hAnsi="Arial" w:cs="Arial"/>
        </w:rPr>
        <w:t xml:space="preserve"> </w:t>
      </w:r>
      <w:r w:rsidRPr="002E3A78">
        <w:rPr>
          <w:rFonts w:ascii="Arial" w:hAnsi="Arial" w:cs="Arial"/>
          <w:i/>
        </w:rPr>
        <w:t>Rudolph and others v Minister of Safety and Security and another</w:t>
      </w:r>
      <w:r w:rsidRPr="002E3A78">
        <w:rPr>
          <w:rFonts w:ascii="Arial" w:hAnsi="Arial" w:cs="Arial"/>
        </w:rPr>
        <w:t xml:space="preserve"> 2009 (5) SA 94 (SCA) para 18</w:t>
      </w:r>
    </w:p>
  </w:footnote>
  <w:footnote w:id="15">
    <w:p w:rsidR="003A6194" w:rsidRPr="002E3A78" w:rsidRDefault="003A6194" w:rsidP="00387BBB">
      <w:pPr>
        <w:pStyle w:val="FootnoteText"/>
        <w:jc w:val="both"/>
        <w:rPr>
          <w:rFonts w:ascii="Arial" w:hAnsi="Arial" w:cs="Arial"/>
          <w:lang w:val="en-GB"/>
        </w:rPr>
      </w:pPr>
      <w:r w:rsidRPr="002E3A78">
        <w:rPr>
          <w:rStyle w:val="FootnoteReference"/>
          <w:rFonts w:ascii="Arial" w:hAnsi="Arial" w:cs="Arial"/>
        </w:rPr>
        <w:footnoteRef/>
      </w:r>
      <w:r w:rsidR="002E3A78">
        <w:rPr>
          <w:rFonts w:ascii="Arial" w:hAnsi="Arial" w:cs="Arial"/>
        </w:rPr>
        <w:t xml:space="preserve"> 2007 1 All SA 375 (SCA) </w:t>
      </w:r>
      <w:r w:rsidRPr="002E3A78">
        <w:rPr>
          <w:rFonts w:ascii="Arial" w:hAnsi="Arial" w:cs="Arial"/>
        </w:rPr>
        <w:t xml:space="preserve">at </w:t>
      </w:r>
      <w:r w:rsidRPr="002E3A78">
        <w:rPr>
          <w:rFonts w:ascii="Arial" w:hAnsi="Arial" w:cs="Arial"/>
          <w:lang w:val="en-GB"/>
        </w:rPr>
        <w:t xml:space="preserve">para 5 </w:t>
      </w:r>
    </w:p>
  </w:footnote>
  <w:footnote w:id="16">
    <w:p w:rsidR="003A6194" w:rsidRPr="002E3A78" w:rsidRDefault="003A6194" w:rsidP="00387BBB">
      <w:pPr>
        <w:pStyle w:val="FootnoteText"/>
        <w:jc w:val="both"/>
        <w:rPr>
          <w:rFonts w:ascii="Arial" w:hAnsi="Arial" w:cs="Arial"/>
          <w:lang w:val="en-GB"/>
        </w:rPr>
      </w:pPr>
      <w:r w:rsidRPr="002E3A78">
        <w:rPr>
          <w:rStyle w:val="FootnoteReference"/>
          <w:rFonts w:ascii="Arial" w:hAnsi="Arial" w:cs="Arial"/>
        </w:rPr>
        <w:footnoteRef/>
      </w:r>
      <w:r w:rsidRPr="002E3A78">
        <w:rPr>
          <w:rFonts w:ascii="Arial" w:hAnsi="Arial" w:cs="Arial"/>
        </w:rPr>
        <w:t xml:space="preserve"> </w:t>
      </w:r>
      <w:r w:rsidRPr="002E3A78">
        <w:rPr>
          <w:rFonts w:ascii="Arial" w:hAnsi="Arial" w:cs="Arial"/>
          <w:lang w:val="en-GB"/>
        </w:rPr>
        <w:t xml:space="preserve">[2008] 3 All SA 47 (SCA) at </w:t>
      </w:r>
      <w:r w:rsidR="00FB5A83" w:rsidRPr="002E3A78">
        <w:rPr>
          <w:rFonts w:ascii="Arial" w:hAnsi="Arial" w:cs="Arial"/>
          <w:lang w:val="en-GB"/>
        </w:rPr>
        <w:t>para 62</w:t>
      </w:r>
      <w:r w:rsidRPr="002E3A78">
        <w:rPr>
          <w:rFonts w:ascii="Arial" w:hAnsi="Arial" w:cs="Arial"/>
          <w:lang w:val="en-GB"/>
        </w:rPr>
        <w:t xml:space="preserve"> </w:t>
      </w:r>
    </w:p>
  </w:footnote>
  <w:footnote w:id="17">
    <w:p w:rsidR="003A6194" w:rsidRPr="002E3A78" w:rsidRDefault="003A6194" w:rsidP="00387BBB">
      <w:pPr>
        <w:pStyle w:val="FootnoteText"/>
        <w:jc w:val="both"/>
        <w:rPr>
          <w:rFonts w:ascii="Arial" w:hAnsi="Arial" w:cs="Arial"/>
          <w:lang w:val="en-GB"/>
        </w:rPr>
      </w:pPr>
      <w:r w:rsidRPr="002E3A78">
        <w:rPr>
          <w:rStyle w:val="FootnoteReference"/>
          <w:rFonts w:ascii="Arial" w:hAnsi="Arial" w:cs="Arial"/>
        </w:rPr>
        <w:footnoteRef/>
      </w:r>
      <w:r w:rsidRPr="002E3A78">
        <w:rPr>
          <w:rFonts w:ascii="Arial" w:hAnsi="Arial" w:cs="Arial"/>
        </w:rPr>
        <w:t xml:space="preserve"> At </w:t>
      </w:r>
      <w:r w:rsidR="00FB5A83" w:rsidRPr="002E3A78">
        <w:rPr>
          <w:rFonts w:ascii="Arial" w:hAnsi="Arial" w:cs="Arial"/>
          <w:lang w:val="en-GB"/>
        </w:rPr>
        <w:t>para 62</w:t>
      </w:r>
      <w:r w:rsidRPr="002E3A78">
        <w:rPr>
          <w:rFonts w:ascii="Arial" w:hAnsi="Arial" w:cs="Arial"/>
          <w:lang w:val="en-GB"/>
        </w:rPr>
        <w:t xml:space="preserve"> </w:t>
      </w:r>
    </w:p>
  </w:footnote>
  <w:footnote w:id="18">
    <w:p w:rsidR="003A6194" w:rsidRPr="00FA3BBD" w:rsidRDefault="003A6194" w:rsidP="00387BBB">
      <w:pPr>
        <w:pStyle w:val="FootnoteText"/>
        <w:jc w:val="both"/>
        <w:rPr>
          <w:rFonts w:ascii="Arial" w:hAnsi="Arial" w:cs="Arial"/>
          <w:lang w:val="en-ZA"/>
        </w:rPr>
      </w:pPr>
      <w:r w:rsidRPr="002E3A78">
        <w:rPr>
          <w:rStyle w:val="FootnoteReference"/>
          <w:rFonts w:ascii="Arial" w:hAnsi="Arial" w:cs="Arial"/>
        </w:rPr>
        <w:footnoteRef/>
      </w:r>
      <w:r w:rsidRPr="002E3A78">
        <w:rPr>
          <w:rFonts w:ascii="Arial" w:hAnsi="Arial" w:cs="Arial"/>
        </w:rPr>
        <w:t xml:space="preserve"> </w:t>
      </w:r>
      <w:r w:rsidRPr="002E3A78">
        <w:rPr>
          <w:rFonts w:ascii="Arial" w:hAnsi="Arial" w:cs="Arial"/>
          <w:i/>
        </w:rPr>
        <w:t>Minister for Justice and Constitutional Development v Moleko</w:t>
      </w:r>
      <w:r w:rsidRPr="002E3A78">
        <w:rPr>
          <w:rFonts w:ascii="Arial" w:hAnsi="Arial" w:cs="Arial"/>
        </w:rPr>
        <w:t xml:space="preserve"> [2008] 3 All SA 47 (SCA) para 64</w:t>
      </w:r>
    </w:p>
  </w:footnote>
  <w:footnote w:id="19">
    <w:p w:rsidR="003A6194" w:rsidRPr="00FA3BBD" w:rsidRDefault="003A6194" w:rsidP="00387BBB">
      <w:pPr>
        <w:pStyle w:val="FootnoteText"/>
        <w:jc w:val="both"/>
        <w:rPr>
          <w:rFonts w:ascii="Arial" w:hAnsi="Arial" w:cs="Arial"/>
        </w:rPr>
      </w:pPr>
      <w:r w:rsidRPr="00FA3BBD">
        <w:rPr>
          <w:rStyle w:val="FootnoteReference"/>
          <w:rFonts w:ascii="Arial" w:hAnsi="Arial" w:cs="Arial"/>
        </w:rPr>
        <w:footnoteRef/>
      </w:r>
      <w:r w:rsidRPr="00FA3BBD">
        <w:rPr>
          <w:rFonts w:ascii="Arial" w:hAnsi="Arial" w:cs="Arial"/>
        </w:rPr>
        <w:t xml:space="preserve"> LAWSA para 321</w:t>
      </w:r>
    </w:p>
  </w:footnote>
  <w:footnote w:id="20">
    <w:p w:rsidR="003A6194" w:rsidRPr="00FA3BBD" w:rsidRDefault="003A6194" w:rsidP="00387BBB">
      <w:pPr>
        <w:pStyle w:val="FootnoteText"/>
        <w:jc w:val="both"/>
        <w:rPr>
          <w:rFonts w:ascii="Arial" w:hAnsi="Arial" w:cs="Arial"/>
        </w:rPr>
      </w:pPr>
      <w:r w:rsidRPr="00FA3BBD">
        <w:rPr>
          <w:rStyle w:val="FootnoteReference"/>
          <w:rFonts w:ascii="Arial" w:hAnsi="Arial" w:cs="Arial"/>
        </w:rPr>
        <w:footnoteRef/>
      </w:r>
      <w:r w:rsidR="00FB5A83">
        <w:rPr>
          <w:rFonts w:ascii="Arial" w:hAnsi="Arial" w:cs="Arial"/>
        </w:rPr>
        <w:t xml:space="preserve"> LAWSA para 322</w:t>
      </w:r>
    </w:p>
  </w:footnote>
  <w:footnote w:id="21">
    <w:p w:rsidR="003A6194" w:rsidRPr="00A5204B" w:rsidRDefault="003A6194" w:rsidP="00387BBB">
      <w:pPr>
        <w:pStyle w:val="FootnoteText"/>
        <w:jc w:val="both"/>
        <w:rPr>
          <w:rFonts w:ascii="Times New Roman" w:hAnsi="Times New Roman" w:cs="Times New Roman"/>
        </w:rPr>
      </w:pPr>
      <w:r w:rsidRPr="00FA3BBD">
        <w:rPr>
          <w:rStyle w:val="FootnoteReference"/>
          <w:rFonts w:ascii="Arial" w:hAnsi="Arial" w:cs="Arial"/>
        </w:rPr>
        <w:footnoteRef/>
      </w:r>
      <w:r w:rsidRPr="00FA3BBD">
        <w:rPr>
          <w:rFonts w:ascii="Arial" w:hAnsi="Arial" w:cs="Arial"/>
        </w:rPr>
        <w:t xml:space="preserve"> </w:t>
      </w:r>
      <w:r w:rsidRPr="00E1459C">
        <w:rPr>
          <w:rFonts w:ascii="Arial" w:hAnsi="Arial" w:cs="Arial"/>
          <w:i/>
        </w:rPr>
        <w:t xml:space="preserve">Neethling’s Law of Personality </w:t>
      </w:r>
      <w:r w:rsidR="00D60E2A">
        <w:rPr>
          <w:rFonts w:ascii="Arial" w:hAnsi="Arial" w:cs="Arial"/>
        </w:rPr>
        <w:t>(</w:t>
      </w:r>
      <w:r>
        <w:rPr>
          <w:rFonts w:ascii="Arial" w:hAnsi="Arial" w:cs="Arial"/>
        </w:rPr>
        <w:t>2</w:t>
      </w:r>
      <w:r w:rsidRPr="007020D1">
        <w:rPr>
          <w:rFonts w:ascii="Arial" w:hAnsi="Arial" w:cs="Arial"/>
          <w:vertAlign w:val="superscript"/>
        </w:rPr>
        <w:t>nd</w:t>
      </w:r>
      <w:r>
        <w:rPr>
          <w:rFonts w:ascii="Arial" w:hAnsi="Arial" w:cs="Arial"/>
        </w:rPr>
        <w:t xml:space="preserve"> </w:t>
      </w:r>
      <w:r w:rsidR="005C797C">
        <w:rPr>
          <w:rFonts w:ascii="Arial" w:hAnsi="Arial" w:cs="Arial"/>
        </w:rPr>
        <w:t>Ed</w:t>
      </w:r>
      <w:r>
        <w:rPr>
          <w:rFonts w:ascii="Arial" w:hAnsi="Arial" w:cs="Arial"/>
        </w:rPr>
        <w:t xml:space="preserve">) </w:t>
      </w:r>
      <w:r w:rsidRPr="00FA3BBD">
        <w:rPr>
          <w:rFonts w:ascii="Arial" w:hAnsi="Arial" w:cs="Arial"/>
        </w:rPr>
        <w:t>page 181</w:t>
      </w:r>
      <w:r w:rsidRPr="00A5204B">
        <w:rPr>
          <w:rFonts w:ascii="Times New Roman" w:hAnsi="Times New Roman" w:cs="Times New Roman"/>
        </w:rPr>
        <w:t>.</w:t>
      </w:r>
    </w:p>
  </w:footnote>
  <w:footnote w:id="22">
    <w:p w:rsidR="003A6194" w:rsidRPr="00D60E2A" w:rsidRDefault="003A6194" w:rsidP="00387BBB">
      <w:pPr>
        <w:pStyle w:val="FootnoteText"/>
        <w:jc w:val="both"/>
        <w:rPr>
          <w:rFonts w:ascii="Arial" w:hAnsi="Arial" w:cs="Arial"/>
          <w:lang w:val="en-ZA"/>
        </w:rPr>
      </w:pPr>
      <w:r w:rsidRPr="00D60E2A">
        <w:rPr>
          <w:rStyle w:val="FootnoteReference"/>
          <w:rFonts w:ascii="Arial" w:hAnsi="Arial" w:cs="Arial"/>
        </w:rPr>
        <w:footnoteRef/>
      </w:r>
      <w:r w:rsidRPr="00D60E2A">
        <w:rPr>
          <w:rFonts w:ascii="Arial" w:hAnsi="Arial" w:cs="Arial"/>
        </w:rPr>
        <w:t xml:space="preserve"> </w:t>
      </w:r>
      <w:r w:rsidRPr="00D60E2A">
        <w:rPr>
          <w:rFonts w:ascii="Arial" w:hAnsi="Arial" w:cs="Arial"/>
          <w:lang w:val="en-ZA"/>
        </w:rPr>
        <w:t xml:space="preserve">Maasdorp, </w:t>
      </w:r>
      <w:r w:rsidRPr="00D60E2A">
        <w:rPr>
          <w:rFonts w:ascii="Arial" w:hAnsi="Arial" w:cs="Arial"/>
          <w:i/>
          <w:lang w:val="en-ZA"/>
        </w:rPr>
        <w:t>The Institutes of Cape Law</w:t>
      </w:r>
      <w:r w:rsidRPr="00D60E2A">
        <w:rPr>
          <w:rFonts w:ascii="Arial" w:hAnsi="Arial" w:cs="Arial"/>
          <w:lang w:val="en-ZA"/>
        </w:rPr>
        <w:t xml:space="preserve"> (1909) Book III Part II Chapter X. </w:t>
      </w:r>
    </w:p>
  </w:footnote>
  <w:footnote w:id="23">
    <w:p w:rsidR="003A6194" w:rsidRPr="00D60E2A" w:rsidRDefault="003A6194" w:rsidP="00387BBB">
      <w:pPr>
        <w:pStyle w:val="FootnoteText"/>
        <w:jc w:val="both"/>
        <w:rPr>
          <w:rFonts w:ascii="Arial" w:hAnsi="Arial" w:cs="Arial"/>
          <w:lang w:val="en-ZA"/>
        </w:rPr>
      </w:pPr>
      <w:r w:rsidRPr="00D60E2A">
        <w:rPr>
          <w:rStyle w:val="FootnoteReference"/>
          <w:rFonts w:ascii="Arial" w:hAnsi="Arial" w:cs="Arial"/>
        </w:rPr>
        <w:footnoteRef/>
      </w:r>
      <w:r w:rsidRPr="00D60E2A">
        <w:rPr>
          <w:rFonts w:ascii="Arial" w:hAnsi="Arial" w:cs="Arial"/>
        </w:rPr>
        <w:t xml:space="preserve"> (1883-18184) 2 SC 43</w:t>
      </w:r>
    </w:p>
  </w:footnote>
  <w:footnote w:id="24">
    <w:p w:rsidR="003A6194" w:rsidRPr="004927CE" w:rsidRDefault="003A6194" w:rsidP="00387BBB">
      <w:pPr>
        <w:pStyle w:val="FootnoteText"/>
        <w:jc w:val="both"/>
        <w:rPr>
          <w:lang w:val="en-GB"/>
        </w:rPr>
      </w:pPr>
      <w:r w:rsidRPr="00D60E2A">
        <w:rPr>
          <w:rStyle w:val="FootnoteReference"/>
          <w:rFonts w:ascii="Arial" w:hAnsi="Arial" w:cs="Arial"/>
        </w:rPr>
        <w:footnoteRef/>
      </w:r>
      <w:r w:rsidRPr="00D60E2A">
        <w:rPr>
          <w:rFonts w:ascii="Arial" w:hAnsi="Arial" w:cs="Arial"/>
        </w:rPr>
        <w:t xml:space="preserve"> </w:t>
      </w:r>
      <w:r w:rsidR="00FB5A83" w:rsidRPr="00D60E2A">
        <w:rPr>
          <w:rFonts w:ascii="Arial" w:hAnsi="Arial" w:cs="Arial"/>
          <w:lang w:val="en-GB"/>
        </w:rPr>
        <w:t>At 54</w:t>
      </w:r>
    </w:p>
  </w:footnote>
  <w:footnote w:id="25">
    <w:p w:rsidR="003A6194" w:rsidRPr="002C6B6D" w:rsidRDefault="003A6194" w:rsidP="000B16E1">
      <w:pPr>
        <w:pStyle w:val="FootnoteText"/>
        <w:rPr>
          <w:lang w:val="en-ZA"/>
        </w:rPr>
      </w:pPr>
    </w:p>
  </w:footnote>
  <w:footnote w:id="26">
    <w:p w:rsidR="003A6194" w:rsidRPr="00C01BFC" w:rsidRDefault="003A6194" w:rsidP="00FA66E4">
      <w:pPr>
        <w:pStyle w:val="FootnoteText"/>
        <w:jc w:val="both"/>
        <w:rPr>
          <w:rFonts w:ascii="Arial" w:hAnsi="Arial" w:cs="Arial"/>
          <w:i/>
        </w:rPr>
      </w:pPr>
      <w:r w:rsidRPr="00C01BFC">
        <w:rPr>
          <w:rStyle w:val="FootnoteReference"/>
          <w:rFonts w:ascii="Arial" w:hAnsi="Arial" w:cs="Arial"/>
        </w:rPr>
        <w:footnoteRef/>
      </w:r>
      <w:r w:rsidRPr="00C01BFC">
        <w:rPr>
          <w:rFonts w:ascii="Arial" w:hAnsi="Arial" w:cs="Arial"/>
        </w:rPr>
        <w:t xml:space="preserve"> </w:t>
      </w:r>
      <w:r w:rsidRPr="00C01BFC">
        <w:rPr>
          <w:rFonts w:ascii="Arial" w:hAnsi="Arial" w:cs="Arial"/>
          <w:i/>
          <w:color w:val="000000" w:themeColor="text1"/>
        </w:rPr>
        <w:t xml:space="preserve">JS v LC </w:t>
      </w:r>
      <w:r w:rsidRPr="00C01BFC">
        <w:rPr>
          <w:rFonts w:ascii="Arial" w:hAnsi="Arial" w:cs="Arial"/>
          <w:color w:val="000000" w:themeColor="text1"/>
        </w:rPr>
        <w:t xml:space="preserve">2016 (4) NR 939 (SC); </w:t>
      </w:r>
      <w:r w:rsidRPr="00C01BFC">
        <w:rPr>
          <w:rFonts w:ascii="Arial" w:hAnsi="Arial" w:cs="Arial"/>
          <w:i/>
          <w:color w:val="000000" w:themeColor="text1"/>
        </w:rPr>
        <w:t>RH v DE</w:t>
      </w:r>
      <w:r w:rsidRPr="00C01BFC">
        <w:rPr>
          <w:rFonts w:ascii="Arial" w:hAnsi="Arial" w:cs="Arial"/>
          <w:color w:val="000000" w:themeColor="text1"/>
        </w:rPr>
        <w:t xml:space="preserve"> 2014 (6) SA 436 (SCA) ([2014] ZASCA 133</w:t>
      </w:r>
    </w:p>
  </w:footnote>
  <w:footnote w:id="27">
    <w:p w:rsidR="003A6194" w:rsidRDefault="003A6194" w:rsidP="00FA66E4">
      <w:pPr>
        <w:pStyle w:val="FootnoteText"/>
        <w:jc w:val="both"/>
      </w:pPr>
      <w:r w:rsidRPr="00C01BFC">
        <w:rPr>
          <w:rStyle w:val="FootnoteReference"/>
          <w:rFonts w:ascii="Arial" w:hAnsi="Arial" w:cs="Arial"/>
        </w:rPr>
        <w:footnoteRef/>
      </w:r>
      <w:r w:rsidR="00FB5A83">
        <w:rPr>
          <w:rFonts w:ascii="Arial" w:hAnsi="Arial" w:cs="Arial"/>
        </w:rPr>
        <w:t xml:space="preserve"> 2011 NSWDC 67</w:t>
      </w:r>
    </w:p>
  </w:footnote>
  <w:footnote w:id="28">
    <w:p w:rsidR="003A6194" w:rsidRPr="001C4D74" w:rsidRDefault="003A6194" w:rsidP="00FA66E4">
      <w:pPr>
        <w:pStyle w:val="FootnoteText"/>
        <w:jc w:val="both"/>
        <w:rPr>
          <w:rFonts w:ascii="Arial" w:hAnsi="Arial" w:cs="Arial"/>
        </w:rPr>
      </w:pPr>
      <w:r w:rsidRPr="001C4D74">
        <w:rPr>
          <w:rStyle w:val="FootnoteReference"/>
          <w:rFonts w:ascii="Arial" w:hAnsi="Arial" w:cs="Arial"/>
        </w:rPr>
        <w:footnoteRef/>
      </w:r>
      <w:r w:rsidRPr="001C4D74">
        <w:rPr>
          <w:rFonts w:ascii="Arial" w:hAnsi="Arial" w:cs="Arial"/>
        </w:rPr>
        <w:t xml:space="preserve"> 2009</w:t>
      </w:r>
      <w:r>
        <w:rPr>
          <w:rFonts w:ascii="Arial" w:hAnsi="Arial" w:cs="Arial"/>
        </w:rPr>
        <w:t xml:space="preserve"> NSWSC 116</w:t>
      </w:r>
    </w:p>
  </w:footnote>
  <w:footnote w:id="29">
    <w:p w:rsidR="003A6194" w:rsidRPr="00111F6E" w:rsidRDefault="003A6194" w:rsidP="000B16E1">
      <w:pPr>
        <w:pStyle w:val="FootnoteText"/>
        <w:rPr>
          <w:rFonts w:ascii="Arial" w:hAnsi="Arial" w:cs="Arial"/>
          <w:lang w:val="en-ZA"/>
        </w:rPr>
      </w:pPr>
      <w:r w:rsidRPr="00111F6E">
        <w:rPr>
          <w:rStyle w:val="FootnoteReference"/>
          <w:rFonts w:ascii="Arial" w:hAnsi="Arial" w:cs="Arial"/>
        </w:rPr>
        <w:footnoteRef/>
      </w:r>
      <w:r w:rsidRPr="00111F6E">
        <w:rPr>
          <w:rFonts w:ascii="Arial" w:hAnsi="Arial" w:cs="Arial"/>
        </w:rPr>
        <w:t xml:space="preserve"> </w:t>
      </w:r>
      <w:r w:rsidRPr="00111F6E">
        <w:rPr>
          <w:rFonts w:ascii="Arial" w:hAnsi="Arial" w:cs="Arial"/>
          <w:lang w:val="en-ZA"/>
        </w:rPr>
        <w:t>1924 CPD 155 at 162</w:t>
      </w:r>
    </w:p>
  </w:footnote>
  <w:footnote w:id="30">
    <w:p w:rsidR="003A6194" w:rsidRDefault="003A6194" w:rsidP="000B16E1">
      <w:pPr>
        <w:pStyle w:val="FootnoteText"/>
        <w:jc w:val="both"/>
      </w:pPr>
      <w:r w:rsidRPr="00111F6E">
        <w:rPr>
          <w:rStyle w:val="FootnoteReference"/>
          <w:rFonts w:ascii="Arial" w:hAnsi="Arial" w:cs="Arial"/>
        </w:rPr>
        <w:footnoteRef/>
      </w:r>
      <w:r w:rsidRPr="00111F6E">
        <w:rPr>
          <w:rFonts w:ascii="Arial" w:hAnsi="Arial" w:cs="Arial"/>
        </w:rPr>
        <w:t xml:space="preserve"> </w:t>
      </w:r>
      <w:r w:rsidRPr="000C5DD5">
        <w:rPr>
          <w:rFonts w:ascii="Arial" w:hAnsi="Arial" w:cs="Arial"/>
        </w:rPr>
        <w:t>1878</w:t>
      </w:r>
      <w:r>
        <w:rPr>
          <w:rFonts w:ascii="Arial" w:hAnsi="Arial" w:cs="Arial"/>
        </w:rPr>
        <w:t xml:space="preserve"> 8 QBD 167 at 171</w:t>
      </w:r>
    </w:p>
  </w:footnote>
  <w:footnote w:id="31">
    <w:p w:rsidR="003A6194" w:rsidRPr="00E125D0" w:rsidRDefault="003A6194" w:rsidP="00FA66E4">
      <w:pPr>
        <w:pStyle w:val="FootnoteText"/>
        <w:jc w:val="both"/>
        <w:rPr>
          <w:rFonts w:ascii="Arial" w:hAnsi="Arial" w:cs="Arial"/>
          <w:lang w:val="en-GB"/>
        </w:rPr>
      </w:pPr>
      <w:r w:rsidRPr="00E125D0">
        <w:rPr>
          <w:rStyle w:val="FootnoteReference"/>
          <w:rFonts w:ascii="Arial" w:hAnsi="Arial" w:cs="Arial"/>
        </w:rPr>
        <w:footnoteRef/>
      </w:r>
      <w:r w:rsidRPr="00E125D0">
        <w:rPr>
          <w:rFonts w:ascii="Arial" w:hAnsi="Arial" w:cs="Arial"/>
        </w:rPr>
        <w:t xml:space="preserve"> </w:t>
      </w:r>
      <w:r w:rsidRPr="00E125D0">
        <w:rPr>
          <w:rFonts w:ascii="Arial" w:hAnsi="Arial" w:cs="Arial"/>
          <w:lang w:val="en-GB"/>
        </w:rPr>
        <w:t>At 709I-710A</w:t>
      </w:r>
    </w:p>
  </w:footnote>
  <w:footnote w:id="32">
    <w:p w:rsidR="003A6194" w:rsidRPr="00E125D0" w:rsidRDefault="003A6194" w:rsidP="00FA66E4">
      <w:pPr>
        <w:pStyle w:val="FootnoteText"/>
        <w:jc w:val="both"/>
        <w:rPr>
          <w:rFonts w:ascii="Arial" w:hAnsi="Arial" w:cs="Arial"/>
          <w:lang w:val="en-ZA"/>
        </w:rPr>
      </w:pPr>
      <w:r w:rsidRPr="00E125D0">
        <w:rPr>
          <w:rStyle w:val="FootnoteReference"/>
          <w:rFonts w:ascii="Arial" w:hAnsi="Arial" w:cs="Arial"/>
        </w:rPr>
        <w:footnoteRef/>
      </w:r>
      <w:r w:rsidRPr="00E125D0">
        <w:rPr>
          <w:rFonts w:ascii="Arial" w:hAnsi="Arial" w:cs="Arial"/>
        </w:rPr>
        <w:t xml:space="preserve"> </w:t>
      </w:r>
      <w:r w:rsidRPr="00E125D0">
        <w:rPr>
          <w:rFonts w:ascii="Arial" w:hAnsi="Arial" w:cs="Arial"/>
          <w:color w:val="000000" w:themeColor="text1"/>
        </w:rPr>
        <w:t xml:space="preserve">1975 (1) SA 481 (A) </w:t>
      </w:r>
    </w:p>
  </w:footnote>
  <w:footnote w:id="33">
    <w:p w:rsidR="003A6194" w:rsidRPr="00E125D0" w:rsidRDefault="003A6194" w:rsidP="00FA66E4">
      <w:pPr>
        <w:pStyle w:val="FootnoteText"/>
        <w:jc w:val="both"/>
        <w:rPr>
          <w:rFonts w:ascii="Arial" w:hAnsi="Arial" w:cs="Arial"/>
          <w:lang w:val="en-GB"/>
        </w:rPr>
      </w:pPr>
      <w:r w:rsidRPr="00E125D0">
        <w:rPr>
          <w:rStyle w:val="FootnoteReference"/>
          <w:rFonts w:ascii="Arial" w:hAnsi="Arial" w:cs="Arial"/>
        </w:rPr>
        <w:footnoteRef/>
      </w:r>
      <w:r w:rsidRPr="00E125D0">
        <w:rPr>
          <w:rFonts w:ascii="Arial" w:hAnsi="Arial" w:cs="Arial"/>
        </w:rPr>
        <w:t xml:space="preserve"> </w:t>
      </w:r>
      <w:r w:rsidRPr="00E125D0">
        <w:rPr>
          <w:rFonts w:ascii="Arial" w:hAnsi="Arial" w:cs="Arial"/>
          <w:lang w:val="en-GB"/>
        </w:rPr>
        <w:t>At 495H</w:t>
      </w:r>
    </w:p>
  </w:footnote>
  <w:footnote w:id="34">
    <w:p w:rsidR="003A6194" w:rsidRPr="00CF6B3C" w:rsidRDefault="003A6194" w:rsidP="00FA66E4">
      <w:pPr>
        <w:pStyle w:val="FootnoteText"/>
        <w:jc w:val="both"/>
        <w:rPr>
          <w:rFonts w:ascii="Arial" w:hAnsi="Arial" w:cs="Arial"/>
          <w:lang w:val="en-ZA"/>
        </w:rPr>
      </w:pPr>
      <w:r w:rsidRPr="00E125D0">
        <w:rPr>
          <w:rStyle w:val="FootnoteReference"/>
          <w:rFonts w:ascii="Arial" w:hAnsi="Arial" w:cs="Arial"/>
        </w:rPr>
        <w:footnoteRef/>
      </w:r>
      <w:r w:rsidRPr="00E125D0">
        <w:rPr>
          <w:rFonts w:ascii="Arial" w:hAnsi="Arial" w:cs="Arial"/>
        </w:rPr>
        <w:t xml:space="preserve"> At para 14</w:t>
      </w:r>
      <w:r w:rsidRPr="00CF6B3C">
        <w:rPr>
          <w:rFonts w:ascii="Arial" w:hAnsi="Arial" w:cs="Arial"/>
        </w:rPr>
        <w:t xml:space="preserve">  </w:t>
      </w:r>
      <w:r w:rsidRPr="00CF6B3C">
        <w:rPr>
          <w:rFonts w:ascii="Arial" w:hAnsi="Arial" w:cs="Arial"/>
          <w:color w:val="000000" w:themeColor="text1"/>
        </w:rPr>
        <w:t xml:space="preserve">  </w:t>
      </w:r>
    </w:p>
  </w:footnote>
  <w:footnote w:id="35">
    <w:p w:rsidR="003A6194" w:rsidRPr="00692B2C" w:rsidRDefault="003A6194" w:rsidP="00FA66E4">
      <w:pPr>
        <w:pStyle w:val="FootnoteText"/>
        <w:jc w:val="both"/>
        <w:rPr>
          <w:rFonts w:ascii="Arial" w:hAnsi="Arial" w:cs="Arial"/>
        </w:rPr>
      </w:pPr>
      <w:r w:rsidRPr="00692B2C">
        <w:rPr>
          <w:rStyle w:val="FootnoteReference"/>
          <w:rFonts w:ascii="Arial" w:hAnsi="Arial" w:cs="Arial"/>
        </w:rPr>
        <w:footnoteRef/>
      </w:r>
      <w:r w:rsidRPr="00692B2C">
        <w:rPr>
          <w:rFonts w:ascii="Arial" w:hAnsi="Arial" w:cs="Arial"/>
        </w:rPr>
        <w:t xml:space="preserve"> </w:t>
      </w:r>
      <w:r w:rsidRPr="00692B2C">
        <w:rPr>
          <w:rFonts w:ascii="Arial" w:hAnsi="Arial" w:cs="Arial"/>
          <w:color w:val="000000" w:themeColor="text1"/>
        </w:rPr>
        <w:t>1955 (1) SA 129 (A) at 136A-B</w:t>
      </w:r>
    </w:p>
  </w:footnote>
  <w:footnote w:id="36">
    <w:p w:rsidR="003A6194" w:rsidRPr="00692B2C" w:rsidRDefault="003A6194" w:rsidP="00FA66E4">
      <w:pPr>
        <w:pStyle w:val="FootnoteText"/>
        <w:jc w:val="both"/>
        <w:rPr>
          <w:rFonts w:ascii="Arial" w:hAnsi="Arial" w:cs="Arial"/>
          <w:lang w:val="en-GB"/>
        </w:rPr>
      </w:pPr>
      <w:r w:rsidRPr="00692B2C">
        <w:rPr>
          <w:rStyle w:val="FootnoteReference"/>
          <w:rFonts w:ascii="Arial" w:hAnsi="Arial" w:cs="Arial"/>
        </w:rPr>
        <w:footnoteRef/>
      </w:r>
      <w:r w:rsidRPr="00692B2C">
        <w:rPr>
          <w:rFonts w:ascii="Arial" w:hAnsi="Arial" w:cs="Arial"/>
        </w:rPr>
        <w:t xml:space="preserve"> </w:t>
      </w:r>
      <w:r w:rsidRPr="00692B2C">
        <w:rPr>
          <w:rFonts w:ascii="Arial" w:hAnsi="Arial" w:cs="Arial"/>
          <w:lang w:val="en-GB"/>
        </w:rPr>
        <w:t>At 173</w:t>
      </w:r>
    </w:p>
  </w:footnote>
  <w:footnote w:id="37">
    <w:p w:rsidR="003A6194" w:rsidRPr="004233A0" w:rsidRDefault="003A6194" w:rsidP="00FA66E4">
      <w:pPr>
        <w:pStyle w:val="FootnoteText"/>
        <w:jc w:val="both"/>
        <w:rPr>
          <w:lang w:val="en-GB"/>
        </w:rPr>
      </w:pPr>
      <w:r w:rsidRPr="00692B2C">
        <w:rPr>
          <w:rStyle w:val="FootnoteReference"/>
          <w:rFonts w:ascii="Arial" w:hAnsi="Arial" w:cs="Arial"/>
        </w:rPr>
        <w:footnoteRef/>
      </w:r>
      <w:r w:rsidRPr="00692B2C">
        <w:rPr>
          <w:rFonts w:ascii="Arial" w:hAnsi="Arial" w:cs="Arial"/>
        </w:rPr>
        <w:t xml:space="preserve"> Id.</w:t>
      </w:r>
    </w:p>
  </w:footnote>
  <w:footnote w:id="38">
    <w:p w:rsidR="00826766" w:rsidRPr="00692B2C" w:rsidRDefault="00826766" w:rsidP="00FA66E4">
      <w:pPr>
        <w:pStyle w:val="FootnoteText"/>
        <w:jc w:val="both"/>
        <w:rPr>
          <w:rFonts w:ascii="Arial" w:hAnsi="Arial" w:cs="Arial"/>
          <w:lang w:val="en-GB"/>
        </w:rPr>
      </w:pPr>
      <w:r w:rsidRPr="00692B2C">
        <w:rPr>
          <w:rStyle w:val="FootnoteReference"/>
          <w:rFonts w:ascii="Arial" w:hAnsi="Arial" w:cs="Arial"/>
        </w:rPr>
        <w:footnoteRef/>
      </w:r>
      <w:r w:rsidRPr="00692B2C">
        <w:rPr>
          <w:rFonts w:ascii="Arial" w:hAnsi="Arial" w:cs="Arial"/>
        </w:rPr>
        <w:t xml:space="preserve"> </w:t>
      </w:r>
      <w:r w:rsidRPr="00692B2C">
        <w:rPr>
          <w:rFonts w:ascii="Arial" w:hAnsi="Arial" w:cs="Arial"/>
          <w:lang w:val="en-GB"/>
        </w:rPr>
        <w:t xml:space="preserve">This should have read November 2011. </w:t>
      </w:r>
    </w:p>
  </w:footnote>
  <w:footnote w:id="39">
    <w:p w:rsidR="003A6194" w:rsidRPr="000C73AA" w:rsidRDefault="003A6194" w:rsidP="00302801">
      <w:pPr>
        <w:pStyle w:val="FootnoteText"/>
        <w:jc w:val="both"/>
        <w:rPr>
          <w:rFonts w:ascii="Arial" w:hAnsi="Arial" w:cs="Arial"/>
          <w:color w:val="000000" w:themeColor="text1"/>
          <w:lang w:val="en-ZA"/>
        </w:rPr>
      </w:pPr>
      <w:r w:rsidRPr="000C73AA">
        <w:rPr>
          <w:rStyle w:val="FootnoteReference"/>
          <w:rFonts w:ascii="Arial" w:hAnsi="Arial" w:cs="Arial"/>
          <w:color w:val="000000" w:themeColor="text1"/>
        </w:rPr>
        <w:footnoteRef/>
      </w:r>
      <w:r w:rsidRPr="000C73AA">
        <w:rPr>
          <w:rFonts w:ascii="Arial" w:hAnsi="Arial" w:cs="Arial"/>
          <w:color w:val="000000" w:themeColor="text1"/>
        </w:rPr>
        <w:t xml:space="preserve"> 1990 (3) SA 466 (BG)</w:t>
      </w:r>
    </w:p>
  </w:footnote>
  <w:footnote w:id="40">
    <w:p w:rsidR="003A6194" w:rsidRPr="00F25514" w:rsidRDefault="003A6194" w:rsidP="00302801">
      <w:pPr>
        <w:pStyle w:val="FootnoteText"/>
        <w:jc w:val="both"/>
        <w:rPr>
          <w:rFonts w:ascii="Arial" w:hAnsi="Arial" w:cs="Arial"/>
          <w:lang w:val="en-ZA"/>
        </w:rPr>
      </w:pPr>
      <w:r w:rsidRPr="00F25514">
        <w:rPr>
          <w:rStyle w:val="FootnoteReference"/>
          <w:rFonts w:ascii="Arial" w:hAnsi="Arial" w:cs="Arial"/>
        </w:rPr>
        <w:footnoteRef/>
      </w:r>
      <w:r w:rsidRPr="00F25514">
        <w:rPr>
          <w:rFonts w:ascii="Arial" w:hAnsi="Arial" w:cs="Arial"/>
        </w:rPr>
        <w:t xml:space="preserve"> </w:t>
      </w:r>
      <w:r w:rsidRPr="00F25514">
        <w:rPr>
          <w:rFonts w:ascii="Arial" w:hAnsi="Arial" w:cs="Arial"/>
          <w:color w:val="000000" w:themeColor="text1"/>
        </w:rPr>
        <w:t>2003 (2) SACR 319 (CC)</w:t>
      </w:r>
    </w:p>
  </w:footnote>
  <w:footnote w:id="41">
    <w:p w:rsidR="003A6194" w:rsidRPr="00692B2C" w:rsidRDefault="003A6194" w:rsidP="009211E3">
      <w:pPr>
        <w:pStyle w:val="FootnoteText"/>
        <w:jc w:val="both"/>
        <w:rPr>
          <w:rFonts w:ascii="Arial" w:hAnsi="Arial" w:cs="Arial"/>
          <w:lang w:val="en-GB"/>
        </w:rPr>
      </w:pPr>
      <w:r w:rsidRPr="00692B2C">
        <w:rPr>
          <w:rStyle w:val="FootnoteReference"/>
          <w:rFonts w:ascii="Arial" w:hAnsi="Arial" w:cs="Arial"/>
        </w:rPr>
        <w:footnoteRef/>
      </w:r>
      <w:r w:rsidRPr="00692B2C">
        <w:rPr>
          <w:rFonts w:ascii="Arial" w:hAnsi="Arial" w:cs="Arial"/>
        </w:rPr>
        <w:t xml:space="preserve"> </w:t>
      </w:r>
      <w:r w:rsidRPr="00692B2C">
        <w:rPr>
          <w:rFonts w:ascii="Arial" w:hAnsi="Arial" w:cs="Arial"/>
          <w:lang w:val="en-GB"/>
        </w:rPr>
        <w:t>2015 (1) 58 (SC)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2293649"/>
      <w:docPartObj>
        <w:docPartGallery w:val="Page Numbers (Top of Page)"/>
        <w:docPartUnique/>
      </w:docPartObj>
    </w:sdtPr>
    <w:sdtEndPr>
      <w:rPr>
        <w:noProof/>
      </w:rPr>
    </w:sdtEndPr>
    <w:sdtContent>
      <w:p w:rsidR="003A6194" w:rsidRDefault="003A6194">
        <w:pPr>
          <w:pStyle w:val="Header"/>
          <w:jc w:val="right"/>
        </w:pPr>
        <w:r>
          <w:fldChar w:fldCharType="begin"/>
        </w:r>
        <w:r>
          <w:instrText xml:space="preserve"> PAGE   \* MERGEFORMAT </w:instrText>
        </w:r>
        <w:r>
          <w:fldChar w:fldCharType="separate"/>
        </w:r>
        <w:r w:rsidR="00447203">
          <w:rPr>
            <w:noProof/>
          </w:rPr>
          <w:t>21</w:t>
        </w:r>
        <w:r>
          <w:rPr>
            <w:noProof/>
          </w:rPr>
          <w:fldChar w:fldCharType="end"/>
        </w:r>
      </w:p>
    </w:sdtContent>
  </w:sdt>
  <w:p w:rsidR="003A6194" w:rsidRDefault="003A619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70817"/>
    <w:multiLevelType w:val="hybridMultilevel"/>
    <w:tmpl w:val="37668B96"/>
    <w:lvl w:ilvl="0" w:tplc="5B6A857E">
      <w:start w:val="1"/>
      <w:numFmt w:val="decimal"/>
      <w:lvlText w:val="[%1]"/>
      <w:lvlJc w:val="left"/>
      <w:pPr>
        <w:ind w:left="720" w:hanging="360"/>
      </w:pPr>
      <w:rPr>
        <w:rFonts w:ascii="Arial" w:hAnsi="Arial" w:cs="Arial" w:hint="default"/>
        <w:b w:val="0"/>
        <w:i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BF52A6"/>
    <w:multiLevelType w:val="hybridMultilevel"/>
    <w:tmpl w:val="CA78F332"/>
    <w:lvl w:ilvl="0" w:tplc="5D366FA0">
      <w:start w:val="20"/>
      <w:numFmt w:val="decimal"/>
      <w:lvlText w:val="[%1]"/>
      <w:lvlJc w:val="left"/>
      <w:pPr>
        <w:ind w:left="720" w:hanging="360"/>
      </w:pPr>
      <w:rPr>
        <w:rFonts w:hint="default"/>
        <w:i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48E6DD5"/>
    <w:multiLevelType w:val="hybridMultilevel"/>
    <w:tmpl w:val="D820BCFE"/>
    <w:lvl w:ilvl="0" w:tplc="2A98705C">
      <w:start w:val="12"/>
      <w:numFmt w:val="decimal"/>
      <w:lvlText w:val="%1."/>
      <w:lvlJc w:val="left"/>
      <w:pPr>
        <w:ind w:left="1080" w:hanging="360"/>
      </w:pPr>
      <w:rPr>
        <w:rFonts w:hint="default"/>
        <w:color w:val="auto"/>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15:restartNumberingAfterBreak="0">
    <w:nsid w:val="05F70CAB"/>
    <w:multiLevelType w:val="hybridMultilevel"/>
    <w:tmpl w:val="382E8862"/>
    <w:lvl w:ilvl="0" w:tplc="5D366FA0">
      <w:start w:val="20"/>
      <w:numFmt w:val="decimal"/>
      <w:lvlText w:val="[%1]"/>
      <w:lvlJc w:val="left"/>
      <w:pPr>
        <w:ind w:left="720" w:hanging="360"/>
      </w:pPr>
      <w:rPr>
        <w:rFonts w:hint="default"/>
        <w:i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0AEB7B07"/>
    <w:multiLevelType w:val="hybridMultilevel"/>
    <w:tmpl w:val="C92E9BA0"/>
    <w:lvl w:ilvl="0" w:tplc="B78C0D8C">
      <w:start w:val="1"/>
      <w:numFmt w:val="lowerLetter"/>
      <w:lvlText w:val="%1)"/>
      <w:lvlJc w:val="left"/>
      <w:pPr>
        <w:ind w:left="1080" w:hanging="360"/>
      </w:pPr>
      <w:rPr>
        <w:rFonts w:hint="default"/>
        <w:sz w:val="22"/>
        <w:szCs w:val="22"/>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15:restartNumberingAfterBreak="0">
    <w:nsid w:val="0C8D233F"/>
    <w:multiLevelType w:val="hybridMultilevel"/>
    <w:tmpl w:val="B212052A"/>
    <w:lvl w:ilvl="0" w:tplc="8A22BCD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15:restartNumberingAfterBreak="0">
    <w:nsid w:val="0EBE310B"/>
    <w:multiLevelType w:val="hybridMultilevel"/>
    <w:tmpl w:val="E062C0BA"/>
    <w:lvl w:ilvl="0" w:tplc="5D366FA0">
      <w:start w:val="20"/>
      <w:numFmt w:val="decimal"/>
      <w:lvlText w:val="[%1]"/>
      <w:lvlJc w:val="left"/>
      <w:pPr>
        <w:ind w:left="720" w:hanging="360"/>
      </w:pPr>
      <w:rPr>
        <w:rFonts w:hint="default"/>
        <w:i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12D535E8"/>
    <w:multiLevelType w:val="hybridMultilevel"/>
    <w:tmpl w:val="95E05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ED4166"/>
    <w:multiLevelType w:val="hybridMultilevel"/>
    <w:tmpl w:val="F6640298"/>
    <w:lvl w:ilvl="0" w:tplc="75B64176">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30E2D8D"/>
    <w:multiLevelType w:val="hybridMultilevel"/>
    <w:tmpl w:val="46942958"/>
    <w:lvl w:ilvl="0" w:tplc="017438E6">
      <w:start w:val="1"/>
      <w:numFmt w:val="decimal"/>
      <w:lvlText w:val="[%1]"/>
      <w:lvlJc w:val="left"/>
      <w:pPr>
        <w:ind w:left="720" w:hanging="360"/>
      </w:pPr>
      <w:rPr>
        <w:rFonts w:hint="default"/>
        <w:i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13280773"/>
    <w:multiLevelType w:val="hybridMultilevel"/>
    <w:tmpl w:val="23E6AA24"/>
    <w:lvl w:ilvl="0" w:tplc="C97C2A38">
      <w:start w:val="1"/>
      <w:numFmt w:val="decimal"/>
      <w:lvlText w:val="[%1]"/>
      <w:lvlJc w:val="left"/>
      <w:pPr>
        <w:ind w:left="720" w:hanging="360"/>
      </w:pPr>
      <w:rPr>
        <w:rFonts w:ascii="Arial" w:hAnsi="Arial" w:cs="Arial" w:hint="default"/>
        <w:i w:val="0"/>
        <w:sz w:val="24"/>
        <w:szCs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153D032E"/>
    <w:multiLevelType w:val="hybridMultilevel"/>
    <w:tmpl w:val="8BD610B8"/>
    <w:lvl w:ilvl="0" w:tplc="75B64176">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5534476"/>
    <w:multiLevelType w:val="hybridMultilevel"/>
    <w:tmpl w:val="C1125936"/>
    <w:lvl w:ilvl="0" w:tplc="5B6A857E">
      <w:start w:val="1"/>
      <w:numFmt w:val="decimal"/>
      <w:lvlText w:val="[%1]"/>
      <w:lvlJc w:val="left"/>
      <w:pPr>
        <w:ind w:left="720" w:hanging="360"/>
      </w:pPr>
      <w:rPr>
        <w:rFonts w:ascii="Arial" w:hAnsi="Arial" w:cs="Arial" w:hint="default"/>
        <w:b w:val="0"/>
        <w:i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58B3226"/>
    <w:multiLevelType w:val="hybridMultilevel"/>
    <w:tmpl w:val="C130F758"/>
    <w:lvl w:ilvl="0" w:tplc="75B64176">
      <w:start w:val="1"/>
      <w:numFmt w:val="decimal"/>
      <w:lvlText w:val="[%1]"/>
      <w:lvlJc w:val="left"/>
      <w:pPr>
        <w:ind w:left="864" w:hanging="144"/>
      </w:pPr>
      <w:rPr>
        <w:rFonts w:hint="default"/>
        <w:i w:val="0"/>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1B246284"/>
    <w:multiLevelType w:val="hybridMultilevel"/>
    <w:tmpl w:val="5C580E5E"/>
    <w:lvl w:ilvl="0" w:tplc="75B64176">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F69437C"/>
    <w:multiLevelType w:val="hybridMultilevel"/>
    <w:tmpl w:val="3E0CB008"/>
    <w:lvl w:ilvl="0" w:tplc="9BCECC08">
      <w:start w:val="1"/>
      <w:numFmt w:val="decimal"/>
      <w:lvlText w:val="67.%1"/>
      <w:lvlJc w:val="center"/>
      <w:pPr>
        <w:ind w:left="108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242264AB"/>
    <w:multiLevelType w:val="hybridMultilevel"/>
    <w:tmpl w:val="C8840AE2"/>
    <w:lvl w:ilvl="0" w:tplc="E7C6560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25AF5CB0"/>
    <w:multiLevelType w:val="hybridMultilevel"/>
    <w:tmpl w:val="2ABA6ADA"/>
    <w:lvl w:ilvl="0" w:tplc="75B64176">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7407B05"/>
    <w:multiLevelType w:val="hybridMultilevel"/>
    <w:tmpl w:val="74E848EC"/>
    <w:lvl w:ilvl="0" w:tplc="9BCECC08">
      <w:start w:val="1"/>
      <w:numFmt w:val="decimal"/>
      <w:lvlText w:val="67.%1"/>
      <w:lvlJc w:val="center"/>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A5A0289"/>
    <w:multiLevelType w:val="hybridMultilevel"/>
    <w:tmpl w:val="F45ABC5C"/>
    <w:lvl w:ilvl="0" w:tplc="5D366FA0">
      <w:start w:val="20"/>
      <w:numFmt w:val="decimal"/>
      <w:lvlText w:val="[%1]"/>
      <w:lvlJc w:val="left"/>
      <w:pPr>
        <w:ind w:left="720" w:hanging="360"/>
      </w:pPr>
      <w:rPr>
        <w:rFonts w:hint="default"/>
        <w:i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305E4242"/>
    <w:multiLevelType w:val="hybridMultilevel"/>
    <w:tmpl w:val="625AA232"/>
    <w:lvl w:ilvl="0" w:tplc="2F009200">
      <w:start w:val="1"/>
      <w:numFmt w:val="lowerRoman"/>
      <w:lvlText w:val="(%1)"/>
      <w:lvlJc w:val="left"/>
      <w:pPr>
        <w:ind w:left="180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322164E8"/>
    <w:multiLevelType w:val="hybridMultilevel"/>
    <w:tmpl w:val="F8F6AC5A"/>
    <w:lvl w:ilvl="0" w:tplc="A81CAEE4">
      <w:start w:val="1"/>
      <w:numFmt w:val="lowerLetter"/>
      <w:lvlText w:val="(%1)"/>
      <w:lvlJc w:val="left"/>
      <w:pPr>
        <w:ind w:left="1494" w:hanging="360"/>
      </w:pPr>
      <w:rPr>
        <w:rFonts w:hint="default"/>
      </w:rPr>
    </w:lvl>
    <w:lvl w:ilvl="1" w:tplc="1C090019" w:tentative="1">
      <w:start w:val="1"/>
      <w:numFmt w:val="lowerLetter"/>
      <w:lvlText w:val="%2."/>
      <w:lvlJc w:val="left"/>
      <w:pPr>
        <w:ind w:left="2214" w:hanging="360"/>
      </w:pPr>
    </w:lvl>
    <w:lvl w:ilvl="2" w:tplc="1C09001B" w:tentative="1">
      <w:start w:val="1"/>
      <w:numFmt w:val="lowerRoman"/>
      <w:lvlText w:val="%3."/>
      <w:lvlJc w:val="right"/>
      <w:pPr>
        <w:ind w:left="2934" w:hanging="180"/>
      </w:pPr>
    </w:lvl>
    <w:lvl w:ilvl="3" w:tplc="1C09000F" w:tentative="1">
      <w:start w:val="1"/>
      <w:numFmt w:val="decimal"/>
      <w:lvlText w:val="%4."/>
      <w:lvlJc w:val="left"/>
      <w:pPr>
        <w:ind w:left="3654" w:hanging="360"/>
      </w:pPr>
    </w:lvl>
    <w:lvl w:ilvl="4" w:tplc="1C090019" w:tentative="1">
      <w:start w:val="1"/>
      <w:numFmt w:val="lowerLetter"/>
      <w:lvlText w:val="%5."/>
      <w:lvlJc w:val="left"/>
      <w:pPr>
        <w:ind w:left="4374" w:hanging="360"/>
      </w:pPr>
    </w:lvl>
    <w:lvl w:ilvl="5" w:tplc="1C09001B" w:tentative="1">
      <w:start w:val="1"/>
      <w:numFmt w:val="lowerRoman"/>
      <w:lvlText w:val="%6."/>
      <w:lvlJc w:val="right"/>
      <w:pPr>
        <w:ind w:left="5094" w:hanging="180"/>
      </w:pPr>
    </w:lvl>
    <w:lvl w:ilvl="6" w:tplc="1C09000F" w:tentative="1">
      <w:start w:val="1"/>
      <w:numFmt w:val="decimal"/>
      <w:lvlText w:val="%7."/>
      <w:lvlJc w:val="left"/>
      <w:pPr>
        <w:ind w:left="5814" w:hanging="360"/>
      </w:pPr>
    </w:lvl>
    <w:lvl w:ilvl="7" w:tplc="1C090019" w:tentative="1">
      <w:start w:val="1"/>
      <w:numFmt w:val="lowerLetter"/>
      <w:lvlText w:val="%8."/>
      <w:lvlJc w:val="left"/>
      <w:pPr>
        <w:ind w:left="6534" w:hanging="360"/>
      </w:pPr>
    </w:lvl>
    <w:lvl w:ilvl="8" w:tplc="1C09001B" w:tentative="1">
      <w:start w:val="1"/>
      <w:numFmt w:val="lowerRoman"/>
      <w:lvlText w:val="%9."/>
      <w:lvlJc w:val="right"/>
      <w:pPr>
        <w:ind w:left="7254" w:hanging="180"/>
      </w:pPr>
    </w:lvl>
  </w:abstractNum>
  <w:abstractNum w:abstractNumId="22" w15:restartNumberingAfterBreak="0">
    <w:nsid w:val="327907DD"/>
    <w:multiLevelType w:val="hybridMultilevel"/>
    <w:tmpl w:val="F390A604"/>
    <w:lvl w:ilvl="0" w:tplc="6622A262">
      <w:start w:val="1"/>
      <w:numFmt w:val="lowerLetter"/>
      <w:lvlText w:val="(%1)"/>
      <w:lvlJc w:val="left"/>
      <w:pPr>
        <w:ind w:left="1800" w:hanging="360"/>
      </w:pPr>
      <w:rPr>
        <w:rFonts w:hint="default"/>
        <w:i w:val="0"/>
        <w:color w:val="000000" w:themeColor="text1"/>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3" w15:restartNumberingAfterBreak="0">
    <w:nsid w:val="33092422"/>
    <w:multiLevelType w:val="hybridMultilevel"/>
    <w:tmpl w:val="D2CC8F94"/>
    <w:lvl w:ilvl="0" w:tplc="5D366FA0">
      <w:start w:val="20"/>
      <w:numFmt w:val="decimal"/>
      <w:lvlText w:val="[%1]"/>
      <w:lvlJc w:val="left"/>
      <w:pPr>
        <w:ind w:left="720" w:hanging="360"/>
      </w:pPr>
      <w:rPr>
        <w:rFonts w:hint="default"/>
        <w:i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15:restartNumberingAfterBreak="0">
    <w:nsid w:val="36267CA8"/>
    <w:multiLevelType w:val="hybridMultilevel"/>
    <w:tmpl w:val="19623A66"/>
    <w:lvl w:ilvl="0" w:tplc="75B64176">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758701F"/>
    <w:multiLevelType w:val="hybridMultilevel"/>
    <w:tmpl w:val="ACB04E6A"/>
    <w:lvl w:ilvl="0" w:tplc="025E3582">
      <w:start w:val="1"/>
      <w:numFmt w:val="decimal"/>
      <w:lvlText w:val="[%1]"/>
      <w:lvlJc w:val="left"/>
      <w:pPr>
        <w:ind w:left="720" w:hanging="360"/>
      </w:pPr>
      <w:rPr>
        <w:rFonts w:ascii="Arial" w:hAnsi="Arial" w:cs="Arial" w:hint="default"/>
        <w:b w:val="0"/>
        <w:i w:val="0"/>
        <w:sz w:val="22"/>
        <w:szCs w:val="24"/>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15:restartNumberingAfterBreak="0">
    <w:nsid w:val="37CB1AE6"/>
    <w:multiLevelType w:val="hybridMultilevel"/>
    <w:tmpl w:val="A7C0047A"/>
    <w:lvl w:ilvl="0" w:tplc="2F009200">
      <w:start w:val="1"/>
      <w:numFmt w:val="lowerRoman"/>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394D0BF3"/>
    <w:multiLevelType w:val="hybridMultilevel"/>
    <w:tmpl w:val="417C7C58"/>
    <w:lvl w:ilvl="0" w:tplc="0409001B">
      <w:start w:val="1"/>
      <w:numFmt w:val="lowerRoman"/>
      <w:lvlText w:val="%1."/>
      <w:lvlJc w:val="right"/>
      <w:pPr>
        <w:ind w:left="2160" w:hanging="360"/>
      </w:p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28" w15:restartNumberingAfterBreak="0">
    <w:nsid w:val="3A0B6C81"/>
    <w:multiLevelType w:val="multilevel"/>
    <w:tmpl w:val="7FBAA3BC"/>
    <w:lvl w:ilvl="0">
      <w:start w:val="1"/>
      <w:numFmt w:val="decimal"/>
      <w:lvlText w:val="[%1]"/>
      <w:lvlJc w:val="left"/>
      <w:pPr>
        <w:ind w:left="1800" w:hanging="360"/>
      </w:pPr>
      <w:rPr>
        <w:rFonts w:hint="default"/>
        <w:i w:val="0"/>
      </w:rPr>
    </w:lvl>
    <w:lvl w:ilvl="1">
      <w:start w:val="1"/>
      <w:numFmt w:val="decimal"/>
      <w:isLgl/>
      <w:lvlText w:val="%1.%2"/>
      <w:lvlJc w:val="left"/>
      <w:pPr>
        <w:ind w:left="862" w:hanging="720"/>
      </w:pPr>
      <w:rPr>
        <w:rFonts w:hint="default"/>
      </w:rPr>
    </w:lvl>
    <w:lvl w:ilvl="2">
      <w:start w:val="1"/>
      <w:numFmt w:val="decimal"/>
      <w:isLgl/>
      <w:lvlText w:val="%1.%2.%3"/>
      <w:lvlJc w:val="left"/>
      <w:pPr>
        <w:ind w:left="2665" w:hanging="964"/>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44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760" w:hanging="1800"/>
      </w:pPr>
      <w:rPr>
        <w:rFonts w:hint="default"/>
      </w:rPr>
    </w:lvl>
    <w:lvl w:ilvl="8">
      <w:start w:val="1"/>
      <w:numFmt w:val="decimal"/>
      <w:isLgl/>
      <w:lvlText w:val="%1.%2.%3.%4.%5.%6.%7.%8.%9"/>
      <w:lvlJc w:val="left"/>
      <w:pPr>
        <w:ind w:left="6120" w:hanging="1800"/>
      </w:pPr>
      <w:rPr>
        <w:rFonts w:hint="default"/>
      </w:rPr>
    </w:lvl>
  </w:abstractNum>
  <w:abstractNum w:abstractNumId="29" w15:restartNumberingAfterBreak="0">
    <w:nsid w:val="3A977E3F"/>
    <w:multiLevelType w:val="hybridMultilevel"/>
    <w:tmpl w:val="21144D8C"/>
    <w:lvl w:ilvl="0" w:tplc="04090017">
      <w:start w:val="1"/>
      <w:numFmt w:val="lowerLetter"/>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30" w15:restartNumberingAfterBreak="0">
    <w:nsid w:val="449722B7"/>
    <w:multiLevelType w:val="hybridMultilevel"/>
    <w:tmpl w:val="FE20A742"/>
    <w:lvl w:ilvl="0" w:tplc="53C069B6">
      <w:start w:val="1"/>
      <w:numFmt w:val="lowerLetter"/>
      <w:lvlText w:val="(%1)"/>
      <w:lvlJc w:val="left"/>
      <w:pPr>
        <w:ind w:left="480" w:hanging="360"/>
      </w:pPr>
      <w:rPr>
        <w:rFonts w:hint="default"/>
      </w:rPr>
    </w:lvl>
    <w:lvl w:ilvl="1" w:tplc="1C090019" w:tentative="1">
      <w:start w:val="1"/>
      <w:numFmt w:val="lowerLetter"/>
      <w:lvlText w:val="%2."/>
      <w:lvlJc w:val="left"/>
      <w:pPr>
        <w:ind w:left="1200" w:hanging="360"/>
      </w:pPr>
    </w:lvl>
    <w:lvl w:ilvl="2" w:tplc="1C09001B" w:tentative="1">
      <w:start w:val="1"/>
      <w:numFmt w:val="lowerRoman"/>
      <w:lvlText w:val="%3."/>
      <w:lvlJc w:val="right"/>
      <w:pPr>
        <w:ind w:left="1920" w:hanging="180"/>
      </w:pPr>
    </w:lvl>
    <w:lvl w:ilvl="3" w:tplc="1C09000F" w:tentative="1">
      <w:start w:val="1"/>
      <w:numFmt w:val="decimal"/>
      <w:lvlText w:val="%4."/>
      <w:lvlJc w:val="left"/>
      <w:pPr>
        <w:ind w:left="2640" w:hanging="360"/>
      </w:pPr>
    </w:lvl>
    <w:lvl w:ilvl="4" w:tplc="1C090019" w:tentative="1">
      <w:start w:val="1"/>
      <w:numFmt w:val="lowerLetter"/>
      <w:lvlText w:val="%5."/>
      <w:lvlJc w:val="left"/>
      <w:pPr>
        <w:ind w:left="3360" w:hanging="360"/>
      </w:pPr>
    </w:lvl>
    <w:lvl w:ilvl="5" w:tplc="1C09001B" w:tentative="1">
      <w:start w:val="1"/>
      <w:numFmt w:val="lowerRoman"/>
      <w:lvlText w:val="%6."/>
      <w:lvlJc w:val="right"/>
      <w:pPr>
        <w:ind w:left="4080" w:hanging="180"/>
      </w:pPr>
    </w:lvl>
    <w:lvl w:ilvl="6" w:tplc="1C09000F" w:tentative="1">
      <w:start w:val="1"/>
      <w:numFmt w:val="decimal"/>
      <w:lvlText w:val="%7."/>
      <w:lvlJc w:val="left"/>
      <w:pPr>
        <w:ind w:left="4800" w:hanging="360"/>
      </w:pPr>
    </w:lvl>
    <w:lvl w:ilvl="7" w:tplc="1C090019" w:tentative="1">
      <w:start w:val="1"/>
      <w:numFmt w:val="lowerLetter"/>
      <w:lvlText w:val="%8."/>
      <w:lvlJc w:val="left"/>
      <w:pPr>
        <w:ind w:left="5520" w:hanging="360"/>
      </w:pPr>
    </w:lvl>
    <w:lvl w:ilvl="8" w:tplc="1C09001B" w:tentative="1">
      <w:start w:val="1"/>
      <w:numFmt w:val="lowerRoman"/>
      <w:lvlText w:val="%9."/>
      <w:lvlJc w:val="right"/>
      <w:pPr>
        <w:ind w:left="6240" w:hanging="180"/>
      </w:pPr>
    </w:lvl>
  </w:abstractNum>
  <w:abstractNum w:abstractNumId="31" w15:restartNumberingAfterBreak="0">
    <w:nsid w:val="46562289"/>
    <w:multiLevelType w:val="hybridMultilevel"/>
    <w:tmpl w:val="295C30BC"/>
    <w:lvl w:ilvl="0" w:tplc="5B6A857E">
      <w:start w:val="1"/>
      <w:numFmt w:val="decimal"/>
      <w:lvlText w:val="[%1]"/>
      <w:lvlJc w:val="left"/>
      <w:pPr>
        <w:ind w:left="1080" w:hanging="360"/>
      </w:pPr>
      <w:rPr>
        <w:rFonts w:ascii="Arial" w:hAnsi="Arial" w:cs="Arial" w:hint="default"/>
        <w:b w:val="0"/>
        <w:i w:val="0"/>
        <w:sz w:val="24"/>
        <w:szCs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4DA2746B"/>
    <w:multiLevelType w:val="hybridMultilevel"/>
    <w:tmpl w:val="EE3E895E"/>
    <w:lvl w:ilvl="0" w:tplc="75B64176">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045373B"/>
    <w:multiLevelType w:val="hybridMultilevel"/>
    <w:tmpl w:val="E76CDE4C"/>
    <w:lvl w:ilvl="0" w:tplc="75B64176">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3826E1F"/>
    <w:multiLevelType w:val="hybridMultilevel"/>
    <w:tmpl w:val="44D63A42"/>
    <w:lvl w:ilvl="0" w:tplc="10DE7BD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96669C2"/>
    <w:multiLevelType w:val="multilevel"/>
    <w:tmpl w:val="7FBAA3BC"/>
    <w:lvl w:ilvl="0">
      <w:start w:val="1"/>
      <w:numFmt w:val="decimal"/>
      <w:lvlText w:val="[%1]"/>
      <w:lvlJc w:val="left"/>
      <w:pPr>
        <w:ind w:left="1800" w:hanging="360"/>
      </w:pPr>
      <w:rPr>
        <w:rFonts w:hint="default"/>
        <w:i w:val="0"/>
      </w:rPr>
    </w:lvl>
    <w:lvl w:ilvl="1">
      <w:start w:val="1"/>
      <w:numFmt w:val="decimal"/>
      <w:isLgl/>
      <w:lvlText w:val="%1.%2"/>
      <w:lvlJc w:val="left"/>
      <w:pPr>
        <w:ind w:left="862" w:hanging="720"/>
      </w:pPr>
      <w:rPr>
        <w:rFonts w:hint="default"/>
      </w:rPr>
    </w:lvl>
    <w:lvl w:ilvl="2">
      <w:start w:val="1"/>
      <w:numFmt w:val="decimal"/>
      <w:isLgl/>
      <w:lvlText w:val="%1.%2.%3"/>
      <w:lvlJc w:val="left"/>
      <w:pPr>
        <w:ind w:left="2665" w:hanging="964"/>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44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760" w:hanging="1800"/>
      </w:pPr>
      <w:rPr>
        <w:rFonts w:hint="default"/>
      </w:rPr>
    </w:lvl>
    <w:lvl w:ilvl="8">
      <w:start w:val="1"/>
      <w:numFmt w:val="decimal"/>
      <w:isLgl/>
      <w:lvlText w:val="%1.%2.%3.%4.%5.%6.%7.%8.%9"/>
      <w:lvlJc w:val="left"/>
      <w:pPr>
        <w:ind w:left="6120" w:hanging="1800"/>
      </w:pPr>
      <w:rPr>
        <w:rFonts w:hint="default"/>
      </w:rPr>
    </w:lvl>
  </w:abstractNum>
  <w:abstractNum w:abstractNumId="36" w15:restartNumberingAfterBreak="0">
    <w:nsid w:val="61BD622C"/>
    <w:multiLevelType w:val="hybridMultilevel"/>
    <w:tmpl w:val="0D0A7D3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15:restartNumberingAfterBreak="0">
    <w:nsid w:val="669B062B"/>
    <w:multiLevelType w:val="multilevel"/>
    <w:tmpl w:val="7FBAA3BC"/>
    <w:lvl w:ilvl="0">
      <w:start w:val="1"/>
      <w:numFmt w:val="decimal"/>
      <w:lvlText w:val="[%1]"/>
      <w:lvlJc w:val="left"/>
      <w:pPr>
        <w:ind w:left="1800" w:hanging="360"/>
      </w:pPr>
      <w:rPr>
        <w:rFonts w:hint="default"/>
        <w:i w:val="0"/>
      </w:rPr>
    </w:lvl>
    <w:lvl w:ilvl="1">
      <w:start w:val="1"/>
      <w:numFmt w:val="decimal"/>
      <w:isLgl/>
      <w:lvlText w:val="%1.%2"/>
      <w:lvlJc w:val="left"/>
      <w:pPr>
        <w:ind w:left="862" w:hanging="720"/>
      </w:pPr>
      <w:rPr>
        <w:rFonts w:hint="default"/>
      </w:rPr>
    </w:lvl>
    <w:lvl w:ilvl="2">
      <w:start w:val="1"/>
      <w:numFmt w:val="decimal"/>
      <w:isLgl/>
      <w:lvlText w:val="%1.%2.%3"/>
      <w:lvlJc w:val="left"/>
      <w:pPr>
        <w:ind w:left="2665" w:hanging="964"/>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44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760" w:hanging="1800"/>
      </w:pPr>
      <w:rPr>
        <w:rFonts w:hint="default"/>
      </w:rPr>
    </w:lvl>
    <w:lvl w:ilvl="8">
      <w:start w:val="1"/>
      <w:numFmt w:val="decimal"/>
      <w:isLgl/>
      <w:lvlText w:val="%1.%2.%3.%4.%5.%6.%7.%8.%9"/>
      <w:lvlJc w:val="left"/>
      <w:pPr>
        <w:ind w:left="6120" w:hanging="1800"/>
      </w:pPr>
      <w:rPr>
        <w:rFonts w:hint="default"/>
      </w:rPr>
    </w:lvl>
  </w:abstractNum>
  <w:abstractNum w:abstractNumId="38" w15:restartNumberingAfterBreak="0">
    <w:nsid w:val="673F35D5"/>
    <w:multiLevelType w:val="hybridMultilevel"/>
    <w:tmpl w:val="DEB8C0B4"/>
    <w:lvl w:ilvl="0" w:tplc="75B64176">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7F04094"/>
    <w:multiLevelType w:val="hybridMultilevel"/>
    <w:tmpl w:val="BC4059C6"/>
    <w:lvl w:ilvl="0" w:tplc="2F00920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B224E3A"/>
    <w:multiLevelType w:val="hybridMultilevel"/>
    <w:tmpl w:val="5538DE8C"/>
    <w:lvl w:ilvl="0" w:tplc="34341612">
      <w:start w:val="1"/>
      <w:numFmt w:val="decimal"/>
      <w:lvlText w:val="[%1]"/>
      <w:lvlJc w:val="left"/>
      <w:pPr>
        <w:ind w:left="720" w:hanging="360"/>
      </w:pPr>
      <w:rPr>
        <w:rFonts w:hint="default"/>
        <w:i w:val="0"/>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1" w15:restartNumberingAfterBreak="0">
    <w:nsid w:val="748D175C"/>
    <w:multiLevelType w:val="hybridMultilevel"/>
    <w:tmpl w:val="9B3E41FA"/>
    <w:lvl w:ilvl="0" w:tplc="017438E6">
      <w:start w:val="1"/>
      <w:numFmt w:val="decimal"/>
      <w:lvlText w:val="[%1]"/>
      <w:lvlJc w:val="left"/>
      <w:pPr>
        <w:ind w:left="720" w:hanging="360"/>
      </w:pPr>
      <w:rPr>
        <w:rFonts w:hint="default"/>
        <w:i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2" w15:restartNumberingAfterBreak="0">
    <w:nsid w:val="75187D09"/>
    <w:multiLevelType w:val="hybridMultilevel"/>
    <w:tmpl w:val="A2BEF0AC"/>
    <w:lvl w:ilvl="0" w:tplc="A740B970">
      <w:start w:val="1"/>
      <w:numFmt w:val="lowerLetter"/>
      <w:lvlText w:val="(%1)"/>
      <w:lvlJc w:val="left"/>
      <w:pPr>
        <w:ind w:left="1797" w:hanging="360"/>
      </w:pPr>
      <w:rPr>
        <w:rFonts w:hint="default"/>
      </w:rPr>
    </w:lvl>
    <w:lvl w:ilvl="1" w:tplc="1C090019" w:tentative="1">
      <w:start w:val="1"/>
      <w:numFmt w:val="lowerLetter"/>
      <w:lvlText w:val="%2."/>
      <w:lvlJc w:val="left"/>
      <w:pPr>
        <w:ind w:left="2517" w:hanging="360"/>
      </w:pPr>
    </w:lvl>
    <w:lvl w:ilvl="2" w:tplc="1C09001B" w:tentative="1">
      <w:start w:val="1"/>
      <w:numFmt w:val="lowerRoman"/>
      <w:lvlText w:val="%3."/>
      <w:lvlJc w:val="right"/>
      <w:pPr>
        <w:ind w:left="3237" w:hanging="180"/>
      </w:pPr>
    </w:lvl>
    <w:lvl w:ilvl="3" w:tplc="1C09000F" w:tentative="1">
      <w:start w:val="1"/>
      <w:numFmt w:val="decimal"/>
      <w:lvlText w:val="%4."/>
      <w:lvlJc w:val="left"/>
      <w:pPr>
        <w:ind w:left="3957" w:hanging="360"/>
      </w:pPr>
    </w:lvl>
    <w:lvl w:ilvl="4" w:tplc="1C090019" w:tentative="1">
      <w:start w:val="1"/>
      <w:numFmt w:val="lowerLetter"/>
      <w:lvlText w:val="%5."/>
      <w:lvlJc w:val="left"/>
      <w:pPr>
        <w:ind w:left="4677" w:hanging="360"/>
      </w:pPr>
    </w:lvl>
    <w:lvl w:ilvl="5" w:tplc="1C09001B" w:tentative="1">
      <w:start w:val="1"/>
      <w:numFmt w:val="lowerRoman"/>
      <w:lvlText w:val="%6."/>
      <w:lvlJc w:val="right"/>
      <w:pPr>
        <w:ind w:left="5397" w:hanging="180"/>
      </w:pPr>
    </w:lvl>
    <w:lvl w:ilvl="6" w:tplc="1C09000F" w:tentative="1">
      <w:start w:val="1"/>
      <w:numFmt w:val="decimal"/>
      <w:lvlText w:val="%7."/>
      <w:lvlJc w:val="left"/>
      <w:pPr>
        <w:ind w:left="6117" w:hanging="360"/>
      </w:pPr>
    </w:lvl>
    <w:lvl w:ilvl="7" w:tplc="1C090019" w:tentative="1">
      <w:start w:val="1"/>
      <w:numFmt w:val="lowerLetter"/>
      <w:lvlText w:val="%8."/>
      <w:lvlJc w:val="left"/>
      <w:pPr>
        <w:ind w:left="6837" w:hanging="360"/>
      </w:pPr>
    </w:lvl>
    <w:lvl w:ilvl="8" w:tplc="1C09001B" w:tentative="1">
      <w:start w:val="1"/>
      <w:numFmt w:val="lowerRoman"/>
      <w:lvlText w:val="%9."/>
      <w:lvlJc w:val="right"/>
      <w:pPr>
        <w:ind w:left="7557" w:hanging="180"/>
      </w:pPr>
    </w:lvl>
  </w:abstractNum>
  <w:abstractNum w:abstractNumId="43" w15:restartNumberingAfterBreak="0">
    <w:nsid w:val="753B294B"/>
    <w:multiLevelType w:val="hybridMultilevel"/>
    <w:tmpl w:val="9ED614EA"/>
    <w:lvl w:ilvl="0" w:tplc="5B6A857E">
      <w:start w:val="1"/>
      <w:numFmt w:val="decimal"/>
      <w:lvlText w:val="[%1]"/>
      <w:lvlJc w:val="left"/>
      <w:pPr>
        <w:ind w:left="720" w:hanging="360"/>
      </w:pPr>
      <w:rPr>
        <w:rFonts w:ascii="Arial" w:hAnsi="Arial" w:cs="Arial" w:hint="default"/>
        <w:b w:val="0"/>
        <w:i w:val="0"/>
        <w:sz w:val="24"/>
        <w:szCs w:val="24"/>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4" w15:restartNumberingAfterBreak="0">
    <w:nsid w:val="7A4170CA"/>
    <w:multiLevelType w:val="hybridMultilevel"/>
    <w:tmpl w:val="8AB60B8C"/>
    <w:lvl w:ilvl="0" w:tplc="E56011CE">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5" w15:restartNumberingAfterBreak="0">
    <w:nsid w:val="7B192E6B"/>
    <w:multiLevelType w:val="hybridMultilevel"/>
    <w:tmpl w:val="0C4E723E"/>
    <w:lvl w:ilvl="0" w:tplc="5D366FA0">
      <w:start w:val="20"/>
      <w:numFmt w:val="decimal"/>
      <w:lvlText w:val="[%1]"/>
      <w:lvlJc w:val="left"/>
      <w:pPr>
        <w:ind w:left="720" w:hanging="360"/>
      </w:pPr>
      <w:rPr>
        <w:rFonts w:hint="default"/>
        <w:i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9"/>
  </w:num>
  <w:num w:numId="2">
    <w:abstractNumId w:val="26"/>
  </w:num>
  <w:num w:numId="3">
    <w:abstractNumId w:val="41"/>
  </w:num>
  <w:num w:numId="4">
    <w:abstractNumId w:val="9"/>
  </w:num>
  <w:num w:numId="5">
    <w:abstractNumId w:val="13"/>
  </w:num>
  <w:num w:numId="6">
    <w:abstractNumId w:val="28"/>
  </w:num>
  <w:num w:numId="7">
    <w:abstractNumId w:val="4"/>
  </w:num>
  <w:num w:numId="8">
    <w:abstractNumId w:val="27"/>
  </w:num>
  <w:num w:numId="9">
    <w:abstractNumId w:val="7"/>
  </w:num>
  <w:num w:numId="10">
    <w:abstractNumId w:val="21"/>
  </w:num>
  <w:num w:numId="11">
    <w:abstractNumId w:val="18"/>
  </w:num>
  <w:num w:numId="12">
    <w:abstractNumId w:val="34"/>
  </w:num>
  <w:num w:numId="13">
    <w:abstractNumId w:val="6"/>
  </w:num>
  <w:num w:numId="14">
    <w:abstractNumId w:val="20"/>
  </w:num>
  <w:num w:numId="15">
    <w:abstractNumId w:val="1"/>
  </w:num>
  <w:num w:numId="16">
    <w:abstractNumId w:val="3"/>
  </w:num>
  <w:num w:numId="17">
    <w:abstractNumId w:val="15"/>
  </w:num>
  <w:num w:numId="18">
    <w:abstractNumId w:val="45"/>
  </w:num>
  <w:num w:numId="19">
    <w:abstractNumId w:val="36"/>
  </w:num>
  <w:num w:numId="20">
    <w:abstractNumId w:val="23"/>
  </w:num>
  <w:num w:numId="21">
    <w:abstractNumId w:val="19"/>
  </w:num>
  <w:num w:numId="22">
    <w:abstractNumId w:val="25"/>
  </w:num>
  <w:num w:numId="23">
    <w:abstractNumId w:val="40"/>
  </w:num>
  <w:num w:numId="24">
    <w:abstractNumId w:val="44"/>
  </w:num>
  <w:num w:numId="25">
    <w:abstractNumId w:val="16"/>
  </w:num>
  <w:num w:numId="26">
    <w:abstractNumId w:val="29"/>
  </w:num>
  <w:num w:numId="27">
    <w:abstractNumId w:val="10"/>
  </w:num>
  <w:num w:numId="28">
    <w:abstractNumId w:val="30"/>
  </w:num>
  <w:num w:numId="29">
    <w:abstractNumId w:val="22"/>
  </w:num>
  <w:num w:numId="30">
    <w:abstractNumId w:val="2"/>
  </w:num>
  <w:num w:numId="31">
    <w:abstractNumId w:val="42"/>
  </w:num>
  <w:num w:numId="32">
    <w:abstractNumId w:val="12"/>
  </w:num>
  <w:num w:numId="33">
    <w:abstractNumId w:val="32"/>
  </w:num>
  <w:num w:numId="34">
    <w:abstractNumId w:val="38"/>
  </w:num>
  <w:num w:numId="35">
    <w:abstractNumId w:val="14"/>
  </w:num>
  <w:num w:numId="36">
    <w:abstractNumId w:val="8"/>
  </w:num>
  <w:num w:numId="37">
    <w:abstractNumId w:val="33"/>
  </w:num>
  <w:num w:numId="38">
    <w:abstractNumId w:val="5"/>
  </w:num>
  <w:num w:numId="39">
    <w:abstractNumId w:val="11"/>
  </w:num>
  <w:num w:numId="40">
    <w:abstractNumId w:val="37"/>
  </w:num>
  <w:num w:numId="41">
    <w:abstractNumId w:val="35"/>
  </w:num>
  <w:num w:numId="42">
    <w:abstractNumId w:val="17"/>
  </w:num>
  <w:num w:numId="43">
    <w:abstractNumId w:val="24"/>
  </w:num>
  <w:num w:numId="44">
    <w:abstractNumId w:val="43"/>
  </w:num>
  <w:num w:numId="45">
    <w:abstractNumId w:val="0"/>
  </w:num>
  <w:num w:numId="4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6E1"/>
    <w:rsid w:val="00047406"/>
    <w:rsid w:val="00062D09"/>
    <w:rsid w:val="000724DE"/>
    <w:rsid w:val="00096C1F"/>
    <w:rsid w:val="000B16E1"/>
    <w:rsid w:val="000C47E8"/>
    <w:rsid w:val="000D6E02"/>
    <w:rsid w:val="00101B86"/>
    <w:rsid w:val="00120AC5"/>
    <w:rsid w:val="0012456D"/>
    <w:rsid w:val="00152F7A"/>
    <w:rsid w:val="00157011"/>
    <w:rsid w:val="001B56D5"/>
    <w:rsid w:val="001D2783"/>
    <w:rsid w:val="00200D69"/>
    <w:rsid w:val="00206611"/>
    <w:rsid w:val="00211EB3"/>
    <w:rsid w:val="00225D16"/>
    <w:rsid w:val="00230A43"/>
    <w:rsid w:val="002313C6"/>
    <w:rsid w:val="0023569B"/>
    <w:rsid w:val="0024569A"/>
    <w:rsid w:val="00257BD7"/>
    <w:rsid w:val="002817CC"/>
    <w:rsid w:val="00286AEF"/>
    <w:rsid w:val="00290B8D"/>
    <w:rsid w:val="00292E46"/>
    <w:rsid w:val="002964F7"/>
    <w:rsid w:val="00297EEF"/>
    <w:rsid w:val="002B7350"/>
    <w:rsid w:val="002D2849"/>
    <w:rsid w:val="002D5D6A"/>
    <w:rsid w:val="002E3A78"/>
    <w:rsid w:val="002E7459"/>
    <w:rsid w:val="002F04DC"/>
    <w:rsid w:val="003002F9"/>
    <w:rsid w:val="00302801"/>
    <w:rsid w:val="003076D5"/>
    <w:rsid w:val="0031009B"/>
    <w:rsid w:val="003154E2"/>
    <w:rsid w:val="0031685E"/>
    <w:rsid w:val="00356083"/>
    <w:rsid w:val="0036207C"/>
    <w:rsid w:val="00376E23"/>
    <w:rsid w:val="00387BBB"/>
    <w:rsid w:val="00390C86"/>
    <w:rsid w:val="00394A0F"/>
    <w:rsid w:val="003965EA"/>
    <w:rsid w:val="003A06D1"/>
    <w:rsid w:val="003A6194"/>
    <w:rsid w:val="003B4607"/>
    <w:rsid w:val="003C0747"/>
    <w:rsid w:val="003E3957"/>
    <w:rsid w:val="003F2AC4"/>
    <w:rsid w:val="00400A9A"/>
    <w:rsid w:val="004122C4"/>
    <w:rsid w:val="004308B2"/>
    <w:rsid w:val="00435ADD"/>
    <w:rsid w:val="00445EE7"/>
    <w:rsid w:val="00447203"/>
    <w:rsid w:val="00456BBB"/>
    <w:rsid w:val="00456DAB"/>
    <w:rsid w:val="004752B8"/>
    <w:rsid w:val="00475C09"/>
    <w:rsid w:val="004915A7"/>
    <w:rsid w:val="004E07D7"/>
    <w:rsid w:val="004E5F28"/>
    <w:rsid w:val="004F1231"/>
    <w:rsid w:val="005031FE"/>
    <w:rsid w:val="00503E87"/>
    <w:rsid w:val="00527ED8"/>
    <w:rsid w:val="005414A7"/>
    <w:rsid w:val="005551F0"/>
    <w:rsid w:val="005625F9"/>
    <w:rsid w:val="00573891"/>
    <w:rsid w:val="005853B3"/>
    <w:rsid w:val="005C797C"/>
    <w:rsid w:val="005F3DA1"/>
    <w:rsid w:val="006072C5"/>
    <w:rsid w:val="006207F3"/>
    <w:rsid w:val="006749C2"/>
    <w:rsid w:val="00692B2C"/>
    <w:rsid w:val="006A55F6"/>
    <w:rsid w:val="006C3DA5"/>
    <w:rsid w:val="006E1389"/>
    <w:rsid w:val="006F0552"/>
    <w:rsid w:val="00700EA2"/>
    <w:rsid w:val="0070112D"/>
    <w:rsid w:val="007020D1"/>
    <w:rsid w:val="00715A03"/>
    <w:rsid w:val="007168A6"/>
    <w:rsid w:val="00734F6E"/>
    <w:rsid w:val="0074293E"/>
    <w:rsid w:val="007430EA"/>
    <w:rsid w:val="00760BE1"/>
    <w:rsid w:val="00791F02"/>
    <w:rsid w:val="00796263"/>
    <w:rsid w:val="007A6964"/>
    <w:rsid w:val="007A7F30"/>
    <w:rsid w:val="007B3EC8"/>
    <w:rsid w:val="007E0B12"/>
    <w:rsid w:val="007F5DF8"/>
    <w:rsid w:val="00801B6F"/>
    <w:rsid w:val="00826766"/>
    <w:rsid w:val="00833E43"/>
    <w:rsid w:val="00837E25"/>
    <w:rsid w:val="00851473"/>
    <w:rsid w:val="008550A8"/>
    <w:rsid w:val="00881BE4"/>
    <w:rsid w:val="008879D2"/>
    <w:rsid w:val="008B7520"/>
    <w:rsid w:val="008B77A6"/>
    <w:rsid w:val="008C1F83"/>
    <w:rsid w:val="008C761A"/>
    <w:rsid w:val="008F291F"/>
    <w:rsid w:val="009211E3"/>
    <w:rsid w:val="00922BEB"/>
    <w:rsid w:val="00931CDF"/>
    <w:rsid w:val="00935B17"/>
    <w:rsid w:val="00945835"/>
    <w:rsid w:val="00953DC7"/>
    <w:rsid w:val="009703F6"/>
    <w:rsid w:val="009764A0"/>
    <w:rsid w:val="009825DE"/>
    <w:rsid w:val="00983622"/>
    <w:rsid w:val="0098751E"/>
    <w:rsid w:val="009B480A"/>
    <w:rsid w:val="009B5168"/>
    <w:rsid w:val="00A04448"/>
    <w:rsid w:val="00A33C88"/>
    <w:rsid w:val="00A646DD"/>
    <w:rsid w:val="00A70B53"/>
    <w:rsid w:val="00A77758"/>
    <w:rsid w:val="00A8164B"/>
    <w:rsid w:val="00A86D57"/>
    <w:rsid w:val="00A86F5A"/>
    <w:rsid w:val="00AB3967"/>
    <w:rsid w:val="00AC4877"/>
    <w:rsid w:val="00AC7AA2"/>
    <w:rsid w:val="00AD05EB"/>
    <w:rsid w:val="00AE0C87"/>
    <w:rsid w:val="00AF53BD"/>
    <w:rsid w:val="00B11BB1"/>
    <w:rsid w:val="00B12871"/>
    <w:rsid w:val="00B15862"/>
    <w:rsid w:val="00B23D67"/>
    <w:rsid w:val="00B26DC2"/>
    <w:rsid w:val="00B27682"/>
    <w:rsid w:val="00B76FF6"/>
    <w:rsid w:val="00BA188F"/>
    <w:rsid w:val="00BA2A65"/>
    <w:rsid w:val="00BA4203"/>
    <w:rsid w:val="00BD22FA"/>
    <w:rsid w:val="00BD59FE"/>
    <w:rsid w:val="00C01820"/>
    <w:rsid w:val="00C22006"/>
    <w:rsid w:val="00C762D5"/>
    <w:rsid w:val="00C77DB5"/>
    <w:rsid w:val="00CA1E25"/>
    <w:rsid w:val="00CA5D90"/>
    <w:rsid w:val="00CB33C2"/>
    <w:rsid w:val="00CB5DB8"/>
    <w:rsid w:val="00CC2907"/>
    <w:rsid w:val="00CD2DD1"/>
    <w:rsid w:val="00CE1883"/>
    <w:rsid w:val="00CE4AB7"/>
    <w:rsid w:val="00D00C1F"/>
    <w:rsid w:val="00D06611"/>
    <w:rsid w:val="00D1038E"/>
    <w:rsid w:val="00D25723"/>
    <w:rsid w:val="00D32992"/>
    <w:rsid w:val="00D42521"/>
    <w:rsid w:val="00D60E2A"/>
    <w:rsid w:val="00D61671"/>
    <w:rsid w:val="00D63DD1"/>
    <w:rsid w:val="00D653E2"/>
    <w:rsid w:val="00D85191"/>
    <w:rsid w:val="00D911F4"/>
    <w:rsid w:val="00D94270"/>
    <w:rsid w:val="00DA2EF9"/>
    <w:rsid w:val="00DC1B8B"/>
    <w:rsid w:val="00DD011E"/>
    <w:rsid w:val="00DD0DDB"/>
    <w:rsid w:val="00DD1A12"/>
    <w:rsid w:val="00E125D0"/>
    <w:rsid w:val="00E1459C"/>
    <w:rsid w:val="00E166EE"/>
    <w:rsid w:val="00E178B9"/>
    <w:rsid w:val="00E20E5E"/>
    <w:rsid w:val="00E23139"/>
    <w:rsid w:val="00E30E5F"/>
    <w:rsid w:val="00E50EBA"/>
    <w:rsid w:val="00E52C86"/>
    <w:rsid w:val="00E61454"/>
    <w:rsid w:val="00E766FF"/>
    <w:rsid w:val="00E94D4E"/>
    <w:rsid w:val="00E968F9"/>
    <w:rsid w:val="00EB27BB"/>
    <w:rsid w:val="00EB6BB6"/>
    <w:rsid w:val="00F00E1C"/>
    <w:rsid w:val="00F07F5B"/>
    <w:rsid w:val="00F27843"/>
    <w:rsid w:val="00F3718A"/>
    <w:rsid w:val="00F37A40"/>
    <w:rsid w:val="00F428C5"/>
    <w:rsid w:val="00FA3BBD"/>
    <w:rsid w:val="00FA66E4"/>
    <w:rsid w:val="00FA6DD8"/>
    <w:rsid w:val="00FB5A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0EFE4CF-5D6C-47E2-B7F2-58681E043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16E1"/>
    <w:pPr>
      <w:spacing w:after="160" w:line="259"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0B16E1"/>
    <w:pPr>
      <w:spacing w:after="0" w:line="240" w:lineRule="auto"/>
    </w:pPr>
    <w:rPr>
      <w:sz w:val="20"/>
      <w:szCs w:val="20"/>
    </w:rPr>
  </w:style>
  <w:style w:type="character" w:customStyle="1" w:styleId="FootnoteTextChar">
    <w:name w:val="Footnote Text Char"/>
    <w:basedOn w:val="DefaultParagraphFont"/>
    <w:link w:val="FootnoteText"/>
    <w:uiPriority w:val="99"/>
    <w:rsid w:val="000B16E1"/>
    <w:rPr>
      <w:sz w:val="20"/>
      <w:szCs w:val="20"/>
      <w:lang w:val="en-US"/>
    </w:rPr>
  </w:style>
  <w:style w:type="character" w:styleId="FootnoteReference">
    <w:name w:val="footnote reference"/>
    <w:basedOn w:val="DefaultParagraphFont"/>
    <w:uiPriority w:val="99"/>
    <w:unhideWhenUsed/>
    <w:rsid w:val="000B16E1"/>
    <w:rPr>
      <w:vertAlign w:val="superscript"/>
    </w:rPr>
  </w:style>
  <w:style w:type="paragraph" w:styleId="ListParagraph">
    <w:name w:val="List Paragraph"/>
    <w:basedOn w:val="Normal"/>
    <w:link w:val="ListParagraphChar"/>
    <w:uiPriority w:val="34"/>
    <w:qFormat/>
    <w:rsid w:val="000B16E1"/>
    <w:pPr>
      <w:ind w:left="720"/>
      <w:contextualSpacing/>
    </w:pPr>
  </w:style>
  <w:style w:type="table" w:styleId="TableGrid">
    <w:name w:val="Table Grid"/>
    <w:basedOn w:val="TableNormal"/>
    <w:uiPriority w:val="59"/>
    <w:rsid w:val="000B16E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y">
    <w:name w:val="Text body"/>
    <w:basedOn w:val="Normal"/>
    <w:uiPriority w:val="99"/>
    <w:rsid w:val="000B16E1"/>
    <w:pPr>
      <w:widowControl w:val="0"/>
      <w:autoSpaceDE w:val="0"/>
      <w:autoSpaceDN w:val="0"/>
      <w:adjustRightInd w:val="0"/>
      <w:spacing w:after="283" w:line="240" w:lineRule="auto"/>
    </w:pPr>
    <w:rPr>
      <w:rFonts w:ascii="Times New Roman" w:eastAsiaTheme="minorEastAsia" w:hAnsi="Times New Roman" w:cs="Times New Roman"/>
      <w:sz w:val="24"/>
      <w:szCs w:val="24"/>
    </w:rPr>
  </w:style>
  <w:style w:type="paragraph" w:styleId="NormalWeb">
    <w:name w:val="Normal (Web)"/>
    <w:basedOn w:val="Normal"/>
    <w:uiPriority w:val="99"/>
    <w:unhideWhenUsed/>
    <w:rsid w:val="000B16E1"/>
    <w:pPr>
      <w:spacing w:before="100" w:beforeAutospacing="1" w:after="100" w:afterAutospacing="1" w:line="240" w:lineRule="auto"/>
    </w:pPr>
    <w:rPr>
      <w:rFonts w:ascii="Times New Roman" w:eastAsia="Times New Roman" w:hAnsi="Times New Roman" w:cs="Times New Roman"/>
      <w:sz w:val="24"/>
      <w:szCs w:val="24"/>
      <w:lang w:val="en-ZA" w:eastAsia="en-ZA"/>
    </w:rPr>
  </w:style>
  <w:style w:type="character" w:customStyle="1" w:styleId="ListParagraphChar">
    <w:name w:val="List Paragraph Char"/>
    <w:basedOn w:val="DefaultParagraphFont"/>
    <w:link w:val="ListParagraph"/>
    <w:uiPriority w:val="34"/>
    <w:rsid w:val="000B16E1"/>
    <w:rPr>
      <w:lang w:val="en-US"/>
    </w:rPr>
  </w:style>
  <w:style w:type="paragraph" w:styleId="BalloonText">
    <w:name w:val="Balloon Text"/>
    <w:basedOn w:val="Normal"/>
    <w:link w:val="BalloonTextChar"/>
    <w:uiPriority w:val="99"/>
    <w:semiHidden/>
    <w:unhideWhenUsed/>
    <w:rsid w:val="000B16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16E1"/>
    <w:rPr>
      <w:rFonts w:ascii="Segoe UI" w:hAnsi="Segoe UI" w:cs="Segoe UI"/>
      <w:sz w:val="18"/>
      <w:szCs w:val="18"/>
      <w:lang w:val="en-US"/>
    </w:rPr>
  </w:style>
  <w:style w:type="paragraph" w:styleId="NoSpacing">
    <w:name w:val="No Spacing"/>
    <w:uiPriority w:val="1"/>
    <w:qFormat/>
    <w:rsid w:val="000B16E1"/>
    <w:pPr>
      <w:spacing w:after="0" w:line="240" w:lineRule="auto"/>
      <w:jc w:val="both"/>
    </w:pPr>
  </w:style>
  <w:style w:type="paragraph" w:customStyle="1" w:styleId="AS-P0">
    <w:name w:val="AS-P(0)"/>
    <w:basedOn w:val="Normal"/>
    <w:link w:val="AS-P0Char"/>
    <w:qFormat/>
    <w:rsid w:val="000B16E1"/>
    <w:pPr>
      <w:tabs>
        <w:tab w:val="left" w:pos="567"/>
      </w:tabs>
      <w:spacing w:after="0" w:line="240" w:lineRule="auto"/>
      <w:jc w:val="both"/>
    </w:pPr>
    <w:rPr>
      <w:rFonts w:ascii="Times New Roman" w:eastAsia="Times New Roman" w:hAnsi="Times New Roman" w:cs="Times New Roman"/>
      <w:noProof/>
      <w:sz w:val="24"/>
      <w:lang w:val="en-GB" w:eastAsia="en-GB"/>
    </w:rPr>
  </w:style>
  <w:style w:type="character" w:customStyle="1" w:styleId="AS-P0Char">
    <w:name w:val="AS-P(0) Char"/>
    <w:basedOn w:val="DefaultParagraphFont"/>
    <w:link w:val="AS-P0"/>
    <w:rsid w:val="000B16E1"/>
    <w:rPr>
      <w:rFonts w:ascii="Times New Roman" w:eastAsia="Times New Roman" w:hAnsi="Times New Roman" w:cs="Times New Roman"/>
      <w:noProof/>
      <w:sz w:val="24"/>
      <w:lang w:eastAsia="en-GB"/>
    </w:rPr>
  </w:style>
  <w:style w:type="paragraph" w:styleId="Header">
    <w:name w:val="header"/>
    <w:basedOn w:val="Normal"/>
    <w:link w:val="HeaderChar"/>
    <w:uiPriority w:val="99"/>
    <w:unhideWhenUsed/>
    <w:rsid w:val="000B16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16E1"/>
    <w:rPr>
      <w:lang w:val="en-US"/>
    </w:rPr>
  </w:style>
  <w:style w:type="paragraph" w:styleId="Footer">
    <w:name w:val="footer"/>
    <w:basedOn w:val="Normal"/>
    <w:link w:val="FooterChar"/>
    <w:uiPriority w:val="99"/>
    <w:unhideWhenUsed/>
    <w:rsid w:val="000B16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16E1"/>
    <w:rPr>
      <w:lang w:val="en-US"/>
    </w:rPr>
  </w:style>
  <w:style w:type="character" w:styleId="Emphasis">
    <w:name w:val="Emphasis"/>
    <w:basedOn w:val="DefaultParagraphFont"/>
    <w:uiPriority w:val="20"/>
    <w:qFormat/>
    <w:rsid w:val="002817C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D1199A0E7BB1848B3F8D450F3FAD5C4" ma:contentTypeVersion="7" ma:contentTypeDescription="Create a new document." ma:contentTypeScope="" ma:versionID="97bdcbebbc8d68d5e1cd0914f92abc14">
  <xsd:schema xmlns:xsd="http://www.w3.org/2001/XMLSchema" xmlns:xs="http://www.w3.org/2001/XMLSchema" xmlns:p="http://schemas.microsoft.com/office/2006/metadata/properties" xmlns:ns2="a1be7fe3-b1af-4cce-82d4-6ea25c209236" xmlns:ns3="63bdd487-88aa-4c54-b893-ddaa81ed2e7c" targetNamespace="http://schemas.microsoft.com/office/2006/metadata/properties" ma:root="true" ma:fieldsID="560a34a0c06ff376806fd0a5e0d6c22a" ns2:_="" ns3:_="">
    <xsd:import namespace="a1be7fe3-b1af-4cce-82d4-6ea25c209236"/>
    <xsd:import namespace="63bdd487-88aa-4c54-b893-ddaa81ed2e7c"/>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be7fe3-b1af-4cce-82d4-6ea25c209236"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3bdd487-88aa-4c54-b893-ddaa81ed2e7c"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Judgment_x0020_Date xmlns="a1be7fe3-b1af-4cce-82d4-6ea25c209236">2019-02-27T18:30:00+00:00</Judgment_x0020_Date>
    <Year xmlns="63bdd487-88aa-4c54-b893-ddaa81ed2e7c">2019</Year>
  </documentManagement>
</p:properties>
</file>

<file path=customXml/itemProps1.xml><?xml version="1.0" encoding="utf-8"?>
<ds:datastoreItem xmlns:ds="http://schemas.openxmlformats.org/officeDocument/2006/customXml" ds:itemID="{18B335FA-9A1F-4142-8286-3CEB67E32A56}"/>
</file>

<file path=customXml/itemProps2.xml><?xml version="1.0" encoding="utf-8"?>
<ds:datastoreItem xmlns:ds="http://schemas.openxmlformats.org/officeDocument/2006/customXml" ds:itemID="{D77A0B4C-7FC6-4A02-96B9-530A6ED97959}"/>
</file>

<file path=customXml/itemProps3.xml><?xml version="1.0" encoding="utf-8"?>
<ds:datastoreItem xmlns:ds="http://schemas.openxmlformats.org/officeDocument/2006/customXml" ds:itemID="{99356AA5-238A-4B3F-9E97-8C6255FEC46E}"/>
</file>

<file path=customXml/itemProps4.xml><?xml version="1.0" encoding="utf-8"?>
<ds:datastoreItem xmlns:ds="http://schemas.openxmlformats.org/officeDocument/2006/customXml" ds:itemID="{7DB4D57A-E124-48F3-B67D-D8DC5F4B5C59}"/>
</file>

<file path=docProps/app.xml><?xml version="1.0" encoding="utf-8"?>
<Properties xmlns="http://schemas.openxmlformats.org/officeDocument/2006/extended-properties" xmlns:vt="http://schemas.openxmlformats.org/officeDocument/2006/docPropsVTypes">
  <Template>Normal</Template>
  <TotalTime>1</TotalTime>
  <Pages>46</Pages>
  <Words>10751</Words>
  <Characters>61286</Characters>
  <Application>Microsoft Office Word</Application>
  <DocSecurity>0</DocSecurity>
  <Lines>510</Lines>
  <Paragraphs>143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 of Safety and Security v Mahupelo Richwell Kulisesa</dc:title>
  <dc:creator>Peter S. Shivute</dc:creator>
  <cp:lastModifiedBy>Neliswa Tjahikika</cp:lastModifiedBy>
  <cp:revision>2</cp:revision>
  <cp:lastPrinted>2019-02-27T10:24:00Z</cp:lastPrinted>
  <dcterms:created xsi:type="dcterms:W3CDTF">2019-02-28T11:59:00Z</dcterms:created>
  <dcterms:modified xsi:type="dcterms:W3CDTF">2019-02-28T11:59:00Z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0x010100CD1199A0E7BB1848B3F8D450F3FAD5C4</vt:lpwstr>
  </property>
</Properties>
</file>