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lang w:val="en-GB" w:eastAsia="en-GB"/>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E23950">
        <w:rPr>
          <w:rFonts w:ascii="Arial" w:hAnsi="Arial" w:cs="Arial"/>
          <w:sz w:val="24"/>
          <w:szCs w:val="24"/>
        </w:rPr>
        <w:t>53</w:t>
      </w:r>
      <w:r>
        <w:rPr>
          <w:rFonts w:ascii="Arial" w:hAnsi="Arial" w:cs="Arial"/>
          <w:sz w:val="24"/>
          <w:szCs w:val="24"/>
        </w:rPr>
        <w:t>/20</w:t>
      </w:r>
      <w:r w:rsidR="00E23950">
        <w:rPr>
          <w:rFonts w:ascii="Arial" w:hAnsi="Arial" w:cs="Arial"/>
          <w:sz w:val="24"/>
          <w:szCs w:val="24"/>
        </w:rPr>
        <w:t>17</w:t>
      </w:r>
    </w:p>
    <w:p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rsidR="005D68F4" w:rsidRDefault="005D68F4" w:rsidP="00FF4712">
      <w:pPr>
        <w:spacing w:after="0" w:line="480" w:lineRule="auto"/>
        <w:jc w:val="both"/>
        <w:rPr>
          <w:rFonts w:ascii="Arial" w:hAnsi="Arial" w:cs="Arial"/>
          <w:sz w:val="24"/>
          <w:szCs w:val="24"/>
        </w:rPr>
      </w:pPr>
    </w:p>
    <w:p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rsidTr="00071598">
        <w:tc>
          <w:tcPr>
            <w:tcW w:w="5821" w:type="dxa"/>
            <w:shd w:val="clear" w:color="auto" w:fill="auto"/>
          </w:tcPr>
          <w:p w:rsidR="009D3D25" w:rsidRPr="00500CF6" w:rsidRDefault="00E23950" w:rsidP="00E23950">
            <w:pPr>
              <w:spacing w:line="480" w:lineRule="auto"/>
              <w:ind w:left="-108"/>
              <w:jc w:val="both"/>
              <w:rPr>
                <w:rFonts w:ascii="Arial" w:hAnsi="Arial" w:cs="Arial"/>
                <w:b/>
                <w:sz w:val="24"/>
                <w:szCs w:val="24"/>
              </w:rPr>
            </w:pPr>
            <w:r>
              <w:rPr>
                <w:rFonts w:ascii="Arial" w:hAnsi="Arial" w:cs="Arial"/>
                <w:b/>
                <w:sz w:val="24"/>
                <w:szCs w:val="24"/>
              </w:rPr>
              <w:t>PROSECUTOR-GENERAL</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r>
              <w:rPr>
                <w:rFonts w:ascii="Arial" w:hAnsi="Arial" w:cs="Arial"/>
                <w:b/>
                <w:sz w:val="24"/>
                <w:szCs w:val="24"/>
              </w:rPr>
              <w:t>Appellant</w:t>
            </w:r>
          </w:p>
        </w:tc>
      </w:tr>
      <w:tr w:rsidR="009D3D25" w:rsidRPr="00500CF6" w:rsidTr="00071598">
        <w:tc>
          <w:tcPr>
            <w:tcW w:w="5821" w:type="dxa"/>
            <w:shd w:val="clear" w:color="auto" w:fill="auto"/>
          </w:tcPr>
          <w:p w:rsidR="009D3D25" w:rsidRDefault="00497E6D" w:rsidP="00B63A87">
            <w:pPr>
              <w:spacing w:line="480" w:lineRule="auto"/>
              <w:ind w:left="-108"/>
              <w:jc w:val="both"/>
              <w:rPr>
                <w:rFonts w:ascii="Arial" w:hAnsi="Arial" w:cs="Arial"/>
                <w:b/>
                <w:sz w:val="24"/>
                <w:szCs w:val="24"/>
              </w:rPr>
            </w:pPr>
            <w:r>
              <w:rPr>
                <w:rFonts w:ascii="Arial" w:hAnsi="Arial" w:cs="Arial"/>
                <w:sz w:val="24"/>
                <w:szCs w:val="24"/>
              </w:rPr>
              <w:t>a</w:t>
            </w:r>
            <w:r w:rsidR="009D3D25" w:rsidRPr="00500CF6">
              <w:rPr>
                <w:rFonts w:ascii="Arial" w:hAnsi="Arial" w:cs="Arial"/>
                <w:sz w:val="24"/>
                <w:szCs w:val="24"/>
              </w:rPr>
              <w:t>nd</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p>
        </w:tc>
      </w:tr>
      <w:tr w:rsidR="00CA736C" w:rsidRPr="00500CF6" w:rsidTr="00071598">
        <w:tc>
          <w:tcPr>
            <w:tcW w:w="5821" w:type="dxa"/>
            <w:shd w:val="clear" w:color="auto" w:fill="auto"/>
          </w:tcPr>
          <w:p w:rsidR="00CA736C" w:rsidRDefault="00CA736C" w:rsidP="00AE7816">
            <w:pPr>
              <w:spacing w:line="480" w:lineRule="auto"/>
              <w:ind w:left="-108"/>
              <w:jc w:val="both"/>
              <w:rPr>
                <w:rFonts w:ascii="Arial" w:hAnsi="Arial" w:cs="Arial"/>
                <w:b/>
                <w:sz w:val="24"/>
                <w:szCs w:val="24"/>
              </w:rPr>
            </w:pPr>
            <w:r>
              <w:rPr>
                <w:rFonts w:ascii="Arial" w:hAnsi="Arial" w:cs="Arial"/>
                <w:b/>
                <w:sz w:val="24"/>
                <w:szCs w:val="24"/>
              </w:rPr>
              <w:t>ATLANTIC OCEAN MANAGEMENT PROPRIET</w:t>
            </w:r>
            <w:r w:rsidR="00E5436F">
              <w:rPr>
                <w:rFonts w:ascii="Arial" w:hAnsi="Arial" w:cs="Arial"/>
                <w:b/>
                <w:sz w:val="24"/>
                <w:szCs w:val="24"/>
              </w:rPr>
              <w:t>A</w:t>
            </w:r>
            <w:r>
              <w:rPr>
                <w:rFonts w:ascii="Arial" w:hAnsi="Arial" w:cs="Arial"/>
                <w:b/>
                <w:sz w:val="24"/>
                <w:szCs w:val="24"/>
              </w:rPr>
              <w:t>RY LIMITED</w:t>
            </w:r>
          </w:p>
          <w:p w:rsidR="00CA736C" w:rsidRDefault="00CA736C" w:rsidP="00071598">
            <w:pPr>
              <w:spacing w:line="360" w:lineRule="auto"/>
              <w:ind w:left="-108"/>
              <w:rPr>
                <w:rFonts w:ascii="Arial" w:hAnsi="Arial" w:cs="Arial"/>
                <w:b/>
                <w:sz w:val="24"/>
                <w:szCs w:val="24"/>
              </w:rPr>
            </w:pPr>
            <w:r>
              <w:rPr>
                <w:rFonts w:ascii="Arial" w:hAnsi="Arial" w:cs="Arial"/>
                <w:b/>
                <w:sz w:val="24"/>
                <w:szCs w:val="24"/>
              </w:rPr>
              <w:t>FISH SPAIN S L</w:t>
            </w:r>
          </w:p>
          <w:p w:rsidR="00CA736C" w:rsidRPr="009D3D25" w:rsidRDefault="00CA736C" w:rsidP="00CA736C">
            <w:pPr>
              <w:spacing w:after="0" w:line="480" w:lineRule="auto"/>
              <w:ind w:left="-108"/>
              <w:jc w:val="both"/>
              <w:rPr>
                <w:rFonts w:ascii="Arial" w:hAnsi="Arial" w:cs="Arial"/>
                <w:b/>
                <w:sz w:val="24"/>
                <w:szCs w:val="24"/>
              </w:rPr>
            </w:pPr>
          </w:p>
        </w:tc>
        <w:tc>
          <w:tcPr>
            <w:tcW w:w="2967" w:type="dxa"/>
            <w:shd w:val="clear" w:color="auto" w:fill="auto"/>
          </w:tcPr>
          <w:p w:rsidR="00CA736C" w:rsidRDefault="00CA736C" w:rsidP="00071598">
            <w:pPr>
              <w:spacing w:line="360" w:lineRule="auto"/>
              <w:jc w:val="right"/>
              <w:rPr>
                <w:rFonts w:ascii="Arial" w:hAnsi="Arial" w:cs="Arial"/>
                <w:b/>
                <w:sz w:val="24"/>
                <w:szCs w:val="24"/>
              </w:rPr>
            </w:pPr>
          </w:p>
          <w:p w:rsidR="00CA736C" w:rsidRDefault="00CA736C" w:rsidP="00071598">
            <w:pPr>
              <w:spacing w:line="360" w:lineRule="auto"/>
              <w:jc w:val="right"/>
              <w:rPr>
                <w:rFonts w:ascii="Arial" w:hAnsi="Arial" w:cs="Arial"/>
                <w:b/>
                <w:sz w:val="24"/>
                <w:szCs w:val="24"/>
              </w:rPr>
            </w:pPr>
            <w:r>
              <w:rPr>
                <w:rFonts w:ascii="Arial" w:hAnsi="Arial" w:cs="Arial"/>
                <w:b/>
                <w:sz w:val="24"/>
                <w:szCs w:val="24"/>
              </w:rPr>
              <w:t>First Respondent</w:t>
            </w:r>
          </w:p>
          <w:p w:rsidR="00CA736C" w:rsidRDefault="00CA736C" w:rsidP="00071598">
            <w:pPr>
              <w:spacing w:after="0" w:line="480" w:lineRule="auto"/>
              <w:jc w:val="right"/>
              <w:rPr>
                <w:rFonts w:ascii="Arial" w:hAnsi="Arial" w:cs="Arial"/>
                <w:b/>
                <w:sz w:val="24"/>
                <w:szCs w:val="24"/>
              </w:rPr>
            </w:pPr>
            <w:r>
              <w:rPr>
                <w:rFonts w:ascii="Arial" w:hAnsi="Arial" w:cs="Arial"/>
                <w:b/>
                <w:sz w:val="24"/>
                <w:szCs w:val="24"/>
              </w:rPr>
              <w:t>Second Respondent</w:t>
            </w:r>
          </w:p>
          <w:p w:rsidR="00CA736C" w:rsidRPr="00500CF6" w:rsidRDefault="00CA736C" w:rsidP="00071598">
            <w:pPr>
              <w:spacing w:after="0" w:line="480" w:lineRule="auto"/>
              <w:jc w:val="both"/>
              <w:rPr>
                <w:rFonts w:ascii="Arial" w:hAnsi="Arial" w:cs="Arial"/>
                <w:b/>
                <w:sz w:val="24"/>
                <w:szCs w:val="24"/>
              </w:rPr>
            </w:pPr>
          </w:p>
        </w:tc>
      </w:tr>
    </w:tbl>
    <w:p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E23950">
        <w:rPr>
          <w:rFonts w:ascii="Arial" w:hAnsi="Arial" w:cs="Arial"/>
          <w:sz w:val="24"/>
          <w:szCs w:val="24"/>
        </w:rPr>
        <w:t xml:space="preserve">SHIVUTE CJ, </w:t>
      </w:r>
      <w:r w:rsidR="00B74507">
        <w:rPr>
          <w:rFonts w:ascii="Arial" w:hAnsi="Arial" w:cs="Arial"/>
          <w:sz w:val="24"/>
          <w:szCs w:val="24"/>
        </w:rPr>
        <w:t xml:space="preserve">MAINGA JA </w:t>
      </w:r>
      <w:r w:rsidR="00BE3226">
        <w:rPr>
          <w:rFonts w:ascii="Arial" w:hAnsi="Arial" w:cs="Arial"/>
          <w:sz w:val="24"/>
          <w:szCs w:val="24"/>
        </w:rPr>
        <w:t>and</w:t>
      </w:r>
      <w:r w:rsidR="00E23950">
        <w:rPr>
          <w:rFonts w:ascii="Arial" w:hAnsi="Arial" w:cs="Arial"/>
          <w:sz w:val="24"/>
          <w:szCs w:val="24"/>
        </w:rPr>
        <w:t xml:space="preserve"> SMUTS JA</w:t>
      </w:r>
      <w:r w:rsidR="00BE3226">
        <w:rPr>
          <w:rFonts w:ascii="Arial" w:hAnsi="Arial" w:cs="Arial"/>
          <w:sz w:val="24"/>
          <w:szCs w:val="24"/>
        </w:rPr>
        <w:t xml:space="preserve"> </w:t>
      </w:r>
      <w:r>
        <w:rPr>
          <w:rFonts w:ascii="Arial" w:hAnsi="Arial" w:cs="Arial"/>
          <w:sz w:val="24"/>
          <w:szCs w:val="24"/>
        </w:rPr>
        <w:t xml:space="preserve"> </w:t>
      </w:r>
    </w:p>
    <w:p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7C66F3">
        <w:rPr>
          <w:rFonts w:ascii="Arial" w:hAnsi="Arial" w:cs="Arial"/>
          <w:b/>
          <w:sz w:val="24"/>
          <w:szCs w:val="24"/>
        </w:rPr>
        <w:t>20 June</w:t>
      </w:r>
      <w:r w:rsidRPr="00594B41">
        <w:rPr>
          <w:rFonts w:ascii="Arial" w:hAnsi="Arial" w:cs="Arial"/>
          <w:b/>
          <w:sz w:val="24"/>
          <w:szCs w:val="24"/>
        </w:rPr>
        <w:t xml:space="preserve"> 201</w:t>
      </w:r>
      <w:r w:rsidR="007C66F3">
        <w:rPr>
          <w:rFonts w:ascii="Arial" w:hAnsi="Arial" w:cs="Arial"/>
          <w:b/>
          <w:sz w:val="24"/>
          <w:szCs w:val="24"/>
        </w:rPr>
        <w:t>9</w:t>
      </w:r>
    </w:p>
    <w:p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E5436F">
        <w:rPr>
          <w:rFonts w:ascii="Arial" w:hAnsi="Arial" w:cs="Arial"/>
          <w:b/>
          <w:sz w:val="24"/>
          <w:szCs w:val="24"/>
        </w:rPr>
        <w:t xml:space="preserve">09 </w:t>
      </w:r>
      <w:r w:rsidR="001670B9">
        <w:rPr>
          <w:rFonts w:ascii="Arial" w:hAnsi="Arial" w:cs="Arial"/>
          <w:b/>
          <w:sz w:val="24"/>
          <w:szCs w:val="24"/>
        </w:rPr>
        <w:t xml:space="preserve">October </w:t>
      </w:r>
      <w:r w:rsidR="00F95355">
        <w:rPr>
          <w:rFonts w:ascii="Arial" w:hAnsi="Arial" w:cs="Arial"/>
          <w:b/>
          <w:sz w:val="24"/>
          <w:szCs w:val="24"/>
        </w:rPr>
        <w:t>2</w:t>
      </w:r>
      <w:r w:rsidR="004F55D7">
        <w:rPr>
          <w:rFonts w:ascii="Arial" w:hAnsi="Arial" w:cs="Arial"/>
          <w:b/>
          <w:sz w:val="24"/>
          <w:szCs w:val="24"/>
        </w:rPr>
        <w:t>01</w:t>
      </w:r>
      <w:r w:rsidR="007C66F3">
        <w:rPr>
          <w:rFonts w:ascii="Arial" w:hAnsi="Arial" w:cs="Arial"/>
          <w:b/>
          <w:sz w:val="24"/>
          <w:szCs w:val="24"/>
        </w:rPr>
        <w:t>9</w:t>
      </w:r>
    </w:p>
    <w:p w:rsidR="00E41F9F" w:rsidRDefault="00E41F9F" w:rsidP="006018B8">
      <w:pPr>
        <w:spacing w:after="0" w:line="360" w:lineRule="auto"/>
        <w:jc w:val="both"/>
        <w:rPr>
          <w:rFonts w:ascii="Arial" w:hAnsi="Arial" w:cs="Arial"/>
          <w:b/>
          <w:sz w:val="24"/>
          <w:szCs w:val="24"/>
        </w:rPr>
      </w:pPr>
    </w:p>
    <w:p w:rsidR="008F3109" w:rsidRDefault="00545BB4" w:rsidP="00546AB8">
      <w:pPr>
        <w:spacing w:after="0" w:line="360" w:lineRule="auto"/>
        <w:jc w:val="both"/>
        <w:rPr>
          <w:rFonts w:ascii="Arial" w:hAnsi="Arial" w:cs="Arial"/>
          <w:sz w:val="24"/>
          <w:szCs w:val="24"/>
        </w:rPr>
      </w:pPr>
      <w:r w:rsidRPr="008F3109">
        <w:rPr>
          <w:rFonts w:ascii="Arial" w:hAnsi="Arial" w:cs="Arial"/>
          <w:b/>
          <w:sz w:val="24"/>
          <w:szCs w:val="24"/>
        </w:rPr>
        <w:t xml:space="preserve">Summary: </w:t>
      </w:r>
      <w:r w:rsidR="00AD5917" w:rsidRPr="00AD5917">
        <w:rPr>
          <w:rFonts w:ascii="Arial" w:hAnsi="Arial" w:cs="Arial"/>
          <w:sz w:val="24"/>
          <w:szCs w:val="24"/>
        </w:rPr>
        <w:t>The appeal concerns the upholdin</w:t>
      </w:r>
      <w:r w:rsidR="00AD5917">
        <w:rPr>
          <w:rFonts w:ascii="Arial" w:hAnsi="Arial" w:cs="Arial"/>
          <w:sz w:val="24"/>
          <w:szCs w:val="24"/>
        </w:rPr>
        <w:t>g of an application for the rescission of a preservation of property order by Angula DJP, granted</w:t>
      </w:r>
      <w:r w:rsidR="00546AB8">
        <w:rPr>
          <w:rFonts w:ascii="Arial" w:hAnsi="Arial" w:cs="Arial"/>
          <w:sz w:val="24"/>
          <w:szCs w:val="24"/>
        </w:rPr>
        <w:t xml:space="preserve"> earlier</w:t>
      </w:r>
      <w:r w:rsidR="00AD5917">
        <w:rPr>
          <w:rFonts w:ascii="Arial" w:hAnsi="Arial" w:cs="Arial"/>
          <w:sz w:val="24"/>
          <w:szCs w:val="24"/>
        </w:rPr>
        <w:t xml:space="preserve"> by Usiku AJ (as he then was) in favour of the appellant on 26 May 2017. </w:t>
      </w:r>
      <w:r w:rsidR="00452F07" w:rsidRPr="008F3109">
        <w:rPr>
          <w:rFonts w:ascii="Arial" w:hAnsi="Arial" w:cs="Arial"/>
          <w:sz w:val="24"/>
          <w:szCs w:val="24"/>
        </w:rPr>
        <w:t xml:space="preserve">Two Spanish companies and </w:t>
      </w:r>
      <w:r w:rsidR="00C95118" w:rsidRPr="008F3109">
        <w:rPr>
          <w:rFonts w:ascii="Arial" w:hAnsi="Arial" w:cs="Arial"/>
          <w:sz w:val="24"/>
          <w:szCs w:val="24"/>
        </w:rPr>
        <w:t>an Angolan company</w:t>
      </w:r>
      <w:r w:rsidR="00452F07" w:rsidRPr="008F3109">
        <w:rPr>
          <w:rFonts w:ascii="Arial" w:hAnsi="Arial" w:cs="Arial"/>
          <w:sz w:val="24"/>
          <w:szCs w:val="24"/>
        </w:rPr>
        <w:t xml:space="preserve"> concluded a charter agreement in terms of which </w:t>
      </w:r>
      <w:r w:rsidR="00C95118" w:rsidRPr="008F3109">
        <w:rPr>
          <w:rFonts w:ascii="Arial" w:hAnsi="Arial" w:cs="Arial"/>
          <w:sz w:val="24"/>
          <w:szCs w:val="24"/>
        </w:rPr>
        <w:t>they</w:t>
      </w:r>
      <w:r w:rsidR="00452F07" w:rsidRPr="008F3109">
        <w:rPr>
          <w:rFonts w:ascii="Arial" w:hAnsi="Arial" w:cs="Arial"/>
          <w:sz w:val="24"/>
          <w:szCs w:val="24"/>
        </w:rPr>
        <w:t xml:space="preserve"> agreed that </w:t>
      </w:r>
      <w:r w:rsidR="00C95118" w:rsidRPr="008F3109">
        <w:rPr>
          <w:rFonts w:ascii="Arial" w:hAnsi="Arial" w:cs="Arial"/>
          <w:sz w:val="24"/>
          <w:szCs w:val="24"/>
        </w:rPr>
        <w:t>the Angolan company</w:t>
      </w:r>
      <w:r w:rsidR="00452F07" w:rsidRPr="008F3109">
        <w:rPr>
          <w:rFonts w:ascii="Arial" w:hAnsi="Arial" w:cs="Arial"/>
          <w:sz w:val="24"/>
          <w:szCs w:val="24"/>
        </w:rPr>
        <w:t xml:space="preserve"> would utilize vessels of the two Spanish companies and would in addition carry all the costs arising from the operation of the vessels. </w:t>
      </w:r>
      <w:r w:rsidR="00C95118" w:rsidRPr="008F3109">
        <w:rPr>
          <w:rFonts w:ascii="Arial" w:hAnsi="Arial" w:cs="Arial"/>
          <w:sz w:val="24"/>
          <w:szCs w:val="24"/>
        </w:rPr>
        <w:t>S</w:t>
      </w:r>
      <w:r w:rsidR="00452F07" w:rsidRPr="008F3109">
        <w:rPr>
          <w:rFonts w:ascii="Arial" w:hAnsi="Arial" w:cs="Arial"/>
          <w:sz w:val="24"/>
          <w:szCs w:val="24"/>
        </w:rPr>
        <w:t>ubsequent to entering i</w:t>
      </w:r>
      <w:r w:rsidR="00F7055B">
        <w:rPr>
          <w:rFonts w:ascii="Arial" w:hAnsi="Arial" w:cs="Arial"/>
          <w:sz w:val="24"/>
          <w:szCs w:val="24"/>
        </w:rPr>
        <w:t>nto the agreement, the Angolan G</w:t>
      </w:r>
      <w:r w:rsidR="00452F07" w:rsidRPr="008F3109">
        <w:rPr>
          <w:rFonts w:ascii="Arial" w:hAnsi="Arial" w:cs="Arial"/>
          <w:sz w:val="24"/>
          <w:szCs w:val="24"/>
        </w:rPr>
        <w:t xml:space="preserve">overnment </w:t>
      </w:r>
      <w:r w:rsidR="00452F07" w:rsidRPr="008F3109">
        <w:rPr>
          <w:rFonts w:ascii="Arial" w:hAnsi="Arial" w:cs="Arial"/>
          <w:sz w:val="24"/>
          <w:szCs w:val="24"/>
        </w:rPr>
        <w:lastRenderedPageBreak/>
        <w:t xml:space="preserve">introduced foreign exchange regulations which restricted the export of foreign currency, making it difficult for </w:t>
      </w:r>
      <w:r w:rsidR="00C95118" w:rsidRPr="008F3109">
        <w:rPr>
          <w:rFonts w:ascii="Arial" w:hAnsi="Arial" w:cs="Arial"/>
          <w:sz w:val="24"/>
          <w:szCs w:val="24"/>
        </w:rPr>
        <w:t>the Angolan company</w:t>
      </w:r>
      <w:r w:rsidR="00452F07" w:rsidRPr="008F3109">
        <w:rPr>
          <w:rFonts w:ascii="Arial" w:hAnsi="Arial" w:cs="Arial"/>
          <w:sz w:val="24"/>
          <w:szCs w:val="24"/>
        </w:rPr>
        <w:t xml:space="preserve"> to remit payment to the Spanish companies. As a result</w:t>
      </w:r>
      <w:r w:rsidR="00C95118" w:rsidRPr="008F3109">
        <w:rPr>
          <w:rFonts w:ascii="Arial" w:hAnsi="Arial" w:cs="Arial"/>
          <w:sz w:val="24"/>
          <w:szCs w:val="24"/>
        </w:rPr>
        <w:t>,</w:t>
      </w:r>
      <w:r w:rsidR="00452F07" w:rsidRPr="008F3109">
        <w:rPr>
          <w:rFonts w:ascii="Arial" w:hAnsi="Arial" w:cs="Arial"/>
          <w:sz w:val="24"/>
          <w:szCs w:val="24"/>
        </w:rPr>
        <w:t xml:space="preserve"> the Spanish companies experienced a liquidity problem. </w:t>
      </w:r>
      <w:r w:rsidR="00C95118" w:rsidRPr="008F3109">
        <w:rPr>
          <w:rFonts w:ascii="Arial" w:hAnsi="Arial" w:cs="Arial"/>
          <w:sz w:val="24"/>
          <w:szCs w:val="24"/>
        </w:rPr>
        <w:t>In order to address the problem, Mr Martinez and Mr Maqueira acting on the instructions of the Spanish companies registered a Namibian company</w:t>
      </w:r>
      <w:r w:rsidR="00E71215">
        <w:rPr>
          <w:rFonts w:ascii="Arial" w:hAnsi="Arial" w:cs="Arial"/>
          <w:sz w:val="24"/>
          <w:szCs w:val="24"/>
        </w:rPr>
        <w:t>,</w:t>
      </w:r>
      <w:r w:rsidR="00C95118" w:rsidRPr="008F3109">
        <w:rPr>
          <w:rFonts w:ascii="Arial" w:hAnsi="Arial" w:cs="Arial"/>
          <w:sz w:val="24"/>
          <w:szCs w:val="24"/>
        </w:rPr>
        <w:t xml:space="preserve"> Atlantic Ocean Management (Pty) Ltd (the </w:t>
      </w:r>
      <w:r w:rsidR="001B7AA6">
        <w:rPr>
          <w:rFonts w:ascii="Arial" w:hAnsi="Arial" w:cs="Arial"/>
          <w:sz w:val="24"/>
          <w:szCs w:val="24"/>
        </w:rPr>
        <w:t>first</w:t>
      </w:r>
      <w:r w:rsidR="00C95118" w:rsidRPr="008F3109">
        <w:rPr>
          <w:rFonts w:ascii="Arial" w:hAnsi="Arial" w:cs="Arial"/>
          <w:sz w:val="24"/>
          <w:szCs w:val="24"/>
        </w:rPr>
        <w:t xml:space="preserve"> respondent).  Mr Maqueira and Mr Martinez, being the directors and equal shareholders in the </w:t>
      </w:r>
      <w:r w:rsidR="001B7AA6">
        <w:rPr>
          <w:rFonts w:ascii="Arial" w:hAnsi="Arial" w:cs="Arial"/>
          <w:sz w:val="24"/>
          <w:szCs w:val="24"/>
        </w:rPr>
        <w:t>first</w:t>
      </w:r>
      <w:r w:rsidR="00C95118" w:rsidRPr="008F3109">
        <w:rPr>
          <w:rFonts w:ascii="Arial" w:hAnsi="Arial" w:cs="Arial"/>
          <w:sz w:val="24"/>
          <w:szCs w:val="24"/>
        </w:rPr>
        <w:t xml:space="preserve"> respondent, </w:t>
      </w:r>
      <w:r w:rsidR="003B3395" w:rsidRPr="008F3109">
        <w:rPr>
          <w:rFonts w:ascii="Arial" w:hAnsi="Arial" w:cs="Arial"/>
          <w:sz w:val="24"/>
          <w:szCs w:val="24"/>
        </w:rPr>
        <w:t xml:space="preserve">would receive money from the clients of the Angolan company for fish supplied </w:t>
      </w:r>
      <w:r w:rsidR="00E97FE7" w:rsidRPr="008F3109">
        <w:rPr>
          <w:rFonts w:ascii="Arial" w:hAnsi="Arial" w:cs="Arial"/>
          <w:sz w:val="24"/>
          <w:szCs w:val="24"/>
        </w:rPr>
        <w:t xml:space="preserve">to them </w:t>
      </w:r>
      <w:r w:rsidR="003B3395" w:rsidRPr="008F3109">
        <w:rPr>
          <w:rFonts w:ascii="Arial" w:hAnsi="Arial" w:cs="Arial"/>
          <w:sz w:val="24"/>
          <w:szCs w:val="24"/>
        </w:rPr>
        <w:t xml:space="preserve">and in turn they </w:t>
      </w:r>
      <w:r w:rsidR="00C95118" w:rsidRPr="008F3109">
        <w:rPr>
          <w:rFonts w:ascii="Arial" w:hAnsi="Arial" w:cs="Arial"/>
          <w:sz w:val="24"/>
          <w:szCs w:val="24"/>
        </w:rPr>
        <w:t xml:space="preserve">opened up a </w:t>
      </w:r>
      <w:r w:rsidR="00F7055B">
        <w:rPr>
          <w:rFonts w:ascii="Arial" w:hAnsi="Arial" w:cs="Arial"/>
          <w:sz w:val="24"/>
          <w:szCs w:val="24"/>
        </w:rPr>
        <w:t>Customer Foreign Currency (</w:t>
      </w:r>
      <w:r w:rsidR="00C95118" w:rsidRPr="008F3109">
        <w:rPr>
          <w:rFonts w:ascii="Arial" w:hAnsi="Arial" w:cs="Arial"/>
          <w:sz w:val="24"/>
          <w:szCs w:val="24"/>
        </w:rPr>
        <w:t>CFC</w:t>
      </w:r>
      <w:r w:rsidR="00F7055B">
        <w:rPr>
          <w:rFonts w:ascii="Arial" w:hAnsi="Arial" w:cs="Arial"/>
          <w:sz w:val="24"/>
          <w:szCs w:val="24"/>
        </w:rPr>
        <w:t>)</w:t>
      </w:r>
      <w:r w:rsidR="00C95118" w:rsidRPr="008F3109">
        <w:rPr>
          <w:rFonts w:ascii="Arial" w:hAnsi="Arial" w:cs="Arial"/>
          <w:sz w:val="24"/>
          <w:szCs w:val="24"/>
        </w:rPr>
        <w:t xml:space="preserve"> account</w:t>
      </w:r>
      <w:r w:rsidR="003B3395" w:rsidRPr="008F3109">
        <w:rPr>
          <w:rFonts w:ascii="Arial" w:hAnsi="Arial" w:cs="Arial"/>
          <w:sz w:val="24"/>
          <w:szCs w:val="24"/>
        </w:rPr>
        <w:t xml:space="preserve"> at Bank Windhoek</w:t>
      </w:r>
      <w:r w:rsidR="00C95118" w:rsidRPr="008F3109">
        <w:rPr>
          <w:rFonts w:ascii="Arial" w:hAnsi="Arial" w:cs="Arial"/>
          <w:sz w:val="24"/>
          <w:szCs w:val="24"/>
        </w:rPr>
        <w:t xml:space="preserve"> in which </w:t>
      </w:r>
      <w:r w:rsidR="003B3395" w:rsidRPr="008F3109">
        <w:rPr>
          <w:rFonts w:ascii="Arial" w:hAnsi="Arial" w:cs="Arial"/>
          <w:sz w:val="24"/>
          <w:szCs w:val="24"/>
        </w:rPr>
        <w:t>they deposited the money</w:t>
      </w:r>
      <w:r w:rsidR="00E97FE7" w:rsidRPr="008F3109">
        <w:rPr>
          <w:rFonts w:ascii="Arial" w:hAnsi="Arial" w:cs="Arial"/>
          <w:sz w:val="24"/>
          <w:szCs w:val="24"/>
        </w:rPr>
        <w:t xml:space="preserve"> received</w:t>
      </w:r>
      <w:r w:rsidR="003B3395" w:rsidRPr="008F3109">
        <w:rPr>
          <w:rFonts w:ascii="Arial" w:hAnsi="Arial" w:cs="Arial"/>
          <w:sz w:val="24"/>
          <w:szCs w:val="24"/>
        </w:rPr>
        <w:t xml:space="preserve"> which would be transferred to </w:t>
      </w:r>
      <w:r w:rsidR="006D4D8F">
        <w:rPr>
          <w:rFonts w:ascii="Arial" w:hAnsi="Arial" w:cs="Arial"/>
          <w:sz w:val="24"/>
          <w:szCs w:val="24"/>
        </w:rPr>
        <w:t>Fish Spain’s Bank account in Spain</w:t>
      </w:r>
      <w:r w:rsidR="003B3395" w:rsidRPr="008F3109">
        <w:rPr>
          <w:rFonts w:ascii="Arial" w:hAnsi="Arial" w:cs="Arial"/>
          <w:sz w:val="24"/>
          <w:szCs w:val="24"/>
        </w:rPr>
        <w:t xml:space="preserve">.  This arrangement ran smoothly until Bank Windhoek informed the directors of the </w:t>
      </w:r>
      <w:r w:rsidR="001B7AA6">
        <w:rPr>
          <w:rFonts w:ascii="Arial" w:hAnsi="Arial" w:cs="Arial"/>
          <w:sz w:val="24"/>
          <w:szCs w:val="24"/>
        </w:rPr>
        <w:t>first</w:t>
      </w:r>
      <w:r w:rsidR="003B3395" w:rsidRPr="008F3109">
        <w:rPr>
          <w:rFonts w:ascii="Arial" w:hAnsi="Arial" w:cs="Arial"/>
          <w:sz w:val="24"/>
          <w:szCs w:val="24"/>
        </w:rPr>
        <w:t xml:space="preserve"> respondent that the transfer of some USD886</w:t>
      </w:r>
      <w:r w:rsidR="001B7AA6">
        <w:rPr>
          <w:rFonts w:ascii="Arial" w:hAnsi="Arial" w:cs="Arial"/>
          <w:sz w:val="24"/>
          <w:szCs w:val="24"/>
        </w:rPr>
        <w:t> </w:t>
      </w:r>
      <w:r w:rsidR="003B3395" w:rsidRPr="008F3109">
        <w:rPr>
          <w:rFonts w:ascii="Arial" w:hAnsi="Arial" w:cs="Arial"/>
          <w:sz w:val="24"/>
          <w:szCs w:val="24"/>
        </w:rPr>
        <w:t>722</w:t>
      </w:r>
      <w:r w:rsidR="001B7AA6">
        <w:rPr>
          <w:rFonts w:ascii="Arial" w:hAnsi="Arial" w:cs="Arial"/>
          <w:sz w:val="24"/>
          <w:szCs w:val="24"/>
        </w:rPr>
        <w:t>,</w:t>
      </w:r>
      <w:r w:rsidR="003B3395" w:rsidRPr="008F3109">
        <w:rPr>
          <w:rFonts w:ascii="Arial" w:hAnsi="Arial" w:cs="Arial"/>
          <w:sz w:val="24"/>
          <w:szCs w:val="24"/>
        </w:rPr>
        <w:t>20 was blocked by the compliance department within the Bank itself.</w:t>
      </w:r>
      <w:r w:rsidR="000412C2" w:rsidRPr="008F3109">
        <w:rPr>
          <w:rFonts w:ascii="Arial" w:hAnsi="Arial" w:cs="Arial"/>
          <w:sz w:val="24"/>
          <w:szCs w:val="24"/>
        </w:rPr>
        <w:t xml:space="preserve">  This was due to a</w:t>
      </w:r>
      <w:r w:rsidR="00E97FE7" w:rsidRPr="008F3109">
        <w:rPr>
          <w:rFonts w:ascii="Arial" w:hAnsi="Arial" w:cs="Arial"/>
          <w:sz w:val="24"/>
          <w:szCs w:val="24"/>
        </w:rPr>
        <w:t xml:space="preserve"> </w:t>
      </w:r>
      <w:r w:rsidR="000412C2" w:rsidRPr="008F3109">
        <w:rPr>
          <w:rFonts w:ascii="Arial" w:hAnsi="Arial" w:cs="Arial"/>
          <w:sz w:val="24"/>
          <w:szCs w:val="24"/>
        </w:rPr>
        <w:t>Determination</w:t>
      </w:r>
      <w:r w:rsidR="00E97FE7" w:rsidRPr="008F3109">
        <w:rPr>
          <w:rFonts w:ascii="Arial" w:hAnsi="Arial" w:cs="Arial"/>
          <w:sz w:val="24"/>
          <w:szCs w:val="24"/>
        </w:rPr>
        <w:t xml:space="preserve"> </w:t>
      </w:r>
      <w:r w:rsidR="00E71215">
        <w:rPr>
          <w:rFonts w:ascii="Arial" w:hAnsi="Arial" w:cs="Arial"/>
          <w:sz w:val="24"/>
          <w:szCs w:val="24"/>
        </w:rPr>
        <w:t>issued</w:t>
      </w:r>
      <w:r w:rsidR="00E97FE7" w:rsidRPr="008F3109">
        <w:rPr>
          <w:rFonts w:ascii="Arial" w:hAnsi="Arial" w:cs="Arial"/>
          <w:sz w:val="24"/>
          <w:szCs w:val="24"/>
        </w:rPr>
        <w:t xml:space="preserve"> by the Financial Intelligence Centr</w:t>
      </w:r>
      <w:r w:rsidR="001B7AA6">
        <w:rPr>
          <w:rFonts w:ascii="Arial" w:hAnsi="Arial" w:cs="Arial"/>
          <w:sz w:val="24"/>
          <w:szCs w:val="24"/>
        </w:rPr>
        <w:t>e</w:t>
      </w:r>
      <w:r w:rsidR="00E97FE7" w:rsidRPr="008F3109">
        <w:rPr>
          <w:rFonts w:ascii="Arial" w:hAnsi="Arial" w:cs="Arial"/>
          <w:sz w:val="24"/>
          <w:szCs w:val="24"/>
        </w:rPr>
        <w:t xml:space="preserve"> (FIC) in 2016, which held that any money in excess of N$100,000 had to be declared to an officer of Customs and Excise at the port of entry into or at the port</w:t>
      </w:r>
      <w:r w:rsidR="000412C2" w:rsidRPr="008F3109">
        <w:rPr>
          <w:rFonts w:ascii="Arial" w:hAnsi="Arial" w:cs="Arial"/>
          <w:sz w:val="24"/>
          <w:szCs w:val="24"/>
        </w:rPr>
        <w:t xml:space="preserve"> of departure from Namibia.  Being alerted to this, the</w:t>
      </w:r>
      <w:r w:rsidR="00E97FE7" w:rsidRPr="008F3109">
        <w:rPr>
          <w:rFonts w:ascii="Arial" w:hAnsi="Arial" w:cs="Arial"/>
          <w:sz w:val="24"/>
          <w:szCs w:val="24"/>
        </w:rPr>
        <w:t xml:space="preserve"> appellant then caused an urgent application to be brought on an </w:t>
      </w:r>
      <w:r w:rsidR="00E97FE7" w:rsidRPr="008F3109">
        <w:rPr>
          <w:rFonts w:ascii="Arial" w:hAnsi="Arial" w:cs="Arial"/>
          <w:i/>
          <w:sz w:val="24"/>
          <w:szCs w:val="24"/>
        </w:rPr>
        <w:t>ex parte</w:t>
      </w:r>
      <w:r w:rsidR="00E97FE7" w:rsidRPr="008F3109">
        <w:rPr>
          <w:rFonts w:ascii="Arial" w:hAnsi="Arial" w:cs="Arial"/>
          <w:sz w:val="24"/>
          <w:szCs w:val="24"/>
        </w:rPr>
        <w:t xml:space="preserve"> basis due to the belief that the </w:t>
      </w:r>
      <w:r w:rsidR="001B7AA6">
        <w:rPr>
          <w:rFonts w:ascii="Arial" w:hAnsi="Arial" w:cs="Arial"/>
          <w:sz w:val="24"/>
          <w:szCs w:val="24"/>
        </w:rPr>
        <w:t>first</w:t>
      </w:r>
      <w:r w:rsidR="00E97FE7" w:rsidRPr="008F3109">
        <w:rPr>
          <w:rFonts w:ascii="Arial" w:hAnsi="Arial" w:cs="Arial"/>
          <w:sz w:val="24"/>
          <w:szCs w:val="24"/>
        </w:rPr>
        <w:t xml:space="preserve"> respondent contravened s 36 of the Financial Intelligence Act (the FIA) and in turn </w:t>
      </w:r>
      <w:r w:rsidR="000412C2" w:rsidRPr="008F3109">
        <w:rPr>
          <w:rFonts w:ascii="Arial" w:hAnsi="Arial" w:cs="Arial"/>
          <w:sz w:val="24"/>
          <w:szCs w:val="24"/>
        </w:rPr>
        <w:t>resulted in an act of money laundering in terms of s 4 of the Prevention of Organi</w:t>
      </w:r>
      <w:r w:rsidR="001B7AA6">
        <w:rPr>
          <w:rFonts w:ascii="Arial" w:hAnsi="Arial" w:cs="Arial"/>
          <w:sz w:val="24"/>
          <w:szCs w:val="24"/>
        </w:rPr>
        <w:t>s</w:t>
      </w:r>
      <w:r w:rsidR="000412C2" w:rsidRPr="008F3109">
        <w:rPr>
          <w:rFonts w:ascii="Arial" w:hAnsi="Arial" w:cs="Arial"/>
          <w:sz w:val="24"/>
          <w:szCs w:val="24"/>
        </w:rPr>
        <w:t xml:space="preserve">ed Crime Act (the POCA).  The application so brought was for the preservation of such money in terms of s 51 of the POCA.  This was granted by the court a quo on 5 January 2017.  The matter was opposed by the respondents in February 2017.  On 28 April 2017, the appellant through the Government Attorneys, sent a letter to respondents’ legal practitioners in which she conceded that she would not be able to obtain a forfeiture order in respect of the money in the CFC account as it became common </w:t>
      </w:r>
      <w:r w:rsidR="00F7055B">
        <w:rPr>
          <w:rFonts w:ascii="Arial" w:hAnsi="Arial" w:cs="Arial"/>
          <w:sz w:val="24"/>
          <w:szCs w:val="24"/>
        </w:rPr>
        <w:t>cause that the D</w:t>
      </w:r>
      <w:r w:rsidR="000412C2" w:rsidRPr="008F3109">
        <w:rPr>
          <w:rFonts w:ascii="Arial" w:hAnsi="Arial" w:cs="Arial"/>
          <w:sz w:val="24"/>
          <w:szCs w:val="24"/>
        </w:rPr>
        <w:t xml:space="preserve">etermination, purportedly issued in terms of s 36 of the FIA, had in fact not been issued or published in the Government Gazette.  As a result, the appellant decided to allow the preservation order to lapse by effluxion of time. On 22 May 2017, the respondents’ legal practitioners sent a formal letter of demand to Bank Windhoek demanding that </w:t>
      </w:r>
      <w:r w:rsidR="008F3109" w:rsidRPr="008F3109">
        <w:rPr>
          <w:rFonts w:ascii="Arial" w:hAnsi="Arial" w:cs="Arial"/>
          <w:sz w:val="24"/>
          <w:szCs w:val="24"/>
        </w:rPr>
        <w:t xml:space="preserve">the </w:t>
      </w:r>
      <w:r w:rsidR="009D13F4">
        <w:rPr>
          <w:rFonts w:ascii="Arial" w:hAnsi="Arial" w:cs="Arial"/>
          <w:sz w:val="24"/>
          <w:szCs w:val="24"/>
        </w:rPr>
        <w:t>b</w:t>
      </w:r>
      <w:r w:rsidR="000412C2" w:rsidRPr="008F3109">
        <w:rPr>
          <w:rFonts w:ascii="Arial" w:hAnsi="Arial" w:cs="Arial"/>
          <w:sz w:val="24"/>
          <w:szCs w:val="24"/>
        </w:rPr>
        <w:t xml:space="preserve">ank release its </w:t>
      </w:r>
      <w:r w:rsidR="005571BC">
        <w:rPr>
          <w:rFonts w:ascii="Arial" w:hAnsi="Arial" w:cs="Arial"/>
          <w:sz w:val="24"/>
          <w:szCs w:val="24"/>
        </w:rPr>
        <w:t>funds, in</w:t>
      </w:r>
      <w:r w:rsidR="000412C2" w:rsidRPr="008F3109">
        <w:rPr>
          <w:rFonts w:ascii="Arial" w:hAnsi="Arial" w:cs="Arial"/>
          <w:sz w:val="24"/>
          <w:szCs w:val="24"/>
        </w:rPr>
        <w:t xml:space="preserve"> light of the fact that the preservation order which preserved the funds had lapsed.</w:t>
      </w:r>
      <w:r w:rsidR="008F3109" w:rsidRPr="008F3109">
        <w:rPr>
          <w:rFonts w:ascii="Arial" w:hAnsi="Arial" w:cs="Arial"/>
          <w:sz w:val="24"/>
          <w:szCs w:val="24"/>
        </w:rPr>
        <w:t xml:space="preserve">  This was not done.  The appellant on 24 May 2017 caused a fresh POCA application</w:t>
      </w:r>
      <w:r w:rsidR="008F3109">
        <w:rPr>
          <w:rFonts w:ascii="Arial" w:hAnsi="Arial" w:cs="Arial"/>
          <w:sz w:val="24"/>
          <w:szCs w:val="24"/>
        </w:rPr>
        <w:t xml:space="preserve"> for the</w:t>
      </w:r>
      <w:r w:rsidR="008F3109" w:rsidRPr="008F3109">
        <w:rPr>
          <w:rFonts w:ascii="Arial" w:hAnsi="Arial" w:cs="Arial"/>
          <w:sz w:val="24"/>
          <w:szCs w:val="24"/>
        </w:rPr>
        <w:t xml:space="preserve"> preservation of </w:t>
      </w:r>
      <w:r w:rsidR="008F3109" w:rsidRPr="008F3109">
        <w:rPr>
          <w:rFonts w:ascii="Arial" w:hAnsi="Arial" w:cs="Arial"/>
          <w:sz w:val="24"/>
          <w:szCs w:val="24"/>
        </w:rPr>
        <w:lastRenderedPageBreak/>
        <w:t>property order to be issued</w:t>
      </w:r>
      <w:r w:rsidR="008F3109">
        <w:rPr>
          <w:rFonts w:ascii="Arial" w:hAnsi="Arial" w:cs="Arial"/>
          <w:sz w:val="24"/>
          <w:szCs w:val="24"/>
        </w:rPr>
        <w:t xml:space="preserve"> in respect of the same positive balance in </w:t>
      </w:r>
      <w:r w:rsidR="005571BC">
        <w:rPr>
          <w:rFonts w:ascii="Arial" w:hAnsi="Arial" w:cs="Arial"/>
          <w:sz w:val="24"/>
          <w:szCs w:val="24"/>
        </w:rPr>
        <w:t xml:space="preserve">the </w:t>
      </w:r>
      <w:r w:rsidR="001B7AA6">
        <w:rPr>
          <w:rFonts w:ascii="Arial" w:hAnsi="Arial" w:cs="Arial"/>
          <w:sz w:val="24"/>
          <w:szCs w:val="24"/>
        </w:rPr>
        <w:t>first</w:t>
      </w:r>
      <w:r w:rsidR="008F3109">
        <w:rPr>
          <w:rFonts w:ascii="Arial" w:hAnsi="Arial" w:cs="Arial"/>
          <w:sz w:val="24"/>
          <w:szCs w:val="24"/>
        </w:rPr>
        <w:t xml:space="preserve"> respondent’s CFC account</w:t>
      </w:r>
      <w:r w:rsidR="008F3109" w:rsidRPr="008F3109">
        <w:rPr>
          <w:rFonts w:ascii="Arial" w:hAnsi="Arial" w:cs="Arial"/>
          <w:sz w:val="24"/>
          <w:szCs w:val="24"/>
        </w:rPr>
        <w:t xml:space="preserve"> and set it down for hearing on 26 May 2017. The application was again brought </w:t>
      </w:r>
      <w:r w:rsidR="008F3109" w:rsidRPr="008F3109">
        <w:rPr>
          <w:rFonts w:ascii="Arial" w:hAnsi="Arial" w:cs="Arial"/>
          <w:i/>
          <w:sz w:val="24"/>
          <w:szCs w:val="24"/>
        </w:rPr>
        <w:t>ex parte</w:t>
      </w:r>
      <w:r w:rsidR="008F3109">
        <w:rPr>
          <w:rFonts w:ascii="Arial" w:hAnsi="Arial" w:cs="Arial"/>
          <w:sz w:val="24"/>
          <w:szCs w:val="24"/>
        </w:rPr>
        <w:t xml:space="preserve">.  </w:t>
      </w:r>
      <w:r w:rsidR="008F3109" w:rsidRPr="006819D2">
        <w:rPr>
          <w:rFonts w:ascii="Arial" w:hAnsi="Arial" w:cs="Arial"/>
          <w:sz w:val="24"/>
          <w:szCs w:val="24"/>
        </w:rPr>
        <w:t>The application served before Usiku AJ (as he then was), who g</w:t>
      </w:r>
      <w:r w:rsidR="008F3109">
        <w:rPr>
          <w:rFonts w:ascii="Arial" w:hAnsi="Arial" w:cs="Arial"/>
          <w:sz w:val="24"/>
          <w:szCs w:val="24"/>
        </w:rPr>
        <w:t>ranted the order on 26 May 2017</w:t>
      </w:r>
      <w:r w:rsidR="008F3109" w:rsidRPr="006819D2">
        <w:rPr>
          <w:rFonts w:ascii="Arial" w:hAnsi="Arial" w:cs="Arial"/>
          <w:sz w:val="24"/>
          <w:szCs w:val="24"/>
        </w:rPr>
        <w:t xml:space="preserve">. </w:t>
      </w:r>
      <w:r w:rsidR="008F3109">
        <w:rPr>
          <w:rFonts w:ascii="Arial" w:hAnsi="Arial" w:cs="Arial"/>
          <w:sz w:val="24"/>
          <w:szCs w:val="24"/>
        </w:rPr>
        <w:t xml:space="preserve">The </w:t>
      </w:r>
      <w:r w:rsidR="008F3109" w:rsidRPr="006819D2">
        <w:rPr>
          <w:rFonts w:ascii="Arial" w:hAnsi="Arial" w:cs="Arial"/>
          <w:sz w:val="24"/>
          <w:szCs w:val="24"/>
        </w:rPr>
        <w:t>respondents</w:t>
      </w:r>
      <w:r w:rsidR="008F3109">
        <w:rPr>
          <w:rFonts w:ascii="Arial" w:hAnsi="Arial" w:cs="Arial"/>
          <w:sz w:val="24"/>
          <w:szCs w:val="24"/>
        </w:rPr>
        <w:t xml:space="preserve"> lodged an urgent application in which they </w:t>
      </w:r>
      <w:r w:rsidR="005571BC">
        <w:rPr>
          <w:rFonts w:ascii="Arial" w:hAnsi="Arial" w:cs="Arial"/>
          <w:sz w:val="24"/>
          <w:szCs w:val="24"/>
        </w:rPr>
        <w:t>sought</w:t>
      </w:r>
      <w:r w:rsidR="008F3109">
        <w:rPr>
          <w:rFonts w:ascii="Arial" w:hAnsi="Arial" w:cs="Arial"/>
          <w:sz w:val="24"/>
          <w:szCs w:val="24"/>
        </w:rPr>
        <w:t xml:space="preserve"> to compel the appellant, Bank</w:t>
      </w:r>
      <w:r w:rsidR="00E71215">
        <w:rPr>
          <w:rFonts w:ascii="Arial" w:hAnsi="Arial" w:cs="Arial"/>
          <w:sz w:val="24"/>
          <w:szCs w:val="24"/>
        </w:rPr>
        <w:t xml:space="preserve"> Windhoek</w:t>
      </w:r>
      <w:r w:rsidR="008F3109">
        <w:rPr>
          <w:rFonts w:ascii="Arial" w:hAnsi="Arial" w:cs="Arial"/>
          <w:sz w:val="24"/>
          <w:szCs w:val="24"/>
        </w:rPr>
        <w:t xml:space="preserve"> and </w:t>
      </w:r>
      <w:r w:rsidR="00F7055B">
        <w:rPr>
          <w:rFonts w:ascii="Arial" w:hAnsi="Arial" w:cs="Arial"/>
          <w:sz w:val="24"/>
          <w:szCs w:val="24"/>
        </w:rPr>
        <w:t>Bank of Namibia (</w:t>
      </w:r>
      <w:r w:rsidR="008F3109">
        <w:rPr>
          <w:rFonts w:ascii="Arial" w:hAnsi="Arial" w:cs="Arial"/>
          <w:sz w:val="24"/>
          <w:szCs w:val="24"/>
        </w:rPr>
        <w:t>BoN</w:t>
      </w:r>
      <w:r w:rsidR="00F7055B">
        <w:rPr>
          <w:rFonts w:ascii="Arial" w:hAnsi="Arial" w:cs="Arial"/>
          <w:sz w:val="24"/>
          <w:szCs w:val="24"/>
        </w:rPr>
        <w:t>)</w:t>
      </w:r>
      <w:r w:rsidR="008F3109">
        <w:rPr>
          <w:rFonts w:ascii="Arial" w:hAnsi="Arial" w:cs="Arial"/>
          <w:sz w:val="24"/>
          <w:szCs w:val="24"/>
        </w:rPr>
        <w:t xml:space="preserve"> to release the funds.  In their opposition to the second preservation order granted</w:t>
      </w:r>
      <w:r w:rsidR="00F7055B">
        <w:rPr>
          <w:rFonts w:ascii="Arial" w:hAnsi="Arial" w:cs="Arial"/>
          <w:sz w:val="24"/>
          <w:szCs w:val="24"/>
        </w:rPr>
        <w:t>,</w:t>
      </w:r>
      <w:r w:rsidR="008F3109">
        <w:rPr>
          <w:rFonts w:ascii="Arial" w:hAnsi="Arial" w:cs="Arial"/>
          <w:sz w:val="24"/>
          <w:szCs w:val="24"/>
        </w:rPr>
        <w:t xml:space="preserve"> they sought to anticipate it</w:t>
      </w:r>
      <w:r w:rsidR="008F3109" w:rsidRPr="006819D2">
        <w:rPr>
          <w:rFonts w:ascii="Arial" w:hAnsi="Arial" w:cs="Arial"/>
          <w:sz w:val="24"/>
          <w:szCs w:val="24"/>
        </w:rPr>
        <w:t xml:space="preserve"> and have </w:t>
      </w:r>
      <w:r w:rsidR="008F3109">
        <w:rPr>
          <w:rFonts w:ascii="Arial" w:hAnsi="Arial" w:cs="Arial"/>
          <w:sz w:val="24"/>
          <w:szCs w:val="24"/>
        </w:rPr>
        <w:t xml:space="preserve">it </w:t>
      </w:r>
      <w:r w:rsidR="008F3109" w:rsidRPr="006819D2">
        <w:rPr>
          <w:rFonts w:ascii="Arial" w:hAnsi="Arial" w:cs="Arial"/>
          <w:sz w:val="24"/>
          <w:szCs w:val="24"/>
        </w:rPr>
        <w:t>rescinded or set aside</w:t>
      </w:r>
      <w:r w:rsidR="008F3109">
        <w:rPr>
          <w:rFonts w:ascii="Arial" w:hAnsi="Arial" w:cs="Arial"/>
          <w:sz w:val="24"/>
          <w:szCs w:val="24"/>
        </w:rPr>
        <w:t xml:space="preserve"> as well</w:t>
      </w:r>
      <w:r w:rsidR="008F3109" w:rsidRPr="006819D2">
        <w:rPr>
          <w:rFonts w:ascii="Arial" w:hAnsi="Arial" w:cs="Arial"/>
          <w:sz w:val="24"/>
          <w:szCs w:val="24"/>
        </w:rPr>
        <w:t>.</w:t>
      </w:r>
    </w:p>
    <w:p w:rsidR="00F7055B" w:rsidRDefault="00F7055B" w:rsidP="00546AB8">
      <w:pPr>
        <w:spacing w:after="0" w:line="360" w:lineRule="auto"/>
        <w:jc w:val="both"/>
        <w:rPr>
          <w:rFonts w:ascii="Arial" w:hAnsi="Arial" w:cs="Arial"/>
          <w:sz w:val="24"/>
          <w:szCs w:val="24"/>
        </w:rPr>
      </w:pPr>
    </w:p>
    <w:p w:rsidR="00F7055B" w:rsidRDefault="00F7055B" w:rsidP="00546AB8">
      <w:pPr>
        <w:spacing w:after="0" w:line="360" w:lineRule="auto"/>
        <w:jc w:val="both"/>
        <w:rPr>
          <w:rFonts w:ascii="Arial" w:hAnsi="Arial" w:cs="Arial"/>
          <w:sz w:val="24"/>
          <w:szCs w:val="24"/>
        </w:rPr>
      </w:pPr>
      <w:r>
        <w:rPr>
          <w:rFonts w:ascii="Arial" w:hAnsi="Arial" w:cs="Arial"/>
          <w:sz w:val="24"/>
          <w:szCs w:val="24"/>
        </w:rPr>
        <w:t xml:space="preserve">Angula DJP heard the various applications and delivered </w:t>
      </w:r>
      <w:r w:rsidR="003C3419">
        <w:rPr>
          <w:rFonts w:ascii="Arial" w:hAnsi="Arial" w:cs="Arial"/>
          <w:sz w:val="24"/>
          <w:szCs w:val="24"/>
        </w:rPr>
        <w:t>judgment</w:t>
      </w:r>
      <w:r>
        <w:rPr>
          <w:rFonts w:ascii="Arial" w:hAnsi="Arial" w:cs="Arial"/>
          <w:sz w:val="24"/>
          <w:szCs w:val="24"/>
        </w:rPr>
        <w:t xml:space="preserve"> on 6 September 2017 in which he set aside the second preservation order and gave a cost</w:t>
      </w:r>
      <w:r w:rsidR="00546AB8">
        <w:rPr>
          <w:rFonts w:ascii="Arial" w:hAnsi="Arial" w:cs="Arial"/>
          <w:sz w:val="24"/>
          <w:szCs w:val="24"/>
        </w:rPr>
        <w:t>s</w:t>
      </w:r>
      <w:r>
        <w:rPr>
          <w:rFonts w:ascii="Arial" w:hAnsi="Arial" w:cs="Arial"/>
          <w:sz w:val="24"/>
          <w:szCs w:val="24"/>
        </w:rPr>
        <w:t xml:space="preserve"> order against the appellant.</w:t>
      </w:r>
      <w:r w:rsidR="005A2BCE">
        <w:rPr>
          <w:rFonts w:ascii="Arial" w:hAnsi="Arial" w:cs="Arial"/>
          <w:sz w:val="24"/>
          <w:szCs w:val="24"/>
        </w:rPr>
        <w:t xml:space="preserve">  </w:t>
      </w:r>
      <w:r>
        <w:rPr>
          <w:rFonts w:ascii="Arial" w:hAnsi="Arial" w:cs="Arial"/>
          <w:sz w:val="24"/>
          <w:szCs w:val="24"/>
        </w:rPr>
        <w:t>Being aggrieved, the appellant appealed</w:t>
      </w:r>
      <w:r w:rsidR="00D10C3B">
        <w:rPr>
          <w:rFonts w:ascii="Arial" w:hAnsi="Arial" w:cs="Arial"/>
          <w:sz w:val="24"/>
          <w:szCs w:val="24"/>
        </w:rPr>
        <w:t xml:space="preserve"> against that </w:t>
      </w:r>
      <w:r w:rsidR="00546AB8">
        <w:rPr>
          <w:rFonts w:ascii="Arial" w:hAnsi="Arial" w:cs="Arial"/>
          <w:sz w:val="24"/>
          <w:szCs w:val="24"/>
        </w:rPr>
        <w:t xml:space="preserve">judgment and </w:t>
      </w:r>
      <w:r w:rsidR="00D10C3B">
        <w:rPr>
          <w:rFonts w:ascii="Arial" w:hAnsi="Arial" w:cs="Arial"/>
          <w:sz w:val="24"/>
          <w:szCs w:val="24"/>
        </w:rPr>
        <w:t>order</w:t>
      </w:r>
      <w:r>
        <w:rPr>
          <w:rFonts w:ascii="Arial" w:hAnsi="Arial" w:cs="Arial"/>
          <w:sz w:val="24"/>
          <w:szCs w:val="24"/>
        </w:rPr>
        <w:t xml:space="preserve"> to this court.  </w:t>
      </w:r>
    </w:p>
    <w:p w:rsidR="00AD5917" w:rsidRDefault="00AD5917" w:rsidP="00546AB8">
      <w:pPr>
        <w:spacing w:after="0" w:line="360" w:lineRule="auto"/>
        <w:jc w:val="both"/>
        <w:rPr>
          <w:rFonts w:ascii="Arial" w:hAnsi="Arial" w:cs="Arial"/>
          <w:sz w:val="24"/>
          <w:szCs w:val="24"/>
        </w:rPr>
      </w:pPr>
    </w:p>
    <w:p w:rsidR="00F7055B" w:rsidRDefault="000D7D44" w:rsidP="00546AB8">
      <w:pPr>
        <w:spacing w:after="0" w:line="360" w:lineRule="auto"/>
        <w:jc w:val="both"/>
        <w:rPr>
          <w:rFonts w:ascii="Arial" w:hAnsi="Arial" w:cs="Arial"/>
          <w:sz w:val="24"/>
          <w:szCs w:val="24"/>
        </w:rPr>
      </w:pPr>
      <w:r>
        <w:rPr>
          <w:rFonts w:ascii="Arial" w:hAnsi="Arial" w:cs="Arial"/>
          <w:i/>
          <w:sz w:val="24"/>
          <w:szCs w:val="24"/>
        </w:rPr>
        <w:t>Held</w:t>
      </w:r>
      <w:r w:rsidR="00E71215">
        <w:rPr>
          <w:rFonts w:ascii="Arial" w:hAnsi="Arial" w:cs="Arial"/>
          <w:sz w:val="24"/>
          <w:szCs w:val="24"/>
        </w:rPr>
        <w:t xml:space="preserve">, </w:t>
      </w:r>
      <w:r w:rsidR="00C03981">
        <w:rPr>
          <w:rFonts w:ascii="Arial" w:hAnsi="Arial" w:cs="Arial"/>
          <w:sz w:val="24"/>
          <w:szCs w:val="24"/>
        </w:rPr>
        <w:t xml:space="preserve">that the point in </w:t>
      </w:r>
      <w:r w:rsidR="00C03981" w:rsidRPr="00C03981">
        <w:rPr>
          <w:rFonts w:ascii="Arial" w:hAnsi="Arial" w:cs="Arial"/>
          <w:i/>
          <w:sz w:val="24"/>
          <w:szCs w:val="24"/>
        </w:rPr>
        <w:t>limine</w:t>
      </w:r>
      <w:r w:rsidR="00C03981">
        <w:rPr>
          <w:rFonts w:ascii="Arial" w:hAnsi="Arial" w:cs="Arial"/>
          <w:sz w:val="24"/>
          <w:szCs w:val="24"/>
        </w:rPr>
        <w:t xml:space="preserve"> raised by the appellant in the court a quo, contending that the respondents had no right to anticipate the </w:t>
      </w:r>
      <w:r w:rsidR="00D10C3B">
        <w:rPr>
          <w:rFonts w:ascii="Arial" w:hAnsi="Arial" w:cs="Arial"/>
          <w:sz w:val="24"/>
          <w:szCs w:val="24"/>
        </w:rPr>
        <w:t xml:space="preserve">second </w:t>
      </w:r>
      <w:r w:rsidR="00C03981">
        <w:rPr>
          <w:rFonts w:ascii="Arial" w:hAnsi="Arial" w:cs="Arial"/>
          <w:sz w:val="24"/>
          <w:szCs w:val="24"/>
        </w:rPr>
        <w:t>preservation of property order in terms of Rule 72, fails.</w:t>
      </w:r>
    </w:p>
    <w:p w:rsidR="00043FC8" w:rsidRDefault="00043FC8" w:rsidP="00546AB8">
      <w:pPr>
        <w:spacing w:after="0" w:line="360" w:lineRule="auto"/>
        <w:jc w:val="both"/>
        <w:rPr>
          <w:rFonts w:ascii="Arial" w:hAnsi="Arial" w:cs="Arial"/>
          <w:sz w:val="24"/>
          <w:szCs w:val="24"/>
        </w:rPr>
      </w:pPr>
    </w:p>
    <w:p w:rsidR="00D10C3B" w:rsidRPr="00D10C3B" w:rsidRDefault="00D10C3B" w:rsidP="00546AB8">
      <w:pPr>
        <w:spacing w:after="0" w:line="360" w:lineRule="auto"/>
        <w:jc w:val="both"/>
        <w:rPr>
          <w:rFonts w:ascii="Arial" w:hAnsi="Arial" w:cs="Arial"/>
          <w:sz w:val="24"/>
          <w:szCs w:val="24"/>
        </w:rPr>
      </w:pPr>
      <w:r>
        <w:rPr>
          <w:rFonts w:ascii="Arial" w:hAnsi="Arial" w:cs="Arial"/>
          <w:i/>
          <w:sz w:val="24"/>
          <w:szCs w:val="24"/>
        </w:rPr>
        <w:t>Held</w:t>
      </w:r>
      <w:r w:rsidR="00E71215">
        <w:rPr>
          <w:rFonts w:ascii="Arial" w:hAnsi="Arial" w:cs="Arial"/>
          <w:sz w:val="24"/>
          <w:szCs w:val="24"/>
        </w:rPr>
        <w:t>, further</w:t>
      </w:r>
      <w:r>
        <w:rPr>
          <w:rFonts w:ascii="Arial" w:hAnsi="Arial" w:cs="Arial"/>
          <w:i/>
          <w:sz w:val="24"/>
          <w:szCs w:val="24"/>
        </w:rPr>
        <w:t xml:space="preserve"> </w:t>
      </w:r>
      <w:r w:rsidR="00E71215">
        <w:rPr>
          <w:rFonts w:ascii="Arial" w:hAnsi="Arial" w:cs="Arial"/>
          <w:sz w:val="24"/>
          <w:szCs w:val="24"/>
        </w:rPr>
        <w:t>(</w:t>
      </w:r>
      <w:r>
        <w:rPr>
          <w:rFonts w:ascii="Arial" w:hAnsi="Arial" w:cs="Arial"/>
          <w:sz w:val="24"/>
          <w:szCs w:val="24"/>
        </w:rPr>
        <w:t xml:space="preserve">on the question that the appellant brought the second application </w:t>
      </w:r>
      <w:r w:rsidRPr="004D56B1">
        <w:rPr>
          <w:rFonts w:ascii="Arial" w:hAnsi="Arial" w:cs="Arial"/>
          <w:i/>
          <w:sz w:val="24"/>
          <w:szCs w:val="24"/>
        </w:rPr>
        <w:t>ex parte</w:t>
      </w:r>
      <w:r>
        <w:rPr>
          <w:rFonts w:ascii="Arial" w:hAnsi="Arial" w:cs="Arial"/>
          <w:sz w:val="24"/>
          <w:szCs w:val="24"/>
        </w:rPr>
        <w:t>, when she should not,</w:t>
      </w:r>
      <w:r w:rsidR="00E71215">
        <w:rPr>
          <w:rFonts w:ascii="Arial" w:hAnsi="Arial" w:cs="Arial"/>
          <w:sz w:val="24"/>
          <w:szCs w:val="24"/>
        </w:rPr>
        <w:t>)</w:t>
      </w:r>
      <w:r>
        <w:rPr>
          <w:rFonts w:ascii="Arial" w:hAnsi="Arial" w:cs="Arial"/>
          <w:sz w:val="24"/>
          <w:szCs w:val="24"/>
        </w:rPr>
        <w:t xml:space="preserve"> that any application under s 51 of the Act can never be dismissed solely on the ground that it has been brought </w:t>
      </w:r>
      <w:r w:rsidRPr="004D56B1">
        <w:rPr>
          <w:rFonts w:ascii="Arial" w:hAnsi="Arial" w:cs="Arial"/>
          <w:i/>
          <w:sz w:val="24"/>
          <w:szCs w:val="24"/>
        </w:rPr>
        <w:t>ex parte</w:t>
      </w:r>
      <w:r>
        <w:rPr>
          <w:rFonts w:ascii="Arial" w:hAnsi="Arial" w:cs="Arial"/>
          <w:sz w:val="24"/>
          <w:szCs w:val="24"/>
        </w:rPr>
        <w:t>. I</w:t>
      </w:r>
      <w:r w:rsidR="00E71215">
        <w:rPr>
          <w:rFonts w:ascii="Arial" w:hAnsi="Arial" w:cs="Arial"/>
          <w:sz w:val="24"/>
          <w:szCs w:val="24"/>
        </w:rPr>
        <w:t>t is</w:t>
      </w:r>
      <w:r>
        <w:rPr>
          <w:rFonts w:ascii="Arial" w:hAnsi="Arial" w:cs="Arial"/>
          <w:sz w:val="24"/>
          <w:szCs w:val="24"/>
        </w:rPr>
        <w:t xml:space="preserve"> the court hearing the application in terms of s 51 which is obliged </w:t>
      </w:r>
      <w:r w:rsidR="004D56B1">
        <w:rPr>
          <w:rFonts w:ascii="Arial" w:hAnsi="Arial" w:cs="Arial"/>
          <w:sz w:val="24"/>
          <w:szCs w:val="24"/>
        </w:rPr>
        <w:t>to ensure that the proceedings before it are always fair.</w:t>
      </w:r>
    </w:p>
    <w:p w:rsidR="00D10C3B" w:rsidRPr="004D56B1" w:rsidRDefault="00D10C3B" w:rsidP="00546AB8">
      <w:pPr>
        <w:spacing w:after="0" w:line="360" w:lineRule="auto"/>
        <w:jc w:val="both"/>
        <w:rPr>
          <w:rFonts w:ascii="Arial" w:hAnsi="Arial" w:cs="Arial"/>
          <w:sz w:val="24"/>
          <w:szCs w:val="24"/>
        </w:rPr>
      </w:pPr>
    </w:p>
    <w:p w:rsidR="00043FC8" w:rsidRPr="00C03981" w:rsidRDefault="00043FC8" w:rsidP="00546AB8">
      <w:pPr>
        <w:spacing w:after="0" w:line="360" w:lineRule="auto"/>
        <w:jc w:val="both"/>
        <w:rPr>
          <w:rFonts w:ascii="Arial" w:hAnsi="Arial" w:cs="Arial"/>
          <w:sz w:val="24"/>
          <w:szCs w:val="24"/>
        </w:rPr>
      </w:pPr>
      <w:r w:rsidRPr="009A347E">
        <w:rPr>
          <w:rFonts w:ascii="Arial" w:hAnsi="Arial" w:cs="Arial"/>
          <w:i/>
          <w:sz w:val="24"/>
          <w:szCs w:val="24"/>
        </w:rPr>
        <w:t>Held</w:t>
      </w:r>
      <w:r w:rsidR="00E71215">
        <w:rPr>
          <w:rFonts w:ascii="Arial" w:hAnsi="Arial" w:cs="Arial"/>
          <w:sz w:val="24"/>
          <w:szCs w:val="24"/>
        </w:rPr>
        <w:t>, further</w:t>
      </w:r>
      <w:r w:rsidR="009A347E">
        <w:rPr>
          <w:rFonts w:ascii="Arial" w:hAnsi="Arial" w:cs="Arial"/>
          <w:sz w:val="24"/>
          <w:szCs w:val="24"/>
        </w:rPr>
        <w:t xml:space="preserve"> </w:t>
      </w:r>
      <w:r>
        <w:rPr>
          <w:rFonts w:ascii="Arial" w:hAnsi="Arial" w:cs="Arial"/>
          <w:sz w:val="24"/>
          <w:szCs w:val="24"/>
        </w:rPr>
        <w:t xml:space="preserve">that the case of the </w:t>
      </w:r>
      <w:r w:rsidRPr="00043FC8">
        <w:rPr>
          <w:rFonts w:ascii="Arial" w:hAnsi="Arial" w:cs="Arial"/>
          <w:i/>
          <w:sz w:val="24"/>
          <w:szCs w:val="24"/>
        </w:rPr>
        <w:t>Prosecutor-General v Uuyuni</w:t>
      </w:r>
      <w:r>
        <w:rPr>
          <w:rFonts w:ascii="Arial" w:hAnsi="Arial" w:cs="Arial"/>
          <w:sz w:val="24"/>
          <w:szCs w:val="24"/>
        </w:rPr>
        <w:t xml:space="preserve"> is not authority for the proposition that all preservation of property orders must be brought </w:t>
      </w:r>
      <w:r w:rsidRPr="00043FC8">
        <w:rPr>
          <w:rFonts w:ascii="Arial" w:hAnsi="Arial" w:cs="Arial"/>
          <w:i/>
          <w:sz w:val="24"/>
          <w:szCs w:val="24"/>
        </w:rPr>
        <w:t>ex parte</w:t>
      </w:r>
      <w:r>
        <w:rPr>
          <w:rFonts w:ascii="Arial" w:hAnsi="Arial" w:cs="Arial"/>
          <w:sz w:val="24"/>
          <w:szCs w:val="24"/>
        </w:rPr>
        <w:t xml:space="preserve">, but rather that the use of the word ‘may’ in s 51 of the POCA bestows a discretion on the appellant to proceed on an </w:t>
      </w:r>
      <w:r w:rsidRPr="009A347E">
        <w:rPr>
          <w:rFonts w:ascii="Arial" w:hAnsi="Arial" w:cs="Arial"/>
          <w:i/>
          <w:sz w:val="24"/>
          <w:szCs w:val="24"/>
        </w:rPr>
        <w:t>ex parte</w:t>
      </w:r>
      <w:r>
        <w:rPr>
          <w:rFonts w:ascii="Arial" w:hAnsi="Arial" w:cs="Arial"/>
          <w:sz w:val="24"/>
          <w:szCs w:val="24"/>
        </w:rPr>
        <w:t xml:space="preserve"> basis or by way of notice.</w:t>
      </w:r>
    </w:p>
    <w:p w:rsidR="00C03981" w:rsidRDefault="00C03981" w:rsidP="00546AB8">
      <w:pPr>
        <w:spacing w:after="0" w:line="360" w:lineRule="auto"/>
        <w:jc w:val="both"/>
        <w:rPr>
          <w:rFonts w:ascii="Arial" w:hAnsi="Arial" w:cs="Arial"/>
          <w:sz w:val="24"/>
          <w:szCs w:val="24"/>
        </w:rPr>
      </w:pPr>
    </w:p>
    <w:p w:rsidR="004D56B1" w:rsidRPr="004D56B1" w:rsidRDefault="004D56B1" w:rsidP="00546AB8">
      <w:pPr>
        <w:tabs>
          <w:tab w:val="left" w:pos="851"/>
        </w:tabs>
        <w:spacing w:after="0" w:line="360" w:lineRule="auto"/>
        <w:jc w:val="both"/>
        <w:rPr>
          <w:rFonts w:ascii="Arial" w:hAnsi="Arial" w:cs="Arial"/>
          <w:sz w:val="24"/>
          <w:szCs w:val="24"/>
        </w:rPr>
      </w:pPr>
      <w:r>
        <w:rPr>
          <w:rFonts w:ascii="Arial" w:hAnsi="Arial" w:cs="Arial"/>
          <w:i/>
          <w:sz w:val="24"/>
          <w:szCs w:val="24"/>
        </w:rPr>
        <w:t>Held</w:t>
      </w:r>
      <w:r w:rsidR="00E71215">
        <w:rPr>
          <w:rFonts w:ascii="Arial" w:hAnsi="Arial" w:cs="Arial"/>
          <w:sz w:val="24"/>
          <w:szCs w:val="24"/>
        </w:rPr>
        <w:t>, further that</w:t>
      </w:r>
      <w:r>
        <w:rPr>
          <w:rFonts w:ascii="Arial" w:hAnsi="Arial" w:cs="Arial"/>
          <w:i/>
          <w:sz w:val="24"/>
          <w:szCs w:val="24"/>
        </w:rPr>
        <w:t xml:space="preserve"> </w:t>
      </w:r>
      <w:r>
        <w:rPr>
          <w:rFonts w:ascii="Arial" w:hAnsi="Arial" w:cs="Arial"/>
          <w:sz w:val="24"/>
          <w:szCs w:val="24"/>
        </w:rPr>
        <w:t>i</w:t>
      </w:r>
      <w:r w:rsidRPr="004D56B1">
        <w:rPr>
          <w:rFonts w:ascii="Arial" w:hAnsi="Arial" w:cs="Arial"/>
          <w:sz w:val="24"/>
          <w:szCs w:val="24"/>
        </w:rPr>
        <w:t>t is now settled law that the High Court is authorised to grant preservation orders under s 51 without requiring that notice of the application be given to any person and if satisfied that the requisites set out in s 51(2)(</w:t>
      </w:r>
      <w:r w:rsidRPr="004D56B1">
        <w:rPr>
          <w:rFonts w:ascii="Arial" w:hAnsi="Arial" w:cs="Arial"/>
          <w:i/>
          <w:sz w:val="24"/>
          <w:szCs w:val="24"/>
        </w:rPr>
        <w:t>a</w:t>
      </w:r>
      <w:r w:rsidRPr="004D56B1">
        <w:rPr>
          <w:rFonts w:ascii="Arial" w:hAnsi="Arial" w:cs="Arial"/>
          <w:sz w:val="24"/>
          <w:szCs w:val="24"/>
        </w:rPr>
        <w:t>) and (</w:t>
      </w:r>
      <w:r w:rsidRPr="004D56B1">
        <w:rPr>
          <w:rFonts w:ascii="Arial" w:hAnsi="Arial" w:cs="Arial"/>
          <w:i/>
          <w:sz w:val="24"/>
          <w:szCs w:val="24"/>
        </w:rPr>
        <w:t>b</w:t>
      </w:r>
      <w:r w:rsidRPr="004D56B1">
        <w:rPr>
          <w:rFonts w:ascii="Arial" w:hAnsi="Arial" w:cs="Arial"/>
          <w:sz w:val="24"/>
          <w:szCs w:val="24"/>
        </w:rPr>
        <w:t>) have been met must grant a preservation order.</w:t>
      </w:r>
    </w:p>
    <w:p w:rsidR="004D56B1" w:rsidRPr="004D56B1" w:rsidRDefault="004D56B1" w:rsidP="00546AB8">
      <w:pPr>
        <w:tabs>
          <w:tab w:val="left" w:pos="851"/>
        </w:tabs>
        <w:spacing w:after="0" w:line="360" w:lineRule="auto"/>
        <w:jc w:val="both"/>
        <w:rPr>
          <w:rFonts w:ascii="Arial" w:hAnsi="Arial" w:cs="Arial"/>
          <w:sz w:val="24"/>
          <w:szCs w:val="24"/>
        </w:rPr>
      </w:pPr>
      <w:r>
        <w:rPr>
          <w:rFonts w:ascii="Arial" w:hAnsi="Arial" w:cs="Arial"/>
          <w:i/>
          <w:sz w:val="24"/>
          <w:szCs w:val="24"/>
        </w:rPr>
        <w:lastRenderedPageBreak/>
        <w:t>Held</w:t>
      </w:r>
      <w:r w:rsidR="00E71215">
        <w:rPr>
          <w:rFonts w:ascii="Arial" w:hAnsi="Arial" w:cs="Arial"/>
          <w:sz w:val="24"/>
          <w:szCs w:val="24"/>
        </w:rPr>
        <w:t>, further that</w:t>
      </w:r>
      <w:r>
        <w:rPr>
          <w:rFonts w:ascii="Arial" w:hAnsi="Arial" w:cs="Arial"/>
          <w:i/>
          <w:sz w:val="24"/>
          <w:szCs w:val="24"/>
        </w:rPr>
        <w:t xml:space="preserve"> </w:t>
      </w:r>
      <w:r w:rsidRPr="004D56B1">
        <w:rPr>
          <w:rFonts w:ascii="Arial" w:hAnsi="Arial" w:cs="Arial"/>
          <w:sz w:val="24"/>
          <w:szCs w:val="24"/>
        </w:rPr>
        <w:t xml:space="preserve">this does not preclude the appellant from giving notice of such an application in appropriate instances to another party. The appellant is not obliged to bring an application under s 51 on an </w:t>
      </w:r>
      <w:r w:rsidRPr="004D56B1">
        <w:rPr>
          <w:rFonts w:ascii="Arial" w:hAnsi="Arial" w:cs="Arial"/>
          <w:i/>
          <w:sz w:val="24"/>
          <w:szCs w:val="24"/>
        </w:rPr>
        <w:t xml:space="preserve">ex parte </w:t>
      </w:r>
      <w:r w:rsidRPr="004D56B1">
        <w:rPr>
          <w:rFonts w:ascii="Arial" w:hAnsi="Arial" w:cs="Arial"/>
          <w:sz w:val="24"/>
          <w:szCs w:val="24"/>
        </w:rPr>
        <w:t>basis.</w:t>
      </w:r>
    </w:p>
    <w:p w:rsidR="004D56B1" w:rsidRPr="0095245A" w:rsidRDefault="004D56B1" w:rsidP="00546AB8">
      <w:pPr>
        <w:pStyle w:val="ListParagraph"/>
        <w:spacing w:after="0" w:line="360" w:lineRule="auto"/>
        <w:jc w:val="both"/>
        <w:rPr>
          <w:rFonts w:ascii="Arial" w:hAnsi="Arial" w:cs="Arial"/>
          <w:sz w:val="24"/>
          <w:szCs w:val="24"/>
        </w:rPr>
      </w:pPr>
    </w:p>
    <w:p w:rsidR="004D56B1" w:rsidRPr="004D56B1" w:rsidRDefault="004D56B1" w:rsidP="00546AB8">
      <w:pPr>
        <w:tabs>
          <w:tab w:val="left" w:pos="851"/>
        </w:tabs>
        <w:spacing w:after="0" w:line="360" w:lineRule="auto"/>
        <w:jc w:val="both"/>
        <w:rPr>
          <w:rFonts w:ascii="Arial" w:hAnsi="Arial" w:cs="Arial"/>
          <w:sz w:val="24"/>
          <w:szCs w:val="24"/>
        </w:rPr>
      </w:pPr>
      <w:r>
        <w:rPr>
          <w:rFonts w:ascii="Arial" w:hAnsi="Arial" w:cs="Arial"/>
          <w:i/>
          <w:sz w:val="24"/>
          <w:szCs w:val="24"/>
        </w:rPr>
        <w:t>Held</w:t>
      </w:r>
      <w:r w:rsidR="00E71215">
        <w:rPr>
          <w:rFonts w:ascii="Arial" w:hAnsi="Arial" w:cs="Arial"/>
          <w:sz w:val="24"/>
          <w:szCs w:val="24"/>
        </w:rPr>
        <w:t>, further that</w:t>
      </w:r>
      <w:r>
        <w:rPr>
          <w:rFonts w:ascii="Arial" w:hAnsi="Arial" w:cs="Arial"/>
          <w:i/>
          <w:sz w:val="24"/>
          <w:szCs w:val="24"/>
        </w:rPr>
        <w:t xml:space="preserve"> </w:t>
      </w:r>
      <w:r w:rsidRPr="004D56B1">
        <w:rPr>
          <w:rFonts w:ascii="Arial" w:hAnsi="Arial" w:cs="Arial"/>
          <w:sz w:val="24"/>
          <w:szCs w:val="24"/>
        </w:rPr>
        <w:t xml:space="preserve">the High Court is not precluded from granting a rule </w:t>
      </w:r>
      <w:r w:rsidRPr="004D56B1">
        <w:rPr>
          <w:rFonts w:ascii="Arial" w:hAnsi="Arial" w:cs="Arial"/>
          <w:i/>
          <w:sz w:val="24"/>
          <w:szCs w:val="24"/>
        </w:rPr>
        <w:t xml:space="preserve">nisi </w:t>
      </w:r>
      <w:r w:rsidRPr="004D56B1">
        <w:rPr>
          <w:rFonts w:ascii="Arial" w:hAnsi="Arial" w:cs="Arial"/>
          <w:sz w:val="24"/>
          <w:szCs w:val="24"/>
        </w:rPr>
        <w:t>in preservation of property orders under s 51 or</w:t>
      </w:r>
      <w:r w:rsidR="00546AB8">
        <w:rPr>
          <w:rFonts w:ascii="Arial" w:hAnsi="Arial" w:cs="Arial"/>
          <w:sz w:val="24"/>
          <w:szCs w:val="24"/>
        </w:rPr>
        <w:t xml:space="preserve"> that</w:t>
      </w:r>
      <w:r w:rsidRPr="004D56B1">
        <w:rPr>
          <w:rFonts w:ascii="Arial" w:hAnsi="Arial" w:cs="Arial"/>
          <w:sz w:val="24"/>
          <w:szCs w:val="24"/>
        </w:rPr>
        <w:t xml:space="preserve"> there is in principle no procedural bar to a High Court hearing an application </w:t>
      </w:r>
      <w:r w:rsidRPr="004D56B1">
        <w:rPr>
          <w:rFonts w:ascii="Arial" w:hAnsi="Arial" w:cs="Arial"/>
          <w:i/>
          <w:sz w:val="24"/>
          <w:szCs w:val="24"/>
        </w:rPr>
        <w:t xml:space="preserve">ex parte </w:t>
      </w:r>
      <w:r w:rsidRPr="004D56B1">
        <w:rPr>
          <w:rFonts w:ascii="Arial" w:hAnsi="Arial" w:cs="Arial"/>
          <w:sz w:val="24"/>
          <w:szCs w:val="24"/>
        </w:rPr>
        <w:t xml:space="preserve">and in camera under s 51 of the Act and granting a rule </w:t>
      </w:r>
      <w:r w:rsidRPr="004D56B1">
        <w:rPr>
          <w:rFonts w:ascii="Arial" w:hAnsi="Arial" w:cs="Arial"/>
          <w:i/>
          <w:sz w:val="24"/>
          <w:szCs w:val="24"/>
        </w:rPr>
        <w:t>nisi</w:t>
      </w:r>
      <w:r w:rsidRPr="004D56B1">
        <w:rPr>
          <w:rFonts w:ascii="Arial" w:hAnsi="Arial" w:cs="Arial"/>
          <w:sz w:val="24"/>
          <w:szCs w:val="24"/>
        </w:rPr>
        <w:t xml:space="preserve">, together with an interim preservation and seizure order, pending the return day of the rule. </w:t>
      </w:r>
      <w:r w:rsidR="00AD5917" w:rsidRPr="00AD5917">
        <w:rPr>
          <w:rFonts w:ascii="Arial" w:hAnsi="Arial" w:cs="Arial"/>
          <w:i/>
          <w:sz w:val="24"/>
          <w:szCs w:val="24"/>
        </w:rPr>
        <w:t xml:space="preserve">National Director of Public Prosecutions v Mohamed No </w:t>
      </w:r>
      <w:r w:rsidR="007C0FAD">
        <w:rPr>
          <w:rFonts w:ascii="Arial" w:hAnsi="Arial" w:cs="Arial"/>
          <w:i/>
          <w:sz w:val="24"/>
          <w:szCs w:val="24"/>
        </w:rPr>
        <w:t>&amp;</w:t>
      </w:r>
      <w:r w:rsidR="00AD5917" w:rsidRPr="00AD5917">
        <w:rPr>
          <w:rFonts w:ascii="Arial" w:hAnsi="Arial" w:cs="Arial"/>
          <w:i/>
          <w:sz w:val="24"/>
          <w:szCs w:val="24"/>
        </w:rPr>
        <w:t xml:space="preserve"> others</w:t>
      </w:r>
      <w:r w:rsidR="00AD5917">
        <w:rPr>
          <w:rFonts w:ascii="Arial" w:hAnsi="Arial" w:cs="Arial"/>
          <w:sz w:val="24"/>
          <w:szCs w:val="24"/>
        </w:rPr>
        <w:t xml:space="preserve"> 2003 (4) SA 1 (CC) para 33. </w:t>
      </w:r>
      <w:r w:rsidRPr="004D56B1">
        <w:rPr>
          <w:rFonts w:ascii="Arial" w:hAnsi="Arial" w:cs="Arial"/>
          <w:sz w:val="24"/>
          <w:szCs w:val="24"/>
        </w:rPr>
        <w:t xml:space="preserve">In fact it is preferable for the High Court to grant a </w:t>
      </w:r>
      <w:r w:rsidRPr="009D13F4">
        <w:rPr>
          <w:rFonts w:ascii="Arial" w:hAnsi="Arial" w:cs="Arial"/>
          <w:i/>
          <w:sz w:val="24"/>
          <w:szCs w:val="24"/>
        </w:rPr>
        <w:t xml:space="preserve">rule </w:t>
      </w:r>
      <w:r w:rsidRPr="004D56B1">
        <w:rPr>
          <w:rFonts w:ascii="Arial" w:hAnsi="Arial" w:cs="Arial"/>
          <w:i/>
          <w:sz w:val="24"/>
          <w:szCs w:val="24"/>
        </w:rPr>
        <w:t xml:space="preserve">nisi </w:t>
      </w:r>
      <w:r w:rsidRPr="004D56B1">
        <w:rPr>
          <w:rFonts w:ascii="Arial" w:hAnsi="Arial" w:cs="Arial"/>
          <w:sz w:val="24"/>
          <w:szCs w:val="24"/>
        </w:rPr>
        <w:t xml:space="preserve">when an application is brought </w:t>
      </w:r>
      <w:r w:rsidRPr="004D56B1">
        <w:rPr>
          <w:rFonts w:ascii="Arial" w:hAnsi="Arial" w:cs="Arial"/>
          <w:i/>
          <w:sz w:val="24"/>
          <w:szCs w:val="24"/>
        </w:rPr>
        <w:t xml:space="preserve">ex parte </w:t>
      </w:r>
      <w:r w:rsidRPr="004D56B1">
        <w:rPr>
          <w:rFonts w:ascii="Arial" w:hAnsi="Arial" w:cs="Arial"/>
          <w:sz w:val="24"/>
          <w:szCs w:val="24"/>
        </w:rPr>
        <w:t xml:space="preserve">so as to comply with the sacred </w:t>
      </w:r>
      <w:r w:rsidRPr="004D56B1">
        <w:rPr>
          <w:rFonts w:ascii="Arial" w:hAnsi="Arial" w:cs="Arial"/>
          <w:i/>
          <w:sz w:val="24"/>
          <w:szCs w:val="24"/>
        </w:rPr>
        <w:t>audi alteram partem</w:t>
      </w:r>
      <w:r w:rsidRPr="004D56B1">
        <w:rPr>
          <w:rFonts w:ascii="Arial" w:hAnsi="Arial" w:cs="Arial"/>
          <w:sz w:val="24"/>
          <w:szCs w:val="24"/>
        </w:rPr>
        <w:t xml:space="preserve"> rule, one of the main pillars of Art 12</w:t>
      </w:r>
      <w:r w:rsidR="009D13F4">
        <w:rPr>
          <w:rFonts w:ascii="Arial" w:hAnsi="Arial" w:cs="Arial"/>
          <w:sz w:val="24"/>
          <w:szCs w:val="24"/>
        </w:rPr>
        <w:t xml:space="preserve"> of the Constitution</w:t>
      </w:r>
      <w:r w:rsidRPr="004D56B1">
        <w:rPr>
          <w:rFonts w:ascii="Arial" w:hAnsi="Arial" w:cs="Arial"/>
          <w:sz w:val="24"/>
          <w:szCs w:val="24"/>
        </w:rPr>
        <w:t>. The right to a fair hearing before a court lies at the heart of the rule of law. A fair hearing before a court as a prerequisite to an order being made against anyone is fundamental to a just and credible legal order . . . . It is a crucial aspect of the rule of law that court order</w:t>
      </w:r>
      <w:r w:rsidR="003C3419">
        <w:rPr>
          <w:rFonts w:ascii="Arial" w:hAnsi="Arial" w:cs="Arial"/>
          <w:sz w:val="24"/>
          <w:szCs w:val="24"/>
        </w:rPr>
        <w:t>s</w:t>
      </w:r>
      <w:r w:rsidRPr="004D56B1">
        <w:rPr>
          <w:rFonts w:ascii="Arial" w:hAnsi="Arial" w:cs="Arial"/>
          <w:sz w:val="24"/>
          <w:szCs w:val="24"/>
        </w:rPr>
        <w:t xml:space="preserve"> should not be made without affording the other side a reasonable opportunity to state their case. That reasonable opportunity can usually only be given by ensuring that reasonable steps are taken to bring the hearing to the attention of the person affected. </w:t>
      </w:r>
      <w:r w:rsidR="00AD5917" w:rsidRPr="00AD5917">
        <w:rPr>
          <w:rFonts w:ascii="Arial" w:hAnsi="Arial" w:cs="Arial"/>
          <w:i/>
          <w:sz w:val="24"/>
          <w:szCs w:val="24"/>
        </w:rPr>
        <w:t xml:space="preserve">De Beer No v North-Central Local Council </w:t>
      </w:r>
      <w:r w:rsidR="007C0FAD">
        <w:rPr>
          <w:rFonts w:ascii="Arial" w:hAnsi="Arial" w:cs="Arial"/>
          <w:i/>
          <w:sz w:val="24"/>
          <w:szCs w:val="24"/>
        </w:rPr>
        <w:t>&amp;</w:t>
      </w:r>
      <w:r w:rsidR="00AD5917" w:rsidRPr="00AD5917">
        <w:rPr>
          <w:rFonts w:ascii="Arial" w:hAnsi="Arial" w:cs="Arial"/>
          <w:i/>
          <w:sz w:val="24"/>
          <w:szCs w:val="24"/>
        </w:rPr>
        <w:t xml:space="preserve"> South-Central Council </w:t>
      </w:r>
      <w:r w:rsidR="00DD6D9F">
        <w:rPr>
          <w:rFonts w:ascii="Arial" w:hAnsi="Arial" w:cs="Arial"/>
          <w:i/>
          <w:sz w:val="24"/>
          <w:szCs w:val="24"/>
        </w:rPr>
        <w:t>and</w:t>
      </w:r>
      <w:r w:rsidR="00AD5917" w:rsidRPr="00AD5917">
        <w:rPr>
          <w:rFonts w:ascii="Arial" w:hAnsi="Arial" w:cs="Arial"/>
          <w:i/>
          <w:sz w:val="24"/>
          <w:szCs w:val="24"/>
        </w:rPr>
        <w:t xml:space="preserve"> others (Umhlatuzana Civic Association Intervening)</w:t>
      </w:r>
      <w:r w:rsidR="00AD5917">
        <w:rPr>
          <w:rFonts w:ascii="Arial" w:hAnsi="Arial" w:cs="Arial"/>
          <w:sz w:val="24"/>
          <w:szCs w:val="24"/>
        </w:rPr>
        <w:t xml:space="preserve"> 2002 (1) SA 429 (CC) para 11.</w:t>
      </w:r>
    </w:p>
    <w:p w:rsidR="004D56B1" w:rsidRPr="004576AA" w:rsidRDefault="004D56B1" w:rsidP="00546AB8">
      <w:pPr>
        <w:pStyle w:val="ListParagraph"/>
        <w:spacing w:after="0" w:line="360" w:lineRule="auto"/>
        <w:jc w:val="both"/>
        <w:rPr>
          <w:rFonts w:ascii="Arial" w:hAnsi="Arial" w:cs="Arial"/>
          <w:sz w:val="24"/>
          <w:szCs w:val="24"/>
        </w:rPr>
      </w:pPr>
    </w:p>
    <w:p w:rsidR="005E2ECD" w:rsidRPr="005E2ECD" w:rsidRDefault="004D56B1" w:rsidP="00546AB8">
      <w:pPr>
        <w:tabs>
          <w:tab w:val="left" w:pos="851"/>
        </w:tabs>
        <w:spacing w:after="0" w:line="360" w:lineRule="auto"/>
        <w:jc w:val="both"/>
        <w:rPr>
          <w:rFonts w:ascii="Arial" w:hAnsi="Arial" w:cs="Arial"/>
          <w:sz w:val="24"/>
          <w:szCs w:val="24"/>
        </w:rPr>
      </w:pPr>
      <w:r w:rsidRPr="005E2ECD">
        <w:rPr>
          <w:rFonts w:ascii="Arial" w:hAnsi="Arial" w:cs="Arial"/>
          <w:i/>
          <w:sz w:val="24"/>
          <w:szCs w:val="24"/>
        </w:rPr>
        <w:t>Held</w:t>
      </w:r>
      <w:r w:rsidR="00E71215" w:rsidRPr="005E2ECD">
        <w:rPr>
          <w:rFonts w:ascii="Arial" w:hAnsi="Arial" w:cs="Arial"/>
          <w:sz w:val="24"/>
          <w:szCs w:val="24"/>
        </w:rPr>
        <w:t>, further that</w:t>
      </w:r>
      <w:r w:rsidRPr="005E2ECD">
        <w:rPr>
          <w:rFonts w:ascii="Arial" w:hAnsi="Arial" w:cs="Arial"/>
          <w:i/>
          <w:sz w:val="24"/>
          <w:szCs w:val="24"/>
        </w:rPr>
        <w:t xml:space="preserve"> </w:t>
      </w:r>
      <w:r w:rsidRPr="005E2ECD">
        <w:rPr>
          <w:rFonts w:ascii="Arial" w:hAnsi="Arial" w:cs="Arial"/>
          <w:sz w:val="24"/>
          <w:szCs w:val="24"/>
        </w:rPr>
        <w:t xml:space="preserve">even if the High Court does not frame its order in the form of a rule </w:t>
      </w:r>
      <w:r w:rsidRPr="005E2ECD">
        <w:rPr>
          <w:rFonts w:ascii="Arial" w:hAnsi="Arial" w:cs="Arial"/>
          <w:i/>
          <w:sz w:val="24"/>
          <w:szCs w:val="24"/>
        </w:rPr>
        <w:t>nisi</w:t>
      </w:r>
      <w:r w:rsidRPr="005E2ECD">
        <w:rPr>
          <w:rFonts w:ascii="Arial" w:hAnsi="Arial" w:cs="Arial"/>
          <w:sz w:val="24"/>
          <w:szCs w:val="24"/>
        </w:rPr>
        <w:t xml:space="preserve">, an order granted </w:t>
      </w:r>
      <w:r w:rsidRPr="005E2ECD">
        <w:rPr>
          <w:rFonts w:ascii="Arial" w:hAnsi="Arial" w:cs="Arial"/>
          <w:i/>
          <w:sz w:val="24"/>
          <w:szCs w:val="24"/>
        </w:rPr>
        <w:t>ex parte</w:t>
      </w:r>
      <w:r w:rsidRPr="005E2ECD">
        <w:rPr>
          <w:rFonts w:ascii="Arial" w:hAnsi="Arial" w:cs="Arial"/>
          <w:sz w:val="24"/>
          <w:szCs w:val="24"/>
        </w:rPr>
        <w:t xml:space="preserve"> is in any event provisional and subject to being set aside by a party on application against whom it was granted.</w:t>
      </w:r>
      <w:r w:rsidR="005E2ECD" w:rsidRPr="005E2ECD">
        <w:rPr>
          <w:rFonts w:ascii="Arial" w:hAnsi="Arial" w:cs="Arial"/>
          <w:sz w:val="24"/>
          <w:szCs w:val="24"/>
        </w:rPr>
        <w:t xml:space="preserve"> A party is furthermore not confined to the narrow basis to rescind an order set out in s 58(6) when challenging an order granted </w:t>
      </w:r>
      <w:r w:rsidR="005E2ECD" w:rsidRPr="005E2ECD">
        <w:rPr>
          <w:rFonts w:ascii="Arial" w:hAnsi="Arial" w:cs="Arial"/>
          <w:i/>
          <w:sz w:val="24"/>
          <w:szCs w:val="24"/>
        </w:rPr>
        <w:t>ex parte</w:t>
      </w:r>
      <w:r w:rsidR="005E2ECD" w:rsidRPr="005E2ECD">
        <w:rPr>
          <w:rFonts w:ascii="Arial" w:hAnsi="Arial" w:cs="Arial"/>
          <w:sz w:val="24"/>
          <w:szCs w:val="24"/>
        </w:rPr>
        <w:t xml:space="preserve"> against him or her and it may entail a reconsideration of the order given.</w:t>
      </w:r>
    </w:p>
    <w:p w:rsidR="004D56B1" w:rsidRPr="004D56B1" w:rsidRDefault="004D56B1" w:rsidP="00546AB8">
      <w:pPr>
        <w:tabs>
          <w:tab w:val="left" w:pos="851"/>
        </w:tabs>
        <w:spacing w:after="0" w:line="360" w:lineRule="auto"/>
        <w:jc w:val="both"/>
        <w:rPr>
          <w:rFonts w:ascii="Arial" w:hAnsi="Arial" w:cs="Arial"/>
          <w:sz w:val="24"/>
          <w:szCs w:val="24"/>
        </w:rPr>
      </w:pPr>
    </w:p>
    <w:p w:rsidR="004D56B1" w:rsidRDefault="004D56B1" w:rsidP="00546AB8">
      <w:pPr>
        <w:spacing w:after="0" w:line="360" w:lineRule="auto"/>
        <w:jc w:val="both"/>
        <w:rPr>
          <w:rFonts w:ascii="Arial" w:hAnsi="Arial" w:cs="Arial"/>
          <w:sz w:val="24"/>
          <w:szCs w:val="24"/>
        </w:rPr>
      </w:pPr>
      <w:r>
        <w:rPr>
          <w:rFonts w:ascii="Arial" w:hAnsi="Arial" w:cs="Arial"/>
          <w:i/>
          <w:sz w:val="24"/>
          <w:szCs w:val="24"/>
        </w:rPr>
        <w:t>Held</w:t>
      </w:r>
      <w:r w:rsidR="00E71215">
        <w:rPr>
          <w:rFonts w:ascii="Arial" w:hAnsi="Arial" w:cs="Arial"/>
          <w:sz w:val="24"/>
          <w:szCs w:val="24"/>
        </w:rPr>
        <w:t>, further</w:t>
      </w:r>
      <w:r>
        <w:rPr>
          <w:rFonts w:ascii="Arial" w:hAnsi="Arial" w:cs="Arial"/>
          <w:i/>
          <w:sz w:val="24"/>
          <w:szCs w:val="24"/>
        </w:rPr>
        <w:t xml:space="preserve"> </w:t>
      </w:r>
      <w:r>
        <w:rPr>
          <w:rFonts w:ascii="Arial" w:hAnsi="Arial" w:cs="Arial"/>
          <w:sz w:val="24"/>
          <w:szCs w:val="24"/>
        </w:rPr>
        <w:t>on the question whether the appellant was entitled to apply for and obtain the second preservation order,</w:t>
      </w:r>
      <w:r w:rsidR="001B7AA6">
        <w:rPr>
          <w:rFonts w:ascii="Arial" w:hAnsi="Arial" w:cs="Arial"/>
          <w:sz w:val="24"/>
          <w:szCs w:val="24"/>
        </w:rPr>
        <w:t xml:space="preserve"> </w:t>
      </w:r>
      <w:r w:rsidR="00E71215">
        <w:rPr>
          <w:rFonts w:ascii="Arial" w:hAnsi="Arial" w:cs="Arial"/>
          <w:sz w:val="24"/>
          <w:szCs w:val="24"/>
        </w:rPr>
        <w:t>that</w:t>
      </w:r>
      <w:r>
        <w:rPr>
          <w:rFonts w:ascii="Arial" w:hAnsi="Arial" w:cs="Arial"/>
          <w:sz w:val="24"/>
          <w:szCs w:val="24"/>
        </w:rPr>
        <w:t xml:space="preserve"> it would depend on the circumstances of each case. In this case where the appellant deliberately let an erroneously obtained preservation of property order run a full course of 120 days without approaching</w:t>
      </w:r>
      <w:r w:rsidR="00546AB8">
        <w:rPr>
          <w:rFonts w:ascii="Arial" w:hAnsi="Arial" w:cs="Arial"/>
          <w:sz w:val="24"/>
          <w:szCs w:val="24"/>
        </w:rPr>
        <w:t xml:space="preserve"> the</w:t>
      </w:r>
      <w:r>
        <w:rPr>
          <w:rFonts w:ascii="Arial" w:hAnsi="Arial" w:cs="Arial"/>
          <w:sz w:val="24"/>
          <w:szCs w:val="24"/>
        </w:rPr>
        <w:t xml:space="preserve"> </w:t>
      </w:r>
      <w:r>
        <w:rPr>
          <w:rFonts w:ascii="Arial" w:hAnsi="Arial" w:cs="Arial"/>
          <w:sz w:val="24"/>
          <w:szCs w:val="24"/>
        </w:rPr>
        <w:lastRenderedPageBreak/>
        <w:t>court to rescind the same, appellant abused the provisions of s 51 of the Act and was therefore not entitled to obtain the second preservation of property order.</w:t>
      </w:r>
    </w:p>
    <w:p w:rsidR="004D56B1" w:rsidRPr="004D56B1" w:rsidRDefault="004D56B1" w:rsidP="00546AB8">
      <w:pPr>
        <w:spacing w:after="0" w:line="360" w:lineRule="auto"/>
        <w:jc w:val="both"/>
        <w:rPr>
          <w:rFonts w:ascii="Arial" w:hAnsi="Arial" w:cs="Arial"/>
          <w:sz w:val="24"/>
          <w:szCs w:val="24"/>
        </w:rPr>
      </w:pPr>
      <w:r>
        <w:rPr>
          <w:rFonts w:ascii="Arial" w:hAnsi="Arial" w:cs="Arial"/>
          <w:sz w:val="24"/>
          <w:szCs w:val="24"/>
        </w:rPr>
        <w:t xml:space="preserve"> </w:t>
      </w:r>
    </w:p>
    <w:p w:rsidR="00043FC8" w:rsidRDefault="009A347E" w:rsidP="00546AB8">
      <w:pPr>
        <w:spacing w:after="0" w:line="360" w:lineRule="auto"/>
        <w:jc w:val="both"/>
        <w:rPr>
          <w:rFonts w:ascii="Arial" w:hAnsi="Arial" w:cs="Arial"/>
          <w:sz w:val="24"/>
          <w:szCs w:val="24"/>
        </w:rPr>
      </w:pPr>
      <w:r w:rsidRPr="009A347E">
        <w:rPr>
          <w:rFonts w:ascii="Arial" w:hAnsi="Arial" w:cs="Arial"/>
          <w:i/>
          <w:sz w:val="24"/>
          <w:szCs w:val="24"/>
        </w:rPr>
        <w:t>Held</w:t>
      </w:r>
      <w:r w:rsidR="00566D0F">
        <w:rPr>
          <w:rFonts w:ascii="Arial" w:hAnsi="Arial" w:cs="Arial"/>
          <w:sz w:val="24"/>
          <w:szCs w:val="24"/>
        </w:rPr>
        <w:t>, further</w:t>
      </w:r>
      <w:r>
        <w:rPr>
          <w:rFonts w:ascii="Arial" w:hAnsi="Arial" w:cs="Arial"/>
          <w:sz w:val="24"/>
          <w:szCs w:val="24"/>
        </w:rPr>
        <w:t xml:space="preserve"> that </w:t>
      </w:r>
      <w:r w:rsidR="00CA2CBB">
        <w:rPr>
          <w:rFonts w:ascii="Arial" w:hAnsi="Arial" w:cs="Arial"/>
          <w:sz w:val="24"/>
          <w:szCs w:val="24"/>
        </w:rPr>
        <w:t>appellant committed</w:t>
      </w:r>
      <w:r w:rsidR="00544651">
        <w:rPr>
          <w:rFonts w:ascii="Arial" w:hAnsi="Arial" w:cs="Arial"/>
          <w:sz w:val="24"/>
          <w:szCs w:val="24"/>
        </w:rPr>
        <w:t xml:space="preserve"> material non-disclosures </w:t>
      </w:r>
      <w:r w:rsidR="00CA2CBB">
        <w:rPr>
          <w:rFonts w:ascii="Arial" w:hAnsi="Arial" w:cs="Arial"/>
          <w:sz w:val="24"/>
          <w:szCs w:val="24"/>
        </w:rPr>
        <w:t xml:space="preserve">and/or relied on misleading statements in the first and second preservation order applications. In </w:t>
      </w:r>
      <w:r w:rsidR="00CA2CBB" w:rsidRPr="009D13F4">
        <w:rPr>
          <w:rFonts w:ascii="Arial" w:hAnsi="Arial" w:cs="Arial"/>
          <w:i/>
          <w:sz w:val="24"/>
          <w:szCs w:val="24"/>
        </w:rPr>
        <w:t>ex</w:t>
      </w:r>
      <w:r w:rsidR="00CA2CBB">
        <w:rPr>
          <w:rFonts w:ascii="Arial" w:hAnsi="Arial" w:cs="Arial"/>
          <w:sz w:val="24"/>
          <w:szCs w:val="24"/>
        </w:rPr>
        <w:t xml:space="preserve"> </w:t>
      </w:r>
      <w:r w:rsidR="00CA2CBB" w:rsidRPr="009D13F4">
        <w:rPr>
          <w:rFonts w:ascii="Arial" w:hAnsi="Arial" w:cs="Arial"/>
          <w:i/>
          <w:sz w:val="24"/>
          <w:szCs w:val="24"/>
        </w:rPr>
        <w:t>parte</w:t>
      </w:r>
      <w:r w:rsidR="00CA2CBB">
        <w:rPr>
          <w:rFonts w:ascii="Arial" w:hAnsi="Arial" w:cs="Arial"/>
          <w:sz w:val="24"/>
          <w:szCs w:val="24"/>
        </w:rPr>
        <w:t xml:space="preserve"> applications the deponents should adhere to the requirements of </w:t>
      </w:r>
      <w:r w:rsidR="00CA2CBB" w:rsidRPr="00CA2CBB">
        <w:rPr>
          <w:rFonts w:ascii="Arial" w:hAnsi="Arial" w:cs="Arial"/>
          <w:i/>
          <w:sz w:val="24"/>
          <w:szCs w:val="24"/>
        </w:rPr>
        <w:t>uberrima</w:t>
      </w:r>
      <w:r w:rsidR="00CA2CBB">
        <w:rPr>
          <w:rFonts w:ascii="Arial" w:hAnsi="Arial" w:cs="Arial"/>
          <w:sz w:val="24"/>
          <w:szCs w:val="24"/>
        </w:rPr>
        <w:t xml:space="preserve"> </w:t>
      </w:r>
      <w:r w:rsidR="00CA2CBB" w:rsidRPr="00CA2CBB">
        <w:rPr>
          <w:rFonts w:ascii="Arial" w:hAnsi="Arial" w:cs="Arial"/>
          <w:i/>
          <w:sz w:val="24"/>
          <w:szCs w:val="24"/>
        </w:rPr>
        <w:t>fides</w:t>
      </w:r>
      <w:r w:rsidR="00CA2CBB">
        <w:rPr>
          <w:rFonts w:ascii="Arial" w:hAnsi="Arial" w:cs="Arial"/>
          <w:sz w:val="24"/>
          <w:szCs w:val="24"/>
        </w:rPr>
        <w:t xml:space="preserve">. </w:t>
      </w:r>
    </w:p>
    <w:p w:rsidR="00CA2CBB" w:rsidRDefault="00CA2CBB" w:rsidP="00546AB8">
      <w:pPr>
        <w:spacing w:after="0" w:line="360" w:lineRule="auto"/>
        <w:jc w:val="both"/>
        <w:rPr>
          <w:rFonts w:ascii="Arial" w:hAnsi="Arial" w:cs="Arial"/>
          <w:sz w:val="24"/>
          <w:szCs w:val="24"/>
        </w:rPr>
      </w:pPr>
    </w:p>
    <w:p w:rsidR="00CB1104" w:rsidRDefault="00CA2CBB" w:rsidP="00546AB8">
      <w:pPr>
        <w:spacing w:after="0" w:line="360" w:lineRule="auto"/>
        <w:jc w:val="both"/>
        <w:rPr>
          <w:rFonts w:ascii="Arial" w:hAnsi="Arial" w:cs="Arial"/>
          <w:sz w:val="24"/>
          <w:szCs w:val="24"/>
        </w:rPr>
      </w:pPr>
      <w:r w:rsidRPr="00566D0F">
        <w:rPr>
          <w:rFonts w:ascii="Arial" w:hAnsi="Arial" w:cs="Arial"/>
          <w:i/>
          <w:sz w:val="24"/>
          <w:szCs w:val="24"/>
        </w:rPr>
        <w:t>Held</w:t>
      </w:r>
      <w:r w:rsidR="00566D0F">
        <w:rPr>
          <w:rFonts w:ascii="Arial" w:hAnsi="Arial" w:cs="Arial"/>
          <w:sz w:val="24"/>
          <w:szCs w:val="24"/>
        </w:rPr>
        <w:t>, further that</w:t>
      </w:r>
      <w:r>
        <w:rPr>
          <w:rFonts w:ascii="Arial" w:hAnsi="Arial" w:cs="Arial"/>
          <w:sz w:val="24"/>
          <w:szCs w:val="24"/>
        </w:rPr>
        <w:t xml:space="preserve"> the second preservation of property order was correctly set aside and accordingly the appeal is dismissed</w:t>
      </w:r>
      <w:r w:rsidR="003C3419">
        <w:rPr>
          <w:rFonts w:ascii="Arial" w:hAnsi="Arial" w:cs="Arial"/>
          <w:sz w:val="24"/>
          <w:szCs w:val="24"/>
        </w:rPr>
        <w:t xml:space="preserve"> with costs.</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AE7816">
        <w:rPr>
          <w:rFonts w:ascii="Arial" w:hAnsi="Arial" w:cs="Arial"/>
          <w:b/>
          <w:sz w:val="24"/>
          <w:szCs w:val="24"/>
        </w:rPr>
        <w:t xml:space="preserve"> </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7C66F3">
        <w:rPr>
          <w:rFonts w:ascii="Arial" w:hAnsi="Arial" w:cs="Arial"/>
          <w:sz w:val="24"/>
          <w:szCs w:val="24"/>
        </w:rPr>
        <w:t xml:space="preserve">SHIVUTE CJ and SMUTS JA </w:t>
      </w:r>
      <w:r w:rsidR="00BE1CF9">
        <w:rPr>
          <w:rFonts w:ascii="Arial" w:hAnsi="Arial" w:cs="Arial"/>
          <w:sz w:val="24"/>
          <w:szCs w:val="24"/>
        </w:rPr>
        <w:t>concurring</w:t>
      </w:r>
      <w:r w:rsidRPr="00861369">
        <w:rPr>
          <w:rFonts w:ascii="Arial" w:hAnsi="Arial" w:cs="Arial"/>
          <w:sz w:val="24"/>
          <w:szCs w:val="24"/>
        </w:rPr>
        <w:t>)</w:t>
      </w:r>
      <w:r w:rsidR="00971F56">
        <w:rPr>
          <w:rFonts w:ascii="Arial" w:hAnsi="Arial" w:cs="Arial"/>
          <w:sz w:val="24"/>
          <w:szCs w:val="24"/>
        </w:rPr>
        <w:t>:</w:t>
      </w:r>
    </w:p>
    <w:p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rsidR="003A2EE9" w:rsidRDefault="00FF4712"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t>Th</w:t>
      </w:r>
      <w:r w:rsidR="009D3D25">
        <w:rPr>
          <w:rFonts w:ascii="Arial" w:hAnsi="Arial" w:cs="Arial"/>
          <w:sz w:val="24"/>
          <w:szCs w:val="24"/>
        </w:rPr>
        <w:t>is appeal is</w:t>
      </w:r>
      <w:r w:rsidR="000075ED">
        <w:rPr>
          <w:rFonts w:ascii="Arial" w:hAnsi="Arial" w:cs="Arial"/>
          <w:sz w:val="24"/>
          <w:szCs w:val="24"/>
        </w:rPr>
        <w:t xml:space="preserve"> </w:t>
      </w:r>
      <w:r w:rsidR="009D3D25">
        <w:rPr>
          <w:rFonts w:ascii="Arial" w:hAnsi="Arial" w:cs="Arial"/>
          <w:sz w:val="24"/>
          <w:szCs w:val="24"/>
        </w:rPr>
        <w:t>against</w:t>
      </w:r>
      <w:r w:rsidR="000075ED">
        <w:rPr>
          <w:rFonts w:ascii="Arial" w:hAnsi="Arial" w:cs="Arial"/>
          <w:sz w:val="24"/>
          <w:szCs w:val="24"/>
        </w:rPr>
        <w:t xml:space="preserve"> the whole judgment and order of Angula</w:t>
      </w:r>
      <w:r w:rsidR="00546AB8">
        <w:rPr>
          <w:rFonts w:ascii="Arial" w:hAnsi="Arial" w:cs="Arial"/>
          <w:sz w:val="24"/>
          <w:szCs w:val="24"/>
        </w:rPr>
        <w:t xml:space="preserve"> DJP</w:t>
      </w:r>
      <w:r w:rsidR="000075ED">
        <w:rPr>
          <w:rFonts w:ascii="Arial" w:hAnsi="Arial" w:cs="Arial"/>
          <w:sz w:val="24"/>
          <w:szCs w:val="24"/>
        </w:rPr>
        <w:t>. The appeal concerns the upholding</w:t>
      </w:r>
      <w:r w:rsidR="009D3D25">
        <w:rPr>
          <w:rFonts w:ascii="Arial" w:hAnsi="Arial" w:cs="Arial"/>
          <w:sz w:val="24"/>
          <w:szCs w:val="24"/>
        </w:rPr>
        <w:t xml:space="preserve"> </w:t>
      </w:r>
      <w:r w:rsidR="000075ED">
        <w:rPr>
          <w:rFonts w:ascii="Arial" w:hAnsi="Arial" w:cs="Arial"/>
          <w:sz w:val="24"/>
          <w:szCs w:val="24"/>
        </w:rPr>
        <w:t>of an application for the rescission of a pre</w:t>
      </w:r>
      <w:r w:rsidR="003A2EE9">
        <w:rPr>
          <w:rFonts w:ascii="Arial" w:hAnsi="Arial" w:cs="Arial"/>
          <w:sz w:val="24"/>
          <w:szCs w:val="24"/>
        </w:rPr>
        <w:t>servation of property order by Angula DJP</w:t>
      </w:r>
      <w:r w:rsidR="00AF2414">
        <w:rPr>
          <w:rFonts w:ascii="Arial" w:hAnsi="Arial" w:cs="Arial"/>
          <w:sz w:val="24"/>
          <w:szCs w:val="24"/>
        </w:rPr>
        <w:t>,</w:t>
      </w:r>
      <w:r w:rsidR="00F95D70">
        <w:rPr>
          <w:rStyle w:val="FootnoteReference"/>
          <w:rFonts w:ascii="Arial" w:hAnsi="Arial" w:cs="Arial"/>
          <w:sz w:val="24"/>
          <w:szCs w:val="24"/>
        </w:rPr>
        <w:footnoteReference w:id="1"/>
      </w:r>
      <w:r w:rsidR="003A2EE9">
        <w:rPr>
          <w:rFonts w:ascii="Arial" w:hAnsi="Arial" w:cs="Arial"/>
          <w:sz w:val="24"/>
          <w:szCs w:val="24"/>
        </w:rPr>
        <w:t xml:space="preserve"> </w:t>
      </w:r>
      <w:r w:rsidR="00AD5917">
        <w:rPr>
          <w:rFonts w:ascii="Arial" w:hAnsi="Arial" w:cs="Arial"/>
          <w:sz w:val="24"/>
          <w:szCs w:val="24"/>
        </w:rPr>
        <w:t xml:space="preserve">which was </w:t>
      </w:r>
      <w:r w:rsidR="00546AB8">
        <w:rPr>
          <w:rFonts w:ascii="Arial" w:hAnsi="Arial" w:cs="Arial"/>
          <w:sz w:val="24"/>
          <w:szCs w:val="24"/>
        </w:rPr>
        <w:t xml:space="preserve">earlier </w:t>
      </w:r>
      <w:r w:rsidR="003A2EE9">
        <w:rPr>
          <w:rFonts w:ascii="Arial" w:hAnsi="Arial" w:cs="Arial"/>
          <w:sz w:val="24"/>
          <w:szCs w:val="24"/>
        </w:rPr>
        <w:t>granted by Usiku AJ (as he then was) in favour of the appellant (Prosecutor-General) (</w:t>
      </w:r>
      <w:r w:rsidR="00BB37A7">
        <w:rPr>
          <w:rFonts w:ascii="Arial" w:hAnsi="Arial" w:cs="Arial"/>
          <w:sz w:val="24"/>
          <w:szCs w:val="24"/>
        </w:rPr>
        <w:t>t</w:t>
      </w:r>
      <w:r w:rsidR="009D13F4">
        <w:rPr>
          <w:rFonts w:ascii="Arial" w:hAnsi="Arial" w:cs="Arial"/>
          <w:sz w:val="24"/>
          <w:szCs w:val="24"/>
        </w:rPr>
        <w:t>he PG</w:t>
      </w:r>
      <w:r w:rsidR="003A2EE9">
        <w:rPr>
          <w:rFonts w:ascii="Arial" w:hAnsi="Arial" w:cs="Arial"/>
          <w:sz w:val="24"/>
          <w:szCs w:val="24"/>
        </w:rPr>
        <w:t>) on 26 May 2017.</w:t>
      </w:r>
      <w:r w:rsidR="00F2214E">
        <w:rPr>
          <w:rFonts w:ascii="Arial" w:hAnsi="Arial" w:cs="Arial"/>
          <w:sz w:val="24"/>
          <w:szCs w:val="24"/>
        </w:rPr>
        <w:t xml:space="preserve"> </w:t>
      </w:r>
      <w:r w:rsidR="008C78B7" w:rsidRPr="00F2214E">
        <w:rPr>
          <w:rFonts w:ascii="Arial" w:hAnsi="Arial" w:cs="Arial"/>
          <w:sz w:val="24"/>
          <w:szCs w:val="24"/>
        </w:rPr>
        <w:t xml:space="preserve">The preservation order was in respect of the positive balance in the </w:t>
      </w:r>
      <w:r w:rsidR="001670B9">
        <w:rPr>
          <w:rFonts w:ascii="Arial" w:hAnsi="Arial" w:cs="Arial"/>
          <w:sz w:val="24"/>
          <w:szCs w:val="24"/>
        </w:rPr>
        <w:t xml:space="preserve">Customer </w:t>
      </w:r>
      <w:r w:rsidR="00D42FA2">
        <w:rPr>
          <w:rFonts w:ascii="Arial" w:hAnsi="Arial" w:cs="Arial"/>
          <w:sz w:val="24"/>
          <w:szCs w:val="24"/>
        </w:rPr>
        <w:t>F</w:t>
      </w:r>
      <w:r w:rsidR="008C78B7" w:rsidRPr="00F2214E">
        <w:rPr>
          <w:rFonts w:ascii="Arial" w:hAnsi="Arial" w:cs="Arial"/>
          <w:sz w:val="24"/>
          <w:szCs w:val="24"/>
        </w:rPr>
        <w:t xml:space="preserve">oreign </w:t>
      </w:r>
      <w:r w:rsidR="00D42FA2">
        <w:rPr>
          <w:rFonts w:ascii="Arial" w:hAnsi="Arial" w:cs="Arial"/>
          <w:sz w:val="24"/>
          <w:szCs w:val="24"/>
        </w:rPr>
        <w:t>C</w:t>
      </w:r>
      <w:r w:rsidR="008C78B7" w:rsidRPr="00F2214E">
        <w:rPr>
          <w:rFonts w:ascii="Arial" w:hAnsi="Arial" w:cs="Arial"/>
          <w:sz w:val="24"/>
          <w:szCs w:val="24"/>
        </w:rPr>
        <w:t xml:space="preserve">urrency </w:t>
      </w:r>
      <w:r w:rsidR="00D42FA2">
        <w:rPr>
          <w:rFonts w:ascii="Arial" w:hAnsi="Arial" w:cs="Arial"/>
          <w:sz w:val="24"/>
          <w:szCs w:val="24"/>
        </w:rPr>
        <w:t>a</w:t>
      </w:r>
      <w:r w:rsidR="008C78B7" w:rsidRPr="00F2214E">
        <w:rPr>
          <w:rFonts w:ascii="Arial" w:hAnsi="Arial" w:cs="Arial"/>
          <w:sz w:val="24"/>
          <w:szCs w:val="24"/>
        </w:rPr>
        <w:t xml:space="preserve">ccount (the </w:t>
      </w:r>
      <w:r w:rsidR="00D42FA2">
        <w:rPr>
          <w:rFonts w:ascii="Arial" w:hAnsi="Arial" w:cs="Arial"/>
          <w:sz w:val="24"/>
          <w:szCs w:val="24"/>
        </w:rPr>
        <w:t>C</w:t>
      </w:r>
      <w:r w:rsidR="00A25E45">
        <w:rPr>
          <w:rFonts w:ascii="Arial" w:hAnsi="Arial" w:cs="Arial"/>
          <w:sz w:val="24"/>
          <w:szCs w:val="24"/>
        </w:rPr>
        <w:t>F</w:t>
      </w:r>
      <w:r w:rsidR="00D42FA2">
        <w:rPr>
          <w:rFonts w:ascii="Arial" w:hAnsi="Arial" w:cs="Arial"/>
          <w:sz w:val="24"/>
          <w:szCs w:val="24"/>
        </w:rPr>
        <w:t>C</w:t>
      </w:r>
      <w:r w:rsidR="008C78B7" w:rsidRPr="00F2214E">
        <w:rPr>
          <w:rFonts w:ascii="Arial" w:hAnsi="Arial" w:cs="Arial"/>
          <w:sz w:val="24"/>
          <w:szCs w:val="24"/>
        </w:rPr>
        <w:t xml:space="preserve"> account) held at Bank Windhoek in the name of the first respondent</w:t>
      </w:r>
      <w:r w:rsidR="00AF2414">
        <w:rPr>
          <w:rFonts w:ascii="Arial" w:hAnsi="Arial" w:cs="Arial"/>
          <w:sz w:val="24"/>
          <w:szCs w:val="24"/>
        </w:rPr>
        <w:t>,</w:t>
      </w:r>
      <w:r w:rsidR="00A25E45">
        <w:rPr>
          <w:rFonts w:ascii="Arial" w:hAnsi="Arial" w:cs="Arial"/>
          <w:sz w:val="24"/>
          <w:szCs w:val="24"/>
        </w:rPr>
        <w:t xml:space="preserve"> </w:t>
      </w:r>
      <w:r w:rsidR="008C78B7" w:rsidRPr="00F2214E">
        <w:rPr>
          <w:rFonts w:ascii="Arial" w:hAnsi="Arial" w:cs="Arial"/>
          <w:sz w:val="24"/>
          <w:szCs w:val="24"/>
        </w:rPr>
        <w:t>Atlantic Ocean Management Group (Pty) Ltd (Atlantic)</w:t>
      </w:r>
      <w:r w:rsidR="00A25E45">
        <w:rPr>
          <w:rFonts w:ascii="Arial" w:hAnsi="Arial" w:cs="Arial"/>
          <w:sz w:val="24"/>
          <w:szCs w:val="24"/>
        </w:rPr>
        <w:t>. F</w:t>
      </w:r>
      <w:r w:rsidR="008C78B7" w:rsidRPr="00F2214E">
        <w:rPr>
          <w:rFonts w:ascii="Arial" w:hAnsi="Arial" w:cs="Arial"/>
          <w:sz w:val="24"/>
          <w:szCs w:val="24"/>
        </w:rPr>
        <w:t xml:space="preserve">irst respondent </w:t>
      </w:r>
      <w:r w:rsidR="00F2214E" w:rsidRPr="00F2214E">
        <w:rPr>
          <w:rFonts w:ascii="Arial" w:hAnsi="Arial" w:cs="Arial"/>
          <w:sz w:val="24"/>
          <w:szCs w:val="24"/>
        </w:rPr>
        <w:t>is a Namibian registered company.</w:t>
      </w:r>
    </w:p>
    <w:p w:rsidR="00172D2D" w:rsidRDefault="00172D2D" w:rsidP="00172D2D">
      <w:pPr>
        <w:pStyle w:val="ListParagraph"/>
        <w:tabs>
          <w:tab w:val="left" w:pos="851"/>
        </w:tabs>
        <w:spacing w:after="0" w:line="480" w:lineRule="auto"/>
        <w:ind w:left="0"/>
        <w:jc w:val="both"/>
        <w:rPr>
          <w:rFonts w:ascii="Arial" w:hAnsi="Arial" w:cs="Arial"/>
          <w:sz w:val="24"/>
          <w:szCs w:val="24"/>
        </w:rPr>
      </w:pPr>
    </w:p>
    <w:p w:rsidR="00F2214E" w:rsidRDefault="00F2214E"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For the purpose of this judgment</w:t>
      </w:r>
      <w:r w:rsidR="00AF2414">
        <w:rPr>
          <w:rFonts w:ascii="Arial" w:hAnsi="Arial" w:cs="Arial"/>
          <w:sz w:val="24"/>
          <w:szCs w:val="24"/>
        </w:rPr>
        <w:t>,</w:t>
      </w:r>
      <w:r>
        <w:rPr>
          <w:rFonts w:ascii="Arial" w:hAnsi="Arial" w:cs="Arial"/>
          <w:sz w:val="24"/>
          <w:szCs w:val="24"/>
        </w:rPr>
        <w:t xml:space="preserve"> the parties would be referred to as appellant and first and second respondents or whenever necessary as respondents. </w:t>
      </w:r>
      <w:r w:rsidR="00F705AB">
        <w:rPr>
          <w:rFonts w:ascii="Arial" w:hAnsi="Arial" w:cs="Arial"/>
          <w:sz w:val="24"/>
          <w:szCs w:val="24"/>
        </w:rPr>
        <w:lastRenderedPageBreak/>
        <w:t>Second</w:t>
      </w:r>
      <w:r w:rsidR="00276169">
        <w:rPr>
          <w:rFonts w:ascii="Arial" w:hAnsi="Arial" w:cs="Arial"/>
          <w:sz w:val="24"/>
          <w:szCs w:val="24"/>
        </w:rPr>
        <w:t xml:space="preserve"> respondent (Fish Spain</w:t>
      </w:r>
      <w:r w:rsidR="00F705AB">
        <w:rPr>
          <w:rFonts w:ascii="Arial" w:hAnsi="Arial" w:cs="Arial"/>
          <w:sz w:val="24"/>
          <w:szCs w:val="24"/>
        </w:rPr>
        <w:t xml:space="preserve"> S</w:t>
      </w:r>
      <w:r w:rsidR="00923C9A">
        <w:rPr>
          <w:rFonts w:ascii="Arial" w:hAnsi="Arial" w:cs="Arial"/>
          <w:sz w:val="24"/>
          <w:szCs w:val="24"/>
        </w:rPr>
        <w:t xml:space="preserve"> </w:t>
      </w:r>
      <w:r w:rsidR="00F705AB">
        <w:rPr>
          <w:rFonts w:ascii="Arial" w:hAnsi="Arial" w:cs="Arial"/>
          <w:sz w:val="24"/>
          <w:szCs w:val="24"/>
        </w:rPr>
        <w:t>L</w:t>
      </w:r>
      <w:r w:rsidR="00276169">
        <w:rPr>
          <w:rFonts w:ascii="Arial" w:hAnsi="Arial" w:cs="Arial"/>
          <w:sz w:val="24"/>
          <w:szCs w:val="24"/>
        </w:rPr>
        <w:t>) is a Spanish company operating in Angol</w:t>
      </w:r>
      <w:r w:rsidR="00546AB8">
        <w:rPr>
          <w:rFonts w:ascii="Arial" w:hAnsi="Arial" w:cs="Arial"/>
          <w:sz w:val="24"/>
          <w:szCs w:val="24"/>
        </w:rPr>
        <w:t>a</w:t>
      </w:r>
      <w:r w:rsidR="00276169">
        <w:rPr>
          <w:rFonts w:ascii="Arial" w:hAnsi="Arial" w:cs="Arial"/>
          <w:sz w:val="24"/>
          <w:szCs w:val="24"/>
        </w:rPr>
        <w:t xml:space="preserve">n waters. </w:t>
      </w:r>
      <w:r>
        <w:rPr>
          <w:rFonts w:ascii="Arial" w:hAnsi="Arial" w:cs="Arial"/>
          <w:sz w:val="24"/>
          <w:szCs w:val="24"/>
        </w:rPr>
        <w:t xml:space="preserve">The other </w:t>
      </w:r>
      <w:r w:rsidR="00A44A9C">
        <w:rPr>
          <w:rFonts w:ascii="Arial" w:hAnsi="Arial" w:cs="Arial"/>
          <w:sz w:val="24"/>
          <w:szCs w:val="24"/>
        </w:rPr>
        <w:t xml:space="preserve">Spanish </w:t>
      </w:r>
      <w:r w:rsidR="00276169">
        <w:rPr>
          <w:rFonts w:ascii="Arial" w:hAnsi="Arial" w:cs="Arial"/>
          <w:sz w:val="24"/>
          <w:szCs w:val="24"/>
        </w:rPr>
        <w:t>c</w:t>
      </w:r>
      <w:r w:rsidR="00A25E45">
        <w:rPr>
          <w:rFonts w:ascii="Arial" w:hAnsi="Arial" w:cs="Arial"/>
          <w:sz w:val="24"/>
          <w:szCs w:val="24"/>
        </w:rPr>
        <w:t xml:space="preserve">ompany is </w:t>
      </w:r>
      <w:r w:rsidR="00A44A9C">
        <w:rPr>
          <w:rFonts w:ascii="Arial" w:hAnsi="Arial" w:cs="Arial"/>
          <w:sz w:val="24"/>
          <w:szCs w:val="24"/>
        </w:rPr>
        <w:t>Rio Algar</w:t>
      </w:r>
      <w:r w:rsidR="00A25E45">
        <w:rPr>
          <w:rFonts w:ascii="Arial" w:hAnsi="Arial" w:cs="Arial"/>
          <w:sz w:val="24"/>
          <w:szCs w:val="24"/>
        </w:rPr>
        <w:t>. T</w:t>
      </w:r>
      <w:r w:rsidR="00A44A9C">
        <w:rPr>
          <w:rFonts w:ascii="Arial" w:hAnsi="Arial" w:cs="Arial"/>
          <w:sz w:val="24"/>
          <w:szCs w:val="24"/>
        </w:rPr>
        <w:t xml:space="preserve">he </w:t>
      </w:r>
      <w:r w:rsidR="00A25E45">
        <w:rPr>
          <w:rFonts w:ascii="Arial" w:hAnsi="Arial" w:cs="Arial"/>
          <w:sz w:val="24"/>
          <w:szCs w:val="24"/>
        </w:rPr>
        <w:t>second</w:t>
      </w:r>
      <w:r w:rsidR="00A44A9C">
        <w:rPr>
          <w:rFonts w:ascii="Arial" w:hAnsi="Arial" w:cs="Arial"/>
          <w:sz w:val="24"/>
          <w:szCs w:val="24"/>
        </w:rPr>
        <w:t xml:space="preserve"> respondent </w:t>
      </w:r>
      <w:r w:rsidR="00A25E45">
        <w:rPr>
          <w:rFonts w:ascii="Arial" w:hAnsi="Arial" w:cs="Arial"/>
          <w:sz w:val="24"/>
          <w:szCs w:val="24"/>
        </w:rPr>
        <w:t xml:space="preserve">and Rio Algar </w:t>
      </w:r>
      <w:r w:rsidR="00A44A9C">
        <w:rPr>
          <w:rFonts w:ascii="Arial" w:hAnsi="Arial" w:cs="Arial"/>
          <w:sz w:val="24"/>
          <w:szCs w:val="24"/>
        </w:rPr>
        <w:t xml:space="preserve">would </w:t>
      </w:r>
      <w:r w:rsidR="00A25E45">
        <w:rPr>
          <w:rFonts w:ascii="Arial" w:hAnsi="Arial" w:cs="Arial"/>
          <w:sz w:val="24"/>
          <w:szCs w:val="24"/>
        </w:rPr>
        <w:t xml:space="preserve">whenever necessary </w:t>
      </w:r>
      <w:r w:rsidR="00A44A9C">
        <w:rPr>
          <w:rFonts w:ascii="Arial" w:hAnsi="Arial" w:cs="Arial"/>
          <w:sz w:val="24"/>
          <w:szCs w:val="24"/>
        </w:rPr>
        <w:t xml:space="preserve">be referred to as the </w:t>
      </w:r>
      <w:r w:rsidR="00BB37A7">
        <w:rPr>
          <w:rFonts w:ascii="Arial" w:hAnsi="Arial" w:cs="Arial"/>
          <w:sz w:val="24"/>
          <w:szCs w:val="24"/>
        </w:rPr>
        <w:t>Spanish companies.</w:t>
      </w:r>
    </w:p>
    <w:p w:rsidR="00BB37A7" w:rsidRPr="00BB37A7" w:rsidRDefault="00BB37A7" w:rsidP="00603763">
      <w:pPr>
        <w:pStyle w:val="ListParagraph"/>
        <w:spacing w:after="0" w:line="480" w:lineRule="auto"/>
        <w:jc w:val="both"/>
        <w:rPr>
          <w:rFonts w:ascii="Arial" w:hAnsi="Arial" w:cs="Arial"/>
          <w:sz w:val="24"/>
          <w:szCs w:val="24"/>
        </w:rPr>
      </w:pPr>
    </w:p>
    <w:p w:rsidR="00BB37A7" w:rsidRDefault="00BB37A7"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This judgment should be read with the findings of fact formulated by Angula DJP. His findings are comprehensive enough for the purposes</w:t>
      </w:r>
      <w:r w:rsidR="008C4B78">
        <w:rPr>
          <w:rFonts w:ascii="Arial" w:hAnsi="Arial" w:cs="Arial"/>
          <w:sz w:val="24"/>
          <w:szCs w:val="24"/>
        </w:rPr>
        <w:t xml:space="preserve"> of this judgment. In fact</w:t>
      </w:r>
      <w:r w:rsidR="00AF2414">
        <w:rPr>
          <w:rFonts w:ascii="Arial" w:hAnsi="Arial" w:cs="Arial"/>
          <w:sz w:val="24"/>
          <w:szCs w:val="24"/>
        </w:rPr>
        <w:t>,</w:t>
      </w:r>
      <w:r w:rsidR="008C4B78">
        <w:rPr>
          <w:rFonts w:ascii="Arial" w:hAnsi="Arial" w:cs="Arial"/>
          <w:sz w:val="24"/>
          <w:szCs w:val="24"/>
        </w:rPr>
        <w:t xml:space="preserve"> I do</w:t>
      </w:r>
      <w:r w:rsidR="00546AB8">
        <w:rPr>
          <w:rFonts w:ascii="Arial" w:hAnsi="Arial" w:cs="Arial"/>
          <w:sz w:val="24"/>
          <w:szCs w:val="24"/>
        </w:rPr>
        <w:t xml:space="preserve"> </w:t>
      </w:r>
      <w:r w:rsidR="008C4B78">
        <w:rPr>
          <w:rFonts w:ascii="Arial" w:hAnsi="Arial" w:cs="Arial"/>
          <w:sz w:val="24"/>
          <w:szCs w:val="24"/>
        </w:rPr>
        <w:t>n</w:t>
      </w:r>
      <w:r w:rsidR="00546AB8">
        <w:rPr>
          <w:rFonts w:ascii="Arial" w:hAnsi="Arial" w:cs="Arial"/>
          <w:sz w:val="24"/>
          <w:szCs w:val="24"/>
        </w:rPr>
        <w:t>o</w:t>
      </w:r>
      <w:r w:rsidR="008C4B78">
        <w:rPr>
          <w:rFonts w:ascii="Arial" w:hAnsi="Arial" w:cs="Arial"/>
          <w:sz w:val="24"/>
          <w:szCs w:val="24"/>
        </w:rPr>
        <w:t>t intend to reinvent the wheel, so to speak, regarding the background facts of this case</w:t>
      </w:r>
      <w:r w:rsidR="00546AB8">
        <w:rPr>
          <w:rFonts w:ascii="Arial" w:hAnsi="Arial" w:cs="Arial"/>
          <w:sz w:val="24"/>
          <w:szCs w:val="24"/>
        </w:rPr>
        <w:t>.</w:t>
      </w:r>
      <w:r w:rsidR="008C4B78">
        <w:rPr>
          <w:rFonts w:ascii="Arial" w:hAnsi="Arial" w:cs="Arial"/>
          <w:sz w:val="24"/>
          <w:szCs w:val="24"/>
        </w:rPr>
        <w:t xml:space="preserve"> </w:t>
      </w:r>
      <w:r w:rsidR="00546AB8">
        <w:rPr>
          <w:rFonts w:ascii="Arial" w:hAnsi="Arial" w:cs="Arial"/>
          <w:sz w:val="24"/>
          <w:szCs w:val="24"/>
        </w:rPr>
        <w:t>E</w:t>
      </w:r>
      <w:r w:rsidR="008C4B78">
        <w:rPr>
          <w:rFonts w:ascii="Arial" w:hAnsi="Arial" w:cs="Arial"/>
          <w:sz w:val="24"/>
          <w:szCs w:val="24"/>
        </w:rPr>
        <w:t xml:space="preserve">xcept for minor </w:t>
      </w:r>
      <w:r w:rsidR="00B17ED8">
        <w:rPr>
          <w:rFonts w:ascii="Arial" w:hAnsi="Arial" w:cs="Arial"/>
          <w:sz w:val="24"/>
          <w:szCs w:val="24"/>
        </w:rPr>
        <w:t xml:space="preserve">changes where necessary, </w:t>
      </w:r>
      <w:r w:rsidR="00546AB8">
        <w:rPr>
          <w:rFonts w:ascii="Arial" w:hAnsi="Arial" w:cs="Arial"/>
          <w:sz w:val="24"/>
          <w:szCs w:val="24"/>
        </w:rPr>
        <w:t xml:space="preserve">I </w:t>
      </w:r>
      <w:r w:rsidR="00B17ED8">
        <w:rPr>
          <w:rFonts w:ascii="Arial" w:hAnsi="Arial" w:cs="Arial"/>
          <w:sz w:val="24"/>
          <w:szCs w:val="24"/>
        </w:rPr>
        <w:t>will reproduce the background facts as presented by the learned DJP. That background is in this form:</w:t>
      </w:r>
    </w:p>
    <w:p w:rsidR="00B17ED8" w:rsidRDefault="00B17ED8" w:rsidP="00603763">
      <w:pPr>
        <w:pStyle w:val="ListParagraph"/>
        <w:spacing w:after="0" w:line="480" w:lineRule="auto"/>
        <w:jc w:val="both"/>
        <w:rPr>
          <w:rFonts w:ascii="Arial" w:hAnsi="Arial" w:cs="Arial"/>
          <w:sz w:val="24"/>
          <w:szCs w:val="24"/>
        </w:rPr>
      </w:pPr>
    </w:p>
    <w:p w:rsidR="00B17ED8" w:rsidRDefault="00B17ED8" w:rsidP="00AB14CF">
      <w:pPr>
        <w:pStyle w:val="ListParagraph"/>
        <w:numPr>
          <w:ilvl w:val="0"/>
          <w:numId w:val="14"/>
        </w:numPr>
        <w:spacing w:after="0" w:line="480" w:lineRule="auto"/>
        <w:ind w:left="1418" w:hanging="698"/>
        <w:jc w:val="both"/>
        <w:rPr>
          <w:rFonts w:ascii="Arial" w:hAnsi="Arial" w:cs="Arial"/>
          <w:sz w:val="24"/>
          <w:szCs w:val="24"/>
        </w:rPr>
      </w:pPr>
      <w:r w:rsidRPr="00F53920">
        <w:rPr>
          <w:rFonts w:ascii="Arial" w:hAnsi="Arial" w:cs="Arial"/>
          <w:sz w:val="24"/>
          <w:szCs w:val="24"/>
        </w:rPr>
        <w:t>Messrs Alberto Iglesias Martinez (Mr Martinez) and Juan Jose Martinez Maqueira (Mr Maqueira) are equal shareholders and co-dire</w:t>
      </w:r>
      <w:r w:rsidR="00F53920">
        <w:rPr>
          <w:rFonts w:ascii="Arial" w:hAnsi="Arial" w:cs="Arial"/>
          <w:sz w:val="24"/>
          <w:szCs w:val="24"/>
        </w:rPr>
        <w:t xml:space="preserve">ctors of the first respondent. </w:t>
      </w:r>
    </w:p>
    <w:p w:rsidR="00F53920" w:rsidRDefault="00F53920" w:rsidP="00F53920">
      <w:pPr>
        <w:pStyle w:val="ListParagraph"/>
        <w:spacing w:after="0" w:line="480" w:lineRule="auto"/>
        <w:ind w:left="1080"/>
        <w:jc w:val="both"/>
        <w:rPr>
          <w:rFonts w:ascii="Arial" w:hAnsi="Arial" w:cs="Arial"/>
          <w:sz w:val="24"/>
          <w:szCs w:val="24"/>
        </w:rPr>
      </w:pPr>
    </w:p>
    <w:p w:rsidR="00B17ED8" w:rsidRDefault="00B17ED8" w:rsidP="00AB14CF">
      <w:pPr>
        <w:pStyle w:val="ListParagraph"/>
        <w:numPr>
          <w:ilvl w:val="0"/>
          <w:numId w:val="14"/>
        </w:numPr>
        <w:spacing w:after="0" w:line="480" w:lineRule="auto"/>
        <w:ind w:left="1418" w:hanging="567"/>
        <w:jc w:val="both"/>
        <w:rPr>
          <w:rFonts w:ascii="Arial" w:hAnsi="Arial" w:cs="Arial"/>
          <w:sz w:val="24"/>
          <w:szCs w:val="24"/>
        </w:rPr>
      </w:pPr>
      <w:r w:rsidRPr="00F53920">
        <w:rPr>
          <w:rFonts w:ascii="Arial" w:hAnsi="Arial" w:cs="Arial"/>
          <w:sz w:val="24"/>
          <w:szCs w:val="24"/>
        </w:rPr>
        <w:t>The Spanish companies and Sadino LDA (Sadino), an Angolan company, had concluded a charter agreement in terms of which it was agreed that Sadino would utili</w:t>
      </w:r>
      <w:r w:rsidR="00923C9A">
        <w:rPr>
          <w:rFonts w:ascii="Arial" w:hAnsi="Arial" w:cs="Arial"/>
          <w:sz w:val="24"/>
          <w:szCs w:val="24"/>
        </w:rPr>
        <w:t>s</w:t>
      </w:r>
      <w:r w:rsidRPr="00F53920">
        <w:rPr>
          <w:rFonts w:ascii="Arial" w:hAnsi="Arial" w:cs="Arial"/>
          <w:sz w:val="24"/>
          <w:szCs w:val="24"/>
        </w:rPr>
        <w:t xml:space="preserve">e vessels of the two Spanish companies and would in addition carry all the costs arising from the operation of the vessels. However, subsequent to entering into the agreement, the Angolan </w:t>
      </w:r>
      <w:r w:rsidR="00923C9A">
        <w:rPr>
          <w:rFonts w:ascii="Arial" w:hAnsi="Arial" w:cs="Arial"/>
          <w:sz w:val="24"/>
          <w:szCs w:val="24"/>
        </w:rPr>
        <w:t>G</w:t>
      </w:r>
      <w:r w:rsidRPr="00F53920">
        <w:rPr>
          <w:rFonts w:ascii="Arial" w:hAnsi="Arial" w:cs="Arial"/>
          <w:sz w:val="24"/>
          <w:szCs w:val="24"/>
        </w:rPr>
        <w:t>overnment introduced foreign exchange regulations which restricted the export of foreign currency, making it difficult for Sadino to remit payment to the Spanish comp</w:t>
      </w:r>
      <w:r w:rsidR="00AF2318" w:rsidRPr="00F53920">
        <w:rPr>
          <w:rFonts w:ascii="Arial" w:hAnsi="Arial" w:cs="Arial"/>
          <w:sz w:val="24"/>
          <w:szCs w:val="24"/>
        </w:rPr>
        <w:t>anies</w:t>
      </w:r>
      <w:r w:rsidR="00276169" w:rsidRPr="00F53920">
        <w:rPr>
          <w:rFonts w:ascii="Arial" w:hAnsi="Arial" w:cs="Arial"/>
          <w:sz w:val="24"/>
          <w:szCs w:val="24"/>
        </w:rPr>
        <w:t>. As a result</w:t>
      </w:r>
      <w:r w:rsidR="00AF2414" w:rsidRPr="00F53920">
        <w:rPr>
          <w:rFonts w:ascii="Arial" w:hAnsi="Arial" w:cs="Arial"/>
          <w:sz w:val="24"/>
          <w:szCs w:val="24"/>
        </w:rPr>
        <w:t>,</w:t>
      </w:r>
      <w:r w:rsidR="00276169" w:rsidRPr="00F53920">
        <w:rPr>
          <w:rFonts w:ascii="Arial" w:hAnsi="Arial" w:cs="Arial"/>
          <w:sz w:val="24"/>
          <w:szCs w:val="24"/>
        </w:rPr>
        <w:t xml:space="preserve"> the Spanish companies</w:t>
      </w:r>
      <w:r w:rsidR="00AF2318" w:rsidRPr="00F53920">
        <w:rPr>
          <w:rFonts w:ascii="Arial" w:hAnsi="Arial" w:cs="Arial"/>
          <w:sz w:val="24"/>
          <w:szCs w:val="24"/>
        </w:rPr>
        <w:t xml:space="preserve"> experienced a liquidity problem. At a certain stage the Spanish </w:t>
      </w:r>
      <w:r w:rsidR="00923C9A">
        <w:rPr>
          <w:rFonts w:ascii="Arial" w:hAnsi="Arial" w:cs="Arial"/>
          <w:sz w:val="24"/>
          <w:szCs w:val="24"/>
        </w:rPr>
        <w:t>E</w:t>
      </w:r>
      <w:r w:rsidR="00AF2318" w:rsidRPr="00F53920">
        <w:rPr>
          <w:rFonts w:ascii="Arial" w:hAnsi="Arial" w:cs="Arial"/>
          <w:sz w:val="24"/>
          <w:szCs w:val="24"/>
        </w:rPr>
        <w:t>mbassy in Angola intervened to try to help the Spanish companies.</w:t>
      </w:r>
    </w:p>
    <w:p w:rsidR="00AF2318" w:rsidRDefault="00AF2318" w:rsidP="00AB14CF">
      <w:pPr>
        <w:pStyle w:val="ListParagraph"/>
        <w:numPr>
          <w:ilvl w:val="0"/>
          <w:numId w:val="14"/>
        </w:numPr>
        <w:spacing w:after="0" w:line="480" w:lineRule="auto"/>
        <w:ind w:left="1418" w:hanging="698"/>
        <w:jc w:val="both"/>
        <w:rPr>
          <w:rFonts w:ascii="Arial" w:hAnsi="Arial" w:cs="Arial"/>
          <w:sz w:val="24"/>
          <w:szCs w:val="24"/>
        </w:rPr>
      </w:pPr>
      <w:r w:rsidRPr="00F53920">
        <w:rPr>
          <w:rFonts w:ascii="Arial" w:hAnsi="Arial" w:cs="Arial"/>
          <w:sz w:val="24"/>
          <w:szCs w:val="24"/>
        </w:rPr>
        <w:lastRenderedPageBreak/>
        <w:t>In order to address the problem, the Spanish companies instructed Mr Mar</w:t>
      </w:r>
      <w:r w:rsidR="00F705AB" w:rsidRPr="00F53920">
        <w:rPr>
          <w:rFonts w:ascii="Arial" w:hAnsi="Arial" w:cs="Arial"/>
          <w:sz w:val="24"/>
          <w:szCs w:val="24"/>
        </w:rPr>
        <w:t>t</w:t>
      </w:r>
      <w:r w:rsidRPr="00F53920">
        <w:rPr>
          <w:rFonts w:ascii="Arial" w:hAnsi="Arial" w:cs="Arial"/>
          <w:sz w:val="24"/>
          <w:szCs w:val="24"/>
        </w:rPr>
        <w:t>inez and Mr Maqueira to explore market opportunities in Namibia in order to develop an alternative market for the Spanish companies in Namibia. The reliability of the Namibian banking system was one of the key considerations. To this end, first respondent was registered in Namibia, in which Mr Martinez and Mr Maqueira are equal shareholders and co-directors as stated earlier.</w:t>
      </w:r>
    </w:p>
    <w:p w:rsidR="00F53920" w:rsidRPr="00F53920" w:rsidRDefault="00F53920" w:rsidP="00F53920">
      <w:pPr>
        <w:pStyle w:val="ListParagraph"/>
        <w:spacing w:after="0" w:line="480" w:lineRule="auto"/>
        <w:jc w:val="both"/>
        <w:rPr>
          <w:rFonts w:ascii="Arial" w:hAnsi="Arial" w:cs="Arial"/>
          <w:sz w:val="24"/>
          <w:szCs w:val="24"/>
        </w:rPr>
      </w:pPr>
    </w:p>
    <w:p w:rsidR="00AF2318" w:rsidRDefault="00AF2318" w:rsidP="00AB14CF">
      <w:pPr>
        <w:pStyle w:val="ListParagraph"/>
        <w:numPr>
          <w:ilvl w:val="0"/>
          <w:numId w:val="14"/>
        </w:numPr>
        <w:spacing w:after="0" w:line="480" w:lineRule="auto"/>
        <w:ind w:left="1418" w:hanging="698"/>
        <w:jc w:val="both"/>
        <w:rPr>
          <w:rFonts w:ascii="Arial" w:hAnsi="Arial" w:cs="Arial"/>
          <w:sz w:val="24"/>
          <w:szCs w:val="24"/>
        </w:rPr>
      </w:pPr>
      <w:r w:rsidRPr="00F53920">
        <w:rPr>
          <w:rFonts w:ascii="Arial" w:hAnsi="Arial" w:cs="Arial"/>
          <w:sz w:val="24"/>
          <w:szCs w:val="24"/>
        </w:rPr>
        <w:t>According to the Memorandum of Association of</w:t>
      </w:r>
      <w:r w:rsidR="00923C9A">
        <w:rPr>
          <w:rFonts w:ascii="Arial" w:hAnsi="Arial" w:cs="Arial"/>
          <w:sz w:val="24"/>
          <w:szCs w:val="24"/>
        </w:rPr>
        <w:t xml:space="preserve"> the</w:t>
      </w:r>
      <w:r w:rsidRPr="00F53920">
        <w:rPr>
          <w:rFonts w:ascii="Arial" w:hAnsi="Arial" w:cs="Arial"/>
          <w:sz w:val="24"/>
          <w:szCs w:val="24"/>
        </w:rPr>
        <w:t xml:space="preserve"> first respondent, its main business is manufacturing, distribution of produce, construction and marketing all commodities, rendering services, and investing in properties.</w:t>
      </w:r>
    </w:p>
    <w:p w:rsidR="00F53920" w:rsidRPr="00F53920" w:rsidRDefault="00F53920" w:rsidP="00F53920">
      <w:pPr>
        <w:pStyle w:val="ListParagraph"/>
        <w:spacing w:after="0" w:line="480" w:lineRule="auto"/>
        <w:jc w:val="both"/>
        <w:rPr>
          <w:rFonts w:ascii="Arial" w:hAnsi="Arial" w:cs="Arial"/>
          <w:sz w:val="24"/>
          <w:szCs w:val="24"/>
        </w:rPr>
      </w:pPr>
    </w:p>
    <w:p w:rsidR="00AF2318" w:rsidRDefault="00AF2318" w:rsidP="00AB14CF">
      <w:pPr>
        <w:pStyle w:val="ListParagraph"/>
        <w:numPr>
          <w:ilvl w:val="0"/>
          <w:numId w:val="14"/>
        </w:numPr>
        <w:spacing w:after="0" w:line="480" w:lineRule="auto"/>
        <w:ind w:left="1418" w:hanging="698"/>
        <w:jc w:val="both"/>
        <w:rPr>
          <w:rFonts w:ascii="Arial" w:hAnsi="Arial" w:cs="Arial"/>
          <w:sz w:val="24"/>
          <w:szCs w:val="24"/>
        </w:rPr>
      </w:pPr>
      <w:r w:rsidRPr="00F53920">
        <w:rPr>
          <w:rFonts w:ascii="Arial" w:hAnsi="Arial" w:cs="Arial"/>
          <w:sz w:val="24"/>
          <w:szCs w:val="24"/>
        </w:rPr>
        <w:t>During May 2016 the directors applied on behalf of first respondent to open a CFC account at Bank Windhoek, at its branch at Walvis Bay.</w:t>
      </w:r>
    </w:p>
    <w:p w:rsidR="00F53920" w:rsidRPr="00F53920" w:rsidRDefault="00F53920" w:rsidP="00F53920">
      <w:pPr>
        <w:pStyle w:val="ListParagraph"/>
        <w:spacing w:after="0" w:line="480" w:lineRule="auto"/>
        <w:jc w:val="both"/>
        <w:rPr>
          <w:rFonts w:ascii="Arial" w:hAnsi="Arial" w:cs="Arial"/>
          <w:sz w:val="24"/>
          <w:szCs w:val="24"/>
        </w:rPr>
      </w:pPr>
    </w:p>
    <w:p w:rsidR="00AF2318" w:rsidRDefault="00AF2318" w:rsidP="00AB14CF">
      <w:pPr>
        <w:pStyle w:val="ListParagraph"/>
        <w:numPr>
          <w:ilvl w:val="0"/>
          <w:numId w:val="14"/>
        </w:numPr>
        <w:spacing w:after="0" w:line="480" w:lineRule="auto"/>
        <w:ind w:left="1418" w:hanging="698"/>
        <w:jc w:val="both"/>
        <w:rPr>
          <w:rFonts w:ascii="Arial" w:hAnsi="Arial" w:cs="Arial"/>
          <w:sz w:val="24"/>
          <w:szCs w:val="24"/>
        </w:rPr>
      </w:pPr>
      <w:r w:rsidRPr="00F53920">
        <w:rPr>
          <w:rFonts w:ascii="Arial" w:hAnsi="Arial" w:cs="Arial"/>
          <w:sz w:val="24"/>
          <w:szCs w:val="24"/>
        </w:rPr>
        <w:t>On 19 August 2016 the Bank of Namibia granted approval for the opening of the CFC account in the name of first respondent through Bank Windhoek.</w:t>
      </w:r>
    </w:p>
    <w:p w:rsidR="00F53920" w:rsidRPr="00F53920" w:rsidRDefault="00F53920" w:rsidP="00F53920">
      <w:pPr>
        <w:pStyle w:val="ListParagraph"/>
        <w:spacing w:after="0" w:line="480" w:lineRule="auto"/>
        <w:jc w:val="both"/>
        <w:rPr>
          <w:rFonts w:ascii="Arial" w:hAnsi="Arial" w:cs="Arial"/>
          <w:sz w:val="24"/>
          <w:szCs w:val="24"/>
        </w:rPr>
      </w:pPr>
    </w:p>
    <w:p w:rsidR="00AF2318" w:rsidRDefault="00AF2318" w:rsidP="00AB14CF">
      <w:pPr>
        <w:pStyle w:val="ListParagraph"/>
        <w:numPr>
          <w:ilvl w:val="0"/>
          <w:numId w:val="14"/>
        </w:numPr>
        <w:spacing w:after="0" w:line="480" w:lineRule="auto"/>
        <w:ind w:left="1418" w:hanging="698"/>
        <w:jc w:val="both"/>
        <w:rPr>
          <w:rFonts w:ascii="Arial" w:hAnsi="Arial" w:cs="Arial"/>
          <w:sz w:val="24"/>
          <w:szCs w:val="24"/>
        </w:rPr>
      </w:pPr>
      <w:r w:rsidRPr="00F53920">
        <w:rPr>
          <w:rFonts w:ascii="Arial" w:hAnsi="Arial" w:cs="Arial"/>
          <w:sz w:val="24"/>
          <w:szCs w:val="24"/>
        </w:rPr>
        <w:t xml:space="preserve">Sadino then entered into an agreement with three of its Angolan clients, in terms whereof it was agreed that the clients would pay the purchase price for Sadino’s fish in Namibia instead of paying same into Angolan banks; and that the money would be paid to the representatives of the Spanish companies being Mr Martinez and Mr </w:t>
      </w:r>
      <w:r w:rsidRPr="00F53920">
        <w:rPr>
          <w:rFonts w:ascii="Arial" w:hAnsi="Arial" w:cs="Arial"/>
          <w:sz w:val="24"/>
          <w:szCs w:val="24"/>
        </w:rPr>
        <w:lastRenderedPageBreak/>
        <w:t>Maqueira. The directors would in turn deposit the money into the CFC account, from which it would be transferred to Fish Spain.</w:t>
      </w:r>
    </w:p>
    <w:p w:rsidR="00F53920" w:rsidRPr="00F53920" w:rsidRDefault="00F53920" w:rsidP="00F53920">
      <w:pPr>
        <w:pStyle w:val="ListParagraph"/>
        <w:spacing w:after="0" w:line="480" w:lineRule="auto"/>
        <w:jc w:val="both"/>
        <w:rPr>
          <w:rFonts w:ascii="Arial" w:hAnsi="Arial" w:cs="Arial"/>
          <w:sz w:val="24"/>
          <w:szCs w:val="24"/>
        </w:rPr>
      </w:pPr>
    </w:p>
    <w:p w:rsidR="00AF2318" w:rsidRDefault="00AF2318" w:rsidP="00AB14CF">
      <w:pPr>
        <w:pStyle w:val="ListParagraph"/>
        <w:numPr>
          <w:ilvl w:val="0"/>
          <w:numId w:val="14"/>
        </w:numPr>
        <w:spacing w:after="0" w:line="480" w:lineRule="auto"/>
        <w:ind w:left="1418" w:hanging="698"/>
        <w:jc w:val="both"/>
        <w:rPr>
          <w:rFonts w:ascii="Arial" w:hAnsi="Arial" w:cs="Arial"/>
          <w:sz w:val="24"/>
          <w:szCs w:val="24"/>
        </w:rPr>
      </w:pPr>
      <w:r w:rsidRPr="00F53920">
        <w:rPr>
          <w:rFonts w:ascii="Arial" w:hAnsi="Arial" w:cs="Arial"/>
          <w:sz w:val="24"/>
          <w:szCs w:val="24"/>
        </w:rPr>
        <w:t>Pursuant to the agreement, a client of Sadino, one Raimando Domingos, paid the sum of USD59</w:t>
      </w:r>
      <w:r w:rsidR="00923C9A">
        <w:rPr>
          <w:rFonts w:ascii="Arial" w:hAnsi="Arial" w:cs="Arial"/>
          <w:sz w:val="24"/>
          <w:szCs w:val="24"/>
        </w:rPr>
        <w:t xml:space="preserve"> </w:t>
      </w:r>
      <w:r w:rsidRPr="00F53920">
        <w:rPr>
          <w:rFonts w:ascii="Arial" w:hAnsi="Arial" w:cs="Arial"/>
          <w:sz w:val="24"/>
          <w:szCs w:val="24"/>
        </w:rPr>
        <w:t>400</w:t>
      </w:r>
      <w:r w:rsidR="00F64B93" w:rsidRPr="00F53920">
        <w:rPr>
          <w:rFonts w:ascii="Arial" w:hAnsi="Arial" w:cs="Arial"/>
          <w:sz w:val="24"/>
          <w:szCs w:val="24"/>
        </w:rPr>
        <w:t xml:space="preserve"> to Mr Martinez, which amount he in turn deposited into the CFC account on 16 November 2016. This money was transferred by Bank Windhoek to Spain without any problem.</w:t>
      </w:r>
    </w:p>
    <w:p w:rsidR="00F53920" w:rsidRPr="00F53920" w:rsidRDefault="00F53920" w:rsidP="00F53920">
      <w:pPr>
        <w:pStyle w:val="ListParagraph"/>
        <w:spacing w:after="0" w:line="480" w:lineRule="auto"/>
        <w:jc w:val="both"/>
        <w:rPr>
          <w:rFonts w:ascii="Arial" w:hAnsi="Arial" w:cs="Arial"/>
          <w:sz w:val="24"/>
          <w:szCs w:val="24"/>
        </w:rPr>
      </w:pPr>
    </w:p>
    <w:p w:rsidR="00F64B93" w:rsidRDefault="00F64B93" w:rsidP="00AB14CF">
      <w:pPr>
        <w:pStyle w:val="ListParagraph"/>
        <w:numPr>
          <w:ilvl w:val="0"/>
          <w:numId w:val="14"/>
        </w:numPr>
        <w:spacing w:after="0" w:line="480" w:lineRule="auto"/>
        <w:ind w:left="1418" w:hanging="698"/>
        <w:jc w:val="both"/>
        <w:rPr>
          <w:rFonts w:ascii="Arial" w:hAnsi="Arial" w:cs="Arial"/>
          <w:sz w:val="24"/>
          <w:szCs w:val="24"/>
        </w:rPr>
      </w:pPr>
      <w:r w:rsidRPr="00F53920">
        <w:rPr>
          <w:rFonts w:ascii="Arial" w:hAnsi="Arial" w:cs="Arial"/>
          <w:sz w:val="24"/>
          <w:szCs w:val="24"/>
        </w:rPr>
        <w:t>Thereafter</w:t>
      </w:r>
      <w:r w:rsidR="00AF2414" w:rsidRPr="00F53920">
        <w:rPr>
          <w:rFonts w:ascii="Arial" w:hAnsi="Arial" w:cs="Arial"/>
          <w:sz w:val="24"/>
          <w:szCs w:val="24"/>
        </w:rPr>
        <w:t>,</w:t>
      </w:r>
      <w:r w:rsidRPr="00F53920">
        <w:rPr>
          <w:rFonts w:ascii="Arial" w:hAnsi="Arial" w:cs="Arial"/>
          <w:sz w:val="24"/>
          <w:szCs w:val="24"/>
        </w:rPr>
        <w:t xml:space="preserve"> on 17 November 2016</w:t>
      </w:r>
      <w:r w:rsidR="00AF2414" w:rsidRPr="00F53920">
        <w:rPr>
          <w:rFonts w:ascii="Arial" w:hAnsi="Arial" w:cs="Arial"/>
          <w:sz w:val="24"/>
          <w:szCs w:val="24"/>
        </w:rPr>
        <w:t>,</w:t>
      </w:r>
      <w:r w:rsidRPr="00F53920">
        <w:rPr>
          <w:rFonts w:ascii="Arial" w:hAnsi="Arial" w:cs="Arial"/>
          <w:sz w:val="24"/>
          <w:szCs w:val="24"/>
        </w:rPr>
        <w:t xml:space="preserve"> Mr Martinez deposited the total sum of USD</w:t>
      </w:r>
      <w:r w:rsidR="00923C9A">
        <w:rPr>
          <w:rFonts w:ascii="Arial" w:hAnsi="Arial" w:cs="Arial"/>
          <w:sz w:val="24"/>
          <w:szCs w:val="24"/>
        </w:rPr>
        <w:t xml:space="preserve">905 </w:t>
      </w:r>
      <w:r w:rsidRPr="00F53920">
        <w:rPr>
          <w:rFonts w:ascii="Arial" w:hAnsi="Arial" w:cs="Arial"/>
          <w:sz w:val="24"/>
          <w:szCs w:val="24"/>
        </w:rPr>
        <w:t>780 into the CFC account. The amount was made up of two payments received from Sadino’s clients.</w:t>
      </w:r>
      <w:r w:rsidR="00922C96" w:rsidRPr="00F53920">
        <w:rPr>
          <w:rFonts w:ascii="Arial" w:hAnsi="Arial" w:cs="Arial"/>
          <w:sz w:val="24"/>
          <w:szCs w:val="24"/>
        </w:rPr>
        <w:t xml:space="preserve"> A sum of USD499</w:t>
      </w:r>
      <w:r w:rsidR="00923C9A">
        <w:rPr>
          <w:rFonts w:ascii="Arial" w:hAnsi="Arial" w:cs="Arial"/>
          <w:sz w:val="24"/>
          <w:szCs w:val="24"/>
        </w:rPr>
        <w:t xml:space="preserve"> </w:t>
      </w:r>
      <w:r w:rsidR="00922C96" w:rsidRPr="00F53920">
        <w:rPr>
          <w:rFonts w:ascii="Arial" w:hAnsi="Arial" w:cs="Arial"/>
          <w:sz w:val="24"/>
          <w:szCs w:val="24"/>
        </w:rPr>
        <w:t>512 received from one Mrs Rosa Tangui Tandi and another sum of USD500</w:t>
      </w:r>
      <w:r w:rsidR="00923C9A">
        <w:rPr>
          <w:rFonts w:ascii="Arial" w:hAnsi="Arial" w:cs="Arial"/>
          <w:sz w:val="24"/>
          <w:szCs w:val="24"/>
        </w:rPr>
        <w:t xml:space="preserve"> </w:t>
      </w:r>
      <w:r w:rsidR="00922C96" w:rsidRPr="00F53920">
        <w:rPr>
          <w:rFonts w:ascii="Arial" w:hAnsi="Arial" w:cs="Arial"/>
          <w:sz w:val="24"/>
          <w:szCs w:val="24"/>
        </w:rPr>
        <w:t>014 received from one Mr Candido. Of that amount, Bank Windhoek charged one percent commission equal to USD9</w:t>
      </w:r>
      <w:r w:rsidR="00DD6D9F">
        <w:rPr>
          <w:rFonts w:ascii="Arial" w:hAnsi="Arial" w:cs="Arial"/>
          <w:sz w:val="24"/>
          <w:szCs w:val="24"/>
        </w:rPr>
        <w:t> </w:t>
      </w:r>
      <w:r w:rsidR="00922C96" w:rsidRPr="00F53920">
        <w:rPr>
          <w:rFonts w:ascii="Arial" w:hAnsi="Arial" w:cs="Arial"/>
          <w:sz w:val="24"/>
          <w:szCs w:val="24"/>
        </w:rPr>
        <w:t>057</w:t>
      </w:r>
      <w:r w:rsidR="00DD6D9F">
        <w:rPr>
          <w:rFonts w:ascii="Arial" w:hAnsi="Arial" w:cs="Arial"/>
          <w:sz w:val="24"/>
          <w:szCs w:val="24"/>
        </w:rPr>
        <w:t xml:space="preserve"> </w:t>
      </w:r>
      <w:r w:rsidR="00922C96" w:rsidRPr="00F53920">
        <w:rPr>
          <w:rFonts w:ascii="Arial" w:hAnsi="Arial" w:cs="Arial"/>
          <w:sz w:val="24"/>
          <w:szCs w:val="24"/>
        </w:rPr>
        <w:t>80. Mr Martinez</w:t>
      </w:r>
      <w:r w:rsidR="00AF2414" w:rsidRPr="00F53920">
        <w:rPr>
          <w:rFonts w:ascii="Arial" w:hAnsi="Arial" w:cs="Arial"/>
          <w:sz w:val="24"/>
          <w:szCs w:val="24"/>
        </w:rPr>
        <w:t xml:space="preserve"> then decided to retain USD</w:t>
      </w:r>
      <w:r w:rsidR="00923C9A">
        <w:rPr>
          <w:rFonts w:ascii="Arial" w:hAnsi="Arial" w:cs="Arial"/>
          <w:sz w:val="24"/>
          <w:szCs w:val="24"/>
        </w:rPr>
        <w:t xml:space="preserve">10 </w:t>
      </w:r>
      <w:r w:rsidR="00922C96" w:rsidRPr="00F53920">
        <w:rPr>
          <w:rFonts w:ascii="Arial" w:hAnsi="Arial" w:cs="Arial"/>
          <w:sz w:val="24"/>
          <w:szCs w:val="24"/>
        </w:rPr>
        <w:t>000 in the a</w:t>
      </w:r>
      <w:r w:rsidR="00F705AB" w:rsidRPr="00F53920">
        <w:rPr>
          <w:rFonts w:ascii="Arial" w:hAnsi="Arial" w:cs="Arial"/>
          <w:sz w:val="24"/>
          <w:szCs w:val="24"/>
        </w:rPr>
        <w:t>ccoun</w:t>
      </w:r>
      <w:r w:rsidR="00922C96" w:rsidRPr="00F53920">
        <w:rPr>
          <w:rFonts w:ascii="Arial" w:hAnsi="Arial" w:cs="Arial"/>
          <w:sz w:val="24"/>
          <w:szCs w:val="24"/>
        </w:rPr>
        <w:t>t for incidentals and instructed Bank Windhoek to transfer USD886</w:t>
      </w:r>
      <w:r w:rsidR="00DD6D9F">
        <w:rPr>
          <w:rFonts w:ascii="Arial" w:hAnsi="Arial" w:cs="Arial"/>
          <w:sz w:val="24"/>
          <w:szCs w:val="24"/>
        </w:rPr>
        <w:t> </w:t>
      </w:r>
      <w:r w:rsidR="00922C96" w:rsidRPr="00F53920">
        <w:rPr>
          <w:rFonts w:ascii="Arial" w:hAnsi="Arial" w:cs="Arial"/>
          <w:sz w:val="24"/>
          <w:szCs w:val="24"/>
        </w:rPr>
        <w:t>722</w:t>
      </w:r>
      <w:r w:rsidR="00DD6D9F">
        <w:rPr>
          <w:rFonts w:ascii="Arial" w:hAnsi="Arial" w:cs="Arial"/>
          <w:sz w:val="24"/>
          <w:szCs w:val="24"/>
        </w:rPr>
        <w:t>,</w:t>
      </w:r>
      <w:r w:rsidR="00922C96" w:rsidRPr="00F53920">
        <w:rPr>
          <w:rFonts w:ascii="Arial" w:hAnsi="Arial" w:cs="Arial"/>
          <w:sz w:val="24"/>
          <w:szCs w:val="24"/>
        </w:rPr>
        <w:t>20 to Fish Spain’s bank account in Spain.</w:t>
      </w:r>
    </w:p>
    <w:p w:rsidR="00F53920" w:rsidRPr="00F53920" w:rsidRDefault="00F53920" w:rsidP="00F53920">
      <w:pPr>
        <w:pStyle w:val="ListParagraph"/>
        <w:spacing w:after="0" w:line="480" w:lineRule="auto"/>
        <w:jc w:val="both"/>
        <w:rPr>
          <w:rFonts w:ascii="Arial" w:hAnsi="Arial" w:cs="Arial"/>
          <w:sz w:val="24"/>
          <w:szCs w:val="24"/>
        </w:rPr>
      </w:pPr>
    </w:p>
    <w:p w:rsidR="00922C96" w:rsidRDefault="00922C96" w:rsidP="00AB14CF">
      <w:pPr>
        <w:pStyle w:val="ListParagraph"/>
        <w:numPr>
          <w:ilvl w:val="0"/>
          <w:numId w:val="14"/>
        </w:numPr>
        <w:spacing w:after="0" w:line="480" w:lineRule="auto"/>
        <w:ind w:left="1418" w:hanging="698"/>
        <w:jc w:val="both"/>
        <w:rPr>
          <w:rFonts w:ascii="Arial" w:hAnsi="Arial" w:cs="Arial"/>
          <w:sz w:val="24"/>
          <w:szCs w:val="24"/>
        </w:rPr>
      </w:pPr>
      <w:r w:rsidRPr="00F53920">
        <w:rPr>
          <w:rFonts w:ascii="Arial" w:hAnsi="Arial" w:cs="Arial"/>
          <w:sz w:val="24"/>
          <w:szCs w:val="24"/>
        </w:rPr>
        <w:t>Thereafter</w:t>
      </w:r>
      <w:r w:rsidR="00AF2414" w:rsidRPr="00F53920">
        <w:rPr>
          <w:rFonts w:ascii="Arial" w:hAnsi="Arial" w:cs="Arial"/>
          <w:sz w:val="24"/>
          <w:szCs w:val="24"/>
        </w:rPr>
        <w:t>,</w:t>
      </w:r>
      <w:r w:rsidRPr="00F53920">
        <w:rPr>
          <w:rFonts w:ascii="Arial" w:hAnsi="Arial" w:cs="Arial"/>
          <w:sz w:val="24"/>
          <w:szCs w:val="24"/>
        </w:rPr>
        <w:t xml:space="preserve"> on 19 November 2016 Bank Windhoek informed Mr Ma</w:t>
      </w:r>
      <w:r w:rsidR="00DD6D9F">
        <w:rPr>
          <w:rFonts w:ascii="Arial" w:hAnsi="Arial" w:cs="Arial"/>
          <w:sz w:val="24"/>
          <w:szCs w:val="24"/>
        </w:rPr>
        <w:t>rtinez that the transfer of USD886 </w:t>
      </w:r>
      <w:r w:rsidRPr="00F53920">
        <w:rPr>
          <w:rFonts w:ascii="Arial" w:hAnsi="Arial" w:cs="Arial"/>
          <w:sz w:val="24"/>
          <w:szCs w:val="24"/>
        </w:rPr>
        <w:t>722</w:t>
      </w:r>
      <w:r w:rsidR="00DD6D9F">
        <w:rPr>
          <w:rFonts w:ascii="Arial" w:hAnsi="Arial" w:cs="Arial"/>
          <w:sz w:val="24"/>
          <w:szCs w:val="24"/>
        </w:rPr>
        <w:t>,</w:t>
      </w:r>
      <w:r w:rsidRPr="00F53920">
        <w:rPr>
          <w:rFonts w:ascii="Arial" w:hAnsi="Arial" w:cs="Arial"/>
          <w:sz w:val="24"/>
          <w:szCs w:val="24"/>
        </w:rPr>
        <w:t>20 had been blocked by the compliance department of Bank Windhoek.</w:t>
      </w:r>
    </w:p>
    <w:p w:rsidR="00605DFA" w:rsidRDefault="00605DFA" w:rsidP="00605DFA">
      <w:pPr>
        <w:pStyle w:val="ListParagraph"/>
        <w:spacing w:after="0" w:line="480" w:lineRule="auto"/>
        <w:jc w:val="both"/>
        <w:rPr>
          <w:rFonts w:ascii="Arial" w:hAnsi="Arial" w:cs="Arial"/>
          <w:sz w:val="24"/>
          <w:szCs w:val="24"/>
        </w:rPr>
      </w:pPr>
    </w:p>
    <w:p w:rsidR="006D4D8F" w:rsidRDefault="006D4D8F" w:rsidP="00605DFA">
      <w:pPr>
        <w:pStyle w:val="ListParagraph"/>
        <w:spacing w:after="0" w:line="480" w:lineRule="auto"/>
        <w:jc w:val="both"/>
        <w:rPr>
          <w:rFonts w:ascii="Arial" w:hAnsi="Arial" w:cs="Arial"/>
          <w:sz w:val="24"/>
          <w:szCs w:val="24"/>
        </w:rPr>
      </w:pPr>
    </w:p>
    <w:p w:rsidR="006D4D8F" w:rsidRDefault="006D4D8F" w:rsidP="00605DFA">
      <w:pPr>
        <w:pStyle w:val="ListParagraph"/>
        <w:spacing w:after="0" w:line="480" w:lineRule="auto"/>
        <w:jc w:val="both"/>
        <w:rPr>
          <w:rFonts w:ascii="Arial" w:hAnsi="Arial" w:cs="Arial"/>
          <w:sz w:val="24"/>
          <w:szCs w:val="24"/>
        </w:rPr>
      </w:pPr>
    </w:p>
    <w:p w:rsidR="00605DFA" w:rsidRDefault="00605DFA" w:rsidP="00AB14CF">
      <w:pPr>
        <w:pStyle w:val="ListParagraph"/>
        <w:spacing w:after="0" w:line="480" w:lineRule="auto"/>
        <w:ind w:left="1440" w:hanging="731"/>
        <w:jc w:val="both"/>
        <w:rPr>
          <w:rFonts w:ascii="Arial" w:hAnsi="Arial" w:cs="Arial"/>
          <w:sz w:val="24"/>
          <w:szCs w:val="24"/>
          <w:u w:val="single"/>
        </w:rPr>
      </w:pPr>
      <w:r w:rsidRPr="00276169">
        <w:rPr>
          <w:rFonts w:ascii="Arial" w:hAnsi="Arial" w:cs="Arial"/>
          <w:sz w:val="24"/>
          <w:szCs w:val="24"/>
          <w:u w:val="single"/>
        </w:rPr>
        <w:lastRenderedPageBreak/>
        <w:t>POCA 1/2017 application</w:t>
      </w:r>
    </w:p>
    <w:p w:rsidR="00922C96" w:rsidRDefault="00922C96" w:rsidP="00AB14CF">
      <w:pPr>
        <w:pStyle w:val="ListParagraph"/>
        <w:numPr>
          <w:ilvl w:val="0"/>
          <w:numId w:val="14"/>
        </w:numPr>
        <w:spacing w:after="0" w:line="480" w:lineRule="auto"/>
        <w:ind w:left="1418" w:hanging="698"/>
        <w:jc w:val="both"/>
        <w:rPr>
          <w:rFonts w:ascii="Arial" w:hAnsi="Arial" w:cs="Arial"/>
          <w:sz w:val="24"/>
          <w:szCs w:val="24"/>
        </w:rPr>
      </w:pPr>
      <w:r w:rsidRPr="00605DFA">
        <w:rPr>
          <w:rFonts w:ascii="Arial" w:hAnsi="Arial" w:cs="Arial"/>
          <w:sz w:val="24"/>
          <w:szCs w:val="24"/>
        </w:rPr>
        <w:t>On 4 January 2017</w:t>
      </w:r>
      <w:r w:rsidR="00AF2414" w:rsidRPr="00605DFA">
        <w:rPr>
          <w:rFonts w:ascii="Arial" w:hAnsi="Arial" w:cs="Arial"/>
          <w:sz w:val="24"/>
          <w:szCs w:val="24"/>
        </w:rPr>
        <w:t>,</w:t>
      </w:r>
      <w:r w:rsidRPr="00605DFA">
        <w:rPr>
          <w:rFonts w:ascii="Arial" w:hAnsi="Arial" w:cs="Arial"/>
          <w:sz w:val="24"/>
          <w:szCs w:val="24"/>
        </w:rPr>
        <w:t xml:space="preserve"> appellant filled an urgent </w:t>
      </w:r>
      <w:r w:rsidRPr="00605DFA">
        <w:rPr>
          <w:rFonts w:ascii="Arial" w:hAnsi="Arial" w:cs="Arial"/>
          <w:i/>
          <w:sz w:val="24"/>
          <w:szCs w:val="24"/>
        </w:rPr>
        <w:t xml:space="preserve">ex parte </w:t>
      </w:r>
      <w:r w:rsidRPr="00605DFA">
        <w:rPr>
          <w:rFonts w:ascii="Arial" w:hAnsi="Arial" w:cs="Arial"/>
          <w:sz w:val="24"/>
          <w:szCs w:val="24"/>
        </w:rPr>
        <w:t>application which was set down for hearing on 5 January 2017 in which she sought a preservation of property order the property being the positive balance of USD886</w:t>
      </w:r>
      <w:r w:rsidR="00D24729">
        <w:rPr>
          <w:rFonts w:ascii="Arial" w:hAnsi="Arial" w:cs="Arial"/>
          <w:sz w:val="24"/>
          <w:szCs w:val="24"/>
        </w:rPr>
        <w:t> </w:t>
      </w:r>
      <w:r w:rsidRPr="00605DFA">
        <w:rPr>
          <w:rFonts w:ascii="Arial" w:hAnsi="Arial" w:cs="Arial"/>
          <w:sz w:val="24"/>
          <w:szCs w:val="24"/>
        </w:rPr>
        <w:t>722</w:t>
      </w:r>
      <w:r w:rsidR="00D24729">
        <w:rPr>
          <w:rFonts w:ascii="Arial" w:hAnsi="Arial" w:cs="Arial"/>
          <w:sz w:val="24"/>
          <w:szCs w:val="24"/>
        </w:rPr>
        <w:t>,</w:t>
      </w:r>
      <w:r w:rsidRPr="00605DFA">
        <w:rPr>
          <w:rFonts w:ascii="Arial" w:hAnsi="Arial" w:cs="Arial"/>
          <w:sz w:val="24"/>
          <w:szCs w:val="24"/>
        </w:rPr>
        <w:t>20 in the CFC account of first respondent held at Bank Windhoek. The application served before Angula DJP. Having considered the papers filed of record and having heard counsel’s submissions, the DJP issued the preservation of property order on 5 January 2017.</w:t>
      </w:r>
    </w:p>
    <w:p w:rsidR="007521C4" w:rsidRDefault="007521C4" w:rsidP="007521C4">
      <w:pPr>
        <w:pStyle w:val="ListParagraph"/>
        <w:spacing w:after="0" w:line="480" w:lineRule="auto"/>
        <w:ind w:left="1080"/>
        <w:jc w:val="both"/>
        <w:rPr>
          <w:rFonts w:ascii="Arial" w:hAnsi="Arial" w:cs="Arial"/>
          <w:sz w:val="24"/>
          <w:szCs w:val="24"/>
        </w:rPr>
      </w:pPr>
    </w:p>
    <w:p w:rsidR="00922C96" w:rsidRDefault="00922C96"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t xml:space="preserve">The facts relied upon by the appellant in that application the DJP briefly summarised as follows: The positive balance in the CFC account held at Bank Windhoek </w:t>
      </w:r>
      <w:r w:rsidR="009A7E63" w:rsidRPr="007521C4">
        <w:rPr>
          <w:rFonts w:ascii="Arial" w:hAnsi="Arial" w:cs="Arial"/>
          <w:sz w:val="24"/>
          <w:szCs w:val="24"/>
        </w:rPr>
        <w:t>in the name of first respondent are the proceeds of unlawful activities, namely contravention of s</w:t>
      </w:r>
      <w:r w:rsidR="00603763" w:rsidRPr="007521C4">
        <w:rPr>
          <w:rFonts w:ascii="Arial" w:hAnsi="Arial" w:cs="Arial"/>
          <w:sz w:val="24"/>
          <w:szCs w:val="24"/>
        </w:rPr>
        <w:t xml:space="preserve"> </w:t>
      </w:r>
      <w:r w:rsidR="009A7E63" w:rsidRPr="007521C4">
        <w:rPr>
          <w:rFonts w:ascii="Arial" w:hAnsi="Arial" w:cs="Arial"/>
          <w:sz w:val="24"/>
          <w:szCs w:val="24"/>
        </w:rPr>
        <w:t xml:space="preserve">36(1) of the Financial Intelligence Act, </w:t>
      </w:r>
      <w:r w:rsidR="00BD2E30" w:rsidRPr="007521C4">
        <w:rPr>
          <w:rFonts w:ascii="Arial" w:hAnsi="Arial" w:cs="Arial"/>
          <w:sz w:val="24"/>
          <w:szCs w:val="24"/>
        </w:rPr>
        <w:t>1</w:t>
      </w:r>
      <w:r w:rsidR="009A7E63" w:rsidRPr="007521C4">
        <w:rPr>
          <w:rFonts w:ascii="Arial" w:hAnsi="Arial" w:cs="Arial"/>
          <w:sz w:val="24"/>
          <w:szCs w:val="24"/>
        </w:rPr>
        <w:t>3 of 2012 (the FIA), in that the Financial Intelligence Centre (FIC) ha</w:t>
      </w:r>
      <w:r w:rsidR="00566D0F" w:rsidRPr="007521C4">
        <w:rPr>
          <w:rFonts w:ascii="Arial" w:hAnsi="Arial" w:cs="Arial"/>
          <w:sz w:val="24"/>
          <w:szCs w:val="24"/>
        </w:rPr>
        <w:t>d</w:t>
      </w:r>
      <w:r w:rsidR="009A7E63" w:rsidRPr="007521C4">
        <w:rPr>
          <w:rFonts w:ascii="Arial" w:hAnsi="Arial" w:cs="Arial"/>
          <w:sz w:val="24"/>
          <w:szCs w:val="24"/>
        </w:rPr>
        <w:t xml:space="preserve"> made</w:t>
      </w:r>
      <w:r w:rsidR="00B62BF2" w:rsidRPr="007521C4">
        <w:rPr>
          <w:rFonts w:ascii="Arial" w:hAnsi="Arial" w:cs="Arial"/>
          <w:sz w:val="24"/>
          <w:szCs w:val="24"/>
        </w:rPr>
        <w:t xml:space="preserve"> a Determination No 3 of 2016 (the Determination) which stipulate</w:t>
      </w:r>
      <w:r w:rsidR="00566D0F" w:rsidRPr="007521C4">
        <w:rPr>
          <w:rFonts w:ascii="Arial" w:hAnsi="Arial" w:cs="Arial"/>
          <w:sz w:val="24"/>
          <w:szCs w:val="24"/>
        </w:rPr>
        <w:t>d</w:t>
      </w:r>
      <w:r w:rsidR="00B62BF2" w:rsidRPr="007521C4">
        <w:rPr>
          <w:rFonts w:ascii="Arial" w:hAnsi="Arial" w:cs="Arial"/>
          <w:sz w:val="24"/>
          <w:szCs w:val="24"/>
        </w:rPr>
        <w:t xml:space="preserve"> that any mone</w:t>
      </w:r>
      <w:r w:rsidR="00D24729">
        <w:rPr>
          <w:rFonts w:ascii="Arial" w:hAnsi="Arial" w:cs="Arial"/>
          <w:sz w:val="24"/>
          <w:szCs w:val="24"/>
        </w:rPr>
        <w:t xml:space="preserve">y in excess of the sum of N$100 </w:t>
      </w:r>
      <w:r w:rsidR="00B62BF2" w:rsidRPr="007521C4">
        <w:rPr>
          <w:rFonts w:ascii="Arial" w:hAnsi="Arial" w:cs="Arial"/>
          <w:sz w:val="24"/>
          <w:szCs w:val="24"/>
        </w:rPr>
        <w:t>000 must be declared to an officer of Customs and Excise at the port of entry into or at the port of departure from Namibia. In that connection, the appellant contended that first respondent had contravened the provisions of s 36 when it received the cash amounts of USD59</w:t>
      </w:r>
      <w:r w:rsidR="00D24729">
        <w:rPr>
          <w:rFonts w:ascii="Arial" w:hAnsi="Arial" w:cs="Arial"/>
          <w:sz w:val="24"/>
          <w:szCs w:val="24"/>
        </w:rPr>
        <w:t xml:space="preserve"> </w:t>
      </w:r>
      <w:r w:rsidR="00B62BF2" w:rsidRPr="007521C4">
        <w:rPr>
          <w:rFonts w:ascii="Arial" w:hAnsi="Arial" w:cs="Arial"/>
          <w:sz w:val="24"/>
          <w:szCs w:val="24"/>
        </w:rPr>
        <w:t>400 and USD</w:t>
      </w:r>
      <w:r w:rsidR="00D24729">
        <w:rPr>
          <w:rFonts w:ascii="Arial" w:hAnsi="Arial" w:cs="Arial"/>
          <w:sz w:val="24"/>
          <w:szCs w:val="24"/>
        </w:rPr>
        <w:t xml:space="preserve">9 </w:t>
      </w:r>
      <w:r w:rsidR="00B62BF2" w:rsidRPr="007521C4">
        <w:rPr>
          <w:rFonts w:ascii="Arial" w:hAnsi="Arial" w:cs="Arial"/>
          <w:sz w:val="24"/>
          <w:szCs w:val="24"/>
        </w:rPr>
        <w:t>057</w:t>
      </w:r>
      <w:r w:rsidR="00566D0F" w:rsidRPr="007521C4">
        <w:rPr>
          <w:rFonts w:ascii="Arial" w:hAnsi="Arial" w:cs="Arial"/>
          <w:sz w:val="24"/>
          <w:szCs w:val="24"/>
        </w:rPr>
        <w:t>,</w:t>
      </w:r>
      <w:r w:rsidR="00B62BF2" w:rsidRPr="007521C4">
        <w:rPr>
          <w:rFonts w:ascii="Arial" w:hAnsi="Arial" w:cs="Arial"/>
          <w:sz w:val="24"/>
          <w:szCs w:val="24"/>
        </w:rPr>
        <w:t xml:space="preserve">80. The appellant further pointed out that the Director of Customs and Excise had no record of any declaration made either in the name of first respondent or the directors; and that the money was acquired from Angolan nationals. Accordingly, </w:t>
      </w:r>
      <w:r w:rsidR="00B62BF2" w:rsidRPr="007521C4">
        <w:rPr>
          <w:rFonts w:ascii="Arial" w:hAnsi="Arial" w:cs="Arial"/>
          <w:sz w:val="24"/>
          <w:szCs w:val="24"/>
        </w:rPr>
        <w:lastRenderedPageBreak/>
        <w:t>the appellant</w:t>
      </w:r>
      <w:r w:rsidR="00603763" w:rsidRPr="007521C4">
        <w:rPr>
          <w:rFonts w:ascii="Arial" w:hAnsi="Arial" w:cs="Arial"/>
          <w:sz w:val="24"/>
          <w:szCs w:val="24"/>
        </w:rPr>
        <w:t xml:space="preserve"> alleged that first respondent had committed an act of money laundering in contravention of s 4</w:t>
      </w:r>
      <w:r w:rsidR="00B62BF2" w:rsidRPr="007521C4">
        <w:rPr>
          <w:rFonts w:ascii="Arial" w:hAnsi="Arial" w:cs="Arial"/>
          <w:sz w:val="24"/>
          <w:szCs w:val="24"/>
        </w:rPr>
        <w:t xml:space="preserve"> of the Prevention of Organised Crime Act, 29 of 2004, (the POCA</w:t>
      </w:r>
      <w:r w:rsidR="00F705AB" w:rsidRPr="007521C4">
        <w:rPr>
          <w:rFonts w:ascii="Arial" w:hAnsi="Arial" w:cs="Arial"/>
          <w:sz w:val="24"/>
          <w:szCs w:val="24"/>
        </w:rPr>
        <w:t xml:space="preserve">) (the </w:t>
      </w:r>
      <w:r w:rsidR="00B62BF2" w:rsidRPr="007521C4">
        <w:rPr>
          <w:rFonts w:ascii="Arial" w:hAnsi="Arial" w:cs="Arial"/>
          <w:sz w:val="24"/>
          <w:szCs w:val="24"/>
        </w:rPr>
        <w:t xml:space="preserve">Act) by depositing the money in the CFC account. Further, it was alleged, that Mr Martinez, who deposited the money in the CFC account, knew, or ought to have known, that the money was the proceeds of a contravention of s 36 of the FIA </w:t>
      </w:r>
      <w:r w:rsidR="0090427B" w:rsidRPr="007521C4">
        <w:rPr>
          <w:rFonts w:ascii="Arial" w:hAnsi="Arial" w:cs="Arial"/>
          <w:sz w:val="24"/>
          <w:szCs w:val="24"/>
        </w:rPr>
        <w:t>and finally, that the CFC account and the money in that account were instrumentality of the contravention of s 36 of the FIA</w:t>
      </w:r>
      <w:r w:rsidR="00177CAF" w:rsidRPr="007521C4">
        <w:rPr>
          <w:rFonts w:ascii="Arial" w:hAnsi="Arial" w:cs="Arial"/>
          <w:sz w:val="24"/>
          <w:szCs w:val="24"/>
        </w:rPr>
        <w:t>.</w:t>
      </w:r>
    </w:p>
    <w:p w:rsidR="007521C4" w:rsidRDefault="007521C4" w:rsidP="007521C4">
      <w:pPr>
        <w:pStyle w:val="ListParagraph"/>
        <w:spacing w:after="0" w:line="480" w:lineRule="auto"/>
        <w:ind w:left="1080"/>
        <w:jc w:val="both"/>
        <w:rPr>
          <w:rFonts w:ascii="Arial" w:hAnsi="Arial" w:cs="Arial"/>
          <w:sz w:val="24"/>
          <w:szCs w:val="24"/>
        </w:rPr>
      </w:pPr>
    </w:p>
    <w:p w:rsidR="00177CAF" w:rsidRDefault="00177CAF"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t>On 10 February 2017, the respondents filed a notice to oppose the preservation order in terms of s 51 of the Act. Mr Maqueira deposed to the main opposing affidavit.</w:t>
      </w:r>
    </w:p>
    <w:p w:rsidR="007521C4" w:rsidRPr="007521C4" w:rsidRDefault="007521C4" w:rsidP="007521C4">
      <w:pPr>
        <w:pStyle w:val="ListParagraph"/>
        <w:spacing w:after="0" w:line="480" w:lineRule="auto"/>
        <w:jc w:val="both"/>
        <w:rPr>
          <w:rFonts w:ascii="Arial" w:hAnsi="Arial" w:cs="Arial"/>
          <w:sz w:val="24"/>
          <w:szCs w:val="24"/>
        </w:rPr>
      </w:pPr>
    </w:p>
    <w:p w:rsidR="00177CAF" w:rsidRDefault="00177CAF"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t>On 28 April 2017, the appellant through the Government Attorney</w:t>
      </w:r>
      <w:r w:rsidR="0090427B" w:rsidRPr="007521C4">
        <w:rPr>
          <w:rFonts w:ascii="Arial" w:hAnsi="Arial" w:cs="Arial"/>
          <w:sz w:val="24"/>
          <w:szCs w:val="24"/>
        </w:rPr>
        <w:t>s</w:t>
      </w:r>
      <w:r w:rsidRPr="007521C4">
        <w:rPr>
          <w:rFonts w:ascii="Arial" w:hAnsi="Arial" w:cs="Arial"/>
          <w:sz w:val="24"/>
          <w:szCs w:val="24"/>
        </w:rPr>
        <w:t xml:space="preserve">, sent a letter to respondents’ legal practitioners in which she conceded that she would not be able to obtain </w:t>
      </w:r>
      <w:r w:rsidR="001D4E03" w:rsidRPr="007521C4">
        <w:rPr>
          <w:rFonts w:ascii="Arial" w:hAnsi="Arial" w:cs="Arial"/>
          <w:sz w:val="24"/>
          <w:szCs w:val="24"/>
        </w:rPr>
        <w:t>a forfeiture order in respect of the money in the CFC account. According to the appellant</w:t>
      </w:r>
      <w:r w:rsidR="00BD2E30" w:rsidRPr="007521C4">
        <w:rPr>
          <w:rFonts w:ascii="Arial" w:hAnsi="Arial" w:cs="Arial"/>
          <w:sz w:val="24"/>
          <w:szCs w:val="24"/>
        </w:rPr>
        <w:t>,</w:t>
      </w:r>
      <w:r w:rsidR="0090427B" w:rsidRPr="007521C4">
        <w:rPr>
          <w:rFonts w:ascii="Arial" w:hAnsi="Arial" w:cs="Arial"/>
          <w:sz w:val="24"/>
          <w:szCs w:val="24"/>
        </w:rPr>
        <w:t xml:space="preserve"> it</w:t>
      </w:r>
      <w:r w:rsidR="001D4E03" w:rsidRPr="007521C4">
        <w:rPr>
          <w:rFonts w:ascii="Arial" w:hAnsi="Arial" w:cs="Arial"/>
          <w:sz w:val="24"/>
          <w:szCs w:val="24"/>
        </w:rPr>
        <w:t xml:space="preserve"> had ‘emerged’ and become common cause that the determination, purportedly issued in terms of s 36 of the FIA, had in fact not been issued or published in the Government Gazette</w:t>
      </w:r>
      <w:r w:rsidR="00DC636A" w:rsidRPr="007521C4">
        <w:rPr>
          <w:rFonts w:ascii="Arial" w:hAnsi="Arial" w:cs="Arial"/>
          <w:sz w:val="24"/>
          <w:szCs w:val="24"/>
        </w:rPr>
        <w:t>.</w:t>
      </w:r>
    </w:p>
    <w:p w:rsidR="007521C4" w:rsidRPr="007521C4" w:rsidRDefault="007521C4" w:rsidP="007521C4">
      <w:pPr>
        <w:pStyle w:val="ListParagraph"/>
        <w:spacing w:after="0" w:line="480" w:lineRule="auto"/>
        <w:jc w:val="both"/>
        <w:rPr>
          <w:rFonts w:ascii="Arial" w:hAnsi="Arial" w:cs="Arial"/>
          <w:sz w:val="24"/>
          <w:szCs w:val="24"/>
        </w:rPr>
      </w:pPr>
    </w:p>
    <w:p w:rsidR="00DC636A" w:rsidRDefault="00DC636A"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t>Thereafter</w:t>
      </w:r>
      <w:r w:rsidR="00BD2E30" w:rsidRPr="007521C4">
        <w:rPr>
          <w:rFonts w:ascii="Arial" w:hAnsi="Arial" w:cs="Arial"/>
          <w:sz w:val="24"/>
          <w:szCs w:val="24"/>
        </w:rPr>
        <w:t>,</w:t>
      </w:r>
      <w:r w:rsidRPr="007521C4">
        <w:rPr>
          <w:rFonts w:ascii="Arial" w:hAnsi="Arial" w:cs="Arial"/>
          <w:sz w:val="24"/>
          <w:szCs w:val="24"/>
        </w:rPr>
        <w:t xml:space="preserve"> the appellant decided to allow the preservation order to lapse by effluxion of time. On 20 May 2017, the preservation order </w:t>
      </w:r>
      <w:r w:rsidRPr="007521C4">
        <w:rPr>
          <w:rFonts w:ascii="Arial" w:hAnsi="Arial" w:cs="Arial"/>
          <w:sz w:val="24"/>
          <w:szCs w:val="24"/>
        </w:rPr>
        <w:lastRenderedPageBreak/>
        <w:t>lapsed after 120 days from the date it was published in the Government Gazette.</w:t>
      </w:r>
    </w:p>
    <w:p w:rsidR="007521C4" w:rsidRPr="007521C4" w:rsidRDefault="007521C4" w:rsidP="0008505C">
      <w:pPr>
        <w:pStyle w:val="ListParagraph"/>
        <w:spacing w:after="0" w:line="480" w:lineRule="auto"/>
        <w:jc w:val="both"/>
        <w:rPr>
          <w:rFonts w:ascii="Arial" w:hAnsi="Arial" w:cs="Arial"/>
          <w:sz w:val="24"/>
          <w:szCs w:val="24"/>
        </w:rPr>
      </w:pPr>
    </w:p>
    <w:p w:rsidR="00DC636A" w:rsidRDefault="00DC636A"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t>On 22 May 2017, the respondents’ legal practitioners sent a formal letter of demand to Bank Windhoek demanding that Bank Windhoek should release its funds, in the light of the fact that the preservation order which preserved the funds had lapsed.</w:t>
      </w:r>
    </w:p>
    <w:p w:rsidR="007521C4" w:rsidRDefault="007521C4" w:rsidP="007521C4">
      <w:pPr>
        <w:pStyle w:val="ListParagraph"/>
        <w:spacing w:after="0" w:line="480" w:lineRule="auto"/>
        <w:jc w:val="both"/>
        <w:rPr>
          <w:rFonts w:ascii="Arial" w:hAnsi="Arial" w:cs="Arial"/>
          <w:sz w:val="24"/>
          <w:szCs w:val="24"/>
        </w:rPr>
      </w:pPr>
    </w:p>
    <w:p w:rsidR="007521C4" w:rsidRPr="00276169" w:rsidRDefault="007521C4" w:rsidP="00AB14CF">
      <w:pPr>
        <w:pStyle w:val="ListParagraph"/>
        <w:spacing w:after="0" w:line="480" w:lineRule="auto"/>
        <w:ind w:left="1440" w:hanging="731"/>
        <w:jc w:val="both"/>
        <w:rPr>
          <w:rFonts w:ascii="Arial" w:hAnsi="Arial" w:cs="Arial"/>
          <w:sz w:val="24"/>
          <w:szCs w:val="24"/>
          <w:u w:val="single"/>
        </w:rPr>
      </w:pPr>
      <w:r w:rsidRPr="00276169">
        <w:rPr>
          <w:rFonts w:ascii="Arial" w:hAnsi="Arial" w:cs="Arial"/>
          <w:sz w:val="24"/>
          <w:szCs w:val="24"/>
          <w:u w:val="single"/>
        </w:rPr>
        <w:t>POCA 8/2017 application</w:t>
      </w:r>
    </w:p>
    <w:p w:rsidR="00DC636A" w:rsidRDefault="00DC636A"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t>On 24 May 2017, the appellant caused a fresh POCA application, POCA 8/2017</w:t>
      </w:r>
      <w:r w:rsidR="00BD2E30" w:rsidRPr="007521C4">
        <w:rPr>
          <w:rFonts w:ascii="Arial" w:hAnsi="Arial" w:cs="Arial"/>
          <w:sz w:val="24"/>
          <w:szCs w:val="24"/>
        </w:rPr>
        <w:t>,</w:t>
      </w:r>
      <w:r w:rsidRPr="007521C4">
        <w:rPr>
          <w:rFonts w:ascii="Arial" w:hAnsi="Arial" w:cs="Arial"/>
          <w:sz w:val="24"/>
          <w:szCs w:val="24"/>
        </w:rPr>
        <w:t xml:space="preserve"> for a preservation of property order to be issued and set it down for hearing on 26 May 2017. </w:t>
      </w:r>
      <w:r w:rsidR="00E87CF9" w:rsidRPr="007521C4">
        <w:rPr>
          <w:rFonts w:ascii="Arial" w:hAnsi="Arial" w:cs="Arial"/>
          <w:sz w:val="24"/>
          <w:szCs w:val="24"/>
        </w:rPr>
        <w:t xml:space="preserve">That application sought a second preservation of property order in respect of the same positive balance in first respondent’s CFC account. The application was again brought </w:t>
      </w:r>
      <w:r w:rsidR="00E87CF9" w:rsidRPr="007521C4">
        <w:rPr>
          <w:rFonts w:ascii="Arial" w:hAnsi="Arial" w:cs="Arial"/>
          <w:i/>
          <w:sz w:val="24"/>
          <w:szCs w:val="24"/>
        </w:rPr>
        <w:t>ex parte</w:t>
      </w:r>
      <w:r w:rsidR="00E87CF9" w:rsidRPr="007521C4">
        <w:rPr>
          <w:rFonts w:ascii="Arial" w:hAnsi="Arial" w:cs="Arial"/>
          <w:sz w:val="24"/>
          <w:szCs w:val="24"/>
        </w:rPr>
        <w:t>, notwithstanding the fact that the respondents had given notice of their intention to oppose the first lapsed preservation of property order. It needs mentioning that, according to the papers that application was also brought in camera. Whether the application was indeed moved in camera is not possible to establish.</w:t>
      </w:r>
    </w:p>
    <w:p w:rsidR="007521C4" w:rsidRDefault="007521C4" w:rsidP="007521C4">
      <w:pPr>
        <w:pStyle w:val="ListParagraph"/>
        <w:spacing w:after="0" w:line="480" w:lineRule="auto"/>
        <w:ind w:left="1080"/>
        <w:jc w:val="both"/>
        <w:rPr>
          <w:rFonts w:ascii="Arial" w:hAnsi="Arial" w:cs="Arial"/>
          <w:sz w:val="24"/>
          <w:szCs w:val="24"/>
        </w:rPr>
      </w:pPr>
    </w:p>
    <w:p w:rsidR="00E87CF9" w:rsidRDefault="00E87CF9"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t>New grounds were advanced for the contention that the mon</w:t>
      </w:r>
      <w:r w:rsidR="00AB14CF">
        <w:rPr>
          <w:rFonts w:ascii="Arial" w:hAnsi="Arial" w:cs="Arial"/>
          <w:sz w:val="24"/>
          <w:szCs w:val="24"/>
        </w:rPr>
        <w:t>ies</w:t>
      </w:r>
      <w:r w:rsidRPr="007521C4">
        <w:rPr>
          <w:rFonts w:ascii="Arial" w:hAnsi="Arial" w:cs="Arial"/>
          <w:sz w:val="24"/>
          <w:szCs w:val="24"/>
        </w:rPr>
        <w:t xml:space="preserve"> in the CFC account were, on reasonable grounds, proceeds of unlawful activities and that the CFC account constitutes an instrumentality of an offence.</w:t>
      </w:r>
    </w:p>
    <w:p w:rsidR="007521C4" w:rsidRPr="007521C4" w:rsidRDefault="007521C4" w:rsidP="007521C4">
      <w:pPr>
        <w:pStyle w:val="ListParagraph"/>
        <w:spacing w:after="0" w:line="480" w:lineRule="auto"/>
        <w:jc w:val="both"/>
        <w:rPr>
          <w:rFonts w:ascii="Arial" w:hAnsi="Arial" w:cs="Arial"/>
          <w:sz w:val="24"/>
          <w:szCs w:val="24"/>
        </w:rPr>
      </w:pPr>
    </w:p>
    <w:p w:rsidR="00E87CF9" w:rsidRDefault="00E87CF9"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lastRenderedPageBreak/>
        <w:t>The application served before Usik</w:t>
      </w:r>
      <w:r w:rsidR="0090427B" w:rsidRPr="007521C4">
        <w:rPr>
          <w:rFonts w:ascii="Arial" w:hAnsi="Arial" w:cs="Arial"/>
          <w:sz w:val="24"/>
          <w:szCs w:val="24"/>
        </w:rPr>
        <w:t>u</w:t>
      </w:r>
      <w:r w:rsidRPr="007521C4">
        <w:rPr>
          <w:rFonts w:ascii="Arial" w:hAnsi="Arial" w:cs="Arial"/>
          <w:sz w:val="24"/>
          <w:szCs w:val="24"/>
        </w:rPr>
        <w:t xml:space="preserve"> AJ (as he then was), who granted the order on 26 May 2017 (‘the</w:t>
      </w:r>
      <w:r w:rsidR="00AE1922" w:rsidRPr="007521C4">
        <w:rPr>
          <w:rFonts w:ascii="Arial" w:hAnsi="Arial" w:cs="Arial"/>
          <w:sz w:val="24"/>
          <w:szCs w:val="24"/>
        </w:rPr>
        <w:t xml:space="preserve"> second preservation order’). It is this order that the respondents had anticipated and sought to have rescinded or set aside in th</w:t>
      </w:r>
      <w:r w:rsidR="00F705AB" w:rsidRPr="007521C4">
        <w:rPr>
          <w:rFonts w:ascii="Arial" w:hAnsi="Arial" w:cs="Arial"/>
          <w:sz w:val="24"/>
          <w:szCs w:val="24"/>
        </w:rPr>
        <w:t>e</w:t>
      </w:r>
      <w:r w:rsidR="00AE1922" w:rsidRPr="007521C4">
        <w:rPr>
          <w:rFonts w:ascii="Arial" w:hAnsi="Arial" w:cs="Arial"/>
          <w:sz w:val="24"/>
          <w:szCs w:val="24"/>
        </w:rPr>
        <w:t>i</w:t>
      </w:r>
      <w:r w:rsidR="00F705AB" w:rsidRPr="007521C4">
        <w:rPr>
          <w:rFonts w:ascii="Arial" w:hAnsi="Arial" w:cs="Arial"/>
          <w:sz w:val="24"/>
          <w:szCs w:val="24"/>
        </w:rPr>
        <w:t>r</w:t>
      </w:r>
      <w:r w:rsidR="00AE1922" w:rsidRPr="007521C4">
        <w:rPr>
          <w:rFonts w:ascii="Arial" w:hAnsi="Arial" w:cs="Arial"/>
          <w:sz w:val="24"/>
          <w:szCs w:val="24"/>
        </w:rPr>
        <w:t xml:space="preserve"> application.</w:t>
      </w:r>
    </w:p>
    <w:p w:rsidR="007521C4" w:rsidRDefault="007521C4" w:rsidP="007521C4">
      <w:pPr>
        <w:pStyle w:val="ListParagraph"/>
        <w:spacing w:after="0" w:line="480" w:lineRule="auto"/>
        <w:jc w:val="both"/>
        <w:rPr>
          <w:rFonts w:ascii="Arial" w:hAnsi="Arial" w:cs="Arial"/>
          <w:sz w:val="24"/>
          <w:szCs w:val="24"/>
        </w:rPr>
      </w:pPr>
    </w:p>
    <w:p w:rsidR="007521C4" w:rsidRPr="00276169" w:rsidRDefault="007521C4" w:rsidP="00AB14CF">
      <w:pPr>
        <w:pStyle w:val="ListParagraph"/>
        <w:spacing w:after="0" w:line="480" w:lineRule="auto"/>
        <w:ind w:left="851" w:hanging="142"/>
        <w:jc w:val="both"/>
        <w:rPr>
          <w:rFonts w:ascii="Arial" w:hAnsi="Arial" w:cs="Arial"/>
          <w:sz w:val="24"/>
          <w:szCs w:val="24"/>
          <w:u w:val="single"/>
        </w:rPr>
      </w:pPr>
      <w:r w:rsidRPr="00276169">
        <w:rPr>
          <w:rFonts w:ascii="Arial" w:hAnsi="Arial" w:cs="Arial"/>
          <w:sz w:val="24"/>
          <w:szCs w:val="24"/>
          <w:u w:val="single"/>
        </w:rPr>
        <w:t>Application by the respondents for an order to release the money</w:t>
      </w:r>
    </w:p>
    <w:p w:rsidR="00AE1922" w:rsidRDefault="00AE1922"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t xml:space="preserve">On 2 June 2017, the respondents launched an urgent application against the appellant, Bank Windhoek and the Bank of Namibia, in which they sought an order against Bank Windhoek to immediately release </w:t>
      </w:r>
      <w:r w:rsidR="00A86A61" w:rsidRPr="007521C4">
        <w:rPr>
          <w:rFonts w:ascii="Arial" w:hAnsi="Arial" w:cs="Arial"/>
          <w:sz w:val="24"/>
          <w:szCs w:val="24"/>
        </w:rPr>
        <w:t>the money to second respondent in accordance with first respondent’s original instructions. The application was set down for hearing on 9 June 2019.</w:t>
      </w:r>
    </w:p>
    <w:p w:rsidR="007521C4" w:rsidRDefault="007521C4" w:rsidP="007521C4">
      <w:pPr>
        <w:pStyle w:val="ListParagraph"/>
        <w:spacing w:after="0" w:line="480" w:lineRule="auto"/>
        <w:ind w:left="1080"/>
        <w:jc w:val="both"/>
        <w:rPr>
          <w:rFonts w:ascii="Arial" w:hAnsi="Arial" w:cs="Arial"/>
          <w:sz w:val="24"/>
          <w:szCs w:val="24"/>
        </w:rPr>
      </w:pPr>
    </w:p>
    <w:p w:rsidR="007521C4" w:rsidRPr="00E83925" w:rsidRDefault="007521C4" w:rsidP="00AB14CF">
      <w:pPr>
        <w:spacing w:after="0" w:line="480" w:lineRule="auto"/>
        <w:ind w:firstLine="709"/>
        <w:jc w:val="both"/>
        <w:rPr>
          <w:rFonts w:ascii="Arial" w:hAnsi="Arial" w:cs="Arial"/>
          <w:sz w:val="24"/>
          <w:szCs w:val="24"/>
          <w:u w:val="single"/>
        </w:rPr>
      </w:pPr>
      <w:r w:rsidRPr="00E83925">
        <w:rPr>
          <w:rFonts w:ascii="Arial" w:hAnsi="Arial" w:cs="Arial"/>
          <w:sz w:val="24"/>
          <w:szCs w:val="24"/>
          <w:u w:val="single"/>
        </w:rPr>
        <w:t>The respondents</w:t>
      </w:r>
      <w:r w:rsidR="00C16405">
        <w:rPr>
          <w:rFonts w:ascii="Arial" w:hAnsi="Arial" w:cs="Arial"/>
          <w:sz w:val="24"/>
          <w:szCs w:val="24"/>
          <w:u w:val="single"/>
        </w:rPr>
        <w:t>’</w:t>
      </w:r>
      <w:r w:rsidRPr="00E83925">
        <w:rPr>
          <w:rFonts w:ascii="Arial" w:hAnsi="Arial" w:cs="Arial"/>
          <w:sz w:val="24"/>
          <w:szCs w:val="24"/>
          <w:u w:val="single"/>
        </w:rPr>
        <w:t xml:space="preserve"> notice of intention to oppose</w:t>
      </w:r>
      <w:r>
        <w:rPr>
          <w:rFonts w:ascii="Arial" w:hAnsi="Arial" w:cs="Arial"/>
          <w:sz w:val="24"/>
          <w:szCs w:val="24"/>
          <w:u w:val="single"/>
        </w:rPr>
        <w:t xml:space="preserve"> </w:t>
      </w:r>
    </w:p>
    <w:p w:rsidR="00E83925" w:rsidRDefault="00A86A61" w:rsidP="0054200A">
      <w:pPr>
        <w:pStyle w:val="ListParagraph"/>
        <w:numPr>
          <w:ilvl w:val="0"/>
          <w:numId w:val="14"/>
        </w:numPr>
        <w:spacing w:after="0" w:line="480" w:lineRule="auto"/>
        <w:ind w:left="1418" w:right="-284" w:hanging="698"/>
        <w:jc w:val="both"/>
        <w:rPr>
          <w:rFonts w:ascii="Arial" w:hAnsi="Arial" w:cs="Arial"/>
          <w:sz w:val="24"/>
          <w:szCs w:val="24"/>
        </w:rPr>
      </w:pPr>
      <w:r w:rsidRPr="007521C4">
        <w:rPr>
          <w:rFonts w:ascii="Arial" w:hAnsi="Arial" w:cs="Arial"/>
          <w:sz w:val="24"/>
          <w:szCs w:val="24"/>
        </w:rPr>
        <w:t>On 7 June 2017, the respondents filed a notice to oppose the POCA 8/2017 application. Essentially</w:t>
      </w:r>
      <w:r w:rsidR="00BD2E30" w:rsidRPr="007521C4">
        <w:rPr>
          <w:rFonts w:ascii="Arial" w:hAnsi="Arial" w:cs="Arial"/>
          <w:sz w:val="24"/>
          <w:szCs w:val="24"/>
        </w:rPr>
        <w:t>,</w:t>
      </w:r>
      <w:r w:rsidRPr="007521C4">
        <w:rPr>
          <w:rFonts w:ascii="Arial" w:hAnsi="Arial" w:cs="Arial"/>
          <w:sz w:val="24"/>
          <w:szCs w:val="24"/>
        </w:rPr>
        <w:t xml:space="preserve"> the notice was of their intention to oppose the making of a forfeiture of property order in respect of the money in the CFC account and in addition an application for the exclusion of their property from the preservation order in terms of s 52(4)</w:t>
      </w:r>
      <w:r w:rsidR="007E29CF" w:rsidRPr="00276169">
        <w:rPr>
          <w:rStyle w:val="FootnoteReference"/>
          <w:rFonts w:ascii="Arial" w:hAnsi="Arial" w:cs="Arial"/>
          <w:sz w:val="24"/>
          <w:szCs w:val="24"/>
        </w:rPr>
        <w:footnoteReference w:id="2"/>
      </w:r>
      <w:r w:rsidRPr="007521C4">
        <w:rPr>
          <w:rFonts w:ascii="Arial" w:hAnsi="Arial" w:cs="Arial"/>
          <w:sz w:val="24"/>
          <w:szCs w:val="24"/>
        </w:rPr>
        <w:t xml:space="preserve"> read with Regulation 4(6)</w:t>
      </w:r>
      <w:r w:rsidR="00F705AB">
        <w:rPr>
          <w:rStyle w:val="FootnoteReference"/>
          <w:rFonts w:ascii="Arial" w:hAnsi="Arial" w:cs="Arial"/>
          <w:sz w:val="24"/>
          <w:szCs w:val="24"/>
        </w:rPr>
        <w:footnoteReference w:id="3"/>
      </w:r>
      <w:r w:rsidRPr="007521C4">
        <w:rPr>
          <w:rFonts w:ascii="Arial" w:hAnsi="Arial" w:cs="Arial"/>
          <w:sz w:val="24"/>
          <w:szCs w:val="24"/>
        </w:rPr>
        <w:t xml:space="preserve"> of the Act.</w:t>
      </w:r>
    </w:p>
    <w:p w:rsidR="007521C4" w:rsidRPr="007521C4" w:rsidRDefault="007521C4" w:rsidP="007521C4">
      <w:pPr>
        <w:spacing w:after="0" w:line="480" w:lineRule="auto"/>
        <w:ind w:left="720"/>
        <w:jc w:val="both"/>
        <w:rPr>
          <w:rFonts w:ascii="Arial" w:hAnsi="Arial" w:cs="Arial"/>
          <w:sz w:val="24"/>
          <w:szCs w:val="24"/>
          <w:u w:val="single"/>
        </w:rPr>
      </w:pPr>
      <w:r w:rsidRPr="007521C4">
        <w:rPr>
          <w:rFonts w:ascii="Arial" w:hAnsi="Arial" w:cs="Arial"/>
          <w:sz w:val="24"/>
          <w:szCs w:val="24"/>
          <w:u w:val="single"/>
        </w:rPr>
        <w:lastRenderedPageBreak/>
        <w:t>Application to anticipate and to rescind the second preservation of property order in POCA 8/2017</w:t>
      </w:r>
    </w:p>
    <w:p w:rsidR="003E0101" w:rsidRDefault="003E0101"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t>Simultaneously with the application for an order to release the money the respondents launched an urgent application in which they sought to anticipate the second preservation order and also sought an order to rescind the said preservation order. Both applications were set down for hearing on the same day, namely 9 June 2017. In response, the appellant filed notices to oppose both applications for the release of the money and the application to anticipate the preservation order. It should be mentioned that it would appear that at the time when the respondents launched the application for an order to release the money</w:t>
      </w:r>
      <w:r w:rsidR="00BD2E30" w:rsidRPr="007521C4">
        <w:rPr>
          <w:rFonts w:ascii="Arial" w:hAnsi="Arial" w:cs="Arial"/>
          <w:sz w:val="24"/>
          <w:szCs w:val="24"/>
        </w:rPr>
        <w:t>,</w:t>
      </w:r>
      <w:r w:rsidRPr="007521C4">
        <w:rPr>
          <w:rFonts w:ascii="Arial" w:hAnsi="Arial" w:cs="Arial"/>
          <w:sz w:val="24"/>
          <w:szCs w:val="24"/>
        </w:rPr>
        <w:t xml:space="preserve"> they were not aware that the appellant had already applied and obtained the second preservation of property</w:t>
      </w:r>
      <w:r w:rsidR="0080702E" w:rsidRPr="007521C4">
        <w:rPr>
          <w:rFonts w:ascii="Arial" w:hAnsi="Arial" w:cs="Arial"/>
          <w:sz w:val="24"/>
          <w:szCs w:val="24"/>
        </w:rPr>
        <w:t xml:space="preserve"> order</w:t>
      </w:r>
      <w:r w:rsidRPr="007521C4">
        <w:rPr>
          <w:rFonts w:ascii="Arial" w:hAnsi="Arial" w:cs="Arial"/>
          <w:sz w:val="24"/>
          <w:szCs w:val="24"/>
        </w:rPr>
        <w:t xml:space="preserve"> by means of POCA 8/2017.</w:t>
      </w:r>
    </w:p>
    <w:p w:rsidR="007521C4" w:rsidRDefault="007521C4" w:rsidP="007521C4">
      <w:pPr>
        <w:pStyle w:val="ListParagraph"/>
        <w:spacing w:after="0" w:line="480" w:lineRule="auto"/>
        <w:ind w:left="1080"/>
        <w:jc w:val="both"/>
        <w:rPr>
          <w:rFonts w:ascii="Arial" w:hAnsi="Arial" w:cs="Arial"/>
          <w:sz w:val="24"/>
          <w:szCs w:val="24"/>
        </w:rPr>
      </w:pPr>
    </w:p>
    <w:p w:rsidR="003E0101" w:rsidRDefault="003E0101"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t>On 9 June 2017, when both applications to anticipate and to rescind the preservation order were called, the appellant sought a postponement. The respondents vehemently opposed the appellant’s application for a postponement. They did not, however, file opposing papers but argued the matter on the appellant’s papers.</w:t>
      </w:r>
    </w:p>
    <w:p w:rsidR="007521C4" w:rsidRPr="007521C4" w:rsidRDefault="007521C4" w:rsidP="007521C4">
      <w:pPr>
        <w:pStyle w:val="ListParagraph"/>
        <w:rPr>
          <w:rFonts w:ascii="Arial" w:hAnsi="Arial" w:cs="Arial"/>
          <w:sz w:val="24"/>
          <w:szCs w:val="24"/>
        </w:rPr>
      </w:pPr>
    </w:p>
    <w:p w:rsidR="003E0101" w:rsidRPr="007521C4" w:rsidRDefault="003E0101" w:rsidP="00AB14CF">
      <w:pPr>
        <w:pStyle w:val="ListParagraph"/>
        <w:numPr>
          <w:ilvl w:val="0"/>
          <w:numId w:val="14"/>
        </w:numPr>
        <w:spacing w:after="0" w:line="480" w:lineRule="auto"/>
        <w:ind w:left="1418" w:hanging="698"/>
        <w:jc w:val="both"/>
        <w:rPr>
          <w:rFonts w:ascii="Arial" w:hAnsi="Arial" w:cs="Arial"/>
          <w:sz w:val="24"/>
          <w:szCs w:val="24"/>
        </w:rPr>
      </w:pPr>
      <w:r w:rsidRPr="007521C4">
        <w:rPr>
          <w:rFonts w:ascii="Arial" w:hAnsi="Arial" w:cs="Arial"/>
          <w:sz w:val="24"/>
          <w:szCs w:val="24"/>
        </w:rPr>
        <w:t>After hearing counsel</w:t>
      </w:r>
      <w:r w:rsidR="00AB14CF">
        <w:rPr>
          <w:rFonts w:ascii="Arial" w:hAnsi="Arial" w:cs="Arial"/>
          <w:sz w:val="24"/>
          <w:szCs w:val="24"/>
        </w:rPr>
        <w:t>’</w:t>
      </w:r>
      <w:r w:rsidRPr="007521C4">
        <w:rPr>
          <w:rFonts w:ascii="Arial" w:hAnsi="Arial" w:cs="Arial"/>
          <w:sz w:val="24"/>
          <w:szCs w:val="24"/>
        </w:rPr>
        <w:t>s arguments, the DJP granted a postponement</w:t>
      </w:r>
      <w:r w:rsidR="00485F5B" w:rsidRPr="007521C4">
        <w:rPr>
          <w:rFonts w:ascii="Arial" w:hAnsi="Arial" w:cs="Arial"/>
          <w:sz w:val="24"/>
          <w:szCs w:val="24"/>
        </w:rPr>
        <w:t xml:space="preserve"> and gave the appellant one day to file her answering affidavit and one </w:t>
      </w:r>
      <w:r w:rsidR="00485F5B" w:rsidRPr="007521C4">
        <w:rPr>
          <w:rFonts w:ascii="Arial" w:hAnsi="Arial" w:cs="Arial"/>
          <w:sz w:val="24"/>
          <w:szCs w:val="24"/>
        </w:rPr>
        <w:lastRenderedPageBreak/>
        <w:t>day to the respondents to file their replying affidavits and postponed the application to 15 June 2017 for hearing. The application for the release of the money was, also postponed, for practical reasons, to the same day, ie 15 June 2017.</w:t>
      </w:r>
      <w:r w:rsidR="007E29CF" w:rsidRPr="007521C4">
        <w:rPr>
          <w:rFonts w:ascii="Arial" w:hAnsi="Arial" w:cs="Arial"/>
          <w:sz w:val="24"/>
          <w:szCs w:val="24"/>
        </w:rPr>
        <w:t xml:space="preserve"> Argument w</w:t>
      </w:r>
      <w:r w:rsidR="00A34073" w:rsidRPr="007521C4">
        <w:rPr>
          <w:rFonts w:ascii="Arial" w:hAnsi="Arial" w:cs="Arial"/>
          <w:sz w:val="24"/>
          <w:szCs w:val="24"/>
        </w:rPr>
        <w:t>as</w:t>
      </w:r>
      <w:r w:rsidR="007E29CF" w:rsidRPr="007521C4">
        <w:rPr>
          <w:rFonts w:ascii="Arial" w:hAnsi="Arial" w:cs="Arial"/>
          <w:sz w:val="24"/>
          <w:szCs w:val="24"/>
        </w:rPr>
        <w:t xml:space="preserve"> heard on that day and judgment was delivered on 6 September 2017.</w:t>
      </w:r>
    </w:p>
    <w:p w:rsidR="00AB14CF" w:rsidRPr="00AB14CF" w:rsidRDefault="00AB14CF" w:rsidP="00AB14CF">
      <w:pPr>
        <w:pStyle w:val="ListParagraph"/>
        <w:spacing w:after="0" w:line="480" w:lineRule="auto"/>
        <w:ind w:left="0"/>
        <w:jc w:val="both"/>
        <w:rPr>
          <w:rFonts w:ascii="Arial" w:hAnsi="Arial" w:cs="Arial"/>
          <w:sz w:val="24"/>
          <w:szCs w:val="24"/>
        </w:rPr>
      </w:pPr>
    </w:p>
    <w:p w:rsidR="007E29CF" w:rsidRPr="00AB14CF" w:rsidRDefault="007E29CF" w:rsidP="00AB14CF">
      <w:pPr>
        <w:pStyle w:val="ListParagraph"/>
        <w:numPr>
          <w:ilvl w:val="0"/>
          <w:numId w:val="1"/>
        </w:numPr>
        <w:tabs>
          <w:tab w:val="left" w:pos="851"/>
        </w:tabs>
        <w:spacing w:after="0" w:line="480" w:lineRule="auto"/>
        <w:ind w:left="0" w:firstLine="0"/>
        <w:jc w:val="both"/>
        <w:rPr>
          <w:rFonts w:ascii="Arial" w:hAnsi="Arial" w:cs="Arial"/>
          <w:sz w:val="24"/>
          <w:szCs w:val="24"/>
        </w:rPr>
      </w:pPr>
      <w:r w:rsidRPr="00AB14CF">
        <w:rPr>
          <w:rFonts w:ascii="Arial" w:hAnsi="Arial" w:cs="Arial"/>
          <w:sz w:val="24"/>
          <w:szCs w:val="24"/>
        </w:rPr>
        <w:t>On 6 September 2017</w:t>
      </w:r>
      <w:r w:rsidR="00BD2E30" w:rsidRPr="00AB14CF">
        <w:rPr>
          <w:rFonts w:ascii="Arial" w:hAnsi="Arial" w:cs="Arial"/>
          <w:sz w:val="24"/>
          <w:szCs w:val="24"/>
        </w:rPr>
        <w:t>,</w:t>
      </w:r>
      <w:r w:rsidRPr="00AB14CF">
        <w:rPr>
          <w:rFonts w:ascii="Arial" w:hAnsi="Arial" w:cs="Arial"/>
          <w:sz w:val="24"/>
          <w:szCs w:val="24"/>
        </w:rPr>
        <w:t xml:space="preserve"> the DJP delivered judgment and summed up the judgment as follows:</w:t>
      </w:r>
    </w:p>
    <w:p w:rsidR="007E29CF" w:rsidRDefault="007E29CF" w:rsidP="007E29CF">
      <w:pPr>
        <w:pStyle w:val="ListParagraph"/>
        <w:tabs>
          <w:tab w:val="left" w:pos="851"/>
        </w:tabs>
        <w:spacing w:after="0" w:line="480" w:lineRule="auto"/>
        <w:ind w:left="0"/>
        <w:jc w:val="both"/>
        <w:rPr>
          <w:rFonts w:ascii="Arial" w:hAnsi="Arial" w:cs="Arial"/>
          <w:sz w:val="24"/>
          <w:szCs w:val="24"/>
        </w:rPr>
      </w:pPr>
    </w:p>
    <w:p w:rsidR="007E29CF" w:rsidRDefault="007E29CF" w:rsidP="00A17702">
      <w:pPr>
        <w:pStyle w:val="ListParagraph"/>
        <w:tabs>
          <w:tab w:val="left" w:pos="851"/>
        </w:tabs>
        <w:spacing w:after="0" w:line="360" w:lineRule="auto"/>
        <w:ind w:left="851" w:hanging="851"/>
        <w:jc w:val="both"/>
        <w:rPr>
          <w:rFonts w:ascii="Arial" w:hAnsi="Arial" w:cs="Arial"/>
        </w:rPr>
      </w:pPr>
      <w:r>
        <w:rPr>
          <w:rFonts w:ascii="Arial" w:hAnsi="Arial" w:cs="Arial"/>
          <w:sz w:val="24"/>
          <w:szCs w:val="24"/>
        </w:rPr>
        <w:tab/>
      </w:r>
      <w:r w:rsidR="00A17702">
        <w:rPr>
          <w:rFonts w:ascii="Arial" w:hAnsi="Arial" w:cs="Arial"/>
        </w:rPr>
        <w:t>‘[105]</w:t>
      </w:r>
      <w:r w:rsidR="00A17702">
        <w:rPr>
          <w:rFonts w:ascii="Arial" w:hAnsi="Arial" w:cs="Arial"/>
        </w:rPr>
        <w:tab/>
        <w:t xml:space="preserve">To sum up, I have found firstly that there were no compelling reasons for the PG to have brought this application on an </w:t>
      </w:r>
      <w:r w:rsidR="00A17702">
        <w:rPr>
          <w:rFonts w:ascii="Arial" w:hAnsi="Arial" w:cs="Arial"/>
          <w:i/>
        </w:rPr>
        <w:t xml:space="preserve">ex parte </w:t>
      </w:r>
      <w:r w:rsidR="00A17702">
        <w:rPr>
          <w:rFonts w:ascii="Arial" w:hAnsi="Arial" w:cs="Arial"/>
        </w:rPr>
        <w:t>basis and without notice to the applicants and accordingly the PG inappropriately and incorrectly exercised her statutory discretion which negatively affected the applicants’ right to a fair trial. Secondly, that the PG committed material non-disclosure both in POCA 1/2017 application when she failed to inform the court after she had discovered that the Determination upon which she had obtained the first preservation order was not in force, as well in POCA 8/2017 application when the second preservation order was applied for and granted, by not disclosing to the court the circumstances under which the first order was erroneously obtained. Thirdly and lastly, that it was not permissible for the PG to have applied for and be granted a second preservation order after she had deliberately allowed the first preservation order to lapse. For those reasons the second preservation order stands to be set aside and it is so ordered</w:t>
      </w:r>
      <w:r w:rsidR="00BD2E30">
        <w:rPr>
          <w:rFonts w:ascii="Arial" w:hAnsi="Arial" w:cs="Arial"/>
        </w:rPr>
        <w:t>.</w:t>
      </w:r>
      <w:r w:rsidR="00A17702">
        <w:rPr>
          <w:rFonts w:ascii="Arial" w:hAnsi="Arial" w:cs="Arial"/>
        </w:rPr>
        <w:t>’</w:t>
      </w:r>
    </w:p>
    <w:p w:rsidR="00BE43A7" w:rsidRPr="00BE43A7" w:rsidRDefault="00BE43A7" w:rsidP="00BE43A7">
      <w:pPr>
        <w:pStyle w:val="ListParagraph"/>
        <w:tabs>
          <w:tab w:val="left" w:pos="851"/>
        </w:tabs>
        <w:spacing w:after="0" w:line="480" w:lineRule="auto"/>
        <w:ind w:left="851" w:hanging="851"/>
        <w:jc w:val="both"/>
        <w:rPr>
          <w:rFonts w:ascii="Arial" w:hAnsi="Arial" w:cs="Arial"/>
          <w:sz w:val="24"/>
          <w:szCs w:val="24"/>
        </w:rPr>
      </w:pPr>
    </w:p>
    <w:p w:rsidR="007E29CF" w:rsidRPr="00BE43A7" w:rsidRDefault="00A17702" w:rsidP="00BE43A7">
      <w:pPr>
        <w:pStyle w:val="ListParagraph"/>
        <w:numPr>
          <w:ilvl w:val="0"/>
          <w:numId w:val="1"/>
        </w:numPr>
        <w:tabs>
          <w:tab w:val="left" w:pos="851"/>
        </w:tabs>
        <w:spacing w:after="0" w:line="480" w:lineRule="auto"/>
        <w:ind w:hanging="753"/>
        <w:jc w:val="both"/>
        <w:rPr>
          <w:rFonts w:ascii="Arial" w:hAnsi="Arial" w:cs="Arial"/>
          <w:sz w:val="24"/>
          <w:szCs w:val="24"/>
        </w:rPr>
      </w:pPr>
      <w:r w:rsidRPr="00BE43A7">
        <w:rPr>
          <w:rFonts w:ascii="Arial" w:hAnsi="Arial" w:cs="Arial"/>
          <w:sz w:val="24"/>
          <w:szCs w:val="24"/>
        </w:rPr>
        <w:t>As a consequence the DJP made the following order:</w:t>
      </w:r>
    </w:p>
    <w:p w:rsidR="00A17702" w:rsidRDefault="00A17702" w:rsidP="00A17702">
      <w:pPr>
        <w:pStyle w:val="ListParagraph"/>
        <w:tabs>
          <w:tab w:val="left" w:pos="851"/>
        </w:tabs>
        <w:spacing w:after="0" w:line="480" w:lineRule="auto"/>
        <w:ind w:left="0"/>
        <w:jc w:val="both"/>
        <w:rPr>
          <w:rFonts w:ascii="Arial" w:hAnsi="Arial" w:cs="Arial"/>
          <w:sz w:val="24"/>
          <w:szCs w:val="24"/>
        </w:rPr>
      </w:pPr>
    </w:p>
    <w:p w:rsidR="00A17702" w:rsidRDefault="001B2552" w:rsidP="001B2552">
      <w:pPr>
        <w:tabs>
          <w:tab w:val="left" w:pos="851"/>
        </w:tabs>
        <w:spacing w:after="0" w:line="360" w:lineRule="auto"/>
        <w:ind w:left="1440" w:hanging="585"/>
        <w:jc w:val="both"/>
        <w:rPr>
          <w:rFonts w:ascii="Arial" w:hAnsi="Arial" w:cs="Arial"/>
        </w:rPr>
      </w:pPr>
      <w:r>
        <w:rPr>
          <w:rFonts w:ascii="Arial" w:hAnsi="Arial" w:cs="Arial"/>
        </w:rPr>
        <w:t>‘1.</w:t>
      </w:r>
      <w:r>
        <w:rPr>
          <w:rFonts w:ascii="Arial" w:hAnsi="Arial" w:cs="Arial"/>
        </w:rPr>
        <w:tab/>
      </w:r>
      <w:r w:rsidR="00A17702" w:rsidRPr="001B2552">
        <w:rPr>
          <w:rFonts w:ascii="Arial" w:hAnsi="Arial" w:cs="Arial"/>
        </w:rPr>
        <w:t xml:space="preserve">The preservation of property order granted on </w:t>
      </w:r>
      <w:r w:rsidRPr="001B2552">
        <w:rPr>
          <w:rFonts w:ascii="Arial" w:hAnsi="Arial" w:cs="Arial"/>
        </w:rPr>
        <w:t>26 May 2017 is hereby set aside.</w:t>
      </w:r>
    </w:p>
    <w:p w:rsidR="001B2552" w:rsidRDefault="001B2552" w:rsidP="001B2552">
      <w:pPr>
        <w:tabs>
          <w:tab w:val="left" w:pos="851"/>
        </w:tabs>
        <w:spacing w:after="0" w:line="360" w:lineRule="auto"/>
        <w:ind w:left="1440" w:hanging="585"/>
        <w:jc w:val="both"/>
        <w:rPr>
          <w:rFonts w:ascii="Arial" w:hAnsi="Arial" w:cs="Arial"/>
        </w:rPr>
      </w:pPr>
    </w:p>
    <w:p w:rsidR="00D04B5A" w:rsidRDefault="00D04B5A" w:rsidP="001B2552">
      <w:pPr>
        <w:tabs>
          <w:tab w:val="left" w:pos="851"/>
        </w:tabs>
        <w:spacing w:after="0" w:line="360" w:lineRule="auto"/>
        <w:ind w:left="1440" w:hanging="585"/>
        <w:jc w:val="both"/>
        <w:rPr>
          <w:rFonts w:ascii="Arial" w:hAnsi="Arial" w:cs="Arial"/>
        </w:rPr>
      </w:pPr>
    </w:p>
    <w:p w:rsidR="00D04B5A" w:rsidRDefault="00D04B5A" w:rsidP="001B2552">
      <w:pPr>
        <w:tabs>
          <w:tab w:val="left" w:pos="851"/>
        </w:tabs>
        <w:spacing w:after="0" w:line="360" w:lineRule="auto"/>
        <w:ind w:left="1440" w:hanging="585"/>
        <w:jc w:val="both"/>
        <w:rPr>
          <w:rFonts w:ascii="Arial" w:hAnsi="Arial" w:cs="Arial"/>
        </w:rPr>
      </w:pPr>
    </w:p>
    <w:p w:rsidR="001B2552" w:rsidRDefault="001B2552" w:rsidP="001B2552">
      <w:pPr>
        <w:tabs>
          <w:tab w:val="left" w:pos="851"/>
        </w:tabs>
        <w:spacing w:after="0" w:line="360" w:lineRule="auto"/>
        <w:ind w:left="1440" w:hanging="585"/>
        <w:jc w:val="both"/>
        <w:rPr>
          <w:rFonts w:ascii="Arial" w:hAnsi="Arial" w:cs="Arial"/>
        </w:rPr>
      </w:pPr>
      <w:r>
        <w:rPr>
          <w:rFonts w:ascii="Arial" w:hAnsi="Arial" w:cs="Arial"/>
        </w:rPr>
        <w:lastRenderedPageBreak/>
        <w:t>2.</w:t>
      </w:r>
      <w:r>
        <w:rPr>
          <w:rFonts w:ascii="Arial" w:hAnsi="Arial" w:cs="Arial"/>
        </w:rPr>
        <w:tab/>
        <w:t>The PG is to pay the applicants’ costs of this application to anticipate and to rescind the preservation order under POCA 8/2017, such costs to include the costs of one instructed counsel and one instructing counsel.</w:t>
      </w:r>
    </w:p>
    <w:p w:rsidR="001B2552" w:rsidRDefault="001B2552" w:rsidP="001B2552">
      <w:pPr>
        <w:tabs>
          <w:tab w:val="left" w:pos="851"/>
        </w:tabs>
        <w:spacing w:after="0" w:line="360" w:lineRule="auto"/>
        <w:ind w:left="1440" w:hanging="585"/>
        <w:jc w:val="both"/>
        <w:rPr>
          <w:rFonts w:ascii="Arial" w:hAnsi="Arial" w:cs="Arial"/>
        </w:rPr>
      </w:pPr>
    </w:p>
    <w:p w:rsidR="001B2552" w:rsidRDefault="001B2552" w:rsidP="001B2552">
      <w:pPr>
        <w:tabs>
          <w:tab w:val="left" w:pos="851"/>
        </w:tabs>
        <w:spacing w:after="0" w:line="360" w:lineRule="auto"/>
        <w:ind w:left="1440" w:hanging="585"/>
        <w:jc w:val="both"/>
        <w:rPr>
          <w:rFonts w:ascii="Arial" w:hAnsi="Arial" w:cs="Arial"/>
        </w:rPr>
      </w:pPr>
      <w:r>
        <w:rPr>
          <w:rFonts w:ascii="Arial" w:hAnsi="Arial" w:cs="Arial"/>
        </w:rPr>
        <w:t>3.</w:t>
      </w:r>
      <w:r>
        <w:rPr>
          <w:rFonts w:ascii="Arial" w:hAnsi="Arial" w:cs="Arial"/>
        </w:rPr>
        <w:tab/>
        <w:t>The application is regarded as finalised and is removed from the roll</w:t>
      </w:r>
      <w:r w:rsidR="00BD2E30">
        <w:rPr>
          <w:rFonts w:ascii="Arial" w:hAnsi="Arial" w:cs="Arial"/>
        </w:rPr>
        <w:t>.</w:t>
      </w:r>
      <w:r>
        <w:rPr>
          <w:rFonts w:ascii="Arial" w:hAnsi="Arial" w:cs="Arial"/>
        </w:rPr>
        <w:t>’</w:t>
      </w:r>
    </w:p>
    <w:p w:rsidR="00BE43A7" w:rsidRPr="00AB14CF" w:rsidRDefault="00BE43A7" w:rsidP="00F7755C">
      <w:pPr>
        <w:pStyle w:val="ListParagraph"/>
        <w:spacing w:after="0" w:line="480" w:lineRule="auto"/>
        <w:jc w:val="both"/>
        <w:rPr>
          <w:rFonts w:ascii="Arial" w:hAnsi="Arial" w:cs="Arial"/>
          <w:sz w:val="24"/>
          <w:szCs w:val="24"/>
        </w:rPr>
      </w:pPr>
    </w:p>
    <w:p w:rsidR="00A17702" w:rsidRDefault="001B2552" w:rsidP="00BE43A7">
      <w:pPr>
        <w:pStyle w:val="ListParagraph"/>
        <w:numPr>
          <w:ilvl w:val="0"/>
          <w:numId w:val="1"/>
        </w:numPr>
        <w:tabs>
          <w:tab w:val="left" w:pos="851"/>
        </w:tabs>
        <w:spacing w:after="0" w:line="480" w:lineRule="auto"/>
        <w:ind w:hanging="753"/>
        <w:jc w:val="both"/>
        <w:rPr>
          <w:rFonts w:ascii="Arial" w:hAnsi="Arial" w:cs="Arial"/>
          <w:sz w:val="24"/>
          <w:szCs w:val="24"/>
        </w:rPr>
      </w:pPr>
      <w:r w:rsidRPr="00BE43A7">
        <w:rPr>
          <w:rFonts w:ascii="Arial" w:hAnsi="Arial" w:cs="Arial"/>
          <w:sz w:val="24"/>
          <w:szCs w:val="24"/>
        </w:rPr>
        <w:t>It is this order appellant appeals against.</w:t>
      </w:r>
    </w:p>
    <w:p w:rsidR="00F7755C" w:rsidRDefault="00F7755C" w:rsidP="00F7755C">
      <w:pPr>
        <w:pStyle w:val="ListParagraph"/>
        <w:tabs>
          <w:tab w:val="left" w:pos="851"/>
        </w:tabs>
        <w:spacing w:after="0" w:line="480" w:lineRule="auto"/>
        <w:ind w:left="753"/>
        <w:jc w:val="both"/>
        <w:rPr>
          <w:rFonts w:ascii="Arial" w:hAnsi="Arial" w:cs="Arial"/>
          <w:sz w:val="24"/>
          <w:szCs w:val="24"/>
        </w:rPr>
      </w:pPr>
    </w:p>
    <w:p w:rsidR="001B2552" w:rsidRDefault="001B2552" w:rsidP="00BE43A7">
      <w:pPr>
        <w:pStyle w:val="ListParagraph"/>
        <w:numPr>
          <w:ilvl w:val="0"/>
          <w:numId w:val="1"/>
        </w:numPr>
        <w:tabs>
          <w:tab w:val="left" w:pos="851"/>
        </w:tabs>
        <w:spacing w:after="0" w:line="480" w:lineRule="auto"/>
        <w:ind w:hanging="753"/>
        <w:jc w:val="both"/>
        <w:rPr>
          <w:rFonts w:ascii="Arial" w:hAnsi="Arial" w:cs="Arial"/>
          <w:sz w:val="24"/>
          <w:szCs w:val="24"/>
        </w:rPr>
      </w:pPr>
      <w:r w:rsidRPr="00BE43A7">
        <w:rPr>
          <w:rFonts w:ascii="Arial" w:hAnsi="Arial" w:cs="Arial"/>
          <w:sz w:val="24"/>
          <w:szCs w:val="24"/>
        </w:rPr>
        <w:t xml:space="preserve">The issues which arose for determination in the court a quo </w:t>
      </w:r>
      <w:r w:rsidR="00BE43A7">
        <w:rPr>
          <w:rFonts w:ascii="Arial" w:hAnsi="Arial" w:cs="Arial"/>
          <w:sz w:val="24"/>
          <w:szCs w:val="24"/>
        </w:rPr>
        <w:t xml:space="preserve">and were </w:t>
      </w:r>
      <w:r w:rsidRPr="00BE43A7">
        <w:rPr>
          <w:rFonts w:ascii="Arial" w:hAnsi="Arial" w:cs="Arial"/>
          <w:sz w:val="24"/>
          <w:szCs w:val="24"/>
        </w:rPr>
        <w:t>persisted with</w:t>
      </w:r>
      <w:r w:rsidR="00E83925" w:rsidRPr="00BE43A7">
        <w:rPr>
          <w:rFonts w:ascii="Arial" w:hAnsi="Arial" w:cs="Arial"/>
          <w:sz w:val="24"/>
          <w:szCs w:val="24"/>
        </w:rPr>
        <w:t xml:space="preserve"> </w:t>
      </w:r>
      <w:r w:rsidRPr="00BE43A7">
        <w:rPr>
          <w:rFonts w:ascii="Arial" w:hAnsi="Arial" w:cs="Arial"/>
          <w:sz w:val="24"/>
          <w:szCs w:val="24"/>
        </w:rPr>
        <w:t>in this court as grounds of appeal are:</w:t>
      </w:r>
    </w:p>
    <w:p w:rsidR="00F7755C" w:rsidRPr="00F7755C" w:rsidRDefault="00F7755C" w:rsidP="00D04B5A">
      <w:pPr>
        <w:pStyle w:val="ListParagraph"/>
        <w:spacing w:after="0" w:line="480" w:lineRule="auto"/>
        <w:jc w:val="both"/>
        <w:rPr>
          <w:rFonts w:ascii="Arial" w:hAnsi="Arial" w:cs="Arial"/>
          <w:sz w:val="24"/>
          <w:szCs w:val="24"/>
        </w:rPr>
      </w:pPr>
    </w:p>
    <w:p w:rsidR="007F2E3A" w:rsidRDefault="007F2E3A" w:rsidP="00F7755C">
      <w:pPr>
        <w:pStyle w:val="ListParagraph"/>
        <w:numPr>
          <w:ilvl w:val="0"/>
          <w:numId w:val="15"/>
        </w:numPr>
        <w:spacing w:after="0" w:line="480" w:lineRule="auto"/>
        <w:ind w:left="1418" w:hanging="698"/>
        <w:jc w:val="both"/>
        <w:rPr>
          <w:rFonts w:ascii="Arial" w:hAnsi="Arial" w:cs="Arial"/>
          <w:sz w:val="24"/>
          <w:szCs w:val="24"/>
        </w:rPr>
      </w:pPr>
      <w:r w:rsidRPr="00F7755C">
        <w:rPr>
          <w:rFonts w:ascii="Arial" w:hAnsi="Arial" w:cs="Arial"/>
          <w:sz w:val="24"/>
          <w:szCs w:val="24"/>
        </w:rPr>
        <w:t>whether the respondents had a right to anticipate the preservation of property order in POCA 8/2017;</w:t>
      </w:r>
    </w:p>
    <w:p w:rsidR="00F7755C" w:rsidRDefault="00F7755C" w:rsidP="00F7755C">
      <w:pPr>
        <w:pStyle w:val="ListParagraph"/>
        <w:spacing w:after="0" w:line="480" w:lineRule="auto"/>
        <w:ind w:left="1418"/>
        <w:jc w:val="both"/>
        <w:rPr>
          <w:rFonts w:ascii="Arial" w:hAnsi="Arial" w:cs="Arial"/>
          <w:sz w:val="24"/>
          <w:szCs w:val="24"/>
        </w:rPr>
      </w:pPr>
    </w:p>
    <w:p w:rsidR="001B2552" w:rsidRDefault="007F2E3A" w:rsidP="00F7755C">
      <w:pPr>
        <w:pStyle w:val="ListParagraph"/>
        <w:numPr>
          <w:ilvl w:val="0"/>
          <w:numId w:val="15"/>
        </w:numPr>
        <w:spacing w:after="0" w:line="480" w:lineRule="auto"/>
        <w:ind w:left="1418" w:hanging="698"/>
        <w:jc w:val="both"/>
        <w:rPr>
          <w:rFonts w:ascii="Arial" w:hAnsi="Arial" w:cs="Arial"/>
          <w:sz w:val="24"/>
          <w:szCs w:val="24"/>
        </w:rPr>
      </w:pPr>
      <w:r w:rsidRPr="00F7755C">
        <w:rPr>
          <w:rFonts w:ascii="Arial" w:hAnsi="Arial" w:cs="Arial"/>
          <w:sz w:val="24"/>
          <w:szCs w:val="24"/>
        </w:rPr>
        <w:t>whether</w:t>
      </w:r>
      <w:r w:rsidR="00E92822">
        <w:rPr>
          <w:rFonts w:ascii="Arial" w:hAnsi="Arial" w:cs="Arial"/>
          <w:sz w:val="24"/>
          <w:szCs w:val="24"/>
        </w:rPr>
        <w:t xml:space="preserve"> </w:t>
      </w:r>
      <w:r w:rsidRPr="00F7755C">
        <w:rPr>
          <w:rFonts w:ascii="Arial" w:hAnsi="Arial" w:cs="Arial"/>
          <w:sz w:val="24"/>
          <w:szCs w:val="24"/>
        </w:rPr>
        <w:t>it was appropriate for the appellant to bring a second application for the preservation of the same property and/or;</w:t>
      </w:r>
    </w:p>
    <w:p w:rsidR="00F7755C" w:rsidRPr="00F7755C" w:rsidRDefault="00F7755C" w:rsidP="00F7755C">
      <w:pPr>
        <w:pStyle w:val="ListParagraph"/>
        <w:spacing w:after="0" w:line="480" w:lineRule="auto"/>
        <w:jc w:val="both"/>
        <w:rPr>
          <w:rFonts w:ascii="Arial" w:hAnsi="Arial" w:cs="Arial"/>
          <w:sz w:val="24"/>
          <w:szCs w:val="24"/>
        </w:rPr>
      </w:pPr>
    </w:p>
    <w:p w:rsidR="007F2E3A" w:rsidRDefault="007F2E3A" w:rsidP="00F7755C">
      <w:pPr>
        <w:pStyle w:val="ListParagraph"/>
        <w:numPr>
          <w:ilvl w:val="0"/>
          <w:numId w:val="15"/>
        </w:numPr>
        <w:spacing w:after="0" w:line="480" w:lineRule="auto"/>
        <w:ind w:left="1418" w:hanging="698"/>
        <w:jc w:val="both"/>
        <w:rPr>
          <w:rFonts w:ascii="Arial" w:hAnsi="Arial" w:cs="Arial"/>
          <w:sz w:val="24"/>
          <w:szCs w:val="24"/>
        </w:rPr>
      </w:pPr>
      <w:r w:rsidRPr="00F7755C">
        <w:rPr>
          <w:rFonts w:ascii="Arial" w:hAnsi="Arial" w:cs="Arial"/>
          <w:sz w:val="24"/>
          <w:szCs w:val="24"/>
        </w:rPr>
        <w:t>whether the appellant was entitled to apply for and obtain</w:t>
      </w:r>
      <w:r w:rsidR="00E83925" w:rsidRPr="00F7755C">
        <w:rPr>
          <w:rFonts w:ascii="Arial" w:hAnsi="Arial" w:cs="Arial"/>
          <w:sz w:val="24"/>
          <w:szCs w:val="24"/>
        </w:rPr>
        <w:t xml:space="preserve"> the second preservation order</w:t>
      </w:r>
      <w:r w:rsidRPr="00F7755C">
        <w:rPr>
          <w:rFonts w:ascii="Arial" w:hAnsi="Arial" w:cs="Arial"/>
          <w:sz w:val="24"/>
          <w:szCs w:val="24"/>
        </w:rPr>
        <w:t>;</w:t>
      </w:r>
      <w:r w:rsidR="00BD2E30" w:rsidRPr="00F7755C">
        <w:rPr>
          <w:rFonts w:ascii="Arial" w:hAnsi="Arial" w:cs="Arial"/>
          <w:sz w:val="24"/>
          <w:szCs w:val="24"/>
        </w:rPr>
        <w:t xml:space="preserve"> and</w:t>
      </w:r>
    </w:p>
    <w:p w:rsidR="00F7755C" w:rsidRPr="00F7755C" w:rsidRDefault="00F7755C" w:rsidP="00D04B5A">
      <w:pPr>
        <w:pStyle w:val="ListParagraph"/>
        <w:spacing w:after="0" w:line="480" w:lineRule="auto"/>
        <w:jc w:val="both"/>
        <w:rPr>
          <w:rFonts w:ascii="Arial" w:hAnsi="Arial" w:cs="Arial"/>
          <w:sz w:val="24"/>
          <w:szCs w:val="24"/>
        </w:rPr>
      </w:pPr>
    </w:p>
    <w:p w:rsidR="007F2E3A" w:rsidRPr="00F7755C" w:rsidRDefault="007F2E3A" w:rsidP="00F7755C">
      <w:pPr>
        <w:pStyle w:val="ListParagraph"/>
        <w:numPr>
          <w:ilvl w:val="0"/>
          <w:numId w:val="15"/>
        </w:numPr>
        <w:spacing w:line="480" w:lineRule="auto"/>
        <w:ind w:left="1418" w:hanging="698"/>
        <w:jc w:val="both"/>
        <w:rPr>
          <w:rFonts w:ascii="Arial" w:hAnsi="Arial" w:cs="Arial"/>
          <w:sz w:val="24"/>
          <w:szCs w:val="24"/>
        </w:rPr>
      </w:pPr>
      <w:r w:rsidRPr="00F7755C">
        <w:rPr>
          <w:rFonts w:ascii="Arial" w:hAnsi="Arial" w:cs="Arial"/>
          <w:sz w:val="24"/>
          <w:szCs w:val="24"/>
        </w:rPr>
        <w:t>whether there were material non-disclosures of facts and/or misrepresentation of facts by the appellant in obtaining the second preservation of property order.</w:t>
      </w:r>
    </w:p>
    <w:p w:rsidR="00550338" w:rsidRPr="00550338" w:rsidRDefault="00550338" w:rsidP="00F7755C">
      <w:pPr>
        <w:pStyle w:val="ListParagraph"/>
        <w:spacing w:line="480" w:lineRule="auto"/>
        <w:rPr>
          <w:rFonts w:ascii="Arial" w:hAnsi="Arial" w:cs="Arial"/>
          <w:sz w:val="24"/>
          <w:szCs w:val="24"/>
        </w:rPr>
      </w:pPr>
    </w:p>
    <w:p w:rsidR="00550338" w:rsidRPr="001B2552" w:rsidRDefault="00550338" w:rsidP="00550338">
      <w:pPr>
        <w:pStyle w:val="ListParagraph"/>
        <w:spacing w:after="0" w:line="480" w:lineRule="auto"/>
        <w:ind w:left="1440"/>
        <w:jc w:val="both"/>
        <w:rPr>
          <w:rFonts w:ascii="Arial" w:hAnsi="Arial" w:cs="Arial"/>
          <w:sz w:val="24"/>
          <w:szCs w:val="24"/>
        </w:rPr>
      </w:pPr>
    </w:p>
    <w:p w:rsidR="00BE43A7" w:rsidRPr="00AB14CF" w:rsidRDefault="006956D3" w:rsidP="00BE43A7">
      <w:pPr>
        <w:pStyle w:val="ListParagraph"/>
        <w:tabs>
          <w:tab w:val="left" w:pos="851"/>
        </w:tabs>
        <w:spacing w:after="0" w:line="480" w:lineRule="auto"/>
        <w:ind w:left="0"/>
        <w:jc w:val="both"/>
        <w:rPr>
          <w:rFonts w:ascii="Arial" w:hAnsi="Arial" w:cs="Arial"/>
          <w:sz w:val="24"/>
          <w:szCs w:val="24"/>
        </w:rPr>
      </w:pPr>
      <w:r w:rsidRPr="006956D3">
        <w:rPr>
          <w:rFonts w:ascii="Arial" w:hAnsi="Arial" w:cs="Arial"/>
          <w:sz w:val="24"/>
          <w:szCs w:val="24"/>
          <w:u w:val="single"/>
        </w:rPr>
        <w:lastRenderedPageBreak/>
        <w:t>The respondents’ right to anticipate the preservation of property order in POCA 8/2017</w:t>
      </w:r>
    </w:p>
    <w:p w:rsidR="001B2552" w:rsidRDefault="007F2E3A" w:rsidP="00BE43A7">
      <w:pPr>
        <w:pStyle w:val="ListParagraph"/>
        <w:numPr>
          <w:ilvl w:val="0"/>
          <w:numId w:val="1"/>
        </w:numPr>
        <w:tabs>
          <w:tab w:val="left" w:pos="851"/>
        </w:tabs>
        <w:spacing w:after="0" w:line="480" w:lineRule="auto"/>
        <w:ind w:left="0" w:firstLine="0"/>
        <w:jc w:val="both"/>
        <w:rPr>
          <w:rFonts w:ascii="Arial" w:hAnsi="Arial" w:cs="Arial"/>
          <w:sz w:val="24"/>
          <w:szCs w:val="24"/>
        </w:rPr>
      </w:pPr>
      <w:r w:rsidRPr="00BE43A7">
        <w:rPr>
          <w:rFonts w:ascii="Arial" w:hAnsi="Arial" w:cs="Arial"/>
          <w:sz w:val="24"/>
          <w:szCs w:val="24"/>
        </w:rPr>
        <w:t xml:space="preserve">The issue was raised as a point </w:t>
      </w:r>
      <w:r w:rsidRPr="00BE43A7">
        <w:rPr>
          <w:rFonts w:ascii="Arial" w:hAnsi="Arial" w:cs="Arial"/>
          <w:i/>
          <w:sz w:val="24"/>
          <w:szCs w:val="24"/>
        </w:rPr>
        <w:t>in limine</w:t>
      </w:r>
      <w:r w:rsidRPr="00BE43A7">
        <w:rPr>
          <w:rFonts w:ascii="Arial" w:hAnsi="Arial" w:cs="Arial"/>
          <w:sz w:val="24"/>
          <w:szCs w:val="24"/>
        </w:rPr>
        <w:t xml:space="preserve"> in the court a quo,</w:t>
      </w:r>
      <w:r w:rsidRPr="00BE43A7">
        <w:rPr>
          <w:rFonts w:ascii="Arial" w:hAnsi="Arial" w:cs="Arial"/>
          <w:i/>
          <w:sz w:val="24"/>
          <w:szCs w:val="24"/>
        </w:rPr>
        <w:t xml:space="preserve"> </w:t>
      </w:r>
      <w:r w:rsidR="00BE43A7">
        <w:rPr>
          <w:rFonts w:ascii="Arial" w:hAnsi="Arial" w:cs="Arial"/>
          <w:sz w:val="24"/>
          <w:szCs w:val="24"/>
        </w:rPr>
        <w:t xml:space="preserve">by the appellant, </w:t>
      </w:r>
      <w:r w:rsidRPr="00BE43A7">
        <w:rPr>
          <w:rFonts w:ascii="Arial" w:hAnsi="Arial" w:cs="Arial"/>
          <w:sz w:val="24"/>
          <w:szCs w:val="24"/>
        </w:rPr>
        <w:t xml:space="preserve">contending that the respondents had no right to </w:t>
      </w:r>
      <w:r w:rsidR="00E952F3" w:rsidRPr="00BE43A7">
        <w:rPr>
          <w:rFonts w:ascii="Arial" w:hAnsi="Arial" w:cs="Arial"/>
          <w:sz w:val="24"/>
          <w:szCs w:val="24"/>
        </w:rPr>
        <w:t xml:space="preserve">anticipate the preservation of property order in terms of </w:t>
      </w:r>
      <w:r w:rsidR="00DF6C53">
        <w:rPr>
          <w:rFonts w:ascii="Arial" w:hAnsi="Arial" w:cs="Arial"/>
          <w:sz w:val="24"/>
          <w:szCs w:val="24"/>
        </w:rPr>
        <w:t>r</w:t>
      </w:r>
      <w:r w:rsidR="00E952F3" w:rsidRPr="00BE43A7">
        <w:rPr>
          <w:rFonts w:ascii="Arial" w:hAnsi="Arial" w:cs="Arial"/>
          <w:sz w:val="24"/>
          <w:szCs w:val="24"/>
        </w:rPr>
        <w:t>ule 72 of the High Court</w:t>
      </w:r>
      <w:r w:rsidR="00BE43A7">
        <w:rPr>
          <w:rFonts w:ascii="Arial" w:hAnsi="Arial" w:cs="Arial"/>
          <w:sz w:val="24"/>
          <w:szCs w:val="24"/>
        </w:rPr>
        <w:t>;</w:t>
      </w:r>
      <w:r w:rsidR="00E952F3" w:rsidRPr="00BE43A7">
        <w:rPr>
          <w:rFonts w:ascii="Arial" w:hAnsi="Arial" w:cs="Arial"/>
          <w:sz w:val="24"/>
          <w:szCs w:val="24"/>
        </w:rPr>
        <w:t xml:space="preserve"> that the POCA s 51(2) application for the preservation of property order is not an application in terms of </w:t>
      </w:r>
      <w:r w:rsidR="00193430" w:rsidRPr="00BE43A7">
        <w:rPr>
          <w:rFonts w:ascii="Arial" w:hAnsi="Arial" w:cs="Arial"/>
          <w:sz w:val="24"/>
          <w:szCs w:val="24"/>
        </w:rPr>
        <w:t>r</w:t>
      </w:r>
      <w:r w:rsidR="00E952F3" w:rsidRPr="00BE43A7">
        <w:rPr>
          <w:rFonts w:ascii="Arial" w:hAnsi="Arial" w:cs="Arial"/>
          <w:sz w:val="24"/>
          <w:szCs w:val="24"/>
        </w:rPr>
        <w:t xml:space="preserve">ule 72 in that there is no rule </w:t>
      </w:r>
      <w:r w:rsidR="00E952F3" w:rsidRPr="00BE43A7">
        <w:rPr>
          <w:rFonts w:ascii="Arial" w:hAnsi="Arial" w:cs="Arial"/>
          <w:i/>
          <w:sz w:val="24"/>
          <w:szCs w:val="24"/>
        </w:rPr>
        <w:t>nisi</w:t>
      </w:r>
      <w:r w:rsidR="00E952F3" w:rsidRPr="00BE43A7">
        <w:rPr>
          <w:rFonts w:ascii="Arial" w:hAnsi="Arial" w:cs="Arial"/>
          <w:sz w:val="24"/>
          <w:szCs w:val="24"/>
        </w:rPr>
        <w:t xml:space="preserve"> and there is no return date and therefore </w:t>
      </w:r>
      <w:r w:rsidR="00DF6C53">
        <w:rPr>
          <w:rFonts w:ascii="Arial" w:hAnsi="Arial" w:cs="Arial"/>
          <w:sz w:val="24"/>
          <w:szCs w:val="24"/>
        </w:rPr>
        <w:t>r</w:t>
      </w:r>
      <w:r w:rsidR="00E952F3" w:rsidRPr="00BE43A7">
        <w:rPr>
          <w:rFonts w:ascii="Arial" w:hAnsi="Arial" w:cs="Arial"/>
          <w:sz w:val="24"/>
          <w:szCs w:val="24"/>
        </w:rPr>
        <w:t>ule 72 was not applicable. Counsel for the appellant in the court a quo</w:t>
      </w:r>
      <w:r w:rsidR="00E952F3" w:rsidRPr="00BE43A7">
        <w:rPr>
          <w:rFonts w:ascii="Arial" w:hAnsi="Arial" w:cs="Arial"/>
          <w:i/>
          <w:sz w:val="24"/>
          <w:szCs w:val="24"/>
        </w:rPr>
        <w:t xml:space="preserve"> </w:t>
      </w:r>
      <w:r w:rsidR="00E952F3" w:rsidRPr="00BE43A7">
        <w:rPr>
          <w:rFonts w:ascii="Arial" w:hAnsi="Arial" w:cs="Arial"/>
          <w:sz w:val="24"/>
          <w:szCs w:val="24"/>
        </w:rPr>
        <w:t>further contended that the preservation of property order is interim</w:t>
      </w:r>
      <w:r w:rsidR="00735392" w:rsidRPr="00BE43A7">
        <w:rPr>
          <w:rFonts w:ascii="Arial" w:hAnsi="Arial" w:cs="Arial"/>
          <w:sz w:val="24"/>
          <w:szCs w:val="24"/>
        </w:rPr>
        <w:t>,</w:t>
      </w:r>
      <w:r w:rsidR="00E952F3" w:rsidRPr="00BE43A7">
        <w:rPr>
          <w:rFonts w:ascii="Arial" w:hAnsi="Arial" w:cs="Arial"/>
          <w:sz w:val="24"/>
          <w:szCs w:val="24"/>
        </w:rPr>
        <w:t xml:space="preserve"> but is not in any sense provisional, that it is an order made to preserve the property and remains in force until the forfeiture application is decided. As a result</w:t>
      </w:r>
      <w:r w:rsidR="00735392" w:rsidRPr="00BE43A7">
        <w:rPr>
          <w:rFonts w:ascii="Arial" w:hAnsi="Arial" w:cs="Arial"/>
          <w:sz w:val="24"/>
          <w:szCs w:val="24"/>
        </w:rPr>
        <w:t>,</w:t>
      </w:r>
      <w:r w:rsidR="00E952F3" w:rsidRPr="00BE43A7">
        <w:rPr>
          <w:rFonts w:ascii="Arial" w:hAnsi="Arial" w:cs="Arial"/>
          <w:sz w:val="24"/>
          <w:szCs w:val="24"/>
        </w:rPr>
        <w:t xml:space="preserve"> counsel submitted that a preservation order is final. Counsel relied for this submission on the decision of this court in the </w:t>
      </w:r>
      <w:r w:rsidR="00E952F3" w:rsidRPr="00BE43A7">
        <w:rPr>
          <w:rFonts w:ascii="Arial" w:hAnsi="Arial" w:cs="Arial"/>
          <w:i/>
          <w:sz w:val="24"/>
          <w:szCs w:val="24"/>
        </w:rPr>
        <w:t>Prosecutor-General v Uuyuni</w:t>
      </w:r>
      <w:r w:rsidR="00735392" w:rsidRPr="00BE43A7">
        <w:rPr>
          <w:rFonts w:ascii="Arial" w:hAnsi="Arial" w:cs="Arial"/>
          <w:i/>
          <w:sz w:val="24"/>
          <w:szCs w:val="24"/>
        </w:rPr>
        <w:t>,</w:t>
      </w:r>
      <w:r w:rsidR="00E952F3">
        <w:rPr>
          <w:rStyle w:val="FootnoteReference"/>
          <w:rFonts w:ascii="Arial" w:hAnsi="Arial" w:cs="Arial"/>
          <w:sz w:val="24"/>
          <w:szCs w:val="24"/>
        </w:rPr>
        <w:footnoteReference w:id="4"/>
      </w:r>
      <w:r w:rsidR="00E952F3" w:rsidRPr="00BE43A7">
        <w:rPr>
          <w:rFonts w:ascii="Arial" w:hAnsi="Arial" w:cs="Arial"/>
          <w:sz w:val="24"/>
          <w:szCs w:val="24"/>
        </w:rPr>
        <w:t xml:space="preserve"> where this court </w:t>
      </w:r>
      <w:r w:rsidR="00A34073" w:rsidRPr="00BE43A7">
        <w:rPr>
          <w:rFonts w:ascii="Arial" w:hAnsi="Arial" w:cs="Arial"/>
          <w:sz w:val="24"/>
          <w:szCs w:val="24"/>
        </w:rPr>
        <w:t xml:space="preserve">in the course of its judgment </w:t>
      </w:r>
      <w:r w:rsidR="00A34073" w:rsidRPr="00BE43A7">
        <w:rPr>
          <w:rFonts w:ascii="Arial" w:hAnsi="Arial" w:cs="Arial"/>
          <w:i/>
          <w:sz w:val="24"/>
          <w:szCs w:val="24"/>
        </w:rPr>
        <w:t xml:space="preserve">obiter </w:t>
      </w:r>
      <w:r w:rsidR="00A34073" w:rsidRPr="00BE43A7">
        <w:rPr>
          <w:rFonts w:ascii="Arial" w:hAnsi="Arial" w:cs="Arial"/>
          <w:sz w:val="24"/>
          <w:szCs w:val="24"/>
        </w:rPr>
        <w:t>stated</w:t>
      </w:r>
      <w:r w:rsidR="00E952F3" w:rsidRPr="00BE43A7">
        <w:rPr>
          <w:rFonts w:ascii="Arial" w:hAnsi="Arial" w:cs="Arial"/>
          <w:sz w:val="24"/>
          <w:szCs w:val="24"/>
        </w:rPr>
        <w:t xml:space="preserve"> that the POCA </w:t>
      </w:r>
      <w:r w:rsidR="006956D3" w:rsidRPr="00BE43A7">
        <w:rPr>
          <w:rFonts w:ascii="Arial" w:hAnsi="Arial" w:cs="Arial"/>
          <w:sz w:val="24"/>
          <w:szCs w:val="24"/>
        </w:rPr>
        <w:t xml:space="preserve">s </w:t>
      </w:r>
      <w:r w:rsidR="00E952F3" w:rsidRPr="00BE43A7">
        <w:rPr>
          <w:rFonts w:ascii="Arial" w:hAnsi="Arial" w:cs="Arial"/>
          <w:sz w:val="24"/>
          <w:szCs w:val="24"/>
        </w:rPr>
        <w:t>51</w:t>
      </w:r>
      <w:r w:rsidR="006956D3" w:rsidRPr="00BE43A7">
        <w:rPr>
          <w:rFonts w:ascii="Arial" w:hAnsi="Arial" w:cs="Arial"/>
          <w:sz w:val="24"/>
          <w:szCs w:val="24"/>
        </w:rPr>
        <w:t xml:space="preserve"> application,</w:t>
      </w:r>
      <w:r w:rsidR="00E952F3" w:rsidRPr="00BE43A7">
        <w:rPr>
          <w:rFonts w:ascii="Arial" w:hAnsi="Arial" w:cs="Arial"/>
          <w:sz w:val="24"/>
          <w:szCs w:val="24"/>
        </w:rPr>
        <w:t xml:space="preserve"> is </w:t>
      </w:r>
      <w:r w:rsidR="00E952F3" w:rsidRPr="00BE43A7">
        <w:rPr>
          <w:rFonts w:ascii="Arial" w:hAnsi="Arial" w:cs="Arial"/>
          <w:i/>
          <w:sz w:val="24"/>
          <w:szCs w:val="24"/>
        </w:rPr>
        <w:t xml:space="preserve">ex parte </w:t>
      </w:r>
      <w:r w:rsidR="00E952F3" w:rsidRPr="00BE43A7">
        <w:rPr>
          <w:rFonts w:ascii="Arial" w:hAnsi="Arial" w:cs="Arial"/>
          <w:sz w:val="24"/>
          <w:szCs w:val="24"/>
        </w:rPr>
        <w:t xml:space="preserve">and does not make provision for a </w:t>
      </w:r>
      <w:r w:rsidR="00E952F3" w:rsidRPr="00BE43A7">
        <w:rPr>
          <w:rFonts w:ascii="Arial" w:hAnsi="Arial" w:cs="Arial"/>
          <w:i/>
          <w:sz w:val="24"/>
          <w:szCs w:val="24"/>
        </w:rPr>
        <w:t>rule nisi</w:t>
      </w:r>
      <w:r w:rsidR="00A34073" w:rsidRPr="00BE43A7">
        <w:rPr>
          <w:rFonts w:ascii="Arial" w:hAnsi="Arial" w:cs="Arial"/>
          <w:sz w:val="24"/>
          <w:szCs w:val="24"/>
        </w:rPr>
        <w:t>. It was</w:t>
      </w:r>
      <w:r w:rsidR="00E952F3" w:rsidRPr="00BE43A7">
        <w:rPr>
          <w:rFonts w:ascii="Arial" w:hAnsi="Arial" w:cs="Arial"/>
          <w:sz w:val="24"/>
          <w:szCs w:val="24"/>
        </w:rPr>
        <w:t xml:space="preserve"> therefore</w:t>
      </w:r>
      <w:r w:rsidR="00A34073" w:rsidRPr="00BE43A7">
        <w:rPr>
          <w:rFonts w:ascii="Arial" w:hAnsi="Arial" w:cs="Arial"/>
          <w:sz w:val="24"/>
          <w:szCs w:val="24"/>
        </w:rPr>
        <w:t>, submitted that</w:t>
      </w:r>
      <w:r w:rsidR="00E952F3" w:rsidRPr="00BE43A7">
        <w:rPr>
          <w:rFonts w:ascii="Arial" w:hAnsi="Arial" w:cs="Arial"/>
          <w:sz w:val="24"/>
          <w:szCs w:val="24"/>
        </w:rPr>
        <w:t xml:space="preserve"> the respondents had adopted an irregular procedure and their application should have been dismissed.</w:t>
      </w:r>
    </w:p>
    <w:p w:rsidR="00BE43A7" w:rsidRDefault="00BE43A7" w:rsidP="00BE43A7">
      <w:pPr>
        <w:pStyle w:val="ListParagraph"/>
        <w:tabs>
          <w:tab w:val="left" w:pos="851"/>
        </w:tabs>
        <w:spacing w:after="0" w:line="480" w:lineRule="auto"/>
        <w:ind w:left="0"/>
        <w:jc w:val="both"/>
        <w:rPr>
          <w:rFonts w:ascii="Arial" w:hAnsi="Arial" w:cs="Arial"/>
          <w:sz w:val="24"/>
          <w:szCs w:val="24"/>
        </w:rPr>
      </w:pPr>
    </w:p>
    <w:p w:rsidR="00E952F3" w:rsidRPr="00BE43A7" w:rsidRDefault="00770E57" w:rsidP="00BE43A7">
      <w:pPr>
        <w:pStyle w:val="ListParagraph"/>
        <w:numPr>
          <w:ilvl w:val="0"/>
          <w:numId w:val="1"/>
        </w:numPr>
        <w:tabs>
          <w:tab w:val="left" w:pos="851"/>
        </w:tabs>
        <w:spacing w:after="0" w:line="480" w:lineRule="auto"/>
        <w:ind w:left="0" w:firstLine="0"/>
        <w:jc w:val="both"/>
        <w:rPr>
          <w:rFonts w:ascii="Arial" w:hAnsi="Arial" w:cs="Arial"/>
          <w:sz w:val="24"/>
          <w:szCs w:val="24"/>
        </w:rPr>
      </w:pPr>
      <w:r w:rsidRPr="00BE43A7">
        <w:rPr>
          <w:rFonts w:ascii="Arial" w:hAnsi="Arial" w:cs="Arial"/>
          <w:sz w:val="24"/>
          <w:szCs w:val="24"/>
        </w:rPr>
        <w:t xml:space="preserve">The High Court rejected that argument on the authority of the </w:t>
      </w:r>
      <w:r w:rsidRPr="00BE43A7">
        <w:rPr>
          <w:rFonts w:ascii="Arial" w:hAnsi="Arial" w:cs="Arial"/>
          <w:i/>
          <w:sz w:val="24"/>
          <w:szCs w:val="24"/>
        </w:rPr>
        <w:t>Prosecutor-General v Lameck</w:t>
      </w:r>
      <w:r w:rsidR="007F3974">
        <w:rPr>
          <w:rStyle w:val="FootnoteReference"/>
          <w:rFonts w:ascii="Arial" w:hAnsi="Arial" w:cs="Arial"/>
          <w:sz w:val="24"/>
          <w:szCs w:val="24"/>
        </w:rPr>
        <w:footnoteReference w:id="5"/>
      </w:r>
      <w:r w:rsidR="00BE43A7">
        <w:rPr>
          <w:rFonts w:ascii="Arial" w:hAnsi="Arial" w:cs="Arial"/>
          <w:i/>
          <w:sz w:val="24"/>
          <w:szCs w:val="24"/>
        </w:rPr>
        <w:t>,</w:t>
      </w:r>
      <w:r w:rsidR="007F3974" w:rsidRPr="00BE43A7">
        <w:rPr>
          <w:rFonts w:ascii="Arial" w:hAnsi="Arial" w:cs="Arial"/>
          <w:sz w:val="24"/>
          <w:szCs w:val="24"/>
        </w:rPr>
        <w:t xml:space="preserve"> </w:t>
      </w:r>
      <w:r w:rsidRPr="00BE43A7">
        <w:rPr>
          <w:rFonts w:ascii="Arial" w:hAnsi="Arial" w:cs="Arial"/>
          <w:i/>
          <w:sz w:val="24"/>
          <w:szCs w:val="24"/>
        </w:rPr>
        <w:t>Shalli</w:t>
      </w:r>
      <w:r w:rsidR="007F3974" w:rsidRPr="00BE43A7">
        <w:rPr>
          <w:rFonts w:ascii="Arial" w:hAnsi="Arial" w:cs="Arial"/>
          <w:i/>
          <w:sz w:val="24"/>
          <w:szCs w:val="24"/>
        </w:rPr>
        <w:t xml:space="preserve"> v Attorney General</w:t>
      </w:r>
      <w:r w:rsidR="007F3974" w:rsidRPr="00BE43A7">
        <w:rPr>
          <w:rFonts w:ascii="Arial" w:hAnsi="Arial" w:cs="Arial"/>
          <w:sz w:val="24"/>
          <w:szCs w:val="24"/>
        </w:rPr>
        <w:t xml:space="preserve"> </w:t>
      </w:r>
      <w:r w:rsidR="007C0FAD">
        <w:rPr>
          <w:rFonts w:ascii="Arial" w:hAnsi="Arial" w:cs="Arial"/>
          <w:sz w:val="24"/>
          <w:szCs w:val="24"/>
        </w:rPr>
        <w:t>&amp;</w:t>
      </w:r>
      <w:r w:rsidR="007F3974" w:rsidRPr="00BE43A7">
        <w:rPr>
          <w:rFonts w:ascii="Arial" w:hAnsi="Arial" w:cs="Arial"/>
          <w:i/>
          <w:sz w:val="24"/>
          <w:szCs w:val="24"/>
        </w:rPr>
        <w:t xml:space="preserve"> another</w:t>
      </w:r>
      <w:r w:rsidR="007F3974">
        <w:rPr>
          <w:rStyle w:val="FootnoteReference"/>
          <w:rFonts w:ascii="Arial" w:hAnsi="Arial" w:cs="Arial"/>
          <w:sz w:val="24"/>
          <w:szCs w:val="24"/>
        </w:rPr>
        <w:footnoteReference w:id="6"/>
      </w:r>
      <w:r w:rsidR="007F3974" w:rsidRPr="00BE43A7">
        <w:rPr>
          <w:rFonts w:ascii="Arial" w:hAnsi="Arial" w:cs="Arial"/>
          <w:sz w:val="24"/>
          <w:szCs w:val="24"/>
        </w:rPr>
        <w:t xml:space="preserve"> </w:t>
      </w:r>
      <w:r w:rsidR="007F3974" w:rsidRPr="00BE43A7">
        <w:rPr>
          <w:rFonts w:ascii="Arial" w:hAnsi="Arial" w:cs="Arial"/>
          <w:i/>
          <w:sz w:val="24"/>
          <w:szCs w:val="24"/>
        </w:rPr>
        <w:t>and National Director of</w:t>
      </w:r>
      <w:r w:rsidR="007F3974" w:rsidRPr="00BE43A7">
        <w:rPr>
          <w:rFonts w:ascii="Arial" w:hAnsi="Arial" w:cs="Arial"/>
          <w:sz w:val="24"/>
          <w:szCs w:val="24"/>
        </w:rPr>
        <w:t xml:space="preserve"> </w:t>
      </w:r>
      <w:r w:rsidR="007F3974" w:rsidRPr="00BE43A7">
        <w:rPr>
          <w:rFonts w:ascii="Arial" w:hAnsi="Arial" w:cs="Arial"/>
          <w:i/>
          <w:sz w:val="24"/>
          <w:szCs w:val="24"/>
        </w:rPr>
        <w:lastRenderedPageBreak/>
        <w:t xml:space="preserve">Public Prosecutions v Braun </w:t>
      </w:r>
      <w:r w:rsidR="007C0FAD">
        <w:rPr>
          <w:rFonts w:ascii="Arial" w:hAnsi="Arial" w:cs="Arial"/>
          <w:i/>
          <w:sz w:val="24"/>
          <w:szCs w:val="24"/>
        </w:rPr>
        <w:t>&amp;</w:t>
      </w:r>
      <w:r w:rsidR="007F3974" w:rsidRPr="00BE43A7">
        <w:rPr>
          <w:rFonts w:ascii="Arial" w:hAnsi="Arial" w:cs="Arial"/>
          <w:i/>
          <w:sz w:val="24"/>
          <w:szCs w:val="24"/>
        </w:rPr>
        <w:t xml:space="preserve"> another</w:t>
      </w:r>
      <w:r w:rsidR="007F3974">
        <w:rPr>
          <w:rStyle w:val="FootnoteReference"/>
          <w:rFonts w:ascii="Arial" w:hAnsi="Arial" w:cs="Arial"/>
          <w:sz w:val="24"/>
          <w:szCs w:val="24"/>
        </w:rPr>
        <w:footnoteReference w:id="7"/>
      </w:r>
      <w:r w:rsidR="007F3974" w:rsidRPr="00BE43A7">
        <w:rPr>
          <w:rFonts w:ascii="Arial" w:hAnsi="Arial" w:cs="Arial"/>
          <w:sz w:val="24"/>
          <w:szCs w:val="24"/>
        </w:rPr>
        <w:t xml:space="preserve"> and held that the applicants were entitled to have anticipated the preservation order granted by the </w:t>
      </w:r>
      <w:r w:rsidR="00735392" w:rsidRPr="00BE43A7">
        <w:rPr>
          <w:rFonts w:ascii="Arial" w:hAnsi="Arial" w:cs="Arial"/>
          <w:sz w:val="24"/>
          <w:szCs w:val="24"/>
        </w:rPr>
        <w:t xml:space="preserve">court </w:t>
      </w:r>
      <w:r w:rsidR="00735392" w:rsidRPr="00B303CA">
        <w:rPr>
          <w:rFonts w:ascii="Arial" w:hAnsi="Arial" w:cs="Arial"/>
          <w:sz w:val="24"/>
          <w:szCs w:val="24"/>
        </w:rPr>
        <w:t>a quo</w:t>
      </w:r>
      <w:r w:rsidR="007F3974" w:rsidRPr="00BE43A7">
        <w:rPr>
          <w:rFonts w:ascii="Arial" w:hAnsi="Arial" w:cs="Arial"/>
          <w:sz w:val="24"/>
          <w:szCs w:val="24"/>
        </w:rPr>
        <w:t xml:space="preserve"> on 26 May 2017 under case number POCA 8/2017. </w:t>
      </w:r>
    </w:p>
    <w:p w:rsidR="00BE43A7" w:rsidRPr="00AB14CF" w:rsidRDefault="00BE43A7" w:rsidP="007C0FAD">
      <w:pPr>
        <w:pStyle w:val="ListParagraph"/>
        <w:spacing w:after="0" w:line="480" w:lineRule="auto"/>
        <w:jc w:val="both"/>
        <w:rPr>
          <w:rFonts w:ascii="Arial" w:hAnsi="Arial" w:cs="Arial"/>
          <w:sz w:val="24"/>
          <w:szCs w:val="24"/>
        </w:rPr>
      </w:pPr>
    </w:p>
    <w:p w:rsidR="007F3974" w:rsidRDefault="007F3974" w:rsidP="00D04B5A">
      <w:pPr>
        <w:pStyle w:val="ListParagraph"/>
        <w:numPr>
          <w:ilvl w:val="0"/>
          <w:numId w:val="1"/>
        </w:numPr>
        <w:tabs>
          <w:tab w:val="left" w:pos="851"/>
        </w:tabs>
        <w:spacing w:after="0" w:line="480" w:lineRule="auto"/>
        <w:ind w:left="0" w:right="-143" w:firstLine="0"/>
        <w:jc w:val="both"/>
        <w:rPr>
          <w:rFonts w:ascii="Arial" w:hAnsi="Arial" w:cs="Arial"/>
          <w:sz w:val="24"/>
          <w:szCs w:val="24"/>
        </w:rPr>
      </w:pPr>
      <w:r w:rsidRPr="00BE43A7">
        <w:rPr>
          <w:rFonts w:ascii="Arial" w:hAnsi="Arial" w:cs="Arial"/>
          <w:sz w:val="24"/>
          <w:szCs w:val="24"/>
        </w:rPr>
        <w:t>In this court, counsel for the appellant</w:t>
      </w:r>
      <w:r w:rsidR="00BE43A7">
        <w:rPr>
          <w:rFonts w:ascii="Arial" w:hAnsi="Arial" w:cs="Arial"/>
          <w:sz w:val="24"/>
          <w:szCs w:val="24"/>
        </w:rPr>
        <w:t xml:space="preserve"> sought to</w:t>
      </w:r>
      <w:r w:rsidRPr="00BE43A7">
        <w:rPr>
          <w:rFonts w:ascii="Arial" w:hAnsi="Arial" w:cs="Arial"/>
          <w:sz w:val="24"/>
          <w:szCs w:val="24"/>
        </w:rPr>
        <w:t xml:space="preserve"> draw </w:t>
      </w:r>
      <w:r w:rsidR="00BE43A7">
        <w:rPr>
          <w:rFonts w:ascii="Arial" w:hAnsi="Arial" w:cs="Arial"/>
          <w:sz w:val="24"/>
          <w:szCs w:val="24"/>
        </w:rPr>
        <w:t xml:space="preserve">a </w:t>
      </w:r>
      <w:r w:rsidRPr="00BE43A7">
        <w:rPr>
          <w:rFonts w:ascii="Arial" w:hAnsi="Arial" w:cs="Arial"/>
          <w:sz w:val="24"/>
          <w:szCs w:val="24"/>
        </w:rPr>
        <w:t xml:space="preserve">distinction between </w:t>
      </w:r>
      <w:r w:rsidR="00DF6C53">
        <w:rPr>
          <w:rFonts w:ascii="Arial" w:hAnsi="Arial" w:cs="Arial"/>
          <w:sz w:val="24"/>
          <w:szCs w:val="24"/>
        </w:rPr>
        <w:t>r</w:t>
      </w:r>
      <w:r w:rsidRPr="00BE43A7">
        <w:rPr>
          <w:rFonts w:ascii="Arial" w:hAnsi="Arial" w:cs="Arial"/>
          <w:sz w:val="24"/>
          <w:szCs w:val="24"/>
        </w:rPr>
        <w:t>ule 6(12)(</w:t>
      </w:r>
      <w:r w:rsidRPr="00BE43A7">
        <w:rPr>
          <w:rFonts w:ascii="Arial" w:hAnsi="Arial" w:cs="Arial"/>
          <w:i/>
          <w:sz w:val="24"/>
          <w:szCs w:val="24"/>
        </w:rPr>
        <w:t>c</w:t>
      </w:r>
      <w:r w:rsidRPr="00BE43A7">
        <w:rPr>
          <w:rFonts w:ascii="Arial" w:hAnsi="Arial" w:cs="Arial"/>
          <w:sz w:val="24"/>
          <w:szCs w:val="24"/>
        </w:rPr>
        <w:t>)</w:t>
      </w:r>
      <w:r>
        <w:rPr>
          <w:rStyle w:val="FootnoteReference"/>
          <w:rFonts w:ascii="Arial" w:hAnsi="Arial" w:cs="Arial"/>
          <w:sz w:val="24"/>
          <w:szCs w:val="24"/>
        </w:rPr>
        <w:footnoteReference w:id="8"/>
      </w:r>
      <w:r w:rsidR="00F511A3" w:rsidRPr="00BE43A7">
        <w:rPr>
          <w:rFonts w:ascii="Arial" w:hAnsi="Arial" w:cs="Arial"/>
          <w:sz w:val="24"/>
          <w:szCs w:val="24"/>
        </w:rPr>
        <w:t xml:space="preserve"> of the Uniform Rules of South Africa</w:t>
      </w:r>
      <w:r w:rsidR="00735392" w:rsidRPr="00BE43A7">
        <w:rPr>
          <w:rFonts w:ascii="Arial" w:hAnsi="Arial" w:cs="Arial"/>
          <w:sz w:val="24"/>
          <w:szCs w:val="24"/>
        </w:rPr>
        <w:t>,</w:t>
      </w:r>
      <w:r w:rsidR="00F511A3" w:rsidRPr="00BE43A7">
        <w:rPr>
          <w:rFonts w:ascii="Arial" w:hAnsi="Arial" w:cs="Arial"/>
          <w:sz w:val="24"/>
          <w:szCs w:val="24"/>
        </w:rPr>
        <w:t xml:space="preserve"> which </w:t>
      </w:r>
      <w:r w:rsidR="00193430" w:rsidRPr="00BE43A7">
        <w:rPr>
          <w:rFonts w:ascii="Arial" w:hAnsi="Arial" w:cs="Arial"/>
          <w:sz w:val="24"/>
          <w:szCs w:val="24"/>
        </w:rPr>
        <w:t>r</w:t>
      </w:r>
      <w:r w:rsidR="00F511A3" w:rsidRPr="00BE43A7">
        <w:rPr>
          <w:rFonts w:ascii="Arial" w:hAnsi="Arial" w:cs="Arial"/>
          <w:sz w:val="24"/>
          <w:szCs w:val="24"/>
        </w:rPr>
        <w:t xml:space="preserve">ule the court in the </w:t>
      </w:r>
      <w:r w:rsidR="00F511A3" w:rsidRPr="00BE43A7">
        <w:rPr>
          <w:rFonts w:ascii="Arial" w:hAnsi="Arial" w:cs="Arial"/>
          <w:i/>
          <w:sz w:val="24"/>
          <w:szCs w:val="24"/>
        </w:rPr>
        <w:t>Braun</w:t>
      </w:r>
      <w:r w:rsidR="00F511A3" w:rsidRPr="00BE43A7">
        <w:rPr>
          <w:rFonts w:ascii="Arial" w:hAnsi="Arial" w:cs="Arial"/>
          <w:sz w:val="24"/>
          <w:szCs w:val="24"/>
        </w:rPr>
        <w:t xml:space="preserve"> matter held to be</w:t>
      </w:r>
      <w:r w:rsidR="00735392" w:rsidRPr="00BE43A7">
        <w:rPr>
          <w:rFonts w:ascii="Arial" w:hAnsi="Arial" w:cs="Arial"/>
          <w:sz w:val="24"/>
          <w:szCs w:val="24"/>
        </w:rPr>
        <w:t xml:space="preserve"> a</w:t>
      </w:r>
      <w:r w:rsidR="00F511A3" w:rsidRPr="00BE43A7">
        <w:rPr>
          <w:rFonts w:ascii="Arial" w:hAnsi="Arial" w:cs="Arial"/>
          <w:sz w:val="24"/>
          <w:szCs w:val="24"/>
        </w:rPr>
        <w:t xml:space="preserve"> procedural remedy which gives recognition to the importance of the </w:t>
      </w:r>
      <w:r w:rsidR="00F511A3" w:rsidRPr="00BE43A7">
        <w:rPr>
          <w:rFonts w:ascii="Arial" w:hAnsi="Arial" w:cs="Arial"/>
          <w:i/>
          <w:sz w:val="24"/>
          <w:szCs w:val="24"/>
        </w:rPr>
        <w:t>audi</w:t>
      </w:r>
      <w:r w:rsidR="00F511A3" w:rsidRPr="00BE43A7">
        <w:rPr>
          <w:rFonts w:ascii="Arial" w:hAnsi="Arial" w:cs="Arial"/>
          <w:sz w:val="24"/>
          <w:szCs w:val="24"/>
        </w:rPr>
        <w:t xml:space="preserve"> </w:t>
      </w:r>
      <w:r w:rsidR="006B2FFC" w:rsidRPr="00BE43A7">
        <w:rPr>
          <w:rFonts w:ascii="Arial" w:hAnsi="Arial" w:cs="Arial"/>
          <w:sz w:val="24"/>
          <w:szCs w:val="24"/>
        </w:rPr>
        <w:t xml:space="preserve">principle and </w:t>
      </w:r>
      <w:r w:rsidR="00DF6C53">
        <w:rPr>
          <w:rFonts w:ascii="Arial" w:hAnsi="Arial" w:cs="Arial"/>
          <w:sz w:val="24"/>
          <w:szCs w:val="24"/>
        </w:rPr>
        <w:t>r</w:t>
      </w:r>
      <w:r w:rsidR="006B2FFC" w:rsidRPr="00BE43A7">
        <w:rPr>
          <w:rFonts w:ascii="Arial" w:hAnsi="Arial" w:cs="Arial"/>
          <w:sz w:val="24"/>
          <w:szCs w:val="24"/>
        </w:rPr>
        <w:t>ule 72(7)</w:t>
      </w:r>
      <w:r w:rsidR="009801D5">
        <w:rPr>
          <w:rStyle w:val="FootnoteReference"/>
          <w:rFonts w:ascii="Arial" w:hAnsi="Arial" w:cs="Arial"/>
          <w:sz w:val="24"/>
          <w:szCs w:val="24"/>
        </w:rPr>
        <w:footnoteReference w:id="9"/>
      </w:r>
      <w:r w:rsidR="00BE43A7">
        <w:rPr>
          <w:rFonts w:ascii="Arial" w:hAnsi="Arial" w:cs="Arial"/>
          <w:sz w:val="24"/>
          <w:szCs w:val="24"/>
        </w:rPr>
        <w:t xml:space="preserve"> of the High Court and argued</w:t>
      </w:r>
      <w:r w:rsidR="006B2FFC" w:rsidRPr="00BE43A7">
        <w:rPr>
          <w:rFonts w:ascii="Arial" w:hAnsi="Arial" w:cs="Arial"/>
          <w:sz w:val="24"/>
          <w:szCs w:val="24"/>
        </w:rPr>
        <w:t xml:space="preserve"> that the </w:t>
      </w:r>
      <w:r w:rsidR="006B2FFC" w:rsidRPr="00BE43A7">
        <w:rPr>
          <w:rFonts w:ascii="Arial" w:hAnsi="Arial" w:cs="Arial"/>
          <w:i/>
          <w:sz w:val="24"/>
          <w:szCs w:val="24"/>
        </w:rPr>
        <w:t>Braun</w:t>
      </w:r>
      <w:r w:rsidR="006B2FFC" w:rsidRPr="00BE43A7">
        <w:rPr>
          <w:rFonts w:ascii="Arial" w:hAnsi="Arial" w:cs="Arial"/>
          <w:sz w:val="24"/>
          <w:szCs w:val="24"/>
        </w:rPr>
        <w:t xml:space="preserve"> matter is not a</w:t>
      </w:r>
      <w:r w:rsidR="00EE42E0" w:rsidRPr="00BE43A7">
        <w:rPr>
          <w:rFonts w:ascii="Arial" w:hAnsi="Arial" w:cs="Arial"/>
          <w:sz w:val="24"/>
          <w:szCs w:val="24"/>
        </w:rPr>
        <w:t xml:space="preserve">uthority </w:t>
      </w:r>
      <w:r w:rsidR="00BE43A7">
        <w:rPr>
          <w:rFonts w:ascii="Arial" w:hAnsi="Arial" w:cs="Arial"/>
          <w:sz w:val="24"/>
          <w:szCs w:val="24"/>
        </w:rPr>
        <w:t>for the</w:t>
      </w:r>
      <w:r w:rsidR="00EE42E0" w:rsidRPr="00BE43A7">
        <w:rPr>
          <w:rFonts w:ascii="Arial" w:hAnsi="Arial" w:cs="Arial"/>
          <w:sz w:val="24"/>
          <w:szCs w:val="24"/>
        </w:rPr>
        <w:t xml:space="preserve"> anticipat</w:t>
      </w:r>
      <w:r w:rsidR="00BE43A7">
        <w:rPr>
          <w:rFonts w:ascii="Arial" w:hAnsi="Arial" w:cs="Arial"/>
          <w:sz w:val="24"/>
          <w:szCs w:val="24"/>
        </w:rPr>
        <w:t>ion of</w:t>
      </w:r>
      <w:r w:rsidR="00EE42E0" w:rsidRPr="00BE43A7">
        <w:rPr>
          <w:rFonts w:ascii="Arial" w:hAnsi="Arial" w:cs="Arial"/>
          <w:sz w:val="24"/>
          <w:szCs w:val="24"/>
        </w:rPr>
        <w:t xml:space="preserve"> an order granted </w:t>
      </w:r>
      <w:r w:rsidR="00EE42E0" w:rsidRPr="00BE43A7">
        <w:rPr>
          <w:rFonts w:ascii="Arial" w:hAnsi="Arial" w:cs="Arial"/>
          <w:i/>
          <w:sz w:val="24"/>
          <w:szCs w:val="24"/>
        </w:rPr>
        <w:t xml:space="preserve">ex parte </w:t>
      </w:r>
      <w:r w:rsidR="00EE42E0" w:rsidRPr="00BE43A7">
        <w:rPr>
          <w:rFonts w:ascii="Arial" w:hAnsi="Arial" w:cs="Arial"/>
          <w:sz w:val="24"/>
          <w:szCs w:val="24"/>
        </w:rPr>
        <w:t xml:space="preserve">without a </w:t>
      </w:r>
      <w:r w:rsidR="00EE42E0" w:rsidRPr="00DF6C53">
        <w:rPr>
          <w:rFonts w:ascii="Arial" w:hAnsi="Arial" w:cs="Arial"/>
          <w:i/>
          <w:sz w:val="24"/>
          <w:szCs w:val="24"/>
        </w:rPr>
        <w:t>rule</w:t>
      </w:r>
      <w:r w:rsidR="00EE42E0" w:rsidRPr="00BE43A7">
        <w:rPr>
          <w:rFonts w:ascii="Arial" w:hAnsi="Arial" w:cs="Arial"/>
          <w:i/>
          <w:sz w:val="24"/>
          <w:szCs w:val="24"/>
        </w:rPr>
        <w:t xml:space="preserve"> nisi</w:t>
      </w:r>
      <w:r w:rsidR="00EE42E0" w:rsidRPr="00BE43A7">
        <w:rPr>
          <w:rFonts w:ascii="Arial" w:hAnsi="Arial" w:cs="Arial"/>
          <w:sz w:val="24"/>
          <w:szCs w:val="24"/>
        </w:rPr>
        <w:t xml:space="preserve"> and that the judgment had nothing to do with anticipation. Counsel further </w:t>
      </w:r>
      <w:r w:rsidR="00193430" w:rsidRPr="00BE43A7">
        <w:rPr>
          <w:rFonts w:ascii="Arial" w:hAnsi="Arial" w:cs="Arial"/>
          <w:sz w:val="24"/>
          <w:szCs w:val="24"/>
        </w:rPr>
        <w:t xml:space="preserve">contended that the court </w:t>
      </w:r>
      <w:r w:rsidR="00193430" w:rsidRPr="00B303CA">
        <w:rPr>
          <w:rFonts w:ascii="Arial" w:hAnsi="Arial" w:cs="Arial"/>
          <w:sz w:val="24"/>
          <w:szCs w:val="24"/>
        </w:rPr>
        <w:t>a quo</w:t>
      </w:r>
      <w:r w:rsidR="00193430" w:rsidRPr="00BE43A7">
        <w:rPr>
          <w:rFonts w:ascii="Arial" w:hAnsi="Arial" w:cs="Arial"/>
          <w:i/>
          <w:sz w:val="24"/>
          <w:szCs w:val="24"/>
        </w:rPr>
        <w:t xml:space="preserve"> </w:t>
      </w:r>
      <w:r w:rsidR="00193430" w:rsidRPr="00BE43A7">
        <w:rPr>
          <w:rFonts w:ascii="Arial" w:hAnsi="Arial" w:cs="Arial"/>
          <w:sz w:val="24"/>
          <w:szCs w:val="24"/>
        </w:rPr>
        <w:t>appear</w:t>
      </w:r>
      <w:r w:rsidR="00BE43A7">
        <w:rPr>
          <w:rFonts w:ascii="Arial" w:hAnsi="Arial" w:cs="Arial"/>
          <w:sz w:val="24"/>
          <w:szCs w:val="24"/>
        </w:rPr>
        <w:t>ed</w:t>
      </w:r>
      <w:r w:rsidR="00193430" w:rsidRPr="00BE43A7">
        <w:rPr>
          <w:rFonts w:ascii="Arial" w:hAnsi="Arial" w:cs="Arial"/>
          <w:sz w:val="24"/>
          <w:szCs w:val="24"/>
        </w:rPr>
        <w:t xml:space="preserve"> to have merged a notice to anticipate in terms of </w:t>
      </w:r>
      <w:r w:rsidR="00DF6C53">
        <w:rPr>
          <w:rFonts w:ascii="Arial" w:hAnsi="Arial" w:cs="Arial"/>
          <w:sz w:val="24"/>
          <w:szCs w:val="24"/>
        </w:rPr>
        <w:t>r</w:t>
      </w:r>
      <w:r w:rsidR="00193430" w:rsidRPr="00BE43A7">
        <w:rPr>
          <w:rFonts w:ascii="Arial" w:hAnsi="Arial" w:cs="Arial"/>
          <w:sz w:val="24"/>
          <w:szCs w:val="24"/>
        </w:rPr>
        <w:t xml:space="preserve">ule 72(7) of the </w:t>
      </w:r>
      <w:r w:rsidR="00DF6C53">
        <w:rPr>
          <w:rFonts w:ascii="Arial" w:hAnsi="Arial" w:cs="Arial"/>
          <w:sz w:val="24"/>
          <w:szCs w:val="24"/>
        </w:rPr>
        <w:t>r</w:t>
      </w:r>
      <w:r w:rsidR="00193430" w:rsidRPr="00BE43A7">
        <w:rPr>
          <w:rFonts w:ascii="Arial" w:hAnsi="Arial" w:cs="Arial"/>
          <w:sz w:val="24"/>
          <w:szCs w:val="24"/>
        </w:rPr>
        <w:t xml:space="preserve">ules of the High Court with the notice for reconsideration in terms of </w:t>
      </w:r>
      <w:r w:rsidR="00DF6C53">
        <w:rPr>
          <w:rFonts w:ascii="Arial" w:hAnsi="Arial" w:cs="Arial"/>
          <w:sz w:val="24"/>
          <w:szCs w:val="24"/>
        </w:rPr>
        <w:t>r</w:t>
      </w:r>
      <w:r w:rsidR="00193430" w:rsidRPr="00BE43A7">
        <w:rPr>
          <w:rFonts w:ascii="Arial" w:hAnsi="Arial" w:cs="Arial"/>
          <w:sz w:val="24"/>
          <w:szCs w:val="24"/>
        </w:rPr>
        <w:t>ule 6(12</w:t>
      </w:r>
      <w:r w:rsidR="009976D3" w:rsidRPr="00BE43A7">
        <w:rPr>
          <w:rFonts w:ascii="Arial" w:hAnsi="Arial" w:cs="Arial"/>
          <w:sz w:val="24"/>
          <w:szCs w:val="24"/>
        </w:rPr>
        <w:t>)</w:t>
      </w:r>
      <w:r w:rsidR="00193430" w:rsidRPr="00BE43A7">
        <w:rPr>
          <w:rFonts w:ascii="Arial" w:hAnsi="Arial" w:cs="Arial"/>
          <w:sz w:val="24"/>
          <w:szCs w:val="24"/>
        </w:rPr>
        <w:t>(</w:t>
      </w:r>
      <w:r w:rsidR="00193430" w:rsidRPr="00BE43A7">
        <w:rPr>
          <w:rFonts w:ascii="Arial" w:hAnsi="Arial" w:cs="Arial"/>
          <w:i/>
          <w:sz w:val="24"/>
          <w:szCs w:val="24"/>
        </w:rPr>
        <w:t>c</w:t>
      </w:r>
      <w:r w:rsidR="00193430" w:rsidRPr="00BE43A7">
        <w:rPr>
          <w:rFonts w:ascii="Arial" w:hAnsi="Arial" w:cs="Arial"/>
          <w:sz w:val="24"/>
          <w:szCs w:val="24"/>
        </w:rPr>
        <w:t xml:space="preserve">) of the Uniform Rules of South Africa. He further argued that for </w:t>
      </w:r>
      <w:r w:rsidR="00DF6C53">
        <w:rPr>
          <w:rFonts w:ascii="Arial" w:hAnsi="Arial" w:cs="Arial"/>
          <w:sz w:val="24"/>
          <w:szCs w:val="24"/>
        </w:rPr>
        <w:t>r</w:t>
      </w:r>
      <w:r w:rsidR="00193430" w:rsidRPr="00BE43A7">
        <w:rPr>
          <w:rFonts w:ascii="Arial" w:hAnsi="Arial" w:cs="Arial"/>
          <w:sz w:val="24"/>
          <w:szCs w:val="24"/>
        </w:rPr>
        <w:t xml:space="preserve">ule 72(7) to exist there must be an </w:t>
      </w:r>
      <w:r w:rsidR="00193430" w:rsidRPr="00BE43A7">
        <w:rPr>
          <w:rFonts w:ascii="Arial" w:hAnsi="Arial" w:cs="Arial"/>
          <w:i/>
          <w:sz w:val="24"/>
          <w:szCs w:val="24"/>
        </w:rPr>
        <w:t xml:space="preserve">ex parte </w:t>
      </w:r>
      <w:r w:rsidR="00193430" w:rsidRPr="00BE43A7">
        <w:rPr>
          <w:rFonts w:ascii="Arial" w:hAnsi="Arial" w:cs="Arial"/>
          <w:sz w:val="24"/>
          <w:szCs w:val="24"/>
        </w:rPr>
        <w:t xml:space="preserve">order granted against a person and a return day fixed and that the corresponding provision in the Uniform Rules of South Africa is </w:t>
      </w:r>
      <w:r w:rsidR="00DF6C53">
        <w:rPr>
          <w:rFonts w:ascii="Arial" w:hAnsi="Arial" w:cs="Arial"/>
          <w:sz w:val="24"/>
          <w:szCs w:val="24"/>
        </w:rPr>
        <w:t>r</w:t>
      </w:r>
      <w:r w:rsidR="00193430" w:rsidRPr="00BE43A7">
        <w:rPr>
          <w:rFonts w:ascii="Arial" w:hAnsi="Arial" w:cs="Arial"/>
          <w:sz w:val="24"/>
          <w:szCs w:val="24"/>
        </w:rPr>
        <w:t xml:space="preserve">ule 6(8) and not </w:t>
      </w:r>
      <w:r w:rsidR="00DF6C53">
        <w:rPr>
          <w:rFonts w:ascii="Arial" w:hAnsi="Arial" w:cs="Arial"/>
          <w:sz w:val="24"/>
          <w:szCs w:val="24"/>
        </w:rPr>
        <w:t>r</w:t>
      </w:r>
      <w:r w:rsidR="00193430" w:rsidRPr="00BE43A7">
        <w:rPr>
          <w:rFonts w:ascii="Arial" w:hAnsi="Arial" w:cs="Arial"/>
          <w:sz w:val="24"/>
          <w:szCs w:val="24"/>
        </w:rPr>
        <w:t>ule 6(12</w:t>
      </w:r>
      <w:r w:rsidR="009976D3" w:rsidRPr="00BE43A7">
        <w:rPr>
          <w:rFonts w:ascii="Arial" w:hAnsi="Arial" w:cs="Arial"/>
          <w:sz w:val="24"/>
          <w:szCs w:val="24"/>
        </w:rPr>
        <w:t>)</w:t>
      </w:r>
      <w:r w:rsidR="00193430" w:rsidRPr="00BE43A7">
        <w:rPr>
          <w:rFonts w:ascii="Arial" w:hAnsi="Arial" w:cs="Arial"/>
          <w:sz w:val="24"/>
          <w:szCs w:val="24"/>
        </w:rPr>
        <w:t>(</w:t>
      </w:r>
      <w:r w:rsidR="00193430" w:rsidRPr="00DF6C53">
        <w:rPr>
          <w:rFonts w:ascii="Arial" w:hAnsi="Arial" w:cs="Arial"/>
          <w:sz w:val="24"/>
          <w:szCs w:val="24"/>
        </w:rPr>
        <w:t>c</w:t>
      </w:r>
      <w:r w:rsidR="00193430" w:rsidRPr="00BE43A7">
        <w:rPr>
          <w:rFonts w:ascii="Arial" w:hAnsi="Arial" w:cs="Arial"/>
          <w:sz w:val="24"/>
          <w:szCs w:val="24"/>
        </w:rPr>
        <w:t xml:space="preserve">). Rule 72(7) comes to the aid of a person who has been taken by surprise by an order granted </w:t>
      </w:r>
      <w:r w:rsidR="00193430" w:rsidRPr="00BE43A7">
        <w:rPr>
          <w:rFonts w:ascii="Arial" w:hAnsi="Arial" w:cs="Arial"/>
          <w:i/>
          <w:sz w:val="24"/>
          <w:szCs w:val="24"/>
        </w:rPr>
        <w:t>ex</w:t>
      </w:r>
      <w:r w:rsidR="00960A91" w:rsidRPr="00BE43A7">
        <w:rPr>
          <w:rFonts w:ascii="Arial" w:hAnsi="Arial" w:cs="Arial"/>
          <w:i/>
          <w:sz w:val="24"/>
          <w:szCs w:val="24"/>
        </w:rPr>
        <w:t xml:space="preserve"> </w:t>
      </w:r>
      <w:r w:rsidR="00193430" w:rsidRPr="00BE43A7">
        <w:rPr>
          <w:rFonts w:ascii="Arial" w:hAnsi="Arial" w:cs="Arial"/>
          <w:i/>
          <w:sz w:val="24"/>
          <w:szCs w:val="24"/>
        </w:rPr>
        <w:t>parte</w:t>
      </w:r>
      <w:r w:rsidR="00193430" w:rsidRPr="00BE43A7">
        <w:rPr>
          <w:rFonts w:ascii="Arial" w:hAnsi="Arial" w:cs="Arial"/>
          <w:sz w:val="24"/>
          <w:szCs w:val="24"/>
        </w:rPr>
        <w:t xml:space="preserve"> while </w:t>
      </w:r>
      <w:r w:rsidR="00960A91" w:rsidRPr="00BE43A7">
        <w:rPr>
          <w:rFonts w:ascii="Arial" w:hAnsi="Arial" w:cs="Arial"/>
          <w:sz w:val="24"/>
          <w:szCs w:val="24"/>
        </w:rPr>
        <w:t>sub rule</w:t>
      </w:r>
      <w:r w:rsidR="00193430" w:rsidRPr="00BE43A7">
        <w:rPr>
          <w:rFonts w:ascii="Arial" w:hAnsi="Arial" w:cs="Arial"/>
          <w:sz w:val="24"/>
          <w:szCs w:val="24"/>
        </w:rPr>
        <w:t xml:space="preserve"> 12(c) deals with a somewhat different situation and allows a person against whom an order was granted in his absence in an urgent application to set the matter down on notice for </w:t>
      </w:r>
      <w:r w:rsidR="00193430" w:rsidRPr="00BE43A7">
        <w:rPr>
          <w:rFonts w:ascii="Arial" w:hAnsi="Arial" w:cs="Arial"/>
          <w:sz w:val="24"/>
          <w:szCs w:val="24"/>
        </w:rPr>
        <w:lastRenderedPageBreak/>
        <w:t>reconsideration</w:t>
      </w:r>
      <w:r w:rsidR="009976D3" w:rsidRPr="00BE43A7">
        <w:rPr>
          <w:rFonts w:ascii="Arial" w:hAnsi="Arial" w:cs="Arial"/>
          <w:sz w:val="24"/>
          <w:szCs w:val="24"/>
        </w:rPr>
        <w:t>,</w:t>
      </w:r>
      <w:r w:rsidR="00193430">
        <w:rPr>
          <w:rStyle w:val="FootnoteReference"/>
          <w:rFonts w:ascii="Arial" w:hAnsi="Arial" w:cs="Arial"/>
          <w:sz w:val="24"/>
          <w:szCs w:val="24"/>
        </w:rPr>
        <w:footnoteReference w:id="10"/>
      </w:r>
      <w:r w:rsidR="009801D5" w:rsidRPr="00BE43A7">
        <w:rPr>
          <w:rFonts w:ascii="Arial" w:hAnsi="Arial" w:cs="Arial"/>
          <w:sz w:val="24"/>
          <w:szCs w:val="24"/>
        </w:rPr>
        <w:t xml:space="preserve"> so the argument ran. It was further contended that Namibia does not have a corresponding</w:t>
      </w:r>
      <w:r w:rsidR="00231D2C" w:rsidRPr="00BE43A7">
        <w:rPr>
          <w:rFonts w:ascii="Arial" w:hAnsi="Arial" w:cs="Arial"/>
          <w:sz w:val="24"/>
          <w:szCs w:val="24"/>
        </w:rPr>
        <w:t xml:space="preserve"> </w:t>
      </w:r>
      <w:r w:rsidR="002437B8" w:rsidRPr="00BE43A7">
        <w:rPr>
          <w:rFonts w:ascii="Arial" w:hAnsi="Arial" w:cs="Arial"/>
          <w:sz w:val="24"/>
          <w:szCs w:val="24"/>
        </w:rPr>
        <w:t xml:space="preserve">rule that governs the </w:t>
      </w:r>
      <w:r w:rsidR="002437B8" w:rsidRPr="00BE43A7">
        <w:rPr>
          <w:rFonts w:ascii="Arial" w:hAnsi="Arial" w:cs="Arial"/>
          <w:sz w:val="24"/>
          <w:szCs w:val="24"/>
          <w:u w:val="single"/>
        </w:rPr>
        <w:t xml:space="preserve">reconsideration of an order already </w:t>
      </w:r>
      <w:r w:rsidR="002437B8" w:rsidRPr="00BE43A7">
        <w:rPr>
          <w:rFonts w:ascii="Arial" w:hAnsi="Arial" w:cs="Arial"/>
          <w:sz w:val="24"/>
          <w:szCs w:val="24"/>
        </w:rPr>
        <w:t xml:space="preserve">granted as is provided by </w:t>
      </w:r>
      <w:r w:rsidR="00DF6C53">
        <w:rPr>
          <w:rFonts w:ascii="Arial" w:hAnsi="Arial" w:cs="Arial"/>
          <w:sz w:val="24"/>
          <w:szCs w:val="24"/>
        </w:rPr>
        <w:t>r</w:t>
      </w:r>
      <w:r w:rsidR="002437B8" w:rsidRPr="00BE43A7">
        <w:rPr>
          <w:rFonts w:ascii="Arial" w:hAnsi="Arial" w:cs="Arial"/>
          <w:sz w:val="24"/>
          <w:szCs w:val="24"/>
        </w:rPr>
        <w:t>ule 6(12)(</w:t>
      </w:r>
      <w:r w:rsidR="002437B8" w:rsidRPr="00DF6C53">
        <w:rPr>
          <w:rFonts w:ascii="Arial" w:hAnsi="Arial" w:cs="Arial"/>
          <w:sz w:val="24"/>
          <w:szCs w:val="24"/>
        </w:rPr>
        <w:t>c</w:t>
      </w:r>
      <w:r w:rsidR="002437B8" w:rsidRPr="00BE43A7">
        <w:rPr>
          <w:rFonts w:ascii="Arial" w:hAnsi="Arial" w:cs="Arial"/>
          <w:sz w:val="24"/>
          <w:szCs w:val="24"/>
        </w:rPr>
        <w:t xml:space="preserve">) and that the closest in Namibia to </w:t>
      </w:r>
      <w:r w:rsidR="00DF6C53">
        <w:rPr>
          <w:rFonts w:ascii="Arial" w:hAnsi="Arial" w:cs="Arial"/>
          <w:sz w:val="24"/>
          <w:szCs w:val="24"/>
        </w:rPr>
        <w:t>r</w:t>
      </w:r>
      <w:r w:rsidR="002437B8" w:rsidRPr="00BE43A7">
        <w:rPr>
          <w:rFonts w:ascii="Arial" w:hAnsi="Arial" w:cs="Arial"/>
          <w:sz w:val="24"/>
          <w:szCs w:val="24"/>
        </w:rPr>
        <w:t>ule 6(12)(</w:t>
      </w:r>
      <w:r w:rsidR="002437B8" w:rsidRPr="00BE43A7">
        <w:rPr>
          <w:rFonts w:ascii="Arial" w:hAnsi="Arial" w:cs="Arial"/>
          <w:i/>
          <w:sz w:val="24"/>
          <w:szCs w:val="24"/>
        </w:rPr>
        <w:t>c</w:t>
      </w:r>
      <w:r w:rsidR="002437B8" w:rsidRPr="00BE43A7">
        <w:rPr>
          <w:rFonts w:ascii="Arial" w:hAnsi="Arial" w:cs="Arial"/>
          <w:sz w:val="24"/>
          <w:szCs w:val="24"/>
        </w:rPr>
        <w:t>)</w:t>
      </w:r>
      <w:r w:rsidR="00D41B4D" w:rsidRPr="00BE43A7">
        <w:rPr>
          <w:rFonts w:ascii="Arial" w:hAnsi="Arial" w:cs="Arial"/>
          <w:sz w:val="24"/>
          <w:szCs w:val="24"/>
        </w:rPr>
        <w:t xml:space="preserve"> is </w:t>
      </w:r>
      <w:r w:rsidR="00DF6C53">
        <w:rPr>
          <w:rFonts w:ascii="Arial" w:hAnsi="Arial" w:cs="Arial"/>
          <w:sz w:val="24"/>
          <w:szCs w:val="24"/>
        </w:rPr>
        <w:t>r</w:t>
      </w:r>
      <w:r w:rsidR="00D41B4D" w:rsidRPr="00BE43A7">
        <w:rPr>
          <w:rFonts w:ascii="Arial" w:hAnsi="Arial" w:cs="Arial"/>
          <w:sz w:val="24"/>
          <w:szCs w:val="24"/>
        </w:rPr>
        <w:t>ule 103</w:t>
      </w:r>
      <w:r w:rsidR="009976D3" w:rsidRPr="00BE43A7">
        <w:rPr>
          <w:rFonts w:ascii="Arial" w:hAnsi="Arial" w:cs="Arial"/>
          <w:sz w:val="24"/>
          <w:szCs w:val="24"/>
        </w:rPr>
        <w:t>,</w:t>
      </w:r>
      <w:r w:rsidR="00D41B4D">
        <w:rPr>
          <w:rStyle w:val="FootnoteReference"/>
          <w:rFonts w:ascii="Arial" w:hAnsi="Arial" w:cs="Arial"/>
          <w:sz w:val="24"/>
          <w:szCs w:val="24"/>
        </w:rPr>
        <w:footnoteReference w:id="11"/>
      </w:r>
      <w:r w:rsidR="00C42CEC" w:rsidRPr="00BE43A7">
        <w:rPr>
          <w:rFonts w:ascii="Arial" w:hAnsi="Arial" w:cs="Arial"/>
          <w:sz w:val="24"/>
          <w:szCs w:val="24"/>
        </w:rPr>
        <w:t xml:space="preserve"> which may be invoked to reconsider an order granted </w:t>
      </w:r>
      <w:r w:rsidR="00C42CEC" w:rsidRPr="00BE43A7">
        <w:rPr>
          <w:rFonts w:ascii="Arial" w:hAnsi="Arial" w:cs="Arial"/>
          <w:i/>
          <w:sz w:val="24"/>
          <w:szCs w:val="24"/>
        </w:rPr>
        <w:t>ex parte</w:t>
      </w:r>
      <w:r w:rsidR="00C42CEC" w:rsidRPr="00BE43A7">
        <w:rPr>
          <w:rFonts w:ascii="Arial" w:hAnsi="Arial" w:cs="Arial"/>
          <w:sz w:val="24"/>
          <w:szCs w:val="24"/>
        </w:rPr>
        <w:t xml:space="preserve"> and that s 58</w:t>
      </w:r>
      <w:r w:rsidR="00C42CEC">
        <w:rPr>
          <w:rStyle w:val="FootnoteReference"/>
          <w:rFonts w:ascii="Arial" w:hAnsi="Arial" w:cs="Arial"/>
          <w:sz w:val="24"/>
          <w:szCs w:val="24"/>
        </w:rPr>
        <w:footnoteReference w:id="12"/>
      </w:r>
      <w:r w:rsidR="00C42CEC" w:rsidRPr="00BE43A7">
        <w:rPr>
          <w:rFonts w:ascii="Arial" w:hAnsi="Arial" w:cs="Arial"/>
          <w:sz w:val="24"/>
          <w:szCs w:val="24"/>
        </w:rPr>
        <w:t xml:space="preserve"> of </w:t>
      </w:r>
      <w:r w:rsidR="00C20D1B" w:rsidRPr="00BE43A7">
        <w:rPr>
          <w:rFonts w:ascii="Arial" w:hAnsi="Arial" w:cs="Arial"/>
          <w:sz w:val="24"/>
          <w:szCs w:val="24"/>
        </w:rPr>
        <w:t>the Act</w:t>
      </w:r>
      <w:r w:rsidR="00C42CEC" w:rsidRPr="00BE43A7">
        <w:rPr>
          <w:rFonts w:ascii="Arial" w:hAnsi="Arial" w:cs="Arial"/>
          <w:sz w:val="24"/>
          <w:szCs w:val="24"/>
        </w:rPr>
        <w:t xml:space="preserve"> provides for its own procedure to reconsider an order granted in </w:t>
      </w:r>
      <w:r w:rsidR="00C42CEC" w:rsidRPr="00BE43A7">
        <w:rPr>
          <w:rFonts w:ascii="Arial" w:hAnsi="Arial" w:cs="Arial"/>
          <w:sz w:val="24"/>
          <w:szCs w:val="24"/>
        </w:rPr>
        <w:lastRenderedPageBreak/>
        <w:t>terms of s 51(2)</w:t>
      </w:r>
      <w:r w:rsidR="00C42CEC">
        <w:rPr>
          <w:rStyle w:val="FootnoteReference"/>
          <w:rFonts w:ascii="Arial" w:hAnsi="Arial" w:cs="Arial"/>
          <w:sz w:val="24"/>
          <w:szCs w:val="24"/>
        </w:rPr>
        <w:footnoteReference w:id="13"/>
      </w:r>
      <w:r w:rsidR="00D02FB8" w:rsidRPr="00BE43A7">
        <w:rPr>
          <w:rFonts w:ascii="Arial" w:hAnsi="Arial" w:cs="Arial"/>
          <w:sz w:val="24"/>
          <w:szCs w:val="24"/>
        </w:rPr>
        <w:t>.</w:t>
      </w:r>
      <w:r w:rsidR="00C42CEC" w:rsidRPr="00BE43A7">
        <w:rPr>
          <w:rFonts w:ascii="Arial" w:hAnsi="Arial" w:cs="Arial"/>
          <w:sz w:val="24"/>
          <w:szCs w:val="24"/>
        </w:rPr>
        <w:t xml:space="preserve"> It was further contended that in this particular case there was no </w:t>
      </w:r>
      <w:r w:rsidR="00C42CEC" w:rsidRPr="007C0FAD">
        <w:rPr>
          <w:rFonts w:ascii="Arial" w:hAnsi="Arial" w:cs="Arial"/>
          <w:i/>
          <w:sz w:val="24"/>
          <w:szCs w:val="24"/>
        </w:rPr>
        <w:t>rule</w:t>
      </w:r>
      <w:r w:rsidR="00C42CEC" w:rsidRPr="00BE43A7">
        <w:rPr>
          <w:rFonts w:ascii="Arial" w:hAnsi="Arial" w:cs="Arial"/>
          <w:i/>
          <w:sz w:val="24"/>
          <w:szCs w:val="24"/>
        </w:rPr>
        <w:t xml:space="preserve"> nisi</w:t>
      </w:r>
      <w:r w:rsidR="00C42CEC" w:rsidRPr="00BE43A7">
        <w:rPr>
          <w:rFonts w:ascii="Arial" w:hAnsi="Arial" w:cs="Arial"/>
          <w:sz w:val="24"/>
          <w:szCs w:val="24"/>
        </w:rPr>
        <w:t xml:space="preserve"> or a return date fixed. Counsel further proceeded</w:t>
      </w:r>
      <w:r w:rsidR="0080702E" w:rsidRPr="00BE43A7">
        <w:rPr>
          <w:rFonts w:ascii="Arial" w:hAnsi="Arial" w:cs="Arial"/>
          <w:sz w:val="24"/>
          <w:szCs w:val="24"/>
        </w:rPr>
        <w:t xml:space="preserve"> to make a distinction between </w:t>
      </w:r>
      <w:r w:rsidR="001E0EAC">
        <w:rPr>
          <w:rFonts w:ascii="Arial" w:hAnsi="Arial" w:cs="Arial"/>
          <w:sz w:val="24"/>
          <w:szCs w:val="24"/>
        </w:rPr>
        <w:t>r</w:t>
      </w:r>
      <w:r w:rsidR="00C42CEC" w:rsidRPr="00BE43A7">
        <w:rPr>
          <w:rFonts w:ascii="Arial" w:hAnsi="Arial" w:cs="Arial"/>
          <w:sz w:val="24"/>
          <w:szCs w:val="24"/>
        </w:rPr>
        <w:t xml:space="preserve">ule 72 </w:t>
      </w:r>
      <w:r w:rsidR="00C42CEC" w:rsidRPr="00BE43A7">
        <w:rPr>
          <w:rFonts w:ascii="Arial" w:hAnsi="Arial" w:cs="Arial"/>
          <w:i/>
          <w:sz w:val="24"/>
          <w:szCs w:val="24"/>
        </w:rPr>
        <w:t>ex parte</w:t>
      </w:r>
      <w:r w:rsidR="00C42CEC" w:rsidRPr="00BE43A7">
        <w:rPr>
          <w:rFonts w:ascii="Arial" w:hAnsi="Arial" w:cs="Arial"/>
          <w:sz w:val="24"/>
          <w:szCs w:val="24"/>
        </w:rPr>
        <w:t xml:space="preserve"> application and s 51 POCA application</w:t>
      </w:r>
      <w:r w:rsidR="006956D3" w:rsidRPr="00BE43A7">
        <w:rPr>
          <w:rFonts w:ascii="Arial" w:hAnsi="Arial" w:cs="Arial"/>
          <w:sz w:val="24"/>
          <w:szCs w:val="24"/>
        </w:rPr>
        <w:t xml:space="preserve"> </w:t>
      </w:r>
      <w:r w:rsidR="00C42CEC" w:rsidRPr="00BE43A7">
        <w:rPr>
          <w:rFonts w:ascii="Arial" w:hAnsi="Arial" w:cs="Arial"/>
          <w:sz w:val="24"/>
          <w:szCs w:val="24"/>
        </w:rPr>
        <w:t>in</w:t>
      </w:r>
      <w:r w:rsidR="006956D3" w:rsidRPr="00BE43A7">
        <w:rPr>
          <w:rFonts w:ascii="Arial" w:hAnsi="Arial" w:cs="Arial"/>
          <w:sz w:val="24"/>
          <w:szCs w:val="24"/>
        </w:rPr>
        <w:t xml:space="preserve"> that the applicant in a</w:t>
      </w:r>
      <w:r w:rsidR="00C42CEC" w:rsidRPr="00BE43A7">
        <w:rPr>
          <w:rFonts w:ascii="Arial" w:hAnsi="Arial" w:cs="Arial"/>
          <w:sz w:val="24"/>
          <w:szCs w:val="24"/>
        </w:rPr>
        <w:t xml:space="preserve"> </w:t>
      </w:r>
      <w:r w:rsidR="001E0EAC">
        <w:rPr>
          <w:rFonts w:ascii="Arial" w:hAnsi="Arial" w:cs="Arial"/>
          <w:sz w:val="24"/>
          <w:szCs w:val="24"/>
        </w:rPr>
        <w:t>r</w:t>
      </w:r>
      <w:r w:rsidR="00C42CEC" w:rsidRPr="00BE43A7">
        <w:rPr>
          <w:rFonts w:ascii="Arial" w:hAnsi="Arial" w:cs="Arial"/>
          <w:sz w:val="24"/>
          <w:szCs w:val="24"/>
        </w:rPr>
        <w:t xml:space="preserve">ule 72 </w:t>
      </w:r>
      <w:r w:rsidR="00C42CEC" w:rsidRPr="00BE43A7">
        <w:rPr>
          <w:rFonts w:ascii="Arial" w:hAnsi="Arial" w:cs="Arial"/>
          <w:i/>
          <w:sz w:val="24"/>
          <w:szCs w:val="24"/>
        </w:rPr>
        <w:t>ex parte</w:t>
      </w:r>
      <w:r w:rsidR="00C42CEC" w:rsidRPr="00BE43A7">
        <w:rPr>
          <w:rFonts w:ascii="Arial" w:hAnsi="Arial" w:cs="Arial"/>
          <w:sz w:val="24"/>
          <w:szCs w:val="24"/>
        </w:rPr>
        <w:t xml:space="preserve"> application has no right to have the application heard and decided on a </w:t>
      </w:r>
      <w:r w:rsidR="00C42CEC" w:rsidRPr="00BE43A7">
        <w:rPr>
          <w:rFonts w:ascii="Arial" w:hAnsi="Arial" w:cs="Arial"/>
          <w:i/>
          <w:sz w:val="24"/>
          <w:szCs w:val="24"/>
        </w:rPr>
        <w:t>ex parte</w:t>
      </w:r>
      <w:r w:rsidR="00C42CEC" w:rsidRPr="00BE43A7">
        <w:rPr>
          <w:rFonts w:ascii="Arial" w:hAnsi="Arial" w:cs="Arial"/>
          <w:sz w:val="24"/>
          <w:szCs w:val="24"/>
        </w:rPr>
        <w:t xml:space="preserve"> basis</w:t>
      </w:r>
      <w:r w:rsidR="00F8123E" w:rsidRPr="00BE43A7">
        <w:rPr>
          <w:rFonts w:ascii="Arial" w:hAnsi="Arial" w:cs="Arial"/>
          <w:sz w:val="24"/>
          <w:szCs w:val="24"/>
        </w:rPr>
        <w:t>,</w:t>
      </w:r>
      <w:r w:rsidR="00C42CEC" w:rsidRPr="00BE43A7">
        <w:rPr>
          <w:rFonts w:ascii="Arial" w:hAnsi="Arial" w:cs="Arial"/>
          <w:sz w:val="24"/>
          <w:szCs w:val="24"/>
        </w:rPr>
        <w:t xml:space="preserve"> but has to convince </w:t>
      </w:r>
      <w:r w:rsidR="00BE43A7">
        <w:rPr>
          <w:rFonts w:ascii="Arial" w:hAnsi="Arial" w:cs="Arial"/>
          <w:sz w:val="24"/>
          <w:szCs w:val="24"/>
        </w:rPr>
        <w:t xml:space="preserve">the </w:t>
      </w:r>
      <w:r w:rsidR="00C42CEC" w:rsidRPr="00BE43A7">
        <w:rPr>
          <w:rFonts w:ascii="Arial" w:hAnsi="Arial" w:cs="Arial"/>
          <w:sz w:val="24"/>
          <w:szCs w:val="24"/>
        </w:rPr>
        <w:t xml:space="preserve">court that the application is a justified </w:t>
      </w:r>
      <w:r w:rsidR="00C42CEC" w:rsidRPr="00BE43A7">
        <w:rPr>
          <w:rFonts w:ascii="Arial" w:hAnsi="Arial" w:cs="Arial"/>
          <w:i/>
          <w:sz w:val="24"/>
          <w:szCs w:val="24"/>
        </w:rPr>
        <w:t>ex parte</w:t>
      </w:r>
      <w:r w:rsidR="00C42CEC" w:rsidRPr="00BE43A7">
        <w:rPr>
          <w:rFonts w:ascii="Arial" w:hAnsi="Arial" w:cs="Arial"/>
          <w:sz w:val="24"/>
          <w:szCs w:val="24"/>
        </w:rPr>
        <w:t xml:space="preserve"> application </w:t>
      </w:r>
      <w:r w:rsidR="00F8123E" w:rsidRPr="00BE43A7">
        <w:rPr>
          <w:rFonts w:ascii="Arial" w:hAnsi="Arial" w:cs="Arial"/>
          <w:sz w:val="24"/>
          <w:szCs w:val="24"/>
        </w:rPr>
        <w:t>w</w:t>
      </w:r>
      <w:r w:rsidR="00C42CEC" w:rsidRPr="00BE43A7">
        <w:rPr>
          <w:rFonts w:ascii="Arial" w:hAnsi="Arial" w:cs="Arial"/>
          <w:sz w:val="24"/>
          <w:szCs w:val="24"/>
        </w:rPr>
        <w:t>hereas the applicant in a POCA s 51</w:t>
      </w:r>
      <w:r w:rsidR="006956D3" w:rsidRPr="00BE43A7">
        <w:rPr>
          <w:rFonts w:ascii="Arial" w:hAnsi="Arial" w:cs="Arial"/>
          <w:sz w:val="24"/>
          <w:szCs w:val="24"/>
        </w:rPr>
        <w:t xml:space="preserve"> application</w:t>
      </w:r>
      <w:r w:rsidR="00F8123E" w:rsidRPr="00BE43A7">
        <w:rPr>
          <w:rFonts w:ascii="Arial" w:hAnsi="Arial" w:cs="Arial"/>
          <w:sz w:val="24"/>
          <w:szCs w:val="24"/>
        </w:rPr>
        <w:t>, on the other hand,</w:t>
      </w:r>
      <w:r w:rsidR="00C42CEC" w:rsidRPr="00BE43A7">
        <w:rPr>
          <w:rFonts w:ascii="Arial" w:hAnsi="Arial" w:cs="Arial"/>
          <w:sz w:val="24"/>
          <w:szCs w:val="24"/>
        </w:rPr>
        <w:t xml:space="preserve"> has the statutory </w:t>
      </w:r>
      <w:r w:rsidR="00882840" w:rsidRPr="00BE43A7">
        <w:rPr>
          <w:rFonts w:ascii="Arial" w:hAnsi="Arial" w:cs="Arial"/>
          <w:sz w:val="24"/>
          <w:szCs w:val="24"/>
        </w:rPr>
        <w:t xml:space="preserve">right to proceed on an </w:t>
      </w:r>
      <w:r w:rsidR="00882840" w:rsidRPr="00BE43A7">
        <w:rPr>
          <w:rFonts w:ascii="Arial" w:hAnsi="Arial" w:cs="Arial"/>
          <w:i/>
          <w:sz w:val="24"/>
          <w:szCs w:val="24"/>
        </w:rPr>
        <w:t>ex parte</w:t>
      </w:r>
      <w:r w:rsidR="00882840" w:rsidRPr="00BE43A7">
        <w:rPr>
          <w:rFonts w:ascii="Arial" w:hAnsi="Arial" w:cs="Arial"/>
          <w:sz w:val="24"/>
          <w:szCs w:val="24"/>
        </w:rPr>
        <w:t xml:space="preserve"> basis and the court is required by the Act to hear and decide the matter on that basis and that </w:t>
      </w:r>
      <w:r w:rsidR="001E0EAC">
        <w:rPr>
          <w:rFonts w:ascii="Arial" w:hAnsi="Arial" w:cs="Arial"/>
          <w:sz w:val="24"/>
          <w:szCs w:val="24"/>
        </w:rPr>
        <w:t>r</w:t>
      </w:r>
      <w:r w:rsidR="00882840" w:rsidRPr="00BE43A7">
        <w:rPr>
          <w:rFonts w:ascii="Arial" w:hAnsi="Arial" w:cs="Arial"/>
          <w:sz w:val="24"/>
          <w:szCs w:val="24"/>
        </w:rPr>
        <w:t xml:space="preserve">ule 72(4) and (5) </w:t>
      </w:r>
      <w:r w:rsidR="00882840" w:rsidRPr="00BE43A7">
        <w:rPr>
          <w:rFonts w:ascii="Arial" w:hAnsi="Arial" w:cs="Arial"/>
          <w:sz w:val="24"/>
          <w:szCs w:val="24"/>
        </w:rPr>
        <w:lastRenderedPageBreak/>
        <w:t xml:space="preserve">provide for a person who may be affected by the decision in the </w:t>
      </w:r>
      <w:r w:rsidR="001E0EAC">
        <w:rPr>
          <w:rFonts w:ascii="Arial" w:hAnsi="Arial" w:cs="Arial"/>
          <w:sz w:val="24"/>
          <w:szCs w:val="24"/>
        </w:rPr>
        <w:t>r</w:t>
      </w:r>
      <w:r w:rsidR="00882840" w:rsidRPr="00BE43A7">
        <w:rPr>
          <w:rFonts w:ascii="Arial" w:hAnsi="Arial" w:cs="Arial"/>
          <w:sz w:val="24"/>
          <w:szCs w:val="24"/>
        </w:rPr>
        <w:t xml:space="preserve">ule 72 </w:t>
      </w:r>
      <w:r w:rsidR="00882840" w:rsidRPr="00BE43A7">
        <w:rPr>
          <w:rFonts w:ascii="Arial" w:hAnsi="Arial" w:cs="Arial"/>
          <w:i/>
          <w:sz w:val="24"/>
          <w:szCs w:val="24"/>
        </w:rPr>
        <w:t>ex parte</w:t>
      </w:r>
      <w:r w:rsidR="00882840" w:rsidRPr="00BE43A7">
        <w:rPr>
          <w:rFonts w:ascii="Arial" w:hAnsi="Arial" w:cs="Arial"/>
          <w:sz w:val="24"/>
          <w:szCs w:val="24"/>
        </w:rPr>
        <w:t xml:space="preserve"> application to apply for leave to oppose</w:t>
      </w:r>
      <w:r w:rsidR="00F8123E" w:rsidRPr="00BE43A7">
        <w:rPr>
          <w:rFonts w:ascii="Arial" w:hAnsi="Arial" w:cs="Arial"/>
          <w:sz w:val="24"/>
          <w:szCs w:val="24"/>
        </w:rPr>
        <w:t>,</w:t>
      </w:r>
      <w:r w:rsidR="00882840" w:rsidRPr="00BE43A7">
        <w:rPr>
          <w:rFonts w:ascii="Arial" w:hAnsi="Arial" w:cs="Arial"/>
          <w:sz w:val="24"/>
          <w:szCs w:val="24"/>
        </w:rPr>
        <w:t xml:space="preserve"> whereas in POCA s 51 application the court is obliged to make the order without adducing evidence other than that of applicant. The further distinctions drawn are that the </w:t>
      </w:r>
      <w:r w:rsidR="001E0EAC">
        <w:rPr>
          <w:rFonts w:ascii="Arial" w:hAnsi="Arial" w:cs="Arial"/>
          <w:sz w:val="24"/>
          <w:szCs w:val="24"/>
        </w:rPr>
        <w:t>r</w:t>
      </w:r>
      <w:r w:rsidR="00882840" w:rsidRPr="00BE43A7">
        <w:rPr>
          <w:rFonts w:ascii="Arial" w:hAnsi="Arial" w:cs="Arial"/>
          <w:sz w:val="24"/>
          <w:szCs w:val="24"/>
        </w:rPr>
        <w:t xml:space="preserve">ule 72 </w:t>
      </w:r>
      <w:r w:rsidR="00882840" w:rsidRPr="00BE43A7">
        <w:rPr>
          <w:rFonts w:ascii="Arial" w:hAnsi="Arial" w:cs="Arial"/>
          <w:i/>
          <w:sz w:val="24"/>
          <w:szCs w:val="24"/>
        </w:rPr>
        <w:t>ex parte</w:t>
      </w:r>
      <w:r w:rsidR="00882840" w:rsidRPr="00BE43A7">
        <w:rPr>
          <w:rFonts w:ascii="Arial" w:hAnsi="Arial" w:cs="Arial"/>
          <w:sz w:val="24"/>
          <w:szCs w:val="24"/>
        </w:rPr>
        <w:t xml:space="preserve"> application, the order is provisional in the form of a </w:t>
      </w:r>
      <w:r w:rsidR="00882840" w:rsidRPr="00E23542">
        <w:rPr>
          <w:rFonts w:ascii="Arial" w:hAnsi="Arial" w:cs="Arial"/>
          <w:i/>
          <w:sz w:val="24"/>
          <w:szCs w:val="24"/>
        </w:rPr>
        <w:t>rule</w:t>
      </w:r>
      <w:r w:rsidR="00882840" w:rsidRPr="00BE43A7">
        <w:rPr>
          <w:rFonts w:ascii="Arial" w:hAnsi="Arial" w:cs="Arial"/>
          <w:i/>
          <w:sz w:val="24"/>
          <w:szCs w:val="24"/>
        </w:rPr>
        <w:t xml:space="preserve"> nisi</w:t>
      </w:r>
      <w:r w:rsidR="00882840" w:rsidRPr="00BE43A7">
        <w:rPr>
          <w:rFonts w:ascii="Arial" w:hAnsi="Arial" w:cs="Arial"/>
          <w:sz w:val="24"/>
          <w:szCs w:val="24"/>
        </w:rPr>
        <w:t xml:space="preserve">, which would be revisited on the return date and the matter is considered afresh, whereas the s 51 application is an order </w:t>
      </w:r>
      <w:r w:rsidR="00D613B7">
        <w:rPr>
          <w:rFonts w:ascii="Arial" w:hAnsi="Arial" w:cs="Arial"/>
          <w:sz w:val="24"/>
          <w:szCs w:val="24"/>
        </w:rPr>
        <w:t>p</w:t>
      </w:r>
      <w:r w:rsidR="00882840" w:rsidRPr="00BE43A7">
        <w:rPr>
          <w:rFonts w:ascii="Arial" w:hAnsi="Arial" w:cs="Arial"/>
          <w:sz w:val="24"/>
          <w:szCs w:val="24"/>
        </w:rPr>
        <w:t>reserving the property and remains in force until the forfeiture stage (short of saying final)</w:t>
      </w:r>
      <w:r w:rsidR="00F8123E" w:rsidRPr="00BE43A7">
        <w:rPr>
          <w:rFonts w:ascii="Arial" w:hAnsi="Arial" w:cs="Arial"/>
          <w:sz w:val="24"/>
          <w:szCs w:val="24"/>
        </w:rPr>
        <w:t>,</w:t>
      </w:r>
      <w:r w:rsidR="00882840" w:rsidRPr="00BE43A7">
        <w:rPr>
          <w:rFonts w:ascii="Arial" w:hAnsi="Arial" w:cs="Arial"/>
          <w:sz w:val="24"/>
          <w:szCs w:val="24"/>
        </w:rPr>
        <w:t xml:space="preserve"> where a different question arises</w:t>
      </w:r>
      <w:r w:rsidR="00D613B7">
        <w:rPr>
          <w:rFonts w:ascii="Arial" w:hAnsi="Arial" w:cs="Arial"/>
          <w:sz w:val="24"/>
          <w:szCs w:val="24"/>
        </w:rPr>
        <w:t>,</w:t>
      </w:r>
      <w:r w:rsidR="00F8123E" w:rsidRPr="00BE43A7">
        <w:rPr>
          <w:rFonts w:ascii="Arial" w:hAnsi="Arial" w:cs="Arial"/>
          <w:sz w:val="24"/>
          <w:szCs w:val="24"/>
        </w:rPr>
        <w:t xml:space="preserve"> ie</w:t>
      </w:r>
      <w:r w:rsidR="00882840" w:rsidRPr="00BE43A7">
        <w:rPr>
          <w:rFonts w:ascii="Arial" w:hAnsi="Arial" w:cs="Arial"/>
          <w:sz w:val="24"/>
          <w:szCs w:val="24"/>
        </w:rPr>
        <w:t xml:space="preserve"> whether the property should be forfeited as opposed to the initial stage where the test is whether there are reasonable grounds for believing that the property is an instrumentality of an offence or the proceeds of unlawful activities</w:t>
      </w:r>
      <w:r w:rsidR="00BC1B9A" w:rsidRPr="00BE43A7">
        <w:rPr>
          <w:rFonts w:ascii="Arial" w:hAnsi="Arial" w:cs="Arial"/>
          <w:sz w:val="24"/>
          <w:szCs w:val="24"/>
        </w:rPr>
        <w:t>. Counsel submit</w:t>
      </w:r>
      <w:r w:rsidR="00D613B7">
        <w:rPr>
          <w:rFonts w:ascii="Arial" w:hAnsi="Arial" w:cs="Arial"/>
          <w:sz w:val="24"/>
          <w:szCs w:val="24"/>
        </w:rPr>
        <w:t>ted</w:t>
      </w:r>
      <w:r w:rsidR="00BC1B9A" w:rsidRPr="00BE43A7">
        <w:rPr>
          <w:rFonts w:ascii="Arial" w:hAnsi="Arial" w:cs="Arial"/>
          <w:sz w:val="24"/>
          <w:szCs w:val="24"/>
        </w:rPr>
        <w:t xml:space="preserve"> for all these reasons that </w:t>
      </w:r>
      <w:r w:rsidR="00E23542">
        <w:rPr>
          <w:rFonts w:ascii="Arial" w:hAnsi="Arial" w:cs="Arial"/>
          <w:sz w:val="24"/>
          <w:szCs w:val="24"/>
        </w:rPr>
        <w:t>r</w:t>
      </w:r>
      <w:r w:rsidR="00BC1B9A" w:rsidRPr="00BE43A7">
        <w:rPr>
          <w:rFonts w:ascii="Arial" w:hAnsi="Arial" w:cs="Arial"/>
          <w:sz w:val="24"/>
          <w:szCs w:val="24"/>
        </w:rPr>
        <w:t xml:space="preserve">ule 72 is not applicable to applications in terms of s 51 of </w:t>
      </w:r>
      <w:r w:rsidR="00C20D1B" w:rsidRPr="00BE43A7">
        <w:rPr>
          <w:rFonts w:ascii="Arial" w:hAnsi="Arial" w:cs="Arial"/>
          <w:sz w:val="24"/>
          <w:szCs w:val="24"/>
        </w:rPr>
        <w:t>the Act</w:t>
      </w:r>
      <w:r w:rsidR="00BC1B9A" w:rsidRPr="00BE43A7">
        <w:rPr>
          <w:rFonts w:ascii="Arial" w:hAnsi="Arial" w:cs="Arial"/>
          <w:sz w:val="24"/>
          <w:szCs w:val="24"/>
        </w:rPr>
        <w:t xml:space="preserve">, the latter being a special provision created by statute, with its own procedures and that </w:t>
      </w:r>
      <w:r w:rsidR="00E23542">
        <w:rPr>
          <w:rFonts w:ascii="Arial" w:hAnsi="Arial" w:cs="Arial"/>
          <w:sz w:val="24"/>
          <w:szCs w:val="24"/>
        </w:rPr>
        <w:t>r</w:t>
      </w:r>
      <w:r w:rsidR="00BC1B9A" w:rsidRPr="00BE43A7">
        <w:rPr>
          <w:rFonts w:ascii="Arial" w:hAnsi="Arial" w:cs="Arial"/>
          <w:sz w:val="24"/>
          <w:szCs w:val="24"/>
        </w:rPr>
        <w:t xml:space="preserve">ule 72 is subordinate to the statute and the court </w:t>
      </w:r>
      <w:r w:rsidR="00BC1B9A" w:rsidRPr="00B303CA">
        <w:rPr>
          <w:rFonts w:ascii="Arial" w:hAnsi="Arial" w:cs="Arial"/>
          <w:sz w:val="24"/>
          <w:szCs w:val="24"/>
        </w:rPr>
        <w:t>a quo</w:t>
      </w:r>
      <w:r w:rsidR="00BC1B9A" w:rsidRPr="00BE43A7">
        <w:rPr>
          <w:rFonts w:ascii="Arial" w:hAnsi="Arial" w:cs="Arial"/>
          <w:sz w:val="24"/>
          <w:szCs w:val="24"/>
        </w:rPr>
        <w:t xml:space="preserve"> should have found that respondents could not have anticipated a ‘final preservation of property order’ and the point </w:t>
      </w:r>
      <w:r w:rsidR="00BC1B9A" w:rsidRPr="00BE43A7">
        <w:rPr>
          <w:rFonts w:ascii="Arial" w:hAnsi="Arial" w:cs="Arial"/>
          <w:i/>
          <w:sz w:val="24"/>
          <w:szCs w:val="24"/>
        </w:rPr>
        <w:t>in limine</w:t>
      </w:r>
      <w:r w:rsidR="00BC1B9A" w:rsidRPr="00BE43A7">
        <w:rPr>
          <w:rFonts w:ascii="Arial" w:hAnsi="Arial" w:cs="Arial"/>
          <w:sz w:val="24"/>
          <w:szCs w:val="24"/>
        </w:rPr>
        <w:t xml:space="preserve"> should have been upheld.</w:t>
      </w:r>
    </w:p>
    <w:p w:rsidR="00D613B7" w:rsidRDefault="00D613B7" w:rsidP="00D613B7">
      <w:pPr>
        <w:pStyle w:val="ListParagraph"/>
        <w:tabs>
          <w:tab w:val="left" w:pos="851"/>
        </w:tabs>
        <w:spacing w:after="0" w:line="480" w:lineRule="auto"/>
        <w:ind w:left="0"/>
        <w:jc w:val="both"/>
        <w:rPr>
          <w:rFonts w:ascii="Arial" w:hAnsi="Arial" w:cs="Arial"/>
          <w:sz w:val="24"/>
          <w:szCs w:val="24"/>
        </w:rPr>
      </w:pPr>
    </w:p>
    <w:p w:rsidR="006B2FFC" w:rsidRPr="00D613B7" w:rsidRDefault="00C42CEC" w:rsidP="00D613B7">
      <w:pPr>
        <w:pStyle w:val="ListParagraph"/>
        <w:numPr>
          <w:ilvl w:val="0"/>
          <w:numId w:val="1"/>
        </w:numPr>
        <w:tabs>
          <w:tab w:val="left" w:pos="851"/>
        </w:tabs>
        <w:spacing w:after="0" w:line="480" w:lineRule="auto"/>
        <w:ind w:left="0" w:firstLine="0"/>
        <w:jc w:val="both"/>
        <w:rPr>
          <w:rFonts w:ascii="Arial" w:hAnsi="Arial" w:cs="Arial"/>
          <w:sz w:val="24"/>
          <w:szCs w:val="24"/>
        </w:rPr>
      </w:pPr>
      <w:r w:rsidRPr="00D613B7">
        <w:rPr>
          <w:rFonts w:ascii="Arial" w:hAnsi="Arial" w:cs="Arial"/>
          <w:sz w:val="24"/>
          <w:szCs w:val="24"/>
        </w:rPr>
        <w:t>The respondent</w:t>
      </w:r>
      <w:r w:rsidR="001C5C0D" w:rsidRPr="00D613B7">
        <w:rPr>
          <w:rFonts w:ascii="Arial" w:hAnsi="Arial" w:cs="Arial"/>
          <w:sz w:val="24"/>
          <w:szCs w:val="24"/>
        </w:rPr>
        <w:t>s did not fully or did not address us at all on the issue above. But I understand the court a quo mixed</w:t>
      </w:r>
      <w:r w:rsidR="00953968" w:rsidRPr="00D613B7">
        <w:rPr>
          <w:rFonts w:ascii="Arial" w:hAnsi="Arial" w:cs="Arial"/>
          <w:sz w:val="24"/>
          <w:szCs w:val="24"/>
        </w:rPr>
        <w:t>,</w:t>
      </w:r>
      <w:r w:rsidR="001C5C0D" w:rsidRPr="00D613B7">
        <w:rPr>
          <w:rFonts w:ascii="Arial" w:hAnsi="Arial" w:cs="Arial"/>
          <w:sz w:val="24"/>
          <w:szCs w:val="24"/>
        </w:rPr>
        <w:t xml:space="preserve"> perhaps in the phraseology to say, because of the provisional nature of an </w:t>
      </w:r>
      <w:r w:rsidR="001C5C0D" w:rsidRPr="00D613B7">
        <w:rPr>
          <w:rFonts w:ascii="Arial" w:hAnsi="Arial" w:cs="Arial"/>
          <w:i/>
          <w:sz w:val="24"/>
          <w:szCs w:val="24"/>
        </w:rPr>
        <w:t xml:space="preserve">ex parte </w:t>
      </w:r>
      <w:r w:rsidR="001C5C0D" w:rsidRPr="00D613B7">
        <w:rPr>
          <w:rFonts w:ascii="Arial" w:hAnsi="Arial" w:cs="Arial"/>
          <w:sz w:val="24"/>
          <w:szCs w:val="24"/>
        </w:rPr>
        <w:t xml:space="preserve">order irrespective of the form it takes, any person against whom it is granted may anticipate the return day upon delivery of not less than 24 hours’ notice. In </w:t>
      </w:r>
      <w:r w:rsidR="001C5C0D" w:rsidRPr="00D613B7">
        <w:rPr>
          <w:rFonts w:ascii="Arial" w:hAnsi="Arial" w:cs="Arial"/>
          <w:i/>
          <w:sz w:val="24"/>
          <w:szCs w:val="24"/>
        </w:rPr>
        <w:t xml:space="preserve">Lourenco </w:t>
      </w:r>
      <w:r w:rsidR="007C0FAD">
        <w:rPr>
          <w:rFonts w:ascii="Arial" w:hAnsi="Arial" w:cs="Arial"/>
          <w:i/>
          <w:sz w:val="24"/>
          <w:szCs w:val="24"/>
        </w:rPr>
        <w:t>&amp;</w:t>
      </w:r>
      <w:r w:rsidR="001C5C0D" w:rsidRPr="00D613B7">
        <w:rPr>
          <w:rFonts w:ascii="Arial" w:hAnsi="Arial" w:cs="Arial"/>
          <w:i/>
          <w:sz w:val="24"/>
          <w:szCs w:val="24"/>
        </w:rPr>
        <w:t xml:space="preserve"> others v Ferela (P</w:t>
      </w:r>
      <w:r w:rsidR="00953968" w:rsidRPr="00D613B7">
        <w:rPr>
          <w:rFonts w:ascii="Arial" w:hAnsi="Arial" w:cs="Arial"/>
          <w:i/>
          <w:sz w:val="24"/>
          <w:szCs w:val="24"/>
        </w:rPr>
        <w:t>ty</w:t>
      </w:r>
      <w:r w:rsidR="001C5C0D" w:rsidRPr="00D613B7">
        <w:rPr>
          <w:rFonts w:ascii="Arial" w:hAnsi="Arial" w:cs="Arial"/>
          <w:i/>
          <w:sz w:val="24"/>
          <w:szCs w:val="24"/>
        </w:rPr>
        <w:t>) Ltd and another (N</w:t>
      </w:r>
      <w:r w:rsidR="00953968" w:rsidRPr="00D613B7">
        <w:rPr>
          <w:rFonts w:ascii="Arial" w:hAnsi="Arial" w:cs="Arial"/>
          <w:i/>
          <w:sz w:val="24"/>
          <w:szCs w:val="24"/>
        </w:rPr>
        <w:t>o</w:t>
      </w:r>
      <w:r w:rsidR="001C5C0D" w:rsidRPr="00D613B7">
        <w:rPr>
          <w:rFonts w:ascii="Arial" w:hAnsi="Arial" w:cs="Arial"/>
          <w:i/>
          <w:sz w:val="24"/>
          <w:szCs w:val="24"/>
        </w:rPr>
        <w:t xml:space="preserve"> 1)</w:t>
      </w:r>
      <w:r w:rsidR="00953968" w:rsidRPr="00D613B7">
        <w:rPr>
          <w:rFonts w:ascii="Arial" w:hAnsi="Arial" w:cs="Arial"/>
          <w:sz w:val="24"/>
          <w:szCs w:val="24"/>
        </w:rPr>
        <w:t xml:space="preserve"> Southwood J said:</w:t>
      </w:r>
      <w:r w:rsidR="00953968">
        <w:rPr>
          <w:rStyle w:val="FootnoteReference"/>
          <w:rFonts w:ascii="Arial" w:hAnsi="Arial" w:cs="Arial"/>
          <w:sz w:val="24"/>
          <w:szCs w:val="24"/>
        </w:rPr>
        <w:footnoteReference w:id="14"/>
      </w:r>
    </w:p>
    <w:p w:rsidR="00953968" w:rsidRDefault="00BE35EA" w:rsidP="001C5C0D">
      <w:pPr>
        <w:pStyle w:val="ListParagraph"/>
        <w:spacing w:after="0" w:line="360" w:lineRule="auto"/>
        <w:jc w:val="both"/>
        <w:rPr>
          <w:rFonts w:ascii="Arial" w:hAnsi="Arial" w:cs="Arial"/>
        </w:rPr>
      </w:pPr>
      <w:r>
        <w:rPr>
          <w:rFonts w:ascii="Arial" w:hAnsi="Arial" w:cs="Arial"/>
        </w:rPr>
        <w:lastRenderedPageBreak/>
        <w:t>‘</w:t>
      </w:r>
      <w:r w:rsidR="001C5C0D">
        <w:rPr>
          <w:rFonts w:ascii="Arial" w:hAnsi="Arial" w:cs="Arial"/>
        </w:rPr>
        <w:t>Nowhere in the notice of motion or the supporting affidavit is there a reference to a Rule of Court, section in a statute or rule</w:t>
      </w:r>
      <w:r w:rsidR="00F37FD0">
        <w:rPr>
          <w:rFonts w:ascii="Arial" w:hAnsi="Arial" w:cs="Arial"/>
        </w:rPr>
        <w:t xml:space="preserve"> of common law which would entitle the respondents to approach the court for the relief sought. </w:t>
      </w:r>
      <w:r w:rsidR="00F37FD0" w:rsidRPr="00F37FD0">
        <w:rPr>
          <w:rFonts w:ascii="Arial" w:hAnsi="Arial" w:cs="Arial"/>
        </w:rPr>
        <w:t>Mr Bowman</w:t>
      </w:r>
      <w:r w:rsidR="00F37FD0">
        <w:rPr>
          <w:rFonts w:ascii="Arial" w:hAnsi="Arial" w:cs="Arial"/>
          <w:i/>
        </w:rPr>
        <w:t xml:space="preserve"> </w:t>
      </w:r>
      <w:r w:rsidR="00F37FD0">
        <w:rPr>
          <w:rFonts w:ascii="Arial" w:hAnsi="Arial" w:cs="Arial"/>
        </w:rPr>
        <w:t xml:space="preserve">on behalf of the respondents argued that the respondents were entitled to approach the court in terms of </w:t>
      </w:r>
      <w:r w:rsidR="00E23542">
        <w:rPr>
          <w:rFonts w:ascii="Arial" w:hAnsi="Arial" w:cs="Arial"/>
        </w:rPr>
        <w:t>r</w:t>
      </w:r>
      <w:r w:rsidR="00F37FD0">
        <w:rPr>
          <w:rFonts w:ascii="Arial" w:hAnsi="Arial" w:cs="Arial"/>
        </w:rPr>
        <w:t xml:space="preserve">ule 6(8) or </w:t>
      </w:r>
      <w:r w:rsidR="00E23542">
        <w:rPr>
          <w:rFonts w:ascii="Arial" w:hAnsi="Arial" w:cs="Arial"/>
        </w:rPr>
        <w:t>r</w:t>
      </w:r>
      <w:r w:rsidR="00F37FD0">
        <w:rPr>
          <w:rFonts w:ascii="Arial" w:hAnsi="Arial" w:cs="Arial"/>
        </w:rPr>
        <w:t>ule 6(12)(</w:t>
      </w:r>
      <w:r w:rsidR="00F37FD0" w:rsidRPr="00F37FD0">
        <w:rPr>
          <w:rFonts w:ascii="Arial" w:hAnsi="Arial" w:cs="Arial"/>
          <w:i/>
        </w:rPr>
        <w:t>c</w:t>
      </w:r>
      <w:r w:rsidR="00F37FD0">
        <w:rPr>
          <w:rFonts w:ascii="Arial" w:hAnsi="Arial" w:cs="Arial"/>
        </w:rPr>
        <w:t xml:space="preserve">) of the Uniform Rules of Court or under the common law. </w:t>
      </w:r>
    </w:p>
    <w:p w:rsidR="00960A91" w:rsidRDefault="00F37FD0" w:rsidP="001C5C0D">
      <w:pPr>
        <w:pStyle w:val="ListParagraph"/>
        <w:spacing w:after="0" w:line="360" w:lineRule="auto"/>
        <w:jc w:val="both"/>
        <w:rPr>
          <w:rFonts w:ascii="Arial" w:hAnsi="Arial" w:cs="Arial"/>
        </w:rPr>
      </w:pPr>
      <w:r>
        <w:rPr>
          <w:rFonts w:ascii="Arial" w:hAnsi="Arial" w:cs="Arial"/>
        </w:rPr>
        <w:t xml:space="preserve">Under the common law it was argued with reference to </w:t>
      </w:r>
      <w:r>
        <w:rPr>
          <w:rFonts w:ascii="Arial" w:hAnsi="Arial" w:cs="Arial"/>
          <w:i/>
        </w:rPr>
        <w:t xml:space="preserve">Shoba v Officer Commanding, Temporary Police Camp, Wagendrift Dam, </w:t>
      </w:r>
      <w:r w:rsidR="007C0FAD">
        <w:rPr>
          <w:rFonts w:ascii="Arial" w:hAnsi="Arial" w:cs="Arial"/>
          <w:i/>
        </w:rPr>
        <w:t>&amp;</w:t>
      </w:r>
      <w:r>
        <w:rPr>
          <w:rFonts w:ascii="Arial" w:hAnsi="Arial" w:cs="Arial"/>
          <w:i/>
        </w:rPr>
        <w:t xml:space="preserve"> another; Maphanga v Officer Commanding, South African Police Murder and Robbery Unit, Pietermaritzburg, </w:t>
      </w:r>
      <w:r w:rsidR="007C0FAD">
        <w:rPr>
          <w:rFonts w:ascii="Arial" w:hAnsi="Arial" w:cs="Arial"/>
          <w:i/>
        </w:rPr>
        <w:t>&amp;</w:t>
      </w:r>
      <w:r>
        <w:rPr>
          <w:rFonts w:ascii="Arial" w:hAnsi="Arial" w:cs="Arial"/>
          <w:i/>
        </w:rPr>
        <w:t xml:space="preserve"> others </w:t>
      </w:r>
      <w:r>
        <w:rPr>
          <w:rFonts w:ascii="Arial" w:hAnsi="Arial" w:cs="Arial"/>
        </w:rPr>
        <w:t xml:space="preserve">1995 (4) SA 1 (A) at 19D-H, 21H-J and 23D-E; </w:t>
      </w:r>
      <w:r>
        <w:rPr>
          <w:rFonts w:ascii="Arial" w:hAnsi="Arial" w:cs="Arial"/>
          <w:i/>
        </w:rPr>
        <w:t xml:space="preserve">Univeral City Studios Inc </w:t>
      </w:r>
      <w:r w:rsidR="007C0FAD">
        <w:rPr>
          <w:rFonts w:ascii="Arial" w:hAnsi="Arial" w:cs="Arial"/>
          <w:i/>
        </w:rPr>
        <w:t>&amp;</w:t>
      </w:r>
      <w:r>
        <w:rPr>
          <w:rFonts w:ascii="Arial" w:hAnsi="Arial" w:cs="Arial"/>
          <w:i/>
        </w:rPr>
        <w:t xml:space="preserve"> others v Network Video (Pty)Ltd </w:t>
      </w:r>
      <w:r w:rsidR="00960A91">
        <w:rPr>
          <w:rFonts w:ascii="Arial" w:hAnsi="Arial" w:cs="Arial"/>
        </w:rPr>
        <w:t xml:space="preserve">1986 (2) SA 734 (A) at 755F-G; and </w:t>
      </w:r>
      <w:r w:rsidR="00960A91">
        <w:rPr>
          <w:rFonts w:ascii="Arial" w:hAnsi="Arial" w:cs="Arial"/>
          <w:i/>
        </w:rPr>
        <w:t xml:space="preserve">South Cape Corporation (Pty) Ltd v Engineering Management Services (Pty) Ltd </w:t>
      </w:r>
      <w:r w:rsidR="00960A91">
        <w:rPr>
          <w:rFonts w:ascii="Arial" w:hAnsi="Arial" w:cs="Arial"/>
        </w:rPr>
        <w:t>1977 (3) SA 534 (A) at 549F-551A that the court has an inherent power to set aside or alter the order granted on 31 October 1997.</w:t>
      </w:r>
    </w:p>
    <w:p w:rsidR="00953968" w:rsidRDefault="00960A91" w:rsidP="001C5C0D">
      <w:pPr>
        <w:pStyle w:val="ListParagraph"/>
        <w:spacing w:after="0" w:line="360" w:lineRule="auto"/>
        <w:jc w:val="both"/>
        <w:rPr>
          <w:rFonts w:ascii="Arial" w:hAnsi="Arial" w:cs="Arial"/>
        </w:rPr>
      </w:pPr>
      <w:r>
        <w:rPr>
          <w:rFonts w:ascii="Arial" w:hAnsi="Arial" w:cs="Arial"/>
        </w:rPr>
        <w:t xml:space="preserve">In the present case the order does not contain a provision that the respondents are entitled to apply on notice to vary or discharge the order: it is simply in the form of a rule </w:t>
      </w:r>
      <w:r>
        <w:rPr>
          <w:rFonts w:ascii="Arial" w:hAnsi="Arial" w:cs="Arial"/>
          <w:i/>
        </w:rPr>
        <w:t>nisi</w:t>
      </w:r>
      <w:r>
        <w:rPr>
          <w:rFonts w:ascii="Arial" w:hAnsi="Arial" w:cs="Arial"/>
        </w:rPr>
        <w:t xml:space="preserve">. This indicates clearly that the respondents are entitled to show cause on the return day why the rule should not be made final. That would obviously include showing that the order should not have been granted at the outset because there was no proper case made out for that order on the papers. The fact that the order does not expressly provide for the respondents to anticipate the return date or provide that they are entitled to apply on notice to discharge the order cannot be an obstacle to the court entertaining an application on either basis. </w:t>
      </w:r>
      <w:r>
        <w:rPr>
          <w:rFonts w:ascii="Arial" w:hAnsi="Arial" w:cs="Arial"/>
          <w:i/>
        </w:rPr>
        <w:t xml:space="preserve">Anton Piller </w:t>
      </w:r>
      <w:r>
        <w:rPr>
          <w:rFonts w:ascii="Arial" w:hAnsi="Arial" w:cs="Arial"/>
        </w:rPr>
        <w:t>relief is of such a drastic nature that the court should not adopt an unduly strict or technical approach when</w:t>
      </w:r>
      <w:r w:rsidR="0037759E">
        <w:rPr>
          <w:rFonts w:ascii="Arial" w:hAnsi="Arial" w:cs="Arial"/>
        </w:rPr>
        <w:t xml:space="preserve"> a respondent seeks to be heard. </w:t>
      </w:r>
    </w:p>
    <w:p w:rsidR="00953968" w:rsidRDefault="0037759E" w:rsidP="001C5C0D">
      <w:pPr>
        <w:pStyle w:val="ListParagraph"/>
        <w:spacing w:after="0" w:line="360" w:lineRule="auto"/>
        <w:jc w:val="both"/>
        <w:rPr>
          <w:rFonts w:ascii="Arial" w:hAnsi="Arial" w:cs="Arial"/>
        </w:rPr>
      </w:pPr>
      <w:r>
        <w:rPr>
          <w:rFonts w:ascii="Arial" w:hAnsi="Arial" w:cs="Arial"/>
        </w:rPr>
        <w:t xml:space="preserve">In any event both </w:t>
      </w:r>
      <w:r w:rsidR="00E23542">
        <w:rPr>
          <w:rFonts w:ascii="Arial" w:hAnsi="Arial" w:cs="Arial"/>
        </w:rPr>
        <w:t>r</w:t>
      </w:r>
      <w:r>
        <w:rPr>
          <w:rFonts w:ascii="Arial" w:hAnsi="Arial" w:cs="Arial"/>
        </w:rPr>
        <w:t xml:space="preserve">ule 6(8) and </w:t>
      </w:r>
      <w:r w:rsidR="00E23542">
        <w:rPr>
          <w:rFonts w:ascii="Arial" w:hAnsi="Arial" w:cs="Arial"/>
        </w:rPr>
        <w:t>r</w:t>
      </w:r>
      <w:r>
        <w:rPr>
          <w:rFonts w:ascii="Arial" w:hAnsi="Arial" w:cs="Arial"/>
        </w:rPr>
        <w:t>ule 6(12)(</w:t>
      </w:r>
      <w:r w:rsidRPr="00E23542">
        <w:rPr>
          <w:rFonts w:ascii="Arial" w:hAnsi="Arial" w:cs="Arial"/>
        </w:rPr>
        <w:t>c</w:t>
      </w:r>
      <w:r>
        <w:rPr>
          <w:rFonts w:ascii="Arial" w:hAnsi="Arial" w:cs="Arial"/>
        </w:rPr>
        <w:t xml:space="preserve">) cover the case. </w:t>
      </w:r>
    </w:p>
    <w:p w:rsidR="001C5C0D" w:rsidRDefault="0037759E" w:rsidP="001C5C0D">
      <w:pPr>
        <w:pStyle w:val="ListParagraph"/>
        <w:spacing w:after="0" w:line="360" w:lineRule="auto"/>
        <w:jc w:val="both"/>
        <w:rPr>
          <w:rFonts w:ascii="Arial" w:hAnsi="Arial" w:cs="Arial"/>
        </w:rPr>
      </w:pPr>
      <w:r>
        <w:rPr>
          <w:rFonts w:ascii="Arial" w:hAnsi="Arial" w:cs="Arial"/>
        </w:rPr>
        <w:t xml:space="preserve">In terms of </w:t>
      </w:r>
      <w:r w:rsidR="00E23542">
        <w:rPr>
          <w:rFonts w:ascii="Arial" w:hAnsi="Arial" w:cs="Arial"/>
        </w:rPr>
        <w:t>r</w:t>
      </w:r>
      <w:r>
        <w:rPr>
          <w:rFonts w:ascii="Arial" w:hAnsi="Arial" w:cs="Arial"/>
        </w:rPr>
        <w:t xml:space="preserve">ule 6(8) any person against whom an order is granted </w:t>
      </w:r>
      <w:r>
        <w:rPr>
          <w:rFonts w:ascii="Arial" w:hAnsi="Arial" w:cs="Arial"/>
          <w:i/>
        </w:rPr>
        <w:t xml:space="preserve">ex parte </w:t>
      </w:r>
      <w:r>
        <w:rPr>
          <w:rFonts w:ascii="Arial" w:hAnsi="Arial" w:cs="Arial"/>
        </w:rPr>
        <w:t>may anticipate the return day upon delivery of not less than 24 hours’ notice. The respondents advised the applicants before 13:00 on 6 November 1997 that they wished to set aside the order and they indicated this clearly to the applicants’ legal representatives when they met at court. Sufficient notice was given and, if this is not so, if this is not strictly in terms of the rule, it can and must be condoned. Insofar as this may be relevant I grant condonation for any failure to comply with the provisions of rule 6(8).</w:t>
      </w:r>
    </w:p>
    <w:p w:rsidR="0037759E" w:rsidRDefault="0037759E" w:rsidP="00D613B7">
      <w:pPr>
        <w:pStyle w:val="ListParagraph"/>
        <w:spacing w:after="0" w:line="480" w:lineRule="auto"/>
        <w:jc w:val="both"/>
        <w:rPr>
          <w:rFonts w:ascii="Arial" w:hAnsi="Arial" w:cs="Arial"/>
        </w:rPr>
      </w:pPr>
      <w:r>
        <w:rPr>
          <w:rFonts w:ascii="Arial" w:hAnsi="Arial" w:cs="Arial"/>
        </w:rPr>
        <w:t xml:space="preserve">In terms of </w:t>
      </w:r>
      <w:r w:rsidR="00E23542">
        <w:rPr>
          <w:rFonts w:ascii="Arial" w:hAnsi="Arial" w:cs="Arial"/>
        </w:rPr>
        <w:t>r</w:t>
      </w:r>
      <w:r>
        <w:rPr>
          <w:rFonts w:ascii="Arial" w:hAnsi="Arial" w:cs="Arial"/>
        </w:rPr>
        <w:t>ule 6(12(</w:t>
      </w:r>
      <w:r w:rsidRPr="00E23542">
        <w:rPr>
          <w:rFonts w:ascii="Arial" w:hAnsi="Arial" w:cs="Arial"/>
        </w:rPr>
        <w:t>c</w:t>
      </w:r>
      <w:r>
        <w:rPr>
          <w:rFonts w:ascii="Arial" w:hAnsi="Arial" w:cs="Arial"/>
        </w:rPr>
        <w:t xml:space="preserve">) a person against whom an order was granted in his absence in an urgent application may by notice set down the matter for reconsideration of the </w:t>
      </w:r>
      <w:r>
        <w:rPr>
          <w:rFonts w:ascii="Arial" w:hAnsi="Arial" w:cs="Arial"/>
        </w:rPr>
        <w:lastRenderedPageBreak/>
        <w:t xml:space="preserve">order. This rule is very widely framed and I have no doubt that the word </w:t>
      </w:r>
      <w:r w:rsidR="00953968">
        <w:rPr>
          <w:rFonts w:ascii="Arial" w:hAnsi="Arial" w:cs="Arial"/>
        </w:rPr>
        <w:t>‘</w:t>
      </w:r>
      <w:r>
        <w:rPr>
          <w:rFonts w:ascii="Arial" w:hAnsi="Arial" w:cs="Arial"/>
        </w:rPr>
        <w:t>reconsideration</w:t>
      </w:r>
      <w:r w:rsidR="00953968">
        <w:rPr>
          <w:rFonts w:ascii="Arial" w:hAnsi="Arial" w:cs="Arial"/>
        </w:rPr>
        <w:t>’</w:t>
      </w:r>
      <w:r>
        <w:rPr>
          <w:rFonts w:ascii="Arial" w:hAnsi="Arial" w:cs="Arial"/>
        </w:rPr>
        <w:t xml:space="preserve"> must bear its widest meaning</w:t>
      </w:r>
      <w:r w:rsidR="00FE35FE">
        <w:rPr>
          <w:rFonts w:ascii="Arial" w:hAnsi="Arial" w:cs="Arial"/>
        </w:rPr>
        <w:t>.'</w:t>
      </w:r>
    </w:p>
    <w:p w:rsidR="0037759E" w:rsidRPr="0037759E" w:rsidRDefault="0037759E" w:rsidP="0037759E">
      <w:pPr>
        <w:pStyle w:val="ListParagraph"/>
        <w:spacing w:after="0" w:line="480" w:lineRule="auto"/>
        <w:jc w:val="both"/>
        <w:rPr>
          <w:rFonts w:ascii="Arial" w:hAnsi="Arial" w:cs="Arial"/>
          <w:sz w:val="24"/>
          <w:szCs w:val="24"/>
        </w:rPr>
      </w:pPr>
    </w:p>
    <w:p w:rsidR="001C5C0D" w:rsidRPr="00D613B7" w:rsidRDefault="0037759E" w:rsidP="00D613B7">
      <w:pPr>
        <w:pStyle w:val="ListParagraph"/>
        <w:numPr>
          <w:ilvl w:val="0"/>
          <w:numId w:val="1"/>
        </w:numPr>
        <w:tabs>
          <w:tab w:val="left" w:pos="851"/>
        </w:tabs>
        <w:spacing w:after="0" w:line="480" w:lineRule="auto"/>
        <w:ind w:left="0" w:firstLine="0"/>
        <w:jc w:val="both"/>
        <w:rPr>
          <w:rFonts w:ascii="Arial" w:hAnsi="Arial" w:cs="Arial"/>
          <w:sz w:val="24"/>
          <w:szCs w:val="24"/>
        </w:rPr>
      </w:pPr>
      <w:r w:rsidRPr="00D613B7">
        <w:rPr>
          <w:rFonts w:ascii="Arial" w:hAnsi="Arial" w:cs="Arial"/>
          <w:sz w:val="24"/>
          <w:szCs w:val="24"/>
        </w:rPr>
        <w:t xml:space="preserve">When one compares the above with what </w:t>
      </w:r>
      <w:r w:rsidR="00B56128" w:rsidRPr="00D613B7">
        <w:rPr>
          <w:rFonts w:ascii="Arial" w:hAnsi="Arial" w:cs="Arial"/>
          <w:sz w:val="24"/>
          <w:szCs w:val="24"/>
        </w:rPr>
        <w:t xml:space="preserve">Traverso DJP said about </w:t>
      </w:r>
      <w:r w:rsidR="00E23542">
        <w:rPr>
          <w:rFonts w:ascii="Arial" w:hAnsi="Arial" w:cs="Arial"/>
          <w:sz w:val="24"/>
          <w:szCs w:val="24"/>
        </w:rPr>
        <w:t>r</w:t>
      </w:r>
      <w:r w:rsidR="00B56128" w:rsidRPr="00D613B7">
        <w:rPr>
          <w:rFonts w:ascii="Arial" w:hAnsi="Arial" w:cs="Arial"/>
          <w:sz w:val="24"/>
          <w:szCs w:val="24"/>
        </w:rPr>
        <w:t>ule 6(12)(</w:t>
      </w:r>
      <w:r w:rsidR="00B56128" w:rsidRPr="00D613B7">
        <w:rPr>
          <w:rFonts w:ascii="Arial" w:hAnsi="Arial" w:cs="Arial"/>
          <w:i/>
          <w:sz w:val="24"/>
          <w:szCs w:val="24"/>
        </w:rPr>
        <w:t>c</w:t>
      </w:r>
      <w:r w:rsidR="00B56128" w:rsidRPr="00D613B7">
        <w:rPr>
          <w:rFonts w:ascii="Arial" w:hAnsi="Arial" w:cs="Arial"/>
          <w:sz w:val="24"/>
          <w:szCs w:val="24"/>
        </w:rPr>
        <w:t xml:space="preserve">) in the </w:t>
      </w:r>
      <w:r w:rsidR="00B56128" w:rsidRPr="00D613B7">
        <w:rPr>
          <w:rFonts w:ascii="Arial" w:hAnsi="Arial" w:cs="Arial"/>
          <w:i/>
          <w:sz w:val="24"/>
          <w:szCs w:val="24"/>
        </w:rPr>
        <w:t>Braun</w:t>
      </w:r>
      <w:r w:rsidR="00B56128" w:rsidRPr="00D613B7">
        <w:rPr>
          <w:rFonts w:ascii="Arial" w:hAnsi="Arial" w:cs="Arial"/>
          <w:sz w:val="24"/>
          <w:szCs w:val="24"/>
        </w:rPr>
        <w:t xml:space="preserve"> matter, the equation made between </w:t>
      </w:r>
      <w:r w:rsidR="00E23542">
        <w:rPr>
          <w:rFonts w:ascii="Arial" w:hAnsi="Arial" w:cs="Arial"/>
          <w:sz w:val="24"/>
          <w:szCs w:val="24"/>
        </w:rPr>
        <w:t>r</w:t>
      </w:r>
      <w:r w:rsidR="00B56128" w:rsidRPr="00D613B7">
        <w:rPr>
          <w:rFonts w:ascii="Arial" w:hAnsi="Arial" w:cs="Arial"/>
          <w:sz w:val="24"/>
          <w:szCs w:val="24"/>
        </w:rPr>
        <w:t>ule 6(8) (which is Rule 72(7) of the High Court Rules) and</w:t>
      </w:r>
      <w:r w:rsidR="00E23542">
        <w:rPr>
          <w:rFonts w:ascii="Arial" w:hAnsi="Arial" w:cs="Arial"/>
          <w:sz w:val="24"/>
          <w:szCs w:val="24"/>
        </w:rPr>
        <w:t xml:space="preserve"> </w:t>
      </w:r>
      <w:r w:rsidR="00B56128" w:rsidRPr="00D613B7">
        <w:rPr>
          <w:rFonts w:ascii="Arial" w:hAnsi="Arial" w:cs="Arial"/>
          <w:sz w:val="24"/>
          <w:szCs w:val="24"/>
        </w:rPr>
        <w:t>6(12)(</w:t>
      </w:r>
      <w:r w:rsidR="00B56128" w:rsidRPr="00D613B7">
        <w:rPr>
          <w:rFonts w:ascii="Arial" w:hAnsi="Arial" w:cs="Arial"/>
          <w:i/>
          <w:sz w:val="24"/>
          <w:szCs w:val="24"/>
        </w:rPr>
        <w:t>c</w:t>
      </w:r>
      <w:r w:rsidR="00B56128" w:rsidRPr="00D613B7">
        <w:rPr>
          <w:rFonts w:ascii="Arial" w:hAnsi="Arial" w:cs="Arial"/>
          <w:sz w:val="24"/>
          <w:szCs w:val="24"/>
        </w:rPr>
        <w:t xml:space="preserve">) in the </w:t>
      </w:r>
      <w:r w:rsidR="00B56128" w:rsidRPr="00D613B7">
        <w:rPr>
          <w:rFonts w:ascii="Arial" w:hAnsi="Arial" w:cs="Arial"/>
          <w:i/>
          <w:sz w:val="24"/>
          <w:szCs w:val="24"/>
        </w:rPr>
        <w:t>Lourenco</w:t>
      </w:r>
      <w:r w:rsidR="00B56128" w:rsidRPr="00D613B7">
        <w:rPr>
          <w:rFonts w:ascii="Arial" w:hAnsi="Arial" w:cs="Arial"/>
          <w:sz w:val="24"/>
          <w:szCs w:val="24"/>
        </w:rPr>
        <w:t xml:space="preserve"> </w:t>
      </w:r>
      <w:r w:rsidR="00C54A55" w:rsidRPr="00D613B7">
        <w:rPr>
          <w:rFonts w:ascii="Arial" w:hAnsi="Arial" w:cs="Arial"/>
          <w:sz w:val="24"/>
          <w:szCs w:val="24"/>
        </w:rPr>
        <w:t>matter</w:t>
      </w:r>
      <w:r w:rsidR="00BC22B5" w:rsidRPr="00D613B7">
        <w:rPr>
          <w:rFonts w:ascii="Arial" w:hAnsi="Arial" w:cs="Arial"/>
          <w:sz w:val="24"/>
          <w:szCs w:val="24"/>
        </w:rPr>
        <w:t xml:space="preserve">, </w:t>
      </w:r>
      <w:r w:rsidR="00B56128" w:rsidRPr="00D613B7">
        <w:rPr>
          <w:rFonts w:ascii="Arial" w:hAnsi="Arial" w:cs="Arial"/>
          <w:sz w:val="24"/>
          <w:szCs w:val="24"/>
        </w:rPr>
        <w:t>there is very little criticism to be l</w:t>
      </w:r>
      <w:r w:rsidR="00A34073" w:rsidRPr="00D613B7">
        <w:rPr>
          <w:rFonts w:ascii="Arial" w:hAnsi="Arial" w:cs="Arial"/>
          <w:sz w:val="24"/>
          <w:szCs w:val="24"/>
        </w:rPr>
        <w:t>eve</w:t>
      </w:r>
      <w:r w:rsidR="00B56128" w:rsidRPr="00D613B7">
        <w:rPr>
          <w:rFonts w:ascii="Arial" w:hAnsi="Arial" w:cs="Arial"/>
          <w:sz w:val="24"/>
          <w:szCs w:val="24"/>
        </w:rPr>
        <w:t>lled at the conclusion arrived at by the court a quo</w:t>
      </w:r>
      <w:r w:rsidR="00B56128" w:rsidRPr="00D613B7">
        <w:rPr>
          <w:rFonts w:ascii="Arial" w:hAnsi="Arial" w:cs="Arial"/>
          <w:i/>
          <w:sz w:val="24"/>
          <w:szCs w:val="24"/>
        </w:rPr>
        <w:t xml:space="preserve"> </w:t>
      </w:r>
      <w:r w:rsidR="00B56128" w:rsidRPr="00D613B7">
        <w:rPr>
          <w:rFonts w:ascii="Arial" w:hAnsi="Arial" w:cs="Arial"/>
          <w:sz w:val="24"/>
          <w:szCs w:val="24"/>
        </w:rPr>
        <w:t xml:space="preserve">on this point. The authors Erasmus </w:t>
      </w:r>
      <w:r w:rsidR="00B56128" w:rsidRPr="00D613B7">
        <w:rPr>
          <w:rFonts w:ascii="Arial" w:hAnsi="Arial" w:cs="Arial"/>
          <w:i/>
          <w:sz w:val="24"/>
          <w:szCs w:val="24"/>
        </w:rPr>
        <w:t>et al</w:t>
      </w:r>
      <w:r w:rsidR="00B56128" w:rsidRPr="00D613B7">
        <w:rPr>
          <w:rFonts w:ascii="Arial" w:hAnsi="Arial" w:cs="Arial"/>
          <w:sz w:val="24"/>
          <w:szCs w:val="24"/>
        </w:rPr>
        <w:t xml:space="preserve"> state that ‘the rules do not provide substantively for the granting of a </w:t>
      </w:r>
      <w:r w:rsidR="00B56128" w:rsidRPr="007C0FAD">
        <w:rPr>
          <w:rFonts w:ascii="Arial" w:hAnsi="Arial" w:cs="Arial"/>
          <w:i/>
          <w:sz w:val="24"/>
          <w:szCs w:val="24"/>
        </w:rPr>
        <w:t>rule</w:t>
      </w:r>
      <w:r w:rsidR="00B56128" w:rsidRPr="00D613B7">
        <w:rPr>
          <w:rFonts w:ascii="Arial" w:hAnsi="Arial" w:cs="Arial"/>
          <w:sz w:val="24"/>
          <w:szCs w:val="24"/>
        </w:rPr>
        <w:t xml:space="preserve"> </w:t>
      </w:r>
      <w:r w:rsidR="00B56128" w:rsidRPr="00D613B7">
        <w:rPr>
          <w:rFonts w:ascii="Arial" w:hAnsi="Arial" w:cs="Arial"/>
          <w:i/>
          <w:sz w:val="24"/>
          <w:szCs w:val="24"/>
        </w:rPr>
        <w:t xml:space="preserve">nisi </w:t>
      </w:r>
      <w:r w:rsidR="00B56128" w:rsidRPr="00D613B7">
        <w:rPr>
          <w:rFonts w:ascii="Arial" w:hAnsi="Arial" w:cs="Arial"/>
          <w:sz w:val="24"/>
          <w:szCs w:val="24"/>
        </w:rPr>
        <w:t>by the court</w:t>
      </w:r>
      <w:r w:rsidR="00B147D9">
        <w:rPr>
          <w:rFonts w:ascii="Arial" w:hAnsi="Arial" w:cs="Arial"/>
          <w:sz w:val="24"/>
          <w:szCs w:val="24"/>
        </w:rPr>
        <w:t>’</w:t>
      </w:r>
      <w:r w:rsidR="00B56128" w:rsidRPr="00D613B7">
        <w:rPr>
          <w:rFonts w:ascii="Arial" w:hAnsi="Arial" w:cs="Arial"/>
          <w:sz w:val="24"/>
          <w:szCs w:val="24"/>
        </w:rPr>
        <w:t xml:space="preserve"> but that </w:t>
      </w:r>
      <w:r w:rsidR="00B147D9">
        <w:rPr>
          <w:rFonts w:ascii="Arial" w:hAnsi="Arial" w:cs="Arial"/>
          <w:sz w:val="24"/>
          <w:szCs w:val="24"/>
        </w:rPr>
        <w:t>‘</w:t>
      </w:r>
      <w:r w:rsidR="00B56128" w:rsidRPr="00D613B7">
        <w:rPr>
          <w:rFonts w:ascii="Arial" w:hAnsi="Arial" w:cs="Arial"/>
          <w:sz w:val="24"/>
          <w:szCs w:val="24"/>
        </w:rPr>
        <w:t>the practice of doing so is, nevertheless, firmly embedded in our procedural law</w:t>
      </w:r>
      <w:r w:rsidR="00205A2F" w:rsidRPr="00D613B7">
        <w:rPr>
          <w:rFonts w:ascii="Arial" w:hAnsi="Arial" w:cs="Arial"/>
          <w:sz w:val="24"/>
          <w:szCs w:val="24"/>
        </w:rPr>
        <w:t>.</w:t>
      </w:r>
      <w:r w:rsidR="00B147D9">
        <w:rPr>
          <w:rFonts w:ascii="Arial" w:hAnsi="Arial" w:cs="Arial"/>
          <w:sz w:val="24"/>
          <w:szCs w:val="24"/>
        </w:rPr>
        <w:t>’</w:t>
      </w:r>
      <w:r w:rsidR="00B56128">
        <w:rPr>
          <w:rStyle w:val="FootnoteReference"/>
          <w:rFonts w:ascii="Arial" w:hAnsi="Arial" w:cs="Arial"/>
          <w:sz w:val="24"/>
          <w:szCs w:val="24"/>
        </w:rPr>
        <w:footnoteReference w:id="15"/>
      </w:r>
      <w:r w:rsidR="00B56128" w:rsidRPr="00D613B7">
        <w:rPr>
          <w:rFonts w:ascii="Arial" w:hAnsi="Arial" w:cs="Arial"/>
          <w:sz w:val="24"/>
          <w:szCs w:val="24"/>
        </w:rPr>
        <w:t xml:space="preserve"> </w:t>
      </w:r>
      <w:r w:rsidR="00643D66" w:rsidRPr="00D613B7">
        <w:rPr>
          <w:rFonts w:ascii="Arial" w:hAnsi="Arial" w:cs="Arial"/>
          <w:sz w:val="24"/>
          <w:szCs w:val="24"/>
        </w:rPr>
        <w:t xml:space="preserve">The learned authors refer to the </w:t>
      </w:r>
      <w:r w:rsidR="00643D66" w:rsidRPr="00D613B7">
        <w:rPr>
          <w:rFonts w:ascii="Arial" w:hAnsi="Arial" w:cs="Arial"/>
          <w:i/>
          <w:sz w:val="24"/>
          <w:szCs w:val="24"/>
        </w:rPr>
        <w:t>Lourenco</w:t>
      </w:r>
      <w:r w:rsidR="00643D66" w:rsidRPr="00D613B7">
        <w:rPr>
          <w:rFonts w:ascii="Arial" w:hAnsi="Arial" w:cs="Arial"/>
          <w:sz w:val="24"/>
          <w:szCs w:val="24"/>
        </w:rPr>
        <w:t xml:space="preserve"> matter above and state that, ‘a return day may be anticipated under sub rule (8) even if the order granted </w:t>
      </w:r>
      <w:r w:rsidR="00643D66" w:rsidRPr="00D613B7">
        <w:rPr>
          <w:rFonts w:ascii="Arial" w:hAnsi="Arial" w:cs="Arial"/>
          <w:i/>
          <w:sz w:val="24"/>
          <w:szCs w:val="24"/>
        </w:rPr>
        <w:t xml:space="preserve">ex parte </w:t>
      </w:r>
      <w:r w:rsidR="00643D66" w:rsidRPr="00D613B7">
        <w:rPr>
          <w:rFonts w:ascii="Arial" w:hAnsi="Arial" w:cs="Arial"/>
          <w:sz w:val="24"/>
          <w:szCs w:val="24"/>
        </w:rPr>
        <w:t>does not explicitly provide for the anticipation of the return day</w:t>
      </w:r>
      <w:r w:rsidR="00205A2F" w:rsidRPr="00D613B7">
        <w:rPr>
          <w:rFonts w:ascii="Arial" w:hAnsi="Arial" w:cs="Arial"/>
          <w:sz w:val="24"/>
          <w:szCs w:val="24"/>
        </w:rPr>
        <w:t>.’</w:t>
      </w:r>
      <w:r w:rsidR="00643D66">
        <w:rPr>
          <w:rStyle w:val="FootnoteReference"/>
          <w:rFonts w:ascii="Arial" w:hAnsi="Arial" w:cs="Arial"/>
          <w:sz w:val="24"/>
          <w:szCs w:val="24"/>
        </w:rPr>
        <w:footnoteReference w:id="16"/>
      </w:r>
    </w:p>
    <w:p w:rsidR="00D613B7" w:rsidRPr="00AB14CF" w:rsidRDefault="00D613B7" w:rsidP="00B147D9">
      <w:pPr>
        <w:pStyle w:val="ListParagraph"/>
        <w:spacing w:after="0" w:line="480" w:lineRule="auto"/>
        <w:jc w:val="both"/>
        <w:rPr>
          <w:rFonts w:ascii="Arial" w:hAnsi="Arial" w:cs="Arial"/>
          <w:sz w:val="24"/>
          <w:szCs w:val="24"/>
        </w:rPr>
      </w:pPr>
    </w:p>
    <w:p w:rsidR="00B35EFB" w:rsidRPr="00D613B7" w:rsidRDefault="00B35EFB" w:rsidP="00D613B7">
      <w:pPr>
        <w:pStyle w:val="ListParagraph"/>
        <w:numPr>
          <w:ilvl w:val="0"/>
          <w:numId w:val="1"/>
        </w:numPr>
        <w:tabs>
          <w:tab w:val="left" w:pos="0"/>
        </w:tabs>
        <w:spacing w:after="0" w:line="480" w:lineRule="auto"/>
        <w:ind w:left="0" w:firstLine="0"/>
        <w:jc w:val="both"/>
        <w:rPr>
          <w:rFonts w:ascii="Arial" w:hAnsi="Arial" w:cs="Arial"/>
          <w:sz w:val="24"/>
          <w:szCs w:val="24"/>
        </w:rPr>
      </w:pPr>
      <w:r w:rsidRPr="00D613B7">
        <w:rPr>
          <w:rFonts w:ascii="Arial" w:hAnsi="Arial" w:cs="Arial"/>
          <w:sz w:val="24"/>
          <w:szCs w:val="24"/>
        </w:rPr>
        <w:t xml:space="preserve">But in my opinion, the answer to the attack on the conclusion arrived at on the point under consideration lies in the respondents’ notice to anticipate and their application in terms of s 58(4) of </w:t>
      </w:r>
      <w:r w:rsidR="00C20D1B" w:rsidRPr="00D613B7">
        <w:rPr>
          <w:rFonts w:ascii="Arial" w:hAnsi="Arial" w:cs="Arial"/>
          <w:sz w:val="24"/>
          <w:szCs w:val="24"/>
        </w:rPr>
        <w:t>the Act</w:t>
      </w:r>
      <w:r w:rsidRPr="00D613B7">
        <w:rPr>
          <w:rFonts w:ascii="Arial" w:hAnsi="Arial" w:cs="Arial"/>
          <w:sz w:val="24"/>
          <w:szCs w:val="24"/>
        </w:rPr>
        <w:t xml:space="preserve"> where the following was stated:</w:t>
      </w:r>
    </w:p>
    <w:p w:rsidR="00B35EFB" w:rsidRDefault="00B35EFB" w:rsidP="006956D3">
      <w:pPr>
        <w:pStyle w:val="ListParagraph"/>
        <w:spacing w:after="0" w:line="480" w:lineRule="auto"/>
        <w:jc w:val="both"/>
        <w:rPr>
          <w:rFonts w:ascii="Arial" w:hAnsi="Arial" w:cs="Arial"/>
          <w:sz w:val="24"/>
          <w:szCs w:val="24"/>
        </w:rPr>
      </w:pPr>
    </w:p>
    <w:p w:rsidR="00B35EFB" w:rsidRPr="00A34073" w:rsidRDefault="00B35EFB" w:rsidP="00537E2A">
      <w:pPr>
        <w:pStyle w:val="ListParagraph"/>
        <w:spacing w:after="0" w:line="360" w:lineRule="auto"/>
        <w:jc w:val="both"/>
        <w:rPr>
          <w:rFonts w:ascii="Arial" w:hAnsi="Arial" w:cs="Arial"/>
          <w:b/>
        </w:rPr>
      </w:pPr>
      <w:r w:rsidRPr="00A34073">
        <w:rPr>
          <w:rFonts w:ascii="Arial" w:hAnsi="Arial" w:cs="Arial"/>
        </w:rPr>
        <w:t>‘1.</w:t>
      </w:r>
      <w:r w:rsidRPr="00A34073">
        <w:rPr>
          <w:rFonts w:ascii="Arial" w:hAnsi="Arial" w:cs="Arial"/>
        </w:rPr>
        <w:tab/>
      </w:r>
      <w:r w:rsidRPr="00A34073">
        <w:rPr>
          <w:rFonts w:ascii="Arial" w:hAnsi="Arial" w:cs="Arial"/>
          <w:b/>
        </w:rPr>
        <w:t>TAKE NOTICE that:</w:t>
      </w:r>
    </w:p>
    <w:p w:rsidR="00B35EFB" w:rsidRPr="00A34073" w:rsidRDefault="00B35EFB" w:rsidP="00537E2A">
      <w:pPr>
        <w:pStyle w:val="ListParagraph"/>
        <w:spacing w:after="0" w:line="360" w:lineRule="auto"/>
        <w:jc w:val="both"/>
        <w:rPr>
          <w:rFonts w:ascii="Arial" w:hAnsi="Arial" w:cs="Arial"/>
          <w:b/>
        </w:rPr>
      </w:pPr>
    </w:p>
    <w:p w:rsidR="00B35EFB" w:rsidRPr="00A34073" w:rsidRDefault="00B35EFB" w:rsidP="00537E2A">
      <w:pPr>
        <w:pStyle w:val="ListParagraph"/>
        <w:numPr>
          <w:ilvl w:val="1"/>
          <w:numId w:val="8"/>
        </w:numPr>
        <w:spacing w:after="0" w:line="360" w:lineRule="auto"/>
        <w:jc w:val="both"/>
        <w:rPr>
          <w:rFonts w:ascii="Arial" w:hAnsi="Arial" w:cs="Arial"/>
        </w:rPr>
      </w:pPr>
      <w:r w:rsidRPr="00A34073">
        <w:rPr>
          <w:rFonts w:ascii="Arial" w:hAnsi="Arial" w:cs="Arial"/>
        </w:rPr>
        <w:t xml:space="preserve">the respondents hereby anticipate the interim preservation order granted in favour of the applicant in case number POCA 8/2017 on 26 May 2017, on an urgent and </w:t>
      </w:r>
      <w:r w:rsidRPr="00A34073">
        <w:rPr>
          <w:rFonts w:ascii="Arial" w:hAnsi="Arial" w:cs="Arial"/>
          <w:i/>
        </w:rPr>
        <w:t xml:space="preserve">ex parte </w:t>
      </w:r>
      <w:r w:rsidRPr="00A34073">
        <w:rPr>
          <w:rFonts w:ascii="Arial" w:hAnsi="Arial" w:cs="Arial"/>
        </w:rPr>
        <w:t xml:space="preserve">basis, to </w:t>
      </w:r>
      <w:r w:rsidRPr="00A34073">
        <w:rPr>
          <w:rFonts w:ascii="Arial" w:hAnsi="Arial" w:cs="Arial"/>
          <w:b/>
        </w:rPr>
        <w:t xml:space="preserve">FRIDAY 9 JUNE 2017 </w:t>
      </w:r>
      <w:r w:rsidR="00B147D9">
        <w:rPr>
          <w:rFonts w:ascii="Arial" w:hAnsi="Arial" w:cs="Arial"/>
        </w:rPr>
        <w:t>at</w:t>
      </w:r>
      <w:r w:rsidRPr="00A34073">
        <w:rPr>
          <w:rFonts w:ascii="Arial" w:hAnsi="Arial" w:cs="Arial"/>
        </w:rPr>
        <w:t xml:space="preserve"> 09</w:t>
      </w:r>
      <w:r w:rsidR="00B147D9">
        <w:rPr>
          <w:rFonts w:ascii="Arial" w:hAnsi="Arial" w:cs="Arial"/>
        </w:rPr>
        <w:t>h</w:t>
      </w:r>
      <w:r w:rsidRPr="00A34073">
        <w:rPr>
          <w:rFonts w:ascii="Arial" w:hAnsi="Arial" w:cs="Arial"/>
        </w:rPr>
        <w:t>00, or as soon thereafter as counsel for the respondent can be heard;</w:t>
      </w:r>
    </w:p>
    <w:p w:rsidR="00B35EFB" w:rsidRPr="00A34073" w:rsidRDefault="00B35EFB" w:rsidP="00537E2A">
      <w:pPr>
        <w:pStyle w:val="ListParagraph"/>
        <w:spacing w:after="0" w:line="360" w:lineRule="auto"/>
        <w:ind w:left="2160"/>
        <w:jc w:val="both"/>
        <w:rPr>
          <w:rFonts w:ascii="Arial" w:hAnsi="Arial" w:cs="Arial"/>
        </w:rPr>
      </w:pPr>
    </w:p>
    <w:p w:rsidR="00B35EFB" w:rsidRPr="00A34073" w:rsidRDefault="00B35EFB" w:rsidP="00537E2A">
      <w:pPr>
        <w:pStyle w:val="ListParagraph"/>
        <w:numPr>
          <w:ilvl w:val="1"/>
          <w:numId w:val="8"/>
        </w:numPr>
        <w:spacing w:after="0" w:line="360" w:lineRule="auto"/>
        <w:jc w:val="both"/>
        <w:rPr>
          <w:rFonts w:ascii="Arial" w:hAnsi="Arial" w:cs="Arial"/>
        </w:rPr>
      </w:pPr>
      <w:r w:rsidRPr="00A34073">
        <w:rPr>
          <w:rFonts w:ascii="Arial" w:hAnsi="Arial" w:cs="Arial"/>
        </w:rPr>
        <w:lastRenderedPageBreak/>
        <w:t>the respondents hereby set this matter down for hearing simultaneously and/or separately (and even if the urgent application in case number HC-MD-CIV-MOT-GEN-2017/00172 is not heard), for the hearing of the relief sought herein;</w:t>
      </w:r>
    </w:p>
    <w:p w:rsidR="00B35EFB" w:rsidRPr="00A34073" w:rsidRDefault="00B35EFB" w:rsidP="00A34073">
      <w:pPr>
        <w:pStyle w:val="ListParagraph"/>
        <w:spacing w:line="360" w:lineRule="auto"/>
        <w:jc w:val="both"/>
        <w:rPr>
          <w:rFonts w:ascii="Arial" w:hAnsi="Arial" w:cs="Arial"/>
        </w:rPr>
      </w:pPr>
    </w:p>
    <w:p w:rsidR="00B35EFB" w:rsidRPr="00A34073" w:rsidRDefault="00B35EFB" w:rsidP="00537E2A">
      <w:pPr>
        <w:pStyle w:val="ListParagraph"/>
        <w:numPr>
          <w:ilvl w:val="1"/>
          <w:numId w:val="8"/>
        </w:numPr>
        <w:spacing w:after="0" w:line="360" w:lineRule="auto"/>
        <w:jc w:val="both"/>
        <w:rPr>
          <w:rFonts w:ascii="Arial" w:hAnsi="Arial" w:cs="Arial"/>
        </w:rPr>
      </w:pPr>
      <w:r w:rsidRPr="00A34073">
        <w:rPr>
          <w:rFonts w:ascii="Arial" w:hAnsi="Arial" w:cs="Arial"/>
        </w:rPr>
        <w:t>the respondents also set the matter down in terms of s 58(4)(</w:t>
      </w:r>
      <w:r w:rsidRPr="00A34073">
        <w:rPr>
          <w:rFonts w:ascii="Arial" w:hAnsi="Arial" w:cs="Arial"/>
          <w:i/>
        </w:rPr>
        <w:t>a</w:t>
      </w:r>
      <w:r w:rsidRPr="00A34073">
        <w:rPr>
          <w:rFonts w:ascii="Arial" w:hAnsi="Arial" w:cs="Arial"/>
        </w:rPr>
        <w:t>) of the Prevention of Organised Crime Act 29 of 2004 (“POCA”);</w:t>
      </w:r>
    </w:p>
    <w:p w:rsidR="00B35EFB" w:rsidRPr="00A34073" w:rsidRDefault="00B35EFB" w:rsidP="00A34073">
      <w:pPr>
        <w:pStyle w:val="ListParagraph"/>
        <w:spacing w:line="360" w:lineRule="auto"/>
        <w:rPr>
          <w:rFonts w:ascii="Arial" w:hAnsi="Arial" w:cs="Arial"/>
        </w:rPr>
      </w:pPr>
    </w:p>
    <w:p w:rsidR="00B35EFB" w:rsidRPr="00A34073" w:rsidRDefault="00B35EFB" w:rsidP="00A34073">
      <w:pPr>
        <w:spacing w:after="0" w:line="360" w:lineRule="auto"/>
        <w:ind w:left="720"/>
        <w:jc w:val="both"/>
        <w:rPr>
          <w:rFonts w:ascii="Arial" w:hAnsi="Arial" w:cs="Arial"/>
          <w:b/>
        </w:rPr>
      </w:pPr>
      <w:r w:rsidRPr="00A34073">
        <w:rPr>
          <w:rFonts w:ascii="Arial" w:hAnsi="Arial" w:cs="Arial"/>
        </w:rPr>
        <w:t>2.</w:t>
      </w:r>
      <w:r w:rsidRPr="00A34073">
        <w:rPr>
          <w:rFonts w:ascii="Arial" w:hAnsi="Arial" w:cs="Arial"/>
        </w:rPr>
        <w:tab/>
      </w:r>
      <w:r w:rsidRPr="00A34073">
        <w:rPr>
          <w:rFonts w:ascii="Arial" w:hAnsi="Arial" w:cs="Arial"/>
          <w:b/>
        </w:rPr>
        <w:t>TAKE NOTICE FURTHER that:</w:t>
      </w:r>
    </w:p>
    <w:p w:rsidR="00B35EFB" w:rsidRPr="00A34073" w:rsidRDefault="00B35EFB" w:rsidP="00A34073">
      <w:pPr>
        <w:spacing w:after="0" w:line="360" w:lineRule="auto"/>
        <w:ind w:left="720"/>
        <w:jc w:val="both"/>
        <w:rPr>
          <w:rFonts w:ascii="Arial" w:hAnsi="Arial" w:cs="Arial"/>
          <w:b/>
        </w:rPr>
      </w:pPr>
    </w:p>
    <w:p w:rsidR="00B35EFB" w:rsidRPr="00A34073" w:rsidRDefault="00B35EFB" w:rsidP="00A34073">
      <w:pPr>
        <w:spacing w:after="0" w:line="360" w:lineRule="auto"/>
        <w:ind w:left="2160" w:hanging="720"/>
        <w:jc w:val="both"/>
        <w:rPr>
          <w:rFonts w:ascii="Arial" w:hAnsi="Arial" w:cs="Arial"/>
        </w:rPr>
      </w:pPr>
      <w:r w:rsidRPr="00A34073">
        <w:rPr>
          <w:rFonts w:ascii="Arial" w:hAnsi="Arial" w:cs="Arial"/>
        </w:rPr>
        <w:t>2.1</w:t>
      </w:r>
      <w:r w:rsidRPr="00A34073">
        <w:rPr>
          <w:rFonts w:ascii="Arial" w:hAnsi="Arial" w:cs="Arial"/>
        </w:rPr>
        <w:tab/>
        <w:t xml:space="preserve">section 58(5) of POCA provides that notice must be given in the prescribed manner. However, the regulations made in terms of POCA, particularly regulation 4(7) is only applicable in circumstances where the registrar of the High Court has given a return date to the Prosecutor-General when she obtained a preservation order as envisaged in s 52 of POCA. In this case, no rule </w:t>
      </w:r>
      <w:r w:rsidRPr="00A34073">
        <w:rPr>
          <w:rFonts w:ascii="Arial" w:hAnsi="Arial" w:cs="Arial"/>
          <w:i/>
        </w:rPr>
        <w:t xml:space="preserve">nisi </w:t>
      </w:r>
      <w:r w:rsidRPr="00A34073">
        <w:rPr>
          <w:rFonts w:ascii="Arial" w:hAnsi="Arial" w:cs="Arial"/>
        </w:rPr>
        <w:t xml:space="preserve">with a return date was issued by the court when it granted the </w:t>
      </w:r>
      <w:r w:rsidRPr="00A34073">
        <w:rPr>
          <w:rFonts w:ascii="Arial" w:hAnsi="Arial" w:cs="Arial"/>
          <w:i/>
        </w:rPr>
        <w:t xml:space="preserve">ex parte </w:t>
      </w:r>
      <w:r w:rsidRPr="00A34073">
        <w:rPr>
          <w:rFonts w:ascii="Arial" w:hAnsi="Arial" w:cs="Arial"/>
        </w:rPr>
        <w:t>order in POCA 8/2017, neither did the registrar ever issue a return date to the Prosecutor-General. In such circumstances</w:t>
      </w:r>
      <w:r w:rsidR="00F84E80">
        <w:rPr>
          <w:rFonts w:ascii="Arial" w:hAnsi="Arial" w:cs="Arial"/>
        </w:rPr>
        <w:t>,</w:t>
      </w:r>
    </w:p>
    <w:p w:rsidR="001611CA" w:rsidRPr="00A34073" w:rsidRDefault="001611CA" w:rsidP="00537E2A">
      <w:pPr>
        <w:spacing w:after="0" w:line="360" w:lineRule="auto"/>
        <w:ind w:left="2160" w:hanging="720"/>
        <w:jc w:val="both"/>
        <w:rPr>
          <w:rFonts w:ascii="Arial" w:hAnsi="Arial" w:cs="Arial"/>
        </w:rPr>
      </w:pPr>
    </w:p>
    <w:p w:rsidR="00B35EFB" w:rsidRPr="00A34073" w:rsidRDefault="00B35EFB" w:rsidP="00537E2A">
      <w:pPr>
        <w:spacing w:after="0" w:line="360" w:lineRule="auto"/>
        <w:ind w:left="2160" w:hanging="720"/>
        <w:jc w:val="both"/>
        <w:rPr>
          <w:rFonts w:ascii="Arial" w:hAnsi="Arial" w:cs="Arial"/>
        </w:rPr>
      </w:pPr>
      <w:r w:rsidRPr="00A34073">
        <w:rPr>
          <w:rFonts w:ascii="Arial" w:hAnsi="Arial" w:cs="Arial"/>
        </w:rPr>
        <w:t>2.1.1</w:t>
      </w:r>
      <w:r w:rsidRPr="00A34073">
        <w:rPr>
          <w:rFonts w:ascii="Arial" w:hAnsi="Arial" w:cs="Arial"/>
        </w:rPr>
        <w:tab/>
        <w:t>where no procedure is prescribed, in addition the regulations must be strictly interpreted, as apparently, in terms of regulation 9, any person who contravenes such a regulation, may be imprisoned for a period not exceeding 3 years o</w:t>
      </w:r>
      <w:r w:rsidR="00F84E80">
        <w:rPr>
          <w:rFonts w:ascii="Arial" w:hAnsi="Arial" w:cs="Arial"/>
        </w:rPr>
        <w:t>r</w:t>
      </w:r>
      <w:r w:rsidRPr="00A34073">
        <w:rPr>
          <w:rFonts w:ascii="Arial" w:hAnsi="Arial" w:cs="Arial"/>
        </w:rPr>
        <w:t xml:space="preserve"> a fine not exceeding N$60</w:t>
      </w:r>
      <w:r w:rsidR="001611CA" w:rsidRPr="00A34073">
        <w:rPr>
          <w:rFonts w:ascii="Arial" w:hAnsi="Arial" w:cs="Arial"/>
        </w:rPr>
        <w:t> 000 or both.</w:t>
      </w:r>
    </w:p>
    <w:p w:rsidR="001B52DF" w:rsidRPr="00A34073" w:rsidRDefault="001B52DF" w:rsidP="00537E2A">
      <w:pPr>
        <w:spacing w:after="0" w:line="360" w:lineRule="auto"/>
        <w:ind w:left="2160" w:hanging="720"/>
        <w:jc w:val="both"/>
        <w:rPr>
          <w:rFonts w:ascii="Arial" w:hAnsi="Arial" w:cs="Arial"/>
        </w:rPr>
      </w:pPr>
    </w:p>
    <w:p w:rsidR="001611CA" w:rsidRPr="00A34073" w:rsidRDefault="001611CA" w:rsidP="00537E2A">
      <w:pPr>
        <w:spacing w:after="0" w:line="360" w:lineRule="auto"/>
        <w:ind w:left="2160" w:hanging="720"/>
        <w:jc w:val="both"/>
        <w:rPr>
          <w:rFonts w:ascii="Arial" w:hAnsi="Arial" w:cs="Arial"/>
        </w:rPr>
      </w:pPr>
      <w:r w:rsidRPr="00A34073">
        <w:rPr>
          <w:rFonts w:ascii="Arial" w:hAnsi="Arial" w:cs="Arial"/>
        </w:rPr>
        <w:t>2.1.2</w:t>
      </w:r>
      <w:r w:rsidRPr="00A34073">
        <w:rPr>
          <w:rFonts w:ascii="Arial" w:hAnsi="Arial" w:cs="Arial"/>
        </w:rPr>
        <w:tab/>
        <w:t xml:space="preserve">respondents apply the rules of the High Court regulating proceedings concerning POCA applications, in circumstances where the regulations, do not specifically deal with a particular matter (such as this rescission application of the respondents). Therefore respondents rely on rule 2 of the POCA rules, and apply High Court </w:t>
      </w:r>
      <w:r w:rsidR="00B147D9">
        <w:rPr>
          <w:rFonts w:ascii="Arial" w:hAnsi="Arial" w:cs="Arial"/>
        </w:rPr>
        <w:t>r</w:t>
      </w:r>
      <w:r w:rsidRPr="00A34073">
        <w:rPr>
          <w:rFonts w:ascii="Arial" w:hAnsi="Arial" w:cs="Arial"/>
        </w:rPr>
        <w:t>ule 72(7) to set this matter down, by giving not less than 24 hours’ notice.</w:t>
      </w:r>
    </w:p>
    <w:p w:rsidR="001B52DF" w:rsidRPr="00A34073" w:rsidRDefault="001B52DF" w:rsidP="00A34073">
      <w:pPr>
        <w:spacing w:after="0" w:line="360" w:lineRule="auto"/>
        <w:ind w:left="2160" w:hanging="720"/>
        <w:jc w:val="both"/>
        <w:rPr>
          <w:rFonts w:ascii="Arial" w:hAnsi="Arial" w:cs="Arial"/>
        </w:rPr>
      </w:pPr>
    </w:p>
    <w:p w:rsidR="001611CA" w:rsidRPr="00A34073" w:rsidRDefault="001611CA" w:rsidP="00537E2A">
      <w:pPr>
        <w:spacing w:after="0" w:line="360" w:lineRule="auto"/>
        <w:ind w:left="1440" w:hanging="720"/>
        <w:jc w:val="both"/>
        <w:rPr>
          <w:rFonts w:ascii="Arial" w:hAnsi="Arial" w:cs="Arial"/>
          <w:b/>
        </w:rPr>
      </w:pPr>
      <w:r w:rsidRPr="00A34073">
        <w:rPr>
          <w:rFonts w:ascii="Arial" w:hAnsi="Arial" w:cs="Arial"/>
        </w:rPr>
        <w:lastRenderedPageBreak/>
        <w:t>2.2</w:t>
      </w:r>
      <w:r w:rsidRPr="00A34073">
        <w:rPr>
          <w:rFonts w:ascii="Arial" w:hAnsi="Arial" w:cs="Arial"/>
        </w:rPr>
        <w:tab/>
        <w:t xml:space="preserve">Moreover, and even in circumstances where no rule </w:t>
      </w:r>
      <w:r w:rsidRPr="00A34073">
        <w:rPr>
          <w:rFonts w:ascii="Arial" w:hAnsi="Arial" w:cs="Arial"/>
          <w:i/>
        </w:rPr>
        <w:t xml:space="preserve">nisi </w:t>
      </w:r>
      <w:r w:rsidRPr="00A34073">
        <w:rPr>
          <w:rFonts w:ascii="Arial" w:hAnsi="Arial" w:cs="Arial"/>
        </w:rPr>
        <w:t xml:space="preserve">has been issued, but the order has been couched in final form (albeit that in law it remains an interim order), the respondents anticipate the matter or set the matter down for purposes of reconsideration, or for the purposes as set out above, in the manner as approved by the Supreme Court of Namibia, </w:t>
      </w:r>
      <w:r w:rsidRPr="00A34073">
        <w:rPr>
          <w:rFonts w:ascii="Arial" w:hAnsi="Arial" w:cs="Arial"/>
          <w:b/>
          <w:i/>
        </w:rPr>
        <w:t>Government of the Republic of Namibia v Sikunda</w:t>
      </w:r>
      <w:r w:rsidRPr="00A34073">
        <w:rPr>
          <w:rFonts w:ascii="Arial" w:hAnsi="Arial" w:cs="Arial"/>
          <w:b/>
        </w:rPr>
        <w:t xml:space="preserve"> 2002 NR 203 (SC).</w:t>
      </w:r>
    </w:p>
    <w:p w:rsidR="001B52DF" w:rsidRPr="00A34073" w:rsidRDefault="001B52DF" w:rsidP="00A34073">
      <w:pPr>
        <w:spacing w:after="0" w:line="360" w:lineRule="auto"/>
        <w:ind w:left="1440" w:hanging="720"/>
        <w:jc w:val="both"/>
        <w:rPr>
          <w:rFonts w:ascii="Arial" w:hAnsi="Arial" w:cs="Arial"/>
          <w:b/>
        </w:rPr>
      </w:pPr>
    </w:p>
    <w:p w:rsidR="001611CA" w:rsidRPr="00A34073" w:rsidRDefault="001B52DF" w:rsidP="00A34073">
      <w:pPr>
        <w:spacing w:line="360" w:lineRule="auto"/>
        <w:jc w:val="both"/>
        <w:rPr>
          <w:rFonts w:ascii="Arial" w:hAnsi="Arial" w:cs="Arial"/>
        </w:rPr>
      </w:pPr>
      <w:r w:rsidRPr="00A34073">
        <w:rPr>
          <w:rFonts w:ascii="Arial" w:hAnsi="Arial" w:cs="Arial"/>
        </w:rPr>
        <w:t>3.</w:t>
      </w:r>
      <w:r w:rsidRPr="00A34073">
        <w:rPr>
          <w:rFonts w:ascii="Arial" w:hAnsi="Arial" w:cs="Arial"/>
        </w:rPr>
        <w:tab/>
      </w:r>
      <w:r w:rsidRPr="00A34073">
        <w:rPr>
          <w:rFonts w:ascii="Arial" w:hAnsi="Arial" w:cs="Arial"/>
          <w:b/>
        </w:rPr>
        <w:t xml:space="preserve">TAKE NOTICE FURTHER </w:t>
      </w:r>
      <w:r w:rsidRPr="00A34073">
        <w:rPr>
          <w:rFonts w:ascii="Arial" w:hAnsi="Arial" w:cs="Arial"/>
        </w:rPr>
        <w:t>that at the hearing, the following relief will be sought:</w:t>
      </w:r>
    </w:p>
    <w:p w:rsidR="001611CA" w:rsidRPr="00A34073" w:rsidRDefault="001611CA" w:rsidP="00A34073">
      <w:pPr>
        <w:spacing w:after="0" w:line="360" w:lineRule="auto"/>
        <w:jc w:val="both"/>
        <w:rPr>
          <w:rFonts w:ascii="Arial" w:hAnsi="Arial" w:cs="Arial"/>
        </w:rPr>
      </w:pPr>
    </w:p>
    <w:p w:rsidR="001B52DF" w:rsidRPr="00A34073" w:rsidRDefault="001B52DF" w:rsidP="00A34073">
      <w:pPr>
        <w:spacing w:after="0" w:line="360" w:lineRule="auto"/>
        <w:ind w:left="1440" w:hanging="720"/>
        <w:jc w:val="both"/>
        <w:rPr>
          <w:rFonts w:ascii="Arial" w:hAnsi="Arial" w:cs="Arial"/>
        </w:rPr>
      </w:pPr>
      <w:r w:rsidRPr="00A34073">
        <w:rPr>
          <w:rFonts w:ascii="Arial" w:hAnsi="Arial" w:cs="Arial"/>
        </w:rPr>
        <w:t>3.1</w:t>
      </w:r>
      <w:r w:rsidRPr="00A34073">
        <w:rPr>
          <w:rFonts w:ascii="Arial" w:hAnsi="Arial" w:cs="Arial"/>
        </w:rPr>
        <w:tab/>
        <w:t xml:space="preserve">That the preservation of property order made by His Lordship, the Honourable Mr Justice Usiku J, on Friday 26 May 2017, and on an urgent and </w:t>
      </w:r>
      <w:r w:rsidRPr="00A34073">
        <w:rPr>
          <w:rFonts w:ascii="Arial" w:hAnsi="Arial" w:cs="Arial"/>
          <w:i/>
        </w:rPr>
        <w:t xml:space="preserve">ex parte </w:t>
      </w:r>
      <w:r w:rsidRPr="00A34073">
        <w:rPr>
          <w:rFonts w:ascii="Arial" w:hAnsi="Arial" w:cs="Arial"/>
        </w:rPr>
        <w:t>basis, be rescinded</w:t>
      </w:r>
      <w:r w:rsidR="00205A2F" w:rsidRPr="00A34073">
        <w:rPr>
          <w:rFonts w:ascii="Arial" w:hAnsi="Arial" w:cs="Arial"/>
        </w:rPr>
        <w:t>.</w:t>
      </w:r>
      <w:r w:rsidRPr="00A34073">
        <w:rPr>
          <w:rFonts w:ascii="Arial" w:hAnsi="Arial" w:cs="Arial"/>
        </w:rPr>
        <w:t xml:space="preserve">’ </w:t>
      </w:r>
    </w:p>
    <w:p w:rsidR="00D613B7" w:rsidRPr="00AB14CF" w:rsidRDefault="00D613B7" w:rsidP="007C0FAD">
      <w:pPr>
        <w:pStyle w:val="ListParagraph"/>
        <w:spacing w:after="0" w:line="480" w:lineRule="auto"/>
        <w:jc w:val="both"/>
        <w:rPr>
          <w:rFonts w:ascii="Arial" w:hAnsi="Arial" w:cs="Arial"/>
          <w:sz w:val="24"/>
          <w:szCs w:val="24"/>
        </w:rPr>
      </w:pPr>
    </w:p>
    <w:p w:rsidR="00B35EFB" w:rsidRPr="00D613B7" w:rsidRDefault="0097632C" w:rsidP="00D613B7">
      <w:pPr>
        <w:pStyle w:val="ListParagraph"/>
        <w:numPr>
          <w:ilvl w:val="0"/>
          <w:numId w:val="1"/>
        </w:numPr>
        <w:tabs>
          <w:tab w:val="left" w:pos="851"/>
        </w:tabs>
        <w:spacing w:after="0" w:line="480" w:lineRule="auto"/>
        <w:ind w:left="0" w:firstLine="0"/>
        <w:jc w:val="both"/>
        <w:rPr>
          <w:rFonts w:ascii="Arial" w:hAnsi="Arial" w:cs="Arial"/>
          <w:sz w:val="24"/>
          <w:szCs w:val="24"/>
        </w:rPr>
      </w:pPr>
      <w:r w:rsidRPr="00D613B7">
        <w:rPr>
          <w:rFonts w:ascii="Arial" w:hAnsi="Arial" w:cs="Arial"/>
          <w:sz w:val="24"/>
          <w:szCs w:val="24"/>
        </w:rPr>
        <w:t>POC</w:t>
      </w:r>
      <w:r w:rsidR="00BC22B5" w:rsidRPr="00D613B7">
        <w:rPr>
          <w:rFonts w:ascii="Arial" w:hAnsi="Arial" w:cs="Arial"/>
          <w:sz w:val="24"/>
          <w:szCs w:val="24"/>
        </w:rPr>
        <w:t>A</w:t>
      </w:r>
      <w:r w:rsidRPr="00D613B7">
        <w:rPr>
          <w:rFonts w:ascii="Arial" w:hAnsi="Arial" w:cs="Arial"/>
          <w:sz w:val="24"/>
          <w:szCs w:val="24"/>
        </w:rPr>
        <w:t xml:space="preserve"> Regulations, </w:t>
      </w:r>
      <w:r w:rsidR="00B147D9">
        <w:rPr>
          <w:rFonts w:ascii="Arial" w:hAnsi="Arial" w:cs="Arial"/>
          <w:sz w:val="24"/>
          <w:szCs w:val="24"/>
        </w:rPr>
        <w:t>r</w:t>
      </w:r>
      <w:r w:rsidRPr="00D613B7">
        <w:rPr>
          <w:rFonts w:ascii="Arial" w:hAnsi="Arial" w:cs="Arial"/>
          <w:sz w:val="24"/>
          <w:szCs w:val="24"/>
        </w:rPr>
        <w:t>eg 4(7) provides:</w:t>
      </w:r>
    </w:p>
    <w:p w:rsidR="0097632C" w:rsidRPr="00D613B7" w:rsidRDefault="0097632C" w:rsidP="00D613B7">
      <w:pPr>
        <w:pStyle w:val="ListParagraph"/>
        <w:tabs>
          <w:tab w:val="left" w:pos="851"/>
        </w:tabs>
        <w:spacing w:after="0" w:line="480" w:lineRule="auto"/>
        <w:ind w:left="0"/>
        <w:jc w:val="both"/>
        <w:rPr>
          <w:rFonts w:ascii="Arial" w:hAnsi="Arial" w:cs="Arial"/>
          <w:sz w:val="24"/>
          <w:szCs w:val="24"/>
        </w:rPr>
      </w:pPr>
    </w:p>
    <w:p w:rsidR="0097632C" w:rsidRPr="00A34073" w:rsidRDefault="0097632C" w:rsidP="00A34073">
      <w:pPr>
        <w:pStyle w:val="ListParagraph"/>
        <w:tabs>
          <w:tab w:val="left" w:pos="851"/>
        </w:tabs>
        <w:spacing w:after="0" w:line="360" w:lineRule="auto"/>
        <w:ind w:hanging="720"/>
        <w:jc w:val="both"/>
        <w:rPr>
          <w:rFonts w:ascii="Arial" w:hAnsi="Arial" w:cs="Arial"/>
        </w:rPr>
      </w:pPr>
      <w:r w:rsidRPr="00A34073">
        <w:rPr>
          <w:rFonts w:ascii="Arial" w:hAnsi="Arial" w:cs="Arial"/>
        </w:rPr>
        <w:tab/>
        <w:t>‘(7)</w:t>
      </w:r>
      <w:r w:rsidRPr="00A34073">
        <w:rPr>
          <w:rFonts w:ascii="Arial" w:hAnsi="Arial" w:cs="Arial"/>
        </w:rPr>
        <w:tab/>
        <w:t>Notice of application by a person referred to in s 58(4)(</w:t>
      </w:r>
      <w:r w:rsidRPr="00A34073">
        <w:rPr>
          <w:rFonts w:ascii="Arial" w:hAnsi="Arial" w:cs="Arial"/>
          <w:i/>
        </w:rPr>
        <w:t>b</w:t>
      </w:r>
      <w:r w:rsidRPr="00A34073">
        <w:rPr>
          <w:rFonts w:ascii="Arial" w:hAnsi="Arial" w:cs="Arial"/>
        </w:rPr>
        <w:t xml:space="preserve">) of the Act for an order to be made under s 58(1) or (3) of the Act must be given by serving a copy of the application together with any affidavit material filed in support of the application upon the Prosecutor-General at </w:t>
      </w:r>
      <w:r w:rsidRPr="00A34073">
        <w:rPr>
          <w:rFonts w:ascii="Arial" w:hAnsi="Arial" w:cs="Arial"/>
          <w:u w:val="single"/>
        </w:rPr>
        <w:t>least 14 days prior to any return date given to the application by the Registrar of  the High Court</w:t>
      </w:r>
      <w:r w:rsidRPr="00A34073">
        <w:rPr>
          <w:rFonts w:ascii="Arial" w:hAnsi="Arial" w:cs="Arial"/>
        </w:rPr>
        <w:t>.</w:t>
      </w:r>
      <w:r w:rsidR="00205A2F" w:rsidRPr="00A34073">
        <w:rPr>
          <w:rFonts w:ascii="Arial" w:hAnsi="Arial" w:cs="Arial"/>
        </w:rPr>
        <w:t>’</w:t>
      </w:r>
      <w:r w:rsidRPr="00A34073">
        <w:rPr>
          <w:rFonts w:ascii="Arial" w:hAnsi="Arial" w:cs="Arial"/>
        </w:rPr>
        <w:t xml:space="preserve"> (</w:t>
      </w:r>
      <w:r w:rsidR="00A63075">
        <w:rPr>
          <w:rFonts w:ascii="Arial" w:hAnsi="Arial" w:cs="Arial"/>
        </w:rPr>
        <w:t>T</w:t>
      </w:r>
      <w:r w:rsidRPr="00A34073">
        <w:rPr>
          <w:rFonts w:ascii="Arial" w:hAnsi="Arial" w:cs="Arial"/>
        </w:rPr>
        <w:t>he underlining is mine</w:t>
      </w:r>
      <w:r w:rsidR="00A63075">
        <w:rPr>
          <w:rFonts w:ascii="Arial" w:hAnsi="Arial" w:cs="Arial"/>
        </w:rPr>
        <w:t>.</w:t>
      </w:r>
      <w:r w:rsidRPr="00A34073">
        <w:rPr>
          <w:rFonts w:ascii="Arial" w:hAnsi="Arial" w:cs="Arial"/>
        </w:rPr>
        <w:t>)</w:t>
      </w:r>
    </w:p>
    <w:p w:rsidR="0097632C" w:rsidRDefault="0097632C" w:rsidP="007C0FAD">
      <w:pPr>
        <w:pStyle w:val="ListParagraph"/>
        <w:tabs>
          <w:tab w:val="left" w:pos="851"/>
        </w:tabs>
        <w:spacing w:before="240" w:after="0" w:line="480" w:lineRule="auto"/>
        <w:ind w:left="0"/>
        <w:jc w:val="both"/>
        <w:rPr>
          <w:rFonts w:ascii="Arial" w:hAnsi="Arial" w:cs="Arial"/>
          <w:sz w:val="24"/>
          <w:szCs w:val="24"/>
        </w:rPr>
      </w:pPr>
    </w:p>
    <w:p w:rsidR="002324C8" w:rsidRPr="002324C8" w:rsidRDefault="0097632C" w:rsidP="002324C8">
      <w:pPr>
        <w:pStyle w:val="ListParagraph"/>
        <w:numPr>
          <w:ilvl w:val="0"/>
          <w:numId w:val="1"/>
        </w:numPr>
        <w:tabs>
          <w:tab w:val="left" w:pos="851"/>
        </w:tabs>
        <w:spacing w:after="0" w:line="480" w:lineRule="auto"/>
        <w:ind w:left="0" w:firstLine="0"/>
        <w:jc w:val="both"/>
        <w:rPr>
          <w:rFonts w:ascii="Arial" w:hAnsi="Arial" w:cs="Arial"/>
          <w:sz w:val="24"/>
          <w:szCs w:val="24"/>
        </w:rPr>
      </w:pPr>
      <w:r w:rsidRPr="00D613B7">
        <w:rPr>
          <w:rFonts w:ascii="Arial" w:hAnsi="Arial" w:cs="Arial"/>
          <w:sz w:val="24"/>
          <w:szCs w:val="24"/>
        </w:rPr>
        <w:t xml:space="preserve">One cannot fault the respondents to have proceeded the way they did. The drafters of the </w:t>
      </w:r>
      <w:r w:rsidR="00BC22B5" w:rsidRPr="00D613B7">
        <w:rPr>
          <w:rFonts w:ascii="Arial" w:hAnsi="Arial" w:cs="Arial"/>
          <w:sz w:val="24"/>
          <w:szCs w:val="24"/>
        </w:rPr>
        <w:t>r</w:t>
      </w:r>
      <w:r w:rsidRPr="00D613B7">
        <w:rPr>
          <w:rFonts w:ascii="Arial" w:hAnsi="Arial" w:cs="Arial"/>
          <w:sz w:val="24"/>
          <w:szCs w:val="24"/>
        </w:rPr>
        <w:t>egulations, it would appear were with respect care</w:t>
      </w:r>
      <w:r w:rsidR="00D613B7">
        <w:rPr>
          <w:rFonts w:ascii="Arial" w:hAnsi="Arial" w:cs="Arial"/>
          <w:sz w:val="24"/>
          <w:szCs w:val="24"/>
        </w:rPr>
        <w:t>free in that</w:t>
      </w:r>
      <w:r w:rsidR="00BC22B5" w:rsidRPr="00D613B7">
        <w:rPr>
          <w:rFonts w:ascii="Arial" w:hAnsi="Arial" w:cs="Arial"/>
          <w:sz w:val="24"/>
          <w:szCs w:val="24"/>
        </w:rPr>
        <w:t xml:space="preserve"> they</w:t>
      </w:r>
      <w:r w:rsidRPr="00D613B7">
        <w:rPr>
          <w:rFonts w:ascii="Arial" w:hAnsi="Arial" w:cs="Arial"/>
          <w:sz w:val="24"/>
          <w:szCs w:val="24"/>
        </w:rPr>
        <w:t xml:space="preserve"> did not make a distinction in the applicability of the </w:t>
      </w:r>
      <w:r w:rsidR="00BC22B5" w:rsidRPr="00D613B7">
        <w:rPr>
          <w:rFonts w:ascii="Arial" w:hAnsi="Arial" w:cs="Arial"/>
          <w:sz w:val="24"/>
          <w:szCs w:val="24"/>
        </w:rPr>
        <w:t>r</w:t>
      </w:r>
      <w:r w:rsidRPr="00D613B7">
        <w:rPr>
          <w:rFonts w:ascii="Arial" w:hAnsi="Arial" w:cs="Arial"/>
          <w:sz w:val="24"/>
          <w:szCs w:val="24"/>
        </w:rPr>
        <w:t xml:space="preserve">egulations between applications in terms of s 51(2) and s 91(2). It was for this reason that this court in the </w:t>
      </w:r>
      <w:r w:rsidRPr="00D613B7">
        <w:rPr>
          <w:rFonts w:ascii="Arial" w:hAnsi="Arial" w:cs="Arial"/>
          <w:i/>
          <w:sz w:val="24"/>
          <w:szCs w:val="24"/>
        </w:rPr>
        <w:t>Prosecutor-General</w:t>
      </w:r>
      <w:r w:rsidRPr="00D613B7">
        <w:rPr>
          <w:rFonts w:ascii="Arial" w:hAnsi="Arial" w:cs="Arial"/>
          <w:sz w:val="24"/>
          <w:szCs w:val="24"/>
        </w:rPr>
        <w:t xml:space="preserve"> </w:t>
      </w:r>
      <w:r w:rsidRPr="00D613B7">
        <w:rPr>
          <w:rFonts w:ascii="Arial" w:hAnsi="Arial" w:cs="Arial"/>
          <w:i/>
          <w:sz w:val="24"/>
          <w:szCs w:val="24"/>
        </w:rPr>
        <w:t>v Taapopi</w:t>
      </w:r>
      <w:r w:rsidR="00396275" w:rsidRPr="00BC22B5">
        <w:rPr>
          <w:rStyle w:val="FootnoteReference"/>
          <w:rFonts w:ascii="Arial" w:hAnsi="Arial" w:cs="Arial"/>
          <w:sz w:val="24"/>
          <w:szCs w:val="24"/>
        </w:rPr>
        <w:footnoteReference w:id="17"/>
      </w:r>
      <w:r w:rsidRPr="00D613B7">
        <w:rPr>
          <w:rFonts w:ascii="Arial" w:hAnsi="Arial" w:cs="Arial"/>
          <w:sz w:val="24"/>
          <w:szCs w:val="24"/>
        </w:rPr>
        <w:t xml:space="preserve"> held amongst other things that reg 7(b)</w:t>
      </w:r>
      <w:r>
        <w:rPr>
          <w:rStyle w:val="FootnoteReference"/>
          <w:rFonts w:ascii="Arial" w:hAnsi="Arial" w:cs="Arial"/>
          <w:sz w:val="24"/>
          <w:szCs w:val="24"/>
        </w:rPr>
        <w:footnoteReference w:id="18"/>
      </w:r>
      <w:r w:rsidR="00D461BD" w:rsidRPr="00D613B7">
        <w:rPr>
          <w:rFonts w:ascii="Arial" w:hAnsi="Arial" w:cs="Arial"/>
          <w:sz w:val="24"/>
          <w:szCs w:val="24"/>
        </w:rPr>
        <w:t xml:space="preserve"> was not applicable in </w:t>
      </w:r>
      <w:r w:rsidR="00D613B7">
        <w:rPr>
          <w:rFonts w:ascii="Arial" w:hAnsi="Arial" w:cs="Arial"/>
          <w:sz w:val="24"/>
          <w:szCs w:val="24"/>
        </w:rPr>
        <w:lastRenderedPageBreak/>
        <w:t xml:space="preserve">an </w:t>
      </w:r>
      <w:r w:rsidR="00D461BD" w:rsidRPr="00D613B7">
        <w:rPr>
          <w:rFonts w:ascii="Arial" w:hAnsi="Arial" w:cs="Arial"/>
          <w:sz w:val="24"/>
          <w:szCs w:val="24"/>
        </w:rPr>
        <w:t>application in terms of s 51(2). Even if I was wrong on the appellant</w:t>
      </w:r>
      <w:r w:rsidR="00BC22B5" w:rsidRPr="00D613B7">
        <w:rPr>
          <w:rFonts w:ascii="Arial" w:hAnsi="Arial" w:cs="Arial"/>
          <w:sz w:val="24"/>
          <w:szCs w:val="24"/>
        </w:rPr>
        <w:t>’</w:t>
      </w:r>
      <w:r w:rsidR="00D461BD" w:rsidRPr="00D613B7">
        <w:rPr>
          <w:rFonts w:ascii="Arial" w:hAnsi="Arial" w:cs="Arial"/>
          <w:sz w:val="24"/>
          <w:szCs w:val="24"/>
        </w:rPr>
        <w:t xml:space="preserve">s argument </w:t>
      </w:r>
      <w:r w:rsidR="00F948D0">
        <w:rPr>
          <w:rFonts w:ascii="Arial" w:hAnsi="Arial" w:cs="Arial"/>
          <w:sz w:val="24"/>
          <w:szCs w:val="24"/>
        </w:rPr>
        <w:t>on</w:t>
      </w:r>
      <w:r w:rsidR="002324C8">
        <w:rPr>
          <w:rFonts w:ascii="Arial" w:hAnsi="Arial" w:cs="Arial"/>
          <w:sz w:val="24"/>
          <w:szCs w:val="24"/>
        </w:rPr>
        <w:t xml:space="preserve"> </w:t>
      </w:r>
      <w:r w:rsidR="00D461BD" w:rsidRPr="00D613B7">
        <w:rPr>
          <w:rFonts w:ascii="Arial" w:hAnsi="Arial" w:cs="Arial"/>
          <w:sz w:val="24"/>
          <w:szCs w:val="24"/>
        </w:rPr>
        <w:t xml:space="preserve">the respondents’ application to anticipate POCA 8/2017, the respondents did apply for rescission of the preservation </w:t>
      </w:r>
      <w:r w:rsidR="007F7B5D" w:rsidRPr="00D613B7">
        <w:rPr>
          <w:rFonts w:ascii="Arial" w:hAnsi="Arial" w:cs="Arial"/>
          <w:sz w:val="24"/>
          <w:szCs w:val="24"/>
        </w:rPr>
        <w:t xml:space="preserve">of </w:t>
      </w:r>
      <w:r w:rsidR="00D461BD" w:rsidRPr="00D613B7">
        <w:rPr>
          <w:rFonts w:ascii="Arial" w:hAnsi="Arial" w:cs="Arial"/>
          <w:sz w:val="24"/>
          <w:szCs w:val="24"/>
        </w:rPr>
        <w:t>property order in terms of s 58(4) and whatever shortcomings that might have bedeviled the application</w:t>
      </w:r>
      <w:r w:rsidR="00BC22B5" w:rsidRPr="00D613B7">
        <w:rPr>
          <w:rFonts w:ascii="Arial" w:hAnsi="Arial" w:cs="Arial"/>
          <w:sz w:val="24"/>
          <w:szCs w:val="24"/>
        </w:rPr>
        <w:t>,</w:t>
      </w:r>
      <w:r w:rsidR="00D461BD" w:rsidRPr="00D613B7">
        <w:rPr>
          <w:rFonts w:ascii="Arial" w:hAnsi="Arial" w:cs="Arial"/>
          <w:sz w:val="24"/>
          <w:szCs w:val="24"/>
        </w:rPr>
        <w:t xml:space="preserve"> should have been condoned and the appellant’s argument</w:t>
      </w:r>
      <w:r w:rsidR="00722C07" w:rsidRPr="00D613B7">
        <w:rPr>
          <w:rFonts w:ascii="Arial" w:hAnsi="Arial" w:cs="Arial"/>
          <w:sz w:val="24"/>
          <w:szCs w:val="24"/>
        </w:rPr>
        <w:t xml:space="preserve"> on</w:t>
      </w:r>
      <w:r w:rsidR="00D461BD" w:rsidRPr="00D613B7">
        <w:rPr>
          <w:rFonts w:ascii="Arial" w:hAnsi="Arial" w:cs="Arial"/>
          <w:sz w:val="24"/>
          <w:szCs w:val="24"/>
        </w:rPr>
        <w:t xml:space="preserve"> that point takes their case no further, the point </w:t>
      </w:r>
      <w:r w:rsidR="00D461BD" w:rsidRPr="00A63075">
        <w:rPr>
          <w:rFonts w:ascii="Arial" w:hAnsi="Arial" w:cs="Arial"/>
          <w:i/>
          <w:sz w:val="24"/>
          <w:szCs w:val="24"/>
        </w:rPr>
        <w:t>in</w:t>
      </w:r>
      <w:r w:rsidR="00D461BD" w:rsidRPr="00D613B7">
        <w:rPr>
          <w:rFonts w:ascii="Arial" w:hAnsi="Arial" w:cs="Arial"/>
          <w:sz w:val="24"/>
          <w:szCs w:val="24"/>
        </w:rPr>
        <w:t xml:space="preserve"> </w:t>
      </w:r>
      <w:r w:rsidR="00D461BD" w:rsidRPr="00D613B7">
        <w:rPr>
          <w:rFonts w:ascii="Arial" w:hAnsi="Arial" w:cs="Arial"/>
          <w:i/>
          <w:sz w:val="24"/>
          <w:szCs w:val="24"/>
        </w:rPr>
        <w:t xml:space="preserve">limine </w:t>
      </w:r>
      <w:r w:rsidR="00D461BD" w:rsidRPr="00D613B7">
        <w:rPr>
          <w:rFonts w:ascii="Arial" w:hAnsi="Arial" w:cs="Arial"/>
          <w:sz w:val="24"/>
          <w:szCs w:val="24"/>
        </w:rPr>
        <w:t>was corre</w:t>
      </w:r>
      <w:r w:rsidR="00D613B7">
        <w:rPr>
          <w:rFonts w:ascii="Arial" w:hAnsi="Arial" w:cs="Arial"/>
          <w:sz w:val="24"/>
          <w:szCs w:val="24"/>
        </w:rPr>
        <w:t>ctly refused and it should fail</w:t>
      </w:r>
      <w:r w:rsidR="00D461BD" w:rsidRPr="00D613B7">
        <w:rPr>
          <w:rFonts w:ascii="Arial" w:hAnsi="Arial" w:cs="Arial"/>
          <w:sz w:val="24"/>
          <w:szCs w:val="24"/>
        </w:rPr>
        <w:t>.</w:t>
      </w:r>
    </w:p>
    <w:p w:rsidR="0053485E" w:rsidRDefault="0053485E" w:rsidP="0053485E">
      <w:pPr>
        <w:pStyle w:val="ListParagraph"/>
        <w:tabs>
          <w:tab w:val="left" w:pos="851"/>
        </w:tabs>
        <w:spacing w:after="0" w:line="480" w:lineRule="auto"/>
        <w:ind w:left="0"/>
        <w:jc w:val="both"/>
        <w:rPr>
          <w:rFonts w:ascii="Arial" w:hAnsi="Arial" w:cs="Arial"/>
          <w:sz w:val="24"/>
          <w:szCs w:val="24"/>
        </w:rPr>
      </w:pPr>
    </w:p>
    <w:p w:rsidR="00D461BD" w:rsidRPr="00722C07" w:rsidRDefault="00D461BD" w:rsidP="00D461BD">
      <w:pPr>
        <w:pStyle w:val="ListParagraph"/>
        <w:tabs>
          <w:tab w:val="left" w:pos="851"/>
        </w:tabs>
        <w:spacing w:after="0" w:line="480" w:lineRule="auto"/>
        <w:ind w:left="0"/>
        <w:jc w:val="both"/>
        <w:rPr>
          <w:rFonts w:ascii="Arial" w:hAnsi="Arial" w:cs="Arial"/>
          <w:sz w:val="24"/>
          <w:szCs w:val="24"/>
          <w:u w:val="single"/>
        </w:rPr>
      </w:pPr>
      <w:r w:rsidRPr="00722C07">
        <w:rPr>
          <w:rFonts w:ascii="Arial" w:hAnsi="Arial" w:cs="Arial"/>
          <w:sz w:val="24"/>
          <w:szCs w:val="24"/>
          <w:u w:val="single"/>
        </w:rPr>
        <w:t xml:space="preserve">The appropriateness for the appellant to have brought a second application for the preservation of property order </w:t>
      </w:r>
      <w:r w:rsidR="00BC22B5">
        <w:rPr>
          <w:rFonts w:ascii="Arial" w:hAnsi="Arial" w:cs="Arial"/>
          <w:sz w:val="24"/>
          <w:szCs w:val="24"/>
          <w:u w:val="single"/>
        </w:rPr>
        <w:t>in respect of</w:t>
      </w:r>
      <w:r w:rsidRPr="00722C07">
        <w:rPr>
          <w:rFonts w:ascii="Arial" w:hAnsi="Arial" w:cs="Arial"/>
          <w:sz w:val="24"/>
          <w:szCs w:val="24"/>
          <w:u w:val="single"/>
        </w:rPr>
        <w:t xml:space="preserve"> the same property</w:t>
      </w:r>
      <w:r w:rsidR="00537E2A">
        <w:rPr>
          <w:rFonts w:ascii="Arial" w:hAnsi="Arial" w:cs="Arial"/>
          <w:sz w:val="24"/>
          <w:szCs w:val="24"/>
          <w:u w:val="single"/>
        </w:rPr>
        <w:t xml:space="preserve"> on an </w:t>
      </w:r>
      <w:r w:rsidR="00537E2A" w:rsidRPr="00537E2A">
        <w:rPr>
          <w:rFonts w:ascii="Arial" w:hAnsi="Arial" w:cs="Arial"/>
          <w:i/>
          <w:sz w:val="24"/>
          <w:szCs w:val="24"/>
          <w:u w:val="single"/>
        </w:rPr>
        <w:t>ex parte</w:t>
      </w:r>
      <w:r w:rsidR="00537E2A">
        <w:rPr>
          <w:rFonts w:ascii="Arial" w:hAnsi="Arial" w:cs="Arial"/>
          <w:sz w:val="24"/>
          <w:szCs w:val="24"/>
          <w:u w:val="single"/>
        </w:rPr>
        <w:t xml:space="preserve"> basis</w:t>
      </w:r>
      <w:r w:rsidRPr="00722C07">
        <w:rPr>
          <w:rFonts w:ascii="Arial" w:hAnsi="Arial" w:cs="Arial"/>
          <w:sz w:val="24"/>
          <w:szCs w:val="24"/>
          <w:u w:val="single"/>
        </w:rPr>
        <w:t>, given the fact there had been a first application for the preservation of the same property which was opposed by</w:t>
      </w:r>
      <w:r w:rsidR="002324C8">
        <w:rPr>
          <w:rFonts w:ascii="Arial" w:hAnsi="Arial" w:cs="Arial"/>
          <w:sz w:val="24"/>
          <w:szCs w:val="24"/>
          <w:u w:val="single"/>
        </w:rPr>
        <w:t xml:space="preserve"> </w:t>
      </w:r>
      <w:r w:rsidRPr="00722C07">
        <w:rPr>
          <w:rFonts w:ascii="Arial" w:hAnsi="Arial" w:cs="Arial"/>
          <w:sz w:val="24"/>
          <w:szCs w:val="24"/>
          <w:u w:val="single"/>
        </w:rPr>
        <w:t xml:space="preserve">the respondents </w:t>
      </w:r>
    </w:p>
    <w:p w:rsidR="00D461BD" w:rsidRPr="002324C8" w:rsidRDefault="00F3634C" w:rsidP="002324C8">
      <w:pPr>
        <w:pStyle w:val="ListParagraph"/>
        <w:numPr>
          <w:ilvl w:val="0"/>
          <w:numId w:val="1"/>
        </w:numPr>
        <w:tabs>
          <w:tab w:val="left" w:pos="851"/>
        </w:tabs>
        <w:spacing w:after="0" w:line="480" w:lineRule="auto"/>
        <w:ind w:left="0" w:right="-284" w:firstLine="0"/>
        <w:jc w:val="both"/>
        <w:rPr>
          <w:rFonts w:ascii="Arial" w:hAnsi="Arial" w:cs="Arial"/>
          <w:sz w:val="24"/>
          <w:szCs w:val="24"/>
        </w:rPr>
      </w:pPr>
      <w:r w:rsidRPr="002324C8">
        <w:rPr>
          <w:rFonts w:ascii="Arial" w:hAnsi="Arial" w:cs="Arial"/>
          <w:sz w:val="24"/>
          <w:szCs w:val="24"/>
        </w:rPr>
        <w:t>Counsel for the appellant in the court a quo</w:t>
      </w:r>
      <w:r w:rsidRPr="002324C8">
        <w:rPr>
          <w:rFonts w:ascii="Arial" w:hAnsi="Arial" w:cs="Arial"/>
          <w:i/>
          <w:sz w:val="24"/>
          <w:szCs w:val="24"/>
        </w:rPr>
        <w:t xml:space="preserve"> </w:t>
      </w:r>
      <w:r w:rsidRPr="002324C8">
        <w:rPr>
          <w:rFonts w:ascii="Arial" w:hAnsi="Arial" w:cs="Arial"/>
          <w:sz w:val="24"/>
          <w:szCs w:val="24"/>
        </w:rPr>
        <w:t>relied on the provisions of s 51(1)</w:t>
      </w:r>
      <w:r>
        <w:rPr>
          <w:rStyle w:val="FootnoteReference"/>
          <w:rFonts w:ascii="Arial" w:hAnsi="Arial" w:cs="Arial"/>
          <w:sz w:val="24"/>
          <w:szCs w:val="24"/>
        </w:rPr>
        <w:footnoteReference w:id="19"/>
      </w:r>
      <w:r w:rsidRPr="002324C8">
        <w:rPr>
          <w:rFonts w:ascii="Arial" w:hAnsi="Arial" w:cs="Arial"/>
          <w:sz w:val="24"/>
          <w:szCs w:val="24"/>
        </w:rPr>
        <w:t xml:space="preserve"> of </w:t>
      </w:r>
      <w:r w:rsidR="007F7B5D" w:rsidRPr="002324C8">
        <w:rPr>
          <w:rFonts w:ascii="Arial" w:hAnsi="Arial" w:cs="Arial"/>
          <w:sz w:val="24"/>
          <w:szCs w:val="24"/>
        </w:rPr>
        <w:t>the Act</w:t>
      </w:r>
      <w:r w:rsidRPr="002324C8">
        <w:rPr>
          <w:rFonts w:ascii="Arial" w:hAnsi="Arial" w:cs="Arial"/>
          <w:sz w:val="24"/>
          <w:szCs w:val="24"/>
        </w:rPr>
        <w:t xml:space="preserve"> and </w:t>
      </w:r>
      <w:r w:rsidRPr="002324C8">
        <w:rPr>
          <w:rFonts w:ascii="Arial" w:hAnsi="Arial" w:cs="Arial"/>
          <w:i/>
          <w:sz w:val="24"/>
          <w:szCs w:val="24"/>
        </w:rPr>
        <w:t>Uuyuni</w:t>
      </w:r>
      <w:r>
        <w:rPr>
          <w:rStyle w:val="FootnoteReference"/>
          <w:rFonts w:ascii="Arial" w:hAnsi="Arial" w:cs="Arial"/>
          <w:sz w:val="24"/>
          <w:szCs w:val="24"/>
        </w:rPr>
        <w:footnoteReference w:id="20"/>
      </w:r>
      <w:r w:rsidRPr="002324C8">
        <w:rPr>
          <w:rFonts w:ascii="Arial" w:hAnsi="Arial" w:cs="Arial"/>
          <w:sz w:val="24"/>
          <w:szCs w:val="24"/>
        </w:rPr>
        <w:t xml:space="preserve"> and contended that the section vests the a</w:t>
      </w:r>
      <w:r w:rsidR="009245BD" w:rsidRPr="002324C8">
        <w:rPr>
          <w:rFonts w:ascii="Arial" w:hAnsi="Arial" w:cs="Arial"/>
          <w:sz w:val="24"/>
          <w:szCs w:val="24"/>
        </w:rPr>
        <w:t xml:space="preserve">ppellant with a discretion to proceed </w:t>
      </w:r>
      <w:r w:rsidR="009245BD" w:rsidRPr="002324C8">
        <w:rPr>
          <w:rFonts w:ascii="Arial" w:hAnsi="Arial" w:cs="Arial"/>
          <w:i/>
          <w:sz w:val="24"/>
          <w:szCs w:val="24"/>
        </w:rPr>
        <w:t>ex parte</w:t>
      </w:r>
      <w:r w:rsidR="009245BD" w:rsidRPr="002324C8">
        <w:rPr>
          <w:rFonts w:ascii="Arial" w:hAnsi="Arial" w:cs="Arial"/>
          <w:sz w:val="24"/>
          <w:szCs w:val="24"/>
        </w:rPr>
        <w:t>, without notice of the application to any other person and that the court hearing the application has no discretion but to grant the order</w:t>
      </w:r>
      <w:r w:rsidR="00BC22B5" w:rsidRPr="002324C8">
        <w:rPr>
          <w:rFonts w:ascii="Arial" w:hAnsi="Arial" w:cs="Arial"/>
          <w:sz w:val="24"/>
          <w:szCs w:val="24"/>
        </w:rPr>
        <w:t>,</w:t>
      </w:r>
      <w:r w:rsidR="009245BD" w:rsidRPr="002324C8">
        <w:rPr>
          <w:rFonts w:ascii="Arial" w:hAnsi="Arial" w:cs="Arial"/>
          <w:sz w:val="24"/>
          <w:szCs w:val="24"/>
        </w:rPr>
        <w:t xml:space="preserve"> subject only to being satisfied that there are reasonable grounds for the belief that the property is the proceeds of unlawful activities or is an instrumentality of an offence. In the </w:t>
      </w:r>
      <w:r w:rsidR="009245BD" w:rsidRPr="002324C8">
        <w:rPr>
          <w:rFonts w:ascii="Arial" w:hAnsi="Arial" w:cs="Arial"/>
          <w:i/>
          <w:sz w:val="24"/>
          <w:szCs w:val="24"/>
        </w:rPr>
        <w:t xml:space="preserve">Uuyuni </w:t>
      </w:r>
      <w:r w:rsidR="009245BD" w:rsidRPr="002324C8">
        <w:rPr>
          <w:rFonts w:ascii="Arial" w:hAnsi="Arial" w:cs="Arial"/>
          <w:sz w:val="24"/>
          <w:szCs w:val="24"/>
        </w:rPr>
        <w:t>matter reliance is place</w:t>
      </w:r>
      <w:r w:rsidR="00462E4B" w:rsidRPr="002324C8">
        <w:rPr>
          <w:rFonts w:ascii="Arial" w:hAnsi="Arial" w:cs="Arial"/>
          <w:sz w:val="24"/>
          <w:szCs w:val="24"/>
        </w:rPr>
        <w:t>d</w:t>
      </w:r>
      <w:r w:rsidR="009245BD" w:rsidRPr="002324C8">
        <w:rPr>
          <w:rFonts w:ascii="Arial" w:hAnsi="Arial" w:cs="Arial"/>
          <w:sz w:val="24"/>
          <w:szCs w:val="24"/>
        </w:rPr>
        <w:t xml:space="preserve"> on the statement </w:t>
      </w:r>
      <w:r w:rsidR="00747BCB" w:rsidRPr="002324C8">
        <w:rPr>
          <w:rFonts w:ascii="Arial" w:hAnsi="Arial" w:cs="Arial"/>
          <w:sz w:val="24"/>
          <w:szCs w:val="24"/>
        </w:rPr>
        <w:t>where this court had said: ‘s</w:t>
      </w:r>
      <w:r w:rsidR="009245BD" w:rsidRPr="002324C8">
        <w:rPr>
          <w:rFonts w:ascii="Arial" w:hAnsi="Arial" w:cs="Arial"/>
          <w:sz w:val="24"/>
          <w:szCs w:val="24"/>
        </w:rPr>
        <w:t xml:space="preserve"> 51(2) makes it plain that such applications must be granted without notice to any person or a</w:t>
      </w:r>
      <w:r w:rsidR="00462E4B" w:rsidRPr="002324C8">
        <w:rPr>
          <w:rFonts w:ascii="Arial" w:hAnsi="Arial" w:cs="Arial"/>
          <w:sz w:val="24"/>
          <w:szCs w:val="24"/>
        </w:rPr>
        <w:t>d</w:t>
      </w:r>
      <w:r w:rsidR="009245BD" w:rsidRPr="002324C8">
        <w:rPr>
          <w:rFonts w:ascii="Arial" w:hAnsi="Arial" w:cs="Arial"/>
          <w:sz w:val="24"/>
          <w:szCs w:val="24"/>
        </w:rPr>
        <w:t>duction of any further evidence from other person</w:t>
      </w:r>
      <w:r w:rsidR="00462E4B" w:rsidRPr="002324C8">
        <w:rPr>
          <w:rFonts w:ascii="Arial" w:hAnsi="Arial" w:cs="Arial"/>
          <w:sz w:val="24"/>
          <w:szCs w:val="24"/>
        </w:rPr>
        <w:t>,</w:t>
      </w:r>
      <w:r w:rsidR="009245BD" w:rsidRPr="002324C8">
        <w:rPr>
          <w:rFonts w:ascii="Arial" w:hAnsi="Arial" w:cs="Arial"/>
          <w:sz w:val="24"/>
          <w:szCs w:val="24"/>
        </w:rPr>
        <w:t>’</w:t>
      </w:r>
      <w:r w:rsidR="009245BD">
        <w:rPr>
          <w:rStyle w:val="FootnoteReference"/>
          <w:rFonts w:ascii="Arial" w:hAnsi="Arial" w:cs="Arial"/>
          <w:sz w:val="24"/>
          <w:szCs w:val="24"/>
        </w:rPr>
        <w:footnoteReference w:id="21"/>
      </w:r>
      <w:r w:rsidR="009245BD" w:rsidRPr="002324C8">
        <w:rPr>
          <w:rFonts w:ascii="Arial" w:hAnsi="Arial" w:cs="Arial"/>
          <w:sz w:val="24"/>
          <w:szCs w:val="24"/>
        </w:rPr>
        <w:t xml:space="preserve"> to argue that all </w:t>
      </w:r>
      <w:r w:rsidR="009245BD" w:rsidRPr="002324C8">
        <w:rPr>
          <w:rFonts w:ascii="Arial" w:hAnsi="Arial" w:cs="Arial"/>
          <w:sz w:val="24"/>
          <w:szCs w:val="24"/>
        </w:rPr>
        <w:lastRenderedPageBreak/>
        <w:t xml:space="preserve">applications in terms of s 51(1) must always be brought on an </w:t>
      </w:r>
      <w:r w:rsidR="009245BD" w:rsidRPr="002324C8">
        <w:rPr>
          <w:rFonts w:ascii="Arial" w:hAnsi="Arial" w:cs="Arial"/>
          <w:i/>
          <w:sz w:val="24"/>
          <w:szCs w:val="24"/>
        </w:rPr>
        <w:t xml:space="preserve">ex parte </w:t>
      </w:r>
      <w:r w:rsidR="009245BD" w:rsidRPr="002324C8">
        <w:rPr>
          <w:rFonts w:ascii="Arial" w:hAnsi="Arial" w:cs="Arial"/>
          <w:sz w:val="24"/>
          <w:szCs w:val="24"/>
        </w:rPr>
        <w:t>basis. The court a quo</w:t>
      </w:r>
      <w:r w:rsidR="009245BD" w:rsidRPr="002324C8">
        <w:rPr>
          <w:rFonts w:ascii="Arial" w:hAnsi="Arial" w:cs="Arial"/>
          <w:i/>
          <w:sz w:val="24"/>
          <w:szCs w:val="24"/>
        </w:rPr>
        <w:t xml:space="preserve"> </w:t>
      </w:r>
      <w:r w:rsidR="009245BD" w:rsidRPr="002324C8">
        <w:rPr>
          <w:rFonts w:ascii="Arial" w:hAnsi="Arial" w:cs="Arial"/>
          <w:sz w:val="24"/>
          <w:szCs w:val="24"/>
        </w:rPr>
        <w:t xml:space="preserve">rejected this argument holding that the </w:t>
      </w:r>
      <w:r w:rsidR="009245BD" w:rsidRPr="002324C8">
        <w:rPr>
          <w:rFonts w:ascii="Arial" w:hAnsi="Arial" w:cs="Arial"/>
          <w:i/>
          <w:sz w:val="24"/>
          <w:szCs w:val="24"/>
        </w:rPr>
        <w:t>Uuyuni</w:t>
      </w:r>
      <w:r w:rsidR="009245BD" w:rsidRPr="002324C8">
        <w:rPr>
          <w:rFonts w:ascii="Arial" w:hAnsi="Arial" w:cs="Arial"/>
          <w:sz w:val="24"/>
          <w:szCs w:val="24"/>
        </w:rPr>
        <w:t xml:space="preserve"> judgment is not authority for the propos</w:t>
      </w:r>
      <w:r w:rsidR="00E47F92" w:rsidRPr="002324C8">
        <w:rPr>
          <w:rFonts w:ascii="Arial" w:hAnsi="Arial" w:cs="Arial"/>
          <w:sz w:val="24"/>
          <w:szCs w:val="24"/>
        </w:rPr>
        <w:t>ition that all POCA application</w:t>
      </w:r>
      <w:r w:rsidR="009245BD" w:rsidRPr="002324C8">
        <w:rPr>
          <w:rFonts w:ascii="Arial" w:hAnsi="Arial" w:cs="Arial"/>
          <w:sz w:val="24"/>
          <w:szCs w:val="24"/>
        </w:rPr>
        <w:t>s</w:t>
      </w:r>
      <w:r w:rsidR="00E47F92" w:rsidRPr="002324C8">
        <w:rPr>
          <w:rFonts w:ascii="Arial" w:hAnsi="Arial" w:cs="Arial"/>
          <w:sz w:val="24"/>
          <w:szCs w:val="24"/>
        </w:rPr>
        <w:t xml:space="preserve"> </w:t>
      </w:r>
      <w:r w:rsidR="009245BD" w:rsidRPr="002324C8">
        <w:rPr>
          <w:rFonts w:ascii="Arial" w:hAnsi="Arial" w:cs="Arial"/>
          <w:sz w:val="24"/>
          <w:szCs w:val="24"/>
        </w:rPr>
        <w:t xml:space="preserve">for the preservation </w:t>
      </w:r>
      <w:r w:rsidR="009101B3" w:rsidRPr="002324C8">
        <w:rPr>
          <w:rFonts w:ascii="Arial" w:hAnsi="Arial" w:cs="Arial"/>
          <w:sz w:val="24"/>
          <w:szCs w:val="24"/>
        </w:rPr>
        <w:t xml:space="preserve"> of property </w:t>
      </w:r>
      <w:r w:rsidR="009245BD" w:rsidRPr="002324C8">
        <w:rPr>
          <w:rFonts w:ascii="Arial" w:hAnsi="Arial" w:cs="Arial"/>
          <w:sz w:val="24"/>
          <w:szCs w:val="24"/>
        </w:rPr>
        <w:t xml:space="preserve">order are to be brought on an </w:t>
      </w:r>
      <w:r w:rsidR="009245BD" w:rsidRPr="002324C8">
        <w:rPr>
          <w:rFonts w:ascii="Arial" w:hAnsi="Arial" w:cs="Arial"/>
          <w:i/>
          <w:sz w:val="24"/>
          <w:szCs w:val="24"/>
        </w:rPr>
        <w:t xml:space="preserve">ex parte </w:t>
      </w:r>
      <w:r w:rsidR="00E47F92" w:rsidRPr="002324C8">
        <w:rPr>
          <w:rFonts w:ascii="Arial" w:hAnsi="Arial" w:cs="Arial"/>
          <w:sz w:val="24"/>
          <w:szCs w:val="24"/>
        </w:rPr>
        <w:t xml:space="preserve">basis and that the </w:t>
      </w:r>
      <w:r w:rsidR="00120E9E" w:rsidRPr="002324C8">
        <w:rPr>
          <w:rFonts w:ascii="Arial" w:hAnsi="Arial" w:cs="Arial"/>
          <w:sz w:val="24"/>
          <w:szCs w:val="24"/>
        </w:rPr>
        <w:t>F</w:t>
      </w:r>
      <w:r w:rsidR="00E47F92" w:rsidRPr="002324C8">
        <w:rPr>
          <w:rFonts w:ascii="Arial" w:hAnsi="Arial" w:cs="Arial"/>
          <w:sz w:val="24"/>
          <w:szCs w:val="24"/>
        </w:rPr>
        <w:t xml:space="preserve">ull </w:t>
      </w:r>
      <w:r w:rsidR="00120E9E" w:rsidRPr="002324C8">
        <w:rPr>
          <w:rFonts w:ascii="Arial" w:hAnsi="Arial" w:cs="Arial"/>
          <w:sz w:val="24"/>
          <w:szCs w:val="24"/>
        </w:rPr>
        <w:t>B</w:t>
      </w:r>
      <w:r w:rsidR="00E47F92" w:rsidRPr="002324C8">
        <w:rPr>
          <w:rFonts w:ascii="Arial" w:hAnsi="Arial" w:cs="Arial"/>
          <w:sz w:val="24"/>
          <w:szCs w:val="24"/>
        </w:rPr>
        <w:t xml:space="preserve">ench in </w:t>
      </w:r>
      <w:r w:rsidR="00E47F92" w:rsidRPr="002324C8">
        <w:rPr>
          <w:rFonts w:ascii="Arial" w:hAnsi="Arial" w:cs="Arial"/>
          <w:i/>
          <w:sz w:val="24"/>
          <w:szCs w:val="24"/>
        </w:rPr>
        <w:t xml:space="preserve">Shalli </w:t>
      </w:r>
      <w:r w:rsidR="00E47F92" w:rsidRPr="002324C8">
        <w:rPr>
          <w:rFonts w:ascii="Arial" w:hAnsi="Arial" w:cs="Arial"/>
          <w:sz w:val="24"/>
          <w:szCs w:val="24"/>
        </w:rPr>
        <w:t xml:space="preserve">above expressed a view that the legislature instead of vesting the court with the discretion to determine in which matters notice to the affected party may be dispensed with, vested the discretion in the appellant to decide if and when to bring the application for a preservation of property on an </w:t>
      </w:r>
      <w:r w:rsidR="00E47F92" w:rsidRPr="002324C8">
        <w:rPr>
          <w:rFonts w:ascii="Arial" w:hAnsi="Arial" w:cs="Arial"/>
          <w:i/>
          <w:sz w:val="24"/>
          <w:szCs w:val="24"/>
        </w:rPr>
        <w:t>ex parte</w:t>
      </w:r>
      <w:r w:rsidR="00E47F92" w:rsidRPr="002324C8">
        <w:rPr>
          <w:rFonts w:ascii="Arial" w:hAnsi="Arial" w:cs="Arial"/>
          <w:sz w:val="24"/>
          <w:szCs w:val="24"/>
        </w:rPr>
        <w:t xml:space="preserve"> basis. The court a quo</w:t>
      </w:r>
      <w:r w:rsidR="00E47F92" w:rsidRPr="002324C8">
        <w:rPr>
          <w:rFonts w:ascii="Arial" w:hAnsi="Arial" w:cs="Arial"/>
          <w:i/>
          <w:sz w:val="24"/>
          <w:szCs w:val="24"/>
        </w:rPr>
        <w:t xml:space="preserve"> </w:t>
      </w:r>
      <w:r w:rsidR="00E47F92" w:rsidRPr="002324C8">
        <w:rPr>
          <w:rFonts w:ascii="Arial" w:hAnsi="Arial" w:cs="Arial"/>
          <w:sz w:val="24"/>
          <w:szCs w:val="24"/>
        </w:rPr>
        <w:t xml:space="preserve">further reasoned that in each application the appellant must demonstrate to the court on the papers that there </w:t>
      </w:r>
      <w:r w:rsidR="00B61DAE" w:rsidRPr="002324C8">
        <w:rPr>
          <w:rFonts w:ascii="Arial" w:hAnsi="Arial" w:cs="Arial"/>
          <w:sz w:val="24"/>
          <w:szCs w:val="24"/>
        </w:rPr>
        <w:t>is</w:t>
      </w:r>
      <w:r w:rsidR="00E47F92" w:rsidRPr="002324C8">
        <w:rPr>
          <w:rFonts w:ascii="Arial" w:hAnsi="Arial" w:cs="Arial"/>
          <w:sz w:val="24"/>
          <w:szCs w:val="24"/>
        </w:rPr>
        <w:t xml:space="preserve"> a legitimate reason to bring the application </w:t>
      </w:r>
      <w:r w:rsidR="00E47F92" w:rsidRPr="002324C8">
        <w:rPr>
          <w:rFonts w:ascii="Arial" w:hAnsi="Arial" w:cs="Arial"/>
          <w:i/>
          <w:sz w:val="24"/>
          <w:szCs w:val="24"/>
        </w:rPr>
        <w:t xml:space="preserve">ex parte </w:t>
      </w:r>
      <w:r w:rsidR="00E47F92" w:rsidRPr="002324C8">
        <w:rPr>
          <w:rFonts w:ascii="Arial" w:hAnsi="Arial" w:cs="Arial"/>
          <w:sz w:val="24"/>
          <w:szCs w:val="24"/>
        </w:rPr>
        <w:t xml:space="preserve">and she </w:t>
      </w:r>
      <w:r w:rsidR="00B61DAE" w:rsidRPr="002324C8">
        <w:rPr>
          <w:rFonts w:ascii="Arial" w:hAnsi="Arial" w:cs="Arial"/>
          <w:sz w:val="24"/>
          <w:szCs w:val="24"/>
        </w:rPr>
        <w:t>i</w:t>
      </w:r>
      <w:r w:rsidR="00E47F92" w:rsidRPr="002324C8">
        <w:rPr>
          <w:rFonts w:ascii="Arial" w:hAnsi="Arial" w:cs="Arial"/>
          <w:sz w:val="24"/>
          <w:szCs w:val="24"/>
        </w:rPr>
        <w:t xml:space="preserve">s obliged to justify why notice should not be given to the other party and that if the </w:t>
      </w:r>
      <w:r w:rsidR="00E47F92" w:rsidRPr="002324C8">
        <w:rPr>
          <w:rFonts w:ascii="Arial" w:hAnsi="Arial" w:cs="Arial"/>
          <w:i/>
          <w:sz w:val="24"/>
          <w:szCs w:val="24"/>
        </w:rPr>
        <w:t xml:space="preserve">Uuyuni </w:t>
      </w:r>
      <w:r w:rsidR="00E47F92" w:rsidRPr="002324C8">
        <w:rPr>
          <w:rFonts w:ascii="Arial" w:hAnsi="Arial" w:cs="Arial"/>
          <w:sz w:val="24"/>
          <w:szCs w:val="24"/>
        </w:rPr>
        <w:t>judgment were to be interpreted as the appellant contend</w:t>
      </w:r>
      <w:r w:rsidR="00120E9E" w:rsidRPr="002324C8">
        <w:rPr>
          <w:rFonts w:ascii="Arial" w:hAnsi="Arial" w:cs="Arial"/>
          <w:sz w:val="24"/>
          <w:szCs w:val="24"/>
        </w:rPr>
        <w:t>ed</w:t>
      </w:r>
      <w:r w:rsidR="00E47F92" w:rsidRPr="002324C8">
        <w:rPr>
          <w:rFonts w:ascii="Arial" w:hAnsi="Arial" w:cs="Arial"/>
          <w:sz w:val="24"/>
          <w:szCs w:val="24"/>
        </w:rPr>
        <w:t>, such interpretation would defeat the clear provision of s 51(1)</w:t>
      </w:r>
      <w:r w:rsidR="00462E4B" w:rsidRPr="002324C8">
        <w:rPr>
          <w:rFonts w:ascii="Arial" w:hAnsi="Arial" w:cs="Arial"/>
          <w:sz w:val="24"/>
          <w:szCs w:val="24"/>
        </w:rPr>
        <w:t>,</w:t>
      </w:r>
      <w:r w:rsidR="00E47F92" w:rsidRPr="002324C8">
        <w:rPr>
          <w:rFonts w:ascii="Arial" w:hAnsi="Arial" w:cs="Arial"/>
          <w:sz w:val="24"/>
          <w:szCs w:val="24"/>
        </w:rPr>
        <w:t xml:space="preserve"> which gives the appellant a discretion </w:t>
      </w:r>
      <w:r w:rsidR="00120E9E" w:rsidRPr="002324C8">
        <w:rPr>
          <w:rFonts w:ascii="Arial" w:hAnsi="Arial" w:cs="Arial"/>
          <w:sz w:val="24"/>
          <w:szCs w:val="24"/>
        </w:rPr>
        <w:t xml:space="preserve">to </w:t>
      </w:r>
      <w:r w:rsidR="00E47F92" w:rsidRPr="002324C8">
        <w:rPr>
          <w:rFonts w:ascii="Arial" w:hAnsi="Arial" w:cs="Arial"/>
          <w:sz w:val="24"/>
          <w:szCs w:val="24"/>
        </w:rPr>
        <w:t>decid</w:t>
      </w:r>
      <w:r w:rsidR="00120E9E" w:rsidRPr="002324C8">
        <w:rPr>
          <w:rFonts w:ascii="Arial" w:hAnsi="Arial" w:cs="Arial"/>
          <w:sz w:val="24"/>
          <w:szCs w:val="24"/>
        </w:rPr>
        <w:t>e</w:t>
      </w:r>
      <w:r w:rsidR="00E47F92" w:rsidRPr="002324C8">
        <w:rPr>
          <w:rFonts w:ascii="Arial" w:hAnsi="Arial" w:cs="Arial"/>
          <w:sz w:val="24"/>
          <w:szCs w:val="24"/>
        </w:rPr>
        <w:t xml:space="preserve"> whether or not to bring the application </w:t>
      </w:r>
      <w:r w:rsidR="00E47F92" w:rsidRPr="002324C8">
        <w:rPr>
          <w:rFonts w:ascii="Arial" w:hAnsi="Arial" w:cs="Arial"/>
          <w:i/>
          <w:sz w:val="24"/>
          <w:szCs w:val="24"/>
        </w:rPr>
        <w:t>ex parte.</w:t>
      </w:r>
    </w:p>
    <w:p w:rsidR="00A63075" w:rsidRPr="00A63075" w:rsidRDefault="00A63075" w:rsidP="00722C07">
      <w:pPr>
        <w:pStyle w:val="ListParagraph"/>
        <w:tabs>
          <w:tab w:val="left" w:pos="851"/>
        </w:tabs>
        <w:spacing w:after="0" w:line="480" w:lineRule="auto"/>
        <w:ind w:left="0"/>
        <w:jc w:val="both"/>
        <w:rPr>
          <w:rFonts w:ascii="Arial" w:hAnsi="Arial" w:cs="Arial"/>
          <w:sz w:val="24"/>
          <w:szCs w:val="24"/>
        </w:rPr>
      </w:pPr>
    </w:p>
    <w:p w:rsidR="00E47F92" w:rsidRDefault="00E47F92" w:rsidP="00496BFB">
      <w:pPr>
        <w:pStyle w:val="ListParagraph"/>
        <w:numPr>
          <w:ilvl w:val="0"/>
          <w:numId w:val="1"/>
        </w:numPr>
        <w:spacing w:after="0" w:line="480" w:lineRule="auto"/>
        <w:ind w:left="0" w:right="-143" w:firstLine="0"/>
        <w:jc w:val="both"/>
        <w:rPr>
          <w:rFonts w:ascii="Arial" w:hAnsi="Arial" w:cs="Arial"/>
          <w:sz w:val="24"/>
          <w:szCs w:val="24"/>
        </w:rPr>
      </w:pPr>
      <w:r w:rsidRPr="00120E9E">
        <w:rPr>
          <w:rFonts w:ascii="Arial" w:hAnsi="Arial" w:cs="Arial"/>
          <w:sz w:val="24"/>
          <w:szCs w:val="24"/>
        </w:rPr>
        <w:t xml:space="preserve">In this court counsel for the appellant repeated the same argument contending that the </w:t>
      </w:r>
      <w:r w:rsidRPr="00120E9E">
        <w:rPr>
          <w:rFonts w:ascii="Arial" w:hAnsi="Arial" w:cs="Arial"/>
          <w:i/>
          <w:sz w:val="24"/>
          <w:szCs w:val="24"/>
        </w:rPr>
        <w:t xml:space="preserve">Uuyuni </w:t>
      </w:r>
      <w:r w:rsidRPr="00120E9E">
        <w:rPr>
          <w:rFonts w:ascii="Arial" w:hAnsi="Arial" w:cs="Arial"/>
          <w:sz w:val="24"/>
          <w:szCs w:val="24"/>
        </w:rPr>
        <w:t xml:space="preserve">judgment did hold that all preservation applications must always be brought on an </w:t>
      </w:r>
      <w:r w:rsidRPr="00120E9E">
        <w:rPr>
          <w:rFonts w:ascii="Arial" w:hAnsi="Arial" w:cs="Arial"/>
          <w:i/>
          <w:sz w:val="24"/>
          <w:szCs w:val="24"/>
        </w:rPr>
        <w:t>ex parte</w:t>
      </w:r>
      <w:r w:rsidRPr="00120E9E">
        <w:rPr>
          <w:rFonts w:ascii="Arial" w:hAnsi="Arial" w:cs="Arial"/>
          <w:sz w:val="24"/>
          <w:szCs w:val="24"/>
        </w:rPr>
        <w:t xml:space="preserve"> basis. Counsel dispute</w:t>
      </w:r>
      <w:r w:rsidR="00120E9E">
        <w:rPr>
          <w:rFonts w:ascii="Arial" w:hAnsi="Arial" w:cs="Arial"/>
          <w:sz w:val="24"/>
          <w:szCs w:val="24"/>
        </w:rPr>
        <w:t>d</w:t>
      </w:r>
      <w:r w:rsidRPr="00120E9E">
        <w:rPr>
          <w:rFonts w:ascii="Arial" w:hAnsi="Arial" w:cs="Arial"/>
          <w:sz w:val="24"/>
          <w:szCs w:val="24"/>
        </w:rPr>
        <w:t xml:space="preserve"> the holding or view attributed to the </w:t>
      </w:r>
      <w:r w:rsidRPr="00120E9E">
        <w:rPr>
          <w:rFonts w:ascii="Arial" w:hAnsi="Arial" w:cs="Arial"/>
          <w:i/>
          <w:sz w:val="24"/>
          <w:szCs w:val="24"/>
        </w:rPr>
        <w:t xml:space="preserve">Shalli </w:t>
      </w:r>
      <w:r w:rsidRPr="00120E9E">
        <w:rPr>
          <w:rFonts w:ascii="Arial" w:hAnsi="Arial" w:cs="Arial"/>
          <w:sz w:val="24"/>
          <w:szCs w:val="24"/>
        </w:rPr>
        <w:t>judgment and state</w:t>
      </w:r>
      <w:r w:rsidR="00120E9E">
        <w:rPr>
          <w:rFonts w:ascii="Arial" w:hAnsi="Arial" w:cs="Arial"/>
          <w:sz w:val="24"/>
          <w:szCs w:val="24"/>
        </w:rPr>
        <w:t>d</w:t>
      </w:r>
      <w:r w:rsidRPr="00120E9E">
        <w:rPr>
          <w:rFonts w:ascii="Arial" w:hAnsi="Arial" w:cs="Arial"/>
          <w:sz w:val="24"/>
          <w:szCs w:val="24"/>
        </w:rPr>
        <w:t xml:space="preserve"> that the </w:t>
      </w:r>
      <w:r w:rsidR="00120E9E">
        <w:rPr>
          <w:rFonts w:ascii="Arial" w:hAnsi="Arial" w:cs="Arial"/>
          <w:sz w:val="24"/>
          <w:szCs w:val="24"/>
        </w:rPr>
        <w:t>F</w:t>
      </w:r>
      <w:r w:rsidRPr="00120E9E">
        <w:rPr>
          <w:rFonts w:ascii="Arial" w:hAnsi="Arial" w:cs="Arial"/>
          <w:sz w:val="24"/>
          <w:szCs w:val="24"/>
        </w:rPr>
        <w:t xml:space="preserve">ull </w:t>
      </w:r>
      <w:r w:rsidR="00120E9E">
        <w:rPr>
          <w:rFonts w:ascii="Arial" w:hAnsi="Arial" w:cs="Arial"/>
          <w:sz w:val="24"/>
          <w:szCs w:val="24"/>
        </w:rPr>
        <w:t>B</w:t>
      </w:r>
      <w:r w:rsidRPr="00120E9E">
        <w:rPr>
          <w:rFonts w:ascii="Arial" w:hAnsi="Arial" w:cs="Arial"/>
          <w:sz w:val="24"/>
          <w:szCs w:val="24"/>
        </w:rPr>
        <w:t xml:space="preserve">ench in </w:t>
      </w:r>
      <w:r w:rsidRPr="00120E9E">
        <w:rPr>
          <w:rFonts w:ascii="Arial" w:hAnsi="Arial" w:cs="Arial"/>
          <w:i/>
          <w:sz w:val="24"/>
          <w:szCs w:val="24"/>
        </w:rPr>
        <w:t xml:space="preserve">Shalli </w:t>
      </w:r>
      <w:r w:rsidR="00120E9E">
        <w:rPr>
          <w:rFonts w:ascii="Arial" w:hAnsi="Arial" w:cs="Arial"/>
          <w:sz w:val="24"/>
          <w:szCs w:val="24"/>
        </w:rPr>
        <w:t xml:space="preserve">stated that the legislature . . . </w:t>
      </w:r>
      <w:r w:rsidRPr="00120E9E">
        <w:rPr>
          <w:rFonts w:ascii="Arial" w:hAnsi="Arial" w:cs="Arial"/>
          <w:sz w:val="24"/>
          <w:szCs w:val="24"/>
        </w:rPr>
        <w:t>made it peremptory for a court to grant such applications without notice and without the need for the prosecuting authorities to raise exceptional or compelling circumstances why notice should not be given. He further contend</w:t>
      </w:r>
      <w:r w:rsidR="00120E9E">
        <w:rPr>
          <w:rFonts w:ascii="Arial" w:hAnsi="Arial" w:cs="Arial"/>
          <w:sz w:val="24"/>
          <w:szCs w:val="24"/>
        </w:rPr>
        <w:t>ed</w:t>
      </w:r>
      <w:r w:rsidRPr="00120E9E">
        <w:rPr>
          <w:rFonts w:ascii="Arial" w:hAnsi="Arial" w:cs="Arial"/>
          <w:sz w:val="24"/>
          <w:szCs w:val="24"/>
        </w:rPr>
        <w:t xml:space="preserve"> that the appellant is of right entitled to launch a preservation of property order </w:t>
      </w:r>
      <w:r w:rsidRPr="00120E9E">
        <w:rPr>
          <w:rFonts w:ascii="Arial" w:hAnsi="Arial" w:cs="Arial"/>
          <w:i/>
          <w:sz w:val="24"/>
          <w:szCs w:val="24"/>
        </w:rPr>
        <w:t xml:space="preserve">ex parte </w:t>
      </w:r>
      <w:r w:rsidRPr="00120E9E">
        <w:rPr>
          <w:rFonts w:ascii="Arial" w:hAnsi="Arial" w:cs="Arial"/>
          <w:sz w:val="24"/>
          <w:szCs w:val="24"/>
        </w:rPr>
        <w:t xml:space="preserve">and that the appellant does not have to convince a court of some special circumstances to justify </w:t>
      </w:r>
      <w:r w:rsidR="009101B3" w:rsidRPr="00120E9E">
        <w:rPr>
          <w:rFonts w:ascii="Arial" w:hAnsi="Arial" w:cs="Arial"/>
          <w:sz w:val="24"/>
          <w:szCs w:val="24"/>
        </w:rPr>
        <w:t>a</w:t>
      </w:r>
      <w:r w:rsidRPr="00120E9E">
        <w:rPr>
          <w:rFonts w:ascii="Arial" w:hAnsi="Arial" w:cs="Arial"/>
          <w:sz w:val="24"/>
          <w:szCs w:val="24"/>
        </w:rPr>
        <w:t xml:space="preserve">n </w:t>
      </w:r>
      <w:r w:rsidRPr="00120E9E">
        <w:rPr>
          <w:rFonts w:ascii="Arial" w:hAnsi="Arial" w:cs="Arial"/>
          <w:i/>
          <w:sz w:val="24"/>
          <w:szCs w:val="24"/>
        </w:rPr>
        <w:t xml:space="preserve">ex parte </w:t>
      </w:r>
      <w:r w:rsidRPr="00120E9E">
        <w:rPr>
          <w:rFonts w:ascii="Arial" w:hAnsi="Arial" w:cs="Arial"/>
          <w:sz w:val="24"/>
          <w:szCs w:val="24"/>
        </w:rPr>
        <w:t>application.</w:t>
      </w:r>
      <w:r w:rsidR="0069012C" w:rsidRPr="00120E9E">
        <w:rPr>
          <w:rFonts w:ascii="Arial" w:hAnsi="Arial" w:cs="Arial"/>
          <w:sz w:val="24"/>
          <w:szCs w:val="24"/>
        </w:rPr>
        <w:t xml:space="preserve"> Counsel further contend</w:t>
      </w:r>
      <w:r w:rsidR="00120E9E">
        <w:rPr>
          <w:rFonts w:ascii="Arial" w:hAnsi="Arial" w:cs="Arial"/>
          <w:sz w:val="24"/>
          <w:szCs w:val="24"/>
        </w:rPr>
        <w:t>ed</w:t>
      </w:r>
      <w:r w:rsidR="0069012C" w:rsidRPr="00120E9E">
        <w:rPr>
          <w:rFonts w:ascii="Arial" w:hAnsi="Arial" w:cs="Arial"/>
          <w:sz w:val="24"/>
          <w:szCs w:val="24"/>
        </w:rPr>
        <w:t xml:space="preserve"> that this contention was </w:t>
      </w:r>
      <w:r w:rsidR="0069012C" w:rsidRPr="00120E9E">
        <w:rPr>
          <w:rFonts w:ascii="Arial" w:hAnsi="Arial" w:cs="Arial"/>
          <w:sz w:val="24"/>
          <w:szCs w:val="24"/>
        </w:rPr>
        <w:lastRenderedPageBreak/>
        <w:t xml:space="preserve">recently reiterated </w:t>
      </w:r>
      <w:r w:rsidR="00120E9E">
        <w:rPr>
          <w:rFonts w:ascii="Arial" w:hAnsi="Arial" w:cs="Arial"/>
          <w:sz w:val="24"/>
          <w:szCs w:val="24"/>
        </w:rPr>
        <w:t>by</w:t>
      </w:r>
      <w:r w:rsidR="0069012C" w:rsidRPr="00120E9E">
        <w:rPr>
          <w:rFonts w:ascii="Arial" w:hAnsi="Arial" w:cs="Arial"/>
          <w:sz w:val="24"/>
          <w:szCs w:val="24"/>
        </w:rPr>
        <w:t xml:space="preserve"> the South African Supreme Court</w:t>
      </w:r>
      <w:r w:rsidR="00512AD7">
        <w:rPr>
          <w:rFonts w:ascii="Arial" w:hAnsi="Arial" w:cs="Arial"/>
          <w:sz w:val="24"/>
          <w:szCs w:val="24"/>
        </w:rPr>
        <w:t xml:space="preserve"> of Appeal</w:t>
      </w:r>
      <w:r w:rsidR="0069012C" w:rsidRPr="00120E9E">
        <w:rPr>
          <w:rFonts w:ascii="Arial" w:hAnsi="Arial" w:cs="Arial"/>
          <w:sz w:val="24"/>
          <w:szCs w:val="24"/>
        </w:rPr>
        <w:t xml:space="preserve"> (SCA) in </w:t>
      </w:r>
      <w:r w:rsidR="0069012C" w:rsidRPr="00120E9E">
        <w:rPr>
          <w:rFonts w:ascii="Arial" w:hAnsi="Arial" w:cs="Arial"/>
          <w:i/>
          <w:sz w:val="24"/>
          <w:szCs w:val="24"/>
        </w:rPr>
        <w:t>National Director of Public Prosecutions</w:t>
      </w:r>
      <w:r w:rsidR="0069012C" w:rsidRPr="00120E9E">
        <w:rPr>
          <w:rFonts w:ascii="Arial" w:hAnsi="Arial" w:cs="Arial"/>
          <w:sz w:val="24"/>
          <w:szCs w:val="24"/>
        </w:rPr>
        <w:t xml:space="preserve"> (</w:t>
      </w:r>
      <w:r w:rsidR="0069012C" w:rsidRPr="00120E9E">
        <w:rPr>
          <w:rFonts w:ascii="Arial" w:hAnsi="Arial" w:cs="Arial"/>
          <w:i/>
          <w:sz w:val="24"/>
          <w:szCs w:val="24"/>
        </w:rPr>
        <w:t>ex parte application</w:t>
      </w:r>
      <w:r w:rsidR="00462E4B" w:rsidRPr="00120E9E">
        <w:rPr>
          <w:rFonts w:ascii="Arial" w:hAnsi="Arial" w:cs="Arial"/>
          <w:i/>
          <w:sz w:val="24"/>
          <w:szCs w:val="24"/>
        </w:rPr>
        <w:t>),</w:t>
      </w:r>
      <w:r w:rsidR="0069012C" w:rsidRPr="00462E4B">
        <w:rPr>
          <w:rStyle w:val="FootnoteReference"/>
          <w:rFonts w:ascii="Arial" w:hAnsi="Arial" w:cs="Arial"/>
          <w:sz w:val="24"/>
          <w:szCs w:val="24"/>
        </w:rPr>
        <w:footnoteReference w:id="22"/>
      </w:r>
      <w:r w:rsidR="00462E4B" w:rsidRPr="00120E9E">
        <w:rPr>
          <w:rFonts w:ascii="Arial" w:hAnsi="Arial" w:cs="Arial"/>
          <w:i/>
          <w:sz w:val="24"/>
          <w:szCs w:val="24"/>
        </w:rPr>
        <w:t xml:space="preserve"> </w:t>
      </w:r>
      <w:r w:rsidR="0069012C" w:rsidRPr="00120E9E">
        <w:rPr>
          <w:rFonts w:ascii="Arial" w:hAnsi="Arial" w:cs="Arial"/>
          <w:sz w:val="24"/>
          <w:szCs w:val="24"/>
        </w:rPr>
        <w:t>but disagree</w:t>
      </w:r>
      <w:r w:rsidR="00120E9E">
        <w:rPr>
          <w:rFonts w:ascii="Arial" w:hAnsi="Arial" w:cs="Arial"/>
          <w:sz w:val="24"/>
          <w:szCs w:val="24"/>
        </w:rPr>
        <w:t>d</w:t>
      </w:r>
      <w:r w:rsidR="0069012C" w:rsidRPr="00120E9E">
        <w:rPr>
          <w:rFonts w:ascii="Arial" w:hAnsi="Arial" w:cs="Arial"/>
          <w:sz w:val="24"/>
          <w:szCs w:val="24"/>
        </w:rPr>
        <w:t xml:space="preserve"> with that court</w:t>
      </w:r>
      <w:r w:rsidR="009101B3" w:rsidRPr="00120E9E">
        <w:rPr>
          <w:rFonts w:ascii="Arial" w:hAnsi="Arial" w:cs="Arial"/>
          <w:sz w:val="24"/>
          <w:szCs w:val="24"/>
        </w:rPr>
        <w:t>’s</w:t>
      </w:r>
      <w:r w:rsidR="0069012C" w:rsidRPr="00120E9E">
        <w:rPr>
          <w:rFonts w:ascii="Arial" w:hAnsi="Arial" w:cs="Arial"/>
          <w:sz w:val="24"/>
          <w:szCs w:val="24"/>
        </w:rPr>
        <w:t xml:space="preserve"> </w:t>
      </w:r>
      <w:r w:rsidR="00120E9E">
        <w:rPr>
          <w:rFonts w:ascii="Arial" w:hAnsi="Arial" w:cs="Arial"/>
          <w:sz w:val="24"/>
          <w:szCs w:val="24"/>
        </w:rPr>
        <w:t>reasoning</w:t>
      </w:r>
      <w:r w:rsidR="0069012C" w:rsidRPr="00120E9E">
        <w:rPr>
          <w:rFonts w:ascii="Arial" w:hAnsi="Arial" w:cs="Arial"/>
          <w:sz w:val="24"/>
          <w:szCs w:val="24"/>
        </w:rPr>
        <w:t xml:space="preserve"> in para 22</w:t>
      </w:r>
      <w:r w:rsidR="0069012C">
        <w:rPr>
          <w:rStyle w:val="FootnoteReference"/>
          <w:rFonts w:ascii="Arial" w:hAnsi="Arial" w:cs="Arial"/>
          <w:sz w:val="24"/>
          <w:szCs w:val="24"/>
        </w:rPr>
        <w:footnoteReference w:id="23"/>
      </w:r>
      <w:r w:rsidR="003C74D8" w:rsidRPr="00120E9E">
        <w:rPr>
          <w:rFonts w:ascii="Arial" w:hAnsi="Arial" w:cs="Arial"/>
          <w:sz w:val="24"/>
          <w:szCs w:val="24"/>
        </w:rPr>
        <w:t xml:space="preserve"> of its judgment. Counsel </w:t>
      </w:r>
      <w:r w:rsidR="00120E9E">
        <w:rPr>
          <w:rFonts w:ascii="Arial" w:hAnsi="Arial" w:cs="Arial"/>
          <w:sz w:val="24"/>
          <w:szCs w:val="24"/>
        </w:rPr>
        <w:t>supported</w:t>
      </w:r>
      <w:r w:rsidR="003C74D8" w:rsidRPr="00120E9E">
        <w:rPr>
          <w:rFonts w:ascii="Arial" w:hAnsi="Arial" w:cs="Arial"/>
          <w:sz w:val="24"/>
          <w:szCs w:val="24"/>
        </w:rPr>
        <w:t xml:space="preserve"> the holding in </w:t>
      </w:r>
      <w:r w:rsidR="003C74D8" w:rsidRPr="00120E9E">
        <w:rPr>
          <w:rFonts w:ascii="Arial" w:hAnsi="Arial" w:cs="Arial"/>
          <w:i/>
          <w:sz w:val="24"/>
          <w:szCs w:val="24"/>
        </w:rPr>
        <w:t>National Director of P</w:t>
      </w:r>
      <w:r w:rsidR="00A63075">
        <w:rPr>
          <w:rFonts w:ascii="Arial" w:hAnsi="Arial" w:cs="Arial"/>
          <w:i/>
          <w:sz w:val="24"/>
          <w:szCs w:val="24"/>
        </w:rPr>
        <w:t>ublic Prosecutions v Alexander &amp;</w:t>
      </w:r>
      <w:r w:rsidR="003C74D8" w:rsidRPr="00120E9E">
        <w:rPr>
          <w:rFonts w:ascii="Arial" w:hAnsi="Arial" w:cs="Arial"/>
          <w:i/>
          <w:sz w:val="24"/>
          <w:szCs w:val="24"/>
        </w:rPr>
        <w:t xml:space="preserve"> others</w:t>
      </w:r>
      <w:r w:rsidR="003C74D8">
        <w:rPr>
          <w:rStyle w:val="FootnoteReference"/>
          <w:rFonts w:ascii="Arial" w:hAnsi="Arial" w:cs="Arial"/>
          <w:sz w:val="24"/>
          <w:szCs w:val="24"/>
        </w:rPr>
        <w:footnoteReference w:id="24"/>
      </w:r>
      <w:r w:rsidR="008E5DFD" w:rsidRPr="00120E9E">
        <w:rPr>
          <w:rFonts w:ascii="Arial" w:hAnsi="Arial" w:cs="Arial"/>
          <w:sz w:val="24"/>
          <w:szCs w:val="24"/>
        </w:rPr>
        <w:t xml:space="preserve"> where the court stated</w:t>
      </w:r>
      <w:r w:rsidR="00A63075">
        <w:rPr>
          <w:rFonts w:ascii="Arial" w:hAnsi="Arial" w:cs="Arial"/>
          <w:sz w:val="24"/>
          <w:szCs w:val="24"/>
        </w:rPr>
        <w:t>:</w:t>
      </w:r>
      <w:r w:rsidR="008E5DFD" w:rsidRPr="00120E9E">
        <w:rPr>
          <w:rFonts w:ascii="Arial" w:hAnsi="Arial" w:cs="Arial"/>
          <w:sz w:val="24"/>
          <w:szCs w:val="24"/>
        </w:rPr>
        <w:t xml:space="preserve"> ‘the Act clearly and expressly allows an applicant to apply </w:t>
      </w:r>
      <w:r w:rsidR="008E5DFD" w:rsidRPr="00120E9E">
        <w:rPr>
          <w:rFonts w:ascii="Arial" w:hAnsi="Arial" w:cs="Arial"/>
          <w:i/>
          <w:sz w:val="24"/>
          <w:szCs w:val="24"/>
        </w:rPr>
        <w:t xml:space="preserve">ex parte </w:t>
      </w:r>
      <w:r w:rsidR="008E5DFD" w:rsidRPr="00120E9E">
        <w:rPr>
          <w:rFonts w:ascii="Arial" w:hAnsi="Arial" w:cs="Arial"/>
          <w:sz w:val="24"/>
          <w:szCs w:val="24"/>
        </w:rPr>
        <w:t xml:space="preserve">. . . [b]ut to require an applicant to convince a court of some special circumstance to justify an </w:t>
      </w:r>
      <w:r w:rsidR="008E5DFD" w:rsidRPr="00120E9E">
        <w:rPr>
          <w:rFonts w:ascii="Arial" w:hAnsi="Arial" w:cs="Arial"/>
          <w:i/>
          <w:sz w:val="24"/>
          <w:szCs w:val="24"/>
        </w:rPr>
        <w:t xml:space="preserve">ex parte </w:t>
      </w:r>
      <w:r w:rsidR="008E5DFD" w:rsidRPr="00120E9E">
        <w:rPr>
          <w:rFonts w:ascii="Arial" w:hAnsi="Arial" w:cs="Arial"/>
          <w:sz w:val="24"/>
          <w:szCs w:val="24"/>
        </w:rPr>
        <w:t xml:space="preserve">application, would be to ignore the wording of s 26(1) or to render it meaningless. . . [b]ut the clear intention of the legislature that applications of this kind may be brought </w:t>
      </w:r>
      <w:r w:rsidR="008E5DFD" w:rsidRPr="00120E9E">
        <w:rPr>
          <w:rFonts w:ascii="Arial" w:hAnsi="Arial" w:cs="Arial"/>
          <w:i/>
          <w:sz w:val="24"/>
          <w:szCs w:val="24"/>
        </w:rPr>
        <w:t xml:space="preserve">ex parte </w:t>
      </w:r>
      <w:r w:rsidR="008E5DFD" w:rsidRPr="00120E9E">
        <w:rPr>
          <w:rFonts w:ascii="Arial" w:hAnsi="Arial" w:cs="Arial"/>
          <w:sz w:val="24"/>
          <w:szCs w:val="24"/>
        </w:rPr>
        <w:t>is unavoidable</w:t>
      </w:r>
      <w:r w:rsidR="00120E9E">
        <w:rPr>
          <w:rFonts w:ascii="Arial" w:hAnsi="Arial" w:cs="Arial"/>
          <w:sz w:val="24"/>
          <w:szCs w:val="24"/>
        </w:rPr>
        <w:t>’</w:t>
      </w:r>
      <w:r w:rsidR="008E5DFD" w:rsidRPr="00120E9E">
        <w:rPr>
          <w:rFonts w:ascii="Arial" w:hAnsi="Arial" w:cs="Arial"/>
          <w:sz w:val="24"/>
          <w:szCs w:val="24"/>
        </w:rPr>
        <w:t>. Counsel submit</w:t>
      </w:r>
      <w:r w:rsidR="00496BFB">
        <w:rPr>
          <w:rFonts w:ascii="Arial" w:hAnsi="Arial" w:cs="Arial"/>
          <w:sz w:val="24"/>
          <w:szCs w:val="24"/>
        </w:rPr>
        <w:t>t</w:t>
      </w:r>
      <w:r w:rsidR="00120E9E">
        <w:rPr>
          <w:rFonts w:ascii="Arial" w:hAnsi="Arial" w:cs="Arial"/>
          <w:sz w:val="24"/>
          <w:szCs w:val="24"/>
        </w:rPr>
        <w:t>ed</w:t>
      </w:r>
      <w:r w:rsidR="008E5DFD" w:rsidRPr="00120E9E">
        <w:rPr>
          <w:rFonts w:ascii="Arial" w:hAnsi="Arial" w:cs="Arial"/>
          <w:sz w:val="24"/>
          <w:szCs w:val="24"/>
        </w:rPr>
        <w:t xml:space="preserve"> that the court a quo</w:t>
      </w:r>
      <w:r w:rsidR="008E5DFD" w:rsidRPr="00120E9E">
        <w:rPr>
          <w:rFonts w:ascii="Arial" w:hAnsi="Arial" w:cs="Arial"/>
          <w:i/>
          <w:sz w:val="24"/>
          <w:szCs w:val="24"/>
        </w:rPr>
        <w:t xml:space="preserve"> </w:t>
      </w:r>
      <w:r w:rsidR="008E5DFD" w:rsidRPr="00120E9E">
        <w:rPr>
          <w:rFonts w:ascii="Arial" w:hAnsi="Arial" w:cs="Arial"/>
          <w:sz w:val="24"/>
          <w:szCs w:val="24"/>
        </w:rPr>
        <w:t xml:space="preserve">erred when it found that there were no compelling reasons for the appellant to have brought the second application for the second preservation </w:t>
      </w:r>
      <w:r w:rsidR="009101B3" w:rsidRPr="00120E9E">
        <w:rPr>
          <w:rFonts w:ascii="Arial" w:hAnsi="Arial" w:cs="Arial"/>
          <w:sz w:val="24"/>
          <w:szCs w:val="24"/>
        </w:rPr>
        <w:t xml:space="preserve">of </w:t>
      </w:r>
      <w:r w:rsidR="008E5DFD" w:rsidRPr="00120E9E">
        <w:rPr>
          <w:rFonts w:ascii="Arial" w:hAnsi="Arial" w:cs="Arial"/>
          <w:sz w:val="24"/>
          <w:szCs w:val="24"/>
        </w:rPr>
        <w:t xml:space="preserve">property order on an </w:t>
      </w:r>
      <w:r w:rsidR="008E5DFD" w:rsidRPr="00120E9E">
        <w:rPr>
          <w:rFonts w:ascii="Arial" w:hAnsi="Arial" w:cs="Arial"/>
          <w:i/>
          <w:sz w:val="24"/>
          <w:szCs w:val="24"/>
        </w:rPr>
        <w:t xml:space="preserve">ex parte </w:t>
      </w:r>
      <w:r w:rsidR="008E5DFD" w:rsidRPr="00120E9E">
        <w:rPr>
          <w:rFonts w:ascii="Arial" w:hAnsi="Arial" w:cs="Arial"/>
          <w:sz w:val="24"/>
          <w:szCs w:val="24"/>
        </w:rPr>
        <w:t xml:space="preserve">basis and that the appellant inappropriately and incorrectly exercised her statutory discretion, which negatively affected the respondents rights guaranteed in </w:t>
      </w:r>
      <w:r w:rsidR="007F7B5D" w:rsidRPr="00120E9E">
        <w:rPr>
          <w:rFonts w:ascii="Arial" w:hAnsi="Arial" w:cs="Arial"/>
          <w:sz w:val="24"/>
          <w:szCs w:val="24"/>
        </w:rPr>
        <w:t>A</w:t>
      </w:r>
      <w:r w:rsidR="008E5DFD" w:rsidRPr="00120E9E">
        <w:rPr>
          <w:rFonts w:ascii="Arial" w:hAnsi="Arial" w:cs="Arial"/>
          <w:sz w:val="24"/>
          <w:szCs w:val="24"/>
        </w:rPr>
        <w:t>rt 12 of the Constitution and that the order stood to be set aside.</w:t>
      </w:r>
    </w:p>
    <w:p w:rsidR="00120E9E" w:rsidRDefault="00120E9E" w:rsidP="00120E9E">
      <w:pPr>
        <w:pStyle w:val="ListParagraph"/>
        <w:spacing w:after="0" w:line="480" w:lineRule="auto"/>
        <w:ind w:left="0"/>
        <w:jc w:val="both"/>
        <w:rPr>
          <w:rFonts w:ascii="Arial" w:hAnsi="Arial" w:cs="Arial"/>
          <w:sz w:val="24"/>
          <w:szCs w:val="24"/>
        </w:rPr>
      </w:pPr>
    </w:p>
    <w:p w:rsidR="008E5DFD" w:rsidRDefault="00C51B16" w:rsidP="00120E9E">
      <w:pPr>
        <w:pStyle w:val="ListParagraph"/>
        <w:numPr>
          <w:ilvl w:val="0"/>
          <w:numId w:val="1"/>
        </w:numPr>
        <w:spacing w:after="0" w:line="480" w:lineRule="auto"/>
        <w:ind w:left="0" w:firstLine="0"/>
        <w:jc w:val="both"/>
        <w:rPr>
          <w:rFonts w:ascii="Arial" w:hAnsi="Arial" w:cs="Arial"/>
          <w:sz w:val="24"/>
          <w:szCs w:val="24"/>
        </w:rPr>
      </w:pPr>
      <w:r w:rsidRPr="00120E9E">
        <w:rPr>
          <w:rFonts w:ascii="Arial" w:hAnsi="Arial" w:cs="Arial"/>
          <w:sz w:val="24"/>
          <w:szCs w:val="24"/>
        </w:rPr>
        <w:t>The reasoning on this point appears to be that because the appellant inappropriately</w:t>
      </w:r>
      <w:r w:rsidR="00B032BA">
        <w:rPr>
          <w:rFonts w:ascii="Arial" w:hAnsi="Arial" w:cs="Arial"/>
          <w:sz w:val="24"/>
          <w:szCs w:val="24"/>
        </w:rPr>
        <w:t xml:space="preserve"> and incorrectly</w:t>
      </w:r>
      <w:r w:rsidRPr="00120E9E">
        <w:rPr>
          <w:rFonts w:ascii="Arial" w:hAnsi="Arial" w:cs="Arial"/>
          <w:sz w:val="24"/>
          <w:szCs w:val="24"/>
        </w:rPr>
        <w:t xml:space="preserve"> exercised her statutory discretion </w:t>
      </w:r>
      <w:r w:rsidR="00B032BA">
        <w:rPr>
          <w:rFonts w:ascii="Arial" w:hAnsi="Arial" w:cs="Arial"/>
          <w:sz w:val="24"/>
          <w:szCs w:val="24"/>
        </w:rPr>
        <w:t>thereby</w:t>
      </w:r>
      <w:r w:rsidRPr="00120E9E">
        <w:rPr>
          <w:rFonts w:ascii="Arial" w:hAnsi="Arial" w:cs="Arial"/>
          <w:sz w:val="24"/>
          <w:szCs w:val="24"/>
        </w:rPr>
        <w:t xml:space="preserve"> depriving the respondents their right to a fair hearing</w:t>
      </w:r>
      <w:r w:rsidR="004B0C25" w:rsidRPr="00120E9E">
        <w:rPr>
          <w:rFonts w:ascii="Arial" w:hAnsi="Arial" w:cs="Arial"/>
          <w:sz w:val="24"/>
          <w:szCs w:val="24"/>
        </w:rPr>
        <w:t>,</w:t>
      </w:r>
      <w:r w:rsidRPr="00120E9E">
        <w:rPr>
          <w:rFonts w:ascii="Arial" w:hAnsi="Arial" w:cs="Arial"/>
          <w:sz w:val="24"/>
          <w:szCs w:val="24"/>
        </w:rPr>
        <w:t xml:space="preserve"> the order stood to </w:t>
      </w:r>
      <w:r w:rsidR="00C54A55" w:rsidRPr="00120E9E">
        <w:rPr>
          <w:rFonts w:ascii="Arial" w:hAnsi="Arial" w:cs="Arial"/>
          <w:sz w:val="24"/>
          <w:szCs w:val="24"/>
        </w:rPr>
        <w:t xml:space="preserve">be </w:t>
      </w:r>
      <w:r w:rsidRPr="00120E9E">
        <w:rPr>
          <w:rFonts w:ascii="Arial" w:hAnsi="Arial" w:cs="Arial"/>
          <w:sz w:val="24"/>
          <w:szCs w:val="24"/>
        </w:rPr>
        <w:t>set aside. In other words</w:t>
      </w:r>
      <w:r w:rsidR="00577D9D" w:rsidRPr="00120E9E">
        <w:rPr>
          <w:rFonts w:ascii="Arial" w:hAnsi="Arial" w:cs="Arial"/>
          <w:sz w:val="24"/>
          <w:szCs w:val="24"/>
        </w:rPr>
        <w:t>,</w:t>
      </w:r>
      <w:r w:rsidRPr="00120E9E">
        <w:rPr>
          <w:rFonts w:ascii="Arial" w:hAnsi="Arial" w:cs="Arial"/>
          <w:sz w:val="24"/>
          <w:szCs w:val="24"/>
        </w:rPr>
        <w:t xml:space="preserve"> the appellant brought the second application </w:t>
      </w:r>
      <w:r w:rsidRPr="00120E9E">
        <w:rPr>
          <w:rFonts w:ascii="Arial" w:hAnsi="Arial" w:cs="Arial"/>
          <w:i/>
          <w:sz w:val="24"/>
          <w:szCs w:val="24"/>
        </w:rPr>
        <w:t xml:space="preserve">ex parte </w:t>
      </w:r>
      <w:r w:rsidRPr="00120E9E">
        <w:rPr>
          <w:rFonts w:ascii="Arial" w:hAnsi="Arial" w:cs="Arial"/>
          <w:sz w:val="24"/>
          <w:szCs w:val="24"/>
        </w:rPr>
        <w:t>when she should not</w:t>
      </w:r>
      <w:r w:rsidR="004B0C25" w:rsidRPr="00120E9E">
        <w:rPr>
          <w:rFonts w:ascii="Arial" w:hAnsi="Arial" w:cs="Arial"/>
          <w:sz w:val="24"/>
          <w:szCs w:val="24"/>
        </w:rPr>
        <w:t xml:space="preserve"> have</w:t>
      </w:r>
      <w:r w:rsidR="00B032BA">
        <w:rPr>
          <w:rFonts w:ascii="Arial" w:hAnsi="Arial" w:cs="Arial"/>
          <w:sz w:val="24"/>
          <w:szCs w:val="24"/>
        </w:rPr>
        <w:t xml:space="preserve"> done so</w:t>
      </w:r>
      <w:r w:rsidRPr="00120E9E">
        <w:rPr>
          <w:rFonts w:ascii="Arial" w:hAnsi="Arial" w:cs="Arial"/>
          <w:sz w:val="24"/>
          <w:szCs w:val="24"/>
        </w:rPr>
        <w:t xml:space="preserve">. In my opinion that would mean to have dismissed the preservation </w:t>
      </w:r>
      <w:r w:rsidRPr="00120E9E">
        <w:rPr>
          <w:rFonts w:ascii="Arial" w:hAnsi="Arial" w:cs="Arial"/>
          <w:sz w:val="24"/>
          <w:szCs w:val="24"/>
        </w:rPr>
        <w:lastRenderedPageBreak/>
        <w:t xml:space="preserve">order for the reason that it was brought </w:t>
      </w:r>
      <w:r w:rsidRPr="00120E9E">
        <w:rPr>
          <w:rFonts w:ascii="Arial" w:hAnsi="Arial" w:cs="Arial"/>
          <w:i/>
          <w:sz w:val="24"/>
          <w:szCs w:val="24"/>
        </w:rPr>
        <w:t>ex parte</w:t>
      </w:r>
      <w:r w:rsidRPr="00120E9E">
        <w:rPr>
          <w:rFonts w:ascii="Arial" w:hAnsi="Arial" w:cs="Arial"/>
          <w:sz w:val="24"/>
          <w:szCs w:val="24"/>
        </w:rPr>
        <w:t xml:space="preserve">, which with respect is wrong. Any application under s 51 can never be dismissed solely on the ground that it has been brought </w:t>
      </w:r>
      <w:r w:rsidRPr="00120E9E">
        <w:rPr>
          <w:rFonts w:ascii="Arial" w:hAnsi="Arial" w:cs="Arial"/>
          <w:i/>
          <w:sz w:val="24"/>
          <w:szCs w:val="24"/>
        </w:rPr>
        <w:t>ex parte</w:t>
      </w:r>
      <w:r w:rsidR="002B74FE" w:rsidRPr="00120E9E">
        <w:rPr>
          <w:rFonts w:ascii="Arial" w:hAnsi="Arial" w:cs="Arial"/>
          <w:i/>
          <w:sz w:val="24"/>
          <w:szCs w:val="24"/>
        </w:rPr>
        <w:t>.</w:t>
      </w:r>
      <w:r>
        <w:rPr>
          <w:rStyle w:val="FootnoteReference"/>
          <w:rFonts w:ascii="Arial" w:hAnsi="Arial" w:cs="Arial"/>
          <w:i/>
          <w:sz w:val="24"/>
          <w:szCs w:val="24"/>
        </w:rPr>
        <w:footnoteReference w:id="25"/>
      </w:r>
      <w:r w:rsidRPr="00120E9E">
        <w:rPr>
          <w:rFonts w:ascii="Arial" w:hAnsi="Arial" w:cs="Arial"/>
          <w:sz w:val="24"/>
          <w:szCs w:val="24"/>
        </w:rPr>
        <w:t xml:space="preserve"> An </w:t>
      </w:r>
      <w:r w:rsidRPr="00120E9E">
        <w:rPr>
          <w:rFonts w:ascii="Arial" w:hAnsi="Arial" w:cs="Arial"/>
          <w:i/>
          <w:sz w:val="24"/>
          <w:szCs w:val="24"/>
        </w:rPr>
        <w:t>ex parte</w:t>
      </w:r>
      <w:r w:rsidRPr="00120E9E">
        <w:rPr>
          <w:rFonts w:ascii="Arial" w:hAnsi="Arial" w:cs="Arial"/>
          <w:sz w:val="24"/>
          <w:szCs w:val="24"/>
        </w:rPr>
        <w:t xml:space="preserve"> application in our practice is simply an application of which notice was as a fact not given to the person against whom some relief is claimed in his absence</w:t>
      </w:r>
      <w:r w:rsidR="002B74FE" w:rsidRPr="00120E9E">
        <w:rPr>
          <w:rFonts w:ascii="Arial" w:hAnsi="Arial" w:cs="Arial"/>
          <w:sz w:val="24"/>
          <w:szCs w:val="24"/>
        </w:rPr>
        <w:t>.</w:t>
      </w:r>
      <w:r>
        <w:rPr>
          <w:rStyle w:val="FootnoteReference"/>
          <w:rFonts w:ascii="Arial" w:hAnsi="Arial" w:cs="Arial"/>
          <w:sz w:val="24"/>
          <w:szCs w:val="24"/>
        </w:rPr>
        <w:footnoteReference w:id="26"/>
      </w:r>
      <w:r w:rsidR="00E80BAA" w:rsidRPr="00120E9E">
        <w:rPr>
          <w:rFonts w:ascii="Arial" w:hAnsi="Arial" w:cs="Arial"/>
          <w:sz w:val="24"/>
          <w:szCs w:val="24"/>
        </w:rPr>
        <w:t xml:space="preserve"> In the </w:t>
      </w:r>
      <w:r w:rsidR="00E80BAA" w:rsidRPr="00120E9E">
        <w:rPr>
          <w:rFonts w:ascii="Arial" w:hAnsi="Arial" w:cs="Arial"/>
          <w:i/>
          <w:sz w:val="24"/>
          <w:szCs w:val="24"/>
        </w:rPr>
        <w:t xml:space="preserve">National Director of Public Prosecution </w:t>
      </w:r>
      <w:r w:rsidR="00591209">
        <w:rPr>
          <w:rFonts w:ascii="Arial" w:hAnsi="Arial" w:cs="Arial"/>
          <w:i/>
          <w:sz w:val="24"/>
          <w:szCs w:val="24"/>
        </w:rPr>
        <w:t>&amp;</w:t>
      </w:r>
      <w:r w:rsidR="00E80BAA" w:rsidRPr="00120E9E">
        <w:rPr>
          <w:rFonts w:ascii="Arial" w:hAnsi="Arial" w:cs="Arial"/>
          <w:i/>
          <w:sz w:val="24"/>
          <w:szCs w:val="24"/>
        </w:rPr>
        <w:t xml:space="preserve"> another v Yasien Mac</w:t>
      </w:r>
      <w:r w:rsidR="00E80BAA" w:rsidRPr="00120E9E">
        <w:rPr>
          <w:rFonts w:ascii="Arial" w:hAnsi="Arial" w:cs="Arial"/>
          <w:sz w:val="24"/>
          <w:szCs w:val="24"/>
        </w:rPr>
        <w:t xml:space="preserve"> </w:t>
      </w:r>
      <w:r w:rsidR="00E80BAA" w:rsidRPr="00120E9E">
        <w:rPr>
          <w:rFonts w:ascii="Arial" w:hAnsi="Arial" w:cs="Arial"/>
          <w:i/>
          <w:sz w:val="24"/>
          <w:szCs w:val="24"/>
        </w:rPr>
        <w:t xml:space="preserve">Mohamed </w:t>
      </w:r>
      <w:r w:rsidR="00E80BAA" w:rsidRPr="00120E9E">
        <w:rPr>
          <w:rFonts w:ascii="Arial" w:hAnsi="Arial" w:cs="Arial"/>
          <w:sz w:val="24"/>
          <w:szCs w:val="24"/>
        </w:rPr>
        <w:t>NO (Mohamed</w:t>
      </w:r>
      <w:r w:rsidRPr="00120E9E">
        <w:rPr>
          <w:rFonts w:ascii="Arial" w:hAnsi="Arial" w:cs="Arial"/>
          <w:sz w:val="24"/>
          <w:szCs w:val="24"/>
        </w:rPr>
        <w:t xml:space="preserve"> </w:t>
      </w:r>
      <w:r w:rsidR="00E80BAA" w:rsidRPr="00120E9E">
        <w:rPr>
          <w:rFonts w:ascii="Arial" w:hAnsi="Arial" w:cs="Arial"/>
          <w:sz w:val="24"/>
          <w:szCs w:val="24"/>
        </w:rPr>
        <w:t xml:space="preserve">2 in the </w:t>
      </w:r>
      <w:r w:rsidR="009101B3" w:rsidRPr="00120E9E">
        <w:rPr>
          <w:rFonts w:ascii="Arial" w:hAnsi="Arial" w:cs="Arial"/>
          <w:sz w:val="24"/>
          <w:szCs w:val="24"/>
        </w:rPr>
        <w:t>CC</w:t>
      </w:r>
      <w:r w:rsidR="00E80BAA" w:rsidRPr="00120E9E">
        <w:rPr>
          <w:rFonts w:ascii="Arial" w:hAnsi="Arial" w:cs="Arial"/>
          <w:sz w:val="24"/>
          <w:szCs w:val="24"/>
        </w:rPr>
        <w:t xml:space="preserve">) Akermann J stated: ‘The phrase in sec 38 (our s 51) </w:t>
      </w:r>
      <w:r w:rsidR="00591209">
        <w:rPr>
          <w:rFonts w:ascii="Arial" w:hAnsi="Arial" w:cs="Arial"/>
          <w:sz w:val="24"/>
          <w:szCs w:val="24"/>
        </w:rPr>
        <w:t>‘</w:t>
      </w:r>
      <w:r w:rsidR="00E80BAA" w:rsidRPr="00120E9E">
        <w:rPr>
          <w:rFonts w:ascii="Arial" w:hAnsi="Arial" w:cs="Arial"/>
          <w:sz w:val="24"/>
          <w:szCs w:val="24"/>
        </w:rPr>
        <w:t xml:space="preserve">[t]he National Director may by way of an </w:t>
      </w:r>
      <w:r w:rsidR="00E80BAA" w:rsidRPr="00120E9E">
        <w:rPr>
          <w:rFonts w:ascii="Arial" w:hAnsi="Arial" w:cs="Arial"/>
          <w:i/>
          <w:sz w:val="24"/>
          <w:szCs w:val="24"/>
        </w:rPr>
        <w:t>ex parte</w:t>
      </w:r>
      <w:r w:rsidR="00591209">
        <w:rPr>
          <w:rFonts w:ascii="Arial" w:hAnsi="Arial" w:cs="Arial"/>
          <w:sz w:val="24"/>
          <w:szCs w:val="24"/>
        </w:rPr>
        <w:t xml:space="preserve"> application apply’</w:t>
      </w:r>
      <w:r w:rsidR="00E80BAA" w:rsidRPr="00120E9E">
        <w:rPr>
          <w:rFonts w:ascii="Arial" w:hAnsi="Arial" w:cs="Arial"/>
          <w:sz w:val="24"/>
          <w:szCs w:val="24"/>
        </w:rPr>
        <w:t xml:space="preserve"> means no more than that, if the National Director is desirous of obtaining an order under s</w:t>
      </w:r>
      <w:r w:rsidR="00577D9D" w:rsidRPr="00120E9E">
        <w:rPr>
          <w:rFonts w:ascii="Arial" w:hAnsi="Arial" w:cs="Arial"/>
          <w:sz w:val="24"/>
          <w:szCs w:val="24"/>
        </w:rPr>
        <w:t>ection</w:t>
      </w:r>
      <w:r w:rsidR="00E80BAA" w:rsidRPr="00120E9E">
        <w:rPr>
          <w:rFonts w:ascii="Arial" w:hAnsi="Arial" w:cs="Arial"/>
          <w:sz w:val="24"/>
          <w:szCs w:val="24"/>
        </w:rPr>
        <w:t xml:space="preserve"> 38, she or he may use an </w:t>
      </w:r>
      <w:r w:rsidR="00E80BAA" w:rsidRPr="00120E9E">
        <w:rPr>
          <w:rFonts w:ascii="Arial" w:hAnsi="Arial" w:cs="Arial"/>
          <w:i/>
          <w:sz w:val="24"/>
          <w:szCs w:val="24"/>
        </w:rPr>
        <w:t xml:space="preserve">ex parte </w:t>
      </w:r>
      <w:r w:rsidR="00E80BAA" w:rsidRPr="00120E9E">
        <w:rPr>
          <w:rFonts w:ascii="Arial" w:hAnsi="Arial" w:cs="Arial"/>
          <w:sz w:val="24"/>
          <w:szCs w:val="24"/>
        </w:rPr>
        <w:t>application, in the sense defined in para 27 above</w:t>
      </w:r>
      <w:r w:rsidR="00577D9D" w:rsidRPr="00120E9E">
        <w:rPr>
          <w:rFonts w:ascii="Arial" w:hAnsi="Arial" w:cs="Arial"/>
          <w:sz w:val="24"/>
          <w:szCs w:val="24"/>
        </w:rPr>
        <w:t>’</w:t>
      </w:r>
      <w:r w:rsidR="002B74FE" w:rsidRPr="00120E9E">
        <w:rPr>
          <w:rFonts w:ascii="Arial" w:hAnsi="Arial" w:cs="Arial"/>
          <w:sz w:val="24"/>
          <w:szCs w:val="24"/>
        </w:rPr>
        <w:t>.</w:t>
      </w:r>
      <w:r w:rsidR="00E80BAA">
        <w:rPr>
          <w:rStyle w:val="FootnoteReference"/>
          <w:rFonts w:ascii="Arial" w:hAnsi="Arial" w:cs="Arial"/>
          <w:sz w:val="24"/>
          <w:szCs w:val="24"/>
        </w:rPr>
        <w:footnoteReference w:id="27"/>
      </w:r>
      <w:r w:rsidR="002B0C6A" w:rsidRPr="00120E9E">
        <w:rPr>
          <w:rFonts w:ascii="Arial" w:hAnsi="Arial" w:cs="Arial"/>
          <w:sz w:val="24"/>
          <w:szCs w:val="24"/>
        </w:rPr>
        <w:t xml:space="preserve"> (Paragraph 27 in the above case contains the definition of </w:t>
      </w:r>
      <w:r w:rsidR="002B0C6A" w:rsidRPr="00120E9E">
        <w:rPr>
          <w:rFonts w:ascii="Arial" w:hAnsi="Arial" w:cs="Arial"/>
          <w:i/>
          <w:sz w:val="24"/>
          <w:szCs w:val="24"/>
        </w:rPr>
        <w:t>ex parte</w:t>
      </w:r>
      <w:r w:rsidR="002B0C6A" w:rsidRPr="00120E9E">
        <w:rPr>
          <w:rFonts w:ascii="Arial" w:hAnsi="Arial" w:cs="Arial"/>
          <w:sz w:val="24"/>
          <w:szCs w:val="24"/>
        </w:rPr>
        <w:t xml:space="preserve">). </w:t>
      </w:r>
      <w:r w:rsidR="00577D9D" w:rsidRPr="00120E9E">
        <w:rPr>
          <w:rFonts w:ascii="Arial" w:hAnsi="Arial" w:cs="Arial"/>
          <w:sz w:val="24"/>
          <w:szCs w:val="24"/>
        </w:rPr>
        <w:t>‘</w:t>
      </w:r>
      <w:r w:rsidR="002B0C6A" w:rsidRPr="00120E9E">
        <w:rPr>
          <w:rFonts w:ascii="Arial" w:hAnsi="Arial" w:cs="Arial"/>
          <w:sz w:val="24"/>
          <w:szCs w:val="24"/>
        </w:rPr>
        <w:t xml:space="preserve">It sanctions a particular initiating procedure to be employed when relief of a particular nature is being sought. An important consequence of this is that an application by the National Director under s 38 can never be dismissed solely on the ground that it has been brought </w:t>
      </w:r>
      <w:r w:rsidR="002B0C6A" w:rsidRPr="00120E9E">
        <w:rPr>
          <w:rFonts w:ascii="Arial" w:hAnsi="Arial" w:cs="Arial"/>
          <w:i/>
          <w:sz w:val="24"/>
          <w:szCs w:val="24"/>
        </w:rPr>
        <w:t>ex parte</w:t>
      </w:r>
      <w:r w:rsidR="00577D9D" w:rsidRPr="00120E9E">
        <w:rPr>
          <w:rFonts w:ascii="Arial" w:hAnsi="Arial" w:cs="Arial"/>
          <w:i/>
          <w:sz w:val="24"/>
          <w:szCs w:val="24"/>
        </w:rPr>
        <w:t>.</w:t>
      </w:r>
      <w:r w:rsidR="002B74FE" w:rsidRPr="00120E9E">
        <w:rPr>
          <w:rFonts w:ascii="Arial" w:hAnsi="Arial" w:cs="Arial"/>
          <w:i/>
          <w:sz w:val="24"/>
          <w:szCs w:val="24"/>
        </w:rPr>
        <w:t>’</w:t>
      </w:r>
      <w:r w:rsidR="002B0C6A">
        <w:rPr>
          <w:rStyle w:val="FootnoteReference"/>
          <w:rFonts w:ascii="Arial" w:hAnsi="Arial" w:cs="Arial"/>
          <w:i/>
          <w:sz w:val="24"/>
          <w:szCs w:val="24"/>
        </w:rPr>
        <w:footnoteReference w:id="28"/>
      </w:r>
      <w:r w:rsidR="002B0C6A" w:rsidRPr="00120E9E">
        <w:rPr>
          <w:rFonts w:ascii="Arial" w:hAnsi="Arial" w:cs="Arial"/>
          <w:sz w:val="24"/>
          <w:szCs w:val="24"/>
        </w:rPr>
        <w:t xml:space="preserve"> In as much as the </w:t>
      </w:r>
      <w:r w:rsidR="00B0106B" w:rsidRPr="00120E9E">
        <w:rPr>
          <w:rFonts w:ascii="Arial" w:hAnsi="Arial" w:cs="Arial"/>
          <w:sz w:val="24"/>
          <w:szCs w:val="24"/>
        </w:rPr>
        <w:t>appellant has a discretion to proceed one way or another in terms of s 51(1) in my opinion</w:t>
      </w:r>
      <w:r w:rsidR="009101B3" w:rsidRPr="00120E9E">
        <w:rPr>
          <w:rFonts w:ascii="Arial" w:hAnsi="Arial" w:cs="Arial"/>
          <w:sz w:val="24"/>
          <w:szCs w:val="24"/>
        </w:rPr>
        <w:t>,</w:t>
      </w:r>
      <w:r w:rsidR="00B0106B" w:rsidRPr="00120E9E">
        <w:rPr>
          <w:rFonts w:ascii="Arial" w:hAnsi="Arial" w:cs="Arial"/>
          <w:sz w:val="24"/>
          <w:szCs w:val="24"/>
        </w:rPr>
        <w:t xml:space="preserve"> </w:t>
      </w:r>
      <w:r w:rsidR="00B0106B" w:rsidRPr="00120E9E">
        <w:rPr>
          <w:rFonts w:ascii="Arial" w:hAnsi="Arial" w:cs="Arial"/>
          <w:sz w:val="24"/>
          <w:szCs w:val="24"/>
          <w:u w:val="single"/>
        </w:rPr>
        <w:t>it is the court hearing the application in terms of s 51 which is obliged to ensure that the proceedings before it are always fair</w:t>
      </w:r>
      <w:r w:rsidR="00B0106B" w:rsidRPr="00120E9E">
        <w:rPr>
          <w:rFonts w:ascii="Arial" w:hAnsi="Arial" w:cs="Arial"/>
          <w:sz w:val="24"/>
          <w:szCs w:val="24"/>
        </w:rPr>
        <w:t>. In this case it was the judge hearing the second application on the same property who should have queried the procedure preferred by the appellant or decline</w:t>
      </w:r>
      <w:r w:rsidR="003964B8">
        <w:rPr>
          <w:rFonts w:ascii="Arial" w:hAnsi="Arial" w:cs="Arial"/>
          <w:sz w:val="24"/>
          <w:szCs w:val="24"/>
        </w:rPr>
        <w:t>d</w:t>
      </w:r>
      <w:r w:rsidR="00B0106B" w:rsidRPr="00120E9E">
        <w:rPr>
          <w:rFonts w:ascii="Arial" w:hAnsi="Arial" w:cs="Arial"/>
          <w:sz w:val="24"/>
          <w:szCs w:val="24"/>
        </w:rPr>
        <w:t xml:space="preserve"> to grant the same without notice to the respondents. The importance of the </w:t>
      </w:r>
      <w:r w:rsidR="00B0106B" w:rsidRPr="00120E9E">
        <w:rPr>
          <w:rFonts w:ascii="Arial" w:hAnsi="Arial" w:cs="Arial"/>
          <w:i/>
          <w:sz w:val="24"/>
          <w:szCs w:val="24"/>
        </w:rPr>
        <w:t>audi alteram partem</w:t>
      </w:r>
      <w:r w:rsidR="00B0106B" w:rsidRPr="00120E9E">
        <w:rPr>
          <w:rFonts w:ascii="Arial" w:hAnsi="Arial" w:cs="Arial"/>
          <w:sz w:val="24"/>
          <w:szCs w:val="24"/>
        </w:rPr>
        <w:t xml:space="preserve"> rule, as one of the main pillars of Art 12 </w:t>
      </w:r>
      <w:r w:rsidR="00577D9D" w:rsidRPr="00120E9E">
        <w:rPr>
          <w:rFonts w:ascii="Arial" w:hAnsi="Arial" w:cs="Arial"/>
          <w:sz w:val="24"/>
          <w:szCs w:val="24"/>
        </w:rPr>
        <w:t xml:space="preserve">of our Constitution </w:t>
      </w:r>
      <w:r w:rsidR="00B0106B" w:rsidRPr="00120E9E">
        <w:rPr>
          <w:rFonts w:ascii="Arial" w:hAnsi="Arial" w:cs="Arial"/>
          <w:sz w:val="24"/>
          <w:szCs w:val="24"/>
        </w:rPr>
        <w:t>needs no repetition, it is sacred</w:t>
      </w:r>
      <w:r w:rsidR="002B74FE" w:rsidRPr="00120E9E">
        <w:rPr>
          <w:rFonts w:ascii="Arial" w:hAnsi="Arial" w:cs="Arial"/>
          <w:sz w:val="24"/>
          <w:szCs w:val="24"/>
        </w:rPr>
        <w:t>.</w:t>
      </w:r>
      <w:r w:rsidR="00B0106B">
        <w:rPr>
          <w:rStyle w:val="FootnoteReference"/>
          <w:rFonts w:ascii="Arial" w:hAnsi="Arial" w:cs="Arial"/>
          <w:sz w:val="24"/>
          <w:szCs w:val="24"/>
        </w:rPr>
        <w:footnoteReference w:id="29"/>
      </w:r>
      <w:r w:rsidR="00591209">
        <w:rPr>
          <w:rFonts w:ascii="Arial" w:hAnsi="Arial" w:cs="Arial"/>
          <w:sz w:val="24"/>
          <w:szCs w:val="24"/>
        </w:rPr>
        <w:t xml:space="preserve"> The underlining is mine.</w:t>
      </w:r>
      <w:r w:rsidR="009101B3" w:rsidRPr="00120E9E">
        <w:rPr>
          <w:rFonts w:ascii="Arial" w:hAnsi="Arial" w:cs="Arial"/>
          <w:sz w:val="24"/>
          <w:szCs w:val="24"/>
        </w:rPr>
        <w:t xml:space="preserve"> </w:t>
      </w:r>
    </w:p>
    <w:p w:rsidR="00B0106B" w:rsidRDefault="00B0106B" w:rsidP="003964B8">
      <w:pPr>
        <w:pStyle w:val="ListParagraph"/>
        <w:numPr>
          <w:ilvl w:val="0"/>
          <w:numId w:val="1"/>
        </w:numPr>
        <w:spacing w:after="0" w:line="480" w:lineRule="auto"/>
        <w:ind w:left="0" w:firstLine="0"/>
        <w:jc w:val="both"/>
        <w:rPr>
          <w:rFonts w:ascii="Arial" w:hAnsi="Arial" w:cs="Arial"/>
          <w:sz w:val="24"/>
          <w:szCs w:val="24"/>
        </w:rPr>
      </w:pPr>
      <w:r w:rsidRPr="003964B8">
        <w:rPr>
          <w:rFonts w:ascii="Arial" w:hAnsi="Arial" w:cs="Arial"/>
          <w:sz w:val="24"/>
          <w:szCs w:val="24"/>
        </w:rPr>
        <w:lastRenderedPageBreak/>
        <w:t>Against what I said above</w:t>
      </w:r>
      <w:r w:rsidR="00577D9D" w:rsidRPr="003964B8">
        <w:rPr>
          <w:rFonts w:ascii="Arial" w:hAnsi="Arial" w:cs="Arial"/>
          <w:sz w:val="24"/>
          <w:szCs w:val="24"/>
        </w:rPr>
        <w:t>,</w:t>
      </w:r>
      <w:r w:rsidRPr="003964B8">
        <w:rPr>
          <w:rFonts w:ascii="Arial" w:hAnsi="Arial" w:cs="Arial"/>
          <w:sz w:val="24"/>
          <w:szCs w:val="24"/>
        </w:rPr>
        <w:t xml:space="preserve"> I proceed to deal with the reliance </w:t>
      </w:r>
      <w:r w:rsidR="003964B8">
        <w:rPr>
          <w:rFonts w:ascii="Arial" w:hAnsi="Arial" w:cs="Arial"/>
          <w:sz w:val="24"/>
          <w:szCs w:val="24"/>
        </w:rPr>
        <w:t>by</w:t>
      </w:r>
      <w:r w:rsidRPr="003964B8">
        <w:rPr>
          <w:rFonts w:ascii="Arial" w:hAnsi="Arial" w:cs="Arial"/>
          <w:sz w:val="24"/>
          <w:szCs w:val="24"/>
        </w:rPr>
        <w:t xml:space="preserve"> the appellant on </w:t>
      </w:r>
      <w:r w:rsidR="00976492" w:rsidRPr="003964B8">
        <w:rPr>
          <w:rFonts w:ascii="Arial" w:hAnsi="Arial" w:cs="Arial"/>
          <w:i/>
          <w:sz w:val="24"/>
          <w:szCs w:val="24"/>
        </w:rPr>
        <w:t>U</w:t>
      </w:r>
      <w:r w:rsidRPr="003964B8">
        <w:rPr>
          <w:rFonts w:ascii="Arial" w:hAnsi="Arial" w:cs="Arial"/>
          <w:i/>
          <w:sz w:val="24"/>
          <w:szCs w:val="24"/>
        </w:rPr>
        <w:t>uyuni</w:t>
      </w:r>
      <w:r w:rsidR="003964B8">
        <w:rPr>
          <w:rFonts w:ascii="Arial" w:hAnsi="Arial" w:cs="Arial"/>
          <w:sz w:val="24"/>
          <w:szCs w:val="24"/>
        </w:rPr>
        <w:t xml:space="preserve">. The </w:t>
      </w:r>
      <w:r w:rsidRPr="003964B8">
        <w:rPr>
          <w:rFonts w:ascii="Arial" w:hAnsi="Arial" w:cs="Arial"/>
          <w:sz w:val="24"/>
          <w:szCs w:val="24"/>
        </w:rPr>
        <w:t xml:space="preserve">statement in para 31 appellant relies on is read out of context. It must be understood in the context of the High Court judgment which dismissed the preservation </w:t>
      </w:r>
      <w:r w:rsidR="003964B8">
        <w:rPr>
          <w:rFonts w:ascii="Arial" w:hAnsi="Arial" w:cs="Arial"/>
          <w:sz w:val="24"/>
          <w:szCs w:val="24"/>
        </w:rPr>
        <w:t xml:space="preserve">of </w:t>
      </w:r>
      <w:r w:rsidRPr="003964B8">
        <w:rPr>
          <w:rFonts w:ascii="Arial" w:hAnsi="Arial" w:cs="Arial"/>
          <w:sz w:val="24"/>
          <w:szCs w:val="24"/>
        </w:rPr>
        <w:t>property order for the reason that it was heard in camera</w:t>
      </w:r>
      <w:r w:rsidR="003964B8">
        <w:rPr>
          <w:rFonts w:ascii="Arial" w:hAnsi="Arial" w:cs="Arial"/>
          <w:sz w:val="24"/>
          <w:szCs w:val="24"/>
        </w:rPr>
        <w:t>.</w:t>
      </w:r>
      <w:r w:rsidR="009101B3">
        <w:rPr>
          <w:rStyle w:val="FootnoteReference"/>
          <w:rFonts w:ascii="Arial" w:hAnsi="Arial" w:cs="Arial"/>
          <w:sz w:val="24"/>
          <w:szCs w:val="24"/>
        </w:rPr>
        <w:footnoteReference w:id="30"/>
      </w:r>
      <w:r w:rsidRPr="003964B8">
        <w:rPr>
          <w:rFonts w:ascii="Arial" w:hAnsi="Arial" w:cs="Arial"/>
          <w:sz w:val="24"/>
          <w:szCs w:val="24"/>
        </w:rPr>
        <w:t xml:space="preserve"> </w:t>
      </w:r>
      <w:r w:rsidR="003964B8">
        <w:rPr>
          <w:rFonts w:ascii="Arial" w:hAnsi="Arial" w:cs="Arial"/>
          <w:sz w:val="24"/>
          <w:szCs w:val="24"/>
        </w:rPr>
        <w:t>I</w:t>
      </w:r>
      <w:r w:rsidRPr="003964B8">
        <w:rPr>
          <w:rFonts w:ascii="Arial" w:hAnsi="Arial" w:cs="Arial"/>
          <w:sz w:val="24"/>
          <w:szCs w:val="24"/>
        </w:rPr>
        <w:t>n fact</w:t>
      </w:r>
      <w:r w:rsidR="006D7C50" w:rsidRPr="003964B8">
        <w:rPr>
          <w:rFonts w:ascii="Arial" w:hAnsi="Arial" w:cs="Arial"/>
          <w:sz w:val="24"/>
          <w:szCs w:val="24"/>
        </w:rPr>
        <w:t>,</w:t>
      </w:r>
      <w:r w:rsidRPr="003964B8">
        <w:rPr>
          <w:rFonts w:ascii="Arial" w:hAnsi="Arial" w:cs="Arial"/>
          <w:sz w:val="24"/>
          <w:szCs w:val="24"/>
        </w:rPr>
        <w:t xml:space="preserve"> the </w:t>
      </w:r>
      <w:r w:rsidR="006D7C50" w:rsidRPr="003964B8">
        <w:rPr>
          <w:rFonts w:ascii="Arial" w:hAnsi="Arial" w:cs="Arial"/>
          <w:sz w:val="24"/>
          <w:szCs w:val="24"/>
        </w:rPr>
        <w:t>H</w:t>
      </w:r>
      <w:r w:rsidRPr="003964B8">
        <w:rPr>
          <w:rFonts w:ascii="Arial" w:hAnsi="Arial" w:cs="Arial"/>
          <w:sz w:val="24"/>
          <w:szCs w:val="24"/>
        </w:rPr>
        <w:t>igh Court muddled substance with procedural issues. The statements relied on, is an emphasis o</w:t>
      </w:r>
      <w:r w:rsidR="003964B8">
        <w:rPr>
          <w:rFonts w:ascii="Arial" w:hAnsi="Arial" w:cs="Arial"/>
          <w:sz w:val="24"/>
          <w:szCs w:val="24"/>
        </w:rPr>
        <w:t>n</w:t>
      </w:r>
      <w:r w:rsidRPr="003964B8">
        <w:rPr>
          <w:rFonts w:ascii="Arial" w:hAnsi="Arial" w:cs="Arial"/>
          <w:sz w:val="24"/>
          <w:szCs w:val="24"/>
        </w:rPr>
        <w:t xml:space="preserve"> the provisions of s 51 and the procedures leading to the forfeiture stage. Therefore </w:t>
      </w:r>
      <w:r w:rsidRPr="003964B8">
        <w:rPr>
          <w:rFonts w:ascii="Arial" w:hAnsi="Arial" w:cs="Arial"/>
          <w:i/>
          <w:sz w:val="24"/>
          <w:szCs w:val="24"/>
        </w:rPr>
        <w:t xml:space="preserve">Uuyuni </w:t>
      </w:r>
      <w:r w:rsidRPr="003964B8">
        <w:rPr>
          <w:rFonts w:ascii="Arial" w:hAnsi="Arial" w:cs="Arial"/>
          <w:sz w:val="24"/>
          <w:szCs w:val="24"/>
        </w:rPr>
        <w:t xml:space="preserve">does </w:t>
      </w:r>
      <w:r w:rsidRPr="003964B8">
        <w:rPr>
          <w:rFonts w:ascii="Arial" w:hAnsi="Arial" w:cs="Arial"/>
          <w:sz w:val="24"/>
          <w:szCs w:val="24"/>
          <w:u w:val="single"/>
        </w:rPr>
        <w:t>not</w:t>
      </w:r>
      <w:r w:rsidRPr="003964B8">
        <w:rPr>
          <w:rFonts w:ascii="Arial" w:hAnsi="Arial" w:cs="Arial"/>
          <w:sz w:val="24"/>
          <w:szCs w:val="24"/>
        </w:rPr>
        <w:t xml:space="preserve"> say </w:t>
      </w:r>
      <w:r w:rsidRPr="003964B8">
        <w:rPr>
          <w:rFonts w:ascii="Arial" w:hAnsi="Arial" w:cs="Arial"/>
          <w:sz w:val="24"/>
          <w:szCs w:val="24"/>
          <w:u w:val="single"/>
        </w:rPr>
        <w:t>all</w:t>
      </w:r>
      <w:r w:rsidRPr="003964B8">
        <w:rPr>
          <w:rFonts w:ascii="Arial" w:hAnsi="Arial" w:cs="Arial"/>
          <w:sz w:val="24"/>
          <w:szCs w:val="24"/>
        </w:rPr>
        <w:t xml:space="preserve"> </w:t>
      </w:r>
      <w:r w:rsidR="006F5B77" w:rsidRPr="003964B8">
        <w:rPr>
          <w:rFonts w:ascii="Arial" w:hAnsi="Arial" w:cs="Arial"/>
          <w:sz w:val="24"/>
          <w:szCs w:val="24"/>
        </w:rPr>
        <w:t xml:space="preserve">preservation property order applications should be made </w:t>
      </w:r>
      <w:r w:rsidR="006F5B77" w:rsidRPr="003964B8">
        <w:rPr>
          <w:rFonts w:ascii="Arial" w:hAnsi="Arial" w:cs="Arial"/>
          <w:i/>
          <w:sz w:val="24"/>
          <w:szCs w:val="24"/>
        </w:rPr>
        <w:t>ex parte</w:t>
      </w:r>
      <w:r w:rsidR="006F5B77" w:rsidRPr="003964B8">
        <w:rPr>
          <w:rFonts w:ascii="Arial" w:hAnsi="Arial" w:cs="Arial"/>
          <w:sz w:val="24"/>
          <w:szCs w:val="24"/>
        </w:rPr>
        <w:t xml:space="preserve">. This court could not have said what the appellant relies on in </w:t>
      </w:r>
      <w:r w:rsidR="006F5B77" w:rsidRPr="003964B8">
        <w:rPr>
          <w:rFonts w:ascii="Arial" w:hAnsi="Arial" w:cs="Arial"/>
          <w:i/>
          <w:sz w:val="24"/>
          <w:szCs w:val="24"/>
        </w:rPr>
        <w:t xml:space="preserve">Uuyuni </w:t>
      </w:r>
      <w:r w:rsidR="006F5B77" w:rsidRPr="003964B8">
        <w:rPr>
          <w:rFonts w:ascii="Arial" w:hAnsi="Arial" w:cs="Arial"/>
          <w:sz w:val="24"/>
          <w:szCs w:val="24"/>
        </w:rPr>
        <w:t xml:space="preserve">given the use of the word </w:t>
      </w:r>
      <w:r w:rsidR="006D7C50" w:rsidRPr="003964B8">
        <w:rPr>
          <w:rFonts w:ascii="Arial" w:hAnsi="Arial" w:cs="Arial"/>
          <w:sz w:val="24"/>
          <w:szCs w:val="24"/>
        </w:rPr>
        <w:t>‘</w:t>
      </w:r>
      <w:r w:rsidR="006F5B77" w:rsidRPr="003964B8">
        <w:rPr>
          <w:rFonts w:ascii="Arial" w:hAnsi="Arial" w:cs="Arial"/>
          <w:sz w:val="24"/>
          <w:szCs w:val="24"/>
          <w:u w:val="single"/>
        </w:rPr>
        <w:t>may</w:t>
      </w:r>
      <w:r w:rsidR="006D7C50" w:rsidRPr="003964B8">
        <w:rPr>
          <w:rFonts w:ascii="Arial" w:hAnsi="Arial" w:cs="Arial"/>
          <w:sz w:val="24"/>
          <w:szCs w:val="24"/>
          <w:u w:val="single"/>
        </w:rPr>
        <w:t>’</w:t>
      </w:r>
      <w:r w:rsidR="006F5B77" w:rsidRPr="003964B8">
        <w:rPr>
          <w:rFonts w:ascii="Arial" w:hAnsi="Arial" w:cs="Arial"/>
          <w:sz w:val="24"/>
          <w:szCs w:val="24"/>
        </w:rPr>
        <w:t xml:space="preserve"> in s 51(1). It is very clear that the use of that word bestows a discretion on the appellant to proceed on an </w:t>
      </w:r>
      <w:r w:rsidR="006F5B77" w:rsidRPr="003964B8">
        <w:rPr>
          <w:rFonts w:ascii="Arial" w:hAnsi="Arial" w:cs="Arial"/>
          <w:i/>
          <w:sz w:val="24"/>
          <w:szCs w:val="24"/>
        </w:rPr>
        <w:t>ex parte</w:t>
      </w:r>
      <w:r w:rsidR="006F5B77" w:rsidRPr="003964B8">
        <w:rPr>
          <w:rFonts w:ascii="Arial" w:hAnsi="Arial" w:cs="Arial"/>
          <w:sz w:val="24"/>
          <w:szCs w:val="24"/>
        </w:rPr>
        <w:t xml:space="preserve"> basis or by way of notice, where the court issues a </w:t>
      </w:r>
      <w:r w:rsidR="006F5B77" w:rsidRPr="00591209">
        <w:rPr>
          <w:rFonts w:ascii="Arial" w:hAnsi="Arial" w:cs="Arial"/>
          <w:i/>
          <w:sz w:val="24"/>
          <w:szCs w:val="24"/>
        </w:rPr>
        <w:t xml:space="preserve">rule </w:t>
      </w:r>
      <w:r w:rsidR="006F5B77" w:rsidRPr="003964B8">
        <w:rPr>
          <w:rFonts w:ascii="Arial" w:hAnsi="Arial" w:cs="Arial"/>
          <w:i/>
          <w:sz w:val="24"/>
          <w:szCs w:val="24"/>
        </w:rPr>
        <w:t xml:space="preserve">nisi </w:t>
      </w:r>
      <w:r w:rsidR="006F5B77" w:rsidRPr="003964B8">
        <w:rPr>
          <w:rFonts w:ascii="Arial" w:hAnsi="Arial" w:cs="Arial"/>
          <w:sz w:val="24"/>
          <w:szCs w:val="24"/>
        </w:rPr>
        <w:t xml:space="preserve">calling on the interested parties to appear on a certain fixed date to provide reasons why the rule </w:t>
      </w:r>
      <w:r w:rsidR="006F5B77" w:rsidRPr="003964B8">
        <w:rPr>
          <w:rFonts w:ascii="Arial" w:hAnsi="Arial" w:cs="Arial"/>
          <w:i/>
          <w:sz w:val="24"/>
          <w:szCs w:val="24"/>
        </w:rPr>
        <w:t xml:space="preserve">nisi </w:t>
      </w:r>
      <w:r w:rsidR="006F5B77" w:rsidRPr="003964B8">
        <w:rPr>
          <w:rFonts w:ascii="Arial" w:hAnsi="Arial" w:cs="Arial"/>
          <w:sz w:val="24"/>
          <w:szCs w:val="24"/>
        </w:rPr>
        <w:t xml:space="preserve">should not be made final and at the same time order that the </w:t>
      </w:r>
      <w:r w:rsidR="006F5B77" w:rsidRPr="00591209">
        <w:rPr>
          <w:rFonts w:ascii="Arial" w:hAnsi="Arial" w:cs="Arial"/>
          <w:i/>
          <w:sz w:val="24"/>
          <w:szCs w:val="24"/>
        </w:rPr>
        <w:t>rule</w:t>
      </w:r>
      <w:r w:rsidR="006F5B77" w:rsidRPr="003964B8">
        <w:rPr>
          <w:rFonts w:ascii="Arial" w:hAnsi="Arial" w:cs="Arial"/>
          <w:sz w:val="24"/>
          <w:szCs w:val="24"/>
        </w:rPr>
        <w:t xml:space="preserve"> </w:t>
      </w:r>
      <w:r w:rsidR="006F5B77" w:rsidRPr="003964B8">
        <w:rPr>
          <w:rFonts w:ascii="Arial" w:hAnsi="Arial" w:cs="Arial"/>
          <w:i/>
          <w:sz w:val="24"/>
          <w:szCs w:val="24"/>
        </w:rPr>
        <w:t xml:space="preserve">nisi </w:t>
      </w:r>
      <w:r w:rsidR="006F5B77" w:rsidRPr="003964B8">
        <w:rPr>
          <w:rFonts w:ascii="Arial" w:hAnsi="Arial" w:cs="Arial"/>
          <w:sz w:val="24"/>
          <w:szCs w:val="24"/>
        </w:rPr>
        <w:t>should act immediately as a temporary order, pending the return day. Section 51(1) provides ‘. . . subject to such conditions and exceptions as may be specified in the order . . .</w:t>
      </w:r>
      <w:r w:rsidR="00824D3B" w:rsidRPr="003964B8">
        <w:rPr>
          <w:rFonts w:ascii="Arial" w:hAnsi="Arial" w:cs="Arial"/>
          <w:sz w:val="24"/>
          <w:szCs w:val="24"/>
        </w:rPr>
        <w:t xml:space="preserve"> .</w:t>
      </w:r>
      <w:r w:rsidR="006F5B77" w:rsidRPr="003964B8">
        <w:rPr>
          <w:rFonts w:ascii="Arial" w:hAnsi="Arial" w:cs="Arial"/>
          <w:sz w:val="24"/>
          <w:szCs w:val="24"/>
        </w:rPr>
        <w:t>’</w:t>
      </w:r>
      <w:r w:rsidR="00824D3B" w:rsidRPr="003964B8">
        <w:rPr>
          <w:rFonts w:ascii="Arial" w:hAnsi="Arial" w:cs="Arial"/>
          <w:sz w:val="24"/>
          <w:szCs w:val="24"/>
        </w:rPr>
        <w:t>.</w:t>
      </w:r>
    </w:p>
    <w:p w:rsidR="00DF4358" w:rsidRDefault="00DF4358" w:rsidP="00DF4358">
      <w:pPr>
        <w:pStyle w:val="ListParagraph"/>
        <w:spacing w:after="0" w:line="480" w:lineRule="auto"/>
        <w:ind w:left="0"/>
        <w:jc w:val="both"/>
        <w:rPr>
          <w:rFonts w:ascii="Arial" w:hAnsi="Arial" w:cs="Arial"/>
          <w:sz w:val="24"/>
          <w:szCs w:val="24"/>
        </w:rPr>
      </w:pPr>
    </w:p>
    <w:p w:rsidR="007F7B5D" w:rsidRPr="003964B8" w:rsidRDefault="006F5B77" w:rsidP="003964B8">
      <w:pPr>
        <w:pStyle w:val="ListParagraph"/>
        <w:numPr>
          <w:ilvl w:val="0"/>
          <w:numId w:val="1"/>
        </w:numPr>
        <w:spacing w:after="0" w:line="480" w:lineRule="auto"/>
        <w:ind w:left="0" w:firstLine="0"/>
        <w:jc w:val="both"/>
        <w:rPr>
          <w:rFonts w:ascii="Arial" w:hAnsi="Arial" w:cs="Arial"/>
          <w:sz w:val="24"/>
          <w:szCs w:val="24"/>
        </w:rPr>
      </w:pPr>
      <w:r w:rsidRPr="003964B8">
        <w:rPr>
          <w:rFonts w:ascii="Arial" w:hAnsi="Arial" w:cs="Arial"/>
          <w:sz w:val="24"/>
          <w:szCs w:val="24"/>
        </w:rPr>
        <w:t xml:space="preserve">Counsel for the appellant concedes in </w:t>
      </w:r>
      <w:r w:rsidR="004B0C25" w:rsidRPr="003964B8">
        <w:rPr>
          <w:rFonts w:ascii="Arial" w:hAnsi="Arial" w:cs="Arial"/>
          <w:sz w:val="24"/>
          <w:szCs w:val="24"/>
        </w:rPr>
        <w:t xml:space="preserve">as </w:t>
      </w:r>
      <w:r w:rsidRPr="003964B8">
        <w:rPr>
          <w:rFonts w:ascii="Arial" w:hAnsi="Arial" w:cs="Arial"/>
          <w:sz w:val="24"/>
          <w:szCs w:val="24"/>
        </w:rPr>
        <w:t xml:space="preserve">many words </w:t>
      </w:r>
      <w:r w:rsidR="00824D3B" w:rsidRPr="003964B8">
        <w:rPr>
          <w:rFonts w:ascii="Arial" w:hAnsi="Arial" w:cs="Arial"/>
          <w:sz w:val="24"/>
          <w:szCs w:val="24"/>
        </w:rPr>
        <w:t xml:space="preserve">to the interpretation above when in para 75 of his heads states that, ‘it is correct that the court </w:t>
      </w:r>
      <w:r w:rsidR="00824D3B" w:rsidRPr="00B303CA">
        <w:rPr>
          <w:rFonts w:ascii="Arial" w:hAnsi="Arial" w:cs="Arial"/>
          <w:sz w:val="24"/>
          <w:szCs w:val="24"/>
        </w:rPr>
        <w:t>a quo</w:t>
      </w:r>
      <w:r w:rsidR="00824D3B" w:rsidRPr="003964B8">
        <w:rPr>
          <w:rFonts w:ascii="Arial" w:hAnsi="Arial" w:cs="Arial"/>
          <w:sz w:val="24"/>
          <w:szCs w:val="24"/>
        </w:rPr>
        <w:t xml:space="preserve"> can issue a rule </w:t>
      </w:r>
      <w:r w:rsidR="00824D3B" w:rsidRPr="003964B8">
        <w:rPr>
          <w:rFonts w:ascii="Arial" w:hAnsi="Arial" w:cs="Arial"/>
          <w:i/>
          <w:sz w:val="24"/>
          <w:szCs w:val="24"/>
        </w:rPr>
        <w:t>nisi</w:t>
      </w:r>
      <w:r w:rsidR="00824D3B" w:rsidRPr="003964B8">
        <w:rPr>
          <w:rFonts w:ascii="Arial" w:hAnsi="Arial" w:cs="Arial"/>
          <w:sz w:val="24"/>
          <w:szCs w:val="24"/>
        </w:rPr>
        <w:t xml:space="preserve"> especially as the legislature provided for same as per the circumstance provided for in s 91(4) POCA. The issuing of a rule </w:t>
      </w:r>
      <w:r w:rsidR="00824D3B" w:rsidRPr="003964B8">
        <w:rPr>
          <w:rFonts w:ascii="Arial" w:hAnsi="Arial" w:cs="Arial"/>
          <w:i/>
          <w:sz w:val="24"/>
          <w:szCs w:val="24"/>
        </w:rPr>
        <w:t xml:space="preserve">nisi </w:t>
      </w:r>
      <w:r w:rsidR="00824D3B" w:rsidRPr="003964B8">
        <w:rPr>
          <w:rFonts w:ascii="Arial" w:hAnsi="Arial" w:cs="Arial"/>
          <w:sz w:val="24"/>
          <w:szCs w:val="24"/>
        </w:rPr>
        <w:t xml:space="preserve">is a discretion of the court hearing the </w:t>
      </w:r>
      <w:r w:rsidR="00824D3B" w:rsidRPr="003964B8">
        <w:rPr>
          <w:rFonts w:ascii="Arial" w:hAnsi="Arial" w:cs="Arial"/>
          <w:i/>
          <w:sz w:val="24"/>
          <w:szCs w:val="24"/>
        </w:rPr>
        <w:t>ex parte</w:t>
      </w:r>
      <w:r w:rsidR="003964B8">
        <w:rPr>
          <w:rFonts w:ascii="Arial" w:hAnsi="Arial" w:cs="Arial"/>
          <w:sz w:val="24"/>
          <w:szCs w:val="24"/>
        </w:rPr>
        <w:t>’</w:t>
      </w:r>
      <w:r w:rsidR="00DF4358">
        <w:rPr>
          <w:rFonts w:ascii="Arial" w:hAnsi="Arial" w:cs="Arial"/>
          <w:sz w:val="24"/>
          <w:szCs w:val="24"/>
        </w:rPr>
        <w:t xml:space="preserve"> sic</w:t>
      </w:r>
      <w:r w:rsidR="00824D3B" w:rsidRPr="003964B8">
        <w:rPr>
          <w:rFonts w:ascii="Arial" w:hAnsi="Arial" w:cs="Arial"/>
          <w:sz w:val="24"/>
          <w:szCs w:val="24"/>
        </w:rPr>
        <w:t>. In para 27 of the appellant’s affidavit she submits that only ‘in unusual circumstance</w:t>
      </w:r>
      <w:r w:rsidR="006D7C50" w:rsidRPr="003964B8">
        <w:rPr>
          <w:rFonts w:ascii="Arial" w:hAnsi="Arial" w:cs="Arial"/>
          <w:sz w:val="24"/>
          <w:szCs w:val="24"/>
        </w:rPr>
        <w:t>s</w:t>
      </w:r>
      <w:r w:rsidR="00824D3B" w:rsidRPr="003964B8">
        <w:rPr>
          <w:rFonts w:ascii="Arial" w:hAnsi="Arial" w:cs="Arial"/>
          <w:sz w:val="24"/>
          <w:szCs w:val="24"/>
        </w:rPr>
        <w:t xml:space="preserve"> that an </w:t>
      </w:r>
      <w:r w:rsidR="00824D3B" w:rsidRPr="003964B8">
        <w:rPr>
          <w:rFonts w:ascii="Arial" w:hAnsi="Arial" w:cs="Arial"/>
          <w:i/>
          <w:sz w:val="24"/>
          <w:szCs w:val="24"/>
        </w:rPr>
        <w:t xml:space="preserve">ex parte </w:t>
      </w:r>
      <w:r w:rsidR="00824D3B" w:rsidRPr="003964B8">
        <w:rPr>
          <w:rFonts w:ascii="Arial" w:hAnsi="Arial" w:cs="Arial"/>
          <w:sz w:val="24"/>
          <w:szCs w:val="24"/>
        </w:rPr>
        <w:t>application</w:t>
      </w:r>
      <w:r w:rsidR="006D7C50" w:rsidRPr="003964B8">
        <w:rPr>
          <w:rFonts w:ascii="Arial" w:hAnsi="Arial" w:cs="Arial"/>
          <w:sz w:val="24"/>
          <w:szCs w:val="24"/>
        </w:rPr>
        <w:t xml:space="preserve"> for a </w:t>
      </w:r>
      <w:r w:rsidR="006D7C50" w:rsidRPr="003964B8">
        <w:rPr>
          <w:rFonts w:ascii="Arial" w:hAnsi="Arial" w:cs="Arial"/>
          <w:sz w:val="24"/>
          <w:szCs w:val="24"/>
        </w:rPr>
        <w:lastRenderedPageBreak/>
        <w:t>preservation order</w:t>
      </w:r>
      <w:r w:rsidR="00824D3B" w:rsidRPr="003964B8">
        <w:rPr>
          <w:rFonts w:ascii="Arial" w:hAnsi="Arial" w:cs="Arial"/>
          <w:sz w:val="24"/>
          <w:szCs w:val="24"/>
        </w:rPr>
        <w:t xml:space="preserve"> will be inappropriate</w:t>
      </w:r>
      <w:r w:rsidR="00591209">
        <w:rPr>
          <w:rFonts w:ascii="Arial" w:hAnsi="Arial" w:cs="Arial"/>
          <w:sz w:val="24"/>
          <w:szCs w:val="24"/>
        </w:rPr>
        <w:t>’</w:t>
      </w:r>
      <w:r w:rsidR="006D7C50" w:rsidRPr="003964B8">
        <w:rPr>
          <w:rFonts w:ascii="Arial" w:hAnsi="Arial" w:cs="Arial"/>
          <w:sz w:val="24"/>
          <w:szCs w:val="24"/>
        </w:rPr>
        <w:t>.</w:t>
      </w:r>
      <w:r w:rsidR="00824D3B" w:rsidRPr="003964B8">
        <w:rPr>
          <w:rFonts w:ascii="Arial" w:hAnsi="Arial" w:cs="Arial"/>
          <w:sz w:val="24"/>
          <w:szCs w:val="24"/>
        </w:rPr>
        <w:t xml:space="preserve"> As the court a quo</w:t>
      </w:r>
      <w:r w:rsidR="00824D3B" w:rsidRPr="003964B8">
        <w:rPr>
          <w:rFonts w:ascii="Arial" w:hAnsi="Arial" w:cs="Arial"/>
          <w:i/>
          <w:sz w:val="24"/>
          <w:szCs w:val="24"/>
        </w:rPr>
        <w:t xml:space="preserve"> </w:t>
      </w:r>
      <w:r w:rsidR="00824D3B" w:rsidRPr="003964B8">
        <w:rPr>
          <w:rFonts w:ascii="Arial" w:hAnsi="Arial" w:cs="Arial"/>
          <w:sz w:val="24"/>
          <w:szCs w:val="24"/>
        </w:rPr>
        <w:t>correctly observed</w:t>
      </w:r>
      <w:r w:rsidR="00E16714" w:rsidRPr="003964B8">
        <w:rPr>
          <w:rFonts w:ascii="Arial" w:hAnsi="Arial" w:cs="Arial"/>
          <w:sz w:val="24"/>
          <w:szCs w:val="24"/>
        </w:rPr>
        <w:t>,</w:t>
      </w:r>
      <w:r w:rsidR="00824D3B" w:rsidRPr="003964B8">
        <w:rPr>
          <w:rFonts w:ascii="Arial" w:hAnsi="Arial" w:cs="Arial"/>
          <w:sz w:val="24"/>
          <w:szCs w:val="24"/>
        </w:rPr>
        <w:t xml:space="preserve"> that submission </w:t>
      </w:r>
      <w:r w:rsidR="00E16714" w:rsidRPr="003964B8">
        <w:rPr>
          <w:rFonts w:ascii="Arial" w:hAnsi="Arial" w:cs="Arial"/>
          <w:sz w:val="24"/>
          <w:szCs w:val="24"/>
        </w:rPr>
        <w:t>f</w:t>
      </w:r>
      <w:r w:rsidR="00824D3B" w:rsidRPr="003964B8">
        <w:rPr>
          <w:rFonts w:ascii="Arial" w:hAnsi="Arial" w:cs="Arial"/>
          <w:sz w:val="24"/>
          <w:szCs w:val="24"/>
        </w:rPr>
        <w:t xml:space="preserve">lies in the face of the contention that all cases of preservation of property orders must be brought </w:t>
      </w:r>
      <w:r w:rsidR="00824D3B" w:rsidRPr="003964B8">
        <w:rPr>
          <w:rFonts w:ascii="Arial" w:hAnsi="Arial" w:cs="Arial"/>
          <w:i/>
          <w:sz w:val="24"/>
          <w:szCs w:val="24"/>
        </w:rPr>
        <w:t>ex parte</w:t>
      </w:r>
      <w:r w:rsidR="00824D3B" w:rsidRPr="003964B8">
        <w:rPr>
          <w:rFonts w:ascii="Arial" w:hAnsi="Arial" w:cs="Arial"/>
          <w:sz w:val="24"/>
          <w:szCs w:val="24"/>
        </w:rPr>
        <w:t>. The concession by counsel demonstrate</w:t>
      </w:r>
      <w:r w:rsidR="006D7C50" w:rsidRPr="003964B8">
        <w:rPr>
          <w:rFonts w:ascii="Arial" w:hAnsi="Arial" w:cs="Arial"/>
          <w:sz w:val="24"/>
          <w:szCs w:val="24"/>
        </w:rPr>
        <w:t>s</w:t>
      </w:r>
      <w:r w:rsidR="00824D3B" w:rsidRPr="003964B8">
        <w:rPr>
          <w:rFonts w:ascii="Arial" w:hAnsi="Arial" w:cs="Arial"/>
          <w:sz w:val="24"/>
          <w:szCs w:val="24"/>
        </w:rPr>
        <w:t xml:space="preserve"> that the legislature had intended that the appellant</w:t>
      </w:r>
      <w:r w:rsidR="00EF2CE0" w:rsidRPr="003964B8">
        <w:rPr>
          <w:rFonts w:ascii="Arial" w:hAnsi="Arial" w:cs="Arial"/>
          <w:sz w:val="24"/>
          <w:szCs w:val="24"/>
        </w:rPr>
        <w:t xml:space="preserve"> could proceed in applications under s 51 one way or another and the reliance on statements from </w:t>
      </w:r>
      <w:r w:rsidR="00EF2CE0" w:rsidRPr="003964B8">
        <w:rPr>
          <w:rFonts w:ascii="Arial" w:hAnsi="Arial" w:cs="Arial"/>
          <w:i/>
          <w:sz w:val="24"/>
          <w:szCs w:val="24"/>
        </w:rPr>
        <w:t>Uuyuni</w:t>
      </w:r>
      <w:r w:rsidR="00EF2CE0" w:rsidRPr="003964B8">
        <w:rPr>
          <w:rFonts w:ascii="Arial" w:hAnsi="Arial" w:cs="Arial"/>
          <w:sz w:val="24"/>
          <w:szCs w:val="24"/>
        </w:rPr>
        <w:t xml:space="preserve"> is without merit.</w:t>
      </w:r>
      <w:r w:rsidR="007F7B5D" w:rsidRPr="003964B8">
        <w:rPr>
          <w:rFonts w:ascii="Arial" w:hAnsi="Arial" w:cs="Arial"/>
          <w:sz w:val="24"/>
          <w:szCs w:val="24"/>
        </w:rPr>
        <w:t xml:space="preserve"> In the </w:t>
      </w:r>
      <w:r w:rsidR="007F7B5D" w:rsidRPr="003964B8">
        <w:rPr>
          <w:rFonts w:ascii="Arial" w:hAnsi="Arial" w:cs="Arial"/>
          <w:i/>
          <w:sz w:val="24"/>
          <w:szCs w:val="24"/>
        </w:rPr>
        <w:t>Braun</w:t>
      </w:r>
      <w:r w:rsidR="007F7B5D" w:rsidRPr="003964B8">
        <w:rPr>
          <w:rFonts w:ascii="Arial" w:hAnsi="Arial" w:cs="Arial"/>
          <w:sz w:val="24"/>
          <w:szCs w:val="24"/>
        </w:rPr>
        <w:t xml:space="preserve"> matter above, it was stated:</w:t>
      </w:r>
    </w:p>
    <w:p w:rsidR="00E606AD" w:rsidRPr="00E606AD" w:rsidRDefault="00E606AD" w:rsidP="00E606AD">
      <w:pPr>
        <w:pStyle w:val="ListParagraph"/>
        <w:spacing w:after="0" w:line="480" w:lineRule="auto"/>
        <w:jc w:val="both"/>
        <w:rPr>
          <w:rFonts w:ascii="Arial" w:hAnsi="Arial" w:cs="Arial"/>
          <w:sz w:val="24"/>
          <w:szCs w:val="24"/>
        </w:rPr>
      </w:pPr>
    </w:p>
    <w:p w:rsidR="007F7B5D" w:rsidRDefault="007F7B5D" w:rsidP="00591209">
      <w:pPr>
        <w:tabs>
          <w:tab w:val="left" w:pos="851"/>
        </w:tabs>
        <w:spacing w:after="0" w:line="360" w:lineRule="auto"/>
        <w:ind w:left="720"/>
        <w:jc w:val="both"/>
        <w:rPr>
          <w:rFonts w:ascii="Arial" w:hAnsi="Arial" w:cs="Arial"/>
          <w:sz w:val="24"/>
          <w:szCs w:val="24"/>
        </w:rPr>
      </w:pPr>
      <w:r w:rsidRPr="006675D1">
        <w:rPr>
          <w:rFonts w:ascii="Arial" w:hAnsi="Arial" w:cs="Arial"/>
          <w:sz w:val="24"/>
          <w:szCs w:val="24"/>
        </w:rPr>
        <w:t xml:space="preserve">‘[21] It is clear from the wording of s 38 that it is merely an empowering provision which empowers the applicant to apply </w:t>
      </w:r>
      <w:r w:rsidRPr="006675D1">
        <w:rPr>
          <w:rFonts w:ascii="Arial" w:hAnsi="Arial" w:cs="Arial"/>
          <w:i/>
          <w:sz w:val="24"/>
          <w:szCs w:val="24"/>
        </w:rPr>
        <w:t xml:space="preserve">ex parte </w:t>
      </w:r>
      <w:r w:rsidRPr="006675D1">
        <w:rPr>
          <w:rFonts w:ascii="Arial" w:hAnsi="Arial" w:cs="Arial"/>
          <w:sz w:val="24"/>
          <w:szCs w:val="24"/>
        </w:rPr>
        <w:t xml:space="preserve">if  circumstances so dictate. The </w:t>
      </w:r>
      <w:r w:rsidRPr="006675D1">
        <w:rPr>
          <w:rFonts w:ascii="Arial" w:hAnsi="Arial" w:cs="Arial"/>
          <w:i/>
          <w:sz w:val="24"/>
          <w:szCs w:val="24"/>
        </w:rPr>
        <w:t xml:space="preserve">ex parte </w:t>
      </w:r>
      <w:r w:rsidRPr="006675D1">
        <w:rPr>
          <w:rFonts w:ascii="Arial" w:hAnsi="Arial" w:cs="Arial"/>
          <w:sz w:val="24"/>
          <w:szCs w:val="24"/>
        </w:rPr>
        <w:t>procedure is not one that will, in all cases, or invariably, be invoked. It should only be invoked where there is some good cause or reason for the procedure, such as genuine urgency or when the giving of notice would defeat the very object for which the order is sought.</w:t>
      </w:r>
      <w:r w:rsidR="006675D1" w:rsidRPr="006675D1">
        <w:rPr>
          <w:rFonts w:ascii="Arial" w:hAnsi="Arial" w:cs="Arial"/>
          <w:sz w:val="24"/>
          <w:szCs w:val="24"/>
        </w:rPr>
        <w:t>’</w:t>
      </w:r>
      <w:r>
        <w:rPr>
          <w:rStyle w:val="FootnoteReference"/>
          <w:rFonts w:ascii="Arial" w:hAnsi="Arial" w:cs="Arial"/>
          <w:sz w:val="24"/>
          <w:szCs w:val="24"/>
        </w:rPr>
        <w:footnoteReference w:id="31"/>
      </w:r>
    </w:p>
    <w:p w:rsidR="00B000EF" w:rsidRPr="00AB14CF" w:rsidRDefault="00B000EF" w:rsidP="00591209">
      <w:pPr>
        <w:pStyle w:val="ListParagraph"/>
        <w:spacing w:after="0" w:line="480" w:lineRule="auto"/>
        <w:jc w:val="both"/>
        <w:rPr>
          <w:rFonts w:ascii="Arial" w:hAnsi="Arial" w:cs="Arial"/>
          <w:sz w:val="24"/>
          <w:szCs w:val="24"/>
        </w:rPr>
      </w:pPr>
    </w:p>
    <w:p w:rsidR="00EF2CE0" w:rsidRPr="00B000EF" w:rsidRDefault="00EF2CE0" w:rsidP="00B000EF">
      <w:pPr>
        <w:pStyle w:val="ListParagraph"/>
        <w:numPr>
          <w:ilvl w:val="0"/>
          <w:numId w:val="1"/>
        </w:numPr>
        <w:tabs>
          <w:tab w:val="left" w:pos="851"/>
        </w:tabs>
        <w:spacing w:after="0" w:line="480" w:lineRule="auto"/>
        <w:ind w:left="0" w:firstLine="0"/>
        <w:jc w:val="both"/>
        <w:rPr>
          <w:rFonts w:ascii="Arial" w:hAnsi="Arial" w:cs="Arial"/>
          <w:sz w:val="24"/>
          <w:szCs w:val="24"/>
        </w:rPr>
      </w:pPr>
      <w:r w:rsidRPr="00B000EF">
        <w:rPr>
          <w:rFonts w:ascii="Arial" w:hAnsi="Arial" w:cs="Arial"/>
          <w:sz w:val="24"/>
          <w:szCs w:val="24"/>
        </w:rPr>
        <w:t xml:space="preserve">Having clarified the misunderstandings that might have been caused by </w:t>
      </w:r>
      <w:r w:rsidRPr="00B000EF">
        <w:rPr>
          <w:rFonts w:ascii="Arial" w:hAnsi="Arial" w:cs="Arial"/>
          <w:i/>
          <w:sz w:val="24"/>
          <w:szCs w:val="24"/>
        </w:rPr>
        <w:t xml:space="preserve">Uuyuni </w:t>
      </w:r>
      <w:r w:rsidRPr="00B000EF">
        <w:rPr>
          <w:rFonts w:ascii="Arial" w:hAnsi="Arial" w:cs="Arial"/>
          <w:sz w:val="24"/>
          <w:szCs w:val="24"/>
        </w:rPr>
        <w:t>I reiterate the following:</w:t>
      </w:r>
    </w:p>
    <w:p w:rsidR="00EF2CE0" w:rsidRPr="00EF2CE0" w:rsidRDefault="00EF2CE0" w:rsidP="00CA2CBB">
      <w:pPr>
        <w:pStyle w:val="ListParagraph"/>
        <w:spacing w:after="0" w:line="480" w:lineRule="auto"/>
        <w:jc w:val="both"/>
        <w:rPr>
          <w:rFonts w:ascii="Arial" w:hAnsi="Arial" w:cs="Arial"/>
          <w:sz w:val="24"/>
          <w:szCs w:val="24"/>
        </w:rPr>
      </w:pPr>
    </w:p>
    <w:p w:rsidR="006675D1" w:rsidRDefault="006675D1" w:rsidP="000D004C">
      <w:pPr>
        <w:pStyle w:val="ListParagraph"/>
        <w:numPr>
          <w:ilvl w:val="0"/>
          <w:numId w:val="10"/>
        </w:numPr>
        <w:tabs>
          <w:tab w:val="left" w:pos="851"/>
        </w:tabs>
        <w:spacing w:after="0" w:line="480" w:lineRule="auto"/>
        <w:ind w:hanging="724"/>
        <w:jc w:val="both"/>
        <w:rPr>
          <w:rFonts w:ascii="Arial" w:hAnsi="Arial" w:cs="Arial"/>
          <w:sz w:val="24"/>
          <w:szCs w:val="24"/>
        </w:rPr>
      </w:pPr>
      <w:r>
        <w:rPr>
          <w:rFonts w:ascii="Arial" w:hAnsi="Arial" w:cs="Arial"/>
          <w:sz w:val="24"/>
          <w:szCs w:val="24"/>
        </w:rPr>
        <w:t>It is now settled law that the High Court is authorised to grant preservation orders under s 51 without requiring that notice of the application be given to any person and if satisfied that the requisites set out in s 51(2)(</w:t>
      </w:r>
      <w:r w:rsidRPr="00EF2CE0">
        <w:rPr>
          <w:rFonts w:ascii="Arial" w:hAnsi="Arial" w:cs="Arial"/>
          <w:i/>
          <w:sz w:val="24"/>
          <w:szCs w:val="24"/>
        </w:rPr>
        <w:t>a</w:t>
      </w:r>
      <w:r>
        <w:rPr>
          <w:rFonts w:ascii="Arial" w:hAnsi="Arial" w:cs="Arial"/>
          <w:sz w:val="24"/>
          <w:szCs w:val="24"/>
        </w:rPr>
        <w:t>) and (</w:t>
      </w:r>
      <w:r w:rsidRPr="00EF2CE0">
        <w:rPr>
          <w:rFonts w:ascii="Arial" w:hAnsi="Arial" w:cs="Arial"/>
          <w:i/>
          <w:sz w:val="24"/>
          <w:szCs w:val="24"/>
        </w:rPr>
        <w:t>b</w:t>
      </w:r>
      <w:r>
        <w:rPr>
          <w:rFonts w:ascii="Arial" w:hAnsi="Arial" w:cs="Arial"/>
          <w:sz w:val="24"/>
          <w:szCs w:val="24"/>
        </w:rPr>
        <w:t>) have been met must grant a preservation order.</w:t>
      </w:r>
    </w:p>
    <w:p w:rsidR="00A076F5" w:rsidRDefault="00A076F5" w:rsidP="00A076F5">
      <w:pPr>
        <w:pStyle w:val="ListParagraph"/>
        <w:tabs>
          <w:tab w:val="left" w:pos="851"/>
        </w:tabs>
        <w:spacing w:after="0" w:line="480" w:lineRule="auto"/>
        <w:ind w:left="1575"/>
        <w:jc w:val="both"/>
        <w:rPr>
          <w:rFonts w:ascii="Arial" w:hAnsi="Arial" w:cs="Arial"/>
          <w:sz w:val="24"/>
          <w:szCs w:val="24"/>
        </w:rPr>
      </w:pPr>
    </w:p>
    <w:p w:rsidR="00EF2CE0" w:rsidRDefault="00EF2CE0" w:rsidP="000D004C">
      <w:pPr>
        <w:pStyle w:val="ListParagraph"/>
        <w:numPr>
          <w:ilvl w:val="0"/>
          <w:numId w:val="10"/>
        </w:numPr>
        <w:tabs>
          <w:tab w:val="left" w:pos="851"/>
        </w:tabs>
        <w:spacing w:after="0" w:line="480" w:lineRule="auto"/>
        <w:ind w:hanging="724"/>
        <w:jc w:val="both"/>
        <w:rPr>
          <w:rFonts w:ascii="Arial" w:hAnsi="Arial" w:cs="Arial"/>
          <w:sz w:val="24"/>
          <w:szCs w:val="24"/>
        </w:rPr>
      </w:pPr>
      <w:r>
        <w:rPr>
          <w:rFonts w:ascii="Arial" w:hAnsi="Arial" w:cs="Arial"/>
          <w:sz w:val="24"/>
          <w:szCs w:val="24"/>
        </w:rPr>
        <w:lastRenderedPageBreak/>
        <w:t>This does not preclude</w:t>
      </w:r>
      <w:r w:rsidR="0095245A">
        <w:rPr>
          <w:rFonts w:ascii="Arial" w:hAnsi="Arial" w:cs="Arial"/>
          <w:sz w:val="24"/>
          <w:szCs w:val="24"/>
        </w:rPr>
        <w:t xml:space="preserve"> the appellant from giving notice of such an application in appropriate instances to another party. The appellant is not obliged to bring an application under s 51 on an </w:t>
      </w:r>
      <w:r w:rsidR="0095245A">
        <w:rPr>
          <w:rFonts w:ascii="Arial" w:hAnsi="Arial" w:cs="Arial"/>
          <w:i/>
          <w:sz w:val="24"/>
          <w:szCs w:val="24"/>
        </w:rPr>
        <w:t xml:space="preserve">ex parte </w:t>
      </w:r>
      <w:r w:rsidR="0095245A">
        <w:rPr>
          <w:rFonts w:ascii="Arial" w:hAnsi="Arial" w:cs="Arial"/>
          <w:sz w:val="24"/>
          <w:szCs w:val="24"/>
        </w:rPr>
        <w:t>basis.</w:t>
      </w:r>
    </w:p>
    <w:p w:rsidR="0095245A" w:rsidRPr="0095245A" w:rsidRDefault="0095245A" w:rsidP="00B42F4F">
      <w:pPr>
        <w:pStyle w:val="ListParagraph"/>
        <w:spacing w:after="0" w:line="480" w:lineRule="auto"/>
        <w:jc w:val="both"/>
        <w:rPr>
          <w:rFonts w:ascii="Arial" w:hAnsi="Arial" w:cs="Arial"/>
          <w:sz w:val="24"/>
          <w:szCs w:val="24"/>
        </w:rPr>
      </w:pPr>
    </w:p>
    <w:p w:rsidR="0095245A" w:rsidRDefault="0095245A" w:rsidP="000D004C">
      <w:pPr>
        <w:pStyle w:val="ListParagraph"/>
        <w:numPr>
          <w:ilvl w:val="0"/>
          <w:numId w:val="10"/>
        </w:numPr>
        <w:tabs>
          <w:tab w:val="left" w:pos="851"/>
        </w:tabs>
        <w:spacing w:after="0" w:line="480" w:lineRule="auto"/>
        <w:ind w:hanging="724"/>
        <w:jc w:val="both"/>
        <w:rPr>
          <w:rFonts w:ascii="Arial" w:hAnsi="Arial" w:cs="Arial"/>
          <w:sz w:val="24"/>
          <w:szCs w:val="24"/>
        </w:rPr>
      </w:pPr>
      <w:r>
        <w:rPr>
          <w:rFonts w:ascii="Arial" w:hAnsi="Arial" w:cs="Arial"/>
          <w:sz w:val="24"/>
          <w:szCs w:val="24"/>
        </w:rPr>
        <w:t xml:space="preserve">The High Court is not precluded from granting a rule </w:t>
      </w:r>
      <w:r>
        <w:rPr>
          <w:rFonts w:ascii="Arial" w:hAnsi="Arial" w:cs="Arial"/>
          <w:i/>
          <w:sz w:val="24"/>
          <w:szCs w:val="24"/>
        </w:rPr>
        <w:t xml:space="preserve">nisi </w:t>
      </w:r>
      <w:r>
        <w:rPr>
          <w:rFonts w:ascii="Arial" w:hAnsi="Arial" w:cs="Arial"/>
          <w:sz w:val="24"/>
          <w:szCs w:val="24"/>
        </w:rPr>
        <w:t>in preservation</w:t>
      </w:r>
      <w:r w:rsidR="0024195A">
        <w:rPr>
          <w:rFonts w:ascii="Arial" w:hAnsi="Arial" w:cs="Arial"/>
          <w:sz w:val="24"/>
          <w:szCs w:val="24"/>
        </w:rPr>
        <w:t xml:space="preserve"> of</w:t>
      </w:r>
      <w:r>
        <w:rPr>
          <w:rFonts w:ascii="Arial" w:hAnsi="Arial" w:cs="Arial"/>
          <w:sz w:val="24"/>
          <w:szCs w:val="24"/>
        </w:rPr>
        <w:t xml:space="preserve"> property orders under s 51 or there is in principle no procedural bar to a High Court hearing an application </w:t>
      </w:r>
      <w:r>
        <w:rPr>
          <w:rFonts w:ascii="Arial" w:hAnsi="Arial" w:cs="Arial"/>
          <w:i/>
          <w:sz w:val="24"/>
          <w:szCs w:val="24"/>
        </w:rPr>
        <w:t xml:space="preserve">ex parte </w:t>
      </w:r>
      <w:r>
        <w:rPr>
          <w:rFonts w:ascii="Arial" w:hAnsi="Arial" w:cs="Arial"/>
          <w:sz w:val="24"/>
          <w:szCs w:val="24"/>
        </w:rPr>
        <w:t xml:space="preserve">and in camera under s 51 of the Act and granting a </w:t>
      </w:r>
      <w:r w:rsidRPr="00591209">
        <w:rPr>
          <w:rFonts w:ascii="Arial" w:hAnsi="Arial" w:cs="Arial"/>
          <w:i/>
          <w:sz w:val="24"/>
          <w:szCs w:val="24"/>
        </w:rPr>
        <w:t xml:space="preserve">rule </w:t>
      </w:r>
      <w:r>
        <w:rPr>
          <w:rFonts w:ascii="Arial" w:hAnsi="Arial" w:cs="Arial"/>
          <w:i/>
          <w:sz w:val="24"/>
          <w:szCs w:val="24"/>
        </w:rPr>
        <w:t>nisi</w:t>
      </w:r>
      <w:r>
        <w:rPr>
          <w:rFonts w:ascii="Arial" w:hAnsi="Arial" w:cs="Arial"/>
          <w:sz w:val="24"/>
          <w:szCs w:val="24"/>
        </w:rPr>
        <w:t>, together with an interim preservation and seizure order, pending the return day of the rule</w:t>
      </w:r>
      <w:r w:rsidR="00B42F4F">
        <w:rPr>
          <w:rFonts w:ascii="Arial" w:hAnsi="Arial" w:cs="Arial"/>
          <w:sz w:val="24"/>
          <w:szCs w:val="24"/>
        </w:rPr>
        <w:t>.</w:t>
      </w:r>
      <w:r>
        <w:rPr>
          <w:rStyle w:val="FootnoteReference"/>
          <w:rFonts w:ascii="Arial" w:hAnsi="Arial" w:cs="Arial"/>
          <w:sz w:val="24"/>
          <w:szCs w:val="24"/>
        </w:rPr>
        <w:footnoteReference w:id="32"/>
      </w:r>
      <w:r>
        <w:rPr>
          <w:rFonts w:ascii="Arial" w:hAnsi="Arial" w:cs="Arial"/>
          <w:sz w:val="24"/>
          <w:szCs w:val="24"/>
        </w:rPr>
        <w:t xml:space="preserve"> In fact it is preferable for the High Court to grant a rule </w:t>
      </w:r>
      <w:r>
        <w:rPr>
          <w:rFonts w:ascii="Arial" w:hAnsi="Arial" w:cs="Arial"/>
          <w:i/>
          <w:sz w:val="24"/>
          <w:szCs w:val="24"/>
        </w:rPr>
        <w:t xml:space="preserve">nisi </w:t>
      </w:r>
      <w:r>
        <w:rPr>
          <w:rFonts w:ascii="Arial" w:hAnsi="Arial" w:cs="Arial"/>
          <w:sz w:val="24"/>
          <w:szCs w:val="24"/>
        </w:rPr>
        <w:t xml:space="preserve">when an application is brought </w:t>
      </w:r>
      <w:r>
        <w:rPr>
          <w:rFonts w:ascii="Arial" w:hAnsi="Arial" w:cs="Arial"/>
          <w:i/>
          <w:sz w:val="24"/>
          <w:szCs w:val="24"/>
        </w:rPr>
        <w:t xml:space="preserve">ex parte </w:t>
      </w:r>
      <w:r>
        <w:rPr>
          <w:rFonts w:ascii="Arial" w:hAnsi="Arial" w:cs="Arial"/>
          <w:sz w:val="24"/>
          <w:szCs w:val="24"/>
        </w:rPr>
        <w:t xml:space="preserve">so as to comply with the sacred </w:t>
      </w:r>
      <w:r w:rsidRPr="0095245A">
        <w:rPr>
          <w:rFonts w:ascii="Arial" w:hAnsi="Arial" w:cs="Arial"/>
          <w:i/>
          <w:sz w:val="24"/>
          <w:szCs w:val="24"/>
        </w:rPr>
        <w:t>audi alteram partem</w:t>
      </w:r>
      <w:r>
        <w:rPr>
          <w:rFonts w:ascii="Arial" w:hAnsi="Arial" w:cs="Arial"/>
          <w:sz w:val="24"/>
          <w:szCs w:val="24"/>
        </w:rPr>
        <w:t xml:space="preserve"> rule, one of the main pillars of Art 12</w:t>
      </w:r>
      <w:r w:rsidR="006670E2">
        <w:rPr>
          <w:rFonts w:ascii="Arial" w:hAnsi="Arial" w:cs="Arial"/>
          <w:sz w:val="24"/>
          <w:szCs w:val="24"/>
        </w:rPr>
        <w:t>:</w:t>
      </w:r>
      <w:r>
        <w:rPr>
          <w:rFonts w:ascii="Arial" w:hAnsi="Arial" w:cs="Arial"/>
          <w:sz w:val="24"/>
          <w:szCs w:val="24"/>
        </w:rPr>
        <w:t xml:space="preserve"> ‘The right to a fair hearing before a court lies at the heart of the rule of law. A fair hearing before a court as a prerequisite to an order being made against anyone is fundamental to a just and credible legal order</w:t>
      </w:r>
      <w:r w:rsidR="006D7C50">
        <w:rPr>
          <w:rFonts w:ascii="Arial" w:hAnsi="Arial" w:cs="Arial"/>
          <w:sz w:val="24"/>
          <w:szCs w:val="24"/>
        </w:rPr>
        <w:t xml:space="preserve"> . . .</w:t>
      </w:r>
      <w:r w:rsidR="005E2ECD">
        <w:rPr>
          <w:rFonts w:ascii="Arial" w:hAnsi="Arial" w:cs="Arial"/>
          <w:sz w:val="24"/>
          <w:szCs w:val="24"/>
        </w:rPr>
        <w:t xml:space="preserve"> .</w:t>
      </w:r>
      <w:r w:rsidR="004576AA">
        <w:rPr>
          <w:rFonts w:ascii="Arial" w:hAnsi="Arial" w:cs="Arial"/>
          <w:sz w:val="24"/>
          <w:szCs w:val="24"/>
        </w:rPr>
        <w:t xml:space="preserve"> It is a crucial aspect of the rule</w:t>
      </w:r>
      <w:r w:rsidR="006D7C50">
        <w:rPr>
          <w:rFonts w:ascii="Arial" w:hAnsi="Arial" w:cs="Arial"/>
          <w:sz w:val="24"/>
          <w:szCs w:val="24"/>
        </w:rPr>
        <w:t xml:space="preserve"> of</w:t>
      </w:r>
      <w:r w:rsidR="004576AA">
        <w:rPr>
          <w:rFonts w:ascii="Arial" w:hAnsi="Arial" w:cs="Arial"/>
          <w:sz w:val="24"/>
          <w:szCs w:val="24"/>
        </w:rPr>
        <w:t xml:space="preserve"> law that court order</w:t>
      </w:r>
      <w:r w:rsidR="005E2ECD">
        <w:rPr>
          <w:rFonts w:ascii="Arial" w:hAnsi="Arial" w:cs="Arial"/>
          <w:sz w:val="24"/>
          <w:szCs w:val="24"/>
        </w:rPr>
        <w:t>s</w:t>
      </w:r>
      <w:r w:rsidR="004576AA">
        <w:rPr>
          <w:rFonts w:ascii="Arial" w:hAnsi="Arial" w:cs="Arial"/>
          <w:sz w:val="24"/>
          <w:szCs w:val="24"/>
        </w:rPr>
        <w:t xml:space="preserve"> should not be made without affording the other side a reasonable opportunity to state their case. That reasonable opportunity can usually only be given by ensuring that reasonable steps are taken to bring the hearing to the attention of the person affected</w:t>
      </w:r>
      <w:r w:rsidR="00B42F4F">
        <w:rPr>
          <w:rFonts w:ascii="Arial" w:hAnsi="Arial" w:cs="Arial"/>
          <w:sz w:val="24"/>
          <w:szCs w:val="24"/>
        </w:rPr>
        <w:t>.</w:t>
      </w:r>
      <w:r w:rsidR="006D7C50">
        <w:rPr>
          <w:rFonts w:ascii="Arial" w:hAnsi="Arial" w:cs="Arial"/>
          <w:sz w:val="24"/>
          <w:szCs w:val="24"/>
        </w:rPr>
        <w:t>’</w:t>
      </w:r>
      <w:r w:rsidR="004576AA">
        <w:rPr>
          <w:rStyle w:val="FootnoteReference"/>
          <w:rFonts w:ascii="Arial" w:hAnsi="Arial" w:cs="Arial"/>
          <w:sz w:val="24"/>
          <w:szCs w:val="24"/>
        </w:rPr>
        <w:footnoteReference w:id="33"/>
      </w:r>
      <w:r w:rsidR="004576AA">
        <w:rPr>
          <w:rFonts w:ascii="Arial" w:hAnsi="Arial" w:cs="Arial"/>
          <w:sz w:val="24"/>
          <w:szCs w:val="24"/>
        </w:rPr>
        <w:t xml:space="preserve"> </w:t>
      </w:r>
    </w:p>
    <w:p w:rsidR="004576AA" w:rsidRPr="004576AA" w:rsidRDefault="004576AA" w:rsidP="00B42F4F">
      <w:pPr>
        <w:pStyle w:val="ListParagraph"/>
        <w:spacing w:after="0" w:line="480" w:lineRule="auto"/>
        <w:jc w:val="both"/>
        <w:rPr>
          <w:rFonts w:ascii="Arial" w:hAnsi="Arial" w:cs="Arial"/>
          <w:sz w:val="24"/>
          <w:szCs w:val="24"/>
        </w:rPr>
      </w:pPr>
    </w:p>
    <w:p w:rsidR="004576AA" w:rsidRDefault="004576AA" w:rsidP="000D004C">
      <w:pPr>
        <w:pStyle w:val="ListParagraph"/>
        <w:numPr>
          <w:ilvl w:val="0"/>
          <w:numId w:val="10"/>
        </w:numPr>
        <w:tabs>
          <w:tab w:val="left" w:pos="851"/>
        </w:tabs>
        <w:spacing w:after="0" w:line="480" w:lineRule="auto"/>
        <w:ind w:hanging="724"/>
        <w:jc w:val="both"/>
        <w:rPr>
          <w:rFonts w:ascii="Arial" w:hAnsi="Arial" w:cs="Arial"/>
          <w:sz w:val="24"/>
          <w:szCs w:val="24"/>
        </w:rPr>
      </w:pPr>
      <w:r>
        <w:rPr>
          <w:rFonts w:ascii="Arial" w:hAnsi="Arial" w:cs="Arial"/>
          <w:sz w:val="24"/>
          <w:szCs w:val="24"/>
        </w:rPr>
        <w:lastRenderedPageBreak/>
        <w:t xml:space="preserve">Even if the High Court does not </w:t>
      </w:r>
      <w:r w:rsidR="00934EA6">
        <w:rPr>
          <w:rFonts w:ascii="Arial" w:hAnsi="Arial" w:cs="Arial"/>
          <w:sz w:val="24"/>
          <w:szCs w:val="24"/>
        </w:rPr>
        <w:t xml:space="preserve">frame its order in the form of a </w:t>
      </w:r>
      <w:r w:rsidR="00934EA6" w:rsidRPr="006670E2">
        <w:rPr>
          <w:rFonts w:ascii="Arial" w:hAnsi="Arial" w:cs="Arial"/>
          <w:i/>
          <w:sz w:val="24"/>
          <w:szCs w:val="24"/>
        </w:rPr>
        <w:t>rule</w:t>
      </w:r>
      <w:r w:rsidR="00934EA6">
        <w:rPr>
          <w:rFonts w:ascii="Arial" w:hAnsi="Arial" w:cs="Arial"/>
          <w:sz w:val="24"/>
          <w:szCs w:val="24"/>
        </w:rPr>
        <w:t xml:space="preserve"> </w:t>
      </w:r>
      <w:r w:rsidR="00934EA6">
        <w:rPr>
          <w:rFonts w:ascii="Arial" w:hAnsi="Arial" w:cs="Arial"/>
          <w:i/>
          <w:sz w:val="24"/>
          <w:szCs w:val="24"/>
        </w:rPr>
        <w:t>nisi</w:t>
      </w:r>
      <w:r w:rsidR="00934EA6">
        <w:rPr>
          <w:rFonts w:ascii="Arial" w:hAnsi="Arial" w:cs="Arial"/>
          <w:sz w:val="24"/>
          <w:szCs w:val="24"/>
        </w:rPr>
        <w:t xml:space="preserve">, an order granted </w:t>
      </w:r>
      <w:r w:rsidR="00934EA6" w:rsidRPr="00934EA6">
        <w:rPr>
          <w:rFonts w:ascii="Arial" w:hAnsi="Arial" w:cs="Arial"/>
          <w:i/>
          <w:sz w:val="24"/>
          <w:szCs w:val="24"/>
        </w:rPr>
        <w:t>ex parte</w:t>
      </w:r>
      <w:r w:rsidR="00934EA6">
        <w:rPr>
          <w:rFonts w:ascii="Arial" w:hAnsi="Arial" w:cs="Arial"/>
          <w:sz w:val="24"/>
          <w:szCs w:val="24"/>
        </w:rPr>
        <w:t xml:space="preserve"> is in any event provisional and subject to being set aside by a party on application against whom it was granted.</w:t>
      </w:r>
      <w:r w:rsidR="004B0C25">
        <w:rPr>
          <w:rFonts w:ascii="Arial" w:hAnsi="Arial" w:cs="Arial"/>
          <w:sz w:val="24"/>
          <w:szCs w:val="24"/>
        </w:rPr>
        <w:t xml:space="preserve"> A party is furthermore not confined to the narrow basis to rescind an order set out in s 58(6) when challenging an order granted </w:t>
      </w:r>
      <w:r w:rsidR="004B0C25" w:rsidRPr="004B0C25">
        <w:rPr>
          <w:rFonts w:ascii="Arial" w:hAnsi="Arial" w:cs="Arial"/>
          <w:i/>
          <w:sz w:val="24"/>
          <w:szCs w:val="24"/>
        </w:rPr>
        <w:t>ex parte</w:t>
      </w:r>
      <w:r w:rsidR="004B0C25">
        <w:rPr>
          <w:rFonts w:ascii="Arial" w:hAnsi="Arial" w:cs="Arial"/>
          <w:sz w:val="24"/>
          <w:szCs w:val="24"/>
        </w:rPr>
        <w:t xml:space="preserve"> against him or her and it may entail a re</w:t>
      </w:r>
      <w:r w:rsidR="005E2ECD">
        <w:rPr>
          <w:rFonts w:ascii="Arial" w:hAnsi="Arial" w:cs="Arial"/>
          <w:sz w:val="24"/>
          <w:szCs w:val="24"/>
        </w:rPr>
        <w:t>consideration of the order given.</w:t>
      </w:r>
    </w:p>
    <w:p w:rsidR="00B000EF" w:rsidRPr="00AB14CF" w:rsidRDefault="00B000EF" w:rsidP="00B000EF">
      <w:pPr>
        <w:pStyle w:val="ListParagraph"/>
        <w:spacing w:after="0" w:line="480" w:lineRule="auto"/>
        <w:jc w:val="both"/>
        <w:rPr>
          <w:rFonts w:ascii="Arial" w:hAnsi="Arial" w:cs="Arial"/>
          <w:sz w:val="24"/>
          <w:szCs w:val="24"/>
        </w:rPr>
      </w:pPr>
    </w:p>
    <w:p w:rsidR="00E606AD" w:rsidRDefault="0024195A" w:rsidP="003B53B4">
      <w:pPr>
        <w:pStyle w:val="ListParagraph"/>
        <w:numPr>
          <w:ilvl w:val="0"/>
          <w:numId w:val="1"/>
        </w:numPr>
        <w:tabs>
          <w:tab w:val="left" w:pos="851"/>
        </w:tabs>
        <w:spacing w:after="0" w:line="480" w:lineRule="auto"/>
        <w:ind w:left="0" w:right="-284" w:firstLine="0"/>
        <w:jc w:val="both"/>
        <w:rPr>
          <w:rFonts w:ascii="Arial" w:hAnsi="Arial" w:cs="Arial"/>
          <w:sz w:val="24"/>
          <w:szCs w:val="24"/>
        </w:rPr>
      </w:pPr>
      <w:r w:rsidRPr="00B000EF">
        <w:rPr>
          <w:rFonts w:ascii="Arial" w:hAnsi="Arial" w:cs="Arial"/>
          <w:sz w:val="24"/>
          <w:szCs w:val="24"/>
        </w:rPr>
        <w:t>I agree with</w:t>
      </w:r>
      <w:r w:rsidR="00934EA6" w:rsidRPr="00B000EF">
        <w:rPr>
          <w:rFonts w:ascii="Arial" w:hAnsi="Arial" w:cs="Arial"/>
          <w:sz w:val="24"/>
          <w:szCs w:val="24"/>
        </w:rPr>
        <w:t xml:space="preserve"> the court a quo</w:t>
      </w:r>
      <w:r w:rsidR="00934EA6" w:rsidRPr="00B000EF">
        <w:rPr>
          <w:rFonts w:ascii="Arial" w:hAnsi="Arial" w:cs="Arial"/>
          <w:i/>
          <w:sz w:val="24"/>
          <w:szCs w:val="24"/>
        </w:rPr>
        <w:t xml:space="preserve"> </w:t>
      </w:r>
      <w:r w:rsidR="00934EA6" w:rsidRPr="00B000EF">
        <w:rPr>
          <w:rFonts w:ascii="Arial" w:hAnsi="Arial" w:cs="Arial"/>
          <w:sz w:val="24"/>
          <w:szCs w:val="24"/>
        </w:rPr>
        <w:t>that the appellant must in application</w:t>
      </w:r>
      <w:r w:rsidRPr="00B000EF">
        <w:rPr>
          <w:rFonts w:ascii="Arial" w:hAnsi="Arial" w:cs="Arial"/>
          <w:sz w:val="24"/>
          <w:szCs w:val="24"/>
        </w:rPr>
        <w:t>s</w:t>
      </w:r>
      <w:r w:rsidR="00E606AD" w:rsidRPr="00B000EF">
        <w:rPr>
          <w:rFonts w:ascii="Arial" w:hAnsi="Arial" w:cs="Arial"/>
          <w:sz w:val="24"/>
          <w:szCs w:val="24"/>
        </w:rPr>
        <w:t xml:space="preserve"> in terms of s 51 of the Act </w:t>
      </w:r>
      <w:r w:rsidR="00934EA6" w:rsidRPr="00B000EF">
        <w:rPr>
          <w:rFonts w:ascii="Arial" w:hAnsi="Arial" w:cs="Arial"/>
          <w:sz w:val="24"/>
          <w:szCs w:val="24"/>
        </w:rPr>
        <w:t xml:space="preserve">justify or demonstrate to the court a legitimate reason to bring the application </w:t>
      </w:r>
      <w:r w:rsidR="00934EA6" w:rsidRPr="00B000EF">
        <w:rPr>
          <w:rFonts w:ascii="Arial" w:hAnsi="Arial" w:cs="Arial"/>
          <w:i/>
          <w:sz w:val="24"/>
          <w:szCs w:val="24"/>
        </w:rPr>
        <w:t>ex parte</w:t>
      </w:r>
      <w:r w:rsidRPr="00B000EF">
        <w:rPr>
          <w:rFonts w:ascii="Arial" w:hAnsi="Arial" w:cs="Arial"/>
          <w:sz w:val="24"/>
          <w:szCs w:val="24"/>
        </w:rPr>
        <w:t xml:space="preserve">. The appellant in my view, is not relieved by the provisions of s 51 (1) from the normal burden imposed on every applicant who approaches a court for an </w:t>
      </w:r>
      <w:r w:rsidRPr="00B000EF">
        <w:rPr>
          <w:rFonts w:ascii="Arial" w:hAnsi="Arial" w:cs="Arial"/>
          <w:i/>
          <w:sz w:val="24"/>
          <w:szCs w:val="24"/>
        </w:rPr>
        <w:t xml:space="preserve">ex parte </w:t>
      </w:r>
      <w:r w:rsidRPr="00B000EF">
        <w:rPr>
          <w:rFonts w:ascii="Arial" w:hAnsi="Arial" w:cs="Arial"/>
          <w:sz w:val="24"/>
          <w:szCs w:val="24"/>
        </w:rPr>
        <w:t>order.</w:t>
      </w:r>
      <w:r>
        <w:rPr>
          <w:rStyle w:val="FootnoteReference"/>
          <w:rFonts w:ascii="Arial" w:hAnsi="Arial" w:cs="Arial"/>
          <w:sz w:val="24"/>
          <w:szCs w:val="24"/>
        </w:rPr>
        <w:footnoteReference w:id="34"/>
      </w:r>
    </w:p>
    <w:p w:rsidR="00344B20" w:rsidRDefault="00344B20" w:rsidP="00344B20">
      <w:pPr>
        <w:pStyle w:val="ListParagraph"/>
        <w:tabs>
          <w:tab w:val="left" w:pos="851"/>
        </w:tabs>
        <w:spacing w:after="0" w:line="480" w:lineRule="auto"/>
        <w:ind w:left="0" w:right="-284"/>
        <w:jc w:val="both"/>
        <w:rPr>
          <w:rFonts w:ascii="Arial" w:hAnsi="Arial" w:cs="Arial"/>
          <w:sz w:val="24"/>
          <w:szCs w:val="24"/>
        </w:rPr>
      </w:pPr>
    </w:p>
    <w:p w:rsidR="00EF2CE0" w:rsidRDefault="00934EA6" w:rsidP="00344B20">
      <w:pPr>
        <w:pStyle w:val="ListParagraph"/>
        <w:numPr>
          <w:ilvl w:val="0"/>
          <w:numId w:val="1"/>
        </w:numPr>
        <w:tabs>
          <w:tab w:val="left" w:pos="851"/>
        </w:tabs>
        <w:spacing w:after="0" w:line="480" w:lineRule="auto"/>
        <w:ind w:left="0" w:right="-284" w:firstLine="0"/>
        <w:jc w:val="both"/>
        <w:rPr>
          <w:rFonts w:ascii="Arial" w:hAnsi="Arial" w:cs="Arial"/>
          <w:sz w:val="24"/>
          <w:szCs w:val="24"/>
        </w:rPr>
      </w:pPr>
      <w:r w:rsidRPr="00344B20">
        <w:rPr>
          <w:rFonts w:ascii="Arial" w:hAnsi="Arial" w:cs="Arial"/>
          <w:sz w:val="24"/>
          <w:szCs w:val="24"/>
        </w:rPr>
        <w:t>In South Africa twice the High Court declared s 38 of POCA</w:t>
      </w:r>
      <w:r w:rsidR="00295143" w:rsidRPr="00344B20">
        <w:rPr>
          <w:rFonts w:ascii="Arial" w:hAnsi="Arial" w:cs="Arial"/>
          <w:sz w:val="24"/>
          <w:szCs w:val="24"/>
        </w:rPr>
        <w:t>,</w:t>
      </w:r>
      <w:r w:rsidRPr="00344B20">
        <w:rPr>
          <w:rFonts w:ascii="Arial" w:hAnsi="Arial" w:cs="Arial"/>
          <w:sz w:val="24"/>
          <w:szCs w:val="24"/>
        </w:rPr>
        <w:t xml:space="preserve"> (our s 51) </w:t>
      </w:r>
      <w:r w:rsidR="00344B20">
        <w:rPr>
          <w:rFonts w:ascii="Arial" w:hAnsi="Arial" w:cs="Arial"/>
          <w:sz w:val="24"/>
          <w:szCs w:val="24"/>
        </w:rPr>
        <w:t>constitutional</w:t>
      </w:r>
      <w:r w:rsidRPr="00344B20">
        <w:rPr>
          <w:rFonts w:ascii="Arial" w:hAnsi="Arial" w:cs="Arial"/>
          <w:sz w:val="24"/>
          <w:szCs w:val="24"/>
        </w:rPr>
        <w:t xml:space="preserve"> invalid</w:t>
      </w:r>
      <w:r w:rsidR="007C32B2" w:rsidRPr="00344B20">
        <w:rPr>
          <w:rFonts w:ascii="Arial" w:hAnsi="Arial" w:cs="Arial"/>
          <w:sz w:val="24"/>
          <w:szCs w:val="24"/>
        </w:rPr>
        <w:t>,</w:t>
      </w:r>
      <w:r w:rsidRPr="00344B20">
        <w:rPr>
          <w:rFonts w:ascii="Arial" w:hAnsi="Arial" w:cs="Arial"/>
          <w:sz w:val="24"/>
          <w:szCs w:val="24"/>
        </w:rPr>
        <w:t xml:space="preserve"> but twice the Constitutional Court refused to confirm the declaration or the invalidity. In Mohamed </w:t>
      </w:r>
      <w:r w:rsidR="00DF4358">
        <w:rPr>
          <w:rFonts w:ascii="Arial" w:hAnsi="Arial" w:cs="Arial"/>
          <w:sz w:val="24"/>
          <w:szCs w:val="24"/>
        </w:rPr>
        <w:t>2</w:t>
      </w:r>
      <w:r w:rsidRPr="00344B20">
        <w:rPr>
          <w:rFonts w:ascii="Arial" w:hAnsi="Arial" w:cs="Arial"/>
          <w:sz w:val="24"/>
          <w:szCs w:val="24"/>
        </w:rPr>
        <w:t xml:space="preserve"> of the </w:t>
      </w:r>
      <w:r w:rsidR="00C56FE0" w:rsidRPr="00344B20">
        <w:rPr>
          <w:rFonts w:ascii="Arial" w:hAnsi="Arial" w:cs="Arial"/>
          <w:sz w:val="24"/>
          <w:szCs w:val="24"/>
        </w:rPr>
        <w:t>CC</w:t>
      </w:r>
      <w:r w:rsidRPr="00344B20">
        <w:rPr>
          <w:rFonts w:ascii="Arial" w:hAnsi="Arial" w:cs="Arial"/>
          <w:sz w:val="24"/>
          <w:szCs w:val="24"/>
        </w:rPr>
        <w:t xml:space="preserve">, Ackermann J went into the historical development of </w:t>
      </w:r>
      <w:r w:rsidRPr="00344B20">
        <w:rPr>
          <w:rFonts w:ascii="Arial" w:hAnsi="Arial" w:cs="Arial"/>
          <w:i/>
          <w:sz w:val="24"/>
          <w:szCs w:val="24"/>
        </w:rPr>
        <w:t xml:space="preserve">ex parte </w:t>
      </w:r>
      <w:r w:rsidRPr="00344B20">
        <w:rPr>
          <w:rFonts w:ascii="Arial" w:hAnsi="Arial" w:cs="Arial"/>
          <w:sz w:val="24"/>
          <w:szCs w:val="24"/>
        </w:rPr>
        <w:t xml:space="preserve">applications, the granting of rules </w:t>
      </w:r>
      <w:r w:rsidR="00AE27F3" w:rsidRPr="00344B20">
        <w:rPr>
          <w:rFonts w:ascii="Arial" w:hAnsi="Arial" w:cs="Arial"/>
          <w:i/>
          <w:sz w:val="24"/>
          <w:szCs w:val="24"/>
        </w:rPr>
        <w:t xml:space="preserve">nisi </w:t>
      </w:r>
      <w:r w:rsidR="00AE27F3" w:rsidRPr="00344B20">
        <w:rPr>
          <w:rFonts w:ascii="Arial" w:hAnsi="Arial" w:cs="Arial"/>
          <w:sz w:val="24"/>
          <w:szCs w:val="24"/>
        </w:rPr>
        <w:t xml:space="preserve">and the making of interim orders pending the return day of a rule </w:t>
      </w:r>
      <w:r w:rsidR="00AE27F3" w:rsidRPr="00344B20">
        <w:rPr>
          <w:rFonts w:ascii="Arial" w:hAnsi="Arial" w:cs="Arial"/>
          <w:i/>
          <w:sz w:val="24"/>
          <w:szCs w:val="24"/>
        </w:rPr>
        <w:t xml:space="preserve">nisi </w:t>
      </w:r>
      <w:r w:rsidR="00AE27F3" w:rsidRPr="00344B20">
        <w:rPr>
          <w:rFonts w:ascii="Arial" w:hAnsi="Arial" w:cs="Arial"/>
          <w:sz w:val="24"/>
          <w:szCs w:val="24"/>
        </w:rPr>
        <w:t xml:space="preserve">and the great importance of the </w:t>
      </w:r>
      <w:r w:rsidR="00AE27F3" w:rsidRPr="00344B20">
        <w:rPr>
          <w:rFonts w:ascii="Arial" w:hAnsi="Arial" w:cs="Arial"/>
          <w:i/>
          <w:sz w:val="24"/>
          <w:szCs w:val="24"/>
        </w:rPr>
        <w:t>audi</w:t>
      </w:r>
      <w:r w:rsidR="00AE27F3" w:rsidRPr="00344B20">
        <w:rPr>
          <w:rFonts w:ascii="Arial" w:hAnsi="Arial" w:cs="Arial"/>
          <w:sz w:val="24"/>
          <w:szCs w:val="24"/>
        </w:rPr>
        <w:t xml:space="preserve"> rule and rejected the High Court’s main ground that because that country</w:t>
      </w:r>
      <w:r w:rsidR="00C56FE0" w:rsidRPr="00344B20">
        <w:rPr>
          <w:rFonts w:ascii="Arial" w:hAnsi="Arial" w:cs="Arial"/>
          <w:sz w:val="24"/>
          <w:szCs w:val="24"/>
        </w:rPr>
        <w:t>’s</w:t>
      </w:r>
      <w:r w:rsidR="00AE27F3" w:rsidRPr="00344B20">
        <w:rPr>
          <w:rFonts w:ascii="Arial" w:hAnsi="Arial" w:cs="Arial"/>
          <w:sz w:val="24"/>
          <w:szCs w:val="24"/>
        </w:rPr>
        <w:t xml:space="preserve"> POCA s 26(3)(</w:t>
      </w:r>
      <w:r w:rsidR="00AE27F3" w:rsidRPr="00344B20">
        <w:rPr>
          <w:rFonts w:ascii="Arial" w:hAnsi="Arial" w:cs="Arial"/>
          <w:i/>
          <w:sz w:val="24"/>
          <w:szCs w:val="24"/>
        </w:rPr>
        <w:t>a</w:t>
      </w:r>
      <w:r w:rsidR="00AE27F3" w:rsidRPr="00344B20">
        <w:rPr>
          <w:rFonts w:ascii="Arial" w:hAnsi="Arial" w:cs="Arial"/>
          <w:sz w:val="24"/>
          <w:szCs w:val="24"/>
        </w:rPr>
        <w:t xml:space="preserve">) in </w:t>
      </w:r>
      <w:r w:rsidR="00344B20">
        <w:rPr>
          <w:rFonts w:ascii="Arial" w:hAnsi="Arial" w:cs="Arial"/>
          <w:sz w:val="24"/>
          <w:szCs w:val="24"/>
        </w:rPr>
        <w:t>C</w:t>
      </w:r>
      <w:r w:rsidR="00AE27F3" w:rsidRPr="00344B20">
        <w:rPr>
          <w:rFonts w:ascii="Arial" w:hAnsi="Arial" w:cs="Arial"/>
          <w:sz w:val="24"/>
          <w:szCs w:val="24"/>
        </w:rPr>
        <w:t xml:space="preserve">hapter 5 makes express provision for a provisional restraint order and a </w:t>
      </w:r>
      <w:r w:rsidR="00AE27F3" w:rsidRPr="006670E2">
        <w:rPr>
          <w:rFonts w:ascii="Arial" w:hAnsi="Arial" w:cs="Arial"/>
          <w:i/>
          <w:sz w:val="24"/>
          <w:szCs w:val="24"/>
        </w:rPr>
        <w:t>rule</w:t>
      </w:r>
      <w:r w:rsidR="00AE27F3" w:rsidRPr="00344B20">
        <w:rPr>
          <w:rFonts w:ascii="Arial" w:hAnsi="Arial" w:cs="Arial"/>
          <w:sz w:val="24"/>
          <w:szCs w:val="24"/>
        </w:rPr>
        <w:t xml:space="preserve"> </w:t>
      </w:r>
      <w:r w:rsidR="00AE27F3" w:rsidRPr="00344B20">
        <w:rPr>
          <w:rFonts w:ascii="Arial" w:hAnsi="Arial" w:cs="Arial"/>
          <w:i/>
          <w:sz w:val="24"/>
          <w:szCs w:val="24"/>
        </w:rPr>
        <w:t>nisi</w:t>
      </w:r>
      <w:r w:rsidR="009D6F8D" w:rsidRPr="00344B20">
        <w:rPr>
          <w:rFonts w:ascii="Arial" w:hAnsi="Arial" w:cs="Arial"/>
          <w:sz w:val="24"/>
          <w:szCs w:val="24"/>
        </w:rPr>
        <w:t>,</w:t>
      </w:r>
      <w:r w:rsidR="00AE27F3" w:rsidRPr="00344B20">
        <w:rPr>
          <w:rFonts w:ascii="Arial" w:hAnsi="Arial" w:cs="Arial"/>
          <w:i/>
          <w:sz w:val="24"/>
          <w:szCs w:val="24"/>
        </w:rPr>
        <w:t xml:space="preserve"> </w:t>
      </w:r>
      <w:r w:rsidR="00AE27F3" w:rsidRPr="00344B20">
        <w:rPr>
          <w:rFonts w:ascii="Arial" w:hAnsi="Arial" w:cs="Arial"/>
          <w:sz w:val="24"/>
          <w:szCs w:val="24"/>
        </w:rPr>
        <w:t xml:space="preserve">but such provisions were absent in s 38 in </w:t>
      </w:r>
      <w:r w:rsidR="00344B20">
        <w:rPr>
          <w:rFonts w:ascii="Arial" w:hAnsi="Arial" w:cs="Arial"/>
          <w:sz w:val="24"/>
          <w:szCs w:val="24"/>
        </w:rPr>
        <w:t>C</w:t>
      </w:r>
      <w:r w:rsidR="00AE27F3" w:rsidRPr="00344B20">
        <w:rPr>
          <w:rFonts w:ascii="Arial" w:hAnsi="Arial" w:cs="Arial"/>
          <w:sz w:val="24"/>
          <w:szCs w:val="24"/>
        </w:rPr>
        <w:t xml:space="preserve">hapter 6, it meant that the </w:t>
      </w:r>
      <w:r w:rsidR="00AE27F3" w:rsidRPr="00344B20">
        <w:rPr>
          <w:rFonts w:ascii="Arial" w:hAnsi="Arial" w:cs="Arial"/>
          <w:i/>
          <w:sz w:val="24"/>
          <w:szCs w:val="24"/>
        </w:rPr>
        <w:t>audi</w:t>
      </w:r>
      <w:r w:rsidR="00AE27F3" w:rsidRPr="00344B20">
        <w:rPr>
          <w:rFonts w:ascii="Arial" w:hAnsi="Arial" w:cs="Arial"/>
          <w:sz w:val="24"/>
          <w:szCs w:val="24"/>
        </w:rPr>
        <w:t xml:space="preserve"> principle ha</w:t>
      </w:r>
      <w:r w:rsidR="00344B20">
        <w:rPr>
          <w:rFonts w:ascii="Arial" w:hAnsi="Arial" w:cs="Arial"/>
          <w:sz w:val="24"/>
          <w:szCs w:val="24"/>
        </w:rPr>
        <w:t>d</w:t>
      </w:r>
      <w:r w:rsidR="00AE27F3" w:rsidRPr="00344B20">
        <w:rPr>
          <w:rFonts w:ascii="Arial" w:hAnsi="Arial" w:cs="Arial"/>
          <w:sz w:val="24"/>
          <w:szCs w:val="24"/>
        </w:rPr>
        <w:t xml:space="preserve"> been excluded from the provisions of s 38 and that the power of the </w:t>
      </w:r>
      <w:r w:rsidR="00AE27F3" w:rsidRPr="00344B20">
        <w:rPr>
          <w:rFonts w:ascii="Arial" w:hAnsi="Arial" w:cs="Arial"/>
          <w:sz w:val="24"/>
          <w:szCs w:val="24"/>
        </w:rPr>
        <w:lastRenderedPageBreak/>
        <w:t xml:space="preserve">High Court to grant a </w:t>
      </w:r>
      <w:r w:rsidR="00AE27F3" w:rsidRPr="006670E2">
        <w:rPr>
          <w:rFonts w:ascii="Arial" w:hAnsi="Arial" w:cs="Arial"/>
          <w:i/>
          <w:sz w:val="24"/>
          <w:szCs w:val="24"/>
        </w:rPr>
        <w:t>rule</w:t>
      </w:r>
      <w:r w:rsidR="00AE27F3" w:rsidRPr="00344B20">
        <w:rPr>
          <w:rFonts w:ascii="Arial" w:hAnsi="Arial" w:cs="Arial"/>
          <w:sz w:val="24"/>
          <w:szCs w:val="24"/>
        </w:rPr>
        <w:t xml:space="preserve"> </w:t>
      </w:r>
      <w:r w:rsidR="00AE27F3" w:rsidRPr="00344B20">
        <w:rPr>
          <w:rFonts w:ascii="Arial" w:hAnsi="Arial" w:cs="Arial"/>
          <w:i/>
          <w:sz w:val="24"/>
          <w:szCs w:val="24"/>
        </w:rPr>
        <w:t xml:space="preserve">nisi </w:t>
      </w:r>
      <w:r w:rsidR="00AE27F3" w:rsidRPr="00344B20">
        <w:rPr>
          <w:rFonts w:ascii="Arial" w:hAnsi="Arial" w:cs="Arial"/>
          <w:sz w:val="24"/>
          <w:szCs w:val="24"/>
        </w:rPr>
        <w:t>together with a temporary restraining order pending the return day ha</w:t>
      </w:r>
      <w:r w:rsidR="00344B20">
        <w:rPr>
          <w:rFonts w:ascii="Arial" w:hAnsi="Arial" w:cs="Arial"/>
          <w:sz w:val="24"/>
          <w:szCs w:val="24"/>
        </w:rPr>
        <w:t>d</w:t>
      </w:r>
      <w:r w:rsidR="00AE27F3" w:rsidRPr="00344B20">
        <w:rPr>
          <w:rFonts w:ascii="Arial" w:hAnsi="Arial" w:cs="Arial"/>
          <w:sz w:val="24"/>
          <w:szCs w:val="24"/>
        </w:rPr>
        <w:t xml:space="preserve"> been excluded. Among other things</w:t>
      </w:r>
      <w:r w:rsidR="009D6F8D" w:rsidRPr="00344B20">
        <w:rPr>
          <w:rFonts w:ascii="Arial" w:hAnsi="Arial" w:cs="Arial"/>
          <w:sz w:val="24"/>
          <w:szCs w:val="24"/>
        </w:rPr>
        <w:t>,</w:t>
      </w:r>
      <w:r w:rsidR="00AE27F3" w:rsidRPr="00344B20">
        <w:rPr>
          <w:rFonts w:ascii="Arial" w:hAnsi="Arial" w:cs="Arial"/>
          <w:sz w:val="24"/>
          <w:szCs w:val="24"/>
        </w:rPr>
        <w:t xml:space="preserve"> the court found that, ‘it is well established that, as a matter of statutory construction, the </w:t>
      </w:r>
      <w:r w:rsidR="00AE27F3" w:rsidRPr="00344B20">
        <w:rPr>
          <w:rFonts w:ascii="Arial" w:hAnsi="Arial" w:cs="Arial"/>
          <w:i/>
          <w:sz w:val="24"/>
          <w:szCs w:val="24"/>
        </w:rPr>
        <w:t>audi</w:t>
      </w:r>
      <w:r w:rsidR="00AE27F3" w:rsidRPr="00344B20">
        <w:rPr>
          <w:rFonts w:ascii="Arial" w:hAnsi="Arial" w:cs="Arial"/>
          <w:sz w:val="24"/>
          <w:szCs w:val="24"/>
        </w:rPr>
        <w:t xml:space="preserve"> rule should be enforced unless it is clear that the legislature has expressly or by necessary implication enacted that it should not apply or that there are exceptional circumstances which would justify a court not giving effect to </w:t>
      </w:r>
      <w:r w:rsidR="001219F0" w:rsidRPr="00344B20">
        <w:rPr>
          <w:rFonts w:ascii="Arial" w:hAnsi="Arial" w:cs="Arial"/>
          <w:sz w:val="24"/>
          <w:szCs w:val="24"/>
        </w:rPr>
        <w:t>it</w:t>
      </w:r>
      <w:r w:rsidR="00B42F4F" w:rsidRPr="00344B20">
        <w:rPr>
          <w:rFonts w:ascii="Arial" w:hAnsi="Arial" w:cs="Arial"/>
          <w:sz w:val="24"/>
          <w:szCs w:val="24"/>
        </w:rPr>
        <w:t>’</w:t>
      </w:r>
      <w:r w:rsidR="001219F0">
        <w:rPr>
          <w:rStyle w:val="FootnoteReference"/>
          <w:rFonts w:ascii="Arial" w:hAnsi="Arial" w:cs="Arial"/>
          <w:sz w:val="24"/>
          <w:szCs w:val="24"/>
        </w:rPr>
        <w:footnoteReference w:id="35"/>
      </w:r>
      <w:r w:rsidR="001219F0" w:rsidRPr="00344B20">
        <w:rPr>
          <w:rFonts w:ascii="Arial" w:hAnsi="Arial" w:cs="Arial"/>
          <w:sz w:val="24"/>
          <w:szCs w:val="24"/>
        </w:rPr>
        <w:t xml:space="preserve"> and that there are circumstances when the inclusion of a particular provision occurs because of excessive caution or where the legislature is </w:t>
      </w:r>
      <w:r w:rsidR="006670E2">
        <w:rPr>
          <w:rFonts w:ascii="Arial" w:hAnsi="Arial" w:cs="Arial"/>
          <w:sz w:val="24"/>
          <w:szCs w:val="24"/>
        </w:rPr>
        <w:t>‘</w:t>
      </w:r>
      <w:r w:rsidR="001219F0" w:rsidRPr="00344B20">
        <w:rPr>
          <w:rFonts w:ascii="Arial" w:hAnsi="Arial" w:cs="Arial"/>
          <w:sz w:val="24"/>
          <w:szCs w:val="24"/>
        </w:rPr>
        <w:t>either ignorant or unmindful of the real state of the law</w:t>
      </w:r>
      <w:r w:rsidR="006670E2">
        <w:rPr>
          <w:rFonts w:ascii="Arial" w:hAnsi="Arial" w:cs="Arial"/>
          <w:sz w:val="24"/>
          <w:szCs w:val="24"/>
        </w:rPr>
        <w:t>.’</w:t>
      </w:r>
      <w:r w:rsidR="001219F0">
        <w:rPr>
          <w:rStyle w:val="FootnoteReference"/>
          <w:rFonts w:ascii="Arial" w:hAnsi="Arial" w:cs="Arial"/>
          <w:sz w:val="24"/>
          <w:szCs w:val="24"/>
        </w:rPr>
        <w:footnoteReference w:id="36"/>
      </w:r>
    </w:p>
    <w:p w:rsidR="00344B20" w:rsidRDefault="00344B20" w:rsidP="00344B20">
      <w:pPr>
        <w:pStyle w:val="ListParagraph"/>
        <w:tabs>
          <w:tab w:val="left" w:pos="851"/>
        </w:tabs>
        <w:spacing w:after="0" w:line="480" w:lineRule="auto"/>
        <w:ind w:left="0" w:right="-284"/>
        <w:jc w:val="both"/>
        <w:rPr>
          <w:rFonts w:ascii="Arial" w:hAnsi="Arial" w:cs="Arial"/>
          <w:sz w:val="24"/>
          <w:szCs w:val="24"/>
        </w:rPr>
      </w:pPr>
    </w:p>
    <w:p w:rsidR="001219F0" w:rsidRPr="00344B20" w:rsidRDefault="007145CA" w:rsidP="00344B20">
      <w:pPr>
        <w:pStyle w:val="ListParagraph"/>
        <w:numPr>
          <w:ilvl w:val="0"/>
          <w:numId w:val="1"/>
        </w:numPr>
        <w:tabs>
          <w:tab w:val="left" w:pos="851"/>
        </w:tabs>
        <w:spacing w:after="0" w:line="480" w:lineRule="auto"/>
        <w:ind w:left="0" w:right="-284" w:firstLine="0"/>
        <w:jc w:val="both"/>
        <w:rPr>
          <w:rFonts w:ascii="Arial" w:hAnsi="Arial" w:cs="Arial"/>
          <w:sz w:val="24"/>
          <w:szCs w:val="24"/>
        </w:rPr>
      </w:pPr>
      <w:r w:rsidRPr="00344B20">
        <w:rPr>
          <w:rFonts w:ascii="Arial" w:hAnsi="Arial" w:cs="Arial"/>
          <w:sz w:val="24"/>
          <w:szCs w:val="24"/>
        </w:rPr>
        <w:t>It may well be that with the enactment of s 51</w:t>
      </w:r>
      <w:r w:rsidR="009D6F8D" w:rsidRPr="00344B20">
        <w:rPr>
          <w:rFonts w:ascii="Arial" w:hAnsi="Arial" w:cs="Arial"/>
          <w:sz w:val="24"/>
          <w:szCs w:val="24"/>
        </w:rPr>
        <w:t>,</w:t>
      </w:r>
      <w:r w:rsidRPr="00344B20">
        <w:rPr>
          <w:rFonts w:ascii="Arial" w:hAnsi="Arial" w:cs="Arial"/>
          <w:sz w:val="24"/>
          <w:szCs w:val="24"/>
        </w:rPr>
        <w:t xml:space="preserve"> the legislature was either ignorant or unmindful of the real state of the history of the </w:t>
      </w:r>
      <w:r w:rsidRPr="00344B20">
        <w:rPr>
          <w:rFonts w:ascii="Arial" w:hAnsi="Arial" w:cs="Arial"/>
          <w:i/>
          <w:sz w:val="24"/>
          <w:szCs w:val="24"/>
        </w:rPr>
        <w:t>ex parte</w:t>
      </w:r>
      <w:r w:rsidRPr="00344B20">
        <w:rPr>
          <w:rFonts w:ascii="Arial" w:hAnsi="Arial" w:cs="Arial"/>
          <w:sz w:val="24"/>
          <w:szCs w:val="24"/>
        </w:rPr>
        <w:t xml:space="preserve"> applications and the great importance of the </w:t>
      </w:r>
      <w:r w:rsidRPr="00344B20">
        <w:rPr>
          <w:rFonts w:ascii="Arial" w:hAnsi="Arial" w:cs="Arial"/>
          <w:i/>
          <w:sz w:val="24"/>
          <w:szCs w:val="24"/>
        </w:rPr>
        <w:t>audi</w:t>
      </w:r>
      <w:r w:rsidRPr="00344B20">
        <w:rPr>
          <w:rFonts w:ascii="Arial" w:hAnsi="Arial" w:cs="Arial"/>
          <w:sz w:val="24"/>
          <w:szCs w:val="24"/>
        </w:rPr>
        <w:t xml:space="preserve"> rule. How</w:t>
      </w:r>
      <w:r w:rsidR="005E2ECD" w:rsidRPr="00344B20">
        <w:rPr>
          <w:rFonts w:ascii="Arial" w:hAnsi="Arial" w:cs="Arial"/>
          <w:sz w:val="24"/>
          <w:szCs w:val="24"/>
        </w:rPr>
        <w:t>ever</w:t>
      </w:r>
      <w:r w:rsidRPr="00344B20">
        <w:rPr>
          <w:rFonts w:ascii="Arial" w:hAnsi="Arial" w:cs="Arial"/>
          <w:sz w:val="24"/>
          <w:szCs w:val="24"/>
        </w:rPr>
        <w:t xml:space="preserve"> laudable the purpose of POCA might be</w:t>
      </w:r>
      <w:r w:rsidR="009D6F8D" w:rsidRPr="00344B20">
        <w:rPr>
          <w:rFonts w:ascii="Arial" w:hAnsi="Arial" w:cs="Arial"/>
          <w:sz w:val="24"/>
          <w:szCs w:val="24"/>
        </w:rPr>
        <w:t>,</w:t>
      </w:r>
      <w:r w:rsidRPr="00344B20">
        <w:rPr>
          <w:rFonts w:ascii="Arial" w:hAnsi="Arial" w:cs="Arial"/>
          <w:sz w:val="24"/>
          <w:szCs w:val="24"/>
        </w:rPr>
        <w:t xml:space="preserve"> its implementation particularly s 51</w:t>
      </w:r>
      <w:r w:rsidR="009D6F8D" w:rsidRPr="00344B20">
        <w:rPr>
          <w:rFonts w:ascii="Arial" w:hAnsi="Arial" w:cs="Arial"/>
          <w:sz w:val="24"/>
          <w:szCs w:val="24"/>
        </w:rPr>
        <w:t>,</w:t>
      </w:r>
      <w:r w:rsidRPr="00344B20">
        <w:rPr>
          <w:rFonts w:ascii="Arial" w:hAnsi="Arial" w:cs="Arial"/>
          <w:sz w:val="24"/>
          <w:szCs w:val="24"/>
        </w:rPr>
        <w:t xml:space="preserve"> should </w:t>
      </w:r>
      <w:r w:rsidR="00861D64" w:rsidRPr="00344B20">
        <w:rPr>
          <w:rFonts w:ascii="Arial" w:hAnsi="Arial" w:cs="Arial"/>
          <w:sz w:val="24"/>
          <w:szCs w:val="24"/>
        </w:rPr>
        <w:t xml:space="preserve">not plunge us back in the yesteryear </w:t>
      </w:r>
      <w:r w:rsidRPr="00344B20">
        <w:rPr>
          <w:rFonts w:ascii="Arial" w:hAnsi="Arial" w:cs="Arial"/>
          <w:sz w:val="24"/>
          <w:szCs w:val="24"/>
        </w:rPr>
        <w:t xml:space="preserve"> </w:t>
      </w:r>
      <w:r w:rsidR="00861D64" w:rsidRPr="00344B20">
        <w:rPr>
          <w:rFonts w:ascii="Arial" w:hAnsi="Arial" w:cs="Arial"/>
          <w:sz w:val="24"/>
          <w:szCs w:val="24"/>
        </w:rPr>
        <w:t xml:space="preserve">where the </w:t>
      </w:r>
      <w:r w:rsidR="00861D64" w:rsidRPr="00344B20">
        <w:rPr>
          <w:rFonts w:ascii="Arial" w:hAnsi="Arial" w:cs="Arial"/>
          <w:i/>
          <w:sz w:val="24"/>
          <w:szCs w:val="24"/>
        </w:rPr>
        <w:t xml:space="preserve">audi </w:t>
      </w:r>
      <w:r w:rsidR="00861D64" w:rsidRPr="00344B20">
        <w:rPr>
          <w:rFonts w:ascii="Arial" w:hAnsi="Arial" w:cs="Arial"/>
          <w:sz w:val="24"/>
          <w:szCs w:val="24"/>
        </w:rPr>
        <w:t>rule was trampled on or place</w:t>
      </w:r>
      <w:r w:rsidR="00C56FE0" w:rsidRPr="00344B20">
        <w:rPr>
          <w:rFonts w:ascii="Arial" w:hAnsi="Arial" w:cs="Arial"/>
          <w:sz w:val="24"/>
          <w:szCs w:val="24"/>
        </w:rPr>
        <w:t>d</w:t>
      </w:r>
      <w:r w:rsidR="00861D64" w:rsidRPr="00344B20">
        <w:rPr>
          <w:rFonts w:ascii="Arial" w:hAnsi="Arial" w:cs="Arial"/>
          <w:sz w:val="24"/>
          <w:szCs w:val="24"/>
        </w:rPr>
        <w:t xml:space="preserve"> in abeyance whenever it suited the then government. The purposes of POCA should be honoured but the implementation of provisions like s 51 should be aligned to our long established principles of law. In my opinion the use of the word </w:t>
      </w:r>
      <w:r w:rsidR="009D6F8D" w:rsidRPr="00344B20">
        <w:rPr>
          <w:rFonts w:ascii="Arial" w:hAnsi="Arial" w:cs="Arial"/>
          <w:sz w:val="24"/>
          <w:szCs w:val="24"/>
        </w:rPr>
        <w:t>‘</w:t>
      </w:r>
      <w:r w:rsidR="00861D64" w:rsidRPr="00344B20">
        <w:rPr>
          <w:rFonts w:ascii="Arial" w:hAnsi="Arial" w:cs="Arial"/>
          <w:sz w:val="24"/>
          <w:szCs w:val="24"/>
        </w:rPr>
        <w:t>may</w:t>
      </w:r>
      <w:r w:rsidR="009D6F8D" w:rsidRPr="00344B20">
        <w:rPr>
          <w:rFonts w:ascii="Arial" w:hAnsi="Arial" w:cs="Arial"/>
          <w:sz w:val="24"/>
          <w:szCs w:val="24"/>
        </w:rPr>
        <w:t>’</w:t>
      </w:r>
      <w:r w:rsidR="00861D64" w:rsidRPr="00344B20">
        <w:rPr>
          <w:rFonts w:ascii="Arial" w:hAnsi="Arial" w:cs="Arial"/>
          <w:sz w:val="24"/>
          <w:szCs w:val="24"/>
        </w:rPr>
        <w:t xml:space="preserve"> in s 51 and provisions of s 91 and the regulations</w:t>
      </w:r>
      <w:r w:rsidR="00C56FE0" w:rsidRPr="00344B20">
        <w:rPr>
          <w:rFonts w:ascii="Arial" w:hAnsi="Arial" w:cs="Arial"/>
          <w:sz w:val="24"/>
          <w:szCs w:val="24"/>
        </w:rPr>
        <w:t>,</w:t>
      </w:r>
      <w:r w:rsidR="00861D64" w:rsidRPr="00344B20">
        <w:rPr>
          <w:rFonts w:ascii="Arial" w:hAnsi="Arial" w:cs="Arial"/>
          <w:sz w:val="24"/>
          <w:szCs w:val="24"/>
        </w:rPr>
        <w:t xml:space="preserve"> the legislature must somehow have had the </w:t>
      </w:r>
      <w:r w:rsidR="00861D64" w:rsidRPr="00344B20">
        <w:rPr>
          <w:rFonts w:ascii="Arial" w:hAnsi="Arial" w:cs="Arial"/>
          <w:i/>
          <w:sz w:val="24"/>
          <w:szCs w:val="24"/>
        </w:rPr>
        <w:t xml:space="preserve">audi </w:t>
      </w:r>
      <w:r w:rsidR="00861D64" w:rsidRPr="00344B20">
        <w:rPr>
          <w:rFonts w:ascii="Arial" w:hAnsi="Arial" w:cs="Arial"/>
          <w:sz w:val="24"/>
          <w:szCs w:val="24"/>
        </w:rPr>
        <w:t xml:space="preserve">principle in mind and the courts should ensure that s 51 is implemented fairly. </w:t>
      </w:r>
      <w:r w:rsidRPr="00344B20">
        <w:rPr>
          <w:rFonts w:ascii="Arial" w:hAnsi="Arial" w:cs="Arial"/>
          <w:sz w:val="24"/>
          <w:szCs w:val="24"/>
        </w:rPr>
        <w:t xml:space="preserve"> </w:t>
      </w:r>
    </w:p>
    <w:p w:rsidR="00824D3B" w:rsidRDefault="00824D3B" w:rsidP="00861D64">
      <w:pPr>
        <w:spacing w:after="0" w:line="480" w:lineRule="auto"/>
        <w:jc w:val="both"/>
        <w:rPr>
          <w:rFonts w:ascii="Arial" w:hAnsi="Arial" w:cs="Arial"/>
          <w:sz w:val="24"/>
          <w:szCs w:val="24"/>
        </w:rPr>
      </w:pPr>
    </w:p>
    <w:p w:rsidR="00DF4358" w:rsidRDefault="00DF4358" w:rsidP="00861D64">
      <w:pPr>
        <w:spacing w:after="0" w:line="480" w:lineRule="auto"/>
        <w:jc w:val="both"/>
        <w:rPr>
          <w:rFonts w:ascii="Arial" w:hAnsi="Arial" w:cs="Arial"/>
          <w:sz w:val="24"/>
          <w:szCs w:val="24"/>
        </w:rPr>
      </w:pPr>
    </w:p>
    <w:p w:rsidR="00DF4358" w:rsidRDefault="00DF4358" w:rsidP="00861D64">
      <w:pPr>
        <w:spacing w:after="0" w:line="480" w:lineRule="auto"/>
        <w:jc w:val="both"/>
        <w:rPr>
          <w:rFonts w:ascii="Arial" w:hAnsi="Arial" w:cs="Arial"/>
          <w:sz w:val="24"/>
          <w:szCs w:val="24"/>
        </w:rPr>
      </w:pPr>
    </w:p>
    <w:p w:rsidR="00861D64" w:rsidRPr="00C56FE0" w:rsidRDefault="00861D64" w:rsidP="00861D64">
      <w:pPr>
        <w:spacing w:after="0" w:line="480" w:lineRule="auto"/>
        <w:jc w:val="both"/>
        <w:rPr>
          <w:rFonts w:ascii="Arial" w:hAnsi="Arial" w:cs="Arial"/>
          <w:sz w:val="24"/>
          <w:szCs w:val="24"/>
          <w:u w:val="single"/>
        </w:rPr>
      </w:pPr>
      <w:r w:rsidRPr="00C56FE0">
        <w:rPr>
          <w:rFonts w:ascii="Arial" w:hAnsi="Arial" w:cs="Arial"/>
          <w:sz w:val="24"/>
          <w:szCs w:val="24"/>
          <w:u w:val="single"/>
        </w:rPr>
        <w:lastRenderedPageBreak/>
        <w:t xml:space="preserve">Whether the </w:t>
      </w:r>
      <w:r w:rsidR="006B4B45" w:rsidRPr="00C56FE0">
        <w:rPr>
          <w:rFonts w:ascii="Arial" w:hAnsi="Arial" w:cs="Arial"/>
          <w:sz w:val="24"/>
          <w:szCs w:val="24"/>
          <w:u w:val="single"/>
        </w:rPr>
        <w:t>appellant</w:t>
      </w:r>
      <w:r w:rsidRPr="00C56FE0">
        <w:rPr>
          <w:rFonts w:ascii="Arial" w:hAnsi="Arial" w:cs="Arial"/>
          <w:sz w:val="24"/>
          <w:szCs w:val="24"/>
          <w:u w:val="single"/>
        </w:rPr>
        <w:t xml:space="preserve"> was entitled to apply for and obtain the second preservation order.</w:t>
      </w:r>
    </w:p>
    <w:p w:rsidR="006B4B45" w:rsidRDefault="00861D64" w:rsidP="00344B20">
      <w:pPr>
        <w:pStyle w:val="ListParagraph"/>
        <w:numPr>
          <w:ilvl w:val="0"/>
          <w:numId w:val="1"/>
        </w:numPr>
        <w:tabs>
          <w:tab w:val="left" w:pos="851"/>
        </w:tabs>
        <w:spacing w:after="0" w:line="480" w:lineRule="auto"/>
        <w:ind w:left="0" w:firstLine="0"/>
        <w:jc w:val="both"/>
        <w:rPr>
          <w:rFonts w:ascii="Arial" w:hAnsi="Arial" w:cs="Arial"/>
          <w:sz w:val="24"/>
          <w:szCs w:val="24"/>
        </w:rPr>
      </w:pPr>
      <w:r w:rsidRPr="00344B20">
        <w:rPr>
          <w:rFonts w:ascii="Arial" w:hAnsi="Arial" w:cs="Arial"/>
          <w:sz w:val="24"/>
          <w:szCs w:val="24"/>
        </w:rPr>
        <w:t xml:space="preserve">In my opinion this question would depend on the circumstances of each case. The </w:t>
      </w:r>
      <w:r w:rsidR="006B4B45" w:rsidRPr="00344B20">
        <w:rPr>
          <w:rFonts w:ascii="Arial" w:hAnsi="Arial" w:cs="Arial"/>
          <w:sz w:val="24"/>
          <w:szCs w:val="24"/>
        </w:rPr>
        <w:t>appellant</w:t>
      </w:r>
      <w:r w:rsidRPr="00344B20">
        <w:rPr>
          <w:rFonts w:ascii="Arial" w:hAnsi="Arial" w:cs="Arial"/>
          <w:sz w:val="24"/>
          <w:szCs w:val="24"/>
        </w:rPr>
        <w:t xml:space="preserve"> has no entitlement to bring a second, third, fourth and more applications on the preservation of the s</w:t>
      </w:r>
      <w:r w:rsidR="00C56FE0" w:rsidRPr="00344B20">
        <w:rPr>
          <w:rFonts w:ascii="Arial" w:hAnsi="Arial" w:cs="Arial"/>
          <w:sz w:val="24"/>
          <w:szCs w:val="24"/>
        </w:rPr>
        <w:t>a</w:t>
      </w:r>
      <w:r w:rsidRPr="00344B20">
        <w:rPr>
          <w:rFonts w:ascii="Arial" w:hAnsi="Arial" w:cs="Arial"/>
          <w:sz w:val="24"/>
          <w:szCs w:val="24"/>
        </w:rPr>
        <w:t xml:space="preserve">me property as counsel for the </w:t>
      </w:r>
      <w:r w:rsidR="006B4B45" w:rsidRPr="00344B20">
        <w:rPr>
          <w:rFonts w:ascii="Arial" w:hAnsi="Arial" w:cs="Arial"/>
          <w:sz w:val="24"/>
          <w:szCs w:val="24"/>
        </w:rPr>
        <w:t>appellant</w:t>
      </w:r>
      <w:r w:rsidRPr="00344B20">
        <w:rPr>
          <w:rFonts w:ascii="Arial" w:hAnsi="Arial" w:cs="Arial"/>
          <w:sz w:val="24"/>
          <w:szCs w:val="24"/>
        </w:rPr>
        <w:t xml:space="preserve"> argued before us. It is startling if not absurd to think that the </w:t>
      </w:r>
      <w:r w:rsidR="006B4B45" w:rsidRPr="00344B20">
        <w:rPr>
          <w:rFonts w:ascii="Arial" w:hAnsi="Arial" w:cs="Arial"/>
          <w:sz w:val="24"/>
          <w:szCs w:val="24"/>
        </w:rPr>
        <w:t>appellant</w:t>
      </w:r>
      <w:r w:rsidRPr="00344B20">
        <w:rPr>
          <w:rFonts w:ascii="Arial" w:hAnsi="Arial" w:cs="Arial"/>
          <w:sz w:val="24"/>
          <w:szCs w:val="24"/>
        </w:rPr>
        <w:t xml:space="preserve"> can approach court six times </w:t>
      </w:r>
      <w:r w:rsidR="00041F04" w:rsidRPr="00344B20">
        <w:rPr>
          <w:rFonts w:ascii="Arial" w:hAnsi="Arial" w:cs="Arial"/>
          <w:sz w:val="24"/>
          <w:szCs w:val="24"/>
        </w:rPr>
        <w:t>on application for the preservation of the same property. That would be a serious violation of rights of the person whose property has been ordered for preservation. In the wisdom of the legislature</w:t>
      </w:r>
      <w:r w:rsidR="009D6F8D" w:rsidRPr="00344B20">
        <w:rPr>
          <w:rFonts w:ascii="Arial" w:hAnsi="Arial" w:cs="Arial"/>
          <w:sz w:val="24"/>
          <w:szCs w:val="24"/>
        </w:rPr>
        <w:t>,</w:t>
      </w:r>
      <w:r w:rsidR="00041F04" w:rsidRPr="00344B20">
        <w:rPr>
          <w:rFonts w:ascii="Arial" w:hAnsi="Arial" w:cs="Arial"/>
          <w:sz w:val="24"/>
          <w:szCs w:val="24"/>
        </w:rPr>
        <w:t xml:space="preserve"> a preservation of property order expires 120 days after the date on which notice of the making of the order is published in the </w:t>
      </w:r>
      <w:r w:rsidR="00344B20" w:rsidRPr="00344B20">
        <w:rPr>
          <w:rFonts w:ascii="Arial" w:hAnsi="Arial" w:cs="Arial"/>
          <w:i/>
          <w:sz w:val="24"/>
          <w:szCs w:val="24"/>
        </w:rPr>
        <w:t>G</w:t>
      </w:r>
      <w:r w:rsidR="00041F04" w:rsidRPr="00344B20">
        <w:rPr>
          <w:rFonts w:ascii="Arial" w:hAnsi="Arial" w:cs="Arial"/>
          <w:i/>
          <w:sz w:val="24"/>
          <w:szCs w:val="24"/>
        </w:rPr>
        <w:t>azette</w:t>
      </w:r>
      <w:r w:rsidR="009D6F8D" w:rsidRPr="00344B20">
        <w:rPr>
          <w:rFonts w:ascii="Arial" w:hAnsi="Arial" w:cs="Arial"/>
          <w:sz w:val="24"/>
          <w:szCs w:val="24"/>
        </w:rPr>
        <w:t>.</w:t>
      </w:r>
      <w:r w:rsidR="00041F04">
        <w:rPr>
          <w:rStyle w:val="FootnoteReference"/>
          <w:rFonts w:ascii="Arial" w:hAnsi="Arial" w:cs="Arial"/>
          <w:sz w:val="24"/>
          <w:szCs w:val="24"/>
        </w:rPr>
        <w:footnoteReference w:id="37"/>
      </w:r>
      <w:r w:rsidR="00041F04" w:rsidRPr="00344B20">
        <w:rPr>
          <w:rFonts w:ascii="Arial" w:hAnsi="Arial" w:cs="Arial"/>
          <w:sz w:val="24"/>
          <w:szCs w:val="24"/>
        </w:rPr>
        <w:t xml:space="preserve"> The 120 days is just not a number, the legislature intended for the parties involved, to attend to all that is necessary within th</w:t>
      </w:r>
      <w:r w:rsidR="00344B20">
        <w:rPr>
          <w:rFonts w:ascii="Arial" w:hAnsi="Arial" w:cs="Arial"/>
          <w:sz w:val="24"/>
          <w:szCs w:val="24"/>
        </w:rPr>
        <w:t>ose</w:t>
      </w:r>
      <w:r w:rsidR="00041F04" w:rsidRPr="00344B20">
        <w:rPr>
          <w:rFonts w:ascii="Arial" w:hAnsi="Arial" w:cs="Arial"/>
          <w:sz w:val="24"/>
          <w:szCs w:val="24"/>
        </w:rPr>
        <w:t xml:space="preserve"> 120 days before the forfeiture application. Preservation of someone’s property for more than 120 days </w:t>
      </w:r>
      <w:r w:rsidR="00041F04" w:rsidRPr="00344B20">
        <w:rPr>
          <w:rFonts w:ascii="Arial" w:hAnsi="Arial" w:cs="Arial"/>
          <w:i/>
          <w:sz w:val="24"/>
          <w:szCs w:val="24"/>
        </w:rPr>
        <w:t>ex parte</w:t>
      </w:r>
      <w:r w:rsidR="00041F04" w:rsidRPr="00344B20">
        <w:rPr>
          <w:rFonts w:ascii="Arial" w:hAnsi="Arial" w:cs="Arial"/>
          <w:sz w:val="24"/>
          <w:szCs w:val="24"/>
        </w:rPr>
        <w:t xml:space="preserve"> is a very drastic step, and the </w:t>
      </w:r>
      <w:r w:rsidR="006B4B45" w:rsidRPr="00344B20">
        <w:rPr>
          <w:rFonts w:ascii="Arial" w:hAnsi="Arial" w:cs="Arial"/>
          <w:sz w:val="24"/>
          <w:szCs w:val="24"/>
        </w:rPr>
        <w:t>appellant should always be conscious of that and so is the fact that not all property subject to a preservation of property order, would be forfeited on application</w:t>
      </w:r>
      <w:r w:rsidR="00344B20">
        <w:rPr>
          <w:rFonts w:ascii="Arial" w:hAnsi="Arial" w:cs="Arial"/>
          <w:sz w:val="24"/>
          <w:szCs w:val="24"/>
        </w:rPr>
        <w:t>;</w:t>
      </w:r>
      <w:r w:rsidR="006B4B45" w:rsidRPr="00344B20">
        <w:rPr>
          <w:rFonts w:ascii="Arial" w:hAnsi="Arial" w:cs="Arial"/>
          <w:sz w:val="24"/>
          <w:szCs w:val="24"/>
        </w:rPr>
        <w:t xml:space="preserve"> some applications would fail.</w:t>
      </w:r>
    </w:p>
    <w:p w:rsidR="00344B20" w:rsidRDefault="00344B20" w:rsidP="00344B20">
      <w:pPr>
        <w:pStyle w:val="ListParagraph"/>
        <w:tabs>
          <w:tab w:val="left" w:pos="851"/>
        </w:tabs>
        <w:spacing w:after="0" w:line="480" w:lineRule="auto"/>
        <w:ind w:left="0"/>
        <w:jc w:val="both"/>
        <w:rPr>
          <w:rFonts w:ascii="Arial" w:hAnsi="Arial" w:cs="Arial"/>
          <w:sz w:val="24"/>
          <w:szCs w:val="24"/>
        </w:rPr>
      </w:pPr>
    </w:p>
    <w:p w:rsidR="006B4B45" w:rsidRPr="00344B20" w:rsidRDefault="006B4B45" w:rsidP="00344B20">
      <w:pPr>
        <w:pStyle w:val="ListParagraph"/>
        <w:numPr>
          <w:ilvl w:val="0"/>
          <w:numId w:val="1"/>
        </w:numPr>
        <w:tabs>
          <w:tab w:val="left" w:pos="851"/>
        </w:tabs>
        <w:spacing w:after="0" w:line="480" w:lineRule="auto"/>
        <w:ind w:left="0" w:firstLine="0"/>
        <w:jc w:val="both"/>
        <w:rPr>
          <w:rFonts w:ascii="Arial" w:hAnsi="Arial" w:cs="Arial"/>
          <w:sz w:val="24"/>
          <w:szCs w:val="24"/>
        </w:rPr>
      </w:pPr>
      <w:r w:rsidRPr="00344B20">
        <w:rPr>
          <w:rFonts w:ascii="Arial" w:hAnsi="Arial" w:cs="Arial"/>
          <w:sz w:val="24"/>
          <w:szCs w:val="24"/>
        </w:rPr>
        <w:t>In this court</w:t>
      </w:r>
      <w:r w:rsidR="009D6F8D" w:rsidRPr="00344B20">
        <w:rPr>
          <w:rFonts w:ascii="Arial" w:hAnsi="Arial" w:cs="Arial"/>
          <w:sz w:val="24"/>
          <w:szCs w:val="24"/>
        </w:rPr>
        <w:t>,</w:t>
      </w:r>
      <w:r w:rsidRPr="00344B20">
        <w:rPr>
          <w:rFonts w:ascii="Arial" w:hAnsi="Arial" w:cs="Arial"/>
          <w:sz w:val="24"/>
          <w:szCs w:val="24"/>
        </w:rPr>
        <w:t xml:space="preserve"> counsel for the appellant in his heads of argument, argued that the first preservation of property order lapsed </w:t>
      </w:r>
      <w:r w:rsidRPr="00344B20">
        <w:rPr>
          <w:rFonts w:ascii="Arial" w:hAnsi="Arial" w:cs="Arial"/>
          <w:i/>
          <w:sz w:val="24"/>
          <w:szCs w:val="24"/>
        </w:rPr>
        <w:t>ex lege</w:t>
      </w:r>
      <w:r w:rsidRPr="00344B20">
        <w:rPr>
          <w:rFonts w:ascii="Arial" w:hAnsi="Arial" w:cs="Arial"/>
          <w:sz w:val="24"/>
          <w:szCs w:val="24"/>
        </w:rPr>
        <w:t xml:space="preserve">, and relied on para 28 in the </w:t>
      </w:r>
      <w:r w:rsidR="00216572" w:rsidRPr="00344B20">
        <w:rPr>
          <w:rFonts w:ascii="Arial" w:hAnsi="Arial" w:cs="Arial"/>
          <w:sz w:val="24"/>
          <w:szCs w:val="24"/>
        </w:rPr>
        <w:t xml:space="preserve">matter of </w:t>
      </w:r>
      <w:r w:rsidR="00216572" w:rsidRPr="00344B20">
        <w:rPr>
          <w:rFonts w:ascii="Arial" w:hAnsi="Arial" w:cs="Arial"/>
          <w:i/>
          <w:sz w:val="24"/>
          <w:szCs w:val="24"/>
        </w:rPr>
        <w:t>Swakopmund Airfield CC v Council of Municipality of Swakopmund</w:t>
      </w:r>
      <w:r w:rsidR="00216572">
        <w:rPr>
          <w:rStyle w:val="FootnoteReference"/>
          <w:rFonts w:ascii="Arial" w:hAnsi="Arial" w:cs="Arial"/>
          <w:sz w:val="24"/>
          <w:szCs w:val="24"/>
        </w:rPr>
        <w:footnoteReference w:id="38"/>
      </w:r>
      <w:r w:rsidR="00A566DD" w:rsidRPr="00344B20">
        <w:rPr>
          <w:rFonts w:ascii="Arial" w:hAnsi="Arial" w:cs="Arial"/>
          <w:sz w:val="24"/>
          <w:szCs w:val="24"/>
        </w:rPr>
        <w:t xml:space="preserve"> to </w:t>
      </w:r>
      <w:r w:rsidR="00A566DD" w:rsidRPr="00344B20">
        <w:rPr>
          <w:rFonts w:ascii="Arial" w:hAnsi="Arial" w:cs="Arial"/>
          <w:sz w:val="24"/>
          <w:szCs w:val="24"/>
        </w:rPr>
        <w:lastRenderedPageBreak/>
        <w:t xml:space="preserve">argue that once the first preservation of property order lapsed </w:t>
      </w:r>
      <w:r w:rsidR="00A566DD" w:rsidRPr="00344B20">
        <w:rPr>
          <w:rFonts w:ascii="Arial" w:hAnsi="Arial" w:cs="Arial"/>
          <w:i/>
          <w:sz w:val="24"/>
          <w:szCs w:val="24"/>
        </w:rPr>
        <w:t>ex lege</w:t>
      </w:r>
      <w:r w:rsidR="00A566DD" w:rsidRPr="00344B20">
        <w:rPr>
          <w:rFonts w:ascii="Arial" w:hAnsi="Arial" w:cs="Arial"/>
          <w:sz w:val="24"/>
          <w:szCs w:val="24"/>
        </w:rPr>
        <w:t xml:space="preserve">, there was no lis between the parties, and as the merits were not decided, the appellant was entitled to bring the second application. In my opinion the principle in para 28 of the </w:t>
      </w:r>
      <w:r w:rsidR="00A566DD" w:rsidRPr="00E1419D">
        <w:rPr>
          <w:rFonts w:ascii="Arial" w:hAnsi="Arial" w:cs="Arial"/>
          <w:i/>
          <w:sz w:val="24"/>
          <w:szCs w:val="24"/>
        </w:rPr>
        <w:t>Municipality of Swakopmund</w:t>
      </w:r>
      <w:r w:rsidR="00A566DD" w:rsidRPr="00344B20">
        <w:rPr>
          <w:rFonts w:ascii="Arial" w:hAnsi="Arial" w:cs="Arial"/>
          <w:sz w:val="24"/>
          <w:szCs w:val="24"/>
        </w:rPr>
        <w:t xml:space="preserve"> is distinguishable from the facts of this case. In that case it was a failure to comply with the rules, while in this case it was a deliberate act (as the court </w:t>
      </w:r>
      <w:r w:rsidR="00A566DD" w:rsidRPr="00B303CA">
        <w:rPr>
          <w:rFonts w:ascii="Arial" w:hAnsi="Arial" w:cs="Arial"/>
          <w:sz w:val="24"/>
          <w:szCs w:val="24"/>
        </w:rPr>
        <w:t>a quo</w:t>
      </w:r>
      <w:r w:rsidR="00A566DD" w:rsidRPr="00344B20">
        <w:rPr>
          <w:rFonts w:ascii="Arial" w:hAnsi="Arial" w:cs="Arial"/>
          <w:i/>
          <w:sz w:val="24"/>
          <w:szCs w:val="24"/>
        </w:rPr>
        <w:t xml:space="preserve"> </w:t>
      </w:r>
      <w:r w:rsidR="00A566DD" w:rsidRPr="00344B20">
        <w:rPr>
          <w:rFonts w:ascii="Arial" w:hAnsi="Arial" w:cs="Arial"/>
          <w:sz w:val="24"/>
          <w:szCs w:val="24"/>
        </w:rPr>
        <w:t>had put it) by the appellant calculated to give her office a tactical advantage when she let the first preservation of proper</w:t>
      </w:r>
      <w:r w:rsidR="00C56FE0" w:rsidRPr="00344B20">
        <w:rPr>
          <w:rFonts w:ascii="Arial" w:hAnsi="Arial" w:cs="Arial"/>
          <w:sz w:val="24"/>
          <w:szCs w:val="24"/>
        </w:rPr>
        <w:t xml:space="preserve">ty order lapse. The question is, </w:t>
      </w:r>
      <w:r w:rsidR="00A566DD" w:rsidRPr="00344B20">
        <w:rPr>
          <w:rFonts w:ascii="Arial" w:hAnsi="Arial" w:cs="Arial"/>
          <w:sz w:val="24"/>
          <w:szCs w:val="24"/>
        </w:rPr>
        <w:t xml:space="preserve">at what point did the appellant discover that the </w:t>
      </w:r>
      <w:r w:rsidR="00C56FE0" w:rsidRPr="00344B20">
        <w:rPr>
          <w:rFonts w:ascii="Arial" w:hAnsi="Arial" w:cs="Arial"/>
          <w:sz w:val="24"/>
          <w:szCs w:val="24"/>
        </w:rPr>
        <w:t xml:space="preserve">determination issued by the FIC was not published in the </w:t>
      </w:r>
      <w:r w:rsidR="00C56FE0" w:rsidRPr="00E1419D">
        <w:rPr>
          <w:rFonts w:ascii="Arial" w:hAnsi="Arial" w:cs="Arial"/>
          <w:i/>
          <w:sz w:val="24"/>
          <w:szCs w:val="24"/>
        </w:rPr>
        <w:t>Government Gazette</w:t>
      </w:r>
      <w:r w:rsidR="00A566DD" w:rsidRPr="00344B20">
        <w:rPr>
          <w:rFonts w:ascii="Arial" w:hAnsi="Arial" w:cs="Arial"/>
          <w:sz w:val="24"/>
          <w:szCs w:val="24"/>
        </w:rPr>
        <w:t xml:space="preserve">? </w:t>
      </w:r>
      <w:r w:rsidR="00276C05" w:rsidRPr="00344B20">
        <w:rPr>
          <w:rFonts w:ascii="Arial" w:hAnsi="Arial" w:cs="Arial"/>
          <w:sz w:val="24"/>
          <w:szCs w:val="24"/>
        </w:rPr>
        <w:t xml:space="preserve">Publication </w:t>
      </w:r>
      <w:r w:rsidR="00A566DD" w:rsidRPr="00344B20">
        <w:rPr>
          <w:rFonts w:ascii="Arial" w:hAnsi="Arial" w:cs="Arial"/>
          <w:sz w:val="24"/>
          <w:szCs w:val="24"/>
        </w:rPr>
        <w:t xml:space="preserve">of the </w:t>
      </w:r>
      <w:r w:rsidR="00C56FE0" w:rsidRPr="00344B20">
        <w:rPr>
          <w:rFonts w:ascii="Arial" w:hAnsi="Arial" w:cs="Arial"/>
          <w:sz w:val="24"/>
          <w:szCs w:val="24"/>
        </w:rPr>
        <w:t>determination</w:t>
      </w:r>
      <w:r w:rsidR="00A566DD" w:rsidRPr="00344B20">
        <w:rPr>
          <w:rFonts w:ascii="Arial" w:hAnsi="Arial" w:cs="Arial"/>
          <w:sz w:val="24"/>
          <w:szCs w:val="24"/>
        </w:rPr>
        <w:t xml:space="preserve"> in the </w:t>
      </w:r>
      <w:r w:rsidR="00E1419D" w:rsidRPr="00E1419D">
        <w:rPr>
          <w:rFonts w:ascii="Arial" w:hAnsi="Arial" w:cs="Arial"/>
          <w:i/>
          <w:sz w:val="24"/>
          <w:szCs w:val="24"/>
        </w:rPr>
        <w:t>G</w:t>
      </w:r>
      <w:r w:rsidR="00A566DD" w:rsidRPr="00E1419D">
        <w:rPr>
          <w:rFonts w:ascii="Arial" w:hAnsi="Arial" w:cs="Arial"/>
          <w:i/>
          <w:sz w:val="24"/>
          <w:szCs w:val="24"/>
        </w:rPr>
        <w:t>azette</w:t>
      </w:r>
      <w:r w:rsidR="00A566DD" w:rsidRPr="00344B20">
        <w:rPr>
          <w:rFonts w:ascii="Arial" w:hAnsi="Arial" w:cs="Arial"/>
          <w:sz w:val="24"/>
          <w:szCs w:val="24"/>
        </w:rPr>
        <w:t xml:space="preserve"> is very crucial in </w:t>
      </w:r>
      <w:r w:rsidR="00C56FE0" w:rsidRPr="00344B20">
        <w:rPr>
          <w:rFonts w:ascii="Arial" w:hAnsi="Arial" w:cs="Arial"/>
          <w:sz w:val="24"/>
          <w:szCs w:val="24"/>
        </w:rPr>
        <w:t>setting the application for preservation of property order in motion</w:t>
      </w:r>
      <w:r w:rsidR="00A566DD" w:rsidRPr="00344B20">
        <w:rPr>
          <w:rFonts w:ascii="Arial" w:hAnsi="Arial" w:cs="Arial"/>
          <w:sz w:val="24"/>
          <w:szCs w:val="24"/>
        </w:rPr>
        <w:t>. At the time she discovered the non-</w:t>
      </w:r>
      <w:r w:rsidR="00276C05" w:rsidRPr="00344B20">
        <w:rPr>
          <w:rFonts w:ascii="Arial" w:hAnsi="Arial" w:cs="Arial"/>
          <w:sz w:val="24"/>
          <w:szCs w:val="24"/>
        </w:rPr>
        <w:t>publication</w:t>
      </w:r>
      <w:r w:rsidR="00A566DD" w:rsidRPr="00344B20">
        <w:rPr>
          <w:rFonts w:ascii="Arial" w:hAnsi="Arial" w:cs="Arial"/>
          <w:sz w:val="24"/>
          <w:szCs w:val="24"/>
        </w:rPr>
        <w:t xml:space="preserve"> why</w:t>
      </w:r>
      <w:r w:rsidR="00486E00" w:rsidRPr="00344B20">
        <w:rPr>
          <w:rFonts w:ascii="Arial" w:hAnsi="Arial" w:cs="Arial"/>
          <w:sz w:val="24"/>
          <w:szCs w:val="24"/>
        </w:rPr>
        <w:t xml:space="preserve"> did she </w:t>
      </w:r>
      <w:r w:rsidR="00E1419D">
        <w:rPr>
          <w:rFonts w:ascii="Arial" w:hAnsi="Arial" w:cs="Arial"/>
          <w:sz w:val="24"/>
          <w:szCs w:val="24"/>
        </w:rPr>
        <w:t xml:space="preserve">not </w:t>
      </w:r>
      <w:r w:rsidR="00486E00" w:rsidRPr="00344B20">
        <w:rPr>
          <w:rFonts w:ascii="Arial" w:hAnsi="Arial" w:cs="Arial"/>
          <w:sz w:val="24"/>
          <w:szCs w:val="24"/>
        </w:rPr>
        <w:t>approach the court to cancel the order? Why would she sit back after the discovery and let the order lapse. The respondents through legal channels approached the banks in Namibia to open an account with the purpose of paying the Spanish companies. In this court we were not informed why after the discovery of the non-</w:t>
      </w:r>
      <w:r w:rsidR="00276C05" w:rsidRPr="00344B20">
        <w:rPr>
          <w:rFonts w:ascii="Arial" w:hAnsi="Arial" w:cs="Arial"/>
          <w:sz w:val="24"/>
          <w:szCs w:val="24"/>
        </w:rPr>
        <w:t>publication</w:t>
      </w:r>
      <w:r w:rsidR="00486E00" w:rsidRPr="00344B20">
        <w:rPr>
          <w:rFonts w:ascii="Arial" w:hAnsi="Arial" w:cs="Arial"/>
          <w:sz w:val="24"/>
          <w:szCs w:val="24"/>
        </w:rPr>
        <w:t xml:space="preserve"> the appellant did</w:t>
      </w:r>
      <w:r w:rsidR="009D6F8D" w:rsidRPr="00344B20">
        <w:rPr>
          <w:rFonts w:ascii="Arial" w:hAnsi="Arial" w:cs="Arial"/>
          <w:sz w:val="24"/>
          <w:szCs w:val="24"/>
        </w:rPr>
        <w:t xml:space="preserve"> not</w:t>
      </w:r>
      <w:r w:rsidR="00486E00" w:rsidRPr="00344B20">
        <w:rPr>
          <w:rFonts w:ascii="Arial" w:hAnsi="Arial" w:cs="Arial"/>
          <w:sz w:val="24"/>
          <w:szCs w:val="24"/>
        </w:rPr>
        <w:t xml:space="preserve"> seek to cancel the order immediately. </w:t>
      </w:r>
      <w:r w:rsidR="00486E00" w:rsidRPr="00344B20">
        <w:rPr>
          <w:rFonts w:ascii="Arial" w:hAnsi="Arial" w:cs="Arial"/>
          <w:sz w:val="24"/>
          <w:szCs w:val="24"/>
        </w:rPr>
        <w:lastRenderedPageBreak/>
        <w:t>There must be a very good reason why a second preservation of property order should be sought, unfounded reasons or what amounts to an abuse of s 51 would not be tolerated. For the reason that she deliberately let the order lapse</w:t>
      </w:r>
      <w:r w:rsidR="00A2079D" w:rsidRPr="00344B20">
        <w:rPr>
          <w:rFonts w:ascii="Arial" w:hAnsi="Arial" w:cs="Arial"/>
          <w:sz w:val="24"/>
          <w:szCs w:val="24"/>
        </w:rPr>
        <w:t xml:space="preserve"> and failed to set out good reasons justifying a second preservation order</w:t>
      </w:r>
      <w:r w:rsidR="00486E00" w:rsidRPr="00344B20">
        <w:rPr>
          <w:rFonts w:ascii="Arial" w:hAnsi="Arial" w:cs="Arial"/>
          <w:sz w:val="24"/>
          <w:szCs w:val="24"/>
        </w:rPr>
        <w:t>, I hold that she was not entitled to a second preservation of property order as she abused the provisions of s 51.</w:t>
      </w:r>
    </w:p>
    <w:p w:rsidR="00C56FE0" w:rsidRDefault="00C56FE0" w:rsidP="00486E00">
      <w:pPr>
        <w:pStyle w:val="ListParagraph"/>
        <w:tabs>
          <w:tab w:val="left" w:pos="851"/>
        </w:tabs>
        <w:spacing w:after="0" w:line="480" w:lineRule="auto"/>
        <w:ind w:left="0"/>
        <w:jc w:val="both"/>
        <w:rPr>
          <w:rFonts w:ascii="Arial" w:hAnsi="Arial" w:cs="Arial"/>
          <w:sz w:val="24"/>
          <w:szCs w:val="24"/>
        </w:rPr>
      </w:pPr>
    </w:p>
    <w:p w:rsidR="00486E00" w:rsidRPr="00C56FE0" w:rsidRDefault="00486E00" w:rsidP="00486E00">
      <w:pPr>
        <w:pStyle w:val="ListParagraph"/>
        <w:tabs>
          <w:tab w:val="left" w:pos="851"/>
        </w:tabs>
        <w:spacing w:after="0" w:line="480" w:lineRule="auto"/>
        <w:ind w:left="0"/>
        <w:jc w:val="both"/>
        <w:rPr>
          <w:rFonts w:ascii="Arial" w:hAnsi="Arial" w:cs="Arial"/>
          <w:sz w:val="24"/>
          <w:szCs w:val="24"/>
          <w:u w:val="single"/>
        </w:rPr>
      </w:pPr>
      <w:r w:rsidRPr="00C56FE0">
        <w:rPr>
          <w:rFonts w:ascii="Arial" w:hAnsi="Arial" w:cs="Arial"/>
          <w:sz w:val="24"/>
          <w:szCs w:val="24"/>
          <w:u w:val="single"/>
        </w:rPr>
        <w:t xml:space="preserve">The </w:t>
      </w:r>
      <w:r w:rsidR="006670E2">
        <w:rPr>
          <w:rFonts w:ascii="Arial" w:hAnsi="Arial" w:cs="Arial"/>
          <w:sz w:val="24"/>
          <w:szCs w:val="24"/>
          <w:u w:val="single"/>
        </w:rPr>
        <w:t>m</w:t>
      </w:r>
      <w:r w:rsidRPr="00C56FE0">
        <w:rPr>
          <w:rFonts w:ascii="Arial" w:hAnsi="Arial" w:cs="Arial"/>
          <w:sz w:val="24"/>
          <w:szCs w:val="24"/>
          <w:u w:val="single"/>
        </w:rPr>
        <w:t xml:space="preserve">aterial </w:t>
      </w:r>
      <w:r w:rsidR="006670E2">
        <w:rPr>
          <w:rFonts w:ascii="Arial" w:hAnsi="Arial" w:cs="Arial"/>
          <w:sz w:val="24"/>
          <w:szCs w:val="24"/>
          <w:u w:val="single"/>
        </w:rPr>
        <w:t>n</w:t>
      </w:r>
      <w:r w:rsidRPr="00C56FE0">
        <w:rPr>
          <w:rFonts w:ascii="Arial" w:hAnsi="Arial" w:cs="Arial"/>
          <w:sz w:val="24"/>
          <w:szCs w:val="24"/>
          <w:u w:val="single"/>
        </w:rPr>
        <w:t>on-</w:t>
      </w:r>
      <w:r w:rsidR="006670E2">
        <w:rPr>
          <w:rFonts w:ascii="Arial" w:hAnsi="Arial" w:cs="Arial"/>
          <w:sz w:val="24"/>
          <w:szCs w:val="24"/>
          <w:u w:val="single"/>
        </w:rPr>
        <w:t>d</w:t>
      </w:r>
      <w:r w:rsidRPr="00C56FE0">
        <w:rPr>
          <w:rFonts w:ascii="Arial" w:hAnsi="Arial" w:cs="Arial"/>
          <w:sz w:val="24"/>
          <w:szCs w:val="24"/>
          <w:u w:val="single"/>
        </w:rPr>
        <w:t>isclosures</w:t>
      </w:r>
    </w:p>
    <w:p w:rsidR="00EB4E29" w:rsidRDefault="00486E00" w:rsidP="00304298">
      <w:pPr>
        <w:pStyle w:val="ListParagraph"/>
        <w:numPr>
          <w:ilvl w:val="0"/>
          <w:numId w:val="1"/>
        </w:numPr>
        <w:tabs>
          <w:tab w:val="left" w:pos="851"/>
        </w:tabs>
        <w:spacing w:after="0" w:line="480" w:lineRule="auto"/>
        <w:ind w:left="0" w:firstLine="0"/>
        <w:jc w:val="both"/>
        <w:rPr>
          <w:rFonts w:ascii="Arial" w:hAnsi="Arial" w:cs="Arial"/>
          <w:sz w:val="24"/>
          <w:szCs w:val="24"/>
        </w:rPr>
      </w:pPr>
      <w:r w:rsidRPr="00304298">
        <w:rPr>
          <w:rFonts w:ascii="Arial" w:hAnsi="Arial" w:cs="Arial"/>
          <w:sz w:val="24"/>
          <w:szCs w:val="24"/>
        </w:rPr>
        <w:t xml:space="preserve">The respondents in their application to anticipate the interim preservation order granted in favour of the appellant in case number POCA 8/2017 on 26 May 2017, on an urgent and </w:t>
      </w:r>
      <w:r w:rsidRPr="00304298">
        <w:rPr>
          <w:rFonts w:ascii="Arial" w:hAnsi="Arial" w:cs="Arial"/>
          <w:i/>
          <w:sz w:val="24"/>
          <w:szCs w:val="24"/>
        </w:rPr>
        <w:t>ex parte</w:t>
      </w:r>
      <w:r w:rsidRPr="00304298">
        <w:rPr>
          <w:rFonts w:ascii="Arial" w:hAnsi="Arial" w:cs="Arial"/>
          <w:sz w:val="24"/>
          <w:szCs w:val="24"/>
        </w:rPr>
        <w:t xml:space="preserve"> basis allege that as was the case with POCA 1/2017</w:t>
      </w:r>
      <w:r w:rsidR="009D6F8D" w:rsidRPr="00304298">
        <w:rPr>
          <w:rFonts w:ascii="Arial" w:hAnsi="Arial" w:cs="Arial"/>
          <w:sz w:val="24"/>
          <w:szCs w:val="24"/>
        </w:rPr>
        <w:t>,</w:t>
      </w:r>
      <w:r w:rsidRPr="00304298">
        <w:rPr>
          <w:rFonts w:ascii="Arial" w:hAnsi="Arial" w:cs="Arial"/>
          <w:sz w:val="24"/>
          <w:szCs w:val="24"/>
        </w:rPr>
        <w:t xml:space="preserve"> the second preservation of pro</w:t>
      </w:r>
      <w:r w:rsidR="00C67116" w:rsidRPr="00304298">
        <w:rPr>
          <w:rFonts w:ascii="Arial" w:hAnsi="Arial" w:cs="Arial"/>
          <w:sz w:val="24"/>
          <w:szCs w:val="24"/>
        </w:rPr>
        <w:t>perty</w:t>
      </w:r>
      <w:r w:rsidR="00C56FE0" w:rsidRPr="00304298">
        <w:rPr>
          <w:rFonts w:ascii="Arial" w:hAnsi="Arial" w:cs="Arial"/>
          <w:sz w:val="24"/>
          <w:szCs w:val="24"/>
        </w:rPr>
        <w:t xml:space="preserve"> order</w:t>
      </w:r>
      <w:r w:rsidR="00C67116" w:rsidRPr="00304298">
        <w:rPr>
          <w:rFonts w:ascii="Arial" w:hAnsi="Arial" w:cs="Arial"/>
          <w:sz w:val="24"/>
          <w:szCs w:val="24"/>
        </w:rPr>
        <w:t xml:space="preserve"> application under POCA 8/2017 was littered with numerous material non-disclosures and even contains deliberate misleading statements. Martinez</w:t>
      </w:r>
      <w:r w:rsidR="009D6F8D" w:rsidRPr="00304298">
        <w:rPr>
          <w:rFonts w:ascii="Arial" w:hAnsi="Arial" w:cs="Arial"/>
          <w:sz w:val="24"/>
          <w:szCs w:val="24"/>
        </w:rPr>
        <w:t>,</w:t>
      </w:r>
      <w:r w:rsidR="00C67116" w:rsidRPr="00304298">
        <w:rPr>
          <w:rFonts w:ascii="Arial" w:hAnsi="Arial" w:cs="Arial"/>
          <w:sz w:val="24"/>
          <w:szCs w:val="24"/>
        </w:rPr>
        <w:t xml:space="preserve"> on behalf of the respondents</w:t>
      </w:r>
      <w:r w:rsidR="009D6F8D" w:rsidRPr="00304298">
        <w:rPr>
          <w:rFonts w:ascii="Arial" w:hAnsi="Arial" w:cs="Arial"/>
          <w:sz w:val="24"/>
          <w:szCs w:val="24"/>
        </w:rPr>
        <w:t>,</w:t>
      </w:r>
      <w:r w:rsidR="00C67116" w:rsidRPr="00304298">
        <w:rPr>
          <w:rFonts w:ascii="Arial" w:hAnsi="Arial" w:cs="Arial"/>
          <w:sz w:val="24"/>
          <w:szCs w:val="24"/>
        </w:rPr>
        <w:t xml:space="preserve"> states that on 18 November 2016, he instructed </w:t>
      </w:r>
      <w:r w:rsidR="009D6F8D" w:rsidRPr="00304298">
        <w:rPr>
          <w:rFonts w:ascii="Arial" w:hAnsi="Arial" w:cs="Arial"/>
          <w:sz w:val="24"/>
          <w:szCs w:val="24"/>
        </w:rPr>
        <w:t>B</w:t>
      </w:r>
      <w:r w:rsidR="00C67116" w:rsidRPr="00304298">
        <w:rPr>
          <w:rFonts w:ascii="Arial" w:hAnsi="Arial" w:cs="Arial"/>
          <w:sz w:val="24"/>
          <w:szCs w:val="24"/>
        </w:rPr>
        <w:t xml:space="preserve">ank Windhoek to transfer funds to Fish Spain, which </w:t>
      </w:r>
      <w:r w:rsidR="009D6F8D" w:rsidRPr="00304298">
        <w:rPr>
          <w:rFonts w:ascii="Arial" w:hAnsi="Arial" w:cs="Arial"/>
          <w:sz w:val="24"/>
          <w:szCs w:val="24"/>
        </w:rPr>
        <w:t>B</w:t>
      </w:r>
      <w:r w:rsidR="00C67116" w:rsidRPr="00304298">
        <w:rPr>
          <w:rFonts w:ascii="Arial" w:hAnsi="Arial" w:cs="Arial"/>
          <w:sz w:val="24"/>
          <w:szCs w:val="24"/>
        </w:rPr>
        <w:t>ank Windhoek did not do</w:t>
      </w:r>
      <w:r w:rsidR="00C56FE0" w:rsidRPr="00304298">
        <w:rPr>
          <w:rFonts w:ascii="Arial" w:hAnsi="Arial" w:cs="Arial"/>
          <w:sz w:val="24"/>
          <w:szCs w:val="24"/>
        </w:rPr>
        <w:t>,</w:t>
      </w:r>
      <w:r w:rsidR="00C67116" w:rsidRPr="00304298">
        <w:rPr>
          <w:rFonts w:ascii="Arial" w:hAnsi="Arial" w:cs="Arial"/>
          <w:sz w:val="24"/>
          <w:szCs w:val="24"/>
        </w:rPr>
        <w:t xml:space="preserve"> due to a regulatory intervention made on 19 November 2016. The unidentified regulatory intervention refers to s 42 of FIA</w:t>
      </w:r>
      <w:r w:rsidR="001500F7" w:rsidRPr="00304298">
        <w:rPr>
          <w:rFonts w:ascii="Arial" w:hAnsi="Arial" w:cs="Arial"/>
          <w:sz w:val="24"/>
          <w:szCs w:val="24"/>
        </w:rPr>
        <w:t>.</w:t>
      </w:r>
      <w:r w:rsidR="00C56FE0">
        <w:rPr>
          <w:rStyle w:val="FootnoteReference"/>
          <w:rFonts w:ascii="Arial" w:hAnsi="Arial" w:cs="Arial"/>
          <w:sz w:val="24"/>
          <w:szCs w:val="24"/>
        </w:rPr>
        <w:footnoteReference w:id="39"/>
      </w:r>
      <w:r w:rsidR="00C67116" w:rsidRPr="00304298">
        <w:rPr>
          <w:rFonts w:ascii="Arial" w:hAnsi="Arial" w:cs="Arial"/>
          <w:sz w:val="24"/>
          <w:szCs w:val="24"/>
        </w:rPr>
        <w:t xml:space="preserve"> The s 42 among other things provides that the </w:t>
      </w:r>
      <w:r w:rsidR="006670E2">
        <w:rPr>
          <w:rFonts w:ascii="Arial" w:hAnsi="Arial" w:cs="Arial"/>
          <w:sz w:val="24"/>
          <w:szCs w:val="24"/>
        </w:rPr>
        <w:t>(</w:t>
      </w:r>
      <w:r w:rsidR="00C67116" w:rsidRPr="00304298">
        <w:rPr>
          <w:rFonts w:ascii="Arial" w:hAnsi="Arial" w:cs="Arial"/>
          <w:sz w:val="24"/>
          <w:szCs w:val="24"/>
        </w:rPr>
        <w:t>FIC</w:t>
      </w:r>
      <w:r w:rsidR="006670E2">
        <w:rPr>
          <w:rFonts w:ascii="Arial" w:hAnsi="Arial" w:cs="Arial"/>
          <w:sz w:val="24"/>
          <w:szCs w:val="24"/>
        </w:rPr>
        <w:t>)</w:t>
      </w:r>
      <w:r w:rsidR="00C67116" w:rsidRPr="00304298">
        <w:rPr>
          <w:rFonts w:ascii="Arial" w:hAnsi="Arial" w:cs="Arial"/>
          <w:sz w:val="24"/>
          <w:szCs w:val="24"/>
        </w:rPr>
        <w:t xml:space="preserve"> may place a block on funds or transaction </w:t>
      </w:r>
      <w:r w:rsidR="00C67116" w:rsidRPr="00304298">
        <w:rPr>
          <w:rFonts w:ascii="Arial" w:hAnsi="Arial" w:cs="Arial"/>
          <w:sz w:val="24"/>
          <w:szCs w:val="24"/>
        </w:rPr>
        <w:lastRenderedPageBreak/>
        <w:t xml:space="preserve">suspected to involve the proceeds of unlawful activities or may constitute money laundering or the financing of terrorism, which block may not be more than 12 working days. In this case the block was placed </w:t>
      </w:r>
      <w:r w:rsidR="002C48A7" w:rsidRPr="00304298">
        <w:rPr>
          <w:rFonts w:ascii="Arial" w:hAnsi="Arial" w:cs="Arial"/>
          <w:sz w:val="24"/>
          <w:szCs w:val="24"/>
        </w:rPr>
        <w:t>on the</w:t>
      </w:r>
      <w:r w:rsidR="00304298">
        <w:rPr>
          <w:rFonts w:ascii="Arial" w:hAnsi="Arial" w:cs="Arial"/>
          <w:sz w:val="24"/>
          <w:szCs w:val="24"/>
        </w:rPr>
        <w:t xml:space="preserve"> respondents’</w:t>
      </w:r>
      <w:r w:rsidR="002C48A7" w:rsidRPr="00304298">
        <w:rPr>
          <w:rFonts w:ascii="Arial" w:hAnsi="Arial" w:cs="Arial"/>
          <w:sz w:val="24"/>
          <w:szCs w:val="24"/>
        </w:rPr>
        <w:t xml:space="preserve"> </w:t>
      </w:r>
      <w:r w:rsidR="00C67116" w:rsidRPr="00304298">
        <w:rPr>
          <w:rFonts w:ascii="Arial" w:hAnsi="Arial" w:cs="Arial"/>
          <w:sz w:val="24"/>
          <w:szCs w:val="24"/>
        </w:rPr>
        <w:t>C</w:t>
      </w:r>
      <w:r w:rsidR="00F3598B" w:rsidRPr="00304298">
        <w:rPr>
          <w:rFonts w:ascii="Arial" w:hAnsi="Arial" w:cs="Arial"/>
          <w:sz w:val="24"/>
          <w:szCs w:val="24"/>
        </w:rPr>
        <w:t>FC</w:t>
      </w:r>
      <w:r w:rsidR="002C48A7" w:rsidRPr="00304298">
        <w:rPr>
          <w:rFonts w:ascii="Arial" w:hAnsi="Arial" w:cs="Arial"/>
          <w:sz w:val="24"/>
          <w:szCs w:val="24"/>
        </w:rPr>
        <w:t xml:space="preserve"> a</w:t>
      </w:r>
      <w:r w:rsidR="00F3598B" w:rsidRPr="00304298">
        <w:rPr>
          <w:rFonts w:ascii="Arial" w:hAnsi="Arial" w:cs="Arial"/>
          <w:sz w:val="24"/>
          <w:szCs w:val="24"/>
        </w:rPr>
        <w:t>ccount</w:t>
      </w:r>
      <w:r w:rsidR="00C67116" w:rsidRPr="00304298">
        <w:rPr>
          <w:rFonts w:ascii="Arial" w:hAnsi="Arial" w:cs="Arial"/>
          <w:sz w:val="24"/>
          <w:szCs w:val="24"/>
        </w:rPr>
        <w:t xml:space="preserve"> or respondents’ account at Bank Windhoek on 18 November 2016 and expired</w:t>
      </w:r>
      <w:r w:rsidR="00EB4E29" w:rsidRPr="00304298">
        <w:rPr>
          <w:rFonts w:ascii="Arial" w:hAnsi="Arial" w:cs="Arial"/>
          <w:sz w:val="24"/>
          <w:szCs w:val="24"/>
        </w:rPr>
        <w:t xml:space="preserve"> on 6 December 2016. On 5 January 2017 when the appellant applied for the first preservation order of the amount in </w:t>
      </w:r>
      <w:r w:rsidR="00304298">
        <w:rPr>
          <w:rFonts w:ascii="Arial" w:hAnsi="Arial" w:cs="Arial"/>
          <w:sz w:val="24"/>
          <w:szCs w:val="24"/>
        </w:rPr>
        <w:t xml:space="preserve">the </w:t>
      </w:r>
      <w:r w:rsidR="00EB4E29" w:rsidRPr="00304298">
        <w:rPr>
          <w:rFonts w:ascii="Arial" w:hAnsi="Arial" w:cs="Arial"/>
          <w:sz w:val="24"/>
          <w:szCs w:val="24"/>
        </w:rPr>
        <w:t>CFC</w:t>
      </w:r>
      <w:r w:rsidR="002C48A7" w:rsidRPr="00304298">
        <w:rPr>
          <w:rFonts w:ascii="Arial" w:hAnsi="Arial" w:cs="Arial"/>
          <w:sz w:val="24"/>
          <w:szCs w:val="24"/>
        </w:rPr>
        <w:t xml:space="preserve"> a</w:t>
      </w:r>
      <w:r w:rsidR="00EB4E29" w:rsidRPr="00304298">
        <w:rPr>
          <w:rFonts w:ascii="Arial" w:hAnsi="Arial" w:cs="Arial"/>
          <w:sz w:val="24"/>
          <w:szCs w:val="24"/>
        </w:rPr>
        <w:t>ccount, there was no lawful basis to retain the money. The respondents cont</w:t>
      </w:r>
      <w:r w:rsidR="002C48A7" w:rsidRPr="00304298">
        <w:rPr>
          <w:rFonts w:ascii="Arial" w:hAnsi="Arial" w:cs="Arial"/>
          <w:sz w:val="24"/>
          <w:szCs w:val="24"/>
        </w:rPr>
        <w:t>end</w:t>
      </w:r>
      <w:r w:rsidR="00EB4E29" w:rsidRPr="00304298">
        <w:rPr>
          <w:rFonts w:ascii="Arial" w:hAnsi="Arial" w:cs="Arial"/>
          <w:sz w:val="24"/>
          <w:szCs w:val="24"/>
        </w:rPr>
        <w:t>ed that the money was unlawfully retained between the periods 18 November 2016 to 4 January 2017. When applying for the preservation order on 5 January 2017 the appellant failed to disclose the fact that the respondents’ money was unlawfully retained, which the respondents contend was crucial for disclosure to the court at the time.</w:t>
      </w:r>
    </w:p>
    <w:p w:rsidR="00304298" w:rsidRDefault="00304298" w:rsidP="00304298">
      <w:pPr>
        <w:pStyle w:val="ListParagraph"/>
        <w:tabs>
          <w:tab w:val="left" w:pos="851"/>
        </w:tabs>
        <w:spacing w:after="0" w:line="480" w:lineRule="auto"/>
        <w:ind w:left="0"/>
        <w:jc w:val="both"/>
        <w:rPr>
          <w:rFonts w:ascii="Arial" w:hAnsi="Arial" w:cs="Arial"/>
          <w:sz w:val="24"/>
          <w:szCs w:val="24"/>
        </w:rPr>
      </w:pPr>
    </w:p>
    <w:p w:rsidR="00486E00" w:rsidRPr="00304298" w:rsidRDefault="00EB4E29" w:rsidP="00304298">
      <w:pPr>
        <w:pStyle w:val="ListParagraph"/>
        <w:numPr>
          <w:ilvl w:val="0"/>
          <w:numId w:val="1"/>
        </w:numPr>
        <w:tabs>
          <w:tab w:val="left" w:pos="851"/>
        </w:tabs>
        <w:spacing w:after="0" w:line="480" w:lineRule="auto"/>
        <w:ind w:left="0" w:firstLine="0"/>
        <w:jc w:val="both"/>
        <w:rPr>
          <w:rFonts w:ascii="Arial" w:hAnsi="Arial" w:cs="Arial"/>
          <w:sz w:val="24"/>
          <w:szCs w:val="24"/>
        </w:rPr>
      </w:pPr>
      <w:r w:rsidRPr="00304298">
        <w:rPr>
          <w:rFonts w:ascii="Arial" w:hAnsi="Arial" w:cs="Arial"/>
          <w:sz w:val="24"/>
          <w:szCs w:val="24"/>
        </w:rPr>
        <w:t>The appellant in response states that the block on the funds or the ‘statutory intervention’ was issued by the Director of the FIC and therefore ha</w:t>
      </w:r>
      <w:r w:rsidR="00304298">
        <w:rPr>
          <w:rFonts w:ascii="Arial" w:hAnsi="Arial" w:cs="Arial"/>
          <w:sz w:val="24"/>
          <w:szCs w:val="24"/>
        </w:rPr>
        <w:t>d</w:t>
      </w:r>
      <w:r w:rsidRPr="00304298">
        <w:rPr>
          <w:rFonts w:ascii="Arial" w:hAnsi="Arial" w:cs="Arial"/>
          <w:sz w:val="24"/>
          <w:szCs w:val="24"/>
        </w:rPr>
        <w:t xml:space="preserve"> nothing to do with the appellant’s action to apply for the preservation order of the money and that the allegation that the money was unlawfully retained</w:t>
      </w:r>
      <w:r w:rsidR="00F3598B" w:rsidRPr="00304298">
        <w:rPr>
          <w:rFonts w:ascii="Arial" w:hAnsi="Arial" w:cs="Arial"/>
          <w:sz w:val="24"/>
          <w:szCs w:val="24"/>
        </w:rPr>
        <w:t xml:space="preserve"> </w:t>
      </w:r>
      <w:r w:rsidR="00304298">
        <w:rPr>
          <w:rFonts w:ascii="Arial" w:hAnsi="Arial" w:cs="Arial"/>
          <w:sz w:val="24"/>
          <w:szCs w:val="24"/>
        </w:rPr>
        <w:t>wa</w:t>
      </w:r>
      <w:r w:rsidRPr="00304298">
        <w:rPr>
          <w:rFonts w:ascii="Arial" w:hAnsi="Arial" w:cs="Arial"/>
          <w:sz w:val="24"/>
          <w:szCs w:val="24"/>
        </w:rPr>
        <w:t>s without any basis. The appellant went on to state that the intervention relate</w:t>
      </w:r>
      <w:r w:rsidR="00304298">
        <w:rPr>
          <w:rFonts w:ascii="Arial" w:hAnsi="Arial" w:cs="Arial"/>
          <w:sz w:val="24"/>
          <w:szCs w:val="24"/>
        </w:rPr>
        <w:t>d</w:t>
      </w:r>
      <w:r w:rsidRPr="00304298">
        <w:rPr>
          <w:rFonts w:ascii="Arial" w:hAnsi="Arial" w:cs="Arial"/>
          <w:sz w:val="24"/>
          <w:szCs w:val="24"/>
        </w:rPr>
        <w:t xml:space="preserve"> to POCA 1/2017 and that the intervention was p</w:t>
      </w:r>
      <w:r w:rsidR="00A869E6" w:rsidRPr="00304298">
        <w:rPr>
          <w:rFonts w:ascii="Arial" w:hAnsi="Arial" w:cs="Arial"/>
          <w:sz w:val="24"/>
          <w:szCs w:val="24"/>
        </w:rPr>
        <w:t xml:space="preserve">roperly disclosed in both the first and second applications and that appellant </w:t>
      </w:r>
      <w:r w:rsidR="00A869E6" w:rsidRPr="00304298">
        <w:rPr>
          <w:rFonts w:ascii="Arial" w:hAnsi="Arial" w:cs="Arial"/>
          <w:sz w:val="24"/>
          <w:szCs w:val="24"/>
          <w:u w:val="single"/>
        </w:rPr>
        <w:t>underst</w:t>
      </w:r>
      <w:r w:rsidR="00304298">
        <w:rPr>
          <w:rFonts w:ascii="Arial" w:hAnsi="Arial" w:cs="Arial"/>
          <w:sz w:val="24"/>
          <w:szCs w:val="24"/>
          <w:u w:val="single"/>
        </w:rPr>
        <w:t>ood</w:t>
      </w:r>
      <w:r w:rsidR="00A869E6" w:rsidRPr="00304298">
        <w:rPr>
          <w:rFonts w:ascii="Arial" w:hAnsi="Arial" w:cs="Arial"/>
          <w:sz w:val="24"/>
          <w:szCs w:val="24"/>
        </w:rPr>
        <w:t xml:space="preserve"> that the statutory interventions </w:t>
      </w:r>
      <w:r w:rsidR="00304298">
        <w:rPr>
          <w:rFonts w:ascii="Arial" w:hAnsi="Arial" w:cs="Arial"/>
          <w:sz w:val="24"/>
          <w:szCs w:val="24"/>
        </w:rPr>
        <w:t>were</w:t>
      </w:r>
      <w:r w:rsidR="00A869E6" w:rsidRPr="00304298">
        <w:rPr>
          <w:rFonts w:ascii="Arial" w:hAnsi="Arial" w:cs="Arial"/>
          <w:sz w:val="24"/>
          <w:szCs w:val="24"/>
        </w:rPr>
        <w:t xml:space="preserve"> </w:t>
      </w:r>
      <w:r w:rsidR="00C67116" w:rsidRPr="00304298">
        <w:rPr>
          <w:rFonts w:ascii="Arial" w:hAnsi="Arial" w:cs="Arial"/>
          <w:sz w:val="24"/>
          <w:szCs w:val="24"/>
        </w:rPr>
        <w:t xml:space="preserve"> </w:t>
      </w:r>
      <w:r w:rsidR="00A869E6" w:rsidRPr="00304298">
        <w:rPr>
          <w:rFonts w:ascii="Arial" w:hAnsi="Arial" w:cs="Arial"/>
          <w:sz w:val="24"/>
          <w:szCs w:val="24"/>
        </w:rPr>
        <w:t xml:space="preserve">issued by the Director of the FIC and </w:t>
      </w:r>
      <w:r w:rsidR="00304298">
        <w:rPr>
          <w:rFonts w:ascii="Arial" w:hAnsi="Arial" w:cs="Arial"/>
          <w:sz w:val="24"/>
          <w:szCs w:val="24"/>
        </w:rPr>
        <w:t>were</w:t>
      </w:r>
      <w:r w:rsidR="00A869E6" w:rsidRPr="00304298">
        <w:rPr>
          <w:rFonts w:ascii="Arial" w:hAnsi="Arial" w:cs="Arial"/>
          <w:sz w:val="24"/>
          <w:szCs w:val="24"/>
        </w:rPr>
        <w:t xml:space="preserve"> an administrative function. The appellant went on to say that if the respondents were dissatisfied with the decision of the Director of the FIC to file </w:t>
      </w:r>
      <w:r w:rsidR="009D6F8D" w:rsidRPr="00304298">
        <w:rPr>
          <w:rFonts w:ascii="Arial" w:hAnsi="Arial" w:cs="Arial"/>
          <w:sz w:val="24"/>
          <w:szCs w:val="24"/>
        </w:rPr>
        <w:t xml:space="preserve">a </w:t>
      </w:r>
      <w:r w:rsidR="00A869E6" w:rsidRPr="00304298">
        <w:rPr>
          <w:rFonts w:ascii="Arial" w:hAnsi="Arial" w:cs="Arial"/>
          <w:sz w:val="24"/>
          <w:szCs w:val="24"/>
        </w:rPr>
        <w:t>further intervention order over the account, then the respondents were at liberty to approach the correct forum to challenge the actions of the FIC. Notwithstanding this response</w:t>
      </w:r>
      <w:r w:rsidR="00522321" w:rsidRPr="00304298">
        <w:rPr>
          <w:rFonts w:ascii="Arial" w:hAnsi="Arial" w:cs="Arial"/>
          <w:sz w:val="24"/>
          <w:szCs w:val="24"/>
        </w:rPr>
        <w:t>, in the second application</w:t>
      </w:r>
      <w:r w:rsidR="00304298">
        <w:rPr>
          <w:rFonts w:ascii="Arial" w:hAnsi="Arial" w:cs="Arial"/>
          <w:sz w:val="24"/>
          <w:szCs w:val="24"/>
        </w:rPr>
        <w:t xml:space="preserve"> under</w:t>
      </w:r>
      <w:r w:rsidR="00522321" w:rsidRPr="00304298">
        <w:rPr>
          <w:rFonts w:ascii="Arial" w:hAnsi="Arial" w:cs="Arial"/>
          <w:sz w:val="24"/>
          <w:szCs w:val="24"/>
        </w:rPr>
        <w:t xml:space="preserve"> POCA 8/2017, the appellant in moving the application state</w:t>
      </w:r>
      <w:r w:rsidR="00304298">
        <w:rPr>
          <w:rFonts w:ascii="Arial" w:hAnsi="Arial" w:cs="Arial"/>
          <w:sz w:val="24"/>
          <w:szCs w:val="24"/>
        </w:rPr>
        <w:t>d</w:t>
      </w:r>
      <w:r w:rsidR="00522321" w:rsidRPr="00304298">
        <w:rPr>
          <w:rFonts w:ascii="Arial" w:hAnsi="Arial" w:cs="Arial"/>
          <w:sz w:val="24"/>
          <w:szCs w:val="24"/>
        </w:rPr>
        <w:t xml:space="preserve"> that:</w:t>
      </w:r>
    </w:p>
    <w:p w:rsidR="00AF3776" w:rsidRPr="002C48A7" w:rsidRDefault="00214F6D" w:rsidP="00DF4358">
      <w:pPr>
        <w:pStyle w:val="ListParagraph"/>
        <w:tabs>
          <w:tab w:val="left" w:pos="851"/>
        </w:tabs>
        <w:spacing w:after="0" w:line="480" w:lineRule="auto"/>
        <w:ind w:left="1440" w:hanging="1440"/>
        <w:jc w:val="both"/>
        <w:rPr>
          <w:rFonts w:ascii="Arial" w:hAnsi="Arial" w:cs="Arial"/>
        </w:rPr>
      </w:pPr>
      <w:r>
        <w:rPr>
          <w:rFonts w:ascii="Arial" w:hAnsi="Arial" w:cs="Arial"/>
        </w:rPr>
        <w:lastRenderedPageBreak/>
        <w:tab/>
      </w:r>
      <w:r w:rsidR="002C48A7" w:rsidRPr="002C48A7">
        <w:rPr>
          <w:rFonts w:ascii="Arial" w:hAnsi="Arial" w:cs="Arial"/>
        </w:rPr>
        <w:t>‘(9)</w:t>
      </w:r>
      <w:r w:rsidR="002C48A7" w:rsidRPr="002C48A7">
        <w:rPr>
          <w:rFonts w:ascii="Arial" w:hAnsi="Arial" w:cs="Arial"/>
        </w:rPr>
        <w:tab/>
      </w:r>
      <w:r w:rsidR="00AF3776" w:rsidRPr="002C48A7">
        <w:rPr>
          <w:rFonts w:ascii="Arial" w:hAnsi="Arial" w:cs="Arial"/>
        </w:rPr>
        <w:t>I respectfully submit that this application is urgent and request the Honourable Court to condone any non-compliance with the time periods prescribed by the rules of the above Honourable Court. It is respectfully submitted that the matter cannot be redressed at a hearing in due course.</w:t>
      </w:r>
    </w:p>
    <w:p w:rsidR="00AF3776" w:rsidRPr="002C48A7" w:rsidRDefault="00AF3776" w:rsidP="002C48A7">
      <w:pPr>
        <w:tabs>
          <w:tab w:val="left" w:pos="851"/>
        </w:tabs>
        <w:spacing w:after="0" w:line="360" w:lineRule="auto"/>
        <w:jc w:val="both"/>
        <w:rPr>
          <w:rFonts w:ascii="Arial" w:hAnsi="Arial" w:cs="Arial"/>
        </w:rPr>
      </w:pPr>
    </w:p>
    <w:p w:rsidR="00AF3776"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(10)</w:t>
      </w:r>
      <w:r w:rsidR="002C48A7" w:rsidRPr="002C48A7">
        <w:rPr>
          <w:rFonts w:ascii="Arial" w:hAnsi="Arial" w:cs="Arial"/>
        </w:rPr>
        <w:tab/>
      </w:r>
      <w:r w:rsidR="00AF3776" w:rsidRPr="002C48A7">
        <w:rPr>
          <w:rFonts w:ascii="Arial" w:hAnsi="Arial" w:cs="Arial"/>
        </w:rPr>
        <w:t xml:space="preserve">During January 2017 I applied for a preservation of property order in respect of the same property under POCA 1/2017. </w:t>
      </w:r>
    </w:p>
    <w:p w:rsidR="00AF3776" w:rsidRPr="002C48A7" w:rsidRDefault="00AF3776" w:rsidP="002C48A7">
      <w:pPr>
        <w:tabs>
          <w:tab w:val="left" w:pos="851"/>
        </w:tabs>
        <w:spacing w:after="0" w:line="360" w:lineRule="auto"/>
        <w:jc w:val="both"/>
        <w:rPr>
          <w:rFonts w:ascii="Arial" w:hAnsi="Arial" w:cs="Arial"/>
        </w:rPr>
      </w:pPr>
    </w:p>
    <w:p w:rsidR="00AF3776"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(11)</w:t>
      </w:r>
      <w:r w:rsidR="002C48A7" w:rsidRPr="002C48A7">
        <w:rPr>
          <w:rFonts w:ascii="Arial" w:hAnsi="Arial" w:cs="Arial"/>
        </w:rPr>
        <w:tab/>
      </w:r>
      <w:r w:rsidR="00AF3776" w:rsidRPr="002C48A7">
        <w:rPr>
          <w:rFonts w:ascii="Arial" w:hAnsi="Arial" w:cs="Arial"/>
        </w:rPr>
        <w:t xml:space="preserve">The basis for obtaining this order was on the premises that the determination issued by the Financial Intelligence Centre (FIC) was properly published in the Government Gazette as required in terms of the Financial Intelligence Act (FIA) and money laundering offences on the receipt of the proceeds of the contravention of the determination. It, however, later emerged that the determination was not </w:t>
      </w:r>
      <w:r w:rsidR="00304298">
        <w:rPr>
          <w:rFonts w:ascii="Arial" w:hAnsi="Arial" w:cs="Arial"/>
        </w:rPr>
        <w:t>g</w:t>
      </w:r>
      <w:r w:rsidR="00AF3776" w:rsidRPr="002C48A7">
        <w:rPr>
          <w:rFonts w:ascii="Arial" w:hAnsi="Arial" w:cs="Arial"/>
        </w:rPr>
        <w:t>azette</w:t>
      </w:r>
      <w:r w:rsidR="009D6F8D">
        <w:rPr>
          <w:rFonts w:ascii="Arial" w:hAnsi="Arial" w:cs="Arial"/>
        </w:rPr>
        <w:t>d</w:t>
      </w:r>
      <w:r w:rsidR="00304298">
        <w:rPr>
          <w:rFonts w:ascii="Arial" w:hAnsi="Arial" w:cs="Arial"/>
        </w:rPr>
        <w:t xml:space="preserve"> in the G</w:t>
      </w:r>
      <w:r w:rsidR="00AF3776" w:rsidRPr="002C48A7">
        <w:rPr>
          <w:rFonts w:ascii="Arial" w:hAnsi="Arial" w:cs="Arial"/>
        </w:rPr>
        <w:t xml:space="preserve">overnment </w:t>
      </w:r>
      <w:r w:rsidR="00304298">
        <w:rPr>
          <w:rFonts w:ascii="Arial" w:hAnsi="Arial" w:cs="Arial"/>
        </w:rPr>
        <w:t>G</w:t>
      </w:r>
      <w:r w:rsidR="00AF3776" w:rsidRPr="002C48A7">
        <w:rPr>
          <w:rFonts w:ascii="Arial" w:hAnsi="Arial" w:cs="Arial"/>
        </w:rPr>
        <w:t>azette. I noticed that the determination was later published with the effective date still indicated as 16 October 2016.</w:t>
      </w:r>
    </w:p>
    <w:p w:rsidR="00AF3776" w:rsidRPr="002C48A7" w:rsidRDefault="00AF3776" w:rsidP="002C48A7">
      <w:pPr>
        <w:tabs>
          <w:tab w:val="left" w:pos="851"/>
        </w:tabs>
        <w:spacing w:after="0" w:line="360" w:lineRule="auto"/>
        <w:jc w:val="both"/>
        <w:rPr>
          <w:rFonts w:ascii="Arial" w:hAnsi="Arial" w:cs="Arial"/>
        </w:rPr>
      </w:pPr>
    </w:p>
    <w:p w:rsidR="00AF3776"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(12)</w:t>
      </w:r>
      <w:r w:rsidR="002C48A7" w:rsidRPr="002C48A7">
        <w:rPr>
          <w:rFonts w:ascii="Arial" w:hAnsi="Arial" w:cs="Arial"/>
        </w:rPr>
        <w:tab/>
      </w:r>
      <w:r w:rsidR="00AF3776" w:rsidRPr="002C48A7">
        <w:rPr>
          <w:rFonts w:ascii="Arial" w:hAnsi="Arial" w:cs="Arial"/>
        </w:rPr>
        <w:t>As the forfeiture proceedings set out in Chapter 6 of POCA provides for a 2 stage proceedings I was under the impression that the error in the preservation application can be amplified by setting out additional evidence in relation to the grounds advanced in the preservation application in the subsequent second stage of the proceedings, namely the forfeiture application.</w:t>
      </w:r>
      <w:r w:rsidR="0026089A" w:rsidRPr="002C48A7">
        <w:rPr>
          <w:rFonts w:ascii="Arial" w:hAnsi="Arial" w:cs="Arial"/>
        </w:rPr>
        <w:t xml:space="preserve"> I was, however, advised that the preservation order can still be set aside whilst there is an application for forfeiture pending which in effect will nullify the subsequent forfeiture application even if there are grounds in the forfeiture application justifying the granting of a forfeiture order.</w:t>
      </w:r>
    </w:p>
    <w:p w:rsidR="0026089A" w:rsidRPr="002C48A7" w:rsidRDefault="0026089A" w:rsidP="002C48A7">
      <w:pPr>
        <w:tabs>
          <w:tab w:val="left" w:pos="851"/>
        </w:tabs>
        <w:spacing w:after="0" w:line="360" w:lineRule="auto"/>
        <w:jc w:val="both"/>
        <w:rPr>
          <w:rFonts w:ascii="Arial" w:hAnsi="Arial" w:cs="Arial"/>
        </w:rPr>
      </w:pPr>
    </w:p>
    <w:p w:rsidR="0026089A"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(13)</w:t>
      </w:r>
      <w:r w:rsidR="002C48A7" w:rsidRPr="002C48A7">
        <w:rPr>
          <w:rFonts w:ascii="Arial" w:hAnsi="Arial" w:cs="Arial"/>
        </w:rPr>
        <w:tab/>
      </w:r>
      <w:r w:rsidR="0026089A" w:rsidRPr="002C48A7">
        <w:rPr>
          <w:rFonts w:ascii="Arial" w:hAnsi="Arial" w:cs="Arial"/>
        </w:rPr>
        <w:t>As a preservation order only has a limited validity period of 120 days and due to the fact that I cannot proceed with the forfeiture application on the erroneously sought preservation of property order, I elected to apply for a new preservation order in this application on the grounds as set out below, as there are reasonable grounds to believe that the property constitutes the proceeds of unlawful activities.</w:t>
      </w:r>
    </w:p>
    <w:p w:rsidR="0026089A" w:rsidRPr="002C48A7" w:rsidRDefault="0026089A" w:rsidP="002C48A7">
      <w:pPr>
        <w:tabs>
          <w:tab w:val="left" w:pos="851"/>
        </w:tabs>
        <w:spacing w:after="0" w:line="360" w:lineRule="auto"/>
        <w:jc w:val="both"/>
        <w:rPr>
          <w:rFonts w:ascii="Arial" w:hAnsi="Arial" w:cs="Arial"/>
        </w:rPr>
      </w:pPr>
    </w:p>
    <w:p w:rsidR="0026089A"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lastRenderedPageBreak/>
        <w:tab/>
      </w:r>
      <w:r w:rsidR="002C48A7" w:rsidRPr="002C48A7">
        <w:rPr>
          <w:rFonts w:ascii="Arial" w:hAnsi="Arial" w:cs="Arial"/>
        </w:rPr>
        <w:t>(14)</w:t>
      </w:r>
      <w:r w:rsidR="002C48A7" w:rsidRPr="002C48A7">
        <w:rPr>
          <w:rFonts w:ascii="Arial" w:hAnsi="Arial" w:cs="Arial"/>
        </w:rPr>
        <w:tab/>
      </w:r>
      <w:r w:rsidR="0026089A" w:rsidRPr="002C48A7">
        <w:rPr>
          <w:rFonts w:ascii="Arial" w:hAnsi="Arial" w:cs="Arial"/>
        </w:rPr>
        <w:t>The 120 day period for the preservation order under POCA 1/2017 lapsed on 20 May 2017. As indicated I cannot apply for a forfeiture application under POCA 1/2017’s preservation order. Once the order lapsed the property is available to the owners of the property to be dissipated.</w:t>
      </w:r>
    </w:p>
    <w:p w:rsidR="0026089A" w:rsidRPr="002C48A7" w:rsidRDefault="0026089A" w:rsidP="002C48A7">
      <w:pPr>
        <w:tabs>
          <w:tab w:val="left" w:pos="851"/>
        </w:tabs>
        <w:spacing w:after="0" w:line="360" w:lineRule="auto"/>
        <w:jc w:val="both"/>
        <w:rPr>
          <w:rFonts w:ascii="Arial" w:hAnsi="Arial" w:cs="Arial"/>
        </w:rPr>
      </w:pPr>
    </w:p>
    <w:p w:rsidR="0026089A"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(15)</w:t>
      </w:r>
      <w:r w:rsidR="002C48A7" w:rsidRPr="002C48A7">
        <w:rPr>
          <w:rFonts w:ascii="Arial" w:hAnsi="Arial" w:cs="Arial"/>
        </w:rPr>
        <w:tab/>
      </w:r>
      <w:r w:rsidR="0026089A" w:rsidRPr="002C48A7">
        <w:rPr>
          <w:rFonts w:ascii="Arial" w:hAnsi="Arial" w:cs="Arial"/>
        </w:rPr>
        <w:t>On 28 April 2017 the Government Attorney wrote a letter to Shelfco Investments’ legal practitioners indicating that I will not apply for a forfeiture application in respect of the erroneously sought preservation order under POCA 1/2017 but that I will apply for a new preservation application unless they can provide me with the necessary proof that the money deposited into the account was legally brought into Namibia.</w:t>
      </w:r>
    </w:p>
    <w:p w:rsidR="0026089A" w:rsidRPr="002C48A7" w:rsidRDefault="0026089A" w:rsidP="002C48A7">
      <w:pPr>
        <w:tabs>
          <w:tab w:val="left" w:pos="851"/>
        </w:tabs>
        <w:spacing w:after="0" w:line="360" w:lineRule="auto"/>
        <w:jc w:val="both"/>
        <w:rPr>
          <w:rFonts w:ascii="Arial" w:hAnsi="Arial" w:cs="Arial"/>
        </w:rPr>
      </w:pPr>
    </w:p>
    <w:p w:rsidR="0026089A"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(16)</w:t>
      </w:r>
      <w:r w:rsidR="002C48A7" w:rsidRPr="002C48A7">
        <w:rPr>
          <w:rFonts w:ascii="Arial" w:hAnsi="Arial" w:cs="Arial"/>
        </w:rPr>
        <w:tab/>
      </w:r>
      <w:r w:rsidR="0026089A" w:rsidRPr="002C48A7">
        <w:rPr>
          <w:rFonts w:ascii="Arial" w:hAnsi="Arial" w:cs="Arial"/>
        </w:rPr>
        <w:t>This application was prepared to be applied for when the preservation order under POCA 1/2017 expired on Monday 22 May 2017 but the affidavit from the Ministry of Finance and Bryan Eiseb from the Bank of Namibia i</w:t>
      </w:r>
      <w:r>
        <w:rPr>
          <w:rFonts w:ascii="Arial" w:hAnsi="Arial" w:cs="Arial"/>
        </w:rPr>
        <w:t>n</w:t>
      </w:r>
      <w:r w:rsidR="0026089A" w:rsidRPr="002C48A7">
        <w:rPr>
          <w:rFonts w:ascii="Arial" w:hAnsi="Arial" w:cs="Arial"/>
        </w:rPr>
        <w:t xml:space="preserve"> support of this application were only received on Tuesday 23 May 2017.</w:t>
      </w:r>
    </w:p>
    <w:p w:rsidR="00B42F4F" w:rsidRPr="002C48A7" w:rsidRDefault="00B42F4F" w:rsidP="002C48A7">
      <w:pPr>
        <w:tabs>
          <w:tab w:val="left" w:pos="851"/>
        </w:tabs>
        <w:spacing w:after="0" w:line="360" w:lineRule="auto"/>
        <w:jc w:val="both"/>
        <w:rPr>
          <w:rFonts w:ascii="Arial" w:hAnsi="Arial" w:cs="Arial"/>
        </w:rPr>
      </w:pPr>
    </w:p>
    <w:p w:rsidR="0026089A"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(17)</w:t>
      </w:r>
      <w:r w:rsidR="002C48A7" w:rsidRPr="002C48A7">
        <w:rPr>
          <w:rFonts w:ascii="Arial" w:hAnsi="Arial" w:cs="Arial"/>
        </w:rPr>
        <w:tab/>
      </w:r>
      <w:r w:rsidR="0026089A" w:rsidRPr="002C48A7">
        <w:rPr>
          <w:rFonts w:ascii="Arial" w:hAnsi="Arial" w:cs="Arial"/>
        </w:rPr>
        <w:t xml:space="preserve">On 22 May 2017 a request was </w:t>
      </w:r>
      <w:r>
        <w:rPr>
          <w:rFonts w:ascii="Arial" w:hAnsi="Arial" w:cs="Arial"/>
        </w:rPr>
        <w:t>s</w:t>
      </w:r>
      <w:r w:rsidR="0026089A" w:rsidRPr="002C48A7">
        <w:rPr>
          <w:rFonts w:ascii="Arial" w:hAnsi="Arial" w:cs="Arial"/>
        </w:rPr>
        <w:t>ent to the FIC by my office to indicate that I intend to apply for a new preservation application on new grounds that the money on reasonable grounds were illegally imported into Namibia but that certain affidavits were still outstanding and that there might be a risk of dissipation of the money prior to the institution of this preservation of property application.</w:t>
      </w:r>
    </w:p>
    <w:p w:rsidR="008634A7" w:rsidRPr="002C48A7" w:rsidRDefault="008634A7" w:rsidP="002C48A7">
      <w:pPr>
        <w:tabs>
          <w:tab w:val="left" w:pos="851"/>
        </w:tabs>
        <w:spacing w:after="0" w:line="360" w:lineRule="auto"/>
        <w:jc w:val="both"/>
        <w:rPr>
          <w:rFonts w:ascii="Arial" w:hAnsi="Arial" w:cs="Arial"/>
        </w:rPr>
      </w:pPr>
    </w:p>
    <w:p w:rsidR="008634A7"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(18)</w:t>
      </w:r>
      <w:r w:rsidR="002C48A7" w:rsidRPr="002C48A7">
        <w:rPr>
          <w:rFonts w:ascii="Arial" w:hAnsi="Arial" w:cs="Arial"/>
        </w:rPr>
        <w:tab/>
      </w:r>
      <w:r w:rsidR="008634A7" w:rsidRPr="002C48A7">
        <w:rPr>
          <w:rFonts w:ascii="Arial" w:hAnsi="Arial" w:cs="Arial"/>
          <w:u w:val="single"/>
        </w:rPr>
        <w:t>I understand that the FIC filed an intervention order which will expire on 6 June 2017</w:t>
      </w:r>
      <w:r w:rsidR="008634A7" w:rsidRPr="002C48A7">
        <w:rPr>
          <w:rFonts w:ascii="Arial" w:hAnsi="Arial" w:cs="Arial"/>
        </w:rPr>
        <w:t>.</w:t>
      </w:r>
      <w:r w:rsidR="00304298">
        <w:rPr>
          <w:rFonts w:ascii="Arial" w:hAnsi="Arial" w:cs="Arial"/>
        </w:rPr>
        <w:t xml:space="preserve"> </w:t>
      </w:r>
      <w:r w:rsidR="009D6F8D">
        <w:rPr>
          <w:rFonts w:ascii="Arial" w:hAnsi="Arial" w:cs="Arial"/>
        </w:rPr>
        <w:t>(Underlining for emphasis)</w:t>
      </w:r>
    </w:p>
    <w:p w:rsidR="002C48A7" w:rsidRPr="002C48A7" w:rsidRDefault="002C48A7" w:rsidP="002C48A7">
      <w:pPr>
        <w:tabs>
          <w:tab w:val="left" w:pos="851"/>
        </w:tabs>
        <w:spacing w:after="0" w:line="360" w:lineRule="auto"/>
        <w:ind w:left="720" w:hanging="720"/>
        <w:jc w:val="both"/>
        <w:rPr>
          <w:rFonts w:ascii="Arial" w:hAnsi="Arial" w:cs="Arial"/>
        </w:rPr>
      </w:pPr>
    </w:p>
    <w:p w:rsidR="008634A7"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(19)</w:t>
      </w:r>
      <w:r w:rsidR="002C48A7" w:rsidRPr="002C48A7">
        <w:rPr>
          <w:rFonts w:ascii="Arial" w:hAnsi="Arial" w:cs="Arial"/>
        </w:rPr>
        <w:tab/>
      </w:r>
      <w:r w:rsidR="008634A7" w:rsidRPr="002C48A7">
        <w:rPr>
          <w:rFonts w:ascii="Arial" w:hAnsi="Arial" w:cs="Arial"/>
        </w:rPr>
        <w:t xml:space="preserve">However, also on 22 May 2017 Shelfco Investments wrote a letter to Government Attorney demanding that I release the money and that they will proceed to file an urgent application for the release of the money. They also claim in the letter that a new preservation application would be vexatious and would amount to a second bite of the cherry. I attach the letter from ESI hereto as annexure </w:t>
      </w:r>
      <w:r w:rsidR="008634A7" w:rsidRPr="002C48A7">
        <w:rPr>
          <w:rFonts w:ascii="Arial" w:hAnsi="Arial" w:cs="Arial"/>
          <w:b/>
        </w:rPr>
        <w:t>OMI4</w:t>
      </w:r>
      <w:r w:rsidR="008634A7" w:rsidRPr="002C48A7">
        <w:rPr>
          <w:rFonts w:ascii="Arial" w:hAnsi="Arial" w:cs="Arial"/>
        </w:rPr>
        <w:t>.</w:t>
      </w:r>
    </w:p>
    <w:p w:rsidR="008634A7" w:rsidRPr="002C48A7" w:rsidRDefault="008634A7" w:rsidP="002C48A7">
      <w:pPr>
        <w:tabs>
          <w:tab w:val="left" w:pos="851"/>
        </w:tabs>
        <w:spacing w:after="0" w:line="360" w:lineRule="auto"/>
        <w:jc w:val="both"/>
        <w:rPr>
          <w:rFonts w:ascii="Arial" w:hAnsi="Arial" w:cs="Arial"/>
        </w:rPr>
      </w:pPr>
    </w:p>
    <w:p w:rsidR="008634A7"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(20)</w:t>
      </w:r>
      <w:r w:rsidR="002C48A7" w:rsidRPr="002C48A7">
        <w:rPr>
          <w:rFonts w:ascii="Arial" w:hAnsi="Arial" w:cs="Arial"/>
        </w:rPr>
        <w:tab/>
      </w:r>
      <w:r w:rsidR="008634A7" w:rsidRPr="002C48A7">
        <w:rPr>
          <w:rFonts w:ascii="Arial" w:hAnsi="Arial" w:cs="Arial"/>
        </w:rPr>
        <w:t xml:space="preserve">I further respectfully submit that this application is one of urgency as envisaged by section 91(2) of POCA and the Rules of the High Court and </w:t>
      </w:r>
      <w:r w:rsidR="008634A7" w:rsidRPr="002C48A7">
        <w:rPr>
          <w:rFonts w:ascii="Arial" w:hAnsi="Arial" w:cs="Arial"/>
        </w:rPr>
        <w:lastRenderedPageBreak/>
        <w:t>request the Honourable Court to dispense with the requirements under Regulation 7 of the regulations under POCA and any other requirements as prescribed in POCA or the Rules of the Honourable Court. I am advised that the next first motion court dates is only on 09 June 2017.</w:t>
      </w:r>
    </w:p>
    <w:p w:rsidR="008634A7" w:rsidRPr="002C48A7" w:rsidRDefault="008634A7" w:rsidP="002C48A7">
      <w:pPr>
        <w:tabs>
          <w:tab w:val="left" w:pos="851"/>
        </w:tabs>
        <w:spacing w:after="0" w:line="360" w:lineRule="auto"/>
        <w:jc w:val="both"/>
        <w:rPr>
          <w:rFonts w:ascii="Arial" w:hAnsi="Arial" w:cs="Arial"/>
        </w:rPr>
      </w:pPr>
    </w:p>
    <w:p w:rsidR="008634A7" w:rsidRPr="002C48A7" w:rsidRDefault="002C48A7" w:rsidP="002C48A7">
      <w:pPr>
        <w:tabs>
          <w:tab w:val="left" w:pos="851"/>
        </w:tabs>
        <w:spacing w:after="0" w:line="360" w:lineRule="auto"/>
        <w:jc w:val="both"/>
        <w:rPr>
          <w:rFonts w:ascii="Arial" w:hAnsi="Arial" w:cs="Arial"/>
          <w:b/>
          <w:i/>
        </w:rPr>
      </w:pPr>
      <w:r w:rsidRPr="002C48A7">
        <w:rPr>
          <w:rFonts w:ascii="Arial" w:hAnsi="Arial" w:cs="Arial"/>
          <w:b/>
          <w:i/>
        </w:rPr>
        <w:tab/>
      </w:r>
      <w:r w:rsidR="008634A7" w:rsidRPr="002C48A7">
        <w:rPr>
          <w:rFonts w:ascii="Arial" w:hAnsi="Arial" w:cs="Arial"/>
          <w:b/>
          <w:i/>
        </w:rPr>
        <w:t>EX PARTE AND IN CAMERA</w:t>
      </w:r>
    </w:p>
    <w:p w:rsidR="00D93536"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(21)</w:t>
      </w:r>
      <w:r w:rsidR="002C48A7" w:rsidRPr="002C48A7">
        <w:rPr>
          <w:rFonts w:ascii="Arial" w:hAnsi="Arial" w:cs="Arial"/>
        </w:rPr>
        <w:tab/>
      </w:r>
      <w:r w:rsidR="00D93536" w:rsidRPr="002C48A7">
        <w:rPr>
          <w:rFonts w:ascii="Arial" w:hAnsi="Arial" w:cs="Arial"/>
        </w:rPr>
        <w:t xml:space="preserve">I respectfully submit that section 51(2) of POCA, read with section 98 thereof entitle me to approach this Honourable Court on an </w:t>
      </w:r>
      <w:r w:rsidR="00D93536" w:rsidRPr="002C48A7">
        <w:rPr>
          <w:rFonts w:ascii="Arial" w:hAnsi="Arial" w:cs="Arial"/>
          <w:i/>
        </w:rPr>
        <w:t xml:space="preserve">ex parte </w:t>
      </w:r>
      <w:r w:rsidR="00D93536" w:rsidRPr="002C48A7">
        <w:rPr>
          <w:rFonts w:ascii="Arial" w:hAnsi="Arial" w:cs="Arial"/>
        </w:rPr>
        <w:t xml:space="preserve">basis and </w:t>
      </w:r>
      <w:r w:rsidR="00D93536" w:rsidRPr="002C48A7">
        <w:rPr>
          <w:rFonts w:ascii="Arial" w:hAnsi="Arial" w:cs="Arial"/>
          <w:i/>
        </w:rPr>
        <w:t>in camera</w:t>
      </w:r>
      <w:r w:rsidR="00D93536" w:rsidRPr="002C48A7">
        <w:rPr>
          <w:rFonts w:ascii="Arial" w:hAnsi="Arial" w:cs="Arial"/>
        </w:rPr>
        <w:t>.</w:t>
      </w:r>
    </w:p>
    <w:p w:rsidR="00D93536" w:rsidRPr="002C48A7" w:rsidRDefault="00D93536" w:rsidP="002C48A7">
      <w:pPr>
        <w:tabs>
          <w:tab w:val="left" w:pos="851"/>
        </w:tabs>
        <w:spacing w:after="0" w:line="360" w:lineRule="auto"/>
        <w:jc w:val="both"/>
        <w:rPr>
          <w:rFonts w:ascii="Arial" w:hAnsi="Arial" w:cs="Arial"/>
        </w:rPr>
      </w:pPr>
    </w:p>
    <w:p w:rsidR="00D93536"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(22)</w:t>
      </w:r>
      <w:r w:rsidR="002C48A7" w:rsidRPr="002C48A7">
        <w:rPr>
          <w:rFonts w:ascii="Arial" w:hAnsi="Arial" w:cs="Arial"/>
        </w:rPr>
        <w:tab/>
      </w:r>
      <w:r w:rsidR="00D93536" w:rsidRPr="002C48A7">
        <w:rPr>
          <w:rFonts w:ascii="Arial" w:hAnsi="Arial" w:cs="Arial"/>
        </w:rPr>
        <w:t xml:space="preserve">Furthermore, I submit that the expressed provision made for </w:t>
      </w:r>
      <w:r w:rsidR="00D93536" w:rsidRPr="002C48A7">
        <w:rPr>
          <w:rFonts w:ascii="Arial" w:hAnsi="Arial" w:cs="Arial"/>
          <w:i/>
        </w:rPr>
        <w:t xml:space="preserve">ex parte </w:t>
      </w:r>
      <w:r w:rsidR="00D93536" w:rsidRPr="002C48A7">
        <w:rPr>
          <w:rFonts w:ascii="Arial" w:hAnsi="Arial" w:cs="Arial"/>
        </w:rPr>
        <w:t>proceedings under section 51(2) of POCA is based on the recognition by the Legislature th</w:t>
      </w:r>
      <w:r>
        <w:rPr>
          <w:rFonts w:ascii="Arial" w:hAnsi="Arial" w:cs="Arial"/>
        </w:rPr>
        <w:t>at</w:t>
      </w:r>
      <w:r w:rsidR="00D93536" w:rsidRPr="002C48A7">
        <w:rPr>
          <w:rFonts w:ascii="Arial" w:hAnsi="Arial" w:cs="Arial"/>
        </w:rPr>
        <w:t xml:space="preserve"> there is an inherent need to proceed without notice in applications for preservation orders. Further, that the structure of Chapter 6 of POCA as a whole is geared towards allowing in general for an initial </w:t>
      </w:r>
      <w:r w:rsidR="00D93536" w:rsidRPr="002C48A7">
        <w:rPr>
          <w:rFonts w:ascii="Arial" w:hAnsi="Arial" w:cs="Arial"/>
          <w:i/>
        </w:rPr>
        <w:t xml:space="preserve">ex parte </w:t>
      </w:r>
      <w:r w:rsidR="00D93536" w:rsidRPr="002C48A7">
        <w:rPr>
          <w:rFonts w:ascii="Arial" w:hAnsi="Arial" w:cs="Arial"/>
        </w:rPr>
        <w:t>order to secure assets that may be disposed of, with any opposition thereto being dealt with after this initial objective has been met.</w:t>
      </w:r>
    </w:p>
    <w:p w:rsidR="006670E2" w:rsidRPr="002C48A7" w:rsidRDefault="006670E2" w:rsidP="00214F6D">
      <w:pPr>
        <w:tabs>
          <w:tab w:val="left" w:pos="851"/>
        </w:tabs>
        <w:spacing w:after="0" w:line="360" w:lineRule="auto"/>
        <w:ind w:left="1440" w:hanging="1440"/>
        <w:jc w:val="both"/>
        <w:rPr>
          <w:rFonts w:ascii="Arial" w:hAnsi="Arial" w:cs="Arial"/>
        </w:rPr>
      </w:pPr>
    </w:p>
    <w:p w:rsidR="00D93536"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(23)</w:t>
      </w:r>
      <w:r w:rsidR="002C48A7" w:rsidRPr="002C48A7">
        <w:rPr>
          <w:rFonts w:ascii="Arial" w:hAnsi="Arial" w:cs="Arial"/>
        </w:rPr>
        <w:tab/>
      </w:r>
      <w:r w:rsidR="00D93536" w:rsidRPr="002C48A7">
        <w:rPr>
          <w:rFonts w:ascii="Arial" w:hAnsi="Arial" w:cs="Arial"/>
        </w:rPr>
        <w:t>Proceedings on notice to anyone with an interest in the property will lead to a delay of various months. During that time the State’s interest in the property will be under someone else’s control, and unprotected.</w:t>
      </w:r>
    </w:p>
    <w:p w:rsidR="00D93536" w:rsidRPr="002C48A7" w:rsidRDefault="00D93536" w:rsidP="002C48A7">
      <w:pPr>
        <w:tabs>
          <w:tab w:val="left" w:pos="851"/>
        </w:tabs>
        <w:spacing w:after="0" w:line="360" w:lineRule="auto"/>
        <w:jc w:val="both"/>
        <w:rPr>
          <w:rFonts w:ascii="Arial" w:hAnsi="Arial" w:cs="Arial"/>
        </w:rPr>
      </w:pPr>
    </w:p>
    <w:p w:rsidR="00D93536"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(24)</w:t>
      </w:r>
      <w:r w:rsidR="002C48A7" w:rsidRPr="002C48A7">
        <w:rPr>
          <w:rFonts w:ascii="Arial" w:hAnsi="Arial" w:cs="Arial"/>
        </w:rPr>
        <w:tab/>
      </w:r>
      <w:r w:rsidR="00D93536" w:rsidRPr="002C48A7">
        <w:rPr>
          <w:rFonts w:ascii="Arial" w:hAnsi="Arial" w:cs="Arial"/>
        </w:rPr>
        <w:t>The parties interested in property of this nature inevitably have a powerful incentive to dissipate their property if they get notice of a pending application for its preservation.</w:t>
      </w:r>
    </w:p>
    <w:p w:rsidR="00D93536" w:rsidRPr="002C48A7" w:rsidRDefault="00D93536" w:rsidP="002C48A7">
      <w:pPr>
        <w:tabs>
          <w:tab w:val="left" w:pos="851"/>
        </w:tabs>
        <w:spacing w:after="0" w:line="360" w:lineRule="auto"/>
        <w:jc w:val="both"/>
        <w:rPr>
          <w:rFonts w:ascii="Arial" w:hAnsi="Arial" w:cs="Arial"/>
        </w:rPr>
      </w:pPr>
    </w:p>
    <w:p w:rsidR="00D93536"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(25)</w:t>
      </w:r>
      <w:r w:rsidR="002C48A7" w:rsidRPr="002C48A7">
        <w:rPr>
          <w:rFonts w:ascii="Arial" w:hAnsi="Arial" w:cs="Arial"/>
        </w:rPr>
        <w:tab/>
      </w:r>
      <w:r w:rsidR="00D93536" w:rsidRPr="002C48A7">
        <w:rPr>
          <w:rFonts w:ascii="Arial" w:hAnsi="Arial" w:cs="Arial"/>
        </w:rPr>
        <w:t>In this specific case, the risk of dissipation is eminent as the parties with interest have already demanded for the release of the money.</w:t>
      </w:r>
    </w:p>
    <w:p w:rsidR="00D93536" w:rsidRPr="002C48A7" w:rsidRDefault="00D93536" w:rsidP="002C48A7">
      <w:pPr>
        <w:tabs>
          <w:tab w:val="left" w:pos="851"/>
        </w:tabs>
        <w:spacing w:after="0" w:line="360" w:lineRule="auto"/>
        <w:jc w:val="both"/>
        <w:rPr>
          <w:rFonts w:ascii="Arial" w:hAnsi="Arial" w:cs="Arial"/>
        </w:rPr>
      </w:pPr>
    </w:p>
    <w:p w:rsidR="00D93536" w:rsidRPr="002C48A7" w:rsidRDefault="00214F6D" w:rsidP="00214F6D">
      <w:pPr>
        <w:tabs>
          <w:tab w:val="left" w:pos="851"/>
          <w:tab w:val="left" w:pos="993"/>
        </w:tabs>
        <w:spacing w:after="0" w:line="360" w:lineRule="auto"/>
        <w:ind w:left="1440" w:hanging="1440"/>
        <w:jc w:val="both"/>
        <w:rPr>
          <w:rFonts w:ascii="Arial" w:hAnsi="Arial" w:cs="Arial"/>
        </w:rPr>
      </w:pPr>
      <w:r>
        <w:rPr>
          <w:rFonts w:ascii="Arial" w:hAnsi="Arial" w:cs="Arial"/>
        </w:rPr>
        <w:tab/>
      </w:r>
      <w:r w:rsidR="002C48A7" w:rsidRPr="002C48A7">
        <w:rPr>
          <w:rFonts w:ascii="Arial" w:hAnsi="Arial" w:cs="Arial"/>
        </w:rPr>
        <w:t>(26)</w:t>
      </w:r>
      <w:r w:rsidR="002C48A7" w:rsidRPr="002C48A7">
        <w:rPr>
          <w:rFonts w:ascii="Arial" w:hAnsi="Arial" w:cs="Arial"/>
        </w:rPr>
        <w:tab/>
      </w:r>
      <w:r w:rsidR="00D93536" w:rsidRPr="002C48A7">
        <w:rPr>
          <w:rFonts w:ascii="Arial" w:hAnsi="Arial" w:cs="Arial"/>
        </w:rPr>
        <w:t xml:space="preserve">The risk exists whether the property is movable or immovable as there would be no prohibition on the owner of the property to dispose of the property pending the hearing of the application. In matters of this nature there is accordingly an inherent need to proceed on the basis of an initial </w:t>
      </w:r>
      <w:r w:rsidR="00D93536" w:rsidRPr="002C48A7">
        <w:rPr>
          <w:rFonts w:ascii="Arial" w:hAnsi="Arial" w:cs="Arial"/>
          <w:i/>
        </w:rPr>
        <w:t xml:space="preserve">ex parte </w:t>
      </w:r>
      <w:r w:rsidR="00D93536" w:rsidRPr="002C48A7">
        <w:rPr>
          <w:rFonts w:ascii="Arial" w:hAnsi="Arial" w:cs="Arial"/>
        </w:rPr>
        <w:t>application.</w:t>
      </w:r>
    </w:p>
    <w:p w:rsidR="00D93536" w:rsidRPr="002C48A7" w:rsidRDefault="00D93536" w:rsidP="002C48A7">
      <w:pPr>
        <w:tabs>
          <w:tab w:val="left" w:pos="851"/>
        </w:tabs>
        <w:spacing w:after="0" w:line="360" w:lineRule="auto"/>
        <w:jc w:val="both"/>
        <w:rPr>
          <w:rFonts w:ascii="Arial" w:hAnsi="Arial" w:cs="Arial"/>
        </w:rPr>
      </w:pPr>
    </w:p>
    <w:p w:rsidR="00D93536" w:rsidRPr="002C48A7" w:rsidRDefault="00214F6D" w:rsidP="00214F6D">
      <w:pPr>
        <w:tabs>
          <w:tab w:val="left" w:pos="851"/>
        </w:tabs>
        <w:spacing w:after="0" w:line="360" w:lineRule="auto"/>
        <w:ind w:left="1440" w:hanging="1440"/>
        <w:jc w:val="both"/>
        <w:rPr>
          <w:rFonts w:ascii="Arial" w:hAnsi="Arial" w:cs="Arial"/>
        </w:rPr>
      </w:pPr>
      <w:r>
        <w:rPr>
          <w:rFonts w:ascii="Arial" w:hAnsi="Arial" w:cs="Arial"/>
        </w:rPr>
        <w:lastRenderedPageBreak/>
        <w:tab/>
      </w:r>
      <w:r w:rsidR="002C48A7" w:rsidRPr="002C48A7">
        <w:rPr>
          <w:rFonts w:ascii="Arial" w:hAnsi="Arial" w:cs="Arial"/>
        </w:rPr>
        <w:t>(27)</w:t>
      </w:r>
      <w:r w:rsidR="002C48A7" w:rsidRPr="002C48A7">
        <w:rPr>
          <w:rFonts w:ascii="Arial" w:hAnsi="Arial" w:cs="Arial"/>
        </w:rPr>
        <w:tab/>
      </w:r>
      <w:r w:rsidR="00D93536" w:rsidRPr="002C48A7">
        <w:rPr>
          <w:rFonts w:ascii="Arial" w:hAnsi="Arial" w:cs="Arial"/>
        </w:rPr>
        <w:t xml:space="preserve">I submit that it will only be </w:t>
      </w:r>
      <w:r w:rsidR="0044355C">
        <w:rPr>
          <w:rFonts w:ascii="Arial" w:hAnsi="Arial" w:cs="Arial"/>
        </w:rPr>
        <w:t xml:space="preserve">in </w:t>
      </w:r>
      <w:r w:rsidR="00D93536" w:rsidRPr="002C48A7">
        <w:rPr>
          <w:rFonts w:ascii="Arial" w:hAnsi="Arial" w:cs="Arial"/>
        </w:rPr>
        <w:t xml:space="preserve">unusual circumstances that an </w:t>
      </w:r>
      <w:r w:rsidR="00D93536" w:rsidRPr="002C48A7">
        <w:rPr>
          <w:rFonts w:ascii="Arial" w:hAnsi="Arial" w:cs="Arial"/>
          <w:i/>
        </w:rPr>
        <w:t xml:space="preserve">ex parte </w:t>
      </w:r>
      <w:r w:rsidR="00117290" w:rsidRPr="002C48A7">
        <w:rPr>
          <w:rFonts w:ascii="Arial" w:hAnsi="Arial" w:cs="Arial"/>
        </w:rPr>
        <w:t>application for a preservation order will be inappropriate. My submission is that no such circumstances exist in this case and the preservation order serves only as an interim order. Shelfco Investment already requested the release of the funds despite being informed that there are reasonable grounds to believe that the money was imported illegally into Namibia.</w:t>
      </w:r>
      <w:r>
        <w:rPr>
          <w:rFonts w:ascii="Arial" w:hAnsi="Arial" w:cs="Arial"/>
        </w:rPr>
        <w:t>’</w:t>
      </w:r>
    </w:p>
    <w:p w:rsidR="00304298" w:rsidRPr="00AB14CF" w:rsidRDefault="00304298" w:rsidP="00304298">
      <w:pPr>
        <w:pStyle w:val="ListParagraph"/>
        <w:spacing w:after="0" w:line="480" w:lineRule="auto"/>
        <w:jc w:val="both"/>
        <w:rPr>
          <w:rFonts w:ascii="Arial" w:hAnsi="Arial" w:cs="Arial"/>
          <w:sz w:val="24"/>
          <w:szCs w:val="24"/>
        </w:rPr>
      </w:pPr>
    </w:p>
    <w:p w:rsidR="00522321" w:rsidRDefault="00117290" w:rsidP="00922162">
      <w:pPr>
        <w:pStyle w:val="ListParagraph"/>
        <w:numPr>
          <w:ilvl w:val="0"/>
          <w:numId w:val="1"/>
        </w:numPr>
        <w:tabs>
          <w:tab w:val="left" w:pos="851"/>
        </w:tabs>
        <w:spacing w:after="0" w:line="480" w:lineRule="auto"/>
        <w:ind w:left="0" w:right="-143" w:firstLine="0"/>
        <w:jc w:val="both"/>
        <w:rPr>
          <w:rFonts w:ascii="Arial" w:hAnsi="Arial" w:cs="Arial"/>
          <w:sz w:val="24"/>
          <w:szCs w:val="24"/>
        </w:rPr>
      </w:pPr>
      <w:r w:rsidRPr="00304298">
        <w:rPr>
          <w:rFonts w:ascii="Arial" w:hAnsi="Arial" w:cs="Arial"/>
          <w:sz w:val="24"/>
          <w:szCs w:val="24"/>
        </w:rPr>
        <w:t>While the appellant concede</w:t>
      </w:r>
      <w:r w:rsidR="00004663">
        <w:rPr>
          <w:rFonts w:ascii="Arial" w:hAnsi="Arial" w:cs="Arial"/>
          <w:sz w:val="24"/>
          <w:szCs w:val="24"/>
        </w:rPr>
        <w:t>d</w:t>
      </w:r>
      <w:r w:rsidRPr="00304298">
        <w:rPr>
          <w:rFonts w:ascii="Arial" w:hAnsi="Arial" w:cs="Arial"/>
          <w:sz w:val="24"/>
          <w:szCs w:val="24"/>
        </w:rPr>
        <w:t xml:space="preserve"> that the first preservation order was sought erroneously, she denie</w:t>
      </w:r>
      <w:r w:rsidR="00004663">
        <w:rPr>
          <w:rFonts w:ascii="Arial" w:hAnsi="Arial" w:cs="Arial"/>
          <w:sz w:val="24"/>
          <w:szCs w:val="24"/>
        </w:rPr>
        <w:t>d</w:t>
      </w:r>
      <w:r w:rsidRPr="00304298">
        <w:rPr>
          <w:rFonts w:ascii="Arial" w:hAnsi="Arial" w:cs="Arial"/>
          <w:sz w:val="24"/>
          <w:szCs w:val="24"/>
        </w:rPr>
        <w:t xml:space="preserve"> that </w:t>
      </w:r>
      <w:r w:rsidR="00B634B1" w:rsidRPr="00304298">
        <w:rPr>
          <w:rFonts w:ascii="Arial" w:hAnsi="Arial" w:cs="Arial"/>
          <w:sz w:val="24"/>
          <w:szCs w:val="24"/>
        </w:rPr>
        <w:t>she sought that order on erroneous facts. She further state</w:t>
      </w:r>
      <w:r w:rsidR="00004663">
        <w:rPr>
          <w:rFonts w:ascii="Arial" w:hAnsi="Arial" w:cs="Arial"/>
          <w:sz w:val="24"/>
          <w:szCs w:val="24"/>
        </w:rPr>
        <w:t>d</w:t>
      </w:r>
      <w:r w:rsidR="00B634B1" w:rsidRPr="00304298">
        <w:rPr>
          <w:rFonts w:ascii="Arial" w:hAnsi="Arial" w:cs="Arial"/>
          <w:sz w:val="24"/>
          <w:szCs w:val="24"/>
        </w:rPr>
        <w:t xml:space="preserve"> that ‘I had no choice than</w:t>
      </w:r>
      <w:r w:rsidR="0070642C" w:rsidRPr="00304298">
        <w:rPr>
          <w:rFonts w:ascii="Arial" w:hAnsi="Arial" w:cs="Arial"/>
          <w:sz w:val="24"/>
          <w:szCs w:val="24"/>
        </w:rPr>
        <w:t xml:space="preserve"> not to proceed with a forfeiture of property application once I was advised that the preservation order sought could not be remedied by a subsequent forfeiture application’. What immediately springs to mind is, how could the preservation order be remedied in the forfeiture application which is premised on a different enquiry. There is no indication how she had hoped to remedy the preservation order in the forfeiture application, particularly if the failure to seek forfeiture was premised on the failure to </w:t>
      </w:r>
      <w:r w:rsidR="008D7822" w:rsidRPr="00304298">
        <w:rPr>
          <w:rFonts w:ascii="Arial" w:hAnsi="Arial" w:cs="Arial"/>
          <w:sz w:val="24"/>
          <w:szCs w:val="24"/>
        </w:rPr>
        <w:t>publish</w:t>
      </w:r>
      <w:r w:rsidR="0070642C" w:rsidRPr="00304298">
        <w:rPr>
          <w:rFonts w:ascii="Arial" w:hAnsi="Arial" w:cs="Arial"/>
          <w:sz w:val="24"/>
          <w:szCs w:val="24"/>
        </w:rPr>
        <w:t xml:space="preserve">. The </w:t>
      </w:r>
      <w:r w:rsidR="00DE43B5" w:rsidRPr="00304298">
        <w:rPr>
          <w:rFonts w:ascii="Arial" w:hAnsi="Arial" w:cs="Arial"/>
          <w:sz w:val="24"/>
          <w:szCs w:val="24"/>
        </w:rPr>
        <w:t>appellant further states that, ‘I cannot find any compelling reason why I must apply for a forfeiture application whilst I am aware that there was an error in law when I applied for a preservation order</w:t>
      </w:r>
      <w:r w:rsidR="00172D2D" w:rsidRPr="00304298">
        <w:rPr>
          <w:rFonts w:ascii="Arial" w:hAnsi="Arial" w:cs="Arial"/>
          <w:sz w:val="24"/>
          <w:szCs w:val="24"/>
        </w:rPr>
        <w:t>.</w:t>
      </w:r>
      <w:r w:rsidR="003C3419" w:rsidRPr="00304298">
        <w:rPr>
          <w:rFonts w:ascii="Arial" w:hAnsi="Arial" w:cs="Arial"/>
          <w:sz w:val="24"/>
          <w:szCs w:val="24"/>
        </w:rPr>
        <w:t>’</w:t>
      </w:r>
      <w:r w:rsidR="00DE43B5" w:rsidRPr="00304298">
        <w:rPr>
          <w:rFonts w:ascii="Arial" w:hAnsi="Arial" w:cs="Arial"/>
          <w:sz w:val="24"/>
          <w:szCs w:val="24"/>
        </w:rPr>
        <w:t xml:space="preserve"> What was the error in law when she applied for the first preservation order when she states that the statutory interventions issued by the FIC are </w:t>
      </w:r>
      <w:r w:rsidR="00E606AD" w:rsidRPr="00304298">
        <w:rPr>
          <w:rFonts w:ascii="Arial" w:hAnsi="Arial" w:cs="Arial"/>
          <w:sz w:val="24"/>
          <w:szCs w:val="24"/>
        </w:rPr>
        <w:t>a</w:t>
      </w:r>
      <w:r w:rsidR="00DE43B5" w:rsidRPr="00304298">
        <w:rPr>
          <w:rFonts w:ascii="Arial" w:hAnsi="Arial" w:cs="Arial"/>
          <w:sz w:val="24"/>
          <w:szCs w:val="24"/>
        </w:rPr>
        <w:t>n administrative function</w:t>
      </w:r>
      <w:r w:rsidR="00E606AD" w:rsidRPr="00304298">
        <w:rPr>
          <w:rFonts w:ascii="Arial" w:hAnsi="Arial" w:cs="Arial"/>
          <w:sz w:val="24"/>
          <w:szCs w:val="24"/>
        </w:rPr>
        <w:t xml:space="preserve"> divorced from her office</w:t>
      </w:r>
      <w:r w:rsidR="00DE43B5" w:rsidRPr="00304298">
        <w:rPr>
          <w:rFonts w:ascii="Arial" w:hAnsi="Arial" w:cs="Arial"/>
          <w:sz w:val="24"/>
          <w:szCs w:val="24"/>
        </w:rPr>
        <w:t>? In fact the app</w:t>
      </w:r>
      <w:r w:rsidR="00214F6D" w:rsidRPr="00304298">
        <w:rPr>
          <w:rFonts w:ascii="Arial" w:hAnsi="Arial" w:cs="Arial"/>
          <w:sz w:val="24"/>
          <w:szCs w:val="24"/>
        </w:rPr>
        <w:t>ellant</w:t>
      </w:r>
      <w:r w:rsidR="00DE43B5" w:rsidRPr="00304298">
        <w:rPr>
          <w:rFonts w:ascii="Arial" w:hAnsi="Arial" w:cs="Arial"/>
          <w:sz w:val="24"/>
          <w:szCs w:val="24"/>
        </w:rPr>
        <w:t xml:space="preserve"> distances herself/office from the activities of the </w:t>
      </w:r>
      <w:r w:rsidR="00214F6D" w:rsidRPr="00304298">
        <w:rPr>
          <w:rFonts w:ascii="Arial" w:hAnsi="Arial" w:cs="Arial"/>
          <w:sz w:val="24"/>
          <w:szCs w:val="24"/>
        </w:rPr>
        <w:t>C</w:t>
      </w:r>
      <w:r w:rsidR="00DE43B5" w:rsidRPr="00304298">
        <w:rPr>
          <w:rFonts w:ascii="Arial" w:hAnsi="Arial" w:cs="Arial"/>
          <w:sz w:val="24"/>
          <w:szCs w:val="24"/>
        </w:rPr>
        <w:t>entre</w:t>
      </w:r>
      <w:r w:rsidR="00214F6D" w:rsidRPr="00304298">
        <w:rPr>
          <w:rFonts w:ascii="Arial" w:hAnsi="Arial" w:cs="Arial"/>
          <w:sz w:val="24"/>
          <w:szCs w:val="24"/>
        </w:rPr>
        <w:t>,</w:t>
      </w:r>
      <w:r w:rsidR="00DE43B5" w:rsidRPr="00304298">
        <w:rPr>
          <w:rFonts w:ascii="Arial" w:hAnsi="Arial" w:cs="Arial"/>
          <w:sz w:val="24"/>
          <w:szCs w:val="24"/>
        </w:rPr>
        <w:t xml:space="preserve"> when s 42</w:t>
      </w:r>
      <w:r w:rsidR="00A453DA" w:rsidRPr="00304298">
        <w:rPr>
          <w:rFonts w:ascii="Arial" w:hAnsi="Arial" w:cs="Arial"/>
          <w:sz w:val="24"/>
          <w:szCs w:val="24"/>
        </w:rPr>
        <w:t xml:space="preserve"> states the contrary. One would have thought commercial banks have an obligation to report illegal activities on ‘individuals’ accounts to the Bank of Namibia (BoN) where the FIC is supposed to be housed and in terms of s 42 that institution would put a block on </w:t>
      </w:r>
      <w:r w:rsidR="00A2079D" w:rsidRPr="00304298">
        <w:rPr>
          <w:rFonts w:ascii="Arial" w:hAnsi="Arial" w:cs="Arial"/>
          <w:sz w:val="24"/>
          <w:szCs w:val="24"/>
        </w:rPr>
        <w:t>the particular account and advis</w:t>
      </w:r>
      <w:r w:rsidR="00A453DA" w:rsidRPr="00304298">
        <w:rPr>
          <w:rFonts w:ascii="Arial" w:hAnsi="Arial" w:cs="Arial"/>
          <w:sz w:val="24"/>
          <w:szCs w:val="24"/>
        </w:rPr>
        <w:t>e or report the</w:t>
      </w:r>
      <w:r w:rsidR="00A30478" w:rsidRPr="00304298">
        <w:rPr>
          <w:rFonts w:ascii="Arial" w:hAnsi="Arial" w:cs="Arial"/>
          <w:sz w:val="24"/>
          <w:szCs w:val="24"/>
        </w:rPr>
        <w:t xml:space="preserve"> same to the police who would launch an investigation and/or the appellant who would cause an investigation and on the result of the investigation elect </w:t>
      </w:r>
      <w:r w:rsidR="00A30478" w:rsidRPr="00304298">
        <w:rPr>
          <w:rFonts w:ascii="Arial" w:hAnsi="Arial" w:cs="Arial"/>
          <w:sz w:val="24"/>
          <w:szCs w:val="24"/>
        </w:rPr>
        <w:lastRenderedPageBreak/>
        <w:t xml:space="preserve">to seek a preservation order. In fact in </w:t>
      </w:r>
      <w:r w:rsidR="00214F6D" w:rsidRPr="00304298">
        <w:rPr>
          <w:rFonts w:ascii="Arial" w:hAnsi="Arial" w:cs="Arial"/>
          <w:sz w:val="24"/>
          <w:szCs w:val="24"/>
        </w:rPr>
        <w:t>para 29, case number</w:t>
      </w:r>
      <w:r w:rsidR="00E10179" w:rsidRPr="00304298">
        <w:rPr>
          <w:rFonts w:ascii="Arial" w:hAnsi="Arial" w:cs="Arial"/>
          <w:sz w:val="24"/>
          <w:szCs w:val="24"/>
        </w:rPr>
        <w:t xml:space="preserve"> POCA 1/2017, </w:t>
      </w:r>
      <w:r w:rsidR="00214F6D" w:rsidRPr="00304298">
        <w:rPr>
          <w:rFonts w:ascii="Arial" w:hAnsi="Arial" w:cs="Arial"/>
          <w:sz w:val="24"/>
          <w:szCs w:val="24"/>
        </w:rPr>
        <w:t>the appellant states</w:t>
      </w:r>
      <w:r w:rsidR="00E10179" w:rsidRPr="00304298">
        <w:rPr>
          <w:rFonts w:ascii="Arial" w:hAnsi="Arial" w:cs="Arial"/>
          <w:sz w:val="24"/>
          <w:szCs w:val="24"/>
        </w:rPr>
        <w:t xml:space="preserve"> that ‘Nampol received a suspicious transaction report from </w:t>
      </w:r>
      <w:r w:rsidR="00170D20" w:rsidRPr="00304298">
        <w:rPr>
          <w:rFonts w:ascii="Arial" w:hAnsi="Arial" w:cs="Arial"/>
          <w:sz w:val="24"/>
          <w:szCs w:val="24"/>
        </w:rPr>
        <w:t>FIC on 01 December 2016 and on 6 December</w:t>
      </w:r>
      <w:r w:rsidR="00F83BF4">
        <w:rPr>
          <w:rFonts w:ascii="Arial" w:hAnsi="Arial" w:cs="Arial"/>
          <w:sz w:val="24"/>
          <w:szCs w:val="24"/>
        </w:rPr>
        <w:t xml:space="preserve"> 2016</w:t>
      </w:r>
      <w:r w:rsidR="00170D20" w:rsidRPr="00304298">
        <w:rPr>
          <w:rFonts w:ascii="Arial" w:hAnsi="Arial" w:cs="Arial"/>
          <w:sz w:val="24"/>
          <w:szCs w:val="24"/>
        </w:rPr>
        <w:t>, the matter was assigned to Sgt Shaakumeni</w:t>
      </w:r>
      <w:r w:rsidR="00F83BF4">
        <w:rPr>
          <w:rFonts w:ascii="Arial" w:hAnsi="Arial" w:cs="Arial"/>
          <w:sz w:val="24"/>
          <w:szCs w:val="24"/>
        </w:rPr>
        <w:t>’</w:t>
      </w:r>
      <w:r w:rsidR="00170D20" w:rsidRPr="00304298">
        <w:rPr>
          <w:rFonts w:ascii="Arial" w:hAnsi="Arial" w:cs="Arial"/>
          <w:sz w:val="24"/>
          <w:szCs w:val="24"/>
        </w:rPr>
        <w:t xml:space="preserve">. In para 17 of her founding affidavit, POCA 8/2017 the appellant states that, </w:t>
      </w:r>
      <w:r w:rsidR="00172D2D" w:rsidRPr="00304298">
        <w:rPr>
          <w:rFonts w:ascii="Arial" w:hAnsi="Arial" w:cs="Arial"/>
          <w:sz w:val="24"/>
          <w:szCs w:val="24"/>
        </w:rPr>
        <w:t>‘</w:t>
      </w:r>
      <w:r w:rsidR="00170D20" w:rsidRPr="00304298">
        <w:rPr>
          <w:rFonts w:ascii="Arial" w:hAnsi="Arial" w:cs="Arial"/>
          <w:sz w:val="24"/>
          <w:szCs w:val="24"/>
        </w:rPr>
        <w:t>on 22 May 2017 a request was sent to the FIC by my office to indicate that I intend to apply for a new preservation application on new grounds that the money on reasonable grounds were illegally imported into Namibia.</w:t>
      </w:r>
      <w:r w:rsidR="0044355C" w:rsidRPr="00304298">
        <w:rPr>
          <w:rFonts w:ascii="Arial" w:hAnsi="Arial" w:cs="Arial"/>
          <w:sz w:val="24"/>
          <w:szCs w:val="24"/>
        </w:rPr>
        <w:t>’</w:t>
      </w:r>
      <w:r w:rsidR="00170D20" w:rsidRPr="00304298">
        <w:rPr>
          <w:rFonts w:ascii="Arial" w:hAnsi="Arial" w:cs="Arial"/>
          <w:sz w:val="24"/>
          <w:szCs w:val="24"/>
        </w:rPr>
        <w:t xml:space="preserve"> This means the extended statutory intervention expiring on 6 June 2017 was issued </w:t>
      </w:r>
      <w:r w:rsidR="00004663">
        <w:rPr>
          <w:rFonts w:ascii="Arial" w:hAnsi="Arial" w:cs="Arial"/>
          <w:sz w:val="24"/>
          <w:szCs w:val="24"/>
        </w:rPr>
        <w:t>at</w:t>
      </w:r>
      <w:r w:rsidR="00170D20" w:rsidRPr="00304298">
        <w:rPr>
          <w:rFonts w:ascii="Arial" w:hAnsi="Arial" w:cs="Arial"/>
          <w:sz w:val="24"/>
          <w:szCs w:val="24"/>
        </w:rPr>
        <w:t xml:space="preserve"> the appellant’s request, contrary, as the respondents contended, to s 42 of the FIA.</w:t>
      </w:r>
    </w:p>
    <w:p w:rsidR="00004663" w:rsidRDefault="00004663" w:rsidP="00004663">
      <w:pPr>
        <w:pStyle w:val="ListParagraph"/>
        <w:tabs>
          <w:tab w:val="left" w:pos="851"/>
        </w:tabs>
        <w:spacing w:after="0" w:line="480" w:lineRule="auto"/>
        <w:ind w:left="0"/>
        <w:jc w:val="both"/>
        <w:rPr>
          <w:rFonts w:ascii="Arial" w:hAnsi="Arial" w:cs="Arial"/>
          <w:sz w:val="24"/>
          <w:szCs w:val="24"/>
        </w:rPr>
      </w:pPr>
    </w:p>
    <w:p w:rsidR="00682DBC" w:rsidRPr="00004663" w:rsidRDefault="00170D20" w:rsidP="00004663">
      <w:pPr>
        <w:pStyle w:val="ListParagraph"/>
        <w:numPr>
          <w:ilvl w:val="0"/>
          <w:numId w:val="1"/>
        </w:numPr>
        <w:tabs>
          <w:tab w:val="left" w:pos="851"/>
        </w:tabs>
        <w:spacing w:after="0" w:line="480" w:lineRule="auto"/>
        <w:ind w:left="0" w:firstLine="0"/>
        <w:jc w:val="both"/>
        <w:rPr>
          <w:rFonts w:ascii="Arial" w:hAnsi="Arial" w:cs="Arial"/>
          <w:sz w:val="24"/>
          <w:szCs w:val="24"/>
        </w:rPr>
      </w:pPr>
      <w:r w:rsidRPr="00004663">
        <w:rPr>
          <w:rFonts w:ascii="Arial" w:hAnsi="Arial" w:cs="Arial"/>
          <w:sz w:val="24"/>
          <w:szCs w:val="24"/>
        </w:rPr>
        <w:t xml:space="preserve">What is undoubtedly clear though as the court </w:t>
      </w:r>
      <w:r w:rsidRPr="00B303CA">
        <w:rPr>
          <w:rFonts w:ascii="Arial" w:hAnsi="Arial" w:cs="Arial"/>
          <w:sz w:val="24"/>
          <w:szCs w:val="24"/>
        </w:rPr>
        <w:t>a quo</w:t>
      </w:r>
      <w:r w:rsidRPr="00004663">
        <w:rPr>
          <w:rFonts w:ascii="Arial" w:hAnsi="Arial" w:cs="Arial"/>
          <w:sz w:val="24"/>
          <w:szCs w:val="24"/>
        </w:rPr>
        <w:t xml:space="preserve"> found, </w:t>
      </w:r>
      <w:r w:rsidR="00004663">
        <w:rPr>
          <w:rFonts w:ascii="Arial" w:hAnsi="Arial" w:cs="Arial"/>
          <w:sz w:val="24"/>
          <w:szCs w:val="24"/>
        </w:rPr>
        <w:t xml:space="preserve">is that </w:t>
      </w:r>
      <w:r w:rsidRPr="00004663">
        <w:rPr>
          <w:rFonts w:ascii="Arial" w:hAnsi="Arial" w:cs="Arial"/>
          <w:sz w:val="24"/>
          <w:szCs w:val="24"/>
        </w:rPr>
        <w:t xml:space="preserve">the </w:t>
      </w:r>
      <w:r w:rsidR="00AA4C22" w:rsidRPr="00004663">
        <w:rPr>
          <w:rFonts w:ascii="Arial" w:hAnsi="Arial" w:cs="Arial"/>
          <w:sz w:val="24"/>
          <w:szCs w:val="24"/>
        </w:rPr>
        <w:t>appellant works in tandem with the FIC and her failure to have informed the court when she applied for the first preservation order on 5 January 2017 that the respondents’ money in the CFC account of Bank Windhoek was unlawfully retained from November 2016 to 4 January 2017 was a material non-disclosure which could have influenced the court and her evidence</w:t>
      </w:r>
      <w:r w:rsidR="002A1564" w:rsidRPr="00004663">
        <w:rPr>
          <w:rFonts w:ascii="Arial" w:hAnsi="Arial" w:cs="Arial"/>
          <w:sz w:val="24"/>
          <w:szCs w:val="24"/>
        </w:rPr>
        <w:t xml:space="preserve"> </w:t>
      </w:r>
      <w:r w:rsidR="00AA4C22" w:rsidRPr="00004663">
        <w:rPr>
          <w:rFonts w:ascii="Arial" w:hAnsi="Arial" w:cs="Arial"/>
          <w:sz w:val="24"/>
          <w:szCs w:val="24"/>
        </w:rPr>
        <w:t>on the ‘statutory intervention’ issue, particularly</w:t>
      </w:r>
      <w:r w:rsidR="00004663">
        <w:rPr>
          <w:rFonts w:ascii="Arial" w:hAnsi="Arial" w:cs="Arial"/>
          <w:sz w:val="24"/>
          <w:szCs w:val="24"/>
        </w:rPr>
        <w:t xml:space="preserve"> given that</w:t>
      </w:r>
      <w:r w:rsidR="00AA4C22" w:rsidRPr="00004663">
        <w:rPr>
          <w:rFonts w:ascii="Arial" w:hAnsi="Arial" w:cs="Arial"/>
          <w:sz w:val="24"/>
          <w:szCs w:val="24"/>
        </w:rPr>
        <w:t xml:space="preserve"> how the interventions are issued and executed is shro</w:t>
      </w:r>
      <w:r w:rsidR="00A2079D" w:rsidRPr="00004663">
        <w:rPr>
          <w:rFonts w:ascii="Arial" w:hAnsi="Arial" w:cs="Arial"/>
          <w:sz w:val="24"/>
          <w:szCs w:val="24"/>
        </w:rPr>
        <w:t>u</w:t>
      </w:r>
      <w:r w:rsidR="00AA4C22" w:rsidRPr="00004663">
        <w:rPr>
          <w:rFonts w:ascii="Arial" w:hAnsi="Arial" w:cs="Arial"/>
          <w:sz w:val="24"/>
          <w:szCs w:val="24"/>
        </w:rPr>
        <w:t xml:space="preserve">ded in secrecy and </w:t>
      </w:r>
      <w:r w:rsidR="00A2079D" w:rsidRPr="00004663">
        <w:rPr>
          <w:rFonts w:ascii="Arial" w:hAnsi="Arial" w:cs="Arial"/>
          <w:sz w:val="24"/>
          <w:szCs w:val="24"/>
        </w:rPr>
        <w:t xml:space="preserve">its omission </w:t>
      </w:r>
      <w:r w:rsidR="00AA4C22" w:rsidRPr="00004663">
        <w:rPr>
          <w:rFonts w:ascii="Arial" w:hAnsi="Arial" w:cs="Arial"/>
          <w:sz w:val="24"/>
          <w:szCs w:val="24"/>
        </w:rPr>
        <w:t xml:space="preserve">amounts to misleading the court. On the one hand appellant says the interventions are </w:t>
      </w:r>
      <w:r w:rsidR="002A1564" w:rsidRPr="00004663">
        <w:rPr>
          <w:rFonts w:ascii="Arial" w:hAnsi="Arial" w:cs="Arial"/>
          <w:sz w:val="24"/>
          <w:szCs w:val="24"/>
        </w:rPr>
        <w:t>a</w:t>
      </w:r>
      <w:r w:rsidR="00AA4C22" w:rsidRPr="00004663">
        <w:rPr>
          <w:rFonts w:ascii="Arial" w:hAnsi="Arial" w:cs="Arial"/>
          <w:sz w:val="24"/>
          <w:szCs w:val="24"/>
        </w:rPr>
        <w:t>n administrative function of the Director of the FIC, and ha</w:t>
      </w:r>
      <w:r w:rsidR="00004663">
        <w:rPr>
          <w:rFonts w:ascii="Arial" w:hAnsi="Arial" w:cs="Arial"/>
          <w:sz w:val="24"/>
          <w:szCs w:val="24"/>
        </w:rPr>
        <w:t>d</w:t>
      </w:r>
      <w:r w:rsidR="00AA4C22" w:rsidRPr="00004663">
        <w:rPr>
          <w:rFonts w:ascii="Arial" w:hAnsi="Arial" w:cs="Arial"/>
          <w:sz w:val="24"/>
          <w:szCs w:val="24"/>
        </w:rPr>
        <w:t xml:space="preserve"> nothing to do with her application for a preservation order, and while on the other, it appears that appellant made a request, contrary to s 42, to the FIC to extend the intervention, so she could bring the second application.</w:t>
      </w:r>
      <w:r w:rsidR="00682DBC" w:rsidRPr="00004663">
        <w:rPr>
          <w:rFonts w:ascii="Arial" w:hAnsi="Arial" w:cs="Arial"/>
          <w:sz w:val="24"/>
          <w:szCs w:val="24"/>
        </w:rPr>
        <w:t xml:space="preserve"> In the application in case number: POCA 1/2017 under the heading urgency she states:</w:t>
      </w:r>
    </w:p>
    <w:p w:rsidR="0044355C" w:rsidRDefault="0044355C" w:rsidP="0044355C">
      <w:pPr>
        <w:pStyle w:val="ListParagraph"/>
        <w:tabs>
          <w:tab w:val="left" w:pos="851"/>
        </w:tabs>
        <w:spacing w:after="0" w:line="480" w:lineRule="auto"/>
        <w:ind w:left="0"/>
        <w:jc w:val="both"/>
        <w:rPr>
          <w:rFonts w:ascii="Arial" w:hAnsi="Arial" w:cs="Arial"/>
          <w:sz w:val="24"/>
          <w:szCs w:val="24"/>
        </w:rPr>
      </w:pPr>
    </w:p>
    <w:p w:rsidR="00682DBC" w:rsidRDefault="00682DBC" w:rsidP="00682DBC">
      <w:pPr>
        <w:pStyle w:val="ListParagraph"/>
        <w:spacing w:line="360" w:lineRule="auto"/>
        <w:ind w:left="1440" w:hanging="720"/>
        <w:jc w:val="both"/>
        <w:rPr>
          <w:rFonts w:ascii="Arial" w:hAnsi="Arial" w:cs="Arial"/>
        </w:rPr>
      </w:pPr>
      <w:r>
        <w:rPr>
          <w:rFonts w:ascii="Arial" w:hAnsi="Arial" w:cs="Arial"/>
        </w:rPr>
        <w:lastRenderedPageBreak/>
        <w:t>‘8.</w:t>
      </w:r>
      <w:r>
        <w:rPr>
          <w:rFonts w:ascii="Arial" w:hAnsi="Arial" w:cs="Arial"/>
        </w:rPr>
        <w:tab/>
        <w:t>A statutory intervention in terms of section 42 of the Financial Intelligence Act 13 of 2012 (“FIA”) was issued by the Financial Intelligence Centre (“FIC”) in respect of the Bank Windhoek account on 1 December 2016 on the suspicion that the money in the account is the proceeds of unlawful activities and/or instrumentality of an offence. On 16 December 2016, the intervention was extended for another 12 days and will lapse on 5 January 2017.’</w:t>
      </w:r>
    </w:p>
    <w:p w:rsidR="00E606AD" w:rsidRPr="00E606AD" w:rsidRDefault="00E606AD" w:rsidP="0044355C">
      <w:pPr>
        <w:pStyle w:val="ListParagraph"/>
        <w:spacing w:after="0" w:line="480" w:lineRule="auto"/>
        <w:jc w:val="both"/>
        <w:rPr>
          <w:rFonts w:ascii="Arial" w:hAnsi="Arial" w:cs="Arial"/>
          <w:sz w:val="24"/>
          <w:szCs w:val="24"/>
        </w:rPr>
      </w:pPr>
    </w:p>
    <w:p w:rsidR="00E83848" w:rsidRDefault="00682DBC" w:rsidP="00004663">
      <w:pPr>
        <w:pStyle w:val="ListParagraph"/>
        <w:numPr>
          <w:ilvl w:val="0"/>
          <w:numId w:val="1"/>
        </w:numPr>
        <w:tabs>
          <w:tab w:val="left" w:pos="851"/>
        </w:tabs>
        <w:spacing w:after="0" w:line="480" w:lineRule="auto"/>
        <w:ind w:left="0" w:firstLine="0"/>
        <w:jc w:val="both"/>
        <w:rPr>
          <w:rFonts w:ascii="Arial" w:hAnsi="Arial" w:cs="Arial"/>
          <w:sz w:val="24"/>
          <w:szCs w:val="24"/>
        </w:rPr>
      </w:pPr>
      <w:r w:rsidRPr="00004663">
        <w:rPr>
          <w:rFonts w:ascii="Arial" w:hAnsi="Arial" w:cs="Arial"/>
          <w:sz w:val="24"/>
          <w:szCs w:val="24"/>
        </w:rPr>
        <w:t>Appellant states that she was under th</w:t>
      </w:r>
      <w:r w:rsidR="00E606AD" w:rsidRPr="00004663">
        <w:rPr>
          <w:rFonts w:ascii="Arial" w:hAnsi="Arial" w:cs="Arial"/>
          <w:sz w:val="24"/>
          <w:szCs w:val="24"/>
        </w:rPr>
        <w:t xml:space="preserve">e impression that the erroneous </w:t>
      </w:r>
      <w:r w:rsidRPr="00004663">
        <w:rPr>
          <w:rFonts w:ascii="Arial" w:hAnsi="Arial" w:cs="Arial"/>
          <w:sz w:val="24"/>
          <w:szCs w:val="24"/>
        </w:rPr>
        <w:t>preservation order or the error in law  in the first application could be amplified by setting out additional evidence in relation to the groun</w:t>
      </w:r>
      <w:r w:rsidR="00431028" w:rsidRPr="00004663">
        <w:rPr>
          <w:rFonts w:ascii="Arial" w:hAnsi="Arial" w:cs="Arial"/>
          <w:sz w:val="24"/>
          <w:szCs w:val="24"/>
        </w:rPr>
        <w:t xml:space="preserve">ds advanced in the preservation </w:t>
      </w:r>
      <w:r w:rsidRPr="00004663">
        <w:rPr>
          <w:rFonts w:ascii="Arial" w:hAnsi="Arial" w:cs="Arial"/>
          <w:sz w:val="24"/>
          <w:szCs w:val="24"/>
        </w:rPr>
        <w:t xml:space="preserve">application in the subsequent second stage of the proceedings, namely, the forfeiture application. Without elaborating how she would have amplified additional evidence at the forfeiture stage, on for example, the failure to publish the determination issued by the FIC in the Government Gazette (GG), her assertions on the point </w:t>
      </w:r>
      <w:r w:rsidR="00E83848">
        <w:rPr>
          <w:rFonts w:ascii="Arial" w:hAnsi="Arial" w:cs="Arial"/>
          <w:sz w:val="24"/>
          <w:szCs w:val="24"/>
        </w:rPr>
        <w:t xml:space="preserve">amount to </w:t>
      </w:r>
      <w:r w:rsidRPr="00004663">
        <w:rPr>
          <w:rFonts w:ascii="Arial" w:hAnsi="Arial" w:cs="Arial"/>
          <w:sz w:val="24"/>
          <w:szCs w:val="24"/>
        </w:rPr>
        <w:t>misleading the court</w:t>
      </w:r>
      <w:r w:rsidR="00B21194" w:rsidRPr="00004663">
        <w:rPr>
          <w:rFonts w:ascii="Arial" w:hAnsi="Arial" w:cs="Arial"/>
          <w:sz w:val="24"/>
          <w:szCs w:val="24"/>
        </w:rPr>
        <w:t xml:space="preserve">. It is a false attempt to justify why the erroneous order, notwithstanding its discovery before the expiry of the 120 days, was deliberately, to use the words of the respondents and </w:t>
      </w:r>
      <w:r w:rsidR="00E83848">
        <w:rPr>
          <w:rFonts w:ascii="Arial" w:hAnsi="Arial" w:cs="Arial"/>
          <w:sz w:val="24"/>
          <w:szCs w:val="24"/>
        </w:rPr>
        <w:t xml:space="preserve">the </w:t>
      </w:r>
      <w:r w:rsidR="00B21194" w:rsidRPr="00004663">
        <w:rPr>
          <w:rFonts w:ascii="Arial" w:hAnsi="Arial" w:cs="Arial"/>
          <w:sz w:val="24"/>
          <w:szCs w:val="24"/>
        </w:rPr>
        <w:t xml:space="preserve">court </w:t>
      </w:r>
      <w:r w:rsidR="00B21194" w:rsidRPr="00E83848">
        <w:rPr>
          <w:rFonts w:ascii="Arial" w:hAnsi="Arial" w:cs="Arial"/>
          <w:sz w:val="24"/>
          <w:szCs w:val="24"/>
        </w:rPr>
        <w:t>a quo</w:t>
      </w:r>
      <w:r w:rsidR="00B21194" w:rsidRPr="00004663">
        <w:rPr>
          <w:rFonts w:ascii="Arial" w:hAnsi="Arial" w:cs="Arial"/>
          <w:sz w:val="24"/>
          <w:szCs w:val="24"/>
        </w:rPr>
        <w:t>, le</w:t>
      </w:r>
      <w:r w:rsidR="00A2079D" w:rsidRPr="00004663">
        <w:rPr>
          <w:rFonts w:ascii="Arial" w:hAnsi="Arial" w:cs="Arial"/>
          <w:sz w:val="24"/>
          <w:szCs w:val="24"/>
        </w:rPr>
        <w:t>f</w:t>
      </w:r>
      <w:r w:rsidR="00B21194" w:rsidRPr="00004663">
        <w:rPr>
          <w:rFonts w:ascii="Arial" w:hAnsi="Arial" w:cs="Arial"/>
          <w:sz w:val="24"/>
          <w:szCs w:val="24"/>
        </w:rPr>
        <w:t>t to run a full course.</w:t>
      </w:r>
    </w:p>
    <w:p w:rsidR="00E83848" w:rsidRDefault="00E83848" w:rsidP="00E83848">
      <w:pPr>
        <w:pStyle w:val="ListParagraph"/>
        <w:tabs>
          <w:tab w:val="left" w:pos="851"/>
        </w:tabs>
        <w:spacing w:after="0" w:line="480" w:lineRule="auto"/>
        <w:ind w:left="0"/>
        <w:jc w:val="both"/>
        <w:rPr>
          <w:rFonts w:ascii="Arial" w:hAnsi="Arial" w:cs="Arial"/>
          <w:sz w:val="24"/>
          <w:szCs w:val="24"/>
        </w:rPr>
      </w:pPr>
    </w:p>
    <w:p w:rsidR="002A1564" w:rsidRDefault="00B21194" w:rsidP="00E83848">
      <w:pPr>
        <w:pStyle w:val="ListParagraph"/>
        <w:numPr>
          <w:ilvl w:val="0"/>
          <w:numId w:val="1"/>
        </w:numPr>
        <w:tabs>
          <w:tab w:val="left" w:pos="851"/>
        </w:tabs>
        <w:spacing w:after="0" w:line="480" w:lineRule="auto"/>
        <w:ind w:left="0" w:firstLine="0"/>
        <w:jc w:val="both"/>
        <w:rPr>
          <w:rFonts w:ascii="Arial" w:hAnsi="Arial" w:cs="Arial"/>
          <w:sz w:val="24"/>
          <w:szCs w:val="24"/>
        </w:rPr>
      </w:pPr>
      <w:r w:rsidRPr="00004663">
        <w:rPr>
          <w:rFonts w:ascii="Arial" w:hAnsi="Arial" w:cs="Arial"/>
          <w:sz w:val="24"/>
          <w:szCs w:val="24"/>
        </w:rPr>
        <w:t xml:space="preserve"> </w:t>
      </w:r>
      <w:r w:rsidRPr="00E83848">
        <w:rPr>
          <w:rFonts w:ascii="Arial" w:hAnsi="Arial" w:cs="Arial"/>
          <w:sz w:val="24"/>
          <w:szCs w:val="24"/>
        </w:rPr>
        <w:t>It was contended in this court that the facts clearly support</w:t>
      </w:r>
      <w:r w:rsidR="00E83848">
        <w:rPr>
          <w:rFonts w:ascii="Arial" w:hAnsi="Arial" w:cs="Arial"/>
          <w:sz w:val="24"/>
          <w:szCs w:val="24"/>
        </w:rPr>
        <w:t>ed</w:t>
      </w:r>
      <w:r w:rsidRPr="00E83848">
        <w:rPr>
          <w:rFonts w:ascii="Arial" w:hAnsi="Arial" w:cs="Arial"/>
          <w:sz w:val="24"/>
          <w:szCs w:val="24"/>
        </w:rPr>
        <w:t xml:space="preserve"> the inference that when the appellant applied for the first preservation order she believed that the determination was in full force and effect and that a wrongful belie</w:t>
      </w:r>
      <w:r w:rsidR="0044355C" w:rsidRPr="00E83848">
        <w:rPr>
          <w:rFonts w:ascii="Arial" w:hAnsi="Arial" w:cs="Arial"/>
          <w:sz w:val="24"/>
          <w:szCs w:val="24"/>
        </w:rPr>
        <w:t>f</w:t>
      </w:r>
      <w:r w:rsidRPr="00E83848">
        <w:rPr>
          <w:rFonts w:ascii="Arial" w:hAnsi="Arial" w:cs="Arial"/>
          <w:sz w:val="24"/>
          <w:szCs w:val="24"/>
        </w:rPr>
        <w:t xml:space="preserve"> cannot be a fact that should have been disclosed at the time when one is not aware</w:t>
      </w:r>
      <w:r w:rsidR="006F3278" w:rsidRPr="00E83848">
        <w:rPr>
          <w:rFonts w:ascii="Arial" w:hAnsi="Arial" w:cs="Arial"/>
          <w:sz w:val="24"/>
          <w:szCs w:val="24"/>
        </w:rPr>
        <w:t xml:space="preserve"> of the existence of one’s mistake and that the appellant’s wrong reliance on the determination in the first preservation application does not constitute a material non-disclosure but an error. </w:t>
      </w:r>
    </w:p>
    <w:p w:rsidR="00E83848" w:rsidRPr="00E83848" w:rsidRDefault="00E83848" w:rsidP="00E83848">
      <w:pPr>
        <w:pStyle w:val="ListParagraph"/>
        <w:spacing w:after="0" w:line="480" w:lineRule="auto"/>
        <w:jc w:val="both"/>
        <w:rPr>
          <w:rFonts w:ascii="Arial" w:hAnsi="Arial" w:cs="Arial"/>
          <w:sz w:val="24"/>
          <w:szCs w:val="24"/>
        </w:rPr>
      </w:pPr>
    </w:p>
    <w:p w:rsidR="002A1564" w:rsidRDefault="006F3278" w:rsidP="00E83848">
      <w:pPr>
        <w:pStyle w:val="ListParagraph"/>
        <w:numPr>
          <w:ilvl w:val="0"/>
          <w:numId w:val="1"/>
        </w:numPr>
        <w:tabs>
          <w:tab w:val="left" w:pos="851"/>
        </w:tabs>
        <w:spacing w:after="0" w:line="480" w:lineRule="auto"/>
        <w:ind w:left="0" w:firstLine="0"/>
        <w:jc w:val="both"/>
        <w:rPr>
          <w:rFonts w:ascii="Arial" w:hAnsi="Arial" w:cs="Arial"/>
          <w:sz w:val="24"/>
          <w:szCs w:val="24"/>
        </w:rPr>
      </w:pPr>
      <w:r w:rsidRPr="00E83848">
        <w:rPr>
          <w:rFonts w:ascii="Arial" w:hAnsi="Arial" w:cs="Arial"/>
          <w:sz w:val="24"/>
          <w:szCs w:val="24"/>
        </w:rPr>
        <w:lastRenderedPageBreak/>
        <w:t xml:space="preserve">It is incomprehensible how the appellant could approach court, seek a preservation order without verifying that the ‘intervention’ was alive, published and that appellant was within the 12 days provided for in the </w:t>
      </w:r>
      <w:r w:rsidR="0044355C" w:rsidRPr="00E83848">
        <w:rPr>
          <w:rFonts w:ascii="Arial" w:hAnsi="Arial" w:cs="Arial"/>
          <w:sz w:val="24"/>
          <w:szCs w:val="24"/>
        </w:rPr>
        <w:t>D</w:t>
      </w:r>
      <w:r w:rsidRPr="00E83848">
        <w:rPr>
          <w:rFonts w:ascii="Arial" w:hAnsi="Arial" w:cs="Arial"/>
          <w:sz w:val="24"/>
          <w:szCs w:val="24"/>
        </w:rPr>
        <w:t xml:space="preserve">etermination. The appellant relied on that </w:t>
      </w:r>
      <w:r w:rsidR="0044355C" w:rsidRPr="00E83848">
        <w:rPr>
          <w:rFonts w:ascii="Arial" w:hAnsi="Arial" w:cs="Arial"/>
          <w:sz w:val="24"/>
          <w:szCs w:val="24"/>
        </w:rPr>
        <w:t>D</w:t>
      </w:r>
      <w:r w:rsidRPr="00E83848">
        <w:rPr>
          <w:rFonts w:ascii="Arial" w:hAnsi="Arial" w:cs="Arial"/>
          <w:sz w:val="24"/>
          <w:szCs w:val="24"/>
        </w:rPr>
        <w:t xml:space="preserve">etermination for the application and could not assume that it was in full force and effect. The court believed that the CFC account was blocked (in terms of s 42 of the FIA) when it was not the case. The argument lacks merit. The fact that </w:t>
      </w:r>
      <w:r w:rsidR="00E83848">
        <w:rPr>
          <w:rFonts w:ascii="Arial" w:hAnsi="Arial" w:cs="Arial"/>
          <w:sz w:val="24"/>
          <w:szCs w:val="24"/>
        </w:rPr>
        <w:t xml:space="preserve">the </w:t>
      </w:r>
      <w:r w:rsidRPr="00E83848">
        <w:rPr>
          <w:rFonts w:ascii="Arial" w:hAnsi="Arial" w:cs="Arial"/>
          <w:sz w:val="24"/>
          <w:szCs w:val="24"/>
        </w:rPr>
        <w:t>appellant conceded the error in the second application does not alter the circumstances under which</w:t>
      </w:r>
      <w:r w:rsidR="00E83848">
        <w:rPr>
          <w:rFonts w:ascii="Arial" w:hAnsi="Arial" w:cs="Arial"/>
          <w:sz w:val="24"/>
          <w:szCs w:val="24"/>
        </w:rPr>
        <w:t xml:space="preserve"> the</w:t>
      </w:r>
      <w:r w:rsidRPr="00E83848">
        <w:rPr>
          <w:rFonts w:ascii="Arial" w:hAnsi="Arial" w:cs="Arial"/>
          <w:sz w:val="24"/>
          <w:szCs w:val="24"/>
        </w:rPr>
        <w:t xml:space="preserve"> appellant obtained the first preservation order. Appellant had approached the court on th</w:t>
      </w:r>
      <w:r w:rsidR="00CE68C5" w:rsidRPr="00E83848">
        <w:rPr>
          <w:rFonts w:ascii="Arial" w:hAnsi="Arial" w:cs="Arial"/>
          <w:sz w:val="24"/>
          <w:szCs w:val="24"/>
        </w:rPr>
        <w:t>e</w:t>
      </w:r>
      <w:r w:rsidRPr="00E83848">
        <w:rPr>
          <w:rFonts w:ascii="Arial" w:hAnsi="Arial" w:cs="Arial"/>
          <w:sz w:val="24"/>
          <w:szCs w:val="24"/>
        </w:rPr>
        <w:t xml:space="preserve"> </w:t>
      </w:r>
      <w:r w:rsidR="0044355C" w:rsidRPr="00E83848">
        <w:rPr>
          <w:rFonts w:ascii="Arial" w:hAnsi="Arial" w:cs="Arial"/>
          <w:sz w:val="24"/>
          <w:szCs w:val="24"/>
        </w:rPr>
        <w:t>D</w:t>
      </w:r>
      <w:r w:rsidRPr="00E83848">
        <w:rPr>
          <w:rFonts w:ascii="Arial" w:hAnsi="Arial" w:cs="Arial"/>
          <w:sz w:val="24"/>
          <w:szCs w:val="24"/>
        </w:rPr>
        <w:t xml:space="preserve">etermination </w:t>
      </w:r>
      <w:r w:rsidR="006637AC" w:rsidRPr="00E83848">
        <w:rPr>
          <w:rFonts w:ascii="Arial" w:hAnsi="Arial" w:cs="Arial"/>
          <w:sz w:val="24"/>
          <w:szCs w:val="24"/>
        </w:rPr>
        <w:t>wh</w:t>
      </w:r>
      <w:r w:rsidR="002A1564" w:rsidRPr="00E83848">
        <w:rPr>
          <w:rFonts w:ascii="Arial" w:hAnsi="Arial" w:cs="Arial"/>
          <w:sz w:val="24"/>
          <w:szCs w:val="24"/>
        </w:rPr>
        <w:t>ich</w:t>
      </w:r>
      <w:r w:rsidR="006637AC" w:rsidRPr="00E83848">
        <w:rPr>
          <w:rFonts w:ascii="Arial" w:hAnsi="Arial" w:cs="Arial"/>
          <w:sz w:val="24"/>
          <w:szCs w:val="24"/>
        </w:rPr>
        <w:t xml:space="preserve"> did not exist, for it not having be</w:t>
      </w:r>
      <w:r w:rsidR="00E83848">
        <w:rPr>
          <w:rFonts w:ascii="Arial" w:hAnsi="Arial" w:cs="Arial"/>
          <w:sz w:val="24"/>
          <w:szCs w:val="24"/>
        </w:rPr>
        <w:t>en</w:t>
      </w:r>
      <w:r w:rsidR="006637AC" w:rsidRPr="00E83848">
        <w:rPr>
          <w:rFonts w:ascii="Arial" w:hAnsi="Arial" w:cs="Arial"/>
          <w:sz w:val="24"/>
          <w:szCs w:val="24"/>
        </w:rPr>
        <w:t xml:space="preserve"> </w:t>
      </w:r>
      <w:r w:rsidR="00D171F2" w:rsidRPr="00E83848">
        <w:rPr>
          <w:rFonts w:ascii="Arial" w:hAnsi="Arial" w:cs="Arial"/>
          <w:sz w:val="24"/>
          <w:szCs w:val="24"/>
        </w:rPr>
        <w:t>publish</w:t>
      </w:r>
      <w:r w:rsidR="00CB44C8" w:rsidRPr="00E83848">
        <w:rPr>
          <w:rFonts w:ascii="Arial" w:hAnsi="Arial" w:cs="Arial"/>
          <w:sz w:val="24"/>
          <w:szCs w:val="24"/>
        </w:rPr>
        <w:t>ed</w:t>
      </w:r>
      <w:r w:rsidR="006637AC" w:rsidRPr="00E83848">
        <w:rPr>
          <w:rFonts w:ascii="Arial" w:hAnsi="Arial" w:cs="Arial"/>
          <w:sz w:val="24"/>
          <w:szCs w:val="24"/>
        </w:rPr>
        <w:t xml:space="preserve"> as required by law. The disclosure of the fact that the property suspected to be proceeds of unlawful activities or instrumentality of an offence is under a block in terms of s 42 is very crucial in the application under s 51 of </w:t>
      </w:r>
      <w:r w:rsidR="00951B68" w:rsidRPr="00E83848">
        <w:rPr>
          <w:rFonts w:ascii="Arial" w:hAnsi="Arial" w:cs="Arial"/>
          <w:sz w:val="24"/>
          <w:szCs w:val="24"/>
        </w:rPr>
        <w:t>the Act</w:t>
      </w:r>
      <w:r w:rsidR="006637AC" w:rsidRPr="00E83848">
        <w:rPr>
          <w:rFonts w:ascii="Arial" w:hAnsi="Arial" w:cs="Arial"/>
          <w:sz w:val="24"/>
          <w:szCs w:val="24"/>
        </w:rPr>
        <w:t>.</w:t>
      </w:r>
      <w:r w:rsidRPr="00E83848">
        <w:rPr>
          <w:rFonts w:ascii="Arial" w:hAnsi="Arial" w:cs="Arial"/>
          <w:sz w:val="24"/>
          <w:szCs w:val="24"/>
        </w:rPr>
        <w:t xml:space="preserve"> </w:t>
      </w:r>
    </w:p>
    <w:p w:rsidR="00F83BF4" w:rsidRPr="00F83BF4" w:rsidRDefault="00F83BF4" w:rsidP="00F83BF4">
      <w:pPr>
        <w:pStyle w:val="ListParagraph"/>
        <w:spacing w:after="0" w:line="480" w:lineRule="auto"/>
        <w:jc w:val="both"/>
        <w:rPr>
          <w:rFonts w:ascii="Arial" w:hAnsi="Arial" w:cs="Arial"/>
          <w:sz w:val="24"/>
          <w:szCs w:val="24"/>
        </w:rPr>
      </w:pPr>
    </w:p>
    <w:p w:rsidR="00682DBC" w:rsidRDefault="006637AC" w:rsidP="00E83848">
      <w:pPr>
        <w:pStyle w:val="ListParagraph"/>
        <w:numPr>
          <w:ilvl w:val="0"/>
          <w:numId w:val="1"/>
        </w:numPr>
        <w:tabs>
          <w:tab w:val="left" w:pos="851"/>
        </w:tabs>
        <w:spacing w:after="0" w:line="480" w:lineRule="auto"/>
        <w:ind w:left="0" w:firstLine="0"/>
        <w:jc w:val="both"/>
        <w:rPr>
          <w:rFonts w:ascii="Arial" w:hAnsi="Arial" w:cs="Arial"/>
          <w:sz w:val="24"/>
          <w:szCs w:val="24"/>
        </w:rPr>
      </w:pPr>
      <w:r w:rsidRPr="00E83848">
        <w:rPr>
          <w:rFonts w:ascii="Arial" w:hAnsi="Arial" w:cs="Arial"/>
          <w:sz w:val="24"/>
          <w:szCs w:val="24"/>
        </w:rPr>
        <w:t xml:space="preserve">It is now settled law that in </w:t>
      </w:r>
      <w:r w:rsidRPr="00E83848">
        <w:rPr>
          <w:rFonts w:ascii="Arial" w:hAnsi="Arial" w:cs="Arial"/>
          <w:i/>
          <w:sz w:val="24"/>
          <w:szCs w:val="24"/>
        </w:rPr>
        <w:t xml:space="preserve">ex parte </w:t>
      </w:r>
      <w:r w:rsidR="00024A3B" w:rsidRPr="00E83848">
        <w:rPr>
          <w:rFonts w:ascii="Arial" w:hAnsi="Arial" w:cs="Arial"/>
          <w:sz w:val="24"/>
          <w:szCs w:val="24"/>
        </w:rPr>
        <w:t>applications</w:t>
      </w:r>
      <w:r w:rsidR="00E83848">
        <w:rPr>
          <w:rFonts w:ascii="Arial" w:hAnsi="Arial" w:cs="Arial"/>
          <w:sz w:val="24"/>
          <w:szCs w:val="24"/>
        </w:rPr>
        <w:t>, the deponent</w:t>
      </w:r>
      <w:r w:rsidR="00024A3B" w:rsidRPr="00E83848">
        <w:rPr>
          <w:rFonts w:ascii="Arial" w:hAnsi="Arial" w:cs="Arial"/>
          <w:sz w:val="24"/>
          <w:szCs w:val="24"/>
        </w:rPr>
        <w:t xml:space="preserve"> should adhere to the requirements of </w:t>
      </w:r>
      <w:r w:rsidR="00024A3B" w:rsidRPr="00E83848">
        <w:rPr>
          <w:rFonts w:ascii="Arial" w:hAnsi="Arial" w:cs="Arial"/>
          <w:i/>
          <w:sz w:val="24"/>
          <w:szCs w:val="24"/>
        </w:rPr>
        <w:t>uberrima fid</w:t>
      </w:r>
      <w:r w:rsidR="00FC3796" w:rsidRPr="00E83848">
        <w:rPr>
          <w:rFonts w:ascii="Arial" w:hAnsi="Arial" w:cs="Arial"/>
          <w:i/>
          <w:sz w:val="24"/>
          <w:szCs w:val="24"/>
        </w:rPr>
        <w:t>e</w:t>
      </w:r>
      <w:r w:rsidR="00024A3B" w:rsidRPr="00E83848">
        <w:rPr>
          <w:rFonts w:ascii="Arial" w:hAnsi="Arial" w:cs="Arial"/>
          <w:i/>
          <w:sz w:val="24"/>
          <w:szCs w:val="24"/>
        </w:rPr>
        <w:t>s</w:t>
      </w:r>
      <w:r w:rsidR="00024A3B" w:rsidRPr="00E83848">
        <w:rPr>
          <w:rFonts w:ascii="Arial" w:hAnsi="Arial" w:cs="Arial"/>
          <w:sz w:val="24"/>
          <w:szCs w:val="24"/>
        </w:rPr>
        <w:t>. These requirements have been stated and restated</w:t>
      </w:r>
      <w:r w:rsidR="00834E69" w:rsidRPr="00E83848">
        <w:rPr>
          <w:rFonts w:ascii="Arial" w:hAnsi="Arial" w:cs="Arial"/>
          <w:sz w:val="24"/>
          <w:szCs w:val="24"/>
        </w:rPr>
        <w:t>.</w:t>
      </w:r>
      <w:r w:rsidR="00024A3B">
        <w:rPr>
          <w:rStyle w:val="FootnoteReference"/>
          <w:rFonts w:ascii="Arial" w:hAnsi="Arial" w:cs="Arial"/>
          <w:sz w:val="24"/>
          <w:szCs w:val="24"/>
        </w:rPr>
        <w:footnoteReference w:id="40"/>
      </w:r>
      <w:r w:rsidR="00834E69" w:rsidRPr="00E83848">
        <w:rPr>
          <w:rFonts w:ascii="Arial" w:hAnsi="Arial" w:cs="Arial"/>
          <w:sz w:val="24"/>
          <w:szCs w:val="24"/>
        </w:rPr>
        <w:t xml:space="preserve"> </w:t>
      </w:r>
      <w:r w:rsidR="008D1A46" w:rsidRPr="00E83848">
        <w:rPr>
          <w:rFonts w:ascii="Arial" w:hAnsi="Arial" w:cs="Arial"/>
          <w:sz w:val="24"/>
          <w:szCs w:val="24"/>
        </w:rPr>
        <w:t xml:space="preserve">By the very nature of </w:t>
      </w:r>
      <w:r w:rsidR="008D1A46" w:rsidRPr="00E83848">
        <w:rPr>
          <w:rFonts w:ascii="Arial" w:hAnsi="Arial" w:cs="Arial"/>
          <w:i/>
          <w:sz w:val="24"/>
          <w:szCs w:val="24"/>
        </w:rPr>
        <w:t xml:space="preserve">ex parte </w:t>
      </w:r>
      <w:r w:rsidR="008D1A46" w:rsidRPr="00E83848">
        <w:rPr>
          <w:rFonts w:ascii="Arial" w:hAnsi="Arial" w:cs="Arial"/>
          <w:sz w:val="24"/>
          <w:szCs w:val="24"/>
        </w:rPr>
        <w:t>applications, having</w:t>
      </w:r>
      <w:r w:rsidR="00834E69" w:rsidRPr="00E83848">
        <w:rPr>
          <w:rFonts w:ascii="Arial" w:hAnsi="Arial" w:cs="Arial"/>
          <w:sz w:val="24"/>
          <w:szCs w:val="24"/>
        </w:rPr>
        <w:t xml:space="preserve"> to be decided on the one sided version of the applicant, an applicant who approaches a court for an application of this nature has a duty to disclose each and every fact and </w:t>
      </w:r>
      <w:r w:rsidR="00834E69" w:rsidRPr="00E83848">
        <w:rPr>
          <w:rFonts w:ascii="Arial" w:hAnsi="Arial" w:cs="Arial"/>
          <w:sz w:val="24"/>
          <w:szCs w:val="24"/>
        </w:rPr>
        <w:lastRenderedPageBreak/>
        <w:t>circumstance which might influence the court in deciding to grant or withhold the relief.</w:t>
      </w:r>
      <w:r w:rsidR="00834E69">
        <w:rPr>
          <w:rStyle w:val="FootnoteReference"/>
          <w:rFonts w:ascii="Arial" w:hAnsi="Arial" w:cs="Arial"/>
          <w:sz w:val="24"/>
          <w:szCs w:val="24"/>
        </w:rPr>
        <w:footnoteReference w:id="41"/>
      </w:r>
      <w:r w:rsidR="003A1468" w:rsidRPr="00E83848">
        <w:rPr>
          <w:rFonts w:ascii="Arial" w:hAnsi="Arial" w:cs="Arial"/>
          <w:sz w:val="24"/>
          <w:szCs w:val="24"/>
        </w:rPr>
        <w:t xml:space="preserve"> </w:t>
      </w:r>
    </w:p>
    <w:p w:rsidR="006137B3" w:rsidRPr="006137B3" w:rsidRDefault="006137B3" w:rsidP="006137B3">
      <w:pPr>
        <w:pStyle w:val="ListParagraph"/>
        <w:spacing w:after="0" w:line="480" w:lineRule="auto"/>
        <w:jc w:val="both"/>
        <w:rPr>
          <w:rFonts w:ascii="Arial" w:hAnsi="Arial" w:cs="Arial"/>
          <w:sz w:val="24"/>
          <w:szCs w:val="24"/>
        </w:rPr>
      </w:pPr>
    </w:p>
    <w:p w:rsidR="00170D20" w:rsidRDefault="003A1468" w:rsidP="006137B3">
      <w:pPr>
        <w:pStyle w:val="ListParagraph"/>
        <w:numPr>
          <w:ilvl w:val="0"/>
          <w:numId w:val="1"/>
        </w:numPr>
        <w:tabs>
          <w:tab w:val="left" w:pos="851"/>
        </w:tabs>
        <w:spacing w:after="0" w:line="480" w:lineRule="auto"/>
        <w:ind w:left="0" w:firstLine="0"/>
        <w:jc w:val="both"/>
        <w:rPr>
          <w:rFonts w:ascii="Arial" w:hAnsi="Arial" w:cs="Arial"/>
          <w:sz w:val="24"/>
          <w:szCs w:val="24"/>
        </w:rPr>
      </w:pPr>
      <w:r w:rsidRPr="006137B3">
        <w:rPr>
          <w:rFonts w:ascii="Arial" w:hAnsi="Arial" w:cs="Arial"/>
          <w:sz w:val="24"/>
          <w:szCs w:val="24"/>
        </w:rPr>
        <w:t>The appellant, approaching</w:t>
      </w:r>
      <w:r w:rsidR="006137B3">
        <w:rPr>
          <w:rFonts w:ascii="Arial" w:hAnsi="Arial" w:cs="Arial"/>
          <w:sz w:val="24"/>
          <w:szCs w:val="24"/>
        </w:rPr>
        <w:t xml:space="preserve"> the</w:t>
      </w:r>
      <w:r w:rsidRPr="006137B3">
        <w:rPr>
          <w:rFonts w:ascii="Arial" w:hAnsi="Arial" w:cs="Arial"/>
          <w:sz w:val="24"/>
          <w:szCs w:val="24"/>
        </w:rPr>
        <w:t xml:space="preserve"> court in terms of s 51 or on a</w:t>
      </w:r>
      <w:r w:rsidR="00497E6D" w:rsidRPr="006137B3">
        <w:rPr>
          <w:rFonts w:ascii="Arial" w:hAnsi="Arial" w:cs="Arial"/>
          <w:sz w:val="24"/>
          <w:szCs w:val="24"/>
        </w:rPr>
        <w:t>n</w:t>
      </w:r>
      <w:r w:rsidR="00CB44C8" w:rsidRPr="006137B3">
        <w:rPr>
          <w:rFonts w:ascii="Arial" w:hAnsi="Arial" w:cs="Arial"/>
          <w:sz w:val="24"/>
          <w:szCs w:val="24"/>
        </w:rPr>
        <w:t>y</w:t>
      </w:r>
      <w:r w:rsidRPr="006137B3">
        <w:rPr>
          <w:rFonts w:ascii="Arial" w:hAnsi="Arial" w:cs="Arial"/>
          <w:sz w:val="24"/>
          <w:szCs w:val="24"/>
        </w:rPr>
        <w:t xml:space="preserve"> provision under POCA is no exception to these requirements. Where an applicant withholds material facts which might influence the court in coming to a decision, a court will be entitled to reconsider and rescind an order made irrespective of whether the non-disclosure was wilful or </w:t>
      </w:r>
      <w:r w:rsidRPr="006137B3">
        <w:rPr>
          <w:rFonts w:ascii="Arial" w:hAnsi="Arial" w:cs="Arial"/>
          <w:i/>
          <w:sz w:val="24"/>
          <w:szCs w:val="24"/>
        </w:rPr>
        <w:t>mala fide</w:t>
      </w:r>
      <w:r w:rsidRPr="006137B3">
        <w:rPr>
          <w:rFonts w:ascii="Arial" w:hAnsi="Arial" w:cs="Arial"/>
          <w:sz w:val="24"/>
          <w:szCs w:val="24"/>
        </w:rPr>
        <w:t>.</w:t>
      </w:r>
      <w:r>
        <w:rPr>
          <w:rStyle w:val="FootnoteReference"/>
          <w:rFonts w:ascii="Arial" w:hAnsi="Arial" w:cs="Arial"/>
          <w:sz w:val="24"/>
          <w:szCs w:val="24"/>
        </w:rPr>
        <w:footnoteReference w:id="42"/>
      </w:r>
    </w:p>
    <w:p w:rsidR="006137B3" w:rsidRPr="006137B3" w:rsidRDefault="006137B3" w:rsidP="006137B3">
      <w:pPr>
        <w:pStyle w:val="ListParagraph"/>
        <w:spacing w:after="0" w:line="480" w:lineRule="auto"/>
        <w:jc w:val="both"/>
        <w:rPr>
          <w:rFonts w:ascii="Arial" w:hAnsi="Arial" w:cs="Arial"/>
          <w:sz w:val="24"/>
          <w:szCs w:val="24"/>
        </w:rPr>
      </w:pPr>
    </w:p>
    <w:p w:rsidR="00951B68" w:rsidRPr="006137B3" w:rsidRDefault="00951B68" w:rsidP="006137B3">
      <w:pPr>
        <w:pStyle w:val="ListParagraph"/>
        <w:numPr>
          <w:ilvl w:val="0"/>
          <w:numId w:val="1"/>
        </w:numPr>
        <w:tabs>
          <w:tab w:val="left" w:pos="851"/>
        </w:tabs>
        <w:spacing w:after="0" w:line="480" w:lineRule="auto"/>
        <w:ind w:left="0" w:firstLine="0"/>
        <w:jc w:val="both"/>
        <w:rPr>
          <w:rFonts w:ascii="Arial" w:hAnsi="Arial" w:cs="Arial"/>
          <w:sz w:val="24"/>
          <w:szCs w:val="24"/>
        </w:rPr>
      </w:pPr>
      <w:r w:rsidRPr="006137B3">
        <w:rPr>
          <w:rFonts w:ascii="Arial" w:hAnsi="Arial" w:cs="Arial"/>
          <w:sz w:val="24"/>
          <w:szCs w:val="24"/>
        </w:rPr>
        <w:t xml:space="preserve">In the </w:t>
      </w:r>
      <w:r w:rsidRPr="006137B3">
        <w:rPr>
          <w:rFonts w:ascii="Arial" w:hAnsi="Arial" w:cs="Arial"/>
          <w:i/>
          <w:sz w:val="24"/>
          <w:szCs w:val="24"/>
        </w:rPr>
        <w:t>Schlessinger</w:t>
      </w:r>
      <w:r w:rsidRPr="006137B3">
        <w:rPr>
          <w:rFonts w:ascii="Arial" w:hAnsi="Arial" w:cs="Arial"/>
          <w:sz w:val="24"/>
          <w:szCs w:val="24"/>
        </w:rPr>
        <w:t xml:space="preserve"> matter at 350B-C</w:t>
      </w:r>
      <w:r w:rsidR="0044355C" w:rsidRPr="006137B3">
        <w:rPr>
          <w:rFonts w:ascii="Arial" w:hAnsi="Arial" w:cs="Arial"/>
          <w:sz w:val="24"/>
          <w:szCs w:val="24"/>
        </w:rPr>
        <w:t>,</w:t>
      </w:r>
      <w:r w:rsidRPr="006137B3">
        <w:rPr>
          <w:rFonts w:ascii="Arial" w:hAnsi="Arial" w:cs="Arial"/>
          <w:sz w:val="24"/>
          <w:szCs w:val="24"/>
        </w:rPr>
        <w:t xml:space="preserve"> Le Roux J puts it this way:</w:t>
      </w:r>
    </w:p>
    <w:p w:rsidR="00951B68" w:rsidRPr="00951B68" w:rsidRDefault="00951B68" w:rsidP="00F83BF4">
      <w:pPr>
        <w:pStyle w:val="ListParagraph"/>
        <w:spacing w:after="0" w:line="480" w:lineRule="auto"/>
        <w:jc w:val="both"/>
        <w:rPr>
          <w:rFonts w:ascii="Arial" w:hAnsi="Arial" w:cs="Arial"/>
          <w:sz w:val="24"/>
          <w:szCs w:val="24"/>
        </w:rPr>
      </w:pPr>
    </w:p>
    <w:p w:rsidR="00951B68" w:rsidRPr="00951B68" w:rsidRDefault="00951B68" w:rsidP="00951B68">
      <w:pPr>
        <w:pStyle w:val="ListParagraph"/>
        <w:tabs>
          <w:tab w:val="left" w:pos="851"/>
        </w:tabs>
        <w:spacing w:after="0" w:line="360" w:lineRule="auto"/>
        <w:ind w:left="851"/>
        <w:jc w:val="both"/>
        <w:rPr>
          <w:rFonts w:ascii="Arial" w:hAnsi="Arial" w:cs="Arial"/>
        </w:rPr>
      </w:pPr>
      <w:r>
        <w:rPr>
          <w:rFonts w:ascii="Arial" w:hAnsi="Arial" w:cs="Arial"/>
        </w:rPr>
        <w:t xml:space="preserve">‘It appears to me that unless there are very cogent practical reasons why an order should not be rescinded, the Court will always frown on an order obtained </w:t>
      </w:r>
      <w:r>
        <w:rPr>
          <w:rFonts w:ascii="Arial" w:hAnsi="Arial" w:cs="Arial"/>
          <w:i/>
        </w:rPr>
        <w:t xml:space="preserve">ex parte </w:t>
      </w:r>
      <w:r>
        <w:rPr>
          <w:rFonts w:ascii="Arial" w:hAnsi="Arial" w:cs="Arial"/>
        </w:rPr>
        <w:t>on incomplete information and will set it aside even if relief could be obtained on a subsequent application by the same applicant.’</w:t>
      </w:r>
    </w:p>
    <w:p w:rsidR="003A1468" w:rsidRDefault="003A1468" w:rsidP="003A1468">
      <w:pPr>
        <w:pStyle w:val="ListParagraph"/>
        <w:tabs>
          <w:tab w:val="left" w:pos="851"/>
        </w:tabs>
        <w:spacing w:after="0" w:line="480" w:lineRule="auto"/>
        <w:ind w:left="0"/>
        <w:jc w:val="both"/>
        <w:rPr>
          <w:rFonts w:ascii="Arial" w:hAnsi="Arial" w:cs="Arial"/>
          <w:sz w:val="24"/>
          <w:szCs w:val="24"/>
        </w:rPr>
      </w:pPr>
    </w:p>
    <w:p w:rsidR="003A1468" w:rsidRDefault="003A1468" w:rsidP="006137B3">
      <w:pPr>
        <w:pStyle w:val="ListParagraph"/>
        <w:numPr>
          <w:ilvl w:val="0"/>
          <w:numId w:val="1"/>
        </w:numPr>
        <w:tabs>
          <w:tab w:val="left" w:pos="851"/>
        </w:tabs>
        <w:spacing w:after="0" w:line="480" w:lineRule="auto"/>
        <w:ind w:left="0" w:firstLine="0"/>
        <w:jc w:val="both"/>
        <w:rPr>
          <w:rFonts w:ascii="Arial" w:hAnsi="Arial" w:cs="Arial"/>
          <w:sz w:val="24"/>
          <w:szCs w:val="24"/>
        </w:rPr>
      </w:pPr>
      <w:r w:rsidRPr="006137B3">
        <w:rPr>
          <w:rFonts w:ascii="Arial" w:hAnsi="Arial" w:cs="Arial"/>
          <w:sz w:val="24"/>
          <w:szCs w:val="24"/>
        </w:rPr>
        <w:t>It was argued before us that the court a quo</w:t>
      </w:r>
      <w:r w:rsidRPr="006137B3">
        <w:rPr>
          <w:rFonts w:ascii="Arial" w:hAnsi="Arial" w:cs="Arial"/>
          <w:i/>
          <w:sz w:val="24"/>
          <w:szCs w:val="24"/>
        </w:rPr>
        <w:t xml:space="preserve"> </w:t>
      </w:r>
      <w:r w:rsidR="006137B3">
        <w:rPr>
          <w:rFonts w:ascii="Arial" w:hAnsi="Arial" w:cs="Arial"/>
          <w:sz w:val="24"/>
          <w:szCs w:val="24"/>
        </w:rPr>
        <w:t xml:space="preserve">erred in its findings </w:t>
      </w:r>
      <w:r w:rsidRPr="006137B3">
        <w:rPr>
          <w:rFonts w:ascii="Arial" w:hAnsi="Arial" w:cs="Arial"/>
          <w:sz w:val="24"/>
          <w:szCs w:val="24"/>
        </w:rPr>
        <w:t xml:space="preserve">that POCA 1/2017 did not serve before the court for reconsideration as the order lapsed </w:t>
      </w:r>
      <w:r w:rsidRPr="006137B3">
        <w:rPr>
          <w:rFonts w:ascii="Arial" w:hAnsi="Arial" w:cs="Arial"/>
          <w:i/>
          <w:sz w:val="24"/>
          <w:szCs w:val="24"/>
        </w:rPr>
        <w:t xml:space="preserve">ex lege </w:t>
      </w:r>
      <w:r w:rsidRPr="006137B3">
        <w:rPr>
          <w:rFonts w:ascii="Arial" w:hAnsi="Arial" w:cs="Arial"/>
          <w:sz w:val="24"/>
          <w:szCs w:val="24"/>
        </w:rPr>
        <w:t>on 20 May 2017 and that POCA 1/2017 was placed before the court a quo</w:t>
      </w:r>
      <w:r w:rsidRPr="006137B3">
        <w:rPr>
          <w:rFonts w:ascii="Arial" w:hAnsi="Arial" w:cs="Arial"/>
          <w:i/>
          <w:sz w:val="24"/>
          <w:szCs w:val="24"/>
        </w:rPr>
        <w:t xml:space="preserve"> </w:t>
      </w:r>
      <w:r w:rsidRPr="006137B3">
        <w:rPr>
          <w:rFonts w:ascii="Arial" w:hAnsi="Arial" w:cs="Arial"/>
          <w:sz w:val="24"/>
          <w:szCs w:val="24"/>
        </w:rPr>
        <w:t>by the respondents as an annexure to the respondents’ founding affidavit and that the respondents did not seek to rescind the order of POCA 1/2017 in the notice of application to anticipate, nor raise the material non-disclosure. Further</w:t>
      </w:r>
      <w:r w:rsidR="0044355C" w:rsidRPr="006137B3">
        <w:rPr>
          <w:rFonts w:ascii="Arial" w:hAnsi="Arial" w:cs="Arial"/>
          <w:sz w:val="24"/>
          <w:szCs w:val="24"/>
        </w:rPr>
        <w:t>,</w:t>
      </w:r>
      <w:r w:rsidRPr="006137B3">
        <w:rPr>
          <w:rFonts w:ascii="Arial" w:hAnsi="Arial" w:cs="Arial"/>
          <w:sz w:val="24"/>
          <w:szCs w:val="24"/>
        </w:rPr>
        <w:t xml:space="preserve"> that the appellant denied </w:t>
      </w:r>
      <w:r w:rsidR="0044355C" w:rsidRPr="006137B3">
        <w:rPr>
          <w:rFonts w:ascii="Arial" w:hAnsi="Arial" w:cs="Arial"/>
          <w:sz w:val="24"/>
          <w:szCs w:val="24"/>
        </w:rPr>
        <w:t xml:space="preserve">the </w:t>
      </w:r>
      <w:r w:rsidRPr="006137B3">
        <w:rPr>
          <w:rFonts w:ascii="Arial" w:hAnsi="Arial" w:cs="Arial"/>
          <w:sz w:val="24"/>
          <w:szCs w:val="24"/>
        </w:rPr>
        <w:t>allegation that the funds were retained without any lawful basis</w:t>
      </w:r>
      <w:r w:rsidR="00562B8B">
        <w:rPr>
          <w:rFonts w:ascii="Arial" w:hAnsi="Arial" w:cs="Arial"/>
          <w:sz w:val="24"/>
          <w:szCs w:val="24"/>
        </w:rPr>
        <w:t>;</w:t>
      </w:r>
      <w:r w:rsidRPr="006137B3">
        <w:rPr>
          <w:rFonts w:ascii="Arial" w:hAnsi="Arial" w:cs="Arial"/>
          <w:sz w:val="24"/>
          <w:szCs w:val="24"/>
        </w:rPr>
        <w:t xml:space="preserve"> that there were no facts upon which the court a quo</w:t>
      </w:r>
      <w:r w:rsidRPr="006137B3">
        <w:rPr>
          <w:rFonts w:ascii="Arial" w:hAnsi="Arial" w:cs="Arial"/>
          <w:i/>
          <w:sz w:val="24"/>
          <w:szCs w:val="24"/>
        </w:rPr>
        <w:t xml:space="preserve"> </w:t>
      </w:r>
      <w:r w:rsidRPr="006137B3">
        <w:rPr>
          <w:rFonts w:ascii="Arial" w:hAnsi="Arial" w:cs="Arial"/>
          <w:sz w:val="24"/>
          <w:szCs w:val="24"/>
        </w:rPr>
        <w:t xml:space="preserve">could have made a finding that </w:t>
      </w:r>
      <w:r w:rsidRPr="006137B3">
        <w:rPr>
          <w:rFonts w:ascii="Arial" w:hAnsi="Arial" w:cs="Arial"/>
          <w:sz w:val="24"/>
          <w:szCs w:val="24"/>
        </w:rPr>
        <w:lastRenderedPageBreak/>
        <w:t xml:space="preserve">the appellant, when she applied for the first preservation order, considered the action of the FIC lawful as it is </w:t>
      </w:r>
      <w:r w:rsidR="0044355C" w:rsidRPr="006137B3">
        <w:rPr>
          <w:rFonts w:ascii="Arial" w:hAnsi="Arial" w:cs="Arial"/>
          <w:sz w:val="24"/>
          <w:szCs w:val="24"/>
        </w:rPr>
        <w:t xml:space="preserve">a </w:t>
      </w:r>
      <w:r w:rsidRPr="006137B3">
        <w:rPr>
          <w:rFonts w:ascii="Arial" w:hAnsi="Arial" w:cs="Arial"/>
          <w:sz w:val="24"/>
          <w:szCs w:val="24"/>
        </w:rPr>
        <w:t>well</w:t>
      </w:r>
      <w:r w:rsidR="0044355C" w:rsidRPr="006137B3">
        <w:rPr>
          <w:rFonts w:ascii="Arial" w:hAnsi="Arial" w:cs="Arial"/>
          <w:sz w:val="24"/>
          <w:szCs w:val="24"/>
        </w:rPr>
        <w:t>-</w:t>
      </w:r>
      <w:r w:rsidRPr="006137B3">
        <w:rPr>
          <w:rFonts w:ascii="Arial" w:hAnsi="Arial" w:cs="Arial"/>
          <w:sz w:val="24"/>
          <w:szCs w:val="24"/>
        </w:rPr>
        <w:t>known principle of our law that an administrative decision stay</w:t>
      </w:r>
      <w:r w:rsidR="00CB44C8" w:rsidRPr="006137B3">
        <w:rPr>
          <w:rFonts w:ascii="Arial" w:hAnsi="Arial" w:cs="Arial"/>
          <w:sz w:val="24"/>
          <w:szCs w:val="24"/>
        </w:rPr>
        <w:t>s</w:t>
      </w:r>
      <w:r w:rsidRPr="006137B3">
        <w:rPr>
          <w:rFonts w:ascii="Arial" w:hAnsi="Arial" w:cs="Arial"/>
          <w:sz w:val="24"/>
          <w:szCs w:val="24"/>
        </w:rPr>
        <w:t xml:space="preserve"> valid until set aside by a court of law. It was further contended that the appellant ha</w:t>
      </w:r>
      <w:r w:rsidR="00562B8B">
        <w:rPr>
          <w:rFonts w:ascii="Arial" w:hAnsi="Arial" w:cs="Arial"/>
          <w:sz w:val="24"/>
          <w:szCs w:val="24"/>
        </w:rPr>
        <w:t>d</w:t>
      </w:r>
      <w:r w:rsidRPr="006137B3">
        <w:rPr>
          <w:rFonts w:ascii="Arial" w:hAnsi="Arial" w:cs="Arial"/>
          <w:sz w:val="24"/>
          <w:szCs w:val="24"/>
        </w:rPr>
        <w:t xml:space="preserve"> no authority to review administrative decision</w:t>
      </w:r>
      <w:r w:rsidR="00562B8B">
        <w:rPr>
          <w:rFonts w:ascii="Arial" w:hAnsi="Arial" w:cs="Arial"/>
          <w:sz w:val="24"/>
          <w:szCs w:val="24"/>
        </w:rPr>
        <w:t>s</w:t>
      </w:r>
      <w:r w:rsidRPr="006137B3">
        <w:rPr>
          <w:rFonts w:ascii="Arial" w:hAnsi="Arial" w:cs="Arial"/>
          <w:sz w:val="24"/>
          <w:szCs w:val="24"/>
        </w:rPr>
        <w:t xml:space="preserve"> of the Director of the FIC</w:t>
      </w:r>
      <w:r w:rsidR="00562B8B">
        <w:rPr>
          <w:rFonts w:ascii="Arial" w:hAnsi="Arial" w:cs="Arial"/>
          <w:sz w:val="24"/>
          <w:szCs w:val="24"/>
        </w:rPr>
        <w:t>;</w:t>
      </w:r>
      <w:r w:rsidRPr="006137B3">
        <w:rPr>
          <w:rFonts w:ascii="Arial" w:hAnsi="Arial" w:cs="Arial"/>
          <w:sz w:val="24"/>
          <w:szCs w:val="24"/>
        </w:rPr>
        <w:t xml:space="preserve"> </w:t>
      </w:r>
      <w:r w:rsidR="00562B8B">
        <w:rPr>
          <w:rFonts w:ascii="Arial" w:hAnsi="Arial" w:cs="Arial"/>
          <w:sz w:val="24"/>
          <w:szCs w:val="24"/>
        </w:rPr>
        <w:t>that she</w:t>
      </w:r>
      <w:r w:rsidRPr="006137B3">
        <w:rPr>
          <w:rFonts w:ascii="Arial" w:hAnsi="Arial" w:cs="Arial"/>
          <w:sz w:val="24"/>
          <w:szCs w:val="24"/>
        </w:rPr>
        <w:t xml:space="preserve"> could </w:t>
      </w:r>
      <w:r w:rsidR="00562B8B">
        <w:rPr>
          <w:rFonts w:ascii="Arial" w:hAnsi="Arial" w:cs="Arial"/>
          <w:sz w:val="24"/>
          <w:szCs w:val="24"/>
        </w:rPr>
        <w:t>not</w:t>
      </w:r>
      <w:r w:rsidRPr="006137B3">
        <w:rPr>
          <w:rFonts w:ascii="Arial" w:hAnsi="Arial" w:cs="Arial"/>
          <w:sz w:val="24"/>
          <w:szCs w:val="24"/>
        </w:rPr>
        <w:t xml:space="preserve"> have alleged at court </w:t>
      </w:r>
      <w:r w:rsidR="00562B8B">
        <w:rPr>
          <w:rFonts w:ascii="Arial" w:hAnsi="Arial" w:cs="Arial"/>
          <w:sz w:val="24"/>
          <w:szCs w:val="24"/>
        </w:rPr>
        <w:t>that the FIC acted unlawfully. It was also argued</w:t>
      </w:r>
      <w:r w:rsidRPr="006137B3">
        <w:rPr>
          <w:rFonts w:ascii="Arial" w:hAnsi="Arial" w:cs="Arial"/>
          <w:sz w:val="24"/>
          <w:szCs w:val="24"/>
        </w:rPr>
        <w:t xml:space="preserve"> that in the absence of a decision by a court to review the administrative conduct of the FIC</w:t>
      </w:r>
      <w:r w:rsidR="00562B8B">
        <w:rPr>
          <w:rFonts w:ascii="Arial" w:hAnsi="Arial" w:cs="Arial"/>
          <w:sz w:val="24"/>
          <w:szCs w:val="24"/>
        </w:rPr>
        <w:t>,</w:t>
      </w:r>
      <w:r w:rsidRPr="006137B3">
        <w:rPr>
          <w:rFonts w:ascii="Arial" w:hAnsi="Arial" w:cs="Arial"/>
          <w:sz w:val="24"/>
          <w:szCs w:val="24"/>
        </w:rPr>
        <w:t xml:space="preserve"> the appellant could not have made a material non-disclosure</w:t>
      </w:r>
      <w:r w:rsidR="00562B8B">
        <w:rPr>
          <w:rFonts w:ascii="Arial" w:hAnsi="Arial" w:cs="Arial"/>
          <w:sz w:val="24"/>
          <w:szCs w:val="24"/>
        </w:rPr>
        <w:t>. It was further argued</w:t>
      </w:r>
      <w:r w:rsidRPr="006137B3">
        <w:rPr>
          <w:rFonts w:ascii="Arial" w:hAnsi="Arial" w:cs="Arial"/>
          <w:sz w:val="24"/>
          <w:szCs w:val="24"/>
        </w:rPr>
        <w:t xml:space="preserve"> that there was no factual basis for the court a quo</w:t>
      </w:r>
      <w:r w:rsidRPr="006137B3">
        <w:rPr>
          <w:rFonts w:ascii="Arial" w:hAnsi="Arial" w:cs="Arial"/>
          <w:i/>
          <w:sz w:val="24"/>
          <w:szCs w:val="24"/>
        </w:rPr>
        <w:t xml:space="preserve"> </w:t>
      </w:r>
      <w:r w:rsidRPr="006137B3">
        <w:rPr>
          <w:rFonts w:ascii="Arial" w:hAnsi="Arial" w:cs="Arial"/>
          <w:sz w:val="24"/>
          <w:szCs w:val="24"/>
        </w:rPr>
        <w:t xml:space="preserve">to conclude that the reason why the appellant did not disclose something (she </w:t>
      </w:r>
      <w:r w:rsidR="000B54FD" w:rsidRPr="006137B3">
        <w:rPr>
          <w:rFonts w:ascii="Arial" w:hAnsi="Arial" w:cs="Arial"/>
          <w:sz w:val="24"/>
          <w:szCs w:val="24"/>
        </w:rPr>
        <w:t>had no reason to believe was unlawful) was to avoid alerting the applicant that the money was free to be released. Counsel submits</w:t>
      </w:r>
      <w:r w:rsidR="00497E6D" w:rsidRPr="006137B3">
        <w:rPr>
          <w:rFonts w:ascii="Arial" w:hAnsi="Arial" w:cs="Arial"/>
          <w:sz w:val="24"/>
          <w:szCs w:val="24"/>
        </w:rPr>
        <w:t xml:space="preserve"> that</w:t>
      </w:r>
      <w:r w:rsidR="000B54FD" w:rsidRPr="006137B3">
        <w:rPr>
          <w:rFonts w:ascii="Arial" w:hAnsi="Arial" w:cs="Arial"/>
          <w:sz w:val="24"/>
          <w:szCs w:val="24"/>
        </w:rPr>
        <w:t xml:space="preserve"> the fact that the appellant disclosed the existence of the intervention of the FIC was a full disclosure and had no bearing on the second preservation of property application </w:t>
      </w:r>
      <w:r w:rsidR="00562B8B">
        <w:rPr>
          <w:rFonts w:ascii="Arial" w:hAnsi="Arial" w:cs="Arial"/>
          <w:sz w:val="24"/>
          <w:szCs w:val="24"/>
        </w:rPr>
        <w:t>n</w:t>
      </w:r>
      <w:r w:rsidR="000B54FD" w:rsidRPr="006137B3">
        <w:rPr>
          <w:rFonts w:ascii="Arial" w:hAnsi="Arial" w:cs="Arial"/>
          <w:sz w:val="24"/>
          <w:szCs w:val="24"/>
        </w:rPr>
        <w:t>or could</w:t>
      </w:r>
      <w:r w:rsidR="00562B8B">
        <w:rPr>
          <w:rFonts w:ascii="Arial" w:hAnsi="Arial" w:cs="Arial"/>
          <w:sz w:val="24"/>
          <w:szCs w:val="24"/>
        </w:rPr>
        <w:t xml:space="preserve"> it have been</w:t>
      </w:r>
      <w:r w:rsidR="000B54FD" w:rsidRPr="006137B3">
        <w:rPr>
          <w:rFonts w:ascii="Arial" w:hAnsi="Arial" w:cs="Arial"/>
          <w:sz w:val="24"/>
          <w:szCs w:val="24"/>
        </w:rPr>
        <w:t xml:space="preserve"> the cause of the rescission of the second preservation of property order.</w:t>
      </w:r>
    </w:p>
    <w:p w:rsidR="00562B8B" w:rsidRDefault="00562B8B" w:rsidP="00562B8B">
      <w:pPr>
        <w:pStyle w:val="ListParagraph"/>
        <w:tabs>
          <w:tab w:val="left" w:pos="851"/>
        </w:tabs>
        <w:spacing w:after="0" w:line="480" w:lineRule="auto"/>
        <w:ind w:left="0"/>
        <w:jc w:val="both"/>
        <w:rPr>
          <w:rFonts w:ascii="Arial" w:hAnsi="Arial" w:cs="Arial"/>
          <w:sz w:val="24"/>
          <w:szCs w:val="24"/>
        </w:rPr>
      </w:pPr>
    </w:p>
    <w:p w:rsidR="000B54FD" w:rsidRDefault="000B54FD" w:rsidP="00562B8B">
      <w:pPr>
        <w:pStyle w:val="ListParagraph"/>
        <w:numPr>
          <w:ilvl w:val="0"/>
          <w:numId w:val="1"/>
        </w:numPr>
        <w:tabs>
          <w:tab w:val="left" w:pos="851"/>
        </w:tabs>
        <w:spacing w:after="0" w:line="480" w:lineRule="auto"/>
        <w:ind w:left="0" w:firstLine="0"/>
        <w:jc w:val="both"/>
        <w:rPr>
          <w:rFonts w:ascii="Arial" w:hAnsi="Arial" w:cs="Arial"/>
          <w:sz w:val="24"/>
          <w:szCs w:val="24"/>
        </w:rPr>
      </w:pPr>
      <w:r w:rsidRPr="00562B8B">
        <w:rPr>
          <w:rFonts w:ascii="Arial" w:hAnsi="Arial" w:cs="Arial"/>
          <w:sz w:val="24"/>
          <w:szCs w:val="24"/>
        </w:rPr>
        <w:t xml:space="preserve">These contentions have no merit. Whether the first preservation order had lapsed </w:t>
      </w:r>
      <w:r w:rsidRPr="00562B8B">
        <w:rPr>
          <w:rFonts w:ascii="Arial" w:hAnsi="Arial" w:cs="Arial"/>
          <w:i/>
          <w:sz w:val="24"/>
          <w:szCs w:val="24"/>
        </w:rPr>
        <w:t xml:space="preserve">ex lege </w:t>
      </w:r>
      <w:r w:rsidRPr="00562B8B">
        <w:rPr>
          <w:rFonts w:ascii="Arial" w:hAnsi="Arial" w:cs="Arial"/>
          <w:sz w:val="24"/>
          <w:szCs w:val="24"/>
        </w:rPr>
        <w:t>and was not available for reconsideration</w:t>
      </w:r>
      <w:r w:rsidR="0044355C" w:rsidRPr="00562B8B">
        <w:rPr>
          <w:rFonts w:ascii="Arial" w:hAnsi="Arial" w:cs="Arial"/>
          <w:sz w:val="24"/>
          <w:szCs w:val="24"/>
        </w:rPr>
        <w:t>,</w:t>
      </w:r>
      <w:r w:rsidRPr="00562B8B">
        <w:rPr>
          <w:rFonts w:ascii="Arial" w:hAnsi="Arial" w:cs="Arial"/>
          <w:sz w:val="24"/>
          <w:szCs w:val="24"/>
        </w:rPr>
        <w:t xml:space="preserve"> the fact is that it was brought forth by the respondents in their application and the appellant in her second application and even attached that order to her affidavit and the court a quo</w:t>
      </w:r>
      <w:r w:rsidRPr="00562B8B">
        <w:rPr>
          <w:rFonts w:ascii="Arial" w:hAnsi="Arial" w:cs="Arial"/>
          <w:i/>
          <w:sz w:val="24"/>
          <w:szCs w:val="24"/>
        </w:rPr>
        <w:t xml:space="preserve"> </w:t>
      </w:r>
      <w:r w:rsidRPr="00562B8B">
        <w:rPr>
          <w:rFonts w:ascii="Arial" w:hAnsi="Arial" w:cs="Arial"/>
          <w:sz w:val="24"/>
          <w:szCs w:val="24"/>
        </w:rPr>
        <w:t>had to pronounce itself on that order. What is clear though is that it should not have been given</w:t>
      </w:r>
      <w:r w:rsidR="00562B8B">
        <w:rPr>
          <w:rFonts w:ascii="Arial" w:hAnsi="Arial" w:cs="Arial"/>
          <w:sz w:val="24"/>
          <w:szCs w:val="24"/>
        </w:rPr>
        <w:t>. T</w:t>
      </w:r>
      <w:r w:rsidRPr="00562B8B">
        <w:rPr>
          <w:rFonts w:ascii="Arial" w:hAnsi="Arial" w:cs="Arial"/>
          <w:sz w:val="24"/>
          <w:szCs w:val="24"/>
        </w:rPr>
        <w:t>hat much is conceded by the appellant</w:t>
      </w:r>
      <w:r w:rsidR="00562B8B">
        <w:rPr>
          <w:rFonts w:ascii="Arial" w:hAnsi="Arial" w:cs="Arial"/>
          <w:sz w:val="24"/>
          <w:szCs w:val="24"/>
        </w:rPr>
        <w:t>.</w:t>
      </w:r>
      <w:r w:rsidRPr="00562B8B">
        <w:rPr>
          <w:rFonts w:ascii="Arial" w:hAnsi="Arial" w:cs="Arial"/>
          <w:sz w:val="24"/>
          <w:szCs w:val="24"/>
        </w:rPr>
        <w:t xml:space="preserve"> </w:t>
      </w:r>
      <w:r w:rsidR="00562B8B">
        <w:rPr>
          <w:rFonts w:ascii="Arial" w:hAnsi="Arial" w:cs="Arial"/>
          <w:sz w:val="24"/>
          <w:szCs w:val="24"/>
        </w:rPr>
        <w:t>I</w:t>
      </w:r>
      <w:r w:rsidRPr="00562B8B">
        <w:rPr>
          <w:rFonts w:ascii="Arial" w:hAnsi="Arial" w:cs="Arial"/>
          <w:sz w:val="24"/>
          <w:szCs w:val="24"/>
        </w:rPr>
        <w:t>n her own words</w:t>
      </w:r>
      <w:r w:rsidR="0044355C" w:rsidRPr="00562B8B">
        <w:rPr>
          <w:rFonts w:ascii="Arial" w:hAnsi="Arial" w:cs="Arial"/>
          <w:sz w:val="24"/>
          <w:szCs w:val="24"/>
        </w:rPr>
        <w:t>,</w:t>
      </w:r>
      <w:r w:rsidRPr="00562B8B">
        <w:rPr>
          <w:rFonts w:ascii="Arial" w:hAnsi="Arial" w:cs="Arial"/>
          <w:sz w:val="24"/>
          <w:szCs w:val="24"/>
        </w:rPr>
        <w:t xml:space="preserve"> it was e</w:t>
      </w:r>
      <w:r w:rsidR="00DE4625" w:rsidRPr="00562B8B">
        <w:rPr>
          <w:rFonts w:ascii="Arial" w:hAnsi="Arial" w:cs="Arial"/>
          <w:sz w:val="24"/>
          <w:szCs w:val="24"/>
        </w:rPr>
        <w:t>rroneously sought. Whether the respondents did not raise non-disclosure or did not apply for rescission of the first preservation order is immaterial as s 58(3)(</w:t>
      </w:r>
      <w:r w:rsidR="00DE4625" w:rsidRPr="00562B8B">
        <w:rPr>
          <w:rFonts w:ascii="Arial" w:hAnsi="Arial" w:cs="Arial"/>
          <w:i/>
          <w:sz w:val="24"/>
          <w:szCs w:val="24"/>
        </w:rPr>
        <w:t>a</w:t>
      </w:r>
      <w:r w:rsidR="00DE4625" w:rsidRPr="00562B8B">
        <w:rPr>
          <w:rFonts w:ascii="Arial" w:hAnsi="Arial" w:cs="Arial"/>
          <w:sz w:val="24"/>
          <w:szCs w:val="24"/>
        </w:rPr>
        <w:t xml:space="preserve">) of </w:t>
      </w:r>
      <w:r w:rsidR="00172D2D" w:rsidRPr="00562B8B">
        <w:rPr>
          <w:rFonts w:ascii="Arial" w:hAnsi="Arial" w:cs="Arial"/>
          <w:sz w:val="24"/>
          <w:szCs w:val="24"/>
        </w:rPr>
        <w:t>the Act</w:t>
      </w:r>
      <w:r w:rsidR="00DE4625" w:rsidRPr="00562B8B">
        <w:rPr>
          <w:rFonts w:ascii="Arial" w:hAnsi="Arial" w:cs="Arial"/>
          <w:sz w:val="24"/>
          <w:szCs w:val="24"/>
        </w:rPr>
        <w:t xml:space="preserve"> provides that when the court had made a preservation of property order it may rescind that order if it was </w:t>
      </w:r>
      <w:r w:rsidR="0044355C" w:rsidRPr="00562B8B">
        <w:rPr>
          <w:rFonts w:ascii="Arial" w:hAnsi="Arial" w:cs="Arial"/>
          <w:sz w:val="24"/>
          <w:szCs w:val="24"/>
        </w:rPr>
        <w:t>‘</w:t>
      </w:r>
      <w:r w:rsidR="00DE4625" w:rsidRPr="00562B8B">
        <w:rPr>
          <w:rFonts w:ascii="Arial" w:hAnsi="Arial" w:cs="Arial"/>
          <w:sz w:val="24"/>
          <w:szCs w:val="24"/>
        </w:rPr>
        <w:t xml:space="preserve">(a) erroneously sought or erroneously made in the </w:t>
      </w:r>
      <w:r w:rsidR="00DE4625" w:rsidRPr="00562B8B">
        <w:rPr>
          <w:rFonts w:ascii="Arial" w:hAnsi="Arial" w:cs="Arial"/>
          <w:sz w:val="24"/>
          <w:szCs w:val="24"/>
        </w:rPr>
        <w:lastRenderedPageBreak/>
        <w:t>absence of the person applying for its rescission; or (b) made as a result of a common mistake of both the Prosecutor-General and the person affected by that order</w:t>
      </w:r>
      <w:r w:rsidR="00D10C3B" w:rsidRPr="00562B8B">
        <w:rPr>
          <w:rFonts w:ascii="Arial" w:hAnsi="Arial" w:cs="Arial"/>
          <w:sz w:val="24"/>
          <w:szCs w:val="24"/>
        </w:rPr>
        <w:t>’</w:t>
      </w:r>
      <w:r w:rsidR="00DE4625" w:rsidRPr="00562B8B">
        <w:rPr>
          <w:rFonts w:ascii="Arial" w:hAnsi="Arial" w:cs="Arial"/>
          <w:sz w:val="24"/>
          <w:szCs w:val="24"/>
        </w:rPr>
        <w:t>.</w:t>
      </w:r>
    </w:p>
    <w:p w:rsidR="00F83BF4" w:rsidRPr="00F83BF4" w:rsidRDefault="00F83BF4" w:rsidP="00F83BF4">
      <w:pPr>
        <w:pStyle w:val="ListParagraph"/>
        <w:spacing w:after="0" w:line="480" w:lineRule="auto"/>
        <w:jc w:val="both"/>
        <w:rPr>
          <w:rFonts w:ascii="Arial" w:hAnsi="Arial" w:cs="Arial"/>
          <w:sz w:val="24"/>
          <w:szCs w:val="24"/>
        </w:rPr>
      </w:pPr>
    </w:p>
    <w:p w:rsidR="00562B8B" w:rsidRDefault="00DE4625" w:rsidP="00562B8B">
      <w:pPr>
        <w:pStyle w:val="ListParagraph"/>
        <w:numPr>
          <w:ilvl w:val="0"/>
          <w:numId w:val="1"/>
        </w:numPr>
        <w:tabs>
          <w:tab w:val="left" w:pos="851"/>
        </w:tabs>
        <w:spacing w:after="0" w:line="480" w:lineRule="auto"/>
        <w:ind w:left="0" w:firstLine="0"/>
        <w:jc w:val="both"/>
        <w:rPr>
          <w:rFonts w:ascii="Arial" w:hAnsi="Arial" w:cs="Arial"/>
          <w:sz w:val="24"/>
          <w:szCs w:val="24"/>
        </w:rPr>
      </w:pPr>
      <w:r w:rsidRPr="00562B8B">
        <w:rPr>
          <w:rFonts w:ascii="Arial" w:hAnsi="Arial" w:cs="Arial"/>
          <w:sz w:val="24"/>
          <w:szCs w:val="24"/>
        </w:rPr>
        <w:t>Nothing could stop the court a quo</w:t>
      </w:r>
      <w:r w:rsidR="00D10C3B" w:rsidRPr="00562B8B">
        <w:rPr>
          <w:rFonts w:ascii="Arial" w:hAnsi="Arial" w:cs="Arial"/>
          <w:sz w:val="24"/>
          <w:szCs w:val="24"/>
        </w:rPr>
        <w:t xml:space="preserve"> from</w:t>
      </w:r>
      <w:r w:rsidRPr="00562B8B">
        <w:rPr>
          <w:rFonts w:ascii="Arial" w:hAnsi="Arial" w:cs="Arial"/>
          <w:sz w:val="24"/>
          <w:szCs w:val="24"/>
        </w:rPr>
        <w:t xml:space="preserve"> rebuk</w:t>
      </w:r>
      <w:r w:rsidR="00D10C3B" w:rsidRPr="00562B8B">
        <w:rPr>
          <w:rFonts w:ascii="Arial" w:hAnsi="Arial" w:cs="Arial"/>
          <w:sz w:val="24"/>
          <w:szCs w:val="24"/>
        </w:rPr>
        <w:t>ing</w:t>
      </w:r>
      <w:r w:rsidRPr="00562B8B">
        <w:rPr>
          <w:rFonts w:ascii="Arial" w:hAnsi="Arial" w:cs="Arial"/>
          <w:sz w:val="24"/>
          <w:szCs w:val="24"/>
        </w:rPr>
        <w:t xml:space="preserve"> the appellant or holding </w:t>
      </w:r>
      <w:r w:rsidR="00D10C3B" w:rsidRPr="00562B8B">
        <w:rPr>
          <w:rFonts w:ascii="Arial" w:hAnsi="Arial" w:cs="Arial"/>
          <w:sz w:val="24"/>
          <w:szCs w:val="24"/>
        </w:rPr>
        <w:t xml:space="preserve">it </w:t>
      </w:r>
      <w:r w:rsidRPr="00562B8B">
        <w:rPr>
          <w:rFonts w:ascii="Arial" w:hAnsi="Arial" w:cs="Arial"/>
          <w:sz w:val="24"/>
          <w:szCs w:val="24"/>
        </w:rPr>
        <w:t>against her for the reckless conduct of relying on the determination to secure a preservation order which she would not otherwise have obtained. It is not clear from the appellant’s evidence as to why the FIC extended the determination from 16 December 2016 to 5 January 2017. Sergeant Shaakumeni who supported the application for the first preservation of property order also only state</w:t>
      </w:r>
      <w:r w:rsidR="00562B8B">
        <w:rPr>
          <w:rFonts w:ascii="Arial" w:hAnsi="Arial" w:cs="Arial"/>
          <w:sz w:val="24"/>
          <w:szCs w:val="24"/>
        </w:rPr>
        <w:t>d</w:t>
      </w:r>
      <w:r w:rsidRPr="00562B8B">
        <w:rPr>
          <w:rFonts w:ascii="Arial" w:hAnsi="Arial" w:cs="Arial"/>
          <w:sz w:val="24"/>
          <w:szCs w:val="24"/>
        </w:rPr>
        <w:t xml:space="preserve"> that the intervention was extended for another 12 days to 5 January 2017, from </w:t>
      </w:r>
      <w:r w:rsidR="00F20822" w:rsidRPr="00562B8B">
        <w:rPr>
          <w:rFonts w:ascii="Arial" w:hAnsi="Arial" w:cs="Arial"/>
          <w:sz w:val="24"/>
          <w:szCs w:val="24"/>
        </w:rPr>
        <w:t>16 December 2016. The Prosecutor-General who approaches courts to seek preservation of properties has an obligation to reveal this information to court, failing which</w:t>
      </w:r>
      <w:r w:rsidR="00D10C3B" w:rsidRPr="00562B8B">
        <w:rPr>
          <w:rFonts w:ascii="Arial" w:hAnsi="Arial" w:cs="Arial"/>
          <w:sz w:val="24"/>
          <w:szCs w:val="24"/>
        </w:rPr>
        <w:t>,</w:t>
      </w:r>
      <w:r w:rsidR="00F20822" w:rsidRPr="00562B8B">
        <w:rPr>
          <w:rFonts w:ascii="Arial" w:hAnsi="Arial" w:cs="Arial"/>
          <w:sz w:val="24"/>
          <w:szCs w:val="24"/>
        </w:rPr>
        <w:t xml:space="preserve"> </w:t>
      </w:r>
      <w:r w:rsidR="00562B8B">
        <w:rPr>
          <w:rFonts w:ascii="Arial" w:hAnsi="Arial" w:cs="Arial"/>
          <w:sz w:val="24"/>
          <w:szCs w:val="24"/>
        </w:rPr>
        <w:t xml:space="preserve">it </w:t>
      </w:r>
      <w:r w:rsidR="00F20822" w:rsidRPr="00562B8B">
        <w:rPr>
          <w:rFonts w:ascii="Arial" w:hAnsi="Arial" w:cs="Arial"/>
          <w:sz w:val="24"/>
          <w:szCs w:val="24"/>
        </w:rPr>
        <w:t>is a material non-disclosure.</w:t>
      </w:r>
    </w:p>
    <w:p w:rsidR="00562B8B" w:rsidRPr="00562B8B" w:rsidRDefault="00562B8B" w:rsidP="00562B8B">
      <w:pPr>
        <w:pStyle w:val="ListParagraph"/>
        <w:spacing w:after="0" w:line="480" w:lineRule="auto"/>
        <w:jc w:val="both"/>
        <w:rPr>
          <w:rFonts w:ascii="Arial" w:hAnsi="Arial" w:cs="Arial"/>
          <w:sz w:val="24"/>
          <w:szCs w:val="24"/>
        </w:rPr>
      </w:pPr>
    </w:p>
    <w:p w:rsidR="001A4CEA" w:rsidRDefault="00F20822" w:rsidP="00562B8B">
      <w:pPr>
        <w:pStyle w:val="ListParagraph"/>
        <w:numPr>
          <w:ilvl w:val="0"/>
          <w:numId w:val="1"/>
        </w:numPr>
        <w:tabs>
          <w:tab w:val="left" w:pos="851"/>
        </w:tabs>
        <w:spacing w:after="0" w:line="480" w:lineRule="auto"/>
        <w:ind w:left="0" w:firstLine="0"/>
        <w:jc w:val="both"/>
        <w:rPr>
          <w:rFonts w:ascii="Arial" w:hAnsi="Arial" w:cs="Arial"/>
          <w:sz w:val="24"/>
          <w:szCs w:val="24"/>
        </w:rPr>
      </w:pPr>
      <w:r w:rsidRPr="00562B8B">
        <w:rPr>
          <w:rFonts w:ascii="Arial" w:hAnsi="Arial" w:cs="Arial"/>
          <w:sz w:val="24"/>
          <w:szCs w:val="24"/>
        </w:rPr>
        <w:t>I do</w:t>
      </w:r>
      <w:r w:rsidR="00562B8B">
        <w:rPr>
          <w:rFonts w:ascii="Arial" w:hAnsi="Arial" w:cs="Arial"/>
          <w:sz w:val="24"/>
          <w:szCs w:val="24"/>
        </w:rPr>
        <w:t xml:space="preserve"> </w:t>
      </w:r>
      <w:r w:rsidRPr="00562B8B">
        <w:rPr>
          <w:rFonts w:ascii="Arial" w:hAnsi="Arial" w:cs="Arial"/>
          <w:sz w:val="24"/>
          <w:szCs w:val="24"/>
        </w:rPr>
        <w:t>n</w:t>
      </w:r>
      <w:r w:rsidR="00562B8B">
        <w:rPr>
          <w:rFonts w:ascii="Arial" w:hAnsi="Arial" w:cs="Arial"/>
          <w:sz w:val="24"/>
          <w:szCs w:val="24"/>
        </w:rPr>
        <w:t>o</w:t>
      </w:r>
      <w:r w:rsidRPr="00562B8B">
        <w:rPr>
          <w:rFonts w:ascii="Arial" w:hAnsi="Arial" w:cs="Arial"/>
          <w:sz w:val="24"/>
          <w:szCs w:val="24"/>
        </w:rPr>
        <w:t xml:space="preserve">t see any purpose why the respondents would have sought a review of the decision of the Director of the FIC on issuing or extending the intervention when he/she did not approach </w:t>
      </w:r>
      <w:r w:rsidR="00D10C3B" w:rsidRPr="00562B8B">
        <w:rPr>
          <w:rFonts w:ascii="Arial" w:hAnsi="Arial" w:cs="Arial"/>
          <w:sz w:val="24"/>
          <w:szCs w:val="24"/>
        </w:rPr>
        <w:t xml:space="preserve">the </w:t>
      </w:r>
      <w:r w:rsidRPr="00562B8B">
        <w:rPr>
          <w:rFonts w:ascii="Arial" w:hAnsi="Arial" w:cs="Arial"/>
          <w:sz w:val="24"/>
          <w:szCs w:val="24"/>
        </w:rPr>
        <w:t xml:space="preserve">court to seek </w:t>
      </w:r>
      <w:r w:rsidR="00562B8B">
        <w:rPr>
          <w:rFonts w:ascii="Arial" w:hAnsi="Arial" w:cs="Arial"/>
          <w:sz w:val="24"/>
          <w:szCs w:val="24"/>
        </w:rPr>
        <w:t xml:space="preserve">the </w:t>
      </w:r>
      <w:r w:rsidRPr="00562B8B">
        <w:rPr>
          <w:rFonts w:ascii="Arial" w:hAnsi="Arial" w:cs="Arial"/>
          <w:sz w:val="24"/>
          <w:szCs w:val="24"/>
        </w:rPr>
        <w:t>preservation of the respondent’s property. In my opinion</w:t>
      </w:r>
      <w:r w:rsidR="00D10C3B" w:rsidRPr="00562B8B">
        <w:rPr>
          <w:rFonts w:ascii="Arial" w:hAnsi="Arial" w:cs="Arial"/>
          <w:sz w:val="24"/>
          <w:szCs w:val="24"/>
        </w:rPr>
        <w:t>,</w:t>
      </w:r>
      <w:r w:rsidRPr="00562B8B">
        <w:rPr>
          <w:rFonts w:ascii="Arial" w:hAnsi="Arial" w:cs="Arial"/>
          <w:sz w:val="24"/>
          <w:szCs w:val="24"/>
        </w:rPr>
        <w:t xml:space="preserve"> the serious condemnation of the </w:t>
      </w:r>
      <w:r w:rsidR="00E74282" w:rsidRPr="00562B8B">
        <w:rPr>
          <w:rFonts w:ascii="Arial" w:hAnsi="Arial" w:cs="Arial"/>
          <w:sz w:val="24"/>
          <w:szCs w:val="24"/>
        </w:rPr>
        <w:t>appellant</w:t>
      </w:r>
      <w:r w:rsidRPr="00562B8B">
        <w:rPr>
          <w:rFonts w:ascii="Arial" w:hAnsi="Arial" w:cs="Arial"/>
          <w:sz w:val="24"/>
          <w:szCs w:val="24"/>
        </w:rPr>
        <w:t xml:space="preserve"> was her reliance on an invalid </w:t>
      </w:r>
      <w:r w:rsidR="00D10C3B" w:rsidRPr="00562B8B">
        <w:rPr>
          <w:rFonts w:ascii="Arial" w:hAnsi="Arial" w:cs="Arial"/>
          <w:sz w:val="24"/>
          <w:szCs w:val="24"/>
        </w:rPr>
        <w:t>D</w:t>
      </w:r>
      <w:r w:rsidRPr="00562B8B">
        <w:rPr>
          <w:rFonts w:ascii="Arial" w:hAnsi="Arial" w:cs="Arial"/>
          <w:sz w:val="24"/>
          <w:szCs w:val="24"/>
        </w:rPr>
        <w:t>etermination to obtain a preservation of property order. She could not guess or assume that the determination was in force. In my opinion</w:t>
      </w:r>
      <w:r w:rsidR="00D10C3B" w:rsidRPr="00562B8B">
        <w:rPr>
          <w:rFonts w:ascii="Arial" w:hAnsi="Arial" w:cs="Arial"/>
          <w:sz w:val="24"/>
          <w:szCs w:val="24"/>
        </w:rPr>
        <w:t>,</w:t>
      </w:r>
      <w:r w:rsidRPr="00562B8B">
        <w:rPr>
          <w:rFonts w:ascii="Arial" w:hAnsi="Arial" w:cs="Arial"/>
          <w:sz w:val="24"/>
          <w:szCs w:val="24"/>
        </w:rPr>
        <w:t xml:space="preserve"> that document is a must attachment to the </w:t>
      </w:r>
      <w:r w:rsidR="00D42FA2" w:rsidRPr="00562B8B">
        <w:rPr>
          <w:rFonts w:ascii="Arial" w:hAnsi="Arial" w:cs="Arial"/>
          <w:sz w:val="24"/>
          <w:szCs w:val="24"/>
        </w:rPr>
        <w:t>appellant</w:t>
      </w:r>
      <w:r w:rsidRPr="00562B8B">
        <w:rPr>
          <w:rFonts w:ascii="Arial" w:hAnsi="Arial" w:cs="Arial"/>
          <w:sz w:val="24"/>
          <w:szCs w:val="24"/>
        </w:rPr>
        <w:t xml:space="preserve">’s founding affidavit. To argue that what she did was an error and not a non-disclosure with </w:t>
      </w:r>
      <w:r w:rsidR="00AE5030" w:rsidRPr="00562B8B">
        <w:rPr>
          <w:rFonts w:ascii="Arial" w:hAnsi="Arial" w:cs="Arial"/>
          <w:sz w:val="24"/>
          <w:szCs w:val="24"/>
        </w:rPr>
        <w:t>greatest respect is absurd</w:t>
      </w:r>
      <w:r w:rsidR="0095268E" w:rsidRPr="00562B8B">
        <w:rPr>
          <w:rFonts w:ascii="Arial" w:hAnsi="Arial" w:cs="Arial"/>
          <w:sz w:val="24"/>
          <w:szCs w:val="24"/>
        </w:rPr>
        <w:t xml:space="preserve">. The first application for the preservation of property order has </w:t>
      </w:r>
      <w:r w:rsidR="001A4CEA">
        <w:rPr>
          <w:rFonts w:ascii="Arial" w:hAnsi="Arial" w:cs="Arial"/>
          <w:sz w:val="24"/>
          <w:szCs w:val="24"/>
        </w:rPr>
        <w:t xml:space="preserve">a </w:t>
      </w:r>
      <w:r w:rsidR="0095268E" w:rsidRPr="00562B8B">
        <w:rPr>
          <w:rFonts w:ascii="Arial" w:hAnsi="Arial" w:cs="Arial"/>
          <w:sz w:val="24"/>
          <w:szCs w:val="24"/>
        </w:rPr>
        <w:t xml:space="preserve">bearing on the second </w:t>
      </w:r>
      <w:r w:rsidR="001A4CEA" w:rsidRPr="00562B8B">
        <w:rPr>
          <w:rFonts w:ascii="Arial" w:hAnsi="Arial" w:cs="Arial"/>
          <w:sz w:val="24"/>
          <w:szCs w:val="24"/>
        </w:rPr>
        <w:t>application that</w:t>
      </w:r>
      <w:r w:rsidR="001A4CEA">
        <w:rPr>
          <w:rFonts w:ascii="Arial" w:hAnsi="Arial" w:cs="Arial"/>
          <w:sz w:val="24"/>
          <w:szCs w:val="24"/>
        </w:rPr>
        <w:t xml:space="preserve"> i</w:t>
      </w:r>
      <w:r w:rsidR="0095268E" w:rsidRPr="00562B8B">
        <w:rPr>
          <w:rFonts w:ascii="Arial" w:hAnsi="Arial" w:cs="Arial"/>
          <w:sz w:val="24"/>
          <w:szCs w:val="24"/>
        </w:rPr>
        <w:t xml:space="preserve">s why it was the starting point of the </w:t>
      </w:r>
      <w:r w:rsidR="00D42FA2" w:rsidRPr="00562B8B">
        <w:rPr>
          <w:rFonts w:ascii="Arial" w:hAnsi="Arial" w:cs="Arial"/>
          <w:sz w:val="24"/>
          <w:szCs w:val="24"/>
        </w:rPr>
        <w:t>appellant</w:t>
      </w:r>
      <w:r w:rsidR="0095268E" w:rsidRPr="00562B8B">
        <w:rPr>
          <w:rFonts w:ascii="Arial" w:hAnsi="Arial" w:cs="Arial"/>
          <w:sz w:val="24"/>
          <w:szCs w:val="24"/>
        </w:rPr>
        <w:t>’s affidavit</w:t>
      </w:r>
      <w:r w:rsidR="00497E6D" w:rsidRPr="00562B8B">
        <w:rPr>
          <w:rFonts w:ascii="Arial" w:hAnsi="Arial" w:cs="Arial"/>
          <w:sz w:val="24"/>
          <w:szCs w:val="24"/>
        </w:rPr>
        <w:t>.</w:t>
      </w:r>
      <w:r w:rsidR="0095268E" w:rsidRPr="00562B8B">
        <w:rPr>
          <w:rFonts w:ascii="Arial" w:hAnsi="Arial" w:cs="Arial"/>
          <w:sz w:val="24"/>
          <w:szCs w:val="24"/>
        </w:rPr>
        <w:t xml:space="preserve"> </w:t>
      </w:r>
    </w:p>
    <w:p w:rsidR="001A4CEA" w:rsidRDefault="00497E6D" w:rsidP="00562B8B">
      <w:pPr>
        <w:pStyle w:val="ListParagraph"/>
        <w:numPr>
          <w:ilvl w:val="0"/>
          <w:numId w:val="1"/>
        </w:numPr>
        <w:tabs>
          <w:tab w:val="left" w:pos="851"/>
        </w:tabs>
        <w:spacing w:after="0" w:line="480" w:lineRule="auto"/>
        <w:ind w:left="0" w:firstLine="0"/>
        <w:jc w:val="both"/>
        <w:rPr>
          <w:rFonts w:ascii="Arial" w:hAnsi="Arial" w:cs="Arial"/>
          <w:sz w:val="24"/>
          <w:szCs w:val="24"/>
        </w:rPr>
      </w:pPr>
      <w:r w:rsidRPr="00562B8B">
        <w:rPr>
          <w:rFonts w:ascii="Arial" w:hAnsi="Arial" w:cs="Arial"/>
          <w:sz w:val="24"/>
          <w:szCs w:val="24"/>
        </w:rPr>
        <w:lastRenderedPageBreak/>
        <w:t>F</w:t>
      </w:r>
      <w:r w:rsidR="0095268E" w:rsidRPr="00562B8B">
        <w:rPr>
          <w:rFonts w:ascii="Arial" w:hAnsi="Arial" w:cs="Arial"/>
          <w:sz w:val="24"/>
          <w:szCs w:val="24"/>
        </w:rPr>
        <w:t>rom 16 December 2016 to 20 May 2017</w:t>
      </w:r>
      <w:r w:rsidR="00D10C3B" w:rsidRPr="00562B8B">
        <w:rPr>
          <w:rFonts w:ascii="Arial" w:hAnsi="Arial" w:cs="Arial"/>
          <w:sz w:val="24"/>
          <w:szCs w:val="24"/>
        </w:rPr>
        <w:t>,</w:t>
      </w:r>
      <w:r w:rsidR="0095268E" w:rsidRPr="00562B8B">
        <w:rPr>
          <w:rFonts w:ascii="Arial" w:hAnsi="Arial" w:cs="Arial"/>
          <w:sz w:val="24"/>
          <w:szCs w:val="24"/>
        </w:rPr>
        <w:t xml:space="preserve"> a period of litt</w:t>
      </w:r>
      <w:r w:rsidRPr="00562B8B">
        <w:rPr>
          <w:rFonts w:ascii="Arial" w:hAnsi="Arial" w:cs="Arial"/>
          <w:sz w:val="24"/>
          <w:szCs w:val="24"/>
        </w:rPr>
        <w:t>l</w:t>
      </w:r>
      <w:r w:rsidR="0095268E" w:rsidRPr="00562B8B">
        <w:rPr>
          <w:rFonts w:ascii="Arial" w:hAnsi="Arial" w:cs="Arial"/>
          <w:sz w:val="24"/>
          <w:szCs w:val="24"/>
        </w:rPr>
        <w:t xml:space="preserve">e over 6 months the property of the respondents was retained without any basis, to which the </w:t>
      </w:r>
      <w:r w:rsidR="00D42FA2" w:rsidRPr="00562B8B">
        <w:rPr>
          <w:rFonts w:ascii="Arial" w:hAnsi="Arial" w:cs="Arial"/>
          <w:sz w:val="24"/>
          <w:szCs w:val="24"/>
        </w:rPr>
        <w:t>appellant</w:t>
      </w:r>
      <w:r w:rsidR="0095268E" w:rsidRPr="00562B8B">
        <w:rPr>
          <w:rFonts w:ascii="Arial" w:hAnsi="Arial" w:cs="Arial"/>
          <w:sz w:val="24"/>
          <w:szCs w:val="24"/>
        </w:rPr>
        <w:t xml:space="preserve"> c</w:t>
      </w:r>
      <w:r w:rsidR="00D42FA2" w:rsidRPr="00562B8B">
        <w:rPr>
          <w:rFonts w:ascii="Arial" w:hAnsi="Arial" w:cs="Arial"/>
          <w:sz w:val="24"/>
          <w:szCs w:val="24"/>
        </w:rPr>
        <w:t>a</w:t>
      </w:r>
      <w:r w:rsidR="0095268E" w:rsidRPr="00562B8B">
        <w:rPr>
          <w:rFonts w:ascii="Arial" w:hAnsi="Arial" w:cs="Arial"/>
          <w:sz w:val="24"/>
          <w:szCs w:val="24"/>
        </w:rPr>
        <w:t xml:space="preserve">sts a bare denial. Even when she had discovered that the </w:t>
      </w:r>
      <w:r w:rsidR="00D10C3B" w:rsidRPr="00562B8B">
        <w:rPr>
          <w:rFonts w:ascii="Arial" w:hAnsi="Arial" w:cs="Arial"/>
          <w:sz w:val="24"/>
          <w:szCs w:val="24"/>
        </w:rPr>
        <w:t>D</w:t>
      </w:r>
      <w:r w:rsidR="0095268E" w:rsidRPr="00562B8B">
        <w:rPr>
          <w:rFonts w:ascii="Arial" w:hAnsi="Arial" w:cs="Arial"/>
          <w:sz w:val="24"/>
          <w:szCs w:val="24"/>
        </w:rPr>
        <w:t xml:space="preserve">etermination on which she relied to obtain the first order of 5 January 2017 was not </w:t>
      </w:r>
      <w:r w:rsidR="00585345" w:rsidRPr="00562B8B">
        <w:rPr>
          <w:rFonts w:ascii="Arial" w:hAnsi="Arial" w:cs="Arial"/>
          <w:sz w:val="24"/>
          <w:szCs w:val="24"/>
        </w:rPr>
        <w:t>publish</w:t>
      </w:r>
      <w:r w:rsidR="0095268E" w:rsidRPr="00562B8B">
        <w:rPr>
          <w:rFonts w:ascii="Arial" w:hAnsi="Arial" w:cs="Arial"/>
          <w:sz w:val="24"/>
          <w:szCs w:val="24"/>
        </w:rPr>
        <w:t>ed she chose to let the erroneous order run the full 120 days and provides an unsubstantiated reason why she thought the non-</w:t>
      </w:r>
      <w:r w:rsidR="00276C05" w:rsidRPr="00562B8B">
        <w:rPr>
          <w:rFonts w:ascii="Arial" w:hAnsi="Arial" w:cs="Arial"/>
          <w:sz w:val="24"/>
          <w:szCs w:val="24"/>
        </w:rPr>
        <w:t>publi</w:t>
      </w:r>
      <w:r w:rsidR="001A4CEA">
        <w:rPr>
          <w:rFonts w:ascii="Arial" w:hAnsi="Arial" w:cs="Arial"/>
          <w:sz w:val="24"/>
          <w:szCs w:val="24"/>
        </w:rPr>
        <w:t>cation</w:t>
      </w:r>
      <w:r w:rsidR="0095268E" w:rsidRPr="00562B8B">
        <w:rPr>
          <w:rFonts w:ascii="Arial" w:hAnsi="Arial" w:cs="Arial"/>
          <w:sz w:val="24"/>
          <w:szCs w:val="24"/>
        </w:rPr>
        <w:t xml:space="preserve"> could be remedied at the forfeiture stage. That is not expected from the office of the P</w:t>
      </w:r>
      <w:r w:rsidR="00D42FA2" w:rsidRPr="00562B8B">
        <w:rPr>
          <w:rFonts w:ascii="Arial" w:hAnsi="Arial" w:cs="Arial"/>
          <w:sz w:val="24"/>
          <w:szCs w:val="24"/>
        </w:rPr>
        <w:t>rosecutor-</w:t>
      </w:r>
      <w:r w:rsidR="0095268E" w:rsidRPr="00562B8B">
        <w:rPr>
          <w:rFonts w:ascii="Arial" w:hAnsi="Arial" w:cs="Arial"/>
          <w:sz w:val="24"/>
          <w:szCs w:val="24"/>
        </w:rPr>
        <w:t>G</w:t>
      </w:r>
      <w:r w:rsidR="00D42FA2" w:rsidRPr="00562B8B">
        <w:rPr>
          <w:rFonts w:ascii="Arial" w:hAnsi="Arial" w:cs="Arial"/>
          <w:sz w:val="24"/>
          <w:szCs w:val="24"/>
        </w:rPr>
        <w:t>eneral</w:t>
      </w:r>
      <w:r w:rsidR="0095268E" w:rsidRPr="00562B8B">
        <w:rPr>
          <w:rFonts w:ascii="Arial" w:hAnsi="Arial" w:cs="Arial"/>
          <w:sz w:val="24"/>
          <w:szCs w:val="24"/>
        </w:rPr>
        <w:t>. As the court a quo</w:t>
      </w:r>
      <w:r w:rsidR="0095268E" w:rsidRPr="00562B8B">
        <w:rPr>
          <w:rFonts w:ascii="Arial" w:hAnsi="Arial" w:cs="Arial"/>
          <w:i/>
          <w:sz w:val="24"/>
          <w:szCs w:val="24"/>
        </w:rPr>
        <w:t xml:space="preserve"> </w:t>
      </w:r>
      <w:r w:rsidR="0095268E" w:rsidRPr="00562B8B">
        <w:rPr>
          <w:rFonts w:ascii="Arial" w:hAnsi="Arial" w:cs="Arial"/>
          <w:sz w:val="24"/>
          <w:szCs w:val="24"/>
        </w:rPr>
        <w:t>correctly articulated</w:t>
      </w:r>
      <w:r w:rsidR="001A4CEA">
        <w:rPr>
          <w:rFonts w:ascii="Arial" w:hAnsi="Arial" w:cs="Arial"/>
          <w:sz w:val="24"/>
          <w:szCs w:val="24"/>
        </w:rPr>
        <w:t>,</w:t>
      </w:r>
      <w:r w:rsidR="0095268E" w:rsidRPr="00562B8B">
        <w:rPr>
          <w:rFonts w:ascii="Arial" w:hAnsi="Arial" w:cs="Arial"/>
          <w:sz w:val="24"/>
          <w:szCs w:val="24"/>
        </w:rPr>
        <w:t xml:space="preserve"> </w:t>
      </w:r>
      <w:r w:rsidRPr="00562B8B">
        <w:rPr>
          <w:rFonts w:ascii="Arial" w:hAnsi="Arial" w:cs="Arial"/>
          <w:sz w:val="24"/>
          <w:szCs w:val="24"/>
        </w:rPr>
        <w:t xml:space="preserve">the appellant’s office </w:t>
      </w:r>
      <w:r w:rsidR="0095268E" w:rsidRPr="00562B8B">
        <w:rPr>
          <w:rFonts w:ascii="Arial" w:hAnsi="Arial" w:cs="Arial"/>
          <w:sz w:val="24"/>
          <w:szCs w:val="24"/>
        </w:rPr>
        <w:t xml:space="preserve">is constitutionally obliged to place the truth, correct information before </w:t>
      </w:r>
      <w:r w:rsidR="00332557" w:rsidRPr="00562B8B">
        <w:rPr>
          <w:rFonts w:ascii="Arial" w:hAnsi="Arial" w:cs="Arial"/>
          <w:sz w:val="24"/>
          <w:szCs w:val="24"/>
        </w:rPr>
        <w:t xml:space="preserve">court, for it to arrive at correct decisions. It is not in the mandate of the </w:t>
      </w:r>
      <w:r w:rsidR="00E74282" w:rsidRPr="00562B8B">
        <w:rPr>
          <w:rFonts w:ascii="Arial" w:hAnsi="Arial" w:cs="Arial"/>
          <w:sz w:val="24"/>
          <w:szCs w:val="24"/>
        </w:rPr>
        <w:t>appellant</w:t>
      </w:r>
      <w:r w:rsidR="00332557" w:rsidRPr="00562B8B">
        <w:rPr>
          <w:rFonts w:ascii="Arial" w:hAnsi="Arial" w:cs="Arial"/>
          <w:sz w:val="24"/>
          <w:szCs w:val="24"/>
        </w:rPr>
        <w:t xml:space="preserve"> to twist words or provide misstatements to win cases. Take for example, in the second application, paras 17 and 18, where she says: ‘On 22 May 2017 a request was sent to the FIC by my office to indicate that I intend to apply for a new preservation application on new grounds that the money on reasonable grounds were illegally imported into Namibia . . .'. ‘(18) I understand that the FIC filed an intervention order which will expire on 6 June 2017’. </w:t>
      </w:r>
    </w:p>
    <w:p w:rsidR="00F83BF4" w:rsidRDefault="00F83BF4" w:rsidP="00F83BF4">
      <w:pPr>
        <w:pStyle w:val="ListParagraph"/>
        <w:tabs>
          <w:tab w:val="left" w:pos="851"/>
        </w:tabs>
        <w:spacing w:after="0" w:line="480" w:lineRule="auto"/>
        <w:ind w:left="0"/>
        <w:jc w:val="both"/>
        <w:rPr>
          <w:rFonts w:ascii="Arial" w:hAnsi="Arial" w:cs="Arial"/>
          <w:sz w:val="24"/>
          <w:szCs w:val="24"/>
        </w:rPr>
      </w:pPr>
    </w:p>
    <w:p w:rsidR="00DE4625" w:rsidRDefault="00332557" w:rsidP="00562B8B">
      <w:pPr>
        <w:pStyle w:val="ListParagraph"/>
        <w:numPr>
          <w:ilvl w:val="0"/>
          <w:numId w:val="1"/>
        </w:numPr>
        <w:tabs>
          <w:tab w:val="left" w:pos="851"/>
        </w:tabs>
        <w:spacing w:after="0" w:line="480" w:lineRule="auto"/>
        <w:ind w:left="0" w:firstLine="0"/>
        <w:jc w:val="both"/>
        <w:rPr>
          <w:rFonts w:ascii="Arial" w:hAnsi="Arial" w:cs="Arial"/>
          <w:sz w:val="24"/>
          <w:szCs w:val="24"/>
        </w:rPr>
      </w:pPr>
      <w:r w:rsidRPr="00562B8B">
        <w:rPr>
          <w:rFonts w:ascii="Arial" w:hAnsi="Arial" w:cs="Arial"/>
          <w:sz w:val="24"/>
          <w:szCs w:val="24"/>
        </w:rPr>
        <w:t>The statements sound s</w:t>
      </w:r>
      <w:r w:rsidR="00497E6D" w:rsidRPr="00562B8B">
        <w:rPr>
          <w:rFonts w:ascii="Arial" w:hAnsi="Arial" w:cs="Arial"/>
          <w:sz w:val="24"/>
          <w:szCs w:val="24"/>
        </w:rPr>
        <w:t>o</w:t>
      </w:r>
      <w:r w:rsidRPr="00562B8B">
        <w:rPr>
          <w:rFonts w:ascii="Arial" w:hAnsi="Arial" w:cs="Arial"/>
          <w:sz w:val="24"/>
          <w:szCs w:val="24"/>
        </w:rPr>
        <w:t xml:space="preserve"> di</w:t>
      </w:r>
      <w:r w:rsidR="00951B68" w:rsidRPr="00562B8B">
        <w:rPr>
          <w:rFonts w:ascii="Arial" w:hAnsi="Arial" w:cs="Arial"/>
          <w:sz w:val="24"/>
          <w:szCs w:val="24"/>
        </w:rPr>
        <w:t>vorced</w:t>
      </w:r>
      <w:r w:rsidRPr="00562B8B">
        <w:rPr>
          <w:rFonts w:ascii="Arial" w:hAnsi="Arial" w:cs="Arial"/>
          <w:sz w:val="24"/>
          <w:szCs w:val="24"/>
        </w:rPr>
        <w:t xml:space="preserve"> from the FIC and as the court a quo</w:t>
      </w:r>
      <w:r w:rsidRPr="00562B8B">
        <w:rPr>
          <w:rFonts w:ascii="Arial" w:hAnsi="Arial" w:cs="Arial"/>
          <w:i/>
          <w:sz w:val="24"/>
          <w:szCs w:val="24"/>
        </w:rPr>
        <w:t xml:space="preserve"> </w:t>
      </w:r>
      <w:r w:rsidRPr="00562B8B">
        <w:rPr>
          <w:rFonts w:ascii="Arial" w:hAnsi="Arial" w:cs="Arial"/>
          <w:sz w:val="24"/>
          <w:szCs w:val="24"/>
        </w:rPr>
        <w:t>found, yet it is cle</w:t>
      </w:r>
      <w:r w:rsidR="001A4CEA">
        <w:rPr>
          <w:rFonts w:ascii="Arial" w:hAnsi="Arial" w:cs="Arial"/>
          <w:sz w:val="24"/>
          <w:szCs w:val="24"/>
        </w:rPr>
        <w:t>ar as daylight that the Office of the P</w:t>
      </w:r>
      <w:r w:rsidR="00F83BF4">
        <w:rPr>
          <w:rFonts w:ascii="Arial" w:hAnsi="Arial" w:cs="Arial"/>
          <w:sz w:val="24"/>
          <w:szCs w:val="24"/>
        </w:rPr>
        <w:t>rosecutor-</w:t>
      </w:r>
      <w:r w:rsidR="001A4CEA">
        <w:rPr>
          <w:rFonts w:ascii="Arial" w:hAnsi="Arial" w:cs="Arial"/>
          <w:sz w:val="24"/>
          <w:szCs w:val="24"/>
        </w:rPr>
        <w:t>G</w:t>
      </w:r>
      <w:r w:rsidR="00F83BF4">
        <w:rPr>
          <w:rFonts w:ascii="Arial" w:hAnsi="Arial" w:cs="Arial"/>
          <w:sz w:val="24"/>
          <w:szCs w:val="24"/>
        </w:rPr>
        <w:t>eneral</w:t>
      </w:r>
      <w:r w:rsidRPr="00562B8B">
        <w:rPr>
          <w:rFonts w:ascii="Arial" w:hAnsi="Arial" w:cs="Arial"/>
          <w:sz w:val="24"/>
          <w:szCs w:val="24"/>
        </w:rPr>
        <w:t xml:space="preserve"> works hand in hand with the FIC when it comes to POCA matters. The </w:t>
      </w:r>
      <w:r w:rsidR="00D42FA2" w:rsidRPr="00562B8B">
        <w:rPr>
          <w:rFonts w:ascii="Arial" w:hAnsi="Arial" w:cs="Arial"/>
          <w:sz w:val="24"/>
          <w:szCs w:val="24"/>
        </w:rPr>
        <w:t>appellant</w:t>
      </w:r>
      <w:r w:rsidRPr="00562B8B">
        <w:rPr>
          <w:rFonts w:ascii="Arial" w:hAnsi="Arial" w:cs="Arial"/>
          <w:sz w:val="24"/>
          <w:szCs w:val="24"/>
        </w:rPr>
        <w:t>’s request to FIC for an extension of the intervention states that she intended to apply for</w:t>
      </w:r>
      <w:r w:rsidR="00D10C3B" w:rsidRPr="00562B8B">
        <w:rPr>
          <w:rFonts w:ascii="Arial" w:hAnsi="Arial" w:cs="Arial"/>
          <w:sz w:val="24"/>
          <w:szCs w:val="24"/>
        </w:rPr>
        <w:t xml:space="preserve"> a</w:t>
      </w:r>
      <w:r w:rsidRPr="00562B8B">
        <w:rPr>
          <w:rFonts w:ascii="Arial" w:hAnsi="Arial" w:cs="Arial"/>
          <w:sz w:val="24"/>
          <w:szCs w:val="24"/>
        </w:rPr>
        <w:t xml:space="preserve"> fresh preservation order on new grounds that the money was illegally imported into Namibia. In para 6 of her affidavit that allegation is omitted in the possible statutory contraventions and not in the supporting affidavit </w:t>
      </w:r>
      <w:r w:rsidR="00497E6D" w:rsidRPr="00562B8B">
        <w:rPr>
          <w:rFonts w:ascii="Arial" w:hAnsi="Arial" w:cs="Arial"/>
          <w:sz w:val="24"/>
          <w:szCs w:val="24"/>
        </w:rPr>
        <w:t xml:space="preserve">of </w:t>
      </w:r>
      <w:r w:rsidRPr="00562B8B">
        <w:rPr>
          <w:rFonts w:ascii="Arial" w:hAnsi="Arial" w:cs="Arial"/>
          <w:sz w:val="24"/>
          <w:szCs w:val="24"/>
        </w:rPr>
        <w:t xml:space="preserve">W/O Green, notwithstanding that the authorisation letter in terms of s 83 of </w:t>
      </w:r>
      <w:r w:rsidR="00462EC8">
        <w:rPr>
          <w:rFonts w:ascii="Arial" w:hAnsi="Arial" w:cs="Arial"/>
          <w:sz w:val="24"/>
          <w:szCs w:val="24"/>
        </w:rPr>
        <w:t>the Act</w:t>
      </w:r>
      <w:r w:rsidRPr="00562B8B">
        <w:rPr>
          <w:rFonts w:ascii="Arial" w:hAnsi="Arial" w:cs="Arial"/>
          <w:sz w:val="24"/>
          <w:szCs w:val="24"/>
        </w:rPr>
        <w:t xml:space="preserve"> from the Inspector</w:t>
      </w:r>
      <w:r w:rsidR="00F83BF4">
        <w:rPr>
          <w:rFonts w:ascii="Arial" w:hAnsi="Arial" w:cs="Arial"/>
          <w:sz w:val="24"/>
          <w:szCs w:val="24"/>
        </w:rPr>
        <w:t>-G</w:t>
      </w:r>
      <w:r w:rsidRPr="00562B8B">
        <w:rPr>
          <w:rFonts w:ascii="Arial" w:hAnsi="Arial" w:cs="Arial"/>
          <w:sz w:val="24"/>
          <w:szCs w:val="24"/>
        </w:rPr>
        <w:t xml:space="preserve">eneral to </w:t>
      </w:r>
      <w:r w:rsidRPr="00562B8B">
        <w:rPr>
          <w:rFonts w:ascii="Arial" w:hAnsi="Arial" w:cs="Arial"/>
          <w:sz w:val="24"/>
          <w:szCs w:val="24"/>
        </w:rPr>
        <w:lastRenderedPageBreak/>
        <w:t>W/O Green, W/O Namb</w:t>
      </w:r>
      <w:r w:rsidR="008E144E">
        <w:rPr>
          <w:rFonts w:ascii="Arial" w:hAnsi="Arial" w:cs="Arial"/>
          <w:sz w:val="24"/>
          <w:szCs w:val="24"/>
        </w:rPr>
        <w:t>a</w:t>
      </w:r>
      <w:r w:rsidRPr="00562B8B">
        <w:rPr>
          <w:rFonts w:ascii="Arial" w:hAnsi="Arial" w:cs="Arial"/>
          <w:sz w:val="24"/>
          <w:szCs w:val="24"/>
        </w:rPr>
        <w:t xml:space="preserve">di and Sgt Shaakumeni of 7 December 2016 authorised them to exercise any power under any law relating to the investigation of the crime (money laundering) and the obtaining of information in the course of an investigation, for the purposes of enabling the Prosecutor-General to institute and conduct proceedings in terms of </w:t>
      </w:r>
      <w:r w:rsidR="001A4CEA">
        <w:rPr>
          <w:rFonts w:ascii="Arial" w:hAnsi="Arial" w:cs="Arial"/>
          <w:sz w:val="24"/>
          <w:szCs w:val="24"/>
        </w:rPr>
        <w:t>C</w:t>
      </w:r>
      <w:r w:rsidRPr="00562B8B">
        <w:rPr>
          <w:rFonts w:ascii="Arial" w:hAnsi="Arial" w:cs="Arial"/>
          <w:sz w:val="24"/>
          <w:szCs w:val="24"/>
        </w:rPr>
        <w:t>hapter</w:t>
      </w:r>
      <w:r w:rsidR="00CE4B9C">
        <w:rPr>
          <w:rFonts w:ascii="Arial" w:hAnsi="Arial" w:cs="Arial"/>
          <w:sz w:val="24"/>
          <w:szCs w:val="24"/>
        </w:rPr>
        <w:t>s</w:t>
      </w:r>
      <w:r w:rsidRPr="00562B8B">
        <w:rPr>
          <w:rFonts w:ascii="Arial" w:hAnsi="Arial" w:cs="Arial"/>
          <w:sz w:val="24"/>
          <w:szCs w:val="24"/>
        </w:rPr>
        <w:t xml:space="preserve"> 5 and 6 of </w:t>
      </w:r>
      <w:r w:rsidR="00CE4B9C">
        <w:rPr>
          <w:rFonts w:ascii="Arial" w:hAnsi="Arial" w:cs="Arial"/>
          <w:sz w:val="24"/>
          <w:szCs w:val="24"/>
        </w:rPr>
        <w:t>the Act</w:t>
      </w:r>
      <w:r w:rsidRPr="00562B8B">
        <w:rPr>
          <w:rFonts w:ascii="Arial" w:hAnsi="Arial" w:cs="Arial"/>
          <w:sz w:val="24"/>
          <w:szCs w:val="24"/>
        </w:rPr>
        <w:t>.</w:t>
      </w:r>
    </w:p>
    <w:p w:rsidR="001A4CEA" w:rsidRDefault="001A4CEA" w:rsidP="008E516D">
      <w:pPr>
        <w:pStyle w:val="ListParagraph"/>
        <w:tabs>
          <w:tab w:val="left" w:pos="851"/>
        </w:tabs>
        <w:spacing w:after="0" w:line="480" w:lineRule="auto"/>
        <w:ind w:left="0"/>
        <w:jc w:val="both"/>
        <w:rPr>
          <w:rFonts w:ascii="Arial" w:hAnsi="Arial" w:cs="Arial"/>
          <w:sz w:val="24"/>
          <w:szCs w:val="24"/>
        </w:rPr>
      </w:pPr>
    </w:p>
    <w:p w:rsidR="0011108C" w:rsidRDefault="00332557" w:rsidP="001A4CEA">
      <w:pPr>
        <w:pStyle w:val="ListParagraph"/>
        <w:numPr>
          <w:ilvl w:val="0"/>
          <w:numId w:val="1"/>
        </w:numPr>
        <w:tabs>
          <w:tab w:val="left" w:pos="851"/>
        </w:tabs>
        <w:spacing w:after="0" w:line="480" w:lineRule="auto"/>
        <w:ind w:left="0" w:firstLine="0"/>
        <w:jc w:val="both"/>
        <w:rPr>
          <w:rFonts w:ascii="Arial" w:hAnsi="Arial" w:cs="Arial"/>
          <w:sz w:val="24"/>
          <w:szCs w:val="24"/>
        </w:rPr>
      </w:pPr>
      <w:r w:rsidRPr="001A4CEA">
        <w:rPr>
          <w:rFonts w:ascii="Arial" w:hAnsi="Arial" w:cs="Arial"/>
          <w:sz w:val="24"/>
          <w:szCs w:val="24"/>
        </w:rPr>
        <w:t>As the respondent</w:t>
      </w:r>
      <w:r w:rsidR="00CB44C8" w:rsidRPr="001A4CEA">
        <w:rPr>
          <w:rFonts w:ascii="Arial" w:hAnsi="Arial" w:cs="Arial"/>
          <w:sz w:val="24"/>
          <w:szCs w:val="24"/>
        </w:rPr>
        <w:t>s</w:t>
      </w:r>
      <w:r w:rsidRPr="001A4CEA">
        <w:rPr>
          <w:rFonts w:ascii="Arial" w:hAnsi="Arial" w:cs="Arial"/>
          <w:sz w:val="24"/>
          <w:szCs w:val="24"/>
        </w:rPr>
        <w:t xml:space="preserve"> contended, there </w:t>
      </w:r>
      <w:r w:rsidR="00497E6D" w:rsidRPr="001A4CEA">
        <w:rPr>
          <w:rFonts w:ascii="Arial" w:hAnsi="Arial" w:cs="Arial"/>
          <w:sz w:val="24"/>
          <w:szCs w:val="24"/>
        </w:rPr>
        <w:t>i</w:t>
      </w:r>
      <w:r w:rsidRPr="001A4CEA">
        <w:rPr>
          <w:rFonts w:ascii="Arial" w:hAnsi="Arial" w:cs="Arial"/>
          <w:sz w:val="24"/>
          <w:szCs w:val="24"/>
        </w:rPr>
        <w:t>s no new evidence, the second application is a repetition</w:t>
      </w:r>
      <w:r w:rsidR="0011108C" w:rsidRPr="001A4CEA">
        <w:rPr>
          <w:rFonts w:ascii="Arial" w:hAnsi="Arial" w:cs="Arial"/>
          <w:sz w:val="24"/>
          <w:szCs w:val="24"/>
        </w:rPr>
        <w:t xml:space="preserve"> of the information </w:t>
      </w:r>
      <w:r w:rsidR="00497E6D" w:rsidRPr="001A4CEA">
        <w:rPr>
          <w:rFonts w:ascii="Arial" w:hAnsi="Arial" w:cs="Arial"/>
          <w:sz w:val="24"/>
          <w:szCs w:val="24"/>
        </w:rPr>
        <w:t xml:space="preserve">in </w:t>
      </w:r>
      <w:r w:rsidR="0011108C" w:rsidRPr="001A4CEA">
        <w:rPr>
          <w:rFonts w:ascii="Arial" w:hAnsi="Arial" w:cs="Arial"/>
          <w:sz w:val="24"/>
          <w:szCs w:val="24"/>
        </w:rPr>
        <w:t>the first application, except that W/O Green supported the second application and Sgt Shaakumeni supported the first.</w:t>
      </w:r>
      <w:r w:rsidR="001A4CEA">
        <w:rPr>
          <w:rFonts w:ascii="Arial" w:hAnsi="Arial" w:cs="Arial"/>
          <w:sz w:val="24"/>
          <w:szCs w:val="24"/>
        </w:rPr>
        <w:t xml:space="preserve"> </w:t>
      </w:r>
      <w:r w:rsidR="004627B4" w:rsidRPr="001A4CEA">
        <w:rPr>
          <w:rFonts w:ascii="Arial" w:hAnsi="Arial" w:cs="Arial"/>
          <w:sz w:val="24"/>
          <w:szCs w:val="24"/>
        </w:rPr>
        <w:t>Therefore</w:t>
      </w:r>
      <w:r w:rsidR="00B2470A" w:rsidRPr="001A4CEA">
        <w:rPr>
          <w:rFonts w:ascii="Arial" w:hAnsi="Arial" w:cs="Arial"/>
          <w:sz w:val="24"/>
          <w:szCs w:val="24"/>
        </w:rPr>
        <w:t>,</w:t>
      </w:r>
      <w:r w:rsidR="00951B68" w:rsidRPr="001A4CEA">
        <w:rPr>
          <w:rFonts w:ascii="Arial" w:hAnsi="Arial" w:cs="Arial"/>
          <w:sz w:val="24"/>
          <w:szCs w:val="24"/>
        </w:rPr>
        <w:t xml:space="preserve"> </w:t>
      </w:r>
      <w:r w:rsidR="0011108C" w:rsidRPr="001A4CEA">
        <w:rPr>
          <w:rFonts w:ascii="Arial" w:hAnsi="Arial" w:cs="Arial"/>
          <w:sz w:val="24"/>
          <w:szCs w:val="24"/>
        </w:rPr>
        <w:t xml:space="preserve">the </w:t>
      </w:r>
      <w:r w:rsidR="00D42FA2" w:rsidRPr="001A4CEA">
        <w:rPr>
          <w:rFonts w:ascii="Arial" w:hAnsi="Arial" w:cs="Arial"/>
          <w:sz w:val="24"/>
          <w:szCs w:val="24"/>
        </w:rPr>
        <w:t>appellant</w:t>
      </w:r>
      <w:r w:rsidR="0011108C" w:rsidRPr="001A4CEA">
        <w:rPr>
          <w:rFonts w:ascii="Arial" w:hAnsi="Arial" w:cs="Arial"/>
          <w:sz w:val="24"/>
          <w:szCs w:val="24"/>
        </w:rPr>
        <w:t xml:space="preserve">’s argument </w:t>
      </w:r>
      <w:r w:rsidR="00951B68" w:rsidRPr="001A4CEA">
        <w:rPr>
          <w:rFonts w:ascii="Arial" w:hAnsi="Arial" w:cs="Arial"/>
          <w:sz w:val="24"/>
          <w:szCs w:val="24"/>
        </w:rPr>
        <w:t xml:space="preserve">on this point </w:t>
      </w:r>
      <w:r w:rsidR="0011108C" w:rsidRPr="001A4CEA">
        <w:rPr>
          <w:rFonts w:ascii="Arial" w:hAnsi="Arial" w:cs="Arial"/>
          <w:sz w:val="24"/>
          <w:szCs w:val="24"/>
        </w:rPr>
        <w:t>should also fail.</w:t>
      </w:r>
    </w:p>
    <w:p w:rsidR="001A4CEA" w:rsidRPr="001A4CEA" w:rsidRDefault="001A4CEA" w:rsidP="008E516D">
      <w:pPr>
        <w:pStyle w:val="ListParagraph"/>
        <w:spacing w:after="0" w:line="480" w:lineRule="auto"/>
        <w:jc w:val="both"/>
        <w:rPr>
          <w:rFonts w:ascii="Arial" w:hAnsi="Arial" w:cs="Arial"/>
          <w:sz w:val="24"/>
          <w:szCs w:val="24"/>
        </w:rPr>
      </w:pPr>
    </w:p>
    <w:p w:rsidR="00B21290" w:rsidRDefault="0011108C" w:rsidP="001A4CEA">
      <w:pPr>
        <w:pStyle w:val="ListParagraph"/>
        <w:numPr>
          <w:ilvl w:val="0"/>
          <w:numId w:val="1"/>
        </w:numPr>
        <w:tabs>
          <w:tab w:val="left" w:pos="851"/>
        </w:tabs>
        <w:spacing w:after="0" w:line="480" w:lineRule="auto"/>
        <w:ind w:left="0" w:firstLine="0"/>
        <w:jc w:val="both"/>
        <w:rPr>
          <w:rFonts w:ascii="Arial" w:hAnsi="Arial" w:cs="Arial"/>
          <w:sz w:val="24"/>
          <w:szCs w:val="24"/>
        </w:rPr>
      </w:pPr>
      <w:r w:rsidRPr="001A4CEA">
        <w:rPr>
          <w:rFonts w:ascii="Arial" w:hAnsi="Arial" w:cs="Arial"/>
          <w:sz w:val="24"/>
          <w:szCs w:val="24"/>
        </w:rPr>
        <w:t>The second application for the preservation of property order of 26 May 2017 was correctly set aside and I find no reason to consider the merits of the case.</w:t>
      </w:r>
    </w:p>
    <w:p w:rsidR="001A4CEA" w:rsidRPr="001A4CEA" w:rsidRDefault="001A4CEA" w:rsidP="008E516D">
      <w:pPr>
        <w:pStyle w:val="ListParagraph"/>
        <w:spacing w:after="0" w:line="480" w:lineRule="auto"/>
        <w:jc w:val="both"/>
        <w:rPr>
          <w:rFonts w:ascii="Arial" w:hAnsi="Arial" w:cs="Arial"/>
          <w:sz w:val="24"/>
          <w:szCs w:val="24"/>
        </w:rPr>
      </w:pPr>
    </w:p>
    <w:p w:rsidR="00497E6D" w:rsidRPr="001A4CEA" w:rsidRDefault="00497E6D" w:rsidP="001A4CEA">
      <w:pPr>
        <w:pStyle w:val="ListParagraph"/>
        <w:numPr>
          <w:ilvl w:val="0"/>
          <w:numId w:val="1"/>
        </w:numPr>
        <w:tabs>
          <w:tab w:val="left" w:pos="851"/>
        </w:tabs>
        <w:spacing w:after="0" w:line="480" w:lineRule="auto"/>
        <w:ind w:left="0" w:firstLine="0"/>
        <w:jc w:val="both"/>
        <w:rPr>
          <w:rFonts w:ascii="Arial" w:hAnsi="Arial" w:cs="Arial"/>
          <w:sz w:val="24"/>
          <w:szCs w:val="24"/>
        </w:rPr>
      </w:pPr>
      <w:r w:rsidRPr="001A4CEA">
        <w:rPr>
          <w:rFonts w:ascii="Arial" w:hAnsi="Arial" w:cs="Arial"/>
          <w:sz w:val="24"/>
          <w:szCs w:val="24"/>
        </w:rPr>
        <w:t>In the result I make the following order.</w:t>
      </w:r>
    </w:p>
    <w:p w:rsidR="00B21290" w:rsidRDefault="00B21290" w:rsidP="008E516D">
      <w:pPr>
        <w:pStyle w:val="ListParagraph"/>
        <w:tabs>
          <w:tab w:val="left" w:pos="851"/>
        </w:tabs>
        <w:spacing w:after="0" w:line="480" w:lineRule="auto"/>
        <w:ind w:left="851"/>
        <w:jc w:val="both"/>
        <w:rPr>
          <w:rFonts w:ascii="Arial" w:hAnsi="Arial" w:cs="Arial"/>
          <w:sz w:val="24"/>
          <w:szCs w:val="24"/>
        </w:rPr>
      </w:pPr>
    </w:p>
    <w:p w:rsidR="00A9567F" w:rsidRDefault="00497E6D" w:rsidP="00F83BF4">
      <w:pPr>
        <w:pStyle w:val="ListParagraph"/>
        <w:tabs>
          <w:tab w:val="left" w:pos="1418"/>
        </w:tabs>
        <w:spacing w:after="0" w:line="480" w:lineRule="auto"/>
        <w:ind w:left="1418"/>
        <w:jc w:val="both"/>
        <w:rPr>
          <w:rFonts w:ascii="Arial" w:hAnsi="Arial" w:cs="Arial"/>
          <w:sz w:val="24"/>
          <w:szCs w:val="24"/>
        </w:rPr>
      </w:pPr>
      <w:r>
        <w:rPr>
          <w:rFonts w:ascii="Arial" w:hAnsi="Arial" w:cs="Arial"/>
          <w:sz w:val="24"/>
          <w:szCs w:val="24"/>
        </w:rPr>
        <w:t>T</w:t>
      </w:r>
      <w:r w:rsidR="00CB44C8">
        <w:rPr>
          <w:rFonts w:ascii="Arial" w:hAnsi="Arial" w:cs="Arial"/>
          <w:sz w:val="24"/>
          <w:szCs w:val="24"/>
        </w:rPr>
        <w:t>he appeal is dismissed with costs, which include the costs of one instructing and two instructed counsel, where engaged.</w:t>
      </w:r>
    </w:p>
    <w:p w:rsidR="00A62583" w:rsidRDefault="00A62583" w:rsidP="007D275A">
      <w:pPr>
        <w:spacing w:after="0" w:line="240" w:lineRule="auto"/>
        <w:jc w:val="both"/>
        <w:rPr>
          <w:rFonts w:ascii="Arial" w:hAnsi="Arial" w:cs="Arial"/>
          <w:sz w:val="24"/>
          <w:szCs w:val="24"/>
        </w:rPr>
      </w:pPr>
    </w:p>
    <w:p w:rsidR="00550338" w:rsidRDefault="00550338" w:rsidP="007D275A">
      <w:pPr>
        <w:spacing w:after="0" w:line="240" w:lineRule="auto"/>
        <w:jc w:val="both"/>
        <w:rPr>
          <w:rFonts w:ascii="Arial" w:hAnsi="Arial" w:cs="Arial"/>
          <w:sz w:val="24"/>
          <w:szCs w:val="24"/>
        </w:rPr>
      </w:pPr>
    </w:p>
    <w:p w:rsidR="000F130E" w:rsidRDefault="000F130E" w:rsidP="007D275A">
      <w:pPr>
        <w:spacing w:after="0" w:line="240" w:lineRule="auto"/>
        <w:jc w:val="both"/>
        <w:rPr>
          <w:rFonts w:ascii="Arial" w:hAnsi="Arial" w:cs="Arial"/>
          <w:sz w:val="24"/>
          <w:szCs w:val="24"/>
        </w:rPr>
      </w:pPr>
    </w:p>
    <w:p w:rsidR="008E516D" w:rsidRDefault="008E516D" w:rsidP="007D275A">
      <w:pPr>
        <w:spacing w:after="0" w:line="240" w:lineRule="auto"/>
        <w:jc w:val="both"/>
        <w:rPr>
          <w:rFonts w:ascii="Arial" w:hAnsi="Arial" w:cs="Arial"/>
          <w:sz w:val="24"/>
          <w:szCs w:val="24"/>
        </w:rPr>
      </w:pPr>
    </w:p>
    <w:p w:rsidR="008E516D" w:rsidRDefault="008E516D" w:rsidP="00D36262">
      <w:pPr>
        <w:spacing w:after="0" w:line="240" w:lineRule="auto"/>
        <w:jc w:val="both"/>
        <w:rPr>
          <w:rFonts w:ascii="Arial" w:hAnsi="Arial" w:cs="Arial"/>
          <w:sz w:val="24"/>
          <w:szCs w:val="24"/>
        </w:rPr>
      </w:pPr>
    </w:p>
    <w:p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rsidR="00F36668" w:rsidRDefault="00F36668" w:rsidP="00D36262">
      <w:pPr>
        <w:spacing w:after="0" w:line="240" w:lineRule="auto"/>
        <w:jc w:val="both"/>
        <w:rPr>
          <w:rFonts w:ascii="Arial" w:hAnsi="Arial" w:cs="Arial"/>
          <w:sz w:val="24"/>
          <w:szCs w:val="24"/>
        </w:rPr>
      </w:pPr>
    </w:p>
    <w:p w:rsidR="005470DD" w:rsidRDefault="005470DD" w:rsidP="00D36262">
      <w:pPr>
        <w:spacing w:after="0" w:line="240" w:lineRule="auto"/>
        <w:jc w:val="both"/>
        <w:rPr>
          <w:rFonts w:ascii="Arial" w:hAnsi="Arial" w:cs="Arial"/>
          <w:sz w:val="24"/>
          <w:szCs w:val="24"/>
        </w:rPr>
      </w:pPr>
    </w:p>
    <w:p w:rsidR="001E3FC8" w:rsidRDefault="001E3FC8" w:rsidP="00D36262">
      <w:pPr>
        <w:spacing w:after="0" w:line="240" w:lineRule="auto"/>
        <w:jc w:val="both"/>
        <w:rPr>
          <w:rFonts w:ascii="Arial" w:hAnsi="Arial" w:cs="Arial"/>
          <w:sz w:val="24"/>
          <w:szCs w:val="24"/>
        </w:rPr>
      </w:pPr>
    </w:p>
    <w:p w:rsidR="008E516D" w:rsidRDefault="008E516D" w:rsidP="00D36262">
      <w:pPr>
        <w:spacing w:after="0" w:line="240" w:lineRule="auto"/>
        <w:jc w:val="both"/>
        <w:rPr>
          <w:rFonts w:ascii="Arial" w:hAnsi="Arial" w:cs="Arial"/>
          <w:sz w:val="24"/>
          <w:szCs w:val="24"/>
        </w:rPr>
      </w:pPr>
    </w:p>
    <w:p w:rsidR="008E516D" w:rsidRDefault="008E516D" w:rsidP="00D36262">
      <w:pPr>
        <w:spacing w:after="0" w:line="240" w:lineRule="auto"/>
        <w:jc w:val="both"/>
        <w:rPr>
          <w:rFonts w:ascii="Arial" w:hAnsi="Arial" w:cs="Arial"/>
          <w:sz w:val="24"/>
          <w:szCs w:val="24"/>
        </w:rPr>
      </w:pPr>
    </w:p>
    <w:p w:rsidR="008E516D" w:rsidRDefault="008E516D" w:rsidP="00D36262">
      <w:pPr>
        <w:spacing w:after="0" w:line="240" w:lineRule="auto"/>
        <w:jc w:val="both"/>
        <w:rPr>
          <w:rFonts w:ascii="Arial" w:hAnsi="Arial" w:cs="Arial"/>
          <w:sz w:val="24"/>
          <w:szCs w:val="24"/>
        </w:rPr>
      </w:pPr>
    </w:p>
    <w:p w:rsidR="008E516D" w:rsidRDefault="008E516D" w:rsidP="00D36262">
      <w:pPr>
        <w:spacing w:after="0" w:line="240" w:lineRule="auto"/>
        <w:jc w:val="both"/>
        <w:rPr>
          <w:rFonts w:ascii="Arial" w:hAnsi="Arial" w:cs="Arial"/>
          <w:sz w:val="24"/>
          <w:szCs w:val="24"/>
        </w:rPr>
      </w:pPr>
    </w:p>
    <w:p w:rsidR="008E144E" w:rsidRDefault="008E144E" w:rsidP="00D36262">
      <w:pPr>
        <w:spacing w:after="0" w:line="240" w:lineRule="auto"/>
        <w:jc w:val="both"/>
        <w:rPr>
          <w:rFonts w:ascii="Arial" w:hAnsi="Arial" w:cs="Arial"/>
          <w:sz w:val="24"/>
          <w:szCs w:val="24"/>
        </w:rPr>
      </w:pPr>
    </w:p>
    <w:p w:rsidR="008E144E" w:rsidRDefault="008E144E" w:rsidP="00D36262">
      <w:pPr>
        <w:spacing w:after="0" w:line="240" w:lineRule="auto"/>
        <w:jc w:val="both"/>
        <w:rPr>
          <w:rFonts w:ascii="Arial" w:hAnsi="Arial" w:cs="Arial"/>
          <w:sz w:val="24"/>
          <w:szCs w:val="24"/>
        </w:rPr>
      </w:pPr>
    </w:p>
    <w:p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rsidR="00B77F9B" w:rsidRDefault="00976492" w:rsidP="00D36262">
      <w:pPr>
        <w:spacing w:after="0" w:line="240" w:lineRule="auto"/>
        <w:jc w:val="both"/>
        <w:rPr>
          <w:rFonts w:ascii="Arial" w:hAnsi="Arial" w:cs="Arial"/>
          <w:b/>
          <w:sz w:val="24"/>
          <w:szCs w:val="24"/>
        </w:rPr>
      </w:pPr>
      <w:r>
        <w:rPr>
          <w:rFonts w:ascii="Arial" w:hAnsi="Arial" w:cs="Arial"/>
          <w:b/>
          <w:sz w:val="24"/>
          <w:szCs w:val="24"/>
        </w:rPr>
        <w:t>SHIVUTE CJ</w:t>
      </w:r>
    </w:p>
    <w:p w:rsidR="001E3FC8" w:rsidRDefault="001E3FC8" w:rsidP="00D36262">
      <w:pPr>
        <w:spacing w:after="0" w:line="240" w:lineRule="auto"/>
        <w:jc w:val="both"/>
        <w:rPr>
          <w:rFonts w:ascii="Arial" w:hAnsi="Arial" w:cs="Arial"/>
          <w:b/>
          <w:sz w:val="24"/>
          <w:szCs w:val="24"/>
        </w:rPr>
      </w:pPr>
    </w:p>
    <w:p w:rsidR="001E3FC8" w:rsidRDefault="001E3FC8" w:rsidP="00D36262">
      <w:pPr>
        <w:spacing w:after="0" w:line="240" w:lineRule="auto"/>
        <w:jc w:val="both"/>
        <w:rPr>
          <w:rFonts w:ascii="Arial" w:hAnsi="Arial" w:cs="Arial"/>
          <w:b/>
          <w:sz w:val="24"/>
          <w:szCs w:val="24"/>
        </w:rPr>
      </w:pPr>
    </w:p>
    <w:p w:rsidR="00A43E98" w:rsidRDefault="00A43E98" w:rsidP="00A43E98">
      <w:pPr>
        <w:spacing w:after="0" w:line="240" w:lineRule="auto"/>
        <w:jc w:val="both"/>
        <w:rPr>
          <w:rFonts w:ascii="Arial" w:hAnsi="Arial" w:cs="Arial"/>
          <w:sz w:val="24"/>
          <w:szCs w:val="24"/>
        </w:rPr>
      </w:pPr>
    </w:p>
    <w:p w:rsidR="00A43E98" w:rsidRDefault="00A43E98" w:rsidP="00A43E98">
      <w:pPr>
        <w:spacing w:after="0" w:line="240" w:lineRule="auto"/>
        <w:jc w:val="both"/>
        <w:rPr>
          <w:rFonts w:ascii="Arial" w:hAnsi="Arial" w:cs="Arial"/>
          <w:sz w:val="24"/>
          <w:szCs w:val="24"/>
        </w:rPr>
      </w:pPr>
    </w:p>
    <w:p w:rsidR="008E516D" w:rsidRDefault="008E516D" w:rsidP="00A43E98">
      <w:pPr>
        <w:spacing w:after="0" w:line="240" w:lineRule="auto"/>
        <w:jc w:val="both"/>
        <w:rPr>
          <w:rFonts w:ascii="Arial" w:hAnsi="Arial" w:cs="Arial"/>
          <w:sz w:val="24"/>
          <w:szCs w:val="24"/>
        </w:rPr>
      </w:pPr>
    </w:p>
    <w:p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rsidR="00A43E98" w:rsidRDefault="00976492" w:rsidP="00A43E98">
      <w:pPr>
        <w:spacing w:after="0" w:line="240" w:lineRule="auto"/>
        <w:jc w:val="both"/>
        <w:rPr>
          <w:rFonts w:ascii="Arial" w:hAnsi="Arial" w:cs="Arial"/>
          <w:b/>
          <w:sz w:val="24"/>
          <w:szCs w:val="24"/>
        </w:rPr>
      </w:pPr>
      <w:r>
        <w:rPr>
          <w:rFonts w:ascii="Arial" w:hAnsi="Arial" w:cs="Arial"/>
          <w:b/>
          <w:sz w:val="24"/>
          <w:szCs w:val="24"/>
        </w:rPr>
        <w:t>SMUTS JA</w:t>
      </w: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p w:rsidR="001A4CEA" w:rsidRDefault="001A4CEA" w:rsidP="00A43E98">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rsidTr="008E0490">
        <w:tc>
          <w:tcPr>
            <w:tcW w:w="4701" w:type="dxa"/>
            <w:shd w:val="clear" w:color="auto" w:fill="auto"/>
          </w:tcPr>
          <w:p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t>APPEARANCES:</w:t>
            </w:r>
          </w:p>
          <w:p w:rsidR="004169A7" w:rsidRPr="00500CF6" w:rsidRDefault="004169A7" w:rsidP="00500CF6">
            <w:pPr>
              <w:spacing w:after="0" w:line="480" w:lineRule="auto"/>
              <w:ind w:right="-146"/>
              <w:rPr>
                <w:rFonts w:ascii="Arial" w:hAnsi="Arial" w:cs="Arial"/>
                <w:sz w:val="24"/>
                <w:szCs w:val="24"/>
              </w:rPr>
            </w:pPr>
          </w:p>
          <w:p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rsidR="000C319E" w:rsidRPr="00500CF6" w:rsidRDefault="000C319E" w:rsidP="00500CF6">
            <w:pPr>
              <w:spacing w:after="0" w:line="480" w:lineRule="auto"/>
              <w:rPr>
                <w:rFonts w:ascii="Arial" w:hAnsi="Arial" w:cs="Arial"/>
                <w:sz w:val="24"/>
                <w:szCs w:val="24"/>
              </w:rPr>
            </w:pPr>
          </w:p>
          <w:p w:rsidR="004169A7" w:rsidRPr="00500CF6" w:rsidRDefault="004169A7" w:rsidP="00500CF6">
            <w:pPr>
              <w:spacing w:after="0" w:line="480" w:lineRule="auto"/>
              <w:rPr>
                <w:rFonts w:ascii="Arial" w:hAnsi="Arial" w:cs="Arial"/>
                <w:sz w:val="24"/>
                <w:szCs w:val="24"/>
              </w:rPr>
            </w:pPr>
          </w:p>
          <w:p w:rsidR="00B4276E" w:rsidRPr="00500CF6" w:rsidRDefault="00026E7F" w:rsidP="00485F5B">
            <w:pPr>
              <w:spacing w:after="0" w:line="480" w:lineRule="auto"/>
              <w:rPr>
                <w:rFonts w:ascii="Arial" w:hAnsi="Arial" w:cs="Arial"/>
                <w:sz w:val="24"/>
                <w:szCs w:val="24"/>
              </w:rPr>
            </w:pPr>
            <w:r>
              <w:rPr>
                <w:rFonts w:ascii="Arial" w:hAnsi="Arial" w:cs="Arial"/>
                <w:sz w:val="24"/>
                <w:szCs w:val="24"/>
              </w:rPr>
              <w:t>M</w:t>
            </w:r>
            <w:r w:rsidR="00485F5B">
              <w:rPr>
                <w:rFonts w:ascii="Arial" w:hAnsi="Arial" w:cs="Arial"/>
                <w:sz w:val="24"/>
                <w:szCs w:val="24"/>
              </w:rPr>
              <w:t xml:space="preserve"> G Boonzaier</w:t>
            </w:r>
            <w:r w:rsidR="007179FA">
              <w:rPr>
                <w:rFonts w:ascii="Arial" w:hAnsi="Arial" w:cs="Arial"/>
                <w:sz w:val="24"/>
                <w:szCs w:val="24"/>
              </w:rPr>
              <w:t xml:space="preserve"> </w:t>
            </w:r>
          </w:p>
        </w:tc>
      </w:tr>
      <w:tr w:rsidR="00B4276E" w:rsidRPr="00500CF6" w:rsidTr="008E0490">
        <w:tc>
          <w:tcPr>
            <w:tcW w:w="4701" w:type="dxa"/>
            <w:shd w:val="clear" w:color="auto" w:fill="auto"/>
          </w:tcPr>
          <w:p w:rsidR="00B4276E" w:rsidRPr="00500CF6" w:rsidRDefault="00B4276E" w:rsidP="00500CF6">
            <w:pPr>
              <w:spacing w:after="0" w:line="480" w:lineRule="auto"/>
              <w:rPr>
                <w:rFonts w:ascii="Arial" w:hAnsi="Arial" w:cs="Arial"/>
                <w:sz w:val="24"/>
                <w:szCs w:val="24"/>
              </w:rPr>
            </w:pPr>
          </w:p>
        </w:tc>
        <w:tc>
          <w:tcPr>
            <w:tcW w:w="4371" w:type="dxa"/>
            <w:shd w:val="clear" w:color="auto" w:fill="auto"/>
          </w:tcPr>
          <w:p w:rsidR="00B4276E" w:rsidRPr="00500CF6" w:rsidRDefault="00485F5B" w:rsidP="00485F5B">
            <w:pPr>
              <w:spacing w:after="0" w:line="480" w:lineRule="auto"/>
              <w:ind w:right="-818"/>
              <w:rPr>
                <w:rFonts w:ascii="Arial" w:hAnsi="Arial" w:cs="Arial"/>
                <w:sz w:val="24"/>
                <w:szCs w:val="24"/>
              </w:rPr>
            </w:pPr>
            <w:r>
              <w:rPr>
                <w:rFonts w:ascii="Arial" w:hAnsi="Arial" w:cs="Arial"/>
                <w:sz w:val="24"/>
                <w:szCs w:val="24"/>
              </w:rPr>
              <w:t>Of the Government Attorney</w:t>
            </w:r>
            <w:r w:rsidR="00B56278">
              <w:rPr>
                <w:rFonts w:ascii="Arial" w:hAnsi="Arial" w:cs="Arial"/>
                <w:sz w:val="24"/>
                <w:szCs w:val="24"/>
              </w:rPr>
              <w:t>, Windhoek</w:t>
            </w:r>
            <w:r w:rsidR="00026E7F">
              <w:rPr>
                <w:rFonts w:ascii="Arial" w:hAnsi="Arial" w:cs="Arial"/>
                <w:sz w:val="24"/>
                <w:szCs w:val="24"/>
              </w:rPr>
              <w:t xml:space="preserve"> </w:t>
            </w:r>
          </w:p>
        </w:tc>
      </w:tr>
      <w:tr w:rsidR="00573B8D" w:rsidRPr="00500CF6" w:rsidTr="008E0490">
        <w:tc>
          <w:tcPr>
            <w:tcW w:w="4701" w:type="dxa"/>
            <w:shd w:val="clear" w:color="auto" w:fill="auto"/>
          </w:tcPr>
          <w:p w:rsidR="004169A7" w:rsidRPr="00500CF6" w:rsidRDefault="004169A7" w:rsidP="00500CF6">
            <w:pPr>
              <w:spacing w:after="0" w:line="480" w:lineRule="auto"/>
              <w:rPr>
                <w:rFonts w:ascii="Arial" w:hAnsi="Arial" w:cs="Arial"/>
                <w:sz w:val="24"/>
                <w:szCs w:val="24"/>
              </w:rPr>
            </w:pPr>
          </w:p>
          <w:p w:rsidR="00573B8D" w:rsidRPr="00500CF6" w:rsidRDefault="00573B8D" w:rsidP="00500CF6">
            <w:pPr>
              <w:spacing w:after="0" w:line="480" w:lineRule="auto"/>
              <w:rPr>
                <w:rFonts w:ascii="Arial" w:hAnsi="Arial" w:cs="Arial"/>
                <w:sz w:val="24"/>
                <w:szCs w:val="24"/>
              </w:rPr>
            </w:pPr>
            <w:r w:rsidRPr="00500CF6">
              <w:rPr>
                <w:rFonts w:ascii="Arial" w:hAnsi="Arial" w:cs="Arial"/>
                <w:sz w:val="24"/>
                <w:szCs w:val="24"/>
              </w:rPr>
              <w:t>Respondent</w:t>
            </w:r>
            <w:r w:rsidR="004A3F2E">
              <w:rPr>
                <w:rFonts w:ascii="Arial" w:hAnsi="Arial" w:cs="Arial"/>
                <w:sz w:val="24"/>
                <w:szCs w:val="24"/>
              </w:rPr>
              <w:t>s</w:t>
            </w:r>
            <w:r w:rsidRPr="00500CF6">
              <w:rPr>
                <w:rFonts w:ascii="Arial" w:hAnsi="Arial" w:cs="Arial"/>
                <w:sz w:val="24"/>
                <w:szCs w:val="24"/>
              </w:rPr>
              <w:t>:</w:t>
            </w:r>
          </w:p>
        </w:tc>
        <w:tc>
          <w:tcPr>
            <w:tcW w:w="4371" w:type="dxa"/>
            <w:shd w:val="clear" w:color="auto" w:fill="auto"/>
          </w:tcPr>
          <w:p w:rsidR="004169A7" w:rsidRPr="00500CF6" w:rsidRDefault="004169A7" w:rsidP="00500CF6">
            <w:pPr>
              <w:spacing w:after="0" w:line="480" w:lineRule="auto"/>
              <w:rPr>
                <w:rFonts w:ascii="Arial" w:hAnsi="Arial" w:cs="Arial"/>
                <w:sz w:val="24"/>
                <w:szCs w:val="24"/>
              </w:rPr>
            </w:pPr>
          </w:p>
          <w:p w:rsidR="000F360F" w:rsidRPr="00500CF6" w:rsidRDefault="00CB44C8" w:rsidP="00485F5B">
            <w:pPr>
              <w:spacing w:after="0" w:line="480" w:lineRule="auto"/>
              <w:rPr>
                <w:rFonts w:ascii="Arial" w:hAnsi="Arial" w:cs="Arial"/>
                <w:sz w:val="24"/>
                <w:szCs w:val="24"/>
              </w:rPr>
            </w:pPr>
            <w:r>
              <w:rPr>
                <w:rFonts w:ascii="Arial" w:hAnsi="Arial" w:cs="Arial"/>
                <w:sz w:val="24"/>
                <w:szCs w:val="24"/>
              </w:rPr>
              <w:t xml:space="preserve">R Heathcote (with </w:t>
            </w:r>
            <w:r w:rsidR="00485F5B">
              <w:rPr>
                <w:rFonts w:ascii="Arial" w:hAnsi="Arial" w:cs="Arial"/>
                <w:sz w:val="24"/>
                <w:szCs w:val="24"/>
              </w:rPr>
              <w:t>S J Jacobs</w:t>
            </w:r>
            <w:r>
              <w:rPr>
                <w:rFonts w:ascii="Arial" w:hAnsi="Arial" w:cs="Arial"/>
                <w:sz w:val="24"/>
                <w:szCs w:val="24"/>
              </w:rPr>
              <w:t>)</w:t>
            </w:r>
          </w:p>
        </w:tc>
      </w:tr>
      <w:tr w:rsidR="00573B8D" w:rsidRPr="00500CF6" w:rsidTr="008E0490">
        <w:trPr>
          <w:trHeight w:val="328"/>
        </w:trPr>
        <w:tc>
          <w:tcPr>
            <w:tcW w:w="4701" w:type="dxa"/>
            <w:shd w:val="clear" w:color="auto" w:fill="auto"/>
          </w:tcPr>
          <w:p w:rsidR="00573B8D" w:rsidRPr="00500CF6" w:rsidRDefault="00573B8D" w:rsidP="00500CF6">
            <w:pPr>
              <w:spacing w:after="0" w:line="480" w:lineRule="auto"/>
              <w:rPr>
                <w:rFonts w:ascii="Arial" w:hAnsi="Arial" w:cs="Arial"/>
                <w:sz w:val="24"/>
                <w:szCs w:val="24"/>
              </w:rPr>
            </w:pPr>
          </w:p>
        </w:tc>
        <w:tc>
          <w:tcPr>
            <w:tcW w:w="4371" w:type="dxa"/>
            <w:shd w:val="clear" w:color="auto" w:fill="auto"/>
          </w:tcPr>
          <w:p w:rsidR="00573B8D" w:rsidRPr="00500CF6" w:rsidRDefault="008E0490" w:rsidP="00485F5B">
            <w:pPr>
              <w:spacing w:after="0" w:line="480" w:lineRule="auto"/>
              <w:rPr>
                <w:rFonts w:ascii="Arial" w:hAnsi="Arial" w:cs="Arial"/>
                <w:sz w:val="24"/>
                <w:szCs w:val="24"/>
              </w:rPr>
            </w:pPr>
            <w:r>
              <w:rPr>
                <w:rFonts w:ascii="Arial" w:hAnsi="Arial" w:cs="Arial"/>
                <w:sz w:val="24"/>
                <w:szCs w:val="24"/>
              </w:rPr>
              <w:t xml:space="preserve">Instructed by </w:t>
            </w:r>
            <w:r w:rsidR="00485F5B">
              <w:rPr>
                <w:rFonts w:ascii="Arial" w:hAnsi="Arial" w:cs="Arial"/>
                <w:sz w:val="24"/>
                <w:szCs w:val="24"/>
              </w:rPr>
              <w:t>Van der Merwe-Greeff Andima Inc.</w:t>
            </w:r>
            <w:r w:rsidR="00B56278">
              <w:rPr>
                <w:rFonts w:ascii="Arial" w:hAnsi="Arial" w:cs="Arial"/>
                <w:sz w:val="24"/>
                <w:szCs w:val="24"/>
              </w:rPr>
              <w:t>, Windhoek</w:t>
            </w:r>
            <w:r w:rsidR="00974EE1">
              <w:rPr>
                <w:rFonts w:ascii="Arial" w:hAnsi="Arial" w:cs="Arial"/>
                <w:sz w:val="24"/>
                <w:szCs w:val="24"/>
              </w:rPr>
              <w:t xml:space="preserve"> </w:t>
            </w:r>
          </w:p>
        </w:tc>
      </w:tr>
    </w:tbl>
    <w:p w:rsidR="00B266CC" w:rsidRDefault="00B266CC" w:rsidP="007D275A">
      <w:pPr>
        <w:spacing w:after="0" w:line="480" w:lineRule="auto"/>
        <w:jc w:val="both"/>
      </w:pPr>
    </w:p>
    <w:sectPr w:rsidR="00B266CC" w:rsidSect="00053E84">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C90" w:rsidRDefault="00983C90" w:rsidP="00F74879">
      <w:pPr>
        <w:spacing w:after="0" w:line="240" w:lineRule="auto"/>
      </w:pPr>
      <w:r>
        <w:separator/>
      </w:r>
    </w:p>
  </w:endnote>
  <w:endnote w:type="continuationSeparator" w:id="0">
    <w:p w:rsidR="00983C90" w:rsidRDefault="00983C90"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C90" w:rsidRDefault="00983C90" w:rsidP="00F74879">
      <w:pPr>
        <w:spacing w:after="0" w:line="240" w:lineRule="auto"/>
      </w:pPr>
      <w:r>
        <w:separator/>
      </w:r>
    </w:p>
  </w:footnote>
  <w:footnote w:type="continuationSeparator" w:id="0">
    <w:p w:rsidR="00983C90" w:rsidRDefault="00983C90" w:rsidP="00F74879">
      <w:pPr>
        <w:spacing w:after="0" w:line="240" w:lineRule="auto"/>
      </w:pPr>
      <w:r>
        <w:continuationSeparator/>
      </w:r>
    </w:p>
  </w:footnote>
  <w:footnote w:id="1">
    <w:p w:rsidR="006670E2" w:rsidRPr="00BC1B9A" w:rsidRDefault="006670E2" w:rsidP="00F95D70">
      <w:pPr>
        <w:pStyle w:val="FootnoteText"/>
        <w:jc w:val="both"/>
        <w:rPr>
          <w:rFonts w:ascii="Arial" w:hAnsi="Arial" w:cs="Arial"/>
          <w:lang w:val="en-ZA"/>
        </w:rPr>
      </w:pPr>
      <w:r w:rsidRPr="00BC1B9A">
        <w:rPr>
          <w:rStyle w:val="FootnoteReference"/>
          <w:rFonts w:ascii="Arial" w:hAnsi="Arial" w:cs="Arial"/>
        </w:rPr>
        <w:footnoteRef/>
      </w:r>
      <w:r w:rsidRPr="00BC1B9A">
        <w:rPr>
          <w:rFonts w:ascii="Arial" w:hAnsi="Arial" w:cs="Arial"/>
        </w:rPr>
        <w:t xml:space="preserve"> </w:t>
      </w:r>
      <w:r w:rsidRPr="00BE35EA">
        <w:rPr>
          <w:rFonts w:ascii="Arial" w:hAnsi="Arial" w:cs="Arial"/>
          <w:lang w:val="en-ZA"/>
        </w:rPr>
        <w:t>The judgment of Angula</w:t>
      </w:r>
      <w:r w:rsidRPr="00BC1B9A">
        <w:rPr>
          <w:rFonts w:ascii="Arial" w:hAnsi="Arial" w:cs="Arial"/>
          <w:lang w:val="en-ZA"/>
        </w:rPr>
        <w:t xml:space="preserve"> DJP is reported: </w:t>
      </w:r>
      <w:r w:rsidRPr="00BC1B9A">
        <w:rPr>
          <w:rFonts w:ascii="Arial" w:hAnsi="Arial" w:cs="Arial"/>
          <w:i/>
          <w:lang w:val="en-ZA"/>
        </w:rPr>
        <w:t>Atlantic Ocean Management Group (P</w:t>
      </w:r>
      <w:r>
        <w:rPr>
          <w:rFonts w:ascii="Arial" w:hAnsi="Arial" w:cs="Arial"/>
          <w:i/>
          <w:lang w:val="en-ZA"/>
        </w:rPr>
        <w:t>ty</w:t>
      </w:r>
      <w:r w:rsidRPr="00BC1B9A">
        <w:rPr>
          <w:rFonts w:ascii="Arial" w:hAnsi="Arial" w:cs="Arial"/>
          <w:i/>
          <w:lang w:val="en-ZA"/>
        </w:rPr>
        <w:t>) Ltd</w:t>
      </w:r>
      <w:r w:rsidRPr="00BC1B9A">
        <w:rPr>
          <w:rFonts w:ascii="Arial" w:hAnsi="Arial" w:cs="Arial"/>
          <w:lang w:val="en-ZA"/>
        </w:rPr>
        <w:t xml:space="preserve"> </w:t>
      </w:r>
      <w:r w:rsidR="007C0FAD">
        <w:rPr>
          <w:rFonts w:ascii="Arial" w:hAnsi="Arial" w:cs="Arial"/>
          <w:lang w:val="en-ZA"/>
        </w:rPr>
        <w:t>&amp;</w:t>
      </w:r>
      <w:r w:rsidRPr="009D13F4">
        <w:rPr>
          <w:rFonts w:ascii="Arial" w:hAnsi="Arial" w:cs="Arial"/>
          <w:i/>
          <w:lang w:val="en-ZA"/>
        </w:rPr>
        <w:t xml:space="preserve"> </w:t>
      </w:r>
      <w:r w:rsidRPr="00BC1B9A">
        <w:rPr>
          <w:rFonts w:ascii="Arial" w:hAnsi="Arial" w:cs="Arial"/>
          <w:i/>
          <w:lang w:val="en-ZA"/>
        </w:rPr>
        <w:t>another v Prosecutor</w:t>
      </w:r>
      <w:r>
        <w:rPr>
          <w:rFonts w:ascii="Arial" w:hAnsi="Arial" w:cs="Arial"/>
          <w:i/>
          <w:lang w:val="en-ZA"/>
        </w:rPr>
        <w:t>-</w:t>
      </w:r>
      <w:r w:rsidRPr="00BC1B9A">
        <w:rPr>
          <w:rFonts w:ascii="Arial" w:hAnsi="Arial" w:cs="Arial"/>
          <w:i/>
          <w:lang w:val="en-ZA"/>
        </w:rPr>
        <w:t>General</w:t>
      </w:r>
      <w:r w:rsidRPr="00BC1B9A">
        <w:rPr>
          <w:rFonts w:ascii="Arial" w:hAnsi="Arial" w:cs="Arial"/>
          <w:lang w:val="en-ZA"/>
        </w:rPr>
        <w:t xml:space="preserve"> 2017 (4) NR 939 (HC).</w:t>
      </w:r>
    </w:p>
  </w:footnote>
  <w:footnote w:id="2">
    <w:p w:rsidR="006670E2" w:rsidRPr="00BC1B9A" w:rsidRDefault="006670E2" w:rsidP="007E29CF">
      <w:pPr>
        <w:pStyle w:val="FootnoteText"/>
        <w:jc w:val="both"/>
        <w:rPr>
          <w:rFonts w:ascii="Arial" w:hAnsi="Arial" w:cs="Arial"/>
          <w:sz w:val="22"/>
          <w:szCs w:val="22"/>
          <w:lang w:val="en-ZA"/>
        </w:rPr>
      </w:pPr>
      <w:r w:rsidRPr="00BC1B9A">
        <w:rPr>
          <w:rStyle w:val="FootnoteReference"/>
          <w:rFonts w:ascii="Arial" w:hAnsi="Arial" w:cs="Arial"/>
        </w:rPr>
        <w:footnoteRef/>
      </w:r>
      <w:r w:rsidRPr="00BC1B9A">
        <w:rPr>
          <w:rFonts w:ascii="Arial" w:hAnsi="Arial" w:cs="Arial"/>
        </w:rPr>
        <w:t xml:space="preserve"> Section 52(4) provides that a person who has been served with a preservation order is required to serve the appellant with notice to oppose within 21 days from date of service of the preservation of property order. The notice must </w:t>
      </w:r>
      <w:r w:rsidRPr="00BC1B9A">
        <w:rPr>
          <w:rFonts w:ascii="Arial" w:hAnsi="Arial" w:cs="Arial"/>
          <w:i/>
        </w:rPr>
        <w:t xml:space="preserve">inter alia </w:t>
      </w:r>
      <w:r w:rsidRPr="00BC1B9A">
        <w:rPr>
          <w:rFonts w:ascii="Arial" w:hAnsi="Arial" w:cs="Arial"/>
        </w:rPr>
        <w:t>contain a chosen address for delivery of further documents concerning further proceedings; the person must in addition indicate whether he/she intends to oppose the making of the order or varying the operation of the order in respect of the property.</w:t>
      </w:r>
    </w:p>
  </w:footnote>
  <w:footnote w:id="3">
    <w:p w:rsidR="006670E2" w:rsidRDefault="006670E2" w:rsidP="00F705AB">
      <w:pPr>
        <w:pStyle w:val="FootnoteText"/>
        <w:jc w:val="both"/>
        <w:rPr>
          <w:rFonts w:ascii="Arial" w:hAnsi="Arial" w:cs="Arial"/>
          <w:lang w:val="en-ZA"/>
        </w:rPr>
      </w:pPr>
      <w:r w:rsidRPr="007C0FAD">
        <w:rPr>
          <w:rStyle w:val="FootnoteReference"/>
          <w:rFonts w:ascii="Arial" w:hAnsi="Arial" w:cs="Arial"/>
        </w:rPr>
        <w:footnoteRef/>
      </w:r>
      <w:r w:rsidRPr="007C0FAD">
        <w:rPr>
          <w:rFonts w:ascii="Arial" w:hAnsi="Arial" w:cs="Arial"/>
        </w:rPr>
        <w:t xml:space="preserve"> </w:t>
      </w:r>
      <w:r>
        <w:rPr>
          <w:rFonts w:ascii="Arial" w:hAnsi="Arial" w:cs="Arial"/>
          <w:lang w:val="en-ZA"/>
        </w:rPr>
        <w:t>Regulation 4(6) provides that: ‘Any person claiming to have an interest in property the subject of a preservation of property order made pursuant to section 51 of the Act and who wishes-</w:t>
      </w:r>
    </w:p>
    <w:p w:rsidR="006670E2" w:rsidRDefault="006670E2" w:rsidP="000D004C">
      <w:pPr>
        <w:pStyle w:val="FootnoteText"/>
        <w:numPr>
          <w:ilvl w:val="0"/>
          <w:numId w:val="13"/>
        </w:numPr>
        <w:jc w:val="both"/>
        <w:rPr>
          <w:rFonts w:ascii="Arial" w:hAnsi="Arial" w:cs="Arial"/>
          <w:lang w:val="en-ZA"/>
        </w:rPr>
      </w:pPr>
      <w:r>
        <w:rPr>
          <w:rFonts w:ascii="Arial" w:hAnsi="Arial" w:cs="Arial"/>
          <w:lang w:val="en-ZA"/>
        </w:rPr>
        <w:t>to oppose the making of a forfeiture order over the property in which they claim an interest; or</w:t>
      </w:r>
    </w:p>
    <w:p w:rsidR="006670E2" w:rsidRPr="00F705AB" w:rsidRDefault="006670E2" w:rsidP="000D004C">
      <w:pPr>
        <w:pStyle w:val="FootnoteText"/>
        <w:numPr>
          <w:ilvl w:val="0"/>
          <w:numId w:val="13"/>
        </w:numPr>
        <w:jc w:val="both"/>
        <w:rPr>
          <w:rFonts w:ascii="Arial" w:hAnsi="Arial" w:cs="Arial"/>
          <w:lang w:val="en-ZA"/>
        </w:rPr>
      </w:pPr>
      <w:r>
        <w:rPr>
          <w:rFonts w:ascii="Arial" w:hAnsi="Arial" w:cs="Arial"/>
          <w:lang w:val="en-ZA"/>
        </w:rPr>
        <w:t>to apply for an order to exclude that property from the operation of the preservation order, must serve a notice that substantially corresponds to Form 6 of the Annexure upon the Prosecutor-General in accordance with section 52(4) and (5) of the Act.’</w:t>
      </w:r>
    </w:p>
  </w:footnote>
  <w:footnote w:id="4">
    <w:p w:rsidR="006670E2" w:rsidRPr="00BC1B9A" w:rsidRDefault="006670E2" w:rsidP="00E952F3">
      <w:pPr>
        <w:pStyle w:val="FootnoteText"/>
        <w:jc w:val="both"/>
        <w:rPr>
          <w:rFonts w:ascii="Arial" w:hAnsi="Arial" w:cs="Arial"/>
          <w:lang w:val="en-ZA"/>
        </w:rPr>
      </w:pPr>
      <w:r w:rsidRPr="00BC1B9A">
        <w:rPr>
          <w:rStyle w:val="FootnoteReference"/>
          <w:rFonts w:ascii="Arial" w:hAnsi="Arial" w:cs="Arial"/>
        </w:rPr>
        <w:footnoteRef/>
      </w:r>
      <w:r w:rsidRPr="00BC1B9A">
        <w:rPr>
          <w:rFonts w:ascii="Arial" w:hAnsi="Arial" w:cs="Arial"/>
        </w:rPr>
        <w:t xml:space="preserve"> </w:t>
      </w:r>
      <w:r w:rsidRPr="00BC1B9A">
        <w:rPr>
          <w:rFonts w:ascii="Arial" w:hAnsi="Arial" w:cs="Arial"/>
          <w:lang w:val="en-ZA"/>
        </w:rPr>
        <w:t>2015 (3) NR 886 (SC).</w:t>
      </w:r>
    </w:p>
  </w:footnote>
  <w:footnote w:id="5">
    <w:p w:rsidR="006670E2" w:rsidRPr="00BC1B9A" w:rsidRDefault="006670E2" w:rsidP="006B2FFC">
      <w:pPr>
        <w:pStyle w:val="FootnoteText"/>
        <w:jc w:val="both"/>
        <w:rPr>
          <w:rFonts w:ascii="Arial" w:hAnsi="Arial" w:cs="Arial"/>
          <w:lang w:val="en-ZA"/>
        </w:rPr>
      </w:pPr>
      <w:r w:rsidRPr="00BC1B9A">
        <w:rPr>
          <w:rStyle w:val="FootnoteReference"/>
          <w:rFonts w:ascii="Arial" w:hAnsi="Arial" w:cs="Arial"/>
        </w:rPr>
        <w:footnoteRef/>
      </w:r>
      <w:r w:rsidRPr="00BC1B9A">
        <w:rPr>
          <w:rFonts w:ascii="Arial" w:hAnsi="Arial" w:cs="Arial"/>
        </w:rPr>
        <w:t xml:space="preserve"> 2010 (1) NR 156 (HC) at 159I-160A, para 4, the High Court, per Damaseb JP referred with approval to the South African Supreme Court of Appeal in the matter of </w:t>
      </w:r>
      <w:r w:rsidRPr="00BC1B9A">
        <w:rPr>
          <w:rFonts w:ascii="Arial" w:hAnsi="Arial" w:cs="Arial"/>
          <w:i/>
        </w:rPr>
        <w:t>Pretoria Portland Cement Co Ltd and another v Competition</w:t>
      </w:r>
      <w:r w:rsidRPr="00BC1B9A">
        <w:rPr>
          <w:rFonts w:ascii="Arial" w:hAnsi="Arial" w:cs="Arial"/>
        </w:rPr>
        <w:t xml:space="preserve"> </w:t>
      </w:r>
      <w:r w:rsidRPr="00BC1B9A">
        <w:rPr>
          <w:rFonts w:ascii="Arial" w:hAnsi="Arial" w:cs="Arial"/>
          <w:i/>
        </w:rPr>
        <w:t xml:space="preserve">Commission </w:t>
      </w:r>
      <w:r w:rsidR="007C0FAD">
        <w:rPr>
          <w:rFonts w:ascii="Arial" w:hAnsi="Arial" w:cs="Arial"/>
          <w:i/>
        </w:rPr>
        <w:t>&amp;</w:t>
      </w:r>
      <w:r w:rsidRPr="00BC1B9A">
        <w:rPr>
          <w:rFonts w:ascii="Arial" w:hAnsi="Arial" w:cs="Arial"/>
          <w:i/>
        </w:rPr>
        <w:t xml:space="preserve"> others</w:t>
      </w:r>
      <w:r w:rsidRPr="00BC1B9A">
        <w:rPr>
          <w:rFonts w:ascii="Arial" w:hAnsi="Arial" w:cs="Arial"/>
        </w:rPr>
        <w:t xml:space="preserve"> 2003 (2) SA 385 (SCA) at 404B where it was stated: </w:t>
      </w:r>
      <w:r>
        <w:rPr>
          <w:rFonts w:ascii="Arial" w:hAnsi="Arial" w:cs="Arial"/>
        </w:rPr>
        <w:t>‘</w:t>
      </w:r>
      <w:r w:rsidRPr="00BC1B9A">
        <w:rPr>
          <w:rFonts w:ascii="Arial" w:hAnsi="Arial" w:cs="Arial"/>
        </w:rPr>
        <w:t xml:space="preserve">. . . an order granted </w:t>
      </w:r>
      <w:r w:rsidRPr="001E0EAC">
        <w:rPr>
          <w:rFonts w:ascii="Arial" w:hAnsi="Arial" w:cs="Arial"/>
          <w:i/>
        </w:rPr>
        <w:t>ex parte</w:t>
      </w:r>
      <w:r w:rsidRPr="00BC1B9A">
        <w:rPr>
          <w:rFonts w:ascii="Arial" w:hAnsi="Arial" w:cs="Arial"/>
        </w:rPr>
        <w:t xml:space="preserve"> is by its nature provisional, irrespective of the form it takes</w:t>
      </w:r>
      <w:r>
        <w:rPr>
          <w:rFonts w:ascii="Arial" w:hAnsi="Arial" w:cs="Arial"/>
        </w:rPr>
        <w:t>.</w:t>
      </w:r>
      <w:r w:rsidRPr="00BC1B9A">
        <w:rPr>
          <w:rFonts w:ascii="Arial" w:hAnsi="Arial" w:cs="Arial"/>
        </w:rPr>
        <w:t xml:space="preserve"> </w:t>
      </w:r>
      <w:r>
        <w:rPr>
          <w:rFonts w:ascii="Arial" w:hAnsi="Arial" w:cs="Arial"/>
        </w:rPr>
        <w:t>O</w:t>
      </w:r>
      <w:r w:rsidRPr="00BC1B9A">
        <w:rPr>
          <w:rFonts w:ascii="Arial" w:hAnsi="Arial" w:cs="Arial"/>
        </w:rPr>
        <w:t>nce it is contested and the matter is reconsidered by a court, the plaintiff is in no better position in other respects than he was when the order was first sought.</w:t>
      </w:r>
      <w:r>
        <w:rPr>
          <w:rFonts w:ascii="Arial" w:hAnsi="Arial" w:cs="Arial"/>
        </w:rPr>
        <w:t>’</w:t>
      </w:r>
      <w:r w:rsidRPr="00BC1B9A">
        <w:rPr>
          <w:rFonts w:ascii="Arial" w:hAnsi="Arial" w:cs="Arial"/>
        </w:rPr>
        <w:t xml:space="preserve"> See also </w:t>
      </w:r>
      <w:r w:rsidRPr="00BC1B9A">
        <w:rPr>
          <w:rFonts w:ascii="Arial" w:hAnsi="Arial" w:cs="Arial"/>
          <w:i/>
        </w:rPr>
        <w:t>Ghomeshi-Bo</w:t>
      </w:r>
      <w:r>
        <w:rPr>
          <w:rFonts w:ascii="Arial" w:hAnsi="Arial" w:cs="Arial"/>
          <w:i/>
        </w:rPr>
        <w:t>z</w:t>
      </w:r>
      <w:r w:rsidRPr="00BC1B9A">
        <w:rPr>
          <w:rFonts w:ascii="Arial" w:hAnsi="Arial" w:cs="Arial"/>
          <w:i/>
        </w:rPr>
        <w:t>org v Yousef</w:t>
      </w:r>
      <w:r>
        <w:rPr>
          <w:rFonts w:ascii="Arial" w:hAnsi="Arial" w:cs="Arial"/>
          <w:i/>
        </w:rPr>
        <w:t>i</w:t>
      </w:r>
      <w:r w:rsidRPr="00BC1B9A">
        <w:rPr>
          <w:rFonts w:ascii="Arial" w:hAnsi="Arial" w:cs="Arial"/>
        </w:rPr>
        <w:t>: 1998 (1) SA 69</w:t>
      </w:r>
      <w:r>
        <w:rPr>
          <w:rFonts w:ascii="Arial" w:hAnsi="Arial" w:cs="Arial"/>
        </w:rPr>
        <w:t>2 (W) at 696</w:t>
      </w:r>
      <w:r w:rsidRPr="00BC1B9A">
        <w:rPr>
          <w:rFonts w:ascii="Arial" w:hAnsi="Arial" w:cs="Arial"/>
        </w:rPr>
        <w:t>D-E.</w:t>
      </w:r>
    </w:p>
  </w:footnote>
  <w:footnote w:id="6">
    <w:p w:rsidR="006670E2" w:rsidRPr="00BC1B9A" w:rsidRDefault="006670E2" w:rsidP="007B6873">
      <w:pPr>
        <w:pStyle w:val="FootnoteText"/>
        <w:jc w:val="both"/>
        <w:rPr>
          <w:rFonts w:ascii="Arial" w:hAnsi="Arial" w:cs="Arial"/>
          <w:lang w:val="en-ZA"/>
        </w:rPr>
      </w:pPr>
      <w:r w:rsidRPr="00BC1B9A">
        <w:rPr>
          <w:rStyle w:val="FootnoteReference"/>
          <w:rFonts w:ascii="Arial" w:hAnsi="Arial" w:cs="Arial"/>
        </w:rPr>
        <w:footnoteRef/>
      </w:r>
      <w:r w:rsidRPr="00BC1B9A">
        <w:rPr>
          <w:rFonts w:ascii="Arial" w:hAnsi="Arial" w:cs="Arial"/>
        </w:rPr>
        <w:t xml:space="preserve"> 2013 (3) NR 613 HC, at 626 D, para 36, where it was said, ‘But even in the absence of a rule </w:t>
      </w:r>
      <w:r w:rsidRPr="00735392">
        <w:rPr>
          <w:rFonts w:ascii="Arial" w:hAnsi="Arial" w:cs="Arial"/>
          <w:i/>
        </w:rPr>
        <w:t>nisi</w:t>
      </w:r>
      <w:r w:rsidRPr="00BC1B9A">
        <w:rPr>
          <w:rFonts w:ascii="Arial" w:hAnsi="Arial" w:cs="Arial"/>
        </w:rPr>
        <w:t xml:space="preserve">, . . . an order granted </w:t>
      </w:r>
      <w:r w:rsidRPr="00735392">
        <w:rPr>
          <w:rFonts w:ascii="Arial" w:hAnsi="Arial" w:cs="Arial"/>
          <w:i/>
        </w:rPr>
        <w:t>ex parte</w:t>
      </w:r>
      <w:r w:rsidRPr="00BC1B9A">
        <w:rPr>
          <w:rFonts w:ascii="Arial" w:hAnsi="Arial" w:cs="Arial"/>
        </w:rPr>
        <w:t xml:space="preserve"> is in, any event provisional and subject to being set aside on application by a party affected by it.’</w:t>
      </w:r>
    </w:p>
  </w:footnote>
  <w:footnote w:id="7">
    <w:p w:rsidR="006670E2" w:rsidRPr="00BC1B9A" w:rsidRDefault="006670E2" w:rsidP="0065090F">
      <w:pPr>
        <w:pStyle w:val="FootnoteText"/>
        <w:jc w:val="both"/>
        <w:rPr>
          <w:rFonts w:ascii="Arial" w:hAnsi="Arial" w:cs="Arial"/>
          <w:lang w:val="en-ZA"/>
        </w:rPr>
      </w:pPr>
      <w:r w:rsidRPr="00BC1B9A">
        <w:rPr>
          <w:rStyle w:val="FootnoteReference"/>
          <w:rFonts w:ascii="Arial" w:hAnsi="Arial" w:cs="Arial"/>
        </w:rPr>
        <w:footnoteRef/>
      </w:r>
      <w:r w:rsidRPr="00BC1B9A">
        <w:rPr>
          <w:rFonts w:ascii="Arial" w:hAnsi="Arial" w:cs="Arial"/>
        </w:rPr>
        <w:t xml:space="preserve"> </w:t>
      </w:r>
      <w:r>
        <w:rPr>
          <w:rFonts w:ascii="Arial" w:hAnsi="Arial" w:cs="Arial"/>
        </w:rPr>
        <w:t xml:space="preserve">2007 </w:t>
      </w:r>
      <w:r w:rsidRPr="00BC1B9A">
        <w:rPr>
          <w:rFonts w:ascii="Arial" w:hAnsi="Arial" w:cs="Arial"/>
        </w:rPr>
        <w:t>(1) SA 189 (CPD)</w:t>
      </w:r>
      <w:r>
        <w:rPr>
          <w:rFonts w:ascii="Arial" w:hAnsi="Arial" w:cs="Arial"/>
        </w:rPr>
        <w:t xml:space="preserve"> at 195I</w:t>
      </w:r>
      <w:r w:rsidRPr="00BC1B9A">
        <w:rPr>
          <w:rFonts w:ascii="Arial" w:hAnsi="Arial" w:cs="Arial"/>
        </w:rPr>
        <w:t xml:space="preserve"> where an argument was made in </w:t>
      </w:r>
      <w:r w:rsidRPr="00BC1B9A">
        <w:rPr>
          <w:rFonts w:ascii="Arial" w:hAnsi="Arial" w:cs="Arial"/>
          <w:i/>
        </w:rPr>
        <w:t>limine</w:t>
      </w:r>
      <w:r w:rsidRPr="00BC1B9A">
        <w:rPr>
          <w:rFonts w:ascii="Arial" w:hAnsi="Arial" w:cs="Arial"/>
        </w:rPr>
        <w:t xml:space="preserve"> that </w:t>
      </w:r>
      <w:r>
        <w:rPr>
          <w:rFonts w:ascii="Arial" w:hAnsi="Arial" w:cs="Arial"/>
        </w:rPr>
        <w:t>r</w:t>
      </w:r>
      <w:r w:rsidRPr="00BC1B9A">
        <w:rPr>
          <w:rFonts w:ascii="Arial" w:hAnsi="Arial" w:cs="Arial"/>
        </w:rPr>
        <w:t>ule 6(12)(</w:t>
      </w:r>
      <w:r w:rsidRPr="0037759E">
        <w:rPr>
          <w:rFonts w:ascii="Arial" w:hAnsi="Arial" w:cs="Arial"/>
          <w:i/>
        </w:rPr>
        <w:t>c</w:t>
      </w:r>
      <w:r w:rsidRPr="00BC1B9A">
        <w:rPr>
          <w:rFonts w:ascii="Arial" w:hAnsi="Arial" w:cs="Arial"/>
        </w:rPr>
        <w:t>) cannot apply in an application made in terms of s 38(2) of POCA was rejected the court holding that ‘I do not believe that the powers granted in the Act in any way limit a courts</w:t>
      </w:r>
      <w:r>
        <w:rPr>
          <w:rFonts w:ascii="Arial" w:hAnsi="Arial" w:cs="Arial"/>
        </w:rPr>
        <w:t>’</w:t>
      </w:r>
      <w:r w:rsidRPr="00BC1B9A">
        <w:rPr>
          <w:rFonts w:ascii="Arial" w:hAnsi="Arial" w:cs="Arial"/>
        </w:rPr>
        <w:t xml:space="preserve"> jurisdiction to invoke the provisions of Rule 6(12)(</w:t>
      </w:r>
      <w:r w:rsidRPr="0037759E">
        <w:rPr>
          <w:rFonts w:ascii="Arial" w:hAnsi="Arial" w:cs="Arial"/>
          <w:i/>
        </w:rPr>
        <w:t>c</w:t>
      </w:r>
      <w:r w:rsidRPr="00BC1B9A">
        <w:rPr>
          <w:rFonts w:ascii="Arial" w:hAnsi="Arial" w:cs="Arial"/>
        </w:rPr>
        <w:t xml:space="preserve">). To do so would open the door to abuse of the right to approach the court </w:t>
      </w:r>
      <w:r w:rsidRPr="00BC1B9A">
        <w:rPr>
          <w:rFonts w:ascii="Arial" w:hAnsi="Arial" w:cs="Arial"/>
          <w:i/>
        </w:rPr>
        <w:t>ex parte</w:t>
      </w:r>
      <w:r w:rsidRPr="00BC1B9A">
        <w:rPr>
          <w:rFonts w:ascii="Arial" w:hAnsi="Arial" w:cs="Arial"/>
        </w:rPr>
        <w:t xml:space="preserve"> and would undermine the </w:t>
      </w:r>
      <w:r w:rsidRPr="00BC1B9A">
        <w:rPr>
          <w:rFonts w:ascii="Arial" w:hAnsi="Arial" w:cs="Arial"/>
          <w:i/>
        </w:rPr>
        <w:t>uberrima fides rule</w:t>
      </w:r>
      <w:r>
        <w:rPr>
          <w:rFonts w:ascii="Arial" w:hAnsi="Arial" w:cs="Arial"/>
          <w:i/>
        </w:rPr>
        <w:t>’</w:t>
      </w:r>
      <w:r w:rsidRPr="00BC1B9A">
        <w:rPr>
          <w:rFonts w:ascii="Arial" w:hAnsi="Arial" w:cs="Arial"/>
        </w:rPr>
        <w:t xml:space="preserve">. </w:t>
      </w:r>
    </w:p>
  </w:footnote>
  <w:footnote w:id="8">
    <w:p w:rsidR="006670E2" w:rsidRPr="00BC1B9A" w:rsidRDefault="006670E2" w:rsidP="00F66030">
      <w:pPr>
        <w:pStyle w:val="FootnoteText"/>
        <w:jc w:val="both"/>
        <w:rPr>
          <w:rFonts w:ascii="Arial" w:hAnsi="Arial" w:cs="Arial"/>
          <w:lang w:val="en-ZA"/>
        </w:rPr>
      </w:pPr>
      <w:r w:rsidRPr="00BC1B9A">
        <w:rPr>
          <w:rStyle w:val="FootnoteReference"/>
          <w:rFonts w:ascii="Arial" w:hAnsi="Arial" w:cs="Arial"/>
        </w:rPr>
        <w:footnoteRef/>
      </w:r>
      <w:r w:rsidRPr="00BC1B9A">
        <w:rPr>
          <w:rFonts w:ascii="Arial" w:hAnsi="Arial" w:cs="Arial"/>
        </w:rPr>
        <w:t xml:space="preserve"> Rule 6(12)(</w:t>
      </w:r>
      <w:r w:rsidRPr="001E0EAC">
        <w:rPr>
          <w:rFonts w:ascii="Arial" w:hAnsi="Arial" w:cs="Arial"/>
        </w:rPr>
        <w:t>c</w:t>
      </w:r>
      <w:r w:rsidRPr="00BC1B9A">
        <w:rPr>
          <w:rFonts w:ascii="Arial" w:hAnsi="Arial" w:cs="Arial"/>
        </w:rPr>
        <w:t xml:space="preserve">) of the Uniform Rules of South Africa provides that ‘a person against whom an order was granted in his absence in an urgent application may by notice set down the matter for reconsideration of the order’. </w:t>
      </w:r>
    </w:p>
  </w:footnote>
  <w:footnote w:id="9">
    <w:p w:rsidR="006670E2" w:rsidRPr="00BC1B9A" w:rsidRDefault="006670E2" w:rsidP="00231D2C">
      <w:pPr>
        <w:pStyle w:val="FootnoteText"/>
        <w:jc w:val="both"/>
        <w:rPr>
          <w:rFonts w:ascii="Arial" w:hAnsi="Arial" w:cs="Arial"/>
          <w:lang w:val="en-ZA"/>
        </w:rPr>
      </w:pPr>
      <w:r w:rsidRPr="00BC1B9A">
        <w:rPr>
          <w:rStyle w:val="FootnoteReference"/>
          <w:rFonts w:ascii="Arial" w:hAnsi="Arial" w:cs="Arial"/>
        </w:rPr>
        <w:footnoteRef/>
      </w:r>
      <w:r w:rsidRPr="00BC1B9A">
        <w:rPr>
          <w:rFonts w:ascii="Arial" w:hAnsi="Arial" w:cs="Arial"/>
        </w:rPr>
        <w:t xml:space="preserve"> </w:t>
      </w:r>
      <w:r>
        <w:rPr>
          <w:rFonts w:ascii="Arial" w:hAnsi="Arial" w:cs="Arial"/>
        </w:rPr>
        <w:t xml:space="preserve">Rule 72(7) of the High Court provides that </w:t>
      </w:r>
      <w:r w:rsidRPr="00BC1B9A">
        <w:rPr>
          <w:rFonts w:ascii="Arial" w:hAnsi="Arial" w:cs="Arial"/>
        </w:rPr>
        <w:t>‘</w:t>
      </w:r>
      <w:r>
        <w:rPr>
          <w:rFonts w:ascii="Arial" w:hAnsi="Arial" w:cs="Arial"/>
        </w:rPr>
        <w:t>a</w:t>
      </w:r>
      <w:r w:rsidRPr="00BC1B9A">
        <w:rPr>
          <w:rFonts w:ascii="Arial" w:hAnsi="Arial" w:cs="Arial"/>
        </w:rPr>
        <w:t xml:space="preserve">ny person against whom an order is granted </w:t>
      </w:r>
      <w:r w:rsidRPr="00BC1B9A">
        <w:rPr>
          <w:rFonts w:ascii="Arial" w:hAnsi="Arial" w:cs="Arial"/>
          <w:i/>
        </w:rPr>
        <w:t xml:space="preserve">ex parte </w:t>
      </w:r>
      <w:r w:rsidRPr="00BC1B9A">
        <w:rPr>
          <w:rFonts w:ascii="Arial" w:hAnsi="Arial" w:cs="Arial"/>
        </w:rPr>
        <w:t>may anticipate the return day on delivery of not less than 24 hours’ notice</w:t>
      </w:r>
      <w:r>
        <w:rPr>
          <w:rFonts w:ascii="Arial" w:hAnsi="Arial" w:cs="Arial"/>
        </w:rPr>
        <w:t>’</w:t>
      </w:r>
      <w:r w:rsidRPr="00BC1B9A">
        <w:rPr>
          <w:rFonts w:ascii="Arial" w:hAnsi="Arial" w:cs="Arial"/>
        </w:rPr>
        <w:t>.</w:t>
      </w:r>
    </w:p>
  </w:footnote>
  <w:footnote w:id="10">
    <w:p w:rsidR="006670E2" w:rsidRPr="00BC1B9A" w:rsidRDefault="006670E2" w:rsidP="00193430">
      <w:pPr>
        <w:pStyle w:val="FootnoteText"/>
        <w:jc w:val="both"/>
        <w:rPr>
          <w:rFonts w:ascii="Arial" w:hAnsi="Arial" w:cs="Arial"/>
          <w:lang w:val="en-ZA"/>
        </w:rPr>
      </w:pPr>
      <w:r w:rsidRPr="00BC1B9A">
        <w:rPr>
          <w:rStyle w:val="FootnoteReference"/>
          <w:rFonts w:ascii="Arial" w:hAnsi="Arial" w:cs="Arial"/>
        </w:rPr>
        <w:footnoteRef/>
      </w:r>
      <w:r w:rsidRPr="00BC1B9A">
        <w:rPr>
          <w:rFonts w:ascii="Arial" w:hAnsi="Arial" w:cs="Arial"/>
        </w:rPr>
        <w:t xml:space="preserve"> </w:t>
      </w:r>
      <w:r w:rsidRPr="009976D3">
        <w:rPr>
          <w:rFonts w:ascii="Arial" w:hAnsi="Arial" w:cs="Arial"/>
          <w:lang w:val="en-ZA"/>
        </w:rPr>
        <w:t>Erasmus HJ</w:t>
      </w:r>
      <w:r w:rsidRPr="00BC1B9A">
        <w:rPr>
          <w:rFonts w:ascii="Arial" w:hAnsi="Arial" w:cs="Arial"/>
          <w:lang w:val="en-ZA"/>
        </w:rPr>
        <w:t xml:space="preserve"> </w:t>
      </w:r>
      <w:r w:rsidRPr="009976D3">
        <w:rPr>
          <w:rFonts w:ascii="Arial" w:hAnsi="Arial" w:cs="Arial"/>
          <w:i/>
          <w:lang w:val="en-ZA"/>
        </w:rPr>
        <w:t>et al</w:t>
      </w:r>
      <w:r w:rsidRPr="00BC1B9A">
        <w:rPr>
          <w:rFonts w:ascii="Arial" w:hAnsi="Arial" w:cs="Arial"/>
          <w:lang w:val="en-ZA"/>
        </w:rPr>
        <w:t xml:space="preserve">: </w:t>
      </w:r>
      <w:r w:rsidRPr="00BC1B9A">
        <w:rPr>
          <w:rFonts w:ascii="Arial" w:hAnsi="Arial" w:cs="Arial"/>
          <w:i/>
          <w:lang w:val="en-ZA"/>
        </w:rPr>
        <w:t xml:space="preserve">Superior Court Practice Juta </w:t>
      </w:r>
      <w:r w:rsidR="007C0FAD">
        <w:rPr>
          <w:rFonts w:ascii="Arial" w:hAnsi="Arial" w:cs="Arial"/>
          <w:i/>
          <w:lang w:val="en-ZA"/>
        </w:rPr>
        <w:t>&amp;</w:t>
      </w:r>
      <w:r w:rsidRPr="00BC1B9A">
        <w:rPr>
          <w:rFonts w:ascii="Arial" w:hAnsi="Arial" w:cs="Arial"/>
          <w:i/>
          <w:lang w:val="en-ZA"/>
        </w:rPr>
        <w:t xml:space="preserve"> Co Ltd </w:t>
      </w:r>
      <w:r w:rsidRPr="00D02FB8">
        <w:rPr>
          <w:rFonts w:ascii="Arial" w:hAnsi="Arial" w:cs="Arial"/>
          <w:lang w:val="en-ZA"/>
        </w:rPr>
        <w:t xml:space="preserve">Service </w:t>
      </w:r>
      <w:r w:rsidRPr="00BC1B9A">
        <w:rPr>
          <w:rFonts w:ascii="Arial" w:hAnsi="Arial" w:cs="Arial"/>
          <w:lang w:val="en-ZA"/>
        </w:rPr>
        <w:t xml:space="preserve">5, </w:t>
      </w:r>
      <w:r>
        <w:rPr>
          <w:rFonts w:ascii="Arial" w:hAnsi="Arial" w:cs="Arial"/>
          <w:lang w:val="en-ZA"/>
        </w:rPr>
        <w:t>(</w:t>
      </w:r>
      <w:r w:rsidRPr="00BC1B9A">
        <w:rPr>
          <w:rFonts w:ascii="Arial" w:hAnsi="Arial" w:cs="Arial"/>
          <w:lang w:val="en-ZA"/>
        </w:rPr>
        <w:t>1996</w:t>
      </w:r>
      <w:r>
        <w:rPr>
          <w:rFonts w:ascii="Arial" w:hAnsi="Arial" w:cs="Arial"/>
          <w:lang w:val="en-ZA"/>
        </w:rPr>
        <w:t>)</w:t>
      </w:r>
      <w:r w:rsidRPr="00BC1B9A">
        <w:rPr>
          <w:rFonts w:ascii="Arial" w:hAnsi="Arial" w:cs="Arial"/>
          <w:lang w:val="en-ZA"/>
        </w:rPr>
        <w:t xml:space="preserve"> at B1-52 – B1-53.</w:t>
      </w:r>
    </w:p>
  </w:footnote>
  <w:footnote w:id="11">
    <w:p w:rsidR="006670E2" w:rsidRPr="00BC1B9A" w:rsidRDefault="006670E2" w:rsidP="00D41B4D">
      <w:pPr>
        <w:pStyle w:val="FootnoteText"/>
        <w:jc w:val="both"/>
        <w:rPr>
          <w:rFonts w:ascii="Arial" w:hAnsi="Arial" w:cs="Arial"/>
          <w:b/>
          <w:lang w:val="en-ZA"/>
        </w:rPr>
      </w:pPr>
      <w:r w:rsidRPr="00BC1B9A">
        <w:rPr>
          <w:rStyle w:val="FootnoteReference"/>
          <w:rFonts w:ascii="Arial" w:hAnsi="Arial" w:cs="Arial"/>
        </w:rPr>
        <w:footnoteRef/>
      </w:r>
      <w:r w:rsidRPr="00BC1B9A">
        <w:rPr>
          <w:rFonts w:ascii="Arial" w:hAnsi="Arial" w:cs="Arial"/>
        </w:rPr>
        <w:t xml:space="preserve"> </w:t>
      </w:r>
      <w:r>
        <w:rPr>
          <w:rFonts w:ascii="Arial" w:hAnsi="Arial" w:cs="Arial"/>
        </w:rPr>
        <w:t>‘</w:t>
      </w:r>
      <w:r w:rsidRPr="001E0EAC">
        <w:rPr>
          <w:rFonts w:ascii="Arial" w:hAnsi="Arial" w:cs="Arial"/>
          <w:b/>
          <w:u w:val="single"/>
          <w:lang w:val="en-ZA"/>
        </w:rPr>
        <w:t>Variation and rescission of order or judgment generally</w:t>
      </w:r>
    </w:p>
    <w:p w:rsidR="006670E2" w:rsidRPr="00BC1B9A" w:rsidRDefault="006670E2" w:rsidP="00D41B4D">
      <w:pPr>
        <w:pStyle w:val="FootnoteText"/>
        <w:jc w:val="both"/>
        <w:rPr>
          <w:rFonts w:ascii="Arial" w:hAnsi="Arial" w:cs="Arial"/>
          <w:lang w:val="en-ZA"/>
        </w:rPr>
      </w:pPr>
      <w:r w:rsidRPr="00BC1B9A">
        <w:rPr>
          <w:rFonts w:ascii="Arial" w:hAnsi="Arial" w:cs="Arial"/>
          <w:lang w:val="en-ZA"/>
        </w:rPr>
        <w:t>103.</w:t>
      </w:r>
      <w:r w:rsidRPr="00BC1B9A">
        <w:rPr>
          <w:rFonts w:ascii="Arial" w:hAnsi="Arial" w:cs="Arial"/>
          <w:lang w:val="en-ZA"/>
        </w:rPr>
        <w:tab/>
        <w:t>(1)</w:t>
      </w:r>
      <w:r w:rsidRPr="00BC1B9A">
        <w:rPr>
          <w:rFonts w:ascii="Arial" w:hAnsi="Arial" w:cs="Arial"/>
          <w:lang w:val="en-ZA"/>
        </w:rPr>
        <w:tab/>
        <w:t>In addition to the powers it may have, the court may of its own initiative or on the application of any party affected brought within a reasonable time, rescind or vary any order or judgment –</w:t>
      </w:r>
    </w:p>
    <w:p w:rsidR="006670E2" w:rsidRPr="00BC1B9A" w:rsidRDefault="006670E2" w:rsidP="00DF6C53">
      <w:pPr>
        <w:pStyle w:val="FootnoteText"/>
        <w:jc w:val="both"/>
        <w:rPr>
          <w:rFonts w:ascii="Arial" w:hAnsi="Arial" w:cs="Arial"/>
          <w:lang w:val="en-ZA"/>
        </w:rPr>
      </w:pPr>
      <w:r w:rsidRPr="00BC1B9A">
        <w:rPr>
          <w:rFonts w:ascii="Arial" w:hAnsi="Arial" w:cs="Arial"/>
          <w:lang w:val="en-ZA"/>
        </w:rPr>
        <w:t>(a)</w:t>
      </w:r>
      <w:r w:rsidRPr="00BC1B9A">
        <w:rPr>
          <w:rFonts w:ascii="Arial" w:hAnsi="Arial" w:cs="Arial"/>
          <w:lang w:val="en-ZA"/>
        </w:rPr>
        <w:tab/>
        <w:t>erroneously sought or erroneously granted in the absence of any party affected thereby;</w:t>
      </w:r>
    </w:p>
    <w:p w:rsidR="006670E2" w:rsidRPr="00BC1B9A" w:rsidRDefault="006670E2" w:rsidP="00DF6C53">
      <w:pPr>
        <w:pStyle w:val="FootnoteText"/>
        <w:jc w:val="both"/>
        <w:rPr>
          <w:rFonts w:ascii="Arial" w:hAnsi="Arial" w:cs="Arial"/>
          <w:lang w:val="en-ZA"/>
        </w:rPr>
      </w:pPr>
      <w:r w:rsidRPr="00BC1B9A">
        <w:rPr>
          <w:rFonts w:ascii="Arial" w:hAnsi="Arial" w:cs="Arial"/>
          <w:lang w:val="en-ZA"/>
        </w:rPr>
        <w:t>(b)</w:t>
      </w:r>
      <w:r w:rsidRPr="00BC1B9A">
        <w:rPr>
          <w:rFonts w:ascii="Arial" w:hAnsi="Arial" w:cs="Arial"/>
          <w:lang w:val="en-ZA"/>
        </w:rPr>
        <w:tab/>
        <w:t>in respect of interest or costs granted without being argued;</w:t>
      </w:r>
    </w:p>
    <w:p w:rsidR="006670E2" w:rsidRPr="00BC1B9A" w:rsidRDefault="006670E2" w:rsidP="00DF6C53">
      <w:pPr>
        <w:pStyle w:val="FootnoteText"/>
        <w:ind w:left="720" w:hanging="720"/>
        <w:jc w:val="both"/>
        <w:rPr>
          <w:rFonts w:ascii="Arial" w:hAnsi="Arial" w:cs="Arial"/>
          <w:lang w:val="en-ZA"/>
        </w:rPr>
      </w:pPr>
      <w:r w:rsidRPr="00BC1B9A">
        <w:rPr>
          <w:rFonts w:ascii="Arial" w:hAnsi="Arial" w:cs="Arial"/>
          <w:lang w:val="en-ZA"/>
        </w:rPr>
        <w:t>(c)</w:t>
      </w:r>
      <w:r w:rsidRPr="00BC1B9A">
        <w:rPr>
          <w:rFonts w:ascii="Arial" w:hAnsi="Arial" w:cs="Arial"/>
          <w:lang w:val="en-ZA"/>
        </w:rPr>
        <w:tab/>
        <w:t xml:space="preserve">in which there is an ambiguity or a patent error or omission, but only to the extent of that ambiguity or omission; or </w:t>
      </w:r>
    </w:p>
    <w:p w:rsidR="006670E2" w:rsidRPr="00BC1B9A" w:rsidRDefault="006670E2" w:rsidP="00DF6C53">
      <w:pPr>
        <w:pStyle w:val="FootnoteText"/>
        <w:jc w:val="both"/>
        <w:rPr>
          <w:rFonts w:ascii="Arial" w:hAnsi="Arial" w:cs="Arial"/>
          <w:lang w:val="en-ZA"/>
        </w:rPr>
      </w:pPr>
      <w:r w:rsidRPr="00BC1B9A">
        <w:rPr>
          <w:rFonts w:ascii="Arial" w:hAnsi="Arial" w:cs="Arial"/>
          <w:lang w:val="en-ZA"/>
        </w:rPr>
        <w:t>(d)</w:t>
      </w:r>
      <w:r w:rsidRPr="00BC1B9A">
        <w:rPr>
          <w:rFonts w:ascii="Arial" w:hAnsi="Arial" w:cs="Arial"/>
          <w:lang w:val="en-ZA"/>
        </w:rPr>
        <w:tab/>
        <w:t>an order granted as a result of a mistake common to the parties.</w:t>
      </w:r>
    </w:p>
    <w:p w:rsidR="006670E2" w:rsidRPr="00BC1B9A" w:rsidRDefault="006670E2" w:rsidP="00DF6C53">
      <w:pPr>
        <w:pStyle w:val="FootnoteText"/>
        <w:ind w:firstLine="720"/>
        <w:jc w:val="both"/>
        <w:rPr>
          <w:rFonts w:ascii="Arial" w:hAnsi="Arial" w:cs="Arial"/>
          <w:lang w:val="en-ZA"/>
        </w:rPr>
      </w:pPr>
    </w:p>
    <w:p w:rsidR="006670E2" w:rsidRPr="00BC1B9A" w:rsidRDefault="006670E2" w:rsidP="00DF6C53">
      <w:pPr>
        <w:pStyle w:val="FootnoteText"/>
        <w:ind w:firstLine="720"/>
        <w:jc w:val="both"/>
        <w:rPr>
          <w:rFonts w:ascii="Arial" w:hAnsi="Arial" w:cs="Arial"/>
          <w:lang w:val="en-ZA"/>
        </w:rPr>
      </w:pPr>
      <w:r w:rsidRPr="00BC1B9A">
        <w:rPr>
          <w:rFonts w:ascii="Arial" w:hAnsi="Arial" w:cs="Arial"/>
          <w:lang w:val="en-ZA"/>
        </w:rPr>
        <w:t>(2)</w:t>
      </w:r>
      <w:r w:rsidRPr="00BC1B9A">
        <w:rPr>
          <w:rFonts w:ascii="Arial" w:hAnsi="Arial" w:cs="Arial"/>
          <w:lang w:val="en-ZA"/>
        </w:rPr>
        <w:tab/>
        <w:t>A party who intends to apply for relief under this rule may make application therefor on notice to all parties whose interests may be affected by the rescission or variation sought and rule 65 does, with necessary modifications required by the context, apply to an application brought under this rule.</w:t>
      </w:r>
      <w:r>
        <w:rPr>
          <w:rFonts w:ascii="Arial" w:hAnsi="Arial" w:cs="Arial"/>
          <w:lang w:val="en-ZA"/>
        </w:rPr>
        <w:t>’</w:t>
      </w:r>
    </w:p>
    <w:p w:rsidR="006670E2" w:rsidRPr="00C42CEC" w:rsidRDefault="006670E2" w:rsidP="00DF6C53">
      <w:pPr>
        <w:pStyle w:val="FootnoteText"/>
        <w:ind w:firstLine="720"/>
        <w:jc w:val="both"/>
        <w:rPr>
          <w:rFonts w:ascii="Arial" w:hAnsi="Arial" w:cs="Arial"/>
          <w:lang w:val="en-ZA"/>
        </w:rPr>
      </w:pPr>
    </w:p>
    <w:p w:rsidR="006670E2" w:rsidRPr="00C42CEC" w:rsidRDefault="006670E2" w:rsidP="00DF6C53">
      <w:pPr>
        <w:pStyle w:val="FootnoteText"/>
        <w:ind w:firstLine="720"/>
        <w:jc w:val="both"/>
        <w:rPr>
          <w:rFonts w:ascii="Arial" w:hAnsi="Arial" w:cs="Arial"/>
          <w:lang w:val="en-ZA"/>
        </w:rPr>
      </w:pPr>
      <w:r w:rsidRPr="00C42CEC">
        <w:rPr>
          <w:rFonts w:ascii="Arial" w:hAnsi="Arial" w:cs="Arial"/>
          <w:lang w:val="en-ZA"/>
        </w:rPr>
        <w:t>(3)</w:t>
      </w:r>
      <w:r w:rsidRPr="00C42CEC">
        <w:rPr>
          <w:rFonts w:ascii="Arial" w:hAnsi="Arial" w:cs="Arial"/>
          <w:lang w:val="en-ZA"/>
        </w:rPr>
        <w:tab/>
        <w:t>The court may not make an order rescinding or varying an order of judgment unless it is satisfied that all parties whose interests may be affected have notice of the proposed order.</w:t>
      </w:r>
      <w:r>
        <w:rPr>
          <w:rFonts w:ascii="Arial" w:hAnsi="Arial" w:cs="Arial"/>
          <w:lang w:val="en-ZA"/>
        </w:rPr>
        <w:t>’</w:t>
      </w:r>
    </w:p>
    <w:p w:rsidR="006670E2" w:rsidRPr="00C42CEC" w:rsidRDefault="006670E2" w:rsidP="00D41B4D">
      <w:pPr>
        <w:pStyle w:val="FootnoteText"/>
        <w:jc w:val="both"/>
        <w:rPr>
          <w:rFonts w:ascii="Arial" w:hAnsi="Arial" w:cs="Arial"/>
          <w:lang w:val="en-ZA"/>
        </w:rPr>
      </w:pPr>
    </w:p>
  </w:footnote>
  <w:footnote w:id="12">
    <w:p w:rsidR="006670E2" w:rsidRDefault="006670E2" w:rsidP="00C42CEC">
      <w:pPr>
        <w:pStyle w:val="FootnoteText"/>
        <w:jc w:val="both"/>
        <w:rPr>
          <w:rFonts w:ascii="Arial" w:hAnsi="Arial" w:cs="Arial"/>
        </w:rPr>
      </w:pPr>
      <w:r w:rsidRPr="00C42CEC">
        <w:rPr>
          <w:rStyle w:val="FootnoteReference"/>
          <w:rFonts w:ascii="Arial" w:hAnsi="Arial" w:cs="Arial"/>
        </w:rPr>
        <w:footnoteRef/>
      </w:r>
      <w:r w:rsidRPr="00C42CEC">
        <w:rPr>
          <w:rFonts w:ascii="Arial" w:hAnsi="Arial" w:cs="Arial"/>
        </w:rPr>
        <w:t xml:space="preserve"> </w:t>
      </w:r>
      <w:r>
        <w:rPr>
          <w:rFonts w:ascii="Arial" w:hAnsi="Arial" w:cs="Arial"/>
        </w:rPr>
        <w:t>Section 58 provides for variation and rescission of orders. The relevant provision provides:</w:t>
      </w:r>
    </w:p>
    <w:p w:rsidR="006670E2" w:rsidRDefault="006670E2" w:rsidP="00C42CEC">
      <w:pPr>
        <w:pStyle w:val="FootnoteText"/>
        <w:jc w:val="both"/>
        <w:rPr>
          <w:rFonts w:ascii="Arial" w:hAnsi="Arial" w:cs="Arial"/>
        </w:rPr>
      </w:pPr>
      <w:r>
        <w:rPr>
          <w:rFonts w:ascii="Arial" w:hAnsi="Arial" w:cs="Arial"/>
        </w:rPr>
        <w:tab/>
        <w:t>‘(1)</w:t>
      </w:r>
      <w:r>
        <w:rPr>
          <w:rFonts w:ascii="Arial" w:hAnsi="Arial" w:cs="Arial"/>
        </w:rPr>
        <w:tab/>
        <w:t>When the High Court has made a preservation of property order it may vary or rescind the order if it is satisfied that –</w:t>
      </w:r>
    </w:p>
    <w:p w:rsidR="006670E2" w:rsidRDefault="006670E2" w:rsidP="00C42CEC">
      <w:pPr>
        <w:pStyle w:val="FootnoteText"/>
        <w:jc w:val="both"/>
        <w:rPr>
          <w:rFonts w:ascii="Arial" w:hAnsi="Arial" w:cs="Arial"/>
        </w:rPr>
      </w:pPr>
    </w:p>
    <w:p w:rsidR="006670E2" w:rsidRDefault="006670E2" w:rsidP="000D004C">
      <w:pPr>
        <w:pStyle w:val="FootnoteText"/>
        <w:numPr>
          <w:ilvl w:val="0"/>
          <w:numId w:val="6"/>
        </w:numPr>
        <w:jc w:val="both"/>
        <w:rPr>
          <w:rFonts w:ascii="Arial" w:hAnsi="Arial" w:cs="Arial"/>
        </w:rPr>
      </w:pPr>
      <w:r>
        <w:rPr>
          <w:rFonts w:ascii="Arial" w:hAnsi="Arial" w:cs="Arial"/>
        </w:rPr>
        <w:t>the order concerned –</w:t>
      </w:r>
    </w:p>
    <w:p w:rsidR="006670E2" w:rsidRDefault="006670E2" w:rsidP="002A101A">
      <w:pPr>
        <w:pStyle w:val="FootnoteText"/>
        <w:ind w:left="1440"/>
        <w:jc w:val="both"/>
        <w:rPr>
          <w:rFonts w:ascii="Arial" w:hAnsi="Arial" w:cs="Arial"/>
        </w:rPr>
      </w:pPr>
    </w:p>
    <w:p w:rsidR="006670E2" w:rsidRDefault="006670E2" w:rsidP="00E20462">
      <w:pPr>
        <w:pStyle w:val="FootnoteText"/>
        <w:ind w:left="2160" w:hanging="720"/>
        <w:jc w:val="both"/>
        <w:rPr>
          <w:rFonts w:ascii="Arial" w:hAnsi="Arial" w:cs="Arial"/>
        </w:rPr>
      </w:pPr>
      <w:r>
        <w:rPr>
          <w:rFonts w:ascii="Arial" w:hAnsi="Arial" w:cs="Arial"/>
        </w:rPr>
        <w:t>(i)</w:t>
      </w:r>
      <w:r>
        <w:rPr>
          <w:rFonts w:ascii="Arial" w:hAnsi="Arial" w:cs="Arial"/>
        </w:rPr>
        <w:tab/>
        <w:t>will deprive the applicant of the means to provide for his or her reasonable living expenses and cause undue hardship for the applicant; and</w:t>
      </w:r>
    </w:p>
    <w:p w:rsidR="006670E2" w:rsidRDefault="006670E2" w:rsidP="00E20462">
      <w:pPr>
        <w:pStyle w:val="FootnoteText"/>
        <w:ind w:left="2160" w:hanging="720"/>
        <w:jc w:val="both"/>
        <w:rPr>
          <w:rFonts w:ascii="Arial" w:hAnsi="Arial" w:cs="Arial"/>
        </w:rPr>
      </w:pPr>
    </w:p>
    <w:p w:rsidR="006670E2" w:rsidRDefault="006670E2" w:rsidP="00E20462">
      <w:pPr>
        <w:pStyle w:val="FootnoteText"/>
        <w:ind w:left="2160" w:hanging="720"/>
        <w:jc w:val="both"/>
        <w:rPr>
          <w:rFonts w:ascii="Arial" w:hAnsi="Arial" w:cs="Arial"/>
        </w:rPr>
      </w:pPr>
      <w:r>
        <w:rPr>
          <w:rFonts w:ascii="Arial" w:hAnsi="Arial" w:cs="Arial"/>
        </w:rPr>
        <w:t>(ii)</w:t>
      </w:r>
      <w:r>
        <w:rPr>
          <w:rFonts w:ascii="Arial" w:hAnsi="Arial" w:cs="Arial"/>
        </w:rPr>
        <w:tab/>
        <w:t>that the hardship that the applicant will suffer as a result of the order outweighs the risk that the property concerned may be destroyed, lost, damaged, concealed or transferred; or</w:t>
      </w:r>
    </w:p>
    <w:p w:rsidR="006670E2" w:rsidRDefault="006670E2" w:rsidP="00E20462">
      <w:pPr>
        <w:pStyle w:val="FootnoteText"/>
        <w:ind w:left="2160" w:hanging="720"/>
        <w:jc w:val="both"/>
        <w:rPr>
          <w:rFonts w:ascii="Arial" w:hAnsi="Arial" w:cs="Arial"/>
        </w:rPr>
      </w:pPr>
    </w:p>
    <w:p w:rsidR="006670E2" w:rsidRDefault="006670E2" w:rsidP="00E20462">
      <w:pPr>
        <w:pStyle w:val="FootnoteText"/>
        <w:ind w:left="1440" w:hanging="720"/>
        <w:jc w:val="both"/>
        <w:rPr>
          <w:rFonts w:ascii="Arial" w:hAnsi="Arial" w:cs="Arial"/>
        </w:rPr>
      </w:pPr>
      <w:r>
        <w:rPr>
          <w:rFonts w:ascii="Arial" w:hAnsi="Arial" w:cs="Arial"/>
        </w:rPr>
        <w:t>(b)</w:t>
      </w:r>
      <w:r>
        <w:rPr>
          <w:rFonts w:ascii="Arial" w:hAnsi="Arial" w:cs="Arial"/>
        </w:rPr>
        <w:tab/>
        <w:t>there is an ambiguity or a patent error in, or omission from, that order, but only to the extent of that ambiguity, error or omission.</w:t>
      </w:r>
    </w:p>
    <w:p w:rsidR="006670E2" w:rsidRDefault="006670E2" w:rsidP="00E20462">
      <w:pPr>
        <w:pStyle w:val="FootnoteText"/>
        <w:ind w:left="1440" w:hanging="720"/>
        <w:jc w:val="both"/>
        <w:rPr>
          <w:rFonts w:ascii="Arial" w:hAnsi="Arial" w:cs="Arial"/>
        </w:rPr>
      </w:pPr>
    </w:p>
    <w:p w:rsidR="006670E2" w:rsidRDefault="006670E2" w:rsidP="00E20462">
      <w:pPr>
        <w:pStyle w:val="FootnoteText"/>
        <w:ind w:left="1440" w:hanging="720"/>
        <w:jc w:val="both"/>
        <w:rPr>
          <w:rFonts w:ascii="Arial" w:hAnsi="Arial" w:cs="Arial"/>
        </w:rPr>
      </w:pPr>
      <w:r>
        <w:rPr>
          <w:rFonts w:ascii="Arial" w:hAnsi="Arial" w:cs="Arial"/>
        </w:rPr>
        <w:t>(2)</w:t>
      </w:r>
      <w:r>
        <w:rPr>
          <w:rFonts w:ascii="Arial" w:hAnsi="Arial" w:cs="Arial"/>
        </w:rPr>
        <w:tab/>
        <w:t>When a court orders the variation or rescission of an order authorising the seizure of property under ss (1)(a) the court must make such other order as it considers appropriate for the proper, fair and affective execution of the preservation of property order concerned.</w:t>
      </w:r>
    </w:p>
    <w:p w:rsidR="006670E2" w:rsidRDefault="006670E2" w:rsidP="00E20462">
      <w:pPr>
        <w:pStyle w:val="FootnoteText"/>
        <w:ind w:left="1440" w:hanging="720"/>
        <w:jc w:val="both"/>
        <w:rPr>
          <w:rFonts w:ascii="Arial" w:hAnsi="Arial" w:cs="Arial"/>
        </w:rPr>
      </w:pPr>
    </w:p>
    <w:p w:rsidR="006670E2" w:rsidRDefault="006670E2" w:rsidP="00E20462">
      <w:pPr>
        <w:pStyle w:val="FootnoteText"/>
        <w:ind w:left="1440" w:hanging="720"/>
        <w:jc w:val="both"/>
        <w:rPr>
          <w:rFonts w:ascii="Arial" w:hAnsi="Arial" w:cs="Arial"/>
        </w:rPr>
      </w:pPr>
      <w:r>
        <w:rPr>
          <w:rFonts w:ascii="Arial" w:hAnsi="Arial" w:cs="Arial"/>
        </w:rPr>
        <w:t>(3)</w:t>
      </w:r>
      <w:r>
        <w:rPr>
          <w:rFonts w:ascii="Arial" w:hAnsi="Arial" w:cs="Arial"/>
        </w:rPr>
        <w:tab/>
        <w:t>When the court has made a preservation of property order it may rescind that order if it was –</w:t>
      </w:r>
    </w:p>
    <w:p w:rsidR="006670E2" w:rsidRDefault="006670E2" w:rsidP="00E20462">
      <w:pPr>
        <w:pStyle w:val="FootnoteText"/>
        <w:ind w:left="1440" w:hanging="720"/>
        <w:jc w:val="both"/>
        <w:rPr>
          <w:rFonts w:ascii="Arial" w:hAnsi="Arial" w:cs="Arial"/>
        </w:rPr>
      </w:pPr>
    </w:p>
    <w:p w:rsidR="006670E2" w:rsidRDefault="006670E2" w:rsidP="000D004C">
      <w:pPr>
        <w:pStyle w:val="FootnoteText"/>
        <w:numPr>
          <w:ilvl w:val="0"/>
          <w:numId w:val="5"/>
        </w:numPr>
        <w:jc w:val="both"/>
        <w:rPr>
          <w:rFonts w:ascii="Arial" w:hAnsi="Arial" w:cs="Arial"/>
        </w:rPr>
      </w:pPr>
      <w:r>
        <w:rPr>
          <w:rFonts w:ascii="Arial" w:hAnsi="Arial" w:cs="Arial"/>
        </w:rPr>
        <w:t>erroneously sought or erroneously made in the absence of the person applying for its rescission; or</w:t>
      </w:r>
    </w:p>
    <w:p w:rsidR="006670E2" w:rsidRDefault="006670E2" w:rsidP="002A101A">
      <w:pPr>
        <w:pStyle w:val="FootnoteText"/>
        <w:ind w:left="1440"/>
        <w:jc w:val="both"/>
        <w:rPr>
          <w:rFonts w:ascii="Arial" w:hAnsi="Arial" w:cs="Arial"/>
        </w:rPr>
      </w:pPr>
    </w:p>
    <w:p w:rsidR="006670E2" w:rsidRDefault="006670E2" w:rsidP="00E20462">
      <w:pPr>
        <w:pStyle w:val="FootnoteText"/>
        <w:ind w:left="1440" w:hanging="720"/>
        <w:jc w:val="both"/>
        <w:rPr>
          <w:rFonts w:ascii="Arial" w:hAnsi="Arial" w:cs="Arial"/>
        </w:rPr>
      </w:pPr>
      <w:r>
        <w:rPr>
          <w:rFonts w:ascii="Arial" w:hAnsi="Arial" w:cs="Arial"/>
        </w:rPr>
        <w:t>(b)</w:t>
      </w:r>
      <w:r>
        <w:rPr>
          <w:rFonts w:ascii="Arial" w:hAnsi="Arial" w:cs="Arial"/>
        </w:rPr>
        <w:tab/>
        <w:t>made as a result of a common mistake of both the Prosecutor-General and the person affected by that order.</w:t>
      </w:r>
    </w:p>
    <w:p w:rsidR="006670E2" w:rsidRDefault="006670E2" w:rsidP="00E20462">
      <w:pPr>
        <w:pStyle w:val="FootnoteText"/>
        <w:ind w:left="1440" w:hanging="720"/>
        <w:jc w:val="both"/>
        <w:rPr>
          <w:rFonts w:ascii="Arial" w:hAnsi="Arial" w:cs="Arial"/>
        </w:rPr>
      </w:pPr>
    </w:p>
    <w:p w:rsidR="006670E2" w:rsidRDefault="006670E2" w:rsidP="00E20462">
      <w:pPr>
        <w:pStyle w:val="FootnoteText"/>
        <w:ind w:left="1440" w:hanging="720"/>
        <w:jc w:val="both"/>
        <w:rPr>
          <w:rFonts w:ascii="Arial" w:hAnsi="Arial" w:cs="Arial"/>
        </w:rPr>
      </w:pPr>
      <w:r>
        <w:rPr>
          <w:rFonts w:ascii="Arial" w:hAnsi="Arial" w:cs="Arial"/>
        </w:rPr>
        <w:t>(4)</w:t>
      </w:r>
      <w:r>
        <w:rPr>
          <w:rFonts w:ascii="Arial" w:hAnsi="Arial" w:cs="Arial"/>
        </w:rPr>
        <w:tab/>
        <w:t>Only the –</w:t>
      </w:r>
    </w:p>
    <w:p w:rsidR="006670E2" w:rsidRDefault="006670E2" w:rsidP="00E20462">
      <w:pPr>
        <w:pStyle w:val="FootnoteText"/>
        <w:ind w:left="1440" w:hanging="720"/>
        <w:jc w:val="both"/>
        <w:rPr>
          <w:rFonts w:ascii="Arial" w:hAnsi="Arial" w:cs="Arial"/>
        </w:rPr>
      </w:pPr>
    </w:p>
    <w:p w:rsidR="006670E2" w:rsidRDefault="006670E2" w:rsidP="000D004C">
      <w:pPr>
        <w:pStyle w:val="FootnoteText"/>
        <w:numPr>
          <w:ilvl w:val="0"/>
          <w:numId w:val="4"/>
        </w:numPr>
        <w:jc w:val="both"/>
        <w:rPr>
          <w:rFonts w:ascii="Arial" w:hAnsi="Arial" w:cs="Arial"/>
        </w:rPr>
      </w:pPr>
      <w:r>
        <w:rPr>
          <w:rFonts w:ascii="Arial" w:hAnsi="Arial" w:cs="Arial"/>
        </w:rPr>
        <w:t>Prosecutor-General; or</w:t>
      </w:r>
    </w:p>
    <w:p w:rsidR="006670E2" w:rsidRDefault="006670E2" w:rsidP="002A101A">
      <w:pPr>
        <w:pStyle w:val="FootnoteText"/>
        <w:ind w:left="1440"/>
        <w:jc w:val="both"/>
        <w:rPr>
          <w:rFonts w:ascii="Arial" w:hAnsi="Arial" w:cs="Arial"/>
        </w:rPr>
      </w:pPr>
    </w:p>
    <w:p w:rsidR="006670E2" w:rsidRDefault="006670E2" w:rsidP="000D004C">
      <w:pPr>
        <w:pStyle w:val="FootnoteText"/>
        <w:numPr>
          <w:ilvl w:val="0"/>
          <w:numId w:val="4"/>
        </w:numPr>
        <w:jc w:val="both"/>
        <w:rPr>
          <w:rFonts w:ascii="Arial" w:hAnsi="Arial" w:cs="Arial"/>
        </w:rPr>
      </w:pPr>
      <w:r>
        <w:rPr>
          <w:rFonts w:ascii="Arial" w:hAnsi="Arial" w:cs="Arial"/>
        </w:rPr>
        <w:t>person affected by a property preservation order who has given notice in terms of s 52(3) accompanied by an affidavit in terms of s 52(5), may apply for an order under ss (1) or ss (3).’</w:t>
      </w:r>
    </w:p>
    <w:p w:rsidR="006670E2" w:rsidRPr="00C42CEC" w:rsidRDefault="006670E2" w:rsidP="00E20462">
      <w:pPr>
        <w:pStyle w:val="FootnoteText"/>
        <w:jc w:val="both"/>
        <w:rPr>
          <w:rFonts w:ascii="Arial" w:hAnsi="Arial" w:cs="Arial"/>
          <w:sz w:val="22"/>
          <w:szCs w:val="22"/>
          <w:lang w:val="en-ZA"/>
        </w:rPr>
      </w:pPr>
    </w:p>
  </w:footnote>
  <w:footnote w:id="13">
    <w:p w:rsidR="006670E2" w:rsidRDefault="006670E2" w:rsidP="00F8123E">
      <w:pPr>
        <w:pStyle w:val="FootnoteText"/>
        <w:ind w:firstLine="426"/>
        <w:jc w:val="both"/>
        <w:rPr>
          <w:rFonts w:ascii="Arial" w:hAnsi="Arial" w:cs="Arial"/>
        </w:rPr>
      </w:pPr>
      <w:r w:rsidRPr="00C42CEC">
        <w:rPr>
          <w:rStyle w:val="FootnoteReference"/>
          <w:rFonts w:ascii="Arial" w:hAnsi="Arial" w:cs="Arial"/>
        </w:rPr>
        <w:footnoteRef/>
      </w:r>
      <w:r>
        <w:rPr>
          <w:rFonts w:ascii="Arial" w:hAnsi="Arial" w:cs="Arial"/>
        </w:rPr>
        <w:t xml:space="preserve"> ‘(1)</w:t>
      </w:r>
      <w:r>
        <w:rPr>
          <w:rFonts w:ascii="Arial" w:hAnsi="Arial" w:cs="Arial"/>
        </w:rPr>
        <w:tab/>
        <w:t>The Prosecutor-General may apply to the High Court for a preservation of property order prohibiting any person, subject to such conditions and exceptions as may be specified in the order, from dealing in any manner with any property.</w:t>
      </w:r>
    </w:p>
    <w:p w:rsidR="006670E2" w:rsidRDefault="006670E2" w:rsidP="00C42CEC">
      <w:pPr>
        <w:pStyle w:val="FootnoteText"/>
        <w:jc w:val="both"/>
        <w:rPr>
          <w:rFonts w:ascii="Arial" w:hAnsi="Arial" w:cs="Arial"/>
        </w:rPr>
      </w:pPr>
    </w:p>
    <w:p w:rsidR="006670E2" w:rsidRDefault="006670E2" w:rsidP="00C42CEC">
      <w:pPr>
        <w:pStyle w:val="FootnoteText"/>
        <w:jc w:val="both"/>
        <w:rPr>
          <w:rFonts w:ascii="Arial" w:hAnsi="Arial" w:cs="Arial"/>
        </w:rPr>
      </w:pPr>
      <w:r>
        <w:rPr>
          <w:rFonts w:ascii="Arial" w:hAnsi="Arial" w:cs="Arial"/>
        </w:rPr>
        <w:tab/>
        <w:t>(2)</w:t>
      </w:r>
      <w:r>
        <w:rPr>
          <w:rFonts w:ascii="Arial" w:hAnsi="Arial" w:cs="Arial"/>
        </w:rPr>
        <w:tab/>
        <w:t>The High Court must make an order referred to in ss (1) without requiring that notice of the application be given to any other person or the abduction of any further evidence from any other person if the application is supported by an affidavit indicating that the deponent has sufficient information that the property concerned is –</w:t>
      </w:r>
    </w:p>
    <w:p w:rsidR="006670E2" w:rsidRDefault="006670E2" w:rsidP="00C42CEC">
      <w:pPr>
        <w:pStyle w:val="FootnoteText"/>
        <w:jc w:val="both"/>
        <w:rPr>
          <w:rFonts w:ascii="Arial" w:hAnsi="Arial" w:cs="Arial"/>
        </w:rPr>
      </w:pPr>
    </w:p>
    <w:p w:rsidR="006670E2" w:rsidRPr="00A53CCB" w:rsidRDefault="006670E2" w:rsidP="000D004C">
      <w:pPr>
        <w:pStyle w:val="FootnoteText"/>
        <w:numPr>
          <w:ilvl w:val="0"/>
          <w:numId w:val="7"/>
        </w:numPr>
        <w:jc w:val="both"/>
        <w:rPr>
          <w:rFonts w:ascii="Arial" w:hAnsi="Arial" w:cs="Arial"/>
          <w:lang w:val="en-ZA"/>
        </w:rPr>
      </w:pPr>
      <w:r>
        <w:rPr>
          <w:rFonts w:ascii="Arial" w:hAnsi="Arial" w:cs="Arial"/>
        </w:rPr>
        <w:t>an instrumentality of an offence referred to in Schedule 1; or</w:t>
      </w:r>
    </w:p>
    <w:p w:rsidR="006670E2" w:rsidRPr="00A53CCB" w:rsidRDefault="006670E2" w:rsidP="00A53CCB">
      <w:pPr>
        <w:pStyle w:val="FootnoteText"/>
        <w:ind w:left="1080"/>
        <w:jc w:val="both"/>
        <w:rPr>
          <w:rFonts w:ascii="Arial" w:hAnsi="Arial" w:cs="Arial"/>
          <w:lang w:val="en-ZA"/>
        </w:rPr>
      </w:pPr>
    </w:p>
    <w:p w:rsidR="006670E2" w:rsidRDefault="006670E2" w:rsidP="000D004C">
      <w:pPr>
        <w:pStyle w:val="FootnoteText"/>
        <w:numPr>
          <w:ilvl w:val="0"/>
          <w:numId w:val="7"/>
        </w:numPr>
        <w:jc w:val="both"/>
        <w:rPr>
          <w:rFonts w:ascii="Arial" w:hAnsi="Arial" w:cs="Arial"/>
          <w:lang w:val="en-ZA"/>
        </w:rPr>
      </w:pPr>
      <w:r>
        <w:rPr>
          <w:rFonts w:ascii="Arial" w:hAnsi="Arial" w:cs="Arial"/>
          <w:lang w:val="en-ZA"/>
        </w:rPr>
        <w:t>the proceeds of unlawful activities,</w:t>
      </w:r>
    </w:p>
    <w:p w:rsidR="006670E2" w:rsidRDefault="006670E2" w:rsidP="00A53CCB">
      <w:pPr>
        <w:pStyle w:val="ListParagraph"/>
        <w:rPr>
          <w:rFonts w:ascii="Arial" w:hAnsi="Arial" w:cs="Arial"/>
          <w:lang w:val="en-ZA"/>
        </w:rPr>
      </w:pPr>
    </w:p>
    <w:p w:rsidR="006670E2" w:rsidRDefault="006670E2" w:rsidP="00A53CCB">
      <w:pPr>
        <w:pStyle w:val="FootnoteText"/>
        <w:jc w:val="both"/>
        <w:rPr>
          <w:rFonts w:ascii="Arial" w:hAnsi="Arial" w:cs="Arial"/>
          <w:lang w:val="en-ZA"/>
        </w:rPr>
      </w:pPr>
      <w:r>
        <w:rPr>
          <w:rFonts w:ascii="Arial" w:hAnsi="Arial" w:cs="Arial"/>
          <w:lang w:val="en-ZA"/>
        </w:rPr>
        <w:t>and the court is satisfied that that information shows on the face of it that there are reasonable grounds for that belief.</w:t>
      </w:r>
    </w:p>
    <w:p w:rsidR="006670E2" w:rsidRDefault="006670E2" w:rsidP="00A53CCB">
      <w:pPr>
        <w:pStyle w:val="FootnoteText"/>
        <w:jc w:val="both"/>
        <w:rPr>
          <w:rFonts w:ascii="Arial" w:hAnsi="Arial" w:cs="Arial"/>
          <w:lang w:val="en-ZA"/>
        </w:rPr>
      </w:pPr>
    </w:p>
    <w:p w:rsidR="006670E2" w:rsidRDefault="006670E2" w:rsidP="00A53CCB">
      <w:pPr>
        <w:pStyle w:val="FootnoteText"/>
        <w:jc w:val="both"/>
        <w:rPr>
          <w:rFonts w:ascii="Arial" w:hAnsi="Arial" w:cs="Arial"/>
          <w:lang w:val="en-ZA"/>
        </w:rPr>
      </w:pPr>
      <w:r>
        <w:rPr>
          <w:rFonts w:ascii="Arial" w:hAnsi="Arial" w:cs="Arial"/>
          <w:lang w:val="en-ZA"/>
        </w:rPr>
        <w:tab/>
        <w:t>(3)</w:t>
      </w:r>
      <w:r>
        <w:rPr>
          <w:rFonts w:ascii="Arial" w:hAnsi="Arial" w:cs="Arial"/>
          <w:lang w:val="en-ZA"/>
        </w:rPr>
        <w:tab/>
        <w:t>When the High Court makes preservation of property order it must at the same time make an order authorising the seizure of the property concerned by a member of the police, and any other ancillary orders that the court considers appropriate for the proper, fair and effective execution of the order.</w:t>
      </w:r>
    </w:p>
    <w:p w:rsidR="006670E2" w:rsidRDefault="006670E2" w:rsidP="00A53CCB">
      <w:pPr>
        <w:pStyle w:val="FootnoteText"/>
        <w:jc w:val="both"/>
        <w:rPr>
          <w:rFonts w:ascii="Arial" w:hAnsi="Arial" w:cs="Arial"/>
          <w:lang w:val="en-ZA"/>
        </w:rPr>
      </w:pPr>
    </w:p>
    <w:p w:rsidR="006670E2" w:rsidRPr="00A53CCB" w:rsidRDefault="006670E2" w:rsidP="00A53CCB">
      <w:pPr>
        <w:pStyle w:val="FootnoteText"/>
        <w:jc w:val="both"/>
        <w:rPr>
          <w:rFonts w:ascii="Arial" w:hAnsi="Arial" w:cs="Arial"/>
          <w:lang w:val="en-ZA"/>
        </w:rPr>
      </w:pPr>
      <w:r>
        <w:rPr>
          <w:rFonts w:ascii="Arial" w:hAnsi="Arial" w:cs="Arial"/>
          <w:lang w:val="en-ZA"/>
        </w:rPr>
        <w:tab/>
        <w:t>(4)</w:t>
      </w:r>
      <w:r>
        <w:rPr>
          <w:rFonts w:ascii="Arial" w:hAnsi="Arial" w:cs="Arial"/>
          <w:lang w:val="en-ZA"/>
        </w:rPr>
        <w:tab/>
        <w:t>Property seized under ss (3) must be dealt with in accordance with directions of the High Court.’</w:t>
      </w:r>
    </w:p>
    <w:p w:rsidR="006670E2" w:rsidRDefault="006670E2" w:rsidP="00A53CCB">
      <w:pPr>
        <w:pStyle w:val="FootnoteText"/>
        <w:jc w:val="both"/>
        <w:rPr>
          <w:rFonts w:ascii="Arial" w:hAnsi="Arial" w:cs="Arial"/>
        </w:rPr>
      </w:pPr>
    </w:p>
    <w:p w:rsidR="006670E2" w:rsidRPr="00C42CEC" w:rsidRDefault="006670E2" w:rsidP="00A53CCB">
      <w:pPr>
        <w:pStyle w:val="FootnoteText"/>
        <w:jc w:val="both"/>
        <w:rPr>
          <w:rFonts w:ascii="Arial" w:hAnsi="Arial" w:cs="Arial"/>
          <w:lang w:val="en-ZA"/>
        </w:rPr>
      </w:pPr>
    </w:p>
  </w:footnote>
  <w:footnote w:id="14">
    <w:p w:rsidR="006670E2" w:rsidRPr="00953968" w:rsidRDefault="006670E2" w:rsidP="00953968">
      <w:pPr>
        <w:pStyle w:val="FootnoteText"/>
        <w:jc w:val="both"/>
        <w:rPr>
          <w:rFonts w:ascii="Arial" w:hAnsi="Arial" w:cs="Arial"/>
          <w:lang w:val="en-ZA"/>
        </w:rPr>
      </w:pPr>
      <w:r w:rsidRPr="00B147D9">
        <w:rPr>
          <w:rStyle w:val="FootnoteReference"/>
          <w:rFonts w:ascii="Arial" w:hAnsi="Arial" w:cs="Arial"/>
        </w:rPr>
        <w:footnoteRef/>
      </w:r>
      <w:r>
        <w:t xml:space="preserve"> </w:t>
      </w:r>
      <w:r>
        <w:rPr>
          <w:rFonts w:ascii="Arial" w:hAnsi="Arial" w:cs="Arial"/>
          <w:lang w:val="en-ZA"/>
        </w:rPr>
        <w:t>1998 (3) SA 281 (TPD) at 289F-290A-D.</w:t>
      </w:r>
    </w:p>
  </w:footnote>
  <w:footnote w:id="15">
    <w:p w:rsidR="006670E2" w:rsidRPr="00643D66" w:rsidRDefault="006670E2" w:rsidP="00B56128">
      <w:pPr>
        <w:pStyle w:val="FootnoteText"/>
        <w:jc w:val="both"/>
        <w:rPr>
          <w:rFonts w:ascii="Arial" w:hAnsi="Arial" w:cs="Arial"/>
          <w:lang w:val="en-ZA"/>
        </w:rPr>
      </w:pPr>
      <w:r w:rsidRPr="00E23542">
        <w:rPr>
          <w:rStyle w:val="FootnoteReference"/>
          <w:rFonts w:ascii="Arial" w:hAnsi="Arial" w:cs="Arial"/>
        </w:rPr>
        <w:footnoteRef/>
      </w:r>
      <w:r>
        <w:t xml:space="preserve"> </w:t>
      </w:r>
      <w:r w:rsidRPr="00BC1B9A">
        <w:rPr>
          <w:rFonts w:ascii="Arial" w:hAnsi="Arial" w:cs="Arial"/>
          <w:lang w:val="en-ZA"/>
        </w:rPr>
        <w:t xml:space="preserve">Erasmus HJ </w:t>
      </w:r>
      <w:r w:rsidRPr="00E23542">
        <w:rPr>
          <w:rFonts w:ascii="Arial" w:hAnsi="Arial" w:cs="Arial"/>
          <w:i/>
          <w:lang w:val="en-ZA"/>
        </w:rPr>
        <w:t>et al</w:t>
      </w:r>
      <w:r w:rsidRPr="00BC1B9A">
        <w:rPr>
          <w:rFonts w:ascii="Arial" w:hAnsi="Arial" w:cs="Arial"/>
          <w:lang w:val="en-ZA"/>
        </w:rPr>
        <w:t xml:space="preserve">: </w:t>
      </w:r>
      <w:r w:rsidRPr="00BC1B9A">
        <w:rPr>
          <w:rFonts w:ascii="Arial" w:hAnsi="Arial" w:cs="Arial"/>
          <w:i/>
          <w:lang w:val="en-ZA"/>
        </w:rPr>
        <w:t>Superior Court Practice, Juta and Co Ltd, Service</w:t>
      </w:r>
      <w:r w:rsidRPr="00BC1B9A">
        <w:rPr>
          <w:rFonts w:ascii="Arial" w:hAnsi="Arial" w:cs="Arial"/>
          <w:lang w:val="en-ZA"/>
        </w:rPr>
        <w:t xml:space="preserve"> 5, 1996 at B1-52 – B1-53.</w:t>
      </w:r>
    </w:p>
  </w:footnote>
  <w:footnote w:id="16">
    <w:p w:rsidR="006670E2" w:rsidRPr="00643D66" w:rsidRDefault="006670E2" w:rsidP="00643D66">
      <w:pPr>
        <w:pStyle w:val="FootnoteText"/>
        <w:jc w:val="both"/>
        <w:rPr>
          <w:rFonts w:ascii="Arial" w:hAnsi="Arial" w:cs="Arial"/>
          <w:lang w:val="en-ZA"/>
        </w:rPr>
      </w:pPr>
      <w:r w:rsidRPr="00E23542">
        <w:rPr>
          <w:rStyle w:val="FootnoteReference"/>
          <w:rFonts w:ascii="Arial" w:hAnsi="Arial" w:cs="Arial"/>
        </w:rPr>
        <w:footnoteRef/>
      </w:r>
      <w:r w:rsidRPr="00E23542">
        <w:rPr>
          <w:rFonts w:ascii="Arial" w:hAnsi="Arial" w:cs="Arial"/>
        </w:rPr>
        <w:t xml:space="preserve"> </w:t>
      </w:r>
      <w:r>
        <w:rPr>
          <w:rFonts w:ascii="Arial" w:hAnsi="Arial" w:cs="Arial"/>
          <w:lang w:val="en-ZA"/>
        </w:rPr>
        <w:t>Ibid.</w:t>
      </w:r>
    </w:p>
  </w:footnote>
  <w:footnote w:id="17">
    <w:p w:rsidR="006670E2" w:rsidRPr="00396275" w:rsidRDefault="006670E2" w:rsidP="00396275">
      <w:pPr>
        <w:pStyle w:val="FootnoteText"/>
        <w:jc w:val="both"/>
        <w:rPr>
          <w:rFonts w:ascii="Arial" w:hAnsi="Arial" w:cs="Arial"/>
          <w:lang w:val="en-ZA"/>
        </w:rPr>
      </w:pPr>
      <w:r w:rsidRPr="00A63075">
        <w:rPr>
          <w:rStyle w:val="FootnoteReference"/>
          <w:rFonts w:ascii="Arial" w:hAnsi="Arial" w:cs="Arial"/>
        </w:rPr>
        <w:footnoteRef/>
      </w:r>
      <w:r>
        <w:t xml:space="preserve"> </w:t>
      </w:r>
      <w:r>
        <w:rPr>
          <w:rFonts w:ascii="Arial" w:hAnsi="Arial" w:cs="Arial"/>
          <w:lang w:val="en-ZA"/>
        </w:rPr>
        <w:t>2017 (3) NR 627 (SC) at 639A-641A.</w:t>
      </w:r>
    </w:p>
  </w:footnote>
  <w:footnote w:id="18">
    <w:p w:rsidR="006670E2" w:rsidRDefault="006670E2" w:rsidP="0097632C">
      <w:pPr>
        <w:pStyle w:val="FootnoteText"/>
        <w:jc w:val="both"/>
        <w:rPr>
          <w:rFonts w:ascii="Arial" w:hAnsi="Arial" w:cs="Arial"/>
          <w:b/>
        </w:rPr>
      </w:pPr>
      <w:r w:rsidRPr="00A63075">
        <w:rPr>
          <w:rStyle w:val="FootnoteReference"/>
          <w:rFonts w:ascii="Arial" w:hAnsi="Arial" w:cs="Arial"/>
        </w:rPr>
        <w:footnoteRef/>
      </w:r>
      <w:r>
        <w:t xml:space="preserve"> ‘</w:t>
      </w:r>
      <w:r>
        <w:rPr>
          <w:rFonts w:ascii="Arial" w:hAnsi="Arial" w:cs="Arial"/>
          <w:b/>
        </w:rPr>
        <w:t>Procedure for certain applications</w:t>
      </w:r>
    </w:p>
    <w:p w:rsidR="006670E2" w:rsidRDefault="006670E2" w:rsidP="00F948D0">
      <w:pPr>
        <w:pStyle w:val="FootnoteText"/>
        <w:tabs>
          <w:tab w:val="left" w:pos="284"/>
        </w:tabs>
        <w:ind w:left="719" w:hanging="435"/>
        <w:jc w:val="both"/>
        <w:rPr>
          <w:rFonts w:ascii="Arial" w:hAnsi="Arial" w:cs="Arial"/>
        </w:rPr>
      </w:pPr>
      <w:r>
        <w:rPr>
          <w:rFonts w:ascii="Arial" w:hAnsi="Arial" w:cs="Arial"/>
        </w:rPr>
        <w:t>7.</w:t>
      </w:r>
      <w:r>
        <w:rPr>
          <w:rFonts w:ascii="Arial" w:hAnsi="Arial" w:cs="Arial"/>
        </w:rPr>
        <w:tab/>
        <w:t>Subject to s 91(2), (3) or (4) of the Act, every application made pursuant to ss 25, 43, 51, 59 or 64 of the Act, is made as follows –</w:t>
      </w:r>
    </w:p>
    <w:p w:rsidR="006670E2" w:rsidRDefault="006670E2" w:rsidP="0097632C">
      <w:pPr>
        <w:pStyle w:val="FootnoteText"/>
        <w:jc w:val="both"/>
        <w:rPr>
          <w:rFonts w:ascii="Arial" w:hAnsi="Arial" w:cs="Arial"/>
        </w:rPr>
      </w:pPr>
    </w:p>
    <w:p w:rsidR="006670E2" w:rsidRDefault="006670E2" w:rsidP="000D004C">
      <w:pPr>
        <w:pStyle w:val="FootnoteText"/>
        <w:numPr>
          <w:ilvl w:val="0"/>
          <w:numId w:val="9"/>
        </w:numPr>
        <w:ind w:left="1276" w:hanging="556"/>
        <w:jc w:val="both"/>
        <w:rPr>
          <w:rFonts w:ascii="Arial" w:hAnsi="Arial" w:cs="Arial"/>
          <w:lang w:val="en-ZA"/>
        </w:rPr>
      </w:pPr>
      <w:r>
        <w:rPr>
          <w:rFonts w:ascii="Arial" w:hAnsi="Arial" w:cs="Arial"/>
          <w:lang w:val="en-ZA"/>
        </w:rPr>
        <w:t>it must be in writing;</w:t>
      </w:r>
    </w:p>
    <w:p w:rsidR="006670E2" w:rsidRDefault="006670E2" w:rsidP="00396275">
      <w:pPr>
        <w:pStyle w:val="FootnoteText"/>
        <w:ind w:left="1276"/>
        <w:jc w:val="both"/>
        <w:rPr>
          <w:rFonts w:ascii="Arial" w:hAnsi="Arial" w:cs="Arial"/>
          <w:lang w:val="en-ZA"/>
        </w:rPr>
      </w:pPr>
    </w:p>
    <w:p w:rsidR="006670E2" w:rsidRDefault="006670E2" w:rsidP="000D004C">
      <w:pPr>
        <w:pStyle w:val="FootnoteText"/>
        <w:numPr>
          <w:ilvl w:val="0"/>
          <w:numId w:val="9"/>
        </w:numPr>
        <w:ind w:left="1276" w:hanging="556"/>
        <w:jc w:val="both"/>
        <w:rPr>
          <w:rFonts w:ascii="Arial" w:hAnsi="Arial" w:cs="Arial"/>
          <w:lang w:val="en-ZA"/>
        </w:rPr>
      </w:pPr>
      <w:r>
        <w:rPr>
          <w:rFonts w:ascii="Arial" w:hAnsi="Arial" w:cs="Arial"/>
          <w:lang w:val="en-ZA"/>
        </w:rPr>
        <w:t>a notice of application of a least 7 days must be given to the respondents to an application and to any other person upon whom an application is required to be served unless leave to serve short notice is given by the High Court; and</w:t>
      </w:r>
    </w:p>
    <w:p w:rsidR="006670E2" w:rsidRDefault="006670E2" w:rsidP="00396275">
      <w:pPr>
        <w:pStyle w:val="ListParagraph"/>
        <w:spacing w:after="0"/>
        <w:jc w:val="both"/>
        <w:rPr>
          <w:rFonts w:ascii="Arial" w:hAnsi="Arial" w:cs="Arial"/>
          <w:lang w:val="en-ZA"/>
        </w:rPr>
      </w:pPr>
    </w:p>
    <w:p w:rsidR="006670E2" w:rsidRPr="00396275" w:rsidRDefault="006670E2" w:rsidP="000D004C">
      <w:pPr>
        <w:pStyle w:val="FootnoteText"/>
        <w:numPr>
          <w:ilvl w:val="0"/>
          <w:numId w:val="9"/>
        </w:numPr>
        <w:ind w:left="1276" w:hanging="556"/>
        <w:jc w:val="both"/>
        <w:rPr>
          <w:rFonts w:ascii="Arial" w:hAnsi="Arial" w:cs="Arial"/>
          <w:lang w:val="en-ZA"/>
        </w:rPr>
      </w:pPr>
      <w:r>
        <w:rPr>
          <w:rFonts w:ascii="Arial" w:hAnsi="Arial" w:cs="Arial"/>
          <w:lang w:val="en-ZA"/>
        </w:rPr>
        <w:t>it must be supported by affidavit evidence, unless otherwise stated in the Act or by an order of the High Court.’</w:t>
      </w:r>
    </w:p>
  </w:footnote>
  <w:footnote w:id="19">
    <w:p w:rsidR="006670E2" w:rsidRPr="00F3634C" w:rsidRDefault="006670E2" w:rsidP="00F3634C">
      <w:pPr>
        <w:pStyle w:val="FootnoteText"/>
        <w:jc w:val="both"/>
        <w:rPr>
          <w:rFonts w:ascii="Arial" w:hAnsi="Arial" w:cs="Arial"/>
          <w:lang w:val="en-ZA"/>
        </w:rPr>
      </w:pPr>
      <w:r w:rsidRPr="00A63075">
        <w:rPr>
          <w:rStyle w:val="FootnoteReference"/>
          <w:rFonts w:ascii="Arial" w:hAnsi="Arial" w:cs="Arial"/>
        </w:rPr>
        <w:footnoteRef/>
      </w:r>
      <w:r>
        <w:t xml:space="preserve"> </w:t>
      </w:r>
      <w:r w:rsidRPr="009101B3">
        <w:rPr>
          <w:rFonts w:ascii="Arial" w:hAnsi="Arial" w:cs="Arial"/>
        </w:rPr>
        <w:t>Footnote 1</w:t>
      </w:r>
      <w:r>
        <w:rPr>
          <w:rFonts w:ascii="Arial" w:hAnsi="Arial" w:cs="Arial"/>
        </w:rPr>
        <w:t>3</w:t>
      </w:r>
      <w:r w:rsidRPr="009101B3">
        <w:rPr>
          <w:rFonts w:ascii="Arial" w:hAnsi="Arial" w:cs="Arial"/>
        </w:rPr>
        <w:t xml:space="preserve"> above</w:t>
      </w:r>
      <w:r w:rsidRPr="009101B3">
        <w:rPr>
          <w:rFonts w:ascii="Arial" w:hAnsi="Arial" w:cs="Arial"/>
          <w:lang w:val="en-ZA"/>
        </w:rPr>
        <w:t>.</w:t>
      </w:r>
    </w:p>
  </w:footnote>
  <w:footnote w:id="20">
    <w:p w:rsidR="006670E2" w:rsidRPr="00F3634C" w:rsidRDefault="006670E2" w:rsidP="00F3634C">
      <w:pPr>
        <w:pStyle w:val="FootnoteText"/>
        <w:jc w:val="both"/>
        <w:rPr>
          <w:rFonts w:ascii="Arial" w:hAnsi="Arial" w:cs="Arial"/>
          <w:lang w:val="en-ZA"/>
        </w:rPr>
      </w:pPr>
      <w:r w:rsidRPr="00A63075">
        <w:rPr>
          <w:rStyle w:val="FootnoteReference"/>
          <w:rFonts w:ascii="Arial" w:hAnsi="Arial" w:cs="Arial"/>
        </w:rPr>
        <w:footnoteRef/>
      </w:r>
      <w:r w:rsidRPr="00A63075">
        <w:rPr>
          <w:rFonts w:ascii="Arial" w:hAnsi="Arial" w:cs="Arial"/>
        </w:rPr>
        <w:t xml:space="preserve"> </w:t>
      </w:r>
      <w:r>
        <w:rPr>
          <w:rFonts w:ascii="Arial" w:hAnsi="Arial" w:cs="Arial"/>
          <w:lang w:val="en-ZA"/>
        </w:rPr>
        <w:t>Footnote 4 above.</w:t>
      </w:r>
    </w:p>
  </w:footnote>
  <w:footnote w:id="21">
    <w:p w:rsidR="006670E2" w:rsidRPr="009245BD" w:rsidRDefault="006670E2" w:rsidP="009245BD">
      <w:pPr>
        <w:pStyle w:val="FootnoteText"/>
        <w:jc w:val="both"/>
        <w:rPr>
          <w:rFonts w:ascii="Arial" w:hAnsi="Arial" w:cs="Arial"/>
          <w:lang w:val="en-ZA"/>
        </w:rPr>
      </w:pPr>
      <w:r w:rsidRPr="00A63075">
        <w:rPr>
          <w:rStyle w:val="FootnoteReference"/>
          <w:rFonts w:ascii="Arial" w:hAnsi="Arial" w:cs="Arial"/>
        </w:rPr>
        <w:footnoteRef/>
      </w:r>
      <w:r>
        <w:t xml:space="preserve"> </w:t>
      </w:r>
      <w:r>
        <w:rPr>
          <w:rFonts w:ascii="Arial" w:hAnsi="Arial" w:cs="Arial"/>
          <w:lang w:val="en-ZA"/>
        </w:rPr>
        <w:t>Ibid at 901B-C para 31.</w:t>
      </w:r>
    </w:p>
  </w:footnote>
  <w:footnote w:id="22">
    <w:p w:rsidR="006670E2" w:rsidRPr="0069012C" w:rsidRDefault="006670E2" w:rsidP="0069012C">
      <w:pPr>
        <w:pStyle w:val="FootnoteText"/>
        <w:jc w:val="both"/>
        <w:rPr>
          <w:rFonts w:ascii="Arial" w:hAnsi="Arial" w:cs="Arial"/>
          <w:lang w:val="en-ZA"/>
        </w:rPr>
      </w:pPr>
      <w:r w:rsidRPr="00A63075">
        <w:rPr>
          <w:rStyle w:val="FootnoteReference"/>
          <w:rFonts w:ascii="Arial" w:hAnsi="Arial" w:cs="Arial"/>
        </w:rPr>
        <w:footnoteRef/>
      </w:r>
      <w:r>
        <w:t xml:space="preserve"> </w:t>
      </w:r>
      <w:r>
        <w:rPr>
          <w:rFonts w:ascii="Arial" w:hAnsi="Arial" w:cs="Arial"/>
          <w:lang w:val="en-ZA"/>
        </w:rPr>
        <w:t>2018 (2) SACR 176 (SCA).</w:t>
      </w:r>
    </w:p>
  </w:footnote>
  <w:footnote w:id="23">
    <w:p w:rsidR="006670E2" w:rsidRPr="003C74D8" w:rsidRDefault="006670E2" w:rsidP="0069012C">
      <w:pPr>
        <w:pStyle w:val="FootnoteText"/>
        <w:jc w:val="both"/>
        <w:rPr>
          <w:rFonts w:ascii="Arial" w:hAnsi="Arial" w:cs="Arial"/>
          <w:lang w:val="en-ZA"/>
        </w:rPr>
      </w:pPr>
      <w:r w:rsidRPr="00A63075">
        <w:rPr>
          <w:rStyle w:val="FootnoteReference"/>
          <w:rFonts w:ascii="Arial" w:hAnsi="Arial" w:cs="Arial"/>
        </w:rPr>
        <w:footnoteRef/>
      </w:r>
      <w:r>
        <w:t xml:space="preserve"> </w:t>
      </w:r>
      <w:r>
        <w:rPr>
          <w:rFonts w:ascii="Arial" w:hAnsi="Arial" w:cs="Arial"/>
        </w:rPr>
        <w:t xml:space="preserve">‘[22] The court </w:t>
      </w:r>
      <w:r w:rsidRPr="007C0FAD">
        <w:rPr>
          <w:rFonts w:ascii="Arial" w:hAnsi="Arial" w:cs="Arial"/>
          <w:i/>
        </w:rPr>
        <w:t>a quo</w:t>
      </w:r>
      <w:r>
        <w:rPr>
          <w:rFonts w:ascii="Arial" w:hAnsi="Arial" w:cs="Arial"/>
          <w:i/>
        </w:rPr>
        <w:t xml:space="preserve"> </w:t>
      </w:r>
      <w:r>
        <w:rPr>
          <w:rFonts w:ascii="Arial" w:hAnsi="Arial" w:cs="Arial"/>
        </w:rPr>
        <w:t xml:space="preserve">said further, “[s]ection 38(1) gives the NDPP discretionary power to approach the court on </w:t>
      </w:r>
      <w:r w:rsidRPr="00462E4B">
        <w:rPr>
          <w:rFonts w:ascii="Arial" w:hAnsi="Arial" w:cs="Arial"/>
        </w:rPr>
        <w:t>ex parte</w:t>
      </w:r>
      <w:r>
        <w:rPr>
          <w:rFonts w:ascii="Arial" w:hAnsi="Arial" w:cs="Arial"/>
          <w:i/>
        </w:rPr>
        <w:t xml:space="preserve"> </w:t>
      </w:r>
      <w:r>
        <w:rPr>
          <w:rFonts w:ascii="Arial" w:hAnsi="Arial" w:cs="Arial"/>
        </w:rPr>
        <w:t xml:space="preserve">and in camera for preservation of property order. Such discretionary power must be exercised properly based on the facts of each case. Abuse of the section ought to be discouraged. In others words, utilization of an </w:t>
      </w:r>
      <w:r w:rsidRPr="00462E4B">
        <w:rPr>
          <w:rFonts w:ascii="Arial" w:hAnsi="Arial" w:cs="Arial"/>
        </w:rPr>
        <w:t>ex parte</w:t>
      </w:r>
      <w:r>
        <w:rPr>
          <w:rFonts w:ascii="Arial" w:hAnsi="Arial" w:cs="Arial"/>
        </w:rPr>
        <w:t xml:space="preserve"> application as a matter of must and right may not get the pleasure of the court unless there are facts justifying the bringing of any application on </w:t>
      </w:r>
      <w:r w:rsidRPr="00A63075">
        <w:rPr>
          <w:rFonts w:ascii="Arial" w:hAnsi="Arial" w:cs="Arial"/>
          <w:i/>
        </w:rPr>
        <w:t>ex parte</w:t>
      </w:r>
      <w:r>
        <w:rPr>
          <w:rFonts w:ascii="Arial" w:hAnsi="Arial" w:cs="Arial"/>
          <w:i/>
        </w:rPr>
        <w:t xml:space="preserve"> </w:t>
      </w:r>
      <w:r>
        <w:rPr>
          <w:rFonts w:ascii="Arial" w:hAnsi="Arial" w:cs="Arial"/>
        </w:rPr>
        <w:t xml:space="preserve">and or in camera.” Furthermore, the court </w:t>
      </w:r>
      <w:r w:rsidRPr="00B303CA">
        <w:rPr>
          <w:rFonts w:ascii="Arial" w:hAnsi="Arial" w:cs="Arial"/>
        </w:rPr>
        <w:t>a quo</w:t>
      </w:r>
      <w:r>
        <w:rPr>
          <w:rFonts w:ascii="Arial" w:hAnsi="Arial" w:cs="Arial"/>
          <w:i/>
        </w:rPr>
        <w:t xml:space="preserve"> </w:t>
      </w:r>
      <w:r>
        <w:rPr>
          <w:rFonts w:ascii="Arial" w:hAnsi="Arial" w:cs="Arial"/>
        </w:rPr>
        <w:t>went on to say “[a]s I said, bringing the present application in terms of s 38 for possible forfeiture under s 48 read with section 50 of the POCA without giving notice, amounts to an abuse”.’</w:t>
      </w:r>
    </w:p>
  </w:footnote>
  <w:footnote w:id="24">
    <w:p w:rsidR="006670E2" w:rsidRPr="003C74D8" w:rsidRDefault="006670E2" w:rsidP="003C74D8">
      <w:pPr>
        <w:pStyle w:val="FootnoteText"/>
        <w:jc w:val="both"/>
        <w:rPr>
          <w:rFonts w:ascii="Arial" w:hAnsi="Arial" w:cs="Arial"/>
          <w:lang w:val="en-ZA"/>
        </w:rPr>
      </w:pPr>
      <w:r w:rsidRPr="00A63075">
        <w:rPr>
          <w:rStyle w:val="FootnoteReference"/>
          <w:rFonts w:ascii="Arial" w:hAnsi="Arial" w:cs="Arial"/>
        </w:rPr>
        <w:footnoteRef/>
      </w:r>
      <w:r w:rsidRPr="00A63075">
        <w:rPr>
          <w:rFonts w:ascii="Arial" w:hAnsi="Arial" w:cs="Arial"/>
        </w:rPr>
        <w:t xml:space="preserve"> </w:t>
      </w:r>
      <w:r>
        <w:rPr>
          <w:rFonts w:ascii="Arial" w:hAnsi="Arial" w:cs="Arial"/>
          <w:lang w:val="en-ZA"/>
        </w:rPr>
        <w:t>2001 (2) SACR 1 (T).</w:t>
      </w:r>
    </w:p>
  </w:footnote>
  <w:footnote w:id="25">
    <w:p w:rsidR="006670E2" w:rsidRPr="00C51B16" w:rsidRDefault="006670E2" w:rsidP="00C51B16">
      <w:pPr>
        <w:pStyle w:val="FootnoteText"/>
        <w:jc w:val="both"/>
        <w:rPr>
          <w:rFonts w:ascii="Arial" w:hAnsi="Arial" w:cs="Arial"/>
          <w:lang w:val="en-ZA"/>
        </w:rPr>
      </w:pPr>
      <w:r w:rsidRPr="00591209">
        <w:rPr>
          <w:rStyle w:val="FootnoteReference"/>
          <w:rFonts w:ascii="Arial" w:hAnsi="Arial" w:cs="Arial"/>
        </w:rPr>
        <w:footnoteRef/>
      </w:r>
      <w:r w:rsidRPr="00591209">
        <w:rPr>
          <w:rFonts w:ascii="Arial" w:hAnsi="Arial" w:cs="Arial"/>
        </w:rPr>
        <w:t xml:space="preserve"> </w:t>
      </w:r>
      <w:r w:rsidRPr="009101B3">
        <w:rPr>
          <w:rFonts w:ascii="Arial" w:hAnsi="Arial" w:cs="Arial"/>
          <w:i/>
          <w:lang w:val="en-ZA"/>
        </w:rPr>
        <w:t>National Director of Public Prosecution</w:t>
      </w:r>
      <w:r>
        <w:rPr>
          <w:rFonts w:ascii="Arial" w:hAnsi="Arial" w:cs="Arial"/>
          <w:i/>
          <w:lang w:val="en-ZA"/>
        </w:rPr>
        <w:t>s</w:t>
      </w:r>
      <w:r w:rsidRPr="009101B3">
        <w:rPr>
          <w:rFonts w:ascii="Arial" w:hAnsi="Arial" w:cs="Arial"/>
          <w:i/>
          <w:lang w:val="en-ZA"/>
        </w:rPr>
        <w:t xml:space="preserve"> v Mohamed NO </w:t>
      </w:r>
      <w:r>
        <w:rPr>
          <w:rFonts w:ascii="Arial" w:hAnsi="Arial" w:cs="Arial"/>
          <w:i/>
          <w:lang w:val="en-ZA"/>
        </w:rPr>
        <w:t>&amp;</w:t>
      </w:r>
      <w:r w:rsidRPr="009101B3">
        <w:rPr>
          <w:rFonts w:ascii="Arial" w:hAnsi="Arial" w:cs="Arial"/>
          <w:i/>
          <w:lang w:val="en-ZA"/>
        </w:rPr>
        <w:t xml:space="preserve"> others</w:t>
      </w:r>
      <w:r>
        <w:rPr>
          <w:rFonts w:ascii="Arial" w:hAnsi="Arial" w:cs="Arial"/>
          <w:lang w:val="en-ZA"/>
        </w:rPr>
        <w:t xml:space="preserve"> 2003 (4) SA 1 (CC).</w:t>
      </w:r>
    </w:p>
  </w:footnote>
  <w:footnote w:id="26">
    <w:p w:rsidR="006670E2" w:rsidRPr="00C51B16" w:rsidRDefault="006670E2" w:rsidP="00C51B16">
      <w:pPr>
        <w:pStyle w:val="FootnoteText"/>
        <w:jc w:val="both"/>
        <w:rPr>
          <w:rFonts w:ascii="Arial" w:hAnsi="Arial" w:cs="Arial"/>
          <w:lang w:val="en-ZA"/>
        </w:rPr>
      </w:pPr>
      <w:r w:rsidRPr="00591209">
        <w:rPr>
          <w:rStyle w:val="FootnoteReference"/>
          <w:rFonts w:ascii="Arial" w:hAnsi="Arial" w:cs="Arial"/>
        </w:rPr>
        <w:footnoteRef/>
      </w:r>
      <w:r w:rsidRPr="00591209">
        <w:rPr>
          <w:rFonts w:ascii="Arial" w:hAnsi="Arial" w:cs="Arial"/>
        </w:rPr>
        <w:t xml:space="preserve"> </w:t>
      </w:r>
      <w:r>
        <w:rPr>
          <w:rFonts w:ascii="Arial" w:hAnsi="Arial" w:cs="Arial"/>
          <w:lang w:val="en-ZA"/>
        </w:rPr>
        <w:t xml:space="preserve">Ibid, para 27, see also </w:t>
      </w:r>
      <w:r w:rsidRPr="00E80BAA">
        <w:rPr>
          <w:rFonts w:ascii="Arial" w:hAnsi="Arial" w:cs="Arial"/>
          <w:i/>
          <w:lang w:val="en-ZA"/>
        </w:rPr>
        <w:t>Simross Vintners (Pty) Ltd v Vermeulen</w:t>
      </w:r>
      <w:r>
        <w:rPr>
          <w:rFonts w:ascii="Arial" w:hAnsi="Arial" w:cs="Arial"/>
          <w:lang w:val="en-ZA"/>
        </w:rPr>
        <w:t xml:space="preserve"> 1978 (1) SA 779 (T) at 783B.</w:t>
      </w:r>
    </w:p>
  </w:footnote>
  <w:footnote w:id="27">
    <w:p w:rsidR="006670E2" w:rsidRPr="002B0C6A" w:rsidRDefault="006670E2" w:rsidP="00E80BAA">
      <w:pPr>
        <w:pStyle w:val="FootnoteText"/>
        <w:jc w:val="both"/>
        <w:rPr>
          <w:rFonts w:ascii="Arial" w:hAnsi="Arial" w:cs="Arial"/>
          <w:lang w:val="en-ZA"/>
        </w:rPr>
      </w:pPr>
      <w:r w:rsidRPr="00591209">
        <w:rPr>
          <w:rStyle w:val="FootnoteReference"/>
          <w:rFonts w:ascii="Arial" w:hAnsi="Arial" w:cs="Arial"/>
        </w:rPr>
        <w:footnoteRef/>
      </w:r>
      <w:r>
        <w:t xml:space="preserve"> </w:t>
      </w:r>
      <w:r>
        <w:rPr>
          <w:rFonts w:ascii="Arial" w:hAnsi="Arial" w:cs="Arial"/>
        </w:rPr>
        <w:t>Ibid, para 33.</w:t>
      </w:r>
    </w:p>
  </w:footnote>
  <w:footnote w:id="28">
    <w:p w:rsidR="006670E2" w:rsidRPr="00E16714" w:rsidRDefault="006670E2" w:rsidP="00E16714">
      <w:pPr>
        <w:pStyle w:val="FootnoteText"/>
        <w:jc w:val="both"/>
        <w:rPr>
          <w:rFonts w:ascii="Arial" w:hAnsi="Arial" w:cs="Arial"/>
          <w:lang w:val="en-ZA"/>
        </w:rPr>
      </w:pPr>
      <w:r w:rsidRPr="00591209">
        <w:rPr>
          <w:rStyle w:val="FootnoteReference"/>
          <w:rFonts w:ascii="Arial" w:hAnsi="Arial" w:cs="Arial"/>
        </w:rPr>
        <w:footnoteRef/>
      </w:r>
      <w:r w:rsidRPr="00591209">
        <w:rPr>
          <w:rFonts w:ascii="Arial" w:hAnsi="Arial" w:cs="Arial"/>
        </w:rPr>
        <w:t xml:space="preserve"> </w:t>
      </w:r>
      <w:r>
        <w:rPr>
          <w:rFonts w:ascii="Arial" w:hAnsi="Arial" w:cs="Arial"/>
        </w:rPr>
        <w:t>Ibid.</w:t>
      </w:r>
    </w:p>
  </w:footnote>
  <w:footnote w:id="29">
    <w:p w:rsidR="006670E2" w:rsidRPr="00B0106B" w:rsidRDefault="006670E2" w:rsidP="00B0106B">
      <w:pPr>
        <w:pStyle w:val="FootnoteText"/>
        <w:jc w:val="both"/>
        <w:rPr>
          <w:rFonts w:ascii="Arial" w:hAnsi="Arial" w:cs="Arial"/>
          <w:lang w:val="en-ZA"/>
        </w:rPr>
      </w:pPr>
      <w:r w:rsidRPr="00591209">
        <w:rPr>
          <w:rStyle w:val="FootnoteReference"/>
          <w:rFonts w:ascii="Arial" w:hAnsi="Arial" w:cs="Arial"/>
        </w:rPr>
        <w:footnoteRef/>
      </w:r>
      <w:r>
        <w:t xml:space="preserve"> </w:t>
      </w:r>
      <w:r w:rsidRPr="00B0106B">
        <w:rPr>
          <w:rFonts w:ascii="Arial" w:hAnsi="Arial" w:cs="Arial"/>
          <w:i/>
          <w:lang w:val="en-ZA"/>
        </w:rPr>
        <w:t>R v Ngwevela</w:t>
      </w:r>
      <w:r>
        <w:rPr>
          <w:rFonts w:ascii="Arial" w:hAnsi="Arial" w:cs="Arial"/>
          <w:lang w:val="en-ZA"/>
        </w:rPr>
        <w:t xml:space="preserve"> 1954 (1) SA 123 (A) at 131B-C.</w:t>
      </w:r>
    </w:p>
  </w:footnote>
  <w:footnote w:id="30">
    <w:p w:rsidR="006670E2" w:rsidRPr="009101B3" w:rsidRDefault="006670E2" w:rsidP="009101B3">
      <w:pPr>
        <w:pStyle w:val="FootnoteText"/>
        <w:jc w:val="both"/>
        <w:rPr>
          <w:rFonts w:ascii="Arial" w:hAnsi="Arial" w:cs="Arial"/>
          <w:lang w:val="en-ZA"/>
        </w:rPr>
      </w:pPr>
      <w:r w:rsidRPr="00591209">
        <w:rPr>
          <w:rStyle w:val="FootnoteReference"/>
          <w:rFonts w:ascii="Arial" w:hAnsi="Arial" w:cs="Arial"/>
        </w:rPr>
        <w:footnoteRef/>
      </w:r>
      <w:r w:rsidRPr="00591209">
        <w:rPr>
          <w:rFonts w:ascii="Arial" w:hAnsi="Arial" w:cs="Arial"/>
        </w:rPr>
        <w:t xml:space="preserve"> </w:t>
      </w:r>
      <w:r>
        <w:rPr>
          <w:rFonts w:ascii="Arial" w:hAnsi="Arial" w:cs="Arial"/>
          <w:lang w:val="en-ZA"/>
        </w:rPr>
        <w:t xml:space="preserve">See para 25 of </w:t>
      </w:r>
      <w:r w:rsidRPr="006D7C50">
        <w:rPr>
          <w:rFonts w:ascii="Arial" w:hAnsi="Arial" w:cs="Arial"/>
          <w:i/>
          <w:lang w:val="en-ZA"/>
        </w:rPr>
        <w:t>Uuyuni</w:t>
      </w:r>
      <w:r>
        <w:rPr>
          <w:rFonts w:ascii="Arial" w:hAnsi="Arial" w:cs="Arial"/>
          <w:lang w:val="en-ZA"/>
        </w:rPr>
        <w:t xml:space="preserve"> above and the extracts from the High Court </w:t>
      </w:r>
      <w:r w:rsidRPr="006D7C50">
        <w:rPr>
          <w:rFonts w:ascii="Arial" w:hAnsi="Arial" w:cs="Arial"/>
          <w:i/>
          <w:lang w:val="en-ZA"/>
        </w:rPr>
        <w:t xml:space="preserve">Uuyuni </w:t>
      </w:r>
      <w:r>
        <w:rPr>
          <w:rFonts w:ascii="Arial" w:hAnsi="Arial" w:cs="Arial"/>
          <w:lang w:val="en-ZA"/>
        </w:rPr>
        <w:t xml:space="preserve">reported as </w:t>
      </w:r>
      <w:r w:rsidRPr="00234B6A">
        <w:rPr>
          <w:rFonts w:ascii="Arial" w:hAnsi="Arial" w:cs="Arial"/>
          <w:i/>
          <w:lang w:val="en-ZA"/>
        </w:rPr>
        <w:t>Prosecutor-General v Uuyuni</w:t>
      </w:r>
      <w:r>
        <w:rPr>
          <w:rFonts w:ascii="Arial" w:hAnsi="Arial" w:cs="Arial"/>
          <w:lang w:val="en-ZA"/>
        </w:rPr>
        <w:t xml:space="preserve"> 2014 (1) NR 105 (HC) paras 45-93.</w:t>
      </w:r>
    </w:p>
  </w:footnote>
  <w:footnote w:id="31">
    <w:p w:rsidR="006670E2" w:rsidRPr="0024195A" w:rsidRDefault="006670E2" w:rsidP="007F7B5D">
      <w:pPr>
        <w:pStyle w:val="FootnoteText"/>
        <w:jc w:val="both"/>
        <w:rPr>
          <w:rFonts w:ascii="Arial" w:hAnsi="Arial" w:cs="Arial"/>
          <w:lang w:val="en-ZA"/>
        </w:rPr>
      </w:pPr>
      <w:r w:rsidRPr="00591209">
        <w:rPr>
          <w:rStyle w:val="FootnoteReference"/>
          <w:rFonts w:ascii="Arial" w:hAnsi="Arial" w:cs="Arial"/>
        </w:rPr>
        <w:footnoteRef/>
      </w:r>
      <w:r>
        <w:t xml:space="preserve"> </w:t>
      </w:r>
      <w:r>
        <w:rPr>
          <w:rFonts w:ascii="Arial" w:hAnsi="Arial" w:cs="Arial"/>
          <w:lang w:val="en-ZA"/>
        </w:rPr>
        <w:t>Footnote 7 above at 196G.</w:t>
      </w:r>
    </w:p>
  </w:footnote>
  <w:footnote w:id="32">
    <w:p w:rsidR="006670E2" w:rsidRPr="0095245A" w:rsidRDefault="006670E2" w:rsidP="0095245A">
      <w:pPr>
        <w:pStyle w:val="FootnoteText"/>
        <w:jc w:val="both"/>
        <w:rPr>
          <w:rFonts w:ascii="Arial" w:hAnsi="Arial" w:cs="Arial"/>
          <w:lang w:val="en-ZA"/>
        </w:rPr>
      </w:pPr>
      <w:r w:rsidRPr="008E516D">
        <w:rPr>
          <w:rStyle w:val="FootnoteReference"/>
          <w:rFonts w:ascii="Arial" w:hAnsi="Arial" w:cs="Arial"/>
        </w:rPr>
        <w:footnoteRef/>
      </w:r>
      <w:r w:rsidRPr="008E516D">
        <w:rPr>
          <w:rFonts w:ascii="Arial" w:hAnsi="Arial" w:cs="Arial"/>
        </w:rPr>
        <w:t xml:space="preserve"> </w:t>
      </w:r>
      <w:r>
        <w:rPr>
          <w:rFonts w:ascii="Arial" w:hAnsi="Arial" w:cs="Arial"/>
          <w:lang w:val="en-ZA"/>
        </w:rPr>
        <w:t>Footnote 25 para 32.</w:t>
      </w:r>
    </w:p>
  </w:footnote>
  <w:footnote w:id="33">
    <w:p w:rsidR="006670E2" w:rsidRPr="004576AA" w:rsidRDefault="006670E2" w:rsidP="004576AA">
      <w:pPr>
        <w:pStyle w:val="FootnoteText"/>
        <w:jc w:val="both"/>
        <w:rPr>
          <w:rFonts w:ascii="Arial" w:hAnsi="Arial" w:cs="Arial"/>
          <w:lang w:val="en-ZA"/>
        </w:rPr>
      </w:pPr>
      <w:r w:rsidRPr="008E516D">
        <w:rPr>
          <w:rStyle w:val="FootnoteReference"/>
          <w:rFonts w:ascii="Arial" w:hAnsi="Arial" w:cs="Arial"/>
        </w:rPr>
        <w:footnoteRef/>
      </w:r>
      <w:r w:rsidRPr="008E516D">
        <w:rPr>
          <w:rFonts w:ascii="Arial" w:hAnsi="Arial" w:cs="Arial"/>
        </w:rPr>
        <w:t xml:space="preserve"> </w:t>
      </w:r>
      <w:r>
        <w:rPr>
          <w:rFonts w:ascii="Arial" w:hAnsi="Arial" w:cs="Arial"/>
          <w:i/>
        </w:rPr>
        <w:t xml:space="preserve">De Beer NO v North-Central Local Council and South-Central Council &amp; others (Umhlatuzana Civic Association Intervening) </w:t>
      </w:r>
      <w:r>
        <w:rPr>
          <w:rFonts w:ascii="Arial" w:hAnsi="Arial" w:cs="Arial"/>
        </w:rPr>
        <w:t>2001 (11) BCLR 1109 (CC) 2002 (1) SA 429 (CC) para 11.</w:t>
      </w:r>
    </w:p>
  </w:footnote>
  <w:footnote w:id="34">
    <w:p w:rsidR="006670E2" w:rsidRPr="0024195A" w:rsidRDefault="006670E2" w:rsidP="0024195A">
      <w:pPr>
        <w:pStyle w:val="FootnoteText"/>
        <w:jc w:val="both"/>
        <w:rPr>
          <w:rFonts w:ascii="Arial" w:hAnsi="Arial" w:cs="Arial"/>
          <w:lang w:val="en-ZA"/>
        </w:rPr>
      </w:pPr>
      <w:r w:rsidRPr="008E516D">
        <w:rPr>
          <w:rStyle w:val="FootnoteReference"/>
          <w:rFonts w:ascii="Arial" w:hAnsi="Arial" w:cs="Arial"/>
        </w:rPr>
        <w:footnoteRef/>
      </w:r>
      <w:r w:rsidRPr="008E516D">
        <w:rPr>
          <w:rFonts w:ascii="Arial" w:hAnsi="Arial" w:cs="Arial"/>
        </w:rPr>
        <w:t xml:space="preserve"> </w:t>
      </w:r>
      <w:r>
        <w:rPr>
          <w:rFonts w:ascii="Arial" w:hAnsi="Arial" w:cs="Arial"/>
          <w:lang w:val="en-ZA"/>
        </w:rPr>
        <w:t>Footnote 7 at 196F, para 20.</w:t>
      </w:r>
    </w:p>
  </w:footnote>
  <w:footnote w:id="35">
    <w:p w:rsidR="006670E2" w:rsidRPr="001219F0" w:rsidRDefault="006670E2" w:rsidP="001219F0">
      <w:pPr>
        <w:pStyle w:val="FootnoteText"/>
        <w:jc w:val="both"/>
        <w:rPr>
          <w:rFonts w:ascii="Arial" w:hAnsi="Arial" w:cs="Arial"/>
          <w:lang w:val="en-ZA"/>
        </w:rPr>
      </w:pPr>
      <w:r w:rsidRPr="006670E2">
        <w:rPr>
          <w:rStyle w:val="FootnoteReference"/>
          <w:rFonts w:ascii="Arial" w:hAnsi="Arial" w:cs="Arial"/>
        </w:rPr>
        <w:footnoteRef/>
      </w:r>
      <w:r>
        <w:t xml:space="preserve"> </w:t>
      </w:r>
      <w:r>
        <w:rPr>
          <w:rFonts w:ascii="Arial" w:hAnsi="Arial" w:cs="Arial"/>
          <w:lang w:val="en-ZA"/>
        </w:rPr>
        <w:t>Footnote 25, para 37 and the authorities cited in note 34.</w:t>
      </w:r>
    </w:p>
  </w:footnote>
  <w:footnote w:id="36">
    <w:p w:rsidR="006670E2" w:rsidRPr="001219F0" w:rsidRDefault="006670E2" w:rsidP="001219F0">
      <w:pPr>
        <w:pStyle w:val="FootnoteText"/>
        <w:jc w:val="both"/>
        <w:rPr>
          <w:rFonts w:ascii="Arial" w:hAnsi="Arial" w:cs="Arial"/>
          <w:lang w:val="en-ZA"/>
        </w:rPr>
      </w:pPr>
      <w:r w:rsidRPr="006670E2">
        <w:rPr>
          <w:rStyle w:val="FootnoteReference"/>
          <w:rFonts w:ascii="Arial" w:hAnsi="Arial" w:cs="Arial"/>
        </w:rPr>
        <w:footnoteRef/>
      </w:r>
      <w:r w:rsidRPr="006670E2">
        <w:rPr>
          <w:rFonts w:ascii="Arial" w:hAnsi="Arial" w:cs="Arial"/>
        </w:rPr>
        <w:t xml:space="preserve"> </w:t>
      </w:r>
      <w:r>
        <w:rPr>
          <w:rFonts w:ascii="Arial" w:hAnsi="Arial" w:cs="Arial"/>
          <w:lang w:val="en-ZA"/>
        </w:rPr>
        <w:t>Ibid para 41 and the reference to Maxwell on the Interpretation of Statutes 2 ed (Sweet &amp; Maxell 1962) by Roy Wilson and Brian Calpin in footnote 41.</w:t>
      </w:r>
    </w:p>
  </w:footnote>
  <w:footnote w:id="37">
    <w:p w:rsidR="006670E2" w:rsidRPr="00041F04" w:rsidRDefault="006670E2" w:rsidP="00041F04">
      <w:pPr>
        <w:pStyle w:val="FootnoteText"/>
        <w:jc w:val="both"/>
        <w:rPr>
          <w:rFonts w:ascii="Arial" w:hAnsi="Arial" w:cs="Arial"/>
          <w:lang w:val="en-ZA"/>
        </w:rPr>
      </w:pPr>
      <w:r w:rsidRPr="006670E2">
        <w:rPr>
          <w:rStyle w:val="FootnoteReference"/>
          <w:rFonts w:ascii="Arial" w:hAnsi="Arial" w:cs="Arial"/>
        </w:rPr>
        <w:footnoteRef/>
      </w:r>
      <w:r w:rsidRPr="006670E2">
        <w:rPr>
          <w:rFonts w:ascii="Arial" w:hAnsi="Arial" w:cs="Arial"/>
        </w:rPr>
        <w:t xml:space="preserve"> </w:t>
      </w:r>
      <w:r>
        <w:rPr>
          <w:rFonts w:ascii="Arial" w:hAnsi="Arial" w:cs="Arial"/>
          <w:lang w:val="en-ZA"/>
        </w:rPr>
        <w:t>Section 53(1).</w:t>
      </w:r>
    </w:p>
  </w:footnote>
  <w:footnote w:id="38">
    <w:p w:rsidR="006670E2" w:rsidRPr="002B104F" w:rsidRDefault="006670E2" w:rsidP="00216572">
      <w:pPr>
        <w:pStyle w:val="FootnoteText"/>
        <w:jc w:val="both"/>
        <w:rPr>
          <w:rFonts w:ascii="Arial" w:hAnsi="Arial" w:cs="Arial"/>
        </w:rPr>
      </w:pPr>
      <w:r w:rsidRPr="006670E2">
        <w:rPr>
          <w:rStyle w:val="FootnoteReference"/>
          <w:rFonts w:ascii="Arial" w:hAnsi="Arial" w:cs="Arial"/>
        </w:rPr>
        <w:footnoteRef/>
      </w:r>
      <w:r>
        <w:t xml:space="preserve"> </w:t>
      </w:r>
      <w:r w:rsidRPr="002B104F">
        <w:rPr>
          <w:rFonts w:ascii="Arial" w:hAnsi="Arial" w:cs="Arial"/>
        </w:rPr>
        <w:t>2013 (1) NR 205 (SC), para 28, Strydom AJA said:-</w:t>
      </w:r>
    </w:p>
    <w:p w:rsidR="006670E2" w:rsidRDefault="006670E2" w:rsidP="00A566DD">
      <w:pPr>
        <w:pStyle w:val="FootnoteText"/>
        <w:ind w:left="720"/>
        <w:jc w:val="both"/>
        <w:rPr>
          <w:rFonts w:ascii="Arial" w:hAnsi="Arial" w:cs="Arial"/>
        </w:rPr>
      </w:pPr>
    </w:p>
    <w:p w:rsidR="006670E2" w:rsidRPr="002B104F" w:rsidRDefault="006670E2" w:rsidP="00A566DD">
      <w:pPr>
        <w:pStyle w:val="FootnoteText"/>
        <w:ind w:left="720"/>
        <w:jc w:val="both"/>
        <w:rPr>
          <w:rFonts w:ascii="Arial" w:hAnsi="Arial" w:cs="Arial"/>
          <w:lang w:val="en-ZA"/>
        </w:rPr>
      </w:pPr>
      <w:r>
        <w:rPr>
          <w:rFonts w:ascii="Arial" w:hAnsi="Arial" w:cs="Arial"/>
        </w:rPr>
        <w:t>‘</w:t>
      </w:r>
      <w:r w:rsidRPr="002B104F">
        <w:rPr>
          <w:rFonts w:ascii="Arial" w:hAnsi="Arial" w:cs="Arial"/>
        </w:rPr>
        <w:t xml:space="preserve">[28] In Namibia, as in other divisions in South Africa (see </w:t>
      </w:r>
      <w:r w:rsidRPr="002B104F">
        <w:rPr>
          <w:rFonts w:ascii="Arial" w:hAnsi="Arial" w:cs="Arial"/>
          <w:i/>
        </w:rPr>
        <w:t xml:space="preserve">IL &amp; B Marcow Caterers (Pty) Ltd v Greatermans SA Ltd </w:t>
      </w:r>
      <w:r>
        <w:rPr>
          <w:rFonts w:ascii="Arial" w:hAnsi="Arial" w:cs="Arial"/>
          <w:i/>
        </w:rPr>
        <w:t>&amp;</w:t>
      </w:r>
      <w:r w:rsidRPr="002B104F">
        <w:rPr>
          <w:rFonts w:ascii="Arial" w:hAnsi="Arial" w:cs="Arial"/>
          <w:i/>
        </w:rPr>
        <w:t xml:space="preserve"> </w:t>
      </w:r>
      <w:r>
        <w:rPr>
          <w:rFonts w:ascii="Arial" w:hAnsi="Arial" w:cs="Arial"/>
          <w:i/>
        </w:rPr>
        <w:t>a</w:t>
      </w:r>
      <w:r w:rsidRPr="002B104F">
        <w:rPr>
          <w:rFonts w:ascii="Arial" w:hAnsi="Arial" w:cs="Arial"/>
          <w:i/>
        </w:rPr>
        <w:t xml:space="preserve">nother; Aroma Inn (Pty) Ltd v Hypermarkets (Pty) Ltd </w:t>
      </w:r>
      <w:r>
        <w:rPr>
          <w:rFonts w:ascii="Arial" w:hAnsi="Arial" w:cs="Arial"/>
          <w:i/>
        </w:rPr>
        <w:t>&amp;</w:t>
      </w:r>
      <w:r w:rsidRPr="002B104F">
        <w:rPr>
          <w:rFonts w:ascii="Arial" w:hAnsi="Arial" w:cs="Arial"/>
          <w:i/>
        </w:rPr>
        <w:t xml:space="preserve"> </w:t>
      </w:r>
      <w:r>
        <w:rPr>
          <w:rFonts w:ascii="Arial" w:hAnsi="Arial" w:cs="Arial"/>
          <w:i/>
        </w:rPr>
        <w:t>a</w:t>
      </w:r>
      <w:r w:rsidRPr="002B104F">
        <w:rPr>
          <w:rFonts w:ascii="Arial" w:hAnsi="Arial" w:cs="Arial"/>
          <w:i/>
        </w:rPr>
        <w:t xml:space="preserve">nother </w:t>
      </w:r>
      <w:r w:rsidRPr="002B104F">
        <w:rPr>
          <w:rFonts w:ascii="Arial" w:hAnsi="Arial" w:cs="Arial"/>
        </w:rPr>
        <w:t>1981 (4) SA 108 (C) at 110G), and as was also submitted by Ms Schneider, an urgent application generally starts with a prayer for condonation with the non-compliance with the rules of the court, particularly in regard to the form in which the application is brought and the limited time or service whereby notice of the application is given to the other party. Where a court refuses to condone non-compliance with the rules that is, generally speaking, the end of that particular process unless the court gives other directions regarding its prosecution or unless the parties otherwise agree. Because there was no adjudication on the merits of the disputes between the parties, a litigant may, now in the ordinary course and using the prescribed form, bring such dispute before the court. However, once the matter is struck from the roll for lack of urgency, it is no longer part of the litigious process and an application is left with various options which he can choose from. He can again use the affidavit evidence which supported the urgent application but he will have to adapt his notice of motion</w:t>
      </w:r>
      <w:r>
        <w:t xml:space="preserve"> to now comply with the </w:t>
      </w:r>
      <w:r w:rsidRPr="002B104F">
        <w:rPr>
          <w:rFonts w:ascii="Arial" w:hAnsi="Arial" w:cs="Arial"/>
        </w:rPr>
        <w:t xml:space="preserve">rules in regard to forms and times prescribed for delivery of a notice to oppose, delivery of answering affidavits etc. He could bring a totally new application or he may choose to take no further steps. In this particular instance the applicant chose to bring a new application based on fresh affidavits and, in my opinion, it could do so without risking a plea of </w:t>
      </w:r>
      <w:r w:rsidRPr="002B104F">
        <w:rPr>
          <w:rFonts w:ascii="Arial" w:hAnsi="Arial" w:cs="Arial"/>
          <w:i/>
        </w:rPr>
        <w:t xml:space="preserve">lis alibi pendens </w:t>
      </w:r>
      <w:r>
        <w:rPr>
          <w:rFonts w:ascii="Arial" w:hAnsi="Arial" w:cs="Arial"/>
        </w:rPr>
        <w:t xml:space="preserve">because the urgent application was struck from the roll and was no longer a pending lis. (See in this regard </w:t>
      </w:r>
      <w:r>
        <w:rPr>
          <w:rFonts w:ascii="Arial" w:hAnsi="Arial" w:cs="Arial"/>
          <w:i/>
        </w:rPr>
        <w:t>Mahlangu &amp; another v Van Eeden and Another</w:t>
      </w:r>
      <w:r>
        <w:rPr>
          <w:rFonts w:ascii="Arial" w:hAnsi="Arial" w:cs="Arial"/>
        </w:rPr>
        <w:t xml:space="preserve"> [2000] 3 All SA 321 (LCC) at 335 para 25 and </w:t>
      </w:r>
      <w:r>
        <w:rPr>
          <w:rFonts w:ascii="Arial" w:hAnsi="Arial" w:cs="Arial"/>
          <w:i/>
        </w:rPr>
        <w:t xml:space="preserve">Commissioner, South African Revenue Services v Howker Air Services (Pty) Ltd; Commissioner, South African Revenue Service v Hawker Aviation Partnership </w:t>
      </w:r>
      <w:r w:rsidR="008E516D">
        <w:rPr>
          <w:rFonts w:ascii="Arial" w:hAnsi="Arial" w:cs="Arial"/>
          <w:i/>
        </w:rPr>
        <w:t>&amp;</w:t>
      </w:r>
      <w:r>
        <w:rPr>
          <w:rFonts w:ascii="Arial" w:hAnsi="Arial" w:cs="Arial"/>
          <w:i/>
        </w:rPr>
        <w:t xml:space="preserve"> other </w:t>
      </w:r>
      <w:r>
        <w:rPr>
          <w:rFonts w:ascii="Arial" w:hAnsi="Arial" w:cs="Arial"/>
        </w:rPr>
        <w:t>2006 (4) SA 292 (SCA) ([2006) 2 All SA 565) at para 9.) Another indication that the matter, once struck from the roll, was not alive, is that whatever choice an applicant should make, it would again have to serve that process on the other party.’</w:t>
      </w:r>
    </w:p>
  </w:footnote>
  <w:footnote w:id="39">
    <w:p w:rsidR="006670E2" w:rsidRPr="001500F7" w:rsidRDefault="006670E2" w:rsidP="00C56FE0">
      <w:pPr>
        <w:pStyle w:val="ListParagraph"/>
        <w:tabs>
          <w:tab w:val="left" w:pos="851"/>
        </w:tabs>
        <w:spacing w:after="0" w:line="360" w:lineRule="auto"/>
        <w:ind w:left="0"/>
        <w:jc w:val="both"/>
        <w:rPr>
          <w:rFonts w:ascii="Arial" w:hAnsi="Arial" w:cs="Arial"/>
          <w:sz w:val="20"/>
          <w:szCs w:val="20"/>
        </w:rPr>
      </w:pPr>
      <w:r w:rsidRPr="006670E2">
        <w:rPr>
          <w:rStyle w:val="FootnoteReference"/>
          <w:rFonts w:ascii="Arial" w:hAnsi="Arial" w:cs="Arial"/>
          <w:sz w:val="20"/>
          <w:szCs w:val="20"/>
        </w:rPr>
        <w:footnoteRef/>
      </w:r>
      <w:r>
        <w:t xml:space="preserve"> </w:t>
      </w:r>
      <w:r w:rsidRPr="001500F7">
        <w:rPr>
          <w:rFonts w:ascii="Arial" w:hAnsi="Arial" w:cs="Arial"/>
          <w:sz w:val="20"/>
          <w:szCs w:val="20"/>
        </w:rPr>
        <w:t>‘Intervention by Centre</w:t>
      </w:r>
    </w:p>
    <w:p w:rsidR="006670E2" w:rsidRPr="001500F7" w:rsidRDefault="006670E2" w:rsidP="001500F7">
      <w:pPr>
        <w:pStyle w:val="ListParagraph"/>
        <w:tabs>
          <w:tab w:val="left" w:pos="567"/>
        </w:tabs>
        <w:spacing w:after="0" w:line="240" w:lineRule="auto"/>
        <w:ind w:left="567"/>
        <w:jc w:val="both"/>
        <w:rPr>
          <w:rFonts w:ascii="Arial" w:hAnsi="Arial" w:cs="Arial"/>
          <w:sz w:val="20"/>
          <w:szCs w:val="20"/>
        </w:rPr>
      </w:pPr>
      <w:r w:rsidRPr="001500F7">
        <w:rPr>
          <w:rFonts w:ascii="Arial" w:hAnsi="Arial" w:cs="Arial"/>
          <w:sz w:val="20"/>
          <w:szCs w:val="20"/>
        </w:rPr>
        <w:t>42. (1) If the Centre, after consulting an accountable or reporting institution, has reasonable grounds to suspect that a transaction or a proposed transaction may involve the proceeds of unlawful activities or may constitute money laundering or the financing of terrorism; it may direct the accountable or reporting institution in writing not to proceed with the carrying out of that transaction or any other transaction in respect of the funds affected by that transaction or proposed transaction for a period determined by the Centre, which may not be more than 12 working days, in order to allow the Centre-</w:t>
      </w:r>
    </w:p>
    <w:p w:rsidR="006670E2" w:rsidRPr="001500F7" w:rsidRDefault="006670E2" w:rsidP="001500F7">
      <w:pPr>
        <w:pStyle w:val="ListParagraph"/>
        <w:tabs>
          <w:tab w:val="left" w:pos="851"/>
        </w:tabs>
        <w:spacing w:after="0" w:line="240" w:lineRule="auto"/>
        <w:ind w:left="0"/>
        <w:jc w:val="both"/>
        <w:rPr>
          <w:rFonts w:ascii="Arial" w:hAnsi="Arial" w:cs="Arial"/>
          <w:sz w:val="20"/>
          <w:szCs w:val="20"/>
        </w:rPr>
      </w:pPr>
    </w:p>
    <w:p w:rsidR="006670E2" w:rsidRPr="001500F7" w:rsidRDefault="006670E2" w:rsidP="000D004C">
      <w:pPr>
        <w:pStyle w:val="ListParagraph"/>
        <w:numPr>
          <w:ilvl w:val="0"/>
          <w:numId w:val="11"/>
        </w:numPr>
        <w:tabs>
          <w:tab w:val="left" w:pos="851"/>
        </w:tabs>
        <w:spacing w:after="0" w:line="240" w:lineRule="auto"/>
        <w:ind w:hanging="648"/>
        <w:jc w:val="both"/>
        <w:rPr>
          <w:rFonts w:ascii="Arial" w:hAnsi="Arial" w:cs="Arial"/>
          <w:sz w:val="20"/>
          <w:szCs w:val="20"/>
        </w:rPr>
      </w:pPr>
      <w:r w:rsidRPr="001500F7">
        <w:rPr>
          <w:rFonts w:ascii="Arial" w:hAnsi="Arial" w:cs="Arial"/>
          <w:sz w:val="20"/>
          <w:szCs w:val="20"/>
        </w:rPr>
        <w:t>to make the necessary inquiries concerning the transaction; and</w:t>
      </w:r>
    </w:p>
    <w:p w:rsidR="006670E2" w:rsidRPr="001500F7" w:rsidRDefault="006670E2" w:rsidP="001500F7">
      <w:pPr>
        <w:pStyle w:val="ListParagraph"/>
        <w:tabs>
          <w:tab w:val="left" w:pos="851"/>
        </w:tabs>
        <w:spacing w:after="0" w:line="240" w:lineRule="auto"/>
        <w:ind w:left="1215"/>
        <w:jc w:val="both"/>
        <w:rPr>
          <w:rFonts w:ascii="Arial" w:hAnsi="Arial" w:cs="Arial"/>
          <w:sz w:val="20"/>
          <w:szCs w:val="20"/>
        </w:rPr>
      </w:pPr>
    </w:p>
    <w:p w:rsidR="006670E2" w:rsidRPr="001500F7" w:rsidRDefault="006670E2" w:rsidP="000D004C">
      <w:pPr>
        <w:pStyle w:val="ListParagraph"/>
        <w:numPr>
          <w:ilvl w:val="0"/>
          <w:numId w:val="11"/>
        </w:numPr>
        <w:tabs>
          <w:tab w:val="left" w:pos="851"/>
        </w:tabs>
        <w:spacing w:after="0" w:line="240" w:lineRule="auto"/>
        <w:ind w:left="851" w:hanging="284"/>
        <w:jc w:val="both"/>
        <w:rPr>
          <w:rFonts w:ascii="Arial" w:hAnsi="Arial" w:cs="Arial"/>
          <w:sz w:val="20"/>
          <w:szCs w:val="20"/>
        </w:rPr>
      </w:pPr>
      <w:r w:rsidRPr="001500F7">
        <w:rPr>
          <w:rFonts w:ascii="Arial" w:hAnsi="Arial" w:cs="Arial"/>
          <w:sz w:val="20"/>
          <w:szCs w:val="20"/>
        </w:rPr>
        <w:t>if the Centre thinks it appropriate, to inform and advise an investigating authority or the Prosecutor-General.’</w:t>
      </w:r>
    </w:p>
    <w:p w:rsidR="006670E2" w:rsidRPr="00C56FE0" w:rsidRDefault="006670E2" w:rsidP="00C56FE0">
      <w:pPr>
        <w:pStyle w:val="FootnoteText"/>
        <w:jc w:val="both"/>
        <w:rPr>
          <w:rFonts w:ascii="Arial" w:hAnsi="Arial" w:cs="Arial"/>
          <w:lang w:val="en-ZA"/>
        </w:rPr>
      </w:pPr>
    </w:p>
  </w:footnote>
  <w:footnote w:id="40">
    <w:p w:rsidR="006670E2" w:rsidRPr="0044355C" w:rsidRDefault="006670E2" w:rsidP="00024A3B">
      <w:pPr>
        <w:pStyle w:val="FootnoteText"/>
        <w:jc w:val="both"/>
        <w:rPr>
          <w:rFonts w:ascii="Arial" w:hAnsi="Arial" w:cs="Arial"/>
        </w:rPr>
      </w:pPr>
      <w:r w:rsidRPr="0044355C">
        <w:rPr>
          <w:rStyle w:val="FootnoteReference"/>
          <w:rFonts w:ascii="Arial" w:hAnsi="Arial" w:cs="Arial"/>
        </w:rPr>
        <w:footnoteRef/>
      </w:r>
      <w:r w:rsidRPr="0044355C">
        <w:rPr>
          <w:rFonts w:ascii="Arial" w:hAnsi="Arial" w:cs="Arial"/>
        </w:rPr>
        <w:t xml:space="preserve"> See footnote 1 at 953H-954A-E; </w:t>
      </w:r>
      <w:r w:rsidR="00F83BF4">
        <w:rPr>
          <w:rFonts w:ascii="Arial" w:hAnsi="Arial" w:cs="Arial"/>
          <w:i/>
        </w:rPr>
        <w:t>Prosecutor General v Lameck &amp;</w:t>
      </w:r>
      <w:r w:rsidRPr="0044355C">
        <w:rPr>
          <w:rFonts w:ascii="Arial" w:hAnsi="Arial" w:cs="Arial"/>
          <w:i/>
        </w:rPr>
        <w:t xml:space="preserve"> others</w:t>
      </w:r>
      <w:r w:rsidRPr="0044355C">
        <w:rPr>
          <w:rFonts w:ascii="Arial" w:hAnsi="Arial" w:cs="Arial"/>
        </w:rPr>
        <w:t xml:space="preserve"> 2010 (1) NR 156 (HC) at 167J-168A-F. In </w:t>
      </w:r>
      <w:r w:rsidRPr="0044355C">
        <w:rPr>
          <w:rFonts w:ascii="Arial" w:hAnsi="Arial" w:cs="Arial"/>
          <w:i/>
        </w:rPr>
        <w:t>Schlessinger v Schlessinger</w:t>
      </w:r>
      <w:r w:rsidRPr="0044355C">
        <w:rPr>
          <w:rFonts w:ascii="Arial" w:hAnsi="Arial" w:cs="Arial"/>
        </w:rPr>
        <w:t xml:space="preserve"> 1979 (4) SA 342 (W) at 349A-B the </w:t>
      </w:r>
      <w:r w:rsidRPr="0044355C">
        <w:rPr>
          <w:rFonts w:ascii="Arial" w:hAnsi="Arial" w:cs="Arial"/>
          <w:i/>
        </w:rPr>
        <w:t>uberrima fides</w:t>
      </w:r>
      <w:r w:rsidRPr="0044355C">
        <w:rPr>
          <w:rFonts w:ascii="Arial" w:hAnsi="Arial" w:cs="Arial"/>
        </w:rPr>
        <w:t xml:space="preserve"> rule principles are formulated as follows:</w:t>
      </w:r>
    </w:p>
    <w:p w:rsidR="006670E2" w:rsidRPr="0044355C" w:rsidRDefault="006670E2" w:rsidP="00024A3B">
      <w:pPr>
        <w:pStyle w:val="FootnoteText"/>
        <w:jc w:val="both"/>
        <w:rPr>
          <w:rFonts w:ascii="Arial" w:hAnsi="Arial" w:cs="Arial"/>
        </w:rPr>
      </w:pPr>
    </w:p>
    <w:p w:rsidR="006670E2" w:rsidRPr="0044355C" w:rsidRDefault="006670E2" w:rsidP="00FC3796">
      <w:pPr>
        <w:pStyle w:val="FootnoteText"/>
        <w:ind w:left="720"/>
        <w:jc w:val="both"/>
        <w:rPr>
          <w:rFonts w:ascii="Arial" w:hAnsi="Arial" w:cs="Arial"/>
        </w:rPr>
      </w:pPr>
      <w:r w:rsidRPr="0044355C">
        <w:rPr>
          <w:rFonts w:ascii="Arial" w:hAnsi="Arial" w:cs="Arial"/>
        </w:rPr>
        <w:t>‘(1)</w:t>
      </w:r>
      <w:r w:rsidRPr="0044355C">
        <w:rPr>
          <w:rFonts w:ascii="Arial" w:hAnsi="Arial" w:cs="Arial"/>
        </w:rPr>
        <w:tab/>
        <w:t xml:space="preserve">(I)n </w:t>
      </w:r>
      <w:r w:rsidRPr="0044355C">
        <w:rPr>
          <w:rFonts w:ascii="Arial" w:hAnsi="Arial" w:cs="Arial"/>
          <w:i/>
        </w:rPr>
        <w:t xml:space="preserve">ex parte </w:t>
      </w:r>
      <w:r w:rsidRPr="0044355C">
        <w:rPr>
          <w:rFonts w:ascii="Arial" w:hAnsi="Arial" w:cs="Arial"/>
        </w:rPr>
        <w:t>applications all material facts must be disclosed which might influence a court in coming to a decision;</w:t>
      </w:r>
    </w:p>
    <w:p w:rsidR="006670E2" w:rsidRPr="0044355C" w:rsidRDefault="006670E2" w:rsidP="00FC3796">
      <w:pPr>
        <w:pStyle w:val="FootnoteText"/>
        <w:ind w:left="720"/>
        <w:jc w:val="both"/>
        <w:rPr>
          <w:rFonts w:ascii="Arial" w:hAnsi="Arial" w:cs="Arial"/>
        </w:rPr>
      </w:pPr>
      <w:r w:rsidRPr="0044355C">
        <w:rPr>
          <w:rFonts w:ascii="Arial" w:hAnsi="Arial" w:cs="Arial"/>
        </w:rPr>
        <w:t>(2)</w:t>
      </w:r>
      <w:r w:rsidRPr="0044355C">
        <w:rPr>
          <w:rFonts w:ascii="Arial" w:hAnsi="Arial" w:cs="Arial"/>
        </w:rPr>
        <w:tab/>
        <w:t xml:space="preserve">the non-disclosure or suppression of facts need not be willful or </w:t>
      </w:r>
      <w:r w:rsidRPr="0044355C">
        <w:rPr>
          <w:rFonts w:ascii="Arial" w:hAnsi="Arial" w:cs="Arial"/>
          <w:i/>
        </w:rPr>
        <w:t xml:space="preserve">mala fide </w:t>
      </w:r>
      <w:r w:rsidRPr="0044355C">
        <w:rPr>
          <w:rFonts w:ascii="Arial" w:hAnsi="Arial" w:cs="Arial"/>
        </w:rPr>
        <w:t xml:space="preserve">to incur the penalty of rescission [ie order obtained </w:t>
      </w:r>
      <w:r w:rsidRPr="0044355C">
        <w:rPr>
          <w:rFonts w:ascii="Arial" w:hAnsi="Arial" w:cs="Arial"/>
          <w:i/>
        </w:rPr>
        <w:t>ex parte</w:t>
      </w:r>
      <w:r w:rsidRPr="0044355C">
        <w:rPr>
          <w:rFonts w:ascii="Arial" w:hAnsi="Arial" w:cs="Arial"/>
        </w:rPr>
        <w:t>]; and</w:t>
      </w:r>
    </w:p>
    <w:p w:rsidR="006670E2" w:rsidRPr="0044355C" w:rsidRDefault="006670E2" w:rsidP="00FC3796">
      <w:pPr>
        <w:pStyle w:val="FootnoteText"/>
        <w:ind w:left="720"/>
        <w:jc w:val="both"/>
        <w:rPr>
          <w:rFonts w:ascii="Arial" w:hAnsi="Arial" w:cs="Arial"/>
          <w:lang w:val="en-ZA"/>
        </w:rPr>
      </w:pPr>
      <w:r w:rsidRPr="0044355C">
        <w:rPr>
          <w:rFonts w:ascii="Arial" w:hAnsi="Arial" w:cs="Arial"/>
        </w:rPr>
        <w:t>(3)</w:t>
      </w:r>
      <w:r w:rsidRPr="0044355C">
        <w:rPr>
          <w:rFonts w:ascii="Arial" w:hAnsi="Arial" w:cs="Arial"/>
        </w:rPr>
        <w:tab/>
        <w:t>the Court, apprised of the true facts, has a discretion to set aside the former order or to preserve it.’</w:t>
      </w:r>
    </w:p>
  </w:footnote>
  <w:footnote w:id="41">
    <w:p w:rsidR="006670E2" w:rsidRPr="0044355C" w:rsidRDefault="006670E2" w:rsidP="00834E69">
      <w:pPr>
        <w:pStyle w:val="FootnoteText"/>
        <w:jc w:val="both"/>
        <w:rPr>
          <w:rFonts w:ascii="Arial" w:hAnsi="Arial" w:cs="Arial"/>
          <w:lang w:val="en-ZA"/>
        </w:rPr>
      </w:pPr>
      <w:r w:rsidRPr="0044355C">
        <w:rPr>
          <w:rStyle w:val="FootnoteReference"/>
          <w:rFonts w:ascii="Arial" w:hAnsi="Arial" w:cs="Arial"/>
        </w:rPr>
        <w:footnoteRef/>
      </w:r>
      <w:r w:rsidRPr="0044355C">
        <w:rPr>
          <w:rFonts w:ascii="Arial" w:hAnsi="Arial" w:cs="Arial"/>
        </w:rPr>
        <w:t xml:space="preserve"> Footnote 7 above</w:t>
      </w:r>
      <w:r w:rsidRPr="0044355C">
        <w:rPr>
          <w:rFonts w:ascii="Arial" w:hAnsi="Arial" w:cs="Arial"/>
          <w:lang w:val="en-ZA"/>
        </w:rPr>
        <w:t xml:space="preserve"> at 196J.</w:t>
      </w:r>
    </w:p>
  </w:footnote>
  <w:footnote w:id="42">
    <w:p w:rsidR="006670E2" w:rsidRPr="0044355C" w:rsidRDefault="006670E2" w:rsidP="003A1468">
      <w:pPr>
        <w:pStyle w:val="FootnoteText"/>
        <w:jc w:val="both"/>
        <w:rPr>
          <w:rFonts w:ascii="Arial" w:hAnsi="Arial" w:cs="Arial"/>
          <w:lang w:val="en-ZA"/>
        </w:rPr>
      </w:pPr>
      <w:r w:rsidRPr="0044355C">
        <w:rPr>
          <w:rStyle w:val="FootnoteReference"/>
          <w:rFonts w:ascii="Arial" w:hAnsi="Arial" w:cs="Arial"/>
        </w:rPr>
        <w:footnoteRef/>
      </w:r>
      <w:r w:rsidRPr="0044355C">
        <w:rPr>
          <w:rFonts w:ascii="Arial" w:hAnsi="Arial" w:cs="Arial"/>
        </w:rPr>
        <w:t xml:space="preserve"> </w:t>
      </w:r>
      <w:r w:rsidRPr="0044355C">
        <w:rPr>
          <w:rFonts w:ascii="Arial" w:hAnsi="Arial" w:cs="Arial"/>
          <w:lang w:val="en-ZA"/>
        </w:rPr>
        <w:t>Ibid at 197E.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E2" w:rsidRPr="007D275A" w:rsidRDefault="006670E2">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51711A">
      <w:rPr>
        <w:rFonts w:ascii="Arial" w:hAnsi="Arial" w:cs="Arial"/>
        <w:noProof/>
        <w:sz w:val="24"/>
        <w:szCs w:val="24"/>
      </w:rPr>
      <w:t>20</w:t>
    </w:r>
    <w:r w:rsidRPr="007D275A">
      <w:rPr>
        <w:rFonts w:ascii="Arial" w:hAnsi="Arial" w:cs="Arial"/>
        <w:noProof/>
        <w:sz w:val="24"/>
        <w:szCs w:val="24"/>
      </w:rPr>
      <w:fldChar w:fldCharType="end"/>
    </w:r>
  </w:p>
  <w:p w:rsidR="006670E2" w:rsidRDefault="00667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9AA"/>
    <w:multiLevelType w:val="hybridMultilevel"/>
    <w:tmpl w:val="87460986"/>
    <w:lvl w:ilvl="0" w:tplc="EE1095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E0A3A14"/>
    <w:multiLevelType w:val="hybridMultilevel"/>
    <w:tmpl w:val="6F84BF0E"/>
    <w:lvl w:ilvl="0" w:tplc="EEC454A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FFF5E4C"/>
    <w:multiLevelType w:val="hybridMultilevel"/>
    <w:tmpl w:val="33964B3E"/>
    <w:lvl w:ilvl="0" w:tplc="6CAA32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30C4E2B"/>
    <w:multiLevelType w:val="hybridMultilevel"/>
    <w:tmpl w:val="DA709CAE"/>
    <w:lvl w:ilvl="0" w:tplc="8870BC8E">
      <w:start w:val="1"/>
      <w:numFmt w:val="decimal"/>
      <w:lvlText w:val="[%1]"/>
      <w:lvlJc w:val="left"/>
      <w:pPr>
        <w:ind w:left="753" w:hanging="360"/>
      </w:pPr>
      <w:rPr>
        <w:rFonts w:hint="default"/>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4" w15:restartNumberingAfterBreak="0">
    <w:nsid w:val="273027EC"/>
    <w:multiLevelType w:val="hybridMultilevel"/>
    <w:tmpl w:val="1BB8A1C4"/>
    <w:lvl w:ilvl="0" w:tplc="0B4A54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9137520"/>
    <w:multiLevelType w:val="hybridMultilevel"/>
    <w:tmpl w:val="5872756C"/>
    <w:lvl w:ilvl="0" w:tplc="6CAA32B8">
      <w:start w:val="1"/>
      <w:numFmt w:val="lowerRoman"/>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6" w15:restartNumberingAfterBreak="0">
    <w:nsid w:val="2D525314"/>
    <w:multiLevelType w:val="hybridMultilevel"/>
    <w:tmpl w:val="35B6F268"/>
    <w:lvl w:ilvl="0" w:tplc="256644A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FDE2057"/>
    <w:multiLevelType w:val="hybridMultilevel"/>
    <w:tmpl w:val="F822F7BE"/>
    <w:lvl w:ilvl="0" w:tplc="CCF0AAB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D4118B9"/>
    <w:multiLevelType w:val="hybridMultilevel"/>
    <w:tmpl w:val="DFFA0A04"/>
    <w:lvl w:ilvl="0" w:tplc="3A924900">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15:restartNumberingAfterBreak="0">
    <w:nsid w:val="42A44D66"/>
    <w:multiLevelType w:val="multilevel"/>
    <w:tmpl w:val="1B20DB5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62D979DA"/>
    <w:multiLevelType w:val="hybridMultilevel"/>
    <w:tmpl w:val="12F82404"/>
    <w:lvl w:ilvl="0" w:tplc="D61683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3B02977"/>
    <w:multiLevelType w:val="hybridMultilevel"/>
    <w:tmpl w:val="09EC2864"/>
    <w:lvl w:ilvl="0" w:tplc="A9E41976">
      <w:start w:val="1"/>
      <w:numFmt w:val="decimal"/>
      <w:lvlText w:val="%1."/>
      <w:lvlJc w:val="left"/>
      <w:pPr>
        <w:ind w:left="1436" w:hanging="585"/>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6565311D"/>
    <w:multiLevelType w:val="hybridMultilevel"/>
    <w:tmpl w:val="4C42DFBA"/>
    <w:lvl w:ilvl="0" w:tplc="160667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CC81297"/>
    <w:multiLevelType w:val="hybridMultilevel"/>
    <w:tmpl w:val="7280F0FA"/>
    <w:lvl w:ilvl="0" w:tplc="C63685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2"/>
  </w:num>
  <w:num w:numId="4">
    <w:abstractNumId w:val="6"/>
  </w:num>
  <w:num w:numId="5">
    <w:abstractNumId w:val="7"/>
  </w:num>
  <w:num w:numId="6">
    <w:abstractNumId w:val="1"/>
  </w:num>
  <w:num w:numId="7">
    <w:abstractNumId w:val="10"/>
  </w:num>
  <w:num w:numId="8">
    <w:abstractNumId w:val="9"/>
  </w:num>
  <w:num w:numId="9">
    <w:abstractNumId w:val="13"/>
  </w:num>
  <w:num w:numId="10">
    <w:abstractNumId w:val="5"/>
  </w:num>
  <w:num w:numId="11">
    <w:abstractNumId w:val="8"/>
  </w:num>
  <w:num w:numId="12">
    <w:abstractNumId w:val="11"/>
  </w:num>
  <w:num w:numId="13">
    <w:abstractNumId w:val="4"/>
  </w:num>
  <w:num w:numId="14">
    <w:abstractNumId w:val="1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4663"/>
    <w:rsid w:val="000056DD"/>
    <w:rsid w:val="000075ED"/>
    <w:rsid w:val="000109F7"/>
    <w:rsid w:val="00011295"/>
    <w:rsid w:val="000114D6"/>
    <w:rsid w:val="00011BE4"/>
    <w:rsid w:val="00012D8E"/>
    <w:rsid w:val="00012F9A"/>
    <w:rsid w:val="00014936"/>
    <w:rsid w:val="00014C1B"/>
    <w:rsid w:val="0001606C"/>
    <w:rsid w:val="00017960"/>
    <w:rsid w:val="000203EA"/>
    <w:rsid w:val="00022738"/>
    <w:rsid w:val="00024A3B"/>
    <w:rsid w:val="000261BE"/>
    <w:rsid w:val="00026D2D"/>
    <w:rsid w:val="00026E7F"/>
    <w:rsid w:val="00027493"/>
    <w:rsid w:val="00033303"/>
    <w:rsid w:val="000335A8"/>
    <w:rsid w:val="0003398A"/>
    <w:rsid w:val="000349E2"/>
    <w:rsid w:val="000412C2"/>
    <w:rsid w:val="00041473"/>
    <w:rsid w:val="00041F04"/>
    <w:rsid w:val="00042093"/>
    <w:rsid w:val="00042266"/>
    <w:rsid w:val="000435E6"/>
    <w:rsid w:val="00043FC8"/>
    <w:rsid w:val="000443C2"/>
    <w:rsid w:val="00044866"/>
    <w:rsid w:val="00047DE1"/>
    <w:rsid w:val="000517EE"/>
    <w:rsid w:val="00051AAC"/>
    <w:rsid w:val="000539F9"/>
    <w:rsid w:val="00053E84"/>
    <w:rsid w:val="00053F8E"/>
    <w:rsid w:val="00054C04"/>
    <w:rsid w:val="00055898"/>
    <w:rsid w:val="00056669"/>
    <w:rsid w:val="0006191B"/>
    <w:rsid w:val="00065103"/>
    <w:rsid w:val="00071598"/>
    <w:rsid w:val="00071968"/>
    <w:rsid w:val="00072608"/>
    <w:rsid w:val="000732C9"/>
    <w:rsid w:val="00077622"/>
    <w:rsid w:val="00077C37"/>
    <w:rsid w:val="00080620"/>
    <w:rsid w:val="00081435"/>
    <w:rsid w:val="0008226F"/>
    <w:rsid w:val="0008337A"/>
    <w:rsid w:val="000844B6"/>
    <w:rsid w:val="00084988"/>
    <w:rsid w:val="0008505C"/>
    <w:rsid w:val="00090FCB"/>
    <w:rsid w:val="000950EE"/>
    <w:rsid w:val="0009530A"/>
    <w:rsid w:val="000A099B"/>
    <w:rsid w:val="000A352D"/>
    <w:rsid w:val="000A468E"/>
    <w:rsid w:val="000A67C8"/>
    <w:rsid w:val="000B37BB"/>
    <w:rsid w:val="000B54B4"/>
    <w:rsid w:val="000B54FD"/>
    <w:rsid w:val="000B648D"/>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705B"/>
    <w:rsid w:val="000D004C"/>
    <w:rsid w:val="000D3777"/>
    <w:rsid w:val="000D3D5D"/>
    <w:rsid w:val="000D4DB9"/>
    <w:rsid w:val="000D7D44"/>
    <w:rsid w:val="000E06A7"/>
    <w:rsid w:val="000E32E8"/>
    <w:rsid w:val="000E35BF"/>
    <w:rsid w:val="000E4ACE"/>
    <w:rsid w:val="000E7CF5"/>
    <w:rsid w:val="000F05D6"/>
    <w:rsid w:val="000F130E"/>
    <w:rsid w:val="000F360F"/>
    <w:rsid w:val="000F4FD9"/>
    <w:rsid w:val="000F5E2D"/>
    <w:rsid w:val="000F5E43"/>
    <w:rsid w:val="000F6519"/>
    <w:rsid w:val="0010034D"/>
    <w:rsid w:val="0010087E"/>
    <w:rsid w:val="0010149F"/>
    <w:rsid w:val="001015D5"/>
    <w:rsid w:val="001018D5"/>
    <w:rsid w:val="0010217A"/>
    <w:rsid w:val="00102D32"/>
    <w:rsid w:val="00106FF0"/>
    <w:rsid w:val="0011108C"/>
    <w:rsid w:val="001110C4"/>
    <w:rsid w:val="00115AD8"/>
    <w:rsid w:val="00115BED"/>
    <w:rsid w:val="00115F0A"/>
    <w:rsid w:val="00117290"/>
    <w:rsid w:val="0012066B"/>
    <w:rsid w:val="00120E9E"/>
    <w:rsid w:val="001219F0"/>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3ACD"/>
    <w:rsid w:val="00145F71"/>
    <w:rsid w:val="00146D3C"/>
    <w:rsid w:val="001500F7"/>
    <w:rsid w:val="001520D7"/>
    <w:rsid w:val="0015481C"/>
    <w:rsid w:val="00155556"/>
    <w:rsid w:val="00156079"/>
    <w:rsid w:val="00160B72"/>
    <w:rsid w:val="001611CA"/>
    <w:rsid w:val="00161904"/>
    <w:rsid w:val="00161D63"/>
    <w:rsid w:val="0016358C"/>
    <w:rsid w:val="001644ED"/>
    <w:rsid w:val="001670B9"/>
    <w:rsid w:val="00170026"/>
    <w:rsid w:val="00170D20"/>
    <w:rsid w:val="00171FCD"/>
    <w:rsid w:val="00172435"/>
    <w:rsid w:val="00172D2D"/>
    <w:rsid w:val="0017353E"/>
    <w:rsid w:val="00175C15"/>
    <w:rsid w:val="00177CAF"/>
    <w:rsid w:val="00183D79"/>
    <w:rsid w:val="00190E9E"/>
    <w:rsid w:val="0019122B"/>
    <w:rsid w:val="00191A8B"/>
    <w:rsid w:val="00193430"/>
    <w:rsid w:val="00193E77"/>
    <w:rsid w:val="001961F4"/>
    <w:rsid w:val="001973B0"/>
    <w:rsid w:val="001A035F"/>
    <w:rsid w:val="001A0D97"/>
    <w:rsid w:val="001A0FBB"/>
    <w:rsid w:val="001A4CEA"/>
    <w:rsid w:val="001A4F7E"/>
    <w:rsid w:val="001A6DE8"/>
    <w:rsid w:val="001A7049"/>
    <w:rsid w:val="001A77BC"/>
    <w:rsid w:val="001B037C"/>
    <w:rsid w:val="001B2552"/>
    <w:rsid w:val="001B52DF"/>
    <w:rsid w:val="001B5B52"/>
    <w:rsid w:val="001B6E21"/>
    <w:rsid w:val="001B7AA6"/>
    <w:rsid w:val="001C5C0D"/>
    <w:rsid w:val="001C5FBE"/>
    <w:rsid w:val="001C748D"/>
    <w:rsid w:val="001D0702"/>
    <w:rsid w:val="001D0E27"/>
    <w:rsid w:val="001D1CB4"/>
    <w:rsid w:val="001D35DD"/>
    <w:rsid w:val="001D4E03"/>
    <w:rsid w:val="001E0ABD"/>
    <w:rsid w:val="001E0EAC"/>
    <w:rsid w:val="001E1A29"/>
    <w:rsid w:val="001E1CE1"/>
    <w:rsid w:val="001E1E59"/>
    <w:rsid w:val="001E2A5C"/>
    <w:rsid w:val="001E3FC8"/>
    <w:rsid w:val="001E79CD"/>
    <w:rsid w:val="001F05B2"/>
    <w:rsid w:val="001F4247"/>
    <w:rsid w:val="002001E4"/>
    <w:rsid w:val="00201D64"/>
    <w:rsid w:val="0020510D"/>
    <w:rsid w:val="002052EE"/>
    <w:rsid w:val="00205A2F"/>
    <w:rsid w:val="00206A27"/>
    <w:rsid w:val="002079F7"/>
    <w:rsid w:val="00212D44"/>
    <w:rsid w:val="0021378C"/>
    <w:rsid w:val="00214F6D"/>
    <w:rsid w:val="0021625B"/>
    <w:rsid w:val="002163B4"/>
    <w:rsid w:val="00216572"/>
    <w:rsid w:val="00226D3A"/>
    <w:rsid w:val="00227AF5"/>
    <w:rsid w:val="00227E14"/>
    <w:rsid w:val="00230A5D"/>
    <w:rsid w:val="00231D2C"/>
    <w:rsid w:val="002324C8"/>
    <w:rsid w:val="00232CEF"/>
    <w:rsid w:val="00233593"/>
    <w:rsid w:val="00234B6A"/>
    <w:rsid w:val="002371CD"/>
    <w:rsid w:val="00237CE1"/>
    <w:rsid w:val="0024195A"/>
    <w:rsid w:val="002437B8"/>
    <w:rsid w:val="00243E18"/>
    <w:rsid w:val="00244FA6"/>
    <w:rsid w:val="00245477"/>
    <w:rsid w:val="00246A1C"/>
    <w:rsid w:val="00250A30"/>
    <w:rsid w:val="0025125F"/>
    <w:rsid w:val="00253192"/>
    <w:rsid w:val="0025330F"/>
    <w:rsid w:val="002551B4"/>
    <w:rsid w:val="00255D6D"/>
    <w:rsid w:val="0025730F"/>
    <w:rsid w:val="0026089A"/>
    <w:rsid w:val="0026172A"/>
    <w:rsid w:val="00261E4D"/>
    <w:rsid w:val="0026325F"/>
    <w:rsid w:val="0026498E"/>
    <w:rsid w:val="00265AC1"/>
    <w:rsid w:val="00265AF1"/>
    <w:rsid w:val="00265BB4"/>
    <w:rsid w:val="00266306"/>
    <w:rsid w:val="00270C55"/>
    <w:rsid w:val="00275E18"/>
    <w:rsid w:val="00276169"/>
    <w:rsid w:val="0027621D"/>
    <w:rsid w:val="00276980"/>
    <w:rsid w:val="00276C05"/>
    <w:rsid w:val="00280AD9"/>
    <w:rsid w:val="0028553D"/>
    <w:rsid w:val="002907EA"/>
    <w:rsid w:val="00290C6E"/>
    <w:rsid w:val="0029393D"/>
    <w:rsid w:val="00294DB2"/>
    <w:rsid w:val="00295143"/>
    <w:rsid w:val="002A0C41"/>
    <w:rsid w:val="002A101A"/>
    <w:rsid w:val="002A14A3"/>
    <w:rsid w:val="002A1564"/>
    <w:rsid w:val="002A679D"/>
    <w:rsid w:val="002B0C6A"/>
    <w:rsid w:val="002B104F"/>
    <w:rsid w:val="002B178C"/>
    <w:rsid w:val="002B6884"/>
    <w:rsid w:val="002B6EDF"/>
    <w:rsid w:val="002B74FE"/>
    <w:rsid w:val="002C04BD"/>
    <w:rsid w:val="002C215D"/>
    <w:rsid w:val="002C3677"/>
    <w:rsid w:val="002C48A7"/>
    <w:rsid w:val="002C50CA"/>
    <w:rsid w:val="002C5EE0"/>
    <w:rsid w:val="002C60F9"/>
    <w:rsid w:val="002C7FC6"/>
    <w:rsid w:val="002D2B44"/>
    <w:rsid w:val="002D2F38"/>
    <w:rsid w:val="002D43A9"/>
    <w:rsid w:val="002D4FB4"/>
    <w:rsid w:val="002D588A"/>
    <w:rsid w:val="002E0196"/>
    <w:rsid w:val="002E39AB"/>
    <w:rsid w:val="002E7DA7"/>
    <w:rsid w:val="002F3C81"/>
    <w:rsid w:val="002F7D3A"/>
    <w:rsid w:val="003002B3"/>
    <w:rsid w:val="00301DEC"/>
    <w:rsid w:val="00303749"/>
    <w:rsid w:val="00303BAB"/>
    <w:rsid w:val="00304077"/>
    <w:rsid w:val="00304298"/>
    <w:rsid w:val="003075C0"/>
    <w:rsid w:val="00312D39"/>
    <w:rsid w:val="00313C44"/>
    <w:rsid w:val="00313EFC"/>
    <w:rsid w:val="0031400E"/>
    <w:rsid w:val="00315690"/>
    <w:rsid w:val="00317D01"/>
    <w:rsid w:val="003219FB"/>
    <w:rsid w:val="00322D83"/>
    <w:rsid w:val="003243BC"/>
    <w:rsid w:val="003247E0"/>
    <w:rsid w:val="00324C23"/>
    <w:rsid w:val="003273E7"/>
    <w:rsid w:val="003301DB"/>
    <w:rsid w:val="00330DF1"/>
    <w:rsid w:val="003315AC"/>
    <w:rsid w:val="00331FED"/>
    <w:rsid w:val="00332557"/>
    <w:rsid w:val="003336E3"/>
    <w:rsid w:val="003367F5"/>
    <w:rsid w:val="00336CF9"/>
    <w:rsid w:val="003415AB"/>
    <w:rsid w:val="0034163C"/>
    <w:rsid w:val="003424F0"/>
    <w:rsid w:val="00343FD9"/>
    <w:rsid w:val="00344B20"/>
    <w:rsid w:val="00345847"/>
    <w:rsid w:val="003527E0"/>
    <w:rsid w:val="0035463F"/>
    <w:rsid w:val="003555C6"/>
    <w:rsid w:val="0035728F"/>
    <w:rsid w:val="0035740A"/>
    <w:rsid w:val="00360E00"/>
    <w:rsid w:val="003611DE"/>
    <w:rsid w:val="00366980"/>
    <w:rsid w:val="0036701F"/>
    <w:rsid w:val="00371870"/>
    <w:rsid w:val="0037759E"/>
    <w:rsid w:val="0038405D"/>
    <w:rsid w:val="00387680"/>
    <w:rsid w:val="00387C9E"/>
    <w:rsid w:val="00390931"/>
    <w:rsid w:val="00391820"/>
    <w:rsid w:val="00391890"/>
    <w:rsid w:val="00392A95"/>
    <w:rsid w:val="00396275"/>
    <w:rsid w:val="003964B8"/>
    <w:rsid w:val="00396DFF"/>
    <w:rsid w:val="0039733A"/>
    <w:rsid w:val="003A04A7"/>
    <w:rsid w:val="003A0BBD"/>
    <w:rsid w:val="003A1468"/>
    <w:rsid w:val="003A292A"/>
    <w:rsid w:val="003A2D54"/>
    <w:rsid w:val="003A2EE9"/>
    <w:rsid w:val="003A7174"/>
    <w:rsid w:val="003B061F"/>
    <w:rsid w:val="003B306C"/>
    <w:rsid w:val="003B3395"/>
    <w:rsid w:val="003B45FF"/>
    <w:rsid w:val="003B53B4"/>
    <w:rsid w:val="003B5A28"/>
    <w:rsid w:val="003B6172"/>
    <w:rsid w:val="003C12B3"/>
    <w:rsid w:val="003C2010"/>
    <w:rsid w:val="003C29EB"/>
    <w:rsid w:val="003C2D83"/>
    <w:rsid w:val="003C2DCF"/>
    <w:rsid w:val="003C3419"/>
    <w:rsid w:val="003C3692"/>
    <w:rsid w:val="003C5129"/>
    <w:rsid w:val="003C74D8"/>
    <w:rsid w:val="003D0750"/>
    <w:rsid w:val="003D3B3D"/>
    <w:rsid w:val="003D485B"/>
    <w:rsid w:val="003D508C"/>
    <w:rsid w:val="003D590B"/>
    <w:rsid w:val="003D713A"/>
    <w:rsid w:val="003D7C0A"/>
    <w:rsid w:val="003E0101"/>
    <w:rsid w:val="003E232A"/>
    <w:rsid w:val="003E2D8E"/>
    <w:rsid w:val="003E43E0"/>
    <w:rsid w:val="003E52E0"/>
    <w:rsid w:val="003F65B1"/>
    <w:rsid w:val="003F6E03"/>
    <w:rsid w:val="003F7EC2"/>
    <w:rsid w:val="00402032"/>
    <w:rsid w:val="00402D08"/>
    <w:rsid w:val="004032A5"/>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7BC7"/>
    <w:rsid w:val="00430CF7"/>
    <w:rsid w:val="00430E24"/>
    <w:rsid w:val="00431028"/>
    <w:rsid w:val="004351FE"/>
    <w:rsid w:val="004412F6"/>
    <w:rsid w:val="0044355C"/>
    <w:rsid w:val="00443C1E"/>
    <w:rsid w:val="00450A85"/>
    <w:rsid w:val="00452EC5"/>
    <w:rsid w:val="00452F07"/>
    <w:rsid w:val="0045561C"/>
    <w:rsid w:val="00455681"/>
    <w:rsid w:val="0045604A"/>
    <w:rsid w:val="0045728B"/>
    <w:rsid w:val="004576AA"/>
    <w:rsid w:val="00457FE9"/>
    <w:rsid w:val="00461936"/>
    <w:rsid w:val="004627B4"/>
    <w:rsid w:val="00462D45"/>
    <w:rsid w:val="00462E4B"/>
    <w:rsid w:val="00462EC8"/>
    <w:rsid w:val="00463530"/>
    <w:rsid w:val="00463A77"/>
    <w:rsid w:val="00465752"/>
    <w:rsid w:val="00465EAB"/>
    <w:rsid w:val="00466144"/>
    <w:rsid w:val="00466472"/>
    <w:rsid w:val="00466B87"/>
    <w:rsid w:val="00470784"/>
    <w:rsid w:val="0047305B"/>
    <w:rsid w:val="00473332"/>
    <w:rsid w:val="00477E30"/>
    <w:rsid w:val="00480323"/>
    <w:rsid w:val="00480802"/>
    <w:rsid w:val="0048209A"/>
    <w:rsid w:val="00485F5B"/>
    <w:rsid w:val="00486796"/>
    <w:rsid w:val="00486E00"/>
    <w:rsid w:val="00493F6B"/>
    <w:rsid w:val="0049474F"/>
    <w:rsid w:val="0049484B"/>
    <w:rsid w:val="0049624D"/>
    <w:rsid w:val="00496BFB"/>
    <w:rsid w:val="00497861"/>
    <w:rsid w:val="00497E6D"/>
    <w:rsid w:val="004A3483"/>
    <w:rsid w:val="004A3F2E"/>
    <w:rsid w:val="004A4CE8"/>
    <w:rsid w:val="004A686F"/>
    <w:rsid w:val="004B04AA"/>
    <w:rsid w:val="004B0695"/>
    <w:rsid w:val="004B0C25"/>
    <w:rsid w:val="004B0EA3"/>
    <w:rsid w:val="004B1C5D"/>
    <w:rsid w:val="004B438D"/>
    <w:rsid w:val="004B480D"/>
    <w:rsid w:val="004B4EF9"/>
    <w:rsid w:val="004B5645"/>
    <w:rsid w:val="004C0BB9"/>
    <w:rsid w:val="004C4A7C"/>
    <w:rsid w:val="004C7704"/>
    <w:rsid w:val="004C7C08"/>
    <w:rsid w:val="004C7CBC"/>
    <w:rsid w:val="004C7D12"/>
    <w:rsid w:val="004D0315"/>
    <w:rsid w:val="004D0E88"/>
    <w:rsid w:val="004D43B1"/>
    <w:rsid w:val="004D4BA4"/>
    <w:rsid w:val="004D4E61"/>
    <w:rsid w:val="004D56B1"/>
    <w:rsid w:val="004E1D79"/>
    <w:rsid w:val="004E31CC"/>
    <w:rsid w:val="004E49F9"/>
    <w:rsid w:val="004E62C2"/>
    <w:rsid w:val="004E76BF"/>
    <w:rsid w:val="004E7D39"/>
    <w:rsid w:val="004F26C6"/>
    <w:rsid w:val="004F4287"/>
    <w:rsid w:val="004F55D7"/>
    <w:rsid w:val="004F602A"/>
    <w:rsid w:val="004F6376"/>
    <w:rsid w:val="004F66F0"/>
    <w:rsid w:val="00500CF6"/>
    <w:rsid w:val="00501DBC"/>
    <w:rsid w:val="00504ADF"/>
    <w:rsid w:val="00505DB7"/>
    <w:rsid w:val="0050634E"/>
    <w:rsid w:val="00506886"/>
    <w:rsid w:val="00512AD7"/>
    <w:rsid w:val="005142F8"/>
    <w:rsid w:val="00514A73"/>
    <w:rsid w:val="00514B86"/>
    <w:rsid w:val="00516007"/>
    <w:rsid w:val="0051711A"/>
    <w:rsid w:val="00517CBE"/>
    <w:rsid w:val="0052054C"/>
    <w:rsid w:val="00521C27"/>
    <w:rsid w:val="00522321"/>
    <w:rsid w:val="005225C0"/>
    <w:rsid w:val="0052383A"/>
    <w:rsid w:val="005259DF"/>
    <w:rsid w:val="00526B25"/>
    <w:rsid w:val="00530D38"/>
    <w:rsid w:val="00530E3B"/>
    <w:rsid w:val="00531CFE"/>
    <w:rsid w:val="00532870"/>
    <w:rsid w:val="005336E0"/>
    <w:rsid w:val="00533E33"/>
    <w:rsid w:val="0053480E"/>
    <w:rsid w:val="0053485E"/>
    <w:rsid w:val="00536B47"/>
    <w:rsid w:val="00537D66"/>
    <w:rsid w:val="00537E2A"/>
    <w:rsid w:val="0054200A"/>
    <w:rsid w:val="005425B1"/>
    <w:rsid w:val="00542939"/>
    <w:rsid w:val="00544651"/>
    <w:rsid w:val="005450C4"/>
    <w:rsid w:val="005452E0"/>
    <w:rsid w:val="00545BB4"/>
    <w:rsid w:val="005460B2"/>
    <w:rsid w:val="00546AB8"/>
    <w:rsid w:val="005470DD"/>
    <w:rsid w:val="00550338"/>
    <w:rsid w:val="005505BF"/>
    <w:rsid w:val="00553368"/>
    <w:rsid w:val="00554852"/>
    <w:rsid w:val="00556530"/>
    <w:rsid w:val="005567D2"/>
    <w:rsid w:val="005571BC"/>
    <w:rsid w:val="0056197A"/>
    <w:rsid w:val="00562B8B"/>
    <w:rsid w:val="00562DAF"/>
    <w:rsid w:val="00564AA1"/>
    <w:rsid w:val="00566D0F"/>
    <w:rsid w:val="00570109"/>
    <w:rsid w:val="005716EF"/>
    <w:rsid w:val="00571E47"/>
    <w:rsid w:val="0057394D"/>
    <w:rsid w:val="00573B8D"/>
    <w:rsid w:val="00574177"/>
    <w:rsid w:val="00574C21"/>
    <w:rsid w:val="0057584D"/>
    <w:rsid w:val="00576BE4"/>
    <w:rsid w:val="00577D9D"/>
    <w:rsid w:val="005809E8"/>
    <w:rsid w:val="00582258"/>
    <w:rsid w:val="00582912"/>
    <w:rsid w:val="00584196"/>
    <w:rsid w:val="00584D9D"/>
    <w:rsid w:val="00585345"/>
    <w:rsid w:val="0058633C"/>
    <w:rsid w:val="00590769"/>
    <w:rsid w:val="00591209"/>
    <w:rsid w:val="005928EF"/>
    <w:rsid w:val="00594B41"/>
    <w:rsid w:val="00595166"/>
    <w:rsid w:val="005A05FB"/>
    <w:rsid w:val="005A1219"/>
    <w:rsid w:val="005A2BCE"/>
    <w:rsid w:val="005A3C62"/>
    <w:rsid w:val="005A45C9"/>
    <w:rsid w:val="005A4B69"/>
    <w:rsid w:val="005A513F"/>
    <w:rsid w:val="005A5FEE"/>
    <w:rsid w:val="005A7C79"/>
    <w:rsid w:val="005A7EB6"/>
    <w:rsid w:val="005A7FE2"/>
    <w:rsid w:val="005B1FB0"/>
    <w:rsid w:val="005B3EEC"/>
    <w:rsid w:val="005B3FC9"/>
    <w:rsid w:val="005B4527"/>
    <w:rsid w:val="005B4999"/>
    <w:rsid w:val="005B69A4"/>
    <w:rsid w:val="005C1A60"/>
    <w:rsid w:val="005C2370"/>
    <w:rsid w:val="005C23A4"/>
    <w:rsid w:val="005C3548"/>
    <w:rsid w:val="005C443D"/>
    <w:rsid w:val="005C6E3F"/>
    <w:rsid w:val="005C73D6"/>
    <w:rsid w:val="005D078E"/>
    <w:rsid w:val="005D4F18"/>
    <w:rsid w:val="005D56B9"/>
    <w:rsid w:val="005D5D82"/>
    <w:rsid w:val="005D6041"/>
    <w:rsid w:val="005D6157"/>
    <w:rsid w:val="005D68F4"/>
    <w:rsid w:val="005E122A"/>
    <w:rsid w:val="005E1390"/>
    <w:rsid w:val="005E1D15"/>
    <w:rsid w:val="005E226F"/>
    <w:rsid w:val="005E293F"/>
    <w:rsid w:val="005E2ECD"/>
    <w:rsid w:val="005E30D5"/>
    <w:rsid w:val="005E3BDD"/>
    <w:rsid w:val="005E44E0"/>
    <w:rsid w:val="005E5164"/>
    <w:rsid w:val="005E5558"/>
    <w:rsid w:val="005F09C5"/>
    <w:rsid w:val="005F3D25"/>
    <w:rsid w:val="005F5A2F"/>
    <w:rsid w:val="005F6E98"/>
    <w:rsid w:val="005F7B9F"/>
    <w:rsid w:val="006001C9"/>
    <w:rsid w:val="00601565"/>
    <w:rsid w:val="006018B8"/>
    <w:rsid w:val="00602EE5"/>
    <w:rsid w:val="0060360B"/>
    <w:rsid w:val="00603763"/>
    <w:rsid w:val="00604BAC"/>
    <w:rsid w:val="006054AE"/>
    <w:rsid w:val="00605DFA"/>
    <w:rsid w:val="00607B89"/>
    <w:rsid w:val="00613061"/>
    <w:rsid w:val="006137B3"/>
    <w:rsid w:val="00616436"/>
    <w:rsid w:val="0061692F"/>
    <w:rsid w:val="006170FA"/>
    <w:rsid w:val="00617288"/>
    <w:rsid w:val="00622C19"/>
    <w:rsid w:val="00623666"/>
    <w:rsid w:val="0062630C"/>
    <w:rsid w:val="00627995"/>
    <w:rsid w:val="00632E2B"/>
    <w:rsid w:val="00633C95"/>
    <w:rsid w:val="00634C12"/>
    <w:rsid w:val="00636BF3"/>
    <w:rsid w:val="00637397"/>
    <w:rsid w:val="00641BB2"/>
    <w:rsid w:val="00643D66"/>
    <w:rsid w:val="00643D96"/>
    <w:rsid w:val="00644649"/>
    <w:rsid w:val="00644E35"/>
    <w:rsid w:val="006506DE"/>
    <w:rsid w:val="0065090F"/>
    <w:rsid w:val="00650A66"/>
    <w:rsid w:val="00650C8F"/>
    <w:rsid w:val="00653993"/>
    <w:rsid w:val="0065412C"/>
    <w:rsid w:val="00661D4C"/>
    <w:rsid w:val="00662DFC"/>
    <w:rsid w:val="006637AC"/>
    <w:rsid w:val="006670E2"/>
    <w:rsid w:val="006675D1"/>
    <w:rsid w:val="00675A32"/>
    <w:rsid w:val="00676B06"/>
    <w:rsid w:val="00677512"/>
    <w:rsid w:val="006819D2"/>
    <w:rsid w:val="00681FF7"/>
    <w:rsid w:val="006826B1"/>
    <w:rsid w:val="00682DBC"/>
    <w:rsid w:val="00684649"/>
    <w:rsid w:val="00686283"/>
    <w:rsid w:val="0069012C"/>
    <w:rsid w:val="006912BC"/>
    <w:rsid w:val="00693C7D"/>
    <w:rsid w:val="006956D3"/>
    <w:rsid w:val="006965DA"/>
    <w:rsid w:val="006B19FE"/>
    <w:rsid w:val="006B2FFC"/>
    <w:rsid w:val="006B38CA"/>
    <w:rsid w:val="006B4B45"/>
    <w:rsid w:val="006B79BD"/>
    <w:rsid w:val="006C0B77"/>
    <w:rsid w:val="006C0FFA"/>
    <w:rsid w:val="006C1587"/>
    <w:rsid w:val="006C3CEC"/>
    <w:rsid w:val="006C5E68"/>
    <w:rsid w:val="006D018F"/>
    <w:rsid w:val="006D03E1"/>
    <w:rsid w:val="006D20CA"/>
    <w:rsid w:val="006D2E2E"/>
    <w:rsid w:val="006D3049"/>
    <w:rsid w:val="006D3584"/>
    <w:rsid w:val="006D3E09"/>
    <w:rsid w:val="006D4893"/>
    <w:rsid w:val="006D4D8F"/>
    <w:rsid w:val="006D68CB"/>
    <w:rsid w:val="006D7C50"/>
    <w:rsid w:val="006E3720"/>
    <w:rsid w:val="006E48D4"/>
    <w:rsid w:val="006F0CCC"/>
    <w:rsid w:val="006F3128"/>
    <w:rsid w:val="006F3278"/>
    <w:rsid w:val="006F36EA"/>
    <w:rsid w:val="006F3AEF"/>
    <w:rsid w:val="006F5B77"/>
    <w:rsid w:val="006F5BBA"/>
    <w:rsid w:val="006F7CA3"/>
    <w:rsid w:val="007008DD"/>
    <w:rsid w:val="00701900"/>
    <w:rsid w:val="0070458C"/>
    <w:rsid w:val="0070591C"/>
    <w:rsid w:val="0070642C"/>
    <w:rsid w:val="007145CA"/>
    <w:rsid w:val="00714A3E"/>
    <w:rsid w:val="00715713"/>
    <w:rsid w:val="007179FA"/>
    <w:rsid w:val="00720E88"/>
    <w:rsid w:val="00722C07"/>
    <w:rsid w:val="007244A1"/>
    <w:rsid w:val="00724718"/>
    <w:rsid w:val="00725429"/>
    <w:rsid w:val="00730884"/>
    <w:rsid w:val="00731790"/>
    <w:rsid w:val="00733AEA"/>
    <w:rsid w:val="00735392"/>
    <w:rsid w:val="00737051"/>
    <w:rsid w:val="0074070F"/>
    <w:rsid w:val="0074091C"/>
    <w:rsid w:val="00740DDB"/>
    <w:rsid w:val="0074214F"/>
    <w:rsid w:val="007428E7"/>
    <w:rsid w:val="00742D7B"/>
    <w:rsid w:val="00745E19"/>
    <w:rsid w:val="00746321"/>
    <w:rsid w:val="00747033"/>
    <w:rsid w:val="00747452"/>
    <w:rsid w:val="00747BCB"/>
    <w:rsid w:val="00750C8D"/>
    <w:rsid w:val="00750CE9"/>
    <w:rsid w:val="007521C4"/>
    <w:rsid w:val="007544E9"/>
    <w:rsid w:val="00755F41"/>
    <w:rsid w:val="00757AEC"/>
    <w:rsid w:val="00761274"/>
    <w:rsid w:val="00761A96"/>
    <w:rsid w:val="007638D2"/>
    <w:rsid w:val="007651AE"/>
    <w:rsid w:val="00770E57"/>
    <w:rsid w:val="00770F19"/>
    <w:rsid w:val="007718F3"/>
    <w:rsid w:val="00780905"/>
    <w:rsid w:val="007815F8"/>
    <w:rsid w:val="00781DCE"/>
    <w:rsid w:val="00782C41"/>
    <w:rsid w:val="007835BC"/>
    <w:rsid w:val="007848A8"/>
    <w:rsid w:val="00785CB7"/>
    <w:rsid w:val="00786E13"/>
    <w:rsid w:val="007910D4"/>
    <w:rsid w:val="007916C0"/>
    <w:rsid w:val="00791EE9"/>
    <w:rsid w:val="00793278"/>
    <w:rsid w:val="0079362D"/>
    <w:rsid w:val="007A2B24"/>
    <w:rsid w:val="007A37E0"/>
    <w:rsid w:val="007A7B26"/>
    <w:rsid w:val="007B109A"/>
    <w:rsid w:val="007B190C"/>
    <w:rsid w:val="007B6873"/>
    <w:rsid w:val="007B70D9"/>
    <w:rsid w:val="007B7756"/>
    <w:rsid w:val="007B7858"/>
    <w:rsid w:val="007C09B3"/>
    <w:rsid w:val="007C0FAD"/>
    <w:rsid w:val="007C29F3"/>
    <w:rsid w:val="007C32B2"/>
    <w:rsid w:val="007C3BF5"/>
    <w:rsid w:val="007C49A0"/>
    <w:rsid w:val="007C5693"/>
    <w:rsid w:val="007C66F3"/>
    <w:rsid w:val="007D275A"/>
    <w:rsid w:val="007D378A"/>
    <w:rsid w:val="007D38BD"/>
    <w:rsid w:val="007D6AFF"/>
    <w:rsid w:val="007D6B2E"/>
    <w:rsid w:val="007E0A0A"/>
    <w:rsid w:val="007E0FA9"/>
    <w:rsid w:val="007E1992"/>
    <w:rsid w:val="007E28A4"/>
    <w:rsid w:val="007E29CF"/>
    <w:rsid w:val="007E30AF"/>
    <w:rsid w:val="007E3D7E"/>
    <w:rsid w:val="007E5147"/>
    <w:rsid w:val="007E5F7E"/>
    <w:rsid w:val="007F2E3A"/>
    <w:rsid w:val="007F3974"/>
    <w:rsid w:val="007F4953"/>
    <w:rsid w:val="007F571B"/>
    <w:rsid w:val="007F6CDC"/>
    <w:rsid w:val="007F7B5D"/>
    <w:rsid w:val="007F7C79"/>
    <w:rsid w:val="007F7DFE"/>
    <w:rsid w:val="00802327"/>
    <w:rsid w:val="00802710"/>
    <w:rsid w:val="00803568"/>
    <w:rsid w:val="00804B4B"/>
    <w:rsid w:val="0080702E"/>
    <w:rsid w:val="0080731A"/>
    <w:rsid w:val="00807D73"/>
    <w:rsid w:val="00810B85"/>
    <w:rsid w:val="0081282D"/>
    <w:rsid w:val="00813FFF"/>
    <w:rsid w:val="00814BD5"/>
    <w:rsid w:val="008150BE"/>
    <w:rsid w:val="00815DBD"/>
    <w:rsid w:val="00816C72"/>
    <w:rsid w:val="00816C7C"/>
    <w:rsid w:val="008210AA"/>
    <w:rsid w:val="00822C36"/>
    <w:rsid w:val="00824366"/>
    <w:rsid w:val="00824B38"/>
    <w:rsid w:val="00824D3B"/>
    <w:rsid w:val="00830495"/>
    <w:rsid w:val="008307F0"/>
    <w:rsid w:val="0083204F"/>
    <w:rsid w:val="00834BA0"/>
    <w:rsid w:val="00834E69"/>
    <w:rsid w:val="008361D2"/>
    <w:rsid w:val="008405F6"/>
    <w:rsid w:val="00843158"/>
    <w:rsid w:val="0084392E"/>
    <w:rsid w:val="00844150"/>
    <w:rsid w:val="00845AAB"/>
    <w:rsid w:val="008465D8"/>
    <w:rsid w:val="00846B49"/>
    <w:rsid w:val="00850843"/>
    <w:rsid w:val="00850DB4"/>
    <w:rsid w:val="0085123B"/>
    <w:rsid w:val="0085420D"/>
    <w:rsid w:val="008544F7"/>
    <w:rsid w:val="00861369"/>
    <w:rsid w:val="00861D64"/>
    <w:rsid w:val="00862316"/>
    <w:rsid w:val="008634A7"/>
    <w:rsid w:val="00864139"/>
    <w:rsid w:val="0087223D"/>
    <w:rsid w:val="00872D0D"/>
    <w:rsid w:val="00873BA9"/>
    <w:rsid w:val="0087504D"/>
    <w:rsid w:val="00875597"/>
    <w:rsid w:val="00875AF7"/>
    <w:rsid w:val="0087739C"/>
    <w:rsid w:val="00882821"/>
    <w:rsid w:val="00882840"/>
    <w:rsid w:val="00882B13"/>
    <w:rsid w:val="00882EF4"/>
    <w:rsid w:val="00884740"/>
    <w:rsid w:val="0088573F"/>
    <w:rsid w:val="00890360"/>
    <w:rsid w:val="008924CD"/>
    <w:rsid w:val="00894756"/>
    <w:rsid w:val="0089510E"/>
    <w:rsid w:val="0089610E"/>
    <w:rsid w:val="00896FBE"/>
    <w:rsid w:val="008A219F"/>
    <w:rsid w:val="008A2375"/>
    <w:rsid w:val="008A44A3"/>
    <w:rsid w:val="008A5810"/>
    <w:rsid w:val="008A7F39"/>
    <w:rsid w:val="008B022F"/>
    <w:rsid w:val="008B0909"/>
    <w:rsid w:val="008B1CE5"/>
    <w:rsid w:val="008B1DDD"/>
    <w:rsid w:val="008B3362"/>
    <w:rsid w:val="008B5A1A"/>
    <w:rsid w:val="008B5A99"/>
    <w:rsid w:val="008C2293"/>
    <w:rsid w:val="008C40B2"/>
    <w:rsid w:val="008C45D3"/>
    <w:rsid w:val="008C4B78"/>
    <w:rsid w:val="008C654D"/>
    <w:rsid w:val="008C713B"/>
    <w:rsid w:val="008C78B7"/>
    <w:rsid w:val="008D1A46"/>
    <w:rsid w:val="008D1BE3"/>
    <w:rsid w:val="008D2E35"/>
    <w:rsid w:val="008D3130"/>
    <w:rsid w:val="008D3745"/>
    <w:rsid w:val="008D6CE9"/>
    <w:rsid w:val="008D7822"/>
    <w:rsid w:val="008D7AE9"/>
    <w:rsid w:val="008E0490"/>
    <w:rsid w:val="008E144E"/>
    <w:rsid w:val="008E2863"/>
    <w:rsid w:val="008E3877"/>
    <w:rsid w:val="008E45CA"/>
    <w:rsid w:val="008E516D"/>
    <w:rsid w:val="008E5DFD"/>
    <w:rsid w:val="008F0AB1"/>
    <w:rsid w:val="008F204B"/>
    <w:rsid w:val="008F248C"/>
    <w:rsid w:val="008F3109"/>
    <w:rsid w:val="008F42AE"/>
    <w:rsid w:val="008F4D8D"/>
    <w:rsid w:val="008F5BB6"/>
    <w:rsid w:val="008F6477"/>
    <w:rsid w:val="008F6F82"/>
    <w:rsid w:val="008F6F91"/>
    <w:rsid w:val="008F6FDC"/>
    <w:rsid w:val="008F7837"/>
    <w:rsid w:val="0090070E"/>
    <w:rsid w:val="0090365D"/>
    <w:rsid w:val="0090427B"/>
    <w:rsid w:val="009101B3"/>
    <w:rsid w:val="00913323"/>
    <w:rsid w:val="00913840"/>
    <w:rsid w:val="009148D3"/>
    <w:rsid w:val="0091585A"/>
    <w:rsid w:val="009173BB"/>
    <w:rsid w:val="0092008A"/>
    <w:rsid w:val="00922162"/>
    <w:rsid w:val="009227A5"/>
    <w:rsid w:val="00922C96"/>
    <w:rsid w:val="00923C9A"/>
    <w:rsid w:val="00924364"/>
    <w:rsid w:val="009245BD"/>
    <w:rsid w:val="00924E8F"/>
    <w:rsid w:val="0092684A"/>
    <w:rsid w:val="00926E7A"/>
    <w:rsid w:val="00932A5C"/>
    <w:rsid w:val="009349F1"/>
    <w:rsid w:val="00934EA6"/>
    <w:rsid w:val="00935347"/>
    <w:rsid w:val="00935A3D"/>
    <w:rsid w:val="00935DA8"/>
    <w:rsid w:val="009369BE"/>
    <w:rsid w:val="00936D44"/>
    <w:rsid w:val="00940115"/>
    <w:rsid w:val="0094126C"/>
    <w:rsid w:val="009419C5"/>
    <w:rsid w:val="00942C4A"/>
    <w:rsid w:val="00943CCD"/>
    <w:rsid w:val="00943DAF"/>
    <w:rsid w:val="009444FB"/>
    <w:rsid w:val="009454C9"/>
    <w:rsid w:val="009457EA"/>
    <w:rsid w:val="00951B68"/>
    <w:rsid w:val="0095245A"/>
    <w:rsid w:val="0095268E"/>
    <w:rsid w:val="00953968"/>
    <w:rsid w:val="00957E6F"/>
    <w:rsid w:val="0096003C"/>
    <w:rsid w:val="00960A91"/>
    <w:rsid w:val="00961848"/>
    <w:rsid w:val="00961F24"/>
    <w:rsid w:val="009669A1"/>
    <w:rsid w:val="009672D4"/>
    <w:rsid w:val="00970B6B"/>
    <w:rsid w:val="009714F4"/>
    <w:rsid w:val="00971F56"/>
    <w:rsid w:val="00973284"/>
    <w:rsid w:val="00974078"/>
    <w:rsid w:val="00974EE1"/>
    <w:rsid w:val="00975E1C"/>
    <w:rsid w:val="0097632C"/>
    <w:rsid w:val="00976492"/>
    <w:rsid w:val="009767DB"/>
    <w:rsid w:val="009774B0"/>
    <w:rsid w:val="009801D5"/>
    <w:rsid w:val="00980D02"/>
    <w:rsid w:val="0098213F"/>
    <w:rsid w:val="0098336A"/>
    <w:rsid w:val="00983C90"/>
    <w:rsid w:val="0098617D"/>
    <w:rsid w:val="00986991"/>
    <w:rsid w:val="009912A2"/>
    <w:rsid w:val="009915E4"/>
    <w:rsid w:val="00991EBF"/>
    <w:rsid w:val="00994787"/>
    <w:rsid w:val="00994D07"/>
    <w:rsid w:val="00995EEF"/>
    <w:rsid w:val="00995FBD"/>
    <w:rsid w:val="009976D3"/>
    <w:rsid w:val="009A2E1E"/>
    <w:rsid w:val="009A347E"/>
    <w:rsid w:val="009A4953"/>
    <w:rsid w:val="009A4E3D"/>
    <w:rsid w:val="009A665B"/>
    <w:rsid w:val="009A7019"/>
    <w:rsid w:val="009A7E63"/>
    <w:rsid w:val="009B141C"/>
    <w:rsid w:val="009B30C3"/>
    <w:rsid w:val="009B56E0"/>
    <w:rsid w:val="009B5A23"/>
    <w:rsid w:val="009B67AB"/>
    <w:rsid w:val="009B7884"/>
    <w:rsid w:val="009C08F6"/>
    <w:rsid w:val="009C386D"/>
    <w:rsid w:val="009C3A10"/>
    <w:rsid w:val="009C4504"/>
    <w:rsid w:val="009C4F04"/>
    <w:rsid w:val="009D0D24"/>
    <w:rsid w:val="009D13F4"/>
    <w:rsid w:val="009D3434"/>
    <w:rsid w:val="009D3C06"/>
    <w:rsid w:val="009D3D25"/>
    <w:rsid w:val="009D4253"/>
    <w:rsid w:val="009D452B"/>
    <w:rsid w:val="009D606F"/>
    <w:rsid w:val="009D67D7"/>
    <w:rsid w:val="009D6F8D"/>
    <w:rsid w:val="009E2B08"/>
    <w:rsid w:val="009E70DD"/>
    <w:rsid w:val="009F27E7"/>
    <w:rsid w:val="009F5BCD"/>
    <w:rsid w:val="00A0048C"/>
    <w:rsid w:val="00A01EDB"/>
    <w:rsid w:val="00A024C6"/>
    <w:rsid w:val="00A030FF"/>
    <w:rsid w:val="00A0340C"/>
    <w:rsid w:val="00A0358C"/>
    <w:rsid w:val="00A047B4"/>
    <w:rsid w:val="00A04A4C"/>
    <w:rsid w:val="00A05465"/>
    <w:rsid w:val="00A076C8"/>
    <w:rsid w:val="00A076F5"/>
    <w:rsid w:val="00A10949"/>
    <w:rsid w:val="00A109B8"/>
    <w:rsid w:val="00A10BA2"/>
    <w:rsid w:val="00A16EE1"/>
    <w:rsid w:val="00A17702"/>
    <w:rsid w:val="00A2079D"/>
    <w:rsid w:val="00A25230"/>
    <w:rsid w:val="00A25E45"/>
    <w:rsid w:val="00A30478"/>
    <w:rsid w:val="00A32629"/>
    <w:rsid w:val="00A329AC"/>
    <w:rsid w:val="00A33FA1"/>
    <w:rsid w:val="00A34073"/>
    <w:rsid w:val="00A35600"/>
    <w:rsid w:val="00A365C8"/>
    <w:rsid w:val="00A36904"/>
    <w:rsid w:val="00A37432"/>
    <w:rsid w:val="00A400B2"/>
    <w:rsid w:val="00A400B5"/>
    <w:rsid w:val="00A41231"/>
    <w:rsid w:val="00A42646"/>
    <w:rsid w:val="00A42702"/>
    <w:rsid w:val="00A43BCB"/>
    <w:rsid w:val="00A43C74"/>
    <w:rsid w:val="00A43E98"/>
    <w:rsid w:val="00A449CB"/>
    <w:rsid w:val="00A44A9C"/>
    <w:rsid w:val="00A453DA"/>
    <w:rsid w:val="00A45502"/>
    <w:rsid w:val="00A455D2"/>
    <w:rsid w:val="00A45705"/>
    <w:rsid w:val="00A460B4"/>
    <w:rsid w:val="00A46231"/>
    <w:rsid w:val="00A5021B"/>
    <w:rsid w:val="00A53CCB"/>
    <w:rsid w:val="00A54747"/>
    <w:rsid w:val="00A54EAF"/>
    <w:rsid w:val="00A556BF"/>
    <w:rsid w:val="00A5583D"/>
    <w:rsid w:val="00A566DD"/>
    <w:rsid w:val="00A56B96"/>
    <w:rsid w:val="00A56DA6"/>
    <w:rsid w:val="00A57C26"/>
    <w:rsid w:val="00A62583"/>
    <w:rsid w:val="00A63075"/>
    <w:rsid w:val="00A6310D"/>
    <w:rsid w:val="00A64F99"/>
    <w:rsid w:val="00A704ED"/>
    <w:rsid w:val="00A716D1"/>
    <w:rsid w:val="00A719C3"/>
    <w:rsid w:val="00A7280E"/>
    <w:rsid w:val="00A74887"/>
    <w:rsid w:val="00A77937"/>
    <w:rsid w:val="00A779B1"/>
    <w:rsid w:val="00A77BED"/>
    <w:rsid w:val="00A806BB"/>
    <w:rsid w:val="00A831EA"/>
    <w:rsid w:val="00A83C06"/>
    <w:rsid w:val="00A849BA"/>
    <w:rsid w:val="00A8571D"/>
    <w:rsid w:val="00A86358"/>
    <w:rsid w:val="00A869E6"/>
    <w:rsid w:val="00A86A61"/>
    <w:rsid w:val="00A92859"/>
    <w:rsid w:val="00A92F2D"/>
    <w:rsid w:val="00A9567F"/>
    <w:rsid w:val="00A95AA3"/>
    <w:rsid w:val="00A95BFD"/>
    <w:rsid w:val="00A96F63"/>
    <w:rsid w:val="00AA0078"/>
    <w:rsid w:val="00AA019F"/>
    <w:rsid w:val="00AA43B4"/>
    <w:rsid w:val="00AA4C22"/>
    <w:rsid w:val="00AA5F7D"/>
    <w:rsid w:val="00AA7F1B"/>
    <w:rsid w:val="00AB0D7E"/>
    <w:rsid w:val="00AB117F"/>
    <w:rsid w:val="00AB13BF"/>
    <w:rsid w:val="00AB14CF"/>
    <w:rsid w:val="00AB5115"/>
    <w:rsid w:val="00AB7A32"/>
    <w:rsid w:val="00AC03FB"/>
    <w:rsid w:val="00AC05A7"/>
    <w:rsid w:val="00AC08C2"/>
    <w:rsid w:val="00AC128A"/>
    <w:rsid w:val="00AC1C3C"/>
    <w:rsid w:val="00AC2B93"/>
    <w:rsid w:val="00AC6836"/>
    <w:rsid w:val="00AC6A9B"/>
    <w:rsid w:val="00AD014B"/>
    <w:rsid w:val="00AD03D5"/>
    <w:rsid w:val="00AD0B54"/>
    <w:rsid w:val="00AD0F64"/>
    <w:rsid w:val="00AD3B65"/>
    <w:rsid w:val="00AD3FBD"/>
    <w:rsid w:val="00AD5720"/>
    <w:rsid w:val="00AD5917"/>
    <w:rsid w:val="00AE1922"/>
    <w:rsid w:val="00AE19CF"/>
    <w:rsid w:val="00AE20C0"/>
    <w:rsid w:val="00AE27F3"/>
    <w:rsid w:val="00AE47D9"/>
    <w:rsid w:val="00AE5030"/>
    <w:rsid w:val="00AE533C"/>
    <w:rsid w:val="00AE561C"/>
    <w:rsid w:val="00AE72C4"/>
    <w:rsid w:val="00AE7816"/>
    <w:rsid w:val="00AF2318"/>
    <w:rsid w:val="00AF2414"/>
    <w:rsid w:val="00AF3776"/>
    <w:rsid w:val="00AF4296"/>
    <w:rsid w:val="00AF43A6"/>
    <w:rsid w:val="00AF553C"/>
    <w:rsid w:val="00AF65BA"/>
    <w:rsid w:val="00B000EF"/>
    <w:rsid w:val="00B00F96"/>
    <w:rsid w:val="00B0106B"/>
    <w:rsid w:val="00B032BA"/>
    <w:rsid w:val="00B05DBA"/>
    <w:rsid w:val="00B10AAC"/>
    <w:rsid w:val="00B11039"/>
    <w:rsid w:val="00B1135A"/>
    <w:rsid w:val="00B12AC7"/>
    <w:rsid w:val="00B14237"/>
    <w:rsid w:val="00B147D9"/>
    <w:rsid w:val="00B17ED8"/>
    <w:rsid w:val="00B21194"/>
    <w:rsid w:val="00B21290"/>
    <w:rsid w:val="00B2271E"/>
    <w:rsid w:val="00B241EA"/>
    <w:rsid w:val="00B2470A"/>
    <w:rsid w:val="00B24854"/>
    <w:rsid w:val="00B266CC"/>
    <w:rsid w:val="00B27395"/>
    <w:rsid w:val="00B303CA"/>
    <w:rsid w:val="00B308C2"/>
    <w:rsid w:val="00B33182"/>
    <w:rsid w:val="00B33370"/>
    <w:rsid w:val="00B33CC6"/>
    <w:rsid w:val="00B342B6"/>
    <w:rsid w:val="00B352D0"/>
    <w:rsid w:val="00B35862"/>
    <w:rsid w:val="00B35B0B"/>
    <w:rsid w:val="00B35EFB"/>
    <w:rsid w:val="00B3640B"/>
    <w:rsid w:val="00B40D37"/>
    <w:rsid w:val="00B40FDF"/>
    <w:rsid w:val="00B41D64"/>
    <w:rsid w:val="00B4276E"/>
    <w:rsid w:val="00B42F4F"/>
    <w:rsid w:val="00B43C5D"/>
    <w:rsid w:val="00B453CB"/>
    <w:rsid w:val="00B466C2"/>
    <w:rsid w:val="00B508CB"/>
    <w:rsid w:val="00B51A51"/>
    <w:rsid w:val="00B538A6"/>
    <w:rsid w:val="00B56128"/>
    <w:rsid w:val="00B56278"/>
    <w:rsid w:val="00B56727"/>
    <w:rsid w:val="00B57EE2"/>
    <w:rsid w:val="00B60B72"/>
    <w:rsid w:val="00B6177F"/>
    <w:rsid w:val="00B617AB"/>
    <w:rsid w:val="00B61DAE"/>
    <w:rsid w:val="00B62138"/>
    <w:rsid w:val="00B62ACC"/>
    <w:rsid w:val="00B62BF2"/>
    <w:rsid w:val="00B62C82"/>
    <w:rsid w:val="00B634B1"/>
    <w:rsid w:val="00B63973"/>
    <w:rsid w:val="00B63A87"/>
    <w:rsid w:val="00B6794C"/>
    <w:rsid w:val="00B7017A"/>
    <w:rsid w:val="00B728E7"/>
    <w:rsid w:val="00B7409A"/>
    <w:rsid w:val="00B74507"/>
    <w:rsid w:val="00B761C3"/>
    <w:rsid w:val="00B765FF"/>
    <w:rsid w:val="00B77F9B"/>
    <w:rsid w:val="00B80A8D"/>
    <w:rsid w:val="00B8322C"/>
    <w:rsid w:val="00B90F4D"/>
    <w:rsid w:val="00B944E5"/>
    <w:rsid w:val="00B95143"/>
    <w:rsid w:val="00B970D4"/>
    <w:rsid w:val="00B97980"/>
    <w:rsid w:val="00BA04C2"/>
    <w:rsid w:val="00BA1B27"/>
    <w:rsid w:val="00BA2238"/>
    <w:rsid w:val="00BA2B56"/>
    <w:rsid w:val="00BA2E16"/>
    <w:rsid w:val="00BA412B"/>
    <w:rsid w:val="00BA52DD"/>
    <w:rsid w:val="00BA6E85"/>
    <w:rsid w:val="00BA739E"/>
    <w:rsid w:val="00BA750B"/>
    <w:rsid w:val="00BB0033"/>
    <w:rsid w:val="00BB0F32"/>
    <w:rsid w:val="00BB24BC"/>
    <w:rsid w:val="00BB37A7"/>
    <w:rsid w:val="00BB458D"/>
    <w:rsid w:val="00BB4CCF"/>
    <w:rsid w:val="00BC08DE"/>
    <w:rsid w:val="00BC1000"/>
    <w:rsid w:val="00BC15F7"/>
    <w:rsid w:val="00BC1B9A"/>
    <w:rsid w:val="00BC2269"/>
    <w:rsid w:val="00BC22B5"/>
    <w:rsid w:val="00BC3311"/>
    <w:rsid w:val="00BC41C5"/>
    <w:rsid w:val="00BC46FC"/>
    <w:rsid w:val="00BC7031"/>
    <w:rsid w:val="00BD0DF3"/>
    <w:rsid w:val="00BD1862"/>
    <w:rsid w:val="00BD2D2F"/>
    <w:rsid w:val="00BD2E30"/>
    <w:rsid w:val="00BD5547"/>
    <w:rsid w:val="00BE01C1"/>
    <w:rsid w:val="00BE022D"/>
    <w:rsid w:val="00BE1CF9"/>
    <w:rsid w:val="00BE1E76"/>
    <w:rsid w:val="00BE3226"/>
    <w:rsid w:val="00BE35EA"/>
    <w:rsid w:val="00BE43A7"/>
    <w:rsid w:val="00BE444F"/>
    <w:rsid w:val="00BE7916"/>
    <w:rsid w:val="00BE7EC7"/>
    <w:rsid w:val="00BF14BC"/>
    <w:rsid w:val="00BF39AE"/>
    <w:rsid w:val="00BF49E3"/>
    <w:rsid w:val="00C00FD7"/>
    <w:rsid w:val="00C02E1E"/>
    <w:rsid w:val="00C03981"/>
    <w:rsid w:val="00C03AC8"/>
    <w:rsid w:val="00C03D6F"/>
    <w:rsid w:val="00C0529C"/>
    <w:rsid w:val="00C06A6C"/>
    <w:rsid w:val="00C0759C"/>
    <w:rsid w:val="00C11AA3"/>
    <w:rsid w:val="00C12FE2"/>
    <w:rsid w:val="00C133A3"/>
    <w:rsid w:val="00C13593"/>
    <w:rsid w:val="00C13FBD"/>
    <w:rsid w:val="00C14F65"/>
    <w:rsid w:val="00C15948"/>
    <w:rsid w:val="00C16405"/>
    <w:rsid w:val="00C17CCF"/>
    <w:rsid w:val="00C20D1B"/>
    <w:rsid w:val="00C219D4"/>
    <w:rsid w:val="00C21ACB"/>
    <w:rsid w:val="00C24409"/>
    <w:rsid w:val="00C258B3"/>
    <w:rsid w:val="00C25BC8"/>
    <w:rsid w:val="00C2672E"/>
    <w:rsid w:val="00C306A2"/>
    <w:rsid w:val="00C352FA"/>
    <w:rsid w:val="00C36598"/>
    <w:rsid w:val="00C36886"/>
    <w:rsid w:val="00C36ACD"/>
    <w:rsid w:val="00C41F19"/>
    <w:rsid w:val="00C4263C"/>
    <w:rsid w:val="00C42CEC"/>
    <w:rsid w:val="00C42D09"/>
    <w:rsid w:val="00C466C5"/>
    <w:rsid w:val="00C4694F"/>
    <w:rsid w:val="00C47601"/>
    <w:rsid w:val="00C50848"/>
    <w:rsid w:val="00C51ADA"/>
    <w:rsid w:val="00C51B16"/>
    <w:rsid w:val="00C52A75"/>
    <w:rsid w:val="00C54A55"/>
    <w:rsid w:val="00C55060"/>
    <w:rsid w:val="00C55736"/>
    <w:rsid w:val="00C55A37"/>
    <w:rsid w:val="00C56FE0"/>
    <w:rsid w:val="00C57677"/>
    <w:rsid w:val="00C57F0A"/>
    <w:rsid w:val="00C6140A"/>
    <w:rsid w:val="00C6238D"/>
    <w:rsid w:val="00C63EEB"/>
    <w:rsid w:val="00C648E9"/>
    <w:rsid w:val="00C64A3B"/>
    <w:rsid w:val="00C65EB0"/>
    <w:rsid w:val="00C67116"/>
    <w:rsid w:val="00C720E7"/>
    <w:rsid w:val="00C7250C"/>
    <w:rsid w:val="00C72938"/>
    <w:rsid w:val="00C739C6"/>
    <w:rsid w:val="00C73A90"/>
    <w:rsid w:val="00C75400"/>
    <w:rsid w:val="00C77602"/>
    <w:rsid w:val="00C83142"/>
    <w:rsid w:val="00C83AA7"/>
    <w:rsid w:val="00C853F4"/>
    <w:rsid w:val="00C870FB"/>
    <w:rsid w:val="00C91107"/>
    <w:rsid w:val="00C92C8B"/>
    <w:rsid w:val="00C9494A"/>
    <w:rsid w:val="00C950D6"/>
    <w:rsid w:val="00C95118"/>
    <w:rsid w:val="00C95E03"/>
    <w:rsid w:val="00C95FD8"/>
    <w:rsid w:val="00CA2CBB"/>
    <w:rsid w:val="00CA736C"/>
    <w:rsid w:val="00CB0991"/>
    <w:rsid w:val="00CB1104"/>
    <w:rsid w:val="00CB2AF3"/>
    <w:rsid w:val="00CB44C8"/>
    <w:rsid w:val="00CB4970"/>
    <w:rsid w:val="00CB5359"/>
    <w:rsid w:val="00CC3827"/>
    <w:rsid w:val="00CD16B0"/>
    <w:rsid w:val="00CD5C4C"/>
    <w:rsid w:val="00CD6E80"/>
    <w:rsid w:val="00CE1489"/>
    <w:rsid w:val="00CE1A05"/>
    <w:rsid w:val="00CE264E"/>
    <w:rsid w:val="00CE3CDB"/>
    <w:rsid w:val="00CE4B9C"/>
    <w:rsid w:val="00CE68C5"/>
    <w:rsid w:val="00CE6F5E"/>
    <w:rsid w:val="00CF1076"/>
    <w:rsid w:val="00CF3230"/>
    <w:rsid w:val="00CF67F2"/>
    <w:rsid w:val="00CF70D4"/>
    <w:rsid w:val="00CF7206"/>
    <w:rsid w:val="00D003D1"/>
    <w:rsid w:val="00D00931"/>
    <w:rsid w:val="00D02FB8"/>
    <w:rsid w:val="00D033C2"/>
    <w:rsid w:val="00D03CC8"/>
    <w:rsid w:val="00D04B5A"/>
    <w:rsid w:val="00D04BA7"/>
    <w:rsid w:val="00D10C3B"/>
    <w:rsid w:val="00D1223E"/>
    <w:rsid w:val="00D16478"/>
    <w:rsid w:val="00D171F2"/>
    <w:rsid w:val="00D17327"/>
    <w:rsid w:val="00D20AAB"/>
    <w:rsid w:val="00D21CC3"/>
    <w:rsid w:val="00D223C2"/>
    <w:rsid w:val="00D225E4"/>
    <w:rsid w:val="00D24729"/>
    <w:rsid w:val="00D24BD5"/>
    <w:rsid w:val="00D25C6D"/>
    <w:rsid w:val="00D25DEB"/>
    <w:rsid w:val="00D27139"/>
    <w:rsid w:val="00D276B9"/>
    <w:rsid w:val="00D31A3B"/>
    <w:rsid w:val="00D3271C"/>
    <w:rsid w:val="00D36262"/>
    <w:rsid w:val="00D36336"/>
    <w:rsid w:val="00D3793F"/>
    <w:rsid w:val="00D40D1C"/>
    <w:rsid w:val="00D410EA"/>
    <w:rsid w:val="00D412B7"/>
    <w:rsid w:val="00D41B4D"/>
    <w:rsid w:val="00D41E7F"/>
    <w:rsid w:val="00D421EC"/>
    <w:rsid w:val="00D42FA2"/>
    <w:rsid w:val="00D4343C"/>
    <w:rsid w:val="00D461BD"/>
    <w:rsid w:val="00D50871"/>
    <w:rsid w:val="00D517EC"/>
    <w:rsid w:val="00D51C6C"/>
    <w:rsid w:val="00D52294"/>
    <w:rsid w:val="00D53799"/>
    <w:rsid w:val="00D539A6"/>
    <w:rsid w:val="00D558AE"/>
    <w:rsid w:val="00D56516"/>
    <w:rsid w:val="00D60170"/>
    <w:rsid w:val="00D613B7"/>
    <w:rsid w:val="00D623DD"/>
    <w:rsid w:val="00D65240"/>
    <w:rsid w:val="00D7159A"/>
    <w:rsid w:val="00D75C24"/>
    <w:rsid w:val="00D75F0D"/>
    <w:rsid w:val="00D81679"/>
    <w:rsid w:val="00D83167"/>
    <w:rsid w:val="00D90361"/>
    <w:rsid w:val="00D92977"/>
    <w:rsid w:val="00D93536"/>
    <w:rsid w:val="00D93EEE"/>
    <w:rsid w:val="00DA04DB"/>
    <w:rsid w:val="00DA1305"/>
    <w:rsid w:val="00DA4FC6"/>
    <w:rsid w:val="00DA559F"/>
    <w:rsid w:val="00DA67DC"/>
    <w:rsid w:val="00DA71CD"/>
    <w:rsid w:val="00DA77A7"/>
    <w:rsid w:val="00DB0304"/>
    <w:rsid w:val="00DB103E"/>
    <w:rsid w:val="00DB2A04"/>
    <w:rsid w:val="00DB4AE2"/>
    <w:rsid w:val="00DB6052"/>
    <w:rsid w:val="00DB6253"/>
    <w:rsid w:val="00DC314D"/>
    <w:rsid w:val="00DC3205"/>
    <w:rsid w:val="00DC47AF"/>
    <w:rsid w:val="00DC636A"/>
    <w:rsid w:val="00DC6849"/>
    <w:rsid w:val="00DC7D27"/>
    <w:rsid w:val="00DD06F8"/>
    <w:rsid w:val="00DD072A"/>
    <w:rsid w:val="00DD1168"/>
    <w:rsid w:val="00DD4390"/>
    <w:rsid w:val="00DD4BDF"/>
    <w:rsid w:val="00DD5C00"/>
    <w:rsid w:val="00DD6AF7"/>
    <w:rsid w:val="00DD6D9F"/>
    <w:rsid w:val="00DD6DC4"/>
    <w:rsid w:val="00DE0470"/>
    <w:rsid w:val="00DE43B5"/>
    <w:rsid w:val="00DE4625"/>
    <w:rsid w:val="00DE5E01"/>
    <w:rsid w:val="00DE6D95"/>
    <w:rsid w:val="00DE7494"/>
    <w:rsid w:val="00DF0FFD"/>
    <w:rsid w:val="00DF4358"/>
    <w:rsid w:val="00DF4388"/>
    <w:rsid w:val="00DF44D9"/>
    <w:rsid w:val="00DF4FC1"/>
    <w:rsid w:val="00DF6C53"/>
    <w:rsid w:val="00E01B17"/>
    <w:rsid w:val="00E02D64"/>
    <w:rsid w:val="00E03866"/>
    <w:rsid w:val="00E05862"/>
    <w:rsid w:val="00E05CE1"/>
    <w:rsid w:val="00E07372"/>
    <w:rsid w:val="00E10179"/>
    <w:rsid w:val="00E11614"/>
    <w:rsid w:val="00E11A6D"/>
    <w:rsid w:val="00E11E1D"/>
    <w:rsid w:val="00E12AD3"/>
    <w:rsid w:val="00E1418E"/>
    <w:rsid w:val="00E1419D"/>
    <w:rsid w:val="00E16714"/>
    <w:rsid w:val="00E20462"/>
    <w:rsid w:val="00E22344"/>
    <w:rsid w:val="00E23542"/>
    <w:rsid w:val="00E23950"/>
    <w:rsid w:val="00E239EA"/>
    <w:rsid w:val="00E23AEF"/>
    <w:rsid w:val="00E2585E"/>
    <w:rsid w:val="00E261A4"/>
    <w:rsid w:val="00E27495"/>
    <w:rsid w:val="00E302E4"/>
    <w:rsid w:val="00E3400B"/>
    <w:rsid w:val="00E34058"/>
    <w:rsid w:val="00E347E0"/>
    <w:rsid w:val="00E3554F"/>
    <w:rsid w:val="00E36250"/>
    <w:rsid w:val="00E3694A"/>
    <w:rsid w:val="00E37206"/>
    <w:rsid w:val="00E37696"/>
    <w:rsid w:val="00E41F9F"/>
    <w:rsid w:val="00E43C3B"/>
    <w:rsid w:val="00E444AF"/>
    <w:rsid w:val="00E44787"/>
    <w:rsid w:val="00E44938"/>
    <w:rsid w:val="00E44E74"/>
    <w:rsid w:val="00E44F60"/>
    <w:rsid w:val="00E4516A"/>
    <w:rsid w:val="00E45407"/>
    <w:rsid w:val="00E4546A"/>
    <w:rsid w:val="00E46E35"/>
    <w:rsid w:val="00E476ED"/>
    <w:rsid w:val="00E47F92"/>
    <w:rsid w:val="00E5436F"/>
    <w:rsid w:val="00E549CF"/>
    <w:rsid w:val="00E55405"/>
    <w:rsid w:val="00E55E04"/>
    <w:rsid w:val="00E560C7"/>
    <w:rsid w:val="00E57C03"/>
    <w:rsid w:val="00E606AD"/>
    <w:rsid w:val="00E60A05"/>
    <w:rsid w:val="00E60CC3"/>
    <w:rsid w:val="00E63AE6"/>
    <w:rsid w:val="00E63F8D"/>
    <w:rsid w:val="00E67342"/>
    <w:rsid w:val="00E70FD6"/>
    <w:rsid w:val="00E71215"/>
    <w:rsid w:val="00E71781"/>
    <w:rsid w:val="00E71DFE"/>
    <w:rsid w:val="00E74282"/>
    <w:rsid w:val="00E74CA5"/>
    <w:rsid w:val="00E76555"/>
    <w:rsid w:val="00E809EA"/>
    <w:rsid w:val="00E80BAA"/>
    <w:rsid w:val="00E80D1C"/>
    <w:rsid w:val="00E82BD1"/>
    <w:rsid w:val="00E83848"/>
    <w:rsid w:val="00E83925"/>
    <w:rsid w:val="00E839AA"/>
    <w:rsid w:val="00E86DFE"/>
    <w:rsid w:val="00E87CF9"/>
    <w:rsid w:val="00E92822"/>
    <w:rsid w:val="00E952F3"/>
    <w:rsid w:val="00E97FE7"/>
    <w:rsid w:val="00EA0FEB"/>
    <w:rsid w:val="00EA1C5F"/>
    <w:rsid w:val="00EA28E0"/>
    <w:rsid w:val="00EA2F77"/>
    <w:rsid w:val="00EA30E1"/>
    <w:rsid w:val="00EA359D"/>
    <w:rsid w:val="00EA524A"/>
    <w:rsid w:val="00EA688E"/>
    <w:rsid w:val="00EB0259"/>
    <w:rsid w:val="00EB0C5C"/>
    <w:rsid w:val="00EB15BF"/>
    <w:rsid w:val="00EB3F51"/>
    <w:rsid w:val="00EB4E29"/>
    <w:rsid w:val="00EB67CF"/>
    <w:rsid w:val="00EC067D"/>
    <w:rsid w:val="00EC0EF1"/>
    <w:rsid w:val="00EC1E9D"/>
    <w:rsid w:val="00EC2305"/>
    <w:rsid w:val="00EC25C5"/>
    <w:rsid w:val="00EC35E4"/>
    <w:rsid w:val="00EC364A"/>
    <w:rsid w:val="00EC4D7D"/>
    <w:rsid w:val="00EC5466"/>
    <w:rsid w:val="00ED1BC7"/>
    <w:rsid w:val="00ED1EA4"/>
    <w:rsid w:val="00ED22AD"/>
    <w:rsid w:val="00ED3082"/>
    <w:rsid w:val="00ED3F12"/>
    <w:rsid w:val="00ED4960"/>
    <w:rsid w:val="00EE139D"/>
    <w:rsid w:val="00EE1F18"/>
    <w:rsid w:val="00EE2279"/>
    <w:rsid w:val="00EE2F9F"/>
    <w:rsid w:val="00EE42E0"/>
    <w:rsid w:val="00EE57FF"/>
    <w:rsid w:val="00EE6158"/>
    <w:rsid w:val="00EE6CE4"/>
    <w:rsid w:val="00EF0635"/>
    <w:rsid w:val="00EF124D"/>
    <w:rsid w:val="00EF129D"/>
    <w:rsid w:val="00EF1EC2"/>
    <w:rsid w:val="00EF22F0"/>
    <w:rsid w:val="00EF2CE0"/>
    <w:rsid w:val="00EF346F"/>
    <w:rsid w:val="00F00437"/>
    <w:rsid w:val="00F00AD5"/>
    <w:rsid w:val="00F00C32"/>
    <w:rsid w:val="00F02D4D"/>
    <w:rsid w:val="00F03CBD"/>
    <w:rsid w:val="00F04BA6"/>
    <w:rsid w:val="00F0684B"/>
    <w:rsid w:val="00F11AA2"/>
    <w:rsid w:val="00F12166"/>
    <w:rsid w:val="00F12948"/>
    <w:rsid w:val="00F135E1"/>
    <w:rsid w:val="00F14864"/>
    <w:rsid w:val="00F15DF8"/>
    <w:rsid w:val="00F20785"/>
    <w:rsid w:val="00F20822"/>
    <w:rsid w:val="00F2214E"/>
    <w:rsid w:val="00F22C55"/>
    <w:rsid w:val="00F23C14"/>
    <w:rsid w:val="00F27B4F"/>
    <w:rsid w:val="00F32AFF"/>
    <w:rsid w:val="00F33815"/>
    <w:rsid w:val="00F33AB7"/>
    <w:rsid w:val="00F34269"/>
    <w:rsid w:val="00F342B7"/>
    <w:rsid w:val="00F3598B"/>
    <w:rsid w:val="00F35A34"/>
    <w:rsid w:val="00F3634C"/>
    <w:rsid w:val="00F36668"/>
    <w:rsid w:val="00F36869"/>
    <w:rsid w:val="00F36E77"/>
    <w:rsid w:val="00F37FD0"/>
    <w:rsid w:val="00F41D01"/>
    <w:rsid w:val="00F4295E"/>
    <w:rsid w:val="00F44D71"/>
    <w:rsid w:val="00F45BF2"/>
    <w:rsid w:val="00F5063E"/>
    <w:rsid w:val="00F511A3"/>
    <w:rsid w:val="00F51539"/>
    <w:rsid w:val="00F53920"/>
    <w:rsid w:val="00F62DC2"/>
    <w:rsid w:val="00F62E2B"/>
    <w:rsid w:val="00F635BC"/>
    <w:rsid w:val="00F64095"/>
    <w:rsid w:val="00F64B93"/>
    <w:rsid w:val="00F6591B"/>
    <w:rsid w:val="00F659B3"/>
    <w:rsid w:val="00F66030"/>
    <w:rsid w:val="00F7055B"/>
    <w:rsid w:val="00F705AB"/>
    <w:rsid w:val="00F711E6"/>
    <w:rsid w:val="00F71565"/>
    <w:rsid w:val="00F724FC"/>
    <w:rsid w:val="00F7287F"/>
    <w:rsid w:val="00F72BEE"/>
    <w:rsid w:val="00F73212"/>
    <w:rsid w:val="00F740A5"/>
    <w:rsid w:val="00F74879"/>
    <w:rsid w:val="00F7516F"/>
    <w:rsid w:val="00F75986"/>
    <w:rsid w:val="00F77238"/>
    <w:rsid w:val="00F7755C"/>
    <w:rsid w:val="00F8123E"/>
    <w:rsid w:val="00F83BF4"/>
    <w:rsid w:val="00F84152"/>
    <w:rsid w:val="00F848BD"/>
    <w:rsid w:val="00F84E80"/>
    <w:rsid w:val="00F85278"/>
    <w:rsid w:val="00F864F5"/>
    <w:rsid w:val="00F86ABC"/>
    <w:rsid w:val="00F94148"/>
    <w:rsid w:val="00F948D0"/>
    <w:rsid w:val="00F94951"/>
    <w:rsid w:val="00F95355"/>
    <w:rsid w:val="00F95D70"/>
    <w:rsid w:val="00FA1A3C"/>
    <w:rsid w:val="00FA1F52"/>
    <w:rsid w:val="00FA23AB"/>
    <w:rsid w:val="00FA252C"/>
    <w:rsid w:val="00FA4557"/>
    <w:rsid w:val="00FA772C"/>
    <w:rsid w:val="00FB1B28"/>
    <w:rsid w:val="00FB4174"/>
    <w:rsid w:val="00FB6661"/>
    <w:rsid w:val="00FB68D5"/>
    <w:rsid w:val="00FB78DB"/>
    <w:rsid w:val="00FC01AB"/>
    <w:rsid w:val="00FC3796"/>
    <w:rsid w:val="00FC6063"/>
    <w:rsid w:val="00FC756C"/>
    <w:rsid w:val="00FD2B7F"/>
    <w:rsid w:val="00FD3740"/>
    <w:rsid w:val="00FD5FF1"/>
    <w:rsid w:val="00FD6E99"/>
    <w:rsid w:val="00FE1D67"/>
    <w:rsid w:val="00FE2481"/>
    <w:rsid w:val="00FE25F5"/>
    <w:rsid w:val="00FE266C"/>
    <w:rsid w:val="00FE31B0"/>
    <w:rsid w:val="00FE35FE"/>
    <w:rsid w:val="00FE4061"/>
    <w:rsid w:val="00FE4F59"/>
    <w:rsid w:val="00FE554A"/>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66A4B6-2EF7-4D1A-BE85-62BE584C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2019-10-08T18:30:00+00:00</Judgment_x0020_Date>
    <Year xmlns="63bdd487-88aa-4c54-b893-ddaa81ed2e7c">2019</Year>
  </documentManagement>
</p:properties>
</file>

<file path=customXml/itemProps1.xml><?xml version="1.0" encoding="utf-8"?>
<ds:datastoreItem xmlns:ds="http://schemas.openxmlformats.org/officeDocument/2006/customXml" ds:itemID="{B906EA83-4300-4B2B-B044-6AEAB5608981}"/>
</file>

<file path=customXml/itemProps2.xml><?xml version="1.0" encoding="utf-8"?>
<ds:datastoreItem xmlns:ds="http://schemas.openxmlformats.org/officeDocument/2006/customXml" ds:itemID="{7CA894C9-9B98-4A4F-B8B6-905ADAE9F37B}"/>
</file>

<file path=customXml/itemProps3.xml><?xml version="1.0" encoding="utf-8"?>
<ds:datastoreItem xmlns:ds="http://schemas.openxmlformats.org/officeDocument/2006/customXml" ds:itemID="{1283029A-8FA6-47FB-BF8E-6C2ECE5321AF}"/>
</file>

<file path=customXml/itemProps4.xml><?xml version="1.0" encoding="utf-8"?>
<ds:datastoreItem xmlns:ds="http://schemas.openxmlformats.org/officeDocument/2006/customXml" ds:itemID="{1CF8C5BD-EE5D-40EB-9E6D-8B56A02307ED}"/>
</file>

<file path=docProps/app.xml><?xml version="1.0" encoding="utf-8"?>
<Properties xmlns="http://schemas.openxmlformats.org/officeDocument/2006/extended-properties" xmlns:vt="http://schemas.openxmlformats.org/officeDocument/2006/docPropsVTypes">
  <Template>Normal</Template>
  <TotalTime>0</TotalTime>
  <Pages>50</Pages>
  <Words>11513</Words>
  <Characters>65630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ybasson</dc:creator>
  <cp:keywords/>
  <dc:description/>
  <cp:lastModifiedBy>Lotta N. Ambunda</cp:lastModifiedBy>
  <cp:revision>2</cp:revision>
  <cp:lastPrinted>2019-10-08T10:43:00Z</cp:lastPrinted>
  <dcterms:created xsi:type="dcterms:W3CDTF">2019-10-10T10:28:00Z</dcterms:created>
  <dcterms:modified xsi:type="dcterms:W3CDTF">2019-10-10T10:28:00Z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