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7A" w:rsidRPr="00A928AF" w:rsidRDefault="001D347A" w:rsidP="001D347A">
      <w:pPr>
        <w:spacing w:after="0" w:line="360" w:lineRule="auto"/>
        <w:rPr>
          <w:rFonts w:ascii="Arial" w:hAnsi="Arial" w:cs="Arial"/>
          <w:b/>
          <w:sz w:val="24"/>
          <w:szCs w:val="24"/>
        </w:rPr>
      </w:pPr>
      <w:bookmarkStart w:id="0" w:name="_GoBack"/>
      <w:bookmarkEnd w:id="0"/>
    </w:p>
    <w:p w:rsidR="001D347A" w:rsidRPr="00A928AF" w:rsidRDefault="001D347A" w:rsidP="00FC3CDD">
      <w:pPr>
        <w:spacing w:after="0" w:line="360" w:lineRule="auto"/>
        <w:jc w:val="center"/>
        <w:rPr>
          <w:rFonts w:ascii="Arial" w:hAnsi="Arial" w:cs="Arial"/>
          <w:b/>
          <w:strike/>
          <w:sz w:val="24"/>
          <w:szCs w:val="24"/>
        </w:rPr>
      </w:pPr>
      <w:r w:rsidRPr="00A928AF">
        <w:rPr>
          <w:rFonts w:ascii="Arial" w:hAnsi="Arial" w:cs="Arial"/>
          <w:b/>
          <w:noProof/>
          <w:sz w:val="24"/>
          <w:szCs w:val="24"/>
          <w:lang w:eastAsia="en-ZA"/>
        </w:rPr>
        <w:drawing>
          <wp:inline distT="0" distB="0" distL="0" distR="0" wp14:anchorId="0E1F1CF0" wp14:editId="5AA5E60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D347A" w:rsidRPr="00FC3CDD" w:rsidRDefault="001D347A" w:rsidP="00FC3CDD">
      <w:pPr>
        <w:pStyle w:val="NoSpacing"/>
        <w:tabs>
          <w:tab w:val="left" w:pos="6800"/>
        </w:tabs>
        <w:jc w:val="right"/>
        <w:rPr>
          <w:rFonts w:ascii="Arial" w:hAnsi="Arial" w:cs="Arial"/>
          <w:b/>
          <w:sz w:val="24"/>
          <w:szCs w:val="24"/>
        </w:rPr>
      </w:pPr>
      <w:r>
        <w:rPr>
          <w:rFonts w:ascii="Arial" w:hAnsi="Arial" w:cs="Arial"/>
          <w:sz w:val="24"/>
          <w:szCs w:val="24"/>
        </w:rPr>
        <w:tab/>
      </w:r>
      <w:r w:rsidRPr="00FC3CDD">
        <w:rPr>
          <w:rFonts w:ascii="Arial" w:hAnsi="Arial" w:cs="Arial"/>
          <w:b/>
          <w:sz w:val="24"/>
          <w:szCs w:val="24"/>
        </w:rPr>
        <w:t>REPORTABLE</w:t>
      </w:r>
    </w:p>
    <w:p w:rsidR="001D347A" w:rsidRDefault="001D347A" w:rsidP="001D347A">
      <w:pPr>
        <w:pStyle w:val="NoSpacing"/>
        <w:jc w:val="right"/>
        <w:rPr>
          <w:rFonts w:ascii="Arial" w:hAnsi="Arial" w:cs="Arial"/>
          <w:sz w:val="24"/>
          <w:szCs w:val="24"/>
        </w:rPr>
      </w:pPr>
    </w:p>
    <w:p w:rsidR="001D347A" w:rsidRPr="00A928AF" w:rsidRDefault="001D347A" w:rsidP="001D347A">
      <w:pPr>
        <w:pStyle w:val="NoSpacing"/>
        <w:jc w:val="right"/>
        <w:rPr>
          <w:rFonts w:ascii="Arial" w:hAnsi="Arial" w:cs="Arial"/>
          <w:sz w:val="24"/>
          <w:szCs w:val="24"/>
        </w:rPr>
      </w:pPr>
      <w:r w:rsidRPr="00DB518D">
        <w:rPr>
          <w:rFonts w:ascii="Arial" w:hAnsi="Arial" w:cs="Arial"/>
          <w:sz w:val="24"/>
          <w:szCs w:val="24"/>
        </w:rPr>
        <w:t>CASE NO: SA 1/2018</w:t>
      </w:r>
    </w:p>
    <w:p w:rsidR="001D347A" w:rsidRPr="00A928AF" w:rsidRDefault="001D347A" w:rsidP="001D347A">
      <w:pPr>
        <w:pStyle w:val="NoSpacing"/>
        <w:rPr>
          <w:rFonts w:ascii="Arial" w:hAnsi="Arial" w:cs="Arial"/>
          <w:sz w:val="24"/>
          <w:szCs w:val="24"/>
        </w:rPr>
      </w:pPr>
    </w:p>
    <w:p w:rsidR="001D347A" w:rsidRPr="00A928AF" w:rsidRDefault="001D347A" w:rsidP="00FC3CDD">
      <w:pPr>
        <w:pStyle w:val="NoSpacing"/>
        <w:rPr>
          <w:rFonts w:ascii="Arial" w:hAnsi="Arial" w:cs="Arial"/>
          <w:b/>
          <w:sz w:val="24"/>
          <w:szCs w:val="24"/>
        </w:rPr>
      </w:pPr>
      <w:r w:rsidRPr="00A928AF">
        <w:rPr>
          <w:rFonts w:ascii="Arial" w:hAnsi="Arial" w:cs="Arial"/>
          <w:b/>
          <w:sz w:val="24"/>
          <w:szCs w:val="24"/>
        </w:rPr>
        <w:t>IN THE SUPREME COURT OF NAMIBIA</w:t>
      </w:r>
    </w:p>
    <w:p w:rsidR="001D347A" w:rsidRPr="00A928AF" w:rsidRDefault="001D347A" w:rsidP="001D347A">
      <w:pPr>
        <w:pStyle w:val="NoSpacing"/>
        <w:rPr>
          <w:rFonts w:ascii="Arial" w:hAnsi="Arial" w:cs="Arial"/>
          <w:sz w:val="24"/>
          <w:szCs w:val="24"/>
        </w:rPr>
      </w:pPr>
    </w:p>
    <w:p w:rsidR="001D347A" w:rsidRPr="00A928AF" w:rsidRDefault="001D347A" w:rsidP="001D347A">
      <w:pPr>
        <w:pStyle w:val="NoSpacing"/>
        <w:rPr>
          <w:rFonts w:ascii="Arial" w:hAnsi="Arial" w:cs="Arial"/>
          <w:sz w:val="24"/>
          <w:szCs w:val="24"/>
        </w:rPr>
      </w:pPr>
    </w:p>
    <w:p w:rsidR="001D347A" w:rsidRPr="00A928AF" w:rsidRDefault="001D347A" w:rsidP="001D347A">
      <w:pPr>
        <w:pStyle w:val="NoSpacing"/>
        <w:rPr>
          <w:rFonts w:ascii="Arial" w:hAnsi="Arial" w:cs="Arial"/>
          <w:sz w:val="24"/>
          <w:szCs w:val="24"/>
        </w:rPr>
      </w:pPr>
      <w:r w:rsidRPr="00A928AF">
        <w:rPr>
          <w:rFonts w:ascii="Arial" w:hAnsi="Arial" w:cs="Arial"/>
          <w:sz w:val="24"/>
          <w:szCs w:val="24"/>
        </w:rPr>
        <w:t>In the matter between:</w:t>
      </w:r>
    </w:p>
    <w:p w:rsidR="001D347A" w:rsidRPr="00A928AF" w:rsidRDefault="001D347A" w:rsidP="001D347A">
      <w:pPr>
        <w:pStyle w:val="NoSpacing"/>
        <w:rPr>
          <w:rFonts w:ascii="Arial" w:hAnsi="Arial" w:cs="Arial"/>
          <w:sz w:val="24"/>
          <w:szCs w:val="24"/>
        </w:rPr>
      </w:pPr>
    </w:p>
    <w:p w:rsidR="001D347A" w:rsidRPr="00A928AF" w:rsidRDefault="001D347A" w:rsidP="00FC3CDD">
      <w:pPr>
        <w:pStyle w:val="NoSpacing"/>
        <w:spacing w:line="360" w:lineRule="auto"/>
        <w:rPr>
          <w:rFonts w:ascii="Arial" w:hAnsi="Arial" w:cs="Arial"/>
          <w:b/>
          <w:sz w:val="24"/>
          <w:szCs w:val="24"/>
        </w:rPr>
      </w:pPr>
      <w:r w:rsidRPr="00A928AF">
        <w:rPr>
          <w:rFonts w:ascii="Arial" w:hAnsi="Arial" w:cs="Arial"/>
          <w:b/>
          <w:sz w:val="24"/>
          <w:szCs w:val="24"/>
        </w:rPr>
        <w:t>MINISTER OF SAFETY AND SECURITY</w:t>
      </w:r>
      <w:r w:rsidRPr="00A928AF">
        <w:rPr>
          <w:rFonts w:ascii="Arial" w:hAnsi="Arial" w:cs="Arial"/>
          <w:b/>
          <w:sz w:val="24"/>
          <w:szCs w:val="24"/>
        </w:rPr>
        <w:tab/>
      </w:r>
      <w:r w:rsidRPr="00A928AF">
        <w:rPr>
          <w:rFonts w:ascii="Arial" w:hAnsi="Arial" w:cs="Arial"/>
          <w:b/>
          <w:sz w:val="24"/>
          <w:szCs w:val="24"/>
        </w:rPr>
        <w:tab/>
      </w:r>
      <w:r w:rsidRPr="00A928AF">
        <w:rPr>
          <w:rFonts w:ascii="Arial" w:hAnsi="Arial" w:cs="Arial"/>
          <w:b/>
          <w:sz w:val="24"/>
          <w:szCs w:val="24"/>
        </w:rPr>
        <w:tab/>
      </w:r>
      <w:r w:rsidRPr="00A928AF">
        <w:rPr>
          <w:rFonts w:ascii="Arial" w:hAnsi="Arial" w:cs="Arial"/>
          <w:b/>
          <w:sz w:val="24"/>
          <w:szCs w:val="24"/>
        </w:rPr>
        <w:tab/>
      </w:r>
      <w:r w:rsidR="004F775A">
        <w:rPr>
          <w:rFonts w:ascii="Arial" w:hAnsi="Arial" w:cs="Arial"/>
          <w:b/>
          <w:sz w:val="24"/>
          <w:szCs w:val="24"/>
        </w:rPr>
        <w:t xml:space="preserve">   First Appellant</w:t>
      </w:r>
    </w:p>
    <w:p w:rsidR="001D347A" w:rsidRPr="00A928AF" w:rsidRDefault="001D347A" w:rsidP="00FC3CDD">
      <w:pPr>
        <w:pStyle w:val="NoSpacing"/>
        <w:spacing w:line="360" w:lineRule="auto"/>
        <w:rPr>
          <w:rFonts w:ascii="Arial" w:hAnsi="Arial" w:cs="Arial"/>
          <w:b/>
          <w:sz w:val="24"/>
          <w:szCs w:val="24"/>
        </w:rPr>
      </w:pPr>
      <w:r w:rsidRPr="00A928AF">
        <w:rPr>
          <w:rFonts w:ascii="Arial" w:hAnsi="Arial" w:cs="Arial"/>
          <w:b/>
          <w:sz w:val="24"/>
          <w:szCs w:val="24"/>
        </w:rPr>
        <w:t>PROSECUTOR – GENERAL</w:t>
      </w:r>
      <w:r w:rsidRPr="00A928AF">
        <w:rPr>
          <w:rFonts w:ascii="Arial" w:hAnsi="Arial" w:cs="Arial"/>
          <w:b/>
          <w:sz w:val="24"/>
          <w:szCs w:val="24"/>
        </w:rPr>
        <w:tab/>
      </w:r>
      <w:r w:rsidRPr="00A928AF">
        <w:rPr>
          <w:rFonts w:ascii="Arial" w:hAnsi="Arial" w:cs="Arial"/>
          <w:b/>
          <w:sz w:val="24"/>
          <w:szCs w:val="24"/>
        </w:rPr>
        <w:tab/>
      </w:r>
      <w:r w:rsidRPr="00A928AF">
        <w:rPr>
          <w:rFonts w:ascii="Arial" w:hAnsi="Arial" w:cs="Arial"/>
          <w:b/>
          <w:sz w:val="24"/>
          <w:szCs w:val="24"/>
        </w:rPr>
        <w:tab/>
      </w:r>
      <w:r w:rsidRPr="00A928AF">
        <w:rPr>
          <w:rFonts w:ascii="Arial" w:hAnsi="Arial" w:cs="Arial"/>
          <w:b/>
          <w:sz w:val="24"/>
          <w:szCs w:val="24"/>
        </w:rPr>
        <w:tab/>
      </w:r>
      <w:r w:rsidRPr="00A928AF">
        <w:rPr>
          <w:rFonts w:ascii="Arial" w:hAnsi="Arial" w:cs="Arial"/>
          <w:b/>
          <w:sz w:val="24"/>
          <w:szCs w:val="24"/>
        </w:rPr>
        <w:tab/>
      </w:r>
      <w:r w:rsidR="004F775A">
        <w:rPr>
          <w:rFonts w:ascii="Arial" w:hAnsi="Arial" w:cs="Arial"/>
          <w:b/>
          <w:sz w:val="24"/>
          <w:szCs w:val="24"/>
        </w:rPr>
        <w:t xml:space="preserve">         Second Appellant</w:t>
      </w:r>
    </w:p>
    <w:p w:rsidR="001D347A" w:rsidRPr="00A928AF" w:rsidRDefault="001D347A" w:rsidP="00FC3CDD">
      <w:pPr>
        <w:pStyle w:val="NoSpacing"/>
        <w:spacing w:line="360" w:lineRule="auto"/>
        <w:rPr>
          <w:rFonts w:ascii="Arial" w:hAnsi="Arial" w:cs="Arial"/>
          <w:b/>
          <w:sz w:val="24"/>
          <w:szCs w:val="24"/>
        </w:rPr>
      </w:pPr>
      <w:r w:rsidRPr="00A928AF">
        <w:rPr>
          <w:rFonts w:ascii="Arial" w:hAnsi="Arial" w:cs="Arial"/>
          <w:b/>
          <w:sz w:val="24"/>
          <w:szCs w:val="24"/>
        </w:rPr>
        <w:t>GOVERNMENT OF THE REPUBLIC OF NAMIBIA</w:t>
      </w:r>
      <w:r w:rsidRPr="00A928AF">
        <w:rPr>
          <w:rFonts w:ascii="Arial" w:hAnsi="Arial" w:cs="Arial"/>
          <w:b/>
          <w:sz w:val="24"/>
          <w:szCs w:val="24"/>
        </w:rPr>
        <w:tab/>
      </w:r>
      <w:r w:rsidRPr="00A928AF">
        <w:rPr>
          <w:rFonts w:ascii="Arial" w:hAnsi="Arial" w:cs="Arial"/>
          <w:b/>
          <w:sz w:val="24"/>
          <w:szCs w:val="24"/>
        </w:rPr>
        <w:tab/>
      </w:r>
      <w:r w:rsidR="004F775A">
        <w:rPr>
          <w:rFonts w:ascii="Arial" w:hAnsi="Arial" w:cs="Arial"/>
          <w:b/>
          <w:sz w:val="24"/>
          <w:szCs w:val="24"/>
        </w:rPr>
        <w:t xml:space="preserve">             Third Appellant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2818"/>
        <w:gridCol w:w="3371"/>
      </w:tblGrid>
      <w:tr w:rsidR="001D347A" w:rsidRPr="00A928AF" w:rsidTr="00D27EAC">
        <w:tc>
          <w:tcPr>
            <w:tcW w:w="2932" w:type="dxa"/>
          </w:tcPr>
          <w:p w:rsidR="001D347A" w:rsidRPr="00A928AF" w:rsidRDefault="001D347A" w:rsidP="00D27EAC">
            <w:pPr>
              <w:pStyle w:val="NoSpacing"/>
              <w:spacing w:line="276" w:lineRule="auto"/>
              <w:rPr>
                <w:rFonts w:ascii="Arial" w:hAnsi="Arial" w:cs="Arial"/>
                <w:sz w:val="24"/>
                <w:szCs w:val="24"/>
              </w:rPr>
            </w:pPr>
          </w:p>
        </w:tc>
        <w:tc>
          <w:tcPr>
            <w:tcW w:w="2818" w:type="dxa"/>
          </w:tcPr>
          <w:p w:rsidR="001D347A" w:rsidRPr="00A928AF" w:rsidRDefault="001D347A" w:rsidP="00D27EAC">
            <w:pPr>
              <w:pStyle w:val="NoSpacing"/>
              <w:spacing w:line="276" w:lineRule="auto"/>
              <w:jc w:val="right"/>
              <w:rPr>
                <w:rFonts w:ascii="Arial" w:hAnsi="Arial" w:cs="Arial"/>
                <w:sz w:val="24"/>
                <w:szCs w:val="24"/>
              </w:rPr>
            </w:pPr>
          </w:p>
        </w:tc>
        <w:tc>
          <w:tcPr>
            <w:tcW w:w="3371" w:type="dxa"/>
          </w:tcPr>
          <w:p w:rsidR="001D347A" w:rsidRPr="00A928AF" w:rsidRDefault="001D347A" w:rsidP="00D27EAC">
            <w:pPr>
              <w:pStyle w:val="NoSpacing"/>
              <w:spacing w:line="276" w:lineRule="auto"/>
              <w:jc w:val="right"/>
              <w:rPr>
                <w:rFonts w:ascii="Arial" w:hAnsi="Arial" w:cs="Arial"/>
                <w:sz w:val="24"/>
                <w:szCs w:val="24"/>
              </w:rPr>
            </w:pPr>
          </w:p>
        </w:tc>
      </w:tr>
      <w:tr w:rsidR="001D347A" w:rsidRPr="00A928AF" w:rsidTr="00D27EAC">
        <w:tc>
          <w:tcPr>
            <w:tcW w:w="2932" w:type="dxa"/>
          </w:tcPr>
          <w:p w:rsidR="001D347A" w:rsidRPr="00A928AF" w:rsidRDefault="004F775A" w:rsidP="00D27EAC">
            <w:pPr>
              <w:pStyle w:val="NoSpacing"/>
              <w:spacing w:line="276" w:lineRule="auto"/>
              <w:ind w:left="-108"/>
              <w:rPr>
                <w:rFonts w:ascii="Arial" w:hAnsi="Arial" w:cs="Arial"/>
                <w:sz w:val="24"/>
                <w:szCs w:val="24"/>
              </w:rPr>
            </w:pPr>
            <w:r>
              <w:rPr>
                <w:rFonts w:ascii="Arial" w:hAnsi="Arial" w:cs="Arial"/>
                <w:sz w:val="24"/>
                <w:szCs w:val="24"/>
              </w:rPr>
              <w:t>a</w:t>
            </w:r>
            <w:r w:rsidR="001D347A" w:rsidRPr="00A928AF">
              <w:rPr>
                <w:rFonts w:ascii="Arial" w:hAnsi="Arial" w:cs="Arial"/>
                <w:sz w:val="24"/>
                <w:szCs w:val="24"/>
              </w:rPr>
              <w:t>nd</w:t>
            </w:r>
          </w:p>
        </w:tc>
        <w:tc>
          <w:tcPr>
            <w:tcW w:w="2818" w:type="dxa"/>
          </w:tcPr>
          <w:p w:rsidR="001D347A" w:rsidRPr="00A928AF" w:rsidRDefault="001D347A" w:rsidP="00D27EAC">
            <w:pPr>
              <w:pStyle w:val="NoSpacing"/>
              <w:spacing w:line="276" w:lineRule="auto"/>
              <w:rPr>
                <w:rFonts w:ascii="Arial" w:hAnsi="Arial" w:cs="Arial"/>
                <w:sz w:val="24"/>
                <w:szCs w:val="24"/>
              </w:rPr>
            </w:pPr>
          </w:p>
        </w:tc>
        <w:tc>
          <w:tcPr>
            <w:tcW w:w="3371" w:type="dxa"/>
          </w:tcPr>
          <w:p w:rsidR="001D347A" w:rsidRPr="00A928AF" w:rsidRDefault="001D347A" w:rsidP="00D27EAC">
            <w:pPr>
              <w:pStyle w:val="NoSpacing"/>
              <w:spacing w:line="276" w:lineRule="auto"/>
              <w:rPr>
                <w:rFonts w:ascii="Arial" w:hAnsi="Arial" w:cs="Arial"/>
                <w:sz w:val="24"/>
                <w:szCs w:val="24"/>
              </w:rPr>
            </w:pPr>
          </w:p>
        </w:tc>
      </w:tr>
      <w:tr w:rsidR="001D347A" w:rsidRPr="00A928AF" w:rsidTr="00D27EAC">
        <w:tc>
          <w:tcPr>
            <w:tcW w:w="2932" w:type="dxa"/>
          </w:tcPr>
          <w:p w:rsidR="001D347A" w:rsidRPr="00A928AF" w:rsidRDefault="001D347A" w:rsidP="00D27EAC">
            <w:pPr>
              <w:pStyle w:val="NoSpacing"/>
              <w:spacing w:line="276" w:lineRule="auto"/>
              <w:ind w:left="-108"/>
              <w:rPr>
                <w:rFonts w:ascii="Arial" w:hAnsi="Arial" w:cs="Arial"/>
                <w:sz w:val="24"/>
                <w:szCs w:val="24"/>
              </w:rPr>
            </w:pPr>
          </w:p>
        </w:tc>
        <w:tc>
          <w:tcPr>
            <w:tcW w:w="2818" w:type="dxa"/>
          </w:tcPr>
          <w:p w:rsidR="001D347A" w:rsidRPr="00A928AF" w:rsidRDefault="001D347A" w:rsidP="00D27EAC">
            <w:pPr>
              <w:pStyle w:val="NoSpacing"/>
              <w:spacing w:line="276" w:lineRule="auto"/>
              <w:rPr>
                <w:rFonts w:ascii="Arial" w:hAnsi="Arial" w:cs="Arial"/>
                <w:sz w:val="24"/>
                <w:szCs w:val="24"/>
              </w:rPr>
            </w:pPr>
          </w:p>
        </w:tc>
        <w:tc>
          <w:tcPr>
            <w:tcW w:w="3371" w:type="dxa"/>
          </w:tcPr>
          <w:p w:rsidR="001D347A" w:rsidRPr="00A928AF" w:rsidRDefault="001D347A" w:rsidP="00D27EAC">
            <w:pPr>
              <w:pStyle w:val="NoSpacing"/>
              <w:spacing w:line="276" w:lineRule="auto"/>
              <w:rPr>
                <w:rFonts w:ascii="Arial" w:hAnsi="Arial" w:cs="Arial"/>
                <w:sz w:val="24"/>
                <w:szCs w:val="24"/>
              </w:rPr>
            </w:pPr>
          </w:p>
        </w:tc>
      </w:tr>
      <w:tr w:rsidR="00604362" w:rsidRPr="00A928AF" w:rsidTr="00574648">
        <w:tc>
          <w:tcPr>
            <w:tcW w:w="5750" w:type="dxa"/>
            <w:gridSpan w:val="2"/>
          </w:tcPr>
          <w:p w:rsidR="00604362" w:rsidRPr="00A928AF" w:rsidRDefault="00604362" w:rsidP="00604362">
            <w:pPr>
              <w:pStyle w:val="NoSpacing"/>
              <w:spacing w:line="276" w:lineRule="auto"/>
              <w:ind w:left="-108"/>
              <w:rPr>
                <w:rFonts w:ascii="Arial" w:hAnsi="Arial" w:cs="Arial"/>
                <w:b/>
                <w:sz w:val="24"/>
                <w:szCs w:val="24"/>
              </w:rPr>
            </w:pPr>
            <w:r w:rsidRPr="00A928AF">
              <w:rPr>
                <w:rFonts w:ascii="Arial" w:hAnsi="Arial" w:cs="Arial"/>
                <w:b/>
                <w:sz w:val="24"/>
                <w:szCs w:val="24"/>
              </w:rPr>
              <w:t>KENNEDY SIMASIKU</w:t>
            </w:r>
            <w:r>
              <w:rPr>
                <w:rFonts w:ascii="Arial" w:hAnsi="Arial" w:cs="Arial"/>
                <w:b/>
                <w:sz w:val="24"/>
                <w:szCs w:val="24"/>
              </w:rPr>
              <w:t xml:space="preserve"> CHUNGA</w:t>
            </w:r>
            <w:r w:rsidRPr="00A928AF">
              <w:rPr>
                <w:rFonts w:ascii="Arial" w:hAnsi="Arial" w:cs="Arial"/>
                <w:b/>
                <w:sz w:val="24"/>
                <w:szCs w:val="24"/>
              </w:rPr>
              <w:tab/>
            </w:r>
          </w:p>
        </w:tc>
        <w:tc>
          <w:tcPr>
            <w:tcW w:w="3371" w:type="dxa"/>
          </w:tcPr>
          <w:p w:rsidR="00604362" w:rsidRPr="00A928AF" w:rsidRDefault="00604362" w:rsidP="00D27EAC">
            <w:pPr>
              <w:pStyle w:val="NoSpacing"/>
              <w:spacing w:line="276" w:lineRule="auto"/>
              <w:jc w:val="right"/>
              <w:rPr>
                <w:rFonts w:ascii="Arial" w:hAnsi="Arial" w:cs="Arial"/>
                <w:b/>
                <w:sz w:val="24"/>
                <w:szCs w:val="24"/>
              </w:rPr>
            </w:pPr>
            <w:r w:rsidRPr="00A928AF">
              <w:rPr>
                <w:rFonts w:ascii="Arial" w:hAnsi="Arial" w:cs="Arial"/>
                <w:b/>
                <w:sz w:val="24"/>
                <w:szCs w:val="24"/>
              </w:rPr>
              <w:t>R</w:t>
            </w:r>
            <w:r>
              <w:rPr>
                <w:rFonts w:ascii="Arial" w:hAnsi="Arial" w:cs="Arial"/>
                <w:b/>
                <w:sz w:val="24"/>
                <w:szCs w:val="24"/>
              </w:rPr>
              <w:t>espondent</w:t>
            </w:r>
          </w:p>
          <w:p w:rsidR="00604362" w:rsidRPr="00A928AF" w:rsidRDefault="00604362" w:rsidP="00D27EAC">
            <w:pPr>
              <w:pStyle w:val="NoSpacing"/>
              <w:spacing w:line="276" w:lineRule="auto"/>
              <w:jc w:val="right"/>
              <w:rPr>
                <w:rFonts w:ascii="Arial" w:hAnsi="Arial" w:cs="Arial"/>
                <w:b/>
                <w:sz w:val="24"/>
                <w:szCs w:val="24"/>
              </w:rPr>
            </w:pPr>
          </w:p>
        </w:tc>
      </w:tr>
      <w:tr w:rsidR="001D347A" w:rsidRPr="00A928AF" w:rsidTr="00D27EAC">
        <w:tc>
          <w:tcPr>
            <w:tcW w:w="2932" w:type="dxa"/>
          </w:tcPr>
          <w:p w:rsidR="001D347A" w:rsidRPr="00A928AF" w:rsidRDefault="001D347A" w:rsidP="00D27EAC">
            <w:pPr>
              <w:pStyle w:val="NoSpacing"/>
              <w:ind w:left="-108"/>
              <w:rPr>
                <w:rFonts w:ascii="Arial" w:hAnsi="Arial" w:cs="Arial"/>
                <w:sz w:val="24"/>
                <w:szCs w:val="24"/>
              </w:rPr>
            </w:pPr>
          </w:p>
        </w:tc>
        <w:tc>
          <w:tcPr>
            <w:tcW w:w="2818" w:type="dxa"/>
          </w:tcPr>
          <w:p w:rsidR="001D347A" w:rsidRPr="00A928AF" w:rsidRDefault="001D347A" w:rsidP="00D27EAC">
            <w:pPr>
              <w:pStyle w:val="NoSpacing"/>
              <w:rPr>
                <w:rFonts w:ascii="Arial" w:hAnsi="Arial" w:cs="Arial"/>
                <w:sz w:val="24"/>
                <w:szCs w:val="24"/>
              </w:rPr>
            </w:pPr>
          </w:p>
        </w:tc>
        <w:tc>
          <w:tcPr>
            <w:tcW w:w="3371" w:type="dxa"/>
          </w:tcPr>
          <w:p w:rsidR="001D347A" w:rsidRPr="00A928AF" w:rsidRDefault="001D347A" w:rsidP="00D27EAC">
            <w:pPr>
              <w:pStyle w:val="NoSpacing"/>
              <w:rPr>
                <w:rFonts w:ascii="Arial" w:hAnsi="Arial" w:cs="Arial"/>
                <w:sz w:val="24"/>
                <w:szCs w:val="24"/>
              </w:rPr>
            </w:pPr>
          </w:p>
        </w:tc>
      </w:tr>
    </w:tbl>
    <w:p w:rsidR="001D347A" w:rsidRPr="00A928AF" w:rsidRDefault="001D347A" w:rsidP="001D347A">
      <w:pPr>
        <w:pStyle w:val="NoSpacing"/>
        <w:rPr>
          <w:rFonts w:ascii="Arial" w:hAnsi="Arial" w:cs="Arial"/>
          <w:sz w:val="24"/>
          <w:szCs w:val="24"/>
        </w:rPr>
      </w:pPr>
      <w:r w:rsidRPr="00A928AF">
        <w:rPr>
          <w:rFonts w:ascii="Arial" w:hAnsi="Arial" w:cs="Arial"/>
          <w:b/>
          <w:sz w:val="24"/>
          <w:szCs w:val="24"/>
        </w:rPr>
        <w:t>Coram:</w:t>
      </w:r>
      <w:r w:rsidRPr="00A928AF">
        <w:rPr>
          <w:rFonts w:ascii="Arial" w:hAnsi="Arial" w:cs="Arial"/>
          <w:sz w:val="24"/>
          <w:szCs w:val="24"/>
        </w:rPr>
        <w:t xml:space="preserve"> </w:t>
      </w:r>
      <w:r w:rsidR="004F775A">
        <w:rPr>
          <w:rFonts w:ascii="Arial" w:hAnsi="Arial" w:cs="Arial"/>
          <w:sz w:val="24"/>
          <w:szCs w:val="24"/>
        </w:rPr>
        <w:tab/>
      </w:r>
      <w:r w:rsidRPr="00A928AF">
        <w:rPr>
          <w:rFonts w:ascii="Arial" w:hAnsi="Arial" w:cs="Arial"/>
          <w:sz w:val="24"/>
          <w:szCs w:val="24"/>
        </w:rPr>
        <w:t>SHIVUTE CJ, MOKGORO AJA and NKABINDE AJA</w:t>
      </w:r>
    </w:p>
    <w:p w:rsidR="001D347A" w:rsidRPr="00A928AF" w:rsidRDefault="001D347A" w:rsidP="001D347A">
      <w:pPr>
        <w:pStyle w:val="NoSpacing"/>
        <w:rPr>
          <w:rFonts w:ascii="Arial" w:hAnsi="Arial" w:cs="Arial"/>
          <w:b/>
          <w:sz w:val="24"/>
          <w:szCs w:val="24"/>
        </w:rPr>
      </w:pPr>
    </w:p>
    <w:p w:rsidR="001D347A" w:rsidRPr="00A928AF" w:rsidRDefault="001D347A" w:rsidP="001D347A">
      <w:pPr>
        <w:pStyle w:val="NoSpacing"/>
        <w:rPr>
          <w:rFonts w:ascii="Arial" w:hAnsi="Arial" w:cs="Arial"/>
          <w:b/>
          <w:sz w:val="24"/>
          <w:szCs w:val="24"/>
        </w:rPr>
      </w:pPr>
      <w:r w:rsidRPr="00A928AF">
        <w:rPr>
          <w:rFonts w:ascii="Arial" w:hAnsi="Arial" w:cs="Arial"/>
          <w:b/>
          <w:sz w:val="24"/>
          <w:szCs w:val="24"/>
        </w:rPr>
        <w:t>Heard</w:t>
      </w:r>
      <w:r>
        <w:rPr>
          <w:rFonts w:ascii="Arial" w:hAnsi="Arial" w:cs="Arial"/>
          <w:b/>
          <w:sz w:val="24"/>
          <w:szCs w:val="24"/>
        </w:rPr>
        <w:t xml:space="preserve">:      </w:t>
      </w:r>
      <w:r w:rsidR="004F775A">
        <w:rPr>
          <w:rFonts w:ascii="Arial" w:hAnsi="Arial" w:cs="Arial"/>
          <w:b/>
          <w:sz w:val="24"/>
          <w:szCs w:val="24"/>
        </w:rPr>
        <w:tab/>
      </w:r>
      <w:r>
        <w:rPr>
          <w:rFonts w:ascii="Arial" w:hAnsi="Arial" w:cs="Arial"/>
          <w:b/>
          <w:sz w:val="24"/>
          <w:szCs w:val="24"/>
        </w:rPr>
        <w:t xml:space="preserve">1 </w:t>
      </w:r>
      <w:r w:rsidRPr="00DB518D">
        <w:rPr>
          <w:rFonts w:ascii="Arial" w:hAnsi="Arial" w:cs="Arial"/>
          <w:b/>
          <w:sz w:val="24"/>
          <w:szCs w:val="24"/>
        </w:rPr>
        <w:t>October 2019</w:t>
      </w:r>
      <w:r w:rsidRPr="00A928AF">
        <w:rPr>
          <w:rFonts w:ascii="Arial" w:hAnsi="Arial" w:cs="Arial"/>
          <w:b/>
          <w:sz w:val="24"/>
          <w:szCs w:val="24"/>
        </w:rPr>
        <w:t xml:space="preserve"> </w:t>
      </w:r>
    </w:p>
    <w:p w:rsidR="001D347A" w:rsidRPr="00A928AF" w:rsidRDefault="001D347A" w:rsidP="001D347A">
      <w:pPr>
        <w:pStyle w:val="NoSpacing"/>
        <w:rPr>
          <w:rFonts w:ascii="Arial" w:hAnsi="Arial" w:cs="Arial"/>
          <w:b/>
          <w:sz w:val="24"/>
          <w:szCs w:val="24"/>
        </w:rPr>
      </w:pPr>
    </w:p>
    <w:p w:rsidR="001D347A" w:rsidRPr="00A928AF" w:rsidRDefault="001D347A" w:rsidP="001D347A">
      <w:pPr>
        <w:pStyle w:val="NoSpacing"/>
        <w:rPr>
          <w:rFonts w:ascii="Arial" w:hAnsi="Arial" w:cs="Arial"/>
          <w:b/>
          <w:sz w:val="24"/>
          <w:szCs w:val="24"/>
        </w:rPr>
      </w:pPr>
      <w:r w:rsidRPr="00A928AF">
        <w:rPr>
          <w:rFonts w:ascii="Arial" w:hAnsi="Arial" w:cs="Arial"/>
          <w:b/>
          <w:sz w:val="24"/>
          <w:szCs w:val="24"/>
        </w:rPr>
        <w:t>Delivered:</w:t>
      </w:r>
      <w:r>
        <w:rPr>
          <w:rFonts w:ascii="Arial" w:hAnsi="Arial" w:cs="Arial"/>
          <w:b/>
          <w:sz w:val="24"/>
          <w:szCs w:val="24"/>
        </w:rPr>
        <w:t xml:space="preserve"> </w:t>
      </w:r>
      <w:r w:rsidRPr="00A928AF">
        <w:rPr>
          <w:rFonts w:ascii="Arial" w:hAnsi="Arial" w:cs="Arial"/>
          <w:b/>
          <w:sz w:val="24"/>
          <w:szCs w:val="24"/>
        </w:rPr>
        <w:tab/>
      </w:r>
      <w:r w:rsidR="009B2E66">
        <w:rPr>
          <w:rFonts w:ascii="Arial" w:hAnsi="Arial" w:cs="Arial"/>
          <w:b/>
          <w:sz w:val="24"/>
          <w:szCs w:val="24"/>
        </w:rPr>
        <w:t>7</w:t>
      </w:r>
      <w:r w:rsidR="004F775A">
        <w:rPr>
          <w:rFonts w:ascii="Arial" w:hAnsi="Arial" w:cs="Arial"/>
          <w:b/>
          <w:sz w:val="24"/>
          <w:szCs w:val="24"/>
        </w:rPr>
        <w:t xml:space="preserve"> May 2020</w:t>
      </w:r>
    </w:p>
    <w:p w:rsidR="001D347A" w:rsidRPr="00A928AF" w:rsidRDefault="001D347A" w:rsidP="001D347A">
      <w:pPr>
        <w:pStyle w:val="NoSpacing"/>
        <w:rPr>
          <w:rFonts w:ascii="Arial" w:hAnsi="Arial" w:cs="Arial"/>
          <w:sz w:val="24"/>
          <w:szCs w:val="24"/>
        </w:rPr>
      </w:pPr>
    </w:p>
    <w:p w:rsidR="001D347A" w:rsidRPr="00A928AF" w:rsidRDefault="001D347A" w:rsidP="001D347A">
      <w:pPr>
        <w:pStyle w:val="NoSpacing"/>
        <w:rPr>
          <w:rFonts w:ascii="Arial" w:hAnsi="Arial" w:cs="Arial"/>
          <w:sz w:val="24"/>
          <w:szCs w:val="24"/>
        </w:rPr>
      </w:pPr>
    </w:p>
    <w:p w:rsidR="001D347A" w:rsidRDefault="001D347A" w:rsidP="001D347A">
      <w:pPr>
        <w:pStyle w:val="NoSpacing"/>
        <w:spacing w:line="360" w:lineRule="auto"/>
        <w:jc w:val="both"/>
        <w:rPr>
          <w:rFonts w:ascii="Arial" w:hAnsi="Arial" w:cs="Arial"/>
          <w:sz w:val="24"/>
          <w:szCs w:val="24"/>
        </w:rPr>
      </w:pPr>
      <w:r w:rsidRPr="00A928AF">
        <w:rPr>
          <w:rFonts w:ascii="Arial" w:hAnsi="Arial" w:cs="Arial"/>
          <w:b/>
          <w:sz w:val="24"/>
          <w:szCs w:val="24"/>
        </w:rPr>
        <w:t>Summary:</w:t>
      </w:r>
      <w:r w:rsidRPr="00A928AF">
        <w:rPr>
          <w:rFonts w:ascii="Arial" w:hAnsi="Arial" w:cs="Arial"/>
          <w:b/>
          <w:sz w:val="24"/>
          <w:szCs w:val="24"/>
        </w:rPr>
        <w:tab/>
      </w:r>
      <w:r w:rsidRPr="00C97FB7">
        <w:rPr>
          <w:rFonts w:ascii="Arial" w:hAnsi="Arial" w:cs="Arial"/>
          <w:sz w:val="24"/>
          <w:szCs w:val="24"/>
        </w:rPr>
        <w:t>The</w:t>
      </w:r>
      <w:r>
        <w:rPr>
          <w:rFonts w:ascii="Arial" w:hAnsi="Arial" w:cs="Arial"/>
          <w:b/>
          <w:sz w:val="24"/>
          <w:szCs w:val="24"/>
        </w:rPr>
        <w:t xml:space="preserve"> </w:t>
      </w:r>
      <w:r w:rsidRPr="00C97FB7">
        <w:rPr>
          <w:rFonts w:ascii="Arial" w:hAnsi="Arial" w:cs="Arial"/>
          <w:sz w:val="24"/>
          <w:szCs w:val="24"/>
        </w:rPr>
        <w:t>Mi</w:t>
      </w:r>
      <w:r>
        <w:rPr>
          <w:rFonts w:ascii="Arial" w:hAnsi="Arial" w:cs="Arial"/>
          <w:sz w:val="24"/>
          <w:szCs w:val="24"/>
        </w:rPr>
        <w:t xml:space="preserve">nister of Safety and Security, the Prosecutor-General and the government appealed to the Supreme Court against the decision of the High Court giving judgment in favour of Mr Chunga for alleged malicious continuation of Mr Chunga’s prosecution. Mr Chunga was one of the persons arrested and prosecuted for high treason, murder and other crimes arising from attacks in and around Katima Mulilo on 2 August 1999. Mr Chunga was discharged at the end of the State’s case following a protracted criminal trial in the High Court. After his discharge, Mr Chunga sued the government and the Prosecutor-General for damages for malicious prosecution, </w:t>
      </w:r>
      <w:r>
        <w:rPr>
          <w:rFonts w:ascii="Arial" w:hAnsi="Arial" w:cs="Arial"/>
          <w:sz w:val="24"/>
          <w:szCs w:val="24"/>
        </w:rPr>
        <w:lastRenderedPageBreak/>
        <w:t>alternatively for the continuation of his prosecution. The High Court dismissed the claim for malicious prosecution, but allowed the alternative claim for malicious continuation of prosecution without reasonable and probable cause. The High Court found that the prosecution should not have continued to prosecute Mr Chunga as there was no evidence implicating him</w:t>
      </w:r>
      <w:r w:rsidRPr="00A928AF">
        <w:rPr>
          <w:rFonts w:ascii="Arial" w:hAnsi="Arial" w:cs="Arial"/>
          <w:sz w:val="24"/>
          <w:szCs w:val="24"/>
        </w:rPr>
        <w:t xml:space="preserve">. </w:t>
      </w:r>
    </w:p>
    <w:p w:rsidR="001D347A" w:rsidRDefault="001D347A" w:rsidP="001D347A">
      <w:pPr>
        <w:pStyle w:val="NoSpacing"/>
        <w:spacing w:line="360" w:lineRule="auto"/>
        <w:jc w:val="both"/>
        <w:rPr>
          <w:rFonts w:ascii="Arial" w:hAnsi="Arial" w:cs="Arial"/>
          <w:sz w:val="24"/>
          <w:szCs w:val="24"/>
        </w:rPr>
      </w:pPr>
    </w:p>
    <w:p w:rsidR="001D347A" w:rsidRDefault="001D347A" w:rsidP="001D347A">
      <w:pPr>
        <w:pStyle w:val="NoSpacing"/>
        <w:spacing w:line="360" w:lineRule="auto"/>
        <w:jc w:val="both"/>
        <w:rPr>
          <w:rFonts w:ascii="Arial" w:hAnsi="Arial" w:cs="Arial"/>
          <w:sz w:val="24"/>
          <w:szCs w:val="24"/>
        </w:rPr>
      </w:pPr>
      <w:r>
        <w:rPr>
          <w:rFonts w:ascii="Arial" w:hAnsi="Arial" w:cs="Arial"/>
          <w:sz w:val="24"/>
          <w:szCs w:val="24"/>
        </w:rPr>
        <w:t xml:space="preserve">In the Supreme Court, the governmental appellants argued that the High Court erred in approaching the evidence in a civil trial as if it was evaluating evidence in criminal case. It was argued that the </w:t>
      </w:r>
      <w:r w:rsidRPr="00A928AF">
        <w:rPr>
          <w:rFonts w:ascii="Arial" w:hAnsi="Arial" w:cs="Arial"/>
          <w:sz w:val="24"/>
          <w:szCs w:val="24"/>
        </w:rPr>
        <w:t xml:space="preserve">witness statements implicating </w:t>
      </w:r>
      <w:r>
        <w:rPr>
          <w:rFonts w:ascii="Arial" w:hAnsi="Arial" w:cs="Arial"/>
          <w:sz w:val="24"/>
          <w:szCs w:val="24"/>
        </w:rPr>
        <w:t xml:space="preserve">Mr Chunga </w:t>
      </w:r>
      <w:r w:rsidRPr="00A928AF">
        <w:rPr>
          <w:rFonts w:ascii="Arial" w:hAnsi="Arial" w:cs="Arial"/>
          <w:sz w:val="24"/>
          <w:szCs w:val="24"/>
        </w:rPr>
        <w:t>led the prosecut</w:t>
      </w:r>
      <w:r>
        <w:rPr>
          <w:rFonts w:ascii="Arial" w:hAnsi="Arial" w:cs="Arial"/>
          <w:sz w:val="24"/>
          <w:szCs w:val="24"/>
        </w:rPr>
        <w:t>i</w:t>
      </w:r>
      <w:r w:rsidRPr="00A928AF">
        <w:rPr>
          <w:rFonts w:ascii="Arial" w:hAnsi="Arial" w:cs="Arial"/>
          <w:sz w:val="24"/>
          <w:szCs w:val="24"/>
        </w:rPr>
        <w:t>o</w:t>
      </w:r>
      <w:r>
        <w:rPr>
          <w:rFonts w:ascii="Arial" w:hAnsi="Arial" w:cs="Arial"/>
          <w:sz w:val="24"/>
          <w:szCs w:val="24"/>
        </w:rPr>
        <w:t>n</w:t>
      </w:r>
      <w:r w:rsidRPr="00A928AF">
        <w:rPr>
          <w:rFonts w:ascii="Arial" w:hAnsi="Arial" w:cs="Arial"/>
          <w:sz w:val="24"/>
          <w:szCs w:val="24"/>
        </w:rPr>
        <w:t xml:space="preserve"> team to honestly and reasonably believe that </w:t>
      </w:r>
      <w:r>
        <w:rPr>
          <w:rFonts w:ascii="Arial" w:hAnsi="Arial" w:cs="Arial"/>
          <w:sz w:val="24"/>
          <w:szCs w:val="24"/>
        </w:rPr>
        <w:t>Mr Chunga</w:t>
      </w:r>
      <w:r w:rsidRPr="00A928AF">
        <w:rPr>
          <w:rFonts w:ascii="Arial" w:hAnsi="Arial" w:cs="Arial"/>
          <w:sz w:val="24"/>
          <w:szCs w:val="24"/>
        </w:rPr>
        <w:t xml:space="preserve"> possessed and executed a common desire with other </w:t>
      </w:r>
      <w:r>
        <w:rPr>
          <w:rFonts w:ascii="Arial" w:hAnsi="Arial" w:cs="Arial"/>
          <w:sz w:val="24"/>
          <w:szCs w:val="24"/>
        </w:rPr>
        <w:t>people he was jointly charged with.</w:t>
      </w:r>
      <w:r w:rsidRPr="00A928AF">
        <w:rPr>
          <w:rFonts w:ascii="Arial" w:hAnsi="Arial" w:cs="Arial"/>
          <w:sz w:val="24"/>
          <w:szCs w:val="24"/>
        </w:rPr>
        <w:t xml:space="preserve"> </w:t>
      </w:r>
      <w:r>
        <w:rPr>
          <w:rFonts w:ascii="Arial" w:hAnsi="Arial" w:cs="Arial"/>
          <w:sz w:val="24"/>
          <w:szCs w:val="24"/>
        </w:rPr>
        <w:t xml:space="preserve"> </w:t>
      </w:r>
    </w:p>
    <w:p w:rsidR="001D347A" w:rsidRDefault="001D347A" w:rsidP="001D347A">
      <w:pPr>
        <w:pStyle w:val="NoSpacing"/>
        <w:spacing w:line="360" w:lineRule="auto"/>
        <w:jc w:val="both"/>
        <w:rPr>
          <w:rFonts w:ascii="Arial" w:hAnsi="Arial" w:cs="Arial"/>
          <w:sz w:val="24"/>
          <w:szCs w:val="24"/>
        </w:rPr>
      </w:pPr>
    </w:p>
    <w:p w:rsidR="001D347A" w:rsidRPr="00A928AF" w:rsidRDefault="001D347A" w:rsidP="001D347A">
      <w:pPr>
        <w:pStyle w:val="NoSpacing"/>
        <w:spacing w:line="360" w:lineRule="auto"/>
        <w:jc w:val="both"/>
        <w:rPr>
          <w:rFonts w:ascii="Arial" w:hAnsi="Arial" w:cs="Arial"/>
          <w:sz w:val="24"/>
          <w:szCs w:val="24"/>
        </w:rPr>
      </w:pPr>
      <w:r>
        <w:rPr>
          <w:rFonts w:ascii="Arial" w:hAnsi="Arial" w:cs="Arial"/>
          <w:sz w:val="24"/>
          <w:szCs w:val="24"/>
        </w:rPr>
        <w:t xml:space="preserve">Mr Chunga, on the other hand, submitted that </w:t>
      </w:r>
      <w:r w:rsidRPr="00A928AF">
        <w:rPr>
          <w:rFonts w:ascii="Arial" w:hAnsi="Arial" w:cs="Arial"/>
          <w:sz w:val="24"/>
          <w:szCs w:val="24"/>
        </w:rPr>
        <w:t>the prosecutorial team</w:t>
      </w:r>
      <w:r>
        <w:rPr>
          <w:rFonts w:ascii="Arial" w:hAnsi="Arial" w:cs="Arial"/>
          <w:sz w:val="24"/>
          <w:szCs w:val="24"/>
        </w:rPr>
        <w:t xml:space="preserve"> </w:t>
      </w:r>
      <w:r w:rsidRPr="00A928AF">
        <w:rPr>
          <w:rFonts w:ascii="Arial" w:hAnsi="Arial" w:cs="Arial"/>
          <w:sz w:val="24"/>
          <w:szCs w:val="24"/>
        </w:rPr>
        <w:t xml:space="preserve">lacked reasonable and probable cause and an honest belief in </w:t>
      </w:r>
      <w:r>
        <w:rPr>
          <w:rFonts w:ascii="Arial" w:hAnsi="Arial" w:cs="Arial"/>
          <w:sz w:val="24"/>
          <w:szCs w:val="24"/>
        </w:rPr>
        <w:t xml:space="preserve">his </w:t>
      </w:r>
      <w:r w:rsidRPr="00A928AF">
        <w:rPr>
          <w:rFonts w:ascii="Arial" w:hAnsi="Arial" w:cs="Arial"/>
          <w:sz w:val="24"/>
          <w:szCs w:val="24"/>
        </w:rPr>
        <w:t>guilt</w:t>
      </w:r>
      <w:r>
        <w:rPr>
          <w:rFonts w:ascii="Arial" w:hAnsi="Arial" w:cs="Arial"/>
          <w:sz w:val="24"/>
          <w:szCs w:val="24"/>
        </w:rPr>
        <w:t xml:space="preserve">, especially </w:t>
      </w:r>
      <w:r w:rsidRPr="00A928AF">
        <w:rPr>
          <w:rFonts w:ascii="Arial" w:hAnsi="Arial" w:cs="Arial"/>
          <w:sz w:val="24"/>
          <w:szCs w:val="24"/>
        </w:rPr>
        <w:t xml:space="preserve">after the prosecutorial team </w:t>
      </w:r>
      <w:r>
        <w:rPr>
          <w:rFonts w:ascii="Arial" w:hAnsi="Arial" w:cs="Arial"/>
          <w:sz w:val="24"/>
          <w:szCs w:val="24"/>
        </w:rPr>
        <w:t xml:space="preserve">had </w:t>
      </w:r>
      <w:r w:rsidRPr="00A928AF">
        <w:rPr>
          <w:rFonts w:ascii="Arial" w:hAnsi="Arial" w:cs="Arial"/>
          <w:sz w:val="24"/>
          <w:szCs w:val="24"/>
        </w:rPr>
        <w:t xml:space="preserve">assessed the witnesses’ </w:t>
      </w:r>
      <w:r>
        <w:rPr>
          <w:rFonts w:ascii="Arial" w:hAnsi="Arial" w:cs="Arial"/>
          <w:sz w:val="24"/>
          <w:szCs w:val="24"/>
        </w:rPr>
        <w:t xml:space="preserve">evidence </w:t>
      </w:r>
      <w:r w:rsidRPr="00A928AF">
        <w:rPr>
          <w:rFonts w:ascii="Arial" w:hAnsi="Arial" w:cs="Arial"/>
          <w:sz w:val="24"/>
          <w:szCs w:val="24"/>
        </w:rPr>
        <w:t>in November 2010</w:t>
      </w:r>
      <w:r>
        <w:rPr>
          <w:rFonts w:ascii="Arial" w:hAnsi="Arial" w:cs="Arial"/>
          <w:sz w:val="24"/>
          <w:szCs w:val="24"/>
        </w:rPr>
        <w:t xml:space="preserve"> and found it necessary to instruct </w:t>
      </w:r>
      <w:r w:rsidRPr="00A928AF">
        <w:rPr>
          <w:rFonts w:ascii="Arial" w:hAnsi="Arial" w:cs="Arial"/>
          <w:sz w:val="24"/>
          <w:szCs w:val="24"/>
        </w:rPr>
        <w:t xml:space="preserve">the police to further investigate accused </w:t>
      </w:r>
      <w:r>
        <w:rPr>
          <w:rFonts w:ascii="Arial" w:hAnsi="Arial" w:cs="Arial"/>
          <w:sz w:val="24"/>
          <w:szCs w:val="24"/>
        </w:rPr>
        <w:t xml:space="preserve">persons but </w:t>
      </w:r>
      <w:r w:rsidRPr="00A928AF">
        <w:rPr>
          <w:rFonts w:ascii="Arial" w:hAnsi="Arial" w:cs="Arial"/>
          <w:sz w:val="24"/>
          <w:szCs w:val="24"/>
        </w:rPr>
        <w:t>n</w:t>
      </w:r>
      <w:r>
        <w:rPr>
          <w:rFonts w:ascii="Arial" w:hAnsi="Arial" w:cs="Arial"/>
          <w:sz w:val="24"/>
          <w:szCs w:val="24"/>
        </w:rPr>
        <w:t xml:space="preserve">o </w:t>
      </w:r>
      <w:r w:rsidRPr="00A928AF">
        <w:rPr>
          <w:rFonts w:ascii="Arial" w:hAnsi="Arial" w:cs="Arial"/>
          <w:sz w:val="24"/>
          <w:szCs w:val="24"/>
        </w:rPr>
        <w:t xml:space="preserve">evidence was found against </w:t>
      </w:r>
      <w:r>
        <w:rPr>
          <w:rFonts w:ascii="Arial" w:hAnsi="Arial" w:cs="Arial"/>
          <w:sz w:val="24"/>
          <w:szCs w:val="24"/>
        </w:rPr>
        <w:t>Mr Chunga</w:t>
      </w:r>
      <w:r w:rsidRPr="00A928AF">
        <w:rPr>
          <w:rFonts w:ascii="Arial" w:hAnsi="Arial" w:cs="Arial"/>
          <w:sz w:val="24"/>
          <w:szCs w:val="24"/>
        </w:rPr>
        <w:t xml:space="preserve">. Therefore, there was no evidence to </w:t>
      </w:r>
      <w:r>
        <w:rPr>
          <w:rFonts w:ascii="Arial" w:hAnsi="Arial" w:cs="Arial"/>
          <w:sz w:val="24"/>
          <w:szCs w:val="24"/>
        </w:rPr>
        <w:t xml:space="preserve">have had </w:t>
      </w:r>
      <w:r w:rsidRPr="00A928AF">
        <w:rPr>
          <w:rFonts w:ascii="Arial" w:hAnsi="Arial" w:cs="Arial"/>
          <w:sz w:val="24"/>
          <w:szCs w:val="24"/>
        </w:rPr>
        <w:t>continue</w:t>
      </w:r>
      <w:r>
        <w:rPr>
          <w:rFonts w:ascii="Arial" w:hAnsi="Arial" w:cs="Arial"/>
          <w:sz w:val="24"/>
          <w:szCs w:val="24"/>
        </w:rPr>
        <w:t>d</w:t>
      </w:r>
      <w:r w:rsidRPr="00A928AF">
        <w:rPr>
          <w:rFonts w:ascii="Arial" w:hAnsi="Arial" w:cs="Arial"/>
          <w:sz w:val="24"/>
          <w:szCs w:val="24"/>
        </w:rPr>
        <w:t xml:space="preserve"> prosecuting him.</w:t>
      </w:r>
      <w:r>
        <w:rPr>
          <w:rFonts w:ascii="Arial" w:hAnsi="Arial" w:cs="Arial"/>
          <w:sz w:val="24"/>
          <w:szCs w:val="24"/>
        </w:rPr>
        <w:t xml:space="preserve"> He also argued that t</w:t>
      </w:r>
      <w:r w:rsidRPr="00A928AF">
        <w:rPr>
          <w:rFonts w:ascii="Arial" w:hAnsi="Arial" w:cs="Arial"/>
          <w:sz w:val="24"/>
          <w:szCs w:val="24"/>
        </w:rPr>
        <w:t xml:space="preserve">he </w:t>
      </w:r>
      <w:r>
        <w:rPr>
          <w:rFonts w:ascii="Arial" w:hAnsi="Arial" w:cs="Arial"/>
          <w:sz w:val="24"/>
          <w:szCs w:val="24"/>
        </w:rPr>
        <w:t xml:space="preserve">prosecutors’ </w:t>
      </w:r>
      <w:r w:rsidRPr="00A928AF">
        <w:rPr>
          <w:rFonts w:ascii="Arial" w:hAnsi="Arial" w:cs="Arial"/>
          <w:sz w:val="24"/>
          <w:szCs w:val="24"/>
        </w:rPr>
        <w:t>oppos</w:t>
      </w:r>
      <w:r>
        <w:rPr>
          <w:rFonts w:ascii="Arial" w:hAnsi="Arial" w:cs="Arial"/>
          <w:sz w:val="24"/>
          <w:szCs w:val="24"/>
        </w:rPr>
        <w:t xml:space="preserve">ition to his application in terms of </w:t>
      </w:r>
      <w:r w:rsidRPr="00A928AF">
        <w:rPr>
          <w:rFonts w:ascii="Arial" w:hAnsi="Arial" w:cs="Arial"/>
          <w:sz w:val="24"/>
          <w:szCs w:val="24"/>
        </w:rPr>
        <w:t xml:space="preserve">s 174 </w:t>
      </w:r>
      <w:r>
        <w:rPr>
          <w:rFonts w:ascii="Arial" w:hAnsi="Arial" w:cs="Arial"/>
          <w:sz w:val="24"/>
          <w:szCs w:val="24"/>
        </w:rPr>
        <w:t xml:space="preserve">of Criminal Procedure Act </w:t>
      </w:r>
      <w:r w:rsidRPr="00A928AF">
        <w:rPr>
          <w:rFonts w:ascii="Arial" w:hAnsi="Arial" w:cs="Arial"/>
          <w:sz w:val="24"/>
          <w:szCs w:val="24"/>
        </w:rPr>
        <w:t xml:space="preserve">for </w:t>
      </w:r>
      <w:r>
        <w:rPr>
          <w:rFonts w:ascii="Arial" w:hAnsi="Arial" w:cs="Arial"/>
          <w:sz w:val="24"/>
          <w:szCs w:val="24"/>
        </w:rPr>
        <w:t xml:space="preserve">a </w:t>
      </w:r>
      <w:r w:rsidRPr="00A928AF">
        <w:rPr>
          <w:rFonts w:ascii="Arial" w:hAnsi="Arial" w:cs="Arial"/>
          <w:sz w:val="24"/>
          <w:szCs w:val="24"/>
        </w:rPr>
        <w:t xml:space="preserve">discharge at the conclusion of the </w:t>
      </w:r>
      <w:r>
        <w:rPr>
          <w:rFonts w:ascii="Arial" w:hAnsi="Arial" w:cs="Arial"/>
          <w:sz w:val="24"/>
          <w:szCs w:val="24"/>
        </w:rPr>
        <w:t>S</w:t>
      </w:r>
      <w:r w:rsidRPr="00A928AF">
        <w:rPr>
          <w:rFonts w:ascii="Arial" w:hAnsi="Arial" w:cs="Arial"/>
          <w:sz w:val="24"/>
          <w:szCs w:val="24"/>
        </w:rPr>
        <w:t>tate’s case</w:t>
      </w:r>
      <w:r>
        <w:rPr>
          <w:rFonts w:ascii="Arial" w:hAnsi="Arial" w:cs="Arial"/>
          <w:sz w:val="24"/>
          <w:szCs w:val="24"/>
        </w:rPr>
        <w:t xml:space="preserve"> wa</w:t>
      </w:r>
      <w:r w:rsidRPr="00A928AF">
        <w:rPr>
          <w:rFonts w:ascii="Arial" w:hAnsi="Arial" w:cs="Arial"/>
          <w:sz w:val="24"/>
          <w:szCs w:val="24"/>
        </w:rPr>
        <w:t>s evidence of malice</w:t>
      </w:r>
      <w:r>
        <w:rPr>
          <w:rFonts w:ascii="Arial" w:hAnsi="Arial" w:cs="Arial"/>
          <w:sz w:val="24"/>
          <w:szCs w:val="24"/>
        </w:rPr>
        <w:t xml:space="preserve"> on their part</w:t>
      </w:r>
      <w:r w:rsidRPr="00A928AF">
        <w:rPr>
          <w:rFonts w:ascii="Arial" w:hAnsi="Arial" w:cs="Arial"/>
          <w:sz w:val="24"/>
          <w:szCs w:val="24"/>
        </w:rPr>
        <w:t>.</w:t>
      </w:r>
    </w:p>
    <w:p w:rsidR="001D347A" w:rsidRPr="00A928AF" w:rsidRDefault="001D347A" w:rsidP="001D347A">
      <w:pPr>
        <w:pStyle w:val="NoSpacing"/>
        <w:spacing w:line="360" w:lineRule="auto"/>
        <w:rPr>
          <w:rFonts w:ascii="Arial" w:hAnsi="Arial" w:cs="Arial"/>
          <w:sz w:val="24"/>
          <w:szCs w:val="24"/>
        </w:rPr>
      </w:pPr>
    </w:p>
    <w:p w:rsidR="001D347A" w:rsidRDefault="001D347A" w:rsidP="001D347A">
      <w:pPr>
        <w:pStyle w:val="NoSpacing"/>
        <w:spacing w:line="360" w:lineRule="auto"/>
        <w:jc w:val="both"/>
        <w:rPr>
          <w:rFonts w:ascii="Arial" w:hAnsi="Arial" w:cs="Arial"/>
          <w:sz w:val="24"/>
          <w:szCs w:val="24"/>
        </w:rPr>
      </w:pPr>
      <w:r w:rsidRPr="00FC3CDD">
        <w:rPr>
          <w:rFonts w:ascii="Arial" w:hAnsi="Arial" w:cs="Arial"/>
          <w:i/>
          <w:sz w:val="24"/>
          <w:szCs w:val="24"/>
        </w:rPr>
        <w:t>Held</w:t>
      </w:r>
      <w:r>
        <w:rPr>
          <w:rFonts w:ascii="Arial" w:hAnsi="Arial" w:cs="Arial"/>
          <w:sz w:val="24"/>
          <w:szCs w:val="24"/>
        </w:rPr>
        <w:t xml:space="preserve">, the requirement of reasonable and probable cause has both an objective and subjective element. Objectively, the information available to the prosecution must be sufficient for a reasonable person to conclude that the plaintiff had committed the crime or offence charged. </w:t>
      </w:r>
    </w:p>
    <w:p w:rsidR="001D347A" w:rsidRDefault="001D347A" w:rsidP="001D347A">
      <w:pPr>
        <w:pStyle w:val="NoSpacing"/>
        <w:spacing w:line="360" w:lineRule="auto"/>
        <w:jc w:val="both"/>
        <w:rPr>
          <w:rFonts w:ascii="Arial" w:hAnsi="Arial" w:cs="Arial"/>
          <w:sz w:val="24"/>
          <w:szCs w:val="24"/>
        </w:rPr>
      </w:pPr>
    </w:p>
    <w:p w:rsidR="001D347A" w:rsidRDefault="001D347A" w:rsidP="001D347A">
      <w:pPr>
        <w:pStyle w:val="NoSpacing"/>
        <w:spacing w:line="360" w:lineRule="auto"/>
        <w:jc w:val="both"/>
        <w:rPr>
          <w:rFonts w:ascii="Arial" w:hAnsi="Arial" w:cs="Arial"/>
          <w:sz w:val="24"/>
          <w:szCs w:val="24"/>
        </w:rPr>
      </w:pPr>
      <w:r w:rsidRPr="00FC3CDD">
        <w:rPr>
          <w:rFonts w:ascii="Arial" w:hAnsi="Arial" w:cs="Arial"/>
          <w:i/>
          <w:sz w:val="24"/>
          <w:szCs w:val="24"/>
        </w:rPr>
        <w:t>Held,</w:t>
      </w:r>
      <w:r>
        <w:rPr>
          <w:rFonts w:ascii="Arial" w:hAnsi="Arial" w:cs="Arial"/>
          <w:sz w:val="24"/>
          <w:szCs w:val="24"/>
        </w:rPr>
        <w:t xml:space="preserve"> subjectively</w:t>
      </w:r>
      <w:r w:rsidR="005B53D7">
        <w:rPr>
          <w:rFonts w:ascii="Arial" w:hAnsi="Arial" w:cs="Arial"/>
          <w:sz w:val="24"/>
          <w:szCs w:val="24"/>
        </w:rPr>
        <w:t>,</w:t>
      </w:r>
      <w:r>
        <w:rPr>
          <w:rFonts w:ascii="Arial" w:hAnsi="Arial" w:cs="Arial"/>
          <w:sz w:val="24"/>
          <w:szCs w:val="24"/>
        </w:rPr>
        <w:t xml:space="preserve"> the prosecutor must have had an honest belief in the plaintiff’s guilt, but ‘honest belief’ is not the same as the belief on the part of a judge who sits in the judgment of an accused person in a criminal trial. The requirement is based on good faith and professional assessment by a prosecutor of the information at his or her disposal.</w:t>
      </w:r>
    </w:p>
    <w:p w:rsidR="001D347A" w:rsidRDefault="001D347A" w:rsidP="001D347A">
      <w:pPr>
        <w:pStyle w:val="NoSpacing"/>
        <w:spacing w:line="360" w:lineRule="auto"/>
        <w:jc w:val="both"/>
        <w:rPr>
          <w:rFonts w:ascii="Arial" w:hAnsi="Arial" w:cs="Arial"/>
          <w:sz w:val="24"/>
          <w:szCs w:val="24"/>
        </w:rPr>
      </w:pPr>
    </w:p>
    <w:p w:rsidR="001D347A" w:rsidRDefault="001D347A" w:rsidP="001D347A">
      <w:pPr>
        <w:pStyle w:val="NoSpacing"/>
        <w:spacing w:line="360" w:lineRule="auto"/>
        <w:jc w:val="both"/>
        <w:rPr>
          <w:rFonts w:ascii="Arial" w:hAnsi="Arial" w:cs="Arial"/>
          <w:sz w:val="24"/>
          <w:szCs w:val="24"/>
        </w:rPr>
      </w:pPr>
      <w:r w:rsidRPr="00FC3CDD">
        <w:rPr>
          <w:rFonts w:ascii="Arial" w:hAnsi="Arial" w:cs="Arial"/>
          <w:i/>
          <w:sz w:val="24"/>
          <w:szCs w:val="24"/>
        </w:rPr>
        <w:t>Held,</w:t>
      </w:r>
      <w:r>
        <w:rPr>
          <w:rFonts w:ascii="Arial" w:hAnsi="Arial" w:cs="Arial"/>
          <w:sz w:val="24"/>
          <w:szCs w:val="24"/>
        </w:rPr>
        <w:t xml:space="preserve"> the High Court and Mr Chunga conflated the civil and criminal standards which are different. Facts required to establish the actual guilt of the accused in the criminal case are different from those required to establish a reasonable </w:t>
      </w:r>
      <w:r w:rsidRPr="00006C1A">
        <w:rPr>
          <w:rFonts w:ascii="Arial" w:hAnsi="Arial" w:cs="Arial"/>
          <w:i/>
          <w:sz w:val="24"/>
          <w:szCs w:val="24"/>
        </w:rPr>
        <w:t>bona fide</w:t>
      </w:r>
      <w:r>
        <w:rPr>
          <w:rFonts w:ascii="Arial" w:hAnsi="Arial" w:cs="Arial"/>
          <w:sz w:val="24"/>
          <w:szCs w:val="24"/>
        </w:rPr>
        <w:t xml:space="preserve"> belief in the guilt of the plaintiff in </w:t>
      </w:r>
      <w:r w:rsidR="00AE7CF8">
        <w:rPr>
          <w:rFonts w:ascii="Arial" w:hAnsi="Arial" w:cs="Arial"/>
          <w:sz w:val="24"/>
          <w:szCs w:val="24"/>
        </w:rPr>
        <w:t>a</w:t>
      </w:r>
      <w:r>
        <w:rPr>
          <w:rFonts w:ascii="Arial" w:hAnsi="Arial" w:cs="Arial"/>
          <w:sz w:val="24"/>
          <w:szCs w:val="24"/>
        </w:rPr>
        <w:t xml:space="preserve"> civil case.</w:t>
      </w:r>
    </w:p>
    <w:p w:rsidR="001D347A" w:rsidRDefault="001D347A" w:rsidP="001D347A">
      <w:pPr>
        <w:pStyle w:val="NoSpacing"/>
        <w:spacing w:line="360" w:lineRule="auto"/>
        <w:jc w:val="both"/>
        <w:rPr>
          <w:rFonts w:ascii="Arial" w:hAnsi="Arial" w:cs="Arial"/>
          <w:sz w:val="24"/>
          <w:szCs w:val="24"/>
        </w:rPr>
      </w:pPr>
    </w:p>
    <w:p w:rsidR="001D347A" w:rsidRDefault="001D347A" w:rsidP="001D347A">
      <w:pPr>
        <w:pStyle w:val="NoSpacing"/>
        <w:spacing w:line="360" w:lineRule="auto"/>
        <w:jc w:val="both"/>
        <w:rPr>
          <w:rFonts w:ascii="Arial" w:hAnsi="Arial" w:cs="Arial"/>
          <w:sz w:val="24"/>
          <w:szCs w:val="24"/>
        </w:rPr>
      </w:pPr>
      <w:r w:rsidRPr="00FC3CDD">
        <w:rPr>
          <w:rFonts w:ascii="Arial" w:hAnsi="Arial" w:cs="Arial"/>
          <w:i/>
          <w:sz w:val="24"/>
          <w:szCs w:val="24"/>
        </w:rPr>
        <w:t>Held,</w:t>
      </w:r>
      <w:r>
        <w:rPr>
          <w:rFonts w:ascii="Arial" w:hAnsi="Arial" w:cs="Arial"/>
          <w:sz w:val="24"/>
          <w:szCs w:val="24"/>
        </w:rPr>
        <w:t xml:space="preserve"> the information at the disposal of the prosecution included also allegations in witness statements implicating Mr Chunga. Therefore the prosecution did not lack reasonable and probable cause to continue with his prosecution merely because Mr Chunga was not identified during the criminal trial. Appeal upheld.</w:t>
      </w:r>
    </w:p>
    <w:p w:rsidR="001D347A" w:rsidRPr="00A928AF" w:rsidRDefault="001D347A" w:rsidP="001D347A">
      <w:pPr>
        <w:pStyle w:val="NoSpacing"/>
        <w:jc w:val="both"/>
        <w:rPr>
          <w:rFonts w:ascii="Arial" w:hAnsi="Arial" w:cs="Arial"/>
          <w:sz w:val="24"/>
          <w:szCs w:val="24"/>
        </w:rPr>
      </w:pPr>
    </w:p>
    <w:p w:rsidR="001D347A" w:rsidRPr="00A928AF" w:rsidRDefault="001D347A" w:rsidP="001D347A">
      <w:pPr>
        <w:pStyle w:val="NoSpacing"/>
        <w:rPr>
          <w:rFonts w:ascii="Arial" w:hAnsi="Arial" w:cs="Arial"/>
          <w:sz w:val="24"/>
          <w:szCs w:val="24"/>
        </w:rPr>
      </w:pPr>
      <w:r w:rsidRPr="00A928AF">
        <w:rPr>
          <w:rFonts w:ascii="Arial" w:hAnsi="Arial" w:cs="Arial"/>
          <w:sz w:val="24"/>
          <w:szCs w:val="24"/>
        </w:rPr>
        <w:t>____________________________________________________________________</w:t>
      </w:r>
    </w:p>
    <w:p w:rsidR="001D347A" w:rsidRPr="00A928AF" w:rsidRDefault="001D347A" w:rsidP="001D347A">
      <w:pPr>
        <w:pStyle w:val="NoSpacing"/>
        <w:rPr>
          <w:rFonts w:ascii="Arial" w:hAnsi="Arial" w:cs="Arial"/>
          <w:sz w:val="24"/>
          <w:szCs w:val="24"/>
        </w:rPr>
      </w:pPr>
    </w:p>
    <w:p w:rsidR="001D347A" w:rsidRPr="00A928AF" w:rsidRDefault="001D347A" w:rsidP="001D347A">
      <w:pPr>
        <w:pStyle w:val="NoSpacing"/>
        <w:jc w:val="center"/>
        <w:rPr>
          <w:rFonts w:ascii="Arial" w:hAnsi="Arial" w:cs="Arial"/>
          <w:b/>
          <w:sz w:val="24"/>
          <w:szCs w:val="24"/>
        </w:rPr>
      </w:pPr>
      <w:r w:rsidRPr="00A928AF">
        <w:rPr>
          <w:rFonts w:ascii="Arial" w:hAnsi="Arial" w:cs="Arial"/>
          <w:b/>
          <w:sz w:val="24"/>
          <w:szCs w:val="24"/>
        </w:rPr>
        <w:t>APPEAL JUDGMENT</w:t>
      </w:r>
    </w:p>
    <w:p w:rsidR="001D347A" w:rsidRPr="00A928AF" w:rsidRDefault="001D347A" w:rsidP="001D347A">
      <w:pPr>
        <w:pStyle w:val="NoSpacing"/>
        <w:rPr>
          <w:rFonts w:ascii="Arial" w:hAnsi="Arial" w:cs="Arial"/>
          <w:sz w:val="24"/>
          <w:szCs w:val="24"/>
        </w:rPr>
      </w:pPr>
      <w:r w:rsidRPr="00A928AF">
        <w:rPr>
          <w:rFonts w:ascii="Arial" w:hAnsi="Arial" w:cs="Arial"/>
          <w:sz w:val="24"/>
          <w:szCs w:val="24"/>
        </w:rPr>
        <w:t>____________________________________________________________________</w:t>
      </w:r>
    </w:p>
    <w:p w:rsidR="001D347A" w:rsidRPr="00A928AF" w:rsidRDefault="001D347A" w:rsidP="001D347A">
      <w:pPr>
        <w:pStyle w:val="NoSpacing"/>
        <w:rPr>
          <w:rFonts w:ascii="Arial" w:hAnsi="Arial" w:cs="Arial"/>
          <w:sz w:val="24"/>
          <w:szCs w:val="24"/>
        </w:rPr>
      </w:pPr>
    </w:p>
    <w:p w:rsidR="001D347A" w:rsidRPr="00A928AF" w:rsidRDefault="001D347A" w:rsidP="00604362">
      <w:pPr>
        <w:pStyle w:val="NoSpacing"/>
        <w:spacing w:line="480" w:lineRule="auto"/>
        <w:jc w:val="both"/>
        <w:rPr>
          <w:rFonts w:ascii="Arial" w:hAnsi="Arial" w:cs="Arial"/>
          <w:sz w:val="24"/>
          <w:szCs w:val="24"/>
        </w:rPr>
      </w:pPr>
      <w:r w:rsidRPr="00A928AF">
        <w:rPr>
          <w:rFonts w:ascii="Arial" w:hAnsi="Arial" w:cs="Arial"/>
          <w:sz w:val="24"/>
          <w:szCs w:val="24"/>
        </w:rPr>
        <w:t xml:space="preserve">SHIVUTE </w:t>
      </w:r>
      <w:r>
        <w:rPr>
          <w:rFonts w:ascii="Arial" w:hAnsi="Arial" w:cs="Arial"/>
          <w:sz w:val="24"/>
          <w:szCs w:val="24"/>
        </w:rPr>
        <w:t xml:space="preserve">CJ </w:t>
      </w:r>
      <w:r w:rsidRPr="00A928AF">
        <w:rPr>
          <w:rFonts w:ascii="Arial" w:hAnsi="Arial" w:cs="Arial"/>
          <w:sz w:val="24"/>
          <w:szCs w:val="24"/>
        </w:rPr>
        <w:t>(</w:t>
      </w:r>
      <w:r>
        <w:rPr>
          <w:rFonts w:ascii="Arial" w:hAnsi="Arial" w:cs="Arial"/>
          <w:sz w:val="24"/>
          <w:szCs w:val="24"/>
        </w:rPr>
        <w:t>MOKGORO AJA</w:t>
      </w:r>
      <w:r w:rsidRPr="00A928AF">
        <w:rPr>
          <w:rFonts w:ascii="Arial" w:hAnsi="Arial" w:cs="Arial"/>
          <w:sz w:val="24"/>
          <w:szCs w:val="24"/>
        </w:rPr>
        <w:t xml:space="preserve"> and </w:t>
      </w:r>
      <w:r>
        <w:rPr>
          <w:rFonts w:ascii="Arial" w:hAnsi="Arial" w:cs="Arial"/>
          <w:sz w:val="24"/>
          <w:szCs w:val="24"/>
        </w:rPr>
        <w:t>NKABINDE AJA</w:t>
      </w:r>
      <w:r w:rsidRPr="00A928AF">
        <w:rPr>
          <w:rFonts w:ascii="Arial" w:hAnsi="Arial" w:cs="Arial"/>
          <w:sz w:val="24"/>
          <w:szCs w:val="24"/>
        </w:rPr>
        <w:t xml:space="preserve"> concurring):</w:t>
      </w:r>
    </w:p>
    <w:p w:rsidR="001D347A" w:rsidRPr="00A928AF" w:rsidRDefault="001D347A" w:rsidP="00604362">
      <w:pPr>
        <w:pStyle w:val="NoSpacing"/>
        <w:spacing w:line="480" w:lineRule="auto"/>
        <w:jc w:val="both"/>
        <w:rPr>
          <w:rFonts w:ascii="Arial" w:hAnsi="Arial" w:cs="Arial"/>
          <w:sz w:val="24"/>
          <w:szCs w:val="24"/>
          <w:u w:val="single"/>
        </w:rPr>
      </w:pPr>
      <w:r w:rsidRPr="00A928AF">
        <w:rPr>
          <w:rFonts w:ascii="Arial" w:hAnsi="Arial" w:cs="Arial"/>
          <w:sz w:val="24"/>
          <w:szCs w:val="24"/>
          <w:u w:val="single"/>
        </w:rPr>
        <w:t>Introduction</w:t>
      </w: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This matter is part of a series of appeals beginning with </w:t>
      </w:r>
      <w:r w:rsidR="005B53D7" w:rsidRPr="00FC3CDD">
        <w:rPr>
          <w:rFonts w:ascii="Arial" w:hAnsi="Arial" w:cs="Arial"/>
          <w:i/>
          <w:sz w:val="24"/>
          <w:szCs w:val="24"/>
        </w:rPr>
        <w:t>Minister of Safety and Security &amp; others v</w:t>
      </w:r>
      <w:r w:rsidR="005B53D7">
        <w:rPr>
          <w:rFonts w:ascii="Arial" w:hAnsi="Arial" w:cs="Arial"/>
          <w:sz w:val="24"/>
          <w:szCs w:val="24"/>
        </w:rPr>
        <w:t xml:space="preserve"> </w:t>
      </w:r>
      <w:r w:rsidRPr="00A928AF">
        <w:rPr>
          <w:rFonts w:ascii="Arial" w:hAnsi="Arial" w:cs="Arial"/>
          <w:i/>
          <w:sz w:val="24"/>
          <w:szCs w:val="24"/>
        </w:rPr>
        <w:t>Mahupelo</w:t>
      </w:r>
      <w:r w:rsidR="005B53D7">
        <w:rPr>
          <w:rFonts w:ascii="Arial" w:hAnsi="Arial" w:cs="Arial"/>
          <w:i/>
          <w:sz w:val="24"/>
          <w:szCs w:val="24"/>
        </w:rPr>
        <w:t xml:space="preserve"> </w:t>
      </w:r>
      <w:r w:rsidR="005B53D7">
        <w:rPr>
          <w:rFonts w:ascii="Arial" w:hAnsi="Arial" w:cs="Arial"/>
          <w:sz w:val="24"/>
          <w:szCs w:val="24"/>
        </w:rPr>
        <w:t>2019 (2) NR 308 (SC)</w:t>
      </w:r>
      <w:r w:rsidRPr="00A928AF">
        <w:rPr>
          <w:rFonts w:ascii="Arial" w:hAnsi="Arial" w:cs="Arial"/>
          <w:sz w:val="24"/>
          <w:szCs w:val="24"/>
        </w:rPr>
        <w:t>, in which this court elucidated the principles of a claim for malicious initiation and continuation of a prosecution. This case, like the others preceding it, arises from the attacks in</w:t>
      </w:r>
      <w:r>
        <w:rPr>
          <w:rFonts w:ascii="Arial" w:hAnsi="Arial" w:cs="Arial"/>
          <w:sz w:val="24"/>
          <w:szCs w:val="24"/>
        </w:rPr>
        <w:t xml:space="preserve"> and around </w:t>
      </w:r>
      <w:r w:rsidRPr="00A928AF">
        <w:rPr>
          <w:rFonts w:ascii="Arial" w:hAnsi="Arial" w:cs="Arial"/>
          <w:sz w:val="24"/>
          <w:szCs w:val="24"/>
        </w:rPr>
        <w:t xml:space="preserve">Katima Mulilo on 2 August 1999. On that date, </w:t>
      </w:r>
      <w:r>
        <w:rPr>
          <w:rFonts w:ascii="Arial" w:hAnsi="Arial" w:cs="Arial"/>
          <w:sz w:val="24"/>
          <w:szCs w:val="24"/>
        </w:rPr>
        <w:t xml:space="preserve">individuals </w:t>
      </w:r>
      <w:r w:rsidRPr="00A928AF">
        <w:rPr>
          <w:rFonts w:ascii="Arial" w:hAnsi="Arial" w:cs="Arial"/>
          <w:sz w:val="24"/>
          <w:szCs w:val="24"/>
        </w:rPr>
        <w:t xml:space="preserve">belonging or sympathetic to </w:t>
      </w:r>
      <w:r>
        <w:rPr>
          <w:rFonts w:ascii="Arial" w:hAnsi="Arial" w:cs="Arial"/>
          <w:sz w:val="24"/>
          <w:szCs w:val="24"/>
        </w:rPr>
        <w:t xml:space="preserve">a group called </w:t>
      </w:r>
      <w:r w:rsidRPr="00A928AF">
        <w:rPr>
          <w:rFonts w:ascii="Arial" w:hAnsi="Arial" w:cs="Arial"/>
          <w:sz w:val="24"/>
          <w:szCs w:val="24"/>
        </w:rPr>
        <w:t xml:space="preserve">Caprivi Liberation Army (CLA) attacked police stations and other </w:t>
      </w:r>
      <w:r w:rsidR="005B53D7">
        <w:rPr>
          <w:rFonts w:ascii="Arial" w:hAnsi="Arial" w:cs="Arial"/>
          <w:sz w:val="24"/>
          <w:szCs w:val="24"/>
        </w:rPr>
        <w:t>S</w:t>
      </w:r>
      <w:r w:rsidRPr="00A928AF">
        <w:rPr>
          <w:rFonts w:ascii="Arial" w:hAnsi="Arial" w:cs="Arial"/>
          <w:sz w:val="24"/>
          <w:szCs w:val="24"/>
        </w:rPr>
        <w:t xml:space="preserve">tate institutions around Katima Mulilo, apparently in an attempt to </w:t>
      </w:r>
      <w:r>
        <w:rPr>
          <w:rFonts w:ascii="Arial" w:hAnsi="Arial" w:cs="Arial"/>
          <w:sz w:val="24"/>
          <w:szCs w:val="24"/>
        </w:rPr>
        <w:t xml:space="preserve">achieve </w:t>
      </w:r>
      <w:r w:rsidRPr="00A928AF">
        <w:rPr>
          <w:rFonts w:ascii="Arial" w:hAnsi="Arial" w:cs="Arial"/>
          <w:sz w:val="24"/>
          <w:szCs w:val="24"/>
        </w:rPr>
        <w:t>sece</w:t>
      </w:r>
      <w:r>
        <w:rPr>
          <w:rFonts w:ascii="Arial" w:hAnsi="Arial" w:cs="Arial"/>
          <w:sz w:val="24"/>
          <w:szCs w:val="24"/>
        </w:rPr>
        <w:t>ssion of</w:t>
      </w:r>
      <w:r w:rsidRPr="00A928AF">
        <w:rPr>
          <w:rFonts w:ascii="Arial" w:hAnsi="Arial" w:cs="Arial"/>
          <w:sz w:val="24"/>
          <w:szCs w:val="24"/>
        </w:rPr>
        <w:t xml:space="preserve"> the </w:t>
      </w:r>
      <w:r>
        <w:rPr>
          <w:rFonts w:ascii="Arial" w:hAnsi="Arial" w:cs="Arial"/>
          <w:sz w:val="24"/>
          <w:szCs w:val="24"/>
        </w:rPr>
        <w:t xml:space="preserve">then </w:t>
      </w:r>
      <w:r w:rsidRPr="00A928AF">
        <w:rPr>
          <w:rFonts w:ascii="Arial" w:hAnsi="Arial" w:cs="Arial"/>
          <w:sz w:val="24"/>
          <w:szCs w:val="24"/>
        </w:rPr>
        <w:t xml:space="preserve">Caprivi </w:t>
      </w:r>
      <w:r>
        <w:rPr>
          <w:rFonts w:ascii="Arial" w:hAnsi="Arial" w:cs="Arial"/>
          <w:sz w:val="24"/>
          <w:szCs w:val="24"/>
        </w:rPr>
        <w:t xml:space="preserve">region </w:t>
      </w:r>
      <w:r w:rsidRPr="00A928AF">
        <w:rPr>
          <w:rFonts w:ascii="Arial" w:hAnsi="Arial" w:cs="Arial"/>
          <w:sz w:val="24"/>
          <w:szCs w:val="24"/>
        </w:rPr>
        <w:t xml:space="preserve">(now Zambezi) from the Republic of Namibia. This attack killed nine people, injured many others and destroyed property. </w:t>
      </w:r>
      <w:r>
        <w:rPr>
          <w:rFonts w:ascii="Arial" w:hAnsi="Arial" w:cs="Arial"/>
          <w:sz w:val="24"/>
          <w:szCs w:val="24"/>
        </w:rPr>
        <w:t>Mr Chunga</w:t>
      </w:r>
      <w:r w:rsidRPr="00A928AF">
        <w:rPr>
          <w:rFonts w:ascii="Arial" w:hAnsi="Arial" w:cs="Arial"/>
          <w:sz w:val="24"/>
          <w:szCs w:val="24"/>
        </w:rPr>
        <w:t xml:space="preserve"> was one of the people arrested as a result of the attack</w:t>
      </w:r>
      <w:r w:rsidR="00D936EB">
        <w:rPr>
          <w:rFonts w:ascii="Arial" w:hAnsi="Arial" w:cs="Arial"/>
          <w:sz w:val="24"/>
          <w:szCs w:val="24"/>
        </w:rPr>
        <w:t>. T</w:t>
      </w:r>
      <w:r w:rsidRPr="00A928AF">
        <w:rPr>
          <w:rFonts w:ascii="Arial" w:hAnsi="Arial" w:cs="Arial"/>
          <w:sz w:val="24"/>
          <w:szCs w:val="24"/>
        </w:rPr>
        <w:t>ogether with 125 co-accused</w:t>
      </w:r>
      <w:r>
        <w:rPr>
          <w:rFonts w:ascii="Arial" w:hAnsi="Arial" w:cs="Arial"/>
          <w:sz w:val="24"/>
          <w:szCs w:val="24"/>
        </w:rPr>
        <w:t xml:space="preserve"> persons</w:t>
      </w:r>
      <w:r w:rsidR="0083068D">
        <w:rPr>
          <w:rFonts w:ascii="Arial" w:hAnsi="Arial" w:cs="Arial"/>
          <w:sz w:val="24"/>
          <w:szCs w:val="24"/>
        </w:rPr>
        <w:t>,</w:t>
      </w:r>
      <w:r w:rsidRPr="00A928AF">
        <w:rPr>
          <w:rFonts w:ascii="Arial" w:hAnsi="Arial" w:cs="Arial"/>
          <w:sz w:val="24"/>
          <w:szCs w:val="24"/>
        </w:rPr>
        <w:t xml:space="preserve"> </w:t>
      </w:r>
      <w:r w:rsidR="00D936EB">
        <w:rPr>
          <w:rFonts w:ascii="Arial" w:hAnsi="Arial" w:cs="Arial"/>
          <w:sz w:val="24"/>
          <w:szCs w:val="24"/>
        </w:rPr>
        <w:t xml:space="preserve">he was </w:t>
      </w:r>
      <w:r>
        <w:rPr>
          <w:rFonts w:ascii="Arial" w:hAnsi="Arial" w:cs="Arial"/>
          <w:sz w:val="24"/>
          <w:szCs w:val="24"/>
        </w:rPr>
        <w:t>indicted for</w:t>
      </w:r>
      <w:r w:rsidRPr="00A928AF">
        <w:rPr>
          <w:rFonts w:ascii="Arial" w:hAnsi="Arial" w:cs="Arial"/>
          <w:sz w:val="24"/>
          <w:szCs w:val="24"/>
        </w:rPr>
        <w:t xml:space="preserve"> a range of </w:t>
      </w:r>
      <w:r>
        <w:rPr>
          <w:rFonts w:ascii="Arial" w:hAnsi="Arial" w:cs="Arial"/>
          <w:sz w:val="24"/>
          <w:szCs w:val="24"/>
        </w:rPr>
        <w:t xml:space="preserve">crimes and </w:t>
      </w:r>
      <w:r w:rsidRPr="00A928AF">
        <w:rPr>
          <w:rFonts w:ascii="Arial" w:hAnsi="Arial" w:cs="Arial"/>
          <w:sz w:val="24"/>
          <w:szCs w:val="24"/>
        </w:rPr>
        <w:t>offen</w:t>
      </w:r>
      <w:r>
        <w:rPr>
          <w:rFonts w:ascii="Arial" w:hAnsi="Arial" w:cs="Arial"/>
          <w:sz w:val="24"/>
          <w:szCs w:val="24"/>
        </w:rPr>
        <w:t>c</w:t>
      </w:r>
      <w:r w:rsidRPr="00A928AF">
        <w:rPr>
          <w:rFonts w:ascii="Arial" w:hAnsi="Arial" w:cs="Arial"/>
          <w:sz w:val="24"/>
          <w:szCs w:val="24"/>
        </w:rPr>
        <w:t>es</w:t>
      </w:r>
      <w:r w:rsidR="00D936EB">
        <w:rPr>
          <w:rFonts w:ascii="Arial" w:hAnsi="Arial" w:cs="Arial"/>
          <w:sz w:val="24"/>
          <w:szCs w:val="24"/>
        </w:rPr>
        <w:t xml:space="preserve">. These </w:t>
      </w:r>
      <w:r w:rsidRPr="00A928AF">
        <w:rPr>
          <w:rFonts w:ascii="Arial" w:hAnsi="Arial" w:cs="Arial"/>
          <w:sz w:val="24"/>
          <w:szCs w:val="24"/>
        </w:rPr>
        <w:t>includ</w:t>
      </w:r>
      <w:r w:rsidR="00D936EB">
        <w:rPr>
          <w:rFonts w:ascii="Arial" w:hAnsi="Arial" w:cs="Arial"/>
          <w:sz w:val="24"/>
          <w:szCs w:val="24"/>
        </w:rPr>
        <w:t>ed</w:t>
      </w:r>
      <w:r w:rsidRPr="00A928AF">
        <w:rPr>
          <w:rFonts w:ascii="Arial" w:hAnsi="Arial" w:cs="Arial"/>
          <w:sz w:val="24"/>
          <w:szCs w:val="24"/>
        </w:rPr>
        <w:t xml:space="preserve"> murder</w:t>
      </w:r>
      <w:r w:rsidR="00D936EB">
        <w:rPr>
          <w:rFonts w:ascii="Arial" w:hAnsi="Arial" w:cs="Arial"/>
          <w:sz w:val="24"/>
          <w:szCs w:val="24"/>
        </w:rPr>
        <w:t>,</w:t>
      </w:r>
      <w:r w:rsidRPr="00A928AF">
        <w:rPr>
          <w:rFonts w:ascii="Arial" w:hAnsi="Arial" w:cs="Arial"/>
          <w:sz w:val="24"/>
          <w:szCs w:val="24"/>
        </w:rPr>
        <w:t xml:space="preserve"> </w:t>
      </w:r>
      <w:r>
        <w:rPr>
          <w:rFonts w:ascii="Arial" w:hAnsi="Arial" w:cs="Arial"/>
          <w:sz w:val="24"/>
          <w:szCs w:val="24"/>
        </w:rPr>
        <w:t xml:space="preserve">high treason and </w:t>
      </w:r>
      <w:r w:rsidRPr="00A928AF">
        <w:rPr>
          <w:rFonts w:ascii="Arial" w:hAnsi="Arial" w:cs="Arial"/>
          <w:sz w:val="24"/>
          <w:szCs w:val="24"/>
        </w:rPr>
        <w:t xml:space="preserve">sedition.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Chunga</w:t>
      </w:r>
      <w:r w:rsidRPr="00A928AF">
        <w:rPr>
          <w:rFonts w:ascii="Arial" w:hAnsi="Arial" w:cs="Arial"/>
          <w:sz w:val="24"/>
          <w:szCs w:val="24"/>
        </w:rPr>
        <w:t xml:space="preserve"> was ultimately discharged under s 174 of the Criminal Procedure Act </w:t>
      </w:r>
      <w:r>
        <w:rPr>
          <w:rFonts w:ascii="Arial" w:hAnsi="Arial" w:cs="Arial"/>
          <w:sz w:val="24"/>
          <w:szCs w:val="24"/>
        </w:rPr>
        <w:t xml:space="preserve">51 of 1977 </w:t>
      </w:r>
      <w:r w:rsidRPr="00A928AF">
        <w:rPr>
          <w:rFonts w:ascii="Arial" w:hAnsi="Arial" w:cs="Arial"/>
          <w:sz w:val="24"/>
          <w:szCs w:val="24"/>
        </w:rPr>
        <w:t>(CPA)</w:t>
      </w:r>
      <w:r>
        <w:rPr>
          <w:rFonts w:ascii="Arial" w:hAnsi="Arial" w:cs="Arial"/>
          <w:sz w:val="24"/>
          <w:szCs w:val="24"/>
        </w:rPr>
        <w:t>. Following his discharge, he</w:t>
      </w:r>
      <w:r w:rsidRPr="00A928AF">
        <w:rPr>
          <w:rFonts w:ascii="Arial" w:hAnsi="Arial" w:cs="Arial"/>
          <w:sz w:val="24"/>
          <w:szCs w:val="24"/>
        </w:rPr>
        <w:t xml:space="preserve"> brought a civil claim for malicious prosecution. Alternatively, he claimed </w:t>
      </w:r>
      <w:r>
        <w:rPr>
          <w:rFonts w:ascii="Arial" w:hAnsi="Arial" w:cs="Arial"/>
          <w:sz w:val="24"/>
          <w:szCs w:val="24"/>
        </w:rPr>
        <w:t xml:space="preserve">damages for </w:t>
      </w:r>
      <w:r w:rsidRPr="00A928AF">
        <w:rPr>
          <w:rFonts w:ascii="Arial" w:hAnsi="Arial" w:cs="Arial"/>
          <w:sz w:val="24"/>
          <w:szCs w:val="24"/>
        </w:rPr>
        <w:t xml:space="preserve">malicious continuation of </w:t>
      </w:r>
      <w:r>
        <w:rPr>
          <w:rFonts w:ascii="Arial" w:hAnsi="Arial" w:cs="Arial"/>
          <w:sz w:val="24"/>
          <w:szCs w:val="24"/>
        </w:rPr>
        <w:t xml:space="preserve">a </w:t>
      </w:r>
      <w:r w:rsidRPr="00A928AF">
        <w:rPr>
          <w:rFonts w:ascii="Arial" w:hAnsi="Arial" w:cs="Arial"/>
          <w:sz w:val="24"/>
          <w:szCs w:val="24"/>
        </w:rPr>
        <w:t xml:space="preserve">prosecution after </w:t>
      </w:r>
      <w:r>
        <w:rPr>
          <w:rFonts w:ascii="Arial" w:hAnsi="Arial" w:cs="Arial"/>
          <w:sz w:val="24"/>
          <w:szCs w:val="24"/>
        </w:rPr>
        <w:t xml:space="preserve">his prosecution continued although </w:t>
      </w:r>
      <w:r w:rsidRPr="00A928AF">
        <w:rPr>
          <w:rFonts w:ascii="Arial" w:hAnsi="Arial" w:cs="Arial"/>
          <w:sz w:val="24"/>
          <w:szCs w:val="24"/>
        </w:rPr>
        <w:t xml:space="preserve">there was allegedly no evidence against him. The court </w:t>
      </w:r>
      <w:r w:rsidRPr="00677EDF">
        <w:rPr>
          <w:rFonts w:ascii="Arial" w:hAnsi="Arial" w:cs="Arial"/>
          <w:i/>
          <w:sz w:val="24"/>
          <w:szCs w:val="24"/>
        </w:rPr>
        <w:t>a quo</w:t>
      </w:r>
      <w:r w:rsidRPr="00A928AF">
        <w:rPr>
          <w:rFonts w:ascii="Arial" w:hAnsi="Arial" w:cs="Arial"/>
          <w:sz w:val="24"/>
          <w:szCs w:val="24"/>
        </w:rPr>
        <w:t xml:space="preserve"> </w:t>
      </w:r>
      <w:r>
        <w:rPr>
          <w:rFonts w:ascii="Arial" w:hAnsi="Arial" w:cs="Arial"/>
          <w:sz w:val="24"/>
          <w:szCs w:val="24"/>
        </w:rPr>
        <w:t xml:space="preserve">dismissed </w:t>
      </w:r>
      <w:r w:rsidRPr="00A928AF">
        <w:rPr>
          <w:rFonts w:ascii="Arial" w:hAnsi="Arial" w:cs="Arial"/>
          <w:sz w:val="24"/>
          <w:szCs w:val="24"/>
        </w:rPr>
        <w:t xml:space="preserve">the claim for malicious prosecution but upheld </w:t>
      </w:r>
      <w:r>
        <w:rPr>
          <w:rFonts w:ascii="Arial" w:hAnsi="Arial" w:cs="Arial"/>
          <w:sz w:val="24"/>
          <w:szCs w:val="24"/>
        </w:rPr>
        <w:t>Mr Chunga</w:t>
      </w:r>
      <w:r w:rsidRPr="00A928AF">
        <w:rPr>
          <w:rFonts w:ascii="Arial" w:hAnsi="Arial" w:cs="Arial"/>
          <w:sz w:val="24"/>
          <w:szCs w:val="24"/>
        </w:rPr>
        <w:t xml:space="preserve">’s alternative claim. </w:t>
      </w:r>
      <w:r>
        <w:rPr>
          <w:rFonts w:ascii="Arial" w:hAnsi="Arial" w:cs="Arial"/>
          <w:sz w:val="24"/>
          <w:szCs w:val="24"/>
        </w:rPr>
        <w:t xml:space="preserve">The Minister of Safety and Security (the Minister), the Prosecutor-General (the PG) and the Government of the Republic of Namibia (the government) have lodged an </w:t>
      </w:r>
      <w:r w:rsidRPr="00A928AF">
        <w:rPr>
          <w:rFonts w:ascii="Arial" w:hAnsi="Arial" w:cs="Arial"/>
          <w:sz w:val="24"/>
          <w:szCs w:val="24"/>
        </w:rPr>
        <w:t xml:space="preserve">appeal </w:t>
      </w:r>
      <w:r>
        <w:rPr>
          <w:rFonts w:ascii="Arial" w:hAnsi="Arial" w:cs="Arial"/>
          <w:sz w:val="24"/>
          <w:szCs w:val="24"/>
        </w:rPr>
        <w:t xml:space="preserve">in this </w:t>
      </w:r>
      <w:r w:rsidR="00633580">
        <w:rPr>
          <w:rFonts w:ascii="Arial" w:hAnsi="Arial" w:cs="Arial"/>
          <w:sz w:val="24"/>
          <w:szCs w:val="24"/>
        </w:rPr>
        <w:t>c</w:t>
      </w:r>
      <w:r>
        <w:rPr>
          <w:rFonts w:ascii="Arial" w:hAnsi="Arial" w:cs="Arial"/>
          <w:sz w:val="24"/>
          <w:szCs w:val="24"/>
        </w:rPr>
        <w:t>ourt</w:t>
      </w:r>
      <w:r w:rsidR="00D936EB">
        <w:rPr>
          <w:rFonts w:ascii="Arial" w:hAnsi="Arial" w:cs="Arial"/>
          <w:sz w:val="24"/>
          <w:szCs w:val="24"/>
        </w:rPr>
        <w:t>.</w:t>
      </w:r>
      <w:r>
        <w:rPr>
          <w:rFonts w:ascii="Arial" w:hAnsi="Arial" w:cs="Arial"/>
          <w:sz w:val="24"/>
          <w:szCs w:val="24"/>
        </w:rPr>
        <w:t xml:space="preserve"> </w:t>
      </w:r>
      <w:r w:rsidR="00D936EB">
        <w:rPr>
          <w:rFonts w:ascii="Arial" w:hAnsi="Arial" w:cs="Arial"/>
          <w:sz w:val="24"/>
          <w:szCs w:val="24"/>
        </w:rPr>
        <w:t xml:space="preserve">The thrust </w:t>
      </w:r>
      <w:r w:rsidRPr="00A928AF">
        <w:rPr>
          <w:rFonts w:ascii="Arial" w:hAnsi="Arial" w:cs="Arial"/>
          <w:sz w:val="24"/>
          <w:szCs w:val="24"/>
        </w:rPr>
        <w:t>o</w:t>
      </w:r>
      <w:r w:rsidR="00D936EB">
        <w:rPr>
          <w:rFonts w:ascii="Arial" w:hAnsi="Arial" w:cs="Arial"/>
          <w:sz w:val="24"/>
          <w:szCs w:val="24"/>
        </w:rPr>
        <w:t>f their case is</w:t>
      </w:r>
      <w:r w:rsidRPr="00A928AF">
        <w:rPr>
          <w:rFonts w:ascii="Arial" w:hAnsi="Arial" w:cs="Arial"/>
          <w:sz w:val="24"/>
          <w:szCs w:val="24"/>
        </w:rPr>
        <w:t xml:space="preserve"> that the </w:t>
      </w:r>
      <w:r>
        <w:rPr>
          <w:rFonts w:ascii="Arial" w:hAnsi="Arial" w:cs="Arial"/>
          <w:sz w:val="24"/>
          <w:szCs w:val="24"/>
        </w:rPr>
        <w:t xml:space="preserve">court below </w:t>
      </w:r>
      <w:r w:rsidRPr="00A928AF">
        <w:rPr>
          <w:rFonts w:ascii="Arial" w:hAnsi="Arial" w:cs="Arial"/>
          <w:sz w:val="24"/>
          <w:szCs w:val="24"/>
        </w:rPr>
        <w:t xml:space="preserve">misdirected itself on </w:t>
      </w:r>
      <w:r>
        <w:rPr>
          <w:rFonts w:ascii="Arial" w:hAnsi="Arial" w:cs="Arial"/>
          <w:sz w:val="24"/>
          <w:szCs w:val="24"/>
        </w:rPr>
        <w:t>the law in its reliance on the High C</w:t>
      </w:r>
      <w:r w:rsidRPr="00A928AF">
        <w:rPr>
          <w:rFonts w:ascii="Arial" w:hAnsi="Arial" w:cs="Arial"/>
          <w:sz w:val="24"/>
          <w:szCs w:val="24"/>
        </w:rPr>
        <w:t xml:space="preserve">ourt judgment </w:t>
      </w:r>
      <w:r>
        <w:rPr>
          <w:rFonts w:ascii="Arial" w:hAnsi="Arial" w:cs="Arial"/>
          <w:sz w:val="24"/>
          <w:szCs w:val="24"/>
        </w:rPr>
        <w:t xml:space="preserve">given </w:t>
      </w:r>
      <w:r w:rsidRPr="00A928AF">
        <w:rPr>
          <w:rFonts w:ascii="Arial" w:hAnsi="Arial" w:cs="Arial"/>
          <w:sz w:val="24"/>
          <w:szCs w:val="24"/>
        </w:rPr>
        <w:t xml:space="preserve">in </w:t>
      </w:r>
      <w:r w:rsidRPr="00A928AF">
        <w:rPr>
          <w:rFonts w:ascii="Arial" w:hAnsi="Arial" w:cs="Arial"/>
          <w:i/>
          <w:iCs/>
          <w:sz w:val="24"/>
          <w:szCs w:val="24"/>
        </w:rPr>
        <w:t>Mahupelo</w:t>
      </w:r>
      <w:r w:rsidR="00633580">
        <w:rPr>
          <w:rFonts w:ascii="Arial" w:hAnsi="Arial" w:cs="Arial"/>
          <w:i/>
          <w:iCs/>
          <w:sz w:val="24"/>
          <w:szCs w:val="24"/>
        </w:rPr>
        <w:t xml:space="preserve"> v Minister of Safety and Security &amp; others</w:t>
      </w:r>
      <w:r w:rsidR="00633580" w:rsidRPr="00FC3CDD">
        <w:rPr>
          <w:rFonts w:ascii="Arial" w:hAnsi="Arial" w:cs="Arial"/>
          <w:iCs/>
          <w:sz w:val="24"/>
          <w:szCs w:val="24"/>
        </w:rPr>
        <w:t xml:space="preserve"> 2</w:t>
      </w:r>
      <w:r w:rsidR="00633580" w:rsidRPr="00633580">
        <w:rPr>
          <w:rFonts w:ascii="Arial" w:hAnsi="Arial" w:cs="Arial"/>
          <w:iCs/>
          <w:sz w:val="24"/>
          <w:szCs w:val="24"/>
        </w:rPr>
        <w:t>017 (</w:t>
      </w:r>
      <w:r w:rsidR="00633580" w:rsidRPr="00FC3CDD">
        <w:rPr>
          <w:rFonts w:ascii="Arial" w:hAnsi="Arial" w:cs="Arial"/>
          <w:iCs/>
          <w:sz w:val="24"/>
          <w:szCs w:val="24"/>
        </w:rPr>
        <w:t>1) NR 275 (HC)</w:t>
      </w:r>
      <w:r w:rsidRPr="00A928AF">
        <w:rPr>
          <w:rFonts w:ascii="Arial" w:hAnsi="Arial" w:cs="Arial"/>
          <w:sz w:val="24"/>
          <w:szCs w:val="24"/>
        </w:rPr>
        <w:t xml:space="preserve"> </w:t>
      </w:r>
      <w:r>
        <w:rPr>
          <w:rFonts w:ascii="Arial" w:hAnsi="Arial" w:cs="Arial"/>
          <w:sz w:val="24"/>
          <w:szCs w:val="24"/>
        </w:rPr>
        <w:t xml:space="preserve">(the first </w:t>
      </w:r>
      <w:r w:rsidRPr="00DB518D">
        <w:rPr>
          <w:rFonts w:ascii="Arial" w:hAnsi="Arial" w:cs="Arial"/>
          <w:i/>
          <w:sz w:val="24"/>
          <w:szCs w:val="24"/>
        </w:rPr>
        <w:t>Mahupelo</w:t>
      </w:r>
      <w:r>
        <w:rPr>
          <w:rFonts w:ascii="Arial" w:hAnsi="Arial" w:cs="Arial"/>
          <w:sz w:val="24"/>
          <w:szCs w:val="24"/>
        </w:rPr>
        <w:t>)</w:t>
      </w:r>
      <w:r w:rsidR="00D936EB">
        <w:rPr>
          <w:rFonts w:ascii="Arial" w:hAnsi="Arial" w:cs="Arial"/>
          <w:sz w:val="24"/>
          <w:szCs w:val="24"/>
        </w:rPr>
        <w:t>. It is also</w:t>
      </w:r>
      <w:r>
        <w:rPr>
          <w:rFonts w:ascii="Arial" w:hAnsi="Arial" w:cs="Arial"/>
          <w:sz w:val="24"/>
          <w:szCs w:val="24"/>
        </w:rPr>
        <w:t xml:space="preserve"> </w:t>
      </w:r>
      <w:r w:rsidR="00D936EB">
        <w:rPr>
          <w:rFonts w:ascii="Arial" w:hAnsi="Arial" w:cs="Arial"/>
          <w:sz w:val="24"/>
          <w:szCs w:val="24"/>
        </w:rPr>
        <w:t>the</w:t>
      </w:r>
      <w:r w:rsidR="00942095">
        <w:rPr>
          <w:rFonts w:ascii="Arial" w:hAnsi="Arial" w:cs="Arial"/>
          <w:sz w:val="24"/>
          <w:szCs w:val="24"/>
        </w:rPr>
        <w:t>ir</w:t>
      </w:r>
      <w:r w:rsidR="00D936EB">
        <w:rPr>
          <w:rFonts w:ascii="Arial" w:hAnsi="Arial" w:cs="Arial"/>
          <w:sz w:val="24"/>
          <w:szCs w:val="24"/>
        </w:rPr>
        <w:t xml:space="preserve"> contention that the court erred </w:t>
      </w:r>
      <w:r w:rsidRPr="00A928AF">
        <w:rPr>
          <w:rFonts w:ascii="Arial" w:hAnsi="Arial" w:cs="Arial"/>
          <w:sz w:val="24"/>
          <w:szCs w:val="24"/>
        </w:rPr>
        <w:t xml:space="preserve">on </w:t>
      </w:r>
      <w:r>
        <w:rPr>
          <w:rFonts w:ascii="Arial" w:hAnsi="Arial" w:cs="Arial"/>
          <w:sz w:val="24"/>
          <w:szCs w:val="24"/>
        </w:rPr>
        <w:t xml:space="preserve">the </w:t>
      </w:r>
      <w:r w:rsidRPr="00A928AF">
        <w:rPr>
          <w:rFonts w:ascii="Arial" w:hAnsi="Arial" w:cs="Arial"/>
          <w:sz w:val="24"/>
          <w:szCs w:val="24"/>
        </w:rPr>
        <w:t xml:space="preserve">facts when it found that there was no evidence to prosecute </w:t>
      </w:r>
      <w:r>
        <w:rPr>
          <w:rFonts w:ascii="Arial" w:hAnsi="Arial" w:cs="Arial"/>
          <w:sz w:val="24"/>
          <w:szCs w:val="24"/>
        </w:rPr>
        <w:t>Mr Chunga</w:t>
      </w:r>
      <w:r w:rsidRPr="00A928AF">
        <w:rPr>
          <w:rFonts w:ascii="Arial" w:hAnsi="Arial" w:cs="Arial"/>
          <w:sz w:val="24"/>
          <w:szCs w:val="24"/>
        </w:rPr>
        <w:t xml:space="preserve"> from 31 January 2008 up to his release on 11 February 2013. </w:t>
      </w:r>
    </w:p>
    <w:p w:rsidR="001D347A" w:rsidRDefault="001D347A" w:rsidP="00604362">
      <w:pPr>
        <w:spacing w:after="0" w:line="480" w:lineRule="auto"/>
        <w:rPr>
          <w:rFonts w:ascii="Arial" w:hAnsi="Arial" w:cs="Arial"/>
          <w:sz w:val="24"/>
          <w:szCs w:val="24"/>
          <w:u w:val="single"/>
        </w:rPr>
      </w:pPr>
    </w:p>
    <w:p w:rsidR="001D347A" w:rsidRPr="00A928AF" w:rsidRDefault="001D347A" w:rsidP="00604362">
      <w:pPr>
        <w:spacing w:after="0" w:line="480" w:lineRule="auto"/>
        <w:jc w:val="both"/>
        <w:rPr>
          <w:rFonts w:ascii="Arial" w:hAnsi="Arial" w:cs="Arial"/>
          <w:sz w:val="24"/>
          <w:szCs w:val="24"/>
          <w:u w:val="single"/>
        </w:rPr>
      </w:pPr>
      <w:r>
        <w:rPr>
          <w:rFonts w:ascii="Arial" w:hAnsi="Arial" w:cs="Arial"/>
          <w:sz w:val="24"/>
          <w:szCs w:val="24"/>
          <w:u w:val="single"/>
        </w:rPr>
        <w:t>Preliminary issues</w:t>
      </w:r>
    </w:p>
    <w:p w:rsidR="001D347A" w:rsidRDefault="001D347A" w:rsidP="00604362">
      <w:pPr>
        <w:pStyle w:val="ListParagraph"/>
        <w:numPr>
          <w:ilvl w:val="0"/>
          <w:numId w:val="1"/>
        </w:numPr>
        <w:spacing w:after="0" w:line="480" w:lineRule="auto"/>
        <w:ind w:left="0" w:firstLine="0"/>
        <w:jc w:val="both"/>
        <w:rPr>
          <w:rFonts w:ascii="Arial" w:hAnsi="Arial" w:cs="Arial"/>
          <w:sz w:val="24"/>
          <w:szCs w:val="24"/>
        </w:rPr>
      </w:pPr>
      <w:r w:rsidRPr="00713DBF">
        <w:rPr>
          <w:rFonts w:ascii="Arial" w:hAnsi="Arial" w:cs="Arial"/>
          <w:sz w:val="24"/>
          <w:szCs w:val="24"/>
        </w:rPr>
        <w:t xml:space="preserve">The hearing of the appeal was preceded by arguments relating to two interrelated applications for condonation brought on behalf of the Minister, the PG and the government. The first was an application for condonation and reinstatement of the appeal. The appeal lapsed due to the failure to lodge the record of the appeal within the time lines set in the </w:t>
      </w:r>
      <w:r w:rsidR="00F84F84">
        <w:rPr>
          <w:rFonts w:ascii="Arial" w:hAnsi="Arial" w:cs="Arial"/>
          <w:sz w:val="24"/>
          <w:szCs w:val="24"/>
        </w:rPr>
        <w:t>r</w:t>
      </w:r>
      <w:r w:rsidRPr="00713DBF">
        <w:rPr>
          <w:rFonts w:ascii="Arial" w:hAnsi="Arial" w:cs="Arial"/>
          <w:sz w:val="24"/>
          <w:szCs w:val="24"/>
        </w:rPr>
        <w:t xml:space="preserve">ules of </w:t>
      </w:r>
      <w:r w:rsidR="00F84F84">
        <w:rPr>
          <w:rFonts w:ascii="Arial" w:hAnsi="Arial" w:cs="Arial"/>
          <w:sz w:val="24"/>
          <w:szCs w:val="24"/>
        </w:rPr>
        <w:t>c</w:t>
      </w:r>
      <w:r w:rsidRPr="00713DBF">
        <w:rPr>
          <w:rFonts w:ascii="Arial" w:hAnsi="Arial" w:cs="Arial"/>
          <w:sz w:val="24"/>
          <w:szCs w:val="24"/>
        </w:rPr>
        <w:t xml:space="preserve">ourt. This application was not opposed. The second application for condonation was lodged following the neglect to address the application for condonation and reinstatement of the appeal in the heads of argument. The instructing legal practitioner attributed the failure to address the application for </w:t>
      </w:r>
      <w:r w:rsidRPr="00713DBF">
        <w:rPr>
          <w:rFonts w:ascii="Arial" w:hAnsi="Arial" w:cs="Arial"/>
          <w:sz w:val="24"/>
          <w:szCs w:val="24"/>
        </w:rPr>
        <w:lastRenderedPageBreak/>
        <w:t xml:space="preserve">condonation and reinstatement to oversight on her part. She neglected to forward the condonation application to instructed counsel together with the appeal record. When the counsel drafted the heads of argument, he was oblivious to the application for condonation and reinstatement. </w:t>
      </w:r>
      <w:r>
        <w:rPr>
          <w:rFonts w:ascii="Arial" w:hAnsi="Arial" w:cs="Arial"/>
          <w:sz w:val="24"/>
          <w:szCs w:val="24"/>
        </w:rPr>
        <w:t>She pleaded that counsel be allowed to address the reinstatement application in oral argument.</w:t>
      </w:r>
    </w:p>
    <w:p w:rsidR="00633580" w:rsidRDefault="00633580" w:rsidP="00604362">
      <w:pPr>
        <w:pStyle w:val="ListParagraph"/>
        <w:spacing w:after="0" w:line="480" w:lineRule="auto"/>
        <w:ind w:left="0"/>
        <w:jc w:val="both"/>
        <w:rPr>
          <w:rFonts w:ascii="Arial" w:hAnsi="Arial" w:cs="Arial"/>
          <w:sz w:val="24"/>
          <w:szCs w:val="24"/>
        </w:rPr>
      </w:pPr>
    </w:p>
    <w:p w:rsidR="001D347A" w:rsidRDefault="001D347A" w:rsidP="00604362">
      <w:pPr>
        <w:pStyle w:val="ListParagraph"/>
        <w:numPr>
          <w:ilvl w:val="0"/>
          <w:numId w:val="1"/>
        </w:numPr>
        <w:spacing w:after="0" w:line="480" w:lineRule="auto"/>
        <w:ind w:left="0" w:firstLine="0"/>
        <w:jc w:val="both"/>
        <w:rPr>
          <w:rFonts w:ascii="Arial" w:hAnsi="Arial" w:cs="Arial"/>
          <w:sz w:val="24"/>
          <w:szCs w:val="24"/>
        </w:rPr>
      </w:pPr>
      <w:r>
        <w:rPr>
          <w:rFonts w:ascii="Arial" w:hAnsi="Arial" w:cs="Arial"/>
          <w:sz w:val="24"/>
          <w:szCs w:val="24"/>
        </w:rPr>
        <w:t xml:space="preserve">Counsel for </w:t>
      </w:r>
      <w:r w:rsidRPr="00A928AF">
        <w:rPr>
          <w:rFonts w:ascii="Arial" w:hAnsi="Arial" w:cs="Arial"/>
          <w:sz w:val="24"/>
          <w:szCs w:val="24"/>
        </w:rPr>
        <w:t xml:space="preserve">the </w:t>
      </w:r>
      <w:r>
        <w:rPr>
          <w:rFonts w:ascii="Arial" w:hAnsi="Arial" w:cs="Arial"/>
          <w:sz w:val="24"/>
          <w:szCs w:val="24"/>
        </w:rPr>
        <w:t>Minister, the PG</w:t>
      </w:r>
      <w:r w:rsidRPr="00A928AF">
        <w:rPr>
          <w:rFonts w:ascii="Arial" w:hAnsi="Arial" w:cs="Arial"/>
          <w:sz w:val="24"/>
          <w:szCs w:val="24"/>
        </w:rPr>
        <w:t xml:space="preserve"> </w:t>
      </w:r>
      <w:r>
        <w:rPr>
          <w:rFonts w:ascii="Arial" w:hAnsi="Arial" w:cs="Arial"/>
          <w:sz w:val="24"/>
          <w:szCs w:val="24"/>
        </w:rPr>
        <w:t xml:space="preserve">and the government </w:t>
      </w:r>
      <w:r w:rsidRPr="00A928AF">
        <w:rPr>
          <w:rFonts w:ascii="Arial" w:hAnsi="Arial" w:cs="Arial"/>
          <w:sz w:val="24"/>
          <w:szCs w:val="24"/>
        </w:rPr>
        <w:t>argued the application</w:t>
      </w:r>
      <w:r>
        <w:rPr>
          <w:rFonts w:ascii="Arial" w:hAnsi="Arial" w:cs="Arial"/>
          <w:sz w:val="24"/>
          <w:szCs w:val="24"/>
        </w:rPr>
        <w:t>s</w:t>
      </w:r>
      <w:r w:rsidRPr="00A928AF">
        <w:rPr>
          <w:rFonts w:ascii="Arial" w:hAnsi="Arial" w:cs="Arial"/>
          <w:sz w:val="24"/>
          <w:szCs w:val="24"/>
        </w:rPr>
        <w:t xml:space="preserve"> </w:t>
      </w:r>
      <w:r>
        <w:rPr>
          <w:rFonts w:ascii="Arial" w:hAnsi="Arial" w:cs="Arial"/>
          <w:sz w:val="24"/>
          <w:szCs w:val="24"/>
        </w:rPr>
        <w:t xml:space="preserve">by </w:t>
      </w:r>
      <w:r w:rsidRPr="00A928AF">
        <w:rPr>
          <w:rFonts w:ascii="Arial" w:hAnsi="Arial" w:cs="Arial"/>
          <w:sz w:val="24"/>
          <w:szCs w:val="24"/>
        </w:rPr>
        <w:t>rel</w:t>
      </w:r>
      <w:r>
        <w:rPr>
          <w:rFonts w:ascii="Arial" w:hAnsi="Arial" w:cs="Arial"/>
          <w:sz w:val="24"/>
          <w:szCs w:val="24"/>
        </w:rPr>
        <w:t>y</w:t>
      </w:r>
      <w:r w:rsidRPr="00A928AF">
        <w:rPr>
          <w:rFonts w:ascii="Arial" w:hAnsi="Arial" w:cs="Arial"/>
          <w:sz w:val="24"/>
          <w:szCs w:val="24"/>
        </w:rPr>
        <w:t>i</w:t>
      </w:r>
      <w:r>
        <w:rPr>
          <w:rFonts w:ascii="Arial" w:hAnsi="Arial" w:cs="Arial"/>
          <w:sz w:val="24"/>
          <w:szCs w:val="24"/>
        </w:rPr>
        <w:t xml:space="preserve">ng </w:t>
      </w:r>
      <w:r w:rsidRPr="00A928AF">
        <w:rPr>
          <w:rFonts w:ascii="Arial" w:hAnsi="Arial" w:cs="Arial"/>
          <w:sz w:val="24"/>
          <w:szCs w:val="24"/>
        </w:rPr>
        <w:t xml:space="preserve">primarily on the twin prongs of public interest </w:t>
      </w:r>
      <w:r>
        <w:rPr>
          <w:rFonts w:ascii="Arial" w:hAnsi="Arial" w:cs="Arial"/>
          <w:sz w:val="24"/>
          <w:szCs w:val="24"/>
        </w:rPr>
        <w:t xml:space="preserve">in the matter being heard </w:t>
      </w:r>
      <w:r w:rsidRPr="00A928AF">
        <w:rPr>
          <w:rFonts w:ascii="Arial" w:hAnsi="Arial" w:cs="Arial"/>
          <w:sz w:val="24"/>
          <w:szCs w:val="24"/>
        </w:rPr>
        <w:t xml:space="preserve">and </w:t>
      </w:r>
      <w:r>
        <w:rPr>
          <w:rFonts w:ascii="Arial" w:hAnsi="Arial" w:cs="Arial"/>
          <w:sz w:val="24"/>
          <w:szCs w:val="24"/>
        </w:rPr>
        <w:t xml:space="preserve">the </w:t>
      </w:r>
      <w:r w:rsidRPr="00A928AF">
        <w:rPr>
          <w:rFonts w:ascii="Arial" w:hAnsi="Arial" w:cs="Arial"/>
          <w:sz w:val="24"/>
          <w:szCs w:val="24"/>
        </w:rPr>
        <w:t xml:space="preserve">lack of prejudice </w:t>
      </w:r>
      <w:r>
        <w:rPr>
          <w:rFonts w:ascii="Arial" w:hAnsi="Arial" w:cs="Arial"/>
          <w:sz w:val="24"/>
          <w:szCs w:val="24"/>
        </w:rPr>
        <w:t>on the part of Mr Chunga</w:t>
      </w:r>
      <w:r w:rsidRPr="00A928AF">
        <w:rPr>
          <w:rFonts w:ascii="Arial" w:hAnsi="Arial" w:cs="Arial"/>
          <w:sz w:val="24"/>
          <w:szCs w:val="24"/>
        </w:rPr>
        <w:t xml:space="preserve">. </w:t>
      </w:r>
      <w:r>
        <w:rPr>
          <w:rFonts w:ascii="Arial" w:hAnsi="Arial" w:cs="Arial"/>
          <w:sz w:val="24"/>
          <w:szCs w:val="24"/>
        </w:rPr>
        <w:t xml:space="preserve">Counsel contended </w:t>
      </w:r>
      <w:r w:rsidRPr="00A928AF">
        <w:rPr>
          <w:rFonts w:ascii="Arial" w:hAnsi="Arial" w:cs="Arial"/>
          <w:sz w:val="24"/>
          <w:szCs w:val="24"/>
        </w:rPr>
        <w:t xml:space="preserve">that </w:t>
      </w:r>
      <w:r>
        <w:rPr>
          <w:rFonts w:ascii="Arial" w:hAnsi="Arial" w:cs="Arial"/>
          <w:sz w:val="24"/>
          <w:szCs w:val="24"/>
        </w:rPr>
        <w:t xml:space="preserve">there was an important public interest consideration in this matter being heard, given the complex and serious nature of the high treason trials. He submitted that the failure to file the record on time and to deal with the reinstatement application in the heads of argument has satisfactorily been explained and that condonation should be granted and the appeal reinstated and argued. </w:t>
      </w:r>
    </w:p>
    <w:p w:rsidR="001D347A" w:rsidRPr="0045644C" w:rsidRDefault="001D347A" w:rsidP="00604362">
      <w:pPr>
        <w:spacing w:after="0"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Chunga opposed the application for condonation for the failure to argue,</w:t>
      </w:r>
      <w:r w:rsidR="00AE7CF8">
        <w:rPr>
          <w:rFonts w:ascii="Arial" w:hAnsi="Arial" w:cs="Arial"/>
          <w:sz w:val="24"/>
          <w:szCs w:val="24"/>
        </w:rPr>
        <w:t xml:space="preserve"> the first condonation application</w:t>
      </w:r>
      <w:r>
        <w:rPr>
          <w:rFonts w:ascii="Arial" w:hAnsi="Arial" w:cs="Arial"/>
          <w:sz w:val="24"/>
          <w:szCs w:val="24"/>
        </w:rPr>
        <w:t xml:space="preserve"> in the heads of argument</w:t>
      </w:r>
      <w:r w:rsidR="00AE7CF8">
        <w:rPr>
          <w:rFonts w:ascii="Arial" w:hAnsi="Arial" w:cs="Arial"/>
          <w:sz w:val="24"/>
          <w:szCs w:val="24"/>
        </w:rPr>
        <w:t>.</w:t>
      </w:r>
      <w:r>
        <w:rPr>
          <w:rFonts w:ascii="Arial" w:hAnsi="Arial" w:cs="Arial"/>
          <w:sz w:val="24"/>
          <w:szCs w:val="24"/>
        </w:rPr>
        <w:t xml:space="preserve"> Counsel for Mr Chunga contended that the failure to address the application for condonation and reinstatement in the heads of argument ‘</w:t>
      </w:r>
      <w:r w:rsidRPr="00A928AF">
        <w:rPr>
          <w:rFonts w:ascii="Arial" w:hAnsi="Arial" w:cs="Arial"/>
          <w:sz w:val="24"/>
          <w:szCs w:val="24"/>
        </w:rPr>
        <w:t>was fatal to the appeal</w:t>
      </w:r>
      <w:r>
        <w:rPr>
          <w:rFonts w:ascii="Arial" w:hAnsi="Arial" w:cs="Arial"/>
          <w:sz w:val="24"/>
          <w:szCs w:val="24"/>
        </w:rPr>
        <w:t xml:space="preserve">’ as such failure violates rule 17(1) of the </w:t>
      </w:r>
      <w:r w:rsidR="00F84F84">
        <w:rPr>
          <w:rFonts w:ascii="Arial" w:hAnsi="Arial" w:cs="Arial"/>
          <w:sz w:val="24"/>
          <w:szCs w:val="24"/>
        </w:rPr>
        <w:t>r</w:t>
      </w:r>
      <w:r>
        <w:rPr>
          <w:rFonts w:ascii="Arial" w:hAnsi="Arial" w:cs="Arial"/>
          <w:sz w:val="24"/>
          <w:szCs w:val="24"/>
        </w:rPr>
        <w:t xml:space="preserve">ules of </w:t>
      </w:r>
      <w:r w:rsidR="00F84F84">
        <w:rPr>
          <w:rFonts w:ascii="Arial" w:hAnsi="Arial" w:cs="Arial"/>
          <w:sz w:val="24"/>
          <w:szCs w:val="24"/>
        </w:rPr>
        <w:t>c</w:t>
      </w:r>
      <w:r>
        <w:rPr>
          <w:rFonts w:ascii="Arial" w:hAnsi="Arial" w:cs="Arial"/>
          <w:sz w:val="24"/>
          <w:szCs w:val="24"/>
        </w:rPr>
        <w:t>ourt.</w:t>
      </w:r>
      <w:r w:rsidRPr="00A928AF">
        <w:rPr>
          <w:rFonts w:ascii="Arial" w:hAnsi="Arial" w:cs="Arial"/>
          <w:sz w:val="24"/>
          <w:szCs w:val="24"/>
        </w:rPr>
        <w:t xml:space="preserve"> </w:t>
      </w:r>
      <w:r>
        <w:rPr>
          <w:rFonts w:ascii="Arial" w:hAnsi="Arial" w:cs="Arial"/>
          <w:sz w:val="24"/>
          <w:szCs w:val="24"/>
        </w:rPr>
        <w:t xml:space="preserve">It made the appeal lapse in terms of rule 17(2). </w:t>
      </w:r>
      <w:r w:rsidRPr="00A928AF">
        <w:rPr>
          <w:rFonts w:ascii="Arial" w:hAnsi="Arial" w:cs="Arial"/>
          <w:sz w:val="24"/>
          <w:szCs w:val="24"/>
        </w:rPr>
        <w:t>Therefore, th</w:t>
      </w:r>
      <w:r>
        <w:rPr>
          <w:rFonts w:ascii="Arial" w:hAnsi="Arial" w:cs="Arial"/>
          <w:sz w:val="24"/>
          <w:szCs w:val="24"/>
        </w:rPr>
        <w:t>e matter should be struck from the roll</w:t>
      </w:r>
      <w:r w:rsidRPr="00A928AF">
        <w:rPr>
          <w:rFonts w:ascii="Arial" w:hAnsi="Arial" w:cs="Arial"/>
          <w:sz w:val="24"/>
          <w:szCs w:val="24"/>
        </w:rPr>
        <w:t>. Further</w:t>
      </w:r>
      <w:r>
        <w:rPr>
          <w:rFonts w:ascii="Arial" w:hAnsi="Arial" w:cs="Arial"/>
          <w:sz w:val="24"/>
          <w:szCs w:val="24"/>
        </w:rPr>
        <w:t>more</w:t>
      </w:r>
      <w:r w:rsidRPr="00A928AF">
        <w:rPr>
          <w:rFonts w:ascii="Arial" w:hAnsi="Arial" w:cs="Arial"/>
          <w:sz w:val="24"/>
          <w:szCs w:val="24"/>
        </w:rPr>
        <w:t xml:space="preserve">, the test for condonation </w:t>
      </w:r>
      <w:r>
        <w:rPr>
          <w:rFonts w:ascii="Arial" w:hAnsi="Arial" w:cs="Arial"/>
          <w:sz w:val="24"/>
          <w:szCs w:val="24"/>
        </w:rPr>
        <w:t>was</w:t>
      </w:r>
      <w:r w:rsidRPr="00A928AF">
        <w:rPr>
          <w:rFonts w:ascii="Arial" w:hAnsi="Arial" w:cs="Arial"/>
          <w:sz w:val="24"/>
          <w:szCs w:val="24"/>
        </w:rPr>
        <w:t xml:space="preserve"> not whether </w:t>
      </w:r>
      <w:r>
        <w:rPr>
          <w:rFonts w:ascii="Arial" w:hAnsi="Arial" w:cs="Arial"/>
          <w:sz w:val="24"/>
          <w:szCs w:val="24"/>
        </w:rPr>
        <w:lastRenderedPageBreak/>
        <w:t xml:space="preserve">a </w:t>
      </w:r>
      <w:r w:rsidRPr="00A928AF">
        <w:rPr>
          <w:rFonts w:ascii="Arial" w:hAnsi="Arial" w:cs="Arial"/>
          <w:sz w:val="24"/>
          <w:szCs w:val="24"/>
        </w:rPr>
        <w:t>respondent suffer</w:t>
      </w:r>
      <w:r>
        <w:rPr>
          <w:rFonts w:ascii="Arial" w:hAnsi="Arial" w:cs="Arial"/>
          <w:sz w:val="24"/>
          <w:szCs w:val="24"/>
        </w:rPr>
        <w:t>ed</w:t>
      </w:r>
      <w:r w:rsidRPr="00A928AF">
        <w:rPr>
          <w:rFonts w:ascii="Arial" w:hAnsi="Arial" w:cs="Arial"/>
          <w:sz w:val="24"/>
          <w:szCs w:val="24"/>
        </w:rPr>
        <w:t xml:space="preserve"> prejudice</w:t>
      </w:r>
      <w:r>
        <w:rPr>
          <w:rFonts w:ascii="Arial" w:hAnsi="Arial" w:cs="Arial"/>
          <w:sz w:val="24"/>
          <w:szCs w:val="24"/>
        </w:rPr>
        <w:t xml:space="preserve">. Counsel for Mr Chunga relied </w:t>
      </w:r>
      <w:r w:rsidRPr="00A928AF">
        <w:rPr>
          <w:rFonts w:ascii="Arial" w:hAnsi="Arial" w:cs="Arial"/>
          <w:sz w:val="24"/>
          <w:szCs w:val="24"/>
        </w:rPr>
        <w:t xml:space="preserve">on </w:t>
      </w:r>
      <w:r w:rsidRPr="00A928AF">
        <w:rPr>
          <w:rFonts w:ascii="Arial" w:hAnsi="Arial" w:cs="Arial"/>
          <w:i/>
          <w:iCs/>
          <w:sz w:val="24"/>
          <w:szCs w:val="24"/>
        </w:rPr>
        <w:t>Somaeb v Standard Bank</w:t>
      </w:r>
      <w:r w:rsidRPr="00FC3CDD">
        <w:rPr>
          <w:rStyle w:val="FootnoteReference"/>
          <w:rFonts w:ascii="Arial" w:hAnsi="Arial" w:cs="Arial"/>
          <w:iCs/>
          <w:sz w:val="24"/>
          <w:szCs w:val="24"/>
        </w:rPr>
        <w:footnoteReference w:id="1"/>
      </w:r>
      <w:r w:rsidRPr="00E870A8">
        <w:rPr>
          <w:rFonts w:ascii="Arial" w:hAnsi="Arial" w:cs="Arial"/>
          <w:sz w:val="24"/>
          <w:szCs w:val="24"/>
        </w:rPr>
        <w:t xml:space="preserve"> </w:t>
      </w:r>
      <w:r>
        <w:rPr>
          <w:rFonts w:ascii="Arial" w:hAnsi="Arial" w:cs="Arial"/>
          <w:sz w:val="24"/>
          <w:szCs w:val="24"/>
        </w:rPr>
        <w:t>for the latter proposition.</w:t>
      </w:r>
    </w:p>
    <w:p w:rsidR="001D347A" w:rsidRPr="00A928AF" w:rsidRDefault="001D347A" w:rsidP="00604362">
      <w:pPr>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i/>
          <w:iCs/>
          <w:sz w:val="24"/>
          <w:szCs w:val="24"/>
        </w:rPr>
        <w:t xml:space="preserve">Somaeb </w:t>
      </w:r>
      <w:r w:rsidRPr="00A928AF">
        <w:rPr>
          <w:rFonts w:ascii="Arial" w:hAnsi="Arial" w:cs="Arial"/>
          <w:sz w:val="24"/>
          <w:szCs w:val="24"/>
        </w:rPr>
        <w:t>is a decision of this court holding that where non</w:t>
      </w:r>
      <w:r>
        <w:rPr>
          <w:rFonts w:ascii="Arial" w:hAnsi="Arial" w:cs="Arial"/>
          <w:sz w:val="24"/>
          <w:szCs w:val="24"/>
        </w:rPr>
        <w:t>-</w:t>
      </w:r>
      <w:r w:rsidRPr="00A928AF">
        <w:rPr>
          <w:rFonts w:ascii="Arial" w:hAnsi="Arial" w:cs="Arial"/>
          <w:sz w:val="24"/>
          <w:szCs w:val="24"/>
        </w:rPr>
        <w:t xml:space="preserve">compliance with the Rules of this court </w:t>
      </w:r>
      <w:r>
        <w:rPr>
          <w:rFonts w:ascii="Arial" w:hAnsi="Arial" w:cs="Arial"/>
          <w:sz w:val="24"/>
          <w:szCs w:val="24"/>
        </w:rPr>
        <w:t>was ‘</w:t>
      </w:r>
      <w:r w:rsidRPr="00A928AF">
        <w:rPr>
          <w:rFonts w:ascii="Arial" w:hAnsi="Arial" w:cs="Arial"/>
          <w:sz w:val="24"/>
          <w:szCs w:val="24"/>
        </w:rPr>
        <w:t>glaring, flagrant, and inexplicable,</w:t>
      </w:r>
      <w:r>
        <w:rPr>
          <w:rFonts w:ascii="Arial" w:hAnsi="Arial" w:cs="Arial"/>
          <w:sz w:val="24"/>
          <w:szCs w:val="24"/>
        </w:rPr>
        <w:t>’</w:t>
      </w:r>
      <w:r w:rsidRPr="00A928AF">
        <w:rPr>
          <w:rFonts w:ascii="Arial" w:hAnsi="Arial" w:cs="Arial"/>
          <w:sz w:val="24"/>
          <w:szCs w:val="24"/>
        </w:rPr>
        <w:t xml:space="preserve"> </w:t>
      </w:r>
      <w:r>
        <w:rPr>
          <w:rFonts w:ascii="Arial" w:hAnsi="Arial" w:cs="Arial"/>
          <w:sz w:val="24"/>
          <w:szCs w:val="24"/>
        </w:rPr>
        <w:t xml:space="preserve">the court </w:t>
      </w:r>
      <w:r w:rsidRPr="00A928AF">
        <w:rPr>
          <w:rFonts w:ascii="Arial" w:hAnsi="Arial" w:cs="Arial"/>
          <w:sz w:val="24"/>
          <w:szCs w:val="24"/>
        </w:rPr>
        <w:t>will refuse to consider the merits of the case and it will be dismissed outright</w:t>
      </w:r>
      <w:r>
        <w:rPr>
          <w:rFonts w:ascii="Arial" w:hAnsi="Arial" w:cs="Arial"/>
          <w:sz w:val="24"/>
          <w:szCs w:val="24"/>
        </w:rPr>
        <w:t xml:space="preserve"> on this basis</w:t>
      </w:r>
      <w:r w:rsidRPr="00A928AF">
        <w:rPr>
          <w:rFonts w:ascii="Arial" w:hAnsi="Arial" w:cs="Arial"/>
          <w:sz w:val="24"/>
          <w:szCs w:val="24"/>
        </w:rPr>
        <w:t xml:space="preserve">. In </w:t>
      </w:r>
      <w:r w:rsidRPr="00334EB4">
        <w:rPr>
          <w:rFonts w:ascii="Arial" w:hAnsi="Arial" w:cs="Arial"/>
          <w:i/>
          <w:sz w:val="24"/>
          <w:szCs w:val="24"/>
        </w:rPr>
        <w:t>Somaeb</w:t>
      </w:r>
      <w:r w:rsidRPr="00A928AF">
        <w:rPr>
          <w:rFonts w:ascii="Arial" w:hAnsi="Arial" w:cs="Arial"/>
          <w:sz w:val="24"/>
          <w:szCs w:val="24"/>
        </w:rPr>
        <w:t xml:space="preserve">, the appellant failed to file security </w:t>
      </w:r>
      <w:r>
        <w:rPr>
          <w:rFonts w:ascii="Arial" w:hAnsi="Arial" w:cs="Arial"/>
          <w:sz w:val="24"/>
          <w:szCs w:val="24"/>
        </w:rPr>
        <w:t xml:space="preserve">for costs </w:t>
      </w:r>
      <w:r w:rsidRPr="00A928AF">
        <w:rPr>
          <w:rFonts w:ascii="Arial" w:hAnsi="Arial" w:cs="Arial"/>
          <w:sz w:val="24"/>
          <w:szCs w:val="24"/>
        </w:rPr>
        <w:t xml:space="preserve">and a proper record. Further, he did not apply for </w:t>
      </w:r>
      <w:r>
        <w:rPr>
          <w:rFonts w:ascii="Arial" w:hAnsi="Arial" w:cs="Arial"/>
          <w:sz w:val="24"/>
          <w:szCs w:val="24"/>
        </w:rPr>
        <w:t xml:space="preserve">the </w:t>
      </w:r>
      <w:r w:rsidRPr="00A928AF">
        <w:rPr>
          <w:rFonts w:ascii="Arial" w:hAnsi="Arial" w:cs="Arial"/>
          <w:sz w:val="24"/>
          <w:szCs w:val="24"/>
        </w:rPr>
        <w:t>reinstatement of his appeal as required after the appeal had lapsed.</w:t>
      </w:r>
      <w:r>
        <w:rPr>
          <w:rFonts w:ascii="Arial" w:hAnsi="Arial" w:cs="Arial"/>
          <w:sz w:val="24"/>
          <w:szCs w:val="24"/>
        </w:rPr>
        <w:t xml:space="preserve"> In this case, unlike in </w:t>
      </w:r>
      <w:r>
        <w:rPr>
          <w:rFonts w:ascii="Arial" w:hAnsi="Arial" w:cs="Arial"/>
          <w:i/>
          <w:iCs/>
          <w:sz w:val="24"/>
          <w:szCs w:val="24"/>
        </w:rPr>
        <w:t>Somaeb</w:t>
      </w:r>
      <w:r>
        <w:rPr>
          <w:rFonts w:ascii="Arial" w:hAnsi="Arial" w:cs="Arial"/>
          <w:sz w:val="24"/>
          <w:szCs w:val="24"/>
        </w:rPr>
        <w:t xml:space="preserve">, there was non-compliance with one relevant rule of the </w:t>
      </w:r>
      <w:r w:rsidR="00633580">
        <w:rPr>
          <w:rFonts w:ascii="Arial" w:hAnsi="Arial" w:cs="Arial"/>
          <w:sz w:val="24"/>
          <w:szCs w:val="24"/>
        </w:rPr>
        <w:t>c</w:t>
      </w:r>
      <w:r>
        <w:rPr>
          <w:rFonts w:ascii="Arial" w:hAnsi="Arial" w:cs="Arial"/>
          <w:sz w:val="24"/>
          <w:szCs w:val="24"/>
        </w:rPr>
        <w:t xml:space="preserve">ourt. In </w:t>
      </w:r>
      <w:r>
        <w:rPr>
          <w:rFonts w:ascii="Arial" w:hAnsi="Arial" w:cs="Arial"/>
          <w:i/>
          <w:iCs/>
          <w:sz w:val="24"/>
          <w:szCs w:val="24"/>
        </w:rPr>
        <w:t>Somaeb</w:t>
      </w:r>
      <w:r>
        <w:rPr>
          <w:rFonts w:ascii="Arial" w:hAnsi="Arial" w:cs="Arial"/>
          <w:sz w:val="24"/>
          <w:szCs w:val="24"/>
        </w:rPr>
        <w:t xml:space="preserve">, the entire application suffered from serious deficits due to the lack of proper filing, which is not the case here.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776CF0"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1D347A">
        <w:rPr>
          <w:rFonts w:ascii="Arial" w:hAnsi="Arial" w:cs="Arial"/>
          <w:sz w:val="24"/>
          <w:szCs w:val="24"/>
        </w:rPr>
        <w:t xml:space="preserve">argument </w:t>
      </w:r>
      <w:r w:rsidR="001D347A" w:rsidRPr="00C80F5B">
        <w:rPr>
          <w:rFonts w:ascii="Arial" w:hAnsi="Arial" w:cs="Arial"/>
          <w:sz w:val="24"/>
          <w:szCs w:val="24"/>
        </w:rPr>
        <w:t xml:space="preserve">that the appeal lapsed for the failure to address the application for condonation and reinstatement is untenable. The appeal lapsed when the </w:t>
      </w:r>
      <w:r>
        <w:rPr>
          <w:rFonts w:ascii="Arial" w:hAnsi="Arial" w:cs="Arial"/>
          <w:sz w:val="24"/>
          <w:szCs w:val="24"/>
        </w:rPr>
        <w:t xml:space="preserve">appeal </w:t>
      </w:r>
      <w:r w:rsidR="001D347A" w:rsidRPr="00C80F5B">
        <w:rPr>
          <w:rFonts w:ascii="Arial" w:hAnsi="Arial" w:cs="Arial"/>
          <w:sz w:val="24"/>
          <w:szCs w:val="24"/>
        </w:rPr>
        <w:t xml:space="preserve">record was filed late, hence the application for condonation and reinstatement. As a matter of sound reasoning, the appeal having lapsed at that stage, there </w:t>
      </w:r>
      <w:r w:rsidR="001D347A">
        <w:rPr>
          <w:rFonts w:ascii="Arial" w:hAnsi="Arial" w:cs="Arial"/>
          <w:sz w:val="24"/>
          <w:szCs w:val="24"/>
        </w:rPr>
        <w:t>wa</w:t>
      </w:r>
      <w:r w:rsidR="001D347A" w:rsidRPr="00C80F5B">
        <w:rPr>
          <w:rFonts w:ascii="Arial" w:hAnsi="Arial" w:cs="Arial"/>
          <w:sz w:val="24"/>
          <w:szCs w:val="24"/>
        </w:rPr>
        <w:t>s nothing remaining which can lapse again. Simply put, the matter cannot lapse twice.</w:t>
      </w:r>
      <w:r w:rsidR="001D347A">
        <w:rPr>
          <w:rFonts w:ascii="Arial" w:hAnsi="Arial" w:cs="Arial"/>
          <w:sz w:val="24"/>
          <w:szCs w:val="24"/>
        </w:rPr>
        <w:t xml:space="preserve"> The failures to file the record in conformity with the relevant rule of the </w:t>
      </w:r>
      <w:r w:rsidR="00F84F84">
        <w:rPr>
          <w:rFonts w:ascii="Arial" w:hAnsi="Arial" w:cs="Arial"/>
          <w:sz w:val="24"/>
          <w:szCs w:val="24"/>
        </w:rPr>
        <w:t>r</w:t>
      </w:r>
      <w:r w:rsidR="001D347A">
        <w:rPr>
          <w:rFonts w:ascii="Arial" w:hAnsi="Arial" w:cs="Arial"/>
          <w:sz w:val="24"/>
          <w:szCs w:val="24"/>
        </w:rPr>
        <w:t xml:space="preserve">ules of </w:t>
      </w:r>
      <w:r w:rsidR="00F84F84">
        <w:rPr>
          <w:rFonts w:ascii="Arial" w:hAnsi="Arial" w:cs="Arial"/>
          <w:sz w:val="24"/>
          <w:szCs w:val="24"/>
        </w:rPr>
        <w:t>c</w:t>
      </w:r>
      <w:r w:rsidR="001D347A">
        <w:rPr>
          <w:rFonts w:ascii="Arial" w:hAnsi="Arial" w:cs="Arial"/>
          <w:sz w:val="24"/>
          <w:szCs w:val="24"/>
        </w:rPr>
        <w:t xml:space="preserve">ourt and to deal with the application for condonation in the heads of argument have satisfactorily been explained. </w:t>
      </w:r>
      <w:r>
        <w:rPr>
          <w:rFonts w:ascii="Arial" w:hAnsi="Arial" w:cs="Arial"/>
          <w:sz w:val="24"/>
          <w:szCs w:val="24"/>
        </w:rPr>
        <w:t xml:space="preserve">As regards </w:t>
      </w:r>
      <w:r w:rsidR="009B648E">
        <w:rPr>
          <w:rFonts w:ascii="Arial" w:hAnsi="Arial" w:cs="Arial"/>
          <w:sz w:val="24"/>
          <w:szCs w:val="24"/>
        </w:rPr>
        <w:t xml:space="preserve">the condonation application for the failure to file the record, the </w:t>
      </w:r>
      <w:r>
        <w:rPr>
          <w:rFonts w:ascii="Arial" w:hAnsi="Arial" w:cs="Arial"/>
          <w:sz w:val="24"/>
          <w:szCs w:val="24"/>
        </w:rPr>
        <w:t xml:space="preserve">interval </w:t>
      </w:r>
      <w:r w:rsidR="009B648E">
        <w:rPr>
          <w:rFonts w:ascii="Arial" w:hAnsi="Arial" w:cs="Arial"/>
          <w:sz w:val="24"/>
          <w:szCs w:val="24"/>
        </w:rPr>
        <w:t xml:space="preserve">was </w:t>
      </w:r>
      <w:r w:rsidR="009B648E" w:rsidRPr="00776CF0">
        <w:rPr>
          <w:rFonts w:ascii="Arial" w:hAnsi="Arial" w:cs="Arial"/>
          <w:sz w:val="24"/>
          <w:szCs w:val="24"/>
        </w:rPr>
        <w:t xml:space="preserve">a mere one day </w:t>
      </w:r>
      <w:r>
        <w:rPr>
          <w:rFonts w:ascii="Arial" w:hAnsi="Arial" w:cs="Arial"/>
          <w:sz w:val="24"/>
          <w:szCs w:val="24"/>
        </w:rPr>
        <w:t>delay</w:t>
      </w:r>
      <w:r w:rsidR="009B648E">
        <w:rPr>
          <w:rFonts w:ascii="Arial" w:hAnsi="Arial" w:cs="Arial"/>
          <w:sz w:val="24"/>
          <w:szCs w:val="24"/>
        </w:rPr>
        <w:t xml:space="preserve"> and Mr Chunga has not demonstrated that he was prejudiced thereby. </w:t>
      </w:r>
      <w:r w:rsidR="001D347A">
        <w:rPr>
          <w:rFonts w:ascii="Arial" w:hAnsi="Arial" w:cs="Arial"/>
          <w:sz w:val="24"/>
          <w:szCs w:val="24"/>
        </w:rPr>
        <w:t xml:space="preserve">Moreover, the prospects of success on appeal appear to be </w:t>
      </w:r>
      <w:r w:rsidR="001D347A">
        <w:rPr>
          <w:rFonts w:ascii="Arial" w:hAnsi="Arial" w:cs="Arial"/>
          <w:sz w:val="24"/>
          <w:szCs w:val="24"/>
        </w:rPr>
        <w:lastRenderedPageBreak/>
        <w:t>good. Therefore, the applications for condonation ought to be granted. The merits of the appeal will be considered next.</w:t>
      </w:r>
    </w:p>
    <w:p w:rsidR="001D347A" w:rsidRDefault="001D347A" w:rsidP="00604362">
      <w:pPr>
        <w:spacing w:after="0" w:line="480" w:lineRule="auto"/>
        <w:rPr>
          <w:rFonts w:ascii="Arial" w:hAnsi="Arial" w:cs="Arial"/>
          <w:sz w:val="24"/>
          <w:szCs w:val="24"/>
          <w:u w:val="single"/>
        </w:rPr>
      </w:pPr>
    </w:p>
    <w:p w:rsidR="001D347A" w:rsidRPr="00A928AF" w:rsidRDefault="001D347A" w:rsidP="00604362">
      <w:pPr>
        <w:spacing w:after="0" w:line="480" w:lineRule="auto"/>
        <w:rPr>
          <w:rFonts w:ascii="Arial" w:hAnsi="Arial" w:cs="Arial"/>
          <w:sz w:val="24"/>
          <w:szCs w:val="24"/>
          <w:u w:val="single"/>
        </w:rPr>
      </w:pPr>
      <w:r w:rsidRPr="00A928AF">
        <w:rPr>
          <w:rFonts w:ascii="Arial" w:hAnsi="Arial" w:cs="Arial"/>
          <w:sz w:val="24"/>
          <w:szCs w:val="24"/>
          <w:u w:val="single"/>
        </w:rPr>
        <w:t>Background facts and litigation history</w:t>
      </w: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The facts giving rise to </w:t>
      </w:r>
      <w:r>
        <w:rPr>
          <w:rFonts w:ascii="Arial" w:hAnsi="Arial" w:cs="Arial"/>
          <w:sz w:val="24"/>
          <w:szCs w:val="24"/>
        </w:rPr>
        <w:t>Mr Chunga</w:t>
      </w:r>
      <w:r w:rsidRPr="00A928AF">
        <w:rPr>
          <w:rFonts w:ascii="Arial" w:hAnsi="Arial" w:cs="Arial"/>
          <w:sz w:val="24"/>
          <w:szCs w:val="24"/>
        </w:rPr>
        <w:t xml:space="preserve">’s arrest are largely common cause. </w:t>
      </w:r>
      <w:r>
        <w:rPr>
          <w:rFonts w:ascii="Arial" w:hAnsi="Arial" w:cs="Arial"/>
          <w:sz w:val="24"/>
          <w:szCs w:val="24"/>
        </w:rPr>
        <w:t>He</w:t>
      </w:r>
      <w:r w:rsidRPr="00A928AF">
        <w:rPr>
          <w:rFonts w:ascii="Arial" w:hAnsi="Arial" w:cs="Arial"/>
          <w:sz w:val="24"/>
          <w:szCs w:val="24"/>
        </w:rPr>
        <w:t xml:space="preserve"> was accused of participating in the violent and fatal attacks in Katima Mulilo</w:t>
      </w:r>
      <w:r>
        <w:rPr>
          <w:rFonts w:ascii="Arial" w:hAnsi="Arial" w:cs="Arial"/>
          <w:sz w:val="24"/>
          <w:szCs w:val="24"/>
        </w:rPr>
        <w:t xml:space="preserve"> under the auspices of the CLA.</w:t>
      </w:r>
      <w:r w:rsidRPr="00A928AF">
        <w:rPr>
          <w:rFonts w:ascii="Arial" w:hAnsi="Arial" w:cs="Arial"/>
          <w:sz w:val="24"/>
          <w:szCs w:val="24"/>
        </w:rPr>
        <w:t xml:space="preserve"> The attacks were planned</w:t>
      </w:r>
      <w:r>
        <w:rPr>
          <w:rFonts w:ascii="Arial" w:hAnsi="Arial" w:cs="Arial"/>
          <w:sz w:val="24"/>
          <w:szCs w:val="24"/>
        </w:rPr>
        <w:t xml:space="preserve"> and executed with the</w:t>
      </w:r>
      <w:r w:rsidRPr="00A928AF">
        <w:rPr>
          <w:rFonts w:ascii="Arial" w:hAnsi="Arial" w:cs="Arial"/>
          <w:sz w:val="24"/>
          <w:szCs w:val="24"/>
        </w:rPr>
        <w:t xml:space="preserve"> aim </w:t>
      </w:r>
      <w:r>
        <w:rPr>
          <w:rFonts w:ascii="Arial" w:hAnsi="Arial" w:cs="Arial"/>
          <w:sz w:val="24"/>
          <w:szCs w:val="24"/>
        </w:rPr>
        <w:t>to</w:t>
      </w:r>
      <w:r w:rsidRPr="00A928AF">
        <w:rPr>
          <w:rFonts w:ascii="Arial" w:hAnsi="Arial" w:cs="Arial"/>
          <w:sz w:val="24"/>
          <w:szCs w:val="24"/>
        </w:rPr>
        <w:t xml:space="preserve"> </w:t>
      </w:r>
      <w:r>
        <w:rPr>
          <w:rFonts w:ascii="Arial" w:hAnsi="Arial" w:cs="Arial"/>
          <w:sz w:val="24"/>
          <w:szCs w:val="24"/>
        </w:rPr>
        <w:t xml:space="preserve">achieve </w:t>
      </w:r>
      <w:r w:rsidRPr="00A928AF">
        <w:rPr>
          <w:rFonts w:ascii="Arial" w:hAnsi="Arial" w:cs="Arial"/>
          <w:sz w:val="24"/>
          <w:szCs w:val="24"/>
        </w:rPr>
        <w:t>sece</w:t>
      </w:r>
      <w:r>
        <w:rPr>
          <w:rFonts w:ascii="Arial" w:hAnsi="Arial" w:cs="Arial"/>
          <w:sz w:val="24"/>
          <w:szCs w:val="24"/>
        </w:rPr>
        <w:t>ssion of</w:t>
      </w:r>
      <w:r w:rsidRPr="00A928AF">
        <w:rPr>
          <w:rFonts w:ascii="Arial" w:hAnsi="Arial" w:cs="Arial"/>
          <w:sz w:val="24"/>
          <w:szCs w:val="24"/>
        </w:rPr>
        <w:t xml:space="preserve"> the Zambezi region </w:t>
      </w:r>
      <w:r>
        <w:rPr>
          <w:rFonts w:ascii="Arial" w:hAnsi="Arial" w:cs="Arial"/>
          <w:sz w:val="24"/>
          <w:szCs w:val="24"/>
        </w:rPr>
        <w:t xml:space="preserve">– as now known - </w:t>
      </w:r>
      <w:r w:rsidRPr="00A928AF">
        <w:rPr>
          <w:rFonts w:ascii="Arial" w:hAnsi="Arial" w:cs="Arial"/>
          <w:sz w:val="24"/>
          <w:szCs w:val="24"/>
        </w:rPr>
        <w:t xml:space="preserve">from the rest of Namibia. The government ordered the arrest of members of the United Democratic Party (UDP), which was considered the political arm of the CLA. </w:t>
      </w:r>
      <w:r>
        <w:rPr>
          <w:rFonts w:ascii="Arial" w:hAnsi="Arial" w:cs="Arial"/>
          <w:sz w:val="24"/>
          <w:szCs w:val="24"/>
        </w:rPr>
        <w:t xml:space="preserve">Mr Chunga </w:t>
      </w:r>
      <w:r w:rsidRPr="00A928AF">
        <w:rPr>
          <w:rFonts w:ascii="Arial" w:hAnsi="Arial" w:cs="Arial"/>
          <w:sz w:val="24"/>
          <w:szCs w:val="24"/>
        </w:rPr>
        <w:t xml:space="preserve">was arrested and </w:t>
      </w:r>
      <w:r w:rsidR="00776CF0">
        <w:rPr>
          <w:rFonts w:ascii="Arial" w:hAnsi="Arial" w:cs="Arial"/>
          <w:sz w:val="24"/>
          <w:szCs w:val="24"/>
        </w:rPr>
        <w:t xml:space="preserve">indicted </w:t>
      </w:r>
      <w:r w:rsidRPr="00A928AF">
        <w:rPr>
          <w:rFonts w:ascii="Arial" w:hAnsi="Arial" w:cs="Arial"/>
          <w:sz w:val="24"/>
          <w:szCs w:val="24"/>
        </w:rPr>
        <w:t>f</w:t>
      </w:r>
      <w:r w:rsidR="00776CF0">
        <w:rPr>
          <w:rFonts w:ascii="Arial" w:hAnsi="Arial" w:cs="Arial"/>
          <w:sz w:val="24"/>
          <w:szCs w:val="24"/>
        </w:rPr>
        <w:t>or</w:t>
      </w:r>
      <w:r w:rsidRPr="00A928AF">
        <w:rPr>
          <w:rFonts w:ascii="Arial" w:hAnsi="Arial" w:cs="Arial"/>
          <w:sz w:val="24"/>
          <w:szCs w:val="24"/>
        </w:rPr>
        <w:t xml:space="preserve"> both </w:t>
      </w:r>
      <w:r>
        <w:rPr>
          <w:rFonts w:ascii="Arial" w:hAnsi="Arial" w:cs="Arial"/>
          <w:sz w:val="24"/>
          <w:szCs w:val="24"/>
        </w:rPr>
        <w:t xml:space="preserve">planning the attacks and participating in them on </w:t>
      </w:r>
      <w:r w:rsidRPr="00A928AF">
        <w:rPr>
          <w:rFonts w:ascii="Arial" w:hAnsi="Arial" w:cs="Arial"/>
          <w:sz w:val="24"/>
          <w:szCs w:val="24"/>
        </w:rPr>
        <w:t>that fateful day.</w:t>
      </w:r>
    </w:p>
    <w:p w:rsidR="001D347A" w:rsidRPr="00A928AF" w:rsidRDefault="001D347A" w:rsidP="00604362">
      <w:pPr>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The </w:t>
      </w:r>
      <w:r>
        <w:rPr>
          <w:rFonts w:ascii="Arial" w:hAnsi="Arial" w:cs="Arial"/>
          <w:sz w:val="24"/>
          <w:szCs w:val="24"/>
        </w:rPr>
        <w:t xml:space="preserve">high treason </w:t>
      </w:r>
      <w:r w:rsidRPr="00A928AF">
        <w:rPr>
          <w:rFonts w:ascii="Arial" w:hAnsi="Arial" w:cs="Arial"/>
          <w:sz w:val="24"/>
          <w:szCs w:val="24"/>
        </w:rPr>
        <w:t>trial</w:t>
      </w:r>
      <w:r>
        <w:rPr>
          <w:rFonts w:ascii="Arial" w:hAnsi="Arial" w:cs="Arial"/>
          <w:sz w:val="24"/>
          <w:szCs w:val="24"/>
        </w:rPr>
        <w:t xml:space="preserve"> that ensued </w:t>
      </w:r>
      <w:r w:rsidRPr="00A928AF">
        <w:rPr>
          <w:rFonts w:ascii="Arial" w:hAnsi="Arial" w:cs="Arial"/>
          <w:sz w:val="24"/>
          <w:szCs w:val="24"/>
        </w:rPr>
        <w:t xml:space="preserve">was the largest criminal trial in the history of Namibia, with approximately 500 witness statements </w:t>
      </w:r>
      <w:r>
        <w:rPr>
          <w:rFonts w:ascii="Arial" w:hAnsi="Arial" w:cs="Arial"/>
          <w:sz w:val="24"/>
          <w:szCs w:val="24"/>
        </w:rPr>
        <w:t xml:space="preserve">having been </w:t>
      </w:r>
      <w:r w:rsidRPr="00A928AF">
        <w:rPr>
          <w:rFonts w:ascii="Arial" w:hAnsi="Arial" w:cs="Arial"/>
          <w:sz w:val="24"/>
          <w:szCs w:val="24"/>
        </w:rPr>
        <w:t>obtained. Of those, approximately 380 people testi</w:t>
      </w:r>
      <w:r>
        <w:rPr>
          <w:rFonts w:ascii="Arial" w:hAnsi="Arial" w:cs="Arial"/>
          <w:sz w:val="24"/>
          <w:szCs w:val="24"/>
        </w:rPr>
        <w:t>fied</w:t>
      </w:r>
      <w:r w:rsidRPr="00A928AF">
        <w:rPr>
          <w:rFonts w:ascii="Arial" w:hAnsi="Arial" w:cs="Arial"/>
          <w:sz w:val="24"/>
          <w:szCs w:val="24"/>
        </w:rPr>
        <w:t xml:space="preserve"> on behalf of the State. About ten of the </w:t>
      </w:r>
      <w:r>
        <w:rPr>
          <w:rFonts w:ascii="Arial" w:hAnsi="Arial" w:cs="Arial"/>
          <w:sz w:val="24"/>
          <w:szCs w:val="24"/>
        </w:rPr>
        <w:t xml:space="preserve">witness </w:t>
      </w:r>
      <w:r w:rsidRPr="00A928AF">
        <w:rPr>
          <w:rFonts w:ascii="Arial" w:hAnsi="Arial" w:cs="Arial"/>
          <w:sz w:val="24"/>
          <w:szCs w:val="24"/>
        </w:rPr>
        <w:t xml:space="preserve">statements </w:t>
      </w:r>
      <w:r>
        <w:rPr>
          <w:rFonts w:ascii="Arial" w:hAnsi="Arial" w:cs="Arial"/>
          <w:sz w:val="24"/>
          <w:szCs w:val="24"/>
        </w:rPr>
        <w:t>implicated Mr Chunga</w:t>
      </w:r>
      <w:r w:rsidRPr="00A928AF">
        <w:rPr>
          <w:rFonts w:ascii="Arial" w:hAnsi="Arial" w:cs="Arial"/>
          <w:sz w:val="24"/>
          <w:szCs w:val="24"/>
        </w:rPr>
        <w:t>, in plotting and organising the attack</w:t>
      </w:r>
      <w:r>
        <w:rPr>
          <w:rFonts w:ascii="Arial" w:hAnsi="Arial" w:cs="Arial"/>
          <w:sz w:val="24"/>
          <w:szCs w:val="24"/>
        </w:rPr>
        <w:t>s</w:t>
      </w:r>
      <w:r w:rsidRPr="00A928AF">
        <w:rPr>
          <w:rFonts w:ascii="Arial" w:hAnsi="Arial" w:cs="Arial"/>
          <w:sz w:val="24"/>
          <w:szCs w:val="24"/>
        </w:rPr>
        <w:t xml:space="preserve">, including recruiting others to the cause. </w:t>
      </w:r>
      <w:r>
        <w:rPr>
          <w:rFonts w:ascii="Arial" w:hAnsi="Arial" w:cs="Arial"/>
          <w:sz w:val="24"/>
          <w:szCs w:val="24"/>
        </w:rPr>
        <w:t xml:space="preserve">Mr Chunga </w:t>
      </w:r>
      <w:r w:rsidRPr="00A928AF">
        <w:rPr>
          <w:rFonts w:ascii="Arial" w:hAnsi="Arial" w:cs="Arial"/>
          <w:sz w:val="24"/>
          <w:szCs w:val="24"/>
        </w:rPr>
        <w:t>was ultimately acquitted of the criminal charges and discharged in February 2013.</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In the </w:t>
      </w:r>
      <w:r>
        <w:rPr>
          <w:rFonts w:ascii="Arial" w:hAnsi="Arial" w:cs="Arial"/>
          <w:sz w:val="24"/>
          <w:szCs w:val="24"/>
        </w:rPr>
        <w:t>H</w:t>
      </w:r>
      <w:r w:rsidRPr="00A928AF">
        <w:rPr>
          <w:rFonts w:ascii="Arial" w:hAnsi="Arial" w:cs="Arial"/>
          <w:sz w:val="24"/>
          <w:szCs w:val="24"/>
        </w:rPr>
        <w:t xml:space="preserve">igh </w:t>
      </w:r>
      <w:r>
        <w:rPr>
          <w:rFonts w:ascii="Arial" w:hAnsi="Arial" w:cs="Arial"/>
          <w:sz w:val="24"/>
          <w:szCs w:val="24"/>
        </w:rPr>
        <w:t>C</w:t>
      </w:r>
      <w:r w:rsidRPr="00A928AF">
        <w:rPr>
          <w:rFonts w:ascii="Arial" w:hAnsi="Arial" w:cs="Arial"/>
          <w:sz w:val="24"/>
          <w:szCs w:val="24"/>
        </w:rPr>
        <w:t xml:space="preserve">ourt, </w:t>
      </w:r>
      <w:r>
        <w:rPr>
          <w:rFonts w:ascii="Arial" w:hAnsi="Arial" w:cs="Arial"/>
          <w:sz w:val="24"/>
          <w:szCs w:val="24"/>
        </w:rPr>
        <w:t>Mr Chunga</w:t>
      </w:r>
      <w:r w:rsidRPr="00A928AF">
        <w:rPr>
          <w:rFonts w:ascii="Arial" w:hAnsi="Arial" w:cs="Arial"/>
          <w:sz w:val="24"/>
          <w:szCs w:val="24"/>
        </w:rPr>
        <w:t xml:space="preserve"> claimed damages against the </w:t>
      </w:r>
      <w:r>
        <w:rPr>
          <w:rFonts w:ascii="Arial" w:hAnsi="Arial" w:cs="Arial"/>
          <w:sz w:val="24"/>
          <w:szCs w:val="24"/>
        </w:rPr>
        <w:t xml:space="preserve">Minister, the PG and the government </w:t>
      </w:r>
      <w:r w:rsidRPr="00A928AF">
        <w:rPr>
          <w:rFonts w:ascii="Arial" w:hAnsi="Arial" w:cs="Arial"/>
          <w:sz w:val="24"/>
          <w:szCs w:val="24"/>
        </w:rPr>
        <w:t xml:space="preserve">for wrongfully setting the law in motion by arresting and laying charges against him in 1999. </w:t>
      </w:r>
      <w:r>
        <w:rPr>
          <w:rFonts w:ascii="Arial" w:hAnsi="Arial" w:cs="Arial"/>
          <w:sz w:val="24"/>
          <w:szCs w:val="24"/>
        </w:rPr>
        <w:t>He</w:t>
      </w:r>
      <w:r w:rsidRPr="00A928AF">
        <w:rPr>
          <w:rFonts w:ascii="Arial" w:hAnsi="Arial" w:cs="Arial"/>
          <w:sz w:val="24"/>
          <w:szCs w:val="24"/>
        </w:rPr>
        <w:t xml:space="preserve"> argued that both the </w:t>
      </w:r>
      <w:r>
        <w:rPr>
          <w:rFonts w:ascii="Arial" w:hAnsi="Arial" w:cs="Arial"/>
          <w:sz w:val="24"/>
          <w:szCs w:val="24"/>
        </w:rPr>
        <w:t xml:space="preserve">Minister </w:t>
      </w:r>
      <w:r w:rsidRPr="00A928AF">
        <w:rPr>
          <w:rFonts w:ascii="Arial" w:hAnsi="Arial" w:cs="Arial"/>
          <w:sz w:val="24"/>
          <w:szCs w:val="24"/>
        </w:rPr>
        <w:t xml:space="preserve">and </w:t>
      </w:r>
      <w:r>
        <w:rPr>
          <w:rFonts w:ascii="Arial" w:hAnsi="Arial" w:cs="Arial"/>
          <w:sz w:val="24"/>
          <w:szCs w:val="24"/>
        </w:rPr>
        <w:t xml:space="preserve">the PG </w:t>
      </w:r>
      <w:r w:rsidRPr="00A928AF">
        <w:rPr>
          <w:rFonts w:ascii="Arial" w:hAnsi="Arial" w:cs="Arial"/>
          <w:sz w:val="24"/>
          <w:szCs w:val="24"/>
        </w:rPr>
        <w:t xml:space="preserve">lacked reasonable and probable cause to initiate the case against him. As against the </w:t>
      </w:r>
      <w:r>
        <w:rPr>
          <w:rFonts w:ascii="Arial" w:hAnsi="Arial" w:cs="Arial"/>
          <w:sz w:val="24"/>
          <w:szCs w:val="24"/>
        </w:rPr>
        <w:t>PG</w:t>
      </w:r>
      <w:r w:rsidRPr="00A928AF">
        <w:rPr>
          <w:rFonts w:ascii="Arial" w:hAnsi="Arial" w:cs="Arial"/>
          <w:sz w:val="24"/>
          <w:szCs w:val="24"/>
        </w:rPr>
        <w:t xml:space="preserve">, </w:t>
      </w:r>
      <w:r>
        <w:rPr>
          <w:rFonts w:ascii="Arial" w:hAnsi="Arial" w:cs="Arial"/>
          <w:sz w:val="24"/>
          <w:szCs w:val="24"/>
        </w:rPr>
        <w:t>Mr Chunga</w:t>
      </w:r>
      <w:r w:rsidRPr="00A928AF">
        <w:rPr>
          <w:rFonts w:ascii="Arial" w:hAnsi="Arial" w:cs="Arial"/>
          <w:sz w:val="24"/>
          <w:szCs w:val="24"/>
        </w:rPr>
        <w:t xml:space="preserve"> claimed that the PG and her prosecutorial team lacked both reasonable and </w:t>
      </w:r>
      <w:r w:rsidRPr="00A928AF">
        <w:rPr>
          <w:rFonts w:ascii="Arial" w:hAnsi="Arial" w:cs="Arial"/>
          <w:sz w:val="24"/>
          <w:szCs w:val="24"/>
        </w:rPr>
        <w:lastRenderedPageBreak/>
        <w:t xml:space="preserve">probable cause, or alternatively, reasonable </w:t>
      </w:r>
      <w:r w:rsidRPr="00A928AF">
        <w:rPr>
          <w:rFonts w:ascii="Arial" w:hAnsi="Arial" w:cs="Arial"/>
          <w:i/>
          <w:iCs/>
          <w:sz w:val="24"/>
          <w:szCs w:val="24"/>
        </w:rPr>
        <w:t>belief</w:t>
      </w:r>
      <w:r w:rsidRPr="00A928AF">
        <w:rPr>
          <w:rFonts w:ascii="Arial" w:hAnsi="Arial" w:cs="Arial"/>
          <w:sz w:val="24"/>
          <w:szCs w:val="24"/>
        </w:rPr>
        <w:t xml:space="preserve"> in the charges against </w:t>
      </w:r>
      <w:r>
        <w:rPr>
          <w:rFonts w:ascii="Arial" w:hAnsi="Arial" w:cs="Arial"/>
          <w:sz w:val="24"/>
          <w:szCs w:val="24"/>
        </w:rPr>
        <w:t>him</w:t>
      </w:r>
      <w:r w:rsidRPr="00A928AF">
        <w:rPr>
          <w:rFonts w:ascii="Arial" w:hAnsi="Arial" w:cs="Arial"/>
          <w:sz w:val="24"/>
          <w:szCs w:val="24"/>
        </w:rPr>
        <w:t xml:space="preserve"> (my emphasis).</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Chunga</w:t>
      </w:r>
      <w:r w:rsidRPr="00A928AF">
        <w:rPr>
          <w:rFonts w:ascii="Arial" w:hAnsi="Arial" w:cs="Arial"/>
          <w:sz w:val="24"/>
          <w:szCs w:val="24"/>
        </w:rPr>
        <w:t xml:space="preserve">’s alternative claim was for malicious continuation of the prosecution against the </w:t>
      </w:r>
      <w:r>
        <w:rPr>
          <w:rFonts w:ascii="Arial" w:hAnsi="Arial" w:cs="Arial"/>
          <w:sz w:val="24"/>
          <w:szCs w:val="24"/>
        </w:rPr>
        <w:t>PG</w:t>
      </w:r>
      <w:r w:rsidRPr="00A928AF">
        <w:rPr>
          <w:rFonts w:ascii="Arial" w:hAnsi="Arial" w:cs="Arial"/>
          <w:sz w:val="24"/>
          <w:szCs w:val="24"/>
        </w:rPr>
        <w:t xml:space="preserve">. </w:t>
      </w:r>
      <w:r w:rsidR="006B0510">
        <w:rPr>
          <w:rFonts w:ascii="Arial" w:hAnsi="Arial" w:cs="Arial"/>
          <w:sz w:val="24"/>
          <w:szCs w:val="24"/>
        </w:rPr>
        <w:t>He</w:t>
      </w:r>
      <w:r>
        <w:rPr>
          <w:rFonts w:ascii="Arial" w:hAnsi="Arial" w:cs="Arial"/>
          <w:sz w:val="24"/>
          <w:szCs w:val="24"/>
        </w:rPr>
        <w:t xml:space="preserve"> </w:t>
      </w:r>
      <w:r w:rsidRPr="00A928AF">
        <w:rPr>
          <w:rFonts w:ascii="Arial" w:hAnsi="Arial" w:cs="Arial"/>
          <w:sz w:val="24"/>
          <w:szCs w:val="24"/>
        </w:rPr>
        <w:t>pleaded that the PG and her prosecutorial team should have stopped the prosecution from 1 February 2008</w:t>
      </w:r>
      <w:r>
        <w:rPr>
          <w:rFonts w:ascii="Arial" w:hAnsi="Arial" w:cs="Arial"/>
          <w:sz w:val="24"/>
          <w:szCs w:val="24"/>
        </w:rPr>
        <w:t>,</w:t>
      </w:r>
      <w:r w:rsidRPr="00A928AF">
        <w:rPr>
          <w:rFonts w:ascii="Arial" w:hAnsi="Arial" w:cs="Arial"/>
          <w:sz w:val="24"/>
          <w:szCs w:val="24"/>
        </w:rPr>
        <w:t xml:space="preserve"> because they knew that </w:t>
      </w:r>
      <w:r>
        <w:rPr>
          <w:rFonts w:ascii="Arial" w:hAnsi="Arial" w:cs="Arial"/>
          <w:sz w:val="24"/>
          <w:szCs w:val="24"/>
        </w:rPr>
        <w:t>all witnesses</w:t>
      </w:r>
      <w:r w:rsidRPr="00A928AF">
        <w:rPr>
          <w:rFonts w:ascii="Arial" w:hAnsi="Arial" w:cs="Arial"/>
          <w:sz w:val="24"/>
          <w:szCs w:val="24"/>
        </w:rPr>
        <w:t xml:space="preserve"> </w:t>
      </w:r>
      <w:r>
        <w:rPr>
          <w:rFonts w:ascii="Arial" w:hAnsi="Arial" w:cs="Arial"/>
          <w:sz w:val="24"/>
          <w:szCs w:val="24"/>
        </w:rPr>
        <w:t xml:space="preserve">who should have testified </w:t>
      </w:r>
      <w:r w:rsidRPr="00A928AF">
        <w:rPr>
          <w:rFonts w:ascii="Arial" w:hAnsi="Arial" w:cs="Arial"/>
          <w:sz w:val="24"/>
          <w:szCs w:val="24"/>
        </w:rPr>
        <w:t xml:space="preserve">against </w:t>
      </w:r>
      <w:r>
        <w:rPr>
          <w:rFonts w:ascii="Arial" w:hAnsi="Arial" w:cs="Arial"/>
          <w:sz w:val="24"/>
          <w:szCs w:val="24"/>
        </w:rPr>
        <w:t>him</w:t>
      </w:r>
      <w:r w:rsidRPr="00A928AF">
        <w:rPr>
          <w:rFonts w:ascii="Arial" w:hAnsi="Arial" w:cs="Arial"/>
          <w:sz w:val="24"/>
          <w:szCs w:val="24"/>
        </w:rPr>
        <w:t xml:space="preserve"> had completed their testimon</w:t>
      </w:r>
      <w:r>
        <w:rPr>
          <w:rFonts w:ascii="Arial" w:hAnsi="Arial" w:cs="Arial"/>
          <w:sz w:val="24"/>
          <w:szCs w:val="24"/>
        </w:rPr>
        <w:t>ies</w:t>
      </w:r>
      <w:r w:rsidRPr="00A928AF">
        <w:rPr>
          <w:rFonts w:ascii="Arial" w:hAnsi="Arial" w:cs="Arial"/>
          <w:sz w:val="24"/>
          <w:szCs w:val="24"/>
        </w:rPr>
        <w:t xml:space="preserve"> by 31 January 2008. Finally, </w:t>
      </w:r>
      <w:r>
        <w:rPr>
          <w:rFonts w:ascii="Arial" w:hAnsi="Arial" w:cs="Arial"/>
          <w:sz w:val="24"/>
          <w:szCs w:val="24"/>
        </w:rPr>
        <w:t xml:space="preserve">Mr Chunga </w:t>
      </w:r>
      <w:r w:rsidRPr="00A928AF">
        <w:rPr>
          <w:rFonts w:ascii="Arial" w:hAnsi="Arial" w:cs="Arial"/>
          <w:sz w:val="24"/>
          <w:szCs w:val="24"/>
        </w:rPr>
        <w:t xml:space="preserve">claimed constitutional damages based on the alleged violation of his right to a trial </w:t>
      </w:r>
      <w:r>
        <w:rPr>
          <w:rFonts w:ascii="Arial" w:hAnsi="Arial" w:cs="Arial"/>
          <w:sz w:val="24"/>
          <w:szCs w:val="24"/>
        </w:rPr>
        <w:t>with</w:t>
      </w:r>
      <w:r w:rsidRPr="00A928AF">
        <w:rPr>
          <w:rFonts w:ascii="Arial" w:hAnsi="Arial" w:cs="Arial"/>
          <w:sz w:val="24"/>
          <w:szCs w:val="24"/>
        </w:rPr>
        <w:t xml:space="preserve">in a reasonable time </w:t>
      </w:r>
      <w:r>
        <w:rPr>
          <w:rFonts w:ascii="Arial" w:hAnsi="Arial" w:cs="Arial"/>
          <w:sz w:val="24"/>
          <w:szCs w:val="24"/>
        </w:rPr>
        <w:t>under A</w:t>
      </w:r>
      <w:r w:rsidRPr="00A928AF">
        <w:rPr>
          <w:rFonts w:ascii="Arial" w:hAnsi="Arial" w:cs="Arial"/>
          <w:sz w:val="24"/>
          <w:szCs w:val="24"/>
        </w:rPr>
        <w:t>rt</w:t>
      </w:r>
      <w:r w:rsidR="00633580">
        <w:rPr>
          <w:rFonts w:ascii="Arial" w:hAnsi="Arial" w:cs="Arial"/>
          <w:sz w:val="24"/>
          <w:szCs w:val="24"/>
        </w:rPr>
        <w:t>icle</w:t>
      </w:r>
      <w:r w:rsidRPr="00A928AF">
        <w:rPr>
          <w:rFonts w:ascii="Arial" w:hAnsi="Arial" w:cs="Arial"/>
          <w:sz w:val="24"/>
          <w:szCs w:val="24"/>
        </w:rPr>
        <w:t xml:space="preserve"> 12(1)(</w:t>
      </w:r>
      <w:r w:rsidRPr="00EA11A4">
        <w:rPr>
          <w:rFonts w:ascii="Arial" w:hAnsi="Arial" w:cs="Arial"/>
          <w:i/>
          <w:sz w:val="24"/>
          <w:szCs w:val="24"/>
        </w:rPr>
        <w:t>b</w:t>
      </w:r>
      <w:r w:rsidRPr="00A928AF">
        <w:rPr>
          <w:rFonts w:ascii="Arial" w:hAnsi="Arial" w:cs="Arial"/>
          <w:sz w:val="24"/>
          <w:szCs w:val="24"/>
        </w:rPr>
        <w:t xml:space="preserve">) of the </w:t>
      </w:r>
      <w:r>
        <w:rPr>
          <w:rFonts w:ascii="Arial" w:hAnsi="Arial" w:cs="Arial"/>
          <w:sz w:val="24"/>
          <w:szCs w:val="24"/>
        </w:rPr>
        <w:t xml:space="preserve">Namibian </w:t>
      </w:r>
      <w:r w:rsidRPr="00A928AF">
        <w:rPr>
          <w:rFonts w:ascii="Arial" w:hAnsi="Arial" w:cs="Arial"/>
          <w:sz w:val="24"/>
          <w:szCs w:val="24"/>
        </w:rPr>
        <w:t xml:space="preserve">Constitution.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Minister, the PG and the government </w:t>
      </w:r>
      <w:r w:rsidRPr="00A928AF">
        <w:rPr>
          <w:rFonts w:ascii="Arial" w:hAnsi="Arial" w:cs="Arial"/>
          <w:sz w:val="24"/>
          <w:szCs w:val="24"/>
        </w:rPr>
        <w:t>pleaded that n</w:t>
      </w:r>
      <w:r>
        <w:rPr>
          <w:rFonts w:ascii="Arial" w:hAnsi="Arial" w:cs="Arial"/>
          <w:sz w:val="24"/>
          <w:szCs w:val="24"/>
        </w:rPr>
        <w:t xml:space="preserve">one of them </w:t>
      </w:r>
      <w:r w:rsidRPr="00A928AF">
        <w:rPr>
          <w:rFonts w:ascii="Arial" w:hAnsi="Arial" w:cs="Arial"/>
          <w:sz w:val="24"/>
          <w:szCs w:val="24"/>
        </w:rPr>
        <w:t>had any imprope</w:t>
      </w:r>
      <w:r>
        <w:rPr>
          <w:rFonts w:ascii="Arial" w:hAnsi="Arial" w:cs="Arial"/>
          <w:sz w:val="24"/>
          <w:szCs w:val="24"/>
        </w:rPr>
        <w:t>r motive in</w:t>
      </w:r>
      <w:r w:rsidRPr="00A928AF">
        <w:rPr>
          <w:rFonts w:ascii="Arial" w:hAnsi="Arial" w:cs="Arial"/>
          <w:sz w:val="24"/>
          <w:szCs w:val="24"/>
        </w:rPr>
        <w:t xml:space="preserve"> laying charges against </w:t>
      </w:r>
      <w:r>
        <w:rPr>
          <w:rFonts w:ascii="Arial" w:hAnsi="Arial" w:cs="Arial"/>
          <w:sz w:val="24"/>
          <w:szCs w:val="24"/>
        </w:rPr>
        <w:t>Mr Chunga</w:t>
      </w:r>
      <w:r w:rsidRPr="00A928AF">
        <w:rPr>
          <w:rFonts w:ascii="Arial" w:hAnsi="Arial" w:cs="Arial"/>
          <w:sz w:val="24"/>
          <w:szCs w:val="24"/>
        </w:rPr>
        <w:t xml:space="preserve"> </w:t>
      </w:r>
      <w:r>
        <w:rPr>
          <w:rFonts w:ascii="Arial" w:hAnsi="Arial" w:cs="Arial"/>
          <w:sz w:val="24"/>
          <w:szCs w:val="24"/>
        </w:rPr>
        <w:t xml:space="preserve">or in prosecuting him. It was </w:t>
      </w:r>
      <w:r w:rsidRPr="00A928AF">
        <w:rPr>
          <w:rFonts w:ascii="Arial" w:hAnsi="Arial" w:cs="Arial"/>
          <w:sz w:val="24"/>
          <w:szCs w:val="24"/>
        </w:rPr>
        <w:t xml:space="preserve">further </w:t>
      </w:r>
      <w:r>
        <w:rPr>
          <w:rFonts w:ascii="Arial" w:hAnsi="Arial" w:cs="Arial"/>
          <w:sz w:val="24"/>
          <w:szCs w:val="24"/>
        </w:rPr>
        <w:t xml:space="preserve">pleaded </w:t>
      </w:r>
      <w:r w:rsidRPr="00A928AF">
        <w:rPr>
          <w:rFonts w:ascii="Arial" w:hAnsi="Arial" w:cs="Arial"/>
          <w:sz w:val="24"/>
          <w:szCs w:val="24"/>
        </w:rPr>
        <w:t xml:space="preserve">that the </w:t>
      </w:r>
      <w:r>
        <w:rPr>
          <w:rFonts w:ascii="Arial" w:hAnsi="Arial" w:cs="Arial"/>
          <w:sz w:val="24"/>
          <w:szCs w:val="24"/>
        </w:rPr>
        <w:t xml:space="preserve">Namibian Police who resorted under the Minister </w:t>
      </w:r>
      <w:r w:rsidRPr="00A928AF">
        <w:rPr>
          <w:rFonts w:ascii="Arial" w:hAnsi="Arial" w:cs="Arial"/>
          <w:sz w:val="24"/>
          <w:szCs w:val="24"/>
        </w:rPr>
        <w:t xml:space="preserve">had </w:t>
      </w:r>
      <w:r>
        <w:rPr>
          <w:rFonts w:ascii="Arial" w:hAnsi="Arial" w:cs="Arial"/>
          <w:sz w:val="24"/>
          <w:szCs w:val="24"/>
        </w:rPr>
        <w:t xml:space="preserve">a </w:t>
      </w:r>
      <w:r w:rsidRPr="00A928AF">
        <w:rPr>
          <w:rFonts w:ascii="Arial" w:hAnsi="Arial" w:cs="Arial"/>
          <w:sz w:val="24"/>
          <w:szCs w:val="24"/>
        </w:rPr>
        <w:t>reasonable suspicion to conduct their investigation</w:t>
      </w:r>
      <w:r>
        <w:rPr>
          <w:rFonts w:ascii="Arial" w:hAnsi="Arial" w:cs="Arial"/>
          <w:sz w:val="24"/>
          <w:szCs w:val="24"/>
        </w:rPr>
        <w:t>s</w:t>
      </w:r>
      <w:r w:rsidRPr="00A928AF">
        <w:rPr>
          <w:rFonts w:ascii="Arial" w:hAnsi="Arial" w:cs="Arial"/>
          <w:sz w:val="24"/>
          <w:szCs w:val="24"/>
        </w:rPr>
        <w:t xml:space="preserve"> and </w:t>
      </w:r>
      <w:r>
        <w:rPr>
          <w:rFonts w:ascii="Arial" w:hAnsi="Arial" w:cs="Arial"/>
          <w:sz w:val="24"/>
          <w:szCs w:val="24"/>
        </w:rPr>
        <w:t xml:space="preserve">to </w:t>
      </w:r>
      <w:r w:rsidRPr="00A928AF">
        <w:rPr>
          <w:rFonts w:ascii="Arial" w:hAnsi="Arial" w:cs="Arial"/>
          <w:sz w:val="24"/>
          <w:szCs w:val="24"/>
        </w:rPr>
        <w:t xml:space="preserve">arrest </w:t>
      </w:r>
      <w:r>
        <w:rPr>
          <w:rFonts w:ascii="Arial" w:hAnsi="Arial" w:cs="Arial"/>
          <w:sz w:val="24"/>
          <w:szCs w:val="24"/>
        </w:rPr>
        <w:t>Mr Chunga</w:t>
      </w:r>
      <w:r w:rsidRPr="00A928AF">
        <w:rPr>
          <w:rFonts w:ascii="Arial" w:hAnsi="Arial" w:cs="Arial"/>
          <w:sz w:val="24"/>
          <w:szCs w:val="24"/>
        </w:rPr>
        <w:t xml:space="preserve">. The </w:t>
      </w:r>
      <w:r>
        <w:rPr>
          <w:rFonts w:ascii="Arial" w:hAnsi="Arial" w:cs="Arial"/>
          <w:sz w:val="24"/>
          <w:szCs w:val="24"/>
        </w:rPr>
        <w:t xml:space="preserve">PG </w:t>
      </w:r>
      <w:r w:rsidRPr="00A928AF">
        <w:rPr>
          <w:rFonts w:ascii="Arial" w:hAnsi="Arial" w:cs="Arial"/>
          <w:sz w:val="24"/>
          <w:szCs w:val="24"/>
        </w:rPr>
        <w:t xml:space="preserve">pleaded that </w:t>
      </w:r>
      <w:r>
        <w:rPr>
          <w:rFonts w:ascii="Arial" w:hAnsi="Arial" w:cs="Arial"/>
          <w:sz w:val="24"/>
          <w:szCs w:val="24"/>
        </w:rPr>
        <w:t>Mr Chunga</w:t>
      </w:r>
      <w:r w:rsidRPr="00A928AF">
        <w:rPr>
          <w:rFonts w:ascii="Arial" w:hAnsi="Arial" w:cs="Arial"/>
          <w:sz w:val="24"/>
          <w:szCs w:val="24"/>
        </w:rPr>
        <w:t xml:space="preserve"> could not prove </w:t>
      </w:r>
      <w:r>
        <w:rPr>
          <w:rFonts w:ascii="Arial" w:hAnsi="Arial" w:cs="Arial"/>
          <w:sz w:val="24"/>
          <w:szCs w:val="24"/>
        </w:rPr>
        <w:t xml:space="preserve">the </w:t>
      </w:r>
      <w:r w:rsidRPr="00A928AF">
        <w:rPr>
          <w:rFonts w:ascii="Arial" w:hAnsi="Arial" w:cs="Arial"/>
          <w:sz w:val="24"/>
          <w:szCs w:val="24"/>
        </w:rPr>
        <w:t xml:space="preserve">lack of reasonable and probable cause because the PG and her prosecutorial team believed in the strength of their case and the </w:t>
      </w:r>
      <w:r>
        <w:rPr>
          <w:rFonts w:ascii="Arial" w:hAnsi="Arial" w:cs="Arial"/>
          <w:sz w:val="24"/>
          <w:szCs w:val="24"/>
        </w:rPr>
        <w:t>information at their disposal</w:t>
      </w:r>
      <w:r w:rsidRPr="00A928AF">
        <w:rPr>
          <w:rFonts w:ascii="Arial" w:hAnsi="Arial" w:cs="Arial"/>
          <w:sz w:val="24"/>
          <w:szCs w:val="24"/>
        </w:rPr>
        <w:t xml:space="preserve">.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Against </w:t>
      </w:r>
      <w:r>
        <w:rPr>
          <w:rFonts w:ascii="Arial" w:hAnsi="Arial" w:cs="Arial"/>
          <w:sz w:val="24"/>
          <w:szCs w:val="24"/>
        </w:rPr>
        <w:t>Mr Chunga</w:t>
      </w:r>
      <w:r w:rsidRPr="00A928AF">
        <w:rPr>
          <w:rFonts w:ascii="Arial" w:hAnsi="Arial" w:cs="Arial"/>
          <w:sz w:val="24"/>
          <w:szCs w:val="24"/>
        </w:rPr>
        <w:t xml:space="preserve">’s argument that the </w:t>
      </w:r>
      <w:r>
        <w:rPr>
          <w:rFonts w:ascii="Arial" w:hAnsi="Arial" w:cs="Arial"/>
          <w:sz w:val="24"/>
          <w:szCs w:val="24"/>
        </w:rPr>
        <w:t xml:space="preserve">PG </w:t>
      </w:r>
      <w:r w:rsidRPr="00A928AF">
        <w:rPr>
          <w:rFonts w:ascii="Arial" w:hAnsi="Arial" w:cs="Arial"/>
          <w:sz w:val="24"/>
          <w:szCs w:val="24"/>
        </w:rPr>
        <w:t xml:space="preserve">should have secured his release under s 6(b) of the CPA, </w:t>
      </w:r>
      <w:r>
        <w:rPr>
          <w:rFonts w:ascii="Arial" w:hAnsi="Arial" w:cs="Arial"/>
          <w:sz w:val="24"/>
          <w:szCs w:val="24"/>
        </w:rPr>
        <w:t xml:space="preserve">the PG </w:t>
      </w:r>
      <w:r w:rsidRPr="00A928AF">
        <w:rPr>
          <w:rFonts w:ascii="Arial" w:hAnsi="Arial" w:cs="Arial"/>
          <w:sz w:val="24"/>
          <w:szCs w:val="24"/>
        </w:rPr>
        <w:t xml:space="preserve">pleaded that </w:t>
      </w:r>
      <w:r>
        <w:rPr>
          <w:rFonts w:ascii="Arial" w:hAnsi="Arial" w:cs="Arial"/>
          <w:sz w:val="24"/>
          <w:szCs w:val="24"/>
        </w:rPr>
        <w:t>Mr Chunga, who was legally represented during the trial,</w:t>
      </w:r>
      <w:r w:rsidRPr="00A928AF">
        <w:rPr>
          <w:rFonts w:ascii="Arial" w:hAnsi="Arial" w:cs="Arial"/>
          <w:sz w:val="24"/>
          <w:szCs w:val="24"/>
        </w:rPr>
        <w:t xml:space="preserve"> should have </w:t>
      </w:r>
      <w:r>
        <w:rPr>
          <w:rFonts w:ascii="Arial" w:hAnsi="Arial" w:cs="Arial"/>
          <w:sz w:val="24"/>
          <w:szCs w:val="24"/>
        </w:rPr>
        <w:t>brought proceedings for his release</w:t>
      </w:r>
      <w:r w:rsidRPr="00A928AF">
        <w:rPr>
          <w:rFonts w:ascii="Arial" w:hAnsi="Arial" w:cs="Arial"/>
          <w:sz w:val="24"/>
          <w:szCs w:val="24"/>
        </w:rPr>
        <w:t xml:space="preserve">. Further, </w:t>
      </w:r>
      <w:r>
        <w:rPr>
          <w:rFonts w:ascii="Arial" w:hAnsi="Arial" w:cs="Arial"/>
          <w:sz w:val="24"/>
          <w:szCs w:val="24"/>
        </w:rPr>
        <w:t>the PG</w:t>
      </w:r>
      <w:r w:rsidRPr="00A928AF">
        <w:rPr>
          <w:rFonts w:ascii="Arial" w:hAnsi="Arial" w:cs="Arial"/>
          <w:sz w:val="24"/>
          <w:szCs w:val="24"/>
        </w:rPr>
        <w:t xml:space="preserve"> pleaded that stopping the prosecution</w:t>
      </w:r>
      <w:r>
        <w:rPr>
          <w:rFonts w:ascii="Arial" w:hAnsi="Arial" w:cs="Arial"/>
          <w:sz w:val="24"/>
          <w:szCs w:val="24"/>
        </w:rPr>
        <w:t xml:space="preserve"> at that stage would have been ‘</w:t>
      </w:r>
      <w:r w:rsidRPr="00A928AF">
        <w:rPr>
          <w:rFonts w:ascii="Arial" w:hAnsi="Arial" w:cs="Arial"/>
          <w:sz w:val="24"/>
          <w:szCs w:val="24"/>
        </w:rPr>
        <w:t>risky and prejudicial</w:t>
      </w:r>
      <w:r>
        <w:rPr>
          <w:rFonts w:ascii="Arial" w:hAnsi="Arial" w:cs="Arial"/>
          <w:sz w:val="24"/>
          <w:szCs w:val="24"/>
        </w:rPr>
        <w:t>’</w:t>
      </w:r>
      <w:r w:rsidRPr="00A928AF">
        <w:rPr>
          <w:rFonts w:ascii="Arial" w:hAnsi="Arial" w:cs="Arial"/>
          <w:sz w:val="24"/>
          <w:szCs w:val="24"/>
        </w:rPr>
        <w:t xml:space="preserve"> to the State’s case.</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Minister and the PG </w:t>
      </w:r>
      <w:r w:rsidRPr="00A928AF">
        <w:rPr>
          <w:rFonts w:ascii="Arial" w:hAnsi="Arial" w:cs="Arial"/>
          <w:sz w:val="24"/>
          <w:szCs w:val="24"/>
        </w:rPr>
        <w:t xml:space="preserve">relied primarily on the evidence of </w:t>
      </w:r>
      <w:r>
        <w:rPr>
          <w:rFonts w:ascii="Arial" w:hAnsi="Arial" w:cs="Arial"/>
          <w:sz w:val="24"/>
          <w:szCs w:val="24"/>
        </w:rPr>
        <w:t xml:space="preserve">Mr </w:t>
      </w:r>
      <w:r w:rsidR="006B0510">
        <w:rPr>
          <w:rFonts w:ascii="Arial" w:hAnsi="Arial" w:cs="Arial"/>
          <w:sz w:val="24"/>
          <w:szCs w:val="24"/>
        </w:rPr>
        <w:t xml:space="preserve">Taswald </w:t>
      </w:r>
      <w:r w:rsidRPr="00A928AF">
        <w:rPr>
          <w:rFonts w:ascii="Arial" w:hAnsi="Arial" w:cs="Arial"/>
          <w:sz w:val="24"/>
          <w:szCs w:val="24"/>
        </w:rPr>
        <w:t xml:space="preserve">July, who </w:t>
      </w:r>
      <w:r>
        <w:rPr>
          <w:rFonts w:ascii="Arial" w:hAnsi="Arial" w:cs="Arial"/>
          <w:sz w:val="24"/>
          <w:szCs w:val="24"/>
        </w:rPr>
        <w:t xml:space="preserve">was one of the lead prosecutors in the criminal trial. Mr July </w:t>
      </w:r>
      <w:r w:rsidRPr="00A928AF">
        <w:rPr>
          <w:rFonts w:ascii="Arial" w:hAnsi="Arial" w:cs="Arial"/>
          <w:sz w:val="24"/>
          <w:szCs w:val="24"/>
        </w:rPr>
        <w:t xml:space="preserve">testified </w:t>
      </w:r>
      <w:r>
        <w:rPr>
          <w:rFonts w:ascii="Arial" w:hAnsi="Arial" w:cs="Arial"/>
          <w:sz w:val="24"/>
          <w:szCs w:val="24"/>
        </w:rPr>
        <w:t xml:space="preserve">in the civil claim </w:t>
      </w:r>
      <w:r w:rsidRPr="00A928AF">
        <w:rPr>
          <w:rFonts w:ascii="Arial" w:hAnsi="Arial" w:cs="Arial"/>
          <w:sz w:val="24"/>
          <w:szCs w:val="24"/>
        </w:rPr>
        <w:t xml:space="preserve">about the </w:t>
      </w:r>
      <w:r>
        <w:rPr>
          <w:rFonts w:ascii="Arial" w:hAnsi="Arial" w:cs="Arial"/>
          <w:sz w:val="24"/>
          <w:szCs w:val="24"/>
        </w:rPr>
        <w:t xml:space="preserve">information </w:t>
      </w:r>
      <w:r w:rsidRPr="00A928AF">
        <w:rPr>
          <w:rFonts w:ascii="Arial" w:hAnsi="Arial" w:cs="Arial"/>
          <w:sz w:val="24"/>
          <w:szCs w:val="24"/>
        </w:rPr>
        <w:t xml:space="preserve">available to the PG and her prosecutorial team </w:t>
      </w:r>
      <w:r>
        <w:rPr>
          <w:rFonts w:ascii="Arial" w:hAnsi="Arial" w:cs="Arial"/>
          <w:sz w:val="24"/>
          <w:szCs w:val="24"/>
        </w:rPr>
        <w:t xml:space="preserve">as well as on the prosecution’s strategy generally </w:t>
      </w:r>
      <w:r w:rsidRPr="00A928AF">
        <w:rPr>
          <w:rFonts w:ascii="Arial" w:hAnsi="Arial" w:cs="Arial"/>
          <w:sz w:val="24"/>
          <w:szCs w:val="24"/>
        </w:rPr>
        <w:t xml:space="preserve">during the criminal trial. In this matter, the </w:t>
      </w:r>
      <w:r>
        <w:rPr>
          <w:rFonts w:ascii="Arial" w:hAnsi="Arial" w:cs="Arial"/>
          <w:sz w:val="24"/>
          <w:szCs w:val="24"/>
        </w:rPr>
        <w:t>information at the disposal of the prosecutorial team at the time</w:t>
      </w:r>
      <w:r w:rsidRPr="00A928AF">
        <w:rPr>
          <w:rFonts w:ascii="Arial" w:hAnsi="Arial" w:cs="Arial"/>
          <w:sz w:val="24"/>
          <w:szCs w:val="24"/>
        </w:rPr>
        <w:t xml:space="preserve"> consisted of </w:t>
      </w:r>
      <w:r w:rsidR="00633580">
        <w:rPr>
          <w:rFonts w:ascii="Arial" w:hAnsi="Arial" w:cs="Arial"/>
          <w:sz w:val="24"/>
          <w:szCs w:val="24"/>
        </w:rPr>
        <w:t xml:space="preserve">eight to ten </w:t>
      </w:r>
      <w:r>
        <w:rPr>
          <w:rFonts w:ascii="Arial" w:hAnsi="Arial" w:cs="Arial"/>
          <w:sz w:val="24"/>
          <w:szCs w:val="24"/>
        </w:rPr>
        <w:t xml:space="preserve">witness </w:t>
      </w:r>
      <w:r w:rsidRPr="00A928AF">
        <w:rPr>
          <w:rFonts w:ascii="Arial" w:hAnsi="Arial" w:cs="Arial"/>
          <w:sz w:val="24"/>
          <w:szCs w:val="24"/>
        </w:rPr>
        <w:t xml:space="preserve">statements mentioning </w:t>
      </w:r>
      <w:r w:rsidR="002E6F78" w:rsidRPr="006B0510">
        <w:rPr>
          <w:rFonts w:ascii="Arial" w:hAnsi="Arial" w:cs="Arial"/>
          <w:sz w:val="24"/>
          <w:szCs w:val="24"/>
        </w:rPr>
        <w:t>and</w:t>
      </w:r>
      <w:r w:rsidR="006B0510" w:rsidRPr="006B0510">
        <w:rPr>
          <w:rFonts w:ascii="Arial" w:hAnsi="Arial" w:cs="Arial"/>
          <w:sz w:val="24"/>
          <w:szCs w:val="24"/>
        </w:rPr>
        <w:t>/</w:t>
      </w:r>
      <w:r w:rsidRPr="00A928AF">
        <w:rPr>
          <w:rFonts w:ascii="Arial" w:hAnsi="Arial" w:cs="Arial"/>
          <w:sz w:val="24"/>
          <w:szCs w:val="24"/>
        </w:rPr>
        <w:t xml:space="preserve">or implicating </w:t>
      </w:r>
      <w:r>
        <w:rPr>
          <w:rFonts w:ascii="Arial" w:hAnsi="Arial" w:cs="Arial"/>
          <w:sz w:val="24"/>
          <w:szCs w:val="24"/>
        </w:rPr>
        <w:t>Mr Chunga</w:t>
      </w:r>
      <w:r w:rsidRPr="00A928AF">
        <w:rPr>
          <w:rFonts w:ascii="Arial" w:hAnsi="Arial" w:cs="Arial"/>
          <w:sz w:val="24"/>
          <w:szCs w:val="24"/>
        </w:rPr>
        <w:t xml:space="preserve">. When questioned </w:t>
      </w:r>
      <w:r>
        <w:rPr>
          <w:rFonts w:ascii="Arial" w:hAnsi="Arial" w:cs="Arial"/>
          <w:sz w:val="24"/>
          <w:szCs w:val="24"/>
        </w:rPr>
        <w:t>during the trial, Mr</w:t>
      </w:r>
      <w:r w:rsidRPr="00A928AF">
        <w:rPr>
          <w:rFonts w:ascii="Arial" w:hAnsi="Arial" w:cs="Arial"/>
          <w:sz w:val="24"/>
          <w:szCs w:val="24"/>
        </w:rPr>
        <w:t xml:space="preserve"> July testified that </w:t>
      </w:r>
      <w:r>
        <w:rPr>
          <w:rFonts w:ascii="Arial" w:hAnsi="Arial" w:cs="Arial"/>
          <w:sz w:val="24"/>
          <w:szCs w:val="24"/>
        </w:rPr>
        <w:t xml:space="preserve">Mr Chunga </w:t>
      </w:r>
      <w:r w:rsidRPr="00A928AF">
        <w:rPr>
          <w:rFonts w:ascii="Arial" w:hAnsi="Arial" w:cs="Arial"/>
          <w:sz w:val="24"/>
          <w:szCs w:val="24"/>
        </w:rPr>
        <w:t xml:space="preserve">appeared to have </w:t>
      </w:r>
      <w:r>
        <w:rPr>
          <w:rFonts w:ascii="Arial" w:hAnsi="Arial" w:cs="Arial"/>
          <w:sz w:val="24"/>
          <w:szCs w:val="24"/>
        </w:rPr>
        <w:t xml:space="preserve">had </w:t>
      </w:r>
      <w:r w:rsidRPr="00A928AF">
        <w:rPr>
          <w:rFonts w:ascii="Arial" w:hAnsi="Arial" w:cs="Arial"/>
          <w:sz w:val="24"/>
          <w:szCs w:val="24"/>
        </w:rPr>
        <w:t xml:space="preserve">knowledge of the attack in Katima Mulilo, and actively recruited a witness, Mr Mushe Sinvula, to participate.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The statements of Mr Solvent Muinjo Chunga and police officer</w:t>
      </w:r>
      <w:r>
        <w:rPr>
          <w:rFonts w:ascii="Arial" w:hAnsi="Arial" w:cs="Arial"/>
          <w:sz w:val="24"/>
          <w:szCs w:val="24"/>
        </w:rPr>
        <w:t>,</w:t>
      </w:r>
      <w:r w:rsidRPr="00A928AF">
        <w:rPr>
          <w:rFonts w:ascii="Arial" w:hAnsi="Arial" w:cs="Arial"/>
          <w:sz w:val="24"/>
          <w:szCs w:val="24"/>
        </w:rPr>
        <w:t xml:space="preserve"> </w:t>
      </w:r>
      <w:r>
        <w:rPr>
          <w:rFonts w:ascii="Arial" w:hAnsi="Arial" w:cs="Arial"/>
          <w:sz w:val="24"/>
          <w:szCs w:val="24"/>
        </w:rPr>
        <w:t xml:space="preserve">Commissioner </w:t>
      </w:r>
      <w:r w:rsidRPr="00A928AF">
        <w:rPr>
          <w:rFonts w:ascii="Arial" w:hAnsi="Arial" w:cs="Arial"/>
          <w:sz w:val="24"/>
          <w:szCs w:val="24"/>
        </w:rPr>
        <w:t xml:space="preserve">Kalimbula, both implicated </w:t>
      </w:r>
      <w:r>
        <w:rPr>
          <w:rFonts w:ascii="Arial" w:hAnsi="Arial" w:cs="Arial"/>
          <w:sz w:val="24"/>
          <w:szCs w:val="24"/>
        </w:rPr>
        <w:t>Mr Chunga</w:t>
      </w:r>
      <w:r w:rsidRPr="00A928AF">
        <w:rPr>
          <w:rFonts w:ascii="Arial" w:hAnsi="Arial" w:cs="Arial"/>
          <w:sz w:val="24"/>
          <w:szCs w:val="24"/>
        </w:rPr>
        <w:t xml:space="preserve"> in </w:t>
      </w:r>
      <w:r>
        <w:rPr>
          <w:rFonts w:ascii="Arial" w:hAnsi="Arial" w:cs="Arial"/>
          <w:sz w:val="24"/>
          <w:szCs w:val="24"/>
        </w:rPr>
        <w:t xml:space="preserve">being part of a delegation that visited Mr Solvent Muinjo </w:t>
      </w:r>
      <w:r w:rsidRPr="00A928AF">
        <w:rPr>
          <w:rFonts w:ascii="Arial" w:hAnsi="Arial" w:cs="Arial"/>
          <w:sz w:val="24"/>
          <w:szCs w:val="24"/>
        </w:rPr>
        <w:t xml:space="preserve">Chunga </w:t>
      </w:r>
      <w:r>
        <w:rPr>
          <w:rFonts w:ascii="Arial" w:hAnsi="Arial" w:cs="Arial"/>
          <w:sz w:val="24"/>
          <w:szCs w:val="24"/>
        </w:rPr>
        <w:t xml:space="preserve">and assigning him to be the </w:t>
      </w:r>
      <w:r w:rsidRPr="00A928AF">
        <w:rPr>
          <w:rFonts w:ascii="Arial" w:hAnsi="Arial" w:cs="Arial"/>
          <w:sz w:val="24"/>
          <w:szCs w:val="24"/>
        </w:rPr>
        <w:t>second in command for a planned attack</w:t>
      </w:r>
      <w:r>
        <w:rPr>
          <w:rFonts w:ascii="Arial" w:hAnsi="Arial" w:cs="Arial"/>
          <w:sz w:val="24"/>
          <w:szCs w:val="24"/>
        </w:rPr>
        <w:t xml:space="preserve"> at Mpacha Military Base.</w:t>
      </w:r>
      <w:r w:rsidRPr="00A928AF">
        <w:rPr>
          <w:rFonts w:ascii="Arial" w:hAnsi="Arial" w:cs="Arial"/>
          <w:sz w:val="24"/>
          <w:szCs w:val="24"/>
        </w:rPr>
        <w:t xml:space="preserve"> </w:t>
      </w:r>
      <w:r>
        <w:rPr>
          <w:rFonts w:ascii="Arial" w:hAnsi="Arial" w:cs="Arial"/>
          <w:sz w:val="24"/>
          <w:szCs w:val="24"/>
        </w:rPr>
        <w:t xml:space="preserve">Mr Solvent Muinjo Chunga died before he could testify in the criminal trial. </w:t>
      </w:r>
      <w:r w:rsidRPr="00A928AF">
        <w:rPr>
          <w:rFonts w:ascii="Arial" w:hAnsi="Arial" w:cs="Arial"/>
          <w:sz w:val="24"/>
          <w:szCs w:val="24"/>
        </w:rPr>
        <w:t xml:space="preserve">The statements of Mr Robert Sinvula Chizabulyo and </w:t>
      </w:r>
      <w:r>
        <w:rPr>
          <w:rFonts w:ascii="Arial" w:hAnsi="Arial" w:cs="Arial"/>
          <w:sz w:val="24"/>
          <w:szCs w:val="24"/>
        </w:rPr>
        <w:t>Mr Chunga</w:t>
      </w:r>
      <w:r w:rsidRPr="00A928AF">
        <w:rPr>
          <w:rFonts w:ascii="Arial" w:hAnsi="Arial" w:cs="Arial"/>
          <w:sz w:val="24"/>
          <w:szCs w:val="24"/>
        </w:rPr>
        <w:t xml:space="preserve">’s aunt, Helvi Monghenda Buiswalelo, both pointed to </w:t>
      </w:r>
      <w:r>
        <w:rPr>
          <w:rFonts w:ascii="Arial" w:hAnsi="Arial" w:cs="Arial"/>
          <w:sz w:val="24"/>
          <w:szCs w:val="24"/>
        </w:rPr>
        <w:t xml:space="preserve">Mr Chunga </w:t>
      </w:r>
      <w:r w:rsidRPr="00A928AF">
        <w:rPr>
          <w:rFonts w:ascii="Arial" w:hAnsi="Arial" w:cs="Arial"/>
          <w:sz w:val="24"/>
          <w:szCs w:val="24"/>
        </w:rPr>
        <w:t xml:space="preserve">having fled to </w:t>
      </w:r>
      <w:r>
        <w:rPr>
          <w:rFonts w:ascii="Arial" w:hAnsi="Arial" w:cs="Arial"/>
          <w:sz w:val="24"/>
          <w:szCs w:val="24"/>
        </w:rPr>
        <w:t>Zambia after</w:t>
      </w:r>
      <w:r w:rsidRPr="00A928AF">
        <w:rPr>
          <w:rFonts w:ascii="Arial" w:hAnsi="Arial" w:cs="Arial"/>
          <w:sz w:val="24"/>
          <w:szCs w:val="24"/>
        </w:rPr>
        <w:t xml:space="preserve"> the attacks. </w:t>
      </w:r>
      <w:r>
        <w:rPr>
          <w:rFonts w:ascii="Arial" w:hAnsi="Arial" w:cs="Arial"/>
          <w:sz w:val="24"/>
          <w:szCs w:val="24"/>
        </w:rPr>
        <w:t>Although t</w:t>
      </w:r>
      <w:r w:rsidRPr="00A928AF">
        <w:rPr>
          <w:rFonts w:ascii="Arial" w:hAnsi="Arial" w:cs="Arial"/>
          <w:sz w:val="24"/>
          <w:szCs w:val="24"/>
        </w:rPr>
        <w:t xml:space="preserve">hese witnesses did not </w:t>
      </w:r>
      <w:r>
        <w:rPr>
          <w:rFonts w:ascii="Arial" w:hAnsi="Arial" w:cs="Arial"/>
          <w:sz w:val="24"/>
          <w:szCs w:val="24"/>
        </w:rPr>
        <w:t xml:space="preserve">testify </w:t>
      </w:r>
      <w:r w:rsidRPr="00A928AF">
        <w:rPr>
          <w:rFonts w:ascii="Arial" w:hAnsi="Arial" w:cs="Arial"/>
          <w:sz w:val="24"/>
          <w:szCs w:val="24"/>
        </w:rPr>
        <w:t>at the criminal trial</w:t>
      </w:r>
      <w:r>
        <w:rPr>
          <w:rFonts w:ascii="Arial" w:hAnsi="Arial" w:cs="Arial"/>
          <w:sz w:val="24"/>
          <w:szCs w:val="24"/>
        </w:rPr>
        <w:t>, their statements formed part of the materials available to the prosecution</w:t>
      </w:r>
      <w:r w:rsidRPr="00A928AF">
        <w:rPr>
          <w:rFonts w:ascii="Arial" w:hAnsi="Arial" w:cs="Arial"/>
          <w:sz w:val="24"/>
          <w:szCs w:val="24"/>
        </w:rPr>
        <w:t>.</w:t>
      </w:r>
      <w:r>
        <w:rPr>
          <w:rFonts w:ascii="Arial" w:hAnsi="Arial" w:cs="Arial"/>
          <w:sz w:val="24"/>
          <w:szCs w:val="24"/>
        </w:rPr>
        <w:t xml:space="preserve">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the civil trial, Mr Chunga</w:t>
      </w:r>
      <w:r w:rsidRPr="00A928AF">
        <w:rPr>
          <w:rFonts w:ascii="Arial" w:hAnsi="Arial" w:cs="Arial"/>
          <w:sz w:val="24"/>
          <w:szCs w:val="24"/>
        </w:rPr>
        <w:t xml:space="preserve">’s counsel questioned </w:t>
      </w:r>
      <w:r>
        <w:rPr>
          <w:rFonts w:ascii="Arial" w:hAnsi="Arial" w:cs="Arial"/>
          <w:sz w:val="24"/>
          <w:szCs w:val="24"/>
        </w:rPr>
        <w:t xml:space="preserve">Mr </w:t>
      </w:r>
      <w:r w:rsidRPr="00A928AF">
        <w:rPr>
          <w:rFonts w:ascii="Arial" w:hAnsi="Arial" w:cs="Arial"/>
          <w:sz w:val="24"/>
          <w:szCs w:val="24"/>
        </w:rPr>
        <w:t xml:space="preserve">July on when the prosecutorial team became aware of the death of witness </w:t>
      </w:r>
      <w:r w:rsidR="00633580">
        <w:rPr>
          <w:rFonts w:ascii="Arial" w:hAnsi="Arial" w:cs="Arial"/>
          <w:sz w:val="24"/>
          <w:szCs w:val="24"/>
        </w:rPr>
        <w:t xml:space="preserve">Mr </w:t>
      </w:r>
      <w:r>
        <w:rPr>
          <w:rFonts w:ascii="Arial" w:hAnsi="Arial" w:cs="Arial"/>
          <w:sz w:val="24"/>
          <w:szCs w:val="24"/>
        </w:rPr>
        <w:t>Solvent Muinjo Chunga</w:t>
      </w:r>
      <w:r w:rsidRPr="00A928AF">
        <w:rPr>
          <w:rFonts w:ascii="Arial" w:hAnsi="Arial" w:cs="Arial"/>
          <w:sz w:val="24"/>
          <w:szCs w:val="24"/>
        </w:rPr>
        <w:t xml:space="preserve"> as he was crucial to directly identifying and implicating the respondent. </w:t>
      </w:r>
      <w:r>
        <w:rPr>
          <w:rFonts w:ascii="Arial" w:hAnsi="Arial" w:cs="Arial"/>
          <w:sz w:val="24"/>
          <w:szCs w:val="24"/>
        </w:rPr>
        <w:t xml:space="preserve">Mr </w:t>
      </w:r>
      <w:r w:rsidRPr="00A928AF">
        <w:rPr>
          <w:rFonts w:ascii="Arial" w:hAnsi="Arial" w:cs="Arial"/>
          <w:sz w:val="24"/>
          <w:szCs w:val="24"/>
        </w:rPr>
        <w:t xml:space="preserve">July testified that the evidence was assessed </w:t>
      </w:r>
      <w:r>
        <w:rPr>
          <w:rFonts w:ascii="Arial" w:hAnsi="Arial" w:cs="Arial"/>
          <w:sz w:val="24"/>
          <w:szCs w:val="24"/>
        </w:rPr>
        <w:t>‘</w:t>
      </w:r>
      <w:r w:rsidRPr="00A928AF">
        <w:rPr>
          <w:rFonts w:ascii="Arial" w:hAnsi="Arial" w:cs="Arial"/>
          <w:sz w:val="24"/>
          <w:szCs w:val="24"/>
        </w:rPr>
        <w:t>holistically</w:t>
      </w:r>
      <w:r>
        <w:rPr>
          <w:rFonts w:ascii="Arial" w:hAnsi="Arial" w:cs="Arial"/>
          <w:sz w:val="24"/>
          <w:szCs w:val="24"/>
        </w:rPr>
        <w:t>’</w:t>
      </w:r>
      <w:r w:rsidRPr="00A928AF">
        <w:rPr>
          <w:rFonts w:ascii="Arial" w:hAnsi="Arial" w:cs="Arial"/>
          <w:sz w:val="24"/>
          <w:szCs w:val="24"/>
        </w:rPr>
        <w:t xml:space="preserve"> by the PG and her prosecutorial team. As </w:t>
      </w:r>
      <w:r w:rsidRPr="00A928AF">
        <w:rPr>
          <w:rFonts w:ascii="Arial" w:hAnsi="Arial" w:cs="Arial"/>
          <w:sz w:val="24"/>
          <w:szCs w:val="24"/>
        </w:rPr>
        <w:lastRenderedPageBreak/>
        <w:t xml:space="preserve">a result, they did not rely solely or even primarily on </w:t>
      </w:r>
      <w:r w:rsidR="00633580">
        <w:rPr>
          <w:rFonts w:ascii="Arial" w:hAnsi="Arial" w:cs="Arial"/>
          <w:sz w:val="24"/>
          <w:szCs w:val="24"/>
        </w:rPr>
        <w:t xml:space="preserve">Mr </w:t>
      </w:r>
      <w:r>
        <w:rPr>
          <w:rFonts w:ascii="Arial" w:hAnsi="Arial" w:cs="Arial"/>
          <w:sz w:val="24"/>
          <w:szCs w:val="24"/>
        </w:rPr>
        <w:t xml:space="preserve">Solvent Muinjo </w:t>
      </w:r>
      <w:r w:rsidRPr="00A928AF">
        <w:rPr>
          <w:rFonts w:ascii="Arial" w:hAnsi="Arial" w:cs="Arial"/>
          <w:sz w:val="24"/>
          <w:szCs w:val="24"/>
        </w:rPr>
        <w:t xml:space="preserve">Chunga’s </w:t>
      </w:r>
      <w:r>
        <w:rPr>
          <w:rFonts w:ascii="Arial" w:hAnsi="Arial" w:cs="Arial"/>
          <w:sz w:val="24"/>
          <w:szCs w:val="24"/>
        </w:rPr>
        <w:t xml:space="preserve">witness </w:t>
      </w:r>
      <w:r w:rsidRPr="00A928AF">
        <w:rPr>
          <w:rFonts w:ascii="Arial" w:hAnsi="Arial" w:cs="Arial"/>
          <w:sz w:val="24"/>
          <w:szCs w:val="24"/>
        </w:rPr>
        <w:t>statement, and did not need his testimony to have a rea</w:t>
      </w:r>
      <w:r>
        <w:rPr>
          <w:rFonts w:ascii="Arial" w:hAnsi="Arial" w:cs="Arial"/>
          <w:sz w:val="24"/>
          <w:szCs w:val="24"/>
        </w:rPr>
        <w:t>sonable belief in Mr Chunga</w:t>
      </w:r>
      <w:r w:rsidRPr="00A928AF">
        <w:rPr>
          <w:rFonts w:ascii="Arial" w:hAnsi="Arial" w:cs="Arial"/>
          <w:sz w:val="24"/>
          <w:szCs w:val="24"/>
        </w:rPr>
        <w:t xml:space="preserve">’s guilt during </w:t>
      </w:r>
      <w:r>
        <w:rPr>
          <w:rFonts w:ascii="Arial" w:hAnsi="Arial" w:cs="Arial"/>
          <w:sz w:val="24"/>
          <w:szCs w:val="24"/>
        </w:rPr>
        <w:t xml:space="preserve">the </w:t>
      </w:r>
      <w:r w:rsidRPr="00A928AF">
        <w:rPr>
          <w:rFonts w:ascii="Arial" w:hAnsi="Arial" w:cs="Arial"/>
          <w:sz w:val="24"/>
          <w:szCs w:val="24"/>
        </w:rPr>
        <w:t xml:space="preserve">trial. </w:t>
      </w:r>
    </w:p>
    <w:p w:rsidR="001D347A" w:rsidRPr="00A928AF" w:rsidRDefault="001D347A" w:rsidP="00604362">
      <w:pPr>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Based on </w:t>
      </w:r>
      <w:r>
        <w:rPr>
          <w:rFonts w:ascii="Arial" w:hAnsi="Arial" w:cs="Arial"/>
          <w:sz w:val="24"/>
          <w:szCs w:val="24"/>
        </w:rPr>
        <w:t xml:space="preserve">his testimony </w:t>
      </w:r>
      <w:r w:rsidRPr="00A928AF">
        <w:rPr>
          <w:rFonts w:ascii="Arial" w:hAnsi="Arial" w:cs="Arial"/>
          <w:sz w:val="24"/>
          <w:szCs w:val="24"/>
        </w:rPr>
        <w:t xml:space="preserve">that evidence must be assessed holistically, </w:t>
      </w:r>
      <w:r>
        <w:rPr>
          <w:rFonts w:ascii="Arial" w:hAnsi="Arial" w:cs="Arial"/>
          <w:sz w:val="24"/>
          <w:szCs w:val="24"/>
        </w:rPr>
        <w:t>Mr</w:t>
      </w:r>
      <w:r w:rsidRPr="00A928AF">
        <w:rPr>
          <w:rFonts w:ascii="Arial" w:hAnsi="Arial" w:cs="Arial"/>
          <w:sz w:val="24"/>
          <w:szCs w:val="24"/>
        </w:rPr>
        <w:t xml:space="preserve"> July also explained why the prosecution could not have been stopped earlier</w:t>
      </w:r>
      <w:r>
        <w:rPr>
          <w:rFonts w:ascii="Arial" w:hAnsi="Arial" w:cs="Arial"/>
          <w:sz w:val="24"/>
          <w:szCs w:val="24"/>
        </w:rPr>
        <w:t>. A</w:t>
      </w:r>
      <w:r w:rsidRPr="00A928AF">
        <w:rPr>
          <w:rFonts w:ascii="Arial" w:hAnsi="Arial" w:cs="Arial"/>
          <w:sz w:val="24"/>
          <w:szCs w:val="24"/>
        </w:rPr>
        <w:t xml:space="preserve">ccording to him, by 31 January 2008, the PG and her prosecutorial team could not </w:t>
      </w:r>
      <w:r>
        <w:rPr>
          <w:rFonts w:ascii="Arial" w:hAnsi="Arial" w:cs="Arial"/>
          <w:sz w:val="24"/>
          <w:szCs w:val="24"/>
        </w:rPr>
        <w:t xml:space="preserve">have </w:t>
      </w:r>
      <w:r w:rsidRPr="00A928AF">
        <w:rPr>
          <w:rFonts w:ascii="Arial" w:hAnsi="Arial" w:cs="Arial"/>
          <w:sz w:val="24"/>
          <w:szCs w:val="24"/>
        </w:rPr>
        <w:t>know</w:t>
      </w:r>
      <w:r>
        <w:rPr>
          <w:rFonts w:ascii="Arial" w:hAnsi="Arial" w:cs="Arial"/>
          <w:sz w:val="24"/>
          <w:szCs w:val="24"/>
        </w:rPr>
        <w:t>n</w:t>
      </w:r>
      <w:r w:rsidRPr="00A928AF">
        <w:rPr>
          <w:rFonts w:ascii="Arial" w:hAnsi="Arial" w:cs="Arial"/>
          <w:sz w:val="24"/>
          <w:szCs w:val="24"/>
        </w:rPr>
        <w:t xml:space="preserve"> whether all potential witnesses </w:t>
      </w:r>
      <w:r>
        <w:rPr>
          <w:rFonts w:ascii="Arial" w:hAnsi="Arial" w:cs="Arial"/>
          <w:sz w:val="24"/>
          <w:szCs w:val="24"/>
        </w:rPr>
        <w:t>implicating Mr Chunga</w:t>
      </w:r>
      <w:r w:rsidRPr="00A928AF">
        <w:rPr>
          <w:rFonts w:ascii="Arial" w:hAnsi="Arial" w:cs="Arial"/>
          <w:sz w:val="24"/>
          <w:szCs w:val="24"/>
        </w:rPr>
        <w:t xml:space="preserve"> had completed their testimon</w:t>
      </w:r>
      <w:r>
        <w:rPr>
          <w:rFonts w:ascii="Arial" w:hAnsi="Arial" w:cs="Arial"/>
          <w:sz w:val="24"/>
          <w:szCs w:val="24"/>
        </w:rPr>
        <w:t>ies,</w:t>
      </w:r>
      <w:r w:rsidRPr="00A928AF">
        <w:rPr>
          <w:rFonts w:ascii="Arial" w:hAnsi="Arial" w:cs="Arial"/>
          <w:sz w:val="24"/>
          <w:szCs w:val="24"/>
        </w:rPr>
        <w:t xml:space="preserve"> because there was a possibility that the co-accused </w:t>
      </w:r>
      <w:r>
        <w:rPr>
          <w:rFonts w:ascii="Arial" w:hAnsi="Arial" w:cs="Arial"/>
          <w:sz w:val="24"/>
          <w:szCs w:val="24"/>
        </w:rPr>
        <w:t xml:space="preserve">could </w:t>
      </w:r>
      <w:r w:rsidRPr="00A928AF">
        <w:rPr>
          <w:rFonts w:ascii="Arial" w:hAnsi="Arial" w:cs="Arial"/>
          <w:sz w:val="24"/>
          <w:szCs w:val="24"/>
        </w:rPr>
        <w:t xml:space="preserve">implicate </w:t>
      </w:r>
      <w:r>
        <w:rPr>
          <w:rFonts w:ascii="Arial" w:hAnsi="Arial" w:cs="Arial"/>
          <w:sz w:val="24"/>
          <w:szCs w:val="24"/>
        </w:rPr>
        <w:t>him</w:t>
      </w:r>
      <w:r w:rsidRPr="00A928AF">
        <w:rPr>
          <w:rFonts w:ascii="Arial" w:hAnsi="Arial" w:cs="Arial"/>
          <w:sz w:val="24"/>
          <w:szCs w:val="24"/>
        </w:rPr>
        <w:t xml:space="preserve"> during the defence’s case. Therefore, </w:t>
      </w:r>
      <w:r>
        <w:rPr>
          <w:rFonts w:ascii="Arial" w:hAnsi="Arial" w:cs="Arial"/>
          <w:sz w:val="24"/>
          <w:szCs w:val="24"/>
        </w:rPr>
        <w:t xml:space="preserve">it </w:t>
      </w:r>
      <w:r w:rsidRPr="00A928AF">
        <w:rPr>
          <w:rFonts w:ascii="Arial" w:hAnsi="Arial" w:cs="Arial"/>
          <w:sz w:val="24"/>
          <w:szCs w:val="24"/>
        </w:rPr>
        <w:t xml:space="preserve">could not </w:t>
      </w:r>
      <w:r>
        <w:rPr>
          <w:rFonts w:ascii="Arial" w:hAnsi="Arial" w:cs="Arial"/>
          <w:sz w:val="24"/>
          <w:szCs w:val="24"/>
        </w:rPr>
        <w:t xml:space="preserve">be </w:t>
      </w:r>
      <w:r w:rsidRPr="00A928AF">
        <w:rPr>
          <w:rFonts w:ascii="Arial" w:hAnsi="Arial" w:cs="Arial"/>
          <w:sz w:val="24"/>
          <w:szCs w:val="24"/>
        </w:rPr>
        <w:t>conclude</w:t>
      </w:r>
      <w:r>
        <w:rPr>
          <w:rFonts w:ascii="Arial" w:hAnsi="Arial" w:cs="Arial"/>
          <w:sz w:val="24"/>
          <w:szCs w:val="24"/>
        </w:rPr>
        <w:t>d</w:t>
      </w:r>
      <w:r w:rsidRPr="00A928AF">
        <w:rPr>
          <w:rFonts w:ascii="Arial" w:hAnsi="Arial" w:cs="Arial"/>
          <w:sz w:val="24"/>
          <w:szCs w:val="24"/>
        </w:rPr>
        <w:t xml:space="preserve"> that the singular lack of an identification of </w:t>
      </w:r>
      <w:r>
        <w:rPr>
          <w:rFonts w:ascii="Arial" w:hAnsi="Arial" w:cs="Arial"/>
          <w:sz w:val="24"/>
          <w:szCs w:val="24"/>
        </w:rPr>
        <w:t>Mr Chunga</w:t>
      </w:r>
      <w:r w:rsidRPr="00A928AF">
        <w:rPr>
          <w:rFonts w:ascii="Arial" w:hAnsi="Arial" w:cs="Arial"/>
          <w:sz w:val="24"/>
          <w:szCs w:val="24"/>
        </w:rPr>
        <w:t xml:space="preserve"> in court meant that there was no further case against </w:t>
      </w:r>
      <w:r>
        <w:rPr>
          <w:rFonts w:ascii="Arial" w:hAnsi="Arial" w:cs="Arial"/>
          <w:sz w:val="24"/>
          <w:szCs w:val="24"/>
        </w:rPr>
        <w:t>him</w:t>
      </w:r>
      <w:r w:rsidRPr="00A928AF">
        <w:rPr>
          <w:rFonts w:ascii="Arial" w:hAnsi="Arial" w:cs="Arial"/>
          <w:sz w:val="24"/>
          <w:szCs w:val="24"/>
        </w:rPr>
        <w:t xml:space="preserve"> </w:t>
      </w:r>
      <w:r>
        <w:rPr>
          <w:rFonts w:ascii="Arial" w:hAnsi="Arial" w:cs="Arial"/>
          <w:sz w:val="24"/>
          <w:szCs w:val="24"/>
        </w:rPr>
        <w:t xml:space="preserve">by </w:t>
      </w:r>
      <w:r w:rsidRPr="00A928AF">
        <w:rPr>
          <w:rFonts w:ascii="Arial" w:hAnsi="Arial" w:cs="Arial"/>
          <w:sz w:val="24"/>
          <w:szCs w:val="24"/>
        </w:rPr>
        <w:t xml:space="preserve">31 January 2008.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Chunga maintained </w:t>
      </w:r>
      <w:r w:rsidRPr="00A928AF">
        <w:rPr>
          <w:rFonts w:ascii="Arial" w:hAnsi="Arial" w:cs="Arial"/>
          <w:sz w:val="24"/>
          <w:szCs w:val="24"/>
        </w:rPr>
        <w:t>throughout that at least the statement</w:t>
      </w:r>
      <w:r>
        <w:rPr>
          <w:rFonts w:ascii="Arial" w:hAnsi="Arial" w:cs="Arial"/>
          <w:sz w:val="24"/>
          <w:szCs w:val="24"/>
        </w:rPr>
        <w:t xml:space="preserve"> </w:t>
      </w:r>
      <w:r w:rsidRPr="00A928AF">
        <w:rPr>
          <w:rFonts w:ascii="Arial" w:hAnsi="Arial" w:cs="Arial"/>
          <w:sz w:val="24"/>
          <w:szCs w:val="24"/>
        </w:rPr>
        <w:t xml:space="preserve">of Mr Mushe </w:t>
      </w:r>
      <w:r>
        <w:rPr>
          <w:rFonts w:ascii="Arial" w:hAnsi="Arial" w:cs="Arial"/>
          <w:sz w:val="24"/>
          <w:szCs w:val="24"/>
        </w:rPr>
        <w:t xml:space="preserve">Bevin </w:t>
      </w:r>
      <w:r w:rsidRPr="00A928AF">
        <w:rPr>
          <w:rFonts w:ascii="Arial" w:hAnsi="Arial" w:cs="Arial"/>
          <w:sz w:val="24"/>
          <w:szCs w:val="24"/>
        </w:rPr>
        <w:t xml:space="preserve">Sinvula was fabricated. However, the High Court </w:t>
      </w:r>
      <w:r>
        <w:rPr>
          <w:rFonts w:ascii="Arial" w:hAnsi="Arial" w:cs="Arial"/>
          <w:sz w:val="24"/>
          <w:szCs w:val="24"/>
        </w:rPr>
        <w:t xml:space="preserve">accepted </w:t>
      </w:r>
      <w:r w:rsidRPr="00A928AF">
        <w:rPr>
          <w:rFonts w:ascii="Arial" w:hAnsi="Arial" w:cs="Arial"/>
          <w:sz w:val="24"/>
          <w:szCs w:val="24"/>
        </w:rPr>
        <w:t xml:space="preserve">the evidence of </w:t>
      </w:r>
      <w:r>
        <w:rPr>
          <w:rFonts w:ascii="Arial" w:hAnsi="Arial" w:cs="Arial"/>
          <w:sz w:val="24"/>
          <w:szCs w:val="24"/>
        </w:rPr>
        <w:t xml:space="preserve">Mr </w:t>
      </w:r>
      <w:r w:rsidRPr="00A928AF">
        <w:rPr>
          <w:rFonts w:ascii="Arial" w:hAnsi="Arial" w:cs="Arial"/>
          <w:sz w:val="24"/>
          <w:szCs w:val="24"/>
        </w:rPr>
        <w:t xml:space="preserve">July to </w:t>
      </w:r>
      <w:r>
        <w:rPr>
          <w:rFonts w:ascii="Arial" w:hAnsi="Arial" w:cs="Arial"/>
          <w:sz w:val="24"/>
          <w:szCs w:val="24"/>
        </w:rPr>
        <w:t>the effect that the prosecutorial team had no reason to dis</w:t>
      </w:r>
      <w:r w:rsidRPr="00A928AF">
        <w:rPr>
          <w:rFonts w:ascii="Arial" w:hAnsi="Arial" w:cs="Arial"/>
          <w:sz w:val="24"/>
          <w:szCs w:val="24"/>
        </w:rPr>
        <w:t>be</w:t>
      </w:r>
      <w:r>
        <w:rPr>
          <w:rFonts w:ascii="Arial" w:hAnsi="Arial" w:cs="Arial"/>
          <w:sz w:val="24"/>
          <w:szCs w:val="24"/>
        </w:rPr>
        <w:t xml:space="preserve">lieve Sinvula’s statement implicating Mr Chunga. The High Court found in this respect </w:t>
      </w:r>
      <w:r w:rsidRPr="00A928AF">
        <w:rPr>
          <w:rFonts w:ascii="Arial" w:hAnsi="Arial" w:cs="Arial"/>
          <w:sz w:val="24"/>
          <w:szCs w:val="24"/>
        </w:rPr>
        <w:t xml:space="preserve">that there </w:t>
      </w:r>
      <w:r>
        <w:rPr>
          <w:rFonts w:ascii="Arial" w:hAnsi="Arial" w:cs="Arial"/>
          <w:sz w:val="24"/>
          <w:szCs w:val="24"/>
        </w:rPr>
        <w:t>we</w:t>
      </w:r>
      <w:r w:rsidRPr="00A928AF">
        <w:rPr>
          <w:rFonts w:ascii="Arial" w:hAnsi="Arial" w:cs="Arial"/>
          <w:sz w:val="24"/>
          <w:szCs w:val="24"/>
        </w:rPr>
        <w:t xml:space="preserve">re </w:t>
      </w:r>
      <w:r>
        <w:rPr>
          <w:rFonts w:ascii="Arial" w:hAnsi="Arial" w:cs="Arial"/>
          <w:sz w:val="24"/>
          <w:szCs w:val="24"/>
        </w:rPr>
        <w:t>‘</w:t>
      </w:r>
      <w:r w:rsidRPr="00A928AF">
        <w:rPr>
          <w:rFonts w:ascii="Arial" w:hAnsi="Arial" w:cs="Arial"/>
          <w:sz w:val="24"/>
          <w:szCs w:val="24"/>
        </w:rPr>
        <w:t>no sound reasons advanced by the plaintiff as to why the prosecution team had to disbe</w:t>
      </w:r>
      <w:r>
        <w:rPr>
          <w:rFonts w:ascii="Arial" w:hAnsi="Arial" w:cs="Arial"/>
          <w:sz w:val="24"/>
          <w:szCs w:val="24"/>
        </w:rPr>
        <w:t>liev</w:t>
      </w:r>
      <w:r w:rsidRPr="00A928AF">
        <w:rPr>
          <w:rFonts w:ascii="Arial" w:hAnsi="Arial" w:cs="Arial"/>
          <w:sz w:val="24"/>
          <w:szCs w:val="24"/>
        </w:rPr>
        <w:t xml:space="preserve">e the statements under oath at their disposal. </w:t>
      </w:r>
      <w:r w:rsidR="00633580">
        <w:rPr>
          <w:rFonts w:ascii="Arial" w:hAnsi="Arial" w:cs="Arial"/>
          <w:sz w:val="24"/>
          <w:szCs w:val="24"/>
        </w:rPr>
        <w:t>Mr</w:t>
      </w:r>
      <w:r w:rsidRPr="00A928AF">
        <w:rPr>
          <w:rFonts w:ascii="Arial" w:hAnsi="Arial" w:cs="Arial"/>
          <w:sz w:val="24"/>
          <w:szCs w:val="24"/>
        </w:rPr>
        <w:t xml:space="preserve"> July comprehensively </w:t>
      </w:r>
      <w:r>
        <w:rPr>
          <w:rFonts w:ascii="Arial" w:hAnsi="Arial" w:cs="Arial"/>
          <w:sz w:val="24"/>
          <w:szCs w:val="24"/>
        </w:rPr>
        <w:t xml:space="preserve">set </w:t>
      </w:r>
      <w:r w:rsidRPr="00A928AF">
        <w:rPr>
          <w:rFonts w:ascii="Arial" w:hAnsi="Arial" w:cs="Arial"/>
          <w:sz w:val="24"/>
          <w:szCs w:val="24"/>
        </w:rPr>
        <w:t xml:space="preserve">in </w:t>
      </w:r>
      <w:r>
        <w:rPr>
          <w:rFonts w:ascii="Arial" w:hAnsi="Arial" w:cs="Arial"/>
          <w:sz w:val="24"/>
          <w:szCs w:val="24"/>
        </w:rPr>
        <w:t xml:space="preserve">(sic) </w:t>
      </w:r>
      <w:r w:rsidRPr="00A928AF">
        <w:rPr>
          <w:rFonts w:ascii="Arial" w:hAnsi="Arial" w:cs="Arial"/>
          <w:sz w:val="24"/>
          <w:szCs w:val="24"/>
        </w:rPr>
        <w:t>the facts on which the decision by the second defendant was based to prosecute the plaintiff</w:t>
      </w:r>
      <w:r>
        <w:rPr>
          <w:rFonts w:ascii="Arial" w:hAnsi="Arial" w:cs="Arial"/>
          <w:sz w:val="24"/>
          <w:szCs w:val="24"/>
        </w:rPr>
        <w:t>’</w:t>
      </w:r>
      <w:r w:rsidR="00633580">
        <w:rPr>
          <w:rFonts w:ascii="Arial" w:hAnsi="Arial" w:cs="Arial"/>
          <w:sz w:val="24"/>
          <w:szCs w:val="24"/>
        </w:rPr>
        <w:t>.</w:t>
      </w:r>
      <w:r w:rsidRPr="00A928AF">
        <w:rPr>
          <w:rFonts w:ascii="Arial" w:hAnsi="Arial" w:cs="Arial"/>
          <w:sz w:val="24"/>
          <w:szCs w:val="24"/>
        </w:rPr>
        <w:t xml:space="preserve">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The High Court accepted </w:t>
      </w:r>
      <w:r>
        <w:rPr>
          <w:rFonts w:ascii="Arial" w:hAnsi="Arial" w:cs="Arial"/>
          <w:sz w:val="24"/>
          <w:szCs w:val="24"/>
        </w:rPr>
        <w:t xml:space="preserve">Mr </w:t>
      </w:r>
      <w:r w:rsidRPr="00A928AF">
        <w:rPr>
          <w:rFonts w:ascii="Arial" w:hAnsi="Arial" w:cs="Arial"/>
          <w:sz w:val="24"/>
          <w:szCs w:val="24"/>
        </w:rPr>
        <w:t xml:space="preserve">July’s </w:t>
      </w:r>
      <w:r>
        <w:rPr>
          <w:rFonts w:ascii="Arial" w:hAnsi="Arial" w:cs="Arial"/>
          <w:sz w:val="24"/>
          <w:szCs w:val="24"/>
        </w:rPr>
        <w:t>evidence</w:t>
      </w:r>
      <w:r w:rsidRPr="00A928AF">
        <w:rPr>
          <w:rFonts w:ascii="Arial" w:hAnsi="Arial" w:cs="Arial"/>
          <w:sz w:val="24"/>
          <w:szCs w:val="24"/>
        </w:rPr>
        <w:t xml:space="preserve"> that the PG and her prosecutorial team had made out a </w:t>
      </w:r>
      <w:r w:rsidRPr="00A928AF">
        <w:rPr>
          <w:rFonts w:ascii="Arial" w:hAnsi="Arial" w:cs="Arial"/>
          <w:i/>
          <w:iCs/>
          <w:sz w:val="24"/>
          <w:szCs w:val="24"/>
        </w:rPr>
        <w:t xml:space="preserve">prima facie </w:t>
      </w:r>
      <w:r w:rsidRPr="00A928AF">
        <w:rPr>
          <w:rFonts w:ascii="Arial" w:hAnsi="Arial" w:cs="Arial"/>
          <w:sz w:val="24"/>
          <w:szCs w:val="24"/>
        </w:rPr>
        <w:t xml:space="preserve">case against </w:t>
      </w:r>
      <w:r>
        <w:rPr>
          <w:rFonts w:ascii="Arial" w:hAnsi="Arial" w:cs="Arial"/>
          <w:sz w:val="24"/>
          <w:szCs w:val="24"/>
        </w:rPr>
        <w:t>Mr Chunga</w:t>
      </w:r>
      <w:r w:rsidRPr="00A928AF">
        <w:rPr>
          <w:rFonts w:ascii="Arial" w:hAnsi="Arial" w:cs="Arial"/>
          <w:sz w:val="24"/>
          <w:szCs w:val="24"/>
        </w:rPr>
        <w:t xml:space="preserve">. It defined a </w:t>
      </w:r>
      <w:r w:rsidRPr="00A928AF">
        <w:rPr>
          <w:rFonts w:ascii="Arial" w:hAnsi="Arial" w:cs="Arial"/>
          <w:i/>
          <w:iCs/>
          <w:sz w:val="24"/>
          <w:szCs w:val="24"/>
        </w:rPr>
        <w:t xml:space="preserve">prima facie </w:t>
      </w:r>
      <w:r>
        <w:rPr>
          <w:rFonts w:ascii="Arial" w:hAnsi="Arial" w:cs="Arial"/>
          <w:sz w:val="24"/>
          <w:szCs w:val="24"/>
        </w:rPr>
        <w:t xml:space="preserve">case with reference to </w:t>
      </w:r>
      <w:r w:rsidRPr="00C31C99">
        <w:rPr>
          <w:rFonts w:ascii="Arial" w:hAnsi="Arial" w:cs="Arial"/>
          <w:i/>
          <w:sz w:val="24"/>
          <w:szCs w:val="24"/>
        </w:rPr>
        <w:t xml:space="preserve">Freedom Under Law v National Director of Public Prosecutions &amp; </w:t>
      </w:r>
      <w:r w:rsidRPr="00C31C99">
        <w:rPr>
          <w:rFonts w:ascii="Arial" w:hAnsi="Arial" w:cs="Arial"/>
          <w:i/>
          <w:sz w:val="24"/>
          <w:szCs w:val="24"/>
        </w:rPr>
        <w:lastRenderedPageBreak/>
        <w:t>others</w:t>
      </w:r>
      <w:r>
        <w:rPr>
          <w:rStyle w:val="FootnoteReference"/>
          <w:rFonts w:ascii="Arial" w:hAnsi="Arial" w:cs="Arial"/>
          <w:i/>
          <w:sz w:val="24"/>
          <w:szCs w:val="24"/>
        </w:rPr>
        <w:footnoteReference w:id="2"/>
      </w:r>
      <w:r>
        <w:rPr>
          <w:rFonts w:ascii="Arial" w:hAnsi="Arial" w:cs="Arial"/>
          <w:sz w:val="24"/>
          <w:szCs w:val="24"/>
        </w:rPr>
        <w:t xml:space="preserve"> as one where ‘</w:t>
      </w:r>
      <w:r w:rsidRPr="00A928AF">
        <w:rPr>
          <w:rFonts w:ascii="Arial" w:hAnsi="Arial" w:cs="Arial"/>
          <w:sz w:val="24"/>
          <w:szCs w:val="24"/>
        </w:rPr>
        <w:t>the allegations, as supported by statements and where applicable combined with real and documentary evidence available to the prosecution, are of such a nature that if p</w:t>
      </w:r>
      <w:r>
        <w:rPr>
          <w:rFonts w:ascii="Arial" w:hAnsi="Arial" w:cs="Arial"/>
          <w:sz w:val="24"/>
          <w:szCs w:val="24"/>
        </w:rPr>
        <w:t>roved in a court of law by the S</w:t>
      </w:r>
      <w:r w:rsidRPr="00A928AF">
        <w:rPr>
          <w:rFonts w:ascii="Arial" w:hAnsi="Arial" w:cs="Arial"/>
          <w:sz w:val="24"/>
          <w:szCs w:val="24"/>
        </w:rPr>
        <w:t>tate on the basis of admissible evidence</w:t>
      </w:r>
      <w:r>
        <w:rPr>
          <w:rFonts w:ascii="Arial" w:hAnsi="Arial" w:cs="Arial"/>
          <w:sz w:val="24"/>
          <w:szCs w:val="24"/>
        </w:rPr>
        <w:t>,</w:t>
      </w:r>
      <w:r w:rsidRPr="00A928AF">
        <w:rPr>
          <w:rFonts w:ascii="Arial" w:hAnsi="Arial" w:cs="Arial"/>
          <w:sz w:val="24"/>
          <w:szCs w:val="24"/>
        </w:rPr>
        <w:t xml:space="preserve"> the court should convict</w:t>
      </w:r>
      <w:r>
        <w:rPr>
          <w:rFonts w:ascii="Arial" w:hAnsi="Arial" w:cs="Arial"/>
          <w:sz w:val="24"/>
          <w:szCs w:val="24"/>
        </w:rPr>
        <w:t>’</w:t>
      </w:r>
      <w:r w:rsidR="00633580">
        <w:rPr>
          <w:rFonts w:ascii="Arial" w:hAnsi="Arial" w:cs="Arial"/>
          <w:sz w:val="24"/>
          <w:szCs w:val="24"/>
        </w:rPr>
        <w:t>.</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Therefore, the High Court concluded that </w:t>
      </w:r>
      <w:r>
        <w:rPr>
          <w:rFonts w:ascii="Arial" w:hAnsi="Arial" w:cs="Arial"/>
          <w:sz w:val="24"/>
          <w:szCs w:val="24"/>
        </w:rPr>
        <w:t xml:space="preserve">Mr Chunga </w:t>
      </w:r>
      <w:r w:rsidRPr="00A928AF">
        <w:rPr>
          <w:rFonts w:ascii="Arial" w:hAnsi="Arial" w:cs="Arial"/>
          <w:sz w:val="24"/>
          <w:szCs w:val="24"/>
        </w:rPr>
        <w:t xml:space="preserve">had not proved a lack of reasonable and probable cause on the part of the PG or her prosecutorial team in initiating the prosecution. Regarding malice, the High Court also found that </w:t>
      </w:r>
      <w:r>
        <w:rPr>
          <w:rFonts w:ascii="Arial" w:hAnsi="Arial" w:cs="Arial"/>
          <w:sz w:val="24"/>
          <w:szCs w:val="24"/>
        </w:rPr>
        <w:t xml:space="preserve">Mr Chunga </w:t>
      </w:r>
      <w:r w:rsidRPr="00A928AF">
        <w:rPr>
          <w:rFonts w:ascii="Arial" w:hAnsi="Arial" w:cs="Arial"/>
          <w:sz w:val="24"/>
          <w:szCs w:val="24"/>
        </w:rPr>
        <w:t xml:space="preserve">had failed to prove the relevant legal standard of </w:t>
      </w:r>
      <w:r w:rsidRPr="00A928AF">
        <w:rPr>
          <w:rFonts w:ascii="Arial" w:hAnsi="Arial" w:cs="Arial"/>
          <w:i/>
          <w:sz w:val="24"/>
          <w:szCs w:val="24"/>
        </w:rPr>
        <w:t>animus in</w:t>
      </w:r>
      <w:r w:rsidR="006B0510">
        <w:rPr>
          <w:rFonts w:ascii="Arial" w:hAnsi="Arial" w:cs="Arial"/>
          <w:i/>
          <w:sz w:val="24"/>
          <w:szCs w:val="24"/>
        </w:rPr>
        <w:t>i</w:t>
      </w:r>
      <w:r w:rsidRPr="00A928AF">
        <w:rPr>
          <w:rFonts w:ascii="Arial" w:hAnsi="Arial" w:cs="Arial"/>
          <w:i/>
          <w:sz w:val="24"/>
          <w:szCs w:val="24"/>
        </w:rPr>
        <w:t>uriandi</w:t>
      </w:r>
      <w:r>
        <w:rPr>
          <w:rFonts w:ascii="Arial" w:hAnsi="Arial" w:cs="Arial"/>
          <w:sz w:val="24"/>
          <w:szCs w:val="24"/>
        </w:rPr>
        <w:t>.</w:t>
      </w:r>
      <w:r w:rsidRPr="00A928AF">
        <w:rPr>
          <w:rFonts w:ascii="Arial" w:hAnsi="Arial" w:cs="Arial"/>
          <w:sz w:val="24"/>
          <w:szCs w:val="24"/>
        </w:rPr>
        <w:t xml:space="preserve"> </w:t>
      </w:r>
    </w:p>
    <w:p w:rsidR="001D347A" w:rsidRPr="00A928AF" w:rsidRDefault="001D347A" w:rsidP="00604362">
      <w:pPr>
        <w:pStyle w:val="ListParagraph"/>
        <w:spacing w:after="0" w:line="480" w:lineRule="auto"/>
        <w:rPr>
          <w:rFonts w:ascii="Arial" w:hAnsi="Arial" w:cs="Arial"/>
          <w:sz w:val="24"/>
          <w:szCs w:val="24"/>
        </w:rPr>
      </w:pPr>
    </w:p>
    <w:p w:rsidR="001D347A" w:rsidRPr="00C31C99" w:rsidRDefault="001D347A" w:rsidP="00604362">
      <w:pPr>
        <w:pStyle w:val="NoSpacing"/>
        <w:numPr>
          <w:ilvl w:val="0"/>
          <w:numId w:val="1"/>
        </w:numPr>
        <w:spacing w:line="480" w:lineRule="auto"/>
        <w:ind w:left="0" w:firstLine="0"/>
        <w:jc w:val="both"/>
        <w:rPr>
          <w:rFonts w:ascii="Arial" w:hAnsi="Arial" w:cs="Arial"/>
          <w:sz w:val="24"/>
          <w:szCs w:val="24"/>
        </w:rPr>
      </w:pPr>
      <w:r w:rsidRPr="00C31C99">
        <w:rPr>
          <w:rFonts w:ascii="Arial" w:hAnsi="Arial" w:cs="Arial"/>
          <w:sz w:val="24"/>
          <w:szCs w:val="24"/>
        </w:rPr>
        <w:t>On the alternative claim, the High Court asked itself whether liability could be assigned to the prosecutor if ‘during the course of the criminal prosecution it becomes clear that there is no probable cause to continue such prosecution’</w:t>
      </w:r>
      <w:r w:rsidR="00633580">
        <w:rPr>
          <w:rFonts w:ascii="Arial" w:hAnsi="Arial" w:cs="Arial"/>
          <w:sz w:val="24"/>
          <w:szCs w:val="24"/>
        </w:rPr>
        <w:t>.</w:t>
      </w:r>
      <w:r w:rsidRPr="00C31C99">
        <w:rPr>
          <w:rFonts w:ascii="Arial" w:hAnsi="Arial" w:cs="Arial"/>
          <w:sz w:val="24"/>
          <w:szCs w:val="24"/>
        </w:rPr>
        <w:t xml:space="preserve"> The court referenced the finding in the first </w:t>
      </w:r>
      <w:r w:rsidRPr="00C31C99">
        <w:rPr>
          <w:rFonts w:ascii="Arial" w:hAnsi="Arial" w:cs="Arial"/>
          <w:i/>
          <w:iCs/>
          <w:sz w:val="24"/>
          <w:szCs w:val="24"/>
        </w:rPr>
        <w:t>Mahupelo</w:t>
      </w:r>
      <w:r w:rsidRPr="00C31C99">
        <w:rPr>
          <w:rFonts w:ascii="Arial" w:hAnsi="Arial" w:cs="Arial"/>
          <w:sz w:val="24"/>
          <w:szCs w:val="24"/>
        </w:rPr>
        <w:t xml:space="preserve"> that the same standard for reasonable and probable cause set out </w:t>
      </w:r>
      <w:r>
        <w:rPr>
          <w:rFonts w:ascii="Arial" w:hAnsi="Arial" w:cs="Arial"/>
          <w:sz w:val="24"/>
          <w:szCs w:val="24"/>
        </w:rPr>
        <w:t xml:space="preserve">in </w:t>
      </w:r>
      <w:r w:rsidRPr="00C31C99">
        <w:rPr>
          <w:rFonts w:ascii="Arial" w:hAnsi="Arial" w:cs="Arial"/>
          <w:i/>
          <w:sz w:val="24"/>
          <w:szCs w:val="24"/>
        </w:rPr>
        <w:t>Akuake v Jansen van Rensburg</w:t>
      </w:r>
      <w:r>
        <w:rPr>
          <w:rStyle w:val="FootnoteReference"/>
          <w:rFonts w:ascii="Arial" w:hAnsi="Arial" w:cs="Arial"/>
          <w:i/>
          <w:sz w:val="24"/>
          <w:szCs w:val="24"/>
        </w:rPr>
        <w:footnoteReference w:id="3"/>
      </w:r>
      <w:r w:rsidRPr="00C31C99">
        <w:rPr>
          <w:rFonts w:ascii="Arial" w:hAnsi="Arial" w:cs="Arial"/>
          <w:sz w:val="24"/>
          <w:szCs w:val="24"/>
        </w:rPr>
        <w:t xml:space="preserve"> applie</w:t>
      </w:r>
      <w:r w:rsidR="006B0510">
        <w:rPr>
          <w:rFonts w:ascii="Arial" w:hAnsi="Arial" w:cs="Arial"/>
          <w:sz w:val="24"/>
          <w:szCs w:val="24"/>
        </w:rPr>
        <w:t>d</w:t>
      </w:r>
      <w:r w:rsidRPr="00C31C99">
        <w:rPr>
          <w:rFonts w:ascii="Arial" w:hAnsi="Arial" w:cs="Arial"/>
          <w:sz w:val="24"/>
          <w:szCs w:val="24"/>
        </w:rPr>
        <w:t xml:space="preserve"> in both initiation and continuation of a prosecution</w:t>
      </w:r>
      <w:r>
        <w:rPr>
          <w:rFonts w:ascii="Arial" w:hAnsi="Arial" w:cs="Arial"/>
          <w:sz w:val="24"/>
          <w:szCs w:val="24"/>
        </w:rPr>
        <w:t>.</w:t>
      </w:r>
    </w:p>
    <w:p w:rsidR="001D347A" w:rsidRDefault="001D347A" w:rsidP="00604362">
      <w:pPr>
        <w:pStyle w:val="NoSpacing"/>
        <w:spacing w:line="480" w:lineRule="auto"/>
        <w:ind w:left="360"/>
        <w:jc w:val="both"/>
        <w:rPr>
          <w:rFonts w:ascii="Arial" w:hAnsi="Arial" w:cs="Arial"/>
          <w:sz w:val="24"/>
          <w:szCs w:val="24"/>
        </w:rPr>
      </w:pPr>
    </w:p>
    <w:p w:rsidR="001D347A" w:rsidRPr="00156F0F" w:rsidRDefault="001D347A" w:rsidP="00675D54">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On the facts, the High Court found that Mr Mushe </w:t>
      </w:r>
      <w:r>
        <w:rPr>
          <w:rFonts w:ascii="Arial" w:hAnsi="Arial" w:cs="Arial"/>
          <w:sz w:val="24"/>
          <w:szCs w:val="24"/>
        </w:rPr>
        <w:t xml:space="preserve">Bevin </w:t>
      </w:r>
      <w:r w:rsidRPr="00A928AF">
        <w:rPr>
          <w:rFonts w:ascii="Arial" w:hAnsi="Arial" w:cs="Arial"/>
          <w:sz w:val="24"/>
          <w:szCs w:val="24"/>
        </w:rPr>
        <w:t xml:space="preserve">Sinvula – a crucial witness – failed to identify </w:t>
      </w:r>
      <w:r>
        <w:rPr>
          <w:rFonts w:ascii="Arial" w:hAnsi="Arial" w:cs="Arial"/>
          <w:sz w:val="24"/>
          <w:szCs w:val="24"/>
        </w:rPr>
        <w:t>Mr Chunga</w:t>
      </w:r>
      <w:r w:rsidRPr="00A928AF">
        <w:rPr>
          <w:rFonts w:ascii="Arial" w:hAnsi="Arial" w:cs="Arial"/>
          <w:sz w:val="24"/>
          <w:szCs w:val="24"/>
        </w:rPr>
        <w:t xml:space="preserve"> by 31 January 2008. Further, it held that there was </w:t>
      </w:r>
      <w:r>
        <w:rPr>
          <w:rFonts w:ascii="Arial" w:hAnsi="Arial" w:cs="Arial"/>
          <w:sz w:val="24"/>
          <w:szCs w:val="24"/>
        </w:rPr>
        <w:t>‘</w:t>
      </w:r>
      <w:r w:rsidRPr="00A928AF">
        <w:rPr>
          <w:rFonts w:ascii="Arial" w:hAnsi="Arial" w:cs="Arial"/>
          <w:sz w:val="24"/>
          <w:szCs w:val="24"/>
        </w:rPr>
        <w:t>no inculpating evidence presented against the plaintiff during the criminal trial</w:t>
      </w:r>
      <w:r>
        <w:rPr>
          <w:rFonts w:ascii="Arial" w:hAnsi="Arial" w:cs="Arial"/>
          <w:sz w:val="24"/>
          <w:szCs w:val="24"/>
        </w:rPr>
        <w:t>’</w:t>
      </w:r>
      <w:r w:rsidRPr="00A928AF">
        <w:rPr>
          <w:rFonts w:ascii="Arial" w:hAnsi="Arial" w:cs="Arial"/>
          <w:sz w:val="24"/>
          <w:szCs w:val="24"/>
        </w:rPr>
        <w:t xml:space="preserve"> and that the statements of </w:t>
      </w:r>
      <w:r>
        <w:rPr>
          <w:rFonts w:ascii="Arial" w:hAnsi="Arial" w:cs="Arial"/>
          <w:sz w:val="24"/>
          <w:szCs w:val="24"/>
        </w:rPr>
        <w:t xml:space="preserve">Mr Chunga’s wife, </w:t>
      </w:r>
      <w:r w:rsidRPr="00A928AF">
        <w:rPr>
          <w:rFonts w:ascii="Arial" w:hAnsi="Arial" w:cs="Arial"/>
          <w:sz w:val="24"/>
          <w:szCs w:val="24"/>
        </w:rPr>
        <w:t xml:space="preserve">Ms </w:t>
      </w:r>
      <w:r>
        <w:rPr>
          <w:rFonts w:ascii="Arial" w:hAnsi="Arial" w:cs="Arial"/>
          <w:sz w:val="24"/>
          <w:szCs w:val="24"/>
        </w:rPr>
        <w:t xml:space="preserve">Bukandu </w:t>
      </w:r>
      <w:r w:rsidRPr="00A928AF">
        <w:rPr>
          <w:rFonts w:ascii="Arial" w:hAnsi="Arial" w:cs="Arial"/>
          <w:sz w:val="24"/>
          <w:szCs w:val="24"/>
        </w:rPr>
        <w:t>Sundano</w:t>
      </w:r>
      <w:r>
        <w:rPr>
          <w:rFonts w:ascii="Arial" w:hAnsi="Arial" w:cs="Arial"/>
          <w:sz w:val="24"/>
          <w:szCs w:val="24"/>
        </w:rPr>
        <w:t>,</w:t>
      </w:r>
      <w:r w:rsidRPr="00A928AF">
        <w:rPr>
          <w:rFonts w:ascii="Arial" w:hAnsi="Arial" w:cs="Arial"/>
          <w:sz w:val="24"/>
          <w:szCs w:val="24"/>
        </w:rPr>
        <w:t xml:space="preserve"> </w:t>
      </w:r>
      <w:r>
        <w:rPr>
          <w:rFonts w:ascii="Arial" w:hAnsi="Arial" w:cs="Arial"/>
          <w:sz w:val="24"/>
          <w:szCs w:val="24"/>
        </w:rPr>
        <w:t>Ms Helvi Monghenda Buiswalelo and Mr Aldrin Moya Siezi</w:t>
      </w:r>
      <w:r w:rsidRPr="00A928AF">
        <w:rPr>
          <w:rFonts w:ascii="Arial" w:hAnsi="Arial" w:cs="Arial"/>
          <w:sz w:val="24"/>
          <w:szCs w:val="24"/>
        </w:rPr>
        <w:t xml:space="preserve">ze – all of which were in possession of the </w:t>
      </w:r>
      <w:r w:rsidRPr="00A928AF">
        <w:rPr>
          <w:rFonts w:ascii="Arial" w:hAnsi="Arial" w:cs="Arial"/>
          <w:sz w:val="24"/>
          <w:szCs w:val="24"/>
        </w:rPr>
        <w:lastRenderedPageBreak/>
        <w:t xml:space="preserve">prosecutorial team – did not implicate </w:t>
      </w:r>
      <w:r>
        <w:rPr>
          <w:rFonts w:ascii="Arial" w:hAnsi="Arial" w:cs="Arial"/>
          <w:sz w:val="24"/>
          <w:szCs w:val="24"/>
        </w:rPr>
        <w:t>Mr Chunga</w:t>
      </w:r>
      <w:r w:rsidRPr="00A928AF">
        <w:rPr>
          <w:rFonts w:ascii="Arial" w:hAnsi="Arial" w:cs="Arial"/>
          <w:sz w:val="24"/>
          <w:szCs w:val="24"/>
        </w:rPr>
        <w:t xml:space="preserve">. Further, the court found that the lack of witnesses who actually gave oral testimony </w:t>
      </w:r>
      <w:r>
        <w:rPr>
          <w:rFonts w:ascii="Arial" w:hAnsi="Arial" w:cs="Arial"/>
          <w:sz w:val="24"/>
          <w:szCs w:val="24"/>
        </w:rPr>
        <w:t xml:space="preserve">implicating Mr Chunga </w:t>
      </w:r>
      <w:r w:rsidRPr="00A928AF">
        <w:rPr>
          <w:rFonts w:ascii="Arial" w:hAnsi="Arial" w:cs="Arial"/>
          <w:sz w:val="24"/>
          <w:szCs w:val="24"/>
        </w:rPr>
        <w:t xml:space="preserve">was fatal to the prosecution’s case. Therefore, the court </w:t>
      </w:r>
      <w:r w:rsidRPr="009B6697">
        <w:rPr>
          <w:rFonts w:ascii="Arial" w:hAnsi="Arial" w:cs="Arial"/>
          <w:i/>
          <w:sz w:val="24"/>
          <w:szCs w:val="24"/>
        </w:rPr>
        <w:t>a quo</w:t>
      </w:r>
      <w:r w:rsidRPr="00A928AF">
        <w:rPr>
          <w:rFonts w:ascii="Arial" w:hAnsi="Arial" w:cs="Arial"/>
          <w:sz w:val="24"/>
          <w:szCs w:val="24"/>
        </w:rPr>
        <w:t xml:space="preserve"> upheld </w:t>
      </w:r>
      <w:r>
        <w:rPr>
          <w:rFonts w:ascii="Arial" w:hAnsi="Arial" w:cs="Arial"/>
          <w:sz w:val="24"/>
          <w:szCs w:val="24"/>
        </w:rPr>
        <w:t>Mr Chunga</w:t>
      </w:r>
      <w:r w:rsidRPr="00A928AF">
        <w:rPr>
          <w:rFonts w:ascii="Arial" w:hAnsi="Arial" w:cs="Arial"/>
          <w:sz w:val="24"/>
          <w:szCs w:val="24"/>
        </w:rPr>
        <w:t xml:space="preserve">’s alternative claim for malicious prosecution. </w:t>
      </w:r>
    </w:p>
    <w:p w:rsidR="001D347A" w:rsidRPr="00A928AF" w:rsidRDefault="001D347A" w:rsidP="00675D54">
      <w:pPr>
        <w:spacing w:after="0" w:line="480" w:lineRule="auto"/>
        <w:rPr>
          <w:rFonts w:ascii="Arial" w:hAnsi="Arial" w:cs="Arial"/>
          <w:sz w:val="24"/>
          <w:szCs w:val="24"/>
          <w:u w:val="single"/>
        </w:rPr>
      </w:pPr>
    </w:p>
    <w:p w:rsidR="001D347A" w:rsidRPr="00A928AF" w:rsidRDefault="001D347A" w:rsidP="00675D54">
      <w:pPr>
        <w:spacing w:after="0" w:line="480" w:lineRule="auto"/>
        <w:rPr>
          <w:rFonts w:ascii="Arial" w:hAnsi="Arial" w:cs="Arial"/>
          <w:sz w:val="24"/>
          <w:szCs w:val="24"/>
          <w:u w:val="single"/>
        </w:rPr>
      </w:pPr>
      <w:r w:rsidRPr="00A928AF">
        <w:rPr>
          <w:rFonts w:ascii="Arial" w:hAnsi="Arial" w:cs="Arial"/>
          <w:sz w:val="24"/>
          <w:szCs w:val="24"/>
          <w:u w:val="single"/>
        </w:rPr>
        <w:t>Arguments on appeal</w:t>
      </w:r>
    </w:p>
    <w:p w:rsidR="001D347A" w:rsidRPr="00A928AF" w:rsidRDefault="001D347A" w:rsidP="00675D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the Minister, the PG and the government </w:t>
      </w:r>
      <w:r w:rsidRPr="00A928AF">
        <w:rPr>
          <w:rFonts w:ascii="Arial" w:hAnsi="Arial" w:cs="Arial"/>
          <w:sz w:val="24"/>
          <w:szCs w:val="24"/>
        </w:rPr>
        <w:t xml:space="preserve">referred </w:t>
      </w:r>
      <w:r>
        <w:rPr>
          <w:rFonts w:ascii="Arial" w:hAnsi="Arial" w:cs="Arial"/>
          <w:sz w:val="24"/>
          <w:szCs w:val="24"/>
        </w:rPr>
        <w:t>us</w:t>
      </w:r>
      <w:r w:rsidRPr="00A928AF">
        <w:rPr>
          <w:rFonts w:ascii="Arial" w:hAnsi="Arial" w:cs="Arial"/>
          <w:sz w:val="24"/>
          <w:szCs w:val="24"/>
        </w:rPr>
        <w:t xml:space="preserve"> to</w:t>
      </w:r>
      <w:r>
        <w:rPr>
          <w:rFonts w:ascii="Arial" w:hAnsi="Arial" w:cs="Arial"/>
          <w:sz w:val="24"/>
          <w:szCs w:val="24"/>
        </w:rPr>
        <w:t xml:space="preserve"> the evidence of Mr</w:t>
      </w:r>
      <w:r w:rsidRPr="00A928AF">
        <w:rPr>
          <w:rFonts w:ascii="Arial" w:hAnsi="Arial" w:cs="Arial"/>
          <w:sz w:val="24"/>
          <w:szCs w:val="24"/>
        </w:rPr>
        <w:t xml:space="preserve"> July</w:t>
      </w:r>
      <w:r>
        <w:rPr>
          <w:rFonts w:ascii="Arial" w:hAnsi="Arial" w:cs="Arial"/>
          <w:sz w:val="24"/>
          <w:szCs w:val="24"/>
        </w:rPr>
        <w:t xml:space="preserve"> where he said the prosecution relied, amongst others, </w:t>
      </w:r>
      <w:r w:rsidRPr="00A928AF">
        <w:rPr>
          <w:rFonts w:ascii="Arial" w:hAnsi="Arial" w:cs="Arial"/>
          <w:sz w:val="24"/>
          <w:szCs w:val="24"/>
        </w:rPr>
        <w:t>on the doctrine of common purpose</w:t>
      </w:r>
      <w:r>
        <w:rPr>
          <w:rFonts w:ascii="Arial" w:hAnsi="Arial" w:cs="Arial"/>
          <w:sz w:val="24"/>
          <w:szCs w:val="24"/>
        </w:rPr>
        <w:t xml:space="preserve"> and that </w:t>
      </w:r>
      <w:r w:rsidRPr="00A928AF">
        <w:rPr>
          <w:rFonts w:ascii="Arial" w:hAnsi="Arial" w:cs="Arial"/>
          <w:sz w:val="24"/>
          <w:szCs w:val="24"/>
        </w:rPr>
        <w:t xml:space="preserve">the prosecutorial team had at its disposal several witness statements implicating </w:t>
      </w:r>
      <w:r>
        <w:rPr>
          <w:rFonts w:ascii="Arial" w:hAnsi="Arial" w:cs="Arial"/>
          <w:sz w:val="24"/>
          <w:szCs w:val="24"/>
        </w:rPr>
        <w:t>Mr Chunga</w:t>
      </w:r>
      <w:r w:rsidRPr="00A928AF">
        <w:rPr>
          <w:rFonts w:ascii="Arial" w:hAnsi="Arial" w:cs="Arial"/>
          <w:sz w:val="24"/>
          <w:szCs w:val="24"/>
        </w:rPr>
        <w:t xml:space="preserve">. </w:t>
      </w:r>
      <w:r>
        <w:rPr>
          <w:rFonts w:ascii="Arial" w:hAnsi="Arial" w:cs="Arial"/>
          <w:sz w:val="24"/>
          <w:szCs w:val="24"/>
        </w:rPr>
        <w:t>Mr J</w:t>
      </w:r>
      <w:r w:rsidRPr="00A928AF">
        <w:rPr>
          <w:rFonts w:ascii="Arial" w:hAnsi="Arial" w:cs="Arial"/>
          <w:sz w:val="24"/>
          <w:szCs w:val="24"/>
        </w:rPr>
        <w:t xml:space="preserve">uly testified that the statements at their disposal led the prosecutorial team to honestly and reasonably believe that </w:t>
      </w:r>
      <w:r>
        <w:rPr>
          <w:rFonts w:ascii="Arial" w:hAnsi="Arial" w:cs="Arial"/>
          <w:sz w:val="24"/>
          <w:szCs w:val="24"/>
        </w:rPr>
        <w:t>Mr Chunga</w:t>
      </w:r>
      <w:r w:rsidRPr="00A928AF">
        <w:rPr>
          <w:rFonts w:ascii="Arial" w:hAnsi="Arial" w:cs="Arial"/>
          <w:sz w:val="24"/>
          <w:szCs w:val="24"/>
        </w:rPr>
        <w:t xml:space="preserve"> possessed and executed a common desire with other members </w:t>
      </w:r>
      <w:r>
        <w:rPr>
          <w:rFonts w:ascii="Arial" w:hAnsi="Arial" w:cs="Arial"/>
          <w:sz w:val="24"/>
          <w:szCs w:val="24"/>
        </w:rPr>
        <w:t xml:space="preserve">or supporters </w:t>
      </w:r>
      <w:r w:rsidRPr="00A928AF">
        <w:rPr>
          <w:rFonts w:ascii="Arial" w:hAnsi="Arial" w:cs="Arial"/>
          <w:sz w:val="24"/>
          <w:szCs w:val="24"/>
        </w:rPr>
        <w:t>of the CLA</w:t>
      </w:r>
      <w:r>
        <w:rPr>
          <w:rFonts w:ascii="Arial" w:hAnsi="Arial" w:cs="Arial"/>
          <w:sz w:val="24"/>
          <w:szCs w:val="24"/>
        </w:rPr>
        <w:t xml:space="preserve"> to commit crimes</w:t>
      </w:r>
      <w:r w:rsidRPr="00A928AF">
        <w:rPr>
          <w:rFonts w:ascii="Arial" w:hAnsi="Arial" w:cs="Arial"/>
          <w:sz w:val="24"/>
          <w:szCs w:val="24"/>
        </w:rPr>
        <w:t xml:space="preserve">.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Mr Chunga, on the other hand, argued that </w:t>
      </w:r>
      <w:r w:rsidRPr="00A928AF">
        <w:rPr>
          <w:rFonts w:ascii="Arial" w:hAnsi="Arial" w:cs="Arial"/>
          <w:sz w:val="24"/>
          <w:szCs w:val="24"/>
        </w:rPr>
        <w:t>the evidence before the prosecutorial team did not meet the standard for common purpose</w:t>
      </w:r>
      <w:r>
        <w:rPr>
          <w:rFonts w:ascii="Arial" w:hAnsi="Arial" w:cs="Arial"/>
          <w:sz w:val="24"/>
          <w:szCs w:val="24"/>
        </w:rPr>
        <w:t>,</w:t>
      </w:r>
      <w:r w:rsidRPr="00A928AF">
        <w:rPr>
          <w:rFonts w:ascii="Arial" w:hAnsi="Arial" w:cs="Arial"/>
          <w:sz w:val="24"/>
          <w:szCs w:val="24"/>
        </w:rPr>
        <w:t xml:space="preserve"> because the criminal law definition of </w:t>
      </w:r>
      <w:r>
        <w:rPr>
          <w:rFonts w:ascii="Arial" w:hAnsi="Arial" w:cs="Arial"/>
          <w:sz w:val="24"/>
          <w:szCs w:val="24"/>
        </w:rPr>
        <w:t>‘</w:t>
      </w:r>
      <w:r w:rsidRPr="00A928AF">
        <w:rPr>
          <w:rFonts w:ascii="Arial" w:hAnsi="Arial" w:cs="Arial"/>
          <w:sz w:val="24"/>
          <w:szCs w:val="24"/>
        </w:rPr>
        <w:t>common purpose</w:t>
      </w:r>
      <w:r>
        <w:rPr>
          <w:rFonts w:ascii="Arial" w:hAnsi="Arial" w:cs="Arial"/>
          <w:sz w:val="24"/>
          <w:szCs w:val="24"/>
        </w:rPr>
        <w:t>’</w:t>
      </w:r>
      <w:r w:rsidRPr="00A928AF">
        <w:rPr>
          <w:rFonts w:ascii="Arial" w:hAnsi="Arial" w:cs="Arial"/>
          <w:sz w:val="24"/>
          <w:szCs w:val="24"/>
        </w:rPr>
        <w:t xml:space="preserve"> requires active association on the part of </w:t>
      </w:r>
      <w:r>
        <w:rPr>
          <w:rFonts w:ascii="Arial" w:hAnsi="Arial" w:cs="Arial"/>
          <w:sz w:val="24"/>
          <w:szCs w:val="24"/>
        </w:rPr>
        <w:t>the co-perpetrators.</w:t>
      </w:r>
      <w:r w:rsidRPr="00A928AF">
        <w:rPr>
          <w:rFonts w:ascii="Arial" w:hAnsi="Arial" w:cs="Arial"/>
          <w:sz w:val="24"/>
          <w:szCs w:val="24"/>
        </w:rPr>
        <w:t xml:space="preserve"> </w:t>
      </w:r>
      <w:r>
        <w:rPr>
          <w:rFonts w:ascii="Arial" w:hAnsi="Arial" w:cs="Arial"/>
          <w:sz w:val="24"/>
          <w:szCs w:val="24"/>
        </w:rPr>
        <w:t>As</w:t>
      </w:r>
      <w:r w:rsidRPr="00A928AF">
        <w:rPr>
          <w:rFonts w:ascii="Arial" w:hAnsi="Arial" w:cs="Arial"/>
          <w:sz w:val="24"/>
          <w:szCs w:val="24"/>
        </w:rPr>
        <w:t xml:space="preserve"> the only witnesses who testified against </w:t>
      </w:r>
      <w:r>
        <w:rPr>
          <w:rFonts w:ascii="Arial" w:hAnsi="Arial" w:cs="Arial"/>
          <w:sz w:val="24"/>
          <w:szCs w:val="24"/>
        </w:rPr>
        <w:t xml:space="preserve">Mr Chunga </w:t>
      </w:r>
      <w:r w:rsidRPr="00A928AF">
        <w:rPr>
          <w:rFonts w:ascii="Arial" w:hAnsi="Arial" w:cs="Arial"/>
          <w:sz w:val="24"/>
          <w:szCs w:val="24"/>
        </w:rPr>
        <w:t xml:space="preserve">did not place him in active association </w:t>
      </w:r>
      <w:r>
        <w:rPr>
          <w:rFonts w:ascii="Arial" w:hAnsi="Arial" w:cs="Arial"/>
          <w:sz w:val="24"/>
          <w:szCs w:val="24"/>
        </w:rPr>
        <w:t>with</w:t>
      </w:r>
      <w:r w:rsidRPr="00A928AF">
        <w:rPr>
          <w:rFonts w:ascii="Arial" w:hAnsi="Arial" w:cs="Arial"/>
          <w:sz w:val="24"/>
          <w:szCs w:val="24"/>
        </w:rPr>
        <w:t xml:space="preserve"> the attacks in Katima Mulilo</w:t>
      </w:r>
      <w:r>
        <w:rPr>
          <w:rFonts w:ascii="Arial" w:hAnsi="Arial" w:cs="Arial"/>
          <w:sz w:val="24"/>
          <w:szCs w:val="24"/>
        </w:rPr>
        <w:t>, he co</w:t>
      </w:r>
      <w:r w:rsidR="003E2D26">
        <w:rPr>
          <w:rFonts w:ascii="Arial" w:hAnsi="Arial" w:cs="Arial"/>
          <w:sz w:val="24"/>
          <w:szCs w:val="24"/>
        </w:rPr>
        <w:t>uld no</w:t>
      </w:r>
      <w:r>
        <w:rPr>
          <w:rFonts w:ascii="Arial" w:hAnsi="Arial" w:cs="Arial"/>
          <w:sz w:val="24"/>
          <w:szCs w:val="24"/>
        </w:rPr>
        <w:t>t therefore be said to have acted in common purpose</w:t>
      </w:r>
      <w:r w:rsidRPr="00A928AF">
        <w:rPr>
          <w:rFonts w:ascii="Arial" w:hAnsi="Arial" w:cs="Arial"/>
          <w:sz w:val="24"/>
          <w:szCs w:val="24"/>
        </w:rPr>
        <w:t xml:space="preserve">.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633580"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w:t>
      </w:r>
      <w:r w:rsidR="001D347A">
        <w:rPr>
          <w:rFonts w:ascii="Arial" w:hAnsi="Arial" w:cs="Arial"/>
          <w:sz w:val="24"/>
          <w:szCs w:val="24"/>
        </w:rPr>
        <w:t xml:space="preserve">for Mr Chunga </w:t>
      </w:r>
      <w:r w:rsidR="001D347A" w:rsidRPr="00A928AF">
        <w:rPr>
          <w:rFonts w:ascii="Arial" w:hAnsi="Arial" w:cs="Arial"/>
          <w:sz w:val="24"/>
          <w:szCs w:val="24"/>
        </w:rPr>
        <w:t xml:space="preserve">acknowledged that the court </w:t>
      </w:r>
      <w:r w:rsidR="001D347A" w:rsidRPr="005F471C">
        <w:rPr>
          <w:rFonts w:ascii="Arial" w:hAnsi="Arial" w:cs="Arial"/>
          <w:i/>
          <w:sz w:val="24"/>
          <w:szCs w:val="24"/>
        </w:rPr>
        <w:t>a quo</w:t>
      </w:r>
      <w:r w:rsidR="001D347A" w:rsidRPr="00A928AF">
        <w:rPr>
          <w:rFonts w:ascii="Arial" w:hAnsi="Arial" w:cs="Arial"/>
          <w:sz w:val="24"/>
          <w:szCs w:val="24"/>
        </w:rPr>
        <w:t xml:space="preserve"> relied on the judgment of Christiaan AJ in </w:t>
      </w:r>
      <w:r w:rsidR="001D347A">
        <w:rPr>
          <w:rFonts w:ascii="Arial" w:hAnsi="Arial" w:cs="Arial"/>
          <w:sz w:val="24"/>
          <w:szCs w:val="24"/>
        </w:rPr>
        <w:t xml:space="preserve">the first </w:t>
      </w:r>
      <w:r w:rsidR="001D347A" w:rsidRPr="00A928AF">
        <w:rPr>
          <w:rFonts w:ascii="Arial" w:hAnsi="Arial" w:cs="Arial"/>
          <w:i/>
          <w:sz w:val="24"/>
          <w:szCs w:val="24"/>
        </w:rPr>
        <w:t>Mahupelo</w:t>
      </w:r>
      <w:r w:rsidR="001D347A" w:rsidRPr="00A928AF">
        <w:rPr>
          <w:rFonts w:ascii="Arial" w:hAnsi="Arial" w:cs="Arial"/>
          <w:sz w:val="24"/>
          <w:szCs w:val="24"/>
        </w:rPr>
        <w:t xml:space="preserve">, which </w:t>
      </w:r>
      <w:r w:rsidR="001D347A">
        <w:rPr>
          <w:rFonts w:ascii="Arial" w:hAnsi="Arial" w:cs="Arial"/>
          <w:sz w:val="24"/>
          <w:szCs w:val="24"/>
        </w:rPr>
        <w:t>judgment has since been reversed on appeal</w:t>
      </w:r>
      <w:r w:rsidR="001D347A" w:rsidRPr="00A928AF">
        <w:rPr>
          <w:rFonts w:ascii="Arial" w:hAnsi="Arial" w:cs="Arial"/>
          <w:sz w:val="24"/>
          <w:szCs w:val="24"/>
        </w:rPr>
        <w:t xml:space="preserve">. However, </w:t>
      </w:r>
      <w:r w:rsidR="001D347A">
        <w:rPr>
          <w:rFonts w:ascii="Arial" w:hAnsi="Arial" w:cs="Arial"/>
          <w:sz w:val="24"/>
          <w:szCs w:val="24"/>
        </w:rPr>
        <w:t xml:space="preserve">counsel argued </w:t>
      </w:r>
      <w:r w:rsidR="001D347A" w:rsidRPr="00A928AF">
        <w:rPr>
          <w:rFonts w:ascii="Arial" w:hAnsi="Arial" w:cs="Arial"/>
          <w:sz w:val="24"/>
          <w:szCs w:val="24"/>
        </w:rPr>
        <w:t xml:space="preserve">that </w:t>
      </w:r>
      <w:r w:rsidR="001D347A">
        <w:rPr>
          <w:rFonts w:ascii="Arial" w:hAnsi="Arial" w:cs="Arial"/>
          <w:sz w:val="24"/>
          <w:szCs w:val="24"/>
        </w:rPr>
        <w:t xml:space="preserve">the reversal of the first </w:t>
      </w:r>
      <w:r w:rsidR="001D347A" w:rsidRPr="005F471C">
        <w:rPr>
          <w:rFonts w:ascii="Arial" w:hAnsi="Arial" w:cs="Arial"/>
          <w:i/>
          <w:sz w:val="24"/>
          <w:szCs w:val="24"/>
        </w:rPr>
        <w:t>Mahupelo</w:t>
      </w:r>
      <w:r w:rsidR="001D347A">
        <w:rPr>
          <w:rFonts w:ascii="Arial" w:hAnsi="Arial" w:cs="Arial"/>
          <w:sz w:val="24"/>
          <w:szCs w:val="24"/>
        </w:rPr>
        <w:t xml:space="preserve"> </w:t>
      </w:r>
      <w:r w:rsidR="001D347A" w:rsidRPr="00A928AF">
        <w:rPr>
          <w:rFonts w:ascii="Arial" w:hAnsi="Arial" w:cs="Arial"/>
          <w:sz w:val="24"/>
          <w:szCs w:val="24"/>
        </w:rPr>
        <w:lastRenderedPageBreak/>
        <w:t xml:space="preserve">could not be </w:t>
      </w:r>
      <w:r w:rsidR="001D347A">
        <w:rPr>
          <w:rFonts w:ascii="Arial" w:hAnsi="Arial" w:cs="Arial"/>
          <w:sz w:val="24"/>
          <w:szCs w:val="24"/>
        </w:rPr>
        <w:t xml:space="preserve">a </w:t>
      </w:r>
      <w:r w:rsidR="001D347A" w:rsidRPr="00A928AF">
        <w:rPr>
          <w:rFonts w:ascii="Arial" w:hAnsi="Arial" w:cs="Arial"/>
          <w:sz w:val="24"/>
          <w:szCs w:val="24"/>
        </w:rPr>
        <w:t>ground</w:t>
      </w:r>
      <w:r w:rsidR="001D347A">
        <w:rPr>
          <w:rFonts w:ascii="Arial" w:hAnsi="Arial" w:cs="Arial"/>
          <w:sz w:val="24"/>
          <w:szCs w:val="24"/>
        </w:rPr>
        <w:t xml:space="preserve"> for reversing the H</w:t>
      </w:r>
      <w:r w:rsidR="001D347A" w:rsidRPr="00A928AF">
        <w:rPr>
          <w:rFonts w:ascii="Arial" w:hAnsi="Arial" w:cs="Arial"/>
          <w:sz w:val="24"/>
          <w:szCs w:val="24"/>
        </w:rPr>
        <w:t xml:space="preserve">igh </w:t>
      </w:r>
      <w:r w:rsidR="001D347A">
        <w:rPr>
          <w:rFonts w:ascii="Arial" w:hAnsi="Arial" w:cs="Arial"/>
          <w:sz w:val="24"/>
          <w:szCs w:val="24"/>
        </w:rPr>
        <w:t>C</w:t>
      </w:r>
      <w:r w:rsidR="001D347A" w:rsidRPr="00A928AF">
        <w:rPr>
          <w:rFonts w:ascii="Arial" w:hAnsi="Arial" w:cs="Arial"/>
          <w:sz w:val="24"/>
          <w:szCs w:val="24"/>
        </w:rPr>
        <w:t xml:space="preserve">ourt’s decision </w:t>
      </w:r>
      <w:r w:rsidR="001D347A">
        <w:rPr>
          <w:rFonts w:ascii="Arial" w:hAnsi="Arial" w:cs="Arial"/>
          <w:sz w:val="24"/>
          <w:szCs w:val="24"/>
        </w:rPr>
        <w:t xml:space="preserve">in this matter </w:t>
      </w:r>
      <w:r w:rsidR="001D347A" w:rsidRPr="00A928AF">
        <w:rPr>
          <w:rFonts w:ascii="Arial" w:hAnsi="Arial" w:cs="Arial"/>
          <w:sz w:val="24"/>
          <w:szCs w:val="24"/>
        </w:rPr>
        <w:t xml:space="preserve">on the alternative claim for malicious continuation of the prosecution.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Mr Chunga’s principal submission was that </w:t>
      </w:r>
      <w:r w:rsidRPr="00A928AF">
        <w:rPr>
          <w:rFonts w:ascii="Arial" w:hAnsi="Arial" w:cs="Arial"/>
          <w:sz w:val="24"/>
          <w:szCs w:val="24"/>
        </w:rPr>
        <w:t xml:space="preserve">the PG and her prosecutorial team, including </w:t>
      </w:r>
      <w:r>
        <w:rPr>
          <w:rFonts w:ascii="Arial" w:hAnsi="Arial" w:cs="Arial"/>
          <w:sz w:val="24"/>
          <w:szCs w:val="24"/>
        </w:rPr>
        <w:t xml:space="preserve">Mr </w:t>
      </w:r>
      <w:r w:rsidRPr="00A928AF">
        <w:rPr>
          <w:rFonts w:ascii="Arial" w:hAnsi="Arial" w:cs="Arial"/>
          <w:sz w:val="24"/>
          <w:szCs w:val="24"/>
        </w:rPr>
        <w:t xml:space="preserve">July, lacked reasonable and probable cause and an honest belief in </w:t>
      </w:r>
      <w:r>
        <w:rPr>
          <w:rFonts w:ascii="Arial" w:hAnsi="Arial" w:cs="Arial"/>
          <w:sz w:val="24"/>
          <w:szCs w:val="24"/>
        </w:rPr>
        <w:t>Mr Chunga’s</w:t>
      </w:r>
      <w:r w:rsidRPr="00A928AF">
        <w:rPr>
          <w:rFonts w:ascii="Arial" w:hAnsi="Arial" w:cs="Arial"/>
          <w:sz w:val="24"/>
          <w:szCs w:val="24"/>
        </w:rPr>
        <w:t xml:space="preserve"> guilt. </w:t>
      </w:r>
      <w:r>
        <w:rPr>
          <w:rFonts w:ascii="Arial" w:hAnsi="Arial" w:cs="Arial"/>
          <w:sz w:val="24"/>
          <w:szCs w:val="24"/>
        </w:rPr>
        <w:t xml:space="preserve">Counsel </w:t>
      </w:r>
      <w:r w:rsidRPr="00A928AF">
        <w:rPr>
          <w:rFonts w:ascii="Arial" w:hAnsi="Arial" w:cs="Arial"/>
          <w:sz w:val="24"/>
          <w:szCs w:val="24"/>
        </w:rPr>
        <w:t>relie</w:t>
      </w:r>
      <w:r>
        <w:rPr>
          <w:rFonts w:ascii="Arial" w:hAnsi="Arial" w:cs="Arial"/>
          <w:sz w:val="24"/>
          <w:szCs w:val="24"/>
        </w:rPr>
        <w:t>d</w:t>
      </w:r>
      <w:r w:rsidRPr="00A928AF">
        <w:rPr>
          <w:rFonts w:ascii="Arial" w:hAnsi="Arial" w:cs="Arial"/>
          <w:sz w:val="24"/>
          <w:szCs w:val="24"/>
        </w:rPr>
        <w:t xml:space="preserve"> on the fact that after the prosecutorial team </w:t>
      </w:r>
      <w:r>
        <w:rPr>
          <w:rFonts w:ascii="Arial" w:hAnsi="Arial" w:cs="Arial"/>
          <w:sz w:val="24"/>
          <w:szCs w:val="24"/>
        </w:rPr>
        <w:t xml:space="preserve">had </w:t>
      </w:r>
      <w:r w:rsidRPr="00A928AF">
        <w:rPr>
          <w:rFonts w:ascii="Arial" w:hAnsi="Arial" w:cs="Arial"/>
          <w:sz w:val="24"/>
          <w:szCs w:val="24"/>
        </w:rPr>
        <w:t xml:space="preserve">assessed the witnesses’ testimonies in November 2010, it ordered the police to further investigate </w:t>
      </w:r>
      <w:r>
        <w:rPr>
          <w:rFonts w:ascii="Arial" w:hAnsi="Arial" w:cs="Arial"/>
          <w:sz w:val="24"/>
          <w:szCs w:val="24"/>
        </w:rPr>
        <w:t xml:space="preserve">certain </w:t>
      </w:r>
      <w:r w:rsidRPr="00A928AF">
        <w:rPr>
          <w:rFonts w:ascii="Arial" w:hAnsi="Arial" w:cs="Arial"/>
          <w:sz w:val="24"/>
          <w:szCs w:val="24"/>
        </w:rPr>
        <w:t xml:space="preserve">accused </w:t>
      </w:r>
      <w:r>
        <w:rPr>
          <w:rFonts w:ascii="Arial" w:hAnsi="Arial" w:cs="Arial"/>
          <w:sz w:val="24"/>
          <w:szCs w:val="24"/>
        </w:rPr>
        <w:t xml:space="preserve">persons </w:t>
      </w:r>
      <w:r w:rsidRPr="00A928AF">
        <w:rPr>
          <w:rFonts w:ascii="Arial" w:hAnsi="Arial" w:cs="Arial"/>
          <w:sz w:val="24"/>
          <w:szCs w:val="24"/>
        </w:rPr>
        <w:t xml:space="preserve">and no evidence was found against </w:t>
      </w:r>
      <w:r>
        <w:rPr>
          <w:rFonts w:ascii="Arial" w:hAnsi="Arial" w:cs="Arial"/>
          <w:sz w:val="24"/>
          <w:szCs w:val="24"/>
        </w:rPr>
        <w:t>Mr Chunga</w:t>
      </w:r>
      <w:r w:rsidRPr="00A928AF">
        <w:rPr>
          <w:rFonts w:ascii="Arial" w:hAnsi="Arial" w:cs="Arial"/>
          <w:sz w:val="24"/>
          <w:szCs w:val="24"/>
        </w:rPr>
        <w:t xml:space="preserve">. Therefore, </w:t>
      </w:r>
      <w:r>
        <w:rPr>
          <w:rFonts w:ascii="Arial" w:hAnsi="Arial" w:cs="Arial"/>
          <w:sz w:val="24"/>
          <w:szCs w:val="24"/>
        </w:rPr>
        <w:t xml:space="preserve">so counsel </w:t>
      </w:r>
      <w:r w:rsidRPr="00A928AF">
        <w:rPr>
          <w:rFonts w:ascii="Arial" w:hAnsi="Arial" w:cs="Arial"/>
          <w:sz w:val="24"/>
          <w:szCs w:val="24"/>
        </w:rPr>
        <w:t>argue</w:t>
      </w:r>
      <w:r>
        <w:rPr>
          <w:rFonts w:ascii="Arial" w:hAnsi="Arial" w:cs="Arial"/>
          <w:sz w:val="24"/>
          <w:szCs w:val="24"/>
        </w:rPr>
        <w:t>d</w:t>
      </w:r>
      <w:r w:rsidRPr="00A928AF">
        <w:rPr>
          <w:rFonts w:ascii="Arial" w:hAnsi="Arial" w:cs="Arial"/>
          <w:sz w:val="24"/>
          <w:szCs w:val="24"/>
        </w:rPr>
        <w:t xml:space="preserve">, there was no evidence to </w:t>
      </w:r>
      <w:r>
        <w:rPr>
          <w:rFonts w:ascii="Arial" w:hAnsi="Arial" w:cs="Arial"/>
          <w:sz w:val="24"/>
          <w:szCs w:val="24"/>
        </w:rPr>
        <w:t xml:space="preserve">have </w:t>
      </w:r>
      <w:r w:rsidRPr="00A928AF">
        <w:rPr>
          <w:rFonts w:ascii="Arial" w:hAnsi="Arial" w:cs="Arial"/>
          <w:sz w:val="24"/>
          <w:szCs w:val="24"/>
        </w:rPr>
        <w:t>continue</w:t>
      </w:r>
      <w:r>
        <w:rPr>
          <w:rFonts w:ascii="Arial" w:hAnsi="Arial" w:cs="Arial"/>
          <w:sz w:val="24"/>
          <w:szCs w:val="24"/>
        </w:rPr>
        <w:t>d</w:t>
      </w:r>
      <w:r w:rsidRPr="00A928AF">
        <w:rPr>
          <w:rFonts w:ascii="Arial" w:hAnsi="Arial" w:cs="Arial"/>
          <w:sz w:val="24"/>
          <w:szCs w:val="24"/>
        </w:rPr>
        <w:t xml:space="preserve"> prosecuting him. </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Mr Chunga </w:t>
      </w:r>
      <w:r w:rsidRPr="00A928AF">
        <w:rPr>
          <w:rFonts w:ascii="Arial" w:hAnsi="Arial" w:cs="Arial"/>
          <w:sz w:val="24"/>
          <w:szCs w:val="24"/>
        </w:rPr>
        <w:t xml:space="preserve">also focused on the fact that the </w:t>
      </w:r>
      <w:r>
        <w:rPr>
          <w:rFonts w:ascii="Arial" w:hAnsi="Arial" w:cs="Arial"/>
          <w:sz w:val="24"/>
          <w:szCs w:val="24"/>
        </w:rPr>
        <w:t xml:space="preserve">PG </w:t>
      </w:r>
      <w:r w:rsidRPr="00A928AF">
        <w:rPr>
          <w:rFonts w:ascii="Arial" w:hAnsi="Arial" w:cs="Arial"/>
          <w:sz w:val="24"/>
          <w:szCs w:val="24"/>
        </w:rPr>
        <w:t>oppose</w:t>
      </w:r>
      <w:r>
        <w:rPr>
          <w:rFonts w:ascii="Arial" w:hAnsi="Arial" w:cs="Arial"/>
          <w:sz w:val="24"/>
          <w:szCs w:val="24"/>
        </w:rPr>
        <w:t>d</w:t>
      </w:r>
      <w:r w:rsidRPr="00A928AF">
        <w:rPr>
          <w:rFonts w:ascii="Arial" w:hAnsi="Arial" w:cs="Arial"/>
          <w:sz w:val="24"/>
          <w:szCs w:val="24"/>
        </w:rPr>
        <w:t xml:space="preserve"> </w:t>
      </w:r>
      <w:r>
        <w:rPr>
          <w:rFonts w:ascii="Arial" w:hAnsi="Arial" w:cs="Arial"/>
          <w:sz w:val="24"/>
          <w:szCs w:val="24"/>
        </w:rPr>
        <w:t>Mr Chunga</w:t>
      </w:r>
      <w:r w:rsidRPr="00A928AF">
        <w:rPr>
          <w:rFonts w:ascii="Arial" w:hAnsi="Arial" w:cs="Arial"/>
          <w:sz w:val="24"/>
          <w:szCs w:val="24"/>
        </w:rPr>
        <w:t xml:space="preserve">’s </w:t>
      </w:r>
      <w:r>
        <w:rPr>
          <w:rFonts w:ascii="Arial" w:hAnsi="Arial" w:cs="Arial"/>
          <w:sz w:val="24"/>
          <w:szCs w:val="24"/>
        </w:rPr>
        <w:t xml:space="preserve">application in terms of </w:t>
      </w:r>
      <w:r w:rsidRPr="00A928AF">
        <w:rPr>
          <w:rFonts w:ascii="Arial" w:hAnsi="Arial" w:cs="Arial"/>
          <w:sz w:val="24"/>
          <w:szCs w:val="24"/>
        </w:rPr>
        <w:t xml:space="preserve">s 174 </w:t>
      </w:r>
      <w:r>
        <w:rPr>
          <w:rFonts w:ascii="Arial" w:hAnsi="Arial" w:cs="Arial"/>
          <w:sz w:val="24"/>
          <w:szCs w:val="24"/>
        </w:rPr>
        <w:t xml:space="preserve">of Criminal Procedure Act </w:t>
      </w:r>
      <w:r w:rsidRPr="00A928AF">
        <w:rPr>
          <w:rFonts w:ascii="Arial" w:hAnsi="Arial" w:cs="Arial"/>
          <w:sz w:val="24"/>
          <w:szCs w:val="24"/>
        </w:rPr>
        <w:t xml:space="preserve">for </w:t>
      </w:r>
      <w:r>
        <w:rPr>
          <w:rFonts w:ascii="Arial" w:hAnsi="Arial" w:cs="Arial"/>
          <w:sz w:val="24"/>
          <w:szCs w:val="24"/>
        </w:rPr>
        <w:t xml:space="preserve">a </w:t>
      </w:r>
      <w:r w:rsidRPr="00A928AF">
        <w:rPr>
          <w:rFonts w:ascii="Arial" w:hAnsi="Arial" w:cs="Arial"/>
          <w:sz w:val="24"/>
          <w:szCs w:val="24"/>
        </w:rPr>
        <w:t xml:space="preserve">discharge at the conclusion of the </w:t>
      </w:r>
      <w:r>
        <w:rPr>
          <w:rFonts w:ascii="Arial" w:hAnsi="Arial" w:cs="Arial"/>
          <w:sz w:val="24"/>
          <w:szCs w:val="24"/>
        </w:rPr>
        <w:t>S</w:t>
      </w:r>
      <w:r w:rsidRPr="00A928AF">
        <w:rPr>
          <w:rFonts w:ascii="Arial" w:hAnsi="Arial" w:cs="Arial"/>
          <w:sz w:val="24"/>
          <w:szCs w:val="24"/>
        </w:rPr>
        <w:t xml:space="preserve">tate’s case. This, </w:t>
      </w:r>
      <w:r>
        <w:rPr>
          <w:rFonts w:ascii="Arial" w:hAnsi="Arial" w:cs="Arial"/>
          <w:sz w:val="24"/>
          <w:szCs w:val="24"/>
        </w:rPr>
        <w:t>so counsel contended</w:t>
      </w:r>
      <w:r w:rsidRPr="00A928AF">
        <w:rPr>
          <w:rFonts w:ascii="Arial" w:hAnsi="Arial" w:cs="Arial"/>
          <w:sz w:val="24"/>
          <w:szCs w:val="24"/>
        </w:rPr>
        <w:t xml:space="preserve">, </w:t>
      </w:r>
      <w:r>
        <w:rPr>
          <w:rFonts w:ascii="Arial" w:hAnsi="Arial" w:cs="Arial"/>
          <w:sz w:val="24"/>
          <w:szCs w:val="24"/>
        </w:rPr>
        <w:t>wa</w:t>
      </w:r>
      <w:r w:rsidRPr="00A928AF">
        <w:rPr>
          <w:rFonts w:ascii="Arial" w:hAnsi="Arial" w:cs="Arial"/>
          <w:sz w:val="24"/>
          <w:szCs w:val="24"/>
        </w:rPr>
        <w:t>s evidence of malice.</w:t>
      </w:r>
    </w:p>
    <w:p w:rsidR="001D347A" w:rsidRPr="00A928AF" w:rsidRDefault="001D347A" w:rsidP="00604362">
      <w:pPr>
        <w:pStyle w:val="ListParagraph"/>
        <w:spacing w:after="0" w:line="480" w:lineRule="auto"/>
        <w:rPr>
          <w:rFonts w:ascii="Arial" w:hAnsi="Arial" w:cs="Arial"/>
          <w:sz w:val="24"/>
          <w:szCs w:val="24"/>
          <w:highlight w:val="yellow"/>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 for the Minister, the PG and the government argued</w:t>
      </w:r>
      <w:r w:rsidRPr="00A928AF">
        <w:rPr>
          <w:rFonts w:ascii="Arial" w:hAnsi="Arial" w:cs="Arial"/>
          <w:sz w:val="24"/>
          <w:szCs w:val="24"/>
        </w:rPr>
        <w:t xml:space="preserve"> that the prosecution could not have been stopped as of 31 January 2008, at the conclusion of the </w:t>
      </w:r>
      <w:r>
        <w:rPr>
          <w:rFonts w:ascii="Arial" w:hAnsi="Arial" w:cs="Arial"/>
          <w:sz w:val="24"/>
          <w:szCs w:val="24"/>
        </w:rPr>
        <w:t>S</w:t>
      </w:r>
      <w:r w:rsidRPr="00A928AF">
        <w:rPr>
          <w:rFonts w:ascii="Arial" w:hAnsi="Arial" w:cs="Arial"/>
          <w:sz w:val="24"/>
          <w:szCs w:val="24"/>
        </w:rPr>
        <w:t xml:space="preserve">tate’s case, because it was possible for defence witnesses to implicate </w:t>
      </w:r>
      <w:r>
        <w:rPr>
          <w:rFonts w:ascii="Arial" w:hAnsi="Arial" w:cs="Arial"/>
          <w:sz w:val="24"/>
          <w:szCs w:val="24"/>
        </w:rPr>
        <w:t>Mr Chunga</w:t>
      </w:r>
      <w:r w:rsidRPr="00A928AF">
        <w:rPr>
          <w:rFonts w:ascii="Arial" w:hAnsi="Arial" w:cs="Arial"/>
          <w:sz w:val="24"/>
          <w:szCs w:val="24"/>
        </w:rPr>
        <w:t>. Given the unique nature of the trial, where 12</w:t>
      </w:r>
      <w:r>
        <w:rPr>
          <w:rFonts w:ascii="Arial" w:hAnsi="Arial" w:cs="Arial"/>
          <w:sz w:val="24"/>
          <w:szCs w:val="24"/>
        </w:rPr>
        <w:t>6</w:t>
      </w:r>
      <w:r w:rsidRPr="00A928AF">
        <w:rPr>
          <w:rFonts w:ascii="Arial" w:hAnsi="Arial" w:cs="Arial"/>
          <w:sz w:val="24"/>
          <w:szCs w:val="24"/>
        </w:rPr>
        <w:t xml:space="preserve"> accused persons were tried together, it was not unreasonable to believe that other co-accused </w:t>
      </w:r>
      <w:r>
        <w:rPr>
          <w:rFonts w:ascii="Arial" w:hAnsi="Arial" w:cs="Arial"/>
          <w:sz w:val="24"/>
          <w:szCs w:val="24"/>
        </w:rPr>
        <w:t xml:space="preserve">could implicate Mr Chunga </w:t>
      </w:r>
      <w:r w:rsidRPr="00A928AF">
        <w:rPr>
          <w:rFonts w:ascii="Arial" w:hAnsi="Arial" w:cs="Arial"/>
          <w:sz w:val="24"/>
          <w:szCs w:val="24"/>
        </w:rPr>
        <w:t>in th</w:t>
      </w:r>
      <w:r>
        <w:rPr>
          <w:rFonts w:ascii="Arial" w:hAnsi="Arial" w:cs="Arial"/>
          <w:sz w:val="24"/>
          <w:szCs w:val="24"/>
        </w:rPr>
        <w:t>e</w:t>
      </w:r>
      <w:r w:rsidRPr="00A928AF">
        <w:rPr>
          <w:rFonts w:ascii="Arial" w:hAnsi="Arial" w:cs="Arial"/>
          <w:sz w:val="24"/>
          <w:szCs w:val="24"/>
        </w:rPr>
        <w:t xml:space="preserve"> interconnected plot.</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Mr Chunga countered that </w:t>
      </w:r>
      <w:r w:rsidRPr="00A928AF">
        <w:rPr>
          <w:rFonts w:ascii="Arial" w:hAnsi="Arial" w:cs="Arial"/>
          <w:sz w:val="24"/>
          <w:szCs w:val="24"/>
        </w:rPr>
        <w:t xml:space="preserve">this belief was unreasonable in light of the </w:t>
      </w:r>
      <w:r>
        <w:rPr>
          <w:rFonts w:ascii="Arial" w:hAnsi="Arial" w:cs="Arial"/>
          <w:sz w:val="24"/>
          <w:szCs w:val="24"/>
        </w:rPr>
        <w:t>consideration</w:t>
      </w:r>
      <w:r w:rsidRPr="00A928AF">
        <w:rPr>
          <w:rFonts w:ascii="Arial" w:hAnsi="Arial" w:cs="Arial"/>
          <w:sz w:val="24"/>
          <w:szCs w:val="24"/>
        </w:rPr>
        <w:t xml:space="preserve"> that the only two witnesses who could implicate </w:t>
      </w:r>
      <w:r>
        <w:rPr>
          <w:rFonts w:ascii="Arial" w:hAnsi="Arial" w:cs="Arial"/>
          <w:sz w:val="24"/>
          <w:szCs w:val="24"/>
        </w:rPr>
        <w:t xml:space="preserve">Mr Chunga </w:t>
      </w:r>
      <w:r w:rsidRPr="00A928AF">
        <w:rPr>
          <w:rFonts w:ascii="Arial" w:hAnsi="Arial" w:cs="Arial"/>
          <w:sz w:val="24"/>
          <w:szCs w:val="24"/>
        </w:rPr>
        <w:t xml:space="preserve">under </w:t>
      </w:r>
      <w:r>
        <w:rPr>
          <w:rFonts w:ascii="Arial" w:hAnsi="Arial" w:cs="Arial"/>
          <w:sz w:val="24"/>
          <w:szCs w:val="24"/>
        </w:rPr>
        <w:t xml:space="preserve">the </w:t>
      </w:r>
      <w:r>
        <w:rPr>
          <w:rFonts w:ascii="Arial" w:hAnsi="Arial" w:cs="Arial"/>
          <w:sz w:val="24"/>
          <w:szCs w:val="24"/>
        </w:rPr>
        <w:lastRenderedPageBreak/>
        <w:t xml:space="preserve">doctrine </w:t>
      </w:r>
      <w:r w:rsidRPr="00A928AF">
        <w:rPr>
          <w:rFonts w:ascii="Arial" w:hAnsi="Arial" w:cs="Arial"/>
          <w:sz w:val="24"/>
          <w:szCs w:val="24"/>
        </w:rPr>
        <w:t xml:space="preserve">of common purpose – Mr </w:t>
      </w:r>
      <w:r>
        <w:rPr>
          <w:rFonts w:ascii="Arial" w:hAnsi="Arial" w:cs="Arial"/>
          <w:sz w:val="24"/>
          <w:szCs w:val="24"/>
        </w:rPr>
        <w:t xml:space="preserve">Dunbar </w:t>
      </w:r>
      <w:r w:rsidRPr="00A928AF">
        <w:rPr>
          <w:rFonts w:ascii="Arial" w:hAnsi="Arial" w:cs="Arial"/>
          <w:sz w:val="24"/>
          <w:szCs w:val="24"/>
        </w:rPr>
        <w:t xml:space="preserve">Mushwena and Mr Kabo Devil who both participated in the attack – were not co-accused. Further, </w:t>
      </w:r>
      <w:r>
        <w:rPr>
          <w:rFonts w:ascii="Arial" w:hAnsi="Arial" w:cs="Arial"/>
          <w:sz w:val="24"/>
          <w:szCs w:val="24"/>
        </w:rPr>
        <w:t xml:space="preserve">counsel for Mr Chunga submitted </w:t>
      </w:r>
      <w:r w:rsidRPr="00A928AF">
        <w:rPr>
          <w:rFonts w:ascii="Arial" w:hAnsi="Arial" w:cs="Arial"/>
          <w:sz w:val="24"/>
          <w:szCs w:val="24"/>
        </w:rPr>
        <w:t>that although there was a co-accused</w:t>
      </w:r>
      <w:r>
        <w:rPr>
          <w:rFonts w:ascii="Arial" w:hAnsi="Arial" w:cs="Arial"/>
          <w:sz w:val="24"/>
          <w:szCs w:val="24"/>
        </w:rPr>
        <w:t>,</w:t>
      </w:r>
      <w:r w:rsidRPr="00A928AF">
        <w:rPr>
          <w:rFonts w:ascii="Arial" w:hAnsi="Arial" w:cs="Arial"/>
          <w:sz w:val="24"/>
          <w:szCs w:val="24"/>
        </w:rPr>
        <w:t xml:space="preserve"> Mr Samboma</w:t>
      </w:r>
      <w:r>
        <w:rPr>
          <w:rFonts w:ascii="Arial" w:hAnsi="Arial" w:cs="Arial"/>
          <w:sz w:val="24"/>
          <w:szCs w:val="24"/>
        </w:rPr>
        <w:t>,</w:t>
      </w:r>
      <w:r w:rsidRPr="00A928AF">
        <w:rPr>
          <w:rFonts w:ascii="Arial" w:hAnsi="Arial" w:cs="Arial"/>
          <w:sz w:val="24"/>
          <w:szCs w:val="24"/>
        </w:rPr>
        <w:t xml:space="preserve"> who implicated </w:t>
      </w:r>
      <w:r>
        <w:rPr>
          <w:rFonts w:ascii="Arial" w:hAnsi="Arial" w:cs="Arial"/>
          <w:sz w:val="24"/>
          <w:szCs w:val="24"/>
        </w:rPr>
        <w:t xml:space="preserve">Mr Chunga </w:t>
      </w:r>
      <w:r w:rsidRPr="00A928AF">
        <w:rPr>
          <w:rFonts w:ascii="Arial" w:hAnsi="Arial" w:cs="Arial"/>
          <w:sz w:val="24"/>
          <w:szCs w:val="24"/>
        </w:rPr>
        <w:t xml:space="preserve">in his confession, that confession was </w:t>
      </w:r>
      <w:r>
        <w:rPr>
          <w:rFonts w:ascii="Arial" w:hAnsi="Arial" w:cs="Arial"/>
          <w:sz w:val="24"/>
          <w:szCs w:val="24"/>
        </w:rPr>
        <w:t xml:space="preserve">ruled </w:t>
      </w:r>
      <w:r w:rsidRPr="00A928AF">
        <w:rPr>
          <w:rFonts w:ascii="Arial" w:hAnsi="Arial" w:cs="Arial"/>
          <w:sz w:val="24"/>
          <w:szCs w:val="24"/>
        </w:rPr>
        <w:t xml:space="preserve">inadmissible. Therefore, </w:t>
      </w:r>
      <w:r>
        <w:rPr>
          <w:rFonts w:ascii="Arial" w:hAnsi="Arial" w:cs="Arial"/>
          <w:sz w:val="24"/>
          <w:szCs w:val="24"/>
        </w:rPr>
        <w:t xml:space="preserve">so counsel concluded his submissions, </w:t>
      </w:r>
      <w:r w:rsidRPr="00A928AF">
        <w:rPr>
          <w:rFonts w:ascii="Arial" w:hAnsi="Arial" w:cs="Arial"/>
          <w:sz w:val="24"/>
          <w:szCs w:val="24"/>
        </w:rPr>
        <w:t xml:space="preserve">it was </w:t>
      </w:r>
      <w:r>
        <w:rPr>
          <w:rFonts w:ascii="Arial" w:hAnsi="Arial" w:cs="Arial"/>
          <w:sz w:val="24"/>
          <w:szCs w:val="24"/>
        </w:rPr>
        <w:t>un</w:t>
      </w:r>
      <w:r w:rsidRPr="00A928AF">
        <w:rPr>
          <w:rFonts w:ascii="Arial" w:hAnsi="Arial" w:cs="Arial"/>
          <w:sz w:val="24"/>
          <w:szCs w:val="24"/>
        </w:rPr>
        <w:t xml:space="preserve">reasonable for the prosecutorial team to </w:t>
      </w:r>
      <w:r>
        <w:rPr>
          <w:rFonts w:ascii="Arial" w:hAnsi="Arial" w:cs="Arial"/>
          <w:sz w:val="24"/>
          <w:szCs w:val="24"/>
        </w:rPr>
        <w:t xml:space="preserve">have </w:t>
      </w:r>
      <w:r w:rsidRPr="00A928AF">
        <w:rPr>
          <w:rFonts w:ascii="Arial" w:hAnsi="Arial" w:cs="Arial"/>
          <w:sz w:val="24"/>
          <w:szCs w:val="24"/>
        </w:rPr>
        <w:t>believe</w:t>
      </w:r>
      <w:r>
        <w:rPr>
          <w:rFonts w:ascii="Arial" w:hAnsi="Arial" w:cs="Arial"/>
          <w:sz w:val="24"/>
          <w:szCs w:val="24"/>
        </w:rPr>
        <w:t>d</w:t>
      </w:r>
      <w:r w:rsidRPr="00A928AF">
        <w:rPr>
          <w:rFonts w:ascii="Arial" w:hAnsi="Arial" w:cs="Arial"/>
          <w:sz w:val="24"/>
          <w:szCs w:val="24"/>
        </w:rPr>
        <w:t xml:space="preserve"> that the case against the respondent could be strengthened during the defence’s case</w:t>
      </w:r>
      <w:r>
        <w:rPr>
          <w:rFonts w:ascii="Arial" w:hAnsi="Arial" w:cs="Arial"/>
          <w:sz w:val="24"/>
          <w:szCs w:val="24"/>
        </w:rPr>
        <w:t>.</w:t>
      </w:r>
      <w:r w:rsidRPr="00A928AF">
        <w:rPr>
          <w:rFonts w:ascii="Arial" w:hAnsi="Arial" w:cs="Arial"/>
          <w:sz w:val="24"/>
          <w:szCs w:val="24"/>
        </w:rPr>
        <w:t xml:space="preserve">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spacing w:after="0" w:line="480" w:lineRule="auto"/>
        <w:rPr>
          <w:rFonts w:ascii="Arial" w:hAnsi="Arial" w:cs="Arial"/>
          <w:sz w:val="24"/>
          <w:szCs w:val="24"/>
          <w:u w:val="single"/>
        </w:rPr>
      </w:pPr>
      <w:r w:rsidRPr="00A928AF">
        <w:rPr>
          <w:rFonts w:ascii="Arial" w:hAnsi="Arial" w:cs="Arial"/>
          <w:sz w:val="24"/>
          <w:szCs w:val="24"/>
          <w:u w:val="single"/>
        </w:rPr>
        <w:t xml:space="preserve">Relevant legal </w:t>
      </w:r>
      <w:r>
        <w:rPr>
          <w:rFonts w:ascii="Arial" w:hAnsi="Arial" w:cs="Arial"/>
          <w:sz w:val="24"/>
          <w:szCs w:val="24"/>
          <w:u w:val="single"/>
        </w:rPr>
        <w:t>principles</w:t>
      </w: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It is at this point trite that a claim for malicious prosecution requires </w:t>
      </w:r>
      <w:r>
        <w:rPr>
          <w:rFonts w:ascii="Arial" w:hAnsi="Arial" w:cs="Arial"/>
          <w:sz w:val="24"/>
          <w:szCs w:val="24"/>
        </w:rPr>
        <w:t>the plaintiff</w:t>
      </w:r>
      <w:r w:rsidRPr="00A928AF">
        <w:rPr>
          <w:rFonts w:ascii="Arial" w:hAnsi="Arial" w:cs="Arial"/>
          <w:sz w:val="24"/>
          <w:szCs w:val="24"/>
        </w:rPr>
        <w:t xml:space="preserve"> to prove the requirements outlined in </w:t>
      </w:r>
      <w:r w:rsidRPr="00A928AF">
        <w:rPr>
          <w:rFonts w:ascii="Arial" w:hAnsi="Arial" w:cs="Arial"/>
          <w:i/>
          <w:sz w:val="24"/>
          <w:szCs w:val="24"/>
        </w:rPr>
        <w:t>Akuake v Jansen van Rensburg</w:t>
      </w:r>
      <w:r w:rsidRPr="00A928AF">
        <w:rPr>
          <w:rFonts w:ascii="Arial" w:hAnsi="Arial" w:cs="Arial"/>
          <w:sz w:val="24"/>
          <w:szCs w:val="24"/>
        </w:rPr>
        <w:t xml:space="preserve">, that the prosecution was </w:t>
      </w:r>
      <w:r w:rsidR="00633580">
        <w:rPr>
          <w:rFonts w:ascii="Arial" w:hAnsi="Arial" w:cs="Arial"/>
          <w:sz w:val="24"/>
          <w:szCs w:val="24"/>
        </w:rPr>
        <w:t>(a</w:t>
      </w:r>
      <w:r w:rsidRPr="00A928AF">
        <w:rPr>
          <w:rFonts w:ascii="Arial" w:hAnsi="Arial" w:cs="Arial"/>
          <w:sz w:val="24"/>
          <w:szCs w:val="24"/>
        </w:rPr>
        <w:t xml:space="preserve">) initiated by the defendant; </w:t>
      </w:r>
      <w:r w:rsidR="00633580">
        <w:rPr>
          <w:rFonts w:ascii="Arial" w:hAnsi="Arial" w:cs="Arial"/>
          <w:sz w:val="24"/>
          <w:szCs w:val="24"/>
        </w:rPr>
        <w:t>(b</w:t>
      </w:r>
      <w:r w:rsidRPr="00A928AF">
        <w:rPr>
          <w:rFonts w:ascii="Arial" w:hAnsi="Arial" w:cs="Arial"/>
          <w:sz w:val="24"/>
          <w:szCs w:val="24"/>
        </w:rPr>
        <w:t xml:space="preserve">) without reasonable or probable cause; </w:t>
      </w:r>
      <w:r w:rsidR="00633580">
        <w:rPr>
          <w:rFonts w:ascii="Arial" w:hAnsi="Arial" w:cs="Arial"/>
          <w:sz w:val="24"/>
          <w:szCs w:val="24"/>
        </w:rPr>
        <w:t>(c</w:t>
      </w:r>
      <w:r w:rsidRPr="00A928AF">
        <w:rPr>
          <w:rFonts w:ascii="Arial" w:hAnsi="Arial" w:cs="Arial"/>
          <w:sz w:val="24"/>
          <w:szCs w:val="24"/>
        </w:rPr>
        <w:t xml:space="preserve">) with malice or an indirect and improper motive; </w:t>
      </w:r>
      <w:r w:rsidR="00633580">
        <w:rPr>
          <w:rFonts w:ascii="Arial" w:hAnsi="Arial" w:cs="Arial"/>
          <w:sz w:val="24"/>
          <w:szCs w:val="24"/>
        </w:rPr>
        <w:t>(d</w:t>
      </w:r>
      <w:r w:rsidRPr="00A928AF">
        <w:rPr>
          <w:rFonts w:ascii="Arial" w:hAnsi="Arial" w:cs="Arial"/>
          <w:sz w:val="24"/>
          <w:szCs w:val="24"/>
        </w:rPr>
        <w:t xml:space="preserve">) terminated in favour of the </w:t>
      </w:r>
      <w:r>
        <w:rPr>
          <w:rFonts w:ascii="Arial" w:hAnsi="Arial" w:cs="Arial"/>
          <w:sz w:val="24"/>
          <w:szCs w:val="24"/>
        </w:rPr>
        <w:t>plaintiff</w:t>
      </w:r>
      <w:r w:rsidR="00675D54">
        <w:rPr>
          <w:rFonts w:ascii="Arial" w:hAnsi="Arial" w:cs="Arial"/>
          <w:sz w:val="24"/>
          <w:szCs w:val="24"/>
        </w:rPr>
        <w:t>; and (e</w:t>
      </w:r>
      <w:r w:rsidRPr="00A928AF">
        <w:rPr>
          <w:rFonts w:ascii="Arial" w:hAnsi="Arial" w:cs="Arial"/>
          <w:sz w:val="24"/>
          <w:szCs w:val="24"/>
        </w:rPr>
        <w:t xml:space="preserve">) resulted in loss or damage to him or her. In this </w:t>
      </w:r>
      <w:r>
        <w:rPr>
          <w:rFonts w:ascii="Arial" w:hAnsi="Arial" w:cs="Arial"/>
          <w:sz w:val="24"/>
          <w:szCs w:val="24"/>
        </w:rPr>
        <w:t>seri</w:t>
      </w:r>
      <w:r w:rsidRPr="00A928AF">
        <w:rPr>
          <w:rFonts w:ascii="Arial" w:hAnsi="Arial" w:cs="Arial"/>
          <w:sz w:val="24"/>
          <w:szCs w:val="24"/>
        </w:rPr>
        <w:t>e</w:t>
      </w:r>
      <w:r>
        <w:rPr>
          <w:rFonts w:ascii="Arial" w:hAnsi="Arial" w:cs="Arial"/>
          <w:sz w:val="24"/>
          <w:szCs w:val="24"/>
        </w:rPr>
        <w:t>s</w:t>
      </w:r>
      <w:r w:rsidRPr="00A928AF">
        <w:rPr>
          <w:rFonts w:ascii="Arial" w:hAnsi="Arial" w:cs="Arial"/>
          <w:sz w:val="24"/>
          <w:szCs w:val="24"/>
        </w:rPr>
        <w:t xml:space="preserve"> of appeals, only the issues of the existence of reasonable and probable cause and malice are salient.</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This </w:t>
      </w:r>
      <w:r w:rsidR="00633580">
        <w:rPr>
          <w:rFonts w:ascii="Arial" w:hAnsi="Arial" w:cs="Arial"/>
          <w:sz w:val="24"/>
          <w:szCs w:val="24"/>
        </w:rPr>
        <w:t>c</w:t>
      </w:r>
      <w:r w:rsidRPr="00A928AF">
        <w:rPr>
          <w:rFonts w:ascii="Arial" w:hAnsi="Arial" w:cs="Arial"/>
          <w:sz w:val="24"/>
          <w:szCs w:val="24"/>
        </w:rPr>
        <w:t xml:space="preserve">ourt has adopted Hawkins J’s careful appraisal of the requirement of reasonable and probable cause in </w:t>
      </w:r>
      <w:r w:rsidRPr="00A928AF">
        <w:rPr>
          <w:rFonts w:ascii="Arial" w:hAnsi="Arial" w:cs="Arial"/>
          <w:i/>
          <w:iCs/>
          <w:sz w:val="24"/>
          <w:szCs w:val="24"/>
        </w:rPr>
        <w:t>Hicks v Faulkner.</w:t>
      </w:r>
      <w:r w:rsidRPr="00FC3CDD">
        <w:rPr>
          <w:rStyle w:val="FootnoteReference"/>
          <w:rFonts w:ascii="Arial" w:hAnsi="Arial" w:cs="Arial"/>
          <w:iCs/>
          <w:sz w:val="24"/>
          <w:szCs w:val="24"/>
        </w:rPr>
        <w:footnoteReference w:id="4"/>
      </w:r>
      <w:r w:rsidRPr="00A928AF">
        <w:rPr>
          <w:rFonts w:ascii="Arial" w:hAnsi="Arial" w:cs="Arial"/>
          <w:sz w:val="24"/>
          <w:szCs w:val="24"/>
        </w:rPr>
        <w:t xml:space="preserve"> The full definition requires </w:t>
      </w:r>
      <w:r>
        <w:rPr>
          <w:rFonts w:ascii="Arial" w:hAnsi="Arial" w:cs="Arial"/>
          <w:sz w:val="24"/>
          <w:szCs w:val="24"/>
        </w:rPr>
        <w:t>‘</w:t>
      </w:r>
      <w:r w:rsidRPr="00A928AF">
        <w:rPr>
          <w:rFonts w:ascii="Arial" w:hAnsi="Arial" w:cs="Arial"/>
          <w:sz w:val="24"/>
          <w:szCs w:val="24"/>
        </w:rPr>
        <w:t xml:space="preserve">an honest belief in the guilt of the accused based upon a full conviction, founded upon reasonable grounds, of the existence of a state of circumstances which, assuming them to be true, would reasonably lead any ordinarily prudent and cautious man, placed in </w:t>
      </w:r>
      <w:r w:rsidRPr="00A928AF">
        <w:rPr>
          <w:rFonts w:ascii="Arial" w:hAnsi="Arial" w:cs="Arial"/>
          <w:sz w:val="24"/>
          <w:szCs w:val="24"/>
        </w:rPr>
        <w:lastRenderedPageBreak/>
        <w:t>the position of the accuser, to conclude that the person charged was probably guilty of the crime imputed</w:t>
      </w:r>
      <w:r>
        <w:rPr>
          <w:rFonts w:ascii="Arial" w:hAnsi="Arial" w:cs="Arial"/>
          <w:sz w:val="24"/>
          <w:szCs w:val="24"/>
        </w:rPr>
        <w:t>’</w:t>
      </w:r>
      <w:r w:rsidR="00CE13D8">
        <w:rPr>
          <w:rFonts w:ascii="Arial" w:hAnsi="Arial" w:cs="Arial"/>
          <w:sz w:val="24"/>
          <w:szCs w:val="24"/>
        </w:rPr>
        <w:t>.</w:t>
      </w:r>
      <w:r w:rsidRPr="00A928AF">
        <w:rPr>
          <w:rFonts w:ascii="Arial" w:hAnsi="Arial" w:cs="Arial"/>
          <w:sz w:val="24"/>
          <w:szCs w:val="24"/>
        </w:rPr>
        <w:t xml:space="preserve">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Therefore, the requirement has both an objective and subjective element. Objectively, the </w:t>
      </w:r>
      <w:r>
        <w:rPr>
          <w:rFonts w:ascii="Arial" w:hAnsi="Arial" w:cs="Arial"/>
          <w:sz w:val="24"/>
          <w:szCs w:val="24"/>
        </w:rPr>
        <w:t>information</w:t>
      </w:r>
      <w:r w:rsidRPr="00A928AF">
        <w:rPr>
          <w:rFonts w:ascii="Arial" w:hAnsi="Arial" w:cs="Arial"/>
          <w:sz w:val="24"/>
          <w:szCs w:val="24"/>
        </w:rPr>
        <w:t xml:space="preserve"> before the prosecutor must be sufficient for a reasonable person to conclude that the </w:t>
      </w:r>
      <w:r>
        <w:rPr>
          <w:rFonts w:ascii="Arial" w:hAnsi="Arial" w:cs="Arial"/>
          <w:sz w:val="24"/>
          <w:szCs w:val="24"/>
        </w:rPr>
        <w:t xml:space="preserve">plaintiff </w:t>
      </w:r>
      <w:r w:rsidRPr="00A928AF">
        <w:rPr>
          <w:rFonts w:ascii="Arial" w:hAnsi="Arial" w:cs="Arial"/>
          <w:sz w:val="24"/>
          <w:szCs w:val="24"/>
        </w:rPr>
        <w:t>had committed the crime or offen</w:t>
      </w:r>
      <w:r>
        <w:rPr>
          <w:rFonts w:ascii="Arial" w:hAnsi="Arial" w:cs="Arial"/>
          <w:sz w:val="24"/>
          <w:szCs w:val="24"/>
        </w:rPr>
        <w:t>c</w:t>
      </w:r>
      <w:r w:rsidRPr="00A928AF">
        <w:rPr>
          <w:rFonts w:ascii="Arial" w:hAnsi="Arial" w:cs="Arial"/>
          <w:sz w:val="24"/>
          <w:szCs w:val="24"/>
        </w:rPr>
        <w:t>e charged.</w:t>
      </w:r>
    </w:p>
    <w:p w:rsidR="001D347A" w:rsidRPr="00A928AF" w:rsidRDefault="001D347A" w:rsidP="00604362">
      <w:pPr>
        <w:pStyle w:val="NoSpacing"/>
        <w:spacing w:line="480" w:lineRule="auto"/>
        <w:jc w:val="both"/>
        <w:rPr>
          <w:rFonts w:ascii="Arial" w:hAnsi="Arial" w:cs="Arial"/>
          <w:b/>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Subjectively, the prosecut</w:t>
      </w:r>
      <w:r>
        <w:rPr>
          <w:rFonts w:ascii="Arial" w:hAnsi="Arial" w:cs="Arial"/>
          <w:sz w:val="24"/>
          <w:szCs w:val="24"/>
        </w:rPr>
        <w:t>or</w:t>
      </w:r>
      <w:r w:rsidRPr="00A928AF">
        <w:rPr>
          <w:rFonts w:ascii="Arial" w:hAnsi="Arial" w:cs="Arial"/>
          <w:sz w:val="24"/>
          <w:szCs w:val="24"/>
        </w:rPr>
        <w:t xml:space="preserve"> must have had an honest belief in the </w:t>
      </w:r>
      <w:r>
        <w:rPr>
          <w:rFonts w:ascii="Arial" w:hAnsi="Arial" w:cs="Arial"/>
          <w:sz w:val="24"/>
          <w:szCs w:val="24"/>
        </w:rPr>
        <w:t>plaintiff</w:t>
      </w:r>
      <w:r w:rsidRPr="00A928AF">
        <w:rPr>
          <w:rFonts w:ascii="Arial" w:hAnsi="Arial" w:cs="Arial"/>
          <w:sz w:val="24"/>
          <w:szCs w:val="24"/>
        </w:rPr>
        <w:t xml:space="preserve">’s guilt. </w:t>
      </w:r>
      <w:r>
        <w:rPr>
          <w:rFonts w:ascii="Arial" w:hAnsi="Arial" w:cs="Arial"/>
          <w:sz w:val="24"/>
          <w:szCs w:val="24"/>
        </w:rPr>
        <w:t>However, a</w:t>
      </w:r>
      <w:r w:rsidRPr="00A928AF">
        <w:rPr>
          <w:rFonts w:ascii="Arial" w:hAnsi="Arial" w:cs="Arial"/>
          <w:sz w:val="24"/>
          <w:szCs w:val="24"/>
        </w:rPr>
        <w:t xml:space="preserve">s emphasised by Lord Denning, an honest belief is not the same as the belief of a judge or jury who sits in the criminal case. The requirement is one based on a notion of good faith and professional assessment, as the PG </w:t>
      </w:r>
      <w:r>
        <w:rPr>
          <w:rFonts w:ascii="Arial" w:hAnsi="Arial" w:cs="Arial"/>
          <w:sz w:val="24"/>
          <w:szCs w:val="24"/>
        </w:rPr>
        <w:t xml:space="preserve">and/or her prosecutorial team </w:t>
      </w:r>
      <w:r w:rsidRPr="00A928AF">
        <w:rPr>
          <w:rFonts w:ascii="Arial" w:hAnsi="Arial" w:cs="Arial"/>
          <w:sz w:val="24"/>
          <w:szCs w:val="24"/>
        </w:rPr>
        <w:t xml:space="preserve">must satisfy </w:t>
      </w:r>
      <w:r>
        <w:rPr>
          <w:rFonts w:ascii="Arial" w:hAnsi="Arial" w:cs="Arial"/>
          <w:sz w:val="24"/>
          <w:szCs w:val="24"/>
        </w:rPr>
        <w:t xml:space="preserve">themselves </w:t>
      </w:r>
      <w:r w:rsidRPr="00A928AF">
        <w:rPr>
          <w:rFonts w:ascii="Arial" w:hAnsi="Arial" w:cs="Arial"/>
          <w:sz w:val="24"/>
          <w:szCs w:val="24"/>
        </w:rPr>
        <w:t xml:space="preserve">that there is a </w:t>
      </w:r>
      <w:r>
        <w:rPr>
          <w:rFonts w:ascii="Arial" w:hAnsi="Arial" w:cs="Arial"/>
          <w:sz w:val="24"/>
          <w:szCs w:val="24"/>
        </w:rPr>
        <w:t>‘</w:t>
      </w:r>
      <w:r w:rsidRPr="00A928AF">
        <w:rPr>
          <w:rFonts w:ascii="Arial" w:hAnsi="Arial" w:cs="Arial"/>
          <w:sz w:val="24"/>
          <w:szCs w:val="24"/>
        </w:rPr>
        <w:t>proper case to lay before the court</w:t>
      </w:r>
      <w:r>
        <w:rPr>
          <w:rFonts w:ascii="Arial" w:hAnsi="Arial" w:cs="Arial"/>
          <w:sz w:val="24"/>
          <w:szCs w:val="24"/>
        </w:rPr>
        <w:t>’</w:t>
      </w:r>
      <w:r w:rsidR="00CE13D8">
        <w:rPr>
          <w:rFonts w:ascii="Arial" w:hAnsi="Arial" w:cs="Arial"/>
          <w:sz w:val="24"/>
          <w:szCs w:val="24"/>
        </w:rPr>
        <w:t>.</w:t>
      </w:r>
      <w:r w:rsidRPr="00A928AF">
        <w:rPr>
          <w:rStyle w:val="FootnoteReference"/>
          <w:rFonts w:ascii="Arial" w:hAnsi="Arial" w:cs="Arial"/>
          <w:sz w:val="24"/>
          <w:szCs w:val="24"/>
        </w:rPr>
        <w:footnoteReference w:id="5"/>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Crucially for </w:t>
      </w:r>
      <w:r>
        <w:rPr>
          <w:rFonts w:ascii="Arial" w:hAnsi="Arial" w:cs="Arial"/>
          <w:sz w:val="24"/>
          <w:szCs w:val="24"/>
        </w:rPr>
        <w:t>Mr Chunga</w:t>
      </w:r>
      <w:r w:rsidRPr="00A928AF">
        <w:rPr>
          <w:rFonts w:ascii="Arial" w:hAnsi="Arial" w:cs="Arial"/>
          <w:sz w:val="24"/>
          <w:szCs w:val="24"/>
        </w:rPr>
        <w:t>’s alternative claim, this court has specified that these standards do not change whether the claim is one for malicious initiation or continuation of a prosecution.</w:t>
      </w:r>
      <w:r w:rsidRPr="00A928AF">
        <w:rPr>
          <w:rStyle w:val="FootnoteReference"/>
          <w:rFonts w:ascii="Arial" w:hAnsi="Arial" w:cs="Arial"/>
          <w:sz w:val="24"/>
          <w:szCs w:val="24"/>
        </w:rPr>
        <w:footnoteReference w:id="6"/>
      </w:r>
      <w:r w:rsidRPr="00A928AF">
        <w:rPr>
          <w:rFonts w:ascii="Arial" w:hAnsi="Arial" w:cs="Arial"/>
          <w:sz w:val="24"/>
          <w:szCs w:val="24"/>
        </w:rPr>
        <w:t xml:space="preserve"> The PG or her prosecutorial team must have possessed reasonable and probable cause throughout the prosecution and at no point may they have been actuated by malice or an improper motive.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spacing w:line="480" w:lineRule="auto"/>
        <w:jc w:val="both"/>
        <w:rPr>
          <w:rFonts w:ascii="Arial" w:hAnsi="Arial" w:cs="Arial"/>
          <w:sz w:val="24"/>
          <w:szCs w:val="24"/>
        </w:rPr>
      </w:pPr>
      <w:r w:rsidRPr="00A928AF">
        <w:rPr>
          <w:rFonts w:ascii="Arial" w:hAnsi="Arial" w:cs="Arial"/>
          <w:sz w:val="24"/>
          <w:szCs w:val="24"/>
          <w:u w:val="single"/>
        </w:rPr>
        <w:t>Assessment</w:t>
      </w:r>
    </w:p>
    <w:p w:rsidR="001D347A" w:rsidRPr="00A928AF" w:rsidRDefault="001D347A" w:rsidP="00604362">
      <w:pPr>
        <w:pStyle w:val="NoSpacing"/>
        <w:numPr>
          <w:ilvl w:val="0"/>
          <w:numId w:val="1"/>
        </w:numPr>
        <w:spacing w:line="480" w:lineRule="auto"/>
        <w:ind w:left="0" w:firstLine="0"/>
        <w:jc w:val="both"/>
        <w:rPr>
          <w:rFonts w:ascii="Arial" w:hAnsi="Arial" w:cs="Arial"/>
          <w:b/>
          <w:sz w:val="24"/>
          <w:szCs w:val="24"/>
        </w:rPr>
      </w:pPr>
      <w:r>
        <w:rPr>
          <w:rFonts w:ascii="Arial" w:hAnsi="Arial" w:cs="Arial"/>
          <w:sz w:val="24"/>
          <w:szCs w:val="24"/>
        </w:rPr>
        <w:t>The H</w:t>
      </w:r>
      <w:r w:rsidRPr="00A928AF">
        <w:rPr>
          <w:rFonts w:ascii="Arial" w:hAnsi="Arial" w:cs="Arial"/>
          <w:sz w:val="24"/>
          <w:szCs w:val="24"/>
        </w:rPr>
        <w:t xml:space="preserve">igh </w:t>
      </w:r>
      <w:r>
        <w:rPr>
          <w:rFonts w:ascii="Arial" w:hAnsi="Arial" w:cs="Arial"/>
          <w:sz w:val="24"/>
          <w:szCs w:val="24"/>
        </w:rPr>
        <w:t>C</w:t>
      </w:r>
      <w:r w:rsidRPr="00A928AF">
        <w:rPr>
          <w:rFonts w:ascii="Arial" w:hAnsi="Arial" w:cs="Arial"/>
          <w:sz w:val="24"/>
          <w:szCs w:val="24"/>
        </w:rPr>
        <w:t xml:space="preserve">ourt correctly found that the requirement of a lack of reasonable and probable cause on the part of the PG or her prosecutorial team is </w:t>
      </w:r>
      <w:r>
        <w:rPr>
          <w:rFonts w:ascii="Arial" w:hAnsi="Arial" w:cs="Arial"/>
          <w:sz w:val="24"/>
          <w:szCs w:val="24"/>
        </w:rPr>
        <w:t>‘</w:t>
      </w:r>
      <w:r w:rsidRPr="00A928AF">
        <w:rPr>
          <w:rFonts w:ascii="Arial" w:hAnsi="Arial" w:cs="Arial"/>
          <w:sz w:val="24"/>
          <w:szCs w:val="24"/>
        </w:rPr>
        <w:t>clearly</w:t>
      </w:r>
      <w:r w:rsidR="00CE13D8">
        <w:rPr>
          <w:rFonts w:ascii="Arial" w:hAnsi="Arial" w:cs="Arial"/>
          <w:sz w:val="24"/>
          <w:szCs w:val="24"/>
        </w:rPr>
        <w:t xml:space="preserve"> . . . </w:t>
      </w:r>
      <w:r w:rsidRPr="00A928AF">
        <w:rPr>
          <w:rFonts w:ascii="Arial" w:hAnsi="Arial" w:cs="Arial"/>
          <w:sz w:val="24"/>
          <w:szCs w:val="24"/>
        </w:rPr>
        <w:t>onerous</w:t>
      </w:r>
      <w:r w:rsidR="00CE13D8">
        <w:rPr>
          <w:rFonts w:ascii="Arial" w:hAnsi="Arial" w:cs="Arial"/>
          <w:sz w:val="24"/>
          <w:szCs w:val="24"/>
        </w:rPr>
        <w:t xml:space="preserve"> </w:t>
      </w:r>
      <w:r w:rsidR="00CE13D8">
        <w:rPr>
          <w:rFonts w:ascii="Arial" w:hAnsi="Arial" w:cs="Arial"/>
          <w:sz w:val="24"/>
          <w:szCs w:val="24"/>
        </w:rPr>
        <w:lastRenderedPageBreak/>
        <w:t xml:space="preserve">. . . </w:t>
      </w:r>
      <w:r w:rsidRPr="00A928AF">
        <w:rPr>
          <w:rFonts w:ascii="Arial" w:hAnsi="Arial" w:cs="Arial"/>
          <w:sz w:val="24"/>
          <w:szCs w:val="24"/>
        </w:rPr>
        <w:t xml:space="preserve">for </w:t>
      </w:r>
      <w:r>
        <w:rPr>
          <w:rFonts w:ascii="Arial" w:hAnsi="Arial" w:cs="Arial"/>
          <w:sz w:val="24"/>
          <w:szCs w:val="24"/>
        </w:rPr>
        <w:t>a plaintiff to</w:t>
      </w:r>
      <w:r w:rsidRPr="00A928AF">
        <w:rPr>
          <w:rFonts w:ascii="Arial" w:hAnsi="Arial" w:cs="Arial"/>
          <w:sz w:val="24"/>
          <w:szCs w:val="24"/>
        </w:rPr>
        <w:t xml:space="preserve"> establish</w:t>
      </w:r>
      <w:r>
        <w:rPr>
          <w:rFonts w:ascii="Arial" w:hAnsi="Arial" w:cs="Arial"/>
          <w:sz w:val="24"/>
          <w:szCs w:val="24"/>
        </w:rPr>
        <w:t>’.</w:t>
      </w:r>
      <w:r w:rsidRPr="00A928AF">
        <w:rPr>
          <w:rFonts w:ascii="Arial" w:hAnsi="Arial" w:cs="Arial"/>
          <w:sz w:val="24"/>
          <w:szCs w:val="24"/>
        </w:rPr>
        <w:t xml:space="preserve"> This is because, as this </w:t>
      </w:r>
      <w:r w:rsidR="00CE13D8">
        <w:rPr>
          <w:rFonts w:ascii="Arial" w:hAnsi="Arial" w:cs="Arial"/>
          <w:sz w:val="24"/>
          <w:szCs w:val="24"/>
        </w:rPr>
        <w:t>c</w:t>
      </w:r>
      <w:r w:rsidRPr="00A928AF">
        <w:rPr>
          <w:rFonts w:ascii="Arial" w:hAnsi="Arial" w:cs="Arial"/>
          <w:sz w:val="24"/>
          <w:szCs w:val="24"/>
        </w:rPr>
        <w:t>ourt explained, the PG exercises an independent, authoritative discretion in the decision to prosecute, which is central to the functioning of our criminal justice system.</w:t>
      </w:r>
      <w:r w:rsidRPr="00A928AF">
        <w:rPr>
          <w:rStyle w:val="FootnoteReference"/>
          <w:rFonts w:ascii="Arial" w:hAnsi="Arial" w:cs="Arial"/>
          <w:sz w:val="24"/>
          <w:szCs w:val="24"/>
        </w:rPr>
        <w:footnoteReference w:id="7"/>
      </w:r>
      <w:r w:rsidRPr="00A928AF">
        <w:rPr>
          <w:rFonts w:ascii="Arial" w:hAnsi="Arial" w:cs="Arial"/>
          <w:sz w:val="24"/>
          <w:szCs w:val="24"/>
        </w:rPr>
        <w:t xml:space="preserve"> Therefore, this court will be slow to disturb it without being satisfied that the evidence was truly so deficient that the PG and her prosecutorial team lacked any reasonable grounds to believe it.</w:t>
      </w:r>
    </w:p>
    <w:p w:rsidR="001D347A" w:rsidRPr="00A928AF" w:rsidRDefault="001D347A" w:rsidP="00604362">
      <w:pPr>
        <w:pStyle w:val="NoSpacing"/>
        <w:spacing w:line="480" w:lineRule="auto"/>
        <w:jc w:val="both"/>
        <w:rPr>
          <w:rFonts w:ascii="Arial" w:hAnsi="Arial" w:cs="Arial"/>
          <w:b/>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Further, both </w:t>
      </w:r>
      <w:r>
        <w:rPr>
          <w:rFonts w:ascii="Arial" w:hAnsi="Arial" w:cs="Arial"/>
          <w:sz w:val="24"/>
          <w:szCs w:val="24"/>
        </w:rPr>
        <w:t xml:space="preserve">Mr Chunga </w:t>
      </w:r>
      <w:r w:rsidRPr="00A928AF">
        <w:rPr>
          <w:rFonts w:ascii="Arial" w:hAnsi="Arial" w:cs="Arial"/>
          <w:sz w:val="24"/>
          <w:szCs w:val="24"/>
        </w:rPr>
        <w:t xml:space="preserve">and </w:t>
      </w:r>
      <w:r>
        <w:rPr>
          <w:rFonts w:ascii="Arial" w:hAnsi="Arial" w:cs="Arial"/>
          <w:sz w:val="24"/>
          <w:szCs w:val="24"/>
        </w:rPr>
        <w:t xml:space="preserve">the Minister as well as the PG </w:t>
      </w:r>
      <w:r w:rsidRPr="00A928AF">
        <w:rPr>
          <w:rFonts w:ascii="Arial" w:hAnsi="Arial" w:cs="Arial"/>
          <w:sz w:val="24"/>
          <w:szCs w:val="24"/>
        </w:rPr>
        <w:t xml:space="preserve">correctly agreed that, given this court’s decision in </w:t>
      </w:r>
      <w:r w:rsidRPr="00A928AF">
        <w:rPr>
          <w:rFonts w:ascii="Arial" w:hAnsi="Arial" w:cs="Arial"/>
          <w:i/>
          <w:iCs/>
          <w:sz w:val="24"/>
          <w:szCs w:val="24"/>
        </w:rPr>
        <w:t>Mahupelo</w:t>
      </w:r>
      <w:r w:rsidRPr="00A928AF">
        <w:rPr>
          <w:rFonts w:ascii="Arial" w:hAnsi="Arial" w:cs="Arial"/>
          <w:sz w:val="24"/>
          <w:szCs w:val="24"/>
        </w:rPr>
        <w:t xml:space="preserve">, </w:t>
      </w:r>
      <w:r>
        <w:rPr>
          <w:rFonts w:ascii="Arial" w:hAnsi="Arial" w:cs="Arial"/>
          <w:sz w:val="24"/>
          <w:szCs w:val="24"/>
        </w:rPr>
        <w:t>Mr Chunga</w:t>
      </w:r>
      <w:r w:rsidRPr="00A928AF">
        <w:rPr>
          <w:rFonts w:ascii="Arial" w:hAnsi="Arial" w:cs="Arial"/>
          <w:sz w:val="24"/>
          <w:szCs w:val="24"/>
        </w:rPr>
        <w:t>’s only path forward is to draw factual distinctions between how his case and that against Mr Mahupelo</w:t>
      </w:r>
      <w:r w:rsidRPr="00A928AF">
        <w:rPr>
          <w:rFonts w:ascii="Arial" w:hAnsi="Arial" w:cs="Arial"/>
          <w:i/>
          <w:iCs/>
          <w:sz w:val="24"/>
          <w:szCs w:val="24"/>
        </w:rPr>
        <w:t xml:space="preserve"> </w:t>
      </w:r>
      <w:r w:rsidRPr="00A928AF">
        <w:rPr>
          <w:rFonts w:ascii="Arial" w:hAnsi="Arial" w:cs="Arial"/>
          <w:sz w:val="24"/>
          <w:szCs w:val="24"/>
        </w:rPr>
        <w:t xml:space="preserve">were prosecuted. The </w:t>
      </w:r>
      <w:r>
        <w:rPr>
          <w:rFonts w:ascii="Arial" w:hAnsi="Arial" w:cs="Arial"/>
          <w:sz w:val="24"/>
          <w:szCs w:val="24"/>
        </w:rPr>
        <w:t>high treason</w:t>
      </w:r>
      <w:r w:rsidRPr="00A928AF">
        <w:rPr>
          <w:rFonts w:ascii="Arial" w:hAnsi="Arial" w:cs="Arial"/>
          <w:sz w:val="24"/>
          <w:szCs w:val="24"/>
        </w:rPr>
        <w:t xml:space="preserve"> trial was a joint prosecution against 12</w:t>
      </w:r>
      <w:r>
        <w:rPr>
          <w:rFonts w:ascii="Arial" w:hAnsi="Arial" w:cs="Arial"/>
          <w:sz w:val="24"/>
          <w:szCs w:val="24"/>
        </w:rPr>
        <w:t>6</w:t>
      </w:r>
      <w:r w:rsidRPr="00A928AF">
        <w:rPr>
          <w:rFonts w:ascii="Arial" w:hAnsi="Arial" w:cs="Arial"/>
          <w:sz w:val="24"/>
          <w:szCs w:val="24"/>
        </w:rPr>
        <w:t xml:space="preserve"> accused</w:t>
      </w:r>
      <w:r>
        <w:rPr>
          <w:rFonts w:ascii="Arial" w:hAnsi="Arial" w:cs="Arial"/>
          <w:sz w:val="24"/>
          <w:szCs w:val="24"/>
        </w:rPr>
        <w:t xml:space="preserve"> persons</w:t>
      </w:r>
      <w:r w:rsidRPr="00A928AF">
        <w:rPr>
          <w:rFonts w:ascii="Arial" w:hAnsi="Arial" w:cs="Arial"/>
          <w:sz w:val="24"/>
          <w:szCs w:val="24"/>
        </w:rPr>
        <w:t xml:space="preserve">, making it difficult for </w:t>
      </w:r>
      <w:r>
        <w:rPr>
          <w:rFonts w:ascii="Arial" w:hAnsi="Arial" w:cs="Arial"/>
          <w:sz w:val="24"/>
          <w:szCs w:val="24"/>
        </w:rPr>
        <w:t>Mr Chunga</w:t>
      </w:r>
      <w:r w:rsidRPr="00A928AF">
        <w:rPr>
          <w:rFonts w:ascii="Arial" w:hAnsi="Arial" w:cs="Arial"/>
          <w:sz w:val="24"/>
          <w:szCs w:val="24"/>
        </w:rPr>
        <w:t xml:space="preserve"> to successfully draw such distinctions to the standard required by law.</w:t>
      </w:r>
    </w:p>
    <w:p w:rsidR="001D347A" w:rsidRPr="00A928AF" w:rsidRDefault="001D347A" w:rsidP="00604362">
      <w:pPr>
        <w:pStyle w:val="NoSpacing"/>
        <w:spacing w:line="480" w:lineRule="auto"/>
        <w:jc w:val="both"/>
        <w:rPr>
          <w:rFonts w:ascii="Arial" w:hAnsi="Arial" w:cs="Arial"/>
          <w:b/>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On the facts, </w:t>
      </w:r>
      <w:r>
        <w:rPr>
          <w:rFonts w:ascii="Arial" w:hAnsi="Arial" w:cs="Arial"/>
          <w:sz w:val="24"/>
          <w:szCs w:val="24"/>
        </w:rPr>
        <w:t>Mr Chunga</w:t>
      </w:r>
      <w:r w:rsidRPr="00A928AF">
        <w:rPr>
          <w:rFonts w:ascii="Arial" w:hAnsi="Arial" w:cs="Arial"/>
          <w:sz w:val="24"/>
          <w:szCs w:val="24"/>
        </w:rPr>
        <w:t xml:space="preserve"> s</w:t>
      </w:r>
      <w:r>
        <w:rPr>
          <w:rFonts w:ascii="Arial" w:hAnsi="Arial" w:cs="Arial"/>
          <w:sz w:val="24"/>
          <w:szCs w:val="24"/>
        </w:rPr>
        <w:t>ought</w:t>
      </w:r>
      <w:r w:rsidRPr="00A928AF">
        <w:rPr>
          <w:rFonts w:ascii="Arial" w:hAnsi="Arial" w:cs="Arial"/>
          <w:sz w:val="24"/>
          <w:szCs w:val="24"/>
        </w:rPr>
        <w:t xml:space="preserve"> to persuade us that when the prosecutorial team assessed the witness testimonies in November 2010, there was no </w:t>
      </w:r>
      <w:r>
        <w:rPr>
          <w:rFonts w:ascii="Arial" w:hAnsi="Arial" w:cs="Arial"/>
          <w:sz w:val="24"/>
          <w:szCs w:val="24"/>
        </w:rPr>
        <w:t xml:space="preserve">material or information </w:t>
      </w:r>
      <w:r w:rsidRPr="00A928AF">
        <w:rPr>
          <w:rFonts w:ascii="Arial" w:hAnsi="Arial" w:cs="Arial"/>
          <w:sz w:val="24"/>
          <w:szCs w:val="24"/>
        </w:rPr>
        <w:t xml:space="preserve">implicating </w:t>
      </w:r>
      <w:r>
        <w:rPr>
          <w:rFonts w:ascii="Arial" w:hAnsi="Arial" w:cs="Arial"/>
          <w:sz w:val="24"/>
          <w:szCs w:val="24"/>
        </w:rPr>
        <w:t>him</w:t>
      </w:r>
      <w:r w:rsidRPr="00A928AF">
        <w:rPr>
          <w:rFonts w:ascii="Arial" w:hAnsi="Arial" w:cs="Arial"/>
          <w:sz w:val="24"/>
          <w:szCs w:val="24"/>
        </w:rPr>
        <w:t xml:space="preserve">. This was based primarily on two </w:t>
      </w:r>
      <w:r w:rsidR="006977D6">
        <w:rPr>
          <w:rFonts w:ascii="Arial" w:hAnsi="Arial" w:cs="Arial"/>
          <w:sz w:val="24"/>
          <w:szCs w:val="24"/>
        </w:rPr>
        <w:t>consideration</w:t>
      </w:r>
      <w:r w:rsidRPr="00A928AF">
        <w:rPr>
          <w:rFonts w:ascii="Arial" w:hAnsi="Arial" w:cs="Arial"/>
          <w:sz w:val="24"/>
          <w:szCs w:val="24"/>
        </w:rPr>
        <w:t xml:space="preserve">s: first, that no witness positively identified </w:t>
      </w:r>
      <w:r>
        <w:rPr>
          <w:rFonts w:ascii="Arial" w:hAnsi="Arial" w:cs="Arial"/>
          <w:sz w:val="24"/>
          <w:szCs w:val="24"/>
        </w:rPr>
        <w:t>Mr Chunga</w:t>
      </w:r>
      <w:r w:rsidRPr="00A928AF">
        <w:rPr>
          <w:rFonts w:ascii="Arial" w:hAnsi="Arial" w:cs="Arial"/>
          <w:sz w:val="24"/>
          <w:szCs w:val="24"/>
        </w:rPr>
        <w:t xml:space="preserve"> in court, and second that the confession of the only </w:t>
      </w:r>
      <w:r>
        <w:rPr>
          <w:rFonts w:ascii="Arial" w:hAnsi="Arial" w:cs="Arial"/>
          <w:sz w:val="24"/>
          <w:szCs w:val="24"/>
        </w:rPr>
        <w:t>person</w:t>
      </w:r>
      <w:r w:rsidRPr="00A928AF">
        <w:rPr>
          <w:rFonts w:ascii="Arial" w:hAnsi="Arial" w:cs="Arial"/>
          <w:sz w:val="24"/>
          <w:szCs w:val="24"/>
        </w:rPr>
        <w:t xml:space="preserve"> who could tie </w:t>
      </w:r>
      <w:r>
        <w:rPr>
          <w:rFonts w:ascii="Arial" w:hAnsi="Arial" w:cs="Arial"/>
          <w:sz w:val="24"/>
          <w:szCs w:val="24"/>
        </w:rPr>
        <w:t>him</w:t>
      </w:r>
      <w:r w:rsidRPr="00A928AF">
        <w:rPr>
          <w:rFonts w:ascii="Arial" w:hAnsi="Arial" w:cs="Arial"/>
          <w:sz w:val="24"/>
          <w:szCs w:val="24"/>
        </w:rPr>
        <w:t xml:space="preserve"> to</w:t>
      </w:r>
      <w:r>
        <w:rPr>
          <w:rFonts w:ascii="Arial" w:hAnsi="Arial" w:cs="Arial"/>
          <w:sz w:val="24"/>
          <w:szCs w:val="24"/>
        </w:rPr>
        <w:t xml:space="preserve"> the plot</w:t>
      </w:r>
      <w:r w:rsidRPr="00A928AF">
        <w:rPr>
          <w:rFonts w:ascii="Arial" w:hAnsi="Arial" w:cs="Arial"/>
          <w:sz w:val="24"/>
          <w:szCs w:val="24"/>
        </w:rPr>
        <w:t xml:space="preserve"> </w:t>
      </w:r>
      <w:r>
        <w:rPr>
          <w:rFonts w:ascii="Arial" w:hAnsi="Arial" w:cs="Arial"/>
          <w:sz w:val="24"/>
          <w:szCs w:val="24"/>
        </w:rPr>
        <w:t xml:space="preserve">– should he have testified in accordance with the content of his confession - </w:t>
      </w:r>
      <w:r w:rsidRPr="00A928AF">
        <w:rPr>
          <w:rFonts w:ascii="Arial" w:hAnsi="Arial" w:cs="Arial"/>
          <w:sz w:val="24"/>
          <w:szCs w:val="24"/>
        </w:rPr>
        <w:t xml:space="preserve">was held to be inadmissible. Counsel for </w:t>
      </w:r>
      <w:r>
        <w:rPr>
          <w:rFonts w:ascii="Arial" w:hAnsi="Arial" w:cs="Arial"/>
          <w:sz w:val="24"/>
          <w:szCs w:val="24"/>
        </w:rPr>
        <w:t xml:space="preserve">Mr Chunga argued </w:t>
      </w:r>
      <w:r w:rsidRPr="00A928AF">
        <w:rPr>
          <w:rFonts w:ascii="Arial" w:hAnsi="Arial" w:cs="Arial"/>
          <w:sz w:val="24"/>
          <w:szCs w:val="24"/>
        </w:rPr>
        <w:t xml:space="preserve">that </w:t>
      </w:r>
      <w:r>
        <w:rPr>
          <w:rFonts w:ascii="Arial" w:hAnsi="Arial" w:cs="Arial"/>
          <w:sz w:val="24"/>
          <w:szCs w:val="24"/>
        </w:rPr>
        <w:t>the ruling on in</w:t>
      </w:r>
      <w:r w:rsidRPr="00A928AF">
        <w:rPr>
          <w:rFonts w:ascii="Arial" w:hAnsi="Arial" w:cs="Arial"/>
          <w:sz w:val="24"/>
          <w:szCs w:val="24"/>
        </w:rPr>
        <w:t xml:space="preserve">admissibility </w:t>
      </w:r>
      <w:r>
        <w:rPr>
          <w:rFonts w:ascii="Arial" w:hAnsi="Arial" w:cs="Arial"/>
          <w:sz w:val="24"/>
          <w:szCs w:val="24"/>
        </w:rPr>
        <w:t>of the confession wa</w:t>
      </w:r>
      <w:r w:rsidRPr="00A928AF">
        <w:rPr>
          <w:rFonts w:ascii="Arial" w:hAnsi="Arial" w:cs="Arial"/>
          <w:sz w:val="24"/>
          <w:szCs w:val="24"/>
        </w:rPr>
        <w:t>s crucial to judging the prosecution’s actions</w:t>
      </w:r>
      <w:r>
        <w:rPr>
          <w:rFonts w:ascii="Arial" w:hAnsi="Arial" w:cs="Arial"/>
          <w:sz w:val="24"/>
          <w:szCs w:val="24"/>
        </w:rPr>
        <w:t xml:space="preserve"> as </w:t>
      </w:r>
      <w:r w:rsidRPr="00A928AF">
        <w:rPr>
          <w:rFonts w:ascii="Arial" w:hAnsi="Arial" w:cs="Arial"/>
          <w:sz w:val="24"/>
          <w:szCs w:val="24"/>
        </w:rPr>
        <w:t>the prosecutorial team could no longer believe in an</w:t>
      </w:r>
      <w:r>
        <w:rPr>
          <w:rFonts w:ascii="Arial" w:hAnsi="Arial" w:cs="Arial"/>
          <w:sz w:val="24"/>
          <w:szCs w:val="24"/>
        </w:rPr>
        <w:t>y</w:t>
      </w:r>
      <w:r w:rsidRPr="00A928AF">
        <w:rPr>
          <w:rFonts w:ascii="Arial" w:hAnsi="Arial" w:cs="Arial"/>
          <w:sz w:val="24"/>
          <w:szCs w:val="24"/>
        </w:rPr>
        <w:t xml:space="preserve"> admissible </w:t>
      </w:r>
      <w:r>
        <w:rPr>
          <w:rFonts w:ascii="Arial" w:hAnsi="Arial" w:cs="Arial"/>
          <w:sz w:val="24"/>
          <w:szCs w:val="24"/>
        </w:rPr>
        <w:t xml:space="preserve">evidence against Mr Chunga </w:t>
      </w:r>
      <w:r w:rsidRPr="00A928AF">
        <w:rPr>
          <w:rFonts w:ascii="Arial" w:hAnsi="Arial" w:cs="Arial"/>
          <w:sz w:val="24"/>
          <w:szCs w:val="24"/>
        </w:rPr>
        <w:t xml:space="preserve">after 1 March 2010. Therefore, when the </w:t>
      </w:r>
      <w:r w:rsidRPr="00A928AF">
        <w:rPr>
          <w:rFonts w:ascii="Arial" w:hAnsi="Arial" w:cs="Arial"/>
          <w:sz w:val="24"/>
          <w:szCs w:val="24"/>
        </w:rPr>
        <w:lastRenderedPageBreak/>
        <w:t xml:space="preserve">further investigation also turned up no new evidence, </w:t>
      </w:r>
      <w:r>
        <w:rPr>
          <w:rFonts w:ascii="Arial" w:hAnsi="Arial" w:cs="Arial"/>
          <w:sz w:val="24"/>
          <w:szCs w:val="24"/>
        </w:rPr>
        <w:t>counsel contended</w:t>
      </w:r>
      <w:r w:rsidRPr="00A928AF">
        <w:rPr>
          <w:rFonts w:ascii="Arial" w:hAnsi="Arial" w:cs="Arial"/>
          <w:sz w:val="24"/>
          <w:szCs w:val="24"/>
        </w:rPr>
        <w:t>, he should have been discharged under both the objective and subjective elements of the requirement of reasonable and probable cause.</w:t>
      </w:r>
      <w:r w:rsidRPr="00A928AF">
        <w:rPr>
          <w:rStyle w:val="FootnoteReference"/>
          <w:rFonts w:ascii="Arial" w:hAnsi="Arial" w:cs="Arial"/>
          <w:sz w:val="24"/>
          <w:szCs w:val="24"/>
        </w:rPr>
        <w:footnoteReference w:id="8"/>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6977D6"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Counsel’s above argument found favour with the court </w:t>
      </w:r>
      <w:r w:rsidRPr="00412A05">
        <w:rPr>
          <w:rFonts w:ascii="Arial" w:hAnsi="Arial" w:cs="Arial"/>
          <w:i/>
          <w:sz w:val="24"/>
          <w:szCs w:val="24"/>
        </w:rPr>
        <w:t>a quo</w:t>
      </w:r>
      <w:r>
        <w:rPr>
          <w:rFonts w:ascii="Arial" w:hAnsi="Arial" w:cs="Arial"/>
          <w:sz w:val="24"/>
          <w:szCs w:val="24"/>
        </w:rPr>
        <w:t xml:space="preserve"> which</w:t>
      </w:r>
      <w:r w:rsidR="005B771B">
        <w:rPr>
          <w:rFonts w:ascii="Arial" w:hAnsi="Arial" w:cs="Arial"/>
          <w:sz w:val="24"/>
          <w:szCs w:val="24"/>
        </w:rPr>
        <w:t>, as noted in para [22] above</w:t>
      </w:r>
      <w:r w:rsidR="00C8167A">
        <w:rPr>
          <w:rFonts w:ascii="Arial" w:hAnsi="Arial" w:cs="Arial"/>
          <w:sz w:val="24"/>
          <w:szCs w:val="24"/>
        </w:rPr>
        <w:t>,</w:t>
      </w:r>
      <w:r w:rsidR="005B771B">
        <w:rPr>
          <w:rFonts w:ascii="Arial" w:hAnsi="Arial" w:cs="Arial"/>
          <w:sz w:val="24"/>
          <w:szCs w:val="24"/>
        </w:rPr>
        <w:t xml:space="preserve"> </w:t>
      </w:r>
      <w:r w:rsidR="00412A05">
        <w:rPr>
          <w:rFonts w:ascii="Arial" w:hAnsi="Arial" w:cs="Arial"/>
          <w:sz w:val="24"/>
          <w:szCs w:val="24"/>
        </w:rPr>
        <w:t xml:space="preserve">found that </w:t>
      </w:r>
      <w:r w:rsidR="005B771B">
        <w:rPr>
          <w:rFonts w:ascii="Arial" w:hAnsi="Arial" w:cs="Arial"/>
          <w:sz w:val="24"/>
          <w:szCs w:val="24"/>
        </w:rPr>
        <w:t xml:space="preserve">continuing with Mr Chunga’s prosecution in the absence of </w:t>
      </w:r>
      <w:r w:rsidR="00412A05">
        <w:rPr>
          <w:rFonts w:ascii="Arial" w:hAnsi="Arial" w:cs="Arial"/>
          <w:sz w:val="24"/>
          <w:szCs w:val="24"/>
        </w:rPr>
        <w:t xml:space="preserve">evidence of </w:t>
      </w:r>
      <w:r w:rsidR="005B771B">
        <w:rPr>
          <w:rFonts w:ascii="Arial" w:hAnsi="Arial" w:cs="Arial"/>
          <w:sz w:val="24"/>
          <w:szCs w:val="24"/>
        </w:rPr>
        <w:t>identifi</w:t>
      </w:r>
      <w:r w:rsidR="00412A05">
        <w:rPr>
          <w:rFonts w:ascii="Arial" w:hAnsi="Arial" w:cs="Arial"/>
          <w:sz w:val="24"/>
          <w:szCs w:val="24"/>
        </w:rPr>
        <w:t xml:space="preserve">cation </w:t>
      </w:r>
      <w:r w:rsidR="005B771B">
        <w:rPr>
          <w:rFonts w:ascii="Arial" w:hAnsi="Arial" w:cs="Arial"/>
          <w:sz w:val="24"/>
          <w:szCs w:val="24"/>
        </w:rPr>
        <w:t xml:space="preserve">and the lack of inculpating evidence generally against him at the criminal trial </w:t>
      </w:r>
      <w:r w:rsidR="00412A05">
        <w:rPr>
          <w:rFonts w:ascii="Arial" w:hAnsi="Arial" w:cs="Arial"/>
          <w:sz w:val="24"/>
          <w:szCs w:val="24"/>
        </w:rPr>
        <w:t>constituted malice on the part of the prosecution.</w:t>
      </w:r>
      <w:r w:rsidR="005B771B">
        <w:rPr>
          <w:rFonts w:ascii="Arial" w:hAnsi="Arial" w:cs="Arial"/>
          <w:sz w:val="24"/>
          <w:szCs w:val="24"/>
        </w:rPr>
        <w:t xml:space="preserve"> </w:t>
      </w:r>
      <w:r w:rsidR="00412A05">
        <w:rPr>
          <w:rFonts w:ascii="Arial" w:hAnsi="Arial" w:cs="Arial"/>
          <w:sz w:val="24"/>
          <w:szCs w:val="24"/>
        </w:rPr>
        <w:t xml:space="preserve">The above approach and test applied by the court </w:t>
      </w:r>
      <w:r w:rsidR="00412A05" w:rsidRPr="00412A05">
        <w:rPr>
          <w:rFonts w:ascii="Arial" w:hAnsi="Arial" w:cs="Arial"/>
          <w:i/>
          <w:sz w:val="24"/>
          <w:szCs w:val="24"/>
        </w:rPr>
        <w:t>a quo</w:t>
      </w:r>
      <w:r w:rsidR="00412A05">
        <w:rPr>
          <w:rFonts w:ascii="Arial" w:hAnsi="Arial" w:cs="Arial"/>
          <w:sz w:val="24"/>
          <w:szCs w:val="24"/>
        </w:rPr>
        <w:t xml:space="preserve"> are wrong.</w:t>
      </w:r>
      <w:r>
        <w:rPr>
          <w:rFonts w:ascii="Arial" w:hAnsi="Arial" w:cs="Arial"/>
          <w:sz w:val="24"/>
          <w:szCs w:val="24"/>
        </w:rPr>
        <w:t xml:space="preserve"> </w:t>
      </w:r>
      <w:r w:rsidR="001D347A" w:rsidRPr="00A928AF">
        <w:rPr>
          <w:rFonts w:ascii="Arial" w:hAnsi="Arial" w:cs="Arial"/>
          <w:sz w:val="24"/>
          <w:szCs w:val="24"/>
        </w:rPr>
        <w:t xml:space="preserve">The distinction between civil and criminal standards that Lord Denning cautioned about bears repetition here, especially </w:t>
      </w:r>
      <w:r w:rsidR="00412A05">
        <w:rPr>
          <w:rFonts w:ascii="Arial" w:hAnsi="Arial" w:cs="Arial"/>
          <w:sz w:val="24"/>
          <w:szCs w:val="24"/>
        </w:rPr>
        <w:t xml:space="preserve">also </w:t>
      </w:r>
      <w:r w:rsidR="001D347A" w:rsidRPr="00A928AF">
        <w:rPr>
          <w:rFonts w:ascii="Arial" w:hAnsi="Arial" w:cs="Arial"/>
          <w:sz w:val="24"/>
          <w:szCs w:val="24"/>
        </w:rPr>
        <w:t xml:space="preserve">in relation to the parties’ arguments on admissibility and common purpose. </w:t>
      </w:r>
      <w:r w:rsidR="001D347A">
        <w:rPr>
          <w:rFonts w:ascii="Arial" w:hAnsi="Arial" w:cs="Arial"/>
          <w:sz w:val="24"/>
          <w:szCs w:val="24"/>
        </w:rPr>
        <w:t>Mr Chunga and the H</w:t>
      </w:r>
      <w:r w:rsidR="001D347A" w:rsidRPr="00A928AF">
        <w:rPr>
          <w:rFonts w:ascii="Arial" w:hAnsi="Arial" w:cs="Arial"/>
          <w:sz w:val="24"/>
          <w:szCs w:val="24"/>
        </w:rPr>
        <w:t xml:space="preserve">igh </w:t>
      </w:r>
      <w:r w:rsidR="001D347A">
        <w:rPr>
          <w:rFonts w:ascii="Arial" w:hAnsi="Arial" w:cs="Arial"/>
          <w:sz w:val="24"/>
          <w:szCs w:val="24"/>
        </w:rPr>
        <w:t>C</w:t>
      </w:r>
      <w:r w:rsidR="001D347A" w:rsidRPr="00A928AF">
        <w:rPr>
          <w:rFonts w:ascii="Arial" w:hAnsi="Arial" w:cs="Arial"/>
          <w:sz w:val="24"/>
          <w:szCs w:val="24"/>
        </w:rPr>
        <w:t>ourt both conflate</w:t>
      </w:r>
      <w:r w:rsidR="001D347A">
        <w:rPr>
          <w:rFonts w:ascii="Arial" w:hAnsi="Arial" w:cs="Arial"/>
          <w:sz w:val="24"/>
          <w:szCs w:val="24"/>
        </w:rPr>
        <w:t>d</w:t>
      </w:r>
      <w:r w:rsidR="001D347A" w:rsidRPr="00A928AF">
        <w:rPr>
          <w:rFonts w:ascii="Arial" w:hAnsi="Arial" w:cs="Arial"/>
          <w:sz w:val="24"/>
          <w:szCs w:val="24"/>
        </w:rPr>
        <w:t xml:space="preserve"> the civil and criminal standards on this point. This court has adopted the approach of Hawkins J in </w:t>
      </w:r>
      <w:r w:rsidR="001D347A" w:rsidRPr="00A928AF">
        <w:rPr>
          <w:rFonts w:ascii="Arial" w:hAnsi="Arial" w:cs="Arial"/>
          <w:i/>
          <w:iCs/>
          <w:sz w:val="24"/>
          <w:szCs w:val="24"/>
        </w:rPr>
        <w:t>Hicks v Faulkner</w:t>
      </w:r>
      <w:r w:rsidR="001D347A" w:rsidRPr="00A928AF">
        <w:rPr>
          <w:rFonts w:ascii="Arial" w:hAnsi="Arial" w:cs="Arial"/>
          <w:sz w:val="24"/>
          <w:szCs w:val="24"/>
        </w:rPr>
        <w:t xml:space="preserve"> that facts required to establish the actual guilt of the plaintiff</w:t>
      </w:r>
      <w:r w:rsidR="001D347A">
        <w:rPr>
          <w:rFonts w:ascii="Arial" w:hAnsi="Arial" w:cs="Arial"/>
          <w:sz w:val="24"/>
          <w:szCs w:val="24"/>
        </w:rPr>
        <w:t>/accused</w:t>
      </w:r>
      <w:r w:rsidR="001D347A" w:rsidRPr="00A928AF">
        <w:rPr>
          <w:rFonts w:ascii="Arial" w:hAnsi="Arial" w:cs="Arial"/>
          <w:sz w:val="24"/>
          <w:szCs w:val="24"/>
        </w:rPr>
        <w:t xml:space="preserve"> </w:t>
      </w:r>
      <w:r w:rsidR="001D347A">
        <w:rPr>
          <w:rFonts w:ascii="Arial" w:hAnsi="Arial" w:cs="Arial"/>
          <w:sz w:val="24"/>
          <w:szCs w:val="24"/>
        </w:rPr>
        <w:t xml:space="preserve">in the criminal case </w:t>
      </w:r>
      <w:r w:rsidR="001D347A" w:rsidRPr="00A928AF">
        <w:rPr>
          <w:rFonts w:ascii="Arial" w:hAnsi="Arial" w:cs="Arial"/>
          <w:sz w:val="24"/>
          <w:szCs w:val="24"/>
        </w:rPr>
        <w:t xml:space="preserve">and those required to establish a reasonable </w:t>
      </w:r>
      <w:r w:rsidR="001D347A" w:rsidRPr="00A928AF">
        <w:rPr>
          <w:rFonts w:ascii="Arial" w:hAnsi="Arial" w:cs="Arial"/>
          <w:i/>
          <w:sz w:val="24"/>
          <w:szCs w:val="24"/>
        </w:rPr>
        <w:t>bona fi</w:t>
      </w:r>
      <w:r w:rsidR="001D347A">
        <w:rPr>
          <w:rFonts w:ascii="Arial" w:hAnsi="Arial" w:cs="Arial"/>
          <w:i/>
          <w:sz w:val="24"/>
          <w:szCs w:val="24"/>
        </w:rPr>
        <w:t>d</w:t>
      </w:r>
      <w:r w:rsidR="001D347A" w:rsidRPr="00A928AF">
        <w:rPr>
          <w:rFonts w:ascii="Arial" w:hAnsi="Arial" w:cs="Arial"/>
          <w:i/>
          <w:sz w:val="24"/>
          <w:szCs w:val="24"/>
        </w:rPr>
        <w:t xml:space="preserve">e belief in the guilt of the </w:t>
      </w:r>
      <w:r w:rsidR="001D347A">
        <w:rPr>
          <w:rFonts w:ascii="Arial" w:hAnsi="Arial" w:cs="Arial"/>
          <w:i/>
          <w:sz w:val="24"/>
          <w:szCs w:val="24"/>
        </w:rPr>
        <w:t>plaintiff</w:t>
      </w:r>
      <w:r w:rsidR="001D347A" w:rsidRPr="00A928AF">
        <w:rPr>
          <w:rFonts w:ascii="Arial" w:hAnsi="Arial" w:cs="Arial"/>
          <w:sz w:val="24"/>
          <w:szCs w:val="24"/>
        </w:rPr>
        <w:t xml:space="preserve"> </w:t>
      </w:r>
      <w:r w:rsidR="001D347A">
        <w:rPr>
          <w:rFonts w:ascii="Arial" w:hAnsi="Arial" w:cs="Arial"/>
          <w:sz w:val="24"/>
          <w:szCs w:val="24"/>
        </w:rPr>
        <w:t>in the civil case are different</w:t>
      </w:r>
      <w:r w:rsidR="001D347A" w:rsidRPr="00A928AF">
        <w:rPr>
          <w:rFonts w:ascii="Arial" w:hAnsi="Arial" w:cs="Arial"/>
          <w:sz w:val="24"/>
          <w:szCs w:val="24"/>
        </w:rPr>
        <w:t>.</w:t>
      </w:r>
      <w:r w:rsidR="001D347A" w:rsidRPr="00A928AF">
        <w:rPr>
          <w:rStyle w:val="FootnoteReference"/>
          <w:rFonts w:ascii="Arial" w:hAnsi="Arial" w:cs="Arial"/>
          <w:sz w:val="24"/>
          <w:szCs w:val="24"/>
        </w:rPr>
        <w:footnoteReference w:id="9"/>
      </w:r>
      <w:r w:rsidR="001D347A" w:rsidRPr="00A928AF">
        <w:rPr>
          <w:rFonts w:ascii="Arial" w:hAnsi="Arial" w:cs="Arial"/>
          <w:sz w:val="24"/>
          <w:szCs w:val="24"/>
        </w:rPr>
        <w:t xml:space="preserve"> </w:t>
      </w:r>
      <w:r w:rsidR="001D347A">
        <w:rPr>
          <w:rFonts w:ascii="Arial" w:hAnsi="Arial" w:cs="Arial"/>
          <w:sz w:val="24"/>
          <w:szCs w:val="24"/>
        </w:rPr>
        <w:t>In light of the conclusion reached on this aspect of the appeal</w:t>
      </w:r>
      <w:r w:rsidR="001D347A" w:rsidRPr="00A928AF">
        <w:rPr>
          <w:rFonts w:ascii="Arial" w:hAnsi="Arial" w:cs="Arial"/>
          <w:sz w:val="24"/>
          <w:szCs w:val="24"/>
        </w:rPr>
        <w:t xml:space="preserve">, it is not necessary for this court to </w:t>
      </w:r>
      <w:r w:rsidR="001D347A">
        <w:rPr>
          <w:rFonts w:ascii="Arial" w:hAnsi="Arial" w:cs="Arial"/>
          <w:sz w:val="24"/>
          <w:szCs w:val="24"/>
        </w:rPr>
        <w:t>r</w:t>
      </w:r>
      <w:r w:rsidR="001D347A" w:rsidRPr="00A928AF">
        <w:rPr>
          <w:rFonts w:ascii="Arial" w:hAnsi="Arial" w:cs="Arial"/>
          <w:sz w:val="24"/>
          <w:szCs w:val="24"/>
        </w:rPr>
        <w:t>e</w:t>
      </w:r>
      <w:r w:rsidR="001D347A">
        <w:rPr>
          <w:rFonts w:ascii="Arial" w:hAnsi="Arial" w:cs="Arial"/>
          <w:sz w:val="24"/>
          <w:szCs w:val="24"/>
        </w:rPr>
        <w:t xml:space="preserve">state the principles of the </w:t>
      </w:r>
      <w:r w:rsidR="001D347A" w:rsidRPr="00A928AF">
        <w:rPr>
          <w:rFonts w:ascii="Arial" w:hAnsi="Arial" w:cs="Arial"/>
          <w:sz w:val="24"/>
          <w:szCs w:val="24"/>
        </w:rPr>
        <w:t xml:space="preserve">doctrine of common purpose. It is sufficient to state that the </w:t>
      </w:r>
      <w:r w:rsidR="001D347A">
        <w:rPr>
          <w:rFonts w:ascii="Arial" w:hAnsi="Arial" w:cs="Arial"/>
          <w:sz w:val="24"/>
          <w:szCs w:val="24"/>
        </w:rPr>
        <w:t>information at the disposal of</w:t>
      </w:r>
      <w:r w:rsidR="001D347A" w:rsidRPr="00A928AF">
        <w:rPr>
          <w:rFonts w:ascii="Arial" w:hAnsi="Arial" w:cs="Arial"/>
          <w:sz w:val="24"/>
          <w:szCs w:val="24"/>
        </w:rPr>
        <w:t xml:space="preserve"> the PG and her prosecutorial team w</w:t>
      </w:r>
      <w:r w:rsidR="001D347A">
        <w:rPr>
          <w:rFonts w:ascii="Arial" w:hAnsi="Arial" w:cs="Arial"/>
          <w:sz w:val="24"/>
          <w:szCs w:val="24"/>
        </w:rPr>
        <w:t>as</w:t>
      </w:r>
      <w:r w:rsidR="001D347A" w:rsidRPr="00A928AF">
        <w:rPr>
          <w:rFonts w:ascii="Arial" w:hAnsi="Arial" w:cs="Arial"/>
          <w:sz w:val="24"/>
          <w:szCs w:val="24"/>
        </w:rPr>
        <w:t xml:space="preserve"> such that they could have had a reasonable </w:t>
      </w:r>
      <w:r w:rsidR="001D347A">
        <w:rPr>
          <w:rFonts w:ascii="Arial" w:hAnsi="Arial" w:cs="Arial"/>
          <w:sz w:val="24"/>
          <w:szCs w:val="24"/>
        </w:rPr>
        <w:t xml:space="preserve">and </w:t>
      </w:r>
      <w:r w:rsidR="001D347A" w:rsidRPr="00D60210">
        <w:rPr>
          <w:rFonts w:ascii="Arial" w:hAnsi="Arial" w:cs="Arial"/>
          <w:i/>
          <w:sz w:val="24"/>
          <w:szCs w:val="24"/>
        </w:rPr>
        <w:t>bona fide</w:t>
      </w:r>
      <w:r w:rsidR="001D347A">
        <w:rPr>
          <w:rFonts w:ascii="Arial" w:hAnsi="Arial" w:cs="Arial"/>
          <w:sz w:val="24"/>
          <w:szCs w:val="24"/>
        </w:rPr>
        <w:t xml:space="preserve"> </w:t>
      </w:r>
      <w:r w:rsidR="001D347A" w:rsidRPr="00A928AF">
        <w:rPr>
          <w:rFonts w:ascii="Arial" w:hAnsi="Arial" w:cs="Arial"/>
          <w:sz w:val="24"/>
          <w:szCs w:val="24"/>
        </w:rPr>
        <w:t xml:space="preserve">belief in </w:t>
      </w:r>
      <w:r w:rsidR="001D347A">
        <w:rPr>
          <w:rFonts w:ascii="Arial" w:hAnsi="Arial" w:cs="Arial"/>
          <w:sz w:val="24"/>
          <w:szCs w:val="24"/>
        </w:rPr>
        <w:t>Mr Chunga</w:t>
      </w:r>
      <w:r w:rsidR="001D347A" w:rsidRPr="00A928AF">
        <w:rPr>
          <w:rFonts w:ascii="Arial" w:hAnsi="Arial" w:cs="Arial"/>
          <w:sz w:val="24"/>
          <w:szCs w:val="24"/>
        </w:rPr>
        <w:t>’s guilt.</w:t>
      </w:r>
    </w:p>
    <w:p w:rsidR="001D347A" w:rsidRPr="00A928AF" w:rsidRDefault="001D347A" w:rsidP="00604362">
      <w:pPr>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lastRenderedPageBreak/>
        <w:t xml:space="preserve">The </w:t>
      </w:r>
      <w:r>
        <w:rPr>
          <w:rFonts w:ascii="Arial" w:hAnsi="Arial" w:cs="Arial"/>
          <w:sz w:val="24"/>
          <w:szCs w:val="24"/>
        </w:rPr>
        <w:t xml:space="preserve">information </w:t>
      </w:r>
      <w:r w:rsidRPr="00A928AF">
        <w:rPr>
          <w:rFonts w:ascii="Arial" w:hAnsi="Arial" w:cs="Arial"/>
          <w:sz w:val="24"/>
          <w:szCs w:val="24"/>
        </w:rPr>
        <w:t xml:space="preserve">before the prosecutorial team was not merely </w:t>
      </w:r>
      <w:r>
        <w:rPr>
          <w:rFonts w:ascii="Arial" w:hAnsi="Arial" w:cs="Arial"/>
          <w:sz w:val="24"/>
          <w:szCs w:val="24"/>
        </w:rPr>
        <w:t xml:space="preserve">the evidence </w:t>
      </w:r>
      <w:r w:rsidRPr="00A928AF">
        <w:rPr>
          <w:rFonts w:ascii="Arial" w:hAnsi="Arial" w:cs="Arial"/>
          <w:sz w:val="24"/>
          <w:szCs w:val="24"/>
        </w:rPr>
        <w:t xml:space="preserve">given in court during the criminal trial. It was also the </w:t>
      </w:r>
      <w:r>
        <w:rPr>
          <w:rFonts w:ascii="Arial" w:hAnsi="Arial" w:cs="Arial"/>
          <w:sz w:val="24"/>
          <w:szCs w:val="24"/>
        </w:rPr>
        <w:t>information</w:t>
      </w:r>
      <w:r w:rsidRPr="00A928AF">
        <w:rPr>
          <w:rFonts w:ascii="Arial" w:hAnsi="Arial" w:cs="Arial"/>
          <w:sz w:val="24"/>
          <w:szCs w:val="24"/>
        </w:rPr>
        <w:t xml:space="preserve"> contained in the numerous witness statements attesting to </w:t>
      </w:r>
      <w:r>
        <w:rPr>
          <w:rFonts w:ascii="Arial" w:hAnsi="Arial" w:cs="Arial"/>
          <w:sz w:val="24"/>
          <w:szCs w:val="24"/>
        </w:rPr>
        <w:t>Mr Chunga</w:t>
      </w:r>
      <w:r w:rsidRPr="00A928AF">
        <w:rPr>
          <w:rFonts w:ascii="Arial" w:hAnsi="Arial" w:cs="Arial"/>
          <w:sz w:val="24"/>
          <w:szCs w:val="24"/>
        </w:rPr>
        <w:t xml:space="preserve">’s </w:t>
      </w:r>
      <w:r>
        <w:rPr>
          <w:rFonts w:ascii="Arial" w:hAnsi="Arial" w:cs="Arial"/>
          <w:sz w:val="24"/>
          <w:szCs w:val="24"/>
        </w:rPr>
        <w:t xml:space="preserve">activities prior and subsequent to the attack, especially allegations that he had recruited or tried to recruit others to join the attack in and/or around Katima Mulilo, his </w:t>
      </w:r>
      <w:r w:rsidRPr="00A928AF">
        <w:rPr>
          <w:rFonts w:ascii="Arial" w:hAnsi="Arial" w:cs="Arial"/>
          <w:sz w:val="24"/>
          <w:szCs w:val="24"/>
        </w:rPr>
        <w:t xml:space="preserve">alleged </w:t>
      </w:r>
      <w:r>
        <w:rPr>
          <w:rFonts w:ascii="Arial" w:hAnsi="Arial" w:cs="Arial"/>
          <w:sz w:val="24"/>
          <w:szCs w:val="24"/>
        </w:rPr>
        <w:t xml:space="preserve">escape to </w:t>
      </w:r>
      <w:r w:rsidRPr="00A928AF">
        <w:rPr>
          <w:rFonts w:ascii="Arial" w:hAnsi="Arial" w:cs="Arial"/>
          <w:sz w:val="24"/>
          <w:szCs w:val="24"/>
        </w:rPr>
        <w:t xml:space="preserve">Zambia </w:t>
      </w:r>
      <w:r>
        <w:rPr>
          <w:rFonts w:ascii="Arial" w:hAnsi="Arial" w:cs="Arial"/>
          <w:sz w:val="24"/>
          <w:szCs w:val="24"/>
        </w:rPr>
        <w:t xml:space="preserve">shortly after the attack, and </w:t>
      </w:r>
      <w:r w:rsidRPr="00A928AF">
        <w:rPr>
          <w:rFonts w:ascii="Arial" w:hAnsi="Arial" w:cs="Arial"/>
          <w:sz w:val="24"/>
          <w:szCs w:val="24"/>
        </w:rPr>
        <w:t xml:space="preserve">his </w:t>
      </w:r>
      <w:r>
        <w:rPr>
          <w:rFonts w:ascii="Arial" w:hAnsi="Arial" w:cs="Arial"/>
          <w:sz w:val="24"/>
          <w:szCs w:val="24"/>
        </w:rPr>
        <w:t xml:space="preserve">alleged interactions with his </w:t>
      </w:r>
      <w:r w:rsidRPr="00A928AF">
        <w:rPr>
          <w:rFonts w:ascii="Arial" w:hAnsi="Arial" w:cs="Arial"/>
          <w:sz w:val="24"/>
          <w:szCs w:val="24"/>
        </w:rPr>
        <w:t xml:space="preserve">aunt </w:t>
      </w:r>
      <w:r>
        <w:rPr>
          <w:rFonts w:ascii="Arial" w:hAnsi="Arial" w:cs="Arial"/>
          <w:sz w:val="24"/>
          <w:szCs w:val="24"/>
        </w:rPr>
        <w:t>after he was deported from Zambia</w:t>
      </w:r>
      <w:r w:rsidRPr="00A928AF">
        <w:rPr>
          <w:rFonts w:ascii="Arial" w:hAnsi="Arial" w:cs="Arial"/>
          <w:sz w:val="24"/>
          <w:szCs w:val="24"/>
        </w:rPr>
        <w:t xml:space="preserve">. Therefore, </w:t>
      </w:r>
      <w:r w:rsidR="00412A05">
        <w:rPr>
          <w:rFonts w:ascii="Arial" w:hAnsi="Arial" w:cs="Arial"/>
          <w:sz w:val="24"/>
          <w:szCs w:val="24"/>
        </w:rPr>
        <w:t xml:space="preserve">the High Court misdirected itself to have found that </w:t>
      </w:r>
      <w:r w:rsidRPr="00A928AF">
        <w:rPr>
          <w:rFonts w:ascii="Arial" w:hAnsi="Arial" w:cs="Arial"/>
          <w:sz w:val="24"/>
          <w:szCs w:val="24"/>
        </w:rPr>
        <w:t>the prosecutorial team lack</w:t>
      </w:r>
      <w:r w:rsidR="00A311A7">
        <w:rPr>
          <w:rFonts w:ascii="Arial" w:hAnsi="Arial" w:cs="Arial"/>
          <w:sz w:val="24"/>
          <w:szCs w:val="24"/>
        </w:rPr>
        <w:t>ed</w:t>
      </w:r>
      <w:r w:rsidRPr="00A928AF">
        <w:rPr>
          <w:rFonts w:ascii="Arial" w:hAnsi="Arial" w:cs="Arial"/>
          <w:sz w:val="24"/>
          <w:szCs w:val="24"/>
        </w:rPr>
        <w:t xml:space="preserve"> reasonable and probable cause to continue prosecutin</w:t>
      </w:r>
      <w:r>
        <w:rPr>
          <w:rFonts w:ascii="Arial" w:hAnsi="Arial" w:cs="Arial"/>
          <w:sz w:val="24"/>
          <w:szCs w:val="24"/>
        </w:rPr>
        <w:t>g Mr Chunga</w:t>
      </w:r>
      <w:r w:rsidRPr="00A928AF">
        <w:rPr>
          <w:rFonts w:ascii="Arial" w:hAnsi="Arial" w:cs="Arial"/>
          <w:sz w:val="24"/>
          <w:szCs w:val="24"/>
        </w:rPr>
        <w:t xml:space="preserve"> merely because of </w:t>
      </w:r>
      <w:r w:rsidR="00A311A7">
        <w:rPr>
          <w:rFonts w:ascii="Arial" w:hAnsi="Arial" w:cs="Arial"/>
          <w:sz w:val="24"/>
          <w:szCs w:val="24"/>
        </w:rPr>
        <w:t xml:space="preserve">the </w:t>
      </w:r>
      <w:r w:rsidR="00C8167A">
        <w:rPr>
          <w:rFonts w:ascii="Arial" w:hAnsi="Arial" w:cs="Arial"/>
          <w:sz w:val="24"/>
          <w:szCs w:val="24"/>
        </w:rPr>
        <w:t xml:space="preserve">absence of </w:t>
      </w:r>
      <w:r w:rsidR="00A311A7">
        <w:rPr>
          <w:rFonts w:ascii="Arial" w:hAnsi="Arial" w:cs="Arial"/>
          <w:sz w:val="24"/>
          <w:szCs w:val="24"/>
        </w:rPr>
        <w:t xml:space="preserve">evidence of </w:t>
      </w:r>
      <w:r>
        <w:rPr>
          <w:rFonts w:ascii="Arial" w:hAnsi="Arial" w:cs="Arial"/>
          <w:sz w:val="24"/>
          <w:szCs w:val="24"/>
        </w:rPr>
        <w:t xml:space="preserve">his </w:t>
      </w:r>
      <w:r w:rsidRPr="00A928AF">
        <w:rPr>
          <w:rFonts w:ascii="Arial" w:hAnsi="Arial" w:cs="Arial"/>
          <w:sz w:val="24"/>
          <w:szCs w:val="24"/>
        </w:rPr>
        <w:t xml:space="preserve">identification during the criminal trial. </w:t>
      </w:r>
      <w:r w:rsidR="00A311A7">
        <w:rPr>
          <w:rFonts w:ascii="Arial" w:hAnsi="Arial" w:cs="Arial"/>
          <w:sz w:val="24"/>
          <w:szCs w:val="24"/>
        </w:rPr>
        <w:t xml:space="preserve">In any event, Mr Chunga readily admitted </w:t>
      </w:r>
      <w:r w:rsidR="009F6129">
        <w:rPr>
          <w:rFonts w:ascii="Arial" w:hAnsi="Arial" w:cs="Arial"/>
          <w:sz w:val="24"/>
          <w:szCs w:val="24"/>
        </w:rPr>
        <w:t>in</w:t>
      </w:r>
      <w:r w:rsidR="00A311A7">
        <w:rPr>
          <w:rFonts w:ascii="Arial" w:hAnsi="Arial" w:cs="Arial"/>
          <w:sz w:val="24"/>
          <w:szCs w:val="24"/>
        </w:rPr>
        <w:t xml:space="preserve"> the civil trial that </w:t>
      </w:r>
      <w:r w:rsidR="009F6129">
        <w:rPr>
          <w:rFonts w:ascii="Arial" w:hAnsi="Arial" w:cs="Arial"/>
          <w:sz w:val="24"/>
          <w:szCs w:val="24"/>
        </w:rPr>
        <w:t xml:space="preserve">persons </w:t>
      </w:r>
      <w:r w:rsidR="00A311A7">
        <w:rPr>
          <w:rFonts w:ascii="Arial" w:hAnsi="Arial" w:cs="Arial"/>
          <w:sz w:val="24"/>
          <w:szCs w:val="24"/>
        </w:rPr>
        <w:t>who</w:t>
      </w:r>
      <w:r w:rsidR="009F6129">
        <w:rPr>
          <w:rFonts w:ascii="Arial" w:hAnsi="Arial" w:cs="Arial"/>
          <w:sz w:val="24"/>
          <w:szCs w:val="24"/>
        </w:rPr>
        <w:t xml:space="preserve"> mentioned his name in witness statements in relation to his alleged involvement in the attack were referring to him, adding though that the allegations made against him were false.  </w:t>
      </w:r>
    </w:p>
    <w:p w:rsidR="001D347A" w:rsidRPr="00A928AF" w:rsidRDefault="001D347A" w:rsidP="00604362">
      <w:pPr>
        <w:pStyle w:val="ListParagraph"/>
        <w:spacing w:after="0" w:line="480" w:lineRule="auto"/>
        <w:rPr>
          <w:rFonts w:ascii="Arial" w:hAnsi="Arial" w:cs="Arial"/>
          <w:sz w:val="24"/>
          <w:szCs w:val="24"/>
        </w:rPr>
      </w:pPr>
    </w:p>
    <w:p w:rsidR="001D347A" w:rsidRPr="00A311A7" w:rsidRDefault="003B50E5" w:rsidP="00604362">
      <w:pPr>
        <w:pStyle w:val="NoSpacing"/>
        <w:numPr>
          <w:ilvl w:val="0"/>
          <w:numId w:val="1"/>
        </w:numPr>
        <w:spacing w:line="480" w:lineRule="auto"/>
        <w:ind w:left="0" w:firstLine="0"/>
        <w:jc w:val="both"/>
        <w:rPr>
          <w:rFonts w:ascii="Arial" w:hAnsi="Arial" w:cs="Arial"/>
          <w:sz w:val="24"/>
          <w:szCs w:val="24"/>
        </w:rPr>
      </w:pPr>
      <w:r w:rsidRPr="00A311A7">
        <w:rPr>
          <w:rFonts w:ascii="Arial" w:hAnsi="Arial" w:cs="Arial"/>
          <w:sz w:val="24"/>
          <w:szCs w:val="24"/>
        </w:rPr>
        <w:t xml:space="preserve">Mr July also testified that </w:t>
      </w:r>
      <w:r w:rsidR="001D347A" w:rsidRPr="00A311A7">
        <w:rPr>
          <w:rFonts w:ascii="Arial" w:hAnsi="Arial" w:cs="Arial"/>
          <w:sz w:val="24"/>
          <w:szCs w:val="24"/>
        </w:rPr>
        <w:t>the alleged inability to identify accused persons became a strategy on the part of multiple witnesses to undermine the State’s case. Witnesses would claim in their statements that they could identify the relevant accused but would suddenly be unable to do so in open court. Mr July</w:t>
      </w:r>
      <w:r w:rsidRPr="00A311A7">
        <w:rPr>
          <w:rFonts w:ascii="Arial" w:hAnsi="Arial" w:cs="Arial"/>
          <w:sz w:val="24"/>
          <w:szCs w:val="24"/>
        </w:rPr>
        <w:t xml:space="preserve">’s testimony to this effect </w:t>
      </w:r>
      <w:r w:rsidR="001D347A" w:rsidRPr="00A311A7">
        <w:rPr>
          <w:rFonts w:ascii="Arial" w:hAnsi="Arial" w:cs="Arial"/>
          <w:sz w:val="24"/>
          <w:szCs w:val="24"/>
        </w:rPr>
        <w:t>was not seriously questioned or undermined in the civil trial.</w:t>
      </w:r>
      <w:r w:rsidR="00412A05" w:rsidRPr="00A311A7">
        <w:rPr>
          <w:rFonts w:ascii="Arial" w:hAnsi="Arial" w:cs="Arial"/>
          <w:sz w:val="24"/>
          <w:szCs w:val="24"/>
        </w:rPr>
        <w:t xml:space="preserve"> </w:t>
      </w:r>
    </w:p>
    <w:p w:rsidR="009F6129" w:rsidRDefault="009F6129" w:rsidP="00604362">
      <w:pPr>
        <w:pStyle w:val="NoSpacing"/>
        <w:spacing w:line="480" w:lineRule="auto"/>
        <w:jc w:val="both"/>
        <w:rPr>
          <w:rFonts w:ascii="Arial" w:hAnsi="Arial" w:cs="Arial"/>
          <w:sz w:val="24"/>
          <w:szCs w:val="24"/>
        </w:rPr>
      </w:pPr>
    </w:p>
    <w:p w:rsidR="00942095"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Regarding malice, this court has established that the law requires the PG and her prosecutorial team to act with </w:t>
      </w:r>
      <w:r w:rsidRPr="00A928AF">
        <w:rPr>
          <w:rFonts w:ascii="Arial" w:hAnsi="Arial" w:cs="Arial"/>
          <w:i/>
          <w:iCs/>
          <w:sz w:val="24"/>
          <w:szCs w:val="24"/>
        </w:rPr>
        <w:t>dolus eventualis</w:t>
      </w:r>
      <w:r w:rsidRPr="00A928AF">
        <w:rPr>
          <w:rFonts w:ascii="Arial" w:hAnsi="Arial" w:cs="Arial"/>
          <w:sz w:val="24"/>
          <w:szCs w:val="24"/>
        </w:rPr>
        <w:t xml:space="preserve">, meaning that they were reckless to the consequences of their conduct </w:t>
      </w:r>
      <w:r>
        <w:rPr>
          <w:rFonts w:ascii="Arial" w:hAnsi="Arial" w:cs="Arial"/>
          <w:sz w:val="24"/>
          <w:szCs w:val="24"/>
        </w:rPr>
        <w:t>towards Mr Chunga</w:t>
      </w:r>
      <w:r w:rsidRPr="00A928AF">
        <w:rPr>
          <w:rFonts w:ascii="Arial" w:hAnsi="Arial" w:cs="Arial"/>
          <w:sz w:val="24"/>
          <w:szCs w:val="24"/>
        </w:rPr>
        <w:t xml:space="preserve">. </w:t>
      </w:r>
      <w:r>
        <w:rPr>
          <w:rFonts w:ascii="Arial" w:hAnsi="Arial" w:cs="Arial"/>
          <w:sz w:val="24"/>
          <w:szCs w:val="24"/>
        </w:rPr>
        <w:t>Mr Chunga conten</w:t>
      </w:r>
      <w:r w:rsidRPr="00A928AF">
        <w:rPr>
          <w:rFonts w:ascii="Arial" w:hAnsi="Arial" w:cs="Arial"/>
          <w:sz w:val="24"/>
          <w:szCs w:val="24"/>
        </w:rPr>
        <w:t>ded that continuing with the prosecution after 31 January 2008 demonstrate</w:t>
      </w:r>
      <w:r>
        <w:rPr>
          <w:rFonts w:ascii="Arial" w:hAnsi="Arial" w:cs="Arial"/>
          <w:sz w:val="24"/>
          <w:szCs w:val="24"/>
        </w:rPr>
        <w:t>d</w:t>
      </w:r>
      <w:r w:rsidRPr="00A928AF">
        <w:rPr>
          <w:rFonts w:ascii="Arial" w:hAnsi="Arial" w:cs="Arial"/>
          <w:sz w:val="24"/>
          <w:szCs w:val="24"/>
        </w:rPr>
        <w:t xml:space="preserve"> exactly such recklessness. However, as outlined above, not meeting the criminal standard to the </w:t>
      </w:r>
      <w:r w:rsidRPr="00A928AF">
        <w:rPr>
          <w:rFonts w:ascii="Arial" w:hAnsi="Arial" w:cs="Arial"/>
          <w:sz w:val="24"/>
          <w:szCs w:val="24"/>
        </w:rPr>
        <w:lastRenderedPageBreak/>
        <w:t xml:space="preserve">satisfaction of the judge in the criminal case does not necessarily imply recklessness. </w:t>
      </w:r>
      <w:r>
        <w:rPr>
          <w:rFonts w:ascii="Arial" w:hAnsi="Arial" w:cs="Arial"/>
          <w:sz w:val="24"/>
          <w:szCs w:val="24"/>
        </w:rPr>
        <w:t xml:space="preserve">Mr </w:t>
      </w:r>
      <w:r w:rsidRPr="00A928AF">
        <w:rPr>
          <w:rFonts w:ascii="Arial" w:hAnsi="Arial" w:cs="Arial"/>
          <w:sz w:val="24"/>
          <w:szCs w:val="24"/>
        </w:rPr>
        <w:t>July</w:t>
      </w:r>
      <w:r>
        <w:rPr>
          <w:rFonts w:ascii="Arial" w:hAnsi="Arial" w:cs="Arial"/>
          <w:sz w:val="24"/>
          <w:szCs w:val="24"/>
        </w:rPr>
        <w:t>’s approach</w:t>
      </w:r>
      <w:r w:rsidRPr="00A928AF">
        <w:rPr>
          <w:rFonts w:ascii="Arial" w:hAnsi="Arial" w:cs="Arial"/>
          <w:sz w:val="24"/>
          <w:szCs w:val="24"/>
        </w:rPr>
        <w:t xml:space="preserve"> that the case and the evidence must be assessed holistically</w:t>
      </w:r>
      <w:r>
        <w:rPr>
          <w:rFonts w:ascii="Arial" w:hAnsi="Arial" w:cs="Arial"/>
          <w:sz w:val="24"/>
          <w:szCs w:val="24"/>
        </w:rPr>
        <w:t xml:space="preserve"> is undoubtedly correct</w:t>
      </w:r>
      <w:r w:rsidRPr="00A928AF">
        <w:rPr>
          <w:rFonts w:ascii="Arial" w:hAnsi="Arial" w:cs="Arial"/>
          <w:sz w:val="24"/>
          <w:szCs w:val="24"/>
        </w:rPr>
        <w:t xml:space="preserve">. </w:t>
      </w:r>
      <w:r w:rsidR="009F6129">
        <w:rPr>
          <w:rFonts w:ascii="Arial" w:hAnsi="Arial" w:cs="Arial"/>
          <w:sz w:val="24"/>
          <w:szCs w:val="24"/>
        </w:rPr>
        <w:t xml:space="preserve">The High Court rejected Mr July’s evidence why the prosecution against Mr Chunga was not stopped. </w:t>
      </w:r>
    </w:p>
    <w:p w:rsidR="00942095" w:rsidRDefault="00942095" w:rsidP="00604362">
      <w:pPr>
        <w:pStyle w:val="ListParagraph"/>
        <w:spacing w:after="0" w:line="480" w:lineRule="auto"/>
        <w:rPr>
          <w:rFonts w:ascii="Arial" w:hAnsi="Arial" w:cs="Arial"/>
          <w:sz w:val="24"/>
          <w:szCs w:val="24"/>
        </w:rPr>
      </w:pPr>
    </w:p>
    <w:p w:rsidR="001D347A" w:rsidRPr="00A928AF" w:rsidRDefault="00942095"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July </w:t>
      </w:r>
      <w:r w:rsidR="009F6129">
        <w:rPr>
          <w:rFonts w:ascii="Arial" w:hAnsi="Arial" w:cs="Arial"/>
          <w:sz w:val="24"/>
          <w:szCs w:val="24"/>
        </w:rPr>
        <w:t xml:space="preserve">stated that the prosecution </w:t>
      </w:r>
      <w:r w:rsidR="004F74E5">
        <w:rPr>
          <w:rFonts w:ascii="Arial" w:hAnsi="Arial" w:cs="Arial"/>
          <w:sz w:val="24"/>
          <w:szCs w:val="24"/>
        </w:rPr>
        <w:t>adopted their strategy based on the multiple accused persons – the common purpose and conspiracy principles – and that it would have been prejudicial to the prosecution</w:t>
      </w:r>
      <w:r w:rsidR="00001D2D">
        <w:rPr>
          <w:rFonts w:ascii="Arial" w:hAnsi="Arial" w:cs="Arial"/>
          <w:sz w:val="24"/>
          <w:szCs w:val="24"/>
        </w:rPr>
        <w:t xml:space="preserve">’s </w:t>
      </w:r>
      <w:r w:rsidR="004F74E5">
        <w:rPr>
          <w:rFonts w:ascii="Arial" w:hAnsi="Arial" w:cs="Arial"/>
          <w:sz w:val="24"/>
          <w:szCs w:val="24"/>
        </w:rPr>
        <w:t xml:space="preserve">case to stop the prosecution in the circumstances where Mr Chunga could be implicated by other accused persons. It was an error of law for the High Court to </w:t>
      </w:r>
      <w:r w:rsidR="00C8167A">
        <w:rPr>
          <w:rFonts w:ascii="Arial" w:hAnsi="Arial" w:cs="Arial"/>
          <w:sz w:val="24"/>
          <w:szCs w:val="24"/>
        </w:rPr>
        <w:t xml:space="preserve">have </w:t>
      </w:r>
      <w:r w:rsidR="004F74E5">
        <w:rPr>
          <w:rFonts w:ascii="Arial" w:hAnsi="Arial" w:cs="Arial"/>
          <w:sz w:val="24"/>
          <w:szCs w:val="24"/>
        </w:rPr>
        <w:t>reject</w:t>
      </w:r>
      <w:r w:rsidR="00C8167A">
        <w:rPr>
          <w:rFonts w:ascii="Arial" w:hAnsi="Arial" w:cs="Arial"/>
          <w:sz w:val="24"/>
          <w:szCs w:val="24"/>
        </w:rPr>
        <w:t>ed</w:t>
      </w:r>
      <w:r w:rsidR="004F74E5">
        <w:rPr>
          <w:rFonts w:ascii="Arial" w:hAnsi="Arial" w:cs="Arial"/>
          <w:sz w:val="24"/>
          <w:szCs w:val="24"/>
        </w:rPr>
        <w:t xml:space="preserve"> that evidence without it being refuted. It would appear that the High Court second-guessed the decision of the prosecution when Mr July’s evidence was not </w:t>
      </w:r>
      <w:r w:rsidR="00001D2D">
        <w:rPr>
          <w:rFonts w:ascii="Arial" w:hAnsi="Arial" w:cs="Arial"/>
          <w:sz w:val="24"/>
          <w:szCs w:val="24"/>
        </w:rPr>
        <w:t>contradicted</w:t>
      </w:r>
      <w:r w:rsidR="004F74E5">
        <w:rPr>
          <w:rFonts w:ascii="Arial" w:hAnsi="Arial" w:cs="Arial"/>
          <w:sz w:val="24"/>
          <w:szCs w:val="24"/>
        </w:rPr>
        <w:t>.</w:t>
      </w:r>
      <w:r w:rsidR="009F6129">
        <w:rPr>
          <w:rFonts w:ascii="Arial" w:hAnsi="Arial" w:cs="Arial"/>
          <w:sz w:val="24"/>
          <w:szCs w:val="24"/>
        </w:rPr>
        <w:t xml:space="preserve"> </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Chunga</w:t>
      </w:r>
      <w:r w:rsidRPr="00A928AF">
        <w:rPr>
          <w:rFonts w:ascii="Arial" w:hAnsi="Arial" w:cs="Arial"/>
          <w:sz w:val="24"/>
          <w:szCs w:val="24"/>
        </w:rPr>
        <w:t xml:space="preserve">’s argument in response to the question </w:t>
      </w:r>
      <w:r>
        <w:rPr>
          <w:rFonts w:ascii="Arial" w:hAnsi="Arial" w:cs="Arial"/>
          <w:sz w:val="24"/>
          <w:szCs w:val="24"/>
        </w:rPr>
        <w:t>of ‘w</w:t>
      </w:r>
      <w:r w:rsidRPr="00A928AF">
        <w:rPr>
          <w:rFonts w:ascii="Arial" w:hAnsi="Arial" w:cs="Arial"/>
          <w:sz w:val="24"/>
          <w:szCs w:val="24"/>
        </w:rPr>
        <w:t xml:space="preserve">hat </w:t>
      </w:r>
      <w:r>
        <w:rPr>
          <w:rFonts w:ascii="Arial" w:hAnsi="Arial" w:cs="Arial"/>
          <w:sz w:val="24"/>
          <w:szCs w:val="24"/>
        </w:rPr>
        <w:t xml:space="preserve">had </w:t>
      </w:r>
      <w:r w:rsidRPr="00A928AF">
        <w:rPr>
          <w:rFonts w:ascii="Arial" w:hAnsi="Arial" w:cs="Arial"/>
          <w:sz w:val="24"/>
          <w:szCs w:val="24"/>
        </w:rPr>
        <w:t>changed</w:t>
      </w:r>
      <w:r>
        <w:rPr>
          <w:rFonts w:ascii="Arial" w:hAnsi="Arial" w:cs="Arial"/>
          <w:sz w:val="24"/>
          <w:szCs w:val="24"/>
        </w:rPr>
        <w:t>’ in the State’s case</w:t>
      </w:r>
      <w:r w:rsidRPr="00A928AF">
        <w:rPr>
          <w:rFonts w:ascii="Arial" w:hAnsi="Arial" w:cs="Arial"/>
          <w:sz w:val="24"/>
          <w:szCs w:val="24"/>
        </w:rPr>
        <w:t xml:space="preserve"> after 31 January 2008</w:t>
      </w:r>
      <w:r>
        <w:rPr>
          <w:rStyle w:val="FootnoteReference"/>
          <w:rFonts w:ascii="Arial" w:hAnsi="Arial" w:cs="Arial"/>
          <w:sz w:val="24"/>
          <w:szCs w:val="24"/>
        </w:rPr>
        <w:footnoteReference w:id="10"/>
      </w:r>
      <w:r w:rsidRPr="00A928AF">
        <w:rPr>
          <w:rFonts w:ascii="Arial" w:hAnsi="Arial" w:cs="Arial"/>
          <w:sz w:val="24"/>
          <w:szCs w:val="24"/>
        </w:rPr>
        <w:t xml:space="preserve"> to persuade us to uphold his alternative claim is based largely on the legally insufficient evidence at the criminal trial. Given the distinction between civil and criminal standards and the issue of identification, we find that </w:t>
      </w:r>
      <w:r>
        <w:rPr>
          <w:rFonts w:ascii="Arial" w:hAnsi="Arial" w:cs="Arial"/>
          <w:sz w:val="24"/>
          <w:szCs w:val="24"/>
        </w:rPr>
        <w:t xml:space="preserve">Mr Chunga </w:t>
      </w:r>
      <w:r w:rsidRPr="00A928AF">
        <w:rPr>
          <w:rFonts w:ascii="Arial" w:hAnsi="Arial" w:cs="Arial"/>
          <w:sz w:val="24"/>
          <w:szCs w:val="24"/>
        </w:rPr>
        <w:t>has not persuasively addressed this question.</w:t>
      </w:r>
    </w:p>
    <w:p w:rsidR="001D347A" w:rsidRPr="00A928AF" w:rsidRDefault="001D347A" w:rsidP="00604362">
      <w:pPr>
        <w:pStyle w:val="ListParagraph"/>
        <w:spacing w:after="0" w:line="480" w:lineRule="auto"/>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 xml:space="preserve">The fact that the trial was of such a large and unique nature is also relevant to the malice inquiry. It was not as simple for the PG and her prosecutorial team to attempt to divide the trial after 31 January 2008 to discharge only </w:t>
      </w:r>
      <w:r>
        <w:rPr>
          <w:rFonts w:ascii="Arial" w:hAnsi="Arial" w:cs="Arial"/>
          <w:sz w:val="24"/>
          <w:szCs w:val="24"/>
        </w:rPr>
        <w:t xml:space="preserve">Mr Chunga, when the initial </w:t>
      </w:r>
      <w:r>
        <w:rPr>
          <w:rFonts w:ascii="Arial" w:hAnsi="Arial" w:cs="Arial"/>
          <w:sz w:val="24"/>
          <w:szCs w:val="24"/>
        </w:rPr>
        <w:lastRenderedPageBreak/>
        <w:t>indictment had been levied against all 126 co-accused acting in a conspiracy. While the prosecutor, of course, has a duty to individually assess the evidence against each particular accused, on the facts of this case it cannot be said that the prosecutorial team acted recklessly in refusing to sever Mr Chunga from the rest of the accused persons at the close of the State’s case in January 2008.</w:t>
      </w:r>
    </w:p>
    <w:p w:rsidR="001D347A" w:rsidRPr="00A928AF" w:rsidRDefault="001D347A" w:rsidP="00604362">
      <w:pPr>
        <w:pStyle w:val="NoSpacing"/>
        <w:spacing w:line="480" w:lineRule="auto"/>
        <w:jc w:val="both"/>
        <w:rPr>
          <w:rFonts w:ascii="Arial" w:hAnsi="Arial" w:cs="Arial"/>
          <w:sz w:val="24"/>
          <w:szCs w:val="24"/>
        </w:rPr>
      </w:pPr>
    </w:p>
    <w:p w:rsidR="001D347A" w:rsidRPr="00A928AF" w:rsidRDefault="001D347A" w:rsidP="00604362">
      <w:pPr>
        <w:pStyle w:val="NoSpacing"/>
        <w:numPr>
          <w:ilvl w:val="0"/>
          <w:numId w:val="1"/>
        </w:numPr>
        <w:spacing w:line="480" w:lineRule="auto"/>
        <w:ind w:left="0" w:firstLine="0"/>
        <w:jc w:val="both"/>
        <w:rPr>
          <w:rFonts w:ascii="Arial" w:hAnsi="Arial" w:cs="Arial"/>
          <w:sz w:val="24"/>
          <w:szCs w:val="24"/>
        </w:rPr>
      </w:pPr>
      <w:r w:rsidRPr="00A928AF">
        <w:rPr>
          <w:rFonts w:ascii="Arial" w:hAnsi="Arial" w:cs="Arial"/>
          <w:sz w:val="24"/>
          <w:szCs w:val="24"/>
        </w:rPr>
        <w:t>There is a further basis, aside from our own analysis of the facts</w:t>
      </w:r>
      <w:r>
        <w:rPr>
          <w:rFonts w:ascii="Arial" w:hAnsi="Arial" w:cs="Arial"/>
          <w:sz w:val="24"/>
          <w:szCs w:val="24"/>
        </w:rPr>
        <w:t>, to reverse the High C</w:t>
      </w:r>
      <w:r w:rsidRPr="00A928AF">
        <w:rPr>
          <w:rFonts w:ascii="Arial" w:hAnsi="Arial" w:cs="Arial"/>
          <w:sz w:val="24"/>
          <w:szCs w:val="24"/>
        </w:rPr>
        <w:t>ourt’s ruling on the alternative claim. That is</w:t>
      </w:r>
      <w:r>
        <w:rPr>
          <w:rFonts w:ascii="Arial" w:hAnsi="Arial" w:cs="Arial"/>
          <w:sz w:val="24"/>
          <w:szCs w:val="24"/>
        </w:rPr>
        <w:t>, its reliance on the H</w:t>
      </w:r>
      <w:r w:rsidRPr="00A928AF">
        <w:rPr>
          <w:rFonts w:ascii="Arial" w:hAnsi="Arial" w:cs="Arial"/>
          <w:sz w:val="24"/>
          <w:szCs w:val="24"/>
        </w:rPr>
        <w:t xml:space="preserve">igh </w:t>
      </w:r>
      <w:r>
        <w:rPr>
          <w:rFonts w:ascii="Arial" w:hAnsi="Arial" w:cs="Arial"/>
          <w:sz w:val="24"/>
          <w:szCs w:val="24"/>
        </w:rPr>
        <w:t>C</w:t>
      </w:r>
      <w:r w:rsidRPr="00A928AF">
        <w:rPr>
          <w:rFonts w:ascii="Arial" w:hAnsi="Arial" w:cs="Arial"/>
          <w:sz w:val="24"/>
          <w:szCs w:val="24"/>
        </w:rPr>
        <w:t xml:space="preserve">ourt judgment in </w:t>
      </w:r>
      <w:r>
        <w:rPr>
          <w:rFonts w:ascii="Arial" w:hAnsi="Arial" w:cs="Arial"/>
          <w:sz w:val="24"/>
          <w:szCs w:val="24"/>
        </w:rPr>
        <w:t xml:space="preserve">the first </w:t>
      </w:r>
      <w:r w:rsidRPr="00A928AF">
        <w:rPr>
          <w:rFonts w:ascii="Arial" w:hAnsi="Arial" w:cs="Arial"/>
          <w:i/>
          <w:iCs/>
          <w:sz w:val="24"/>
          <w:szCs w:val="24"/>
        </w:rPr>
        <w:t>Mahupelo</w:t>
      </w:r>
      <w:r w:rsidRPr="00A928AF">
        <w:rPr>
          <w:rFonts w:ascii="Arial" w:hAnsi="Arial" w:cs="Arial"/>
          <w:sz w:val="24"/>
          <w:szCs w:val="24"/>
        </w:rPr>
        <w:t>. Th</w:t>
      </w:r>
      <w:r>
        <w:rPr>
          <w:rFonts w:ascii="Arial" w:hAnsi="Arial" w:cs="Arial"/>
          <w:sz w:val="24"/>
          <w:szCs w:val="24"/>
        </w:rPr>
        <w:t xml:space="preserve">at decision was </w:t>
      </w:r>
      <w:r w:rsidRPr="00A928AF">
        <w:rPr>
          <w:rFonts w:ascii="Arial" w:hAnsi="Arial" w:cs="Arial"/>
          <w:sz w:val="24"/>
          <w:szCs w:val="24"/>
        </w:rPr>
        <w:t xml:space="preserve">reversed based largely on the issue of </w:t>
      </w:r>
      <w:r>
        <w:rPr>
          <w:rFonts w:ascii="Arial" w:hAnsi="Arial" w:cs="Arial"/>
          <w:sz w:val="24"/>
          <w:szCs w:val="24"/>
        </w:rPr>
        <w:t xml:space="preserve">the </w:t>
      </w:r>
      <w:r w:rsidRPr="00A928AF">
        <w:rPr>
          <w:rFonts w:ascii="Arial" w:hAnsi="Arial" w:cs="Arial"/>
          <w:sz w:val="24"/>
          <w:szCs w:val="24"/>
        </w:rPr>
        <w:t xml:space="preserve">development of the common law and the </w:t>
      </w:r>
      <w:r w:rsidR="004F74E5">
        <w:rPr>
          <w:rFonts w:ascii="Arial" w:hAnsi="Arial" w:cs="Arial"/>
          <w:sz w:val="24"/>
          <w:szCs w:val="24"/>
        </w:rPr>
        <w:t xml:space="preserve">application of the wrong </w:t>
      </w:r>
      <w:r w:rsidRPr="00A928AF">
        <w:rPr>
          <w:rFonts w:ascii="Arial" w:hAnsi="Arial" w:cs="Arial"/>
          <w:sz w:val="24"/>
          <w:szCs w:val="24"/>
        </w:rPr>
        <w:t xml:space="preserve">standards for the delict of malicious prosecution. Although </w:t>
      </w:r>
      <w:r>
        <w:rPr>
          <w:rFonts w:ascii="Arial" w:hAnsi="Arial" w:cs="Arial"/>
          <w:sz w:val="24"/>
          <w:szCs w:val="24"/>
        </w:rPr>
        <w:t>Mr Chunga argue</w:t>
      </w:r>
      <w:r w:rsidRPr="00A928AF">
        <w:rPr>
          <w:rFonts w:ascii="Arial" w:hAnsi="Arial" w:cs="Arial"/>
          <w:sz w:val="24"/>
          <w:szCs w:val="24"/>
        </w:rPr>
        <w:t xml:space="preserve">d that the </w:t>
      </w:r>
      <w:r>
        <w:rPr>
          <w:rFonts w:ascii="Arial" w:hAnsi="Arial" w:cs="Arial"/>
          <w:sz w:val="24"/>
          <w:szCs w:val="24"/>
        </w:rPr>
        <w:t>H</w:t>
      </w:r>
      <w:r w:rsidRPr="00A928AF">
        <w:rPr>
          <w:rFonts w:ascii="Arial" w:hAnsi="Arial" w:cs="Arial"/>
          <w:sz w:val="24"/>
          <w:szCs w:val="24"/>
        </w:rPr>
        <w:t xml:space="preserve">igh </w:t>
      </w:r>
      <w:r>
        <w:rPr>
          <w:rFonts w:ascii="Arial" w:hAnsi="Arial" w:cs="Arial"/>
          <w:sz w:val="24"/>
          <w:szCs w:val="24"/>
        </w:rPr>
        <w:t>C</w:t>
      </w:r>
      <w:r w:rsidRPr="00A928AF">
        <w:rPr>
          <w:rFonts w:ascii="Arial" w:hAnsi="Arial" w:cs="Arial"/>
          <w:sz w:val="24"/>
          <w:szCs w:val="24"/>
        </w:rPr>
        <w:t xml:space="preserve">ourt in this case did not </w:t>
      </w:r>
      <w:r>
        <w:rPr>
          <w:rFonts w:ascii="Arial" w:hAnsi="Arial" w:cs="Arial"/>
          <w:sz w:val="24"/>
          <w:szCs w:val="24"/>
        </w:rPr>
        <w:t>‘</w:t>
      </w:r>
      <w:r w:rsidRPr="00A928AF">
        <w:rPr>
          <w:rFonts w:ascii="Arial" w:hAnsi="Arial" w:cs="Arial"/>
          <w:sz w:val="24"/>
          <w:szCs w:val="24"/>
        </w:rPr>
        <w:t>materially</w:t>
      </w:r>
      <w:r>
        <w:rPr>
          <w:rFonts w:ascii="Arial" w:hAnsi="Arial" w:cs="Arial"/>
          <w:sz w:val="24"/>
          <w:szCs w:val="24"/>
        </w:rPr>
        <w:t>’</w:t>
      </w:r>
      <w:r w:rsidRPr="00A928AF">
        <w:rPr>
          <w:rFonts w:ascii="Arial" w:hAnsi="Arial" w:cs="Arial"/>
          <w:sz w:val="24"/>
          <w:szCs w:val="24"/>
        </w:rPr>
        <w:t xml:space="preserve"> rely on </w:t>
      </w:r>
      <w:r>
        <w:rPr>
          <w:rFonts w:ascii="Arial" w:hAnsi="Arial" w:cs="Arial"/>
          <w:sz w:val="24"/>
          <w:szCs w:val="24"/>
        </w:rPr>
        <w:t xml:space="preserve">the first </w:t>
      </w:r>
      <w:r w:rsidRPr="00A928AF">
        <w:rPr>
          <w:rFonts w:ascii="Arial" w:hAnsi="Arial" w:cs="Arial"/>
          <w:i/>
          <w:iCs/>
          <w:sz w:val="24"/>
          <w:szCs w:val="24"/>
        </w:rPr>
        <w:t>Mahupelo</w:t>
      </w:r>
      <w:r>
        <w:rPr>
          <w:rFonts w:ascii="Arial" w:hAnsi="Arial" w:cs="Arial"/>
          <w:iCs/>
          <w:sz w:val="24"/>
          <w:szCs w:val="24"/>
        </w:rPr>
        <w:t>,</w:t>
      </w:r>
      <w:r>
        <w:rPr>
          <w:rFonts w:ascii="Arial" w:hAnsi="Arial" w:cs="Arial"/>
          <w:sz w:val="24"/>
          <w:szCs w:val="24"/>
        </w:rPr>
        <w:t xml:space="preserve"> t</w:t>
      </w:r>
      <w:r w:rsidRPr="00A928AF">
        <w:rPr>
          <w:rFonts w:ascii="Arial" w:hAnsi="Arial" w:cs="Arial"/>
          <w:sz w:val="24"/>
          <w:szCs w:val="24"/>
        </w:rPr>
        <w:t>h</w:t>
      </w:r>
      <w:r>
        <w:rPr>
          <w:rFonts w:ascii="Arial" w:hAnsi="Arial" w:cs="Arial"/>
          <w:sz w:val="24"/>
          <w:szCs w:val="24"/>
        </w:rPr>
        <w:t>e</w:t>
      </w:r>
      <w:r w:rsidRPr="00A928AF">
        <w:rPr>
          <w:rFonts w:ascii="Arial" w:hAnsi="Arial" w:cs="Arial"/>
          <w:sz w:val="24"/>
          <w:szCs w:val="24"/>
        </w:rPr>
        <w:t xml:space="preserve"> </w:t>
      </w:r>
      <w:r>
        <w:rPr>
          <w:rFonts w:ascii="Arial" w:hAnsi="Arial" w:cs="Arial"/>
          <w:sz w:val="24"/>
          <w:szCs w:val="24"/>
        </w:rPr>
        <w:t xml:space="preserve">argument </w:t>
      </w:r>
      <w:r w:rsidRPr="00A928AF">
        <w:rPr>
          <w:rFonts w:ascii="Arial" w:hAnsi="Arial" w:cs="Arial"/>
          <w:sz w:val="24"/>
          <w:szCs w:val="24"/>
        </w:rPr>
        <w:t>does not appear to be sound.</w:t>
      </w:r>
    </w:p>
    <w:p w:rsidR="001D347A" w:rsidRPr="00A928AF" w:rsidRDefault="001D347A" w:rsidP="00604362">
      <w:pPr>
        <w:pStyle w:val="ListParagraph"/>
        <w:spacing w:after="0" w:line="480" w:lineRule="auto"/>
        <w:rPr>
          <w:rFonts w:ascii="Arial" w:hAnsi="Arial" w:cs="Arial"/>
          <w:sz w:val="24"/>
          <w:szCs w:val="24"/>
        </w:rPr>
      </w:pPr>
    </w:p>
    <w:p w:rsidR="001D347A" w:rsidRDefault="001D347A" w:rsidP="006043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w:t>
      </w:r>
      <w:r w:rsidRPr="00A928AF">
        <w:rPr>
          <w:rFonts w:ascii="Arial" w:hAnsi="Arial" w:cs="Arial"/>
          <w:sz w:val="24"/>
          <w:szCs w:val="24"/>
        </w:rPr>
        <w:t xml:space="preserve">igh </w:t>
      </w:r>
      <w:r>
        <w:rPr>
          <w:rFonts w:ascii="Arial" w:hAnsi="Arial" w:cs="Arial"/>
          <w:sz w:val="24"/>
          <w:szCs w:val="24"/>
        </w:rPr>
        <w:t>C</w:t>
      </w:r>
      <w:r w:rsidRPr="00A928AF">
        <w:rPr>
          <w:rFonts w:ascii="Arial" w:hAnsi="Arial" w:cs="Arial"/>
          <w:sz w:val="24"/>
          <w:szCs w:val="24"/>
        </w:rPr>
        <w:t xml:space="preserve">ourt explicitly adopted </w:t>
      </w:r>
      <w:r>
        <w:rPr>
          <w:rFonts w:ascii="Arial" w:hAnsi="Arial" w:cs="Arial"/>
          <w:sz w:val="24"/>
          <w:szCs w:val="24"/>
        </w:rPr>
        <w:t>the</w:t>
      </w:r>
      <w:r w:rsidRPr="00A928AF">
        <w:rPr>
          <w:rFonts w:ascii="Arial" w:hAnsi="Arial" w:cs="Arial"/>
          <w:sz w:val="24"/>
          <w:szCs w:val="24"/>
        </w:rPr>
        <w:t xml:space="preserve"> finding in </w:t>
      </w:r>
      <w:r>
        <w:rPr>
          <w:rFonts w:ascii="Arial" w:hAnsi="Arial" w:cs="Arial"/>
          <w:sz w:val="24"/>
          <w:szCs w:val="24"/>
        </w:rPr>
        <w:t xml:space="preserve">the first </w:t>
      </w:r>
      <w:r w:rsidRPr="00A928AF">
        <w:rPr>
          <w:rFonts w:ascii="Arial" w:hAnsi="Arial" w:cs="Arial"/>
          <w:i/>
          <w:iCs/>
          <w:sz w:val="24"/>
          <w:szCs w:val="24"/>
        </w:rPr>
        <w:t>Mahupelo</w:t>
      </w:r>
      <w:r w:rsidRPr="00A928AF">
        <w:rPr>
          <w:rFonts w:ascii="Arial" w:hAnsi="Arial" w:cs="Arial"/>
          <w:sz w:val="24"/>
          <w:szCs w:val="24"/>
        </w:rPr>
        <w:t xml:space="preserve"> on </w:t>
      </w:r>
      <w:r>
        <w:rPr>
          <w:rFonts w:ascii="Arial" w:hAnsi="Arial" w:cs="Arial"/>
          <w:sz w:val="24"/>
          <w:szCs w:val="24"/>
        </w:rPr>
        <w:t xml:space="preserve">the </w:t>
      </w:r>
      <w:r w:rsidRPr="00A928AF">
        <w:rPr>
          <w:rFonts w:ascii="Arial" w:hAnsi="Arial" w:cs="Arial"/>
          <w:sz w:val="24"/>
          <w:szCs w:val="24"/>
        </w:rPr>
        <w:t>expansion of the common law</w:t>
      </w:r>
      <w:r>
        <w:rPr>
          <w:rFonts w:ascii="Arial" w:hAnsi="Arial" w:cs="Arial"/>
          <w:sz w:val="24"/>
          <w:szCs w:val="24"/>
        </w:rPr>
        <w:t>. Further</w:t>
      </w:r>
      <w:r w:rsidRPr="00A928AF">
        <w:rPr>
          <w:rFonts w:ascii="Arial" w:hAnsi="Arial" w:cs="Arial"/>
          <w:sz w:val="24"/>
          <w:szCs w:val="24"/>
        </w:rPr>
        <w:t xml:space="preserve">, the </w:t>
      </w:r>
      <w:r>
        <w:rPr>
          <w:rFonts w:ascii="Arial" w:hAnsi="Arial" w:cs="Arial"/>
          <w:sz w:val="24"/>
          <w:szCs w:val="24"/>
        </w:rPr>
        <w:t>H</w:t>
      </w:r>
      <w:r w:rsidRPr="00A928AF">
        <w:rPr>
          <w:rFonts w:ascii="Arial" w:hAnsi="Arial" w:cs="Arial"/>
          <w:sz w:val="24"/>
          <w:szCs w:val="24"/>
        </w:rPr>
        <w:t xml:space="preserve">igh </w:t>
      </w:r>
      <w:r>
        <w:rPr>
          <w:rFonts w:ascii="Arial" w:hAnsi="Arial" w:cs="Arial"/>
          <w:sz w:val="24"/>
          <w:szCs w:val="24"/>
        </w:rPr>
        <w:t>C</w:t>
      </w:r>
      <w:r w:rsidRPr="00A928AF">
        <w:rPr>
          <w:rFonts w:ascii="Arial" w:hAnsi="Arial" w:cs="Arial"/>
          <w:sz w:val="24"/>
          <w:szCs w:val="24"/>
        </w:rPr>
        <w:t xml:space="preserve">ourt judgment in this case </w:t>
      </w:r>
      <w:r>
        <w:rPr>
          <w:rFonts w:ascii="Arial" w:hAnsi="Arial" w:cs="Arial"/>
          <w:sz w:val="24"/>
          <w:szCs w:val="24"/>
        </w:rPr>
        <w:t xml:space="preserve">endorsed the learned judge’s criticism in the first </w:t>
      </w:r>
      <w:r w:rsidRPr="00956B39">
        <w:rPr>
          <w:rFonts w:ascii="Arial" w:hAnsi="Arial" w:cs="Arial"/>
          <w:i/>
          <w:sz w:val="24"/>
          <w:szCs w:val="24"/>
        </w:rPr>
        <w:t>Mahupelo</w:t>
      </w:r>
      <w:r>
        <w:rPr>
          <w:rFonts w:ascii="Arial" w:hAnsi="Arial" w:cs="Arial"/>
          <w:sz w:val="24"/>
          <w:szCs w:val="24"/>
        </w:rPr>
        <w:t xml:space="preserve"> of</w:t>
      </w:r>
      <w:r w:rsidRPr="00A928AF">
        <w:rPr>
          <w:rFonts w:ascii="Arial" w:hAnsi="Arial" w:cs="Arial"/>
          <w:sz w:val="24"/>
          <w:szCs w:val="24"/>
        </w:rPr>
        <w:t xml:space="preserve"> the conduct of the prosecutor</w:t>
      </w:r>
      <w:r>
        <w:rPr>
          <w:rFonts w:ascii="Arial" w:hAnsi="Arial" w:cs="Arial"/>
          <w:sz w:val="24"/>
          <w:szCs w:val="24"/>
        </w:rPr>
        <w:t>s</w:t>
      </w:r>
      <w:r w:rsidRPr="00A928AF">
        <w:rPr>
          <w:rFonts w:ascii="Arial" w:hAnsi="Arial" w:cs="Arial"/>
          <w:sz w:val="24"/>
          <w:szCs w:val="24"/>
        </w:rPr>
        <w:t xml:space="preserve"> as showing a </w:t>
      </w:r>
      <w:r>
        <w:rPr>
          <w:rFonts w:ascii="Arial" w:hAnsi="Arial" w:cs="Arial"/>
          <w:sz w:val="24"/>
          <w:szCs w:val="24"/>
        </w:rPr>
        <w:t>‘</w:t>
      </w:r>
      <w:r w:rsidRPr="00A928AF">
        <w:rPr>
          <w:rFonts w:ascii="Arial" w:hAnsi="Arial" w:cs="Arial"/>
          <w:sz w:val="24"/>
          <w:szCs w:val="24"/>
        </w:rPr>
        <w:t>poor understanding</w:t>
      </w:r>
      <w:r>
        <w:rPr>
          <w:rFonts w:ascii="Arial" w:hAnsi="Arial" w:cs="Arial"/>
          <w:sz w:val="24"/>
          <w:szCs w:val="24"/>
        </w:rPr>
        <w:t>’</w:t>
      </w:r>
      <w:r w:rsidRPr="00A928AF">
        <w:rPr>
          <w:rFonts w:ascii="Arial" w:hAnsi="Arial" w:cs="Arial"/>
          <w:sz w:val="24"/>
          <w:szCs w:val="24"/>
        </w:rPr>
        <w:t xml:space="preserve"> of </w:t>
      </w:r>
      <w:r>
        <w:rPr>
          <w:rFonts w:ascii="Arial" w:hAnsi="Arial" w:cs="Arial"/>
          <w:sz w:val="24"/>
          <w:szCs w:val="24"/>
        </w:rPr>
        <w:t>t</w:t>
      </w:r>
      <w:r w:rsidRPr="00A928AF">
        <w:rPr>
          <w:rFonts w:ascii="Arial" w:hAnsi="Arial" w:cs="Arial"/>
          <w:sz w:val="24"/>
          <w:szCs w:val="24"/>
        </w:rPr>
        <w:t>he</w:t>
      </w:r>
      <w:r>
        <w:rPr>
          <w:rFonts w:ascii="Arial" w:hAnsi="Arial" w:cs="Arial"/>
          <w:sz w:val="24"/>
          <w:szCs w:val="24"/>
        </w:rPr>
        <w:t>i</w:t>
      </w:r>
      <w:r w:rsidRPr="00A928AF">
        <w:rPr>
          <w:rFonts w:ascii="Arial" w:hAnsi="Arial" w:cs="Arial"/>
          <w:sz w:val="24"/>
          <w:szCs w:val="24"/>
        </w:rPr>
        <w:t xml:space="preserve">r constitutional duties. Having assessed the </w:t>
      </w:r>
      <w:r>
        <w:rPr>
          <w:rFonts w:ascii="Arial" w:hAnsi="Arial" w:cs="Arial"/>
          <w:sz w:val="24"/>
          <w:szCs w:val="24"/>
        </w:rPr>
        <w:t xml:space="preserve">information at the disposal of the prosecutors </w:t>
      </w:r>
      <w:r w:rsidRPr="00A928AF">
        <w:rPr>
          <w:rFonts w:ascii="Arial" w:hAnsi="Arial" w:cs="Arial"/>
          <w:sz w:val="24"/>
          <w:szCs w:val="24"/>
        </w:rPr>
        <w:t xml:space="preserve">against the relevant legal standards, </w:t>
      </w:r>
      <w:r>
        <w:rPr>
          <w:rFonts w:ascii="Arial" w:hAnsi="Arial" w:cs="Arial"/>
          <w:sz w:val="24"/>
          <w:szCs w:val="24"/>
        </w:rPr>
        <w:t xml:space="preserve">it </w:t>
      </w:r>
      <w:r w:rsidRPr="00A928AF">
        <w:rPr>
          <w:rFonts w:ascii="Arial" w:hAnsi="Arial" w:cs="Arial"/>
          <w:sz w:val="24"/>
          <w:szCs w:val="24"/>
        </w:rPr>
        <w:t xml:space="preserve">cannot </w:t>
      </w:r>
      <w:r>
        <w:rPr>
          <w:rFonts w:ascii="Arial" w:hAnsi="Arial" w:cs="Arial"/>
          <w:sz w:val="24"/>
          <w:szCs w:val="24"/>
        </w:rPr>
        <w:t xml:space="preserve">be </w:t>
      </w:r>
      <w:r w:rsidRPr="00A928AF">
        <w:rPr>
          <w:rFonts w:ascii="Arial" w:hAnsi="Arial" w:cs="Arial"/>
          <w:sz w:val="24"/>
          <w:szCs w:val="24"/>
        </w:rPr>
        <w:t>accept</w:t>
      </w:r>
      <w:r>
        <w:rPr>
          <w:rFonts w:ascii="Arial" w:hAnsi="Arial" w:cs="Arial"/>
          <w:sz w:val="24"/>
          <w:szCs w:val="24"/>
        </w:rPr>
        <w:t>ed</w:t>
      </w:r>
      <w:r w:rsidRPr="00A928AF">
        <w:rPr>
          <w:rFonts w:ascii="Arial" w:hAnsi="Arial" w:cs="Arial"/>
          <w:sz w:val="24"/>
          <w:szCs w:val="24"/>
        </w:rPr>
        <w:t xml:space="preserve"> that reliance on </w:t>
      </w:r>
      <w:r>
        <w:rPr>
          <w:rFonts w:ascii="Arial" w:hAnsi="Arial" w:cs="Arial"/>
          <w:sz w:val="24"/>
          <w:szCs w:val="24"/>
        </w:rPr>
        <w:t xml:space="preserve">the first </w:t>
      </w:r>
      <w:r w:rsidRPr="00A928AF">
        <w:rPr>
          <w:rFonts w:ascii="Arial" w:hAnsi="Arial" w:cs="Arial"/>
          <w:i/>
          <w:iCs/>
          <w:sz w:val="24"/>
          <w:szCs w:val="24"/>
        </w:rPr>
        <w:t xml:space="preserve">Mahupelo </w:t>
      </w:r>
      <w:r>
        <w:rPr>
          <w:rFonts w:ascii="Arial" w:hAnsi="Arial" w:cs="Arial"/>
          <w:sz w:val="24"/>
          <w:szCs w:val="24"/>
        </w:rPr>
        <w:t>did not materially affect the High Court’s judgment.</w:t>
      </w:r>
      <w:r w:rsidRPr="00A928AF">
        <w:rPr>
          <w:rFonts w:ascii="Arial" w:hAnsi="Arial" w:cs="Arial"/>
          <w:sz w:val="24"/>
          <w:szCs w:val="24"/>
        </w:rPr>
        <w:t xml:space="preserve"> </w:t>
      </w:r>
    </w:p>
    <w:p w:rsidR="001D347A" w:rsidRDefault="001D347A" w:rsidP="00604362">
      <w:pPr>
        <w:pStyle w:val="ListParagraph"/>
        <w:spacing w:after="0" w:line="480" w:lineRule="auto"/>
        <w:rPr>
          <w:rFonts w:ascii="Arial" w:hAnsi="Arial" w:cs="Arial"/>
          <w:sz w:val="24"/>
          <w:szCs w:val="24"/>
        </w:rPr>
      </w:pPr>
    </w:p>
    <w:p w:rsidR="00604362" w:rsidRDefault="00604362" w:rsidP="00604362">
      <w:pPr>
        <w:pStyle w:val="NoSpacing"/>
        <w:spacing w:line="480" w:lineRule="auto"/>
        <w:jc w:val="both"/>
        <w:rPr>
          <w:rFonts w:ascii="Arial" w:hAnsi="Arial" w:cs="Arial"/>
          <w:sz w:val="24"/>
          <w:szCs w:val="24"/>
          <w:u w:val="single"/>
        </w:rPr>
      </w:pPr>
    </w:p>
    <w:p w:rsidR="00604362" w:rsidRDefault="00604362" w:rsidP="00604362">
      <w:pPr>
        <w:pStyle w:val="NoSpacing"/>
        <w:spacing w:line="480" w:lineRule="auto"/>
        <w:jc w:val="both"/>
        <w:rPr>
          <w:rFonts w:ascii="Arial" w:hAnsi="Arial" w:cs="Arial"/>
          <w:sz w:val="24"/>
          <w:szCs w:val="24"/>
          <w:u w:val="single"/>
        </w:rPr>
      </w:pPr>
    </w:p>
    <w:p w:rsidR="001D347A" w:rsidRPr="005B63E8" w:rsidRDefault="001D347A" w:rsidP="00604362">
      <w:pPr>
        <w:pStyle w:val="NoSpacing"/>
        <w:spacing w:line="480" w:lineRule="auto"/>
        <w:jc w:val="both"/>
        <w:rPr>
          <w:rFonts w:ascii="Arial" w:hAnsi="Arial" w:cs="Arial"/>
          <w:sz w:val="24"/>
          <w:szCs w:val="24"/>
        </w:rPr>
      </w:pPr>
      <w:r>
        <w:rPr>
          <w:rFonts w:ascii="Arial" w:hAnsi="Arial" w:cs="Arial"/>
          <w:sz w:val="24"/>
          <w:szCs w:val="24"/>
          <w:u w:val="single"/>
        </w:rPr>
        <w:lastRenderedPageBreak/>
        <w:t>Constitutional claim</w:t>
      </w:r>
    </w:p>
    <w:p w:rsidR="001D347A" w:rsidRDefault="001D347A" w:rsidP="00D33F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earlier noted, Mr Chunga instituted a second alternative claim with regard to alleged violations of his constitutional rights, particularly under Art</w:t>
      </w:r>
      <w:r w:rsidR="002C2E2A">
        <w:rPr>
          <w:rFonts w:ascii="Arial" w:hAnsi="Arial" w:cs="Arial"/>
          <w:sz w:val="24"/>
          <w:szCs w:val="24"/>
        </w:rPr>
        <w:t>s</w:t>
      </w:r>
      <w:r>
        <w:rPr>
          <w:rFonts w:ascii="Arial" w:hAnsi="Arial" w:cs="Arial"/>
          <w:sz w:val="24"/>
          <w:szCs w:val="24"/>
        </w:rPr>
        <w:t xml:space="preserve"> </w:t>
      </w:r>
      <w:r w:rsidR="002C2E2A">
        <w:rPr>
          <w:rFonts w:ascii="Arial" w:hAnsi="Arial" w:cs="Arial"/>
          <w:sz w:val="24"/>
          <w:szCs w:val="24"/>
        </w:rPr>
        <w:t xml:space="preserve">7 and </w:t>
      </w:r>
      <w:r>
        <w:rPr>
          <w:rFonts w:ascii="Arial" w:hAnsi="Arial" w:cs="Arial"/>
          <w:sz w:val="24"/>
          <w:szCs w:val="24"/>
        </w:rPr>
        <w:t>12. As can be observed from other civil matters arising from the high treason trial, the High Court in this matter also did not address the constitutional claim. We reiterate that it is important for the issue to be addressed by the High Court and for it to enjoy the benefit of being well-ventilated there before this court makes a final judgment. For these reasons, the constitutional issue will be remitted to the High Court.</w:t>
      </w:r>
    </w:p>
    <w:p w:rsidR="001D347A" w:rsidRDefault="001D347A" w:rsidP="00D33F96">
      <w:pPr>
        <w:pStyle w:val="NoSpacing"/>
        <w:spacing w:line="480" w:lineRule="auto"/>
        <w:jc w:val="both"/>
        <w:rPr>
          <w:rFonts w:ascii="Arial" w:hAnsi="Arial" w:cs="Arial"/>
          <w:sz w:val="24"/>
          <w:szCs w:val="24"/>
        </w:rPr>
      </w:pPr>
    </w:p>
    <w:p w:rsidR="001D347A" w:rsidRPr="00A70DA5" w:rsidRDefault="001D347A" w:rsidP="00D33F96">
      <w:pPr>
        <w:pStyle w:val="NoSpacing"/>
        <w:spacing w:line="480" w:lineRule="auto"/>
        <w:jc w:val="both"/>
        <w:rPr>
          <w:rFonts w:ascii="Arial" w:hAnsi="Arial" w:cs="Arial"/>
          <w:sz w:val="24"/>
          <w:szCs w:val="24"/>
          <w:u w:val="single"/>
        </w:rPr>
      </w:pPr>
      <w:r>
        <w:rPr>
          <w:rFonts w:ascii="Arial" w:hAnsi="Arial" w:cs="Arial"/>
          <w:sz w:val="24"/>
          <w:szCs w:val="24"/>
          <w:u w:val="single"/>
        </w:rPr>
        <w:t>Costs</w:t>
      </w:r>
    </w:p>
    <w:p w:rsidR="001D347A" w:rsidRDefault="000724F6" w:rsidP="00D33F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High Court ordered the PG and the government to pay costs jointly and severally, in favour of Mr Chunga. </w:t>
      </w:r>
      <w:r w:rsidR="001C1A21">
        <w:rPr>
          <w:rFonts w:ascii="Arial" w:hAnsi="Arial" w:cs="Arial"/>
          <w:sz w:val="24"/>
          <w:szCs w:val="24"/>
        </w:rPr>
        <w:t xml:space="preserve">This is wrong in law. </w:t>
      </w:r>
      <w:r>
        <w:rPr>
          <w:rFonts w:ascii="Arial" w:hAnsi="Arial" w:cs="Arial"/>
          <w:sz w:val="24"/>
          <w:szCs w:val="24"/>
        </w:rPr>
        <w:t xml:space="preserve">We were informed from the Bar that counsel for Mr Chunga acted on instructions of </w:t>
      </w:r>
      <w:r w:rsidR="001C1A21">
        <w:rPr>
          <w:rFonts w:ascii="Arial" w:hAnsi="Arial" w:cs="Arial"/>
          <w:sz w:val="24"/>
          <w:szCs w:val="24"/>
        </w:rPr>
        <w:t xml:space="preserve">the Director of </w:t>
      </w:r>
      <w:r>
        <w:rPr>
          <w:rFonts w:ascii="Arial" w:hAnsi="Arial" w:cs="Arial"/>
          <w:sz w:val="24"/>
          <w:szCs w:val="24"/>
        </w:rPr>
        <w:t xml:space="preserve">Legal Aid. In </w:t>
      </w:r>
      <w:r w:rsidRPr="000724F6">
        <w:rPr>
          <w:rFonts w:ascii="Arial" w:hAnsi="Arial" w:cs="Arial"/>
          <w:i/>
          <w:sz w:val="24"/>
          <w:szCs w:val="24"/>
        </w:rPr>
        <w:t>Mahupelo</w:t>
      </w:r>
      <w:r w:rsidR="00001D2D">
        <w:rPr>
          <w:rFonts w:ascii="Arial" w:hAnsi="Arial" w:cs="Arial"/>
          <w:sz w:val="24"/>
          <w:szCs w:val="24"/>
        </w:rPr>
        <w:t>,</w:t>
      </w:r>
      <w:r>
        <w:rPr>
          <w:rFonts w:ascii="Arial" w:hAnsi="Arial" w:cs="Arial"/>
          <w:sz w:val="24"/>
          <w:szCs w:val="24"/>
        </w:rPr>
        <w:t xml:space="preserve"> costs were similarly awarded against the governmental </w:t>
      </w:r>
      <w:r w:rsidR="00001D2D">
        <w:rPr>
          <w:rFonts w:ascii="Arial" w:hAnsi="Arial" w:cs="Arial"/>
          <w:sz w:val="24"/>
          <w:szCs w:val="24"/>
        </w:rPr>
        <w:t>defendants</w:t>
      </w:r>
      <w:r>
        <w:rPr>
          <w:rFonts w:ascii="Arial" w:hAnsi="Arial" w:cs="Arial"/>
          <w:sz w:val="24"/>
          <w:szCs w:val="24"/>
        </w:rPr>
        <w:t xml:space="preserve">. This court in </w:t>
      </w:r>
      <w:r w:rsidRPr="000724F6">
        <w:rPr>
          <w:rFonts w:ascii="Arial" w:hAnsi="Arial" w:cs="Arial"/>
          <w:i/>
          <w:sz w:val="24"/>
          <w:szCs w:val="24"/>
        </w:rPr>
        <w:t>Mahupelo</w:t>
      </w:r>
      <w:r>
        <w:rPr>
          <w:rFonts w:ascii="Arial" w:hAnsi="Arial" w:cs="Arial"/>
          <w:sz w:val="24"/>
          <w:szCs w:val="24"/>
        </w:rPr>
        <w:t xml:space="preserve"> </w:t>
      </w:r>
      <w:r w:rsidR="001C1A21">
        <w:rPr>
          <w:rFonts w:ascii="Arial" w:hAnsi="Arial" w:cs="Arial"/>
          <w:sz w:val="24"/>
          <w:szCs w:val="24"/>
        </w:rPr>
        <w:t xml:space="preserve">explained </w:t>
      </w:r>
      <w:r w:rsidR="001C1A21" w:rsidRPr="001C1A21">
        <w:rPr>
          <w:rFonts w:ascii="Arial" w:hAnsi="Arial" w:cs="Arial"/>
          <w:sz w:val="24"/>
          <w:szCs w:val="24"/>
        </w:rPr>
        <w:t xml:space="preserve">why the High Court in that matter ought not to have awarded costs against the </w:t>
      </w:r>
      <w:r w:rsidR="00001D2D">
        <w:rPr>
          <w:rFonts w:ascii="Arial" w:hAnsi="Arial" w:cs="Arial"/>
          <w:sz w:val="24"/>
          <w:szCs w:val="24"/>
        </w:rPr>
        <w:t>defendants (</w:t>
      </w:r>
      <w:r w:rsidR="001C1A21" w:rsidRPr="001C1A21">
        <w:rPr>
          <w:rFonts w:ascii="Arial" w:hAnsi="Arial" w:cs="Arial"/>
          <w:sz w:val="24"/>
          <w:szCs w:val="24"/>
        </w:rPr>
        <w:t>appellants</w:t>
      </w:r>
      <w:r w:rsidR="001C1A21">
        <w:rPr>
          <w:rFonts w:ascii="Arial" w:hAnsi="Arial" w:cs="Arial"/>
          <w:sz w:val="24"/>
          <w:szCs w:val="24"/>
        </w:rPr>
        <w:t xml:space="preserve"> </w:t>
      </w:r>
      <w:r w:rsidR="00001D2D">
        <w:rPr>
          <w:rFonts w:ascii="Arial" w:hAnsi="Arial" w:cs="Arial"/>
          <w:sz w:val="24"/>
          <w:szCs w:val="24"/>
        </w:rPr>
        <w:t xml:space="preserve">in this court) </w:t>
      </w:r>
      <w:r w:rsidR="001C1A21">
        <w:rPr>
          <w:rFonts w:ascii="Arial" w:hAnsi="Arial" w:cs="Arial"/>
          <w:sz w:val="24"/>
          <w:szCs w:val="24"/>
        </w:rPr>
        <w:t xml:space="preserve">in circumstances where </w:t>
      </w:r>
      <w:r>
        <w:rPr>
          <w:rFonts w:ascii="Arial" w:hAnsi="Arial" w:cs="Arial"/>
          <w:sz w:val="24"/>
          <w:szCs w:val="24"/>
        </w:rPr>
        <w:t xml:space="preserve">the </w:t>
      </w:r>
      <w:r w:rsidR="00001D2D">
        <w:rPr>
          <w:rFonts w:ascii="Arial" w:hAnsi="Arial" w:cs="Arial"/>
          <w:sz w:val="24"/>
          <w:szCs w:val="24"/>
        </w:rPr>
        <w:t>plaintiff (</w:t>
      </w:r>
      <w:r w:rsidR="001C1A21">
        <w:rPr>
          <w:rFonts w:ascii="Arial" w:hAnsi="Arial" w:cs="Arial"/>
          <w:sz w:val="24"/>
          <w:szCs w:val="24"/>
        </w:rPr>
        <w:t xml:space="preserve">respondent </w:t>
      </w:r>
      <w:r w:rsidR="00001D2D">
        <w:rPr>
          <w:rFonts w:ascii="Arial" w:hAnsi="Arial" w:cs="Arial"/>
          <w:sz w:val="24"/>
          <w:szCs w:val="24"/>
        </w:rPr>
        <w:t xml:space="preserve">in this court) </w:t>
      </w:r>
      <w:r w:rsidR="001C1A21">
        <w:rPr>
          <w:rFonts w:ascii="Arial" w:hAnsi="Arial" w:cs="Arial"/>
          <w:sz w:val="24"/>
          <w:szCs w:val="24"/>
        </w:rPr>
        <w:t>was legally aided.</w:t>
      </w:r>
      <w:r>
        <w:rPr>
          <w:rFonts w:ascii="Arial" w:hAnsi="Arial" w:cs="Arial"/>
          <w:sz w:val="24"/>
          <w:szCs w:val="24"/>
        </w:rPr>
        <w:t xml:space="preserve"> </w:t>
      </w:r>
      <w:r w:rsidR="001C1A21" w:rsidRPr="001C1A21">
        <w:rPr>
          <w:rFonts w:ascii="Arial" w:hAnsi="Arial" w:cs="Arial"/>
          <w:sz w:val="24"/>
          <w:szCs w:val="24"/>
        </w:rPr>
        <w:t xml:space="preserve">Here too, </w:t>
      </w:r>
      <w:r w:rsidR="00001D2D">
        <w:rPr>
          <w:rFonts w:ascii="Arial" w:hAnsi="Arial" w:cs="Arial"/>
          <w:sz w:val="24"/>
          <w:szCs w:val="24"/>
        </w:rPr>
        <w:t xml:space="preserve">for the reasons stated in </w:t>
      </w:r>
      <w:r w:rsidR="00001D2D" w:rsidRPr="00001D2D">
        <w:rPr>
          <w:rFonts w:ascii="Arial" w:hAnsi="Arial" w:cs="Arial"/>
          <w:i/>
          <w:sz w:val="24"/>
          <w:szCs w:val="24"/>
        </w:rPr>
        <w:t>Mahupelo</w:t>
      </w:r>
      <w:r w:rsidR="00001D2D">
        <w:rPr>
          <w:rFonts w:ascii="Arial" w:hAnsi="Arial" w:cs="Arial"/>
          <w:sz w:val="24"/>
          <w:szCs w:val="24"/>
        </w:rPr>
        <w:t xml:space="preserve">, </w:t>
      </w:r>
      <w:r w:rsidR="001C1A21" w:rsidRPr="001C1A21">
        <w:rPr>
          <w:rFonts w:ascii="Arial" w:hAnsi="Arial" w:cs="Arial"/>
          <w:sz w:val="24"/>
          <w:szCs w:val="24"/>
        </w:rPr>
        <w:t xml:space="preserve">there </w:t>
      </w:r>
      <w:r w:rsidR="001C1A21">
        <w:rPr>
          <w:rFonts w:ascii="Arial" w:hAnsi="Arial" w:cs="Arial"/>
          <w:sz w:val="24"/>
          <w:szCs w:val="24"/>
        </w:rPr>
        <w:t>can be n</w:t>
      </w:r>
      <w:r w:rsidR="001C1A21" w:rsidRPr="001C1A21">
        <w:rPr>
          <w:rFonts w:ascii="Arial" w:hAnsi="Arial" w:cs="Arial"/>
          <w:sz w:val="24"/>
          <w:szCs w:val="24"/>
        </w:rPr>
        <w:t>o order as to costs against the respondent.</w:t>
      </w:r>
      <w:r w:rsidR="001C1A21">
        <w:rPr>
          <w:rFonts w:ascii="Arial" w:hAnsi="Arial" w:cs="Arial"/>
        </w:rPr>
        <w:t xml:space="preserve"> </w:t>
      </w:r>
    </w:p>
    <w:p w:rsidR="001D347A" w:rsidRDefault="001D347A" w:rsidP="00604362">
      <w:pPr>
        <w:pStyle w:val="BodyText"/>
        <w:autoSpaceDE w:val="0"/>
        <w:autoSpaceDN w:val="0"/>
        <w:adjustRightInd w:val="0"/>
        <w:spacing w:line="480" w:lineRule="auto"/>
        <w:jc w:val="both"/>
        <w:rPr>
          <w:rFonts w:ascii="Arial" w:hAnsi="Arial" w:cs="Arial"/>
        </w:rPr>
      </w:pPr>
    </w:p>
    <w:p w:rsidR="001D347A" w:rsidRDefault="001D347A" w:rsidP="00604362">
      <w:pPr>
        <w:spacing w:after="0" w:line="480" w:lineRule="auto"/>
        <w:rPr>
          <w:rFonts w:ascii="Arial" w:hAnsi="Arial" w:cs="Arial"/>
          <w:sz w:val="24"/>
          <w:szCs w:val="24"/>
        </w:rPr>
      </w:pPr>
      <w:r>
        <w:rPr>
          <w:rFonts w:ascii="Arial" w:hAnsi="Arial" w:cs="Arial"/>
          <w:sz w:val="24"/>
          <w:szCs w:val="24"/>
          <w:u w:val="single"/>
        </w:rPr>
        <w:t>Order</w:t>
      </w:r>
    </w:p>
    <w:p w:rsidR="001D347A" w:rsidRDefault="001D347A" w:rsidP="00604362">
      <w:pPr>
        <w:pStyle w:val="NoSpacing"/>
        <w:numPr>
          <w:ilvl w:val="0"/>
          <w:numId w:val="1"/>
        </w:numPr>
        <w:spacing w:line="480" w:lineRule="auto"/>
        <w:ind w:left="0" w:firstLine="0"/>
        <w:jc w:val="both"/>
        <w:rPr>
          <w:rFonts w:ascii="Arial" w:hAnsi="Arial" w:cs="Arial"/>
          <w:sz w:val="24"/>
          <w:szCs w:val="24"/>
        </w:rPr>
      </w:pPr>
      <w:r w:rsidRPr="00D56D60">
        <w:rPr>
          <w:rFonts w:ascii="Arial" w:hAnsi="Arial" w:cs="Arial"/>
          <w:sz w:val="24"/>
          <w:szCs w:val="24"/>
        </w:rPr>
        <w:t>In the event, the following order is made:</w:t>
      </w:r>
    </w:p>
    <w:p w:rsidR="001D347A" w:rsidRPr="00D56D60" w:rsidRDefault="001D347A" w:rsidP="00604362">
      <w:pPr>
        <w:pStyle w:val="NoSpacing"/>
        <w:spacing w:line="480" w:lineRule="auto"/>
        <w:jc w:val="both"/>
        <w:rPr>
          <w:rFonts w:ascii="Arial" w:hAnsi="Arial" w:cs="Arial"/>
          <w:sz w:val="24"/>
          <w:szCs w:val="24"/>
        </w:rPr>
      </w:pPr>
    </w:p>
    <w:p w:rsidR="001D347A" w:rsidRDefault="001D347A" w:rsidP="00604362">
      <w:pPr>
        <w:pStyle w:val="BodyText"/>
        <w:numPr>
          <w:ilvl w:val="0"/>
          <w:numId w:val="2"/>
        </w:numPr>
        <w:autoSpaceDE w:val="0"/>
        <w:autoSpaceDN w:val="0"/>
        <w:adjustRightInd w:val="0"/>
        <w:spacing w:line="480" w:lineRule="auto"/>
        <w:jc w:val="both"/>
        <w:rPr>
          <w:rFonts w:ascii="Arial" w:hAnsi="Arial" w:cs="Arial"/>
        </w:rPr>
      </w:pPr>
      <w:r>
        <w:rPr>
          <w:rFonts w:ascii="Arial" w:hAnsi="Arial" w:cs="Arial"/>
        </w:rPr>
        <w:t>The application for condonation for the late filing of the record is granted and the appeal is reinstated.</w:t>
      </w:r>
    </w:p>
    <w:p w:rsidR="001D347A" w:rsidRDefault="001D347A" w:rsidP="00604362">
      <w:pPr>
        <w:pStyle w:val="BodyText"/>
        <w:numPr>
          <w:ilvl w:val="0"/>
          <w:numId w:val="2"/>
        </w:numPr>
        <w:autoSpaceDE w:val="0"/>
        <w:autoSpaceDN w:val="0"/>
        <w:adjustRightInd w:val="0"/>
        <w:spacing w:line="480" w:lineRule="auto"/>
        <w:jc w:val="both"/>
        <w:rPr>
          <w:rFonts w:ascii="Arial" w:hAnsi="Arial" w:cs="Arial"/>
        </w:rPr>
      </w:pPr>
      <w:r>
        <w:rPr>
          <w:rFonts w:ascii="Arial" w:hAnsi="Arial" w:cs="Arial"/>
        </w:rPr>
        <w:t>The application for condonation for the failure to address the application for condonation in the heads of argument is granted.</w:t>
      </w:r>
    </w:p>
    <w:p w:rsidR="001D347A" w:rsidRPr="00D56D60" w:rsidRDefault="001D347A" w:rsidP="00604362">
      <w:pPr>
        <w:pStyle w:val="BodyText"/>
        <w:autoSpaceDE w:val="0"/>
        <w:autoSpaceDN w:val="0"/>
        <w:adjustRightInd w:val="0"/>
        <w:spacing w:line="480" w:lineRule="auto"/>
        <w:ind w:left="1080"/>
        <w:jc w:val="both"/>
        <w:rPr>
          <w:rFonts w:ascii="Arial" w:hAnsi="Arial" w:cs="Arial"/>
        </w:rPr>
      </w:pPr>
    </w:p>
    <w:p w:rsidR="001D347A" w:rsidRDefault="001D347A" w:rsidP="00604362">
      <w:pPr>
        <w:pStyle w:val="BodyText"/>
        <w:numPr>
          <w:ilvl w:val="0"/>
          <w:numId w:val="2"/>
        </w:numPr>
        <w:autoSpaceDE w:val="0"/>
        <w:autoSpaceDN w:val="0"/>
        <w:adjustRightInd w:val="0"/>
        <w:spacing w:line="480" w:lineRule="auto"/>
        <w:jc w:val="both"/>
        <w:rPr>
          <w:rFonts w:ascii="Arial" w:hAnsi="Arial" w:cs="Arial"/>
        </w:rPr>
      </w:pPr>
      <w:r w:rsidRPr="00D56D60">
        <w:rPr>
          <w:rFonts w:ascii="Arial" w:hAnsi="Arial" w:cs="Arial"/>
        </w:rPr>
        <w:t xml:space="preserve">The portions of the order of the </w:t>
      </w:r>
      <w:r w:rsidR="00604362">
        <w:rPr>
          <w:rFonts w:ascii="Arial" w:hAnsi="Arial" w:cs="Arial"/>
        </w:rPr>
        <w:t>c</w:t>
      </w:r>
      <w:r w:rsidRPr="00D56D60">
        <w:rPr>
          <w:rFonts w:ascii="Arial" w:hAnsi="Arial" w:cs="Arial"/>
        </w:rPr>
        <w:t xml:space="preserve">ourt </w:t>
      </w:r>
      <w:r w:rsidRPr="00D20D8B">
        <w:rPr>
          <w:rFonts w:ascii="Arial" w:hAnsi="Arial" w:cs="Arial"/>
          <w:i/>
        </w:rPr>
        <w:t>a quo</w:t>
      </w:r>
      <w:r w:rsidRPr="00D56D60">
        <w:rPr>
          <w:rFonts w:ascii="Arial" w:hAnsi="Arial" w:cs="Arial"/>
        </w:rPr>
        <w:t xml:space="preserve"> upholding </w:t>
      </w:r>
      <w:r>
        <w:rPr>
          <w:rFonts w:ascii="Arial" w:hAnsi="Arial" w:cs="Arial"/>
        </w:rPr>
        <w:t>with costs Mr Chunga</w:t>
      </w:r>
      <w:r w:rsidRPr="00D56D60">
        <w:rPr>
          <w:rFonts w:ascii="Arial" w:hAnsi="Arial" w:cs="Arial"/>
        </w:rPr>
        <w:t xml:space="preserve">’s alternative claim based on malicious continuation of the prosecution without reasonable and probable cause </w:t>
      </w:r>
      <w:r>
        <w:rPr>
          <w:rFonts w:ascii="Arial" w:hAnsi="Arial" w:cs="Arial"/>
        </w:rPr>
        <w:t>a</w:t>
      </w:r>
      <w:r w:rsidRPr="00D56D60">
        <w:rPr>
          <w:rFonts w:ascii="Arial" w:hAnsi="Arial" w:cs="Arial"/>
        </w:rPr>
        <w:t xml:space="preserve">re set aside and substituted </w:t>
      </w:r>
      <w:r>
        <w:rPr>
          <w:rFonts w:ascii="Arial" w:hAnsi="Arial" w:cs="Arial"/>
        </w:rPr>
        <w:t xml:space="preserve">for </w:t>
      </w:r>
      <w:r w:rsidRPr="00D56D60">
        <w:rPr>
          <w:rFonts w:ascii="Arial" w:hAnsi="Arial" w:cs="Arial"/>
        </w:rPr>
        <w:t>the following order:</w:t>
      </w:r>
    </w:p>
    <w:p w:rsidR="001D347A" w:rsidRDefault="001D347A" w:rsidP="00604362">
      <w:pPr>
        <w:pStyle w:val="ListParagraph"/>
        <w:spacing w:after="0" w:line="360" w:lineRule="auto"/>
        <w:rPr>
          <w:rFonts w:ascii="Arial" w:hAnsi="Arial" w:cs="Arial"/>
        </w:rPr>
      </w:pPr>
    </w:p>
    <w:p w:rsidR="001C1A21" w:rsidRDefault="001D347A" w:rsidP="00604362">
      <w:pPr>
        <w:pStyle w:val="BodyText"/>
        <w:autoSpaceDE w:val="0"/>
        <w:autoSpaceDN w:val="0"/>
        <w:adjustRightInd w:val="0"/>
        <w:spacing w:line="360" w:lineRule="auto"/>
        <w:ind w:left="2160" w:hanging="360"/>
        <w:jc w:val="both"/>
        <w:rPr>
          <w:rFonts w:ascii="Arial" w:hAnsi="Arial" w:cs="Arial"/>
        </w:rPr>
      </w:pPr>
      <w:r w:rsidRPr="00D56D60">
        <w:rPr>
          <w:rFonts w:ascii="Arial" w:hAnsi="Arial" w:cs="Arial"/>
        </w:rPr>
        <w:t>‘(</w:t>
      </w:r>
      <w:r>
        <w:rPr>
          <w:rFonts w:ascii="Arial" w:hAnsi="Arial" w:cs="Arial"/>
        </w:rPr>
        <w:t>i</w:t>
      </w:r>
      <w:r w:rsidRPr="00D56D60">
        <w:rPr>
          <w:rFonts w:ascii="Arial" w:hAnsi="Arial" w:cs="Arial"/>
        </w:rPr>
        <w:t>)</w:t>
      </w:r>
      <w:r w:rsidRPr="00D56D60">
        <w:rPr>
          <w:rFonts w:ascii="Arial" w:hAnsi="Arial" w:cs="Arial"/>
        </w:rPr>
        <w:tab/>
        <w:t xml:space="preserve">The plaintiff’s alternative claim based on malicious continuation of prosecution without reasonable and probable cause is </w:t>
      </w:r>
      <w:r>
        <w:rPr>
          <w:rFonts w:ascii="Arial" w:hAnsi="Arial" w:cs="Arial"/>
        </w:rPr>
        <w:t xml:space="preserve">also </w:t>
      </w:r>
      <w:r w:rsidRPr="00D56D60">
        <w:rPr>
          <w:rFonts w:ascii="Arial" w:hAnsi="Arial" w:cs="Arial"/>
        </w:rPr>
        <w:t>dismissed.</w:t>
      </w:r>
    </w:p>
    <w:p w:rsidR="00604362" w:rsidRDefault="00604362" w:rsidP="00604362">
      <w:pPr>
        <w:pStyle w:val="BodyText"/>
        <w:autoSpaceDE w:val="0"/>
        <w:autoSpaceDN w:val="0"/>
        <w:adjustRightInd w:val="0"/>
        <w:spacing w:line="360" w:lineRule="auto"/>
        <w:ind w:left="2160" w:hanging="360"/>
        <w:jc w:val="both"/>
        <w:rPr>
          <w:rFonts w:ascii="Arial" w:hAnsi="Arial" w:cs="Arial"/>
        </w:rPr>
      </w:pPr>
    </w:p>
    <w:p w:rsidR="001D347A" w:rsidRDefault="001C1A21" w:rsidP="00604362">
      <w:pPr>
        <w:pStyle w:val="BodyText"/>
        <w:autoSpaceDE w:val="0"/>
        <w:autoSpaceDN w:val="0"/>
        <w:adjustRightInd w:val="0"/>
        <w:spacing w:line="360" w:lineRule="auto"/>
        <w:ind w:left="2160" w:hanging="360"/>
        <w:jc w:val="both"/>
        <w:rPr>
          <w:rFonts w:ascii="Arial" w:hAnsi="Arial" w:cs="Arial"/>
        </w:rPr>
      </w:pPr>
      <w:r>
        <w:rPr>
          <w:rFonts w:ascii="Arial" w:hAnsi="Arial" w:cs="Arial"/>
        </w:rPr>
        <w:t>(ii)</w:t>
      </w:r>
      <w:r w:rsidR="00001D2D">
        <w:rPr>
          <w:rFonts w:ascii="Arial" w:hAnsi="Arial" w:cs="Arial"/>
        </w:rPr>
        <w:tab/>
      </w:r>
      <w:r>
        <w:rPr>
          <w:rFonts w:ascii="Arial" w:hAnsi="Arial" w:cs="Arial"/>
        </w:rPr>
        <w:t>No order as to costs is made.</w:t>
      </w:r>
      <w:r w:rsidR="001D347A" w:rsidRPr="00D56D60">
        <w:rPr>
          <w:rFonts w:ascii="Arial" w:hAnsi="Arial" w:cs="Arial"/>
        </w:rPr>
        <w:t>’</w:t>
      </w:r>
    </w:p>
    <w:p w:rsidR="001D347A" w:rsidRPr="00D56D60" w:rsidRDefault="001D347A" w:rsidP="00604362">
      <w:pPr>
        <w:pStyle w:val="BodyText"/>
        <w:autoSpaceDE w:val="0"/>
        <w:autoSpaceDN w:val="0"/>
        <w:adjustRightInd w:val="0"/>
        <w:spacing w:line="480" w:lineRule="auto"/>
        <w:ind w:left="1080"/>
        <w:jc w:val="both"/>
        <w:rPr>
          <w:rFonts w:ascii="Arial" w:hAnsi="Arial" w:cs="Arial"/>
        </w:rPr>
      </w:pPr>
    </w:p>
    <w:p w:rsidR="001D347A" w:rsidRDefault="001D347A" w:rsidP="00604362">
      <w:pPr>
        <w:pStyle w:val="BodyText"/>
        <w:numPr>
          <w:ilvl w:val="0"/>
          <w:numId w:val="2"/>
        </w:numPr>
        <w:autoSpaceDE w:val="0"/>
        <w:autoSpaceDN w:val="0"/>
        <w:adjustRightInd w:val="0"/>
        <w:spacing w:line="480" w:lineRule="auto"/>
        <w:jc w:val="both"/>
        <w:rPr>
          <w:rFonts w:ascii="Arial" w:hAnsi="Arial" w:cs="Arial"/>
        </w:rPr>
      </w:pPr>
      <w:r w:rsidRPr="00D56D60">
        <w:rPr>
          <w:rFonts w:ascii="Arial" w:hAnsi="Arial" w:cs="Arial"/>
        </w:rPr>
        <w:t>The question regarding the constitutional claim is referred back to the High Court for determination in accordance with case management rules.</w:t>
      </w:r>
    </w:p>
    <w:p w:rsidR="001D347A" w:rsidRPr="00D56D60" w:rsidRDefault="001D347A" w:rsidP="00604362">
      <w:pPr>
        <w:pStyle w:val="BodyText"/>
        <w:autoSpaceDE w:val="0"/>
        <w:autoSpaceDN w:val="0"/>
        <w:adjustRightInd w:val="0"/>
        <w:spacing w:line="480" w:lineRule="auto"/>
        <w:ind w:left="1080"/>
        <w:jc w:val="both"/>
        <w:rPr>
          <w:rFonts w:ascii="Arial" w:hAnsi="Arial" w:cs="Arial"/>
        </w:rPr>
      </w:pPr>
    </w:p>
    <w:p w:rsidR="001D347A" w:rsidRPr="00D56D60" w:rsidRDefault="001D347A" w:rsidP="00604362">
      <w:pPr>
        <w:pStyle w:val="BodyText"/>
        <w:numPr>
          <w:ilvl w:val="0"/>
          <w:numId w:val="2"/>
        </w:numPr>
        <w:autoSpaceDE w:val="0"/>
        <w:autoSpaceDN w:val="0"/>
        <w:adjustRightInd w:val="0"/>
        <w:spacing w:line="480" w:lineRule="auto"/>
        <w:jc w:val="both"/>
        <w:rPr>
          <w:rFonts w:ascii="Arial" w:hAnsi="Arial" w:cs="Arial"/>
        </w:rPr>
      </w:pPr>
      <w:r>
        <w:rPr>
          <w:rFonts w:ascii="Arial" w:hAnsi="Arial" w:cs="Arial"/>
        </w:rPr>
        <w:t>N</w:t>
      </w:r>
      <w:r w:rsidRPr="00D56D60">
        <w:rPr>
          <w:rFonts w:ascii="Arial" w:hAnsi="Arial" w:cs="Arial"/>
        </w:rPr>
        <w:t>o order as to costs</w:t>
      </w:r>
      <w:r>
        <w:rPr>
          <w:rFonts w:ascii="Arial" w:hAnsi="Arial" w:cs="Arial"/>
        </w:rPr>
        <w:t xml:space="preserve"> is made</w:t>
      </w:r>
      <w:r w:rsidRPr="00D56D60">
        <w:rPr>
          <w:rFonts w:ascii="Arial" w:hAnsi="Arial" w:cs="Arial"/>
        </w:rPr>
        <w:t>.</w:t>
      </w:r>
    </w:p>
    <w:p w:rsidR="001D347A" w:rsidRDefault="001D347A" w:rsidP="00FC3CDD">
      <w:pPr>
        <w:pStyle w:val="BodyText"/>
        <w:autoSpaceDE w:val="0"/>
        <w:autoSpaceDN w:val="0"/>
        <w:adjustRightInd w:val="0"/>
        <w:jc w:val="both"/>
        <w:rPr>
          <w:rFonts w:ascii="Arial" w:hAnsi="Arial" w:cs="Arial"/>
        </w:rPr>
      </w:pPr>
    </w:p>
    <w:p w:rsidR="00FC3CDD" w:rsidRDefault="00FC3CDD" w:rsidP="00FC3CDD">
      <w:pPr>
        <w:pStyle w:val="BodyText"/>
        <w:autoSpaceDE w:val="0"/>
        <w:autoSpaceDN w:val="0"/>
        <w:adjustRightInd w:val="0"/>
        <w:jc w:val="both"/>
        <w:rPr>
          <w:rFonts w:ascii="Arial" w:hAnsi="Arial" w:cs="Arial"/>
        </w:rPr>
      </w:pPr>
    </w:p>
    <w:p w:rsidR="00FC3CDD" w:rsidRDefault="00FC3CDD" w:rsidP="00FC3CDD">
      <w:pPr>
        <w:pStyle w:val="BodyText"/>
        <w:autoSpaceDE w:val="0"/>
        <w:autoSpaceDN w:val="0"/>
        <w:adjustRightInd w:val="0"/>
        <w:jc w:val="both"/>
        <w:rPr>
          <w:rFonts w:ascii="Arial" w:hAnsi="Arial" w:cs="Arial"/>
        </w:rPr>
      </w:pPr>
    </w:p>
    <w:p w:rsidR="00604362" w:rsidRPr="00D56D60" w:rsidRDefault="00604362" w:rsidP="00FC3CDD">
      <w:pPr>
        <w:pStyle w:val="BodyText"/>
        <w:autoSpaceDE w:val="0"/>
        <w:autoSpaceDN w:val="0"/>
        <w:adjustRightInd w:val="0"/>
        <w:jc w:val="both"/>
        <w:rPr>
          <w:rFonts w:ascii="Arial" w:hAnsi="Arial" w:cs="Arial"/>
        </w:rPr>
      </w:pPr>
    </w:p>
    <w:p w:rsidR="001D347A" w:rsidRPr="00A928AF" w:rsidRDefault="001D347A" w:rsidP="00FC3CDD">
      <w:pPr>
        <w:pStyle w:val="BodyText"/>
        <w:autoSpaceDE w:val="0"/>
        <w:autoSpaceDN w:val="0"/>
        <w:adjustRightInd w:val="0"/>
        <w:spacing w:line="276" w:lineRule="auto"/>
        <w:jc w:val="both"/>
        <w:rPr>
          <w:rFonts w:ascii="Arial" w:hAnsi="Arial" w:cs="Arial"/>
        </w:rPr>
      </w:pPr>
      <w:r w:rsidRPr="00A928AF">
        <w:rPr>
          <w:rFonts w:ascii="Arial" w:hAnsi="Arial" w:cs="Arial"/>
        </w:rPr>
        <w:t>_____________</w:t>
      </w:r>
    </w:p>
    <w:p w:rsidR="001D347A" w:rsidRDefault="001D347A" w:rsidP="00FC3CDD">
      <w:pPr>
        <w:pStyle w:val="BodyText"/>
        <w:autoSpaceDE w:val="0"/>
        <w:autoSpaceDN w:val="0"/>
        <w:adjustRightInd w:val="0"/>
        <w:spacing w:line="276" w:lineRule="auto"/>
        <w:jc w:val="both"/>
        <w:rPr>
          <w:rFonts w:ascii="Arial" w:hAnsi="Arial" w:cs="Arial"/>
          <w:b/>
        </w:rPr>
      </w:pPr>
      <w:r w:rsidRPr="00D20D8B">
        <w:rPr>
          <w:rFonts w:ascii="Arial" w:hAnsi="Arial" w:cs="Arial"/>
          <w:b/>
        </w:rPr>
        <w:t>SHIVUTE CJ</w:t>
      </w:r>
    </w:p>
    <w:p w:rsidR="00604362" w:rsidRPr="00D20D8B" w:rsidRDefault="00604362" w:rsidP="00FC3CDD">
      <w:pPr>
        <w:pStyle w:val="BodyText"/>
        <w:autoSpaceDE w:val="0"/>
        <w:autoSpaceDN w:val="0"/>
        <w:adjustRightInd w:val="0"/>
        <w:spacing w:line="276" w:lineRule="auto"/>
        <w:jc w:val="both"/>
        <w:rPr>
          <w:rFonts w:ascii="Arial" w:hAnsi="Arial" w:cs="Arial"/>
          <w:b/>
        </w:rPr>
      </w:pPr>
    </w:p>
    <w:p w:rsidR="00FC3CDD" w:rsidRDefault="00FC3CDD" w:rsidP="00FC3CDD">
      <w:pPr>
        <w:pStyle w:val="BodyText"/>
        <w:autoSpaceDE w:val="0"/>
        <w:autoSpaceDN w:val="0"/>
        <w:adjustRightInd w:val="0"/>
        <w:spacing w:line="276" w:lineRule="auto"/>
        <w:jc w:val="both"/>
        <w:rPr>
          <w:rFonts w:ascii="Arial" w:hAnsi="Arial" w:cs="Arial"/>
        </w:rPr>
      </w:pPr>
    </w:p>
    <w:p w:rsidR="001D347A" w:rsidRPr="00A928AF" w:rsidRDefault="001D347A" w:rsidP="00FC3CDD">
      <w:pPr>
        <w:pStyle w:val="BodyText"/>
        <w:autoSpaceDE w:val="0"/>
        <w:autoSpaceDN w:val="0"/>
        <w:adjustRightInd w:val="0"/>
        <w:spacing w:line="276" w:lineRule="auto"/>
        <w:jc w:val="both"/>
        <w:rPr>
          <w:rFonts w:ascii="Arial" w:hAnsi="Arial" w:cs="Arial"/>
        </w:rPr>
      </w:pPr>
      <w:r w:rsidRPr="00A928AF">
        <w:rPr>
          <w:rFonts w:ascii="Arial" w:hAnsi="Arial" w:cs="Arial"/>
        </w:rPr>
        <w:t>______________</w:t>
      </w:r>
    </w:p>
    <w:p w:rsidR="001D347A" w:rsidRPr="00A928AF" w:rsidRDefault="001D347A" w:rsidP="00FC3CDD">
      <w:pPr>
        <w:pStyle w:val="BodyText"/>
        <w:autoSpaceDE w:val="0"/>
        <w:autoSpaceDN w:val="0"/>
        <w:adjustRightInd w:val="0"/>
        <w:spacing w:line="276" w:lineRule="auto"/>
        <w:jc w:val="both"/>
        <w:rPr>
          <w:rFonts w:ascii="Arial" w:hAnsi="Arial" w:cs="Arial"/>
        </w:rPr>
      </w:pPr>
      <w:r w:rsidRPr="00D20D8B">
        <w:rPr>
          <w:rFonts w:ascii="Arial" w:hAnsi="Arial" w:cs="Arial"/>
          <w:b/>
        </w:rPr>
        <w:t xml:space="preserve">MOKGORO AJA </w:t>
      </w:r>
    </w:p>
    <w:p w:rsidR="00FC3CDD" w:rsidRDefault="00FC3CDD" w:rsidP="00FC3CDD">
      <w:pPr>
        <w:pStyle w:val="BodyText"/>
        <w:autoSpaceDE w:val="0"/>
        <w:autoSpaceDN w:val="0"/>
        <w:adjustRightInd w:val="0"/>
        <w:spacing w:line="276" w:lineRule="auto"/>
        <w:jc w:val="both"/>
        <w:rPr>
          <w:rFonts w:ascii="Arial" w:hAnsi="Arial" w:cs="Arial"/>
        </w:rPr>
      </w:pPr>
    </w:p>
    <w:p w:rsidR="00FC3CDD" w:rsidRDefault="00FC3CDD" w:rsidP="00FC3CDD">
      <w:pPr>
        <w:pStyle w:val="BodyText"/>
        <w:autoSpaceDE w:val="0"/>
        <w:autoSpaceDN w:val="0"/>
        <w:adjustRightInd w:val="0"/>
        <w:spacing w:line="276" w:lineRule="auto"/>
        <w:jc w:val="both"/>
        <w:rPr>
          <w:rFonts w:ascii="Arial" w:hAnsi="Arial" w:cs="Arial"/>
        </w:rPr>
      </w:pPr>
    </w:p>
    <w:p w:rsidR="00E86364" w:rsidRDefault="00E86364" w:rsidP="00FC3CDD">
      <w:pPr>
        <w:pStyle w:val="BodyText"/>
        <w:autoSpaceDE w:val="0"/>
        <w:autoSpaceDN w:val="0"/>
        <w:adjustRightInd w:val="0"/>
        <w:spacing w:line="276" w:lineRule="auto"/>
        <w:jc w:val="both"/>
        <w:rPr>
          <w:rFonts w:ascii="Arial" w:hAnsi="Arial" w:cs="Arial"/>
        </w:rPr>
      </w:pPr>
    </w:p>
    <w:p w:rsidR="00E86364" w:rsidRDefault="00E86364" w:rsidP="00FC3CDD">
      <w:pPr>
        <w:pStyle w:val="BodyText"/>
        <w:autoSpaceDE w:val="0"/>
        <w:autoSpaceDN w:val="0"/>
        <w:adjustRightInd w:val="0"/>
        <w:spacing w:line="276" w:lineRule="auto"/>
        <w:jc w:val="both"/>
        <w:rPr>
          <w:rFonts w:ascii="Arial" w:hAnsi="Arial" w:cs="Arial"/>
        </w:rPr>
      </w:pPr>
    </w:p>
    <w:p w:rsidR="00E86364" w:rsidRDefault="00E86364" w:rsidP="00FC3CDD">
      <w:pPr>
        <w:pStyle w:val="BodyText"/>
        <w:autoSpaceDE w:val="0"/>
        <w:autoSpaceDN w:val="0"/>
        <w:adjustRightInd w:val="0"/>
        <w:spacing w:line="276" w:lineRule="auto"/>
        <w:jc w:val="both"/>
        <w:rPr>
          <w:rFonts w:ascii="Arial" w:hAnsi="Arial" w:cs="Arial"/>
        </w:rPr>
      </w:pPr>
    </w:p>
    <w:p w:rsidR="00E86364" w:rsidRDefault="00E86364" w:rsidP="00FC3CDD">
      <w:pPr>
        <w:pStyle w:val="BodyText"/>
        <w:autoSpaceDE w:val="0"/>
        <w:autoSpaceDN w:val="0"/>
        <w:adjustRightInd w:val="0"/>
        <w:spacing w:line="276" w:lineRule="auto"/>
        <w:jc w:val="both"/>
        <w:rPr>
          <w:rFonts w:ascii="Arial" w:hAnsi="Arial" w:cs="Arial"/>
        </w:rPr>
      </w:pPr>
    </w:p>
    <w:p w:rsidR="00E86364" w:rsidRPr="00A928AF" w:rsidRDefault="00E86364" w:rsidP="00FC3CDD">
      <w:pPr>
        <w:pStyle w:val="BodyText"/>
        <w:autoSpaceDE w:val="0"/>
        <w:autoSpaceDN w:val="0"/>
        <w:adjustRightInd w:val="0"/>
        <w:spacing w:line="276" w:lineRule="auto"/>
        <w:jc w:val="both"/>
        <w:rPr>
          <w:rFonts w:ascii="Arial" w:hAnsi="Arial" w:cs="Arial"/>
        </w:rPr>
      </w:pPr>
    </w:p>
    <w:p w:rsidR="001D347A" w:rsidRDefault="001D347A" w:rsidP="00FC3CDD">
      <w:pPr>
        <w:pStyle w:val="BodyText"/>
        <w:autoSpaceDE w:val="0"/>
        <w:autoSpaceDN w:val="0"/>
        <w:adjustRightInd w:val="0"/>
        <w:spacing w:line="276" w:lineRule="auto"/>
        <w:jc w:val="both"/>
        <w:rPr>
          <w:rFonts w:ascii="Arial" w:hAnsi="Arial" w:cs="Arial"/>
        </w:rPr>
      </w:pPr>
      <w:r w:rsidRPr="00A928AF">
        <w:rPr>
          <w:rFonts w:ascii="Arial" w:hAnsi="Arial" w:cs="Arial"/>
        </w:rPr>
        <w:t>_______________</w:t>
      </w:r>
    </w:p>
    <w:p w:rsidR="001D347A" w:rsidRPr="00A928AF" w:rsidRDefault="001D347A" w:rsidP="00FC3CDD">
      <w:pPr>
        <w:pStyle w:val="BodyText"/>
        <w:autoSpaceDE w:val="0"/>
        <w:autoSpaceDN w:val="0"/>
        <w:adjustRightInd w:val="0"/>
        <w:spacing w:line="276" w:lineRule="auto"/>
        <w:jc w:val="both"/>
        <w:rPr>
          <w:rFonts w:ascii="Arial" w:hAnsi="Arial" w:cs="Arial"/>
        </w:rPr>
      </w:pPr>
      <w:r w:rsidRPr="00D20D8B">
        <w:rPr>
          <w:rFonts w:ascii="Arial" w:hAnsi="Arial" w:cs="Arial"/>
          <w:b/>
        </w:rPr>
        <w:t>NKABINDE AJA</w:t>
      </w:r>
    </w:p>
    <w:p w:rsidR="001D347A" w:rsidRPr="00A928AF" w:rsidRDefault="001D347A" w:rsidP="001D347A">
      <w:pPr>
        <w:pStyle w:val="BodyText"/>
        <w:autoSpaceDE w:val="0"/>
        <w:autoSpaceDN w:val="0"/>
        <w:adjustRightInd w:val="0"/>
        <w:spacing w:line="480" w:lineRule="auto"/>
        <w:jc w:val="both"/>
        <w:rPr>
          <w:rFonts w:ascii="Arial" w:hAnsi="Arial" w:cs="Arial"/>
        </w:rPr>
      </w:pPr>
    </w:p>
    <w:p w:rsidR="001D347A" w:rsidRDefault="001D347A"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001D2D" w:rsidRDefault="00001D2D" w:rsidP="001D347A">
      <w:pPr>
        <w:pStyle w:val="BodyText"/>
        <w:autoSpaceDE w:val="0"/>
        <w:autoSpaceDN w:val="0"/>
        <w:adjustRightInd w:val="0"/>
        <w:spacing w:line="480" w:lineRule="auto"/>
        <w:jc w:val="both"/>
        <w:rPr>
          <w:rFonts w:ascii="Arial" w:hAnsi="Arial" w:cs="Arial"/>
        </w:rPr>
      </w:pPr>
    </w:p>
    <w:p w:rsidR="00604362" w:rsidRDefault="00604362">
      <w:pPr>
        <w:spacing w:after="200" w:line="276" w:lineRule="auto"/>
        <w:rPr>
          <w:rFonts w:ascii="Arial" w:eastAsia="Times New Roman" w:hAnsi="Arial" w:cs="Arial"/>
          <w:sz w:val="24"/>
          <w:szCs w:val="24"/>
          <w:lang w:val="en-GB"/>
        </w:rPr>
      </w:pPr>
      <w:r>
        <w:rPr>
          <w:rFonts w:ascii="Arial" w:hAnsi="Arial" w:cs="Arial"/>
        </w:rPr>
        <w:br w:type="page"/>
      </w:r>
    </w:p>
    <w:p w:rsidR="00604362" w:rsidRDefault="00604362" w:rsidP="001D347A">
      <w:pPr>
        <w:pStyle w:val="BodyText"/>
        <w:autoSpaceDE w:val="0"/>
        <w:autoSpaceDN w:val="0"/>
        <w:adjustRightInd w:val="0"/>
        <w:spacing w:line="480" w:lineRule="auto"/>
        <w:jc w:val="both"/>
        <w:rPr>
          <w:rFonts w:ascii="Arial" w:hAnsi="Arial" w:cs="Arial"/>
        </w:rPr>
      </w:pPr>
    </w:p>
    <w:p w:rsidR="001D347A" w:rsidRPr="00A928AF" w:rsidRDefault="001D347A" w:rsidP="001D347A">
      <w:pPr>
        <w:pStyle w:val="BodyText"/>
        <w:autoSpaceDE w:val="0"/>
        <w:autoSpaceDN w:val="0"/>
        <w:adjustRightInd w:val="0"/>
        <w:spacing w:line="480" w:lineRule="auto"/>
        <w:jc w:val="both"/>
        <w:rPr>
          <w:rFonts w:ascii="Arial" w:hAnsi="Arial" w:cs="Arial"/>
        </w:rPr>
      </w:pPr>
      <w:r w:rsidRPr="00A928AF">
        <w:rPr>
          <w:rFonts w:ascii="Arial" w:hAnsi="Arial" w:cs="Arial"/>
        </w:rPr>
        <w:t>APPEARANCES</w:t>
      </w:r>
    </w:p>
    <w:p w:rsidR="001D347A" w:rsidRPr="00A928AF" w:rsidRDefault="001D347A" w:rsidP="001D347A">
      <w:pPr>
        <w:pStyle w:val="BodyText"/>
        <w:autoSpaceDE w:val="0"/>
        <w:autoSpaceDN w:val="0"/>
        <w:adjustRightInd w:val="0"/>
        <w:spacing w:line="480" w:lineRule="auto"/>
        <w:jc w:val="both"/>
        <w:rPr>
          <w:rFonts w:ascii="Arial" w:hAnsi="Arial" w:cs="Arial"/>
        </w:rPr>
      </w:pPr>
    </w:p>
    <w:p w:rsidR="001D347A" w:rsidRPr="00A928AF" w:rsidRDefault="001D347A" w:rsidP="001D347A">
      <w:pPr>
        <w:tabs>
          <w:tab w:val="left" w:pos="1394"/>
          <w:tab w:val="left" w:pos="2528"/>
          <w:tab w:val="left" w:pos="3780"/>
        </w:tabs>
        <w:spacing w:after="0" w:line="480" w:lineRule="auto"/>
        <w:jc w:val="both"/>
        <w:rPr>
          <w:rFonts w:ascii="Arial" w:hAnsi="Arial" w:cs="Arial"/>
          <w:sz w:val="24"/>
          <w:szCs w:val="24"/>
        </w:rPr>
      </w:pPr>
      <w:r w:rsidRPr="00A928AF">
        <w:rPr>
          <w:rFonts w:ascii="Arial" w:hAnsi="Arial" w:cs="Arial"/>
          <w:sz w:val="24"/>
          <w:szCs w:val="24"/>
        </w:rPr>
        <w:t>APPELLANTS:</w:t>
      </w: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t>I A M Semenya</w:t>
      </w:r>
      <w:r>
        <w:rPr>
          <w:rFonts w:ascii="Arial" w:hAnsi="Arial" w:cs="Arial"/>
          <w:sz w:val="24"/>
          <w:szCs w:val="24"/>
        </w:rPr>
        <w:t>,</w:t>
      </w:r>
      <w:r w:rsidRPr="00A928AF">
        <w:rPr>
          <w:rFonts w:ascii="Arial" w:hAnsi="Arial" w:cs="Arial"/>
          <w:sz w:val="24"/>
          <w:szCs w:val="24"/>
        </w:rPr>
        <w:t xml:space="preserve"> SC</w:t>
      </w:r>
      <w:r>
        <w:rPr>
          <w:rFonts w:ascii="Arial" w:hAnsi="Arial" w:cs="Arial"/>
          <w:sz w:val="24"/>
          <w:szCs w:val="24"/>
        </w:rPr>
        <w:t xml:space="preserve"> (with him </w:t>
      </w:r>
    </w:p>
    <w:p w:rsidR="001D347A" w:rsidRPr="00A928AF" w:rsidRDefault="001D347A" w:rsidP="001D347A">
      <w:pPr>
        <w:tabs>
          <w:tab w:val="left" w:pos="1394"/>
          <w:tab w:val="left" w:pos="2528"/>
          <w:tab w:val="left" w:pos="3780"/>
        </w:tabs>
        <w:spacing w:after="0" w:line="480" w:lineRule="auto"/>
        <w:ind w:left="5040"/>
        <w:jc w:val="both"/>
        <w:rPr>
          <w:rFonts w:ascii="Arial" w:hAnsi="Arial" w:cs="Arial"/>
          <w:sz w:val="24"/>
          <w:szCs w:val="24"/>
        </w:rPr>
      </w:pPr>
      <w:r w:rsidRPr="00A928AF">
        <w:rPr>
          <w:rFonts w:ascii="Arial" w:hAnsi="Arial" w:cs="Arial"/>
          <w:sz w:val="24"/>
          <w:szCs w:val="24"/>
        </w:rPr>
        <w:t>N Marcus</w:t>
      </w:r>
      <w:r>
        <w:rPr>
          <w:rFonts w:ascii="Arial" w:hAnsi="Arial" w:cs="Arial"/>
          <w:sz w:val="24"/>
          <w:szCs w:val="24"/>
        </w:rPr>
        <w:t>)</w:t>
      </w:r>
      <w:r w:rsidRPr="00A928AF">
        <w:rPr>
          <w:rFonts w:ascii="Arial" w:hAnsi="Arial" w:cs="Arial"/>
          <w:sz w:val="24"/>
          <w:szCs w:val="24"/>
        </w:rPr>
        <w:t xml:space="preserve"> </w:t>
      </w:r>
    </w:p>
    <w:p w:rsidR="001D347A" w:rsidRPr="00A928AF" w:rsidRDefault="001D347A" w:rsidP="001D347A">
      <w:pPr>
        <w:tabs>
          <w:tab w:val="left" w:pos="1394"/>
          <w:tab w:val="left" w:pos="2528"/>
          <w:tab w:val="left" w:pos="3780"/>
        </w:tabs>
        <w:spacing w:after="0" w:line="480" w:lineRule="auto"/>
        <w:ind w:left="5040"/>
        <w:jc w:val="both"/>
        <w:rPr>
          <w:rFonts w:ascii="Arial" w:hAnsi="Arial" w:cs="Arial"/>
          <w:sz w:val="24"/>
          <w:szCs w:val="24"/>
        </w:rPr>
      </w:pPr>
      <w:r w:rsidRPr="00A928AF">
        <w:rPr>
          <w:rFonts w:ascii="Arial" w:hAnsi="Arial" w:cs="Arial"/>
          <w:sz w:val="24"/>
          <w:szCs w:val="24"/>
        </w:rPr>
        <w:t>Instructed by Government Attorney</w:t>
      </w:r>
    </w:p>
    <w:p w:rsidR="001D347A" w:rsidRPr="00A928AF" w:rsidRDefault="001D347A" w:rsidP="001D347A">
      <w:pPr>
        <w:tabs>
          <w:tab w:val="left" w:pos="1394"/>
          <w:tab w:val="left" w:pos="2528"/>
          <w:tab w:val="left" w:pos="3780"/>
        </w:tabs>
        <w:spacing w:after="0" w:line="480" w:lineRule="auto"/>
        <w:jc w:val="both"/>
        <w:rPr>
          <w:rFonts w:ascii="Arial" w:hAnsi="Arial" w:cs="Arial"/>
          <w:sz w:val="24"/>
          <w:szCs w:val="24"/>
        </w:rPr>
      </w:pPr>
    </w:p>
    <w:p w:rsidR="001D347A" w:rsidRPr="00A928AF" w:rsidRDefault="001D347A" w:rsidP="001D347A">
      <w:pPr>
        <w:tabs>
          <w:tab w:val="left" w:pos="1394"/>
          <w:tab w:val="left" w:pos="2528"/>
          <w:tab w:val="left" w:pos="3780"/>
        </w:tabs>
        <w:spacing w:after="0" w:line="480" w:lineRule="auto"/>
        <w:jc w:val="both"/>
        <w:rPr>
          <w:rFonts w:ascii="Arial" w:hAnsi="Arial" w:cs="Arial"/>
          <w:sz w:val="24"/>
          <w:szCs w:val="24"/>
        </w:rPr>
      </w:pPr>
      <w:r w:rsidRPr="00A928AF">
        <w:rPr>
          <w:rFonts w:ascii="Arial" w:hAnsi="Arial" w:cs="Arial"/>
          <w:sz w:val="24"/>
          <w:szCs w:val="24"/>
        </w:rPr>
        <w:t>RESPONDENT:</w:t>
      </w: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r>
      <w:r>
        <w:rPr>
          <w:rFonts w:ascii="Arial" w:hAnsi="Arial" w:cs="Arial"/>
          <w:sz w:val="24"/>
          <w:szCs w:val="24"/>
        </w:rPr>
        <w:t>P</w:t>
      </w:r>
      <w:r w:rsidRPr="00A928AF">
        <w:rPr>
          <w:rFonts w:ascii="Arial" w:hAnsi="Arial" w:cs="Arial"/>
          <w:sz w:val="24"/>
          <w:szCs w:val="24"/>
        </w:rPr>
        <w:t xml:space="preserve"> S M</w:t>
      </w:r>
      <w:r>
        <w:rPr>
          <w:rFonts w:ascii="Arial" w:hAnsi="Arial" w:cs="Arial"/>
          <w:sz w:val="24"/>
          <w:szCs w:val="24"/>
        </w:rPr>
        <w:t>uluti (With him</w:t>
      </w:r>
      <w:r w:rsidRPr="00A928AF">
        <w:rPr>
          <w:rFonts w:ascii="Arial" w:hAnsi="Arial" w:cs="Arial"/>
          <w:sz w:val="24"/>
          <w:szCs w:val="24"/>
        </w:rPr>
        <w:t xml:space="preserve"> </w:t>
      </w:r>
      <w:r>
        <w:rPr>
          <w:rFonts w:ascii="Arial" w:hAnsi="Arial" w:cs="Arial"/>
          <w:sz w:val="24"/>
          <w:szCs w:val="24"/>
        </w:rPr>
        <w:t>G</w:t>
      </w:r>
      <w:r w:rsidRPr="00A928AF">
        <w:rPr>
          <w:rFonts w:ascii="Arial" w:hAnsi="Arial" w:cs="Arial"/>
          <w:sz w:val="24"/>
          <w:szCs w:val="24"/>
        </w:rPr>
        <w:t xml:space="preserve"> </w:t>
      </w:r>
      <w:r>
        <w:rPr>
          <w:rFonts w:ascii="Arial" w:hAnsi="Arial" w:cs="Arial"/>
          <w:sz w:val="24"/>
          <w:szCs w:val="24"/>
        </w:rPr>
        <w:t>Joseph)</w:t>
      </w:r>
    </w:p>
    <w:p w:rsidR="001D347A" w:rsidRPr="00A928AF" w:rsidRDefault="001D347A" w:rsidP="001D347A">
      <w:pPr>
        <w:tabs>
          <w:tab w:val="left" w:pos="1394"/>
          <w:tab w:val="left" w:pos="2528"/>
          <w:tab w:val="left" w:pos="3780"/>
        </w:tabs>
        <w:spacing w:after="0" w:line="480" w:lineRule="auto"/>
        <w:jc w:val="both"/>
        <w:rPr>
          <w:rFonts w:ascii="Arial" w:hAnsi="Arial" w:cs="Arial"/>
          <w:sz w:val="24"/>
          <w:szCs w:val="24"/>
        </w:rPr>
      </w:pP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r>
      <w:r w:rsidRPr="00A928AF">
        <w:rPr>
          <w:rFonts w:ascii="Arial" w:hAnsi="Arial" w:cs="Arial"/>
          <w:sz w:val="24"/>
          <w:szCs w:val="24"/>
        </w:rPr>
        <w:tab/>
      </w:r>
      <w:r w:rsidR="00FC3CDD">
        <w:rPr>
          <w:rFonts w:ascii="Arial" w:hAnsi="Arial" w:cs="Arial"/>
          <w:sz w:val="24"/>
          <w:szCs w:val="24"/>
        </w:rPr>
        <w:t>Of</w:t>
      </w:r>
      <w:r w:rsidRPr="00A928AF">
        <w:rPr>
          <w:rFonts w:ascii="Arial" w:hAnsi="Arial" w:cs="Arial"/>
          <w:sz w:val="24"/>
          <w:szCs w:val="24"/>
        </w:rPr>
        <w:t xml:space="preserve"> Muluti &amp; Partners</w:t>
      </w:r>
    </w:p>
    <w:p w:rsidR="001D347A" w:rsidRPr="00A928AF" w:rsidRDefault="001D347A" w:rsidP="001D347A">
      <w:pPr>
        <w:pStyle w:val="NoSpacing"/>
        <w:spacing w:line="480" w:lineRule="auto"/>
        <w:rPr>
          <w:rFonts w:ascii="Arial" w:hAnsi="Arial" w:cs="Arial"/>
          <w:sz w:val="24"/>
          <w:szCs w:val="24"/>
        </w:rPr>
      </w:pPr>
    </w:p>
    <w:p w:rsidR="001D347A" w:rsidRPr="00A928AF" w:rsidRDefault="001D347A" w:rsidP="001D347A">
      <w:pPr>
        <w:pStyle w:val="NoSpacing"/>
        <w:spacing w:line="480" w:lineRule="auto"/>
        <w:rPr>
          <w:rFonts w:ascii="Arial" w:hAnsi="Arial" w:cs="Arial"/>
          <w:sz w:val="24"/>
          <w:szCs w:val="24"/>
        </w:rPr>
      </w:pPr>
    </w:p>
    <w:p w:rsidR="001D347A" w:rsidRPr="00A928AF" w:rsidRDefault="001D347A" w:rsidP="001D347A">
      <w:pPr>
        <w:pStyle w:val="NoSpacing"/>
        <w:spacing w:line="480" w:lineRule="auto"/>
        <w:rPr>
          <w:rFonts w:ascii="Arial" w:hAnsi="Arial" w:cs="Arial"/>
          <w:sz w:val="24"/>
          <w:szCs w:val="24"/>
        </w:rPr>
      </w:pPr>
    </w:p>
    <w:p w:rsidR="001D347A" w:rsidRPr="00A928AF" w:rsidRDefault="001D347A" w:rsidP="001D347A">
      <w:pPr>
        <w:pStyle w:val="NoSpacing"/>
        <w:spacing w:line="480" w:lineRule="auto"/>
        <w:rPr>
          <w:rFonts w:ascii="Arial" w:hAnsi="Arial" w:cs="Arial"/>
          <w:sz w:val="24"/>
          <w:szCs w:val="24"/>
        </w:rPr>
      </w:pPr>
    </w:p>
    <w:p w:rsidR="001D347A" w:rsidRPr="00A928AF" w:rsidRDefault="001D347A" w:rsidP="001D347A">
      <w:pPr>
        <w:rPr>
          <w:rFonts w:ascii="Arial" w:hAnsi="Arial" w:cs="Arial"/>
          <w:sz w:val="24"/>
          <w:szCs w:val="24"/>
        </w:rPr>
      </w:pPr>
    </w:p>
    <w:p w:rsidR="001D347A" w:rsidRPr="00A928AF" w:rsidRDefault="001D347A" w:rsidP="001D347A">
      <w:pPr>
        <w:rPr>
          <w:rFonts w:ascii="Arial" w:hAnsi="Arial" w:cs="Arial"/>
          <w:sz w:val="24"/>
          <w:szCs w:val="24"/>
        </w:rPr>
      </w:pPr>
    </w:p>
    <w:p w:rsidR="00FA2EF2" w:rsidRDefault="00FA2EF2"/>
    <w:sectPr w:rsidR="00FA2EF2" w:rsidSect="00C1170C">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45" w:rsidRDefault="00633F45" w:rsidP="001D347A">
      <w:pPr>
        <w:spacing w:after="0" w:line="240" w:lineRule="auto"/>
      </w:pPr>
      <w:r>
        <w:separator/>
      </w:r>
    </w:p>
  </w:endnote>
  <w:endnote w:type="continuationSeparator" w:id="0">
    <w:p w:rsidR="00633F45" w:rsidRDefault="00633F45" w:rsidP="001D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45" w:rsidRDefault="00633F45" w:rsidP="001D347A">
      <w:pPr>
        <w:spacing w:after="0" w:line="240" w:lineRule="auto"/>
      </w:pPr>
      <w:r>
        <w:separator/>
      </w:r>
    </w:p>
  </w:footnote>
  <w:footnote w:type="continuationSeparator" w:id="0">
    <w:p w:rsidR="00633F45" w:rsidRDefault="00633F45" w:rsidP="001D347A">
      <w:pPr>
        <w:spacing w:after="0" w:line="240" w:lineRule="auto"/>
      </w:pPr>
      <w:r>
        <w:continuationSeparator/>
      </w:r>
    </w:p>
  </w:footnote>
  <w:footnote w:id="1">
    <w:p w:rsidR="001D347A" w:rsidRPr="006F2B67" w:rsidRDefault="001D347A" w:rsidP="001D347A">
      <w:pPr>
        <w:pStyle w:val="FootnoteText"/>
        <w:rPr>
          <w:rFonts w:ascii="Arial" w:hAnsi="Arial" w:cs="Arial"/>
          <w:lang w:val="en-GB"/>
        </w:rPr>
      </w:pPr>
      <w:r w:rsidRPr="006F2B67">
        <w:rPr>
          <w:rStyle w:val="FootnoteReference"/>
          <w:rFonts w:ascii="Arial" w:hAnsi="Arial" w:cs="Arial"/>
        </w:rPr>
        <w:footnoteRef/>
      </w:r>
      <w:r w:rsidRPr="006F2B67">
        <w:rPr>
          <w:rFonts w:ascii="Arial" w:hAnsi="Arial" w:cs="Arial"/>
          <w:lang w:val="en-GB"/>
        </w:rPr>
        <w:t xml:space="preserve"> </w:t>
      </w:r>
      <w:r w:rsidR="00633580">
        <w:rPr>
          <w:rFonts w:ascii="Arial" w:hAnsi="Arial" w:cs="Arial"/>
          <w:lang w:val="en-GB"/>
        </w:rPr>
        <w:t>2017 (1) NR 248 (SC).</w:t>
      </w:r>
    </w:p>
  </w:footnote>
  <w:footnote w:id="2">
    <w:p w:rsidR="001D347A" w:rsidRPr="00C31C99" w:rsidRDefault="001D347A" w:rsidP="001D347A">
      <w:pPr>
        <w:pStyle w:val="FootnoteText"/>
        <w:rPr>
          <w:lang w:val="en-GB"/>
        </w:rPr>
      </w:pPr>
      <w:r>
        <w:rPr>
          <w:rStyle w:val="FootnoteReference"/>
        </w:rPr>
        <w:footnoteRef/>
      </w:r>
      <w:r>
        <w:t xml:space="preserve"> </w:t>
      </w:r>
      <w:r w:rsidRPr="00FC3CDD">
        <w:rPr>
          <w:rFonts w:ascii="Arial" w:hAnsi="Arial" w:cs="Arial"/>
          <w:lang w:val="en-GB"/>
        </w:rPr>
        <w:t>2014 (1) SA 254 (GNP) para 77</w:t>
      </w:r>
      <w:r w:rsidR="00633580">
        <w:rPr>
          <w:rFonts w:ascii="Arial" w:hAnsi="Arial" w:cs="Arial"/>
          <w:lang w:val="en-GB"/>
        </w:rPr>
        <w:t>.</w:t>
      </w:r>
    </w:p>
  </w:footnote>
  <w:footnote w:id="3">
    <w:p w:rsidR="001D347A" w:rsidRPr="00FC3CDD" w:rsidRDefault="001D347A" w:rsidP="001D347A">
      <w:pPr>
        <w:pStyle w:val="FootnoteText"/>
        <w:rPr>
          <w:rFonts w:ascii="Arial" w:hAnsi="Arial" w:cs="Arial"/>
          <w:lang w:val="en-GB"/>
        </w:rPr>
      </w:pPr>
      <w:r w:rsidRPr="00FC3CDD">
        <w:rPr>
          <w:rStyle w:val="FootnoteReference"/>
          <w:rFonts w:ascii="Arial" w:hAnsi="Arial" w:cs="Arial"/>
        </w:rPr>
        <w:footnoteRef/>
      </w:r>
      <w:r w:rsidRPr="00FC3CDD">
        <w:rPr>
          <w:rFonts w:ascii="Arial" w:hAnsi="Arial" w:cs="Arial"/>
        </w:rPr>
        <w:t xml:space="preserve"> 2009 (1) NR 403 (HC).</w:t>
      </w:r>
    </w:p>
  </w:footnote>
  <w:footnote w:id="4">
    <w:p w:rsidR="001D347A" w:rsidRPr="00FC3CDD" w:rsidRDefault="001D347A" w:rsidP="001D347A">
      <w:pPr>
        <w:pStyle w:val="FootnoteText"/>
        <w:rPr>
          <w:rFonts w:ascii="Arial" w:hAnsi="Arial" w:cs="Arial"/>
          <w:lang w:val="en-US"/>
        </w:rPr>
      </w:pPr>
      <w:r w:rsidRPr="00FC3CDD">
        <w:rPr>
          <w:rStyle w:val="FootnoteReference"/>
          <w:rFonts w:ascii="Arial" w:hAnsi="Arial" w:cs="Arial"/>
        </w:rPr>
        <w:footnoteRef/>
      </w:r>
      <w:r w:rsidRPr="00FC3CDD">
        <w:rPr>
          <w:rFonts w:ascii="Arial" w:hAnsi="Arial" w:cs="Arial"/>
        </w:rPr>
        <w:t xml:space="preserve"> [1878] 8 QBD 167, in</w:t>
      </w:r>
      <w:r w:rsidRPr="00FC3CDD">
        <w:rPr>
          <w:rFonts w:ascii="Arial" w:hAnsi="Arial" w:cs="Arial"/>
          <w:lang w:val="en-US"/>
        </w:rPr>
        <w:t xml:space="preserve">, for example, </w:t>
      </w:r>
      <w:r w:rsidRPr="00FC3CDD">
        <w:rPr>
          <w:rFonts w:ascii="Arial" w:hAnsi="Arial" w:cs="Arial"/>
          <w:i/>
          <w:iCs/>
          <w:lang w:val="en-US"/>
        </w:rPr>
        <w:t>Minister of Safety &amp; Security v Makapa</w:t>
      </w:r>
      <w:r w:rsidRPr="00FC3CDD">
        <w:rPr>
          <w:rFonts w:ascii="Arial" w:hAnsi="Arial" w:cs="Arial"/>
          <w:iCs/>
          <w:lang w:val="en-US"/>
        </w:rPr>
        <w:t xml:space="preserve"> (SA35-2017</w:t>
      </w:r>
      <w:r w:rsidR="00CE13D8">
        <w:rPr>
          <w:rFonts w:ascii="Arial" w:hAnsi="Arial" w:cs="Arial"/>
          <w:iCs/>
          <w:lang w:val="en-US"/>
        </w:rPr>
        <w:t xml:space="preserve"> </w:t>
      </w:r>
      <w:r w:rsidRPr="00FC3CDD">
        <w:rPr>
          <w:rFonts w:ascii="Arial" w:hAnsi="Arial" w:cs="Arial"/>
          <w:iCs/>
          <w:lang w:val="en-US"/>
        </w:rPr>
        <w:t>[2020] NASC (5 February 2020)</w:t>
      </w:r>
      <w:r w:rsidRPr="00FC3CDD">
        <w:rPr>
          <w:rFonts w:ascii="Arial" w:hAnsi="Arial" w:cs="Arial"/>
          <w:lang w:val="en-US"/>
        </w:rPr>
        <w:t xml:space="preserve"> para 52.</w:t>
      </w:r>
    </w:p>
  </w:footnote>
  <w:footnote w:id="5">
    <w:p w:rsidR="001D347A" w:rsidRPr="00092AA1" w:rsidRDefault="001D347A" w:rsidP="001D347A">
      <w:pPr>
        <w:pStyle w:val="FootnoteText"/>
        <w:rPr>
          <w:rFonts w:ascii="Arial" w:hAnsi="Arial" w:cs="Arial"/>
          <w:lang w:val="en-US"/>
        </w:rPr>
      </w:pPr>
      <w:r w:rsidRPr="00092AA1">
        <w:rPr>
          <w:rStyle w:val="FootnoteReference"/>
          <w:rFonts w:ascii="Arial" w:hAnsi="Arial" w:cs="Arial"/>
        </w:rPr>
        <w:footnoteRef/>
      </w:r>
      <w:r w:rsidRPr="00092AA1">
        <w:rPr>
          <w:rFonts w:ascii="Arial" w:hAnsi="Arial" w:cs="Arial"/>
        </w:rPr>
        <w:t xml:space="preserve"> </w:t>
      </w:r>
      <w:r w:rsidRPr="00092AA1">
        <w:rPr>
          <w:rFonts w:ascii="Arial" w:hAnsi="Arial" w:cs="Arial"/>
          <w:i/>
          <w:iCs/>
        </w:rPr>
        <w:t xml:space="preserve">Minister of Safety &amp; Security v </w:t>
      </w:r>
      <w:r w:rsidRPr="00092AA1">
        <w:rPr>
          <w:rFonts w:ascii="Arial" w:hAnsi="Arial" w:cs="Arial"/>
          <w:i/>
          <w:lang w:val="en-US"/>
        </w:rPr>
        <w:t>Mahupelo</w:t>
      </w:r>
      <w:r w:rsidRPr="00092AA1">
        <w:rPr>
          <w:rFonts w:ascii="Arial" w:hAnsi="Arial" w:cs="Arial"/>
          <w:lang w:val="en-US"/>
        </w:rPr>
        <w:t xml:space="preserve"> </w:t>
      </w:r>
      <w:r>
        <w:rPr>
          <w:rFonts w:ascii="Arial" w:hAnsi="Arial" w:cs="Arial"/>
          <w:lang w:val="en-US"/>
        </w:rPr>
        <w:t>(SA 7-2017) [2019] NASC (28 February 2019)</w:t>
      </w:r>
      <w:r w:rsidRPr="00092AA1">
        <w:rPr>
          <w:rFonts w:ascii="Arial" w:hAnsi="Arial" w:cs="Arial"/>
          <w:lang w:val="en-US"/>
        </w:rPr>
        <w:t xml:space="preserve"> para 66.</w:t>
      </w:r>
    </w:p>
  </w:footnote>
  <w:footnote w:id="6">
    <w:p w:rsidR="001D347A" w:rsidRPr="00092AA1" w:rsidRDefault="001D347A" w:rsidP="001D347A">
      <w:pPr>
        <w:pStyle w:val="FootnoteText"/>
        <w:rPr>
          <w:rFonts w:ascii="Arial" w:hAnsi="Arial" w:cs="Arial"/>
          <w:lang w:val="en-US"/>
        </w:rPr>
      </w:pPr>
      <w:r w:rsidRPr="00092AA1">
        <w:rPr>
          <w:rStyle w:val="FootnoteReference"/>
          <w:rFonts w:ascii="Arial" w:hAnsi="Arial" w:cs="Arial"/>
        </w:rPr>
        <w:footnoteRef/>
      </w:r>
      <w:r w:rsidRPr="00092AA1">
        <w:rPr>
          <w:rFonts w:ascii="Arial" w:hAnsi="Arial" w:cs="Arial"/>
        </w:rPr>
        <w:t xml:space="preserve"> </w:t>
      </w:r>
      <w:r w:rsidR="00CE13D8" w:rsidRPr="00FC3CDD">
        <w:rPr>
          <w:rFonts w:ascii="Arial" w:hAnsi="Arial" w:cs="Arial"/>
          <w:lang w:val="en-US"/>
        </w:rPr>
        <w:t>Id</w:t>
      </w:r>
      <w:r w:rsidRPr="00092AA1">
        <w:rPr>
          <w:rFonts w:ascii="Arial" w:hAnsi="Arial" w:cs="Arial"/>
          <w:lang w:val="en-US"/>
        </w:rPr>
        <w:t xml:space="preserve"> para 58.</w:t>
      </w:r>
    </w:p>
  </w:footnote>
  <w:footnote w:id="7">
    <w:p w:rsidR="001D347A" w:rsidRPr="00092AA1" w:rsidRDefault="001D347A" w:rsidP="001D347A">
      <w:pPr>
        <w:pStyle w:val="FootnoteText"/>
        <w:rPr>
          <w:rFonts w:ascii="Arial" w:hAnsi="Arial" w:cs="Arial"/>
          <w:lang w:val="en-US"/>
        </w:rPr>
      </w:pPr>
      <w:r w:rsidRPr="00092AA1">
        <w:rPr>
          <w:rStyle w:val="FootnoteReference"/>
          <w:rFonts w:ascii="Arial" w:hAnsi="Arial" w:cs="Arial"/>
        </w:rPr>
        <w:footnoteRef/>
      </w:r>
      <w:r w:rsidRPr="00092AA1">
        <w:rPr>
          <w:rFonts w:ascii="Arial" w:hAnsi="Arial" w:cs="Arial"/>
        </w:rPr>
        <w:t xml:space="preserve"> </w:t>
      </w:r>
      <w:r w:rsidR="00CE13D8">
        <w:rPr>
          <w:rFonts w:ascii="Arial" w:hAnsi="Arial" w:cs="Arial"/>
          <w:lang w:val="en-US"/>
        </w:rPr>
        <w:t>Id</w:t>
      </w:r>
      <w:r w:rsidRPr="00092AA1">
        <w:rPr>
          <w:rFonts w:ascii="Arial" w:hAnsi="Arial" w:cs="Arial"/>
          <w:lang w:val="en-US"/>
        </w:rPr>
        <w:t xml:space="preserve"> para 32.</w:t>
      </w:r>
    </w:p>
  </w:footnote>
  <w:footnote w:id="8">
    <w:p w:rsidR="001D347A" w:rsidRPr="00092AA1" w:rsidRDefault="001D347A" w:rsidP="001D347A">
      <w:pPr>
        <w:pStyle w:val="FootnoteText"/>
        <w:rPr>
          <w:rFonts w:ascii="Arial" w:hAnsi="Arial" w:cs="Arial"/>
          <w:lang w:val="en-US"/>
        </w:rPr>
      </w:pPr>
      <w:r w:rsidRPr="00092AA1">
        <w:rPr>
          <w:rStyle w:val="FootnoteReference"/>
          <w:rFonts w:ascii="Arial" w:hAnsi="Arial" w:cs="Arial"/>
        </w:rPr>
        <w:footnoteRef/>
      </w:r>
      <w:r w:rsidRPr="00092AA1">
        <w:rPr>
          <w:rFonts w:ascii="Arial" w:hAnsi="Arial" w:cs="Arial"/>
        </w:rPr>
        <w:t xml:space="preserve"> See </w:t>
      </w:r>
      <w:r w:rsidRPr="00092AA1">
        <w:rPr>
          <w:rFonts w:ascii="Arial" w:hAnsi="Arial" w:cs="Arial"/>
          <w:i/>
        </w:rPr>
        <w:t xml:space="preserve">Minister of Safety and Security v Makapa </w:t>
      </w:r>
      <w:r w:rsidRPr="00092AA1">
        <w:rPr>
          <w:rFonts w:ascii="Arial" w:hAnsi="Arial" w:cs="Arial"/>
        </w:rPr>
        <w:t>para 52.</w:t>
      </w:r>
    </w:p>
  </w:footnote>
  <w:footnote w:id="9">
    <w:p w:rsidR="001D347A" w:rsidRPr="00092AA1" w:rsidRDefault="001D347A" w:rsidP="001D347A">
      <w:pPr>
        <w:pStyle w:val="FootnoteText"/>
        <w:jc w:val="both"/>
        <w:rPr>
          <w:rFonts w:ascii="Arial" w:hAnsi="Arial" w:cs="Arial"/>
          <w:lang w:val="en-US"/>
        </w:rPr>
      </w:pPr>
      <w:r w:rsidRPr="00092AA1">
        <w:rPr>
          <w:rStyle w:val="FootnoteReference"/>
          <w:rFonts w:ascii="Arial" w:hAnsi="Arial" w:cs="Arial"/>
        </w:rPr>
        <w:footnoteRef/>
      </w:r>
      <w:r w:rsidRPr="00092AA1">
        <w:rPr>
          <w:rFonts w:ascii="Arial" w:hAnsi="Arial" w:cs="Arial"/>
        </w:rPr>
        <w:t xml:space="preserve"> </w:t>
      </w:r>
      <w:r>
        <w:rPr>
          <w:rFonts w:ascii="Arial" w:hAnsi="Arial" w:cs="Arial"/>
        </w:rPr>
        <w:t>Id</w:t>
      </w:r>
      <w:r w:rsidRPr="00092AA1">
        <w:rPr>
          <w:rFonts w:ascii="Arial" w:hAnsi="Arial" w:cs="Arial"/>
          <w:lang w:val="en-US"/>
        </w:rPr>
        <w:t xml:space="preserve"> para 57.</w:t>
      </w:r>
    </w:p>
  </w:footnote>
  <w:footnote w:id="10">
    <w:p w:rsidR="001D347A" w:rsidRPr="00FC3CDD" w:rsidRDefault="001D347A" w:rsidP="001D347A">
      <w:pPr>
        <w:pStyle w:val="FootnoteText"/>
        <w:rPr>
          <w:rFonts w:ascii="Arial" w:hAnsi="Arial" w:cs="Arial"/>
          <w:lang w:val="en-US"/>
        </w:rPr>
      </w:pPr>
      <w:r w:rsidRPr="00FC3CDD">
        <w:rPr>
          <w:rStyle w:val="FootnoteReference"/>
          <w:rFonts w:ascii="Arial" w:hAnsi="Arial" w:cs="Arial"/>
        </w:rPr>
        <w:footnoteRef/>
      </w:r>
      <w:r w:rsidRPr="00FC3CDD">
        <w:rPr>
          <w:rFonts w:ascii="Arial" w:hAnsi="Arial" w:cs="Arial"/>
        </w:rPr>
        <w:t xml:space="preserve"> See </w:t>
      </w:r>
      <w:r w:rsidRPr="00FC3CDD">
        <w:rPr>
          <w:rFonts w:ascii="Arial" w:hAnsi="Arial" w:cs="Arial"/>
          <w:i/>
          <w:iCs/>
        </w:rPr>
        <w:t>Mahupelo</w:t>
      </w:r>
      <w:r w:rsidRPr="00FC3CDD">
        <w:rPr>
          <w:rFonts w:ascii="Arial" w:hAnsi="Arial" w:cs="Arial"/>
        </w:rPr>
        <w:t xml:space="preserve">  para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5644C" w:rsidRDefault="003214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5644C" w:rsidRDefault="00633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636241"/>
      <w:docPartObj>
        <w:docPartGallery w:val="Page Numbers (Top of Page)"/>
        <w:docPartUnique/>
      </w:docPartObj>
    </w:sdtPr>
    <w:sdtEndPr>
      <w:rPr>
        <w:rFonts w:ascii="Arial" w:hAnsi="Arial" w:cs="Arial"/>
        <w:noProof/>
        <w:sz w:val="24"/>
        <w:szCs w:val="24"/>
      </w:rPr>
    </w:sdtEndPr>
    <w:sdtContent>
      <w:p w:rsidR="0045644C" w:rsidRPr="00FC3CDD" w:rsidRDefault="003214B3">
        <w:pPr>
          <w:pStyle w:val="Header"/>
          <w:jc w:val="right"/>
          <w:rPr>
            <w:rFonts w:ascii="Arial" w:hAnsi="Arial" w:cs="Arial"/>
            <w:sz w:val="24"/>
            <w:szCs w:val="24"/>
          </w:rPr>
        </w:pPr>
        <w:r w:rsidRPr="00FC3CDD">
          <w:rPr>
            <w:rFonts w:ascii="Arial" w:hAnsi="Arial" w:cs="Arial"/>
            <w:sz w:val="24"/>
            <w:szCs w:val="24"/>
          </w:rPr>
          <w:fldChar w:fldCharType="begin"/>
        </w:r>
        <w:r w:rsidRPr="00FC3CDD">
          <w:rPr>
            <w:rFonts w:ascii="Arial" w:hAnsi="Arial" w:cs="Arial"/>
            <w:sz w:val="24"/>
            <w:szCs w:val="24"/>
          </w:rPr>
          <w:instrText xml:space="preserve"> PAGE   \* MERGEFORMAT </w:instrText>
        </w:r>
        <w:r w:rsidRPr="00FC3CDD">
          <w:rPr>
            <w:rFonts w:ascii="Arial" w:hAnsi="Arial" w:cs="Arial"/>
            <w:sz w:val="24"/>
            <w:szCs w:val="24"/>
          </w:rPr>
          <w:fldChar w:fldCharType="separate"/>
        </w:r>
        <w:r w:rsidR="00ED161F">
          <w:rPr>
            <w:rFonts w:ascii="Arial" w:hAnsi="Arial" w:cs="Arial"/>
            <w:noProof/>
            <w:sz w:val="24"/>
            <w:szCs w:val="24"/>
          </w:rPr>
          <w:t>20</w:t>
        </w:r>
        <w:r w:rsidRPr="00FC3CDD">
          <w:rPr>
            <w:rFonts w:ascii="Arial" w:hAnsi="Arial" w:cs="Arial"/>
            <w:noProof/>
            <w:sz w:val="24"/>
            <w:szCs w:val="24"/>
          </w:rPr>
          <w:fldChar w:fldCharType="end"/>
        </w:r>
      </w:p>
    </w:sdtContent>
  </w:sdt>
  <w:p w:rsidR="0045644C" w:rsidRDefault="00633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E26C3"/>
    <w:multiLevelType w:val="hybridMultilevel"/>
    <w:tmpl w:val="66BCD172"/>
    <w:lvl w:ilvl="0" w:tplc="BC6C0DE8">
      <w:start w:val="1"/>
      <w:numFmt w:val="lowerLetter"/>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87902A98"/>
    <w:lvl w:ilvl="0" w:tplc="6BD4FD6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150B37"/>
    <w:multiLevelType w:val="hybridMultilevel"/>
    <w:tmpl w:val="52B676E0"/>
    <w:lvl w:ilvl="0" w:tplc="3126DF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6B3E06F1"/>
    <w:multiLevelType w:val="hybridMultilevel"/>
    <w:tmpl w:val="6B8672E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F4F01"/>
    <w:multiLevelType w:val="hybridMultilevel"/>
    <w:tmpl w:val="4AE6B24A"/>
    <w:lvl w:ilvl="0" w:tplc="556A51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7A"/>
    <w:rsid w:val="00001D2D"/>
    <w:rsid w:val="00047DC1"/>
    <w:rsid w:val="000565E0"/>
    <w:rsid w:val="000663EC"/>
    <w:rsid w:val="000724F6"/>
    <w:rsid w:val="00120A4D"/>
    <w:rsid w:val="001C1A21"/>
    <w:rsid w:val="001D347A"/>
    <w:rsid w:val="00206D5F"/>
    <w:rsid w:val="00233B29"/>
    <w:rsid w:val="002C2E2A"/>
    <w:rsid w:val="002E6F78"/>
    <w:rsid w:val="003214B3"/>
    <w:rsid w:val="003B50E5"/>
    <w:rsid w:val="003E2D26"/>
    <w:rsid w:val="00412A05"/>
    <w:rsid w:val="0044199A"/>
    <w:rsid w:val="00443BF7"/>
    <w:rsid w:val="0049345B"/>
    <w:rsid w:val="004F74E5"/>
    <w:rsid w:val="004F775A"/>
    <w:rsid w:val="005349AF"/>
    <w:rsid w:val="005B53D7"/>
    <w:rsid w:val="005B771B"/>
    <w:rsid w:val="00604362"/>
    <w:rsid w:val="00633580"/>
    <w:rsid w:val="00633F45"/>
    <w:rsid w:val="00647A28"/>
    <w:rsid w:val="00675D54"/>
    <w:rsid w:val="00681354"/>
    <w:rsid w:val="006977D6"/>
    <w:rsid w:val="006A2C81"/>
    <w:rsid w:val="006B0510"/>
    <w:rsid w:val="00776CF0"/>
    <w:rsid w:val="0083068D"/>
    <w:rsid w:val="00831486"/>
    <w:rsid w:val="0089286E"/>
    <w:rsid w:val="008F7E94"/>
    <w:rsid w:val="009338B9"/>
    <w:rsid w:val="00942095"/>
    <w:rsid w:val="009B2E66"/>
    <w:rsid w:val="009B648E"/>
    <w:rsid w:val="009F6129"/>
    <w:rsid w:val="00A311A7"/>
    <w:rsid w:val="00AE7CF8"/>
    <w:rsid w:val="00B011C0"/>
    <w:rsid w:val="00C631C4"/>
    <w:rsid w:val="00C8167A"/>
    <w:rsid w:val="00CB1E4D"/>
    <w:rsid w:val="00CB565D"/>
    <w:rsid w:val="00CE13D8"/>
    <w:rsid w:val="00D049C3"/>
    <w:rsid w:val="00D33F96"/>
    <w:rsid w:val="00D60210"/>
    <w:rsid w:val="00D936EB"/>
    <w:rsid w:val="00D9420D"/>
    <w:rsid w:val="00DC3032"/>
    <w:rsid w:val="00E641EB"/>
    <w:rsid w:val="00E86364"/>
    <w:rsid w:val="00EC5AB0"/>
    <w:rsid w:val="00ED161F"/>
    <w:rsid w:val="00F45347"/>
    <w:rsid w:val="00F84F84"/>
    <w:rsid w:val="00FA2EF2"/>
    <w:rsid w:val="00FC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B07E0-5BDF-4FED-AC84-B90DED46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7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47A"/>
    <w:pPr>
      <w:spacing w:after="0" w:line="240" w:lineRule="auto"/>
    </w:pPr>
    <w:rPr>
      <w:lang w:val="en-ZA"/>
    </w:rPr>
  </w:style>
  <w:style w:type="paragraph" w:styleId="BodyText">
    <w:name w:val="Body Text"/>
    <w:basedOn w:val="Normal"/>
    <w:link w:val="BodyTextChar"/>
    <w:rsid w:val="001D347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D347A"/>
    <w:rPr>
      <w:rFonts w:ascii="Times New Roman" w:eastAsia="Times New Roman" w:hAnsi="Times New Roman" w:cs="Times New Roman"/>
      <w:sz w:val="24"/>
      <w:szCs w:val="24"/>
    </w:rPr>
  </w:style>
  <w:style w:type="table" w:styleId="TableGrid">
    <w:name w:val="Table Grid"/>
    <w:basedOn w:val="TableNormal"/>
    <w:uiPriority w:val="39"/>
    <w:rsid w:val="001D347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47A"/>
    <w:rPr>
      <w:lang w:val="en-ZA"/>
    </w:rPr>
  </w:style>
  <w:style w:type="paragraph" w:styleId="Footer">
    <w:name w:val="footer"/>
    <w:basedOn w:val="Normal"/>
    <w:link w:val="FooterChar"/>
    <w:uiPriority w:val="99"/>
    <w:unhideWhenUsed/>
    <w:rsid w:val="001D3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47A"/>
    <w:rPr>
      <w:lang w:val="en-ZA"/>
    </w:rPr>
  </w:style>
  <w:style w:type="paragraph" w:styleId="ListParagraph">
    <w:name w:val="List Paragraph"/>
    <w:basedOn w:val="Normal"/>
    <w:qFormat/>
    <w:rsid w:val="001D347A"/>
    <w:pPr>
      <w:ind w:left="720"/>
      <w:contextualSpacing/>
    </w:pPr>
  </w:style>
  <w:style w:type="paragraph" w:styleId="FootnoteText">
    <w:name w:val="footnote text"/>
    <w:basedOn w:val="Normal"/>
    <w:link w:val="FootnoteTextChar"/>
    <w:uiPriority w:val="99"/>
    <w:unhideWhenUsed/>
    <w:rsid w:val="001D347A"/>
    <w:pPr>
      <w:spacing w:after="0" w:line="240" w:lineRule="auto"/>
    </w:pPr>
    <w:rPr>
      <w:sz w:val="20"/>
      <w:szCs w:val="20"/>
    </w:rPr>
  </w:style>
  <w:style w:type="character" w:customStyle="1" w:styleId="FootnoteTextChar">
    <w:name w:val="Footnote Text Char"/>
    <w:basedOn w:val="DefaultParagraphFont"/>
    <w:link w:val="FootnoteText"/>
    <w:uiPriority w:val="99"/>
    <w:rsid w:val="001D347A"/>
    <w:rPr>
      <w:sz w:val="20"/>
      <w:szCs w:val="20"/>
      <w:lang w:val="en-ZA"/>
    </w:rPr>
  </w:style>
  <w:style w:type="character" w:styleId="FootnoteReference">
    <w:name w:val="footnote reference"/>
    <w:basedOn w:val="DefaultParagraphFont"/>
    <w:uiPriority w:val="99"/>
    <w:unhideWhenUsed/>
    <w:rsid w:val="001D347A"/>
    <w:rPr>
      <w:vertAlign w:val="superscript"/>
    </w:rPr>
  </w:style>
  <w:style w:type="paragraph" w:styleId="Quote">
    <w:name w:val="Quote"/>
    <w:basedOn w:val="Normal"/>
    <w:next w:val="Normal"/>
    <w:link w:val="QuoteChar"/>
    <w:uiPriority w:val="29"/>
    <w:qFormat/>
    <w:rsid w:val="001D3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347A"/>
    <w:rPr>
      <w:i/>
      <w:iCs/>
      <w:color w:val="404040" w:themeColor="text1" w:themeTint="BF"/>
      <w:lang w:val="en-ZA"/>
    </w:rPr>
  </w:style>
  <w:style w:type="paragraph" w:styleId="BalloonText">
    <w:name w:val="Balloon Text"/>
    <w:basedOn w:val="Normal"/>
    <w:link w:val="BalloonTextChar"/>
    <w:uiPriority w:val="99"/>
    <w:semiHidden/>
    <w:unhideWhenUsed/>
    <w:rsid w:val="001D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7A"/>
    <w:rPr>
      <w:rFonts w:ascii="Tahoma" w:hAnsi="Tahoma" w:cs="Tahoma"/>
      <w:sz w:val="16"/>
      <w:szCs w:val="16"/>
      <w:lang w:val="en-ZA"/>
    </w:rPr>
  </w:style>
  <w:style w:type="character" w:styleId="CommentReference">
    <w:name w:val="annotation reference"/>
    <w:basedOn w:val="DefaultParagraphFont"/>
    <w:uiPriority w:val="99"/>
    <w:semiHidden/>
    <w:unhideWhenUsed/>
    <w:rsid w:val="001D347A"/>
    <w:rPr>
      <w:sz w:val="16"/>
      <w:szCs w:val="16"/>
    </w:rPr>
  </w:style>
  <w:style w:type="paragraph" w:styleId="CommentText">
    <w:name w:val="annotation text"/>
    <w:basedOn w:val="Normal"/>
    <w:link w:val="CommentTextChar"/>
    <w:uiPriority w:val="99"/>
    <w:semiHidden/>
    <w:unhideWhenUsed/>
    <w:rsid w:val="001D347A"/>
    <w:pPr>
      <w:spacing w:line="240" w:lineRule="auto"/>
    </w:pPr>
    <w:rPr>
      <w:sz w:val="20"/>
      <w:szCs w:val="20"/>
    </w:rPr>
  </w:style>
  <w:style w:type="character" w:customStyle="1" w:styleId="CommentTextChar">
    <w:name w:val="Comment Text Char"/>
    <w:basedOn w:val="DefaultParagraphFont"/>
    <w:link w:val="CommentText"/>
    <w:uiPriority w:val="99"/>
    <w:semiHidden/>
    <w:rsid w:val="001D347A"/>
    <w:rPr>
      <w:sz w:val="20"/>
      <w:szCs w:val="20"/>
      <w:lang w:val="en-ZA"/>
    </w:rPr>
  </w:style>
  <w:style w:type="paragraph" w:styleId="CommentSubject">
    <w:name w:val="annotation subject"/>
    <w:basedOn w:val="CommentText"/>
    <w:next w:val="CommentText"/>
    <w:link w:val="CommentSubjectChar"/>
    <w:uiPriority w:val="99"/>
    <w:semiHidden/>
    <w:unhideWhenUsed/>
    <w:rsid w:val="001D347A"/>
    <w:rPr>
      <w:b/>
      <w:bCs/>
    </w:rPr>
  </w:style>
  <w:style w:type="character" w:customStyle="1" w:styleId="CommentSubjectChar">
    <w:name w:val="Comment Subject Char"/>
    <w:basedOn w:val="CommentTextChar"/>
    <w:link w:val="CommentSubject"/>
    <w:uiPriority w:val="99"/>
    <w:semiHidden/>
    <w:rsid w:val="001D347A"/>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2020-05-06T18:30:00+00:00</Judgment_x0020_Date>
    <Year xmlns="63bdd487-88aa-4c54-b893-ddaa81ed2e7c">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A0F1-34B8-40E6-AE84-3FEE6882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BB2CF-7C81-4388-82B1-F261FF2E4069}">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433E46F5-344F-483C-95B9-713D080C3D55}">
  <ds:schemaRefs>
    <ds:schemaRef ds:uri="http://schemas.microsoft.com/sharepoint/v3/contenttype/forms"/>
  </ds:schemaRefs>
</ds:datastoreItem>
</file>

<file path=customXml/itemProps4.xml><?xml version="1.0" encoding="utf-8"?>
<ds:datastoreItem xmlns:ds="http://schemas.openxmlformats.org/officeDocument/2006/customXml" ds:itemID="{055BF14B-E056-4F4F-A83C-6B5F2134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Minister of Safety and Security v Chunga</vt:lpstr>
    </vt:vector>
  </TitlesOfParts>
  <Company/>
  <LinksUpToDate>false</LinksUpToDate>
  <CharactersWithSpaces>33815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Chunga</dc:title>
  <dc:creator>Peter S. Shivute</dc:creator>
  <cp:lastModifiedBy>HOME</cp:lastModifiedBy>
  <cp:revision>2</cp:revision>
  <cp:lastPrinted>2020-05-06T10:41:00Z</cp:lastPrinted>
  <dcterms:created xsi:type="dcterms:W3CDTF">2021-07-19T14:06:00Z</dcterms:created>
  <dcterms:modified xsi:type="dcterms:W3CDTF">2021-07-19T14:06:00Z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