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654" w:rsidRPr="006A55DD" w:rsidRDefault="00261654" w:rsidP="00261654">
      <w:pPr>
        <w:spacing w:after="0" w:line="360" w:lineRule="auto"/>
        <w:jc w:val="center"/>
        <w:rPr>
          <w:b/>
          <w:sz w:val="24"/>
          <w:szCs w:val="24"/>
        </w:rPr>
      </w:pPr>
      <w:bookmarkStart w:id="0" w:name="_GoBack"/>
      <w:bookmarkEnd w:id="0"/>
      <w:r w:rsidRPr="00A41CEE">
        <w:rPr>
          <w:b/>
          <w:noProof/>
          <w:sz w:val="24"/>
          <w:szCs w:val="24"/>
          <w:lang w:eastAsia="en-ZA"/>
        </w:rPr>
        <w:drawing>
          <wp:inline distT="0" distB="0" distL="0" distR="0" wp14:anchorId="545C1C10" wp14:editId="6CAD80C7">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0" cstate="print"/>
                    <a:stretch>
                      <a:fillRect/>
                    </a:stretch>
                  </pic:blipFill>
                  <pic:spPr>
                    <a:xfrm>
                      <a:off x="0" y="0"/>
                      <a:ext cx="1276350" cy="1329024"/>
                    </a:xfrm>
                    <a:prstGeom prst="rect">
                      <a:avLst/>
                    </a:prstGeom>
                  </pic:spPr>
                </pic:pic>
              </a:graphicData>
            </a:graphic>
          </wp:inline>
        </w:drawing>
      </w:r>
    </w:p>
    <w:p w:rsidR="00261654" w:rsidRDefault="00261654" w:rsidP="00261654">
      <w:pPr>
        <w:pStyle w:val="NoSpacing"/>
        <w:jc w:val="right"/>
        <w:rPr>
          <w:rFonts w:ascii="Arial" w:hAnsi="Arial" w:cs="Arial"/>
          <w:b/>
          <w:sz w:val="24"/>
          <w:szCs w:val="24"/>
        </w:rPr>
      </w:pPr>
      <w:r w:rsidRPr="00D229FF">
        <w:rPr>
          <w:rFonts w:ascii="Arial" w:hAnsi="Arial" w:cs="Arial"/>
          <w:b/>
          <w:sz w:val="24"/>
          <w:szCs w:val="24"/>
        </w:rPr>
        <w:t>REPORTABLE</w:t>
      </w:r>
    </w:p>
    <w:p w:rsidR="00261654" w:rsidRDefault="00261654" w:rsidP="00261654">
      <w:pPr>
        <w:pStyle w:val="NoSpacing"/>
        <w:jc w:val="right"/>
        <w:rPr>
          <w:rFonts w:ascii="Arial" w:hAnsi="Arial" w:cs="Arial"/>
          <w:sz w:val="24"/>
          <w:szCs w:val="24"/>
        </w:rPr>
      </w:pPr>
    </w:p>
    <w:p w:rsidR="00261654" w:rsidRDefault="00261654" w:rsidP="00261654">
      <w:pPr>
        <w:pStyle w:val="NoSpacing"/>
        <w:jc w:val="right"/>
        <w:rPr>
          <w:rFonts w:ascii="Arial" w:hAnsi="Arial" w:cs="Arial"/>
          <w:sz w:val="24"/>
          <w:szCs w:val="24"/>
        </w:rPr>
      </w:pPr>
      <w:r>
        <w:rPr>
          <w:rFonts w:ascii="Arial" w:hAnsi="Arial" w:cs="Arial"/>
          <w:sz w:val="24"/>
          <w:szCs w:val="24"/>
        </w:rPr>
        <w:t>CASE NO: SCR</w:t>
      </w:r>
      <w:r w:rsidR="00A835C5">
        <w:rPr>
          <w:rFonts w:ascii="Arial" w:hAnsi="Arial" w:cs="Arial"/>
          <w:sz w:val="24"/>
          <w:szCs w:val="24"/>
        </w:rPr>
        <w:t xml:space="preserve"> 4/</w:t>
      </w:r>
      <w:r>
        <w:rPr>
          <w:rFonts w:ascii="Arial" w:hAnsi="Arial" w:cs="Arial"/>
          <w:sz w:val="24"/>
          <w:szCs w:val="24"/>
        </w:rPr>
        <w:t>2021</w:t>
      </w:r>
    </w:p>
    <w:p w:rsidR="00261654" w:rsidRDefault="00261654" w:rsidP="00261654">
      <w:pPr>
        <w:pStyle w:val="NoSpacing"/>
        <w:rPr>
          <w:rFonts w:ascii="Arial" w:hAnsi="Arial" w:cs="Arial"/>
          <w:sz w:val="24"/>
          <w:szCs w:val="24"/>
        </w:rPr>
      </w:pPr>
    </w:p>
    <w:p w:rsidR="00261654" w:rsidRPr="00991107" w:rsidRDefault="00261654" w:rsidP="00261654">
      <w:pPr>
        <w:pStyle w:val="NoSpacing"/>
        <w:rPr>
          <w:rFonts w:ascii="Arial" w:hAnsi="Arial" w:cs="Arial"/>
          <w:sz w:val="24"/>
          <w:szCs w:val="24"/>
        </w:rPr>
      </w:pPr>
    </w:p>
    <w:p w:rsidR="00261654" w:rsidRPr="00970591" w:rsidRDefault="00261654" w:rsidP="00261654">
      <w:pPr>
        <w:pStyle w:val="NoSpacing"/>
        <w:rPr>
          <w:rFonts w:ascii="Arial" w:hAnsi="Arial" w:cs="Arial"/>
          <w:b/>
          <w:sz w:val="24"/>
          <w:szCs w:val="24"/>
        </w:rPr>
      </w:pPr>
      <w:r w:rsidRPr="00970591">
        <w:rPr>
          <w:rFonts w:ascii="Arial" w:hAnsi="Arial" w:cs="Arial"/>
          <w:b/>
          <w:sz w:val="24"/>
          <w:szCs w:val="24"/>
        </w:rPr>
        <w:t>IN THE SUPREME COURT OF NAMIBIA</w:t>
      </w:r>
    </w:p>
    <w:p w:rsidR="00261654" w:rsidRDefault="00261654" w:rsidP="00261654">
      <w:pPr>
        <w:pStyle w:val="NoSpacing"/>
        <w:rPr>
          <w:rFonts w:ascii="Arial" w:hAnsi="Arial" w:cs="Arial"/>
          <w:sz w:val="24"/>
          <w:szCs w:val="24"/>
        </w:rPr>
      </w:pPr>
    </w:p>
    <w:p w:rsidR="00261654" w:rsidRDefault="00261654" w:rsidP="00261654">
      <w:pPr>
        <w:pStyle w:val="NoSpacing"/>
        <w:rPr>
          <w:rFonts w:ascii="Arial" w:hAnsi="Arial" w:cs="Arial"/>
          <w:sz w:val="24"/>
          <w:szCs w:val="24"/>
        </w:rPr>
      </w:pPr>
    </w:p>
    <w:p w:rsidR="00261654" w:rsidRDefault="00261654" w:rsidP="00261654">
      <w:pPr>
        <w:pStyle w:val="NoSpacing"/>
        <w:rPr>
          <w:rFonts w:ascii="Arial" w:hAnsi="Arial" w:cs="Arial"/>
          <w:sz w:val="24"/>
          <w:szCs w:val="24"/>
        </w:rPr>
      </w:pPr>
      <w:r>
        <w:rPr>
          <w:rFonts w:ascii="Arial" w:hAnsi="Arial" w:cs="Arial"/>
          <w:sz w:val="24"/>
          <w:szCs w:val="24"/>
        </w:rPr>
        <w:t>In the matter between:</w:t>
      </w:r>
    </w:p>
    <w:p w:rsidR="00261654" w:rsidRDefault="00261654" w:rsidP="00261654">
      <w:pPr>
        <w:pStyle w:val="NoSpacing"/>
        <w:rPr>
          <w:rFonts w:ascii="Arial" w:hAnsi="Arial" w:cs="Arial"/>
          <w:sz w:val="24"/>
          <w:szCs w:val="24"/>
        </w:rPr>
      </w:pPr>
    </w:p>
    <w:p w:rsidR="00261654" w:rsidRDefault="00261654" w:rsidP="00261654">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261654" w:rsidRPr="002F2B3F" w:rsidTr="00005C9F">
        <w:tc>
          <w:tcPr>
            <w:tcW w:w="4555" w:type="dxa"/>
          </w:tcPr>
          <w:p w:rsidR="00261654" w:rsidRPr="002F2B3F" w:rsidRDefault="00261654" w:rsidP="00005C9F">
            <w:pPr>
              <w:pStyle w:val="NoSpacing"/>
              <w:spacing w:line="276" w:lineRule="auto"/>
              <w:ind w:left="-108"/>
              <w:rPr>
                <w:rFonts w:ascii="Arial" w:hAnsi="Arial" w:cs="Arial"/>
                <w:b/>
                <w:sz w:val="24"/>
                <w:szCs w:val="24"/>
              </w:rPr>
            </w:pPr>
            <w:r>
              <w:rPr>
                <w:rFonts w:ascii="Arial" w:hAnsi="Arial" w:cs="Arial"/>
                <w:b/>
                <w:sz w:val="24"/>
                <w:szCs w:val="24"/>
              </w:rPr>
              <w:t>THE STATE</w:t>
            </w:r>
          </w:p>
        </w:tc>
        <w:tc>
          <w:tcPr>
            <w:tcW w:w="4556" w:type="dxa"/>
          </w:tcPr>
          <w:p w:rsidR="00261654" w:rsidRPr="002F2B3F" w:rsidRDefault="00261654" w:rsidP="00005C9F">
            <w:pPr>
              <w:pStyle w:val="NoSpacing"/>
              <w:spacing w:line="276" w:lineRule="auto"/>
              <w:jc w:val="right"/>
              <w:rPr>
                <w:rFonts w:ascii="Arial" w:hAnsi="Arial" w:cs="Arial"/>
                <w:b/>
                <w:sz w:val="24"/>
                <w:szCs w:val="24"/>
              </w:rPr>
            </w:pPr>
          </w:p>
        </w:tc>
      </w:tr>
      <w:tr w:rsidR="00261654" w:rsidTr="00005C9F">
        <w:tc>
          <w:tcPr>
            <w:tcW w:w="4555" w:type="dxa"/>
          </w:tcPr>
          <w:p w:rsidR="00261654" w:rsidRDefault="00261654" w:rsidP="00005C9F">
            <w:pPr>
              <w:pStyle w:val="NoSpacing"/>
              <w:spacing w:line="276" w:lineRule="auto"/>
              <w:ind w:left="-108"/>
              <w:rPr>
                <w:rFonts w:ascii="Arial" w:hAnsi="Arial" w:cs="Arial"/>
                <w:sz w:val="24"/>
                <w:szCs w:val="24"/>
              </w:rPr>
            </w:pPr>
          </w:p>
        </w:tc>
        <w:tc>
          <w:tcPr>
            <w:tcW w:w="4556" w:type="dxa"/>
          </w:tcPr>
          <w:p w:rsidR="00261654" w:rsidRDefault="00261654" w:rsidP="00005C9F">
            <w:pPr>
              <w:pStyle w:val="NoSpacing"/>
              <w:spacing w:line="276" w:lineRule="auto"/>
              <w:jc w:val="right"/>
              <w:rPr>
                <w:rFonts w:ascii="Arial" w:hAnsi="Arial" w:cs="Arial"/>
                <w:sz w:val="24"/>
                <w:szCs w:val="24"/>
              </w:rPr>
            </w:pPr>
          </w:p>
        </w:tc>
      </w:tr>
      <w:tr w:rsidR="00261654" w:rsidTr="00005C9F">
        <w:tc>
          <w:tcPr>
            <w:tcW w:w="4555" w:type="dxa"/>
          </w:tcPr>
          <w:p w:rsidR="00261654" w:rsidRDefault="00261654" w:rsidP="00005C9F">
            <w:pPr>
              <w:pStyle w:val="NoSpacing"/>
              <w:spacing w:line="276" w:lineRule="auto"/>
              <w:ind w:left="-108"/>
              <w:rPr>
                <w:rFonts w:ascii="Arial" w:hAnsi="Arial" w:cs="Arial"/>
                <w:sz w:val="24"/>
                <w:szCs w:val="24"/>
              </w:rPr>
            </w:pPr>
            <w:r>
              <w:rPr>
                <w:rFonts w:ascii="Arial" w:hAnsi="Arial" w:cs="Arial"/>
                <w:sz w:val="24"/>
                <w:szCs w:val="24"/>
              </w:rPr>
              <w:t>and</w:t>
            </w:r>
          </w:p>
        </w:tc>
        <w:tc>
          <w:tcPr>
            <w:tcW w:w="4556" w:type="dxa"/>
          </w:tcPr>
          <w:p w:rsidR="00261654" w:rsidRDefault="00261654" w:rsidP="00005C9F">
            <w:pPr>
              <w:pStyle w:val="NoSpacing"/>
              <w:spacing w:line="276" w:lineRule="auto"/>
              <w:rPr>
                <w:rFonts w:ascii="Arial" w:hAnsi="Arial" w:cs="Arial"/>
                <w:sz w:val="24"/>
                <w:szCs w:val="24"/>
              </w:rPr>
            </w:pPr>
          </w:p>
        </w:tc>
      </w:tr>
      <w:tr w:rsidR="00261654" w:rsidTr="00005C9F">
        <w:tc>
          <w:tcPr>
            <w:tcW w:w="4555" w:type="dxa"/>
          </w:tcPr>
          <w:p w:rsidR="00261654" w:rsidRDefault="00261654" w:rsidP="00005C9F">
            <w:pPr>
              <w:pStyle w:val="NoSpacing"/>
              <w:spacing w:line="276" w:lineRule="auto"/>
              <w:ind w:left="-108"/>
              <w:rPr>
                <w:rFonts w:ascii="Arial" w:hAnsi="Arial" w:cs="Arial"/>
                <w:sz w:val="24"/>
                <w:szCs w:val="24"/>
              </w:rPr>
            </w:pPr>
          </w:p>
        </w:tc>
        <w:tc>
          <w:tcPr>
            <w:tcW w:w="4556" w:type="dxa"/>
          </w:tcPr>
          <w:p w:rsidR="00261654" w:rsidRDefault="00261654" w:rsidP="00005C9F">
            <w:pPr>
              <w:pStyle w:val="NoSpacing"/>
              <w:spacing w:line="276" w:lineRule="auto"/>
              <w:rPr>
                <w:rFonts w:ascii="Arial" w:hAnsi="Arial" w:cs="Arial"/>
                <w:sz w:val="24"/>
                <w:szCs w:val="24"/>
              </w:rPr>
            </w:pPr>
          </w:p>
        </w:tc>
      </w:tr>
      <w:tr w:rsidR="00261654" w:rsidRPr="002F2B3F" w:rsidTr="00005C9F">
        <w:tc>
          <w:tcPr>
            <w:tcW w:w="4555" w:type="dxa"/>
          </w:tcPr>
          <w:p w:rsidR="00261654" w:rsidRPr="002F2B3F" w:rsidRDefault="00261654" w:rsidP="00005C9F">
            <w:pPr>
              <w:pStyle w:val="NoSpacing"/>
              <w:spacing w:line="276" w:lineRule="auto"/>
              <w:ind w:left="-108"/>
              <w:rPr>
                <w:rFonts w:ascii="Arial" w:hAnsi="Arial" w:cs="Arial"/>
                <w:b/>
                <w:sz w:val="24"/>
                <w:szCs w:val="24"/>
              </w:rPr>
            </w:pPr>
            <w:r>
              <w:rPr>
                <w:rFonts w:ascii="Arial" w:hAnsi="Arial" w:cs="Arial"/>
                <w:b/>
                <w:sz w:val="24"/>
                <w:szCs w:val="24"/>
              </w:rPr>
              <w:t>POLICAP PULENI</w:t>
            </w:r>
          </w:p>
        </w:tc>
        <w:tc>
          <w:tcPr>
            <w:tcW w:w="4556" w:type="dxa"/>
          </w:tcPr>
          <w:p w:rsidR="00261654" w:rsidRPr="002F2B3F" w:rsidRDefault="00261654" w:rsidP="00005C9F">
            <w:pPr>
              <w:pStyle w:val="NoSpacing"/>
              <w:spacing w:line="276" w:lineRule="auto"/>
              <w:jc w:val="right"/>
              <w:rPr>
                <w:rFonts w:ascii="Arial" w:hAnsi="Arial" w:cs="Arial"/>
                <w:b/>
                <w:sz w:val="24"/>
                <w:szCs w:val="24"/>
              </w:rPr>
            </w:pPr>
          </w:p>
        </w:tc>
      </w:tr>
      <w:tr w:rsidR="00261654" w:rsidRPr="00261654" w:rsidTr="00005C9F">
        <w:tc>
          <w:tcPr>
            <w:tcW w:w="4555" w:type="dxa"/>
          </w:tcPr>
          <w:p w:rsidR="00261654" w:rsidRPr="00261654" w:rsidRDefault="00261654" w:rsidP="00005C9F">
            <w:pPr>
              <w:pStyle w:val="NoSpacing"/>
              <w:spacing w:line="276" w:lineRule="auto"/>
              <w:ind w:left="-108"/>
              <w:rPr>
                <w:rFonts w:ascii="Arial" w:hAnsi="Arial" w:cs="Arial"/>
                <w:b/>
                <w:sz w:val="24"/>
                <w:szCs w:val="24"/>
              </w:rPr>
            </w:pPr>
            <w:r w:rsidRPr="00261654">
              <w:rPr>
                <w:rFonts w:ascii="Arial" w:hAnsi="Arial" w:cs="Arial"/>
                <w:b/>
                <w:sz w:val="24"/>
                <w:szCs w:val="24"/>
              </w:rPr>
              <w:t>PATRICI</w:t>
            </w:r>
            <w:r w:rsidR="00A75F3D">
              <w:rPr>
                <w:rFonts w:ascii="Arial" w:hAnsi="Arial" w:cs="Arial"/>
                <w:b/>
                <w:sz w:val="24"/>
                <w:szCs w:val="24"/>
              </w:rPr>
              <w:t>O</w:t>
            </w:r>
            <w:r w:rsidRPr="00261654">
              <w:rPr>
                <w:rFonts w:ascii="Arial" w:hAnsi="Arial" w:cs="Arial"/>
                <w:b/>
                <w:sz w:val="24"/>
                <w:szCs w:val="24"/>
              </w:rPr>
              <w:t>US PULENI</w:t>
            </w:r>
          </w:p>
        </w:tc>
        <w:tc>
          <w:tcPr>
            <w:tcW w:w="4556" w:type="dxa"/>
          </w:tcPr>
          <w:p w:rsidR="00261654" w:rsidRPr="00261654" w:rsidRDefault="00261654" w:rsidP="00005C9F">
            <w:pPr>
              <w:pStyle w:val="NoSpacing"/>
              <w:spacing w:line="276" w:lineRule="auto"/>
              <w:rPr>
                <w:rFonts w:ascii="Arial" w:hAnsi="Arial" w:cs="Arial"/>
                <w:b/>
                <w:sz w:val="24"/>
                <w:szCs w:val="24"/>
              </w:rPr>
            </w:pPr>
          </w:p>
        </w:tc>
      </w:tr>
    </w:tbl>
    <w:p w:rsidR="00261654" w:rsidRDefault="00261654" w:rsidP="00261654">
      <w:pPr>
        <w:pStyle w:val="NoSpacing"/>
        <w:rPr>
          <w:rFonts w:ascii="Arial" w:hAnsi="Arial" w:cs="Arial"/>
          <w:sz w:val="24"/>
          <w:szCs w:val="24"/>
        </w:rPr>
      </w:pPr>
    </w:p>
    <w:p w:rsidR="00261654" w:rsidRPr="00991107" w:rsidRDefault="00261654" w:rsidP="00261654">
      <w:pPr>
        <w:pStyle w:val="NoSpacing"/>
        <w:rPr>
          <w:rFonts w:ascii="Arial" w:hAnsi="Arial" w:cs="Arial"/>
          <w:sz w:val="24"/>
          <w:szCs w:val="24"/>
        </w:rPr>
      </w:pPr>
    </w:p>
    <w:p w:rsidR="00261654" w:rsidRPr="00991107" w:rsidRDefault="00261654" w:rsidP="00261654">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t>SHIVUTE CJ, MAINGA JA and FRANK AJA</w:t>
      </w:r>
    </w:p>
    <w:p w:rsidR="00261654" w:rsidRPr="00466830" w:rsidRDefault="00261654" w:rsidP="00261654">
      <w:pPr>
        <w:pStyle w:val="NoSpacing"/>
        <w:rPr>
          <w:rFonts w:ascii="Arial" w:hAnsi="Arial" w:cs="Arial"/>
          <w:b/>
          <w:sz w:val="24"/>
          <w:szCs w:val="24"/>
        </w:rPr>
      </w:pPr>
    </w:p>
    <w:p w:rsidR="00261654" w:rsidRPr="00466830" w:rsidRDefault="00261654" w:rsidP="00261654">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IN CHAMBERS</w:t>
      </w:r>
    </w:p>
    <w:p w:rsidR="00261654" w:rsidRPr="00466830" w:rsidRDefault="00261654" w:rsidP="00261654">
      <w:pPr>
        <w:pStyle w:val="NoSpacing"/>
        <w:rPr>
          <w:rFonts w:ascii="Arial" w:hAnsi="Arial" w:cs="Arial"/>
          <w:b/>
          <w:sz w:val="24"/>
          <w:szCs w:val="24"/>
        </w:rPr>
      </w:pPr>
    </w:p>
    <w:p w:rsidR="00261654" w:rsidRPr="00466830" w:rsidRDefault="00261654" w:rsidP="00261654">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8116A7">
        <w:rPr>
          <w:rFonts w:ascii="Arial" w:hAnsi="Arial" w:cs="Arial"/>
          <w:b/>
          <w:sz w:val="24"/>
          <w:szCs w:val="24"/>
        </w:rPr>
        <w:t>9</w:t>
      </w:r>
      <w:r>
        <w:rPr>
          <w:rFonts w:ascii="Arial" w:hAnsi="Arial" w:cs="Arial"/>
          <w:b/>
          <w:sz w:val="24"/>
          <w:szCs w:val="24"/>
        </w:rPr>
        <w:t xml:space="preserve"> June 2021</w:t>
      </w:r>
    </w:p>
    <w:p w:rsidR="00261654" w:rsidRDefault="00261654" w:rsidP="00261654">
      <w:pPr>
        <w:pStyle w:val="NoSpacing"/>
        <w:rPr>
          <w:rFonts w:ascii="Arial" w:hAnsi="Arial" w:cs="Arial"/>
          <w:sz w:val="24"/>
          <w:szCs w:val="24"/>
        </w:rPr>
      </w:pPr>
    </w:p>
    <w:p w:rsidR="00261654" w:rsidRDefault="00261654" w:rsidP="00261654">
      <w:pPr>
        <w:pStyle w:val="NoSpacing"/>
        <w:rPr>
          <w:rFonts w:ascii="Arial" w:hAnsi="Arial" w:cs="Arial"/>
          <w:sz w:val="24"/>
          <w:szCs w:val="24"/>
        </w:rPr>
      </w:pPr>
    </w:p>
    <w:p w:rsidR="00261654" w:rsidRDefault="00261654" w:rsidP="00261654">
      <w:pPr>
        <w:pStyle w:val="NoSpacing"/>
        <w:rPr>
          <w:rFonts w:ascii="Arial" w:hAnsi="Arial" w:cs="Arial"/>
          <w:sz w:val="24"/>
          <w:szCs w:val="24"/>
        </w:rPr>
      </w:pPr>
    </w:p>
    <w:p w:rsidR="00261654" w:rsidRDefault="00261654" w:rsidP="00261654">
      <w:pPr>
        <w:pStyle w:val="NoSpacing"/>
        <w:spacing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4E600A">
        <w:rPr>
          <w:rFonts w:ascii="Arial" w:hAnsi="Arial" w:cs="Arial"/>
          <w:sz w:val="24"/>
          <w:szCs w:val="24"/>
          <w:lang w:val="en-GB"/>
        </w:rPr>
        <w:t>The</w:t>
      </w:r>
      <w:r w:rsidRPr="002F3401">
        <w:rPr>
          <w:rFonts w:ascii="Arial" w:hAnsi="Arial" w:cs="Arial"/>
          <w:sz w:val="24"/>
          <w:szCs w:val="24"/>
          <w:lang w:val="en-GB"/>
        </w:rPr>
        <w:t xml:space="preserve"> </w:t>
      </w:r>
      <w:r w:rsidR="004E600A">
        <w:rPr>
          <w:rFonts w:ascii="Arial" w:hAnsi="Arial" w:cs="Arial"/>
          <w:sz w:val="24"/>
          <w:szCs w:val="24"/>
          <w:lang w:val="en-GB"/>
        </w:rPr>
        <w:t>a</w:t>
      </w:r>
      <w:r>
        <w:rPr>
          <w:rFonts w:ascii="Arial" w:hAnsi="Arial" w:cs="Arial"/>
          <w:sz w:val="24"/>
          <w:szCs w:val="24"/>
          <w:lang w:val="en-GB"/>
        </w:rPr>
        <w:t xml:space="preserve">ccused </w:t>
      </w:r>
      <w:r w:rsidRPr="00E07FCD">
        <w:rPr>
          <w:rFonts w:ascii="Arial" w:hAnsi="Arial" w:cs="Arial"/>
          <w:sz w:val="24"/>
          <w:szCs w:val="24"/>
        </w:rPr>
        <w:t>were</w:t>
      </w:r>
      <w:r>
        <w:rPr>
          <w:rFonts w:ascii="Arial" w:hAnsi="Arial" w:cs="Arial"/>
          <w:sz w:val="24"/>
          <w:szCs w:val="24"/>
        </w:rPr>
        <w:t xml:space="preserve"> arraigned in the magistrate’s court for Eenhana on charges of fraud. They pleaded guilty, duly convicted and were each sentenced to N$1000 or 30 days imprisonment. </w:t>
      </w:r>
      <w:r w:rsidRPr="00E07FCD">
        <w:rPr>
          <w:rFonts w:ascii="Arial" w:hAnsi="Arial" w:cs="Arial"/>
          <w:sz w:val="24"/>
          <w:szCs w:val="24"/>
          <w:lang w:val="en-GB"/>
        </w:rPr>
        <w:t xml:space="preserve">In an </w:t>
      </w:r>
      <w:r w:rsidRPr="00E07FCD">
        <w:rPr>
          <w:rFonts w:ascii="Arial" w:hAnsi="Arial" w:cs="Arial"/>
          <w:sz w:val="24"/>
          <w:szCs w:val="24"/>
        </w:rPr>
        <w:t>automatic</w:t>
      </w:r>
      <w:r>
        <w:rPr>
          <w:rFonts w:ascii="Arial" w:hAnsi="Arial" w:cs="Arial"/>
          <w:sz w:val="24"/>
          <w:szCs w:val="24"/>
        </w:rPr>
        <w:t xml:space="preserve"> review pursuant to s 304 </w:t>
      </w:r>
      <w:r w:rsidR="007857A7">
        <w:rPr>
          <w:rFonts w:ascii="Arial" w:hAnsi="Arial" w:cs="Arial"/>
          <w:sz w:val="24"/>
          <w:szCs w:val="24"/>
        </w:rPr>
        <w:t>of the Criminal Procedure Act 51 of 1977</w:t>
      </w:r>
      <w:r>
        <w:rPr>
          <w:rFonts w:ascii="Arial" w:hAnsi="Arial" w:cs="Arial"/>
          <w:sz w:val="24"/>
          <w:szCs w:val="24"/>
        </w:rPr>
        <w:t xml:space="preserve"> (CPA)</w:t>
      </w:r>
      <w:r>
        <w:rPr>
          <w:rFonts w:ascii="Arial" w:hAnsi="Arial" w:cs="Arial"/>
          <w:sz w:val="24"/>
          <w:szCs w:val="24"/>
          <w:lang w:val="en-GB"/>
        </w:rPr>
        <w:t xml:space="preserve"> to th</w:t>
      </w:r>
      <w:r w:rsidR="00B3566E">
        <w:rPr>
          <w:rFonts w:ascii="Arial" w:hAnsi="Arial" w:cs="Arial"/>
          <w:sz w:val="24"/>
          <w:szCs w:val="24"/>
          <w:lang w:val="en-GB"/>
        </w:rPr>
        <w:t>e High Court, t</w:t>
      </w:r>
      <w:r>
        <w:rPr>
          <w:rFonts w:ascii="Arial" w:hAnsi="Arial" w:cs="Arial"/>
          <w:sz w:val="24"/>
          <w:szCs w:val="24"/>
          <w:lang w:val="en-GB"/>
        </w:rPr>
        <w:t xml:space="preserve">he High Court </w:t>
      </w:r>
      <w:r>
        <w:rPr>
          <w:rFonts w:ascii="Arial" w:hAnsi="Arial" w:cs="Arial"/>
          <w:sz w:val="24"/>
          <w:szCs w:val="24"/>
        </w:rPr>
        <w:t xml:space="preserve">upheld the convictions of the accused, but was of the view that the sentences imposed were ‘shockingly inadequate’. The court set them aside with directives to the magistrate to </w:t>
      </w:r>
      <w:r w:rsidRPr="00272C66">
        <w:rPr>
          <w:rFonts w:ascii="Arial" w:hAnsi="Arial" w:cs="Arial"/>
          <w:sz w:val="24"/>
          <w:szCs w:val="24"/>
        </w:rPr>
        <w:t xml:space="preserve">sentence the accused afresh and to increase the sentences to a more appropriate level. The magistrate queried the decision of the High Court for not being a competent order and because the High Court was </w:t>
      </w:r>
      <w:r w:rsidRPr="00272C66">
        <w:rPr>
          <w:rFonts w:ascii="Arial" w:hAnsi="Arial" w:cs="Arial"/>
          <w:i/>
          <w:sz w:val="24"/>
          <w:szCs w:val="24"/>
        </w:rPr>
        <w:t>fun</w:t>
      </w:r>
      <w:r>
        <w:rPr>
          <w:rFonts w:ascii="Arial" w:hAnsi="Arial" w:cs="Arial"/>
          <w:i/>
          <w:sz w:val="24"/>
          <w:szCs w:val="24"/>
        </w:rPr>
        <w:t>c</w:t>
      </w:r>
      <w:r w:rsidRPr="00272C66">
        <w:rPr>
          <w:rFonts w:ascii="Arial" w:hAnsi="Arial" w:cs="Arial"/>
          <w:i/>
          <w:sz w:val="24"/>
          <w:szCs w:val="24"/>
        </w:rPr>
        <w:t>tus officio</w:t>
      </w:r>
      <w:r w:rsidRPr="00272C66">
        <w:rPr>
          <w:rFonts w:ascii="Arial" w:hAnsi="Arial" w:cs="Arial"/>
          <w:sz w:val="24"/>
          <w:szCs w:val="24"/>
        </w:rPr>
        <w:t>, it could not revisit the matter.</w:t>
      </w:r>
    </w:p>
    <w:p w:rsidR="00261654" w:rsidRDefault="00261654" w:rsidP="00261654">
      <w:pPr>
        <w:spacing w:after="0" w:line="360" w:lineRule="auto"/>
        <w:jc w:val="both"/>
        <w:rPr>
          <w:rFonts w:ascii="Arial" w:hAnsi="Arial" w:cs="Arial"/>
          <w:sz w:val="24"/>
          <w:szCs w:val="24"/>
        </w:rPr>
      </w:pPr>
      <w:r w:rsidRPr="00272C66">
        <w:rPr>
          <w:rFonts w:ascii="Arial" w:hAnsi="Arial" w:cs="Arial"/>
          <w:sz w:val="24"/>
          <w:szCs w:val="24"/>
          <w:lang w:val="en-GB"/>
        </w:rPr>
        <w:lastRenderedPageBreak/>
        <w:t>I</w:t>
      </w:r>
      <w:r w:rsidRPr="00272C66">
        <w:rPr>
          <w:rFonts w:ascii="Arial" w:hAnsi="Arial" w:cs="Arial"/>
          <w:sz w:val="24"/>
          <w:szCs w:val="24"/>
        </w:rPr>
        <w:t>n terms of s 16 of the Supreme Court Act 15 of 1990, the Supreme Court invoke</w:t>
      </w:r>
      <w:r w:rsidR="003F1290">
        <w:rPr>
          <w:rFonts w:ascii="Arial" w:hAnsi="Arial" w:cs="Arial"/>
          <w:sz w:val="24"/>
          <w:szCs w:val="24"/>
        </w:rPr>
        <w:t>d</w:t>
      </w:r>
      <w:r w:rsidRPr="00272C66">
        <w:rPr>
          <w:rFonts w:ascii="Arial" w:hAnsi="Arial" w:cs="Arial"/>
          <w:sz w:val="24"/>
          <w:szCs w:val="24"/>
        </w:rPr>
        <w:t xml:space="preserve"> its powers of</w:t>
      </w:r>
      <w:r>
        <w:rPr>
          <w:rFonts w:ascii="Arial" w:hAnsi="Arial" w:cs="Arial"/>
          <w:sz w:val="24"/>
          <w:szCs w:val="24"/>
        </w:rPr>
        <w:t xml:space="preserve"> review in this matter.</w:t>
      </w:r>
    </w:p>
    <w:p w:rsidR="00261654" w:rsidRDefault="00261654" w:rsidP="00261654">
      <w:pPr>
        <w:spacing w:after="0" w:line="360" w:lineRule="auto"/>
        <w:jc w:val="both"/>
        <w:rPr>
          <w:rFonts w:ascii="Arial" w:hAnsi="Arial" w:cs="Arial"/>
          <w:sz w:val="24"/>
          <w:szCs w:val="24"/>
        </w:rPr>
      </w:pPr>
    </w:p>
    <w:p w:rsidR="00261654" w:rsidRDefault="00261654" w:rsidP="00261654">
      <w:pPr>
        <w:spacing w:after="0" w:line="360" w:lineRule="auto"/>
        <w:jc w:val="both"/>
        <w:rPr>
          <w:rFonts w:ascii="Arial" w:hAnsi="Arial" w:cs="Arial"/>
          <w:sz w:val="24"/>
          <w:szCs w:val="24"/>
        </w:rPr>
      </w:pPr>
      <w:r w:rsidRPr="002264CA">
        <w:rPr>
          <w:rFonts w:ascii="Arial" w:hAnsi="Arial" w:cs="Arial"/>
          <w:i/>
          <w:sz w:val="24"/>
          <w:szCs w:val="24"/>
        </w:rPr>
        <w:t>Held</w:t>
      </w:r>
      <w:r>
        <w:rPr>
          <w:rFonts w:ascii="Arial" w:hAnsi="Arial" w:cs="Arial"/>
          <w:sz w:val="24"/>
          <w:szCs w:val="24"/>
        </w:rPr>
        <w:t>, the fact that the review court felt that the sentence was ‘shockingly inadequate’ did not make it un</w:t>
      </w:r>
      <w:r w:rsidR="007857A7">
        <w:rPr>
          <w:rFonts w:ascii="Arial" w:hAnsi="Arial" w:cs="Arial"/>
          <w:sz w:val="24"/>
          <w:szCs w:val="24"/>
        </w:rPr>
        <w:t>lawful or inco</w:t>
      </w:r>
      <w:r w:rsidR="00E42529">
        <w:rPr>
          <w:rFonts w:ascii="Arial" w:hAnsi="Arial" w:cs="Arial"/>
          <w:sz w:val="24"/>
          <w:szCs w:val="24"/>
        </w:rPr>
        <w:t>mpetent as contend</w:t>
      </w:r>
      <w:r>
        <w:rPr>
          <w:rFonts w:ascii="Arial" w:hAnsi="Arial" w:cs="Arial"/>
          <w:sz w:val="24"/>
          <w:szCs w:val="24"/>
        </w:rPr>
        <w:t>ed by the reviewing judges. As the sentence fell within the discretion of the magistrate</w:t>
      </w:r>
      <w:r w:rsidR="003F1290">
        <w:rPr>
          <w:rFonts w:ascii="Arial" w:hAnsi="Arial" w:cs="Arial"/>
          <w:sz w:val="24"/>
          <w:szCs w:val="24"/>
        </w:rPr>
        <w:t>,</w:t>
      </w:r>
      <w:r>
        <w:rPr>
          <w:rFonts w:ascii="Arial" w:hAnsi="Arial" w:cs="Arial"/>
          <w:sz w:val="24"/>
          <w:szCs w:val="24"/>
        </w:rPr>
        <w:t xml:space="preserve"> he acted well within his competency and the law when he passed the sentences. </w:t>
      </w:r>
    </w:p>
    <w:p w:rsidR="00261654" w:rsidRDefault="00261654" w:rsidP="00261654">
      <w:pPr>
        <w:spacing w:after="0" w:line="360" w:lineRule="auto"/>
        <w:jc w:val="both"/>
        <w:rPr>
          <w:rFonts w:ascii="Arial" w:hAnsi="Arial" w:cs="Arial"/>
          <w:sz w:val="24"/>
          <w:szCs w:val="24"/>
        </w:rPr>
      </w:pPr>
    </w:p>
    <w:p w:rsidR="00261654" w:rsidRPr="00542DE0" w:rsidRDefault="00261654" w:rsidP="00261654">
      <w:pPr>
        <w:spacing w:after="0" w:line="360" w:lineRule="auto"/>
        <w:jc w:val="both"/>
        <w:rPr>
          <w:rFonts w:ascii="Arial" w:hAnsi="Arial" w:cs="Arial"/>
          <w:sz w:val="24"/>
          <w:szCs w:val="24"/>
        </w:rPr>
      </w:pPr>
      <w:r w:rsidRPr="002264CA">
        <w:rPr>
          <w:rFonts w:ascii="Arial" w:hAnsi="Arial" w:cs="Arial"/>
          <w:i/>
          <w:sz w:val="24"/>
          <w:szCs w:val="24"/>
        </w:rPr>
        <w:t>Held that</w:t>
      </w:r>
      <w:r>
        <w:rPr>
          <w:rFonts w:ascii="Arial" w:hAnsi="Arial" w:cs="Arial"/>
          <w:sz w:val="24"/>
          <w:szCs w:val="24"/>
        </w:rPr>
        <w:t>, the magistrate is correct - the High Court could not order him pursuant to a review in terms of s 304 of the CPA to increase the sentences. It thus follows that the order of the High Court setting aside the sentences c</w:t>
      </w:r>
      <w:r w:rsidR="003F1290">
        <w:rPr>
          <w:rFonts w:ascii="Arial" w:hAnsi="Arial" w:cs="Arial"/>
          <w:sz w:val="24"/>
          <w:szCs w:val="24"/>
        </w:rPr>
        <w:t>ould not</w:t>
      </w:r>
      <w:r>
        <w:rPr>
          <w:rFonts w:ascii="Arial" w:hAnsi="Arial" w:cs="Arial"/>
          <w:sz w:val="24"/>
          <w:szCs w:val="24"/>
        </w:rPr>
        <w:t xml:space="preserve"> stand.</w:t>
      </w:r>
    </w:p>
    <w:p w:rsidR="00261654" w:rsidRPr="001C25CA" w:rsidRDefault="00261654" w:rsidP="00261654">
      <w:pPr>
        <w:pStyle w:val="NoSpacing"/>
        <w:spacing w:line="360" w:lineRule="auto"/>
        <w:jc w:val="both"/>
        <w:rPr>
          <w:rFonts w:ascii="Arial" w:hAnsi="Arial" w:cs="Arial"/>
          <w:sz w:val="24"/>
          <w:szCs w:val="24"/>
        </w:rPr>
      </w:pPr>
    </w:p>
    <w:p w:rsidR="00261654" w:rsidRPr="001C25CA" w:rsidRDefault="00261654" w:rsidP="00261654">
      <w:pPr>
        <w:pBdr>
          <w:top w:val="single" w:sz="12" w:space="1" w:color="auto"/>
          <w:bottom w:val="single" w:sz="12" w:space="1" w:color="auto"/>
        </w:pBdr>
        <w:spacing w:after="0" w:line="240" w:lineRule="auto"/>
        <w:jc w:val="both"/>
        <w:rPr>
          <w:rFonts w:ascii="Arial" w:hAnsi="Arial" w:cs="Arial"/>
          <w:b/>
          <w:sz w:val="24"/>
          <w:szCs w:val="24"/>
        </w:rPr>
      </w:pPr>
    </w:p>
    <w:p w:rsidR="00261654" w:rsidRPr="00FD0F05" w:rsidRDefault="00261654" w:rsidP="00261654">
      <w:pPr>
        <w:pBdr>
          <w:top w:val="single" w:sz="12" w:space="1" w:color="auto"/>
          <w:bottom w:val="single" w:sz="12" w:space="1" w:color="auto"/>
        </w:pBdr>
        <w:spacing w:after="0" w:line="240" w:lineRule="auto"/>
        <w:jc w:val="center"/>
        <w:rPr>
          <w:rFonts w:ascii="Arial" w:hAnsi="Arial" w:cs="Arial"/>
          <w:b/>
          <w:sz w:val="24"/>
          <w:szCs w:val="24"/>
          <w:u w:val="single"/>
        </w:rPr>
      </w:pPr>
      <w:r>
        <w:rPr>
          <w:rFonts w:ascii="Arial" w:hAnsi="Arial" w:cs="Arial"/>
          <w:b/>
          <w:sz w:val="24"/>
          <w:szCs w:val="24"/>
        </w:rPr>
        <w:t xml:space="preserve">REVIEW IN TERMS OF SECTION 16 OF THE </w:t>
      </w:r>
      <w:r w:rsidR="00FC09E8">
        <w:rPr>
          <w:rFonts w:ascii="Arial" w:hAnsi="Arial" w:cs="Arial"/>
          <w:b/>
          <w:sz w:val="24"/>
          <w:szCs w:val="24"/>
        </w:rPr>
        <w:t>SUPREME COURT ACT 15 OF 1990</w:t>
      </w:r>
    </w:p>
    <w:p w:rsidR="00261654" w:rsidRPr="001C25CA" w:rsidRDefault="00261654" w:rsidP="00261654">
      <w:pPr>
        <w:pBdr>
          <w:top w:val="single" w:sz="12" w:space="1" w:color="auto"/>
          <w:bottom w:val="single" w:sz="12" w:space="1" w:color="auto"/>
        </w:pBdr>
        <w:spacing w:after="0" w:line="240" w:lineRule="auto"/>
        <w:jc w:val="both"/>
        <w:rPr>
          <w:rFonts w:ascii="Arial" w:hAnsi="Arial" w:cs="Arial"/>
          <w:b/>
          <w:sz w:val="24"/>
          <w:szCs w:val="24"/>
        </w:rPr>
      </w:pPr>
    </w:p>
    <w:p w:rsidR="00261654" w:rsidRDefault="00261654" w:rsidP="00261654">
      <w:pPr>
        <w:pStyle w:val="NoSpacing"/>
        <w:rPr>
          <w:rFonts w:ascii="Arial" w:hAnsi="Arial" w:cs="Arial"/>
          <w:sz w:val="24"/>
          <w:szCs w:val="24"/>
        </w:rPr>
      </w:pPr>
    </w:p>
    <w:p w:rsidR="00FC09E8" w:rsidRPr="001C25CA" w:rsidRDefault="00FC09E8" w:rsidP="00261654">
      <w:pPr>
        <w:pStyle w:val="NoSpacing"/>
        <w:rPr>
          <w:rFonts w:ascii="Arial" w:hAnsi="Arial" w:cs="Arial"/>
          <w:sz w:val="24"/>
          <w:szCs w:val="24"/>
        </w:rPr>
      </w:pPr>
    </w:p>
    <w:p w:rsidR="00261654" w:rsidRDefault="00261654" w:rsidP="00261654">
      <w:pPr>
        <w:spacing w:after="0" w:line="480" w:lineRule="auto"/>
        <w:jc w:val="both"/>
        <w:rPr>
          <w:rFonts w:ascii="Arial" w:hAnsi="Arial" w:cs="Arial"/>
          <w:sz w:val="24"/>
          <w:szCs w:val="24"/>
        </w:rPr>
      </w:pPr>
      <w:r>
        <w:rPr>
          <w:rFonts w:ascii="Arial" w:hAnsi="Arial" w:cs="Arial"/>
          <w:sz w:val="24"/>
          <w:szCs w:val="24"/>
        </w:rPr>
        <w:t>FRANK</w:t>
      </w:r>
      <w:r w:rsidRPr="001C25CA">
        <w:rPr>
          <w:rFonts w:ascii="Arial" w:hAnsi="Arial" w:cs="Arial"/>
          <w:sz w:val="24"/>
          <w:szCs w:val="24"/>
        </w:rPr>
        <w:t xml:space="preserve"> </w:t>
      </w:r>
      <w:r w:rsidR="004E600A">
        <w:rPr>
          <w:rFonts w:ascii="Arial" w:hAnsi="Arial" w:cs="Arial"/>
          <w:sz w:val="24"/>
          <w:szCs w:val="24"/>
        </w:rPr>
        <w:t>A</w:t>
      </w:r>
      <w:r w:rsidRPr="001C25CA">
        <w:rPr>
          <w:rFonts w:ascii="Arial" w:hAnsi="Arial" w:cs="Arial"/>
          <w:sz w:val="24"/>
          <w:szCs w:val="24"/>
        </w:rPr>
        <w:t>JA (</w:t>
      </w:r>
      <w:r>
        <w:rPr>
          <w:rFonts w:ascii="Arial" w:hAnsi="Arial" w:cs="Arial"/>
          <w:sz w:val="24"/>
          <w:szCs w:val="24"/>
        </w:rPr>
        <w:t>SHIVUTE CJ and MAINGA JA</w:t>
      </w:r>
      <w:r w:rsidRPr="001C25CA">
        <w:rPr>
          <w:rFonts w:ascii="Arial" w:hAnsi="Arial" w:cs="Arial"/>
          <w:sz w:val="24"/>
          <w:szCs w:val="24"/>
        </w:rPr>
        <w:t xml:space="preserve"> concurring):</w:t>
      </w:r>
    </w:p>
    <w:p w:rsidR="00261654" w:rsidRPr="00C46BB1" w:rsidRDefault="00261654" w:rsidP="00261654">
      <w:pPr>
        <w:spacing w:after="0" w:line="480" w:lineRule="auto"/>
        <w:jc w:val="both"/>
        <w:rPr>
          <w:rFonts w:ascii="Arial" w:hAnsi="Arial" w:cs="Arial"/>
          <w:sz w:val="24"/>
          <w:szCs w:val="24"/>
          <w:u w:val="single"/>
        </w:rPr>
      </w:pPr>
      <w:r>
        <w:rPr>
          <w:rFonts w:ascii="Arial" w:hAnsi="Arial" w:cs="Arial"/>
          <w:sz w:val="24"/>
          <w:szCs w:val="24"/>
          <w:u w:val="single"/>
        </w:rPr>
        <w:t>Introduction</w:t>
      </w:r>
    </w:p>
    <w:p w:rsidR="00261654" w:rsidRDefault="00261654" w:rsidP="00261654">
      <w:pPr>
        <w:pStyle w:val="NoSpacing"/>
        <w:numPr>
          <w:ilvl w:val="0"/>
          <w:numId w:val="2"/>
        </w:numPr>
        <w:spacing w:line="480" w:lineRule="auto"/>
        <w:ind w:left="0" w:firstLine="0"/>
        <w:jc w:val="both"/>
        <w:rPr>
          <w:rFonts w:ascii="Arial" w:hAnsi="Arial" w:cs="Arial"/>
          <w:sz w:val="24"/>
          <w:szCs w:val="24"/>
        </w:rPr>
      </w:pPr>
      <w:r>
        <w:rPr>
          <w:rFonts w:ascii="Arial" w:hAnsi="Arial" w:cs="Arial"/>
          <w:sz w:val="24"/>
          <w:szCs w:val="24"/>
        </w:rPr>
        <w:t xml:space="preserve">Messrs Policap Puleni and Patricius Puleni (the accused) were arraigned in the magistrate’s court for Eenhana on charges of fraud. Each of them faced one count of fraud namely that on 23 October 2018 each of them pretending to be someone </w:t>
      </w:r>
      <w:r w:rsidR="003F1290">
        <w:rPr>
          <w:rFonts w:ascii="Arial" w:hAnsi="Arial" w:cs="Arial"/>
          <w:sz w:val="24"/>
          <w:szCs w:val="24"/>
        </w:rPr>
        <w:t xml:space="preserve">else wrote a test for a </w:t>
      </w:r>
      <w:r w:rsidR="007857A7">
        <w:rPr>
          <w:rFonts w:ascii="Arial" w:hAnsi="Arial" w:cs="Arial"/>
          <w:sz w:val="24"/>
          <w:szCs w:val="24"/>
        </w:rPr>
        <w:t>learner’s</w:t>
      </w:r>
      <w:r>
        <w:rPr>
          <w:rFonts w:ascii="Arial" w:hAnsi="Arial" w:cs="Arial"/>
          <w:sz w:val="24"/>
          <w:szCs w:val="24"/>
        </w:rPr>
        <w:t xml:space="preserve"> driver’s licence for such other persons at the premises of </w:t>
      </w:r>
      <w:r w:rsidR="007857A7">
        <w:rPr>
          <w:rFonts w:ascii="Arial" w:hAnsi="Arial" w:cs="Arial"/>
          <w:sz w:val="24"/>
          <w:szCs w:val="24"/>
        </w:rPr>
        <w:t>Namibian Traffic Information System (</w:t>
      </w:r>
      <w:r>
        <w:rPr>
          <w:rFonts w:ascii="Arial" w:hAnsi="Arial" w:cs="Arial"/>
          <w:sz w:val="24"/>
          <w:szCs w:val="24"/>
        </w:rPr>
        <w:t>NATIS</w:t>
      </w:r>
      <w:r w:rsidR="007857A7">
        <w:rPr>
          <w:rFonts w:ascii="Arial" w:hAnsi="Arial" w:cs="Arial"/>
          <w:sz w:val="24"/>
          <w:szCs w:val="24"/>
        </w:rPr>
        <w:t>)</w:t>
      </w:r>
      <w:r>
        <w:rPr>
          <w:rFonts w:ascii="Arial" w:hAnsi="Arial" w:cs="Arial"/>
          <w:sz w:val="24"/>
          <w:szCs w:val="24"/>
        </w:rPr>
        <w:t xml:space="preserve"> at Eenhana.</w:t>
      </w:r>
    </w:p>
    <w:p w:rsidR="00261654" w:rsidRDefault="00261654" w:rsidP="00261654">
      <w:pPr>
        <w:pStyle w:val="NoSpacing"/>
        <w:spacing w:line="480" w:lineRule="auto"/>
        <w:jc w:val="both"/>
        <w:rPr>
          <w:rFonts w:ascii="Arial" w:hAnsi="Arial" w:cs="Arial"/>
          <w:sz w:val="24"/>
          <w:szCs w:val="24"/>
        </w:rPr>
      </w:pPr>
    </w:p>
    <w:p w:rsidR="00261654" w:rsidRDefault="003F1290" w:rsidP="00261654">
      <w:pPr>
        <w:pStyle w:val="NoSpacing"/>
        <w:numPr>
          <w:ilvl w:val="0"/>
          <w:numId w:val="2"/>
        </w:numPr>
        <w:spacing w:line="480" w:lineRule="auto"/>
        <w:ind w:left="0" w:firstLine="0"/>
        <w:jc w:val="both"/>
        <w:rPr>
          <w:rFonts w:ascii="Arial" w:hAnsi="Arial" w:cs="Arial"/>
          <w:sz w:val="24"/>
          <w:szCs w:val="24"/>
        </w:rPr>
      </w:pPr>
      <w:r>
        <w:rPr>
          <w:rFonts w:ascii="Arial" w:hAnsi="Arial" w:cs="Arial"/>
          <w:sz w:val="24"/>
          <w:szCs w:val="24"/>
        </w:rPr>
        <w:t>Each</w:t>
      </w:r>
      <w:r w:rsidR="00261654">
        <w:rPr>
          <w:rFonts w:ascii="Arial" w:hAnsi="Arial" w:cs="Arial"/>
          <w:sz w:val="24"/>
          <w:szCs w:val="24"/>
        </w:rPr>
        <w:t xml:space="preserve"> accused pleaded guilty to the charge levelled at </w:t>
      </w:r>
      <w:r w:rsidR="005F51F7">
        <w:rPr>
          <w:rFonts w:ascii="Arial" w:hAnsi="Arial" w:cs="Arial"/>
          <w:sz w:val="24"/>
          <w:szCs w:val="24"/>
        </w:rPr>
        <w:t>him</w:t>
      </w:r>
      <w:r w:rsidR="00261654">
        <w:rPr>
          <w:rFonts w:ascii="Arial" w:hAnsi="Arial" w:cs="Arial"/>
          <w:sz w:val="24"/>
          <w:szCs w:val="24"/>
        </w:rPr>
        <w:t xml:space="preserve"> and after being questioned in terms of s 112(1)(</w:t>
      </w:r>
      <w:r w:rsidR="00261654" w:rsidRPr="00AC2015">
        <w:rPr>
          <w:rFonts w:ascii="Arial" w:hAnsi="Arial" w:cs="Arial"/>
          <w:i/>
          <w:sz w:val="24"/>
          <w:szCs w:val="24"/>
        </w:rPr>
        <w:t>b</w:t>
      </w:r>
      <w:r w:rsidR="00261654">
        <w:rPr>
          <w:rFonts w:ascii="Arial" w:hAnsi="Arial" w:cs="Arial"/>
          <w:sz w:val="24"/>
          <w:szCs w:val="24"/>
        </w:rPr>
        <w:t xml:space="preserve">) </w:t>
      </w:r>
      <w:r w:rsidR="007857A7">
        <w:rPr>
          <w:rFonts w:ascii="Arial" w:hAnsi="Arial" w:cs="Arial"/>
          <w:sz w:val="24"/>
          <w:szCs w:val="24"/>
        </w:rPr>
        <w:t>of the Criminal Procedure Act 51 of 1977</w:t>
      </w:r>
      <w:r w:rsidR="00261654">
        <w:rPr>
          <w:rFonts w:ascii="Arial" w:hAnsi="Arial" w:cs="Arial"/>
          <w:sz w:val="24"/>
          <w:szCs w:val="24"/>
        </w:rPr>
        <w:t xml:space="preserve"> (CPA)</w:t>
      </w:r>
      <w:r>
        <w:rPr>
          <w:rFonts w:ascii="Arial" w:hAnsi="Arial" w:cs="Arial"/>
          <w:sz w:val="24"/>
          <w:szCs w:val="24"/>
        </w:rPr>
        <w:t>,</w:t>
      </w:r>
      <w:r w:rsidR="00261654">
        <w:rPr>
          <w:rFonts w:ascii="Arial" w:hAnsi="Arial" w:cs="Arial"/>
          <w:sz w:val="24"/>
          <w:szCs w:val="24"/>
        </w:rPr>
        <w:t xml:space="preserve"> they were duly convicted. Certain factors were then placed on record relevant to sentencing whereafter they were each sentenced to N$1000 or 30 days imprisonment.</w:t>
      </w:r>
    </w:p>
    <w:p w:rsidR="00261654" w:rsidRDefault="00261654" w:rsidP="00261654">
      <w:pPr>
        <w:pStyle w:val="NoSpacing"/>
        <w:numPr>
          <w:ilvl w:val="0"/>
          <w:numId w:val="2"/>
        </w:numPr>
        <w:spacing w:line="480" w:lineRule="auto"/>
        <w:ind w:left="0" w:firstLine="0"/>
        <w:jc w:val="both"/>
        <w:rPr>
          <w:rFonts w:ascii="Arial" w:hAnsi="Arial" w:cs="Arial"/>
          <w:sz w:val="24"/>
          <w:szCs w:val="24"/>
        </w:rPr>
      </w:pPr>
      <w:r>
        <w:rPr>
          <w:rFonts w:ascii="Arial" w:hAnsi="Arial" w:cs="Arial"/>
          <w:sz w:val="24"/>
          <w:szCs w:val="24"/>
        </w:rPr>
        <w:lastRenderedPageBreak/>
        <w:t>As both accused were unrepresented</w:t>
      </w:r>
      <w:r w:rsidR="003F1290">
        <w:rPr>
          <w:rFonts w:ascii="Arial" w:hAnsi="Arial" w:cs="Arial"/>
          <w:sz w:val="24"/>
          <w:szCs w:val="24"/>
        </w:rPr>
        <w:t>,</w:t>
      </w:r>
      <w:r>
        <w:rPr>
          <w:rFonts w:ascii="Arial" w:hAnsi="Arial" w:cs="Arial"/>
          <w:sz w:val="24"/>
          <w:szCs w:val="24"/>
        </w:rPr>
        <w:t xml:space="preserve"> the record was forwarded to the High Court for automatic review pursuant to s 304 of the CPA.</w:t>
      </w:r>
    </w:p>
    <w:p w:rsidR="00261654" w:rsidRDefault="00261654" w:rsidP="00261654">
      <w:pPr>
        <w:pStyle w:val="ListParagraph"/>
        <w:spacing w:after="0" w:line="480" w:lineRule="auto"/>
        <w:rPr>
          <w:rFonts w:ascii="Arial" w:hAnsi="Arial" w:cs="Arial"/>
          <w:sz w:val="24"/>
          <w:szCs w:val="24"/>
        </w:rPr>
      </w:pPr>
    </w:p>
    <w:p w:rsidR="00261654" w:rsidRDefault="00261654" w:rsidP="00261654">
      <w:pPr>
        <w:pStyle w:val="NoSpacing"/>
        <w:numPr>
          <w:ilvl w:val="0"/>
          <w:numId w:val="2"/>
        </w:numPr>
        <w:spacing w:line="480" w:lineRule="auto"/>
        <w:ind w:left="0" w:firstLine="0"/>
        <w:jc w:val="both"/>
        <w:rPr>
          <w:rFonts w:ascii="Arial" w:hAnsi="Arial" w:cs="Arial"/>
          <w:sz w:val="24"/>
          <w:szCs w:val="24"/>
        </w:rPr>
      </w:pPr>
      <w:r>
        <w:rPr>
          <w:rFonts w:ascii="Arial" w:hAnsi="Arial" w:cs="Arial"/>
          <w:sz w:val="24"/>
          <w:szCs w:val="24"/>
        </w:rPr>
        <w:t>The judges of the High Court dealing with the review upheld the convictions but were of the view that the sentences imposed were ‘shockingly inadequate’ and set them aside with directives to the magistrate to sentence the accused afresh and to increase the sentences to a more appropriate level.</w:t>
      </w:r>
    </w:p>
    <w:p w:rsidR="00261654" w:rsidRDefault="00261654" w:rsidP="00261654">
      <w:pPr>
        <w:pStyle w:val="ListParagraph"/>
        <w:spacing w:after="0" w:line="480" w:lineRule="auto"/>
        <w:rPr>
          <w:rFonts w:ascii="Arial" w:hAnsi="Arial" w:cs="Arial"/>
          <w:sz w:val="24"/>
          <w:szCs w:val="24"/>
        </w:rPr>
      </w:pPr>
    </w:p>
    <w:p w:rsidR="00261654" w:rsidRDefault="00261654" w:rsidP="00261654">
      <w:pPr>
        <w:pStyle w:val="NoSpacing"/>
        <w:numPr>
          <w:ilvl w:val="0"/>
          <w:numId w:val="2"/>
        </w:numPr>
        <w:spacing w:line="480" w:lineRule="auto"/>
        <w:ind w:left="0" w:firstLine="0"/>
        <w:jc w:val="both"/>
        <w:rPr>
          <w:rFonts w:ascii="Arial" w:hAnsi="Arial" w:cs="Arial"/>
          <w:sz w:val="24"/>
          <w:szCs w:val="24"/>
        </w:rPr>
      </w:pPr>
      <w:r>
        <w:rPr>
          <w:rFonts w:ascii="Arial" w:hAnsi="Arial" w:cs="Arial"/>
          <w:sz w:val="24"/>
          <w:szCs w:val="24"/>
        </w:rPr>
        <w:t>The magistrate queried the decision of the High Court on the basis of a decision of this court</w:t>
      </w:r>
      <w:r>
        <w:rPr>
          <w:rStyle w:val="FootnoteReference"/>
          <w:rFonts w:ascii="Arial" w:hAnsi="Arial" w:cs="Arial"/>
          <w:sz w:val="24"/>
          <w:szCs w:val="24"/>
        </w:rPr>
        <w:footnoteReference w:id="1"/>
      </w:r>
      <w:r w:rsidR="00C818F8">
        <w:rPr>
          <w:rFonts w:ascii="Arial" w:hAnsi="Arial" w:cs="Arial"/>
          <w:sz w:val="24"/>
          <w:szCs w:val="24"/>
        </w:rPr>
        <w:t xml:space="preserve"> which found that a sentence</w:t>
      </w:r>
      <w:r>
        <w:rPr>
          <w:rFonts w:ascii="Arial" w:hAnsi="Arial" w:cs="Arial"/>
          <w:sz w:val="24"/>
          <w:szCs w:val="24"/>
        </w:rPr>
        <w:t xml:space="preserve"> imposed by </w:t>
      </w:r>
      <w:r w:rsidR="00FC09E8">
        <w:rPr>
          <w:rFonts w:ascii="Arial" w:hAnsi="Arial" w:cs="Arial"/>
          <w:sz w:val="24"/>
          <w:szCs w:val="24"/>
        </w:rPr>
        <w:t xml:space="preserve">a </w:t>
      </w:r>
      <w:r>
        <w:rPr>
          <w:rFonts w:ascii="Arial" w:hAnsi="Arial" w:cs="Arial"/>
          <w:sz w:val="24"/>
          <w:szCs w:val="24"/>
        </w:rPr>
        <w:t>magistrate cannot be increased in an automatic review to the High Court pursuant to s 304 of the CPA.</w:t>
      </w:r>
    </w:p>
    <w:p w:rsidR="00261654" w:rsidRDefault="00261654" w:rsidP="00261654">
      <w:pPr>
        <w:pStyle w:val="ListParagraph"/>
        <w:spacing w:after="0" w:line="480" w:lineRule="auto"/>
        <w:rPr>
          <w:rFonts w:ascii="Arial" w:hAnsi="Arial" w:cs="Arial"/>
          <w:sz w:val="24"/>
          <w:szCs w:val="24"/>
        </w:rPr>
      </w:pPr>
    </w:p>
    <w:p w:rsidR="00261654" w:rsidRDefault="00261654" w:rsidP="00261654">
      <w:pPr>
        <w:pStyle w:val="NoSpacing"/>
        <w:numPr>
          <w:ilvl w:val="0"/>
          <w:numId w:val="2"/>
        </w:numPr>
        <w:spacing w:line="480" w:lineRule="auto"/>
        <w:ind w:left="0" w:firstLine="0"/>
        <w:jc w:val="both"/>
        <w:rPr>
          <w:rFonts w:ascii="Arial" w:hAnsi="Arial" w:cs="Arial"/>
          <w:sz w:val="24"/>
          <w:szCs w:val="24"/>
        </w:rPr>
      </w:pPr>
      <w:r>
        <w:rPr>
          <w:rFonts w:ascii="Arial" w:hAnsi="Arial" w:cs="Arial"/>
          <w:sz w:val="24"/>
          <w:szCs w:val="24"/>
        </w:rPr>
        <w:t xml:space="preserve">In the result, it is unclear what the position is with regard to </w:t>
      </w:r>
      <w:r w:rsidR="003F1290">
        <w:rPr>
          <w:rFonts w:ascii="Arial" w:hAnsi="Arial" w:cs="Arial"/>
          <w:sz w:val="24"/>
          <w:szCs w:val="24"/>
        </w:rPr>
        <w:t xml:space="preserve">the sentences of the accused </w:t>
      </w:r>
      <w:r>
        <w:rPr>
          <w:rFonts w:ascii="Arial" w:hAnsi="Arial" w:cs="Arial"/>
          <w:sz w:val="24"/>
          <w:szCs w:val="24"/>
        </w:rPr>
        <w:t xml:space="preserve">and, indeed if there are any sentences in place. This is so because the High Court set aside the sentences, the magistrate says this was not a competent order and the High Court being </w:t>
      </w:r>
      <w:r>
        <w:rPr>
          <w:rFonts w:ascii="Arial" w:hAnsi="Arial" w:cs="Arial"/>
          <w:i/>
          <w:sz w:val="24"/>
          <w:szCs w:val="24"/>
        </w:rPr>
        <w:t>functus officio</w:t>
      </w:r>
      <w:r>
        <w:rPr>
          <w:rFonts w:ascii="Arial" w:hAnsi="Arial" w:cs="Arial"/>
          <w:sz w:val="24"/>
          <w:szCs w:val="24"/>
        </w:rPr>
        <w:t>, cannot revisit the matter.</w:t>
      </w:r>
    </w:p>
    <w:p w:rsidR="00261654" w:rsidRDefault="00261654" w:rsidP="00261654">
      <w:pPr>
        <w:pStyle w:val="ListParagraph"/>
        <w:rPr>
          <w:rFonts w:ascii="Arial" w:hAnsi="Arial" w:cs="Arial"/>
          <w:sz w:val="24"/>
          <w:szCs w:val="24"/>
        </w:rPr>
      </w:pPr>
    </w:p>
    <w:p w:rsidR="00261654" w:rsidRDefault="00261654" w:rsidP="00261654">
      <w:pPr>
        <w:pStyle w:val="NoSpacing"/>
        <w:numPr>
          <w:ilvl w:val="0"/>
          <w:numId w:val="2"/>
        </w:numPr>
        <w:spacing w:line="480" w:lineRule="auto"/>
        <w:ind w:left="0" w:firstLine="0"/>
        <w:jc w:val="both"/>
        <w:rPr>
          <w:rFonts w:ascii="Arial" w:hAnsi="Arial" w:cs="Arial"/>
          <w:sz w:val="24"/>
          <w:szCs w:val="24"/>
        </w:rPr>
      </w:pPr>
      <w:r>
        <w:rPr>
          <w:rFonts w:ascii="Arial" w:hAnsi="Arial" w:cs="Arial"/>
          <w:sz w:val="24"/>
          <w:szCs w:val="24"/>
        </w:rPr>
        <w:t>It is against this backdrop that the matter landed up in this court for review in terms of s 16 of the Supreme Court Act.</w:t>
      </w:r>
      <w:r>
        <w:rPr>
          <w:rStyle w:val="FootnoteReference"/>
          <w:rFonts w:ascii="Arial" w:hAnsi="Arial" w:cs="Arial"/>
          <w:sz w:val="24"/>
          <w:szCs w:val="24"/>
        </w:rPr>
        <w:footnoteReference w:id="2"/>
      </w:r>
    </w:p>
    <w:p w:rsidR="00B3566E" w:rsidRDefault="00B3566E" w:rsidP="00B3566E">
      <w:pPr>
        <w:pStyle w:val="NoSpacing"/>
        <w:spacing w:line="480" w:lineRule="auto"/>
        <w:jc w:val="both"/>
        <w:rPr>
          <w:rFonts w:ascii="Arial" w:hAnsi="Arial" w:cs="Arial"/>
          <w:sz w:val="24"/>
          <w:szCs w:val="24"/>
        </w:rPr>
      </w:pPr>
    </w:p>
    <w:p w:rsidR="00B3566E" w:rsidRDefault="00B3566E" w:rsidP="00B3566E">
      <w:pPr>
        <w:pStyle w:val="NoSpacing"/>
        <w:spacing w:line="480" w:lineRule="auto"/>
        <w:jc w:val="both"/>
        <w:rPr>
          <w:rFonts w:ascii="Arial" w:hAnsi="Arial" w:cs="Arial"/>
          <w:sz w:val="24"/>
          <w:szCs w:val="24"/>
        </w:rPr>
      </w:pPr>
    </w:p>
    <w:p w:rsidR="00B3566E" w:rsidRDefault="00B3566E" w:rsidP="00B3566E">
      <w:pPr>
        <w:pStyle w:val="NoSpacing"/>
        <w:spacing w:line="480" w:lineRule="auto"/>
        <w:jc w:val="both"/>
        <w:rPr>
          <w:rFonts w:ascii="Arial" w:hAnsi="Arial" w:cs="Arial"/>
          <w:sz w:val="24"/>
          <w:szCs w:val="24"/>
        </w:rPr>
      </w:pPr>
    </w:p>
    <w:p w:rsidR="00261654" w:rsidRPr="0057102D" w:rsidRDefault="00261654" w:rsidP="00261654">
      <w:pPr>
        <w:spacing w:after="0" w:line="480" w:lineRule="auto"/>
        <w:rPr>
          <w:rFonts w:ascii="Arial" w:hAnsi="Arial" w:cs="Arial"/>
          <w:sz w:val="24"/>
          <w:szCs w:val="24"/>
          <w:u w:val="single"/>
        </w:rPr>
      </w:pPr>
      <w:r>
        <w:rPr>
          <w:rFonts w:ascii="Arial" w:hAnsi="Arial" w:cs="Arial"/>
          <w:sz w:val="24"/>
          <w:szCs w:val="24"/>
          <w:u w:val="single"/>
        </w:rPr>
        <w:lastRenderedPageBreak/>
        <w:t>Decision of the High Court</w:t>
      </w:r>
    </w:p>
    <w:p w:rsidR="00261654" w:rsidRPr="0057102D" w:rsidRDefault="00261654" w:rsidP="00261654">
      <w:pPr>
        <w:pStyle w:val="NoSpacing"/>
        <w:numPr>
          <w:ilvl w:val="0"/>
          <w:numId w:val="2"/>
        </w:numPr>
        <w:spacing w:line="480" w:lineRule="auto"/>
        <w:ind w:left="0" w:firstLine="0"/>
        <w:jc w:val="both"/>
        <w:rPr>
          <w:rFonts w:ascii="Arial" w:hAnsi="Arial" w:cs="Arial"/>
          <w:sz w:val="24"/>
          <w:szCs w:val="24"/>
        </w:rPr>
      </w:pPr>
      <w:r>
        <w:rPr>
          <w:rFonts w:ascii="Arial" w:hAnsi="Arial" w:cs="Arial"/>
          <w:sz w:val="24"/>
          <w:szCs w:val="24"/>
        </w:rPr>
        <w:t>As indicated above, the High Court felt that the sentences imposed w</w:t>
      </w:r>
      <w:r w:rsidR="003F1290">
        <w:rPr>
          <w:rFonts w:ascii="Arial" w:hAnsi="Arial" w:cs="Arial"/>
          <w:sz w:val="24"/>
          <w:szCs w:val="24"/>
        </w:rPr>
        <w:t>ere</w:t>
      </w:r>
      <w:r>
        <w:rPr>
          <w:rFonts w:ascii="Arial" w:hAnsi="Arial" w:cs="Arial"/>
          <w:sz w:val="24"/>
          <w:szCs w:val="24"/>
        </w:rPr>
        <w:t xml:space="preserve"> ‘shockingly inadequate’ and thus had to be increased.</w:t>
      </w:r>
    </w:p>
    <w:p w:rsidR="00261654" w:rsidRDefault="00261654" w:rsidP="00261654">
      <w:pPr>
        <w:pStyle w:val="ListParagraph"/>
        <w:spacing w:after="0" w:line="480" w:lineRule="auto"/>
        <w:rPr>
          <w:rFonts w:ascii="Arial" w:hAnsi="Arial" w:cs="Arial"/>
          <w:sz w:val="24"/>
          <w:szCs w:val="24"/>
        </w:rPr>
      </w:pPr>
    </w:p>
    <w:p w:rsidR="00261654" w:rsidRDefault="00261654" w:rsidP="00261654">
      <w:pPr>
        <w:pStyle w:val="NoSpacing"/>
        <w:numPr>
          <w:ilvl w:val="0"/>
          <w:numId w:val="2"/>
        </w:numPr>
        <w:spacing w:line="480" w:lineRule="auto"/>
        <w:ind w:left="0" w:firstLine="0"/>
        <w:jc w:val="both"/>
        <w:rPr>
          <w:rFonts w:ascii="Arial" w:hAnsi="Arial" w:cs="Arial"/>
          <w:sz w:val="24"/>
          <w:szCs w:val="24"/>
        </w:rPr>
      </w:pPr>
      <w:r>
        <w:rPr>
          <w:rFonts w:ascii="Arial" w:hAnsi="Arial" w:cs="Arial"/>
          <w:sz w:val="24"/>
          <w:szCs w:val="24"/>
        </w:rPr>
        <w:t xml:space="preserve">The High Court in motivating its decision quotes extensively from a Full Bench judgment of that court in </w:t>
      </w:r>
      <w:r w:rsidR="004E600A">
        <w:rPr>
          <w:rFonts w:ascii="Arial" w:hAnsi="Arial" w:cs="Arial"/>
          <w:i/>
          <w:sz w:val="24"/>
          <w:szCs w:val="24"/>
        </w:rPr>
        <w:t>S v Are</w:t>
      </w:r>
      <w:r>
        <w:rPr>
          <w:rFonts w:ascii="Arial" w:hAnsi="Arial" w:cs="Arial"/>
          <w:i/>
          <w:sz w:val="24"/>
          <w:szCs w:val="24"/>
        </w:rPr>
        <w:t>beb</w:t>
      </w:r>
      <w:r w:rsidRPr="0057102D">
        <w:rPr>
          <w:rStyle w:val="FootnoteReference"/>
          <w:rFonts w:ascii="Arial" w:hAnsi="Arial" w:cs="Arial"/>
          <w:sz w:val="24"/>
          <w:szCs w:val="24"/>
        </w:rPr>
        <w:footnoteReference w:id="3"/>
      </w:r>
      <w:r>
        <w:rPr>
          <w:rFonts w:ascii="Arial" w:hAnsi="Arial" w:cs="Arial"/>
          <w:i/>
          <w:sz w:val="24"/>
          <w:szCs w:val="24"/>
        </w:rPr>
        <w:t xml:space="preserve"> </w:t>
      </w:r>
      <w:r>
        <w:rPr>
          <w:rFonts w:ascii="Arial" w:hAnsi="Arial" w:cs="Arial"/>
          <w:sz w:val="24"/>
          <w:szCs w:val="24"/>
        </w:rPr>
        <w:t>but surprisingly</w:t>
      </w:r>
      <w:r w:rsidRPr="0057102D">
        <w:rPr>
          <w:rFonts w:ascii="Arial" w:hAnsi="Arial" w:cs="Arial"/>
          <w:sz w:val="24"/>
          <w:szCs w:val="24"/>
        </w:rPr>
        <w:t>,</w:t>
      </w:r>
      <w:r>
        <w:rPr>
          <w:rFonts w:ascii="Arial" w:hAnsi="Arial" w:cs="Arial"/>
          <w:sz w:val="24"/>
          <w:szCs w:val="24"/>
        </w:rPr>
        <w:t xml:space="preserve"> seems not to have realised that the </w:t>
      </w:r>
      <w:r w:rsidR="004E600A">
        <w:rPr>
          <w:rFonts w:ascii="Arial" w:hAnsi="Arial" w:cs="Arial"/>
          <w:i/>
          <w:sz w:val="24"/>
          <w:szCs w:val="24"/>
        </w:rPr>
        <w:t>Are</w:t>
      </w:r>
      <w:r>
        <w:rPr>
          <w:rFonts w:ascii="Arial" w:hAnsi="Arial" w:cs="Arial"/>
          <w:i/>
          <w:sz w:val="24"/>
          <w:szCs w:val="24"/>
        </w:rPr>
        <w:t>beb</w:t>
      </w:r>
      <w:r>
        <w:rPr>
          <w:rFonts w:ascii="Arial" w:hAnsi="Arial" w:cs="Arial"/>
          <w:sz w:val="24"/>
          <w:szCs w:val="24"/>
        </w:rPr>
        <w:t xml:space="preserve"> case did not support the proposition that a sentence can be increased where it involves an automatic s 304 review. Thus the court in the </w:t>
      </w:r>
      <w:r w:rsidR="004E600A">
        <w:rPr>
          <w:rFonts w:ascii="Arial" w:hAnsi="Arial" w:cs="Arial"/>
          <w:i/>
          <w:sz w:val="24"/>
          <w:szCs w:val="24"/>
        </w:rPr>
        <w:t>Are</w:t>
      </w:r>
      <w:r w:rsidRPr="0080595E">
        <w:rPr>
          <w:rFonts w:ascii="Arial" w:hAnsi="Arial" w:cs="Arial"/>
          <w:i/>
          <w:sz w:val="24"/>
          <w:szCs w:val="24"/>
        </w:rPr>
        <w:t>beb</w:t>
      </w:r>
      <w:r>
        <w:rPr>
          <w:rFonts w:ascii="Arial" w:hAnsi="Arial" w:cs="Arial"/>
          <w:sz w:val="24"/>
          <w:szCs w:val="24"/>
        </w:rPr>
        <w:t xml:space="preserve"> case conclude</w:t>
      </w:r>
      <w:r w:rsidR="00B3566E">
        <w:rPr>
          <w:rFonts w:ascii="Arial" w:hAnsi="Arial" w:cs="Arial"/>
          <w:sz w:val="24"/>
          <w:szCs w:val="24"/>
        </w:rPr>
        <w:t>d</w:t>
      </w:r>
      <w:r>
        <w:rPr>
          <w:rFonts w:ascii="Arial" w:hAnsi="Arial" w:cs="Arial"/>
          <w:sz w:val="24"/>
          <w:szCs w:val="24"/>
        </w:rPr>
        <w:t xml:space="preserve"> on this aspect as follows:</w:t>
      </w:r>
    </w:p>
    <w:p w:rsidR="00261654" w:rsidRPr="008036C3" w:rsidRDefault="00261654" w:rsidP="00261654">
      <w:pPr>
        <w:pStyle w:val="ListParagraph"/>
        <w:spacing w:after="0" w:line="360" w:lineRule="auto"/>
        <w:rPr>
          <w:rFonts w:ascii="Arial" w:hAnsi="Arial" w:cs="Arial"/>
        </w:rPr>
      </w:pPr>
    </w:p>
    <w:p w:rsidR="00261654" w:rsidRPr="0080595E" w:rsidRDefault="00261654" w:rsidP="00261654">
      <w:pPr>
        <w:pStyle w:val="NoSpacing"/>
        <w:spacing w:line="360" w:lineRule="auto"/>
        <w:ind w:left="720"/>
        <w:jc w:val="both"/>
        <w:rPr>
          <w:rFonts w:ascii="Arial" w:hAnsi="Arial" w:cs="Arial"/>
        </w:rPr>
      </w:pPr>
      <w:r>
        <w:rPr>
          <w:rFonts w:ascii="Arial" w:hAnsi="Arial" w:cs="Arial"/>
        </w:rPr>
        <w:t>‘. . . it is clear that the Legislature did not consider that a court deriving it’s powers from s 304(2) had the power to increase a sentence.’</w:t>
      </w:r>
      <w:r>
        <w:rPr>
          <w:rStyle w:val="FootnoteReference"/>
          <w:rFonts w:ascii="Arial" w:hAnsi="Arial" w:cs="Arial"/>
        </w:rPr>
        <w:footnoteReference w:id="4"/>
      </w:r>
    </w:p>
    <w:p w:rsidR="00261654" w:rsidRDefault="00261654" w:rsidP="00261654">
      <w:pPr>
        <w:pStyle w:val="ListParagraph"/>
        <w:spacing w:after="0" w:line="480" w:lineRule="auto"/>
        <w:rPr>
          <w:rFonts w:ascii="Arial" w:hAnsi="Arial" w:cs="Arial"/>
          <w:sz w:val="24"/>
          <w:szCs w:val="24"/>
        </w:rPr>
      </w:pPr>
    </w:p>
    <w:p w:rsidR="00261654" w:rsidRDefault="00261654" w:rsidP="00261654">
      <w:pPr>
        <w:pStyle w:val="NoSpacing"/>
        <w:numPr>
          <w:ilvl w:val="0"/>
          <w:numId w:val="2"/>
        </w:numPr>
        <w:spacing w:line="480" w:lineRule="auto"/>
        <w:ind w:left="0" w:firstLine="0"/>
        <w:jc w:val="both"/>
        <w:rPr>
          <w:rFonts w:ascii="Arial" w:hAnsi="Arial" w:cs="Arial"/>
          <w:sz w:val="24"/>
          <w:szCs w:val="24"/>
        </w:rPr>
      </w:pPr>
      <w:r>
        <w:rPr>
          <w:rFonts w:ascii="Arial" w:hAnsi="Arial" w:cs="Arial"/>
          <w:sz w:val="24"/>
          <w:szCs w:val="24"/>
        </w:rPr>
        <w:t xml:space="preserve">The </w:t>
      </w:r>
      <w:r w:rsidR="003F1290">
        <w:rPr>
          <w:rFonts w:ascii="Arial" w:hAnsi="Arial" w:cs="Arial"/>
          <w:sz w:val="24"/>
          <w:szCs w:val="24"/>
        </w:rPr>
        <w:t>Full B</w:t>
      </w:r>
      <w:r>
        <w:rPr>
          <w:rFonts w:ascii="Arial" w:hAnsi="Arial" w:cs="Arial"/>
          <w:sz w:val="24"/>
          <w:szCs w:val="24"/>
        </w:rPr>
        <w:t>ench also in its discussion dealt with the issue where sentences were given that w</w:t>
      </w:r>
      <w:r w:rsidR="003F1290">
        <w:rPr>
          <w:rFonts w:ascii="Arial" w:hAnsi="Arial" w:cs="Arial"/>
          <w:sz w:val="24"/>
          <w:szCs w:val="24"/>
        </w:rPr>
        <w:t>ere</w:t>
      </w:r>
      <w:r>
        <w:rPr>
          <w:rFonts w:ascii="Arial" w:hAnsi="Arial" w:cs="Arial"/>
          <w:sz w:val="24"/>
          <w:szCs w:val="24"/>
        </w:rPr>
        <w:t xml:space="preserve"> not in accordance with the law, ie incompetent sentences as follows:</w:t>
      </w:r>
    </w:p>
    <w:p w:rsidR="00261654" w:rsidRPr="008036C3" w:rsidRDefault="00261654" w:rsidP="00261654">
      <w:pPr>
        <w:pStyle w:val="NoSpacing"/>
        <w:spacing w:line="360" w:lineRule="auto"/>
        <w:jc w:val="both"/>
        <w:rPr>
          <w:rFonts w:ascii="Arial" w:hAnsi="Arial" w:cs="Arial"/>
        </w:rPr>
      </w:pPr>
      <w:r>
        <w:rPr>
          <w:rFonts w:ascii="Arial" w:hAnsi="Arial" w:cs="Arial"/>
          <w:sz w:val="24"/>
          <w:szCs w:val="24"/>
        </w:rPr>
        <w:tab/>
      </w:r>
    </w:p>
    <w:p w:rsidR="00261654" w:rsidRDefault="00261654" w:rsidP="00261654">
      <w:pPr>
        <w:pStyle w:val="NoSpacing"/>
        <w:spacing w:line="360" w:lineRule="auto"/>
        <w:ind w:left="720"/>
        <w:jc w:val="both"/>
        <w:rPr>
          <w:rFonts w:ascii="Arial" w:hAnsi="Arial" w:cs="Arial"/>
        </w:rPr>
      </w:pPr>
      <w:r w:rsidRPr="0080595E">
        <w:rPr>
          <w:rFonts w:ascii="Arial" w:hAnsi="Arial" w:cs="Arial"/>
        </w:rPr>
        <w:t>‘</w:t>
      </w:r>
      <w:r>
        <w:rPr>
          <w:rFonts w:ascii="Arial" w:hAnsi="Arial" w:cs="Arial"/>
        </w:rPr>
        <w:t>The courts have drawn a distinction between sentences which are competent and those which are incompetent and have declined to increase on review sentences which are competent but too light. However, in respect of i</w:t>
      </w:r>
      <w:r w:rsidR="004E600A">
        <w:rPr>
          <w:rFonts w:ascii="Arial" w:hAnsi="Arial" w:cs="Arial"/>
        </w:rPr>
        <w:t>ncompetent sentences by reason of it</w:t>
      </w:r>
      <w:r>
        <w:rPr>
          <w:rFonts w:ascii="Arial" w:hAnsi="Arial" w:cs="Arial"/>
        </w:rPr>
        <w:t xml:space="preserve">s power to ‘alter’ sentences, it has imposed different sentences which in effect have amounted to making sentences more onerous. However, it is wrong to regard this as increasing a sentence. The sentence </w:t>
      </w:r>
      <w:r w:rsidR="003F1290">
        <w:rPr>
          <w:rFonts w:ascii="Arial" w:hAnsi="Arial" w:cs="Arial"/>
        </w:rPr>
        <w:t>having been</w:t>
      </w:r>
      <w:r>
        <w:rPr>
          <w:rFonts w:ascii="Arial" w:hAnsi="Arial" w:cs="Arial"/>
        </w:rPr>
        <w:t xml:space="preserve"> incompetent in the first place</w:t>
      </w:r>
      <w:r w:rsidR="00B3566E">
        <w:rPr>
          <w:rFonts w:ascii="Arial" w:hAnsi="Arial" w:cs="Arial"/>
        </w:rPr>
        <w:t>,</w:t>
      </w:r>
      <w:r w:rsidR="003F1290">
        <w:rPr>
          <w:rFonts w:ascii="Arial" w:hAnsi="Arial" w:cs="Arial"/>
        </w:rPr>
        <w:t xml:space="preserve"> there was no se</w:t>
      </w:r>
      <w:r w:rsidR="00FB63C3">
        <w:rPr>
          <w:rFonts w:ascii="Arial" w:hAnsi="Arial" w:cs="Arial"/>
        </w:rPr>
        <w:t>ntence</w:t>
      </w:r>
      <w:r>
        <w:rPr>
          <w:rFonts w:ascii="Arial" w:hAnsi="Arial" w:cs="Arial"/>
        </w:rPr>
        <w:t>. The review</w:t>
      </w:r>
      <w:r w:rsidR="00FB63C3">
        <w:rPr>
          <w:rFonts w:ascii="Arial" w:hAnsi="Arial" w:cs="Arial"/>
        </w:rPr>
        <w:t>ing</w:t>
      </w:r>
      <w:r>
        <w:rPr>
          <w:rFonts w:ascii="Arial" w:hAnsi="Arial" w:cs="Arial"/>
        </w:rPr>
        <w:t xml:space="preserve"> court therefor</w:t>
      </w:r>
      <w:r w:rsidR="004E600A">
        <w:rPr>
          <w:rFonts w:ascii="Arial" w:hAnsi="Arial" w:cs="Arial"/>
        </w:rPr>
        <w:t>e</w:t>
      </w:r>
      <w:r>
        <w:rPr>
          <w:rFonts w:ascii="Arial" w:hAnsi="Arial" w:cs="Arial"/>
        </w:rPr>
        <w:t xml:space="preserve"> had to impose </w:t>
      </w:r>
      <w:r w:rsidR="00E348A5">
        <w:rPr>
          <w:rFonts w:ascii="Arial" w:hAnsi="Arial" w:cs="Arial"/>
        </w:rPr>
        <w:t xml:space="preserve">a </w:t>
      </w:r>
      <w:r>
        <w:rPr>
          <w:rFonts w:ascii="Arial" w:hAnsi="Arial" w:cs="Arial"/>
        </w:rPr>
        <w:t>sentence afresh.’</w:t>
      </w:r>
      <w:r>
        <w:rPr>
          <w:rStyle w:val="FootnoteReference"/>
          <w:rFonts w:ascii="Arial" w:hAnsi="Arial" w:cs="Arial"/>
        </w:rPr>
        <w:footnoteReference w:id="5"/>
      </w:r>
    </w:p>
    <w:p w:rsidR="00261654" w:rsidRPr="00261654" w:rsidRDefault="00261654" w:rsidP="00261654">
      <w:pPr>
        <w:pStyle w:val="NoSpacing"/>
        <w:spacing w:line="480" w:lineRule="auto"/>
        <w:ind w:left="720"/>
        <w:jc w:val="both"/>
        <w:rPr>
          <w:rFonts w:ascii="Arial" w:hAnsi="Arial" w:cs="Arial"/>
          <w:sz w:val="24"/>
          <w:szCs w:val="24"/>
        </w:rPr>
      </w:pPr>
    </w:p>
    <w:p w:rsidR="00261654" w:rsidRDefault="00261654" w:rsidP="00261654">
      <w:pPr>
        <w:pStyle w:val="NoSpacing"/>
        <w:numPr>
          <w:ilvl w:val="0"/>
          <w:numId w:val="2"/>
        </w:numPr>
        <w:spacing w:line="480" w:lineRule="auto"/>
        <w:ind w:left="0" w:firstLine="0"/>
        <w:jc w:val="both"/>
        <w:rPr>
          <w:rFonts w:ascii="Arial" w:hAnsi="Arial" w:cs="Arial"/>
          <w:sz w:val="24"/>
          <w:szCs w:val="24"/>
        </w:rPr>
      </w:pPr>
      <w:r>
        <w:rPr>
          <w:rFonts w:ascii="Arial" w:hAnsi="Arial" w:cs="Arial"/>
          <w:sz w:val="24"/>
          <w:szCs w:val="24"/>
        </w:rPr>
        <w:lastRenderedPageBreak/>
        <w:t>In response to the comments of the magistrate, one of the judges who set th</w:t>
      </w:r>
      <w:r w:rsidR="005F51F7">
        <w:rPr>
          <w:rFonts w:ascii="Arial" w:hAnsi="Arial" w:cs="Arial"/>
          <w:sz w:val="24"/>
          <w:szCs w:val="24"/>
        </w:rPr>
        <w:t>e original sentence aside relies</w:t>
      </w:r>
      <w:r>
        <w:rPr>
          <w:rFonts w:ascii="Arial" w:hAnsi="Arial" w:cs="Arial"/>
          <w:sz w:val="24"/>
          <w:szCs w:val="24"/>
        </w:rPr>
        <w:t xml:space="preserve"> o</w:t>
      </w:r>
      <w:r w:rsidR="00FC09E8">
        <w:rPr>
          <w:rFonts w:ascii="Arial" w:hAnsi="Arial" w:cs="Arial"/>
          <w:sz w:val="24"/>
          <w:szCs w:val="24"/>
        </w:rPr>
        <w:t>n</w:t>
      </w:r>
      <w:r>
        <w:rPr>
          <w:rFonts w:ascii="Arial" w:hAnsi="Arial" w:cs="Arial"/>
          <w:sz w:val="24"/>
          <w:szCs w:val="24"/>
        </w:rPr>
        <w:t xml:space="preserve"> the South African case of </w:t>
      </w:r>
      <w:r>
        <w:rPr>
          <w:rFonts w:ascii="Arial" w:hAnsi="Arial" w:cs="Arial"/>
          <w:i/>
          <w:sz w:val="24"/>
          <w:szCs w:val="24"/>
        </w:rPr>
        <w:t>S v Nteleki</w:t>
      </w:r>
      <w:r w:rsidRPr="007D3F4E">
        <w:rPr>
          <w:rStyle w:val="FootnoteReference"/>
          <w:rFonts w:ascii="Arial" w:hAnsi="Arial" w:cs="Arial"/>
          <w:sz w:val="24"/>
          <w:szCs w:val="24"/>
        </w:rPr>
        <w:footnoteReference w:id="6"/>
      </w:r>
      <w:r>
        <w:rPr>
          <w:rFonts w:ascii="Arial" w:hAnsi="Arial" w:cs="Arial"/>
          <w:sz w:val="24"/>
          <w:szCs w:val="24"/>
        </w:rPr>
        <w:t xml:space="preserve"> as ‘persuasive’ authority for this court to reconsider the legal position set out a</w:t>
      </w:r>
      <w:r w:rsidR="005F51F7">
        <w:rPr>
          <w:rFonts w:ascii="Arial" w:hAnsi="Arial" w:cs="Arial"/>
          <w:sz w:val="24"/>
          <w:szCs w:val="24"/>
        </w:rPr>
        <w:t>bove. For this purpose he relies</w:t>
      </w:r>
      <w:r>
        <w:rPr>
          <w:rFonts w:ascii="Arial" w:hAnsi="Arial" w:cs="Arial"/>
          <w:sz w:val="24"/>
          <w:szCs w:val="24"/>
        </w:rPr>
        <w:t xml:space="preserve"> on the following extract from the </w:t>
      </w:r>
      <w:r w:rsidRPr="007D3F4E">
        <w:rPr>
          <w:rFonts w:ascii="Arial" w:hAnsi="Arial" w:cs="Arial"/>
          <w:i/>
          <w:sz w:val="24"/>
          <w:szCs w:val="24"/>
        </w:rPr>
        <w:t>Nteleki</w:t>
      </w:r>
      <w:r>
        <w:rPr>
          <w:rFonts w:ascii="Arial" w:hAnsi="Arial" w:cs="Arial"/>
          <w:sz w:val="24"/>
          <w:szCs w:val="24"/>
        </w:rPr>
        <w:t xml:space="preserve"> case:</w:t>
      </w:r>
    </w:p>
    <w:p w:rsidR="00261654" w:rsidRPr="008036C3" w:rsidRDefault="00261654" w:rsidP="00261654">
      <w:pPr>
        <w:pStyle w:val="NoSpacing"/>
        <w:spacing w:line="360" w:lineRule="auto"/>
        <w:jc w:val="both"/>
        <w:rPr>
          <w:rFonts w:ascii="Arial" w:hAnsi="Arial" w:cs="Arial"/>
        </w:rPr>
      </w:pPr>
      <w:r>
        <w:rPr>
          <w:rFonts w:ascii="Arial" w:hAnsi="Arial" w:cs="Arial"/>
          <w:sz w:val="24"/>
          <w:szCs w:val="24"/>
        </w:rPr>
        <w:tab/>
      </w:r>
    </w:p>
    <w:p w:rsidR="00261654" w:rsidRPr="001E71A4" w:rsidRDefault="00261654" w:rsidP="00261654">
      <w:pPr>
        <w:pStyle w:val="NoSpacing"/>
        <w:spacing w:line="360" w:lineRule="auto"/>
        <w:ind w:left="720"/>
        <w:jc w:val="both"/>
        <w:rPr>
          <w:rFonts w:ascii="Arial" w:hAnsi="Arial" w:cs="Arial"/>
        </w:rPr>
      </w:pPr>
      <w:r>
        <w:rPr>
          <w:rFonts w:ascii="Arial" w:hAnsi="Arial" w:cs="Arial"/>
        </w:rPr>
        <w:t xml:space="preserve">‘The powers of a court on automatic review do not include the power to increase a sentence or to make orders more onerous for the accused, where the sentence </w:t>
      </w:r>
      <w:r w:rsidRPr="005C0635">
        <w:rPr>
          <w:rFonts w:ascii="Arial" w:hAnsi="Arial" w:cs="Arial"/>
        </w:rPr>
        <w:t xml:space="preserve">was a competent sentence. See </w:t>
      </w:r>
      <w:r w:rsidRPr="005C0635">
        <w:rPr>
          <w:rFonts w:ascii="Arial" w:hAnsi="Arial" w:cs="Arial"/>
          <w:i/>
        </w:rPr>
        <w:t xml:space="preserve">S v November and Three </w:t>
      </w:r>
      <w:r>
        <w:rPr>
          <w:rFonts w:ascii="Arial" w:hAnsi="Arial" w:cs="Arial"/>
          <w:i/>
        </w:rPr>
        <w:t>S</w:t>
      </w:r>
      <w:r w:rsidRPr="005C0635">
        <w:rPr>
          <w:rFonts w:ascii="Arial" w:hAnsi="Arial" w:cs="Arial"/>
          <w:i/>
        </w:rPr>
        <w:t xml:space="preserve">imilar Cases </w:t>
      </w:r>
      <w:r w:rsidRPr="005C0635">
        <w:rPr>
          <w:rFonts w:ascii="Arial" w:hAnsi="Arial" w:cs="Arial"/>
        </w:rPr>
        <w:t>2006</w:t>
      </w:r>
      <w:r>
        <w:rPr>
          <w:rFonts w:ascii="Arial" w:hAnsi="Arial" w:cs="Arial"/>
        </w:rPr>
        <w:t xml:space="preserve"> </w:t>
      </w:r>
      <w:r w:rsidRPr="005C0635">
        <w:rPr>
          <w:rFonts w:ascii="Arial" w:hAnsi="Arial" w:cs="Arial"/>
        </w:rPr>
        <w:t>(1) SACR 13 (C) at 219</w:t>
      </w:r>
      <w:r w:rsidRPr="00AC2015">
        <w:rPr>
          <w:rFonts w:ascii="Arial" w:hAnsi="Arial" w:cs="Arial"/>
          <w:i/>
        </w:rPr>
        <w:t>e-i</w:t>
      </w:r>
      <w:r w:rsidRPr="005C0635">
        <w:rPr>
          <w:rFonts w:ascii="Arial" w:hAnsi="Arial" w:cs="Arial"/>
        </w:rPr>
        <w:t>. Where, however, a magistrates’ court has imposed an unlawful or incompetent sentence, the court may on automatic review impose the correct</w:t>
      </w:r>
      <w:r>
        <w:rPr>
          <w:rFonts w:ascii="Arial" w:hAnsi="Arial" w:cs="Arial"/>
        </w:rPr>
        <w:t xml:space="preserve"> sentence, even where this would result in the sentence being increased. See </w:t>
      </w:r>
      <w:r>
        <w:rPr>
          <w:rFonts w:ascii="Arial" w:hAnsi="Arial" w:cs="Arial"/>
          <w:i/>
        </w:rPr>
        <w:t>S v Msindo</w:t>
      </w:r>
      <w:r>
        <w:rPr>
          <w:rFonts w:ascii="Arial" w:hAnsi="Arial" w:cs="Arial"/>
        </w:rPr>
        <w:t xml:space="preserve"> 1980 (4) SA 263 (B) at 265F-G.’</w:t>
      </w:r>
    </w:p>
    <w:p w:rsidR="00261654" w:rsidRDefault="00261654" w:rsidP="00261654">
      <w:pPr>
        <w:pStyle w:val="ListParagraph"/>
        <w:spacing w:after="0" w:line="480" w:lineRule="auto"/>
        <w:rPr>
          <w:rFonts w:ascii="Arial" w:hAnsi="Arial" w:cs="Arial"/>
          <w:sz w:val="24"/>
          <w:szCs w:val="24"/>
        </w:rPr>
      </w:pPr>
    </w:p>
    <w:p w:rsidR="00261654" w:rsidRPr="004414F7" w:rsidRDefault="00261654" w:rsidP="00261654">
      <w:pPr>
        <w:pStyle w:val="NoSpacing"/>
        <w:numPr>
          <w:ilvl w:val="0"/>
          <w:numId w:val="2"/>
        </w:numPr>
        <w:spacing w:line="480" w:lineRule="auto"/>
        <w:ind w:left="0" w:firstLine="0"/>
        <w:jc w:val="both"/>
        <w:rPr>
          <w:rFonts w:ascii="Arial" w:hAnsi="Arial" w:cs="Arial"/>
          <w:sz w:val="24"/>
          <w:szCs w:val="24"/>
        </w:rPr>
      </w:pPr>
      <w:r>
        <w:rPr>
          <w:rFonts w:ascii="Arial" w:hAnsi="Arial" w:cs="Arial"/>
          <w:sz w:val="24"/>
          <w:szCs w:val="24"/>
        </w:rPr>
        <w:t xml:space="preserve">In the </w:t>
      </w:r>
      <w:r>
        <w:rPr>
          <w:rFonts w:ascii="Arial" w:hAnsi="Arial" w:cs="Arial"/>
          <w:i/>
          <w:sz w:val="24"/>
          <w:szCs w:val="24"/>
        </w:rPr>
        <w:t>Nteleki</w:t>
      </w:r>
      <w:r>
        <w:rPr>
          <w:rFonts w:ascii="Arial" w:hAnsi="Arial" w:cs="Arial"/>
          <w:sz w:val="24"/>
          <w:szCs w:val="24"/>
        </w:rPr>
        <w:t xml:space="preserve"> case, the Act under which the charges were brought provided for the imposition of a custodial sentence and made no provision for a fine. The magistrate nevertheless imposed a fine. As there was no provision in law for a fine</w:t>
      </w:r>
      <w:r w:rsidR="00490F58">
        <w:rPr>
          <w:rFonts w:ascii="Arial" w:hAnsi="Arial" w:cs="Arial"/>
          <w:sz w:val="24"/>
          <w:szCs w:val="24"/>
        </w:rPr>
        <w:t>,</w:t>
      </w:r>
      <w:r>
        <w:rPr>
          <w:rFonts w:ascii="Arial" w:hAnsi="Arial" w:cs="Arial"/>
          <w:sz w:val="24"/>
          <w:szCs w:val="24"/>
        </w:rPr>
        <w:t xml:space="preserve"> the sentence imposed was incompetent and hence a new sentence had to be passed that was in line with the relevant legislation.</w:t>
      </w:r>
    </w:p>
    <w:p w:rsidR="00261654" w:rsidRDefault="00261654" w:rsidP="00261654">
      <w:pPr>
        <w:pStyle w:val="ListParagraph"/>
        <w:spacing w:after="0" w:line="480" w:lineRule="auto"/>
        <w:rPr>
          <w:rFonts w:ascii="Arial" w:hAnsi="Arial" w:cs="Arial"/>
          <w:sz w:val="24"/>
          <w:szCs w:val="24"/>
        </w:rPr>
      </w:pPr>
    </w:p>
    <w:p w:rsidR="00261654" w:rsidRDefault="00261654" w:rsidP="00261654">
      <w:pPr>
        <w:pStyle w:val="NoSpacing"/>
        <w:numPr>
          <w:ilvl w:val="0"/>
          <w:numId w:val="2"/>
        </w:numPr>
        <w:spacing w:line="480" w:lineRule="auto"/>
        <w:ind w:left="0" w:firstLine="0"/>
        <w:jc w:val="both"/>
        <w:rPr>
          <w:rFonts w:ascii="Arial" w:hAnsi="Arial" w:cs="Arial"/>
          <w:sz w:val="24"/>
          <w:szCs w:val="24"/>
        </w:rPr>
      </w:pPr>
      <w:r>
        <w:rPr>
          <w:rFonts w:ascii="Arial" w:hAnsi="Arial" w:cs="Arial"/>
          <w:sz w:val="24"/>
          <w:szCs w:val="24"/>
        </w:rPr>
        <w:t xml:space="preserve">I am afraid that the </w:t>
      </w:r>
      <w:r w:rsidRPr="004414F7">
        <w:rPr>
          <w:rFonts w:ascii="Arial" w:hAnsi="Arial" w:cs="Arial"/>
          <w:i/>
          <w:sz w:val="24"/>
          <w:szCs w:val="24"/>
        </w:rPr>
        <w:t>Nteleki</w:t>
      </w:r>
      <w:r>
        <w:rPr>
          <w:rFonts w:ascii="Arial" w:hAnsi="Arial" w:cs="Arial"/>
          <w:sz w:val="24"/>
          <w:szCs w:val="24"/>
        </w:rPr>
        <w:t xml:space="preserve"> case does not support the suggested reconsideration at all. It is totally in line with the approach in the </w:t>
      </w:r>
      <w:r w:rsidR="00490F58">
        <w:rPr>
          <w:rFonts w:ascii="Arial" w:hAnsi="Arial" w:cs="Arial"/>
          <w:i/>
          <w:sz w:val="24"/>
          <w:szCs w:val="24"/>
        </w:rPr>
        <w:t>Are</w:t>
      </w:r>
      <w:r w:rsidRPr="004414F7">
        <w:rPr>
          <w:rFonts w:ascii="Arial" w:hAnsi="Arial" w:cs="Arial"/>
          <w:i/>
          <w:sz w:val="24"/>
          <w:szCs w:val="24"/>
        </w:rPr>
        <w:t>beb</w:t>
      </w:r>
      <w:r>
        <w:rPr>
          <w:rFonts w:ascii="Arial" w:hAnsi="Arial" w:cs="Arial"/>
          <w:sz w:val="24"/>
          <w:szCs w:val="24"/>
        </w:rPr>
        <w:t xml:space="preserve"> case and the approach of this court in the </w:t>
      </w:r>
      <w:r>
        <w:rPr>
          <w:rFonts w:ascii="Arial" w:hAnsi="Arial" w:cs="Arial"/>
          <w:i/>
          <w:sz w:val="24"/>
          <w:szCs w:val="24"/>
        </w:rPr>
        <w:t>Matine</w:t>
      </w:r>
      <w:r>
        <w:rPr>
          <w:rFonts w:ascii="Arial" w:hAnsi="Arial" w:cs="Arial"/>
          <w:sz w:val="24"/>
          <w:szCs w:val="24"/>
        </w:rPr>
        <w:t xml:space="preserve"> case. The fact that the review court felt that the sentence was ‘shockingly inadequate’ did not make it un</w:t>
      </w:r>
      <w:r w:rsidR="00FC09E8">
        <w:rPr>
          <w:rFonts w:ascii="Arial" w:hAnsi="Arial" w:cs="Arial"/>
          <w:sz w:val="24"/>
          <w:szCs w:val="24"/>
        </w:rPr>
        <w:t>lawful or incompetent as contend</w:t>
      </w:r>
      <w:r>
        <w:rPr>
          <w:rFonts w:ascii="Arial" w:hAnsi="Arial" w:cs="Arial"/>
          <w:sz w:val="24"/>
          <w:szCs w:val="24"/>
        </w:rPr>
        <w:t xml:space="preserve">ed by the reviewing judges. As the sentence fell within the discretion of the magistrate he acted well within his competency and the law when he passed the sentences. The fact that </w:t>
      </w:r>
      <w:r>
        <w:rPr>
          <w:rFonts w:ascii="Arial" w:hAnsi="Arial" w:cs="Arial"/>
          <w:sz w:val="24"/>
          <w:szCs w:val="24"/>
        </w:rPr>
        <w:lastRenderedPageBreak/>
        <w:t>the High Court did not agree with the sentence imposed by the magistrate did not make it either incompetent or unlawful.</w:t>
      </w:r>
    </w:p>
    <w:p w:rsidR="00261654" w:rsidRDefault="00261654" w:rsidP="00261654">
      <w:pPr>
        <w:pStyle w:val="NoSpacing"/>
        <w:spacing w:line="480" w:lineRule="auto"/>
        <w:jc w:val="both"/>
        <w:rPr>
          <w:rFonts w:ascii="Arial" w:hAnsi="Arial" w:cs="Arial"/>
          <w:sz w:val="24"/>
          <w:szCs w:val="24"/>
        </w:rPr>
      </w:pPr>
    </w:p>
    <w:p w:rsidR="00261654" w:rsidRPr="00261654" w:rsidRDefault="00261654" w:rsidP="00261654">
      <w:pPr>
        <w:spacing w:after="0" w:line="480" w:lineRule="auto"/>
        <w:rPr>
          <w:rFonts w:ascii="Arial" w:hAnsi="Arial" w:cs="Arial"/>
          <w:sz w:val="24"/>
          <w:szCs w:val="24"/>
          <w:u w:val="single"/>
        </w:rPr>
      </w:pPr>
      <w:r w:rsidRPr="00261654">
        <w:rPr>
          <w:rFonts w:ascii="Arial" w:hAnsi="Arial" w:cs="Arial"/>
          <w:sz w:val="24"/>
          <w:szCs w:val="24"/>
          <w:u w:val="single"/>
        </w:rPr>
        <w:t xml:space="preserve">Conclusion </w:t>
      </w:r>
    </w:p>
    <w:p w:rsidR="00032790" w:rsidRPr="00032790" w:rsidRDefault="00261654" w:rsidP="00032790">
      <w:pPr>
        <w:pStyle w:val="NoSpacing"/>
        <w:numPr>
          <w:ilvl w:val="0"/>
          <w:numId w:val="2"/>
        </w:numPr>
        <w:spacing w:line="480" w:lineRule="auto"/>
        <w:ind w:left="0" w:firstLine="0"/>
        <w:jc w:val="both"/>
        <w:rPr>
          <w:rFonts w:ascii="Arial" w:hAnsi="Arial" w:cs="Arial"/>
          <w:sz w:val="24"/>
          <w:szCs w:val="24"/>
        </w:rPr>
      </w:pPr>
      <w:r w:rsidRPr="00261654">
        <w:rPr>
          <w:rFonts w:ascii="Arial" w:hAnsi="Arial" w:cs="Arial"/>
          <w:szCs w:val="24"/>
        </w:rPr>
        <w:t xml:space="preserve">As pointed </w:t>
      </w:r>
      <w:r>
        <w:rPr>
          <w:rFonts w:ascii="Arial" w:hAnsi="Arial" w:cs="Arial"/>
          <w:sz w:val="24"/>
          <w:szCs w:val="24"/>
        </w:rPr>
        <w:t xml:space="preserve">out by this court in the </w:t>
      </w:r>
      <w:r>
        <w:rPr>
          <w:rFonts w:ascii="Arial" w:hAnsi="Arial" w:cs="Arial"/>
          <w:i/>
          <w:sz w:val="24"/>
          <w:szCs w:val="24"/>
        </w:rPr>
        <w:t>Matine</w:t>
      </w:r>
      <w:r>
        <w:rPr>
          <w:rFonts w:ascii="Arial" w:hAnsi="Arial" w:cs="Arial"/>
          <w:sz w:val="24"/>
          <w:szCs w:val="24"/>
        </w:rPr>
        <w:t xml:space="preserve"> case:</w:t>
      </w:r>
    </w:p>
    <w:p w:rsidR="00261654" w:rsidRPr="008036C3" w:rsidRDefault="00261654" w:rsidP="00032790">
      <w:pPr>
        <w:pStyle w:val="ListParagraph"/>
        <w:spacing w:after="0" w:line="360" w:lineRule="auto"/>
        <w:rPr>
          <w:rFonts w:ascii="Arial" w:hAnsi="Arial" w:cs="Arial"/>
        </w:rPr>
      </w:pPr>
    </w:p>
    <w:p w:rsidR="00261654" w:rsidRPr="004414F7" w:rsidRDefault="00261654" w:rsidP="00032790">
      <w:pPr>
        <w:pStyle w:val="NoSpacing"/>
        <w:spacing w:line="360" w:lineRule="auto"/>
        <w:ind w:left="720"/>
        <w:jc w:val="both"/>
        <w:rPr>
          <w:rFonts w:ascii="Arial" w:hAnsi="Arial" w:cs="Arial"/>
        </w:rPr>
      </w:pPr>
      <w:r>
        <w:rPr>
          <w:rFonts w:ascii="Arial" w:hAnsi="Arial" w:cs="Arial"/>
        </w:rPr>
        <w:t>‘. . . s 304(2)(</w:t>
      </w:r>
      <w:r w:rsidRPr="00AC2015">
        <w:rPr>
          <w:rFonts w:ascii="Arial" w:hAnsi="Arial" w:cs="Arial"/>
          <w:i/>
        </w:rPr>
        <w:t>c</w:t>
      </w:r>
      <w:r>
        <w:rPr>
          <w:rFonts w:ascii="Arial" w:hAnsi="Arial" w:cs="Arial"/>
        </w:rPr>
        <w:t>)(</w:t>
      </w:r>
      <w:r w:rsidRPr="00AC2015">
        <w:rPr>
          <w:rFonts w:ascii="Arial" w:hAnsi="Arial" w:cs="Arial"/>
          <w:i/>
        </w:rPr>
        <w:t>ii</w:t>
      </w:r>
      <w:r>
        <w:rPr>
          <w:rFonts w:ascii="Arial" w:hAnsi="Arial" w:cs="Arial"/>
        </w:rPr>
        <w:t>) of the CPA does not confer the power to impose (or to direct the magistrate to impose) a harsher sentence on an accused person when a matter is forwarded to the High Court for an automatic  review. The process of automatic review is to protect unrepresented accused persons who have no input in such reviews. The prosecution is protected by its ability to appeal where it is dissatisfied with a decision.’</w:t>
      </w:r>
      <w:r>
        <w:rPr>
          <w:rStyle w:val="FootnoteReference"/>
          <w:rFonts w:ascii="Arial" w:hAnsi="Arial" w:cs="Arial"/>
        </w:rPr>
        <w:footnoteReference w:id="7"/>
      </w:r>
    </w:p>
    <w:p w:rsidR="00261654" w:rsidRDefault="00261654" w:rsidP="00261654">
      <w:pPr>
        <w:pStyle w:val="ListParagraph"/>
        <w:spacing w:after="0" w:line="480" w:lineRule="auto"/>
        <w:rPr>
          <w:rFonts w:ascii="Arial" w:hAnsi="Arial" w:cs="Arial"/>
          <w:sz w:val="24"/>
          <w:szCs w:val="24"/>
        </w:rPr>
      </w:pPr>
    </w:p>
    <w:p w:rsidR="00261654" w:rsidRDefault="00261654" w:rsidP="00261654">
      <w:pPr>
        <w:pStyle w:val="NoSpacing"/>
        <w:numPr>
          <w:ilvl w:val="0"/>
          <w:numId w:val="2"/>
        </w:numPr>
        <w:spacing w:line="480" w:lineRule="auto"/>
        <w:ind w:left="0" w:firstLine="0"/>
        <w:jc w:val="both"/>
        <w:rPr>
          <w:rFonts w:ascii="Arial" w:hAnsi="Arial" w:cs="Arial"/>
          <w:sz w:val="24"/>
          <w:szCs w:val="24"/>
        </w:rPr>
      </w:pPr>
      <w:r>
        <w:rPr>
          <w:rFonts w:ascii="Arial" w:hAnsi="Arial" w:cs="Arial"/>
          <w:sz w:val="24"/>
          <w:szCs w:val="24"/>
        </w:rPr>
        <w:t xml:space="preserve">The only qualification to the above statement is where the sentence imposed by the court </w:t>
      </w:r>
      <w:r w:rsidRPr="004E600A">
        <w:rPr>
          <w:rFonts w:ascii="Arial" w:hAnsi="Arial" w:cs="Arial"/>
          <w:i/>
          <w:sz w:val="24"/>
          <w:szCs w:val="24"/>
        </w:rPr>
        <w:t xml:space="preserve">a </w:t>
      </w:r>
      <w:r w:rsidRPr="00E105DB">
        <w:rPr>
          <w:rFonts w:ascii="Arial" w:hAnsi="Arial" w:cs="Arial"/>
          <w:i/>
          <w:sz w:val="24"/>
          <w:szCs w:val="24"/>
        </w:rPr>
        <w:t>quo</w:t>
      </w:r>
      <w:r>
        <w:rPr>
          <w:rFonts w:ascii="Arial" w:hAnsi="Arial" w:cs="Arial"/>
          <w:sz w:val="24"/>
          <w:szCs w:val="24"/>
        </w:rPr>
        <w:t xml:space="preserve"> was incompetent or unlawful in the sense explained above in both </w:t>
      </w:r>
      <w:r w:rsidR="004E600A">
        <w:rPr>
          <w:rFonts w:ascii="Arial" w:hAnsi="Arial" w:cs="Arial"/>
          <w:i/>
          <w:sz w:val="24"/>
          <w:szCs w:val="24"/>
        </w:rPr>
        <w:t>Are</w:t>
      </w:r>
      <w:r w:rsidRPr="00E105DB">
        <w:rPr>
          <w:rFonts w:ascii="Arial" w:hAnsi="Arial" w:cs="Arial"/>
          <w:i/>
          <w:sz w:val="24"/>
          <w:szCs w:val="24"/>
        </w:rPr>
        <w:t>seb</w:t>
      </w:r>
      <w:r>
        <w:rPr>
          <w:rFonts w:ascii="Arial" w:hAnsi="Arial" w:cs="Arial"/>
          <w:sz w:val="24"/>
          <w:szCs w:val="24"/>
        </w:rPr>
        <w:t xml:space="preserve"> and </w:t>
      </w:r>
      <w:r w:rsidRPr="00E105DB">
        <w:rPr>
          <w:rFonts w:ascii="Arial" w:hAnsi="Arial" w:cs="Arial"/>
          <w:i/>
          <w:sz w:val="24"/>
          <w:szCs w:val="24"/>
        </w:rPr>
        <w:t>Nteleki</w:t>
      </w:r>
      <w:r>
        <w:rPr>
          <w:rFonts w:ascii="Arial" w:hAnsi="Arial" w:cs="Arial"/>
          <w:sz w:val="24"/>
          <w:szCs w:val="24"/>
        </w:rPr>
        <w:t xml:space="preserve"> cases. In such cases sentences</w:t>
      </w:r>
      <w:r w:rsidR="00490F58">
        <w:rPr>
          <w:rFonts w:ascii="Arial" w:hAnsi="Arial" w:cs="Arial"/>
          <w:sz w:val="24"/>
          <w:szCs w:val="24"/>
        </w:rPr>
        <w:t>,</w:t>
      </w:r>
      <w:r>
        <w:rPr>
          <w:rFonts w:ascii="Arial" w:hAnsi="Arial" w:cs="Arial"/>
          <w:sz w:val="24"/>
          <w:szCs w:val="24"/>
        </w:rPr>
        <w:t xml:space="preserve"> must be imposed afresh so as to bring them in line with the relevant legislation or the law.</w:t>
      </w:r>
    </w:p>
    <w:p w:rsidR="00261654" w:rsidRDefault="00261654" w:rsidP="00261654">
      <w:pPr>
        <w:pStyle w:val="ListParagraph"/>
        <w:spacing w:after="0" w:line="480" w:lineRule="auto"/>
        <w:rPr>
          <w:rFonts w:ascii="Arial" w:hAnsi="Arial" w:cs="Arial"/>
          <w:sz w:val="24"/>
          <w:szCs w:val="24"/>
        </w:rPr>
      </w:pPr>
    </w:p>
    <w:p w:rsidR="00261654" w:rsidRDefault="00261654" w:rsidP="00261654">
      <w:pPr>
        <w:pStyle w:val="NoSpacing"/>
        <w:numPr>
          <w:ilvl w:val="0"/>
          <w:numId w:val="2"/>
        </w:numPr>
        <w:spacing w:line="480" w:lineRule="auto"/>
        <w:ind w:left="0" w:firstLine="0"/>
        <w:jc w:val="both"/>
        <w:rPr>
          <w:rFonts w:ascii="Arial" w:hAnsi="Arial" w:cs="Arial"/>
          <w:sz w:val="24"/>
          <w:szCs w:val="24"/>
        </w:rPr>
      </w:pPr>
      <w:r>
        <w:rPr>
          <w:rFonts w:ascii="Arial" w:hAnsi="Arial" w:cs="Arial"/>
          <w:sz w:val="24"/>
          <w:szCs w:val="24"/>
        </w:rPr>
        <w:t>It follows that the magistrate is correct that the High Court could not order him pursuant to a review in terms of s 304 of the CPA to increase the sentences. It thus further follows that the order of the High Court setting aside the sentences cannot stand.</w:t>
      </w:r>
    </w:p>
    <w:p w:rsidR="00FC09E8" w:rsidRDefault="00FC09E8">
      <w:pPr>
        <w:rPr>
          <w:rFonts w:ascii="Arial" w:hAnsi="Arial" w:cs="Arial"/>
          <w:sz w:val="24"/>
          <w:szCs w:val="24"/>
        </w:rPr>
      </w:pPr>
      <w:r>
        <w:rPr>
          <w:rFonts w:ascii="Arial" w:hAnsi="Arial" w:cs="Arial"/>
          <w:sz w:val="24"/>
          <w:szCs w:val="24"/>
        </w:rPr>
        <w:br w:type="page"/>
      </w:r>
    </w:p>
    <w:p w:rsidR="00261654" w:rsidRDefault="00261654" w:rsidP="00261654">
      <w:pPr>
        <w:pStyle w:val="NoSpacing"/>
        <w:numPr>
          <w:ilvl w:val="0"/>
          <w:numId w:val="2"/>
        </w:numPr>
        <w:spacing w:line="480" w:lineRule="auto"/>
        <w:ind w:left="0" w:firstLine="0"/>
        <w:jc w:val="both"/>
        <w:rPr>
          <w:rFonts w:ascii="Arial" w:hAnsi="Arial" w:cs="Arial"/>
          <w:sz w:val="24"/>
          <w:szCs w:val="24"/>
        </w:rPr>
      </w:pPr>
      <w:r>
        <w:rPr>
          <w:rFonts w:ascii="Arial" w:hAnsi="Arial" w:cs="Arial"/>
          <w:sz w:val="24"/>
          <w:szCs w:val="24"/>
        </w:rPr>
        <w:lastRenderedPageBreak/>
        <w:t>In the result, the following order is made:</w:t>
      </w:r>
    </w:p>
    <w:p w:rsidR="00261654" w:rsidRDefault="00261654" w:rsidP="00261654">
      <w:pPr>
        <w:pStyle w:val="ListParagraph"/>
        <w:spacing w:after="0" w:line="480" w:lineRule="auto"/>
        <w:rPr>
          <w:rFonts w:ascii="Arial" w:hAnsi="Arial" w:cs="Arial"/>
          <w:sz w:val="24"/>
          <w:szCs w:val="24"/>
        </w:rPr>
      </w:pPr>
    </w:p>
    <w:p w:rsidR="00261654" w:rsidRDefault="00261654" w:rsidP="00261654">
      <w:pPr>
        <w:pStyle w:val="NoSpacing"/>
        <w:numPr>
          <w:ilvl w:val="0"/>
          <w:numId w:val="3"/>
        </w:numPr>
        <w:spacing w:line="480" w:lineRule="auto"/>
        <w:ind w:left="1134" w:hanging="414"/>
        <w:jc w:val="both"/>
        <w:rPr>
          <w:rFonts w:ascii="Arial" w:hAnsi="Arial" w:cs="Arial"/>
          <w:sz w:val="24"/>
          <w:szCs w:val="24"/>
        </w:rPr>
      </w:pPr>
      <w:r>
        <w:rPr>
          <w:rFonts w:ascii="Arial" w:hAnsi="Arial" w:cs="Arial"/>
          <w:sz w:val="24"/>
          <w:szCs w:val="24"/>
        </w:rPr>
        <w:t xml:space="preserve">The order of the High Court of 2 August 2019 setting aside the sentences and referring the matter back to the magistrate with </w:t>
      </w:r>
      <w:r w:rsidR="00490F58">
        <w:rPr>
          <w:rFonts w:ascii="Arial" w:hAnsi="Arial" w:cs="Arial"/>
          <w:sz w:val="24"/>
          <w:szCs w:val="24"/>
        </w:rPr>
        <w:t>a directive to increase both</w:t>
      </w:r>
      <w:r>
        <w:rPr>
          <w:rFonts w:ascii="Arial" w:hAnsi="Arial" w:cs="Arial"/>
          <w:sz w:val="24"/>
          <w:szCs w:val="24"/>
        </w:rPr>
        <w:t xml:space="preserve"> sentences is herewith set aside.</w:t>
      </w:r>
    </w:p>
    <w:p w:rsidR="00261654" w:rsidRDefault="00261654" w:rsidP="00261654">
      <w:pPr>
        <w:pStyle w:val="NoSpacing"/>
        <w:spacing w:line="480" w:lineRule="auto"/>
        <w:ind w:left="1134"/>
        <w:jc w:val="both"/>
        <w:rPr>
          <w:rFonts w:ascii="Arial" w:hAnsi="Arial" w:cs="Arial"/>
          <w:sz w:val="24"/>
          <w:szCs w:val="24"/>
        </w:rPr>
      </w:pPr>
    </w:p>
    <w:p w:rsidR="00261654" w:rsidRDefault="00261654" w:rsidP="00261654">
      <w:pPr>
        <w:pStyle w:val="NoSpacing"/>
        <w:numPr>
          <w:ilvl w:val="0"/>
          <w:numId w:val="3"/>
        </w:numPr>
        <w:spacing w:line="480" w:lineRule="auto"/>
        <w:ind w:left="1134" w:hanging="414"/>
        <w:jc w:val="both"/>
        <w:rPr>
          <w:rFonts w:ascii="Arial" w:hAnsi="Arial" w:cs="Arial"/>
          <w:sz w:val="24"/>
          <w:szCs w:val="24"/>
        </w:rPr>
      </w:pPr>
      <w:r>
        <w:rPr>
          <w:rFonts w:ascii="Arial" w:hAnsi="Arial" w:cs="Arial"/>
          <w:sz w:val="24"/>
          <w:szCs w:val="24"/>
        </w:rPr>
        <w:t xml:space="preserve">The original sentence of N$1000 or 30 days imprisonment imposed on </w:t>
      </w:r>
      <w:r w:rsidR="00490F58">
        <w:rPr>
          <w:rFonts w:ascii="Arial" w:hAnsi="Arial" w:cs="Arial"/>
          <w:sz w:val="24"/>
          <w:szCs w:val="24"/>
        </w:rPr>
        <w:t xml:space="preserve">each </w:t>
      </w:r>
      <w:r>
        <w:rPr>
          <w:rFonts w:ascii="Arial" w:hAnsi="Arial" w:cs="Arial"/>
          <w:sz w:val="24"/>
          <w:szCs w:val="24"/>
        </w:rPr>
        <w:t>accused on 2 April 2019 is reinstated.</w:t>
      </w:r>
    </w:p>
    <w:p w:rsidR="00261654" w:rsidRDefault="00261654" w:rsidP="00261654">
      <w:pPr>
        <w:pStyle w:val="NoSpacing"/>
        <w:rPr>
          <w:rFonts w:ascii="Arial" w:hAnsi="Arial" w:cs="Arial"/>
          <w:b/>
          <w:sz w:val="24"/>
          <w:szCs w:val="24"/>
        </w:rPr>
      </w:pPr>
    </w:p>
    <w:p w:rsidR="00261654" w:rsidRDefault="00261654" w:rsidP="00261654">
      <w:pPr>
        <w:pStyle w:val="NoSpacing"/>
        <w:rPr>
          <w:rFonts w:ascii="Arial" w:hAnsi="Arial" w:cs="Arial"/>
          <w:b/>
          <w:sz w:val="24"/>
          <w:szCs w:val="24"/>
        </w:rPr>
      </w:pPr>
    </w:p>
    <w:p w:rsidR="00261654" w:rsidRDefault="00261654" w:rsidP="00261654">
      <w:pPr>
        <w:pStyle w:val="NoSpacing"/>
        <w:rPr>
          <w:rFonts w:ascii="Arial" w:hAnsi="Arial" w:cs="Arial"/>
          <w:b/>
          <w:sz w:val="24"/>
          <w:szCs w:val="24"/>
        </w:rPr>
      </w:pPr>
    </w:p>
    <w:p w:rsidR="00261654" w:rsidRDefault="00261654" w:rsidP="00261654">
      <w:pPr>
        <w:pStyle w:val="NoSpacing"/>
        <w:rPr>
          <w:rFonts w:ascii="Arial" w:hAnsi="Arial" w:cs="Arial"/>
          <w:b/>
          <w:sz w:val="24"/>
          <w:szCs w:val="24"/>
        </w:rPr>
      </w:pPr>
    </w:p>
    <w:p w:rsidR="00261654" w:rsidRDefault="00261654" w:rsidP="00261654">
      <w:pPr>
        <w:pStyle w:val="NoSpacing"/>
        <w:rPr>
          <w:rFonts w:ascii="Arial" w:hAnsi="Arial" w:cs="Arial"/>
          <w:b/>
          <w:sz w:val="24"/>
          <w:szCs w:val="24"/>
        </w:rPr>
      </w:pPr>
    </w:p>
    <w:p w:rsidR="00490F58" w:rsidRDefault="00490F58" w:rsidP="00261654">
      <w:pPr>
        <w:pStyle w:val="NoSpacing"/>
        <w:rPr>
          <w:rFonts w:ascii="Arial" w:hAnsi="Arial" w:cs="Arial"/>
          <w:b/>
          <w:sz w:val="24"/>
          <w:szCs w:val="24"/>
        </w:rPr>
      </w:pPr>
    </w:p>
    <w:p w:rsidR="00261654" w:rsidRDefault="00261654" w:rsidP="00261654">
      <w:pPr>
        <w:pStyle w:val="NoSpacing"/>
        <w:rPr>
          <w:rFonts w:ascii="Arial" w:hAnsi="Arial" w:cs="Arial"/>
          <w:b/>
          <w:sz w:val="24"/>
          <w:szCs w:val="24"/>
        </w:rPr>
      </w:pPr>
    </w:p>
    <w:p w:rsidR="00261654" w:rsidRPr="0044790E" w:rsidRDefault="00261654" w:rsidP="00261654">
      <w:pPr>
        <w:pStyle w:val="NoSpacing"/>
        <w:rPr>
          <w:rFonts w:ascii="Arial" w:hAnsi="Arial" w:cs="Arial"/>
          <w:b/>
          <w:sz w:val="24"/>
          <w:szCs w:val="24"/>
        </w:rPr>
      </w:pPr>
      <w:r w:rsidRPr="0044790E">
        <w:rPr>
          <w:rFonts w:ascii="Arial" w:hAnsi="Arial" w:cs="Arial"/>
          <w:b/>
          <w:sz w:val="24"/>
          <w:szCs w:val="24"/>
        </w:rPr>
        <w:t>___________________</w:t>
      </w:r>
    </w:p>
    <w:p w:rsidR="00261654" w:rsidRPr="0044790E" w:rsidRDefault="00261654" w:rsidP="00261654">
      <w:pPr>
        <w:pStyle w:val="NoSpacing"/>
        <w:rPr>
          <w:rFonts w:ascii="Arial" w:hAnsi="Arial" w:cs="Arial"/>
          <w:b/>
          <w:sz w:val="24"/>
          <w:szCs w:val="24"/>
        </w:rPr>
      </w:pPr>
      <w:r>
        <w:rPr>
          <w:rFonts w:ascii="Arial" w:hAnsi="Arial" w:cs="Arial"/>
          <w:b/>
          <w:sz w:val="24"/>
          <w:szCs w:val="24"/>
        </w:rPr>
        <w:t>FRANK</w:t>
      </w:r>
      <w:r w:rsidRPr="0044790E">
        <w:rPr>
          <w:rFonts w:ascii="Arial" w:hAnsi="Arial" w:cs="Arial"/>
          <w:b/>
          <w:sz w:val="24"/>
          <w:szCs w:val="24"/>
        </w:rPr>
        <w:t xml:space="preserve"> </w:t>
      </w:r>
      <w:r>
        <w:rPr>
          <w:rFonts w:ascii="Arial" w:hAnsi="Arial" w:cs="Arial"/>
          <w:b/>
          <w:sz w:val="24"/>
          <w:szCs w:val="24"/>
        </w:rPr>
        <w:t>A</w:t>
      </w:r>
      <w:r w:rsidRPr="0044790E">
        <w:rPr>
          <w:rFonts w:ascii="Arial" w:hAnsi="Arial" w:cs="Arial"/>
          <w:b/>
          <w:sz w:val="24"/>
          <w:szCs w:val="24"/>
        </w:rPr>
        <w:t>JA</w:t>
      </w:r>
    </w:p>
    <w:p w:rsidR="00261654" w:rsidRDefault="00261654" w:rsidP="00261654">
      <w:pPr>
        <w:pStyle w:val="NoSpacing"/>
        <w:jc w:val="both"/>
        <w:rPr>
          <w:rFonts w:ascii="Arial" w:hAnsi="Arial" w:cs="Arial"/>
          <w:b/>
          <w:sz w:val="24"/>
          <w:szCs w:val="24"/>
        </w:rPr>
      </w:pPr>
    </w:p>
    <w:p w:rsidR="00261654" w:rsidRDefault="00261654" w:rsidP="00261654">
      <w:pPr>
        <w:pStyle w:val="NoSpacing"/>
        <w:jc w:val="both"/>
        <w:rPr>
          <w:rFonts w:ascii="Arial" w:hAnsi="Arial" w:cs="Arial"/>
          <w:b/>
          <w:sz w:val="24"/>
          <w:szCs w:val="24"/>
        </w:rPr>
      </w:pPr>
    </w:p>
    <w:p w:rsidR="00261654" w:rsidRDefault="00261654" w:rsidP="00261654">
      <w:pPr>
        <w:pStyle w:val="NoSpacing"/>
        <w:jc w:val="both"/>
        <w:rPr>
          <w:rFonts w:ascii="Arial" w:hAnsi="Arial" w:cs="Arial"/>
          <w:b/>
          <w:sz w:val="24"/>
          <w:szCs w:val="24"/>
        </w:rPr>
      </w:pPr>
    </w:p>
    <w:p w:rsidR="00490F58" w:rsidRDefault="00490F58" w:rsidP="00261654">
      <w:pPr>
        <w:pStyle w:val="NoSpacing"/>
        <w:jc w:val="both"/>
        <w:rPr>
          <w:rFonts w:ascii="Arial" w:hAnsi="Arial" w:cs="Arial"/>
          <w:b/>
          <w:sz w:val="24"/>
          <w:szCs w:val="24"/>
        </w:rPr>
      </w:pPr>
    </w:p>
    <w:p w:rsidR="00261654" w:rsidRDefault="00261654" w:rsidP="00261654">
      <w:pPr>
        <w:pStyle w:val="NoSpacing"/>
        <w:jc w:val="both"/>
        <w:rPr>
          <w:rFonts w:ascii="Arial" w:hAnsi="Arial" w:cs="Arial"/>
          <w:b/>
          <w:sz w:val="24"/>
          <w:szCs w:val="24"/>
        </w:rPr>
      </w:pPr>
    </w:p>
    <w:p w:rsidR="00261654" w:rsidRDefault="00261654" w:rsidP="00261654">
      <w:pPr>
        <w:pStyle w:val="NoSpacing"/>
        <w:jc w:val="both"/>
        <w:rPr>
          <w:rFonts w:ascii="Arial" w:hAnsi="Arial" w:cs="Arial"/>
          <w:b/>
          <w:sz w:val="24"/>
          <w:szCs w:val="24"/>
        </w:rPr>
      </w:pPr>
    </w:p>
    <w:p w:rsidR="00261654" w:rsidRPr="0044790E" w:rsidRDefault="00261654" w:rsidP="00261654">
      <w:pPr>
        <w:pStyle w:val="NoSpacing"/>
        <w:rPr>
          <w:rFonts w:ascii="Arial" w:hAnsi="Arial" w:cs="Arial"/>
          <w:b/>
          <w:sz w:val="24"/>
          <w:szCs w:val="24"/>
        </w:rPr>
      </w:pPr>
      <w:r w:rsidRPr="0044790E">
        <w:rPr>
          <w:rFonts w:ascii="Arial" w:hAnsi="Arial" w:cs="Arial"/>
          <w:b/>
          <w:sz w:val="24"/>
          <w:szCs w:val="24"/>
        </w:rPr>
        <w:t>___________________</w:t>
      </w:r>
    </w:p>
    <w:p w:rsidR="00261654" w:rsidRDefault="00261654" w:rsidP="00261654">
      <w:pPr>
        <w:pStyle w:val="NoSpacing"/>
        <w:rPr>
          <w:rFonts w:ascii="Arial" w:hAnsi="Arial" w:cs="Arial"/>
          <w:b/>
          <w:sz w:val="24"/>
          <w:szCs w:val="24"/>
        </w:rPr>
      </w:pPr>
      <w:r>
        <w:rPr>
          <w:rFonts w:ascii="Arial" w:hAnsi="Arial" w:cs="Arial"/>
          <w:b/>
          <w:sz w:val="24"/>
          <w:szCs w:val="24"/>
        </w:rPr>
        <w:t>SHIVUTE CJ</w:t>
      </w:r>
    </w:p>
    <w:p w:rsidR="00261654" w:rsidRDefault="00261654" w:rsidP="00261654">
      <w:pPr>
        <w:pStyle w:val="NoSpacing"/>
        <w:rPr>
          <w:rFonts w:ascii="Arial" w:hAnsi="Arial" w:cs="Arial"/>
          <w:b/>
          <w:sz w:val="24"/>
          <w:szCs w:val="24"/>
        </w:rPr>
      </w:pPr>
    </w:p>
    <w:p w:rsidR="00261654" w:rsidRDefault="00261654" w:rsidP="00261654">
      <w:pPr>
        <w:pStyle w:val="NoSpacing"/>
        <w:rPr>
          <w:rFonts w:ascii="Arial" w:hAnsi="Arial" w:cs="Arial"/>
          <w:b/>
          <w:sz w:val="24"/>
          <w:szCs w:val="24"/>
        </w:rPr>
      </w:pPr>
    </w:p>
    <w:p w:rsidR="00261654" w:rsidRDefault="00261654" w:rsidP="00261654">
      <w:pPr>
        <w:pStyle w:val="NoSpacing"/>
        <w:rPr>
          <w:rFonts w:ascii="Arial" w:hAnsi="Arial" w:cs="Arial"/>
          <w:b/>
          <w:sz w:val="24"/>
          <w:szCs w:val="24"/>
        </w:rPr>
      </w:pPr>
    </w:p>
    <w:p w:rsidR="00490F58" w:rsidRDefault="00490F58" w:rsidP="00261654">
      <w:pPr>
        <w:pStyle w:val="NoSpacing"/>
        <w:rPr>
          <w:rFonts w:ascii="Arial" w:hAnsi="Arial" w:cs="Arial"/>
          <w:b/>
          <w:sz w:val="24"/>
          <w:szCs w:val="24"/>
        </w:rPr>
      </w:pPr>
    </w:p>
    <w:p w:rsidR="00261654" w:rsidRDefault="00261654" w:rsidP="00261654">
      <w:pPr>
        <w:pStyle w:val="NoSpacing"/>
        <w:rPr>
          <w:rFonts w:ascii="Arial" w:hAnsi="Arial" w:cs="Arial"/>
          <w:b/>
          <w:sz w:val="24"/>
          <w:szCs w:val="24"/>
        </w:rPr>
      </w:pPr>
    </w:p>
    <w:p w:rsidR="00261654" w:rsidRPr="0044790E" w:rsidRDefault="00261654" w:rsidP="00261654">
      <w:pPr>
        <w:pStyle w:val="NoSpacing"/>
        <w:rPr>
          <w:rFonts w:ascii="Arial" w:hAnsi="Arial" w:cs="Arial"/>
          <w:b/>
          <w:sz w:val="24"/>
          <w:szCs w:val="24"/>
        </w:rPr>
      </w:pPr>
    </w:p>
    <w:p w:rsidR="00261654" w:rsidRDefault="00261654" w:rsidP="00261654">
      <w:pPr>
        <w:pStyle w:val="NoSpacing"/>
        <w:jc w:val="both"/>
        <w:rPr>
          <w:rFonts w:ascii="Arial" w:hAnsi="Arial" w:cs="Arial"/>
          <w:b/>
          <w:sz w:val="24"/>
          <w:szCs w:val="24"/>
        </w:rPr>
      </w:pPr>
      <w:r w:rsidRPr="0044790E">
        <w:rPr>
          <w:rFonts w:ascii="Arial" w:hAnsi="Arial" w:cs="Arial"/>
          <w:b/>
          <w:sz w:val="24"/>
          <w:szCs w:val="24"/>
        </w:rPr>
        <w:t>___________________</w:t>
      </w:r>
    </w:p>
    <w:p w:rsidR="00261654" w:rsidRPr="0044790E" w:rsidRDefault="00261654" w:rsidP="00261654">
      <w:pPr>
        <w:pStyle w:val="NoSpacing"/>
        <w:jc w:val="both"/>
        <w:rPr>
          <w:rFonts w:ascii="Arial" w:hAnsi="Arial" w:cs="Arial"/>
          <w:b/>
          <w:sz w:val="24"/>
          <w:szCs w:val="24"/>
        </w:rPr>
      </w:pPr>
      <w:r>
        <w:rPr>
          <w:rFonts w:ascii="Arial" w:hAnsi="Arial" w:cs="Arial"/>
          <w:b/>
          <w:sz w:val="24"/>
          <w:szCs w:val="24"/>
        </w:rPr>
        <w:t>MAINGA JA</w:t>
      </w:r>
    </w:p>
    <w:p w:rsidR="00261654" w:rsidRPr="008E0580" w:rsidRDefault="00261654" w:rsidP="00261654">
      <w:pPr>
        <w:pStyle w:val="NoSpacing"/>
        <w:rPr>
          <w:rFonts w:ascii="Arial" w:hAnsi="Arial" w:cs="Arial"/>
          <w:sz w:val="24"/>
          <w:szCs w:val="24"/>
        </w:rPr>
      </w:pPr>
    </w:p>
    <w:p w:rsidR="00261654" w:rsidRPr="008E0580" w:rsidRDefault="00261654" w:rsidP="00261654">
      <w:pPr>
        <w:pStyle w:val="NoSpacing"/>
        <w:rPr>
          <w:rFonts w:ascii="Arial" w:hAnsi="Arial" w:cs="Arial"/>
          <w:sz w:val="24"/>
          <w:szCs w:val="24"/>
        </w:rPr>
      </w:pPr>
    </w:p>
    <w:p w:rsidR="00261654" w:rsidRDefault="00261654" w:rsidP="00261654">
      <w:pPr>
        <w:pStyle w:val="NoSpacing"/>
        <w:rPr>
          <w:rFonts w:ascii="Arial" w:hAnsi="Arial" w:cs="Arial"/>
          <w:sz w:val="24"/>
          <w:szCs w:val="24"/>
        </w:rPr>
      </w:pPr>
    </w:p>
    <w:sectPr w:rsidR="00261654" w:rsidSect="00261654">
      <w:headerReference w:type="even" r:id="rId11"/>
      <w:headerReference w:type="default" r:id="rId12"/>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FD9" w:rsidRDefault="00CF3FD9" w:rsidP="00261654">
      <w:pPr>
        <w:spacing w:after="0" w:line="240" w:lineRule="auto"/>
      </w:pPr>
      <w:r>
        <w:separator/>
      </w:r>
    </w:p>
  </w:endnote>
  <w:endnote w:type="continuationSeparator" w:id="0">
    <w:p w:rsidR="00CF3FD9" w:rsidRDefault="00CF3FD9" w:rsidP="00261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FD9" w:rsidRDefault="00CF3FD9" w:rsidP="00261654">
      <w:pPr>
        <w:spacing w:after="0" w:line="240" w:lineRule="auto"/>
      </w:pPr>
      <w:r>
        <w:separator/>
      </w:r>
    </w:p>
  </w:footnote>
  <w:footnote w:type="continuationSeparator" w:id="0">
    <w:p w:rsidR="00CF3FD9" w:rsidRDefault="00CF3FD9" w:rsidP="00261654">
      <w:pPr>
        <w:spacing w:after="0" w:line="240" w:lineRule="auto"/>
      </w:pPr>
      <w:r>
        <w:continuationSeparator/>
      </w:r>
    </w:p>
  </w:footnote>
  <w:footnote w:id="1">
    <w:p w:rsidR="00261654" w:rsidRPr="005C0635" w:rsidRDefault="00261654" w:rsidP="00261654">
      <w:pPr>
        <w:pStyle w:val="FootnoteText"/>
        <w:jc w:val="both"/>
        <w:rPr>
          <w:rFonts w:ascii="Arial" w:hAnsi="Arial" w:cs="Arial"/>
        </w:rPr>
      </w:pPr>
      <w:r w:rsidRPr="005C0635">
        <w:rPr>
          <w:rStyle w:val="FootnoteReference"/>
          <w:rFonts w:ascii="Arial" w:hAnsi="Arial" w:cs="Arial"/>
        </w:rPr>
        <w:footnoteRef/>
      </w:r>
      <w:r w:rsidRPr="005C0635">
        <w:rPr>
          <w:rFonts w:ascii="Arial" w:hAnsi="Arial" w:cs="Arial"/>
        </w:rPr>
        <w:t xml:space="preserve"> </w:t>
      </w:r>
      <w:r w:rsidRPr="005C0635">
        <w:rPr>
          <w:rFonts w:ascii="Arial" w:hAnsi="Arial" w:cs="Arial"/>
          <w:i/>
        </w:rPr>
        <w:t>State v Matine</w:t>
      </w:r>
      <w:r w:rsidRPr="005C0635">
        <w:rPr>
          <w:rFonts w:ascii="Arial" w:hAnsi="Arial" w:cs="Arial"/>
        </w:rPr>
        <w:t xml:space="preserve"> </w:t>
      </w:r>
      <w:r>
        <w:rPr>
          <w:rFonts w:ascii="Arial" w:hAnsi="Arial" w:cs="Arial"/>
        </w:rPr>
        <w:t>(</w:t>
      </w:r>
      <w:r w:rsidRPr="005C0635">
        <w:rPr>
          <w:rFonts w:ascii="Arial" w:hAnsi="Arial" w:cs="Arial"/>
        </w:rPr>
        <w:t>SCR 2</w:t>
      </w:r>
      <w:r>
        <w:rPr>
          <w:rFonts w:ascii="Arial" w:hAnsi="Arial" w:cs="Arial"/>
        </w:rPr>
        <w:t>/</w:t>
      </w:r>
      <w:r w:rsidR="004E600A">
        <w:rPr>
          <w:rFonts w:ascii="Arial" w:hAnsi="Arial" w:cs="Arial"/>
        </w:rPr>
        <w:t>2020</w:t>
      </w:r>
      <w:r>
        <w:rPr>
          <w:rFonts w:ascii="Arial" w:hAnsi="Arial" w:cs="Arial"/>
        </w:rPr>
        <w:t>) [2020] NASC (28 July 2020).</w:t>
      </w:r>
    </w:p>
  </w:footnote>
  <w:footnote w:id="2">
    <w:p w:rsidR="00261654" w:rsidRPr="005C0635" w:rsidRDefault="00261654" w:rsidP="00261654">
      <w:pPr>
        <w:pStyle w:val="FootnoteText"/>
        <w:jc w:val="both"/>
        <w:rPr>
          <w:rFonts w:ascii="Arial" w:hAnsi="Arial" w:cs="Arial"/>
        </w:rPr>
      </w:pPr>
      <w:r w:rsidRPr="005C0635">
        <w:rPr>
          <w:rStyle w:val="FootnoteReference"/>
          <w:rFonts w:ascii="Arial" w:hAnsi="Arial" w:cs="Arial"/>
        </w:rPr>
        <w:footnoteRef/>
      </w:r>
      <w:r w:rsidRPr="005C0635">
        <w:rPr>
          <w:rFonts w:ascii="Arial" w:hAnsi="Arial" w:cs="Arial"/>
        </w:rPr>
        <w:t xml:space="preserve"> Act 15 of 1990.</w:t>
      </w:r>
    </w:p>
  </w:footnote>
  <w:footnote w:id="3">
    <w:p w:rsidR="00261654" w:rsidRPr="005C0635" w:rsidRDefault="00261654" w:rsidP="00261654">
      <w:pPr>
        <w:pStyle w:val="FootnoteText"/>
        <w:jc w:val="both"/>
        <w:rPr>
          <w:rFonts w:ascii="Arial" w:hAnsi="Arial" w:cs="Arial"/>
        </w:rPr>
      </w:pPr>
      <w:r w:rsidRPr="005C0635">
        <w:rPr>
          <w:rStyle w:val="FootnoteReference"/>
          <w:rFonts w:ascii="Arial" w:hAnsi="Arial" w:cs="Arial"/>
        </w:rPr>
        <w:footnoteRef/>
      </w:r>
      <w:r w:rsidRPr="005C0635">
        <w:rPr>
          <w:rFonts w:ascii="Arial" w:hAnsi="Arial" w:cs="Arial"/>
        </w:rPr>
        <w:t xml:space="preserve"> 1997 NR</w:t>
      </w:r>
      <w:r>
        <w:rPr>
          <w:rFonts w:ascii="Arial" w:hAnsi="Arial" w:cs="Arial"/>
        </w:rPr>
        <w:t xml:space="preserve"> </w:t>
      </w:r>
      <w:r w:rsidR="004E600A">
        <w:rPr>
          <w:rFonts w:ascii="Arial" w:hAnsi="Arial" w:cs="Arial"/>
        </w:rPr>
        <w:t>1 (HC).</w:t>
      </w:r>
    </w:p>
  </w:footnote>
  <w:footnote w:id="4">
    <w:p w:rsidR="00261654" w:rsidRPr="005C0635" w:rsidRDefault="00261654" w:rsidP="00261654">
      <w:pPr>
        <w:pStyle w:val="FootnoteText"/>
        <w:jc w:val="both"/>
        <w:rPr>
          <w:rFonts w:ascii="Arial" w:hAnsi="Arial" w:cs="Arial"/>
        </w:rPr>
      </w:pPr>
      <w:r w:rsidRPr="005C0635">
        <w:rPr>
          <w:rStyle w:val="FootnoteReference"/>
          <w:rFonts w:ascii="Arial" w:hAnsi="Arial" w:cs="Arial"/>
        </w:rPr>
        <w:footnoteRef/>
      </w:r>
      <w:r w:rsidRPr="005C0635">
        <w:rPr>
          <w:rFonts w:ascii="Arial" w:hAnsi="Arial" w:cs="Arial"/>
        </w:rPr>
        <w:t xml:space="preserve"> </w:t>
      </w:r>
      <w:r w:rsidR="004E600A">
        <w:rPr>
          <w:rFonts w:ascii="Arial" w:hAnsi="Arial" w:cs="Arial"/>
          <w:i/>
        </w:rPr>
        <w:t>Are</w:t>
      </w:r>
      <w:r w:rsidRPr="005C0635">
        <w:rPr>
          <w:rFonts w:ascii="Arial" w:hAnsi="Arial" w:cs="Arial"/>
          <w:i/>
        </w:rPr>
        <w:t xml:space="preserve">beb </w:t>
      </w:r>
      <w:r w:rsidRPr="005C0635">
        <w:rPr>
          <w:rFonts w:ascii="Arial" w:hAnsi="Arial" w:cs="Arial"/>
        </w:rPr>
        <w:t>case a</w:t>
      </w:r>
      <w:r>
        <w:rPr>
          <w:rFonts w:ascii="Arial" w:hAnsi="Arial" w:cs="Arial"/>
        </w:rPr>
        <w:t>t</w:t>
      </w:r>
      <w:r w:rsidRPr="005C0635">
        <w:rPr>
          <w:rFonts w:ascii="Arial" w:hAnsi="Arial" w:cs="Arial"/>
        </w:rPr>
        <w:t xml:space="preserve"> 7G.</w:t>
      </w:r>
    </w:p>
  </w:footnote>
  <w:footnote w:id="5">
    <w:p w:rsidR="00261654" w:rsidRPr="005C0635" w:rsidRDefault="00261654" w:rsidP="00261654">
      <w:pPr>
        <w:pStyle w:val="FootnoteText"/>
        <w:jc w:val="both"/>
        <w:rPr>
          <w:rFonts w:ascii="Arial" w:hAnsi="Arial" w:cs="Arial"/>
        </w:rPr>
      </w:pPr>
      <w:r w:rsidRPr="005C0635">
        <w:rPr>
          <w:rStyle w:val="FootnoteReference"/>
          <w:rFonts w:ascii="Arial" w:hAnsi="Arial" w:cs="Arial"/>
        </w:rPr>
        <w:footnoteRef/>
      </w:r>
      <w:r w:rsidRPr="005C0635">
        <w:rPr>
          <w:rFonts w:ascii="Arial" w:hAnsi="Arial" w:cs="Arial"/>
        </w:rPr>
        <w:t xml:space="preserve"> </w:t>
      </w:r>
      <w:r w:rsidR="00490F58">
        <w:rPr>
          <w:rFonts w:ascii="Arial" w:hAnsi="Arial" w:cs="Arial"/>
          <w:i/>
        </w:rPr>
        <w:t>Are</w:t>
      </w:r>
      <w:r w:rsidRPr="00AC2015">
        <w:rPr>
          <w:rFonts w:ascii="Arial" w:hAnsi="Arial" w:cs="Arial"/>
          <w:i/>
        </w:rPr>
        <w:t>beb</w:t>
      </w:r>
      <w:r w:rsidRPr="005C0635">
        <w:rPr>
          <w:rFonts w:ascii="Arial" w:hAnsi="Arial" w:cs="Arial"/>
        </w:rPr>
        <w:t xml:space="preserve"> case at 8B.</w:t>
      </w:r>
    </w:p>
  </w:footnote>
  <w:footnote w:id="6">
    <w:p w:rsidR="00261654" w:rsidRPr="005C0635" w:rsidRDefault="00261654" w:rsidP="00261654">
      <w:pPr>
        <w:pStyle w:val="FootnoteText"/>
        <w:jc w:val="both"/>
        <w:rPr>
          <w:rFonts w:ascii="Arial" w:hAnsi="Arial" w:cs="Arial"/>
        </w:rPr>
      </w:pPr>
      <w:r w:rsidRPr="005C0635">
        <w:rPr>
          <w:rStyle w:val="FootnoteReference"/>
          <w:rFonts w:ascii="Arial" w:hAnsi="Arial" w:cs="Arial"/>
        </w:rPr>
        <w:footnoteRef/>
      </w:r>
      <w:r w:rsidRPr="005C0635">
        <w:rPr>
          <w:rFonts w:ascii="Arial" w:hAnsi="Arial" w:cs="Arial"/>
        </w:rPr>
        <w:t xml:space="preserve"> 2009</w:t>
      </w:r>
      <w:r>
        <w:rPr>
          <w:rFonts w:ascii="Arial" w:hAnsi="Arial" w:cs="Arial"/>
        </w:rPr>
        <w:t xml:space="preserve"> </w:t>
      </w:r>
      <w:r w:rsidRPr="005C0635">
        <w:rPr>
          <w:rFonts w:ascii="Arial" w:hAnsi="Arial" w:cs="Arial"/>
        </w:rPr>
        <w:t>(2) SACR 323 (O).</w:t>
      </w:r>
    </w:p>
  </w:footnote>
  <w:footnote w:id="7">
    <w:p w:rsidR="00261654" w:rsidRPr="005C0635" w:rsidRDefault="00261654" w:rsidP="00261654">
      <w:pPr>
        <w:pStyle w:val="FootnoteText"/>
        <w:jc w:val="both"/>
        <w:rPr>
          <w:rFonts w:ascii="Arial" w:hAnsi="Arial" w:cs="Arial"/>
        </w:rPr>
      </w:pPr>
      <w:r w:rsidRPr="005C0635">
        <w:rPr>
          <w:rStyle w:val="FootnoteReference"/>
          <w:rFonts w:ascii="Arial" w:hAnsi="Arial" w:cs="Arial"/>
        </w:rPr>
        <w:footnoteRef/>
      </w:r>
      <w:r w:rsidRPr="005C0635">
        <w:rPr>
          <w:rFonts w:ascii="Arial" w:hAnsi="Arial" w:cs="Arial"/>
        </w:rPr>
        <w:t xml:space="preserve"> </w:t>
      </w:r>
      <w:r w:rsidRPr="005C0635">
        <w:rPr>
          <w:rFonts w:ascii="Arial" w:hAnsi="Arial" w:cs="Arial"/>
          <w:i/>
        </w:rPr>
        <w:t>Matine</w:t>
      </w:r>
      <w:r>
        <w:rPr>
          <w:rFonts w:ascii="Arial" w:hAnsi="Arial" w:cs="Arial"/>
        </w:rPr>
        <w:t xml:space="preserve"> case para 6</w:t>
      </w:r>
      <w:r w:rsidRPr="005C0635">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0169E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D6713" w:rsidRDefault="00CF3F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rsidR="004D6713" w:rsidRPr="00240C67" w:rsidRDefault="000169EC">
        <w:pPr>
          <w:pStyle w:val="Header"/>
          <w:jc w:val="right"/>
          <w:rPr>
            <w:rFonts w:ascii="Arial" w:hAnsi="Arial" w:cs="Arial"/>
            <w:sz w:val="24"/>
            <w:szCs w:val="24"/>
          </w:rPr>
        </w:pPr>
        <w:r w:rsidRPr="00240C67">
          <w:rPr>
            <w:rFonts w:ascii="Arial" w:hAnsi="Arial" w:cs="Arial"/>
            <w:sz w:val="24"/>
            <w:szCs w:val="24"/>
          </w:rPr>
          <w:fldChar w:fldCharType="begin"/>
        </w:r>
        <w:r w:rsidRPr="00240C67">
          <w:rPr>
            <w:rFonts w:ascii="Arial" w:hAnsi="Arial" w:cs="Arial"/>
            <w:sz w:val="24"/>
            <w:szCs w:val="24"/>
          </w:rPr>
          <w:instrText xml:space="preserve"> PAGE   \* MERGEFORMAT </w:instrText>
        </w:r>
        <w:r w:rsidRPr="00240C67">
          <w:rPr>
            <w:rFonts w:ascii="Arial" w:hAnsi="Arial" w:cs="Arial"/>
            <w:sz w:val="24"/>
            <w:szCs w:val="24"/>
          </w:rPr>
          <w:fldChar w:fldCharType="separate"/>
        </w:r>
        <w:r w:rsidR="005B67B8">
          <w:rPr>
            <w:rFonts w:ascii="Arial" w:hAnsi="Arial" w:cs="Arial"/>
            <w:noProof/>
            <w:sz w:val="24"/>
            <w:szCs w:val="24"/>
          </w:rPr>
          <w:t>7</w:t>
        </w:r>
        <w:r w:rsidRPr="00240C67">
          <w:rPr>
            <w:rFonts w:ascii="Arial" w:hAnsi="Arial" w:cs="Arial"/>
            <w:noProof/>
            <w:sz w:val="24"/>
            <w:szCs w:val="24"/>
          </w:rPr>
          <w:fldChar w:fldCharType="end"/>
        </w:r>
      </w:p>
    </w:sdtContent>
  </w:sdt>
  <w:p w:rsidR="004D6713" w:rsidRPr="00240C67" w:rsidRDefault="00CF3FD9">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C3739"/>
    <w:multiLevelType w:val="hybridMultilevel"/>
    <w:tmpl w:val="1234C76E"/>
    <w:lvl w:ilvl="0" w:tplc="2BC0B82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45B134E"/>
    <w:multiLevelType w:val="hybridMultilevel"/>
    <w:tmpl w:val="BCCA0CEC"/>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54"/>
    <w:rsid w:val="000169EC"/>
    <w:rsid w:val="00032790"/>
    <w:rsid w:val="00037BCF"/>
    <w:rsid w:val="00187059"/>
    <w:rsid w:val="001D7A72"/>
    <w:rsid w:val="001E5E41"/>
    <w:rsid w:val="00261654"/>
    <w:rsid w:val="003F1290"/>
    <w:rsid w:val="00463079"/>
    <w:rsid w:val="00490F58"/>
    <w:rsid w:val="004E600A"/>
    <w:rsid w:val="00596E6A"/>
    <w:rsid w:val="005B67B8"/>
    <w:rsid w:val="005F51F7"/>
    <w:rsid w:val="006201EE"/>
    <w:rsid w:val="00627D1D"/>
    <w:rsid w:val="006F0E00"/>
    <w:rsid w:val="007857A7"/>
    <w:rsid w:val="008116A7"/>
    <w:rsid w:val="0096228E"/>
    <w:rsid w:val="00A75F3D"/>
    <w:rsid w:val="00A835C5"/>
    <w:rsid w:val="00B3566E"/>
    <w:rsid w:val="00B56BE4"/>
    <w:rsid w:val="00C818F8"/>
    <w:rsid w:val="00C90EA1"/>
    <w:rsid w:val="00CF3FD9"/>
    <w:rsid w:val="00D229FF"/>
    <w:rsid w:val="00D27038"/>
    <w:rsid w:val="00D439FC"/>
    <w:rsid w:val="00E26A4C"/>
    <w:rsid w:val="00E348A5"/>
    <w:rsid w:val="00E42529"/>
    <w:rsid w:val="00F0652D"/>
    <w:rsid w:val="00FB63C3"/>
    <w:rsid w:val="00FC09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6961C-6D42-44A8-8430-BCAA41AA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654"/>
    <w:pPr>
      <w:spacing w:after="0" w:line="240" w:lineRule="auto"/>
    </w:pPr>
  </w:style>
  <w:style w:type="paragraph" w:styleId="BodyText">
    <w:name w:val="Body Text"/>
    <w:basedOn w:val="Normal"/>
    <w:link w:val="BodyTextChar"/>
    <w:rsid w:val="00261654"/>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261654"/>
    <w:rPr>
      <w:rFonts w:ascii="Times New Roman" w:eastAsia="Times New Roman" w:hAnsi="Times New Roman" w:cs="Times New Roman"/>
      <w:sz w:val="24"/>
      <w:szCs w:val="24"/>
      <w:lang w:val="en-GB"/>
    </w:rPr>
  </w:style>
  <w:style w:type="table" w:styleId="TableGrid">
    <w:name w:val="Table Grid"/>
    <w:basedOn w:val="TableNormal"/>
    <w:uiPriority w:val="39"/>
    <w:rsid w:val="00261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654"/>
  </w:style>
  <w:style w:type="paragraph" w:styleId="FootnoteText">
    <w:name w:val="footnote text"/>
    <w:basedOn w:val="Normal"/>
    <w:link w:val="FootnoteTextChar"/>
    <w:uiPriority w:val="99"/>
    <w:semiHidden/>
    <w:unhideWhenUsed/>
    <w:rsid w:val="002616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654"/>
    <w:rPr>
      <w:sz w:val="20"/>
      <w:szCs w:val="20"/>
    </w:rPr>
  </w:style>
  <w:style w:type="character" w:styleId="FootnoteReference">
    <w:name w:val="footnote reference"/>
    <w:basedOn w:val="DefaultParagraphFont"/>
    <w:uiPriority w:val="99"/>
    <w:semiHidden/>
    <w:unhideWhenUsed/>
    <w:rsid w:val="00261654"/>
    <w:rPr>
      <w:vertAlign w:val="superscript"/>
    </w:rPr>
  </w:style>
  <w:style w:type="paragraph" w:styleId="ListParagraph">
    <w:name w:val="List Paragraph"/>
    <w:basedOn w:val="Normal"/>
    <w:uiPriority w:val="34"/>
    <w:qFormat/>
    <w:rsid w:val="0026165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2021-06-08T18:30:00+00:00</Judgment_x0020_Date>
    <Year xmlns="63bdd487-88aa-4c54-b893-ddaa81ed2e7c">2021</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EBEE60-2361-4FCB-90B0-CA78864C8870}">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80220234-9E42-458E-8ED5-AEB3BBCD5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B7F0C-9955-45FD-8A3C-515794FC1C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State v Puleni</vt:lpstr>
    </vt:vector>
  </TitlesOfParts>
  <Company/>
  <LinksUpToDate>false</LinksUpToDate>
  <CharactersWithSpaces>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v Puleni</dc:title>
  <dc:subject/>
  <dc:creator>Juboltine Risuro</dc:creator>
  <cp:keywords/>
  <dc:description/>
  <cp:lastModifiedBy>HOME</cp:lastModifiedBy>
  <cp:revision>2</cp:revision>
  <dcterms:created xsi:type="dcterms:W3CDTF">2021-07-08T14:09:00Z</dcterms:created>
  <dcterms:modified xsi:type="dcterms:W3CDTF">2021-07-08T14:09:00Z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