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p>
    <w:p w:rsidR="008C3367" w:rsidRPr="000B2339" w:rsidRDefault="008C3367" w:rsidP="008C3367">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rsidR="008C3367" w:rsidRPr="000B2339" w:rsidRDefault="008C3367" w:rsidP="007C732D">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 xml:space="preserve">CASE NO: SA </w:t>
      </w:r>
      <w:r w:rsidR="00781A4E" w:rsidRPr="000B2339">
        <w:rPr>
          <w:rFonts w:ascii="Arial" w:hAnsi="Arial" w:cs="Arial"/>
          <w:color w:val="000000" w:themeColor="text1"/>
          <w:sz w:val="24"/>
          <w:szCs w:val="24"/>
        </w:rPr>
        <w:t>37</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21</w:t>
      </w:r>
    </w:p>
    <w:p w:rsidR="00B93393" w:rsidRPr="000B2339" w:rsidRDefault="00B93393" w:rsidP="008C3367">
      <w:pPr>
        <w:spacing w:line="240" w:lineRule="auto"/>
        <w:ind w:left="-142"/>
        <w:jc w:val="both"/>
        <w:rPr>
          <w:rFonts w:ascii="Arial" w:hAnsi="Arial" w:cs="Arial"/>
          <w:b/>
          <w:color w:val="000000" w:themeColor="text1"/>
          <w:sz w:val="24"/>
          <w:szCs w:val="24"/>
        </w:rPr>
      </w:pPr>
    </w:p>
    <w:p w:rsidR="008C3367" w:rsidRPr="000B2339" w:rsidRDefault="008C3367" w:rsidP="00B40CD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8C3367" w:rsidRPr="000B2339" w:rsidRDefault="008C3367" w:rsidP="00B40CD3">
      <w:pPr>
        <w:spacing w:line="240" w:lineRule="auto"/>
        <w:jc w:val="both"/>
        <w:rPr>
          <w:rFonts w:ascii="Arial" w:hAnsi="Arial" w:cs="Arial"/>
          <w:color w:val="000000" w:themeColor="text1"/>
          <w:sz w:val="24"/>
          <w:szCs w:val="24"/>
        </w:rPr>
      </w:pPr>
    </w:p>
    <w:p w:rsidR="008C3367" w:rsidRPr="000B2339" w:rsidRDefault="008C3367" w:rsidP="00B40CD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396B62" w:rsidRPr="000B2339" w:rsidRDefault="00396B62" w:rsidP="00B40CD3">
      <w:pPr>
        <w:spacing w:line="240" w:lineRule="auto"/>
        <w:jc w:val="both"/>
        <w:rPr>
          <w:rFonts w:ascii="Arial" w:hAnsi="Arial" w:cs="Arial"/>
          <w:color w:val="000000" w:themeColor="text1"/>
          <w:sz w:val="24"/>
          <w:szCs w:val="24"/>
        </w:rPr>
      </w:pPr>
    </w:p>
    <w:tbl>
      <w:tblPr>
        <w:tblW w:w="9215" w:type="dxa"/>
        <w:tblInd w:w="-142" w:type="dxa"/>
        <w:tblLook w:val="04A0" w:firstRow="1" w:lastRow="0" w:firstColumn="1" w:lastColumn="0" w:noHBand="0" w:noVBand="1"/>
      </w:tblPr>
      <w:tblGrid>
        <w:gridCol w:w="6204"/>
        <w:gridCol w:w="3011"/>
      </w:tblGrid>
      <w:tr w:rsidR="000B2339" w:rsidRPr="000B2339" w:rsidTr="00B40CD3">
        <w:tc>
          <w:tcPr>
            <w:tcW w:w="6204" w:type="dxa"/>
            <w:shd w:val="clear" w:color="auto" w:fill="auto"/>
          </w:tcPr>
          <w:p w:rsidR="002212AD" w:rsidRPr="000B2339" w:rsidRDefault="00781A4E" w:rsidP="00C5513A">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COMMUNICATION</w:t>
            </w:r>
            <w:r w:rsidR="00BB62A0">
              <w:rPr>
                <w:rFonts w:ascii="Arial" w:hAnsi="Arial" w:cs="Arial"/>
                <w:b/>
                <w:color w:val="000000" w:themeColor="text1"/>
                <w:sz w:val="24"/>
                <w:szCs w:val="24"/>
              </w:rPr>
              <w:t>S</w:t>
            </w:r>
            <w:r w:rsidRPr="000B2339">
              <w:rPr>
                <w:rFonts w:ascii="Arial" w:hAnsi="Arial" w:cs="Arial"/>
                <w:b/>
                <w:color w:val="000000" w:themeColor="text1"/>
                <w:sz w:val="24"/>
                <w:szCs w:val="24"/>
              </w:rPr>
              <w:t xml:space="preserve"> REGULATORY AUTHORITY</w:t>
            </w:r>
          </w:p>
          <w:p w:rsidR="00781A4E" w:rsidRPr="000B2339" w:rsidRDefault="00781A4E" w:rsidP="00C5513A">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OF NAMIBIA</w:t>
            </w:r>
          </w:p>
        </w:tc>
        <w:tc>
          <w:tcPr>
            <w:tcW w:w="3011" w:type="dxa"/>
            <w:shd w:val="clear" w:color="auto" w:fill="auto"/>
          </w:tcPr>
          <w:p w:rsidR="00781A4E" w:rsidRPr="000B2339" w:rsidRDefault="00781A4E" w:rsidP="00161C35">
            <w:pPr>
              <w:pStyle w:val="NoSpacing"/>
              <w:spacing w:line="360" w:lineRule="auto"/>
              <w:jc w:val="right"/>
              <w:rPr>
                <w:rFonts w:ascii="Arial" w:hAnsi="Arial" w:cs="Arial"/>
                <w:b/>
                <w:color w:val="000000" w:themeColor="text1"/>
                <w:sz w:val="24"/>
                <w:szCs w:val="24"/>
              </w:rPr>
            </w:pPr>
          </w:p>
          <w:p w:rsidR="008C3367" w:rsidRPr="000B2339" w:rsidRDefault="008C3367" w:rsidP="00161C35">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rsidTr="00B40CD3">
        <w:tc>
          <w:tcPr>
            <w:tcW w:w="6204"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c>
          <w:tcPr>
            <w:tcW w:w="3011"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rsidTr="00B40CD3">
        <w:tc>
          <w:tcPr>
            <w:tcW w:w="6204" w:type="dxa"/>
            <w:shd w:val="clear" w:color="auto" w:fill="auto"/>
          </w:tcPr>
          <w:p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011" w:type="dxa"/>
            <w:shd w:val="clear" w:color="auto" w:fill="auto"/>
          </w:tcPr>
          <w:p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rsidTr="00B40CD3">
        <w:tc>
          <w:tcPr>
            <w:tcW w:w="6204"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c>
          <w:tcPr>
            <w:tcW w:w="3011"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rsidTr="00B40CD3">
        <w:tc>
          <w:tcPr>
            <w:tcW w:w="6204" w:type="dxa"/>
            <w:shd w:val="clear" w:color="auto" w:fill="auto"/>
          </w:tcPr>
          <w:p w:rsidR="00933B34" w:rsidRPr="000B2339" w:rsidRDefault="00781A4E" w:rsidP="001C73CA">
            <w:pPr>
              <w:pStyle w:val="NoSpacing"/>
              <w:spacing w:line="480" w:lineRule="auto"/>
              <w:rPr>
                <w:rFonts w:ascii="Arial" w:hAnsi="Arial" w:cs="Arial"/>
                <w:b/>
                <w:color w:val="000000" w:themeColor="text1"/>
                <w:sz w:val="24"/>
                <w:szCs w:val="24"/>
              </w:rPr>
            </w:pPr>
            <w:r w:rsidRPr="000B2339">
              <w:rPr>
                <w:rFonts w:ascii="Arial" w:hAnsi="Arial" w:cs="Arial"/>
                <w:b/>
                <w:color w:val="000000" w:themeColor="text1"/>
                <w:sz w:val="24"/>
                <w:szCs w:val="24"/>
              </w:rPr>
              <w:t>MOBILE TELECOM</w:t>
            </w:r>
            <w:r w:rsidR="00D655D7">
              <w:rPr>
                <w:rFonts w:ascii="Arial" w:hAnsi="Arial" w:cs="Arial"/>
                <w:b/>
                <w:color w:val="000000" w:themeColor="text1"/>
                <w:sz w:val="24"/>
                <w:szCs w:val="24"/>
              </w:rPr>
              <w:t>M</w:t>
            </w:r>
            <w:r w:rsidRPr="000B2339">
              <w:rPr>
                <w:rFonts w:ascii="Arial" w:hAnsi="Arial" w:cs="Arial"/>
                <w:b/>
                <w:color w:val="000000" w:themeColor="text1"/>
                <w:sz w:val="24"/>
                <w:szCs w:val="24"/>
              </w:rPr>
              <w:t xml:space="preserve">UNICATIONS COMPANY </w:t>
            </w:r>
          </w:p>
          <w:p w:rsidR="00781A4E" w:rsidRPr="000B2339" w:rsidRDefault="00781A4E" w:rsidP="001C73CA">
            <w:pPr>
              <w:pStyle w:val="NoSpacing"/>
              <w:spacing w:line="480" w:lineRule="auto"/>
              <w:rPr>
                <w:rFonts w:ascii="Arial" w:hAnsi="Arial" w:cs="Arial"/>
                <w:b/>
                <w:color w:val="000000" w:themeColor="text1"/>
                <w:sz w:val="24"/>
                <w:szCs w:val="24"/>
              </w:rPr>
            </w:pPr>
            <w:r w:rsidRPr="000B2339">
              <w:rPr>
                <w:rFonts w:ascii="Arial" w:hAnsi="Arial" w:cs="Arial"/>
                <w:b/>
                <w:color w:val="000000" w:themeColor="text1"/>
                <w:sz w:val="24"/>
                <w:szCs w:val="24"/>
              </w:rPr>
              <w:t>OF NAMIBIA</w:t>
            </w:r>
          </w:p>
        </w:tc>
        <w:tc>
          <w:tcPr>
            <w:tcW w:w="3011" w:type="dxa"/>
            <w:shd w:val="clear" w:color="auto" w:fill="auto"/>
          </w:tcPr>
          <w:p w:rsidR="00781A4E" w:rsidRPr="000B2339" w:rsidRDefault="00781A4E" w:rsidP="001C73CA">
            <w:pPr>
              <w:pStyle w:val="NoSpacing"/>
              <w:spacing w:line="480" w:lineRule="auto"/>
              <w:jc w:val="right"/>
              <w:rPr>
                <w:rFonts w:ascii="Arial" w:hAnsi="Arial" w:cs="Arial"/>
                <w:b/>
                <w:color w:val="000000" w:themeColor="text1"/>
                <w:sz w:val="24"/>
                <w:szCs w:val="24"/>
              </w:rPr>
            </w:pPr>
          </w:p>
          <w:p w:rsidR="00584213" w:rsidRPr="000B2339" w:rsidRDefault="00584213" w:rsidP="001C73CA">
            <w:pPr>
              <w:pStyle w:val="NoSpacing"/>
              <w:spacing w:line="48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Respondent</w:t>
            </w:r>
          </w:p>
        </w:tc>
      </w:tr>
    </w:tbl>
    <w:p w:rsidR="00B46340" w:rsidRPr="000B2339" w:rsidRDefault="00B46340" w:rsidP="00B40CD3">
      <w:pPr>
        <w:spacing w:line="240" w:lineRule="auto"/>
        <w:ind w:left="-142" w:firstLine="142"/>
        <w:jc w:val="both"/>
        <w:rPr>
          <w:rFonts w:ascii="Arial" w:hAnsi="Arial" w:cs="Arial"/>
          <w:b/>
          <w:color w:val="000000" w:themeColor="text1"/>
          <w:sz w:val="24"/>
          <w:szCs w:val="24"/>
        </w:rPr>
      </w:pPr>
    </w:p>
    <w:p w:rsidR="00EC4B35" w:rsidRPr="000B2339" w:rsidRDefault="00EC4B35" w:rsidP="00161C35">
      <w:pPr>
        <w:spacing w:line="240" w:lineRule="auto"/>
        <w:jc w:val="both"/>
        <w:rPr>
          <w:rFonts w:ascii="Arial" w:hAnsi="Arial" w:cs="Arial"/>
          <w:b/>
          <w:color w:val="000000" w:themeColor="text1"/>
          <w:sz w:val="24"/>
          <w:szCs w:val="24"/>
        </w:rPr>
      </w:pPr>
    </w:p>
    <w:p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781A4E" w:rsidRPr="000B2339">
        <w:rPr>
          <w:rFonts w:ascii="Arial" w:hAnsi="Arial" w:cs="Arial"/>
          <w:color w:val="000000" w:themeColor="text1"/>
          <w:sz w:val="24"/>
          <w:szCs w:val="24"/>
        </w:rPr>
        <w:t>DAMASEB</w:t>
      </w:r>
      <w:r w:rsidR="00BA6DC9" w:rsidRPr="000B2339">
        <w:rPr>
          <w:rFonts w:ascii="Arial" w:hAnsi="Arial" w:cs="Arial"/>
          <w:color w:val="000000" w:themeColor="text1"/>
          <w:sz w:val="24"/>
          <w:szCs w:val="24"/>
        </w:rPr>
        <w:t xml:space="preserve"> </w:t>
      </w:r>
      <w:r w:rsidR="00781A4E" w:rsidRPr="000B2339">
        <w:rPr>
          <w:rFonts w:ascii="Arial" w:hAnsi="Arial" w:cs="Arial"/>
          <w:color w:val="000000" w:themeColor="text1"/>
          <w:sz w:val="24"/>
          <w:szCs w:val="24"/>
        </w:rPr>
        <w:t>D</w:t>
      </w:r>
      <w:r w:rsidR="00BA6DC9" w:rsidRPr="000B2339">
        <w:rPr>
          <w:rFonts w:ascii="Arial" w:hAnsi="Arial" w:cs="Arial"/>
          <w:color w:val="000000" w:themeColor="text1"/>
          <w:sz w:val="24"/>
          <w:szCs w:val="24"/>
        </w:rPr>
        <w:t xml:space="preserve">CJ, </w:t>
      </w:r>
      <w:r w:rsidR="00781A4E" w:rsidRPr="000B2339">
        <w:rPr>
          <w:rFonts w:ascii="Arial" w:hAnsi="Arial" w:cs="Arial"/>
          <w:color w:val="000000" w:themeColor="text1"/>
          <w:sz w:val="24"/>
          <w:szCs w:val="24"/>
        </w:rPr>
        <w:t>MAINGA JA and SMUTS JA</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781A4E" w:rsidRPr="000B2339">
        <w:rPr>
          <w:rFonts w:ascii="Arial" w:hAnsi="Arial" w:cs="Arial"/>
          <w:b/>
          <w:color w:val="000000" w:themeColor="text1"/>
          <w:sz w:val="24"/>
          <w:szCs w:val="24"/>
        </w:rPr>
        <w:t>25</w:t>
      </w:r>
      <w:r w:rsidR="00FF1FFC" w:rsidRPr="000B2339">
        <w:rPr>
          <w:rFonts w:ascii="Arial" w:hAnsi="Arial" w:cs="Arial"/>
          <w:b/>
          <w:color w:val="000000" w:themeColor="text1"/>
          <w:sz w:val="24"/>
          <w:szCs w:val="24"/>
        </w:rPr>
        <w:t xml:space="preserve"> </w:t>
      </w:r>
      <w:r w:rsidR="00781A4E" w:rsidRPr="000B2339">
        <w:rPr>
          <w:rFonts w:ascii="Arial" w:hAnsi="Arial" w:cs="Arial"/>
          <w:b/>
          <w:color w:val="000000" w:themeColor="text1"/>
          <w:sz w:val="24"/>
          <w:szCs w:val="24"/>
        </w:rPr>
        <w:t>October</w:t>
      </w:r>
      <w:r w:rsidR="003C276A" w:rsidRPr="000B2339">
        <w:rPr>
          <w:rFonts w:ascii="Arial" w:hAnsi="Arial" w:cs="Arial"/>
          <w:b/>
          <w:color w:val="000000" w:themeColor="text1"/>
          <w:sz w:val="24"/>
          <w:szCs w:val="24"/>
        </w:rPr>
        <w:t xml:space="preserve"> 20</w:t>
      </w:r>
      <w:r w:rsidR="000B1CCA" w:rsidRPr="000B2339">
        <w:rPr>
          <w:rFonts w:ascii="Arial" w:hAnsi="Arial" w:cs="Arial"/>
          <w:b/>
          <w:color w:val="000000" w:themeColor="text1"/>
          <w:sz w:val="24"/>
          <w:szCs w:val="24"/>
        </w:rPr>
        <w:t>21</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2F4498">
        <w:rPr>
          <w:rFonts w:ascii="Arial" w:hAnsi="Arial" w:cs="Arial"/>
          <w:b/>
          <w:color w:val="000000" w:themeColor="text1"/>
          <w:sz w:val="24"/>
          <w:szCs w:val="24"/>
        </w:rPr>
        <w:t>4</w:t>
      </w:r>
      <w:r w:rsidR="0083603B" w:rsidRPr="000B2339">
        <w:rPr>
          <w:rFonts w:ascii="Arial" w:hAnsi="Arial" w:cs="Arial"/>
          <w:b/>
          <w:color w:val="000000" w:themeColor="text1"/>
          <w:sz w:val="24"/>
          <w:szCs w:val="24"/>
        </w:rPr>
        <w:t xml:space="preserve"> November</w:t>
      </w:r>
      <w:r w:rsidR="00DA03C5" w:rsidRPr="000B2339">
        <w:rPr>
          <w:rFonts w:ascii="Arial" w:hAnsi="Arial" w:cs="Arial"/>
          <w:b/>
          <w:color w:val="000000" w:themeColor="text1"/>
          <w:sz w:val="24"/>
          <w:szCs w:val="24"/>
        </w:rPr>
        <w:t xml:space="preserve"> 2021</w:t>
      </w:r>
    </w:p>
    <w:p w:rsidR="005E1AF8" w:rsidRDefault="005E1AF8" w:rsidP="000B1CCA">
      <w:pPr>
        <w:spacing w:after="0" w:line="360" w:lineRule="auto"/>
        <w:jc w:val="both"/>
        <w:rPr>
          <w:rFonts w:ascii="Arial" w:hAnsi="Arial" w:cs="Arial"/>
          <w:b/>
          <w:color w:val="000000" w:themeColor="text1"/>
          <w:sz w:val="24"/>
          <w:szCs w:val="24"/>
          <w:lang w:val="en-GB"/>
        </w:rPr>
      </w:pPr>
    </w:p>
    <w:p w:rsidR="0069795E" w:rsidRPr="000B2339" w:rsidRDefault="0069795E" w:rsidP="000B1CCA">
      <w:pPr>
        <w:spacing w:after="0" w:line="360" w:lineRule="auto"/>
        <w:jc w:val="both"/>
        <w:rPr>
          <w:rFonts w:ascii="Arial" w:hAnsi="Arial" w:cs="Arial"/>
          <w:b/>
          <w:color w:val="000000" w:themeColor="text1"/>
          <w:sz w:val="24"/>
          <w:szCs w:val="24"/>
          <w:lang w:val="en-GB"/>
        </w:rPr>
      </w:pPr>
    </w:p>
    <w:p w:rsidR="0069795E" w:rsidRDefault="00E25B8B" w:rsidP="0069795E">
      <w:pPr>
        <w:pStyle w:val="NoSpacing"/>
        <w:spacing w:line="360" w:lineRule="auto"/>
        <w:jc w:val="both"/>
        <w:rPr>
          <w:rFonts w:ascii="Arial" w:hAnsi="Arial" w:cs="Arial"/>
          <w:color w:val="000000" w:themeColor="text1"/>
          <w:sz w:val="24"/>
          <w:szCs w:val="24"/>
        </w:rPr>
      </w:pPr>
      <w:r w:rsidRPr="000B2339">
        <w:rPr>
          <w:rFonts w:ascii="Arial" w:hAnsi="Arial" w:cs="Arial"/>
          <w:b/>
          <w:color w:val="000000" w:themeColor="text1"/>
          <w:sz w:val="24"/>
          <w:szCs w:val="24"/>
        </w:rPr>
        <w:t>Summary:</w:t>
      </w:r>
      <w:r w:rsidRPr="000B2339">
        <w:rPr>
          <w:rFonts w:ascii="Arial" w:hAnsi="Arial" w:cs="Arial"/>
          <w:b/>
          <w:color w:val="000000" w:themeColor="text1"/>
          <w:sz w:val="24"/>
          <w:szCs w:val="24"/>
        </w:rPr>
        <w:tab/>
      </w:r>
      <w:r w:rsidR="0069795E" w:rsidRPr="000252CB">
        <w:rPr>
          <w:rFonts w:ascii="Arial" w:hAnsi="Arial" w:cs="Arial"/>
          <w:color w:val="000000" w:themeColor="text1"/>
          <w:sz w:val="24"/>
          <w:szCs w:val="24"/>
        </w:rPr>
        <w:t xml:space="preserve">This appeal concerns the interpretation of an order of this court made in </w:t>
      </w:r>
      <w:r w:rsidR="0069795E" w:rsidRPr="000252CB">
        <w:rPr>
          <w:rFonts w:ascii="Arial" w:hAnsi="Arial" w:cs="Arial"/>
          <w:i/>
          <w:color w:val="000000" w:themeColor="text1"/>
          <w:sz w:val="24"/>
          <w:szCs w:val="24"/>
        </w:rPr>
        <w:t>Communications Regul</w:t>
      </w:r>
      <w:r w:rsidR="0069795E">
        <w:rPr>
          <w:rFonts w:ascii="Arial" w:hAnsi="Arial" w:cs="Arial"/>
          <w:i/>
          <w:color w:val="000000" w:themeColor="text1"/>
          <w:sz w:val="24"/>
          <w:szCs w:val="24"/>
        </w:rPr>
        <w:t>atory Authority of Namibia (CRAN</w:t>
      </w:r>
      <w:r w:rsidR="0069795E" w:rsidRPr="000252CB">
        <w:rPr>
          <w:rFonts w:ascii="Arial" w:hAnsi="Arial" w:cs="Arial"/>
          <w:i/>
          <w:color w:val="000000" w:themeColor="text1"/>
          <w:sz w:val="24"/>
          <w:szCs w:val="24"/>
        </w:rPr>
        <w:t xml:space="preserve">) v Telecom Namibia &amp; others </w:t>
      </w:r>
      <w:r w:rsidR="0069795E" w:rsidRPr="000252CB">
        <w:rPr>
          <w:rFonts w:ascii="Arial" w:hAnsi="Arial" w:cs="Arial"/>
          <w:sz w:val="24"/>
          <w:szCs w:val="24"/>
        </w:rPr>
        <w:t>2018 (3) NR 663 (SC).</w:t>
      </w:r>
      <w:r w:rsidR="0069795E">
        <w:rPr>
          <w:rFonts w:ascii="Arial" w:hAnsi="Arial" w:cs="Arial"/>
          <w:sz w:val="24"/>
          <w:szCs w:val="24"/>
        </w:rPr>
        <w:t xml:space="preserve"> </w:t>
      </w:r>
      <w:r w:rsidR="0069795E" w:rsidRPr="000B2339">
        <w:rPr>
          <w:rFonts w:ascii="Arial" w:hAnsi="Arial" w:cs="Arial"/>
          <w:color w:val="000000" w:themeColor="text1"/>
          <w:sz w:val="24"/>
          <w:szCs w:val="24"/>
        </w:rPr>
        <w:t>The parties differed on their interpretation as to when the order of invalidity took effect</w:t>
      </w:r>
      <w:r w:rsidR="0069795E">
        <w:rPr>
          <w:rFonts w:ascii="Arial" w:hAnsi="Arial" w:cs="Arial"/>
          <w:color w:val="000000" w:themeColor="text1"/>
          <w:sz w:val="24"/>
          <w:szCs w:val="24"/>
        </w:rPr>
        <w:t xml:space="preserve"> under subparagraph (b) of that order</w:t>
      </w:r>
      <w:r w:rsidR="0069795E" w:rsidRPr="000B2339">
        <w:rPr>
          <w:rFonts w:ascii="Arial" w:hAnsi="Arial" w:cs="Arial"/>
          <w:color w:val="000000" w:themeColor="text1"/>
          <w:sz w:val="24"/>
          <w:szCs w:val="24"/>
        </w:rPr>
        <w:t>.</w:t>
      </w:r>
      <w:r w:rsidR="0069795E">
        <w:rPr>
          <w:rFonts w:ascii="Arial" w:hAnsi="Arial" w:cs="Arial"/>
          <w:color w:val="000000" w:themeColor="text1"/>
          <w:sz w:val="24"/>
          <w:szCs w:val="24"/>
        </w:rPr>
        <w:t xml:space="preserve"> </w:t>
      </w:r>
      <w:r w:rsidR="0069795E" w:rsidRPr="000B2339">
        <w:rPr>
          <w:rFonts w:ascii="Arial" w:hAnsi="Arial" w:cs="Arial"/>
          <w:color w:val="000000" w:themeColor="text1"/>
          <w:sz w:val="24"/>
          <w:szCs w:val="24"/>
        </w:rPr>
        <w:t xml:space="preserve">CRAN </w:t>
      </w:r>
      <w:r w:rsidR="0069795E">
        <w:rPr>
          <w:rFonts w:ascii="Arial" w:hAnsi="Arial" w:cs="Arial"/>
          <w:color w:val="000000" w:themeColor="text1"/>
          <w:sz w:val="24"/>
          <w:szCs w:val="24"/>
        </w:rPr>
        <w:t xml:space="preserve">had </w:t>
      </w:r>
      <w:r w:rsidR="0069795E" w:rsidRPr="000B2339">
        <w:rPr>
          <w:rFonts w:ascii="Arial" w:hAnsi="Arial" w:cs="Arial"/>
          <w:color w:val="000000" w:themeColor="text1"/>
          <w:sz w:val="24"/>
          <w:szCs w:val="24"/>
        </w:rPr>
        <w:t>instituted an action against</w:t>
      </w:r>
      <w:r w:rsidR="0069795E">
        <w:rPr>
          <w:rFonts w:ascii="Arial" w:hAnsi="Arial" w:cs="Arial"/>
          <w:color w:val="000000" w:themeColor="text1"/>
          <w:sz w:val="24"/>
          <w:szCs w:val="24"/>
        </w:rPr>
        <w:t xml:space="preserve"> t</w:t>
      </w:r>
      <w:r w:rsidR="0069795E" w:rsidRPr="00253621">
        <w:rPr>
          <w:rFonts w:ascii="Arial" w:hAnsi="Arial" w:cs="Arial"/>
          <w:color w:val="000000" w:themeColor="text1"/>
          <w:sz w:val="24"/>
          <w:szCs w:val="24"/>
        </w:rPr>
        <w:t>he Mobile Telecom</w:t>
      </w:r>
      <w:r w:rsidR="0069795E">
        <w:rPr>
          <w:rFonts w:ascii="Arial" w:hAnsi="Arial" w:cs="Arial"/>
          <w:color w:val="000000" w:themeColor="text1"/>
          <w:sz w:val="24"/>
          <w:szCs w:val="24"/>
        </w:rPr>
        <w:t>m</w:t>
      </w:r>
      <w:r w:rsidR="0069795E" w:rsidRPr="00253621">
        <w:rPr>
          <w:rFonts w:ascii="Arial" w:hAnsi="Arial" w:cs="Arial"/>
          <w:color w:val="000000" w:themeColor="text1"/>
          <w:sz w:val="24"/>
          <w:szCs w:val="24"/>
        </w:rPr>
        <w:t>unications Company of Namibia</w:t>
      </w:r>
      <w:r w:rsidR="0069795E" w:rsidRPr="000B2339">
        <w:rPr>
          <w:rFonts w:ascii="Arial" w:hAnsi="Arial" w:cs="Arial"/>
          <w:color w:val="000000" w:themeColor="text1"/>
          <w:sz w:val="24"/>
          <w:szCs w:val="24"/>
        </w:rPr>
        <w:t xml:space="preserve"> </w:t>
      </w:r>
      <w:r w:rsidR="0069795E">
        <w:rPr>
          <w:rFonts w:ascii="Arial" w:hAnsi="Arial" w:cs="Arial"/>
          <w:color w:val="000000" w:themeColor="text1"/>
          <w:sz w:val="24"/>
          <w:szCs w:val="24"/>
        </w:rPr>
        <w:t xml:space="preserve">(MTC), </w:t>
      </w:r>
      <w:r w:rsidR="0069795E" w:rsidRPr="000B2339">
        <w:rPr>
          <w:rFonts w:ascii="Arial" w:hAnsi="Arial" w:cs="Arial"/>
          <w:color w:val="000000" w:themeColor="text1"/>
          <w:sz w:val="24"/>
          <w:szCs w:val="24"/>
        </w:rPr>
        <w:t xml:space="preserve">claiming payment of levies up to the </w:t>
      </w:r>
      <w:r w:rsidR="0069795E">
        <w:rPr>
          <w:rFonts w:ascii="Arial" w:hAnsi="Arial" w:cs="Arial"/>
          <w:color w:val="000000" w:themeColor="text1"/>
          <w:sz w:val="24"/>
          <w:szCs w:val="24"/>
        </w:rPr>
        <w:t xml:space="preserve">date of judgment of this court (ie </w:t>
      </w:r>
      <w:r w:rsidR="0069795E" w:rsidRPr="000B2339">
        <w:rPr>
          <w:rFonts w:ascii="Arial" w:hAnsi="Arial" w:cs="Arial"/>
          <w:color w:val="000000" w:themeColor="text1"/>
          <w:sz w:val="24"/>
          <w:szCs w:val="24"/>
        </w:rPr>
        <w:t>1</w:t>
      </w:r>
      <w:r w:rsidR="00BB62A0">
        <w:rPr>
          <w:rFonts w:ascii="Arial" w:hAnsi="Arial" w:cs="Arial"/>
          <w:color w:val="000000" w:themeColor="text1"/>
          <w:sz w:val="24"/>
          <w:szCs w:val="24"/>
        </w:rPr>
        <w:t>1</w:t>
      </w:r>
      <w:r w:rsidR="0069795E" w:rsidRPr="000B2339">
        <w:rPr>
          <w:rFonts w:ascii="Arial" w:hAnsi="Arial" w:cs="Arial"/>
          <w:color w:val="000000" w:themeColor="text1"/>
          <w:sz w:val="24"/>
          <w:szCs w:val="24"/>
        </w:rPr>
        <w:t xml:space="preserve"> June 2018</w:t>
      </w:r>
      <w:r w:rsidR="0069795E">
        <w:rPr>
          <w:rFonts w:ascii="Arial" w:hAnsi="Arial" w:cs="Arial"/>
          <w:color w:val="000000" w:themeColor="text1"/>
          <w:sz w:val="24"/>
          <w:szCs w:val="24"/>
        </w:rPr>
        <w:t xml:space="preserve">) </w:t>
      </w:r>
      <w:r w:rsidR="0069795E" w:rsidRPr="000B2339">
        <w:rPr>
          <w:rFonts w:ascii="Arial" w:hAnsi="Arial" w:cs="Arial"/>
          <w:color w:val="000000" w:themeColor="text1"/>
          <w:sz w:val="24"/>
          <w:szCs w:val="24"/>
        </w:rPr>
        <w:t xml:space="preserve">under the provision </w:t>
      </w:r>
      <w:r w:rsidR="0069795E">
        <w:rPr>
          <w:rFonts w:ascii="Arial" w:hAnsi="Arial" w:cs="Arial"/>
          <w:color w:val="000000" w:themeColor="text1"/>
          <w:sz w:val="24"/>
          <w:szCs w:val="24"/>
        </w:rPr>
        <w:t xml:space="preserve">which was </w:t>
      </w:r>
      <w:r w:rsidR="0069795E" w:rsidRPr="000B2339">
        <w:rPr>
          <w:rFonts w:ascii="Arial" w:hAnsi="Arial" w:cs="Arial"/>
          <w:color w:val="000000" w:themeColor="text1"/>
          <w:sz w:val="24"/>
          <w:szCs w:val="24"/>
        </w:rPr>
        <w:t>declared unconstitutional. MTC excepted to the claim for levies for the period between 29 September 2016 to 11 June 2018 as failing to disclose a cause of action.</w:t>
      </w:r>
    </w:p>
    <w:p w:rsidR="0069795E" w:rsidRDefault="0069795E" w:rsidP="0069795E">
      <w:pPr>
        <w:pStyle w:val="NoSpacing"/>
        <w:spacing w:line="360" w:lineRule="auto"/>
        <w:jc w:val="both"/>
        <w:rPr>
          <w:rFonts w:ascii="Arial" w:hAnsi="Arial" w:cs="Arial"/>
          <w:color w:val="000000" w:themeColor="text1"/>
          <w:sz w:val="24"/>
          <w:szCs w:val="24"/>
        </w:rPr>
      </w:pPr>
    </w:p>
    <w:p w:rsidR="0069795E" w:rsidRDefault="0069795E" w:rsidP="0069795E">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essence, it was CRAN’s case that </w:t>
      </w:r>
      <w:r w:rsidRPr="000B2339">
        <w:rPr>
          <w:rFonts w:ascii="Arial" w:hAnsi="Arial" w:cs="Arial"/>
          <w:color w:val="000000" w:themeColor="text1"/>
          <w:sz w:val="24"/>
          <w:szCs w:val="24"/>
        </w:rPr>
        <w:t xml:space="preserve">the date when the order of invalidity was to kick in and </w:t>
      </w:r>
      <w:r>
        <w:rPr>
          <w:rFonts w:ascii="Arial" w:hAnsi="Arial" w:cs="Arial"/>
          <w:color w:val="000000" w:themeColor="text1"/>
          <w:sz w:val="24"/>
          <w:szCs w:val="24"/>
        </w:rPr>
        <w:t xml:space="preserve">lead to </w:t>
      </w:r>
      <w:r w:rsidRPr="000B2339">
        <w:rPr>
          <w:rFonts w:ascii="Arial" w:hAnsi="Arial" w:cs="Arial"/>
          <w:color w:val="000000" w:themeColor="text1"/>
          <w:sz w:val="24"/>
          <w:szCs w:val="24"/>
        </w:rPr>
        <w:t xml:space="preserve">its consequences </w:t>
      </w:r>
      <w:r>
        <w:rPr>
          <w:rFonts w:ascii="Arial" w:hAnsi="Arial" w:cs="Arial"/>
          <w:color w:val="000000" w:themeColor="text1"/>
          <w:sz w:val="24"/>
          <w:szCs w:val="24"/>
        </w:rPr>
        <w:t>is that</w:t>
      </w:r>
      <w:r w:rsidRPr="000B2339">
        <w:rPr>
          <w:rFonts w:ascii="Arial" w:hAnsi="Arial" w:cs="Arial"/>
          <w:color w:val="000000" w:themeColor="text1"/>
          <w:sz w:val="24"/>
          <w:szCs w:val="24"/>
        </w:rPr>
        <w:t xml:space="preserve"> expressly directed by this court</w:t>
      </w:r>
      <w:r>
        <w:rPr>
          <w:rFonts w:ascii="Arial" w:hAnsi="Arial" w:cs="Arial"/>
          <w:color w:val="000000" w:themeColor="text1"/>
          <w:sz w:val="24"/>
          <w:szCs w:val="24"/>
        </w:rPr>
        <w:t xml:space="preserve"> on 1</w:t>
      </w:r>
      <w:r w:rsidR="00557D6C">
        <w:rPr>
          <w:rFonts w:ascii="Arial" w:hAnsi="Arial" w:cs="Arial"/>
          <w:color w:val="000000" w:themeColor="text1"/>
          <w:sz w:val="24"/>
          <w:szCs w:val="24"/>
        </w:rPr>
        <w:t>1</w:t>
      </w:r>
      <w:r>
        <w:rPr>
          <w:rFonts w:ascii="Arial" w:hAnsi="Arial" w:cs="Arial"/>
          <w:color w:val="000000" w:themeColor="text1"/>
          <w:sz w:val="24"/>
          <w:szCs w:val="24"/>
        </w:rPr>
        <w:t xml:space="preserve"> June 2018</w:t>
      </w:r>
      <w:r w:rsidRPr="000B2339">
        <w:rPr>
          <w:rFonts w:ascii="Arial" w:hAnsi="Arial" w:cs="Arial"/>
          <w:color w:val="000000" w:themeColor="text1"/>
          <w:sz w:val="24"/>
          <w:szCs w:val="24"/>
        </w:rPr>
        <w:t>. It was argued that the order of invalidity took effect ‘from the date of this judgment’, as directed by this court.</w:t>
      </w:r>
      <w:r>
        <w:rPr>
          <w:rFonts w:ascii="Arial" w:hAnsi="Arial" w:cs="Arial"/>
          <w:color w:val="000000" w:themeColor="text1"/>
          <w:sz w:val="24"/>
          <w:szCs w:val="24"/>
        </w:rPr>
        <w:t xml:space="preserve"> </w:t>
      </w:r>
      <w:r w:rsidRPr="000B2339">
        <w:rPr>
          <w:rFonts w:ascii="Arial" w:hAnsi="Arial" w:cs="Arial"/>
          <w:color w:val="000000" w:themeColor="text1"/>
          <w:sz w:val="24"/>
          <w:szCs w:val="24"/>
        </w:rPr>
        <w:t>MTC</w:t>
      </w:r>
      <w:r>
        <w:rPr>
          <w:rFonts w:ascii="Arial" w:hAnsi="Arial" w:cs="Arial"/>
          <w:color w:val="000000" w:themeColor="text1"/>
          <w:sz w:val="24"/>
          <w:szCs w:val="24"/>
        </w:rPr>
        <w:t xml:space="preserve"> on the other hand</w:t>
      </w:r>
      <w:r w:rsidRPr="000B2339">
        <w:rPr>
          <w:rFonts w:ascii="Arial" w:hAnsi="Arial" w:cs="Arial"/>
          <w:color w:val="000000" w:themeColor="text1"/>
          <w:sz w:val="24"/>
          <w:szCs w:val="24"/>
        </w:rPr>
        <w:t xml:space="preserve"> contended that the reference in </w:t>
      </w:r>
      <w:r>
        <w:rPr>
          <w:rFonts w:ascii="Arial" w:hAnsi="Arial" w:cs="Arial"/>
          <w:color w:val="000000" w:themeColor="text1"/>
          <w:sz w:val="24"/>
          <w:szCs w:val="24"/>
        </w:rPr>
        <w:t xml:space="preserve">subparagraph (b) of </w:t>
      </w:r>
      <w:r w:rsidRPr="000B2339">
        <w:rPr>
          <w:rFonts w:ascii="Arial" w:hAnsi="Arial" w:cs="Arial"/>
          <w:color w:val="000000" w:themeColor="text1"/>
          <w:sz w:val="24"/>
          <w:szCs w:val="24"/>
        </w:rPr>
        <w:t>the order to ‘</w:t>
      </w:r>
      <w:r>
        <w:rPr>
          <w:rFonts w:ascii="Arial" w:hAnsi="Arial" w:cs="Arial"/>
          <w:color w:val="000000" w:themeColor="text1"/>
          <w:sz w:val="24"/>
          <w:szCs w:val="24"/>
        </w:rPr>
        <w:t>the date of this judgment’ meant</w:t>
      </w:r>
      <w:r w:rsidRPr="000B2339">
        <w:rPr>
          <w:rFonts w:ascii="Arial" w:hAnsi="Arial" w:cs="Arial"/>
          <w:color w:val="000000" w:themeColor="text1"/>
          <w:sz w:val="24"/>
          <w:szCs w:val="24"/>
        </w:rPr>
        <w:t xml:space="preserve"> the date of the High Court judgment, thus rendering a claim for lev</w:t>
      </w:r>
      <w:r>
        <w:rPr>
          <w:rFonts w:ascii="Arial" w:hAnsi="Arial" w:cs="Arial"/>
          <w:color w:val="000000" w:themeColor="text1"/>
          <w:sz w:val="24"/>
          <w:szCs w:val="24"/>
        </w:rPr>
        <w:t>ies after the High Court order of 29 September 2016</w:t>
      </w:r>
      <w:r w:rsidRPr="000B2339">
        <w:rPr>
          <w:rFonts w:ascii="Arial" w:hAnsi="Arial" w:cs="Arial"/>
          <w:color w:val="000000" w:themeColor="text1"/>
          <w:sz w:val="24"/>
          <w:szCs w:val="24"/>
        </w:rPr>
        <w:t xml:space="preserve"> as incompetent as the invalidity of the provision operated from 29 September 2016 and not the date of the Supreme Court judgment of 1</w:t>
      </w:r>
      <w:r w:rsidR="00557D6C">
        <w:rPr>
          <w:rFonts w:ascii="Arial" w:hAnsi="Arial" w:cs="Arial"/>
          <w:color w:val="000000" w:themeColor="text1"/>
          <w:sz w:val="24"/>
          <w:szCs w:val="24"/>
        </w:rPr>
        <w:t>1</w:t>
      </w:r>
      <w:r w:rsidRPr="000B2339">
        <w:rPr>
          <w:rFonts w:ascii="Arial" w:hAnsi="Arial" w:cs="Arial"/>
          <w:color w:val="000000" w:themeColor="text1"/>
          <w:sz w:val="24"/>
          <w:szCs w:val="24"/>
        </w:rPr>
        <w:t xml:space="preserve"> June 2018</w:t>
      </w:r>
      <w:r>
        <w:rPr>
          <w:rFonts w:ascii="Arial" w:hAnsi="Arial" w:cs="Arial"/>
          <w:color w:val="000000" w:themeColor="text1"/>
          <w:sz w:val="24"/>
          <w:szCs w:val="24"/>
        </w:rPr>
        <w:t xml:space="preserve">; that the order is unambiguous </w:t>
      </w:r>
      <w:r w:rsidRPr="000B2339">
        <w:rPr>
          <w:rFonts w:ascii="Arial" w:hAnsi="Arial" w:cs="Arial"/>
          <w:color w:val="000000" w:themeColor="text1"/>
          <w:sz w:val="24"/>
          <w:szCs w:val="24"/>
        </w:rPr>
        <w:t xml:space="preserve">and it would be impermissible to interpret it with reference to this court’s judgment in accordance with </w:t>
      </w:r>
      <w:r w:rsidR="00C66F24">
        <w:rPr>
          <w:rFonts w:ascii="Arial" w:hAnsi="Arial" w:cs="Arial"/>
          <w:i/>
          <w:color w:val="000000" w:themeColor="text1"/>
          <w:sz w:val="24"/>
          <w:szCs w:val="24"/>
        </w:rPr>
        <w:t>Administrator, Cape,</w:t>
      </w:r>
      <w:r w:rsidRPr="000B2339">
        <w:rPr>
          <w:rFonts w:ascii="Arial" w:hAnsi="Arial" w:cs="Arial"/>
          <w:i/>
          <w:color w:val="000000" w:themeColor="text1"/>
          <w:sz w:val="24"/>
          <w:szCs w:val="24"/>
        </w:rPr>
        <w:t xml:space="preserve"> &amp; another v Ntshwaqela &amp; others</w:t>
      </w:r>
      <w:r>
        <w:rPr>
          <w:rFonts w:ascii="Arial" w:hAnsi="Arial" w:cs="Arial"/>
          <w:color w:val="000000" w:themeColor="text1"/>
          <w:sz w:val="24"/>
          <w:szCs w:val="24"/>
        </w:rPr>
        <w:t xml:space="preserve"> 1990 (1) SA 705 (A)</w:t>
      </w:r>
      <w:r w:rsidRPr="000B2339">
        <w:rPr>
          <w:rFonts w:ascii="Arial" w:hAnsi="Arial" w:cs="Arial"/>
          <w:color w:val="000000" w:themeColor="text1"/>
          <w:sz w:val="24"/>
          <w:szCs w:val="24"/>
        </w:rPr>
        <w:t>.</w:t>
      </w:r>
    </w:p>
    <w:p w:rsidR="0069795E" w:rsidRDefault="0069795E" w:rsidP="0069795E">
      <w:pPr>
        <w:pStyle w:val="NoSpacing"/>
        <w:spacing w:line="360" w:lineRule="auto"/>
        <w:jc w:val="both"/>
        <w:rPr>
          <w:rFonts w:ascii="Arial" w:hAnsi="Arial" w:cs="Arial"/>
          <w:color w:val="000000" w:themeColor="text1"/>
          <w:sz w:val="24"/>
          <w:szCs w:val="24"/>
        </w:rPr>
      </w:pPr>
    </w:p>
    <w:p w:rsidR="0069795E" w:rsidRPr="000B2339" w:rsidRDefault="0069795E" w:rsidP="0069795E">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T</w:t>
      </w:r>
      <w:r w:rsidRPr="000B2339">
        <w:rPr>
          <w:rFonts w:ascii="Arial" w:hAnsi="Arial" w:cs="Arial"/>
          <w:color w:val="000000" w:themeColor="text1"/>
          <w:sz w:val="24"/>
          <w:szCs w:val="24"/>
        </w:rPr>
        <w:t>he</w:t>
      </w:r>
      <w:r>
        <w:rPr>
          <w:rFonts w:ascii="Arial" w:hAnsi="Arial" w:cs="Arial"/>
          <w:color w:val="000000" w:themeColor="text1"/>
          <w:sz w:val="24"/>
          <w:szCs w:val="24"/>
        </w:rPr>
        <w:t xml:space="preserve"> court </w:t>
      </w:r>
      <w:r w:rsidRPr="004937D6">
        <w:rPr>
          <w:rFonts w:ascii="Arial" w:hAnsi="Arial" w:cs="Arial"/>
          <w:i/>
          <w:color w:val="000000" w:themeColor="text1"/>
          <w:sz w:val="24"/>
          <w:szCs w:val="24"/>
        </w:rPr>
        <w:t>a quo</w:t>
      </w:r>
      <w:r w:rsidRPr="000B2339">
        <w:rPr>
          <w:rFonts w:ascii="Arial" w:hAnsi="Arial" w:cs="Arial"/>
          <w:color w:val="000000" w:themeColor="text1"/>
          <w:sz w:val="24"/>
          <w:szCs w:val="24"/>
        </w:rPr>
        <w:t xml:space="preserve"> upheld MTC’s exception. It found that there was no ambiguity in the order. Relying upon a statement contained in </w:t>
      </w:r>
      <w:r w:rsidR="00C66F24">
        <w:rPr>
          <w:rFonts w:ascii="Arial" w:hAnsi="Arial" w:cs="Arial"/>
          <w:i/>
          <w:color w:val="000000" w:themeColor="text1"/>
          <w:sz w:val="24"/>
          <w:szCs w:val="24"/>
        </w:rPr>
        <w:t>Administrator, Cape,</w:t>
      </w:r>
      <w:r w:rsidRPr="000B2339">
        <w:rPr>
          <w:rFonts w:ascii="Arial" w:hAnsi="Arial" w:cs="Arial"/>
          <w:color w:val="000000" w:themeColor="text1"/>
          <w:sz w:val="24"/>
          <w:szCs w:val="24"/>
        </w:rPr>
        <w:t xml:space="preserve"> the High Court held that in the absence of ambiguity, the meaning of the order cannot be restricted or extended by anything stated in the judgment of this court.</w:t>
      </w:r>
      <w:r>
        <w:rPr>
          <w:rFonts w:ascii="Arial" w:hAnsi="Arial" w:cs="Arial"/>
          <w:color w:val="000000" w:themeColor="text1"/>
          <w:sz w:val="24"/>
          <w:szCs w:val="24"/>
        </w:rPr>
        <w:t xml:space="preserve"> It found that</w:t>
      </w:r>
      <w:r w:rsidRPr="000B2339">
        <w:rPr>
          <w:rFonts w:ascii="Arial" w:hAnsi="Arial" w:cs="Arial"/>
          <w:color w:val="000000" w:themeColor="text1"/>
          <w:sz w:val="24"/>
          <w:szCs w:val="24"/>
        </w:rPr>
        <w:t xml:space="preserve"> by setting aside the order of the court below, this court proceeded to make and made the order which that court ought to have made. </w:t>
      </w:r>
      <w:r>
        <w:rPr>
          <w:rFonts w:ascii="Arial" w:hAnsi="Arial" w:cs="Arial"/>
          <w:color w:val="000000" w:themeColor="text1"/>
          <w:sz w:val="24"/>
          <w:szCs w:val="24"/>
        </w:rPr>
        <w:t>It concluded that ‘this judgment’ referred to in the substituted order is that of the High Court as it formed part of the substituted order of the High Court</w:t>
      </w:r>
      <w:r w:rsidRPr="000B2339">
        <w:rPr>
          <w:rFonts w:ascii="Arial" w:hAnsi="Arial" w:cs="Arial"/>
          <w:color w:val="000000" w:themeColor="text1"/>
          <w:sz w:val="24"/>
          <w:szCs w:val="24"/>
        </w:rPr>
        <w:t>.</w:t>
      </w:r>
    </w:p>
    <w:p w:rsidR="0069795E" w:rsidRDefault="0069795E" w:rsidP="0069795E">
      <w:pPr>
        <w:pStyle w:val="NoSpacing"/>
        <w:spacing w:line="360" w:lineRule="auto"/>
        <w:jc w:val="both"/>
        <w:rPr>
          <w:rFonts w:ascii="Arial" w:hAnsi="Arial" w:cs="Arial"/>
          <w:color w:val="000000" w:themeColor="text1"/>
          <w:sz w:val="24"/>
          <w:szCs w:val="24"/>
        </w:rPr>
      </w:pPr>
    </w:p>
    <w:p w:rsidR="0069795E" w:rsidRDefault="0069795E" w:rsidP="0069795E">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This court must interpret the order of 1</w:t>
      </w:r>
      <w:r w:rsidR="00557D6C">
        <w:rPr>
          <w:rFonts w:ascii="Arial" w:hAnsi="Arial" w:cs="Arial"/>
          <w:color w:val="000000" w:themeColor="text1"/>
          <w:sz w:val="24"/>
          <w:szCs w:val="24"/>
        </w:rPr>
        <w:t>1</w:t>
      </w:r>
      <w:r>
        <w:rPr>
          <w:rFonts w:ascii="Arial" w:hAnsi="Arial" w:cs="Arial"/>
          <w:color w:val="000000" w:themeColor="text1"/>
          <w:sz w:val="24"/>
          <w:szCs w:val="24"/>
        </w:rPr>
        <w:t xml:space="preserve"> June 2018 as to when the order of invalidity was to operate from.</w:t>
      </w:r>
    </w:p>
    <w:p w:rsidR="0069795E" w:rsidRPr="00E1756A" w:rsidRDefault="0069795E" w:rsidP="0069795E">
      <w:pPr>
        <w:pStyle w:val="NoSpacing"/>
        <w:spacing w:line="360" w:lineRule="auto"/>
        <w:jc w:val="both"/>
        <w:rPr>
          <w:rFonts w:ascii="Arial" w:hAnsi="Arial" w:cs="Arial"/>
          <w:color w:val="000000" w:themeColor="text1"/>
          <w:sz w:val="24"/>
          <w:szCs w:val="24"/>
        </w:rPr>
      </w:pPr>
    </w:p>
    <w:p w:rsidR="0069795E" w:rsidRDefault="0069795E" w:rsidP="0069795E">
      <w:pPr>
        <w:pStyle w:val="NoSpacing"/>
        <w:spacing w:line="360" w:lineRule="auto"/>
        <w:jc w:val="both"/>
        <w:rPr>
          <w:rFonts w:ascii="Arial" w:hAnsi="Arial" w:cs="Arial"/>
          <w:sz w:val="24"/>
          <w:szCs w:val="24"/>
        </w:rPr>
      </w:pPr>
      <w:r w:rsidRPr="00BA7ED4">
        <w:rPr>
          <w:rFonts w:ascii="Arial" w:hAnsi="Arial" w:cs="Arial"/>
          <w:i/>
          <w:sz w:val="24"/>
          <w:szCs w:val="24"/>
        </w:rPr>
        <w:t>Held that</w:t>
      </w:r>
      <w:r>
        <w:rPr>
          <w:rFonts w:ascii="Arial" w:hAnsi="Arial" w:cs="Arial"/>
          <w:sz w:val="24"/>
          <w:szCs w:val="24"/>
        </w:rPr>
        <w:t xml:space="preserve">, the well-established approach to the interpretation of court judgments and orders is to follow the basic principles applicable to </w:t>
      </w:r>
      <w:r w:rsidR="007D4AE8">
        <w:rPr>
          <w:rFonts w:ascii="Arial" w:hAnsi="Arial" w:cs="Arial"/>
          <w:sz w:val="24"/>
          <w:szCs w:val="24"/>
        </w:rPr>
        <w:t>construing</w:t>
      </w:r>
      <w:r>
        <w:rPr>
          <w:rFonts w:ascii="Arial" w:hAnsi="Arial" w:cs="Arial"/>
          <w:sz w:val="24"/>
          <w:szCs w:val="24"/>
        </w:rPr>
        <w:t xml:space="preserve"> documents in order to ascertain the </w:t>
      </w:r>
      <w:r w:rsidR="007D4AE8">
        <w:rPr>
          <w:rFonts w:ascii="Arial" w:hAnsi="Arial" w:cs="Arial"/>
          <w:sz w:val="24"/>
          <w:szCs w:val="24"/>
        </w:rPr>
        <w:t>intention</w:t>
      </w:r>
      <w:r>
        <w:rPr>
          <w:rFonts w:ascii="Arial" w:hAnsi="Arial" w:cs="Arial"/>
          <w:sz w:val="24"/>
          <w:szCs w:val="24"/>
        </w:rPr>
        <w:t xml:space="preserve"> of the court. The well-known rules relating to the construction of text or documents stress the importance of the context in which a document is drafted which is ‘relevant to its construction in all circumstances, not only when the language appears to be ambiguous’.</w:t>
      </w:r>
    </w:p>
    <w:p w:rsidR="0069795E" w:rsidRDefault="0069795E" w:rsidP="0069795E">
      <w:pPr>
        <w:pStyle w:val="NoSpacing"/>
        <w:spacing w:line="360" w:lineRule="auto"/>
        <w:jc w:val="both"/>
        <w:rPr>
          <w:rFonts w:ascii="Arial" w:hAnsi="Arial" w:cs="Arial"/>
          <w:sz w:val="24"/>
          <w:szCs w:val="24"/>
        </w:rPr>
      </w:pPr>
    </w:p>
    <w:p w:rsidR="0069795E" w:rsidRDefault="0069795E" w:rsidP="0069795E">
      <w:pPr>
        <w:pStyle w:val="NoSpacing"/>
        <w:spacing w:line="360" w:lineRule="auto"/>
        <w:jc w:val="both"/>
        <w:rPr>
          <w:rFonts w:ascii="Arial" w:hAnsi="Arial" w:cs="Arial"/>
          <w:color w:val="000000" w:themeColor="text1"/>
          <w:sz w:val="24"/>
          <w:szCs w:val="24"/>
        </w:rPr>
      </w:pPr>
      <w:r w:rsidRPr="004937D6">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t</w:t>
      </w:r>
      <w:r w:rsidRPr="000B2339">
        <w:rPr>
          <w:rFonts w:ascii="Arial" w:hAnsi="Arial" w:cs="Arial"/>
          <w:color w:val="000000" w:themeColor="text1"/>
          <w:sz w:val="24"/>
          <w:szCs w:val="24"/>
        </w:rPr>
        <w:t xml:space="preserve">his court’s intention, as ascertained from the entire </w:t>
      </w:r>
      <w:r w:rsidRPr="00E14C13">
        <w:rPr>
          <w:rFonts w:ascii="Arial" w:hAnsi="Arial" w:cs="Arial"/>
          <w:color w:val="000000" w:themeColor="text1"/>
          <w:sz w:val="24"/>
          <w:szCs w:val="24"/>
        </w:rPr>
        <w:t>judgment and order</w:t>
      </w:r>
      <w:r>
        <w:rPr>
          <w:rFonts w:ascii="Arial" w:hAnsi="Arial" w:cs="Arial"/>
          <w:color w:val="000000" w:themeColor="text1"/>
          <w:sz w:val="24"/>
          <w:szCs w:val="24"/>
        </w:rPr>
        <w:t xml:space="preserve"> on 1</w:t>
      </w:r>
      <w:r w:rsidR="00557D6C">
        <w:rPr>
          <w:rFonts w:ascii="Arial" w:hAnsi="Arial" w:cs="Arial"/>
          <w:color w:val="000000" w:themeColor="text1"/>
          <w:sz w:val="24"/>
          <w:szCs w:val="24"/>
        </w:rPr>
        <w:t>1</w:t>
      </w:r>
      <w:r>
        <w:rPr>
          <w:rFonts w:ascii="Arial" w:hAnsi="Arial" w:cs="Arial"/>
          <w:color w:val="000000" w:themeColor="text1"/>
          <w:sz w:val="24"/>
          <w:szCs w:val="24"/>
        </w:rPr>
        <w:t xml:space="preserve"> June 2018</w:t>
      </w:r>
      <w:r w:rsidRPr="000B2339">
        <w:rPr>
          <w:rFonts w:ascii="Arial" w:hAnsi="Arial" w:cs="Arial"/>
          <w:color w:val="000000" w:themeColor="text1"/>
          <w:sz w:val="24"/>
          <w:szCs w:val="24"/>
        </w:rPr>
        <w:t xml:space="preserve"> </w:t>
      </w:r>
      <w:r>
        <w:rPr>
          <w:rFonts w:ascii="Arial" w:hAnsi="Arial" w:cs="Arial"/>
          <w:color w:val="000000" w:themeColor="text1"/>
          <w:sz w:val="24"/>
          <w:szCs w:val="24"/>
        </w:rPr>
        <w:t xml:space="preserve">is </w:t>
      </w:r>
      <w:r w:rsidRPr="000B2339">
        <w:rPr>
          <w:rFonts w:ascii="Arial" w:hAnsi="Arial" w:cs="Arial"/>
          <w:color w:val="000000" w:themeColor="text1"/>
          <w:sz w:val="24"/>
          <w:szCs w:val="24"/>
        </w:rPr>
        <w:t>abundantly clear</w:t>
      </w:r>
      <w:r>
        <w:rPr>
          <w:rFonts w:ascii="Arial" w:hAnsi="Arial" w:cs="Arial"/>
          <w:color w:val="000000" w:themeColor="text1"/>
          <w:sz w:val="24"/>
          <w:szCs w:val="24"/>
        </w:rPr>
        <w:t>, as demonstrated emphatically from the passages therein.</w:t>
      </w:r>
    </w:p>
    <w:p w:rsidR="0069795E" w:rsidRDefault="0069795E" w:rsidP="0069795E">
      <w:pPr>
        <w:pStyle w:val="NoSpacing"/>
        <w:spacing w:line="360" w:lineRule="auto"/>
        <w:jc w:val="both"/>
        <w:rPr>
          <w:rFonts w:ascii="Arial" w:hAnsi="Arial" w:cs="Arial"/>
          <w:color w:val="000000" w:themeColor="text1"/>
          <w:sz w:val="24"/>
          <w:szCs w:val="24"/>
        </w:rPr>
      </w:pPr>
    </w:p>
    <w:p w:rsidR="0069795E" w:rsidRPr="004937D6" w:rsidRDefault="0069795E" w:rsidP="0069795E">
      <w:pPr>
        <w:pStyle w:val="NoSpacing"/>
        <w:spacing w:line="360" w:lineRule="auto"/>
        <w:jc w:val="both"/>
        <w:rPr>
          <w:rFonts w:ascii="Arial" w:hAnsi="Arial" w:cs="Arial"/>
          <w:sz w:val="24"/>
          <w:szCs w:val="24"/>
        </w:rPr>
      </w:pPr>
      <w:r w:rsidRPr="004937D6">
        <w:rPr>
          <w:rFonts w:ascii="Arial" w:hAnsi="Arial" w:cs="Arial"/>
          <w:i/>
          <w:color w:val="000000" w:themeColor="text1"/>
          <w:sz w:val="24"/>
          <w:szCs w:val="24"/>
        </w:rPr>
        <w:t>Held that</w:t>
      </w:r>
      <w:r>
        <w:rPr>
          <w:rFonts w:ascii="Arial" w:hAnsi="Arial" w:cs="Arial"/>
          <w:color w:val="000000" w:themeColor="text1"/>
          <w:sz w:val="24"/>
          <w:szCs w:val="24"/>
        </w:rPr>
        <w:t xml:space="preserve">, </w:t>
      </w:r>
      <w:r w:rsidRPr="000B2339">
        <w:rPr>
          <w:rFonts w:ascii="Arial" w:hAnsi="Arial" w:cs="Arial"/>
          <w:color w:val="000000" w:themeColor="text1"/>
          <w:sz w:val="24"/>
          <w:szCs w:val="24"/>
        </w:rPr>
        <w:t xml:space="preserve">this court intended that the order of invalidity operate </w:t>
      </w:r>
      <w:r w:rsidRPr="000B2339">
        <w:rPr>
          <w:rFonts w:ascii="Arial" w:hAnsi="Arial" w:cs="Arial"/>
          <w:i/>
          <w:color w:val="000000" w:themeColor="text1"/>
          <w:sz w:val="24"/>
          <w:szCs w:val="24"/>
        </w:rPr>
        <w:t>ex nunc</w:t>
      </w:r>
      <w:r w:rsidRPr="000B2339">
        <w:rPr>
          <w:rFonts w:ascii="Arial" w:hAnsi="Arial" w:cs="Arial"/>
          <w:color w:val="000000" w:themeColor="text1"/>
          <w:sz w:val="24"/>
          <w:szCs w:val="24"/>
        </w:rPr>
        <w:t xml:space="preserve"> (from now on) from the confirmation of invalidity </w:t>
      </w:r>
      <w:r w:rsidRPr="00E14C13">
        <w:rPr>
          <w:rFonts w:ascii="Arial" w:hAnsi="Arial" w:cs="Arial"/>
          <w:color w:val="000000" w:themeColor="text1"/>
          <w:sz w:val="24"/>
          <w:szCs w:val="24"/>
        </w:rPr>
        <w:t>by this court.</w:t>
      </w:r>
      <w:r w:rsidRPr="000B2339">
        <w:rPr>
          <w:rFonts w:ascii="Arial" w:hAnsi="Arial" w:cs="Arial"/>
          <w:color w:val="000000" w:themeColor="text1"/>
          <w:sz w:val="24"/>
          <w:szCs w:val="24"/>
        </w:rPr>
        <w:t xml:space="preserve"> The reference to the </w:t>
      </w:r>
      <w:r>
        <w:rPr>
          <w:rFonts w:ascii="Arial" w:hAnsi="Arial" w:cs="Arial"/>
          <w:color w:val="000000" w:themeColor="text1"/>
          <w:sz w:val="24"/>
          <w:szCs w:val="24"/>
        </w:rPr>
        <w:t>‘</w:t>
      </w:r>
      <w:r w:rsidRPr="000B2339">
        <w:rPr>
          <w:rFonts w:ascii="Arial" w:hAnsi="Arial" w:cs="Arial"/>
          <w:color w:val="000000" w:themeColor="text1"/>
          <w:sz w:val="24"/>
          <w:szCs w:val="24"/>
        </w:rPr>
        <w:t>judgment of this court</w:t>
      </w:r>
      <w:r>
        <w:rPr>
          <w:rFonts w:ascii="Arial" w:hAnsi="Arial" w:cs="Arial"/>
          <w:color w:val="000000" w:themeColor="text1"/>
          <w:sz w:val="24"/>
          <w:szCs w:val="24"/>
        </w:rPr>
        <w:t>’</w:t>
      </w:r>
      <w:r w:rsidRPr="000B2339">
        <w:rPr>
          <w:rFonts w:ascii="Arial" w:hAnsi="Arial" w:cs="Arial"/>
          <w:color w:val="000000" w:themeColor="text1"/>
          <w:sz w:val="24"/>
          <w:szCs w:val="24"/>
        </w:rPr>
        <w:t xml:space="preserve"> in </w:t>
      </w:r>
      <w:r>
        <w:rPr>
          <w:rFonts w:ascii="Arial" w:hAnsi="Arial" w:cs="Arial"/>
          <w:color w:val="000000" w:themeColor="text1"/>
          <w:sz w:val="24"/>
          <w:szCs w:val="24"/>
        </w:rPr>
        <w:t xml:space="preserve">subparagraph (b) of </w:t>
      </w:r>
      <w:r w:rsidRPr="000B2339">
        <w:rPr>
          <w:rFonts w:ascii="Arial" w:hAnsi="Arial" w:cs="Arial"/>
          <w:color w:val="000000" w:themeColor="text1"/>
          <w:sz w:val="24"/>
          <w:szCs w:val="24"/>
        </w:rPr>
        <w:t>the order clearly intended</w:t>
      </w:r>
      <w:r>
        <w:rPr>
          <w:rFonts w:ascii="Arial" w:hAnsi="Arial" w:cs="Arial"/>
          <w:color w:val="000000" w:themeColor="text1"/>
          <w:sz w:val="24"/>
          <w:szCs w:val="24"/>
        </w:rPr>
        <w:t xml:space="preserve"> to mean</w:t>
      </w:r>
      <w:r w:rsidRPr="000B2339">
        <w:rPr>
          <w:rFonts w:ascii="Arial" w:hAnsi="Arial" w:cs="Arial"/>
          <w:color w:val="000000" w:themeColor="text1"/>
          <w:sz w:val="24"/>
          <w:szCs w:val="24"/>
        </w:rPr>
        <w:t xml:space="preserve"> from the date of the judgment of the Supreme Court.</w:t>
      </w:r>
    </w:p>
    <w:p w:rsidR="0069795E" w:rsidRPr="000252CB" w:rsidRDefault="0069795E" w:rsidP="0069795E">
      <w:pPr>
        <w:pStyle w:val="NoSpacing"/>
        <w:spacing w:line="360" w:lineRule="auto"/>
        <w:jc w:val="both"/>
        <w:rPr>
          <w:rFonts w:ascii="Arial" w:hAnsi="Arial" w:cs="Arial"/>
          <w:sz w:val="24"/>
          <w:szCs w:val="24"/>
        </w:rPr>
      </w:pPr>
    </w:p>
    <w:p w:rsidR="0069795E" w:rsidRPr="000252CB" w:rsidRDefault="0069795E" w:rsidP="0069795E">
      <w:pPr>
        <w:pStyle w:val="NoSpacing"/>
        <w:spacing w:line="360" w:lineRule="auto"/>
        <w:jc w:val="both"/>
        <w:rPr>
          <w:rFonts w:ascii="Arial" w:hAnsi="Arial" w:cs="Arial"/>
          <w:sz w:val="24"/>
          <w:szCs w:val="24"/>
        </w:rPr>
      </w:pPr>
      <w:r w:rsidRPr="005F58B3">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 xml:space="preserve">the statement relied upon by MTC in </w:t>
      </w:r>
      <w:r w:rsidR="00C66F24">
        <w:rPr>
          <w:rFonts w:ascii="Arial" w:hAnsi="Arial" w:cs="Arial"/>
          <w:i/>
          <w:color w:val="000000" w:themeColor="text1"/>
          <w:sz w:val="24"/>
          <w:szCs w:val="24"/>
        </w:rPr>
        <w:t>Administrator, Cape,</w:t>
      </w:r>
      <w:r>
        <w:rPr>
          <w:rFonts w:ascii="Arial" w:hAnsi="Arial" w:cs="Arial"/>
          <w:color w:val="000000" w:themeColor="text1"/>
          <w:sz w:val="24"/>
          <w:szCs w:val="24"/>
        </w:rPr>
        <w:t xml:space="preserve"> is taken out of the context of that court’s judgment and is not authority for the proposition that if an order is clear, the ratio and reasoning of the court are to be ignored. </w:t>
      </w:r>
    </w:p>
    <w:p w:rsidR="0069795E" w:rsidRPr="000252CB" w:rsidRDefault="0069795E" w:rsidP="0069795E">
      <w:pPr>
        <w:spacing w:after="0" w:line="360" w:lineRule="auto"/>
        <w:jc w:val="both"/>
        <w:rPr>
          <w:rFonts w:ascii="Arial" w:hAnsi="Arial" w:cs="Arial"/>
          <w:sz w:val="24"/>
          <w:szCs w:val="24"/>
        </w:rPr>
      </w:pPr>
    </w:p>
    <w:p w:rsidR="0069795E" w:rsidRPr="000252CB" w:rsidRDefault="0069795E" w:rsidP="0069795E">
      <w:pPr>
        <w:spacing w:after="0" w:line="360" w:lineRule="auto"/>
        <w:jc w:val="both"/>
        <w:rPr>
          <w:rFonts w:ascii="Arial" w:hAnsi="Arial" w:cs="Arial"/>
          <w:sz w:val="24"/>
          <w:szCs w:val="24"/>
        </w:rPr>
      </w:pPr>
      <w:r>
        <w:rPr>
          <w:rFonts w:ascii="Arial" w:hAnsi="Arial" w:cs="Arial"/>
          <w:sz w:val="24"/>
          <w:szCs w:val="24"/>
        </w:rPr>
        <w:t>This court thus finds that the date referenced to ‘the judgment of this court’ in the order given by this court on 1</w:t>
      </w:r>
      <w:r w:rsidR="00557D6C">
        <w:rPr>
          <w:rFonts w:ascii="Arial" w:hAnsi="Arial" w:cs="Arial"/>
          <w:sz w:val="24"/>
          <w:szCs w:val="24"/>
        </w:rPr>
        <w:t>1</w:t>
      </w:r>
      <w:r>
        <w:rPr>
          <w:rFonts w:ascii="Arial" w:hAnsi="Arial" w:cs="Arial"/>
          <w:sz w:val="24"/>
          <w:szCs w:val="24"/>
        </w:rPr>
        <w:t xml:space="preserve"> June 2018 replaces the High Court’s judgment and order and once the intention of this court is ascertained, it is clear </w:t>
      </w:r>
      <w:r>
        <w:rPr>
          <w:rFonts w:ascii="Arial" w:hAnsi="Arial" w:cs="Arial"/>
          <w:color w:val="000000" w:themeColor="text1"/>
          <w:sz w:val="24"/>
          <w:szCs w:val="24"/>
        </w:rPr>
        <w:t>that the date of the judgment of this court in that order means precisely that – the date of the judgment of the Supreme Court.</w:t>
      </w:r>
    </w:p>
    <w:p w:rsidR="0069795E" w:rsidRPr="000252CB" w:rsidRDefault="0069795E" w:rsidP="0069795E">
      <w:pPr>
        <w:spacing w:after="0" w:line="360" w:lineRule="auto"/>
        <w:jc w:val="both"/>
        <w:rPr>
          <w:rFonts w:ascii="Arial" w:hAnsi="Arial" w:cs="Arial"/>
          <w:sz w:val="24"/>
          <w:szCs w:val="24"/>
        </w:rPr>
      </w:pPr>
    </w:p>
    <w:p w:rsidR="0069795E" w:rsidRPr="00CA0792" w:rsidRDefault="0069795E" w:rsidP="0069795E">
      <w:pPr>
        <w:spacing w:after="0" w:line="360" w:lineRule="auto"/>
        <w:jc w:val="both"/>
        <w:rPr>
          <w:rFonts w:ascii="Arial" w:hAnsi="Arial" w:cs="Arial"/>
          <w:sz w:val="24"/>
          <w:szCs w:val="24"/>
        </w:rPr>
      </w:pPr>
      <w:r>
        <w:rPr>
          <w:rFonts w:ascii="Arial" w:hAnsi="Arial" w:cs="Arial"/>
          <w:sz w:val="24"/>
          <w:szCs w:val="24"/>
        </w:rPr>
        <w:t>Appeal succeeds.</w:t>
      </w:r>
    </w:p>
    <w:p w:rsidR="00B47262" w:rsidRPr="000B2339" w:rsidRDefault="00B47262" w:rsidP="00781A4E">
      <w:pPr>
        <w:spacing w:after="0" w:line="360" w:lineRule="auto"/>
        <w:jc w:val="both"/>
        <w:rPr>
          <w:rFonts w:ascii="Arial" w:hAnsi="Arial" w:cs="Arial"/>
          <w:color w:val="000000" w:themeColor="text1"/>
          <w:sz w:val="24"/>
          <w:szCs w:val="24"/>
        </w:rPr>
      </w:pPr>
    </w:p>
    <w:p w:rsidR="00EF6EF1" w:rsidRPr="000B2339" w:rsidRDefault="00EF6EF1" w:rsidP="002B6F2A">
      <w:pPr>
        <w:pStyle w:val="NoSpacing"/>
        <w:jc w:val="both"/>
        <w:rPr>
          <w:rFonts w:ascii="Arial" w:hAnsi="Arial" w:cs="Arial"/>
          <w:color w:val="000000" w:themeColor="text1"/>
          <w:sz w:val="24"/>
          <w:szCs w:val="24"/>
        </w:rPr>
      </w:pP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0B2339" w:rsidRDefault="00B40CD3" w:rsidP="00A26B21">
      <w:pPr>
        <w:pStyle w:val="NoSpacing"/>
        <w:rPr>
          <w:rFonts w:ascii="Arial" w:hAnsi="Arial" w:cs="Arial"/>
          <w:color w:val="000000" w:themeColor="text1"/>
          <w:sz w:val="24"/>
          <w:szCs w:val="24"/>
        </w:rPr>
      </w:pPr>
    </w:p>
    <w:p w:rsidR="008C3367" w:rsidRPr="000B2339" w:rsidRDefault="00933B34" w:rsidP="00395B99">
      <w:pPr>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SMUTS JA (</w:t>
      </w:r>
      <w:r w:rsidR="00781A4E" w:rsidRPr="000B2339">
        <w:rPr>
          <w:rFonts w:ascii="Arial" w:hAnsi="Arial" w:cs="Arial"/>
          <w:color w:val="000000" w:themeColor="text1"/>
          <w:sz w:val="24"/>
          <w:szCs w:val="24"/>
        </w:rPr>
        <w:t>DAMASEB</w:t>
      </w:r>
      <w:r w:rsidRPr="000B2339">
        <w:rPr>
          <w:rFonts w:ascii="Arial" w:hAnsi="Arial" w:cs="Arial"/>
          <w:color w:val="000000" w:themeColor="text1"/>
          <w:sz w:val="24"/>
          <w:szCs w:val="24"/>
        </w:rPr>
        <w:t xml:space="preserve"> </w:t>
      </w:r>
      <w:r w:rsidR="00781A4E" w:rsidRPr="000B2339">
        <w:rPr>
          <w:rFonts w:ascii="Arial" w:hAnsi="Arial" w:cs="Arial"/>
          <w:color w:val="000000" w:themeColor="text1"/>
          <w:sz w:val="24"/>
          <w:szCs w:val="24"/>
        </w:rPr>
        <w:t>D</w:t>
      </w:r>
      <w:r w:rsidRPr="000B2339">
        <w:rPr>
          <w:rFonts w:ascii="Arial" w:hAnsi="Arial" w:cs="Arial"/>
          <w:color w:val="000000" w:themeColor="text1"/>
          <w:sz w:val="24"/>
          <w:szCs w:val="24"/>
        </w:rPr>
        <w:t xml:space="preserve">CJ and </w:t>
      </w:r>
      <w:r w:rsidR="00781A4E" w:rsidRPr="000B2339">
        <w:rPr>
          <w:rFonts w:ascii="Arial" w:hAnsi="Arial" w:cs="Arial"/>
          <w:color w:val="000000" w:themeColor="text1"/>
          <w:sz w:val="24"/>
          <w:szCs w:val="24"/>
        </w:rPr>
        <w:t xml:space="preserve">MAINGA </w:t>
      </w:r>
      <w:r w:rsidRPr="000B2339">
        <w:rPr>
          <w:rFonts w:ascii="Arial" w:hAnsi="Arial" w:cs="Arial"/>
          <w:color w:val="000000" w:themeColor="text1"/>
          <w:sz w:val="24"/>
          <w:szCs w:val="24"/>
        </w:rPr>
        <w:t>JA concurring):</w:t>
      </w:r>
    </w:p>
    <w:p w:rsidR="00512A29"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781A4E" w:rsidRPr="000B2339">
        <w:rPr>
          <w:rFonts w:ascii="Arial" w:hAnsi="Arial" w:cs="Arial"/>
          <w:color w:val="000000" w:themeColor="text1"/>
          <w:sz w:val="24"/>
          <w:szCs w:val="24"/>
        </w:rPr>
        <w:t xml:space="preserve">This appeal concerns the interpretation of an order of this court made in </w:t>
      </w:r>
      <w:bookmarkStart w:id="0" w:name="_GoBack"/>
      <w:r w:rsidR="00781A4E" w:rsidRPr="000B2339">
        <w:rPr>
          <w:rFonts w:ascii="Arial" w:hAnsi="Arial" w:cs="Arial"/>
          <w:i/>
          <w:color w:val="000000" w:themeColor="text1"/>
          <w:sz w:val="24"/>
          <w:szCs w:val="24"/>
        </w:rPr>
        <w:t xml:space="preserve">Communications Regulatory Authority of Namibia v Telecom Namibia </w:t>
      </w:r>
      <w:r w:rsidR="00C66F24">
        <w:rPr>
          <w:rFonts w:ascii="Arial" w:hAnsi="Arial" w:cs="Arial"/>
          <w:i/>
          <w:color w:val="000000" w:themeColor="text1"/>
          <w:sz w:val="24"/>
          <w:szCs w:val="24"/>
        </w:rPr>
        <w:t xml:space="preserve">Ltd </w:t>
      </w:r>
      <w:r w:rsidR="00781A4E" w:rsidRPr="000B2339">
        <w:rPr>
          <w:rFonts w:ascii="Arial" w:hAnsi="Arial" w:cs="Arial"/>
          <w:i/>
          <w:color w:val="000000" w:themeColor="text1"/>
          <w:sz w:val="24"/>
          <w:szCs w:val="24"/>
        </w:rPr>
        <w:t>&amp; others</w:t>
      </w:r>
      <w:r w:rsidR="00781A4E" w:rsidRPr="000B2339">
        <w:rPr>
          <w:rFonts w:ascii="Arial" w:hAnsi="Arial" w:cs="Arial"/>
          <w:color w:val="000000" w:themeColor="text1"/>
          <w:sz w:val="24"/>
          <w:szCs w:val="24"/>
        </w:rPr>
        <w:t>.</w:t>
      </w:r>
      <w:r w:rsidR="00781A4E" w:rsidRPr="000B2339">
        <w:rPr>
          <w:rStyle w:val="FootnoteReference"/>
          <w:rFonts w:ascii="Arial" w:hAnsi="Arial" w:cs="Arial"/>
          <w:color w:val="000000" w:themeColor="text1"/>
          <w:sz w:val="24"/>
          <w:szCs w:val="24"/>
        </w:rPr>
        <w:footnoteReference w:id="1"/>
      </w:r>
    </w:p>
    <w:bookmarkEnd w:id="0"/>
    <w:p w:rsidR="00B93393" w:rsidRPr="000B2339" w:rsidRDefault="00B93393" w:rsidP="00B93393">
      <w:pPr>
        <w:pStyle w:val="NoSpacing"/>
        <w:spacing w:line="480" w:lineRule="auto"/>
        <w:jc w:val="bot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w:t>
      </w:r>
      <w:r w:rsidRPr="000B2339">
        <w:rPr>
          <w:rFonts w:ascii="Arial" w:hAnsi="Arial" w:cs="Arial"/>
          <w:color w:val="000000" w:themeColor="text1"/>
          <w:sz w:val="24"/>
          <w:szCs w:val="24"/>
        </w:rPr>
        <w:tab/>
      </w:r>
      <w:r w:rsidR="00781A4E" w:rsidRPr="000B2339">
        <w:rPr>
          <w:rFonts w:ascii="Arial" w:hAnsi="Arial" w:cs="Arial"/>
          <w:color w:val="000000" w:themeColor="text1"/>
          <w:sz w:val="24"/>
          <w:szCs w:val="24"/>
        </w:rPr>
        <w:t>At issue is the liability of telecommunications licenc</w:t>
      </w:r>
      <w:r w:rsidR="00BD50FA" w:rsidRPr="000B2339">
        <w:rPr>
          <w:rFonts w:ascii="Arial" w:hAnsi="Arial" w:cs="Arial"/>
          <w:color w:val="000000" w:themeColor="text1"/>
          <w:sz w:val="24"/>
          <w:szCs w:val="24"/>
        </w:rPr>
        <w:t>e</w:t>
      </w:r>
      <w:r w:rsidR="00781A4E" w:rsidRPr="000B2339">
        <w:rPr>
          <w:rFonts w:ascii="Arial" w:hAnsi="Arial" w:cs="Arial"/>
          <w:color w:val="000000" w:themeColor="text1"/>
          <w:sz w:val="24"/>
          <w:szCs w:val="24"/>
        </w:rPr>
        <w:t xml:space="preserve">es such as the respondent </w:t>
      </w:r>
      <w:r w:rsidR="00D655D7" w:rsidRPr="00D655D7">
        <w:rPr>
          <w:rFonts w:ascii="Arial" w:hAnsi="Arial" w:cs="Arial"/>
          <w:color w:val="000000" w:themeColor="text1"/>
          <w:sz w:val="24"/>
          <w:szCs w:val="24"/>
        </w:rPr>
        <w:t xml:space="preserve">Mobile Telecommunications Company </w:t>
      </w:r>
      <w:r w:rsidR="00D655D7">
        <w:rPr>
          <w:rFonts w:ascii="Arial" w:hAnsi="Arial" w:cs="Arial"/>
          <w:color w:val="000000" w:themeColor="text1"/>
          <w:sz w:val="24"/>
          <w:szCs w:val="24"/>
        </w:rPr>
        <w:t>o</w:t>
      </w:r>
      <w:r w:rsidR="00D655D7" w:rsidRPr="00D655D7">
        <w:rPr>
          <w:rFonts w:ascii="Arial" w:hAnsi="Arial" w:cs="Arial"/>
          <w:color w:val="000000" w:themeColor="text1"/>
          <w:sz w:val="24"/>
          <w:szCs w:val="24"/>
        </w:rPr>
        <w:t>f Namibia</w:t>
      </w:r>
      <w:r w:rsidR="00D655D7" w:rsidRPr="000B2339">
        <w:rPr>
          <w:rFonts w:ascii="Arial" w:hAnsi="Arial" w:cs="Arial"/>
          <w:color w:val="000000" w:themeColor="text1"/>
          <w:sz w:val="24"/>
          <w:szCs w:val="24"/>
        </w:rPr>
        <w:t xml:space="preserve"> </w:t>
      </w:r>
      <w:r w:rsidR="00781A4E" w:rsidRPr="000B2339">
        <w:rPr>
          <w:rFonts w:ascii="Arial" w:hAnsi="Arial" w:cs="Arial"/>
          <w:color w:val="000000" w:themeColor="text1"/>
          <w:sz w:val="24"/>
          <w:szCs w:val="24"/>
        </w:rPr>
        <w:t>(MTC) to pay regulatory levies under a provision – s 23(2</w:t>
      </w:r>
      <w:r w:rsidR="00781A4E" w:rsidRPr="00384FD6">
        <w:rPr>
          <w:rFonts w:ascii="Arial" w:hAnsi="Arial" w:cs="Arial"/>
          <w:color w:val="000000" w:themeColor="text1"/>
          <w:sz w:val="24"/>
          <w:szCs w:val="24"/>
        </w:rPr>
        <w:t>)(</w:t>
      </w:r>
      <w:r w:rsidR="00781A4E" w:rsidRPr="00384FD6">
        <w:rPr>
          <w:rFonts w:ascii="Arial" w:hAnsi="Arial" w:cs="Arial"/>
          <w:i/>
          <w:color w:val="000000" w:themeColor="text1"/>
          <w:sz w:val="24"/>
          <w:szCs w:val="24"/>
        </w:rPr>
        <w:t>a</w:t>
      </w:r>
      <w:r w:rsidR="00781A4E" w:rsidRPr="00384FD6">
        <w:rPr>
          <w:rFonts w:ascii="Arial" w:hAnsi="Arial" w:cs="Arial"/>
          <w:color w:val="000000" w:themeColor="text1"/>
          <w:sz w:val="24"/>
          <w:szCs w:val="24"/>
        </w:rPr>
        <w:t>)</w:t>
      </w:r>
      <w:r w:rsidR="00384FD6">
        <w:rPr>
          <w:rFonts w:ascii="Arial" w:hAnsi="Arial" w:cs="Arial"/>
          <w:color w:val="000000" w:themeColor="text1"/>
          <w:sz w:val="24"/>
          <w:szCs w:val="24"/>
        </w:rPr>
        <w:t xml:space="preserve"> – of the Communications Act</w:t>
      </w:r>
      <w:r w:rsidR="00781A4E" w:rsidRPr="000B2339">
        <w:rPr>
          <w:rFonts w:ascii="Arial" w:hAnsi="Arial" w:cs="Arial"/>
          <w:color w:val="000000" w:themeColor="text1"/>
          <w:sz w:val="24"/>
          <w:szCs w:val="24"/>
        </w:rPr>
        <w:t xml:space="preserve"> 8 of 2009. The High Court had struck down that provision as </w:t>
      </w:r>
      <w:r w:rsidR="00BD50FA" w:rsidRPr="000B2339">
        <w:rPr>
          <w:rFonts w:ascii="Arial" w:hAnsi="Arial" w:cs="Arial"/>
          <w:color w:val="000000" w:themeColor="text1"/>
          <w:sz w:val="24"/>
          <w:szCs w:val="24"/>
        </w:rPr>
        <w:t>un</w:t>
      </w:r>
      <w:r w:rsidR="00781A4E" w:rsidRPr="000B2339">
        <w:rPr>
          <w:rFonts w:ascii="Arial" w:hAnsi="Arial" w:cs="Arial"/>
          <w:color w:val="000000" w:themeColor="text1"/>
          <w:sz w:val="24"/>
          <w:szCs w:val="24"/>
        </w:rPr>
        <w:t xml:space="preserve">constitutional on 29 </w:t>
      </w:r>
      <w:r w:rsidR="00781A4E" w:rsidRPr="000B2339">
        <w:rPr>
          <w:rFonts w:ascii="Arial" w:hAnsi="Arial" w:cs="Arial"/>
          <w:color w:val="000000" w:themeColor="text1"/>
          <w:sz w:val="24"/>
          <w:szCs w:val="24"/>
        </w:rPr>
        <w:lastRenderedPageBreak/>
        <w:t xml:space="preserve">September 2016. </w:t>
      </w:r>
      <w:r w:rsidR="00562E0B" w:rsidRPr="000B2339">
        <w:rPr>
          <w:rFonts w:ascii="Arial" w:hAnsi="Arial" w:cs="Arial"/>
          <w:color w:val="000000" w:themeColor="text1"/>
          <w:sz w:val="24"/>
          <w:szCs w:val="24"/>
        </w:rPr>
        <w:t xml:space="preserve">CRAN </w:t>
      </w:r>
      <w:r w:rsidR="00781A4E" w:rsidRPr="000B2339">
        <w:rPr>
          <w:rFonts w:ascii="Arial" w:hAnsi="Arial" w:cs="Arial"/>
          <w:color w:val="000000" w:themeColor="text1"/>
          <w:sz w:val="24"/>
          <w:szCs w:val="24"/>
        </w:rPr>
        <w:t>appealed to this court which upheld its appeal but struck down the provision as unconstitutional on a basis different to that of the High Court. This court, on 1</w:t>
      </w:r>
      <w:r w:rsidR="00557D6C">
        <w:rPr>
          <w:rFonts w:ascii="Arial" w:hAnsi="Arial" w:cs="Arial"/>
          <w:color w:val="000000" w:themeColor="text1"/>
          <w:sz w:val="24"/>
          <w:szCs w:val="24"/>
        </w:rPr>
        <w:t>1</w:t>
      </w:r>
      <w:r w:rsidR="00781A4E" w:rsidRPr="000B2339">
        <w:rPr>
          <w:rFonts w:ascii="Arial" w:hAnsi="Arial" w:cs="Arial"/>
          <w:color w:val="000000" w:themeColor="text1"/>
          <w:sz w:val="24"/>
          <w:szCs w:val="24"/>
        </w:rPr>
        <w:t xml:space="preserve"> June 201</w:t>
      </w:r>
      <w:r w:rsidR="00BD50FA" w:rsidRPr="000B2339">
        <w:rPr>
          <w:rFonts w:ascii="Arial" w:hAnsi="Arial" w:cs="Arial"/>
          <w:color w:val="000000" w:themeColor="text1"/>
          <w:sz w:val="24"/>
          <w:szCs w:val="24"/>
        </w:rPr>
        <w:t>8</w:t>
      </w:r>
      <w:r w:rsidR="00781A4E" w:rsidRPr="000B2339">
        <w:rPr>
          <w:rFonts w:ascii="Arial" w:hAnsi="Arial" w:cs="Arial"/>
          <w:color w:val="000000" w:themeColor="text1"/>
          <w:sz w:val="24"/>
          <w:szCs w:val="24"/>
        </w:rPr>
        <w:t>, substituted the order of the High Court with the following order:</w:t>
      </w:r>
    </w:p>
    <w:p w:rsidR="00781A4E" w:rsidRPr="000B2339" w:rsidRDefault="00781A4E" w:rsidP="008E24D5">
      <w:pPr>
        <w:pStyle w:val="ListParagraph"/>
        <w:spacing w:after="0" w:line="360" w:lineRule="auto"/>
        <w:rPr>
          <w:rFonts w:ascii="Arial" w:hAnsi="Arial" w:cs="Arial"/>
          <w:color w:val="000000" w:themeColor="text1"/>
          <w:sz w:val="24"/>
          <w:szCs w:val="24"/>
        </w:rPr>
      </w:pPr>
    </w:p>
    <w:p w:rsidR="008E24D5" w:rsidRPr="000B2339" w:rsidRDefault="008E24D5" w:rsidP="00530881">
      <w:pPr>
        <w:pStyle w:val="NormalWeb"/>
        <w:shd w:val="clear" w:color="auto" w:fill="FFFFFF"/>
        <w:spacing w:before="0" w:beforeAutospacing="0" w:after="0" w:afterAutospacing="0" w:line="360" w:lineRule="auto"/>
        <w:ind w:left="720"/>
        <w:jc w:val="both"/>
        <w:rPr>
          <w:rFonts w:ascii="Arial" w:hAnsi="Arial" w:cs="Arial"/>
          <w:color w:val="000000" w:themeColor="text1"/>
          <w:sz w:val="22"/>
          <w:szCs w:val="22"/>
        </w:rPr>
      </w:pPr>
      <w:r w:rsidRPr="000B2339">
        <w:rPr>
          <w:rFonts w:ascii="Arial" w:hAnsi="Arial" w:cs="Arial"/>
          <w:color w:val="000000" w:themeColor="text1"/>
          <w:sz w:val="22"/>
          <w:szCs w:val="22"/>
        </w:rPr>
        <w:t>‘The appeal succeeds and the order of the High Court is set aside and substituted for the following:</w:t>
      </w:r>
    </w:p>
    <w:p w:rsidR="008E24D5" w:rsidRPr="000B2339" w:rsidRDefault="008E24D5" w:rsidP="008E24D5">
      <w:pPr>
        <w:pStyle w:val="NormalWeb"/>
        <w:shd w:val="clear" w:color="auto" w:fill="FFFFFF"/>
        <w:spacing w:before="0" w:beforeAutospacing="0" w:after="0" w:afterAutospacing="0" w:line="360" w:lineRule="auto"/>
        <w:ind w:left="1444"/>
        <w:jc w:val="both"/>
        <w:rPr>
          <w:rFonts w:ascii="Arial" w:hAnsi="Arial" w:cs="Arial"/>
          <w:color w:val="000000" w:themeColor="text1"/>
          <w:sz w:val="22"/>
          <w:szCs w:val="22"/>
        </w:rPr>
      </w:pP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r w:rsidRPr="000B2339">
        <w:rPr>
          <w:rFonts w:ascii="Arial" w:hAnsi="Arial" w:cs="Arial"/>
          <w:color w:val="000000" w:themeColor="text1"/>
          <w:sz w:val="22"/>
          <w:szCs w:val="22"/>
        </w:rPr>
        <w:t>“(a)</w:t>
      </w:r>
      <w:r w:rsidRPr="000B2339">
        <w:rPr>
          <w:rFonts w:ascii="Arial" w:hAnsi="Arial" w:cs="Arial"/>
          <w:color w:val="000000" w:themeColor="text1"/>
          <w:sz w:val="22"/>
          <w:szCs w:val="22"/>
        </w:rPr>
        <w:tab/>
        <w:t>Section 23(2)</w:t>
      </w:r>
      <w:r w:rsidRPr="000B2339">
        <w:rPr>
          <w:rStyle w:val="Emphasis"/>
          <w:rFonts w:ascii="Arial" w:hAnsi="Arial" w:cs="Arial"/>
          <w:color w:val="000000" w:themeColor="text1"/>
          <w:sz w:val="22"/>
          <w:szCs w:val="22"/>
        </w:rPr>
        <w:t>(a)</w:t>
      </w:r>
      <w:r w:rsidRPr="000B2339">
        <w:rPr>
          <w:rFonts w:ascii="Arial" w:hAnsi="Arial" w:cs="Arial"/>
          <w:color w:val="000000" w:themeColor="text1"/>
          <w:sz w:val="22"/>
          <w:szCs w:val="22"/>
        </w:rPr>
        <w:t> of the Communications Act 8 of 2009 is declared unconstitut</w:t>
      </w:r>
      <w:r w:rsidR="00557D6C">
        <w:rPr>
          <w:rFonts w:ascii="Arial" w:hAnsi="Arial" w:cs="Arial"/>
          <w:color w:val="000000" w:themeColor="text1"/>
          <w:sz w:val="22"/>
          <w:szCs w:val="22"/>
        </w:rPr>
        <w:t>ional and is hereby struck down.</w:t>
      </w: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r w:rsidRPr="000B2339">
        <w:rPr>
          <w:rFonts w:ascii="Arial" w:hAnsi="Arial" w:cs="Arial"/>
          <w:color w:val="000000" w:themeColor="text1"/>
          <w:sz w:val="22"/>
          <w:szCs w:val="22"/>
        </w:rPr>
        <w:t xml:space="preserve">(b)        Subject to para </w:t>
      </w:r>
      <w:r w:rsidRPr="00557D6C">
        <w:rPr>
          <w:rFonts w:ascii="Arial" w:hAnsi="Arial" w:cs="Arial"/>
          <w:i/>
          <w:color w:val="000000" w:themeColor="text1"/>
          <w:sz w:val="22"/>
          <w:szCs w:val="22"/>
        </w:rPr>
        <w:t>(c)</w:t>
      </w:r>
      <w:r w:rsidRPr="000B2339">
        <w:rPr>
          <w:rFonts w:ascii="Arial" w:hAnsi="Arial" w:cs="Arial"/>
          <w:color w:val="000000" w:themeColor="text1"/>
          <w:sz w:val="22"/>
          <w:szCs w:val="22"/>
        </w:rPr>
        <w:t xml:space="preserve"> below, the order of invalidity in paragraph </w:t>
      </w:r>
      <w:r w:rsidRPr="00557D6C">
        <w:rPr>
          <w:rFonts w:ascii="Arial" w:hAnsi="Arial" w:cs="Arial"/>
          <w:i/>
          <w:color w:val="000000" w:themeColor="text1"/>
          <w:sz w:val="22"/>
          <w:szCs w:val="22"/>
        </w:rPr>
        <w:t>(a)</w:t>
      </w:r>
      <w:r w:rsidRPr="000B2339">
        <w:rPr>
          <w:rFonts w:ascii="Arial" w:hAnsi="Arial" w:cs="Arial"/>
          <w:color w:val="000000" w:themeColor="text1"/>
          <w:sz w:val="22"/>
          <w:szCs w:val="22"/>
        </w:rPr>
        <w:t xml:space="preserve"> will take ef</w:t>
      </w:r>
      <w:r w:rsidR="00557D6C">
        <w:rPr>
          <w:rFonts w:ascii="Arial" w:hAnsi="Arial" w:cs="Arial"/>
          <w:color w:val="000000" w:themeColor="text1"/>
          <w:sz w:val="22"/>
          <w:szCs w:val="22"/>
        </w:rPr>
        <w:t>fect from the date of this judg</w:t>
      </w:r>
      <w:r w:rsidRPr="000B2339">
        <w:rPr>
          <w:rFonts w:ascii="Arial" w:hAnsi="Arial" w:cs="Arial"/>
          <w:color w:val="000000" w:themeColor="text1"/>
          <w:sz w:val="22"/>
          <w:szCs w:val="22"/>
        </w:rPr>
        <w:t>ment and shall have no retrospective effect in respect of anything done pursuant</w:t>
      </w:r>
      <w:r w:rsidR="00557D6C">
        <w:rPr>
          <w:rFonts w:ascii="Arial" w:hAnsi="Arial" w:cs="Arial"/>
          <w:color w:val="000000" w:themeColor="text1"/>
          <w:sz w:val="22"/>
          <w:szCs w:val="22"/>
        </w:rPr>
        <w:t xml:space="preserve"> thereto prior to the said date.</w:t>
      </w: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r w:rsidRPr="000B2339">
        <w:rPr>
          <w:rFonts w:ascii="Arial" w:hAnsi="Arial" w:cs="Arial"/>
          <w:color w:val="000000" w:themeColor="text1"/>
          <w:sz w:val="22"/>
          <w:szCs w:val="22"/>
        </w:rPr>
        <w:t xml:space="preserve">(c)        Telecom shall not be liable to pay any levy imposed covering a period before the coming into force of Item 6 </w:t>
      </w:r>
      <w:r w:rsidRPr="00557D6C">
        <w:rPr>
          <w:rFonts w:ascii="Arial" w:hAnsi="Arial" w:cs="Arial"/>
          <w:color w:val="000000" w:themeColor="text1"/>
          <w:sz w:val="22"/>
          <w:szCs w:val="22"/>
        </w:rPr>
        <w:t>of </w:t>
      </w:r>
      <w:r w:rsidRPr="00557D6C">
        <w:rPr>
          <w:rStyle w:val="Emphasis"/>
          <w:rFonts w:ascii="Arial" w:hAnsi="Arial" w:cs="Arial"/>
          <w:i w:val="0"/>
          <w:color w:val="000000" w:themeColor="text1"/>
          <w:sz w:val="22"/>
          <w:szCs w:val="22"/>
        </w:rPr>
        <w:t>the Regulations Regarding Administrative and Licence Fees for Service Licences</w:t>
      </w:r>
      <w:r w:rsidRPr="00557D6C">
        <w:rPr>
          <w:rFonts w:ascii="Arial" w:hAnsi="Arial" w:cs="Arial"/>
          <w:i/>
          <w:color w:val="000000" w:themeColor="text1"/>
          <w:sz w:val="22"/>
          <w:szCs w:val="22"/>
        </w:rPr>
        <w:t>,</w:t>
      </w:r>
      <w:r w:rsidRPr="000B2339">
        <w:rPr>
          <w:rFonts w:ascii="Arial" w:hAnsi="Arial" w:cs="Arial"/>
          <w:color w:val="000000" w:themeColor="text1"/>
          <w:sz w:val="22"/>
          <w:szCs w:val="22"/>
        </w:rPr>
        <w:t xml:space="preserve"> published as GN 311 </w:t>
      </w:r>
      <w:r w:rsidR="00557D6C">
        <w:rPr>
          <w:rFonts w:ascii="Arial" w:hAnsi="Arial" w:cs="Arial"/>
          <w:color w:val="000000" w:themeColor="text1"/>
          <w:sz w:val="22"/>
          <w:szCs w:val="22"/>
        </w:rPr>
        <w:t>in GG 5037 on 13 September 2012.</w:t>
      </w: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r w:rsidRPr="000B2339">
        <w:rPr>
          <w:rFonts w:ascii="Arial" w:hAnsi="Arial" w:cs="Arial"/>
          <w:color w:val="000000" w:themeColor="text1"/>
          <w:sz w:val="22"/>
          <w:szCs w:val="22"/>
        </w:rPr>
        <w:t>(d)        There is no order in respect of costs.”</w:t>
      </w:r>
    </w:p>
    <w:p w:rsidR="008E24D5" w:rsidRPr="000B2339" w:rsidRDefault="008E24D5" w:rsidP="008E24D5">
      <w:pPr>
        <w:pStyle w:val="NormalWeb"/>
        <w:shd w:val="clear" w:color="auto" w:fill="FFFFFF"/>
        <w:spacing w:before="0" w:beforeAutospacing="0" w:after="0" w:afterAutospacing="0" w:line="360" w:lineRule="auto"/>
        <w:ind w:left="2268" w:hanging="828"/>
        <w:jc w:val="both"/>
        <w:rPr>
          <w:rFonts w:ascii="Arial" w:hAnsi="Arial" w:cs="Arial"/>
          <w:color w:val="000000" w:themeColor="text1"/>
          <w:sz w:val="22"/>
          <w:szCs w:val="22"/>
        </w:rPr>
      </w:pPr>
    </w:p>
    <w:p w:rsidR="00781A4E" w:rsidRPr="000B2339" w:rsidRDefault="008E24D5" w:rsidP="008E24D5">
      <w:pPr>
        <w:pStyle w:val="NormalWeb"/>
        <w:shd w:val="clear" w:color="auto" w:fill="FFFFFF"/>
        <w:spacing w:before="0" w:beforeAutospacing="0" w:after="0" w:afterAutospacing="0" w:line="360" w:lineRule="auto"/>
        <w:ind w:left="1418" w:hanging="698"/>
        <w:jc w:val="both"/>
        <w:rPr>
          <w:rFonts w:ascii="Arial" w:hAnsi="Arial" w:cs="Arial"/>
          <w:color w:val="000000" w:themeColor="text1"/>
          <w:sz w:val="22"/>
          <w:szCs w:val="22"/>
        </w:rPr>
      </w:pPr>
      <w:r w:rsidRPr="000B2339">
        <w:rPr>
          <w:rFonts w:ascii="Arial" w:hAnsi="Arial" w:cs="Arial"/>
          <w:color w:val="000000" w:themeColor="text1"/>
          <w:sz w:val="22"/>
          <w:szCs w:val="22"/>
        </w:rPr>
        <w:t>2.</w:t>
      </w:r>
      <w:r w:rsidRPr="000B2339">
        <w:rPr>
          <w:rFonts w:ascii="Arial" w:hAnsi="Arial" w:cs="Arial"/>
          <w:color w:val="000000" w:themeColor="text1"/>
          <w:sz w:val="22"/>
          <w:szCs w:val="22"/>
        </w:rPr>
        <w:tab/>
        <w:t>There shall be no order as to costs in the appeal and each party shall bear its own costs.</w:t>
      </w:r>
      <w:r w:rsidR="00781A4E" w:rsidRPr="000B2339">
        <w:rPr>
          <w:rFonts w:ascii="Arial" w:hAnsi="Arial" w:cs="Arial"/>
          <w:color w:val="000000" w:themeColor="text1"/>
          <w:sz w:val="22"/>
          <w:szCs w:val="22"/>
        </w:rPr>
        <w:t>’</w:t>
      </w:r>
    </w:p>
    <w:p w:rsidR="008E24D5" w:rsidRPr="000B2339" w:rsidRDefault="008E24D5" w:rsidP="008E24D5">
      <w:pPr>
        <w:pStyle w:val="NormalWeb"/>
        <w:shd w:val="clear" w:color="auto" w:fill="FFFFFF"/>
        <w:spacing w:before="0" w:beforeAutospacing="0" w:after="0" w:afterAutospacing="0" w:line="360" w:lineRule="auto"/>
        <w:ind w:left="1418" w:hanging="698"/>
        <w:rPr>
          <w:rFonts w:ascii="Arial" w:hAnsi="Arial" w:cs="Arial"/>
          <w:color w:val="000000" w:themeColor="text1"/>
          <w:sz w:val="22"/>
          <w:szCs w:val="22"/>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w:t>
      </w:r>
      <w:r w:rsidRPr="000B2339">
        <w:rPr>
          <w:rFonts w:ascii="Arial" w:hAnsi="Arial" w:cs="Arial"/>
          <w:color w:val="000000" w:themeColor="text1"/>
          <w:sz w:val="24"/>
          <w:szCs w:val="24"/>
        </w:rPr>
        <w:tab/>
      </w:r>
      <w:r w:rsidR="00194002" w:rsidRPr="000B2339">
        <w:rPr>
          <w:rFonts w:ascii="Arial" w:hAnsi="Arial" w:cs="Arial"/>
          <w:color w:val="000000" w:themeColor="text1"/>
          <w:sz w:val="24"/>
          <w:szCs w:val="24"/>
        </w:rPr>
        <w:t>The parties differed on their interpretation as to when the order of invalidity took effect</w:t>
      </w:r>
      <w:r w:rsidR="003A3301">
        <w:rPr>
          <w:rFonts w:ascii="Arial" w:hAnsi="Arial" w:cs="Arial"/>
          <w:color w:val="000000" w:themeColor="text1"/>
          <w:sz w:val="24"/>
          <w:szCs w:val="24"/>
        </w:rPr>
        <w:t xml:space="preserve"> under subparagraph (b)</w:t>
      </w:r>
      <w:r w:rsidR="00194002" w:rsidRPr="000B2339">
        <w:rPr>
          <w:rFonts w:ascii="Arial" w:hAnsi="Arial" w:cs="Arial"/>
          <w:color w:val="000000" w:themeColor="text1"/>
          <w:sz w:val="24"/>
          <w:szCs w:val="24"/>
        </w:rPr>
        <w:t xml:space="preserve">. In February 2019, </w:t>
      </w:r>
      <w:r w:rsidR="00562E0B" w:rsidRPr="000B2339">
        <w:rPr>
          <w:rFonts w:ascii="Arial" w:hAnsi="Arial" w:cs="Arial"/>
          <w:color w:val="000000" w:themeColor="text1"/>
          <w:sz w:val="24"/>
          <w:szCs w:val="24"/>
        </w:rPr>
        <w:t xml:space="preserve">CRAN </w:t>
      </w:r>
      <w:r w:rsidR="00194002" w:rsidRPr="000B2339">
        <w:rPr>
          <w:rFonts w:ascii="Arial" w:hAnsi="Arial" w:cs="Arial"/>
          <w:color w:val="000000" w:themeColor="text1"/>
          <w:sz w:val="24"/>
          <w:szCs w:val="24"/>
        </w:rPr>
        <w:t>applied to this court to clarify or interpret the order. This court declined to entertain that application.</w:t>
      </w:r>
    </w:p>
    <w:p w:rsidR="00781A4E" w:rsidRPr="000B2339" w:rsidRDefault="00781A4E" w:rsidP="00781A4E">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[4]</w:t>
      </w:r>
      <w:r w:rsidRPr="000B2339">
        <w:rPr>
          <w:rFonts w:ascii="Arial" w:hAnsi="Arial" w:cs="Arial"/>
          <w:color w:val="000000" w:themeColor="text1"/>
          <w:sz w:val="24"/>
          <w:szCs w:val="24"/>
        </w:rPr>
        <w:tab/>
      </w:r>
      <w:r w:rsidR="00562E0B" w:rsidRPr="000B2339">
        <w:rPr>
          <w:rFonts w:ascii="Arial" w:hAnsi="Arial" w:cs="Arial"/>
          <w:color w:val="000000" w:themeColor="text1"/>
          <w:sz w:val="24"/>
          <w:szCs w:val="24"/>
        </w:rPr>
        <w:t xml:space="preserve">CRAN </w:t>
      </w:r>
      <w:r w:rsidR="00346D7E">
        <w:rPr>
          <w:rFonts w:ascii="Arial" w:hAnsi="Arial" w:cs="Arial"/>
          <w:color w:val="000000" w:themeColor="text1"/>
          <w:sz w:val="24"/>
          <w:szCs w:val="24"/>
        </w:rPr>
        <w:t>had also</w:t>
      </w:r>
      <w:r w:rsidR="00194002" w:rsidRPr="000B2339">
        <w:rPr>
          <w:rFonts w:ascii="Arial" w:hAnsi="Arial" w:cs="Arial"/>
          <w:color w:val="000000" w:themeColor="text1"/>
          <w:sz w:val="24"/>
          <w:szCs w:val="24"/>
        </w:rPr>
        <w:t xml:space="preserve"> instituted an action against MTC, claiming payment of levies </w:t>
      </w:r>
      <w:r w:rsidR="003A3301" w:rsidRPr="000B2339">
        <w:rPr>
          <w:rFonts w:ascii="Arial" w:hAnsi="Arial" w:cs="Arial"/>
          <w:color w:val="000000" w:themeColor="text1"/>
          <w:sz w:val="24"/>
          <w:szCs w:val="24"/>
        </w:rPr>
        <w:t>up to the date of judgment of this court, 1</w:t>
      </w:r>
      <w:r w:rsidR="00557D6C">
        <w:rPr>
          <w:rFonts w:ascii="Arial" w:hAnsi="Arial" w:cs="Arial"/>
          <w:color w:val="000000" w:themeColor="text1"/>
          <w:sz w:val="24"/>
          <w:szCs w:val="24"/>
        </w:rPr>
        <w:t>1</w:t>
      </w:r>
      <w:r w:rsidR="003A3301" w:rsidRPr="000B2339">
        <w:rPr>
          <w:rFonts w:ascii="Arial" w:hAnsi="Arial" w:cs="Arial"/>
          <w:color w:val="000000" w:themeColor="text1"/>
          <w:sz w:val="24"/>
          <w:szCs w:val="24"/>
        </w:rPr>
        <w:t xml:space="preserve"> June 2018</w:t>
      </w:r>
      <w:r w:rsidR="003A3301">
        <w:rPr>
          <w:rFonts w:ascii="Arial" w:hAnsi="Arial" w:cs="Arial"/>
          <w:color w:val="000000" w:themeColor="text1"/>
          <w:sz w:val="24"/>
          <w:szCs w:val="24"/>
        </w:rPr>
        <w:t xml:space="preserve"> </w:t>
      </w:r>
      <w:r w:rsidR="00194002" w:rsidRPr="000B2339">
        <w:rPr>
          <w:rFonts w:ascii="Arial" w:hAnsi="Arial" w:cs="Arial"/>
          <w:color w:val="000000" w:themeColor="text1"/>
          <w:sz w:val="24"/>
          <w:szCs w:val="24"/>
        </w:rPr>
        <w:t xml:space="preserve">under the provision declared unconstitutional. MTC excepted </w:t>
      </w:r>
      <w:r w:rsidR="00BD50FA" w:rsidRPr="000B2339">
        <w:rPr>
          <w:rFonts w:ascii="Arial" w:hAnsi="Arial" w:cs="Arial"/>
          <w:color w:val="000000" w:themeColor="text1"/>
          <w:sz w:val="24"/>
          <w:szCs w:val="24"/>
        </w:rPr>
        <w:t xml:space="preserve">to </w:t>
      </w:r>
      <w:r w:rsidR="00194002" w:rsidRPr="000B2339">
        <w:rPr>
          <w:rFonts w:ascii="Arial" w:hAnsi="Arial" w:cs="Arial"/>
          <w:color w:val="000000" w:themeColor="text1"/>
          <w:sz w:val="24"/>
          <w:szCs w:val="24"/>
        </w:rPr>
        <w:t xml:space="preserve">the claim for levies for the period between 29 </w:t>
      </w:r>
      <w:r w:rsidR="00194002" w:rsidRPr="000B2339">
        <w:rPr>
          <w:rFonts w:ascii="Arial" w:hAnsi="Arial" w:cs="Arial"/>
          <w:color w:val="000000" w:themeColor="text1"/>
          <w:sz w:val="24"/>
          <w:szCs w:val="24"/>
        </w:rPr>
        <w:lastRenderedPageBreak/>
        <w:t xml:space="preserve">September 2016 to 11 June 2018 as failing to disclose a cause of action. MTC contended in the exception that the reference in </w:t>
      </w:r>
      <w:r w:rsidR="003A3301">
        <w:rPr>
          <w:rFonts w:ascii="Arial" w:hAnsi="Arial" w:cs="Arial"/>
          <w:color w:val="000000" w:themeColor="text1"/>
          <w:sz w:val="24"/>
          <w:szCs w:val="24"/>
        </w:rPr>
        <w:t xml:space="preserve">subparagraph (b) </w:t>
      </w:r>
      <w:r w:rsidR="00346D7E">
        <w:rPr>
          <w:rFonts w:ascii="Arial" w:hAnsi="Arial" w:cs="Arial"/>
          <w:color w:val="000000" w:themeColor="text1"/>
          <w:sz w:val="24"/>
          <w:szCs w:val="24"/>
        </w:rPr>
        <w:t xml:space="preserve">of </w:t>
      </w:r>
      <w:r w:rsidR="00194002" w:rsidRPr="000B2339">
        <w:rPr>
          <w:rFonts w:ascii="Arial" w:hAnsi="Arial" w:cs="Arial"/>
          <w:color w:val="000000" w:themeColor="text1"/>
          <w:sz w:val="24"/>
          <w:szCs w:val="24"/>
        </w:rPr>
        <w:t>the order to ‘the date of this judgment’ means the date of the High Court judgment, thus rendering a claim for levies after the High Court order (29 September 2016) as incompetent</w:t>
      </w:r>
      <w:r w:rsidR="00BD50FA" w:rsidRPr="000B2339">
        <w:rPr>
          <w:rFonts w:ascii="Arial" w:hAnsi="Arial" w:cs="Arial"/>
          <w:color w:val="000000" w:themeColor="text1"/>
          <w:sz w:val="24"/>
          <w:szCs w:val="24"/>
        </w:rPr>
        <w:t xml:space="preserve"> as the invalidity of the provision operated from 29 September 2016 and not the date of the Supreme Court judgment of 1</w:t>
      </w:r>
      <w:r w:rsidR="00557D6C">
        <w:rPr>
          <w:rFonts w:ascii="Arial" w:hAnsi="Arial" w:cs="Arial"/>
          <w:color w:val="000000" w:themeColor="text1"/>
          <w:sz w:val="24"/>
          <w:szCs w:val="24"/>
        </w:rPr>
        <w:t>1</w:t>
      </w:r>
      <w:r w:rsidR="00BD50FA" w:rsidRPr="000B2339">
        <w:rPr>
          <w:rFonts w:ascii="Arial" w:hAnsi="Arial" w:cs="Arial"/>
          <w:color w:val="000000" w:themeColor="text1"/>
          <w:sz w:val="24"/>
          <w:szCs w:val="24"/>
        </w:rPr>
        <w:t xml:space="preserve"> June 2018</w:t>
      </w:r>
      <w:r w:rsidR="00194002" w:rsidRPr="000B2339">
        <w:rPr>
          <w:rFonts w:ascii="Arial" w:hAnsi="Arial" w:cs="Arial"/>
          <w:color w:val="000000" w:themeColor="text1"/>
          <w:sz w:val="24"/>
          <w:szCs w:val="24"/>
        </w:rPr>
        <w:t>.</w:t>
      </w:r>
    </w:p>
    <w:p w:rsidR="00781A4E" w:rsidRPr="000B2339" w:rsidRDefault="00781A4E" w:rsidP="00781A4E">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[5]</w:t>
      </w:r>
      <w:r w:rsidRPr="000B2339">
        <w:rPr>
          <w:rFonts w:ascii="Arial" w:hAnsi="Arial" w:cs="Arial"/>
          <w:color w:val="000000" w:themeColor="text1"/>
          <w:sz w:val="24"/>
          <w:szCs w:val="24"/>
        </w:rPr>
        <w:tab/>
      </w:r>
      <w:r w:rsidR="00194002" w:rsidRPr="000B2339">
        <w:rPr>
          <w:rFonts w:ascii="Arial" w:hAnsi="Arial" w:cs="Arial"/>
          <w:color w:val="000000" w:themeColor="text1"/>
          <w:sz w:val="24"/>
          <w:szCs w:val="24"/>
        </w:rPr>
        <w:t xml:space="preserve">MTC contended that, if this court had intended to refer to the order made by it, it would have </w:t>
      </w:r>
      <w:r w:rsidR="00BD50FA" w:rsidRPr="000B2339">
        <w:rPr>
          <w:rFonts w:ascii="Arial" w:hAnsi="Arial" w:cs="Arial"/>
          <w:color w:val="000000" w:themeColor="text1"/>
          <w:sz w:val="24"/>
          <w:szCs w:val="24"/>
        </w:rPr>
        <w:t xml:space="preserve">made reference in the substituted order </w:t>
      </w:r>
      <w:r w:rsidR="00194002" w:rsidRPr="000B2339">
        <w:rPr>
          <w:rFonts w:ascii="Arial" w:hAnsi="Arial" w:cs="Arial"/>
          <w:color w:val="000000" w:themeColor="text1"/>
          <w:sz w:val="24"/>
          <w:szCs w:val="24"/>
        </w:rPr>
        <w:t xml:space="preserve">to the judgment of the Supreme Court. MTC also contended that the order is unambiguous and that it would be impermissible to interpret it with reference to this court’s judgment in </w:t>
      </w:r>
      <w:r w:rsidR="00BD50FA" w:rsidRPr="000B2339">
        <w:rPr>
          <w:rFonts w:ascii="Arial" w:hAnsi="Arial" w:cs="Arial"/>
          <w:color w:val="000000" w:themeColor="text1"/>
          <w:sz w:val="24"/>
          <w:szCs w:val="24"/>
        </w:rPr>
        <w:t>accordance with</w:t>
      </w:r>
      <w:r w:rsidR="00194002" w:rsidRPr="000B2339">
        <w:rPr>
          <w:rFonts w:ascii="Arial" w:hAnsi="Arial" w:cs="Arial"/>
          <w:color w:val="000000" w:themeColor="text1"/>
          <w:sz w:val="24"/>
          <w:szCs w:val="24"/>
        </w:rPr>
        <w:t xml:space="preserve"> </w:t>
      </w:r>
      <w:r w:rsidR="00C66F24">
        <w:rPr>
          <w:rFonts w:ascii="Arial" w:hAnsi="Arial" w:cs="Arial"/>
          <w:i/>
          <w:color w:val="000000" w:themeColor="text1"/>
          <w:sz w:val="24"/>
          <w:szCs w:val="24"/>
        </w:rPr>
        <w:t>Administrator, Cape,</w:t>
      </w:r>
      <w:r w:rsidR="00194002" w:rsidRPr="000B2339">
        <w:rPr>
          <w:rFonts w:ascii="Arial" w:hAnsi="Arial" w:cs="Arial"/>
          <w:i/>
          <w:color w:val="000000" w:themeColor="text1"/>
          <w:sz w:val="24"/>
          <w:szCs w:val="24"/>
        </w:rPr>
        <w:t xml:space="preserve"> &amp; another v Ntshwaqela &amp; others</w:t>
      </w:r>
      <w:r w:rsidR="00194002" w:rsidRPr="000B2339">
        <w:rPr>
          <w:rFonts w:ascii="Arial" w:hAnsi="Arial" w:cs="Arial"/>
          <w:color w:val="000000" w:themeColor="text1"/>
          <w:sz w:val="24"/>
          <w:szCs w:val="24"/>
        </w:rPr>
        <w:t>.</w:t>
      </w:r>
      <w:r w:rsidR="00194002" w:rsidRPr="009E118E">
        <w:rPr>
          <w:rStyle w:val="FootnoteReference"/>
          <w:rFonts w:ascii="Arial" w:hAnsi="Arial" w:cs="Arial"/>
          <w:color w:val="000000" w:themeColor="text1"/>
          <w:sz w:val="24"/>
          <w:szCs w:val="24"/>
        </w:rPr>
        <w:footnoteReference w:id="2"/>
      </w:r>
    </w:p>
    <w:p w:rsidR="00781A4E" w:rsidRPr="000B2339" w:rsidRDefault="00781A4E" w:rsidP="00781A4E">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[6]</w:t>
      </w:r>
      <w:r w:rsidRPr="000B2339">
        <w:rPr>
          <w:rFonts w:ascii="Arial" w:hAnsi="Arial" w:cs="Arial"/>
          <w:color w:val="000000" w:themeColor="text1"/>
          <w:sz w:val="24"/>
          <w:szCs w:val="24"/>
        </w:rPr>
        <w:tab/>
      </w:r>
      <w:r w:rsidR="00562E0B" w:rsidRPr="000B2339">
        <w:rPr>
          <w:rFonts w:ascii="Arial" w:hAnsi="Arial" w:cs="Arial"/>
          <w:color w:val="000000" w:themeColor="text1"/>
          <w:sz w:val="24"/>
          <w:szCs w:val="24"/>
        </w:rPr>
        <w:t>CRAN on the other hand contended that the date of invalidity operated from the date the Supreme Court confirmed the invalidity</w:t>
      </w:r>
      <w:r w:rsidR="00BD50FA" w:rsidRPr="000B2339">
        <w:rPr>
          <w:rFonts w:ascii="Arial" w:hAnsi="Arial" w:cs="Arial"/>
          <w:color w:val="000000" w:themeColor="text1"/>
          <w:sz w:val="24"/>
          <w:szCs w:val="24"/>
        </w:rPr>
        <w:t xml:space="preserve"> and that the</w:t>
      </w:r>
      <w:r w:rsidR="008E24D5" w:rsidRPr="000B2339">
        <w:rPr>
          <w:rFonts w:ascii="Arial" w:hAnsi="Arial" w:cs="Arial"/>
          <w:color w:val="000000" w:themeColor="text1"/>
          <w:sz w:val="24"/>
          <w:szCs w:val="24"/>
        </w:rPr>
        <w:t xml:space="preserve"> phrase ‘</w:t>
      </w:r>
      <w:r w:rsidR="00BD50FA" w:rsidRPr="000B2339">
        <w:rPr>
          <w:rFonts w:ascii="Arial" w:hAnsi="Arial" w:cs="Arial"/>
          <w:color w:val="000000" w:themeColor="text1"/>
          <w:sz w:val="24"/>
          <w:szCs w:val="24"/>
        </w:rPr>
        <w:t xml:space="preserve">date of </w:t>
      </w:r>
      <w:r w:rsidR="008E24D5" w:rsidRPr="000B2339">
        <w:rPr>
          <w:rFonts w:ascii="Arial" w:hAnsi="Arial" w:cs="Arial"/>
          <w:color w:val="000000" w:themeColor="text1"/>
          <w:sz w:val="24"/>
          <w:szCs w:val="24"/>
        </w:rPr>
        <w:t xml:space="preserve">this </w:t>
      </w:r>
      <w:r w:rsidR="00BD50FA" w:rsidRPr="000B2339">
        <w:rPr>
          <w:rFonts w:ascii="Arial" w:hAnsi="Arial" w:cs="Arial"/>
          <w:color w:val="000000" w:themeColor="text1"/>
          <w:sz w:val="24"/>
          <w:szCs w:val="24"/>
        </w:rPr>
        <w:t>judgment</w:t>
      </w:r>
      <w:r w:rsidR="008E24D5" w:rsidRPr="000B2339">
        <w:rPr>
          <w:rFonts w:ascii="Arial" w:hAnsi="Arial" w:cs="Arial"/>
          <w:color w:val="000000" w:themeColor="text1"/>
          <w:sz w:val="24"/>
          <w:szCs w:val="24"/>
        </w:rPr>
        <w:t>’</w:t>
      </w:r>
      <w:r w:rsidR="00BD50FA" w:rsidRPr="000B2339">
        <w:rPr>
          <w:rFonts w:ascii="Arial" w:hAnsi="Arial" w:cs="Arial"/>
          <w:color w:val="000000" w:themeColor="text1"/>
          <w:sz w:val="24"/>
          <w:szCs w:val="24"/>
        </w:rPr>
        <w:t xml:space="preserve"> in the substituted order was to be interpreted in the context of this court’s judgment</w:t>
      </w:r>
      <w:r w:rsidR="008E24D5" w:rsidRPr="000B2339">
        <w:rPr>
          <w:rFonts w:ascii="Arial" w:hAnsi="Arial" w:cs="Arial"/>
          <w:color w:val="000000" w:themeColor="text1"/>
          <w:sz w:val="24"/>
          <w:szCs w:val="24"/>
        </w:rPr>
        <w:t xml:space="preserve"> in the matter</w:t>
      </w:r>
      <w:r w:rsidR="0083603B" w:rsidRPr="000B2339">
        <w:rPr>
          <w:rFonts w:ascii="Arial" w:hAnsi="Arial" w:cs="Arial"/>
          <w:color w:val="000000" w:themeColor="text1"/>
          <w:sz w:val="24"/>
          <w:szCs w:val="24"/>
        </w:rPr>
        <w:t xml:space="preserve"> and meant the judgment of the Supreme Court</w:t>
      </w:r>
      <w:r w:rsidR="00562E0B" w:rsidRPr="000B2339">
        <w:rPr>
          <w:rFonts w:ascii="Arial" w:hAnsi="Arial" w:cs="Arial"/>
          <w:color w:val="000000" w:themeColor="text1"/>
          <w:sz w:val="24"/>
          <w:szCs w:val="24"/>
        </w:rPr>
        <w:t>.</w:t>
      </w:r>
    </w:p>
    <w:p w:rsidR="00781A4E" w:rsidRPr="000B2339" w:rsidRDefault="00781A4E" w:rsidP="00562E0B">
      <w:pPr>
        <w:rPr>
          <w:rFonts w:ascii="Arial" w:hAnsi="Arial" w:cs="Arial"/>
          <w:color w:val="000000" w:themeColor="text1"/>
          <w:sz w:val="24"/>
          <w:szCs w:val="24"/>
        </w:rPr>
      </w:pPr>
    </w:p>
    <w:p w:rsidR="00562E0B" w:rsidRPr="000B2339" w:rsidRDefault="00562E0B" w:rsidP="00562E0B">
      <w:pPr>
        <w:rPr>
          <w:rFonts w:ascii="Arial" w:hAnsi="Arial" w:cs="Arial"/>
          <w:color w:val="000000" w:themeColor="text1"/>
          <w:sz w:val="24"/>
          <w:szCs w:val="24"/>
          <w:u w:val="single"/>
        </w:rPr>
      </w:pPr>
      <w:r w:rsidRPr="000B2339">
        <w:rPr>
          <w:rFonts w:ascii="Arial" w:hAnsi="Arial" w:cs="Arial"/>
          <w:color w:val="000000" w:themeColor="text1"/>
          <w:sz w:val="24"/>
          <w:szCs w:val="24"/>
          <w:u w:val="single"/>
        </w:rPr>
        <w:t>The approach</w:t>
      </w:r>
      <w:r w:rsidR="00BD50FA" w:rsidRPr="000B2339">
        <w:rPr>
          <w:rFonts w:ascii="Arial" w:hAnsi="Arial" w:cs="Arial"/>
          <w:color w:val="000000" w:themeColor="text1"/>
          <w:sz w:val="24"/>
          <w:szCs w:val="24"/>
          <w:u w:val="single"/>
        </w:rPr>
        <w:t xml:space="preserve"> of the High Court</w:t>
      </w:r>
    </w:p>
    <w:p w:rsidR="00562E0B"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[7]</w:t>
      </w:r>
      <w:r w:rsidRPr="000B2339">
        <w:rPr>
          <w:rFonts w:ascii="Arial" w:hAnsi="Arial" w:cs="Arial"/>
          <w:color w:val="000000" w:themeColor="text1"/>
          <w:sz w:val="24"/>
          <w:szCs w:val="24"/>
        </w:rPr>
        <w:tab/>
      </w:r>
      <w:r w:rsidR="00562E0B" w:rsidRPr="000B2339">
        <w:rPr>
          <w:rFonts w:ascii="Arial" w:hAnsi="Arial" w:cs="Arial"/>
          <w:color w:val="000000" w:themeColor="text1"/>
          <w:sz w:val="24"/>
          <w:szCs w:val="24"/>
        </w:rPr>
        <w:t xml:space="preserve">The High Court upheld MTC’s exception. It found that there was no ambiguity in the order. </w:t>
      </w:r>
      <w:r w:rsidR="0083603B" w:rsidRPr="000B2339">
        <w:rPr>
          <w:rFonts w:ascii="Arial" w:hAnsi="Arial" w:cs="Arial"/>
          <w:color w:val="000000" w:themeColor="text1"/>
          <w:sz w:val="24"/>
          <w:szCs w:val="24"/>
        </w:rPr>
        <w:t>Relying upon a statement contained in</w:t>
      </w:r>
      <w:r w:rsidR="00562E0B" w:rsidRPr="000B2339">
        <w:rPr>
          <w:rFonts w:ascii="Arial" w:hAnsi="Arial" w:cs="Arial"/>
          <w:color w:val="000000" w:themeColor="text1"/>
          <w:sz w:val="24"/>
          <w:szCs w:val="24"/>
        </w:rPr>
        <w:t xml:space="preserve"> </w:t>
      </w:r>
      <w:r w:rsidR="00C66F24">
        <w:rPr>
          <w:rFonts w:ascii="Arial" w:hAnsi="Arial" w:cs="Arial"/>
          <w:i/>
          <w:color w:val="000000" w:themeColor="text1"/>
          <w:sz w:val="24"/>
          <w:szCs w:val="24"/>
        </w:rPr>
        <w:t>Administrator, Cape,</w:t>
      </w:r>
      <w:r w:rsidR="00562E0B" w:rsidRPr="000B2339">
        <w:rPr>
          <w:rFonts w:ascii="Arial" w:hAnsi="Arial" w:cs="Arial"/>
          <w:color w:val="000000" w:themeColor="text1"/>
          <w:sz w:val="24"/>
          <w:szCs w:val="24"/>
        </w:rPr>
        <w:t xml:space="preserve"> the High Court held that in the absence of ambiguity, the meaning of the order cannot be restricted or extended by anything stated in the judgment</w:t>
      </w:r>
      <w:r w:rsidR="008E24D5" w:rsidRPr="000B2339">
        <w:rPr>
          <w:rFonts w:ascii="Arial" w:hAnsi="Arial" w:cs="Arial"/>
          <w:color w:val="000000" w:themeColor="text1"/>
          <w:sz w:val="24"/>
          <w:szCs w:val="24"/>
        </w:rPr>
        <w:t xml:space="preserve"> of this court</w:t>
      </w:r>
      <w:r w:rsidR="00562E0B" w:rsidRPr="000B2339">
        <w:rPr>
          <w:rFonts w:ascii="Arial" w:hAnsi="Arial" w:cs="Arial"/>
          <w:color w:val="000000" w:themeColor="text1"/>
          <w:sz w:val="24"/>
          <w:szCs w:val="24"/>
        </w:rPr>
        <w:t xml:space="preserve">. </w:t>
      </w:r>
    </w:p>
    <w:p w:rsidR="00781A4E" w:rsidRPr="000B2339" w:rsidRDefault="00781A4E" w:rsidP="00781A4E">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lastRenderedPageBreak/>
        <w:t>[8]</w:t>
      </w:r>
      <w:r w:rsidRPr="000B2339">
        <w:rPr>
          <w:rFonts w:ascii="Arial" w:hAnsi="Arial" w:cs="Arial"/>
          <w:color w:val="000000" w:themeColor="text1"/>
          <w:sz w:val="24"/>
          <w:szCs w:val="24"/>
        </w:rPr>
        <w:tab/>
      </w:r>
      <w:r w:rsidR="00562E0B" w:rsidRPr="000B2339">
        <w:rPr>
          <w:rFonts w:ascii="Arial" w:hAnsi="Arial" w:cs="Arial"/>
          <w:color w:val="000000" w:themeColor="text1"/>
          <w:sz w:val="24"/>
          <w:szCs w:val="24"/>
        </w:rPr>
        <w:t xml:space="preserve">The High Court </w:t>
      </w:r>
      <w:r w:rsidR="00BD50FA" w:rsidRPr="000B2339">
        <w:rPr>
          <w:rFonts w:ascii="Arial" w:hAnsi="Arial" w:cs="Arial"/>
          <w:color w:val="000000" w:themeColor="text1"/>
          <w:sz w:val="24"/>
          <w:szCs w:val="24"/>
        </w:rPr>
        <w:t>reasoned that</w:t>
      </w:r>
      <w:r w:rsidR="003A3301">
        <w:rPr>
          <w:rFonts w:ascii="Arial" w:hAnsi="Arial" w:cs="Arial"/>
          <w:color w:val="000000" w:themeColor="text1"/>
          <w:sz w:val="24"/>
          <w:szCs w:val="24"/>
        </w:rPr>
        <w:t>,</w:t>
      </w:r>
      <w:r w:rsidR="00BD50FA" w:rsidRPr="000B2339">
        <w:rPr>
          <w:rFonts w:ascii="Arial" w:hAnsi="Arial" w:cs="Arial"/>
          <w:color w:val="000000" w:themeColor="text1"/>
          <w:sz w:val="24"/>
          <w:szCs w:val="24"/>
        </w:rPr>
        <w:t xml:space="preserve"> by</w:t>
      </w:r>
      <w:r w:rsidR="00562E0B" w:rsidRPr="000B2339">
        <w:rPr>
          <w:rFonts w:ascii="Arial" w:hAnsi="Arial" w:cs="Arial"/>
          <w:color w:val="000000" w:themeColor="text1"/>
          <w:sz w:val="24"/>
          <w:szCs w:val="24"/>
        </w:rPr>
        <w:t xml:space="preserve"> setting aside the order of the court below</w:t>
      </w:r>
      <w:r w:rsidR="00BD50FA" w:rsidRPr="000B2339">
        <w:rPr>
          <w:rFonts w:ascii="Arial" w:hAnsi="Arial" w:cs="Arial"/>
          <w:color w:val="000000" w:themeColor="text1"/>
          <w:sz w:val="24"/>
          <w:szCs w:val="24"/>
        </w:rPr>
        <w:t xml:space="preserve">, this court proceeded to make </w:t>
      </w:r>
      <w:r w:rsidR="00562E0B" w:rsidRPr="000B2339">
        <w:rPr>
          <w:rFonts w:ascii="Arial" w:hAnsi="Arial" w:cs="Arial"/>
          <w:color w:val="000000" w:themeColor="text1"/>
          <w:sz w:val="24"/>
          <w:szCs w:val="24"/>
        </w:rPr>
        <w:t>and made the order which that court ought to have made. By directing that</w:t>
      </w:r>
      <w:r w:rsidR="0083603B" w:rsidRPr="000B2339">
        <w:rPr>
          <w:rFonts w:ascii="Arial" w:hAnsi="Arial" w:cs="Arial"/>
          <w:color w:val="000000" w:themeColor="text1"/>
          <w:sz w:val="24"/>
          <w:szCs w:val="24"/>
        </w:rPr>
        <w:t>,</w:t>
      </w:r>
      <w:r w:rsidR="00562E0B" w:rsidRPr="000B2339">
        <w:rPr>
          <w:rFonts w:ascii="Arial" w:hAnsi="Arial" w:cs="Arial"/>
          <w:color w:val="000000" w:themeColor="text1"/>
          <w:sz w:val="24"/>
          <w:szCs w:val="24"/>
        </w:rPr>
        <w:t xml:space="preserve"> this court substituted its own or</w:t>
      </w:r>
      <w:r w:rsidR="0083603B" w:rsidRPr="000B2339">
        <w:rPr>
          <w:rFonts w:ascii="Arial" w:hAnsi="Arial" w:cs="Arial"/>
          <w:color w:val="000000" w:themeColor="text1"/>
          <w:sz w:val="24"/>
          <w:szCs w:val="24"/>
        </w:rPr>
        <w:t>der for that of the court below. T</w:t>
      </w:r>
      <w:r w:rsidR="00562E0B" w:rsidRPr="000B2339">
        <w:rPr>
          <w:rFonts w:ascii="Arial" w:hAnsi="Arial" w:cs="Arial"/>
          <w:color w:val="000000" w:themeColor="text1"/>
          <w:sz w:val="24"/>
          <w:szCs w:val="24"/>
        </w:rPr>
        <w:t xml:space="preserve">he High Court found that the order of </w:t>
      </w:r>
      <w:r w:rsidR="00BD50FA" w:rsidRPr="000B2339">
        <w:rPr>
          <w:rFonts w:ascii="Arial" w:hAnsi="Arial" w:cs="Arial"/>
          <w:color w:val="000000" w:themeColor="text1"/>
          <w:sz w:val="24"/>
          <w:szCs w:val="24"/>
        </w:rPr>
        <w:t xml:space="preserve">the </w:t>
      </w:r>
      <w:r w:rsidR="00562E0B" w:rsidRPr="000B2339">
        <w:rPr>
          <w:rFonts w:ascii="Arial" w:hAnsi="Arial" w:cs="Arial"/>
          <w:color w:val="000000" w:themeColor="text1"/>
          <w:sz w:val="24"/>
          <w:szCs w:val="24"/>
        </w:rPr>
        <w:t xml:space="preserve">court below </w:t>
      </w:r>
      <w:r w:rsidR="00F7055D">
        <w:rPr>
          <w:rFonts w:ascii="Arial" w:hAnsi="Arial" w:cs="Arial"/>
          <w:color w:val="000000" w:themeColor="text1"/>
          <w:sz w:val="24"/>
          <w:szCs w:val="24"/>
        </w:rPr>
        <w:t xml:space="preserve">(of Parker, AJ) </w:t>
      </w:r>
      <w:r w:rsidR="00562E0B" w:rsidRPr="000B2339">
        <w:rPr>
          <w:rFonts w:ascii="Arial" w:hAnsi="Arial" w:cs="Arial"/>
          <w:color w:val="000000" w:themeColor="text1"/>
          <w:sz w:val="24"/>
          <w:szCs w:val="24"/>
        </w:rPr>
        <w:t xml:space="preserve">was replaced by the text of this court’s order in quotation marks. The High Court concluded its analysis by finding that </w:t>
      </w:r>
      <w:r w:rsidR="00BD50FA" w:rsidRPr="000B2339">
        <w:rPr>
          <w:rFonts w:ascii="Arial" w:hAnsi="Arial" w:cs="Arial"/>
          <w:color w:val="000000" w:themeColor="text1"/>
          <w:sz w:val="24"/>
          <w:szCs w:val="24"/>
        </w:rPr>
        <w:t>‘</w:t>
      </w:r>
      <w:r w:rsidR="00562E0B" w:rsidRPr="000B2339">
        <w:rPr>
          <w:rFonts w:ascii="Arial" w:hAnsi="Arial" w:cs="Arial"/>
          <w:color w:val="000000" w:themeColor="text1"/>
          <w:sz w:val="24"/>
          <w:szCs w:val="24"/>
        </w:rPr>
        <w:t>th</w:t>
      </w:r>
      <w:r w:rsidR="008E24D5" w:rsidRPr="000B2339">
        <w:rPr>
          <w:rFonts w:ascii="Arial" w:hAnsi="Arial" w:cs="Arial"/>
          <w:color w:val="000000" w:themeColor="text1"/>
          <w:sz w:val="24"/>
          <w:szCs w:val="24"/>
        </w:rPr>
        <w:t>is</w:t>
      </w:r>
      <w:r w:rsidR="00562E0B" w:rsidRPr="000B2339">
        <w:rPr>
          <w:rFonts w:ascii="Arial" w:hAnsi="Arial" w:cs="Arial"/>
          <w:color w:val="000000" w:themeColor="text1"/>
          <w:sz w:val="24"/>
          <w:szCs w:val="24"/>
        </w:rPr>
        <w:t xml:space="preserve"> judgment</w:t>
      </w:r>
      <w:r w:rsidR="00BD50FA" w:rsidRPr="000B2339">
        <w:rPr>
          <w:rFonts w:ascii="Arial" w:hAnsi="Arial" w:cs="Arial"/>
          <w:color w:val="000000" w:themeColor="text1"/>
          <w:sz w:val="24"/>
          <w:szCs w:val="24"/>
        </w:rPr>
        <w:t>’</w:t>
      </w:r>
      <w:r w:rsidR="00562E0B" w:rsidRPr="000B2339">
        <w:rPr>
          <w:rFonts w:ascii="Arial" w:hAnsi="Arial" w:cs="Arial"/>
          <w:color w:val="000000" w:themeColor="text1"/>
          <w:sz w:val="24"/>
          <w:szCs w:val="24"/>
        </w:rPr>
        <w:t xml:space="preserve"> referred to in the substituted order is that of the High Court</w:t>
      </w:r>
      <w:r w:rsidR="00BD50FA" w:rsidRPr="000B2339">
        <w:rPr>
          <w:rFonts w:ascii="Arial" w:hAnsi="Arial" w:cs="Arial"/>
          <w:color w:val="000000" w:themeColor="text1"/>
          <w:sz w:val="24"/>
          <w:szCs w:val="24"/>
        </w:rPr>
        <w:t xml:space="preserve"> as it formed part of the substituted order of the High Court</w:t>
      </w:r>
      <w:r w:rsidR="00562E0B" w:rsidRPr="000B2339">
        <w:rPr>
          <w:rFonts w:ascii="Arial" w:hAnsi="Arial" w:cs="Arial"/>
          <w:color w:val="000000" w:themeColor="text1"/>
          <w:sz w:val="24"/>
          <w:szCs w:val="24"/>
        </w:rPr>
        <w:t>.</w:t>
      </w:r>
    </w:p>
    <w:p w:rsidR="00781A4E" w:rsidRPr="000B2339" w:rsidRDefault="00781A4E" w:rsidP="00781A4E">
      <w:pPr>
        <w:pStyle w:val="ListParagraph"/>
        <w:rPr>
          <w:rFonts w:ascii="Arial" w:hAnsi="Arial" w:cs="Arial"/>
          <w:color w:val="000000" w:themeColor="text1"/>
          <w:sz w:val="24"/>
          <w:szCs w:val="24"/>
        </w:rPr>
      </w:pPr>
    </w:p>
    <w:p w:rsidR="008E24D5"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[9]</w:t>
      </w:r>
      <w:r w:rsidRPr="000B2339">
        <w:rPr>
          <w:rFonts w:ascii="Arial" w:hAnsi="Arial" w:cs="Arial"/>
          <w:color w:val="000000" w:themeColor="text1"/>
          <w:sz w:val="24"/>
          <w:szCs w:val="24"/>
        </w:rPr>
        <w:tab/>
      </w:r>
      <w:r w:rsidR="00562E0B" w:rsidRPr="000B2339">
        <w:rPr>
          <w:rFonts w:ascii="Arial" w:hAnsi="Arial" w:cs="Arial"/>
          <w:color w:val="000000" w:themeColor="text1"/>
          <w:sz w:val="24"/>
          <w:szCs w:val="24"/>
        </w:rPr>
        <w:t xml:space="preserve">In upholding MTC’s exception, the High Court afforded CRAN an opportunity to amend its particulars of claim. Given that the High Court’s approach </w:t>
      </w:r>
      <w:r w:rsidR="00C065C7" w:rsidRPr="000B2339">
        <w:rPr>
          <w:rFonts w:ascii="Arial" w:hAnsi="Arial" w:cs="Arial"/>
          <w:color w:val="000000" w:themeColor="text1"/>
          <w:sz w:val="24"/>
          <w:szCs w:val="24"/>
        </w:rPr>
        <w:t>differed</w:t>
      </w:r>
      <w:r w:rsidR="00562E0B" w:rsidRPr="000B2339">
        <w:rPr>
          <w:rFonts w:ascii="Arial" w:hAnsi="Arial" w:cs="Arial"/>
          <w:color w:val="000000" w:themeColor="text1"/>
          <w:sz w:val="24"/>
          <w:szCs w:val="24"/>
        </w:rPr>
        <w:t xml:space="preserve"> from the conclusion reached in</w:t>
      </w:r>
      <w:r w:rsidR="003A3301">
        <w:rPr>
          <w:rFonts w:ascii="Arial" w:hAnsi="Arial" w:cs="Arial"/>
          <w:color w:val="000000" w:themeColor="text1"/>
          <w:sz w:val="24"/>
          <w:szCs w:val="24"/>
        </w:rPr>
        <w:t xml:space="preserve"> an exception to</w:t>
      </w:r>
      <w:r w:rsidR="00562E0B" w:rsidRPr="000B2339">
        <w:rPr>
          <w:rFonts w:ascii="Arial" w:hAnsi="Arial" w:cs="Arial"/>
          <w:color w:val="000000" w:themeColor="text1"/>
          <w:sz w:val="24"/>
          <w:szCs w:val="24"/>
        </w:rPr>
        <w:t xml:space="preserve"> a similar claim which CRAN had instituted against Telecom Namibia,</w:t>
      </w:r>
      <w:r w:rsidR="00530881" w:rsidRPr="000B2339">
        <w:rPr>
          <w:rStyle w:val="FootnoteReference"/>
          <w:rFonts w:ascii="Arial" w:hAnsi="Arial" w:cs="Arial"/>
          <w:color w:val="000000" w:themeColor="text1"/>
          <w:sz w:val="24"/>
          <w:szCs w:val="24"/>
        </w:rPr>
        <w:footnoteReference w:id="3"/>
      </w:r>
      <w:r w:rsidR="00562E0B" w:rsidRPr="000B2339">
        <w:rPr>
          <w:rFonts w:ascii="Arial" w:hAnsi="Arial" w:cs="Arial"/>
          <w:color w:val="000000" w:themeColor="text1"/>
          <w:sz w:val="24"/>
          <w:szCs w:val="24"/>
        </w:rPr>
        <w:t xml:space="preserve"> the court granted leave to appeal.</w:t>
      </w:r>
      <w:r w:rsidR="00BD50FA" w:rsidRPr="000B2339">
        <w:rPr>
          <w:rFonts w:ascii="Arial" w:hAnsi="Arial" w:cs="Arial"/>
          <w:color w:val="000000" w:themeColor="text1"/>
          <w:sz w:val="24"/>
          <w:szCs w:val="24"/>
        </w:rPr>
        <w:t xml:space="preserve"> The High Court granted costs but declined to order that the capping of costs provided for in rule 32(11) of the rules of the High Court</w:t>
      </w:r>
      <w:r w:rsidR="008E24D5" w:rsidRPr="000B2339">
        <w:rPr>
          <w:rFonts w:ascii="Arial" w:hAnsi="Arial" w:cs="Arial"/>
          <w:color w:val="000000" w:themeColor="text1"/>
          <w:sz w:val="24"/>
          <w:szCs w:val="24"/>
        </w:rPr>
        <w:t xml:space="preserve"> </w:t>
      </w:r>
      <w:r w:rsidR="003A3301">
        <w:rPr>
          <w:rFonts w:ascii="Arial" w:hAnsi="Arial" w:cs="Arial"/>
          <w:color w:val="000000" w:themeColor="text1"/>
          <w:sz w:val="24"/>
          <w:szCs w:val="24"/>
        </w:rPr>
        <w:t>be dispensed with</w:t>
      </w:r>
      <w:r w:rsidR="008E24D5" w:rsidRPr="000B2339">
        <w:rPr>
          <w:rFonts w:ascii="Arial" w:hAnsi="Arial" w:cs="Arial"/>
          <w:color w:val="000000" w:themeColor="text1"/>
          <w:sz w:val="24"/>
          <w:szCs w:val="24"/>
        </w:rPr>
        <w:t xml:space="preserve">. </w:t>
      </w:r>
    </w:p>
    <w:p w:rsidR="008E24D5" w:rsidRPr="000B2339" w:rsidRDefault="008E24D5" w:rsidP="008E24D5">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[10]</w:t>
      </w:r>
      <w:r w:rsidRPr="000B2339">
        <w:rPr>
          <w:rFonts w:ascii="Arial" w:hAnsi="Arial" w:cs="Arial"/>
          <w:color w:val="000000" w:themeColor="text1"/>
          <w:sz w:val="24"/>
          <w:szCs w:val="24"/>
        </w:rPr>
        <w:tab/>
      </w:r>
      <w:r w:rsidR="008E24D5" w:rsidRPr="000B2339">
        <w:rPr>
          <w:rFonts w:ascii="Arial" w:hAnsi="Arial" w:cs="Arial"/>
          <w:color w:val="000000" w:themeColor="text1"/>
          <w:sz w:val="24"/>
          <w:szCs w:val="24"/>
        </w:rPr>
        <w:t xml:space="preserve">CRAN </w:t>
      </w:r>
      <w:r w:rsidR="00BD50FA" w:rsidRPr="000B2339">
        <w:rPr>
          <w:rFonts w:ascii="Arial" w:hAnsi="Arial" w:cs="Arial"/>
          <w:color w:val="000000" w:themeColor="text1"/>
          <w:sz w:val="24"/>
          <w:szCs w:val="24"/>
        </w:rPr>
        <w:t>appeal</w:t>
      </w:r>
      <w:r w:rsidR="008E24D5" w:rsidRPr="000B2339">
        <w:rPr>
          <w:rFonts w:ascii="Arial" w:hAnsi="Arial" w:cs="Arial"/>
          <w:color w:val="000000" w:themeColor="text1"/>
          <w:sz w:val="24"/>
          <w:szCs w:val="24"/>
        </w:rPr>
        <w:t>s</w:t>
      </w:r>
      <w:r w:rsidR="00BD50FA" w:rsidRPr="000B2339">
        <w:rPr>
          <w:rFonts w:ascii="Arial" w:hAnsi="Arial" w:cs="Arial"/>
          <w:color w:val="000000" w:themeColor="text1"/>
          <w:sz w:val="24"/>
          <w:szCs w:val="24"/>
        </w:rPr>
        <w:t xml:space="preserve"> against the court’s judgment and orders whilst MTC </w:t>
      </w:r>
      <w:r w:rsidR="0083603B" w:rsidRPr="000B2339">
        <w:rPr>
          <w:rFonts w:ascii="Arial" w:hAnsi="Arial" w:cs="Arial"/>
          <w:color w:val="000000" w:themeColor="text1"/>
          <w:sz w:val="24"/>
          <w:szCs w:val="24"/>
        </w:rPr>
        <w:t xml:space="preserve">filed a </w:t>
      </w:r>
      <w:r w:rsidR="00BD50FA" w:rsidRPr="000B2339">
        <w:rPr>
          <w:rFonts w:ascii="Arial" w:hAnsi="Arial" w:cs="Arial"/>
          <w:color w:val="000000" w:themeColor="text1"/>
          <w:sz w:val="24"/>
          <w:szCs w:val="24"/>
        </w:rPr>
        <w:t>cross appeal</w:t>
      </w:r>
      <w:r w:rsidR="0083603B" w:rsidRPr="000B2339">
        <w:rPr>
          <w:rFonts w:ascii="Arial" w:hAnsi="Arial" w:cs="Arial"/>
          <w:color w:val="000000" w:themeColor="text1"/>
          <w:sz w:val="24"/>
          <w:szCs w:val="24"/>
        </w:rPr>
        <w:t xml:space="preserve"> against</w:t>
      </w:r>
      <w:r w:rsidR="00BD50FA" w:rsidRPr="000B2339">
        <w:rPr>
          <w:rFonts w:ascii="Arial" w:hAnsi="Arial" w:cs="Arial"/>
          <w:color w:val="000000" w:themeColor="text1"/>
          <w:sz w:val="24"/>
          <w:szCs w:val="24"/>
        </w:rPr>
        <w:t xml:space="preserve"> the order granting CRAN leave to amend its particulars instead of dismissing the claims</w:t>
      </w:r>
      <w:r w:rsidR="008E24D5" w:rsidRPr="000B2339">
        <w:rPr>
          <w:rFonts w:ascii="Arial" w:hAnsi="Arial" w:cs="Arial"/>
          <w:color w:val="000000" w:themeColor="text1"/>
          <w:sz w:val="24"/>
          <w:szCs w:val="24"/>
        </w:rPr>
        <w:t xml:space="preserve"> in question</w:t>
      </w:r>
      <w:r w:rsidR="00BD50FA" w:rsidRPr="000B2339">
        <w:rPr>
          <w:rFonts w:ascii="Arial" w:hAnsi="Arial" w:cs="Arial"/>
          <w:color w:val="000000" w:themeColor="text1"/>
          <w:sz w:val="24"/>
          <w:szCs w:val="24"/>
        </w:rPr>
        <w:t xml:space="preserve">. </w:t>
      </w:r>
      <w:r w:rsidR="0083603B" w:rsidRPr="000B2339">
        <w:rPr>
          <w:rFonts w:ascii="Arial" w:hAnsi="Arial" w:cs="Arial"/>
          <w:color w:val="000000" w:themeColor="text1"/>
          <w:sz w:val="24"/>
          <w:szCs w:val="24"/>
        </w:rPr>
        <w:t>That cross appeal was filed out of time and counsel for MTC informed us that it is no longer proceeding</w:t>
      </w:r>
      <w:r w:rsidR="003A3301">
        <w:rPr>
          <w:rFonts w:ascii="Arial" w:hAnsi="Arial" w:cs="Arial"/>
          <w:color w:val="000000" w:themeColor="text1"/>
          <w:sz w:val="24"/>
          <w:szCs w:val="24"/>
        </w:rPr>
        <w:t xml:space="preserve"> with the cross appeal</w:t>
      </w:r>
      <w:r w:rsidR="0083603B" w:rsidRPr="000B2339">
        <w:rPr>
          <w:rFonts w:ascii="Arial" w:hAnsi="Arial" w:cs="Arial"/>
          <w:color w:val="000000" w:themeColor="text1"/>
          <w:sz w:val="24"/>
          <w:szCs w:val="24"/>
        </w:rPr>
        <w:t xml:space="preserve">. </w:t>
      </w:r>
      <w:r w:rsidR="00BD50FA" w:rsidRPr="000B2339">
        <w:rPr>
          <w:rFonts w:ascii="Arial" w:hAnsi="Arial" w:cs="Arial"/>
          <w:color w:val="000000" w:themeColor="text1"/>
          <w:sz w:val="24"/>
          <w:szCs w:val="24"/>
        </w:rPr>
        <w:t>Both sides take issue with the costs order</w:t>
      </w:r>
      <w:r w:rsidR="008E24D5" w:rsidRPr="000B2339">
        <w:rPr>
          <w:rFonts w:ascii="Arial" w:hAnsi="Arial" w:cs="Arial"/>
          <w:color w:val="000000" w:themeColor="text1"/>
          <w:sz w:val="24"/>
          <w:szCs w:val="24"/>
        </w:rPr>
        <w:t xml:space="preserve"> and argue that it should have</w:t>
      </w:r>
      <w:r w:rsidR="00BD50FA" w:rsidRPr="000B2339">
        <w:rPr>
          <w:rFonts w:ascii="Arial" w:hAnsi="Arial" w:cs="Arial"/>
          <w:color w:val="000000" w:themeColor="text1"/>
          <w:sz w:val="24"/>
          <w:szCs w:val="24"/>
        </w:rPr>
        <w:t xml:space="preserve"> dispensed with the limitation imposed by rule 32(11).</w:t>
      </w:r>
    </w:p>
    <w:p w:rsidR="00B93393" w:rsidRDefault="00B93393" w:rsidP="006A3D3C">
      <w:pPr>
        <w:rPr>
          <w:rFonts w:ascii="Arial" w:hAnsi="Arial" w:cs="Arial"/>
          <w:color w:val="000000" w:themeColor="text1"/>
          <w:sz w:val="24"/>
          <w:szCs w:val="24"/>
          <w:u w:val="single"/>
        </w:rPr>
      </w:pPr>
    </w:p>
    <w:p w:rsidR="006A3D3C" w:rsidRPr="000B2339" w:rsidRDefault="006A3D3C" w:rsidP="006A3D3C">
      <w:pPr>
        <w:rPr>
          <w:rFonts w:ascii="Arial" w:hAnsi="Arial" w:cs="Arial"/>
          <w:color w:val="000000" w:themeColor="text1"/>
          <w:sz w:val="24"/>
          <w:szCs w:val="24"/>
          <w:u w:val="single"/>
        </w:rPr>
      </w:pPr>
      <w:r w:rsidRPr="000B2339">
        <w:rPr>
          <w:rFonts w:ascii="Arial" w:hAnsi="Arial" w:cs="Arial"/>
          <w:color w:val="000000" w:themeColor="text1"/>
          <w:sz w:val="24"/>
          <w:szCs w:val="24"/>
          <w:u w:val="single"/>
        </w:rPr>
        <w:t xml:space="preserve">Condonation </w:t>
      </w:r>
    </w:p>
    <w:p w:rsidR="00BD50FA"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lastRenderedPageBreak/>
        <w:t>[11]</w:t>
      </w:r>
      <w:r w:rsidRPr="000B2339">
        <w:rPr>
          <w:rFonts w:ascii="Arial" w:hAnsi="Arial" w:cs="Arial"/>
          <w:color w:val="000000" w:themeColor="text1"/>
          <w:sz w:val="24"/>
          <w:szCs w:val="24"/>
        </w:rPr>
        <w:tab/>
      </w:r>
      <w:r w:rsidR="006A3D3C" w:rsidRPr="000B2339">
        <w:rPr>
          <w:rFonts w:ascii="Arial" w:hAnsi="Arial" w:cs="Arial"/>
          <w:color w:val="000000" w:themeColor="text1"/>
          <w:sz w:val="24"/>
          <w:szCs w:val="24"/>
        </w:rPr>
        <w:t xml:space="preserve">Before turning </w:t>
      </w:r>
      <w:r w:rsidR="00384FD6">
        <w:rPr>
          <w:rFonts w:ascii="Arial" w:hAnsi="Arial" w:cs="Arial"/>
          <w:color w:val="000000" w:themeColor="text1"/>
          <w:sz w:val="24"/>
          <w:szCs w:val="24"/>
        </w:rPr>
        <w:t xml:space="preserve">to </w:t>
      </w:r>
      <w:r w:rsidR="006A3D3C" w:rsidRPr="000B2339">
        <w:rPr>
          <w:rFonts w:ascii="Arial" w:hAnsi="Arial" w:cs="Arial"/>
          <w:color w:val="000000" w:themeColor="text1"/>
          <w:sz w:val="24"/>
          <w:szCs w:val="24"/>
        </w:rPr>
        <w:t>the parties’ submissions on appeal, there is an application for condonation</w:t>
      </w:r>
      <w:r w:rsidR="0083603B" w:rsidRPr="000B2339">
        <w:rPr>
          <w:rFonts w:ascii="Arial" w:hAnsi="Arial" w:cs="Arial"/>
          <w:color w:val="000000" w:themeColor="text1"/>
          <w:sz w:val="24"/>
          <w:szCs w:val="24"/>
        </w:rPr>
        <w:t xml:space="preserve"> and reinstatement of the appeal</w:t>
      </w:r>
      <w:r w:rsidR="006A3D3C" w:rsidRPr="000B2339">
        <w:rPr>
          <w:rFonts w:ascii="Arial" w:hAnsi="Arial" w:cs="Arial"/>
          <w:color w:val="000000" w:themeColor="text1"/>
          <w:sz w:val="24"/>
          <w:szCs w:val="24"/>
        </w:rPr>
        <w:t xml:space="preserve">. The rules require that </w:t>
      </w:r>
      <w:r w:rsidR="008E24D5" w:rsidRPr="000B2339">
        <w:rPr>
          <w:rFonts w:ascii="Arial" w:hAnsi="Arial" w:cs="Arial"/>
          <w:color w:val="000000" w:themeColor="text1"/>
          <w:sz w:val="24"/>
          <w:szCs w:val="24"/>
        </w:rPr>
        <w:t>a</w:t>
      </w:r>
      <w:r w:rsidR="006A3D3C" w:rsidRPr="000B2339">
        <w:rPr>
          <w:rFonts w:ascii="Arial" w:hAnsi="Arial" w:cs="Arial"/>
          <w:color w:val="000000" w:themeColor="text1"/>
          <w:sz w:val="24"/>
          <w:szCs w:val="24"/>
        </w:rPr>
        <w:t xml:space="preserve"> record in respect of an appeal against an order given on an exception is to be filed within six weeks of leave having been granted instead of the three month period</w:t>
      </w:r>
      <w:r w:rsidR="003A3301">
        <w:rPr>
          <w:rFonts w:ascii="Arial" w:hAnsi="Arial" w:cs="Arial"/>
          <w:color w:val="000000" w:themeColor="text1"/>
          <w:sz w:val="24"/>
          <w:szCs w:val="24"/>
        </w:rPr>
        <w:t xml:space="preserve"> which applies</w:t>
      </w:r>
      <w:r w:rsidR="006A3D3C" w:rsidRPr="000B2339">
        <w:rPr>
          <w:rFonts w:ascii="Arial" w:hAnsi="Arial" w:cs="Arial"/>
          <w:color w:val="000000" w:themeColor="text1"/>
          <w:sz w:val="24"/>
          <w:szCs w:val="24"/>
        </w:rPr>
        <w:t xml:space="preserve"> in all other cases. The appellant’s practitioners were not alive to this exceptional position when lodging the record and did so within the time period usually required. When this misstep was realised, an application for condonation was made. It </w:t>
      </w:r>
      <w:r w:rsidR="00D4560A" w:rsidRPr="000B2339">
        <w:rPr>
          <w:rFonts w:ascii="Arial" w:hAnsi="Arial" w:cs="Arial"/>
          <w:color w:val="000000" w:themeColor="text1"/>
          <w:sz w:val="24"/>
          <w:szCs w:val="24"/>
        </w:rPr>
        <w:t>was</w:t>
      </w:r>
      <w:r w:rsidR="006A3D3C" w:rsidRPr="000B2339">
        <w:rPr>
          <w:rFonts w:ascii="Arial" w:hAnsi="Arial" w:cs="Arial"/>
          <w:color w:val="000000" w:themeColor="text1"/>
          <w:sz w:val="24"/>
          <w:szCs w:val="24"/>
        </w:rPr>
        <w:t xml:space="preserve"> not opposed</w:t>
      </w:r>
      <w:r w:rsidR="00D4560A" w:rsidRPr="000B2339">
        <w:rPr>
          <w:rFonts w:ascii="Arial" w:hAnsi="Arial" w:cs="Arial"/>
          <w:color w:val="000000" w:themeColor="text1"/>
          <w:sz w:val="24"/>
          <w:szCs w:val="24"/>
        </w:rPr>
        <w:t xml:space="preserve"> and was granted at the outset of the hearing</w:t>
      </w:r>
      <w:r w:rsidR="006A3D3C" w:rsidRPr="000B2339">
        <w:rPr>
          <w:rFonts w:ascii="Arial" w:hAnsi="Arial" w:cs="Arial"/>
          <w:color w:val="000000" w:themeColor="text1"/>
          <w:sz w:val="24"/>
          <w:szCs w:val="24"/>
        </w:rPr>
        <w:t>.</w:t>
      </w:r>
    </w:p>
    <w:p w:rsidR="00781A4E" w:rsidRPr="000B2339" w:rsidRDefault="00781A4E" w:rsidP="00562E0B">
      <w:pPr>
        <w:rPr>
          <w:rFonts w:ascii="Arial" w:hAnsi="Arial" w:cs="Arial"/>
          <w:color w:val="000000" w:themeColor="text1"/>
          <w:sz w:val="24"/>
          <w:szCs w:val="24"/>
        </w:rPr>
      </w:pPr>
    </w:p>
    <w:p w:rsidR="00562E0B" w:rsidRPr="000B2339" w:rsidRDefault="00562E0B" w:rsidP="00562E0B">
      <w:pPr>
        <w:rPr>
          <w:rFonts w:ascii="Arial" w:hAnsi="Arial" w:cs="Arial"/>
          <w:color w:val="000000" w:themeColor="text1"/>
          <w:sz w:val="24"/>
          <w:szCs w:val="24"/>
          <w:u w:val="single"/>
        </w:rPr>
      </w:pPr>
      <w:r w:rsidRPr="000B2339">
        <w:rPr>
          <w:rFonts w:ascii="Arial" w:hAnsi="Arial" w:cs="Arial"/>
          <w:color w:val="000000" w:themeColor="text1"/>
          <w:sz w:val="24"/>
          <w:szCs w:val="24"/>
          <w:u w:val="single"/>
        </w:rPr>
        <w:t>Submissions on appeal</w:t>
      </w:r>
    </w:p>
    <w:p w:rsidR="00D4560A"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[12]</w:t>
      </w:r>
      <w:r w:rsidRPr="000B2339">
        <w:rPr>
          <w:rFonts w:ascii="Arial" w:hAnsi="Arial" w:cs="Arial"/>
          <w:color w:val="000000" w:themeColor="text1"/>
          <w:sz w:val="24"/>
          <w:szCs w:val="24"/>
        </w:rPr>
        <w:tab/>
      </w:r>
      <w:r w:rsidR="00684ACD" w:rsidRPr="000B2339">
        <w:rPr>
          <w:rFonts w:ascii="Arial" w:hAnsi="Arial" w:cs="Arial"/>
          <w:color w:val="000000" w:themeColor="text1"/>
          <w:sz w:val="24"/>
          <w:szCs w:val="24"/>
        </w:rPr>
        <w:t>It was argued on behalf of CRAN</w:t>
      </w:r>
      <w:r w:rsidR="00AF06B9" w:rsidRPr="000B2339">
        <w:rPr>
          <w:rFonts w:ascii="Arial" w:hAnsi="Arial" w:cs="Arial"/>
          <w:color w:val="000000" w:themeColor="text1"/>
          <w:sz w:val="24"/>
          <w:szCs w:val="24"/>
        </w:rPr>
        <w:t xml:space="preserve"> </w:t>
      </w:r>
      <w:r w:rsidR="00684ACD" w:rsidRPr="000B2339">
        <w:rPr>
          <w:rFonts w:ascii="Arial" w:hAnsi="Arial" w:cs="Arial"/>
          <w:color w:val="000000" w:themeColor="text1"/>
          <w:sz w:val="24"/>
          <w:szCs w:val="24"/>
        </w:rPr>
        <w:t>that the approach of the High Court does violence to the literal context and purpose of the order of substitution made by this court. Counsel for CRAN contended that the order of substitution followed upon the preceding order which upheld CRAN’s appeal</w:t>
      </w:r>
      <w:r w:rsidR="00D4560A" w:rsidRPr="000B2339">
        <w:rPr>
          <w:rFonts w:ascii="Arial" w:hAnsi="Arial" w:cs="Arial"/>
          <w:color w:val="000000" w:themeColor="text1"/>
          <w:sz w:val="24"/>
          <w:szCs w:val="24"/>
        </w:rPr>
        <w:t xml:space="preserve"> and set aside the High Court’s order. Counsel pointed out that </w:t>
      </w:r>
      <w:r w:rsidR="003A3301">
        <w:rPr>
          <w:rFonts w:ascii="Arial" w:hAnsi="Arial" w:cs="Arial"/>
          <w:color w:val="000000" w:themeColor="text1"/>
          <w:sz w:val="24"/>
          <w:szCs w:val="24"/>
        </w:rPr>
        <w:t>a</w:t>
      </w:r>
      <w:r w:rsidR="00D4560A" w:rsidRPr="000B2339">
        <w:rPr>
          <w:rFonts w:ascii="Arial" w:hAnsi="Arial" w:cs="Arial"/>
          <w:color w:val="000000" w:themeColor="text1"/>
          <w:sz w:val="24"/>
          <w:szCs w:val="24"/>
        </w:rPr>
        <w:t xml:space="preserve"> premise of MTC’s argument – that CRAN’s appeal was unsuccessful and that this court upheld the High Court’s declaration of unconstitutionality was thus incorrect. </w:t>
      </w:r>
      <w:r w:rsidR="00346D7E">
        <w:rPr>
          <w:rFonts w:ascii="Arial" w:hAnsi="Arial" w:cs="Arial"/>
          <w:color w:val="000000" w:themeColor="text1"/>
          <w:sz w:val="24"/>
          <w:szCs w:val="24"/>
        </w:rPr>
        <w:t>On the contrary, this court had upheld the appeal and repudiated the basis of the High Court’s declaration of unconstitutionality and thus its judgment found that the provision was unconstitutional on an entirely different basis.</w:t>
      </w:r>
    </w:p>
    <w:p w:rsidR="00D4560A" w:rsidRPr="000B2339" w:rsidRDefault="00D4560A" w:rsidP="00D4560A">
      <w:pPr>
        <w:pStyle w:val="NoSpacing"/>
        <w:spacing w:line="480" w:lineRule="auto"/>
        <w:jc w:val="bot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[13]</w:t>
      </w:r>
      <w:r w:rsidRPr="000B2339">
        <w:rPr>
          <w:rFonts w:ascii="Arial" w:hAnsi="Arial" w:cs="Arial"/>
          <w:color w:val="000000" w:themeColor="text1"/>
          <w:sz w:val="24"/>
          <w:szCs w:val="24"/>
        </w:rPr>
        <w:tab/>
      </w:r>
      <w:r w:rsidR="00D4560A" w:rsidRPr="000B2339">
        <w:rPr>
          <w:rFonts w:ascii="Arial" w:hAnsi="Arial" w:cs="Arial"/>
          <w:color w:val="000000" w:themeColor="text1"/>
          <w:sz w:val="24"/>
          <w:szCs w:val="24"/>
        </w:rPr>
        <w:t>C</w:t>
      </w:r>
      <w:r w:rsidR="00684ACD" w:rsidRPr="000B2339">
        <w:rPr>
          <w:rFonts w:ascii="Arial" w:hAnsi="Arial" w:cs="Arial"/>
          <w:color w:val="000000" w:themeColor="text1"/>
          <w:sz w:val="24"/>
          <w:szCs w:val="24"/>
        </w:rPr>
        <w:t xml:space="preserve">ounsel </w:t>
      </w:r>
      <w:r w:rsidR="00D4560A" w:rsidRPr="000B2339">
        <w:rPr>
          <w:rFonts w:ascii="Arial" w:hAnsi="Arial" w:cs="Arial"/>
          <w:color w:val="000000" w:themeColor="text1"/>
          <w:sz w:val="24"/>
          <w:szCs w:val="24"/>
        </w:rPr>
        <w:t xml:space="preserve">further </w:t>
      </w:r>
      <w:r w:rsidR="00684ACD" w:rsidRPr="000B2339">
        <w:rPr>
          <w:rFonts w:ascii="Arial" w:hAnsi="Arial" w:cs="Arial"/>
          <w:color w:val="000000" w:themeColor="text1"/>
          <w:sz w:val="24"/>
          <w:szCs w:val="24"/>
        </w:rPr>
        <w:t xml:space="preserve">submitted that the verb ‘substituted’ in para 113.1 of the order is not to be read in isolation but </w:t>
      </w:r>
      <w:r w:rsidR="006A3D3C" w:rsidRPr="000B2339">
        <w:rPr>
          <w:rFonts w:ascii="Arial" w:hAnsi="Arial" w:cs="Arial"/>
          <w:color w:val="000000" w:themeColor="text1"/>
          <w:sz w:val="24"/>
          <w:szCs w:val="24"/>
        </w:rPr>
        <w:t xml:space="preserve">is </w:t>
      </w:r>
      <w:r w:rsidR="00684ACD" w:rsidRPr="000B2339">
        <w:rPr>
          <w:rFonts w:ascii="Arial" w:hAnsi="Arial" w:cs="Arial"/>
          <w:color w:val="000000" w:themeColor="text1"/>
          <w:sz w:val="24"/>
          <w:szCs w:val="24"/>
        </w:rPr>
        <w:t>connected to and follow</w:t>
      </w:r>
      <w:r w:rsidR="008E24D5" w:rsidRPr="000B2339">
        <w:rPr>
          <w:rFonts w:ascii="Arial" w:hAnsi="Arial" w:cs="Arial"/>
          <w:color w:val="000000" w:themeColor="text1"/>
          <w:sz w:val="24"/>
          <w:szCs w:val="24"/>
        </w:rPr>
        <w:t>s</w:t>
      </w:r>
      <w:r w:rsidR="00684ACD" w:rsidRPr="000B2339">
        <w:rPr>
          <w:rFonts w:ascii="Arial" w:hAnsi="Arial" w:cs="Arial"/>
          <w:color w:val="000000" w:themeColor="text1"/>
          <w:sz w:val="24"/>
          <w:szCs w:val="24"/>
        </w:rPr>
        <w:t xml:space="preserve"> upon the order made that ‘the order of the High Court is set aside’. By setting aside the High Court’s order, </w:t>
      </w:r>
      <w:r w:rsidR="008E24D5" w:rsidRPr="000B2339">
        <w:rPr>
          <w:rFonts w:ascii="Arial" w:hAnsi="Arial" w:cs="Arial"/>
          <w:color w:val="000000" w:themeColor="text1"/>
          <w:sz w:val="24"/>
          <w:szCs w:val="24"/>
        </w:rPr>
        <w:t xml:space="preserve">this </w:t>
      </w:r>
      <w:r w:rsidR="00684ACD" w:rsidRPr="000B2339">
        <w:rPr>
          <w:rFonts w:ascii="Arial" w:hAnsi="Arial" w:cs="Arial"/>
          <w:color w:val="000000" w:themeColor="text1"/>
          <w:sz w:val="24"/>
          <w:szCs w:val="24"/>
        </w:rPr>
        <w:t xml:space="preserve">meant that it no longer existed and that the only valid order was that </w:t>
      </w:r>
      <w:r w:rsidR="006A3D3C" w:rsidRPr="000B2339">
        <w:rPr>
          <w:rFonts w:ascii="Arial" w:hAnsi="Arial" w:cs="Arial"/>
          <w:color w:val="000000" w:themeColor="text1"/>
          <w:sz w:val="24"/>
          <w:szCs w:val="24"/>
        </w:rPr>
        <w:t>given by</w:t>
      </w:r>
      <w:r w:rsidR="00684ACD" w:rsidRPr="000B2339">
        <w:rPr>
          <w:rFonts w:ascii="Arial" w:hAnsi="Arial" w:cs="Arial"/>
          <w:color w:val="000000" w:themeColor="text1"/>
          <w:sz w:val="24"/>
          <w:szCs w:val="24"/>
        </w:rPr>
        <w:t xml:space="preserve"> </w:t>
      </w:r>
      <w:r w:rsidR="00684ACD" w:rsidRPr="000B2339">
        <w:rPr>
          <w:rFonts w:ascii="Arial" w:hAnsi="Arial" w:cs="Arial"/>
          <w:color w:val="000000" w:themeColor="text1"/>
          <w:sz w:val="24"/>
          <w:szCs w:val="24"/>
        </w:rPr>
        <w:lastRenderedPageBreak/>
        <w:t>this court</w:t>
      </w:r>
      <w:r w:rsidR="006A3D3C" w:rsidRPr="000B2339">
        <w:rPr>
          <w:rFonts w:ascii="Arial" w:hAnsi="Arial" w:cs="Arial"/>
          <w:color w:val="000000" w:themeColor="text1"/>
          <w:sz w:val="24"/>
          <w:szCs w:val="24"/>
        </w:rPr>
        <w:t xml:space="preserve"> to substitute it</w:t>
      </w:r>
      <w:r w:rsidR="008E24D5" w:rsidRPr="000B2339">
        <w:rPr>
          <w:rFonts w:ascii="Arial" w:hAnsi="Arial" w:cs="Arial"/>
          <w:color w:val="000000" w:themeColor="text1"/>
          <w:sz w:val="24"/>
          <w:szCs w:val="24"/>
        </w:rPr>
        <w:t xml:space="preserve"> in its judgment</w:t>
      </w:r>
      <w:r w:rsidR="00684ACD" w:rsidRPr="000B2339">
        <w:rPr>
          <w:rFonts w:ascii="Arial" w:hAnsi="Arial" w:cs="Arial"/>
          <w:color w:val="000000" w:themeColor="text1"/>
          <w:sz w:val="24"/>
          <w:szCs w:val="24"/>
        </w:rPr>
        <w:t xml:space="preserve">. This court’s order thus replaced </w:t>
      </w:r>
      <w:r w:rsidR="006A3D3C" w:rsidRPr="000B2339">
        <w:rPr>
          <w:rFonts w:ascii="Arial" w:hAnsi="Arial" w:cs="Arial"/>
          <w:color w:val="000000" w:themeColor="text1"/>
          <w:sz w:val="24"/>
          <w:szCs w:val="24"/>
        </w:rPr>
        <w:t xml:space="preserve">that </w:t>
      </w:r>
      <w:r w:rsidR="00684ACD" w:rsidRPr="000B2339">
        <w:rPr>
          <w:rFonts w:ascii="Arial" w:hAnsi="Arial" w:cs="Arial"/>
          <w:color w:val="000000" w:themeColor="text1"/>
          <w:sz w:val="24"/>
          <w:szCs w:val="24"/>
        </w:rPr>
        <w:t xml:space="preserve">of the High Court and should have been </w:t>
      </w:r>
      <w:r w:rsidR="006A3D3C" w:rsidRPr="000B2339">
        <w:rPr>
          <w:rFonts w:ascii="Arial" w:hAnsi="Arial" w:cs="Arial"/>
          <w:color w:val="000000" w:themeColor="text1"/>
          <w:sz w:val="24"/>
          <w:szCs w:val="24"/>
        </w:rPr>
        <w:t xml:space="preserve">the order </w:t>
      </w:r>
      <w:r w:rsidR="00684ACD" w:rsidRPr="000B2339">
        <w:rPr>
          <w:rFonts w:ascii="Arial" w:hAnsi="Arial" w:cs="Arial"/>
          <w:color w:val="000000" w:themeColor="text1"/>
          <w:sz w:val="24"/>
          <w:szCs w:val="24"/>
        </w:rPr>
        <w:t>given by that court.</w:t>
      </w:r>
    </w:p>
    <w:p w:rsidR="00781A4E" w:rsidRPr="000B2339" w:rsidRDefault="00781A4E" w:rsidP="00781A4E">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[14]</w:t>
      </w:r>
      <w:r w:rsidRPr="000B2339">
        <w:rPr>
          <w:rFonts w:ascii="Arial" w:hAnsi="Arial" w:cs="Arial"/>
          <w:color w:val="000000" w:themeColor="text1"/>
          <w:sz w:val="24"/>
          <w:szCs w:val="24"/>
        </w:rPr>
        <w:tab/>
      </w:r>
      <w:r w:rsidR="00684ACD" w:rsidRPr="000B2339">
        <w:rPr>
          <w:rFonts w:ascii="Arial" w:hAnsi="Arial" w:cs="Arial"/>
          <w:color w:val="000000" w:themeColor="text1"/>
          <w:sz w:val="24"/>
          <w:szCs w:val="24"/>
        </w:rPr>
        <w:t xml:space="preserve">Counsel for CRAN further argued that the date when the order of invalidity was to kick in and </w:t>
      </w:r>
      <w:r w:rsidR="00346D7E">
        <w:rPr>
          <w:rFonts w:ascii="Arial" w:hAnsi="Arial" w:cs="Arial"/>
          <w:color w:val="000000" w:themeColor="text1"/>
          <w:sz w:val="24"/>
          <w:szCs w:val="24"/>
        </w:rPr>
        <w:t>lead</w:t>
      </w:r>
      <w:r w:rsidR="003A3301">
        <w:rPr>
          <w:rFonts w:ascii="Arial" w:hAnsi="Arial" w:cs="Arial"/>
          <w:color w:val="000000" w:themeColor="text1"/>
          <w:sz w:val="24"/>
          <w:szCs w:val="24"/>
        </w:rPr>
        <w:t xml:space="preserve"> to </w:t>
      </w:r>
      <w:r w:rsidR="00684ACD" w:rsidRPr="000B2339">
        <w:rPr>
          <w:rFonts w:ascii="Arial" w:hAnsi="Arial" w:cs="Arial"/>
          <w:color w:val="000000" w:themeColor="text1"/>
          <w:sz w:val="24"/>
          <w:szCs w:val="24"/>
        </w:rPr>
        <w:t>its consequences are those expressly directed by this court. It was argued that the order of invalidity took effect ‘from the date of this judgment’, as directed by this court.</w:t>
      </w:r>
    </w:p>
    <w:p w:rsidR="00684ACD" w:rsidRPr="000B2339" w:rsidRDefault="00684ACD" w:rsidP="00684ACD">
      <w:pPr>
        <w:pStyle w:val="ListParagraph"/>
        <w:rPr>
          <w:rFonts w:ascii="Arial" w:hAnsi="Arial" w:cs="Arial"/>
          <w:color w:val="000000" w:themeColor="text1"/>
          <w:sz w:val="24"/>
          <w:szCs w:val="24"/>
        </w:rPr>
      </w:pPr>
    </w:p>
    <w:p w:rsidR="00684ACD"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[15]</w:t>
      </w:r>
      <w:r w:rsidRPr="000B2339">
        <w:rPr>
          <w:rFonts w:ascii="Arial" w:hAnsi="Arial" w:cs="Arial"/>
          <w:color w:val="000000" w:themeColor="text1"/>
          <w:sz w:val="24"/>
          <w:szCs w:val="24"/>
        </w:rPr>
        <w:tab/>
      </w:r>
      <w:r w:rsidR="00684ACD" w:rsidRPr="000B2339">
        <w:rPr>
          <w:rFonts w:ascii="Arial" w:hAnsi="Arial" w:cs="Arial"/>
          <w:color w:val="000000" w:themeColor="text1"/>
          <w:sz w:val="24"/>
          <w:szCs w:val="24"/>
        </w:rPr>
        <w:t xml:space="preserve">It was also argued on behalf of CRAN that this </w:t>
      </w:r>
      <w:r w:rsidR="006A3D3C" w:rsidRPr="000B2339">
        <w:rPr>
          <w:rFonts w:ascii="Arial" w:hAnsi="Arial" w:cs="Arial"/>
          <w:color w:val="000000" w:themeColor="text1"/>
          <w:sz w:val="24"/>
          <w:szCs w:val="24"/>
        </w:rPr>
        <w:t>c</w:t>
      </w:r>
      <w:r w:rsidR="00684ACD" w:rsidRPr="000B2339">
        <w:rPr>
          <w:rFonts w:ascii="Arial" w:hAnsi="Arial" w:cs="Arial"/>
          <w:color w:val="000000" w:themeColor="text1"/>
          <w:sz w:val="24"/>
          <w:szCs w:val="24"/>
        </w:rPr>
        <w:t>ourt expressly l</w:t>
      </w:r>
      <w:r w:rsidR="008E24D5" w:rsidRPr="000B2339">
        <w:rPr>
          <w:rFonts w:ascii="Arial" w:hAnsi="Arial" w:cs="Arial"/>
          <w:color w:val="000000" w:themeColor="text1"/>
          <w:sz w:val="24"/>
          <w:szCs w:val="24"/>
        </w:rPr>
        <w:t>imited the retrospective effect</w:t>
      </w:r>
      <w:r w:rsidR="00684ACD" w:rsidRPr="000B2339">
        <w:rPr>
          <w:rFonts w:ascii="Arial" w:hAnsi="Arial" w:cs="Arial"/>
          <w:color w:val="000000" w:themeColor="text1"/>
          <w:sz w:val="24"/>
          <w:szCs w:val="24"/>
        </w:rPr>
        <w:t xml:space="preserve"> of its order of invalidity and </w:t>
      </w:r>
      <w:r w:rsidR="008E24D5" w:rsidRPr="000B2339">
        <w:rPr>
          <w:rFonts w:ascii="Arial" w:hAnsi="Arial" w:cs="Arial"/>
          <w:color w:val="000000" w:themeColor="text1"/>
          <w:sz w:val="24"/>
          <w:szCs w:val="24"/>
        </w:rPr>
        <w:t xml:space="preserve">directed </w:t>
      </w:r>
      <w:r w:rsidR="00684ACD" w:rsidRPr="000B2339">
        <w:rPr>
          <w:rFonts w:ascii="Arial" w:hAnsi="Arial" w:cs="Arial"/>
          <w:color w:val="000000" w:themeColor="text1"/>
          <w:sz w:val="24"/>
          <w:szCs w:val="24"/>
        </w:rPr>
        <w:t xml:space="preserve">that it should have ‘no retrospective effect in respect of anything done pursuant thereto prior to the said date’. Counsel contended that the date so referenced is </w:t>
      </w:r>
      <w:r w:rsidR="003A3301">
        <w:rPr>
          <w:rFonts w:ascii="Arial" w:hAnsi="Arial" w:cs="Arial"/>
          <w:color w:val="000000" w:themeColor="text1"/>
          <w:sz w:val="24"/>
          <w:szCs w:val="24"/>
        </w:rPr>
        <w:t>the</w:t>
      </w:r>
      <w:r w:rsidR="00684ACD" w:rsidRPr="000B2339">
        <w:rPr>
          <w:rFonts w:ascii="Arial" w:hAnsi="Arial" w:cs="Arial"/>
          <w:color w:val="000000" w:themeColor="text1"/>
          <w:sz w:val="24"/>
          <w:szCs w:val="24"/>
        </w:rPr>
        <w:t xml:space="preserve"> date of the judgment of this court. Counsel pointed out that the only retrospective effect of the order of invalidity is contained in para 113.1(c) concerning </w:t>
      </w:r>
      <w:r w:rsidR="003A3301">
        <w:rPr>
          <w:rFonts w:ascii="Arial" w:hAnsi="Arial" w:cs="Arial"/>
          <w:color w:val="000000" w:themeColor="text1"/>
          <w:sz w:val="24"/>
          <w:szCs w:val="24"/>
        </w:rPr>
        <w:t>Telecom</w:t>
      </w:r>
      <w:r w:rsidR="00684ACD" w:rsidRPr="000B2339">
        <w:rPr>
          <w:rFonts w:ascii="Arial" w:hAnsi="Arial" w:cs="Arial"/>
          <w:color w:val="000000" w:themeColor="text1"/>
          <w:sz w:val="24"/>
          <w:szCs w:val="24"/>
        </w:rPr>
        <w:t xml:space="preserve"> not being liable to pay le</w:t>
      </w:r>
      <w:r w:rsidR="00D4560A" w:rsidRPr="000B2339">
        <w:rPr>
          <w:rFonts w:ascii="Arial" w:hAnsi="Arial" w:cs="Arial"/>
          <w:color w:val="000000" w:themeColor="text1"/>
          <w:sz w:val="24"/>
          <w:szCs w:val="24"/>
        </w:rPr>
        <w:t>vies prior to 13 September 2012 as those levies predated the coming into operation of the provision.</w:t>
      </w:r>
      <w:r w:rsidR="00684ACD" w:rsidRPr="000B2339">
        <w:rPr>
          <w:rFonts w:ascii="Arial" w:hAnsi="Arial" w:cs="Arial"/>
          <w:color w:val="000000" w:themeColor="text1"/>
          <w:sz w:val="24"/>
          <w:szCs w:val="24"/>
        </w:rPr>
        <w:t xml:space="preserve"> </w:t>
      </w:r>
    </w:p>
    <w:p w:rsidR="00684ACD" w:rsidRPr="000B2339" w:rsidRDefault="00684ACD" w:rsidP="00684ACD">
      <w:pPr>
        <w:pStyle w:val="ListParagraph"/>
        <w:rPr>
          <w:rFonts w:ascii="Arial" w:hAnsi="Arial" w:cs="Arial"/>
          <w:color w:val="000000" w:themeColor="text1"/>
          <w:sz w:val="24"/>
          <w:szCs w:val="24"/>
        </w:rPr>
      </w:pPr>
    </w:p>
    <w:p w:rsidR="00AF06B9" w:rsidRPr="00346D7E" w:rsidRDefault="008E7528" w:rsidP="008E7528">
      <w:pPr>
        <w:pStyle w:val="NoSpacing"/>
        <w:spacing w:line="480" w:lineRule="auto"/>
        <w:jc w:val="both"/>
        <w:rPr>
          <w:rFonts w:ascii="Arial" w:hAnsi="Arial" w:cs="Arial"/>
          <w:color w:val="000000" w:themeColor="text1"/>
          <w:sz w:val="24"/>
          <w:szCs w:val="24"/>
        </w:rPr>
      </w:pPr>
      <w:r w:rsidRPr="00346D7E">
        <w:rPr>
          <w:rFonts w:ascii="Arial" w:hAnsi="Arial" w:cs="Arial"/>
          <w:color w:val="000000" w:themeColor="text1"/>
          <w:sz w:val="24"/>
          <w:szCs w:val="24"/>
        </w:rPr>
        <w:t>[16]</w:t>
      </w:r>
      <w:r w:rsidRPr="00346D7E">
        <w:rPr>
          <w:rFonts w:ascii="Arial" w:hAnsi="Arial" w:cs="Arial"/>
          <w:color w:val="000000" w:themeColor="text1"/>
          <w:sz w:val="24"/>
          <w:szCs w:val="24"/>
        </w:rPr>
        <w:tab/>
      </w:r>
      <w:r w:rsidR="00684ACD" w:rsidRPr="00346D7E">
        <w:rPr>
          <w:rFonts w:ascii="Arial" w:hAnsi="Arial" w:cs="Arial"/>
          <w:color w:val="000000" w:themeColor="text1"/>
          <w:sz w:val="24"/>
          <w:szCs w:val="24"/>
        </w:rPr>
        <w:t xml:space="preserve">Counsel for CRAN </w:t>
      </w:r>
      <w:r w:rsidR="00D4560A" w:rsidRPr="00346D7E">
        <w:rPr>
          <w:rFonts w:ascii="Arial" w:hAnsi="Arial" w:cs="Arial"/>
          <w:color w:val="000000" w:themeColor="text1"/>
          <w:sz w:val="24"/>
          <w:szCs w:val="24"/>
        </w:rPr>
        <w:t>also contended</w:t>
      </w:r>
      <w:r w:rsidR="00684ACD" w:rsidRPr="00346D7E">
        <w:rPr>
          <w:rFonts w:ascii="Arial" w:hAnsi="Arial" w:cs="Arial"/>
          <w:color w:val="000000" w:themeColor="text1"/>
          <w:sz w:val="24"/>
          <w:szCs w:val="24"/>
        </w:rPr>
        <w:t xml:space="preserve"> that the court </w:t>
      </w:r>
      <w:r w:rsidR="00684ACD" w:rsidRPr="00346D7E">
        <w:rPr>
          <w:rFonts w:ascii="Arial" w:hAnsi="Arial" w:cs="Arial"/>
          <w:i/>
          <w:color w:val="000000" w:themeColor="text1"/>
          <w:sz w:val="24"/>
          <w:szCs w:val="24"/>
        </w:rPr>
        <w:t>a quo</w:t>
      </w:r>
      <w:r w:rsidR="00684ACD" w:rsidRPr="00346D7E">
        <w:rPr>
          <w:rFonts w:ascii="Arial" w:hAnsi="Arial" w:cs="Arial"/>
          <w:color w:val="000000" w:themeColor="text1"/>
          <w:sz w:val="24"/>
          <w:szCs w:val="24"/>
        </w:rPr>
        <w:t xml:space="preserve"> erred in its interpretation of ‘substitution of a trial court order’ without taking into account the relevant context and clear language </w:t>
      </w:r>
      <w:r w:rsidR="00D4560A" w:rsidRPr="00346D7E">
        <w:rPr>
          <w:rFonts w:ascii="Arial" w:hAnsi="Arial" w:cs="Arial"/>
          <w:color w:val="000000" w:themeColor="text1"/>
          <w:sz w:val="24"/>
          <w:szCs w:val="24"/>
        </w:rPr>
        <w:t xml:space="preserve">in the reasoning </w:t>
      </w:r>
      <w:r w:rsidR="00684ACD" w:rsidRPr="00346D7E">
        <w:rPr>
          <w:rFonts w:ascii="Arial" w:hAnsi="Arial" w:cs="Arial"/>
          <w:color w:val="000000" w:themeColor="text1"/>
          <w:sz w:val="24"/>
          <w:szCs w:val="24"/>
        </w:rPr>
        <w:t>used in this court’s judgment where this court had stated in para 106</w:t>
      </w:r>
      <w:r w:rsidR="00D4560A" w:rsidRPr="00346D7E">
        <w:rPr>
          <w:rFonts w:ascii="Arial" w:hAnsi="Arial" w:cs="Arial"/>
          <w:color w:val="000000" w:themeColor="text1"/>
          <w:sz w:val="24"/>
          <w:szCs w:val="24"/>
        </w:rPr>
        <w:t xml:space="preserve"> that the order is to operate </w:t>
      </w:r>
      <w:r w:rsidR="00D4560A" w:rsidRPr="00346D7E">
        <w:rPr>
          <w:rFonts w:ascii="Arial" w:hAnsi="Arial" w:cs="Arial"/>
          <w:i/>
          <w:color w:val="000000" w:themeColor="text1"/>
          <w:sz w:val="24"/>
          <w:szCs w:val="24"/>
        </w:rPr>
        <w:t>ex nunc</w:t>
      </w:r>
      <w:r w:rsidR="00346D7E" w:rsidRPr="00346D7E">
        <w:rPr>
          <w:rFonts w:ascii="Arial" w:hAnsi="Arial" w:cs="Arial"/>
          <w:color w:val="000000" w:themeColor="text1"/>
          <w:sz w:val="24"/>
          <w:szCs w:val="24"/>
        </w:rPr>
        <w:t>.</w:t>
      </w:r>
      <w:r w:rsidR="00346D7E">
        <w:rPr>
          <w:rFonts w:ascii="Arial" w:hAnsi="Arial" w:cs="Arial"/>
          <w:color w:val="000000" w:themeColor="text1"/>
          <w:sz w:val="24"/>
          <w:szCs w:val="24"/>
        </w:rPr>
        <w:t xml:space="preserve"> </w:t>
      </w:r>
      <w:r w:rsidR="00D4560A" w:rsidRPr="00346D7E">
        <w:rPr>
          <w:rFonts w:ascii="Arial" w:hAnsi="Arial" w:cs="Arial"/>
          <w:color w:val="000000" w:themeColor="text1"/>
          <w:sz w:val="24"/>
          <w:szCs w:val="24"/>
        </w:rPr>
        <w:t>Reference was also made to para 107 where this court stated that the order of invalidity would take immediate effect ‘after this judgment’. Counsel also referred to para 108 where this court expressly stated that the provision is invalid</w:t>
      </w:r>
      <w:r w:rsidR="00346D7E">
        <w:rPr>
          <w:rFonts w:ascii="Arial" w:hAnsi="Arial" w:cs="Arial"/>
          <w:color w:val="000000" w:themeColor="text1"/>
          <w:sz w:val="24"/>
          <w:szCs w:val="24"/>
        </w:rPr>
        <w:t xml:space="preserve"> from the date of this court’s order</w:t>
      </w:r>
      <w:r w:rsidR="00D4560A" w:rsidRPr="00346D7E">
        <w:rPr>
          <w:rFonts w:ascii="Arial" w:hAnsi="Arial" w:cs="Arial"/>
          <w:color w:val="000000" w:themeColor="text1"/>
          <w:sz w:val="24"/>
          <w:szCs w:val="24"/>
        </w:rPr>
        <w:t>.</w:t>
      </w:r>
      <w:r w:rsidR="003A3301" w:rsidRPr="00346D7E">
        <w:rPr>
          <w:rFonts w:ascii="Arial" w:hAnsi="Arial" w:cs="Arial"/>
          <w:color w:val="000000" w:themeColor="text1"/>
          <w:sz w:val="24"/>
          <w:szCs w:val="24"/>
        </w:rPr>
        <w:t xml:space="preserve"> </w:t>
      </w:r>
      <w:r w:rsidR="00D4560A" w:rsidRPr="00346D7E">
        <w:rPr>
          <w:rFonts w:ascii="Arial" w:hAnsi="Arial" w:cs="Arial"/>
          <w:color w:val="000000" w:themeColor="text1"/>
          <w:sz w:val="24"/>
          <w:szCs w:val="24"/>
        </w:rPr>
        <w:t>We were also referred to</w:t>
      </w:r>
      <w:r w:rsidR="00AF06B9" w:rsidRPr="00346D7E">
        <w:rPr>
          <w:rFonts w:ascii="Arial" w:hAnsi="Arial" w:cs="Arial"/>
          <w:color w:val="000000" w:themeColor="text1"/>
          <w:sz w:val="24"/>
          <w:szCs w:val="24"/>
        </w:rPr>
        <w:t xml:space="preserve"> para 11</w:t>
      </w:r>
      <w:r w:rsidR="00D054E6" w:rsidRPr="00346D7E">
        <w:rPr>
          <w:rFonts w:ascii="Arial" w:hAnsi="Arial" w:cs="Arial"/>
          <w:color w:val="000000" w:themeColor="text1"/>
          <w:sz w:val="24"/>
          <w:szCs w:val="24"/>
        </w:rPr>
        <w:t>1</w:t>
      </w:r>
      <w:r w:rsidR="00D4560A" w:rsidRPr="00346D7E">
        <w:rPr>
          <w:rFonts w:ascii="Arial" w:hAnsi="Arial" w:cs="Arial"/>
          <w:color w:val="000000" w:themeColor="text1"/>
          <w:sz w:val="24"/>
          <w:szCs w:val="24"/>
        </w:rPr>
        <w:t xml:space="preserve"> where this court said</w:t>
      </w:r>
      <w:r w:rsidR="00AF06B9" w:rsidRPr="00346D7E">
        <w:rPr>
          <w:rFonts w:ascii="Arial" w:hAnsi="Arial" w:cs="Arial"/>
          <w:color w:val="000000" w:themeColor="text1"/>
          <w:sz w:val="24"/>
          <w:szCs w:val="24"/>
        </w:rPr>
        <w:t>:</w:t>
      </w:r>
    </w:p>
    <w:p w:rsidR="00B93393" w:rsidRDefault="00B93393" w:rsidP="00D054E6">
      <w:pPr>
        <w:pStyle w:val="NoSpacing"/>
        <w:spacing w:line="360" w:lineRule="auto"/>
        <w:ind w:left="720"/>
        <w:jc w:val="both"/>
        <w:rPr>
          <w:rFonts w:ascii="Arial" w:hAnsi="Arial" w:cs="Arial"/>
          <w:color w:val="000000" w:themeColor="text1"/>
        </w:rPr>
      </w:pPr>
    </w:p>
    <w:p w:rsidR="00AF06B9" w:rsidRPr="000B2339" w:rsidRDefault="00AF06B9" w:rsidP="00D054E6">
      <w:pPr>
        <w:pStyle w:val="NoSpacing"/>
        <w:spacing w:line="360" w:lineRule="auto"/>
        <w:ind w:left="720"/>
        <w:jc w:val="both"/>
        <w:rPr>
          <w:rFonts w:ascii="Arial" w:hAnsi="Arial" w:cs="Arial"/>
          <w:color w:val="000000" w:themeColor="text1"/>
        </w:rPr>
      </w:pPr>
      <w:r w:rsidRPr="000B2339">
        <w:rPr>
          <w:rFonts w:ascii="Arial" w:hAnsi="Arial" w:cs="Arial"/>
          <w:color w:val="000000" w:themeColor="text1"/>
        </w:rPr>
        <w:lastRenderedPageBreak/>
        <w:t>‘</w:t>
      </w:r>
      <w:r w:rsidR="00D4560A" w:rsidRPr="000B2339">
        <w:rPr>
          <w:rFonts w:ascii="Arial" w:hAnsi="Arial" w:cs="Arial"/>
          <w:color w:val="000000" w:themeColor="text1"/>
          <w:shd w:val="clear" w:color="auto" w:fill="FFFFFF"/>
        </w:rPr>
        <w:t>. . .</w:t>
      </w:r>
      <w:r w:rsidR="00D054E6" w:rsidRPr="000B2339">
        <w:rPr>
          <w:rFonts w:ascii="Arial" w:hAnsi="Arial" w:cs="Arial"/>
          <w:color w:val="000000" w:themeColor="text1"/>
          <w:shd w:val="clear" w:color="auto" w:fill="FFFFFF"/>
        </w:rPr>
        <w:t xml:space="preserve"> the order of invalidity will not have retroactive effect and will have legal consequences on</w:t>
      </w:r>
      <w:r w:rsidR="00D4560A" w:rsidRPr="000B2339">
        <w:rPr>
          <w:rFonts w:ascii="Arial" w:hAnsi="Arial" w:cs="Arial"/>
          <w:color w:val="000000" w:themeColor="text1"/>
          <w:shd w:val="clear" w:color="auto" w:fill="FFFFFF"/>
        </w:rPr>
        <w:t>ly from now and into the future</w:t>
      </w:r>
      <w:r w:rsidR="00D054E6" w:rsidRPr="000B2339">
        <w:rPr>
          <w:rFonts w:ascii="Arial" w:hAnsi="Arial" w:cs="Arial"/>
          <w:color w:val="000000" w:themeColor="text1"/>
          <w:shd w:val="clear" w:color="auto" w:fill="FFFFFF"/>
        </w:rPr>
        <w:t>.’</w:t>
      </w:r>
    </w:p>
    <w:p w:rsidR="00684ACD" w:rsidRPr="000B2339" w:rsidRDefault="00684ACD" w:rsidP="00684ACD">
      <w:pPr>
        <w:pStyle w:val="ListParagraph"/>
        <w:rPr>
          <w:rFonts w:ascii="Arial" w:hAnsi="Arial" w:cs="Arial"/>
          <w:color w:val="000000" w:themeColor="text1"/>
          <w:sz w:val="24"/>
          <w:szCs w:val="24"/>
        </w:rPr>
      </w:pPr>
    </w:p>
    <w:p w:rsidR="00684ACD"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[17]</w:t>
      </w:r>
      <w:r w:rsidRPr="000B2339">
        <w:rPr>
          <w:rFonts w:ascii="Arial" w:hAnsi="Arial" w:cs="Arial"/>
          <w:color w:val="000000" w:themeColor="text1"/>
          <w:sz w:val="24"/>
          <w:szCs w:val="24"/>
        </w:rPr>
        <w:tab/>
      </w:r>
      <w:r w:rsidR="00D4560A" w:rsidRPr="000B2339">
        <w:rPr>
          <w:rFonts w:ascii="Arial" w:hAnsi="Arial" w:cs="Arial"/>
          <w:color w:val="000000" w:themeColor="text1"/>
          <w:sz w:val="24"/>
          <w:szCs w:val="24"/>
        </w:rPr>
        <w:t>As for</w:t>
      </w:r>
      <w:r w:rsidR="00AF06B9" w:rsidRPr="000B2339">
        <w:rPr>
          <w:rFonts w:ascii="Arial" w:hAnsi="Arial" w:cs="Arial"/>
          <w:color w:val="000000" w:themeColor="text1"/>
          <w:sz w:val="24"/>
          <w:szCs w:val="24"/>
        </w:rPr>
        <w:t xml:space="preserve"> </w:t>
      </w:r>
      <w:r w:rsidR="00C66F24">
        <w:rPr>
          <w:rFonts w:ascii="Arial" w:hAnsi="Arial" w:cs="Arial"/>
          <w:i/>
          <w:color w:val="000000" w:themeColor="text1"/>
          <w:sz w:val="24"/>
          <w:szCs w:val="24"/>
        </w:rPr>
        <w:t>Administrator, Cape,</w:t>
      </w:r>
      <w:r w:rsidR="00AF06B9" w:rsidRPr="000B2339">
        <w:rPr>
          <w:rFonts w:ascii="Arial" w:hAnsi="Arial" w:cs="Arial"/>
          <w:color w:val="000000" w:themeColor="text1"/>
          <w:sz w:val="24"/>
          <w:szCs w:val="24"/>
        </w:rPr>
        <w:t xml:space="preserve"> it was argued that the court below erred by taking it to </w:t>
      </w:r>
      <w:r w:rsidR="006A3D3C" w:rsidRPr="000B2339">
        <w:rPr>
          <w:rFonts w:ascii="Arial" w:hAnsi="Arial" w:cs="Arial"/>
          <w:color w:val="000000" w:themeColor="text1"/>
          <w:sz w:val="24"/>
          <w:szCs w:val="24"/>
        </w:rPr>
        <w:t>mean</w:t>
      </w:r>
      <w:r w:rsidR="00AF06B9" w:rsidRPr="000B2339">
        <w:rPr>
          <w:rFonts w:ascii="Arial" w:hAnsi="Arial" w:cs="Arial"/>
          <w:color w:val="000000" w:themeColor="text1"/>
          <w:sz w:val="24"/>
          <w:szCs w:val="24"/>
        </w:rPr>
        <w:t xml:space="preserve"> that if an order is clear and unambiguous, then its meaning</w:t>
      </w:r>
      <w:r w:rsidR="006A3D3C" w:rsidRPr="000B2339">
        <w:rPr>
          <w:rFonts w:ascii="Arial" w:hAnsi="Arial" w:cs="Arial"/>
          <w:color w:val="000000" w:themeColor="text1"/>
          <w:sz w:val="24"/>
          <w:szCs w:val="24"/>
        </w:rPr>
        <w:t xml:space="preserve"> is decisive and that the ratio</w:t>
      </w:r>
      <w:r w:rsidR="00AF06B9" w:rsidRPr="000B2339">
        <w:rPr>
          <w:rFonts w:ascii="Arial" w:hAnsi="Arial" w:cs="Arial"/>
          <w:color w:val="000000" w:themeColor="text1"/>
          <w:sz w:val="24"/>
          <w:szCs w:val="24"/>
        </w:rPr>
        <w:t xml:space="preserve"> and reasoning of the court </w:t>
      </w:r>
      <w:r w:rsidR="006A3D3C" w:rsidRPr="000B2339">
        <w:rPr>
          <w:rFonts w:ascii="Arial" w:hAnsi="Arial" w:cs="Arial"/>
          <w:color w:val="000000" w:themeColor="text1"/>
          <w:sz w:val="24"/>
          <w:szCs w:val="24"/>
        </w:rPr>
        <w:t>are</w:t>
      </w:r>
      <w:r w:rsidR="00AF06B9" w:rsidRPr="000B2339">
        <w:rPr>
          <w:rFonts w:ascii="Arial" w:hAnsi="Arial" w:cs="Arial"/>
          <w:color w:val="000000" w:themeColor="text1"/>
          <w:sz w:val="24"/>
          <w:szCs w:val="24"/>
        </w:rPr>
        <w:t xml:space="preserve"> to be ignored. Counsel contended that the meaning of a clear order would refer to </w:t>
      </w:r>
      <w:r w:rsidR="008E24D5" w:rsidRPr="000B2339">
        <w:rPr>
          <w:rFonts w:ascii="Arial" w:hAnsi="Arial" w:cs="Arial"/>
          <w:color w:val="000000" w:themeColor="text1"/>
          <w:sz w:val="24"/>
          <w:szCs w:val="24"/>
        </w:rPr>
        <w:t xml:space="preserve">its </w:t>
      </w:r>
      <w:r w:rsidR="00AF06B9" w:rsidRPr="000B2339">
        <w:rPr>
          <w:rFonts w:ascii="Arial" w:hAnsi="Arial" w:cs="Arial"/>
          <w:color w:val="000000" w:themeColor="text1"/>
          <w:sz w:val="24"/>
          <w:szCs w:val="24"/>
        </w:rPr>
        <w:t xml:space="preserve">meaning in the eyes of those who have read the reasons. Reliance was placed upon a recent (South African) Constitutional Court judgment (in </w:t>
      </w:r>
      <w:r w:rsidR="00AF06B9" w:rsidRPr="000B2339">
        <w:rPr>
          <w:rFonts w:ascii="Arial" w:hAnsi="Arial" w:cs="Arial"/>
          <w:i/>
          <w:color w:val="000000" w:themeColor="text1"/>
          <w:sz w:val="24"/>
          <w:szCs w:val="24"/>
        </w:rPr>
        <w:t>Member of the Executive Council for Health</w:t>
      </w:r>
      <w:r w:rsidR="00C66F24">
        <w:rPr>
          <w:rFonts w:ascii="Arial" w:hAnsi="Arial" w:cs="Arial"/>
          <w:i/>
          <w:color w:val="000000" w:themeColor="text1"/>
          <w:sz w:val="24"/>
          <w:szCs w:val="24"/>
        </w:rPr>
        <w:t>,</w:t>
      </w:r>
      <w:r w:rsidR="00AF06B9" w:rsidRPr="000B2339">
        <w:rPr>
          <w:rFonts w:ascii="Arial" w:hAnsi="Arial" w:cs="Arial"/>
          <w:i/>
          <w:color w:val="000000" w:themeColor="text1"/>
          <w:sz w:val="24"/>
          <w:szCs w:val="24"/>
        </w:rPr>
        <w:t xml:space="preserve"> Gauteng Provincial Government v PN</w:t>
      </w:r>
      <w:r w:rsidR="00AF06B9" w:rsidRPr="000B2339">
        <w:rPr>
          <w:rStyle w:val="FootnoteReference"/>
          <w:rFonts w:ascii="Arial" w:hAnsi="Arial" w:cs="Arial"/>
          <w:color w:val="000000" w:themeColor="text1"/>
          <w:sz w:val="24"/>
          <w:szCs w:val="24"/>
        </w:rPr>
        <w:footnoteReference w:id="4"/>
      </w:r>
      <w:r w:rsidR="00AF06B9" w:rsidRPr="000B2339">
        <w:rPr>
          <w:rFonts w:ascii="Arial" w:hAnsi="Arial" w:cs="Arial"/>
          <w:color w:val="000000" w:themeColor="text1"/>
          <w:sz w:val="24"/>
          <w:szCs w:val="24"/>
        </w:rPr>
        <w:t xml:space="preserve">) where it was stated that the starting point in interpreting court orders was to determine the purpose of the order – to be ascertained from </w:t>
      </w:r>
      <w:r w:rsidR="00384FD6">
        <w:rPr>
          <w:rFonts w:ascii="Arial" w:hAnsi="Arial" w:cs="Arial"/>
          <w:color w:val="000000" w:themeColor="text1"/>
          <w:sz w:val="24"/>
          <w:szCs w:val="24"/>
        </w:rPr>
        <w:t xml:space="preserve">the </w:t>
      </w:r>
      <w:r w:rsidR="00AF06B9" w:rsidRPr="000B2339">
        <w:rPr>
          <w:rFonts w:ascii="Arial" w:hAnsi="Arial" w:cs="Arial"/>
          <w:color w:val="000000" w:themeColor="text1"/>
          <w:sz w:val="24"/>
          <w:szCs w:val="24"/>
        </w:rPr>
        <w:t>language of the judgment in context.</w:t>
      </w:r>
    </w:p>
    <w:p w:rsidR="00684ACD" w:rsidRPr="000B2339" w:rsidRDefault="00684ACD" w:rsidP="00684ACD">
      <w:pPr>
        <w:pStyle w:val="ListParagraph"/>
        <w:rPr>
          <w:rFonts w:ascii="Arial" w:hAnsi="Arial" w:cs="Arial"/>
          <w:color w:val="000000" w:themeColor="text1"/>
          <w:sz w:val="24"/>
          <w:szCs w:val="24"/>
        </w:rPr>
      </w:pPr>
    </w:p>
    <w:p w:rsidR="00684ACD"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[18]</w:t>
      </w:r>
      <w:r w:rsidRPr="000B2339">
        <w:rPr>
          <w:rFonts w:ascii="Arial" w:hAnsi="Arial" w:cs="Arial"/>
          <w:color w:val="000000" w:themeColor="text1"/>
          <w:sz w:val="24"/>
          <w:szCs w:val="24"/>
        </w:rPr>
        <w:tab/>
      </w:r>
      <w:r w:rsidR="00AF06B9" w:rsidRPr="000B2339">
        <w:rPr>
          <w:rFonts w:ascii="Arial" w:hAnsi="Arial" w:cs="Arial"/>
          <w:color w:val="000000" w:themeColor="text1"/>
          <w:sz w:val="24"/>
          <w:szCs w:val="24"/>
        </w:rPr>
        <w:t xml:space="preserve">Counsel concluded that the High Court erred in misreading and misconstruing the language of this court in para 106 of the judgment where reference is made to this court validating the provision ‘up to’ the date </w:t>
      </w:r>
      <w:r w:rsidR="008E24D5" w:rsidRPr="000B2339">
        <w:rPr>
          <w:rFonts w:ascii="Arial" w:hAnsi="Arial" w:cs="Arial"/>
          <w:color w:val="000000" w:themeColor="text1"/>
          <w:sz w:val="24"/>
          <w:szCs w:val="24"/>
        </w:rPr>
        <w:t xml:space="preserve">that </w:t>
      </w:r>
      <w:r w:rsidR="00AF06B9" w:rsidRPr="000B2339">
        <w:rPr>
          <w:rFonts w:ascii="Arial" w:hAnsi="Arial" w:cs="Arial"/>
          <w:color w:val="000000" w:themeColor="text1"/>
          <w:sz w:val="24"/>
          <w:szCs w:val="24"/>
        </w:rPr>
        <w:t>this court confirmed its unconstitutionality and para 107 where reference is made to the order of invalidity taking immediate effect after this judgment.</w:t>
      </w:r>
    </w:p>
    <w:p w:rsidR="00684ACD" w:rsidRPr="000B2339" w:rsidRDefault="00684ACD" w:rsidP="00684ACD">
      <w:pPr>
        <w:pStyle w:val="ListParagraph"/>
        <w:rPr>
          <w:rFonts w:ascii="Arial" w:hAnsi="Arial" w:cs="Arial"/>
          <w:color w:val="000000" w:themeColor="text1"/>
          <w:sz w:val="24"/>
          <w:szCs w:val="24"/>
        </w:rPr>
      </w:pPr>
    </w:p>
    <w:p w:rsidR="00684ACD" w:rsidRPr="000B303E" w:rsidRDefault="008E7528" w:rsidP="008E7528">
      <w:pPr>
        <w:pStyle w:val="NoSpacing"/>
        <w:spacing w:line="480" w:lineRule="auto"/>
        <w:jc w:val="both"/>
        <w:rPr>
          <w:rFonts w:ascii="Arial" w:hAnsi="Arial" w:cs="Arial"/>
          <w:color w:val="000000" w:themeColor="text1"/>
          <w:sz w:val="24"/>
          <w:szCs w:val="24"/>
        </w:rPr>
      </w:pPr>
      <w:r w:rsidRPr="000B303E">
        <w:rPr>
          <w:rFonts w:ascii="Arial" w:hAnsi="Arial" w:cs="Arial"/>
          <w:color w:val="000000" w:themeColor="text1"/>
          <w:sz w:val="24"/>
          <w:szCs w:val="24"/>
        </w:rPr>
        <w:t>[19]</w:t>
      </w:r>
      <w:r w:rsidRPr="000B303E">
        <w:rPr>
          <w:rFonts w:ascii="Arial" w:hAnsi="Arial" w:cs="Arial"/>
          <w:color w:val="000000" w:themeColor="text1"/>
          <w:sz w:val="24"/>
          <w:szCs w:val="24"/>
        </w:rPr>
        <w:tab/>
      </w:r>
      <w:r w:rsidR="00050DFF" w:rsidRPr="000B2339">
        <w:rPr>
          <w:rFonts w:ascii="Arial" w:hAnsi="Arial" w:cs="Arial"/>
          <w:color w:val="000000" w:themeColor="text1"/>
          <w:sz w:val="24"/>
          <w:szCs w:val="24"/>
        </w:rPr>
        <w:t>MTC</w:t>
      </w:r>
      <w:r w:rsidR="003A3301">
        <w:rPr>
          <w:rFonts w:ascii="Arial" w:hAnsi="Arial" w:cs="Arial"/>
          <w:color w:val="000000" w:themeColor="text1"/>
          <w:sz w:val="24"/>
          <w:szCs w:val="24"/>
        </w:rPr>
        <w:t>’s counsel</w:t>
      </w:r>
      <w:r w:rsidR="00050DFF" w:rsidRPr="000B2339">
        <w:rPr>
          <w:rFonts w:ascii="Arial" w:hAnsi="Arial" w:cs="Arial"/>
          <w:color w:val="000000" w:themeColor="text1"/>
          <w:sz w:val="24"/>
          <w:szCs w:val="24"/>
        </w:rPr>
        <w:t xml:space="preserve"> countered that the approach of CRAN would require this court to distance itself from </w:t>
      </w:r>
      <w:r w:rsidR="00C66F24">
        <w:rPr>
          <w:rFonts w:ascii="Arial" w:hAnsi="Arial" w:cs="Arial"/>
          <w:i/>
          <w:color w:val="000000" w:themeColor="text1"/>
          <w:sz w:val="24"/>
          <w:szCs w:val="24"/>
        </w:rPr>
        <w:t>Administrator, Cape,</w:t>
      </w:r>
      <w:r w:rsidR="00050DFF" w:rsidRPr="000B2339">
        <w:rPr>
          <w:rFonts w:ascii="Arial" w:hAnsi="Arial" w:cs="Arial"/>
          <w:color w:val="000000" w:themeColor="text1"/>
          <w:sz w:val="24"/>
          <w:szCs w:val="24"/>
        </w:rPr>
        <w:t xml:space="preserve"> which this court </w:t>
      </w:r>
      <w:r w:rsidR="00346D7E">
        <w:rPr>
          <w:rFonts w:ascii="Arial" w:hAnsi="Arial" w:cs="Arial"/>
          <w:color w:val="000000" w:themeColor="text1"/>
          <w:sz w:val="24"/>
          <w:szCs w:val="24"/>
        </w:rPr>
        <w:t>has</w:t>
      </w:r>
      <w:r w:rsidR="00050DFF" w:rsidRPr="000B2339">
        <w:rPr>
          <w:rFonts w:ascii="Arial" w:hAnsi="Arial" w:cs="Arial"/>
          <w:color w:val="000000" w:themeColor="text1"/>
          <w:sz w:val="24"/>
          <w:szCs w:val="24"/>
        </w:rPr>
        <w:t xml:space="preserve"> followed</w:t>
      </w:r>
      <w:r w:rsidR="00742DD0">
        <w:rPr>
          <w:rFonts w:ascii="Arial" w:hAnsi="Arial" w:cs="Arial"/>
          <w:color w:val="000000" w:themeColor="text1"/>
          <w:sz w:val="24"/>
          <w:szCs w:val="24"/>
        </w:rPr>
        <w:t xml:space="preserve"> </w:t>
      </w:r>
      <w:r w:rsidR="00346D7E">
        <w:rPr>
          <w:rFonts w:ascii="Arial" w:hAnsi="Arial" w:cs="Arial"/>
          <w:color w:val="000000" w:themeColor="text1"/>
          <w:sz w:val="24"/>
          <w:szCs w:val="24"/>
        </w:rPr>
        <w:t>and that it</w:t>
      </w:r>
      <w:r w:rsidR="00346D7E" w:rsidRPr="00346D7E">
        <w:rPr>
          <w:rFonts w:ascii="Arial" w:hAnsi="Arial" w:cs="Arial"/>
          <w:color w:val="000000" w:themeColor="text1"/>
          <w:sz w:val="24"/>
          <w:szCs w:val="24"/>
        </w:rPr>
        <w:t xml:space="preserve"> </w:t>
      </w:r>
      <w:r w:rsidR="00346D7E" w:rsidRPr="000B2339">
        <w:rPr>
          <w:rFonts w:ascii="Arial" w:hAnsi="Arial" w:cs="Arial"/>
          <w:color w:val="000000" w:themeColor="text1"/>
          <w:sz w:val="24"/>
          <w:szCs w:val="24"/>
        </w:rPr>
        <w:t xml:space="preserve">was decided by the Appellate Division at a time when it was the highest court for Namibia and has since </w:t>
      </w:r>
      <w:r w:rsidR="000B303E">
        <w:rPr>
          <w:rFonts w:ascii="Arial" w:hAnsi="Arial" w:cs="Arial"/>
          <w:color w:val="000000" w:themeColor="text1"/>
          <w:sz w:val="24"/>
          <w:szCs w:val="24"/>
        </w:rPr>
        <w:t>been followed by this court</w:t>
      </w:r>
      <w:r w:rsidR="00742DD0" w:rsidRPr="000B2339">
        <w:rPr>
          <w:rFonts w:ascii="Arial" w:hAnsi="Arial" w:cs="Arial"/>
          <w:color w:val="000000" w:themeColor="text1"/>
          <w:sz w:val="24"/>
          <w:szCs w:val="24"/>
        </w:rPr>
        <w:t>.</w:t>
      </w:r>
      <w:r w:rsidR="00A27E52" w:rsidRPr="000B2339">
        <w:rPr>
          <w:rStyle w:val="FootnoteReference"/>
          <w:rFonts w:ascii="Arial" w:hAnsi="Arial" w:cs="Arial"/>
          <w:color w:val="000000" w:themeColor="text1"/>
          <w:sz w:val="24"/>
          <w:szCs w:val="24"/>
        </w:rPr>
        <w:footnoteReference w:id="5"/>
      </w:r>
      <w:r w:rsidR="000B303E">
        <w:rPr>
          <w:rFonts w:ascii="Arial" w:hAnsi="Arial" w:cs="Arial"/>
          <w:color w:val="000000" w:themeColor="text1"/>
          <w:sz w:val="24"/>
          <w:szCs w:val="24"/>
        </w:rPr>
        <w:t xml:space="preserve"> </w:t>
      </w:r>
      <w:r w:rsidR="00050DFF" w:rsidRPr="000B303E">
        <w:rPr>
          <w:rFonts w:ascii="Arial" w:hAnsi="Arial" w:cs="Arial"/>
          <w:color w:val="000000" w:themeColor="text1"/>
          <w:sz w:val="24"/>
          <w:szCs w:val="24"/>
        </w:rPr>
        <w:t xml:space="preserve">Counsel for MTC contended that the High Court had correctly applied the principle articulated in </w:t>
      </w:r>
      <w:r w:rsidR="00C66F24">
        <w:rPr>
          <w:rFonts w:ascii="Arial" w:hAnsi="Arial" w:cs="Arial"/>
          <w:i/>
          <w:color w:val="000000" w:themeColor="text1"/>
          <w:sz w:val="24"/>
          <w:szCs w:val="24"/>
        </w:rPr>
        <w:t xml:space="preserve">Administrator, </w:t>
      </w:r>
      <w:r w:rsidR="00C66F24">
        <w:rPr>
          <w:rFonts w:ascii="Arial" w:hAnsi="Arial" w:cs="Arial"/>
          <w:i/>
          <w:color w:val="000000" w:themeColor="text1"/>
          <w:sz w:val="24"/>
          <w:szCs w:val="24"/>
        </w:rPr>
        <w:lastRenderedPageBreak/>
        <w:t>Cape,</w:t>
      </w:r>
      <w:r w:rsidR="00050DFF" w:rsidRPr="000B303E">
        <w:rPr>
          <w:rFonts w:ascii="Arial" w:hAnsi="Arial" w:cs="Arial"/>
          <w:i/>
          <w:color w:val="000000" w:themeColor="text1"/>
          <w:sz w:val="24"/>
          <w:szCs w:val="24"/>
        </w:rPr>
        <w:t xml:space="preserve"> </w:t>
      </w:r>
      <w:r w:rsidR="00050DFF" w:rsidRPr="000B303E">
        <w:rPr>
          <w:rFonts w:ascii="Arial" w:hAnsi="Arial" w:cs="Arial"/>
          <w:color w:val="000000" w:themeColor="text1"/>
          <w:sz w:val="24"/>
          <w:szCs w:val="24"/>
        </w:rPr>
        <w:t xml:space="preserve">and was correct in declining CRAN’s invitation to adopt </w:t>
      </w:r>
      <w:r w:rsidR="00D4560A" w:rsidRPr="000B303E">
        <w:rPr>
          <w:rFonts w:ascii="Arial" w:hAnsi="Arial" w:cs="Arial"/>
          <w:color w:val="000000" w:themeColor="text1"/>
          <w:sz w:val="24"/>
          <w:szCs w:val="24"/>
        </w:rPr>
        <w:t xml:space="preserve">what was termed </w:t>
      </w:r>
      <w:r w:rsidR="00050DFF" w:rsidRPr="000B303E">
        <w:rPr>
          <w:rFonts w:ascii="Arial" w:hAnsi="Arial" w:cs="Arial"/>
          <w:color w:val="000000" w:themeColor="text1"/>
          <w:sz w:val="24"/>
          <w:szCs w:val="24"/>
        </w:rPr>
        <w:t>a word-changing interpretation of this court’s order.</w:t>
      </w:r>
    </w:p>
    <w:p w:rsidR="00050DFF" w:rsidRPr="000B2339" w:rsidRDefault="00050DFF" w:rsidP="00050DFF">
      <w:pPr>
        <w:pStyle w:val="ListParagraph"/>
        <w:rPr>
          <w:rFonts w:ascii="Arial" w:hAnsi="Arial" w:cs="Arial"/>
          <w:color w:val="000000" w:themeColor="text1"/>
          <w:sz w:val="24"/>
          <w:szCs w:val="24"/>
        </w:rPr>
      </w:pPr>
    </w:p>
    <w:p w:rsidR="00050DFF"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[20]</w:t>
      </w:r>
      <w:r w:rsidRPr="000B2339">
        <w:rPr>
          <w:rFonts w:ascii="Arial" w:hAnsi="Arial" w:cs="Arial"/>
          <w:color w:val="000000" w:themeColor="text1"/>
          <w:sz w:val="24"/>
          <w:szCs w:val="24"/>
        </w:rPr>
        <w:tab/>
      </w:r>
      <w:r w:rsidR="00050DFF" w:rsidRPr="000B2339">
        <w:rPr>
          <w:rFonts w:ascii="Arial" w:hAnsi="Arial" w:cs="Arial"/>
          <w:color w:val="000000" w:themeColor="text1"/>
          <w:sz w:val="24"/>
          <w:szCs w:val="24"/>
        </w:rPr>
        <w:t xml:space="preserve">It was further argued that this court’s order struck a careful compromise between the doctrine </w:t>
      </w:r>
      <w:r w:rsidR="00D4560A" w:rsidRPr="000B2339">
        <w:rPr>
          <w:rFonts w:ascii="Arial" w:hAnsi="Arial" w:cs="Arial"/>
          <w:color w:val="000000" w:themeColor="text1"/>
          <w:sz w:val="24"/>
          <w:szCs w:val="24"/>
        </w:rPr>
        <w:t xml:space="preserve">of </w:t>
      </w:r>
      <w:r w:rsidR="00050DFF" w:rsidRPr="000B2339">
        <w:rPr>
          <w:rFonts w:ascii="Arial" w:hAnsi="Arial" w:cs="Arial"/>
          <w:color w:val="000000" w:themeColor="text1"/>
          <w:sz w:val="24"/>
          <w:szCs w:val="24"/>
        </w:rPr>
        <w:t xml:space="preserve">objective unconstitutionality, rendering a provision invalid </w:t>
      </w:r>
      <w:r w:rsidR="00050DFF" w:rsidRPr="000B2339">
        <w:rPr>
          <w:rFonts w:ascii="Arial" w:hAnsi="Arial" w:cs="Arial"/>
          <w:i/>
          <w:color w:val="000000" w:themeColor="text1"/>
          <w:sz w:val="24"/>
          <w:szCs w:val="24"/>
        </w:rPr>
        <w:t>ex tunc</w:t>
      </w:r>
      <w:r w:rsidR="00050DFF" w:rsidRPr="000B2339">
        <w:rPr>
          <w:rFonts w:ascii="Arial" w:hAnsi="Arial" w:cs="Arial"/>
          <w:color w:val="000000" w:themeColor="text1"/>
          <w:sz w:val="24"/>
          <w:szCs w:val="24"/>
        </w:rPr>
        <w:t xml:space="preserve"> (since inception) and a declaration of unconstitutionality without practical effect which fails to take into account the protection of successful litigants against a violation of  the rule of law. It was contended that the compr</w:t>
      </w:r>
      <w:r w:rsidR="006A3D3C" w:rsidRPr="000B2339">
        <w:rPr>
          <w:rFonts w:ascii="Arial" w:hAnsi="Arial" w:cs="Arial"/>
          <w:color w:val="000000" w:themeColor="text1"/>
          <w:sz w:val="24"/>
          <w:szCs w:val="24"/>
        </w:rPr>
        <w:t>om</w:t>
      </w:r>
      <w:r w:rsidR="00050DFF" w:rsidRPr="000B2339">
        <w:rPr>
          <w:rFonts w:ascii="Arial" w:hAnsi="Arial" w:cs="Arial"/>
          <w:color w:val="000000" w:themeColor="text1"/>
          <w:sz w:val="24"/>
          <w:szCs w:val="24"/>
        </w:rPr>
        <w:t xml:space="preserve">ise struck by this court in its order was in clear and unambiguous terms, following the conventional formulation adopted by courts of appeal by substituting its order for that of the High Court. It would follow, so it was argued, that the </w:t>
      </w:r>
      <w:r w:rsidR="006A3D3C" w:rsidRPr="000B2339">
        <w:rPr>
          <w:rFonts w:ascii="Arial" w:hAnsi="Arial" w:cs="Arial"/>
          <w:color w:val="000000" w:themeColor="text1"/>
          <w:sz w:val="24"/>
          <w:szCs w:val="24"/>
        </w:rPr>
        <w:t>‘</w:t>
      </w:r>
      <w:r w:rsidR="00050DFF" w:rsidRPr="000B2339">
        <w:rPr>
          <w:rFonts w:ascii="Arial" w:hAnsi="Arial" w:cs="Arial"/>
          <w:color w:val="000000" w:themeColor="text1"/>
          <w:sz w:val="24"/>
          <w:szCs w:val="24"/>
        </w:rPr>
        <w:t>date of this judgment</w:t>
      </w:r>
      <w:r w:rsidR="006A3D3C" w:rsidRPr="000B2339">
        <w:rPr>
          <w:rFonts w:ascii="Arial" w:hAnsi="Arial" w:cs="Arial"/>
          <w:color w:val="000000" w:themeColor="text1"/>
          <w:sz w:val="24"/>
          <w:szCs w:val="24"/>
        </w:rPr>
        <w:t>’</w:t>
      </w:r>
      <w:r w:rsidR="00050DFF" w:rsidRPr="000B2339">
        <w:rPr>
          <w:rFonts w:ascii="Arial" w:hAnsi="Arial" w:cs="Arial"/>
          <w:color w:val="000000" w:themeColor="text1"/>
          <w:sz w:val="24"/>
          <w:szCs w:val="24"/>
        </w:rPr>
        <w:t xml:space="preserve"> would designate the date of the High Court’s judgment. It further followed, so it was contended, that the High Court was correct in upholding MTC’s exception to CRAN’s claim.</w:t>
      </w:r>
    </w:p>
    <w:p w:rsidR="00781A4E" w:rsidRPr="000B2339" w:rsidRDefault="00781A4E" w:rsidP="00781A4E">
      <w:pPr>
        <w:pStyle w:val="ListParagraph"/>
        <w:rPr>
          <w:rFonts w:ascii="Arial" w:hAnsi="Arial" w:cs="Arial"/>
          <w:color w:val="000000" w:themeColor="text1"/>
          <w:sz w:val="24"/>
          <w:szCs w:val="24"/>
        </w:rPr>
      </w:pPr>
    </w:p>
    <w:p w:rsidR="00781A4E"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050DFF" w:rsidRPr="000B2339">
        <w:rPr>
          <w:rFonts w:ascii="Arial" w:hAnsi="Arial" w:cs="Arial"/>
          <w:color w:val="000000" w:themeColor="text1"/>
          <w:sz w:val="24"/>
          <w:szCs w:val="24"/>
        </w:rPr>
        <w:t xml:space="preserve">MTC argued that a court’s order, being the announcement of the result of contested litigation is enforceable and executable with immediate effect and must be capable of </w:t>
      </w:r>
      <w:r w:rsidR="006A3D3C" w:rsidRPr="000B2339">
        <w:rPr>
          <w:rFonts w:ascii="Arial" w:hAnsi="Arial" w:cs="Arial"/>
          <w:color w:val="000000" w:themeColor="text1"/>
          <w:sz w:val="24"/>
          <w:szCs w:val="24"/>
        </w:rPr>
        <w:t xml:space="preserve">being </w:t>
      </w:r>
      <w:r w:rsidR="00050DFF" w:rsidRPr="000B2339">
        <w:rPr>
          <w:rFonts w:ascii="Arial" w:hAnsi="Arial" w:cs="Arial"/>
          <w:color w:val="000000" w:themeColor="text1"/>
          <w:sz w:val="24"/>
          <w:szCs w:val="24"/>
        </w:rPr>
        <w:t>acted upon by the sheriff without sifting through a judgment.</w:t>
      </w:r>
      <w:r w:rsidR="00CD0C87" w:rsidRPr="000B2339">
        <w:rPr>
          <w:rFonts w:ascii="Arial" w:hAnsi="Arial" w:cs="Arial"/>
          <w:color w:val="000000" w:themeColor="text1"/>
          <w:sz w:val="24"/>
          <w:szCs w:val="24"/>
        </w:rPr>
        <w:t xml:space="preserve"> In accordance with </w:t>
      </w:r>
      <w:r w:rsidR="00C66F24">
        <w:rPr>
          <w:rFonts w:ascii="Arial" w:hAnsi="Arial" w:cs="Arial"/>
          <w:i/>
          <w:color w:val="000000" w:themeColor="text1"/>
          <w:sz w:val="24"/>
          <w:szCs w:val="24"/>
        </w:rPr>
        <w:t>Administrator, Cape,</w:t>
      </w:r>
      <w:r w:rsidR="00CD0C87" w:rsidRPr="000B2339">
        <w:rPr>
          <w:rFonts w:ascii="Arial" w:hAnsi="Arial" w:cs="Arial"/>
          <w:i/>
          <w:color w:val="000000" w:themeColor="text1"/>
          <w:sz w:val="24"/>
          <w:szCs w:val="24"/>
        </w:rPr>
        <w:t xml:space="preserve"> </w:t>
      </w:r>
      <w:r w:rsidR="00CD0C87" w:rsidRPr="000B2339">
        <w:rPr>
          <w:rFonts w:ascii="Arial" w:hAnsi="Arial" w:cs="Arial"/>
          <w:color w:val="000000" w:themeColor="text1"/>
          <w:sz w:val="24"/>
          <w:szCs w:val="24"/>
        </w:rPr>
        <w:t>if the meaning of the order is clear and unambiguous, that is decisive and cannot be restricted or extended by anything else in the judgment.</w:t>
      </w:r>
    </w:p>
    <w:p w:rsidR="00B93393" w:rsidRDefault="00B93393" w:rsidP="00B93393">
      <w:pPr>
        <w:pStyle w:val="ListParagraph"/>
        <w:rPr>
          <w:rFonts w:ascii="Arial" w:hAnsi="Arial" w:cs="Arial"/>
          <w:color w:val="000000" w:themeColor="text1"/>
          <w:sz w:val="24"/>
          <w:szCs w:val="24"/>
        </w:rPr>
      </w:pPr>
    </w:p>
    <w:p w:rsidR="00781A4E" w:rsidRPr="000B2339" w:rsidRDefault="00781A4E" w:rsidP="00781A4E">
      <w:pPr>
        <w:pStyle w:val="ListParagraph"/>
        <w:rPr>
          <w:rFonts w:ascii="Arial" w:hAnsi="Arial" w:cs="Arial"/>
          <w:color w:val="000000" w:themeColor="text1"/>
          <w:sz w:val="24"/>
          <w:szCs w:val="24"/>
        </w:rPr>
      </w:pPr>
    </w:p>
    <w:p w:rsidR="00781A4E"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[22]</w:t>
      </w:r>
      <w:r w:rsidRPr="000B2339">
        <w:rPr>
          <w:rFonts w:ascii="Arial" w:hAnsi="Arial" w:cs="Arial"/>
          <w:color w:val="000000" w:themeColor="text1"/>
          <w:sz w:val="24"/>
          <w:szCs w:val="24"/>
        </w:rPr>
        <w:tab/>
      </w:r>
      <w:r w:rsidR="00CD0C87" w:rsidRPr="000B2339">
        <w:rPr>
          <w:rFonts w:ascii="Arial" w:hAnsi="Arial" w:cs="Arial"/>
          <w:color w:val="000000" w:themeColor="text1"/>
          <w:sz w:val="24"/>
          <w:szCs w:val="24"/>
        </w:rPr>
        <w:t>It was further submitted on behalf of MTC that the inter</w:t>
      </w:r>
      <w:r w:rsidR="006A3D3C" w:rsidRPr="000B2339">
        <w:rPr>
          <w:rFonts w:ascii="Arial" w:hAnsi="Arial" w:cs="Arial"/>
          <w:color w:val="000000" w:themeColor="text1"/>
          <w:sz w:val="24"/>
          <w:szCs w:val="24"/>
        </w:rPr>
        <w:t>pretive</w:t>
      </w:r>
      <w:r w:rsidR="00CD0C87" w:rsidRPr="000B2339">
        <w:rPr>
          <w:rFonts w:ascii="Arial" w:hAnsi="Arial" w:cs="Arial"/>
          <w:color w:val="000000" w:themeColor="text1"/>
          <w:sz w:val="24"/>
          <w:szCs w:val="24"/>
        </w:rPr>
        <w:t xml:space="preserve"> analysis by the High Court was correct in finding that</w:t>
      </w:r>
      <w:r w:rsidR="006A3D3C" w:rsidRPr="000B2339">
        <w:rPr>
          <w:rFonts w:ascii="Arial" w:hAnsi="Arial" w:cs="Arial"/>
          <w:color w:val="000000" w:themeColor="text1"/>
          <w:sz w:val="24"/>
          <w:szCs w:val="24"/>
        </w:rPr>
        <w:t>,</w:t>
      </w:r>
      <w:r w:rsidR="00CD0C87" w:rsidRPr="000B2339">
        <w:rPr>
          <w:rFonts w:ascii="Arial" w:hAnsi="Arial" w:cs="Arial"/>
          <w:color w:val="000000" w:themeColor="text1"/>
          <w:sz w:val="24"/>
          <w:szCs w:val="24"/>
        </w:rPr>
        <w:t xml:space="preserve"> by substituting its own order for that of the High Court, this court’s order was ‘clear and unambiguous’ and is decisive. </w:t>
      </w:r>
    </w:p>
    <w:p w:rsidR="00CD0C87" w:rsidRPr="000B2339" w:rsidRDefault="00CD0C87" w:rsidP="00CD0C87">
      <w:pPr>
        <w:pStyle w:val="ListParagraph"/>
        <w:rPr>
          <w:rFonts w:ascii="Arial" w:hAnsi="Arial" w:cs="Arial"/>
          <w:color w:val="000000" w:themeColor="text1"/>
          <w:sz w:val="24"/>
          <w:szCs w:val="24"/>
        </w:rPr>
      </w:pPr>
    </w:p>
    <w:p w:rsidR="00CD0C87"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lastRenderedPageBreak/>
        <w:t>[23]</w:t>
      </w:r>
      <w:r w:rsidRPr="000B2339">
        <w:rPr>
          <w:rFonts w:ascii="Arial" w:hAnsi="Arial" w:cs="Arial"/>
          <w:color w:val="000000" w:themeColor="text1"/>
          <w:sz w:val="24"/>
          <w:szCs w:val="24"/>
        </w:rPr>
        <w:tab/>
      </w:r>
      <w:r w:rsidR="00CD0C87" w:rsidRPr="000B2339">
        <w:rPr>
          <w:rFonts w:ascii="Arial" w:hAnsi="Arial" w:cs="Arial"/>
          <w:color w:val="000000" w:themeColor="text1"/>
          <w:sz w:val="24"/>
          <w:szCs w:val="24"/>
        </w:rPr>
        <w:t xml:space="preserve">MTC’s counsel also argued that CRAN’s construct of the order </w:t>
      </w:r>
      <w:r w:rsidR="006A3D3C" w:rsidRPr="000B2339">
        <w:rPr>
          <w:rFonts w:ascii="Arial" w:hAnsi="Arial" w:cs="Arial"/>
          <w:color w:val="000000" w:themeColor="text1"/>
          <w:sz w:val="24"/>
          <w:szCs w:val="24"/>
        </w:rPr>
        <w:t xml:space="preserve">sought that it </w:t>
      </w:r>
      <w:r w:rsidR="00CD0C87" w:rsidRPr="000B2339">
        <w:rPr>
          <w:rFonts w:ascii="Arial" w:hAnsi="Arial" w:cs="Arial"/>
          <w:color w:val="000000" w:themeColor="text1"/>
          <w:sz w:val="24"/>
          <w:szCs w:val="24"/>
        </w:rPr>
        <w:t>be subjected to an ex</w:t>
      </w:r>
      <w:r w:rsidR="006A3D3C" w:rsidRPr="000B2339">
        <w:rPr>
          <w:rFonts w:ascii="Arial" w:hAnsi="Arial" w:cs="Arial"/>
          <w:color w:val="000000" w:themeColor="text1"/>
          <w:sz w:val="24"/>
          <w:szCs w:val="24"/>
        </w:rPr>
        <w:t xml:space="preserve">ercise of reading-in (and thus </w:t>
      </w:r>
      <w:r w:rsidR="00CD0C87" w:rsidRPr="000B2339">
        <w:rPr>
          <w:rFonts w:ascii="Arial" w:hAnsi="Arial" w:cs="Arial"/>
          <w:color w:val="000000" w:themeColor="text1"/>
          <w:sz w:val="24"/>
          <w:szCs w:val="24"/>
        </w:rPr>
        <w:t>imply words into the order not contained there) and that a word-changing interpretation would need to be adopted. It was further argued that CRAN’s</w:t>
      </w:r>
      <w:r w:rsidR="008519F4" w:rsidRPr="000B2339">
        <w:rPr>
          <w:rFonts w:ascii="Arial" w:hAnsi="Arial" w:cs="Arial"/>
          <w:color w:val="000000" w:themeColor="text1"/>
          <w:sz w:val="24"/>
          <w:szCs w:val="24"/>
        </w:rPr>
        <w:t xml:space="preserve"> construct is also not supported by the </w:t>
      </w:r>
      <w:r w:rsidR="008E24D5" w:rsidRPr="000B2339">
        <w:rPr>
          <w:rFonts w:ascii="Arial" w:hAnsi="Arial" w:cs="Arial"/>
          <w:color w:val="000000" w:themeColor="text1"/>
          <w:sz w:val="24"/>
          <w:szCs w:val="24"/>
        </w:rPr>
        <w:t>quoted portions</w:t>
      </w:r>
      <w:r w:rsidR="008519F4" w:rsidRPr="000B2339">
        <w:rPr>
          <w:rFonts w:ascii="Arial" w:hAnsi="Arial" w:cs="Arial"/>
          <w:color w:val="000000" w:themeColor="text1"/>
          <w:sz w:val="24"/>
          <w:szCs w:val="24"/>
        </w:rPr>
        <w:t xml:space="preserve"> of the judgment</w:t>
      </w:r>
      <w:r w:rsidR="006A3D3C" w:rsidRPr="000B2339">
        <w:rPr>
          <w:rFonts w:ascii="Arial" w:hAnsi="Arial" w:cs="Arial"/>
          <w:color w:val="000000" w:themeColor="text1"/>
          <w:sz w:val="24"/>
          <w:szCs w:val="24"/>
        </w:rPr>
        <w:t xml:space="preserve"> which it relied upon</w:t>
      </w:r>
      <w:r w:rsidR="008519F4" w:rsidRPr="000B2339">
        <w:rPr>
          <w:rFonts w:ascii="Arial" w:hAnsi="Arial" w:cs="Arial"/>
          <w:color w:val="000000" w:themeColor="text1"/>
          <w:sz w:val="24"/>
          <w:szCs w:val="24"/>
        </w:rPr>
        <w:t>. In deciding that the order of invalidity is to be delayed, the order in question was, so it was contended, that of the High Court, and not the Supreme Court, as the appeal determined how the matter should have been disposed of.</w:t>
      </w:r>
      <w:r w:rsidR="008519F4" w:rsidRPr="000B2339">
        <w:rPr>
          <w:rStyle w:val="FootnoteReference"/>
          <w:rFonts w:ascii="Arial" w:hAnsi="Arial" w:cs="Arial"/>
          <w:color w:val="000000" w:themeColor="text1"/>
          <w:sz w:val="24"/>
          <w:szCs w:val="24"/>
        </w:rPr>
        <w:footnoteReference w:id="6"/>
      </w:r>
    </w:p>
    <w:p w:rsidR="00D4560A" w:rsidRDefault="00D4560A" w:rsidP="003A3301">
      <w:pPr>
        <w:rPr>
          <w:rFonts w:ascii="Arial" w:hAnsi="Arial" w:cs="Arial"/>
          <w:color w:val="000000" w:themeColor="text1"/>
          <w:sz w:val="24"/>
          <w:szCs w:val="24"/>
        </w:rPr>
      </w:pPr>
    </w:p>
    <w:p w:rsidR="003A3301" w:rsidRPr="003A3301" w:rsidRDefault="003A3301" w:rsidP="003A3301">
      <w:pPr>
        <w:rPr>
          <w:rFonts w:ascii="Arial" w:hAnsi="Arial" w:cs="Arial"/>
          <w:color w:val="000000" w:themeColor="text1"/>
          <w:sz w:val="24"/>
          <w:szCs w:val="24"/>
          <w:u w:val="single"/>
        </w:rPr>
      </w:pPr>
      <w:r>
        <w:rPr>
          <w:rFonts w:ascii="Arial" w:hAnsi="Arial" w:cs="Arial"/>
          <w:color w:val="000000" w:themeColor="text1"/>
          <w:sz w:val="24"/>
          <w:szCs w:val="24"/>
          <w:u w:val="single"/>
        </w:rPr>
        <w:t>Approach to interpreting a court’s judgment or order</w:t>
      </w:r>
    </w:p>
    <w:p w:rsidR="00D4560A"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[24]</w:t>
      </w:r>
      <w:r w:rsidRPr="000B2339">
        <w:rPr>
          <w:rFonts w:ascii="Arial" w:hAnsi="Arial" w:cs="Arial"/>
          <w:color w:val="000000" w:themeColor="text1"/>
          <w:sz w:val="24"/>
          <w:szCs w:val="24"/>
        </w:rPr>
        <w:tab/>
      </w:r>
      <w:r w:rsidR="00D4560A" w:rsidRPr="000B2339">
        <w:rPr>
          <w:rFonts w:ascii="Arial" w:hAnsi="Arial" w:cs="Arial"/>
          <w:color w:val="000000" w:themeColor="text1"/>
          <w:sz w:val="24"/>
          <w:szCs w:val="24"/>
        </w:rPr>
        <w:t xml:space="preserve">The well-established test accepted by this court for the interpretation of court orders or judgments, emanating from </w:t>
      </w:r>
      <w:r w:rsidR="00D4560A" w:rsidRPr="000B2339">
        <w:rPr>
          <w:rFonts w:ascii="Arial" w:hAnsi="Arial" w:cs="Arial"/>
          <w:i/>
          <w:color w:val="000000" w:themeColor="text1"/>
          <w:sz w:val="24"/>
          <w:szCs w:val="24"/>
        </w:rPr>
        <w:t>Firestone South Africa (Pty) Ltd v Genticura AG</w:t>
      </w:r>
      <w:r w:rsidR="0064561A" w:rsidRPr="000B2339">
        <w:rPr>
          <w:rFonts w:ascii="Arial" w:hAnsi="Arial" w:cs="Arial"/>
          <w:i/>
          <w:color w:val="000000" w:themeColor="text1"/>
          <w:sz w:val="24"/>
          <w:szCs w:val="24"/>
        </w:rPr>
        <w:t>,</w:t>
      </w:r>
      <w:r w:rsidR="00D4560A" w:rsidRPr="000B2339">
        <w:rPr>
          <w:rStyle w:val="FootnoteReference"/>
          <w:rFonts w:ascii="Arial" w:hAnsi="Arial" w:cs="Arial"/>
          <w:color w:val="000000" w:themeColor="text1"/>
          <w:sz w:val="24"/>
          <w:szCs w:val="24"/>
        </w:rPr>
        <w:footnoteReference w:id="7"/>
      </w:r>
      <w:r w:rsidR="0064561A" w:rsidRPr="000B2339">
        <w:rPr>
          <w:rFonts w:ascii="Arial" w:hAnsi="Arial" w:cs="Arial"/>
          <w:color w:val="000000" w:themeColor="text1"/>
          <w:sz w:val="24"/>
          <w:szCs w:val="24"/>
        </w:rPr>
        <w:t xml:space="preserve"> is essentially the same as that for the construction of documents.</w:t>
      </w:r>
      <w:r w:rsidR="0064561A" w:rsidRPr="000B2339">
        <w:rPr>
          <w:rStyle w:val="FootnoteReference"/>
          <w:rFonts w:ascii="Arial" w:hAnsi="Arial" w:cs="Arial"/>
          <w:color w:val="000000" w:themeColor="text1"/>
          <w:sz w:val="24"/>
          <w:szCs w:val="24"/>
        </w:rPr>
        <w:footnoteReference w:id="8"/>
      </w:r>
      <w:r w:rsidR="0064561A" w:rsidRPr="000B2339">
        <w:rPr>
          <w:rFonts w:ascii="Arial" w:hAnsi="Arial" w:cs="Arial"/>
          <w:color w:val="000000" w:themeColor="text1"/>
          <w:sz w:val="24"/>
          <w:szCs w:val="24"/>
        </w:rPr>
        <w:t xml:space="preserve"> This test has recently been succinctly summarised by the South African Supreme Court of Appeal</w:t>
      </w:r>
      <w:r w:rsidR="0064561A" w:rsidRPr="000B2339">
        <w:rPr>
          <w:rStyle w:val="FootnoteReference"/>
          <w:rFonts w:ascii="Arial" w:hAnsi="Arial" w:cs="Arial"/>
          <w:color w:val="000000" w:themeColor="text1"/>
          <w:sz w:val="24"/>
          <w:szCs w:val="24"/>
        </w:rPr>
        <w:footnoteReference w:id="9"/>
      </w:r>
      <w:r w:rsidR="0064561A" w:rsidRPr="000B2339">
        <w:rPr>
          <w:rFonts w:ascii="Arial" w:hAnsi="Arial" w:cs="Arial"/>
          <w:color w:val="000000" w:themeColor="text1"/>
          <w:sz w:val="24"/>
          <w:szCs w:val="24"/>
        </w:rPr>
        <w:t xml:space="preserve"> (and </w:t>
      </w:r>
      <w:r w:rsidR="003A3301">
        <w:rPr>
          <w:rFonts w:ascii="Arial" w:hAnsi="Arial" w:cs="Arial"/>
          <w:color w:val="000000" w:themeColor="text1"/>
          <w:sz w:val="24"/>
          <w:szCs w:val="24"/>
        </w:rPr>
        <w:t xml:space="preserve">subsequently expressly </w:t>
      </w:r>
      <w:r w:rsidR="0064561A" w:rsidRPr="000B2339">
        <w:rPr>
          <w:rFonts w:ascii="Arial" w:hAnsi="Arial" w:cs="Arial"/>
          <w:color w:val="000000" w:themeColor="text1"/>
          <w:sz w:val="24"/>
          <w:szCs w:val="24"/>
        </w:rPr>
        <w:t xml:space="preserve">approved </w:t>
      </w:r>
      <w:r w:rsidR="00346D7E">
        <w:rPr>
          <w:rFonts w:ascii="Arial" w:hAnsi="Arial" w:cs="Arial"/>
          <w:color w:val="000000" w:themeColor="text1"/>
          <w:sz w:val="24"/>
          <w:szCs w:val="24"/>
        </w:rPr>
        <w:t xml:space="preserve">of </w:t>
      </w:r>
      <w:r w:rsidR="0064561A" w:rsidRPr="000B2339">
        <w:rPr>
          <w:rFonts w:ascii="Arial" w:hAnsi="Arial" w:cs="Arial"/>
          <w:color w:val="000000" w:themeColor="text1"/>
          <w:sz w:val="24"/>
          <w:szCs w:val="24"/>
        </w:rPr>
        <w:t>by that country’s Court of Appeal)</w:t>
      </w:r>
      <w:r w:rsidR="0064561A" w:rsidRPr="000B2339">
        <w:rPr>
          <w:rStyle w:val="FootnoteReference"/>
          <w:rFonts w:ascii="Arial" w:hAnsi="Arial" w:cs="Arial"/>
          <w:color w:val="000000" w:themeColor="text1"/>
          <w:sz w:val="24"/>
          <w:szCs w:val="24"/>
        </w:rPr>
        <w:footnoteReference w:id="10"/>
      </w:r>
      <w:r w:rsidR="0064561A" w:rsidRPr="000B2339">
        <w:rPr>
          <w:rFonts w:ascii="Arial" w:hAnsi="Arial" w:cs="Arial"/>
          <w:color w:val="000000" w:themeColor="text1"/>
          <w:sz w:val="24"/>
          <w:szCs w:val="24"/>
        </w:rPr>
        <w:t xml:space="preserve"> thus:</w:t>
      </w:r>
    </w:p>
    <w:p w:rsidR="00530881" w:rsidRPr="000B2339" w:rsidRDefault="00530881" w:rsidP="00530881">
      <w:pPr>
        <w:rPr>
          <w:rFonts w:ascii="Arial" w:hAnsi="Arial" w:cs="Arial"/>
          <w:color w:val="000000" w:themeColor="text1"/>
          <w:sz w:val="24"/>
          <w:szCs w:val="24"/>
        </w:rPr>
      </w:pPr>
    </w:p>
    <w:p w:rsidR="00B93393" w:rsidRDefault="00B93393" w:rsidP="00AB1DB9">
      <w:pPr>
        <w:pStyle w:val="NoSpacing"/>
        <w:spacing w:line="360" w:lineRule="auto"/>
        <w:ind w:left="709" w:firstLine="11"/>
        <w:jc w:val="both"/>
        <w:rPr>
          <w:rFonts w:ascii="Arial" w:hAnsi="Arial" w:cs="Arial"/>
          <w:color w:val="000000" w:themeColor="text1"/>
          <w:shd w:val="clear" w:color="auto" w:fill="FFFFFF"/>
        </w:rPr>
      </w:pPr>
    </w:p>
    <w:p w:rsidR="00B93393" w:rsidRDefault="00B93393" w:rsidP="00AB1DB9">
      <w:pPr>
        <w:pStyle w:val="NoSpacing"/>
        <w:spacing w:line="360" w:lineRule="auto"/>
        <w:ind w:left="709" w:firstLine="11"/>
        <w:jc w:val="both"/>
        <w:rPr>
          <w:rFonts w:ascii="Arial" w:hAnsi="Arial" w:cs="Arial"/>
          <w:color w:val="000000" w:themeColor="text1"/>
          <w:shd w:val="clear" w:color="auto" w:fill="FFFFFF"/>
        </w:rPr>
      </w:pPr>
    </w:p>
    <w:p w:rsidR="00AB1DB9" w:rsidRPr="000B2339" w:rsidRDefault="00AB1DB9" w:rsidP="00AB1DB9">
      <w:pPr>
        <w:pStyle w:val="NoSpacing"/>
        <w:spacing w:line="360" w:lineRule="auto"/>
        <w:ind w:left="709" w:firstLine="11"/>
        <w:jc w:val="both"/>
        <w:rPr>
          <w:rFonts w:ascii="Arial" w:hAnsi="Arial" w:cs="Arial"/>
          <w:color w:val="000000" w:themeColor="text1"/>
        </w:rPr>
      </w:pPr>
      <w:r w:rsidRPr="000B2339">
        <w:rPr>
          <w:rFonts w:ascii="Arial" w:hAnsi="Arial" w:cs="Arial"/>
          <w:color w:val="000000" w:themeColor="text1"/>
          <w:shd w:val="clear" w:color="auto" w:fill="FFFFFF"/>
        </w:rPr>
        <w:t>‘The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Pr="000B2339">
        <w:rPr>
          <w:rFonts w:ascii="Arial" w:hAnsi="Arial" w:cs="Arial"/>
          <w:color w:val="000000" w:themeColor="text1"/>
        </w:rPr>
        <w:t>’</w:t>
      </w:r>
    </w:p>
    <w:p w:rsidR="00E271F7" w:rsidRPr="000B2339" w:rsidRDefault="00E271F7" w:rsidP="00AB1DB9">
      <w:pPr>
        <w:spacing w:line="360" w:lineRule="auto"/>
        <w:rPr>
          <w:rFonts w:ascii="Arial" w:hAnsi="Arial" w:cs="Arial"/>
          <w:color w:val="000000" w:themeColor="text1"/>
          <w:sz w:val="24"/>
          <w:szCs w:val="24"/>
        </w:rPr>
      </w:pPr>
    </w:p>
    <w:p w:rsidR="00AB1DB9"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[25]</w:t>
      </w:r>
      <w:r w:rsidRPr="000B2339">
        <w:rPr>
          <w:rFonts w:ascii="Arial" w:hAnsi="Arial" w:cs="Arial"/>
          <w:color w:val="000000" w:themeColor="text1"/>
          <w:sz w:val="24"/>
          <w:szCs w:val="24"/>
        </w:rPr>
        <w:tab/>
      </w:r>
      <w:r w:rsidR="00AB1DB9" w:rsidRPr="000B2339">
        <w:rPr>
          <w:rFonts w:ascii="Arial" w:hAnsi="Arial" w:cs="Arial"/>
          <w:color w:val="000000" w:themeColor="text1"/>
          <w:sz w:val="24"/>
          <w:szCs w:val="24"/>
        </w:rPr>
        <w:t>The well-known rules relating to the construction of text or documents</w:t>
      </w:r>
      <w:r w:rsidR="00346D7E">
        <w:rPr>
          <w:rFonts w:ascii="Arial" w:hAnsi="Arial" w:cs="Arial"/>
          <w:color w:val="000000" w:themeColor="text1"/>
          <w:sz w:val="24"/>
          <w:szCs w:val="24"/>
        </w:rPr>
        <w:t>,</w:t>
      </w:r>
      <w:r w:rsidR="00AB1DB9" w:rsidRPr="000B2339">
        <w:rPr>
          <w:rFonts w:ascii="Arial" w:hAnsi="Arial" w:cs="Arial"/>
          <w:color w:val="000000" w:themeColor="text1"/>
          <w:sz w:val="24"/>
          <w:szCs w:val="24"/>
        </w:rPr>
        <w:t xml:space="preserve"> as recently restated</w:t>
      </w:r>
      <w:r w:rsidR="00346D7E">
        <w:rPr>
          <w:rFonts w:ascii="Arial" w:hAnsi="Arial" w:cs="Arial"/>
          <w:color w:val="000000" w:themeColor="text1"/>
          <w:sz w:val="24"/>
          <w:szCs w:val="24"/>
        </w:rPr>
        <w:t>,</w:t>
      </w:r>
      <w:r w:rsidR="00AB1DB9" w:rsidRPr="000B2339">
        <w:rPr>
          <w:rFonts w:ascii="Arial" w:hAnsi="Arial" w:cs="Arial"/>
          <w:color w:val="000000" w:themeColor="text1"/>
          <w:sz w:val="24"/>
          <w:szCs w:val="24"/>
        </w:rPr>
        <w:t xml:space="preserve"> stress the importance of the context in which a document is drafted which is ‘relevant to its construction in all circumstances, not only when the language appears to be ambiguous’.</w:t>
      </w:r>
      <w:r w:rsidR="00AB1DB9" w:rsidRPr="000B2339">
        <w:rPr>
          <w:rStyle w:val="FootnoteReference"/>
          <w:rFonts w:ascii="Arial" w:hAnsi="Arial" w:cs="Arial"/>
          <w:color w:val="000000" w:themeColor="text1"/>
          <w:sz w:val="24"/>
          <w:szCs w:val="24"/>
        </w:rPr>
        <w:footnoteReference w:id="11"/>
      </w:r>
      <w:r w:rsidR="00AB1DB9" w:rsidRPr="000B2339">
        <w:rPr>
          <w:rFonts w:ascii="Arial" w:hAnsi="Arial" w:cs="Arial"/>
          <w:color w:val="000000" w:themeColor="text1"/>
          <w:sz w:val="24"/>
          <w:szCs w:val="24"/>
        </w:rPr>
        <w:t xml:space="preserve"> </w:t>
      </w:r>
    </w:p>
    <w:p w:rsidR="00AB1DB9" w:rsidRPr="000B2339" w:rsidRDefault="00AB1DB9" w:rsidP="00AB1DB9">
      <w:pPr>
        <w:pStyle w:val="NoSpacing"/>
        <w:spacing w:line="480" w:lineRule="auto"/>
        <w:jc w:val="both"/>
        <w:rPr>
          <w:rFonts w:ascii="Arial" w:hAnsi="Arial" w:cs="Arial"/>
          <w:color w:val="000000" w:themeColor="text1"/>
          <w:sz w:val="24"/>
          <w:szCs w:val="24"/>
        </w:rPr>
      </w:pPr>
    </w:p>
    <w:p w:rsidR="00AB1DB9"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[26]</w:t>
      </w:r>
      <w:r w:rsidRPr="000B2339">
        <w:rPr>
          <w:rFonts w:ascii="Arial" w:hAnsi="Arial" w:cs="Arial"/>
          <w:color w:val="000000" w:themeColor="text1"/>
          <w:sz w:val="24"/>
          <w:szCs w:val="24"/>
        </w:rPr>
        <w:tab/>
      </w:r>
      <w:r w:rsidR="00AB1DB9" w:rsidRPr="000B2339">
        <w:rPr>
          <w:rFonts w:ascii="Arial" w:hAnsi="Arial" w:cs="Arial"/>
          <w:color w:val="000000" w:themeColor="text1"/>
          <w:sz w:val="24"/>
          <w:szCs w:val="24"/>
        </w:rPr>
        <w:t xml:space="preserve">As was recently stated by this court in </w:t>
      </w:r>
      <w:r w:rsidR="00AB1DB9" w:rsidRPr="000B2339">
        <w:rPr>
          <w:rFonts w:ascii="Arial" w:hAnsi="Arial" w:cs="Arial"/>
          <w:i/>
          <w:color w:val="000000" w:themeColor="text1"/>
          <w:sz w:val="24"/>
          <w:szCs w:val="24"/>
        </w:rPr>
        <w:t xml:space="preserve">Fischer </w:t>
      </w:r>
      <w:r w:rsidR="00346D7E">
        <w:rPr>
          <w:rFonts w:ascii="Arial" w:hAnsi="Arial" w:cs="Arial"/>
          <w:color w:val="000000" w:themeColor="text1"/>
          <w:sz w:val="24"/>
          <w:szCs w:val="24"/>
        </w:rPr>
        <w:t xml:space="preserve">in the context </w:t>
      </w:r>
      <w:r w:rsidR="00AB1DB9" w:rsidRPr="000B2339">
        <w:rPr>
          <w:rFonts w:ascii="Arial" w:hAnsi="Arial" w:cs="Arial"/>
          <w:color w:val="000000" w:themeColor="text1"/>
          <w:sz w:val="24"/>
          <w:szCs w:val="24"/>
        </w:rPr>
        <w:t>of construing a court order:</w:t>
      </w:r>
    </w:p>
    <w:p w:rsidR="00AB1DB9" w:rsidRPr="000B2339" w:rsidRDefault="00AB1DB9" w:rsidP="00AB1DB9">
      <w:pPr>
        <w:pStyle w:val="ListParagraph"/>
        <w:rPr>
          <w:rFonts w:ascii="Arial" w:hAnsi="Arial" w:cs="Arial"/>
          <w:color w:val="000000" w:themeColor="text1"/>
          <w:sz w:val="24"/>
          <w:szCs w:val="24"/>
        </w:rPr>
      </w:pPr>
    </w:p>
    <w:p w:rsidR="003A3301" w:rsidRDefault="00AB1DB9" w:rsidP="00AB1DB9">
      <w:pPr>
        <w:pStyle w:val="NoSpacing"/>
        <w:spacing w:line="360" w:lineRule="auto"/>
        <w:ind w:left="720"/>
        <w:jc w:val="both"/>
        <w:rPr>
          <w:rFonts w:ascii="Arial" w:hAnsi="Arial" w:cs="Arial"/>
          <w:color w:val="000000" w:themeColor="text1"/>
        </w:rPr>
      </w:pPr>
      <w:r w:rsidRPr="000B2339">
        <w:rPr>
          <w:rFonts w:ascii="Arial" w:hAnsi="Arial" w:cs="Arial"/>
          <w:color w:val="000000" w:themeColor="text1"/>
        </w:rPr>
        <w:t xml:space="preserve">‘At the risk of repetition, the clear and unambiguous meaning </w:t>
      </w:r>
      <w:r w:rsidRPr="00346D7E">
        <w:rPr>
          <w:rFonts w:ascii="Arial" w:hAnsi="Arial" w:cs="Arial"/>
          <w:color w:val="000000" w:themeColor="text1"/>
          <w:u w:val="single"/>
        </w:rPr>
        <w:t>must be ascertained in the context</w:t>
      </w:r>
      <w:r w:rsidRPr="000B2339">
        <w:rPr>
          <w:rFonts w:ascii="Arial" w:hAnsi="Arial" w:cs="Arial"/>
          <w:color w:val="000000" w:themeColor="text1"/>
        </w:rPr>
        <w:t xml:space="preserve"> and not semantically without regard to the context.</w:t>
      </w:r>
    </w:p>
    <w:p w:rsidR="003A3301" w:rsidRDefault="003A3301" w:rsidP="00AB1DB9">
      <w:pPr>
        <w:pStyle w:val="NoSpacing"/>
        <w:spacing w:line="360" w:lineRule="auto"/>
        <w:ind w:left="720"/>
        <w:jc w:val="both"/>
        <w:rPr>
          <w:rFonts w:ascii="Arial" w:hAnsi="Arial" w:cs="Arial"/>
          <w:color w:val="000000" w:themeColor="text1"/>
        </w:rPr>
      </w:pPr>
    </w:p>
    <w:p w:rsidR="00AB1DB9" w:rsidRPr="000B2339" w:rsidRDefault="003A3301" w:rsidP="00AB1DB9">
      <w:pPr>
        <w:pStyle w:val="NoSpacing"/>
        <w:spacing w:line="360" w:lineRule="auto"/>
        <w:ind w:left="720"/>
        <w:jc w:val="both"/>
        <w:rPr>
          <w:rFonts w:ascii="Arial" w:hAnsi="Arial" w:cs="Arial"/>
          <w:color w:val="000000" w:themeColor="text1"/>
        </w:rPr>
      </w:pPr>
      <w:r w:rsidRPr="000B2339">
        <w:rPr>
          <w:rFonts w:ascii="Arial" w:hAnsi="Arial" w:cs="Arial"/>
          <w:color w:val="000000" w:themeColor="text1"/>
        </w:rPr>
        <w:t xml:space="preserve">The starting point thus is to determine whether the order is clear and unambiguous, because, if it is, </w:t>
      </w:r>
      <w:r w:rsidRPr="00346D7E">
        <w:rPr>
          <w:rFonts w:ascii="Arial" w:hAnsi="Arial" w:cs="Arial"/>
          <w:color w:val="000000" w:themeColor="text1"/>
          <w:u w:val="single"/>
        </w:rPr>
        <w:t>and the context does not indicate a different meaning</w:t>
      </w:r>
      <w:r w:rsidRPr="000B2339">
        <w:rPr>
          <w:rFonts w:ascii="Arial" w:hAnsi="Arial" w:cs="Arial"/>
          <w:color w:val="000000" w:themeColor="text1"/>
        </w:rPr>
        <w:t>, that is the end of the matter . . .</w:t>
      </w:r>
      <w:r w:rsidR="00AB1DB9" w:rsidRPr="000B2339">
        <w:rPr>
          <w:rFonts w:ascii="Arial" w:hAnsi="Arial" w:cs="Arial"/>
          <w:color w:val="000000" w:themeColor="text1"/>
        </w:rPr>
        <w:t>’</w:t>
      </w:r>
      <w:r>
        <w:rPr>
          <w:rStyle w:val="FootnoteReference"/>
          <w:rFonts w:ascii="Arial" w:hAnsi="Arial" w:cs="Arial"/>
          <w:color w:val="000000" w:themeColor="text1"/>
        </w:rPr>
        <w:footnoteReference w:id="12"/>
      </w:r>
    </w:p>
    <w:p w:rsidR="00AB1DB9" w:rsidRPr="000B2339" w:rsidRDefault="00346D7E" w:rsidP="00AB1DB9">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(Emphasis supplied).</w:t>
      </w:r>
    </w:p>
    <w:p w:rsidR="00AB1DB9" w:rsidRPr="000B2339" w:rsidRDefault="00AB1DB9" w:rsidP="00AB1DB9">
      <w:pPr>
        <w:pStyle w:val="ListParagraph"/>
        <w:rPr>
          <w:rFonts w:ascii="Arial" w:hAnsi="Arial" w:cs="Arial"/>
          <w:color w:val="000000" w:themeColor="text1"/>
          <w:sz w:val="24"/>
          <w:szCs w:val="24"/>
        </w:rPr>
      </w:pPr>
    </w:p>
    <w:p w:rsidR="00530881"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[27]</w:t>
      </w:r>
      <w:r w:rsidRPr="000B2339">
        <w:rPr>
          <w:rFonts w:ascii="Arial" w:hAnsi="Arial" w:cs="Arial"/>
          <w:color w:val="000000" w:themeColor="text1"/>
          <w:sz w:val="24"/>
          <w:szCs w:val="24"/>
        </w:rPr>
        <w:tab/>
      </w:r>
      <w:r w:rsidR="00AB1DB9" w:rsidRPr="000B2339">
        <w:rPr>
          <w:rFonts w:ascii="Arial" w:hAnsi="Arial" w:cs="Arial"/>
          <w:color w:val="000000" w:themeColor="text1"/>
          <w:sz w:val="24"/>
          <w:szCs w:val="24"/>
        </w:rPr>
        <w:t>Against this background, I turn</w:t>
      </w:r>
      <w:r w:rsidR="003A7F91" w:rsidRPr="000B2339">
        <w:rPr>
          <w:rFonts w:ascii="Arial" w:hAnsi="Arial" w:cs="Arial"/>
          <w:color w:val="000000" w:themeColor="text1"/>
          <w:sz w:val="24"/>
          <w:szCs w:val="24"/>
        </w:rPr>
        <w:t xml:space="preserve"> to </w:t>
      </w:r>
      <w:r w:rsidR="00AB1DB9" w:rsidRPr="000B2339">
        <w:rPr>
          <w:rFonts w:ascii="Arial" w:hAnsi="Arial" w:cs="Arial"/>
          <w:color w:val="000000" w:themeColor="text1"/>
          <w:sz w:val="24"/>
          <w:szCs w:val="24"/>
        </w:rPr>
        <w:t>this</w:t>
      </w:r>
      <w:r w:rsidR="003A7F91" w:rsidRPr="000B2339">
        <w:rPr>
          <w:rFonts w:ascii="Arial" w:hAnsi="Arial" w:cs="Arial"/>
          <w:color w:val="000000" w:themeColor="text1"/>
          <w:sz w:val="24"/>
          <w:szCs w:val="24"/>
        </w:rPr>
        <w:t xml:space="preserve"> matter</w:t>
      </w:r>
      <w:r w:rsidR="00AB1DB9" w:rsidRPr="000B2339">
        <w:rPr>
          <w:rFonts w:ascii="Arial" w:hAnsi="Arial" w:cs="Arial"/>
          <w:color w:val="000000" w:themeColor="text1"/>
          <w:sz w:val="24"/>
          <w:szCs w:val="24"/>
        </w:rPr>
        <w:t xml:space="preserve">. The </w:t>
      </w:r>
      <w:r w:rsidR="00393708">
        <w:rPr>
          <w:rFonts w:ascii="Arial" w:hAnsi="Arial" w:cs="Arial"/>
          <w:color w:val="000000" w:themeColor="text1"/>
          <w:sz w:val="24"/>
          <w:szCs w:val="24"/>
        </w:rPr>
        <w:t>point of departure in</w:t>
      </w:r>
      <w:r w:rsidR="00AB1DB9" w:rsidRPr="000B2339">
        <w:rPr>
          <w:rFonts w:ascii="Arial" w:hAnsi="Arial" w:cs="Arial"/>
          <w:color w:val="000000" w:themeColor="text1"/>
          <w:sz w:val="24"/>
          <w:szCs w:val="24"/>
        </w:rPr>
        <w:t xml:space="preserve"> this exercise is that</w:t>
      </w:r>
      <w:r w:rsidR="003A7F91" w:rsidRPr="000B2339">
        <w:rPr>
          <w:rFonts w:ascii="Arial" w:hAnsi="Arial" w:cs="Arial"/>
          <w:color w:val="000000" w:themeColor="text1"/>
          <w:sz w:val="24"/>
          <w:szCs w:val="24"/>
        </w:rPr>
        <w:t xml:space="preserve"> the portion of this court’s order setting the date from which the order of invalidity</w:t>
      </w:r>
      <w:r w:rsidR="00E271F7" w:rsidRPr="000B2339">
        <w:rPr>
          <w:rFonts w:ascii="Arial" w:hAnsi="Arial" w:cs="Arial"/>
          <w:color w:val="000000" w:themeColor="text1"/>
          <w:sz w:val="24"/>
          <w:szCs w:val="24"/>
        </w:rPr>
        <w:t xml:space="preserve"> is to apply</w:t>
      </w:r>
      <w:r w:rsidR="00AB1DB9" w:rsidRPr="000B2339">
        <w:rPr>
          <w:rFonts w:ascii="Arial" w:hAnsi="Arial" w:cs="Arial"/>
          <w:color w:val="000000" w:themeColor="text1"/>
          <w:sz w:val="24"/>
          <w:szCs w:val="24"/>
        </w:rPr>
        <w:t xml:space="preserve"> is</w:t>
      </w:r>
      <w:r w:rsidR="00E271F7" w:rsidRPr="000B2339">
        <w:rPr>
          <w:rFonts w:ascii="Arial" w:hAnsi="Arial" w:cs="Arial"/>
          <w:color w:val="000000" w:themeColor="text1"/>
          <w:sz w:val="24"/>
          <w:szCs w:val="24"/>
        </w:rPr>
        <w:t xml:space="preserve"> to be construed in the context of the whole order itself as well as the entire judgment</w:t>
      </w:r>
      <w:r w:rsidR="00AB1DB9" w:rsidRPr="000B2339">
        <w:rPr>
          <w:rFonts w:ascii="Arial" w:hAnsi="Arial" w:cs="Arial"/>
          <w:color w:val="000000" w:themeColor="text1"/>
          <w:sz w:val="24"/>
          <w:szCs w:val="24"/>
        </w:rPr>
        <w:t xml:space="preserve"> and its purpose</w:t>
      </w:r>
      <w:r w:rsidR="00E271F7" w:rsidRPr="000B2339">
        <w:rPr>
          <w:rFonts w:ascii="Arial" w:hAnsi="Arial" w:cs="Arial"/>
          <w:color w:val="000000" w:themeColor="text1"/>
          <w:sz w:val="24"/>
          <w:szCs w:val="24"/>
        </w:rPr>
        <w:t>.</w:t>
      </w:r>
    </w:p>
    <w:p w:rsidR="00AB1DB9" w:rsidRPr="000B2339" w:rsidRDefault="00AB1DB9" w:rsidP="00AB1DB9">
      <w:pPr>
        <w:pStyle w:val="NoSpacing"/>
        <w:spacing w:line="480" w:lineRule="auto"/>
        <w:jc w:val="both"/>
        <w:rPr>
          <w:rFonts w:ascii="Arial" w:hAnsi="Arial" w:cs="Arial"/>
          <w:color w:val="000000" w:themeColor="text1"/>
          <w:sz w:val="24"/>
          <w:szCs w:val="24"/>
        </w:rPr>
      </w:pPr>
    </w:p>
    <w:p w:rsidR="00AB1DB9"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[28]</w:t>
      </w:r>
      <w:r w:rsidRPr="000B2339">
        <w:rPr>
          <w:rFonts w:ascii="Arial" w:hAnsi="Arial" w:cs="Arial"/>
          <w:color w:val="000000" w:themeColor="text1"/>
          <w:sz w:val="24"/>
          <w:szCs w:val="24"/>
        </w:rPr>
        <w:tab/>
      </w:r>
      <w:r w:rsidR="00AB1DB9" w:rsidRPr="000B2339">
        <w:rPr>
          <w:rFonts w:ascii="Arial" w:hAnsi="Arial" w:cs="Arial"/>
          <w:color w:val="000000" w:themeColor="text1"/>
          <w:sz w:val="24"/>
          <w:szCs w:val="24"/>
        </w:rPr>
        <w:t>I turn to examine the whole order</w:t>
      </w:r>
      <w:r w:rsidR="00346D7E">
        <w:rPr>
          <w:rFonts w:ascii="Arial" w:hAnsi="Arial" w:cs="Arial"/>
          <w:color w:val="000000" w:themeColor="text1"/>
          <w:sz w:val="24"/>
          <w:szCs w:val="24"/>
        </w:rPr>
        <w:t>, its purpose</w:t>
      </w:r>
      <w:r w:rsidR="00AB1DB9" w:rsidRPr="000B2339">
        <w:rPr>
          <w:rFonts w:ascii="Arial" w:hAnsi="Arial" w:cs="Arial"/>
          <w:color w:val="000000" w:themeColor="text1"/>
          <w:sz w:val="24"/>
          <w:szCs w:val="24"/>
        </w:rPr>
        <w:t xml:space="preserve"> and the context within the entire judgment.</w:t>
      </w:r>
    </w:p>
    <w:p w:rsidR="00E271F7" w:rsidRPr="000B2339" w:rsidRDefault="00E271F7" w:rsidP="00E271F7">
      <w:pPr>
        <w:pStyle w:val="NoSpacing"/>
        <w:spacing w:line="480" w:lineRule="auto"/>
        <w:jc w:val="both"/>
        <w:rPr>
          <w:rFonts w:ascii="Arial" w:hAnsi="Arial" w:cs="Arial"/>
          <w:color w:val="000000" w:themeColor="text1"/>
          <w:sz w:val="24"/>
          <w:szCs w:val="24"/>
        </w:rPr>
      </w:pPr>
    </w:p>
    <w:p w:rsidR="00E271F7"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lastRenderedPageBreak/>
        <w:t>[29]</w:t>
      </w:r>
      <w:r w:rsidRPr="000B2339">
        <w:rPr>
          <w:rFonts w:ascii="Arial" w:hAnsi="Arial" w:cs="Arial"/>
          <w:color w:val="000000" w:themeColor="text1"/>
          <w:sz w:val="24"/>
          <w:szCs w:val="24"/>
        </w:rPr>
        <w:tab/>
      </w:r>
      <w:r w:rsidR="00E271F7" w:rsidRPr="000B2339">
        <w:rPr>
          <w:rFonts w:ascii="Arial" w:hAnsi="Arial" w:cs="Arial"/>
          <w:color w:val="000000" w:themeColor="text1"/>
          <w:sz w:val="24"/>
          <w:szCs w:val="24"/>
        </w:rPr>
        <w:t>The first paragraph of the order states that, although the provision was set aside, the appeal succeeded and the order of the High Court set aside. That was because the unconstitutionality of s 23(</w:t>
      </w:r>
      <w:r w:rsidR="00E271F7" w:rsidRPr="00384FD6">
        <w:rPr>
          <w:rFonts w:ascii="Arial" w:hAnsi="Arial" w:cs="Arial"/>
          <w:i/>
          <w:color w:val="000000" w:themeColor="text1"/>
          <w:sz w:val="24"/>
          <w:szCs w:val="24"/>
        </w:rPr>
        <w:t>a</w:t>
      </w:r>
      <w:r w:rsidR="00E271F7" w:rsidRPr="000B2339">
        <w:rPr>
          <w:rFonts w:ascii="Arial" w:hAnsi="Arial" w:cs="Arial"/>
          <w:color w:val="000000" w:themeColor="text1"/>
          <w:sz w:val="24"/>
          <w:szCs w:val="24"/>
        </w:rPr>
        <w:t>) did not lie on the basis found by the High Court as being an impermissible tax measure. But rather because s 23(2)</w:t>
      </w:r>
      <w:r w:rsidR="00E271F7" w:rsidRPr="00557D6C">
        <w:rPr>
          <w:rFonts w:ascii="Arial" w:hAnsi="Arial" w:cs="Arial"/>
          <w:i/>
          <w:color w:val="000000" w:themeColor="text1"/>
          <w:sz w:val="24"/>
          <w:szCs w:val="24"/>
        </w:rPr>
        <w:t>(a)</w:t>
      </w:r>
      <w:r w:rsidR="00E271F7" w:rsidRPr="000B2339">
        <w:rPr>
          <w:rFonts w:ascii="Arial" w:hAnsi="Arial" w:cs="Arial"/>
          <w:color w:val="000000" w:themeColor="text1"/>
          <w:sz w:val="24"/>
          <w:szCs w:val="24"/>
        </w:rPr>
        <w:t xml:space="preserve"> amounted to an impermissible outsourcing of plenary legislative power by the legislature to CRAN, given the absence of guidelines and limits for its exercise.</w:t>
      </w:r>
      <w:r w:rsidR="00E271F7" w:rsidRPr="000B2339">
        <w:rPr>
          <w:rStyle w:val="FootnoteReference"/>
          <w:rFonts w:ascii="Arial" w:hAnsi="Arial" w:cs="Arial"/>
          <w:color w:val="000000" w:themeColor="text1"/>
          <w:sz w:val="24"/>
          <w:szCs w:val="24"/>
        </w:rPr>
        <w:footnoteReference w:id="13"/>
      </w:r>
    </w:p>
    <w:p w:rsidR="00E271F7" w:rsidRPr="000B2339" w:rsidRDefault="00E271F7" w:rsidP="00E271F7">
      <w:pPr>
        <w:pStyle w:val="ListParagraph"/>
        <w:rPr>
          <w:rFonts w:ascii="Arial" w:hAnsi="Arial" w:cs="Arial"/>
          <w:color w:val="000000" w:themeColor="text1"/>
          <w:sz w:val="24"/>
          <w:szCs w:val="24"/>
        </w:rPr>
      </w:pPr>
    </w:p>
    <w:p w:rsidR="00E271F7"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[30]</w:t>
      </w:r>
      <w:r w:rsidRPr="000B2339">
        <w:rPr>
          <w:rFonts w:ascii="Arial" w:hAnsi="Arial" w:cs="Arial"/>
          <w:color w:val="000000" w:themeColor="text1"/>
          <w:sz w:val="24"/>
          <w:szCs w:val="24"/>
        </w:rPr>
        <w:tab/>
      </w:r>
      <w:r w:rsidR="00AB1DB9" w:rsidRPr="000B2339">
        <w:rPr>
          <w:rFonts w:ascii="Arial" w:hAnsi="Arial" w:cs="Arial"/>
          <w:color w:val="000000" w:themeColor="text1"/>
          <w:sz w:val="24"/>
          <w:szCs w:val="24"/>
        </w:rPr>
        <w:t xml:space="preserve">After upholding </w:t>
      </w:r>
      <w:r w:rsidR="00E271F7" w:rsidRPr="000B2339">
        <w:rPr>
          <w:rFonts w:ascii="Arial" w:hAnsi="Arial" w:cs="Arial"/>
          <w:color w:val="000000" w:themeColor="text1"/>
          <w:sz w:val="24"/>
          <w:szCs w:val="24"/>
        </w:rPr>
        <w:t>the appeal and setting aside the High Court order, this court proceeded to make the order which the High Court should have made, as is customary in successful appe</w:t>
      </w:r>
      <w:r w:rsidR="00AB1DB9" w:rsidRPr="000B2339">
        <w:rPr>
          <w:rFonts w:ascii="Arial" w:hAnsi="Arial" w:cs="Arial"/>
          <w:color w:val="000000" w:themeColor="text1"/>
          <w:sz w:val="24"/>
          <w:szCs w:val="24"/>
        </w:rPr>
        <w:t>als as</w:t>
      </w:r>
      <w:r w:rsidR="00BA46DD" w:rsidRPr="000B2339">
        <w:rPr>
          <w:rFonts w:ascii="Arial" w:hAnsi="Arial" w:cs="Arial"/>
          <w:color w:val="000000" w:themeColor="text1"/>
          <w:sz w:val="24"/>
          <w:szCs w:val="24"/>
        </w:rPr>
        <w:t xml:space="preserve"> execution and enforcement would take place</w:t>
      </w:r>
      <w:r w:rsidR="00A85930" w:rsidRPr="000B2339">
        <w:rPr>
          <w:rFonts w:ascii="Arial" w:hAnsi="Arial" w:cs="Arial"/>
          <w:color w:val="000000" w:themeColor="text1"/>
          <w:sz w:val="24"/>
          <w:szCs w:val="24"/>
        </w:rPr>
        <w:t xml:space="preserve"> in the High Court</w:t>
      </w:r>
      <w:r w:rsidR="00BA46DD" w:rsidRPr="000B2339">
        <w:rPr>
          <w:rFonts w:ascii="Arial" w:hAnsi="Arial" w:cs="Arial"/>
          <w:color w:val="000000" w:themeColor="text1"/>
          <w:sz w:val="24"/>
          <w:szCs w:val="24"/>
        </w:rPr>
        <w:t>.</w:t>
      </w:r>
      <w:r w:rsidR="00BA46DD" w:rsidRPr="000B2339">
        <w:rPr>
          <w:rStyle w:val="FootnoteReference"/>
          <w:rFonts w:ascii="Arial" w:hAnsi="Arial" w:cs="Arial"/>
          <w:color w:val="000000" w:themeColor="text1"/>
          <w:sz w:val="24"/>
          <w:szCs w:val="24"/>
        </w:rPr>
        <w:footnoteReference w:id="14"/>
      </w:r>
      <w:r w:rsidR="00BA46DD" w:rsidRPr="000B2339">
        <w:rPr>
          <w:rFonts w:ascii="Arial" w:hAnsi="Arial" w:cs="Arial"/>
          <w:color w:val="000000" w:themeColor="text1"/>
          <w:sz w:val="24"/>
          <w:szCs w:val="24"/>
        </w:rPr>
        <w:t xml:space="preserve"> The judgment and order of the High Court </w:t>
      </w:r>
      <w:r w:rsidR="00393708">
        <w:rPr>
          <w:rFonts w:ascii="Arial" w:hAnsi="Arial" w:cs="Arial"/>
          <w:color w:val="000000" w:themeColor="text1"/>
          <w:sz w:val="24"/>
          <w:szCs w:val="24"/>
        </w:rPr>
        <w:t>thus</w:t>
      </w:r>
      <w:r w:rsidR="00BA46DD" w:rsidRPr="000B2339">
        <w:rPr>
          <w:rFonts w:ascii="Arial" w:hAnsi="Arial" w:cs="Arial"/>
          <w:color w:val="000000" w:themeColor="text1"/>
          <w:sz w:val="24"/>
          <w:szCs w:val="24"/>
        </w:rPr>
        <w:t xml:space="preserve"> set aside</w:t>
      </w:r>
      <w:r w:rsidR="00393708">
        <w:rPr>
          <w:rFonts w:ascii="Arial" w:hAnsi="Arial" w:cs="Arial"/>
          <w:color w:val="000000" w:themeColor="text1"/>
          <w:sz w:val="24"/>
          <w:szCs w:val="24"/>
        </w:rPr>
        <w:t>, t</w:t>
      </w:r>
      <w:r w:rsidR="00BA46DD" w:rsidRPr="000B2339">
        <w:rPr>
          <w:rFonts w:ascii="Arial" w:hAnsi="Arial" w:cs="Arial"/>
          <w:color w:val="000000" w:themeColor="text1"/>
          <w:sz w:val="24"/>
          <w:szCs w:val="24"/>
        </w:rPr>
        <w:t xml:space="preserve">his court’s judgment and the order given </w:t>
      </w:r>
      <w:r w:rsidR="00A85930" w:rsidRPr="000B2339">
        <w:rPr>
          <w:rFonts w:ascii="Arial" w:hAnsi="Arial" w:cs="Arial"/>
          <w:color w:val="000000" w:themeColor="text1"/>
          <w:sz w:val="24"/>
          <w:szCs w:val="24"/>
        </w:rPr>
        <w:t>then</w:t>
      </w:r>
      <w:r w:rsidR="00BA46DD" w:rsidRPr="000B2339">
        <w:rPr>
          <w:rFonts w:ascii="Arial" w:hAnsi="Arial" w:cs="Arial"/>
          <w:color w:val="000000" w:themeColor="text1"/>
          <w:sz w:val="24"/>
          <w:szCs w:val="24"/>
        </w:rPr>
        <w:t xml:space="preserve"> replace th</w:t>
      </w:r>
      <w:r w:rsidR="00393708">
        <w:rPr>
          <w:rFonts w:ascii="Arial" w:hAnsi="Arial" w:cs="Arial"/>
          <w:color w:val="000000" w:themeColor="text1"/>
          <w:sz w:val="24"/>
          <w:szCs w:val="24"/>
        </w:rPr>
        <w:t>ose</w:t>
      </w:r>
      <w:r w:rsidR="00BA46DD" w:rsidRPr="000B2339">
        <w:rPr>
          <w:rFonts w:ascii="Arial" w:hAnsi="Arial" w:cs="Arial"/>
          <w:color w:val="000000" w:themeColor="text1"/>
          <w:sz w:val="24"/>
          <w:szCs w:val="24"/>
        </w:rPr>
        <w:t xml:space="preserve"> given by the High Court. T</w:t>
      </w:r>
      <w:r w:rsidR="00A85930" w:rsidRPr="000B2339">
        <w:rPr>
          <w:rFonts w:ascii="Arial" w:hAnsi="Arial" w:cs="Arial"/>
          <w:color w:val="000000" w:themeColor="text1"/>
          <w:sz w:val="24"/>
          <w:szCs w:val="24"/>
        </w:rPr>
        <w:t xml:space="preserve">he </w:t>
      </w:r>
      <w:r w:rsidR="00BA46DD" w:rsidRPr="000B2339">
        <w:rPr>
          <w:rFonts w:ascii="Arial" w:hAnsi="Arial" w:cs="Arial"/>
          <w:color w:val="000000" w:themeColor="text1"/>
          <w:sz w:val="24"/>
          <w:szCs w:val="24"/>
        </w:rPr>
        <w:t xml:space="preserve">judgment </w:t>
      </w:r>
      <w:r w:rsidR="00A85930" w:rsidRPr="000B2339">
        <w:rPr>
          <w:rFonts w:ascii="Arial" w:hAnsi="Arial" w:cs="Arial"/>
          <w:color w:val="000000" w:themeColor="text1"/>
          <w:sz w:val="24"/>
          <w:szCs w:val="24"/>
        </w:rPr>
        <w:t xml:space="preserve">of the High Court </w:t>
      </w:r>
      <w:r w:rsidR="00BA46DD" w:rsidRPr="000B2339">
        <w:rPr>
          <w:rFonts w:ascii="Arial" w:hAnsi="Arial" w:cs="Arial"/>
          <w:color w:val="000000" w:themeColor="text1"/>
          <w:sz w:val="24"/>
          <w:szCs w:val="24"/>
        </w:rPr>
        <w:t>is thus irrelevant to the interpretation of the order given by this court.</w:t>
      </w:r>
    </w:p>
    <w:p w:rsidR="00E271F7" w:rsidRPr="000B2339" w:rsidRDefault="00E271F7" w:rsidP="00E271F7">
      <w:pPr>
        <w:pStyle w:val="ListParagraph"/>
        <w:rPr>
          <w:rFonts w:ascii="Arial" w:hAnsi="Arial" w:cs="Arial"/>
          <w:color w:val="000000" w:themeColor="text1"/>
          <w:sz w:val="24"/>
          <w:szCs w:val="24"/>
        </w:rPr>
      </w:pPr>
    </w:p>
    <w:p w:rsidR="00E271F7"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[31]</w:t>
      </w:r>
      <w:r w:rsidRPr="000B2339">
        <w:rPr>
          <w:rFonts w:ascii="Arial" w:hAnsi="Arial" w:cs="Arial"/>
          <w:color w:val="000000" w:themeColor="text1"/>
          <w:sz w:val="24"/>
          <w:szCs w:val="24"/>
        </w:rPr>
        <w:tab/>
      </w:r>
      <w:r w:rsidR="00BA46DD" w:rsidRPr="000B2339">
        <w:rPr>
          <w:rFonts w:ascii="Arial" w:hAnsi="Arial" w:cs="Arial"/>
          <w:color w:val="000000" w:themeColor="text1"/>
          <w:sz w:val="24"/>
          <w:szCs w:val="24"/>
        </w:rPr>
        <w:t xml:space="preserve">The issue as to when the order of invalidity was to operate from was dealt with at some length in the judgment of this court. This court referred to competing considerations which arise when determining the date from which invalidity is to </w:t>
      </w:r>
      <w:r w:rsidR="00A85930" w:rsidRPr="000B2339">
        <w:rPr>
          <w:rFonts w:ascii="Arial" w:hAnsi="Arial" w:cs="Arial"/>
          <w:color w:val="000000" w:themeColor="text1"/>
          <w:sz w:val="24"/>
          <w:szCs w:val="24"/>
        </w:rPr>
        <w:t>operate</w:t>
      </w:r>
      <w:r w:rsidR="00BA46DD" w:rsidRPr="000B2339">
        <w:rPr>
          <w:rFonts w:ascii="Arial" w:hAnsi="Arial" w:cs="Arial"/>
          <w:color w:val="000000" w:themeColor="text1"/>
          <w:sz w:val="24"/>
          <w:szCs w:val="24"/>
        </w:rPr>
        <w:t>.</w:t>
      </w:r>
    </w:p>
    <w:p w:rsidR="00E271F7" w:rsidRPr="000B2339" w:rsidRDefault="00E271F7" w:rsidP="00E271F7">
      <w:pPr>
        <w:pStyle w:val="ListParagraph"/>
        <w:rPr>
          <w:rFonts w:ascii="Arial" w:hAnsi="Arial" w:cs="Arial"/>
          <w:color w:val="000000" w:themeColor="text1"/>
          <w:sz w:val="24"/>
          <w:szCs w:val="24"/>
        </w:rPr>
      </w:pPr>
    </w:p>
    <w:p w:rsidR="00A85930"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[32]</w:t>
      </w:r>
      <w:r w:rsidRPr="000B2339">
        <w:rPr>
          <w:rFonts w:ascii="Arial" w:hAnsi="Arial" w:cs="Arial"/>
          <w:color w:val="000000" w:themeColor="text1"/>
          <w:sz w:val="24"/>
          <w:szCs w:val="24"/>
        </w:rPr>
        <w:tab/>
      </w:r>
      <w:r w:rsidR="00BA46DD" w:rsidRPr="000B2339">
        <w:rPr>
          <w:rFonts w:ascii="Arial" w:hAnsi="Arial" w:cs="Arial"/>
          <w:color w:val="000000" w:themeColor="text1"/>
          <w:sz w:val="24"/>
          <w:szCs w:val="24"/>
        </w:rPr>
        <w:t>After referring to the default position of retroactivity which arises when setting aside a provision as conflicting with the Constitution</w:t>
      </w:r>
      <w:r w:rsidR="00393708">
        <w:rPr>
          <w:rFonts w:ascii="Arial" w:hAnsi="Arial" w:cs="Arial"/>
          <w:color w:val="000000" w:themeColor="text1"/>
          <w:sz w:val="24"/>
          <w:szCs w:val="24"/>
        </w:rPr>
        <w:t xml:space="preserve"> (</w:t>
      </w:r>
      <w:r w:rsidR="00393708">
        <w:rPr>
          <w:rFonts w:ascii="Arial" w:hAnsi="Arial" w:cs="Arial"/>
          <w:i/>
          <w:color w:val="000000" w:themeColor="text1"/>
          <w:sz w:val="24"/>
          <w:szCs w:val="24"/>
        </w:rPr>
        <w:t>ex tunc</w:t>
      </w:r>
      <w:r w:rsidR="00393708">
        <w:rPr>
          <w:rFonts w:ascii="Arial" w:hAnsi="Arial" w:cs="Arial"/>
          <w:color w:val="000000" w:themeColor="text1"/>
          <w:sz w:val="24"/>
          <w:szCs w:val="24"/>
        </w:rPr>
        <w:t xml:space="preserve"> – from inception)</w:t>
      </w:r>
      <w:r w:rsidR="00BA46DD" w:rsidRPr="000B2339">
        <w:rPr>
          <w:rFonts w:ascii="Arial" w:hAnsi="Arial" w:cs="Arial"/>
          <w:color w:val="000000" w:themeColor="text1"/>
          <w:sz w:val="24"/>
          <w:szCs w:val="24"/>
        </w:rPr>
        <w:t xml:space="preserve">, this court referred to Art 25(1)(a) which empowers the court to suspend an order of </w:t>
      </w:r>
      <w:r w:rsidR="00BA46DD" w:rsidRPr="000B2339">
        <w:rPr>
          <w:rFonts w:ascii="Arial" w:hAnsi="Arial" w:cs="Arial"/>
          <w:color w:val="000000" w:themeColor="text1"/>
          <w:sz w:val="24"/>
          <w:szCs w:val="24"/>
        </w:rPr>
        <w:lastRenderedPageBreak/>
        <w:t>invalidity</w:t>
      </w:r>
      <w:r w:rsidR="00A85930" w:rsidRPr="000B2339">
        <w:rPr>
          <w:rFonts w:ascii="Arial" w:hAnsi="Arial" w:cs="Arial"/>
          <w:color w:val="000000" w:themeColor="text1"/>
          <w:sz w:val="24"/>
          <w:szCs w:val="24"/>
        </w:rPr>
        <w:t xml:space="preserve"> where appropriate</w:t>
      </w:r>
      <w:r w:rsidR="00BA46DD" w:rsidRPr="000B2339">
        <w:rPr>
          <w:rFonts w:ascii="Arial" w:hAnsi="Arial" w:cs="Arial"/>
          <w:color w:val="000000" w:themeColor="text1"/>
          <w:sz w:val="24"/>
          <w:szCs w:val="24"/>
        </w:rPr>
        <w:t xml:space="preserve">. This court further referred to the consequences of an order of invalidity and </w:t>
      </w:r>
      <w:r w:rsidR="00A85930" w:rsidRPr="000B2339">
        <w:rPr>
          <w:rFonts w:ascii="Arial" w:hAnsi="Arial" w:cs="Arial"/>
          <w:color w:val="000000" w:themeColor="text1"/>
          <w:sz w:val="24"/>
          <w:szCs w:val="24"/>
        </w:rPr>
        <w:t>that the size of the levy imposed was</w:t>
      </w:r>
      <w:r w:rsidR="002B2412" w:rsidRPr="000B2339">
        <w:rPr>
          <w:rFonts w:ascii="Arial" w:hAnsi="Arial" w:cs="Arial"/>
          <w:color w:val="000000" w:themeColor="text1"/>
          <w:sz w:val="24"/>
          <w:szCs w:val="24"/>
        </w:rPr>
        <w:t xml:space="preserve"> accepted as being</w:t>
      </w:r>
      <w:r w:rsidR="00A85930" w:rsidRPr="000B2339">
        <w:rPr>
          <w:rFonts w:ascii="Arial" w:hAnsi="Arial" w:cs="Arial"/>
          <w:color w:val="000000" w:themeColor="text1"/>
          <w:sz w:val="24"/>
          <w:szCs w:val="24"/>
        </w:rPr>
        <w:t xml:space="preserve"> well within the international norm</w:t>
      </w:r>
      <w:r w:rsidR="00A85930" w:rsidRPr="000B2339">
        <w:rPr>
          <w:rStyle w:val="FootnoteReference"/>
          <w:rFonts w:ascii="Arial" w:hAnsi="Arial" w:cs="Arial"/>
          <w:color w:val="000000" w:themeColor="text1"/>
          <w:sz w:val="24"/>
          <w:szCs w:val="24"/>
        </w:rPr>
        <w:footnoteReference w:id="15"/>
      </w:r>
      <w:r w:rsidR="00A85930" w:rsidRPr="000B2339">
        <w:rPr>
          <w:rFonts w:ascii="Arial" w:hAnsi="Arial" w:cs="Arial"/>
          <w:color w:val="000000" w:themeColor="text1"/>
          <w:sz w:val="24"/>
          <w:szCs w:val="24"/>
        </w:rPr>
        <w:t xml:space="preserve"> </w:t>
      </w:r>
      <w:r w:rsidR="00393708">
        <w:rPr>
          <w:rFonts w:ascii="Arial" w:hAnsi="Arial" w:cs="Arial"/>
          <w:color w:val="000000" w:themeColor="text1"/>
          <w:sz w:val="24"/>
          <w:szCs w:val="24"/>
        </w:rPr>
        <w:t xml:space="preserve">and </w:t>
      </w:r>
      <w:r w:rsidR="00A85930" w:rsidRPr="000B2339">
        <w:rPr>
          <w:rFonts w:ascii="Arial" w:hAnsi="Arial" w:cs="Arial"/>
          <w:color w:val="000000" w:themeColor="text1"/>
          <w:sz w:val="24"/>
          <w:szCs w:val="24"/>
        </w:rPr>
        <w:t>conclud</w:t>
      </w:r>
      <w:r w:rsidR="00393708">
        <w:rPr>
          <w:rFonts w:ascii="Arial" w:hAnsi="Arial" w:cs="Arial"/>
          <w:color w:val="000000" w:themeColor="text1"/>
          <w:sz w:val="24"/>
          <w:szCs w:val="24"/>
        </w:rPr>
        <w:t>ed</w:t>
      </w:r>
      <w:r w:rsidR="00A85930" w:rsidRPr="000B2339">
        <w:rPr>
          <w:rFonts w:ascii="Arial" w:hAnsi="Arial" w:cs="Arial"/>
          <w:color w:val="000000" w:themeColor="text1"/>
          <w:sz w:val="24"/>
          <w:szCs w:val="24"/>
        </w:rPr>
        <w:t>:</w:t>
      </w:r>
    </w:p>
    <w:p w:rsidR="00A85930" w:rsidRPr="000B2339" w:rsidRDefault="00A85930" w:rsidP="00A85930">
      <w:pPr>
        <w:pStyle w:val="ListParagraph"/>
        <w:rPr>
          <w:rFonts w:ascii="Arial" w:hAnsi="Arial" w:cs="Arial"/>
          <w:color w:val="000000" w:themeColor="text1"/>
          <w:sz w:val="24"/>
          <w:szCs w:val="24"/>
        </w:rPr>
      </w:pPr>
    </w:p>
    <w:p w:rsidR="00A85930" w:rsidRPr="00D11734" w:rsidRDefault="00A85930" w:rsidP="00393708">
      <w:pPr>
        <w:pStyle w:val="NoSpacing"/>
        <w:spacing w:line="360" w:lineRule="auto"/>
        <w:ind w:left="709" w:firstLine="11"/>
        <w:jc w:val="both"/>
        <w:rPr>
          <w:rFonts w:ascii="Arial" w:hAnsi="Arial" w:cs="Arial"/>
          <w:color w:val="000000" w:themeColor="text1"/>
        </w:rPr>
      </w:pPr>
      <w:r w:rsidRPr="000B2339">
        <w:rPr>
          <w:rFonts w:ascii="Arial" w:hAnsi="Arial" w:cs="Arial"/>
          <w:color w:val="000000" w:themeColor="text1"/>
        </w:rPr>
        <w:t>‘</w:t>
      </w:r>
      <w:r w:rsidR="00557D6C">
        <w:rPr>
          <w:rFonts w:ascii="Arial" w:hAnsi="Arial" w:cs="Arial"/>
          <w:color w:val="000000" w:themeColor="text1"/>
        </w:rPr>
        <w:t>[105]</w:t>
      </w:r>
      <w:r w:rsidR="00557D6C">
        <w:rPr>
          <w:rFonts w:ascii="Arial" w:hAnsi="Arial" w:cs="Arial"/>
          <w:color w:val="000000" w:themeColor="text1"/>
        </w:rPr>
        <w:tab/>
      </w:r>
      <w:r w:rsidRPr="000B2339">
        <w:rPr>
          <w:rFonts w:ascii="Arial" w:hAnsi="Arial" w:cs="Arial"/>
          <w:color w:val="000000" w:themeColor="text1"/>
        </w:rPr>
        <w:t xml:space="preserve">That is </w:t>
      </w:r>
      <w:r w:rsidR="00D11734">
        <w:rPr>
          <w:rFonts w:ascii="Arial" w:hAnsi="Arial" w:cs="Arial"/>
          <w:color w:val="000000" w:themeColor="text1"/>
        </w:rPr>
        <w:t>a</w:t>
      </w:r>
      <w:r w:rsidRPr="000B2339">
        <w:rPr>
          <w:rFonts w:ascii="Arial" w:hAnsi="Arial" w:cs="Arial"/>
          <w:color w:val="000000" w:themeColor="text1"/>
        </w:rPr>
        <w:t xml:space="preserve"> </w:t>
      </w:r>
      <w:r w:rsidRPr="00393708">
        <w:rPr>
          <w:rFonts w:ascii="Arial" w:hAnsi="Arial" w:cs="Arial"/>
          <w:color w:val="000000" w:themeColor="text1"/>
        </w:rPr>
        <w:t>compelling</w:t>
      </w:r>
      <w:r w:rsidR="002B2412" w:rsidRPr="00393708">
        <w:rPr>
          <w:rFonts w:ascii="Arial" w:hAnsi="Arial" w:cs="Arial"/>
          <w:color w:val="000000" w:themeColor="text1"/>
        </w:rPr>
        <w:t xml:space="preserve"> </w:t>
      </w:r>
      <w:r w:rsidR="00D11734" w:rsidRPr="00393708">
        <w:rPr>
          <w:rFonts w:ascii="Arial" w:hAnsi="Arial" w:cs="Arial"/>
          <w:iCs/>
          <w:color w:val="000000" w:themeColor="text1"/>
          <w:shd w:val="clear" w:color="auto" w:fill="FFFFFF"/>
          <w:lang w:val="af-ZA"/>
        </w:rPr>
        <w:t xml:space="preserve">reason for not making the order of invalidity operate </w:t>
      </w:r>
      <w:r w:rsidR="00D11734" w:rsidRPr="00393708">
        <w:rPr>
          <w:rFonts w:ascii="Arial" w:hAnsi="Arial" w:cs="Arial"/>
          <w:i/>
          <w:iCs/>
          <w:color w:val="000000" w:themeColor="text1"/>
          <w:shd w:val="clear" w:color="auto" w:fill="FFFFFF"/>
          <w:lang w:val="af-ZA"/>
        </w:rPr>
        <w:t>ex tunc</w:t>
      </w:r>
      <w:r w:rsidR="00F7055D">
        <w:rPr>
          <w:rFonts w:ascii="Arial" w:hAnsi="Arial" w:cs="Arial"/>
          <w:iCs/>
          <w:color w:val="000000" w:themeColor="text1"/>
          <w:shd w:val="clear" w:color="auto" w:fill="FFFFFF"/>
          <w:lang w:val="af-ZA"/>
        </w:rPr>
        <w:t>. H</w:t>
      </w:r>
      <w:r w:rsidR="00D11734" w:rsidRPr="00D11734">
        <w:rPr>
          <w:rFonts w:ascii="Arial" w:hAnsi="Arial" w:cs="Arial"/>
          <w:iCs/>
          <w:color w:val="000000" w:themeColor="text1"/>
          <w:shd w:val="clear" w:color="auto" w:fill="FFFFFF"/>
          <w:lang w:val="af-ZA"/>
        </w:rPr>
        <w:t>owever, the rule of law dictates that care should be exercised so that the effect of the order of invalidity is not rendered meaningless and that those who have suffered its existence are not made to endure it any longer than the circumstances justify.</w:t>
      </w:r>
    </w:p>
    <w:p w:rsidR="002B2412" w:rsidRPr="000B2339" w:rsidRDefault="002B2412" w:rsidP="00A85930">
      <w:pPr>
        <w:pStyle w:val="NoSpacing"/>
        <w:spacing w:line="360" w:lineRule="auto"/>
        <w:ind w:left="720"/>
        <w:jc w:val="both"/>
        <w:rPr>
          <w:rFonts w:ascii="Arial" w:hAnsi="Arial" w:cs="Arial"/>
          <w:color w:val="000000" w:themeColor="text1"/>
        </w:rPr>
      </w:pPr>
    </w:p>
    <w:p w:rsidR="002B2412" w:rsidRPr="000B2339" w:rsidRDefault="00557D6C" w:rsidP="00393708">
      <w:pPr>
        <w:pStyle w:val="NoSpacing"/>
        <w:spacing w:line="360" w:lineRule="auto"/>
        <w:ind w:left="709" w:firstLine="11"/>
        <w:jc w:val="both"/>
        <w:rPr>
          <w:rFonts w:ascii="Arial" w:hAnsi="Arial" w:cs="Arial"/>
          <w:color w:val="000000" w:themeColor="text1"/>
        </w:rPr>
      </w:pPr>
      <w:r>
        <w:rPr>
          <w:rFonts w:ascii="Arial" w:hAnsi="Arial" w:cs="Arial"/>
          <w:color w:val="000000" w:themeColor="text1"/>
          <w:shd w:val="clear" w:color="auto" w:fill="FFFFFF"/>
        </w:rPr>
        <w:t>[106]</w:t>
      </w:r>
      <w:r>
        <w:rPr>
          <w:rFonts w:ascii="Arial" w:hAnsi="Arial" w:cs="Arial"/>
          <w:color w:val="000000" w:themeColor="text1"/>
          <w:shd w:val="clear" w:color="auto" w:fill="FFFFFF"/>
        </w:rPr>
        <w:tab/>
      </w:r>
      <w:r w:rsidR="002B2412" w:rsidRPr="000B2339">
        <w:rPr>
          <w:rFonts w:ascii="Arial" w:hAnsi="Arial" w:cs="Arial"/>
          <w:color w:val="000000" w:themeColor="text1"/>
          <w:shd w:val="clear" w:color="auto" w:fill="FFFFFF"/>
        </w:rPr>
        <w:t>I would therefore validate s 23(2)</w:t>
      </w:r>
      <w:r w:rsidR="002B2412" w:rsidRPr="000B2339">
        <w:rPr>
          <w:rStyle w:val="Emphasis"/>
          <w:rFonts w:ascii="Arial" w:hAnsi="Arial" w:cs="Arial"/>
          <w:color w:val="000000" w:themeColor="text1"/>
          <w:shd w:val="clear" w:color="auto" w:fill="FFFFFF"/>
        </w:rPr>
        <w:t>(a)</w:t>
      </w:r>
      <w:r w:rsidR="002B2412" w:rsidRPr="000B2339">
        <w:rPr>
          <w:rFonts w:ascii="Arial" w:hAnsi="Arial" w:cs="Arial"/>
          <w:color w:val="000000" w:themeColor="text1"/>
          <w:shd w:val="clear" w:color="auto" w:fill="FFFFFF"/>
        </w:rPr>
        <w:t> of the Act and Item 6 only up to the point that its invalidity has been confirmed by this court: In other words, the order of invalidity will operate </w:t>
      </w:r>
      <w:r w:rsidR="002B2412" w:rsidRPr="000B2339">
        <w:rPr>
          <w:rStyle w:val="Emphasis"/>
          <w:rFonts w:ascii="Arial" w:hAnsi="Arial" w:cs="Arial"/>
          <w:color w:val="000000" w:themeColor="text1"/>
          <w:shd w:val="clear" w:color="auto" w:fill="FFFFFF"/>
        </w:rPr>
        <w:t>ex nunc</w:t>
      </w:r>
      <w:r w:rsidR="002B2412" w:rsidRPr="000B2339">
        <w:rPr>
          <w:rFonts w:ascii="Arial" w:hAnsi="Arial" w:cs="Arial"/>
          <w:color w:val="000000" w:themeColor="text1"/>
          <w:shd w:val="clear" w:color="auto" w:fill="FFFFFF"/>
        </w:rPr>
        <w:t>.’</w:t>
      </w:r>
      <w:r w:rsidR="00393708">
        <w:rPr>
          <w:rStyle w:val="FootnoteReference"/>
          <w:rFonts w:ascii="Arial" w:hAnsi="Arial" w:cs="Arial"/>
          <w:color w:val="000000" w:themeColor="text1"/>
          <w:shd w:val="clear" w:color="auto" w:fill="FFFFFF"/>
        </w:rPr>
        <w:footnoteReference w:id="16"/>
      </w:r>
    </w:p>
    <w:p w:rsidR="00A85930" w:rsidRPr="000B2339" w:rsidRDefault="00A85930" w:rsidP="00D11734">
      <w:pPr>
        <w:pStyle w:val="NoSpacing"/>
        <w:spacing w:line="480" w:lineRule="auto"/>
        <w:jc w:val="both"/>
        <w:rPr>
          <w:rFonts w:ascii="Arial" w:hAnsi="Arial" w:cs="Arial"/>
          <w:color w:val="000000" w:themeColor="text1"/>
        </w:rPr>
      </w:pPr>
    </w:p>
    <w:p w:rsidR="002B2412"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[33]</w:t>
      </w:r>
      <w:r w:rsidRPr="000B2339">
        <w:rPr>
          <w:rFonts w:ascii="Arial" w:hAnsi="Arial" w:cs="Arial"/>
          <w:color w:val="000000" w:themeColor="text1"/>
          <w:sz w:val="24"/>
          <w:szCs w:val="24"/>
        </w:rPr>
        <w:tab/>
      </w:r>
      <w:r w:rsidR="00BA46DD" w:rsidRPr="000B2339">
        <w:rPr>
          <w:rFonts w:ascii="Arial" w:hAnsi="Arial" w:cs="Arial"/>
          <w:color w:val="000000" w:themeColor="text1"/>
          <w:sz w:val="24"/>
          <w:szCs w:val="24"/>
        </w:rPr>
        <w:t>Reference was also made to a resultant legal vacuum in the levy regime which would arise with an order of invalidity taking immediate effect. The court expressed the view that the legislature would be capable of acting with deliberate haste to address that vacuum</w:t>
      </w:r>
      <w:r w:rsidR="002B2412" w:rsidRPr="000B2339">
        <w:rPr>
          <w:rFonts w:ascii="Arial" w:hAnsi="Arial" w:cs="Arial"/>
          <w:color w:val="000000" w:themeColor="text1"/>
          <w:sz w:val="24"/>
          <w:szCs w:val="24"/>
        </w:rPr>
        <w:t>, by stating:</w:t>
      </w:r>
    </w:p>
    <w:p w:rsidR="002B2412" w:rsidRPr="000B2339" w:rsidRDefault="002B2412" w:rsidP="002B2412">
      <w:pPr>
        <w:pStyle w:val="NoSpacing"/>
        <w:spacing w:line="480" w:lineRule="auto"/>
        <w:jc w:val="both"/>
        <w:rPr>
          <w:rFonts w:ascii="Arial" w:hAnsi="Arial" w:cs="Arial"/>
          <w:color w:val="000000" w:themeColor="text1"/>
          <w:sz w:val="24"/>
          <w:szCs w:val="24"/>
        </w:rPr>
      </w:pPr>
    </w:p>
    <w:p w:rsidR="002B2412" w:rsidRPr="000B2339" w:rsidRDefault="00BA46DD" w:rsidP="00557D6C">
      <w:pPr>
        <w:pStyle w:val="NoSpacing"/>
        <w:spacing w:line="360" w:lineRule="auto"/>
        <w:ind w:left="851" w:hanging="131"/>
        <w:jc w:val="both"/>
        <w:rPr>
          <w:rFonts w:ascii="Arial" w:hAnsi="Arial" w:cs="Arial"/>
          <w:color w:val="000000" w:themeColor="text1"/>
        </w:rPr>
      </w:pPr>
      <w:r w:rsidRPr="000B2339">
        <w:rPr>
          <w:rFonts w:ascii="Arial" w:hAnsi="Arial" w:cs="Arial"/>
          <w:color w:val="000000" w:themeColor="text1"/>
          <w:sz w:val="24"/>
          <w:szCs w:val="24"/>
        </w:rPr>
        <w:t xml:space="preserve"> </w:t>
      </w:r>
      <w:r w:rsidR="002B2412" w:rsidRPr="000B2339">
        <w:rPr>
          <w:rFonts w:ascii="Arial" w:hAnsi="Arial" w:cs="Arial"/>
          <w:color w:val="000000" w:themeColor="text1"/>
        </w:rPr>
        <w:t>‘</w:t>
      </w:r>
      <w:r w:rsidR="003107F9">
        <w:rPr>
          <w:rFonts w:ascii="Arial" w:hAnsi="Arial" w:cs="Arial"/>
          <w:color w:val="000000" w:themeColor="text1"/>
        </w:rPr>
        <w:t>[</w:t>
      </w:r>
      <w:r w:rsidR="002B2412" w:rsidRPr="000B2339">
        <w:rPr>
          <w:rFonts w:ascii="Arial" w:hAnsi="Arial" w:cs="Arial"/>
          <w:color w:val="000000" w:themeColor="text1"/>
        </w:rPr>
        <w:t>107</w:t>
      </w:r>
      <w:r w:rsidR="003107F9">
        <w:rPr>
          <w:rFonts w:ascii="Arial" w:hAnsi="Arial" w:cs="Arial"/>
          <w:color w:val="000000" w:themeColor="text1"/>
        </w:rPr>
        <w:t>]</w:t>
      </w:r>
      <w:r w:rsidR="002B2412" w:rsidRPr="000B2339">
        <w:rPr>
          <w:rFonts w:ascii="Arial" w:hAnsi="Arial" w:cs="Arial"/>
          <w:color w:val="000000" w:themeColor="text1"/>
        </w:rPr>
        <w:tab/>
      </w:r>
      <w:r w:rsidR="002B2412" w:rsidRPr="000B2339">
        <w:rPr>
          <w:rFonts w:ascii="Arial" w:hAnsi="Arial" w:cs="Arial"/>
          <w:color w:val="000000" w:themeColor="text1"/>
          <w:shd w:val="clear" w:color="auto" w:fill="FFFFFF"/>
        </w:rPr>
        <w:t>No doubt the order of invalidity taking immediate effect after this judgment creates a legal vacuum in the levy regime. At the prompting of the Executive, the Parliament has in the past acted with deliberate haste to deal with the court’s declaration of invalidity of legislation and administrative decision-making. I have no reason to believe that the same cannot be done in respect of s 23(2</w:t>
      </w:r>
      <w:r w:rsidR="002B2412" w:rsidRPr="0069795E">
        <w:rPr>
          <w:rFonts w:ascii="Arial" w:hAnsi="Arial" w:cs="Arial"/>
          <w:color w:val="000000" w:themeColor="text1"/>
          <w:shd w:val="clear" w:color="auto" w:fill="FFFFFF"/>
        </w:rPr>
        <w:t>)</w:t>
      </w:r>
      <w:r w:rsidR="002B2412" w:rsidRPr="00557D6C">
        <w:rPr>
          <w:rStyle w:val="Emphasis"/>
          <w:rFonts w:ascii="Arial" w:hAnsi="Arial" w:cs="Arial"/>
          <w:color w:val="000000" w:themeColor="text1"/>
          <w:shd w:val="clear" w:color="auto" w:fill="FFFFFF"/>
        </w:rPr>
        <w:t>(a)</w:t>
      </w:r>
      <w:r w:rsidR="002B2412" w:rsidRPr="0069795E">
        <w:rPr>
          <w:rFonts w:ascii="Arial" w:hAnsi="Arial" w:cs="Arial"/>
          <w:i/>
          <w:color w:val="000000" w:themeColor="text1"/>
          <w:shd w:val="clear" w:color="auto" w:fill="FFFFFF"/>
        </w:rPr>
        <w:t> of</w:t>
      </w:r>
      <w:r w:rsidR="002B2412" w:rsidRPr="000B2339">
        <w:rPr>
          <w:rFonts w:ascii="Arial" w:hAnsi="Arial" w:cs="Arial"/>
          <w:color w:val="000000" w:themeColor="text1"/>
          <w:shd w:val="clear" w:color="auto" w:fill="FFFFFF"/>
        </w:rPr>
        <w:t xml:space="preserve"> the Act.’</w:t>
      </w:r>
    </w:p>
    <w:p w:rsidR="00E271F7" w:rsidRPr="000B2339" w:rsidRDefault="00E271F7" w:rsidP="00E271F7">
      <w:pPr>
        <w:pStyle w:val="ListParagraph"/>
        <w:rPr>
          <w:rFonts w:ascii="Arial" w:hAnsi="Arial" w:cs="Arial"/>
          <w:color w:val="000000" w:themeColor="text1"/>
          <w:sz w:val="24"/>
          <w:szCs w:val="24"/>
        </w:rPr>
      </w:pPr>
    </w:p>
    <w:p w:rsidR="00E271F7"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[34]</w:t>
      </w:r>
      <w:r w:rsidRPr="000B2339">
        <w:rPr>
          <w:rFonts w:ascii="Arial" w:hAnsi="Arial" w:cs="Arial"/>
          <w:color w:val="000000" w:themeColor="text1"/>
          <w:sz w:val="24"/>
          <w:szCs w:val="24"/>
        </w:rPr>
        <w:tab/>
      </w:r>
      <w:r w:rsidR="00C41E63" w:rsidRPr="000B2339">
        <w:rPr>
          <w:rFonts w:ascii="Arial" w:hAnsi="Arial" w:cs="Arial"/>
          <w:color w:val="000000" w:themeColor="text1"/>
          <w:sz w:val="24"/>
          <w:szCs w:val="24"/>
        </w:rPr>
        <w:t>With reference to the point taken by CRAN that a challenge to the regulation was time barred, this court held:</w:t>
      </w:r>
    </w:p>
    <w:p w:rsidR="00C41E63" w:rsidRPr="000B2339" w:rsidRDefault="00C41E63" w:rsidP="00C41E63">
      <w:pPr>
        <w:pStyle w:val="NoSpacing"/>
        <w:spacing w:line="480" w:lineRule="auto"/>
        <w:jc w:val="both"/>
        <w:rPr>
          <w:rFonts w:ascii="Arial" w:hAnsi="Arial" w:cs="Arial"/>
          <w:color w:val="000000" w:themeColor="text1"/>
          <w:sz w:val="24"/>
          <w:szCs w:val="24"/>
        </w:rPr>
      </w:pPr>
    </w:p>
    <w:p w:rsidR="00C41E63" w:rsidRPr="000B2339" w:rsidRDefault="00C41E63" w:rsidP="00557D6C">
      <w:pPr>
        <w:pStyle w:val="NoSpacing"/>
        <w:spacing w:line="360" w:lineRule="auto"/>
        <w:ind w:left="709" w:firstLine="11"/>
        <w:jc w:val="both"/>
        <w:rPr>
          <w:rFonts w:ascii="Arial" w:hAnsi="Arial" w:cs="Arial"/>
          <w:color w:val="000000" w:themeColor="text1"/>
        </w:rPr>
      </w:pPr>
      <w:r w:rsidRPr="000B2339">
        <w:rPr>
          <w:rFonts w:ascii="Arial" w:hAnsi="Arial" w:cs="Arial"/>
          <w:color w:val="000000" w:themeColor="text1"/>
        </w:rPr>
        <w:lastRenderedPageBreak/>
        <w:t>‘</w:t>
      </w:r>
      <w:r w:rsidR="003107F9">
        <w:rPr>
          <w:rFonts w:ascii="Arial" w:hAnsi="Arial" w:cs="Arial"/>
          <w:color w:val="000000" w:themeColor="text1"/>
        </w:rPr>
        <w:t>[108]</w:t>
      </w:r>
      <w:r w:rsidRPr="000B2339">
        <w:rPr>
          <w:rFonts w:ascii="Arial" w:hAnsi="Arial" w:cs="Arial"/>
          <w:color w:val="000000" w:themeColor="text1"/>
        </w:rPr>
        <w:tab/>
      </w:r>
      <w:r w:rsidRPr="000B2339">
        <w:rPr>
          <w:rFonts w:ascii="Arial" w:hAnsi="Arial" w:cs="Arial"/>
          <w:color w:val="000000" w:themeColor="text1"/>
          <w:shd w:val="clear" w:color="auto" w:fill="FFFFFF"/>
        </w:rPr>
        <w:t>As I have demonstrated, in view of the amended notice of motion, the focus of the attack is now s 23(2)</w:t>
      </w:r>
      <w:r w:rsidRPr="00557D6C">
        <w:rPr>
          <w:rStyle w:val="Emphasis"/>
          <w:rFonts w:ascii="Arial" w:hAnsi="Arial" w:cs="Arial"/>
          <w:color w:val="000000" w:themeColor="text1"/>
          <w:shd w:val="clear" w:color="auto" w:fill="FFFFFF"/>
        </w:rPr>
        <w:t>(a)</w:t>
      </w:r>
      <w:r w:rsidRPr="000B2339">
        <w:rPr>
          <w:rFonts w:ascii="Arial" w:hAnsi="Arial" w:cs="Arial"/>
          <w:color w:val="000000" w:themeColor="text1"/>
          <w:shd w:val="clear" w:color="auto" w:fill="FFFFFF"/>
        </w:rPr>
        <w:t> of the Act. Since s 23(2)</w:t>
      </w:r>
      <w:r w:rsidRPr="000B2339">
        <w:rPr>
          <w:rStyle w:val="Emphasis"/>
          <w:rFonts w:ascii="Arial" w:hAnsi="Arial" w:cs="Arial"/>
          <w:color w:val="000000" w:themeColor="text1"/>
          <w:shd w:val="clear" w:color="auto" w:fill="FFFFFF"/>
        </w:rPr>
        <w:t>(a)</w:t>
      </w:r>
      <w:r w:rsidRPr="000B2339">
        <w:rPr>
          <w:rFonts w:ascii="Arial" w:hAnsi="Arial" w:cs="Arial"/>
          <w:color w:val="000000" w:themeColor="text1"/>
          <w:shd w:val="clear" w:color="auto" w:fill="FFFFFF"/>
        </w:rPr>
        <w:t> is invalid from the date of this court’s order, Item 6 suffers the same fate and cannot validly be kept alive.’</w:t>
      </w:r>
    </w:p>
    <w:p w:rsidR="00E271F7" w:rsidRPr="000B2339" w:rsidRDefault="00E271F7" w:rsidP="00E271F7">
      <w:pPr>
        <w:pStyle w:val="ListParagraph"/>
        <w:rPr>
          <w:rFonts w:ascii="Arial" w:hAnsi="Arial" w:cs="Arial"/>
          <w:color w:val="000000" w:themeColor="text1"/>
          <w:sz w:val="24"/>
          <w:szCs w:val="24"/>
        </w:rPr>
      </w:pPr>
    </w:p>
    <w:p w:rsidR="00E271F7"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[35]</w:t>
      </w:r>
      <w:r w:rsidRPr="000B2339">
        <w:rPr>
          <w:rFonts w:ascii="Arial" w:hAnsi="Arial" w:cs="Arial"/>
          <w:color w:val="000000" w:themeColor="text1"/>
          <w:sz w:val="24"/>
          <w:szCs w:val="24"/>
        </w:rPr>
        <w:tab/>
      </w:r>
      <w:r w:rsidR="00C41E63" w:rsidRPr="000B2339">
        <w:rPr>
          <w:rFonts w:ascii="Arial" w:hAnsi="Arial" w:cs="Arial"/>
          <w:color w:val="000000" w:themeColor="text1"/>
          <w:sz w:val="24"/>
          <w:szCs w:val="24"/>
        </w:rPr>
        <w:t>In addressing the retrospective effect imposed by the regulation when it was enacted, this court stated:</w:t>
      </w:r>
    </w:p>
    <w:p w:rsidR="00C41E63" w:rsidRPr="00241075" w:rsidRDefault="00C41E63" w:rsidP="00C41E63">
      <w:pPr>
        <w:pStyle w:val="NoSpacing"/>
        <w:spacing w:line="480" w:lineRule="auto"/>
        <w:jc w:val="both"/>
        <w:rPr>
          <w:rFonts w:ascii="Arial" w:hAnsi="Arial" w:cs="Arial"/>
          <w:color w:val="000000" w:themeColor="text1"/>
          <w:sz w:val="24"/>
          <w:szCs w:val="24"/>
        </w:rPr>
      </w:pPr>
    </w:p>
    <w:p w:rsidR="00C41E63" w:rsidRPr="00241075" w:rsidRDefault="00C41E63" w:rsidP="00557D6C">
      <w:pPr>
        <w:pStyle w:val="NoSpacing"/>
        <w:spacing w:line="360" w:lineRule="auto"/>
        <w:ind w:left="709" w:firstLine="11"/>
        <w:jc w:val="both"/>
        <w:rPr>
          <w:rFonts w:ascii="Arial" w:hAnsi="Arial" w:cs="Arial"/>
          <w:color w:val="000000" w:themeColor="text1"/>
        </w:rPr>
      </w:pPr>
      <w:r w:rsidRPr="00241075">
        <w:rPr>
          <w:rFonts w:ascii="Arial" w:hAnsi="Arial" w:cs="Arial"/>
          <w:color w:val="000000" w:themeColor="text1"/>
        </w:rPr>
        <w:t>‘</w:t>
      </w:r>
      <w:r w:rsidR="003107F9">
        <w:rPr>
          <w:rFonts w:ascii="Arial" w:hAnsi="Arial" w:cs="Arial"/>
          <w:color w:val="000000" w:themeColor="text1"/>
        </w:rPr>
        <w:t>[</w:t>
      </w:r>
      <w:r w:rsidRPr="00241075">
        <w:rPr>
          <w:rFonts w:ascii="Arial" w:hAnsi="Arial" w:cs="Arial"/>
          <w:color w:val="000000" w:themeColor="text1"/>
        </w:rPr>
        <w:t>109</w:t>
      </w:r>
      <w:r w:rsidR="003107F9">
        <w:rPr>
          <w:rFonts w:ascii="Arial" w:hAnsi="Arial" w:cs="Arial"/>
          <w:color w:val="000000" w:themeColor="text1"/>
        </w:rPr>
        <w:t>]</w:t>
      </w:r>
      <w:r w:rsidRPr="00241075">
        <w:rPr>
          <w:rFonts w:ascii="Arial" w:hAnsi="Arial" w:cs="Arial"/>
          <w:color w:val="000000" w:themeColor="text1"/>
        </w:rPr>
        <w:tab/>
      </w:r>
      <w:r w:rsidR="00241075" w:rsidRPr="00241075">
        <w:rPr>
          <w:rFonts w:ascii="Arial" w:hAnsi="Arial" w:cs="Arial"/>
          <w:color w:val="000000" w:themeColor="text1"/>
          <w:shd w:val="clear" w:color="auto" w:fill="FFFFFF"/>
        </w:rPr>
        <w:t>Telecom pleaded in its founding affidavit that in the event that the court finds the impugned regulation to be valid, it be declared that it should only apply prospectively. Although that ground was not canvassed by Mr Heathcote in the written heads of argument, the relief was not abandoned and must be considered especially because the order of invalidity will operate </w:t>
      </w:r>
      <w:r w:rsidR="00241075" w:rsidRPr="00241075">
        <w:rPr>
          <w:rStyle w:val="Emphasis"/>
          <w:rFonts w:ascii="Arial" w:hAnsi="Arial" w:cs="Arial"/>
          <w:color w:val="000000" w:themeColor="text1"/>
          <w:shd w:val="clear" w:color="auto" w:fill="FFFFFF"/>
        </w:rPr>
        <w:t>ex nunc</w:t>
      </w:r>
      <w:r w:rsidR="00241075" w:rsidRPr="00241075">
        <w:rPr>
          <w:rFonts w:ascii="Arial" w:hAnsi="Arial" w:cs="Arial"/>
          <w:color w:val="000000" w:themeColor="text1"/>
          <w:shd w:val="clear" w:color="auto" w:fill="FFFFFF"/>
        </w:rPr>
        <w:t> and Telecom will be expected to honour its liability under the impugned regulation up to the point it is no longer of any force and effect.</w:t>
      </w:r>
      <w:r w:rsidR="00241075">
        <w:rPr>
          <w:rFonts w:ascii="Arial" w:hAnsi="Arial" w:cs="Arial"/>
          <w:color w:val="000000" w:themeColor="text1"/>
          <w:shd w:val="clear" w:color="auto" w:fill="FFFFFF"/>
        </w:rPr>
        <w:t>’</w:t>
      </w:r>
    </w:p>
    <w:p w:rsidR="00C41E63" w:rsidRPr="000B2339" w:rsidRDefault="00C41E63" w:rsidP="00C41E63">
      <w:pPr>
        <w:pStyle w:val="NoSpacing"/>
        <w:spacing w:line="480" w:lineRule="auto"/>
        <w:jc w:val="both"/>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[36]</w:t>
      </w:r>
      <w:r w:rsidRPr="000B2339">
        <w:rPr>
          <w:rFonts w:ascii="Arial" w:hAnsi="Arial" w:cs="Arial"/>
          <w:color w:val="000000" w:themeColor="text1"/>
          <w:sz w:val="24"/>
          <w:szCs w:val="24"/>
        </w:rPr>
        <w:tab/>
      </w:r>
      <w:r w:rsidR="00C41E63" w:rsidRPr="000B2339">
        <w:rPr>
          <w:rFonts w:ascii="Arial" w:hAnsi="Arial" w:cs="Arial"/>
          <w:color w:val="000000" w:themeColor="text1"/>
          <w:sz w:val="24"/>
          <w:szCs w:val="24"/>
        </w:rPr>
        <w:t>Finally, in dealing with the question of costs, this court explained:</w:t>
      </w:r>
    </w:p>
    <w:p w:rsidR="00C41E63" w:rsidRPr="000B2339" w:rsidRDefault="00C41E63" w:rsidP="00BB7BCA">
      <w:pPr>
        <w:pStyle w:val="NoSpacing"/>
        <w:spacing w:line="360" w:lineRule="auto"/>
        <w:jc w:val="both"/>
        <w:rPr>
          <w:rFonts w:ascii="Arial" w:hAnsi="Arial" w:cs="Arial"/>
          <w:color w:val="000000" w:themeColor="text1"/>
          <w:sz w:val="24"/>
          <w:szCs w:val="24"/>
        </w:rPr>
      </w:pPr>
    </w:p>
    <w:p w:rsidR="00C41E63" w:rsidRDefault="00C41E63" w:rsidP="00557D6C">
      <w:pPr>
        <w:pStyle w:val="NoSpacing"/>
        <w:spacing w:line="360" w:lineRule="auto"/>
        <w:ind w:left="709" w:firstLine="11"/>
        <w:jc w:val="both"/>
        <w:rPr>
          <w:rFonts w:ascii="Arial" w:hAnsi="Arial" w:cs="Arial"/>
          <w:color w:val="000000" w:themeColor="text1"/>
          <w:shd w:val="clear" w:color="auto" w:fill="FFFFFF"/>
        </w:rPr>
      </w:pPr>
      <w:r w:rsidRPr="000B2339">
        <w:rPr>
          <w:rFonts w:ascii="Arial" w:hAnsi="Arial" w:cs="Arial"/>
          <w:color w:val="000000" w:themeColor="text1"/>
        </w:rPr>
        <w:t>‘</w:t>
      </w:r>
      <w:r w:rsidR="003107F9">
        <w:rPr>
          <w:rFonts w:ascii="Arial" w:hAnsi="Arial" w:cs="Arial"/>
          <w:color w:val="000000" w:themeColor="text1"/>
        </w:rPr>
        <w:t>[111]</w:t>
      </w:r>
      <w:r w:rsidRPr="000B2339">
        <w:rPr>
          <w:rFonts w:ascii="Arial" w:hAnsi="Arial" w:cs="Arial"/>
          <w:color w:val="000000" w:themeColor="text1"/>
        </w:rPr>
        <w:tab/>
        <w:t>‘</w:t>
      </w:r>
      <w:r w:rsidRPr="000B2339">
        <w:rPr>
          <w:rFonts w:ascii="Arial" w:hAnsi="Arial" w:cs="Arial"/>
          <w:color w:val="000000" w:themeColor="text1"/>
          <w:shd w:val="clear" w:color="auto" w:fill="FFFFFF"/>
        </w:rPr>
        <w:t>E</w:t>
      </w:r>
      <w:r w:rsidR="003107F9">
        <w:rPr>
          <w:rFonts w:ascii="Arial" w:hAnsi="Arial" w:cs="Arial"/>
          <w:color w:val="000000" w:themeColor="text1"/>
          <w:shd w:val="clear" w:color="auto" w:fill="FFFFFF"/>
        </w:rPr>
        <w:t>ach</w:t>
      </w:r>
      <w:r w:rsidRPr="000B2339">
        <w:rPr>
          <w:rFonts w:ascii="Arial" w:hAnsi="Arial" w:cs="Arial"/>
          <w:color w:val="000000" w:themeColor="text1"/>
          <w:shd w:val="clear" w:color="auto" w:fill="FFFFFF"/>
        </w:rPr>
        <w:t xml:space="preserve"> party has had success and failure in equal measure. Although    </w:t>
      </w:r>
      <w:r w:rsidR="003107F9">
        <w:rPr>
          <w:rFonts w:ascii="Arial" w:hAnsi="Arial" w:cs="Arial"/>
          <w:color w:val="000000" w:themeColor="text1"/>
          <w:shd w:val="clear" w:color="auto" w:fill="FFFFFF"/>
        </w:rPr>
        <w:t xml:space="preserve"> </w:t>
      </w:r>
      <w:r w:rsidRPr="000B2339">
        <w:rPr>
          <w:rFonts w:ascii="Arial" w:hAnsi="Arial" w:cs="Arial"/>
          <w:color w:val="000000" w:themeColor="text1"/>
          <w:shd w:val="clear" w:color="auto" w:fill="FFFFFF"/>
        </w:rPr>
        <w:t xml:space="preserve">            s 23(2)</w:t>
      </w:r>
      <w:r w:rsidRPr="000B2339">
        <w:rPr>
          <w:rStyle w:val="Emphasis"/>
          <w:rFonts w:ascii="Arial" w:hAnsi="Arial" w:cs="Arial"/>
          <w:color w:val="000000" w:themeColor="text1"/>
          <w:shd w:val="clear" w:color="auto" w:fill="FFFFFF"/>
        </w:rPr>
        <w:t>(a)</w:t>
      </w:r>
      <w:r w:rsidRPr="000B2339">
        <w:rPr>
          <w:rFonts w:ascii="Arial" w:hAnsi="Arial" w:cs="Arial"/>
          <w:color w:val="000000" w:themeColor="text1"/>
          <w:shd w:val="clear" w:color="auto" w:fill="FFFFFF"/>
        </w:rPr>
        <w:t xml:space="preserve"> of the Act and Item 6 have been declared unconstitutional, </w:t>
      </w:r>
      <w:r w:rsidRPr="00393708">
        <w:rPr>
          <w:rFonts w:ascii="Arial" w:hAnsi="Arial" w:cs="Arial"/>
          <w:color w:val="000000" w:themeColor="text1"/>
          <w:u w:val="single"/>
          <w:shd w:val="clear" w:color="auto" w:fill="FFFFFF"/>
        </w:rPr>
        <w:t>the order of invalidity will not have retroactive effect and will have legal consequences only from now and into the future</w:t>
      </w:r>
      <w:r w:rsidRPr="000B2339">
        <w:rPr>
          <w:rFonts w:ascii="Arial" w:hAnsi="Arial" w:cs="Arial"/>
          <w:color w:val="000000" w:themeColor="text1"/>
          <w:shd w:val="clear" w:color="auto" w:fill="FFFFFF"/>
        </w:rPr>
        <w:t>. That does not detract from the fact that Telecom will only be required to pay a part of the levy which operated retroactively, and it will also not be liable for any levy after the order of invalidity. On the other hand, Telecom, which  has to date refused to pay the levy, will from the date the levy was gazetted until the date of invalidity be liable to CRAN for the payment of the levy imposed by Item 6. Not least significantly, CRAN has succeeded in obtaining from this court an unequivocal statement of principle that a levy under s 23(2)</w:t>
      </w:r>
      <w:r w:rsidRPr="000B2339">
        <w:rPr>
          <w:rStyle w:val="Emphasis"/>
          <w:rFonts w:ascii="Arial" w:hAnsi="Arial" w:cs="Arial"/>
          <w:color w:val="000000" w:themeColor="text1"/>
          <w:shd w:val="clear" w:color="auto" w:fill="FFFFFF"/>
        </w:rPr>
        <w:t>(a)</w:t>
      </w:r>
      <w:r w:rsidRPr="000B2339">
        <w:rPr>
          <w:rFonts w:ascii="Arial" w:hAnsi="Arial" w:cs="Arial"/>
          <w:color w:val="000000" w:themeColor="text1"/>
          <w:shd w:val="clear" w:color="auto" w:fill="FFFFFF"/>
        </w:rPr>
        <w:t> of the Act is not a tax.’</w:t>
      </w:r>
    </w:p>
    <w:p w:rsidR="00393708" w:rsidRPr="00393708" w:rsidRDefault="00393708" w:rsidP="00557D6C">
      <w:pPr>
        <w:pStyle w:val="NoSpacing"/>
        <w:spacing w:line="360" w:lineRule="auto"/>
        <w:ind w:left="709" w:firstLine="11"/>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(Emphasis supplied)</w:t>
      </w:r>
    </w:p>
    <w:p w:rsidR="00C41E63" w:rsidRPr="000B2339" w:rsidRDefault="00C41E63" w:rsidP="00C41E63">
      <w:pPr>
        <w:pStyle w:val="NoSpacing"/>
        <w:spacing w:line="480" w:lineRule="auto"/>
        <w:jc w:val="both"/>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[37]</w:t>
      </w:r>
      <w:r w:rsidRPr="000B2339">
        <w:rPr>
          <w:rFonts w:ascii="Arial" w:hAnsi="Arial" w:cs="Arial"/>
          <w:color w:val="000000" w:themeColor="text1"/>
          <w:sz w:val="24"/>
          <w:szCs w:val="24"/>
        </w:rPr>
        <w:tab/>
      </w:r>
      <w:r w:rsidR="00C41E63" w:rsidRPr="000B2339">
        <w:rPr>
          <w:rFonts w:ascii="Arial" w:hAnsi="Arial" w:cs="Arial"/>
          <w:color w:val="000000" w:themeColor="text1"/>
          <w:sz w:val="24"/>
          <w:szCs w:val="24"/>
        </w:rPr>
        <w:t xml:space="preserve">This court’s intention, as ascertained from the entire judgment </w:t>
      </w:r>
      <w:r w:rsidR="00C41E63" w:rsidRPr="000B2339">
        <w:rPr>
          <w:rFonts w:ascii="Arial" w:hAnsi="Arial" w:cs="Arial"/>
          <w:color w:val="000000" w:themeColor="text1"/>
          <w:sz w:val="24"/>
          <w:szCs w:val="24"/>
          <w:u w:val="single"/>
        </w:rPr>
        <w:t>and</w:t>
      </w:r>
      <w:r w:rsidR="00C41E63" w:rsidRPr="000B2339">
        <w:rPr>
          <w:rFonts w:ascii="Arial" w:hAnsi="Arial" w:cs="Arial"/>
          <w:color w:val="000000" w:themeColor="text1"/>
          <w:sz w:val="24"/>
          <w:szCs w:val="24"/>
        </w:rPr>
        <w:t xml:space="preserve"> order thus becomes abundantly clear</w:t>
      </w:r>
      <w:r w:rsidR="00346D7E">
        <w:rPr>
          <w:rFonts w:ascii="Arial" w:hAnsi="Arial" w:cs="Arial"/>
          <w:color w:val="000000" w:themeColor="text1"/>
          <w:sz w:val="24"/>
          <w:szCs w:val="24"/>
        </w:rPr>
        <w:t>,</w:t>
      </w:r>
      <w:r w:rsidR="00393708">
        <w:rPr>
          <w:rFonts w:ascii="Arial" w:hAnsi="Arial" w:cs="Arial"/>
          <w:color w:val="000000" w:themeColor="text1"/>
          <w:sz w:val="24"/>
          <w:szCs w:val="24"/>
        </w:rPr>
        <w:t xml:space="preserve"> as demonstrated emphatically from these passages</w:t>
      </w:r>
      <w:r w:rsidR="00C41E63" w:rsidRPr="000B2339">
        <w:rPr>
          <w:rFonts w:ascii="Arial" w:hAnsi="Arial" w:cs="Arial"/>
          <w:color w:val="000000" w:themeColor="text1"/>
          <w:sz w:val="24"/>
          <w:szCs w:val="24"/>
        </w:rPr>
        <w:t xml:space="preserve">. This court intended that the order of invalidity operate </w:t>
      </w:r>
      <w:r w:rsidR="00C41E63" w:rsidRPr="000B2339">
        <w:rPr>
          <w:rFonts w:ascii="Arial" w:hAnsi="Arial" w:cs="Arial"/>
          <w:i/>
          <w:color w:val="000000" w:themeColor="text1"/>
          <w:sz w:val="24"/>
          <w:szCs w:val="24"/>
        </w:rPr>
        <w:t>ex nunc</w:t>
      </w:r>
      <w:r w:rsidR="00C41E63" w:rsidRPr="000B2339">
        <w:rPr>
          <w:rFonts w:ascii="Arial" w:hAnsi="Arial" w:cs="Arial"/>
          <w:color w:val="000000" w:themeColor="text1"/>
          <w:sz w:val="24"/>
          <w:szCs w:val="24"/>
        </w:rPr>
        <w:t xml:space="preserve"> (from now on) from </w:t>
      </w:r>
      <w:r w:rsidR="00C41E63" w:rsidRPr="000B2339">
        <w:rPr>
          <w:rFonts w:ascii="Arial" w:hAnsi="Arial" w:cs="Arial"/>
          <w:color w:val="000000" w:themeColor="text1"/>
          <w:sz w:val="24"/>
          <w:szCs w:val="24"/>
        </w:rPr>
        <w:lastRenderedPageBreak/>
        <w:t xml:space="preserve">the confirmation of invalidity, </w:t>
      </w:r>
      <w:r w:rsidR="00C41E63" w:rsidRPr="00393708">
        <w:rPr>
          <w:rFonts w:ascii="Arial" w:hAnsi="Arial" w:cs="Arial"/>
          <w:color w:val="000000" w:themeColor="text1"/>
          <w:sz w:val="24"/>
          <w:szCs w:val="24"/>
          <w:u w:val="single"/>
        </w:rPr>
        <w:t>by this court</w:t>
      </w:r>
      <w:r w:rsidR="00C41E63" w:rsidRPr="000B2339">
        <w:rPr>
          <w:rFonts w:ascii="Arial" w:hAnsi="Arial" w:cs="Arial"/>
          <w:color w:val="000000" w:themeColor="text1"/>
          <w:sz w:val="24"/>
          <w:szCs w:val="24"/>
        </w:rPr>
        <w:t xml:space="preserve">. The reference to the judgment of this court in </w:t>
      </w:r>
      <w:r w:rsidR="00393708">
        <w:rPr>
          <w:rFonts w:ascii="Arial" w:hAnsi="Arial" w:cs="Arial"/>
          <w:color w:val="000000" w:themeColor="text1"/>
          <w:sz w:val="24"/>
          <w:szCs w:val="24"/>
        </w:rPr>
        <w:t xml:space="preserve">subparagraph (b) of </w:t>
      </w:r>
      <w:r w:rsidR="00C41E63" w:rsidRPr="000B2339">
        <w:rPr>
          <w:rFonts w:ascii="Arial" w:hAnsi="Arial" w:cs="Arial"/>
          <w:color w:val="000000" w:themeColor="text1"/>
          <w:sz w:val="24"/>
          <w:szCs w:val="24"/>
        </w:rPr>
        <w:t>the order clearly intended</w:t>
      </w:r>
      <w:r w:rsidR="00346D7E">
        <w:rPr>
          <w:rFonts w:ascii="Arial" w:hAnsi="Arial" w:cs="Arial"/>
          <w:color w:val="000000" w:themeColor="text1"/>
          <w:sz w:val="24"/>
          <w:szCs w:val="24"/>
        </w:rPr>
        <w:t xml:space="preserve"> to mean</w:t>
      </w:r>
      <w:r w:rsidR="00C41E63" w:rsidRPr="000B2339">
        <w:rPr>
          <w:rFonts w:ascii="Arial" w:hAnsi="Arial" w:cs="Arial"/>
          <w:color w:val="000000" w:themeColor="text1"/>
          <w:sz w:val="24"/>
          <w:szCs w:val="24"/>
        </w:rPr>
        <w:t xml:space="preserve"> from the date of the judgment of the Supreme Court.</w:t>
      </w:r>
    </w:p>
    <w:p w:rsidR="00C41E63" w:rsidRPr="000B2339" w:rsidRDefault="00C41E63" w:rsidP="00C41E63">
      <w:pPr>
        <w:pStyle w:val="NoSpacing"/>
        <w:spacing w:line="480" w:lineRule="auto"/>
        <w:jc w:val="both"/>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[38]</w:t>
      </w:r>
      <w:r w:rsidRPr="000B2339">
        <w:rPr>
          <w:rFonts w:ascii="Arial" w:hAnsi="Arial" w:cs="Arial"/>
          <w:color w:val="000000" w:themeColor="text1"/>
          <w:sz w:val="24"/>
          <w:szCs w:val="24"/>
        </w:rPr>
        <w:tab/>
      </w:r>
      <w:r w:rsidR="00C41E63" w:rsidRPr="000B2339">
        <w:rPr>
          <w:rFonts w:ascii="Arial" w:hAnsi="Arial" w:cs="Arial"/>
          <w:color w:val="000000" w:themeColor="text1"/>
          <w:sz w:val="24"/>
          <w:szCs w:val="24"/>
        </w:rPr>
        <w:t xml:space="preserve">The contrary conclusion reached by the High Court would appear to be based upon the statement by the court in </w:t>
      </w:r>
      <w:r w:rsidR="00C66F24">
        <w:rPr>
          <w:rFonts w:ascii="Arial" w:hAnsi="Arial" w:cs="Arial"/>
          <w:i/>
          <w:color w:val="000000" w:themeColor="text1"/>
          <w:sz w:val="24"/>
          <w:szCs w:val="24"/>
        </w:rPr>
        <w:t>Administrator, Cape,</w:t>
      </w:r>
      <w:r w:rsidR="00C41E63" w:rsidRPr="000B2339">
        <w:rPr>
          <w:rFonts w:ascii="Arial" w:hAnsi="Arial" w:cs="Arial"/>
          <w:color w:val="000000" w:themeColor="text1"/>
          <w:sz w:val="24"/>
          <w:szCs w:val="24"/>
        </w:rPr>
        <w:t xml:space="preserve"> to the effect:</w:t>
      </w:r>
    </w:p>
    <w:p w:rsidR="00C41E63" w:rsidRPr="000B2339" w:rsidRDefault="00C41E63" w:rsidP="00C41E63">
      <w:pPr>
        <w:pStyle w:val="ListParagraph"/>
        <w:rPr>
          <w:rFonts w:ascii="Arial" w:hAnsi="Arial" w:cs="Arial"/>
          <w:color w:val="000000" w:themeColor="text1"/>
          <w:sz w:val="24"/>
          <w:szCs w:val="24"/>
        </w:rPr>
      </w:pPr>
    </w:p>
    <w:p w:rsidR="00C41E63" w:rsidRPr="000B2339" w:rsidRDefault="00C41E63" w:rsidP="00C41E63">
      <w:pPr>
        <w:pStyle w:val="NoSpacing"/>
        <w:spacing w:line="360" w:lineRule="auto"/>
        <w:ind w:left="720"/>
        <w:jc w:val="both"/>
        <w:rPr>
          <w:rFonts w:ascii="Arial" w:hAnsi="Arial" w:cs="Arial"/>
          <w:color w:val="000000" w:themeColor="text1"/>
        </w:rPr>
      </w:pPr>
      <w:r w:rsidRPr="000B2339">
        <w:rPr>
          <w:rFonts w:ascii="Arial" w:hAnsi="Arial" w:cs="Arial"/>
          <w:color w:val="000000" w:themeColor="text1"/>
        </w:rPr>
        <w:t>‘If the meaning of an order is clear and unambiguous, it is decisive, and cannot be extended by anything else stated in the judgment.’</w:t>
      </w:r>
    </w:p>
    <w:p w:rsidR="00C41E63" w:rsidRPr="000B2339" w:rsidRDefault="00C41E63" w:rsidP="00C41E63">
      <w:pPr>
        <w:pStyle w:val="ListParagraph"/>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[39]</w:t>
      </w:r>
      <w:r w:rsidRPr="000B2339">
        <w:rPr>
          <w:rFonts w:ascii="Arial" w:hAnsi="Arial" w:cs="Arial"/>
          <w:color w:val="000000" w:themeColor="text1"/>
          <w:sz w:val="24"/>
          <w:szCs w:val="24"/>
        </w:rPr>
        <w:tab/>
      </w:r>
      <w:r w:rsidR="00C41E63" w:rsidRPr="000B2339">
        <w:rPr>
          <w:rFonts w:ascii="Arial" w:hAnsi="Arial" w:cs="Arial"/>
          <w:color w:val="000000" w:themeColor="text1"/>
          <w:sz w:val="24"/>
          <w:szCs w:val="24"/>
        </w:rPr>
        <w:t>That statement</w:t>
      </w:r>
      <w:r w:rsidR="00373028">
        <w:rPr>
          <w:rFonts w:ascii="Arial" w:hAnsi="Arial" w:cs="Arial"/>
          <w:color w:val="000000" w:themeColor="text1"/>
          <w:sz w:val="24"/>
          <w:szCs w:val="24"/>
        </w:rPr>
        <w:t xml:space="preserve"> in </w:t>
      </w:r>
      <w:r w:rsidR="00C66F24">
        <w:rPr>
          <w:rFonts w:ascii="Arial" w:hAnsi="Arial" w:cs="Arial"/>
          <w:i/>
          <w:color w:val="000000" w:themeColor="text1"/>
          <w:sz w:val="24"/>
          <w:szCs w:val="24"/>
        </w:rPr>
        <w:t>Administrator, Cape,</w:t>
      </w:r>
      <w:r w:rsidR="00C41E63" w:rsidRPr="000B2339">
        <w:rPr>
          <w:rFonts w:ascii="Arial" w:hAnsi="Arial" w:cs="Arial"/>
          <w:color w:val="000000" w:themeColor="text1"/>
          <w:sz w:val="24"/>
          <w:szCs w:val="24"/>
        </w:rPr>
        <w:t xml:space="preserve"> follows a detailed exposition of the rules for interpreting judgments or orders and expressly following </w:t>
      </w:r>
      <w:r w:rsidR="00C41E63" w:rsidRPr="000B2339">
        <w:rPr>
          <w:rFonts w:ascii="Arial" w:hAnsi="Arial" w:cs="Arial"/>
          <w:i/>
          <w:color w:val="000000" w:themeColor="text1"/>
          <w:sz w:val="24"/>
          <w:szCs w:val="24"/>
        </w:rPr>
        <w:t>Firestone</w:t>
      </w:r>
      <w:r w:rsidR="00C41E63" w:rsidRPr="000B2339">
        <w:rPr>
          <w:rFonts w:ascii="Arial" w:hAnsi="Arial" w:cs="Arial"/>
          <w:color w:val="000000" w:themeColor="text1"/>
          <w:sz w:val="24"/>
          <w:szCs w:val="24"/>
        </w:rPr>
        <w:t xml:space="preserve"> in spelling out that the basic principles concerning the con</w:t>
      </w:r>
      <w:r w:rsidR="000B2339" w:rsidRPr="000B2339">
        <w:rPr>
          <w:rFonts w:ascii="Arial" w:hAnsi="Arial" w:cs="Arial"/>
          <w:color w:val="000000" w:themeColor="text1"/>
          <w:sz w:val="24"/>
          <w:szCs w:val="24"/>
        </w:rPr>
        <w:t>struction of documents is to be applied</w:t>
      </w:r>
      <w:r w:rsidR="000B2339" w:rsidRPr="000B2339">
        <w:rPr>
          <w:rStyle w:val="FootnoteReference"/>
          <w:rFonts w:ascii="Arial" w:hAnsi="Arial" w:cs="Arial"/>
          <w:color w:val="000000" w:themeColor="text1"/>
          <w:sz w:val="24"/>
          <w:szCs w:val="24"/>
        </w:rPr>
        <w:footnoteReference w:id="17"/>
      </w:r>
      <w:r w:rsidR="000B2339" w:rsidRPr="000B2339">
        <w:rPr>
          <w:rFonts w:ascii="Arial" w:hAnsi="Arial" w:cs="Arial"/>
          <w:color w:val="000000" w:themeColor="text1"/>
          <w:sz w:val="24"/>
          <w:szCs w:val="24"/>
        </w:rPr>
        <w:t xml:space="preserve"> in ascertaining the court’s intention, stating:</w:t>
      </w:r>
    </w:p>
    <w:p w:rsidR="000B2339" w:rsidRPr="000B2339" w:rsidRDefault="000B2339" w:rsidP="00BB7BCA">
      <w:pPr>
        <w:pStyle w:val="NoSpacing"/>
        <w:spacing w:line="360" w:lineRule="auto"/>
        <w:jc w:val="both"/>
        <w:rPr>
          <w:rFonts w:ascii="Arial" w:hAnsi="Arial" w:cs="Arial"/>
          <w:color w:val="000000" w:themeColor="text1"/>
          <w:sz w:val="24"/>
          <w:szCs w:val="24"/>
        </w:rPr>
      </w:pPr>
    </w:p>
    <w:p w:rsidR="000B2339" w:rsidRPr="00373028" w:rsidRDefault="000B2339" w:rsidP="00373028">
      <w:pPr>
        <w:pStyle w:val="NormalWeb"/>
        <w:shd w:val="clear" w:color="auto" w:fill="FFFFFF"/>
        <w:spacing w:before="144" w:beforeAutospacing="0" w:after="288" w:afterAutospacing="0" w:line="360" w:lineRule="auto"/>
        <w:ind w:left="720"/>
        <w:jc w:val="both"/>
        <w:rPr>
          <w:rFonts w:ascii="Arial" w:hAnsi="Arial" w:cs="Arial"/>
          <w:sz w:val="22"/>
          <w:szCs w:val="22"/>
        </w:rPr>
      </w:pPr>
      <w:r w:rsidRPr="00373028">
        <w:rPr>
          <w:rFonts w:ascii="Arial" w:hAnsi="Arial" w:cs="Arial"/>
          <w:sz w:val="22"/>
          <w:szCs w:val="22"/>
        </w:rPr>
        <w:t>‘</w:t>
      </w:r>
      <w:r w:rsidR="00373028">
        <w:rPr>
          <w:rFonts w:ascii="Arial" w:hAnsi="Arial" w:cs="Arial"/>
          <w:sz w:val="22"/>
          <w:szCs w:val="22"/>
        </w:rPr>
        <w:t xml:space="preserve">. . . </w:t>
      </w:r>
      <w:r w:rsidR="00373028" w:rsidRPr="00373028">
        <w:rPr>
          <w:rFonts w:ascii="Arial" w:hAnsi="Arial" w:cs="Arial"/>
          <w:sz w:val="22"/>
          <w:szCs w:val="22"/>
        </w:rPr>
        <w:t xml:space="preserve">the basic principles applicable to the construction of documents also apply to the construction of a </w:t>
      </w:r>
      <w:r w:rsidR="00557D6C">
        <w:rPr>
          <w:rFonts w:ascii="Arial" w:hAnsi="Arial" w:cs="Arial"/>
          <w:sz w:val="22"/>
          <w:szCs w:val="22"/>
        </w:rPr>
        <w:t>C</w:t>
      </w:r>
      <w:r w:rsidR="00373028" w:rsidRPr="00373028">
        <w:rPr>
          <w:rFonts w:ascii="Arial" w:hAnsi="Arial" w:cs="Arial"/>
          <w:sz w:val="22"/>
          <w:szCs w:val="22"/>
        </w:rPr>
        <w:t xml:space="preserve">ourt's judgment or order: the </w:t>
      </w:r>
      <w:r w:rsidR="00557D6C">
        <w:rPr>
          <w:rFonts w:ascii="Arial" w:hAnsi="Arial" w:cs="Arial"/>
          <w:sz w:val="22"/>
          <w:szCs w:val="22"/>
        </w:rPr>
        <w:t>C</w:t>
      </w:r>
      <w:r w:rsidR="00373028" w:rsidRPr="00373028">
        <w:rPr>
          <w:rFonts w:ascii="Arial" w:hAnsi="Arial" w:cs="Arial"/>
          <w:sz w:val="22"/>
          <w:szCs w:val="22"/>
        </w:rPr>
        <w:t>ourt's intention is to be ascertained primarily from the language of the judgment or order as construed according to the usual well-known rules.</w:t>
      </w:r>
      <w:r w:rsidR="00373028">
        <w:rPr>
          <w:rFonts w:ascii="Arial" w:hAnsi="Arial" w:cs="Arial"/>
          <w:sz w:val="22"/>
          <w:szCs w:val="22"/>
        </w:rPr>
        <w:t xml:space="preserve"> </w:t>
      </w:r>
      <w:r w:rsidRPr="000B2339">
        <w:rPr>
          <w:rFonts w:ascii="Arial" w:hAnsi="Arial" w:cs="Arial"/>
          <w:color w:val="000000" w:themeColor="text1"/>
        </w:rPr>
        <w:t xml:space="preserve">As in the case of any document, the judgment or order and the </w:t>
      </w:r>
      <w:r w:rsidR="00557D6C">
        <w:rPr>
          <w:rFonts w:ascii="Arial" w:hAnsi="Arial" w:cs="Arial"/>
          <w:color w:val="000000" w:themeColor="text1"/>
        </w:rPr>
        <w:t>C</w:t>
      </w:r>
      <w:r w:rsidRPr="000B2339">
        <w:rPr>
          <w:rFonts w:ascii="Arial" w:hAnsi="Arial" w:cs="Arial"/>
          <w:color w:val="000000" w:themeColor="text1"/>
        </w:rPr>
        <w:t>ourt’s reasons for giving it must be read as a whole in order to ascertain its intention.’</w:t>
      </w:r>
      <w:r w:rsidRPr="000B2339">
        <w:rPr>
          <w:rStyle w:val="FootnoteReference"/>
          <w:rFonts w:ascii="Arial" w:hAnsi="Arial" w:cs="Arial"/>
          <w:color w:val="000000" w:themeColor="text1"/>
        </w:rPr>
        <w:footnoteReference w:id="18"/>
      </w:r>
    </w:p>
    <w:p w:rsidR="00BB7BCA" w:rsidRPr="000B2339" w:rsidRDefault="00BB7BCA" w:rsidP="00BB7BCA">
      <w:pPr>
        <w:pStyle w:val="ListParagraph"/>
        <w:spacing w:after="0" w:line="360" w:lineRule="auto"/>
        <w:jc w:val="both"/>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[40]</w:t>
      </w:r>
      <w:r w:rsidRPr="000B2339">
        <w:rPr>
          <w:rFonts w:ascii="Arial" w:hAnsi="Arial" w:cs="Arial"/>
          <w:color w:val="000000" w:themeColor="text1"/>
          <w:sz w:val="24"/>
          <w:szCs w:val="24"/>
        </w:rPr>
        <w:tab/>
      </w:r>
      <w:r w:rsidR="000B2339" w:rsidRPr="000B2339">
        <w:rPr>
          <w:rFonts w:ascii="Arial" w:hAnsi="Arial" w:cs="Arial"/>
          <w:color w:val="000000" w:themeColor="text1"/>
          <w:sz w:val="24"/>
          <w:szCs w:val="24"/>
        </w:rPr>
        <w:t xml:space="preserve">The court in </w:t>
      </w:r>
      <w:r w:rsidR="00C66F24">
        <w:rPr>
          <w:rFonts w:ascii="Arial" w:hAnsi="Arial" w:cs="Arial"/>
          <w:i/>
          <w:color w:val="000000" w:themeColor="text1"/>
          <w:sz w:val="24"/>
          <w:szCs w:val="24"/>
        </w:rPr>
        <w:t>Administrator, Cape,</w:t>
      </w:r>
      <w:r w:rsidR="000B2339" w:rsidRPr="000B2339">
        <w:rPr>
          <w:rFonts w:ascii="Arial" w:hAnsi="Arial" w:cs="Arial"/>
          <w:color w:val="000000" w:themeColor="text1"/>
          <w:sz w:val="24"/>
          <w:szCs w:val="24"/>
        </w:rPr>
        <w:t xml:space="preserve"> </w:t>
      </w:r>
      <w:r w:rsidR="00393708">
        <w:rPr>
          <w:rFonts w:ascii="Arial" w:hAnsi="Arial" w:cs="Arial"/>
          <w:color w:val="000000" w:themeColor="text1"/>
          <w:sz w:val="24"/>
          <w:szCs w:val="24"/>
        </w:rPr>
        <w:t>proceeded to</w:t>
      </w:r>
      <w:r w:rsidR="000B2339" w:rsidRPr="000B2339">
        <w:rPr>
          <w:rFonts w:ascii="Arial" w:hAnsi="Arial" w:cs="Arial"/>
          <w:color w:val="000000" w:themeColor="text1"/>
          <w:sz w:val="24"/>
          <w:szCs w:val="24"/>
        </w:rPr>
        <w:t xml:space="preserve"> stated:</w:t>
      </w:r>
    </w:p>
    <w:p w:rsidR="000B2339" w:rsidRPr="000B2339" w:rsidRDefault="000B2339" w:rsidP="00241075">
      <w:pPr>
        <w:pStyle w:val="NoSpacing"/>
        <w:spacing w:line="360" w:lineRule="auto"/>
        <w:jc w:val="both"/>
        <w:rPr>
          <w:rFonts w:ascii="Arial" w:hAnsi="Arial" w:cs="Arial"/>
          <w:color w:val="000000" w:themeColor="text1"/>
          <w:sz w:val="24"/>
          <w:szCs w:val="24"/>
        </w:rPr>
      </w:pPr>
    </w:p>
    <w:p w:rsidR="000B2339" w:rsidRPr="000B2339" w:rsidRDefault="000B2339" w:rsidP="000B2339">
      <w:pPr>
        <w:pStyle w:val="NoSpacing"/>
        <w:spacing w:line="360" w:lineRule="auto"/>
        <w:ind w:left="720"/>
        <w:jc w:val="both"/>
        <w:rPr>
          <w:rFonts w:ascii="Arial" w:hAnsi="Arial" w:cs="Arial"/>
          <w:color w:val="000000" w:themeColor="text1"/>
        </w:rPr>
      </w:pPr>
      <w:r w:rsidRPr="000B2339">
        <w:rPr>
          <w:rFonts w:ascii="Arial" w:hAnsi="Arial" w:cs="Arial"/>
          <w:color w:val="000000" w:themeColor="text1"/>
          <w:shd w:val="clear" w:color="auto" w:fill="FFFFFF"/>
        </w:rPr>
        <w:t xml:space="preserve">‘It may be said that the order must undoubtedly be read as part of the entire judgment and not as a separate document, but the </w:t>
      </w:r>
      <w:r w:rsidR="00557D6C">
        <w:rPr>
          <w:rFonts w:ascii="Arial" w:hAnsi="Arial" w:cs="Arial"/>
          <w:color w:val="000000" w:themeColor="text1"/>
          <w:shd w:val="clear" w:color="auto" w:fill="FFFFFF"/>
        </w:rPr>
        <w:t>C</w:t>
      </w:r>
      <w:r w:rsidRPr="000B2339">
        <w:rPr>
          <w:rFonts w:ascii="Arial" w:hAnsi="Arial" w:cs="Arial"/>
          <w:color w:val="000000" w:themeColor="text1"/>
          <w:shd w:val="clear" w:color="auto" w:fill="FFFFFF"/>
        </w:rPr>
        <w:t xml:space="preserve">ourt's directions must be found in the order and not elsewhere. If the meaning of an order is clear and unambiguous, </w:t>
      </w:r>
      <w:r w:rsidRPr="000B2339">
        <w:rPr>
          <w:rFonts w:ascii="Arial" w:hAnsi="Arial" w:cs="Arial"/>
          <w:color w:val="000000" w:themeColor="text1"/>
          <w:shd w:val="clear" w:color="auto" w:fill="FFFFFF"/>
        </w:rPr>
        <w:lastRenderedPageBreak/>
        <w:t>it is decisive, and cannot be restricted or extended by anything else stated in the judgment.’</w:t>
      </w:r>
      <w:r w:rsidR="008B750C">
        <w:rPr>
          <w:rStyle w:val="FootnoteReference"/>
          <w:rFonts w:ascii="Arial" w:hAnsi="Arial" w:cs="Arial"/>
          <w:color w:val="000000" w:themeColor="text1"/>
          <w:shd w:val="clear" w:color="auto" w:fill="FFFFFF"/>
        </w:rPr>
        <w:footnoteReference w:id="19"/>
      </w:r>
    </w:p>
    <w:p w:rsidR="00C41E63" w:rsidRPr="000B2339" w:rsidRDefault="00C41E63" w:rsidP="00241075">
      <w:pPr>
        <w:pStyle w:val="ListParagraph"/>
        <w:spacing w:line="360" w:lineRule="auto"/>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[41]</w:t>
      </w:r>
      <w:r w:rsidRPr="000B2339">
        <w:rPr>
          <w:rFonts w:ascii="Arial" w:hAnsi="Arial" w:cs="Arial"/>
          <w:color w:val="000000" w:themeColor="text1"/>
          <w:sz w:val="24"/>
          <w:szCs w:val="24"/>
        </w:rPr>
        <w:tab/>
      </w:r>
      <w:r w:rsidR="008B750C">
        <w:rPr>
          <w:rFonts w:ascii="Arial" w:hAnsi="Arial" w:cs="Arial"/>
          <w:color w:val="000000" w:themeColor="text1"/>
          <w:sz w:val="24"/>
          <w:szCs w:val="24"/>
        </w:rPr>
        <w:t xml:space="preserve">The latter statement must be read together with the general principles </w:t>
      </w:r>
      <w:r w:rsidR="00393708">
        <w:rPr>
          <w:rFonts w:ascii="Arial" w:hAnsi="Arial" w:cs="Arial"/>
          <w:color w:val="000000" w:themeColor="text1"/>
          <w:sz w:val="24"/>
          <w:szCs w:val="24"/>
        </w:rPr>
        <w:t>which preceded</w:t>
      </w:r>
      <w:r w:rsidR="008B750C">
        <w:rPr>
          <w:rFonts w:ascii="Arial" w:hAnsi="Arial" w:cs="Arial"/>
          <w:color w:val="000000" w:themeColor="text1"/>
          <w:sz w:val="24"/>
          <w:szCs w:val="24"/>
        </w:rPr>
        <w:t xml:space="preserve"> it</w:t>
      </w:r>
      <w:r w:rsidR="00346D7E">
        <w:rPr>
          <w:rFonts w:ascii="Arial" w:hAnsi="Arial" w:cs="Arial"/>
          <w:color w:val="000000" w:themeColor="text1"/>
          <w:sz w:val="24"/>
          <w:szCs w:val="24"/>
        </w:rPr>
        <w:t xml:space="preserve"> (that the judgment and order be read as a whole to ascertain the court’s intention)</w:t>
      </w:r>
      <w:r w:rsidR="008B750C">
        <w:rPr>
          <w:rFonts w:ascii="Arial" w:hAnsi="Arial" w:cs="Arial"/>
          <w:color w:val="000000" w:themeColor="text1"/>
          <w:sz w:val="24"/>
          <w:szCs w:val="24"/>
        </w:rPr>
        <w:t xml:space="preserve"> – and in the context of the facts which presented themselves in </w:t>
      </w:r>
      <w:r w:rsidR="00C66F24">
        <w:rPr>
          <w:rFonts w:ascii="Arial" w:hAnsi="Arial" w:cs="Arial"/>
          <w:i/>
          <w:color w:val="000000" w:themeColor="text1"/>
          <w:sz w:val="24"/>
          <w:szCs w:val="24"/>
        </w:rPr>
        <w:t>Administrator, Cape,</w:t>
      </w:r>
      <w:r w:rsidR="008B750C">
        <w:rPr>
          <w:rFonts w:ascii="Arial" w:hAnsi="Arial" w:cs="Arial"/>
          <w:color w:val="000000" w:themeColor="text1"/>
          <w:sz w:val="24"/>
          <w:szCs w:val="24"/>
        </w:rPr>
        <w:t xml:space="preserve"> – and not taken out of that overall context.</w:t>
      </w:r>
    </w:p>
    <w:p w:rsidR="00C41E63" w:rsidRPr="000B2339" w:rsidRDefault="00C41E63" w:rsidP="00C41E63">
      <w:pPr>
        <w:pStyle w:val="ListParagraph"/>
        <w:rPr>
          <w:rFonts w:ascii="Arial" w:hAnsi="Arial" w:cs="Arial"/>
          <w:color w:val="000000" w:themeColor="text1"/>
          <w:sz w:val="24"/>
          <w:szCs w:val="24"/>
        </w:rPr>
      </w:pPr>
    </w:p>
    <w:p w:rsidR="00B93393" w:rsidRPr="00BB7BCA" w:rsidRDefault="008E7528" w:rsidP="008E7528">
      <w:pPr>
        <w:pStyle w:val="NoSpacing"/>
        <w:spacing w:line="480" w:lineRule="auto"/>
        <w:jc w:val="both"/>
        <w:rPr>
          <w:rFonts w:ascii="Arial" w:hAnsi="Arial" w:cs="Arial"/>
          <w:color w:val="000000" w:themeColor="text1"/>
          <w:sz w:val="24"/>
          <w:szCs w:val="24"/>
        </w:rPr>
      </w:pPr>
      <w:r w:rsidRPr="00BB7BCA">
        <w:rPr>
          <w:rFonts w:ascii="Arial" w:hAnsi="Arial" w:cs="Arial"/>
          <w:color w:val="000000" w:themeColor="text1"/>
          <w:sz w:val="24"/>
          <w:szCs w:val="24"/>
        </w:rPr>
        <w:t>[42]</w:t>
      </w:r>
      <w:r w:rsidRPr="00BB7BCA">
        <w:rPr>
          <w:rFonts w:ascii="Arial" w:hAnsi="Arial" w:cs="Arial"/>
          <w:color w:val="000000" w:themeColor="text1"/>
          <w:sz w:val="24"/>
          <w:szCs w:val="24"/>
        </w:rPr>
        <w:tab/>
      </w:r>
      <w:r w:rsidR="008B750C">
        <w:rPr>
          <w:rFonts w:ascii="Arial" w:hAnsi="Arial" w:cs="Arial"/>
          <w:color w:val="000000" w:themeColor="text1"/>
          <w:sz w:val="24"/>
          <w:szCs w:val="24"/>
        </w:rPr>
        <w:t>As I have indicated, the intention of th</w:t>
      </w:r>
      <w:r w:rsidR="00A27E52">
        <w:rPr>
          <w:rFonts w:ascii="Arial" w:hAnsi="Arial" w:cs="Arial"/>
          <w:color w:val="000000" w:themeColor="text1"/>
          <w:sz w:val="24"/>
          <w:szCs w:val="24"/>
        </w:rPr>
        <w:t>is</w:t>
      </w:r>
      <w:r w:rsidR="008B750C">
        <w:rPr>
          <w:rFonts w:ascii="Arial" w:hAnsi="Arial" w:cs="Arial"/>
          <w:color w:val="000000" w:themeColor="text1"/>
          <w:sz w:val="24"/>
          <w:szCs w:val="24"/>
        </w:rPr>
        <w:t xml:space="preserve"> court was for the order of invalidity to operate </w:t>
      </w:r>
      <w:r w:rsidR="008B750C">
        <w:rPr>
          <w:rFonts w:ascii="Arial" w:hAnsi="Arial" w:cs="Arial"/>
          <w:i/>
          <w:color w:val="000000" w:themeColor="text1"/>
          <w:sz w:val="24"/>
          <w:szCs w:val="24"/>
        </w:rPr>
        <w:t>ex nunc</w:t>
      </w:r>
      <w:r w:rsidR="008B750C">
        <w:rPr>
          <w:rFonts w:ascii="Arial" w:hAnsi="Arial" w:cs="Arial"/>
          <w:color w:val="000000" w:themeColor="text1"/>
          <w:sz w:val="24"/>
          <w:szCs w:val="24"/>
        </w:rPr>
        <w:t xml:space="preserve"> from the confirmation of invalidity. The order, read in context, demonstrates that it could </w:t>
      </w:r>
      <w:r w:rsidR="00393708">
        <w:rPr>
          <w:rFonts w:ascii="Arial" w:hAnsi="Arial" w:cs="Arial"/>
          <w:color w:val="000000" w:themeColor="text1"/>
          <w:sz w:val="24"/>
          <w:szCs w:val="24"/>
        </w:rPr>
        <w:t>n</w:t>
      </w:r>
      <w:r w:rsidR="008B750C">
        <w:rPr>
          <w:rFonts w:ascii="Arial" w:hAnsi="Arial" w:cs="Arial"/>
          <w:color w:val="000000" w:themeColor="text1"/>
          <w:sz w:val="24"/>
          <w:szCs w:val="24"/>
        </w:rPr>
        <w:t xml:space="preserve">ever </w:t>
      </w:r>
      <w:r w:rsidR="00346D7E">
        <w:rPr>
          <w:rFonts w:ascii="Arial" w:hAnsi="Arial" w:cs="Arial"/>
          <w:color w:val="000000" w:themeColor="text1"/>
          <w:sz w:val="24"/>
          <w:szCs w:val="24"/>
        </w:rPr>
        <w:t xml:space="preserve">have </w:t>
      </w:r>
      <w:r w:rsidR="008B750C">
        <w:rPr>
          <w:rFonts w:ascii="Arial" w:hAnsi="Arial" w:cs="Arial"/>
          <w:color w:val="000000" w:themeColor="text1"/>
          <w:sz w:val="24"/>
          <w:szCs w:val="24"/>
        </w:rPr>
        <w:t xml:space="preserve">clearly and unambiguously meant from the date when the High Court had made its original order </w:t>
      </w:r>
      <w:r w:rsidR="00393708">
        <w:rPr>
          <w:rFonts w:ascii="Arial" w:hAnsi="Arial" w:cs="Arial"/>
          <w:color w:val="000000" w:themeColor="text1"/>
          <w:sz w:val="24"/>
          <w:szCs w:val="24"/>
        </w:rPr>
        <w:t>when</w:t>
      </w:r>
      <w:r w:rsidR="008B750C">
        <w:rPr>
          <w:rFonts w:ascii="Arial" w:hAnsi="Arial" w:cs="Arial"/>
          <w:color w:val="000000" w:themeColor="text1"/>
          <w:sz w:val="24"/>
          <w:szCs w:val="24"/>
        </w:rPr>
        <w:t xml:space="preserve"> that very order </w:t>
      </w:r>
      <w:r w:rsidR="00A27E52">
        <w:rPr>
          <w:rFonts w:ascii="Arial" w:hAnsi="Arial" w:cs="Arial"/>
          <w:color w:val="000000" w:themeColor="text1"/>
          <w:sz w:val="24"/>
          <w:szCs w:val="24"/>
        </w:rPr>
        <w:t xml:space="preserve">was set aside </w:t>
      </w:r>
      <w:r w:rsidR="008B750C">
        <w:rPr>
          <w:rFonts w:ascii="Arial" w:hAnsi="Arial" w:cs="Arial"/>
          <w:color w:val="000000" w:themeColor="text1"/>
          <w:sz w:val="24"/>
          <w:szCs w:val="24"/>
        </w:rPr>
        <w:t>and reasons for it were</w:t>
      </w:r>
      <w:r w:rsidR="00A27E52">
        <w:rPr>
          <w:rFonts w:ascii="Arial" w:hAnsi="Arial" w:cs="Arial"/>
          <w:color w:val="000000" w:themeColor="text1"/>
          <w:sz w:val="24"/>
          <w:szCs w:val="24"/>
        </w:rPr>
        <w:t xml:space="preserve"> r</w:t>
      </w:r>
      <w:r w:rsidR="008B750C">
        <w:rPr>
          <w:rFonts w:ascii="Arial" w:hAnsi="Arial" w:cs="Arial"/>
          <w:color w:val="000000" w:themeColor="text1"/>
          <w:sz w:val="24"/>
          <w:szCs w:val="24"/>
        </w:rPr>
        <w:t>epudiated. At the very best for MTC, the order could be said to be ambiguous</w:t>
      </w:r>
      <w:r w:rsidR="00373028">
        <w:rPr>
          <w:rFonts w:ascii="Arial" w:hAnsi="Arial" w:cs="Arial"/>
          <w:color w:val="000000" w:themeColor="text1"/>
          <w:sz w:val="24"/>
          <w:szCs w:val="24"/>
        </w:rPr>
        <w:t xml:space="preserve"> if read in a vacuum</w:t>
      </w:r>
      <w:r w:rsidR="008B750C">
        <w:rPr>
          <w:rFonts w:ascii="Arial" w:hAnsi="Arial" w:cs="Arial"/>
          <w:color w:val="000000" w:themeColor="text1"/>
          <w:sz w:val="24"/>
          <w:szCs w:val="24"/>
        </w:rPr>
        <w:t>, given what preceded it</w:t>
      </w:r>
      <w:r w:rsidR="00393708">
        <w:rPr>
          <w:rFonts w:ascii="Arial" w:hAnsi="Arial" w:cs="Arial"/>
          <w:color w:val="000000" w:themeColor="text1"/>
          <w:sz w:val="24"/>
          <w:szCs w:val="24"/>
        </w:rPr>
        <w:t>,</w:t>
      </w:r>
      <w:r w:rsidR="008B750C">
        <w:rPr>
          <w:rFonts w:ascii="Arial" w:hAnsi="Arial" w:cs="Arial"/>
          <w:color w:val="000000" w:themeColor="text1"/>
          <w:sz w:val="24"/>
          <w:szCs w:val="24"/>
        </w:rPr>
        <w:t xml:space="preserve"> but any ambiguity is immediately removed by the context and </w:t>
      </w:r>
      <w:r w:rsidR="00373028">
        <w:rPr>
          <w:rFonts w:ascii="Arial" w:hAnsi="Arial" w:cs="Arial"/>
          <w:color w:val="000000" w:themeColor="text1"/>
          <w:sz w:val="24"/>
          <w:szCs w:val="24"/>
        </w:rPr>
        <w:t xml:space="preserve">once </w:t>
      </w:r>
      <w:r w:rsidR="008B750C">
        <w:rPr>
          <w:rFonts w:ascii="Arial" w:hAnsi="Arial" w:cs="Arial"/>
          <w:color w:val="000000" w:themeColor="text1"/>
          <w:sz w:val="24"/>
          <w:szCs w:val="24"/>
        </w:rPr>
        <w:t xml:space="preserve">the clear contrary intention </w:t>
      </w:r>
      <w:r w:rsidR="00373028">
        <w:rPr>
          <w:rFonts w:ascii="Arial" w:hAnsi="Arial" w:cs="Arial"/>
          <w:color w:val="000000" w:themeColor="text1"/>
          <w:sz w:val="24"/>
          <w:szCs w:val="24"/>
        </w:rPr>
        <w:t xml:space="preserve">is </w:t>
      </w:r>
      <w:r w:rsidR="008B750C">
        <w:rPr>
          <w:rFonts w:ascii="Arial" w:hAnsi="Arial" w:cs="Arial"/>
          <w:color w:val="000000" w:themeColor="text1"/>
          <w:sz w:val="24"/>
          <w:szCs w:val="24"/>
        </w:rPr>
        <w:t>ascertained from the judgment</w:t>
      </w:r>
      <w:r w:rsidR="00393708">
        <w:rPr>
          <w:rFonts w:ascii="Arial" w:hAnsi="Arial" w:cs="Arial"/>
          <w:color w:val="000000" w:themeColor="text1"/>
          <w:sz w:val="24"/>
          <w:szCs w:val="24"/>
        </w:rPr>
        <w:t xml:space="preserve"> which </w:t>
      </w:r>
      <w:r w:rsidR="00A27E52">
        <w:rPr>
          <w:rFonts w:ascii="Arial" w:hAnsi="Arial" w:cs="Arial"/>
          <w:color w:val="000000" w:themeColor="text1"/>
          <w:sz w:val="24"/>
          <w:szCs w:val="24"/>
        </w:rPr>
        <w:t>gave rise to</w:t>
      </w:r>
      <w:r w:rsidR="00393708">
        <w:rPr>
          <w:rFonts w:ascii="Arial" w:hAnsi="Arial" w:cs="Arial"/>
          <w:color w:val="000000" w:themeColor="text1"/>
          <w:sz w:val="24"/>
          <w:szCs w:val="24"/>
        </w:rPr>
        <w:t xml:space="preserve"> the order</w:t>
      </w:r>
      <w:r w:rsidR="008B750C">
        <w:rPr>
          <w:rFonts w:ascii="Arial" w:hAnsi="Arial" w:cs="Arial"/>
          <w:color w:val="000000" w:themeColor="text1"/>
          <w:sz w:val="24"/>
          <w:szCs w:val="24"/>
        </w:rPr>
        <w:t xml:space="preserve">. </w:t>
      </w:r>
    </w:p>
    <w:p w:rsidR="00B93393" w:rsidRDefault="00B93393" w:rsidP="00D43BEB">
      <w:pPr>
        <w:pStyle w:val="ListParagraph"/>
        <w:rPr>
          <w:rFonts w:ascii="Arial" w:hAnsi="Arial" w:cs="Arial"/>
          <w:color w:val="000000" w:themeColor="text1"/>
          <w:sz w:val="24"/>
          <w:szCs w:val="24"/>
        </w:rPr>
      </w:pPr>
    </w:p>
    <w:p w:rsidR="00346D7E"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D43BEB">
        <w:rPr>
          <w:rFonts w:ascii="Arial" w:hAnsi="Arial" w:cs="Arial"/>
          <w:color w:val="000000" w:themeColor="text1"/>
          <w:sz w:val="24"/>
          <w:szCs w:val="24"/>
        </w:rPr>
        <w:t>The intention of the order is to be ascertained from a reading of the court’s reasons for giving the order read as a whole. Only after that exercise has been conducted and not in the absence of it</w:t>
      </w:r>
      <w:r w:rsidR="00346D7E">
        <w:rPr>
          <w:rFonts w:ascii="Arial" w:hAnsi="Arial" w:cs="Arial"/>
          <w:color w:val="000000" w:themeColor="text1"/>
          <w:sz w:val="24"/>
          <w:szCs w:val="24"/>
        </w:rPr>
        <w:t>,</w:t>
      </w:r>
      <w:r w:rsidR="00D43BEB">
        <w:rPr>
          <w:rFonts w:ascii="Arial" w:hAnsi="Arial" w:cs="Arial"/>
          <w:color w:val="000000" w:themeColor="text1"/>
          <w:sz w:val="24"/>
          <w:szCs w:val="24"/>
        </w:rPr>
        <w:t xml:space="preserve"> as argued on behalf of MTC and accepted by the court below</w:t>
      </w:r>
      <w:r w:rsidR="00346D7E">
        <w:rPr>
          <w:rFonts w:ascii="Arial" w:hAnsi="Arial" w:cs="Arial"/>
          <w:color w:val="000000" w:themeColor="text1"/>
          <w:sz w:val="24"/>
          <w:szCs w:val="24"/>
        </w:rPr>
        <w:t>,</w:t>
      </w:r>
      <w:r w:rsidR="00D43BEB">
        <w:rPr>
          <w:rFonts w:ascii="Arial" w:hAnsi="Arial" w:cs="Arial"/>
          <w:color w:val="000000" w:themeColor="text1"/>
          <w:sz w:val="24"/>
          <w:szCs w:val="24"/>
        </w:rPr>
        <w:t xml:space="preserve"> can the order be considered. In this case </w:t>
      </w:r>
      <w:r w:rsidR="00A27E52">
        <w:rPr>
          <w:rFonts w:ascii="Arial" w:hAnsi="Arial" w:cs="Arial"/>
          <w:color w:val="000000" w:themeColor="text1"/>
          <w:sz w:val="24"/>
          <w:szCs w:val="24"/>
        </w:rPr>
        <w:t xml:space="preserve">it </w:t>
      </w:r>
      <w:r w:rsidR="00D43BEB">
        <w:rPr>
          <w:rFonts w:ascii="Arial" w:hAnsi="Arial" w:cs="Arial"/>
          <w:color w:val="000000" w:themeColor="text1"/>
          <w:sz w:val="24"/>
          <w:szCs w:val="24"/>
        </w:rPr>
        <w:t>concern</w:t>
      </w:r>
      <w:r w:rsidR="00A27E52">
        <w:rPr>
          <w:rFonts w:ascii="Arial" w:hAnsi="Arial" w:cs="Arial"/>
          <w:color w:val="000000" w:themeColor="text1"/>
          <w:sz w:val="24"/>
          <w:szCs w:val="24"/>
        </w:rPr>
        <w:t>s</w:t>
      </w:r>
      <w:r w:rsidR="00D43BEB">
        <w:rPr>
          <w:rFonts w:ascii="Arial" w:hAnsi="Arial" w:cs="Arial"/>
          <w:color w:val="000000" w:themeColor="text1"/>
          <w:sz w:val="24"/>
          <w:szCs w:val="24"/>
        </w:rPr>
        <w:t xml:space="preserve"> </w:t>
      </w:r>
      <w:r w:rsidR="004A7883">
        <w:rPr>
          <w:rFonts w:ascii="Arial" w:hAnsi="Arial" w:cs="Arial"/>
          <w:color w:val="000000" w:themeColor="text1"/>
          <w:sz w:val="24"/>
          <w:szCs w:val="24"/>
        </w:rPr>
        <w:t xml:space="preserve">the </w:t>
      </w:r>
      <w:r w:rsidR="00D43BEB">
        <w:rPr>
          <w:rFonts w:ascii="Arial" w:hAnsi="Arial" w:cs="Arial"/>
          <w:color w:val="000000" w:themeColor="text1"/>
          <w:sz w:val="24"/>
          <w:szCs w:val="24"/>
        </w:rPr>
        <w:t xml:space="preserve">date of invalidity being only prospective </w:t>
      </w:r>
      <w:r w:rsidR="00346D7E">
        <w:rPr>
          <w:rFonts w:ascii="Arial" w:hAnsi="Arial" w:cs="Arial"/>
          <w:color w:val="000000" w:themeColor="text1"/>
          <w:sz w:val="24"/>
          <w:szCs w:val="24"/>
        </w:rPr>
        <w:t xml:space="preserve">in effect </w:t>
      </w:r>
      <w:r w:rsidR="004A7883">
        <w:rPr>
          <w:rFonts w:ascii="Arial" w:hAnsi="Arial" w:cs="Arial"/>
          <w:color w:val="000000" w:themeColor="text1"/>
          <w:sz w:val="24"/>
          <w:szCs w:val="24"/>
        </w:rPr>
        <w:t>after this court</w:t>
      </w:r>
      <w:r w:rsidR="00D43BEB">
        <w:rPr>
          <w:rFonts w:ascii="Arial" w:hAnsi="Arial" w:cs="Arial"/>
          <w:color w:val="000000" w:themeColor="text1"/>
          <w:sz w:val="24"/>
          <w:szCs w:val="24"/>
        </w:rPr>
        <w:t xml:space="preserve"> </w:t>
      </w:r>
      <w:r w:rsidR="004A7883">
        <w:rPr>
          <w:rFonts w:ascii="Arial" w:hAnsi="Arial" w:cs="Arial"/>
          <w:color w:val="000000" w:themeColor="text1"/>
          <w:sz w:val="24"/>
          <w:szCs w:val="24"/>
        </w:rPr>
        <w:t>has set aside</w:t>
      </w:r>
      <w:r w:rsidR="00D43BEB">
        <w:rPr>
          <w:rFonts w:ascii="Arial" w:hAnsi="Arial" w:cs="Arial"/>
          <w:color w:val="000000" w:themeColor="text1"/>
          <w:sz w:val="24"/>
          <w:szCs w:val="24"/>
        </w:rPr>
        <w:t xml:space="preserve"> the provision. The context makes it plain which court’s judgment is referred to. </w:t>
      </w:r>
    </w:p>
    <w:p w:rsidR="00346D7E" w:rsidRDefault="00346D7E" w:rsidP="00346D7E">
      <w:pPr>
        <w:pStyle w:val="ListParagraph"/>
        <w:rPr>
          <w:rFonts w:ascii="Arial" w:hAnsi="Arial" w:cs="Arial"/>
          <w:color w:val="000000" w:themeColor="text1"/>
          <w:sz w:val="24"/>
          <w:szCs w:val="24"/>
        </w:rPr>
      </w:pPr>
    </w:p>
    <w:p w:rsidR="00742DD0"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[44]</w:t>
      </w:r>
      <w:r>
        <w:rPr>
          <w:rFonts w:ascii="Arial" w:hAnsi="Arial" w:cs="Arial"/>
          <w:color w:val="000000" w:themeColor="text1"/>
          <w:sz w:val="24"/>
          <w:szCs w:val="24"/>
        </w:rPr>
        <w:tab/>
      </w:r>
      <w:r w:rsidR="00D43BEB">
        <w:rPr>
          <w:rFonts w:ascii="Arial" w:hAnsi="Arial" w:cs="Arial"/>
          <w:color w:val="000000" w:themeColor="text1"/>
          <w:sz w:val="24"/>
          <w:szCs w:val="24"/>
        </w:rPr>
        <w:t xml:space="preserve">This is unlike the position in </w:t>
      </w:r>
      <w:r w:rsidR="00C66F24">
        <w:rPr>
          <w:rFonts w:ascii="Arial" w:hAnsi="Arial" w:cs="Arial"/>
          <w:i/>
          <w:color w:val="000000" w:themeColor="text1"/>
          <w:sz w:val="24"/>
          <w:szCs w:val="24"/>
        </w:rPr>
        <w:t>Administrator, Cape,</w:t>
      </w:r>
      <w:r w:rsidR="00D43BEB">
        <w:rPr>
          <w:rFonts w:ascii="Arial" w:hAnsi="Arial" w:cs="Arial"/>
          <w:color w:val="000000" w:themeColor="text1"/>
          <w:sz w:val="24"/>
          <w:szCs w:val="24"/>
        </w:rPr>
        <w:t xml:space="preserve"> where the court below had given an order directing respondents to restore applicants to undisturbed possession of sites occupied by them (from which the applicants had been unceremoniously and coercively removed)</w:t>
      </w:r>
      <w:r w:rsidR="00A27E52">
        <w:rPr>
          <w:rFonts w:ascii="Arial" w:hAnsi="Arial" w:cs="Arial"/>
          <w:color w:val="000000" w:themeColor="text1"/>
          <w:sz w:val="24"/>
          <w:szCs w:val="24"/>
        </w:rPr>
        <w:t xml:space="preserve"> in a spoliation application</w:t>
      </w:r>
      <w:r w:rsidR="00D43BEB">
        <w:rPr>
          <w:rFonts w:ascii="Arial" w:hAnsi="Arial" w:cs="Arial"/>
          <w:color w:val="000000" w:themeColor="text1"/>
          <w:sz w:val="24"/>
          <w:szCs w:val="24"/>
        </w:rPr>
        <w:t xml:space="preserve">. It was contended by the </w:t>
      </w:r>
      <w:r w:rsidR="00A27E52">
        <w:rPr>
          <w:rFonts w:ascii="Arial" w:hAnsi="Arial" w:cs="Arial"/>
          <w:color w:val="000000" w:themeColor="text1"/>
          <w:sz w:val="24"/>
          <w:szCs w:val="24"/>
        </w:rPr>
        <w:t>applicants on appeal</w:t>
      </w:r>
      <w:r w:rsidR="00D43BEB">
        <w:rPr>
          <w:rFonts w:ascii="Arial" w:hAnsi="Arial" w:cs="Arial"/>
          <w:color w:val="000000" w:themeColor="text1"/>
          <w:sz w:val="24"/>
          <w:szCs w:val="24"/>
        </w:rPr>
        <w:t xml:space="preserve"> that the order was to be interpreted to include an order directing the respondents to transport </w:t>
      </w:r>
      <w:r w:rsidR="00742DD0">
        <w:rPr>
          <w:rFonts w:ascii="Arial" w:hAnsi="Arial" w:cs="Arial"/>
          <w:color w:val="000000" w:themeColor="text1"/>
          <w:sz w:val="24"/>
          <w:szCs w:val="24"/>
        </w:rPr>
        <w:t>t</w:t>
      </w:r>
      <w:r w:rsidR="00D43BEB">
        <w:rPr>
          <w:rFonts w:ascii="Arial" w:hAnsi="Arial" w:cs="Arial"/>
          <w:color w:val="000000" w:themeColor="text1"/>
          <w:sz w:val="24"/>
          <w:szCs w:val="24"/>
        </w:rPr>
        <w:t>he applicants back to those sites. The Appellate Division found that the order could not be construed as a transportation order as it made no mention of transportation and that</w:t>
      </w:r>
      <w:r w:rsidR="00A27E52">
        <w:rPr>
          <w:rFonts w:ascii="Arial" w:hAnsi="Arial" w:cs="Arial"/>
          <w:color w:val="000000" w:themeColor="text1"/>
          <w:sz w:val="24"/>
          <w:szCs w:val="24"/>
        </w:rPr>
        <w:t>,</w:t>
      </w:r>
      <w:r w:rsidR="00742DD0">
        <w:rPr>
          <w:rFonts w:ascii="Arial" w:hAnsi="Arial" w:cs="Arial"/>
          <w:color w:val="000000" w:themeColor="text1"/>
          <w:sz w:val="24"/>
          <w:szCs w:val="24"/>
        </w:rPr>
        <w:t xml:space="preserve"> if that</w:t>
      </w:r>
      <w:r w:rsidR="00D43BEB">
        <w:rPr>
          <w:rFonts w:ascii="Arial" w:hAnsi="Arial" w:cs="Arial"/>
          <w:color w:val="000000" w:themeColor="text1"/>
          <w:sz w:val="24"/>
          <w:szCs w:val="24"/>
        </w:rPr>
        <w:t xml:space="preserve"> it was </w:t>
      </w:r>
      <w:r w:rsidR="00D43BEB" w:rsidRPr="00742DD0">
        <w:rPr>
          <w:rFonts w:ascii="Arial" w:hAnsi="Arial" w:cs="Arial"/>
          <w:color w:val="000000" w:themeColor="text1"/>
          <w:sz w:val="24"/>
          <w:szCs w:val="24"/>
          <w:u w:val="single"/>
        </w:rPr>
        <w:t>intended</w:t>
      </w:r>
      <w:r w:rsidR="00D43BEB">
        <w:rPr>
          <w:rFonts w:ascii="Arial" w:hAnsi="Arial" w:cs="Arial"/>
          <w:color w:val="000000" w:themeColor="text1"/>
          <w:sz w:val="24"/>
          <w:szCs w:val="24"/>
        </w:rPr>
        <w:t xml:space="preserve"> </w:t>
      </w:r>
      <w:r w:rsidR="00742DD0">
        <w:rPr>
          <w:rFonts w:ascii="Arial" w:hAnsi="Arial" w:cs="Arial"/>
          <w:color w:val="000000" w:themeColor="text1"/>
          <w:sz w:val="24"/>
          <w:szCs w:val="24"/>
        </w:rPr>
        <w:t xml:space="preserve">by </w:t>
      </w:r>
      <w:r w:rsidR="00D43BEB">
        <w:rPr>
          <w:rFonts w:ascii="Arial" w:hAnsi="Arial" w:cs="Arial"/>
          <w:color w:val="000000" w:themeColor="text1"/>
          <w:sz w:val="24"/>
          <w:szCs w:val="24"/>
        </w:rPr>
        <w:t>th</w:t>
      </w:r>
      <w:r w:rsidR="00742DD0">
        <w:rPr>
          <w:rFonts w:ascii="Arial" w:hAnsi="Arial" w:cs="Arial"/>
          <w:color w:val="000000" w:themeColor="text1"/>
          <w:sz w:val="24"/>
          <w:szCs w:val="24"/>
        </w:rPr>
        <w:t xml:space="preserve">e court below, it </w:t>
      </w:r>
      <w:r w:rsidR="00B4176D">
        <w:rPr>
          <w:rFonts w:ascii="Arial" w:hAnsi="Arial" w:cs="Arial"/>
          <w:color w:val="000000" w:themeColor="text1"/>
          <w:sz w:val="24"/>
          <w:szCs w:val="24"/>
        </w:rPr>
        <w:t xml:space="preserve">would have set out exactly what each respondent was required to do </w:t>
      </w:r>
      <w:r w:rsidR="00A27E52">
        <w:rPr>
          <w:rFonts w:ascii="Arial" w:hAnsi="Arial" w:cs="Arial"/>
          <w:color w:val="000000" w:themeColor="text1"/>
          <w:sz w:val="24"/>
          <w:szCs w:val="24"/>
        </w:rPr>
        <w:t xml:space="preserve">to transport the applicants back to the site </w:t>
      </w:r>
      <w:r w:rsidR="00B4176D">
        <w:rPr>
          <w:rFonts w:ascii="Arial" w:hAnsi="Arial" w:cs="Arial"/>
          <w:color w:val="000000" w:themeColor="text1"/>
          <w:sz w:val="24"/>
          <w:szCs w:val="24"/>
        </w:rPr>
        <w:t xml:space="preserve">and when to do so and what persons were to be transported and </w:t>
      </w:r>
      <w:r w:rsidR="00742DD0">
        <w:rPr>
          <w:rFonts w:ascii="Arial" w:hAnsi="Arial" w:cs="Arial"/>
          <w:color w:val="000000" w:themeColor="text1"/>
          <w:sz w:val="24"/>
          <w:szCs w:val="24"/>
        </w:rPr>
        <w:t>whether</w:t>
      </w:r>
      <w:r w:rsidR="00B4176D">
        <w:rPr>
          <w:rFonts w:ascii="Arial" w:hAnsi="Arial" w:cs="Arial"/>
          <w:color w:val="000000" w:themeColor="text1"/>
          <w:sz w:val="24"/>
          <w:szCs w:val="24"/>
        </w:rPr>
        <w:t xml:space="preserve"> family members of applicants</w:t>
      </w:r>
      <w:r w:rsidR="00742DD0">
        <w:rPr>
          <w:rFonts w:ascii="Arial" w:hAnsi="Arial" w:cs="Arial"/>
          <w:color w:val="000000" w:themeColor="text1"/>
          <w:sz w:val="24"/>
          <w:szCs w:val="24"/>
        </w:rPr>
        <w:t xml:space="preserve"> were included</w:t>
      </w:r>
      <w:r w:rsidR="00B4176D">
        <w:rPr>
          <w:rFonts w:ascii="Arial" w:hAnsi="Arial" w:cs="Arial"/>
          <w:color w:val="000000" w:themeColor="text1"/>
          <w:sz w:val="24"/>
          <w:szCs w:val="24"/>
        </w:rPr>
        <w:t xml:space="preserve"> and the like. The applicants had also not sought a transportation order. The </w:t>
      </w:r>
      <w:r w:rsidR="00F7055D">
        <w:rPr>
          <w:rFonts w:ascii="Arial" w:hAnsi="Arial" w:cs="Arial"/>
          <w:color w:val="000000" w:themeColor="text1"/>
          <w:sz w:val="24"/>
          <w:szCs w:val="24"/>
        </w:rPr>
        <w:t xml:space="preserve">Appellate </w:t>
      </w:r>
      <w:r w:rsidR="00B4176D">
        <w:rPr>
          <w:rFonts w:ascii="Arial" w:hAnsi="Arial" w:cs="Arial"/>
          <w:color w:val="000000" w:themeColor="text1"/>
          <w:sz w:val="24"/>
          <w:szCs w:val="24"/>
        </w:rPr>
        <w:t xml:space="preserve">Division found that these and other factors listed pointed strongly to the conclusion that there was </w:t>
      </w:r>
      <w:r w:rsidR="00B4176D" w:rsidRPr="00A27E52">
        <w:rPr>
          <w:rFonts w:ascii="Arial" w:hAnsi="Arial" w:cs="Arial"/>
          <w:color w:val="000000" w:themeColor="text1"/>
          <w:sz w:val="24"/>
          <w:szCs w:val="24"/>
          <w:u w:val="single"/>
        </w:rPr>
        <w:t>no intention</w:t>
      </w:r>
      <w:r w:rsidR="00B4176D">
        <w:rPr>
          <w:rFonts w:ascii="Arial" w:hAnsi="Arial" w:cs="Arial"/>
          <w:color w:val="000000" w:themeColor="text1"/>
          <w:sz w:val="24"/>
          <w:szCs w:val="24"/>
        </w:rPr>
        <w:t xml:space="preserve"> on the part of the trial judge to make a transportation order. The conclusion </w:t>
      </w:r>
      <w:r w:rsidR="00742DD0">
        <w:rPr>
          <w:rFonts w:ascii="Arial" w:hAnsi="Arial" w:cs="Arial"/>
          <w:color w:val="000000" w:themeColor="text1"/>
          <w:sz w:val="24"/>
          <w:szCs w:val="24"/>
        </w:rPr>
        <w:t xml:space="preserve">by that court </w:t>
      </w:r>
      <w:r w:rsidR="00B4176D">
        <w:rPr>
          <w:rFonts w:ascii="Arial" w:hAnsi="Arial" w:cs="Arial"/>
          <w:color w:val="000000" w:themeColor="text1"/>
          <w:sz w:val="24"/>
          <w:szCs w:val="24"/>
        </w:rPr>
        <w:t xml:space="preserve">as to the order being clear and unambiguous was made after interpreting the reasons to establish the intention of the court below in accordance with </w:t>
      </w:r>
      <w:r w:rsidR="00B4176D">
        <w:rPr>
          <w:rFonts w:ascii="Arial" w:hAnsi="Arial" w:cs="Arial"/>
          <w:i/>
          <w:color w:val="000000" w:themeColor="text1"/>
          <w:sz w:val="24"/>
          <w:szCs w:val="24"/>
        </w:rPr>
        <w:t>Firestone</w:t>
      </w:r>
      <w:r w:rsidR="00B4176D">
        <w:rPr>
          <w:rFonts w:ascii="Arial" w:hAnsi="Arial" w:cs="Arial"/>
          <w:color w:val="000000" w:themeColor="text1"/>
          <w:sz w:val="24"/>
          <w:szCs w:val="24"/>
        </w:rPr>
        <w:t xml:space="preserve"> and the approach articulated at the outset</w:t>
      </w:r>
      <w:r w:rsidR="00742DD0">
        <w:rPr>
          <w:rFonts w:ascii="Arial" w:hAnsi="Arial" w:cs="Arial"/>
          <w:color w:val="000000" w:themeColor="text1"/>
          <w:sz w:val="24"/>
          <w:szCs w:val="24"/>
        </w:rPr>
        <w:t xml:space="preserve"> of its own judgment</w:t>
      </w:r>
      <w:r w:rsidR="00B4176D">
        <w:rPr>
          <w:rFonts w:ascii="Arial" w:hAnsi="Arial" w:cs="Arial"/>
          <w:color w:val="000000" w:themeColor="text1"/>
          <w:sz w:val="24"/>
          <w:szCs w:val="24"/>
        </w:rPr>
        <w:t xml:space="preserve">. </w:t>
      </w:r>
    </w:p>
    <w:p w:rsidR="00742DD0" w:rsidRDefault="00742DD0" w:rsidP="00742DD0">
      <w:pPr>
        <w:pStyle w:val="NoSpacing"/>
        <w:spacing w:line="480" w:lineRule="auto"/>
        <w:jc w:val="both"/>
        <w:rPr>
          <w:rFonts w:ascii="Arial" w:hAnsi="Arial" w:cs="Arial"/>
          <w:color w:val="000000" w:themeColor="text1"/>
          <w:sz w:val="24"/>
          <w:szCs w:val="24"/>
        </w:rPr>
      </w:pPr>
    </w:p>
    <w:p w:rsidR="00B4176D" w:rsidRPr="008D2029" w:rsidRDefault="008E7528" w:rsidP="008E7528">
      <w:pPr>
        <w:pStyle w:val="NoSpacing"/>
        <w:spacing w:line="480" w:lineRule="auto"/>
        <w:jc w:val="both"/>
        <w:rPr>
          <w:rFonts w:ascii="Arial" w:hAnsi="Arial" w:cs="Arial"/>
          <w:color w:val="000000" w:themeColor="text1"/>
          <w:sz w:val="24"/>
          <w:szCs w:val="24"/>
        </w:rPr>
      </w:pPr>
      <w:r w:rsidRPr="008D2029">
        <w:rPr>
          <w:rFonts w:ascii="Arial" w:hAnsi="Arial" w:cs="Arial"/>
          <w:color w:val="000000" w:themeColor="text1"/>
          <w:sz w:val="24"/>
          <w:szCs w:val="24"/>
        </w:rPr>
        <w:t>[45]</w:t>
      </w:r>
      <w:r w:rsidRPr="008D2029">
        <w:rPr>
          <w:rFonts w:ascii="Arial" w:hAnsi="Arial" w:cs="Arial"/>
          <w:color w:val="000000" w:themeColor="text1"/>
          <w:sz w:val="24"/>
          <w:szCs w:val="24"/>
        </w:rPr>
        <w:tab/>
      </w:r>
      <w:r w:rsidR="00B4176D">
        <w:rPr>
          <w:rFonts w:ascii="Arial" w:hAnsi="Arial" w:cs="Arial"/>
          <w:color w:val="000000" w:themeColor="text1"/>
          <w:sz w:val="24"/>
          <w:szCs w:val="24"/>
        </w:rPr>
        <w:t>It follow</w:t>
      </w:r>
      <w:r w:rsidR="00742DD0">
        <w:rPr>
          <w:rFonts w:ascii="Arial" w:hAnsi="Arial" w:cs="Arial"/>
          <w:color w:val="000000" w:themeColor="text1"/>
          <w:sz w:val="24"/>
          <w:szCs w:val="24"/>
        </w:rPr>
        <w:t>s</w:t>
      </w:r>
      <w:r w:rsidR="00B4176D">
        <w:rPr>
          <w:rFonts w:ascii="Arial" w:hAnsi="Arial" w:cs="Arial"/>
          <w:color w:val="000000" w:themeColor="text1"/>
          <w:sz w:val="24"/>
          <w:szCs w:val="24"/>
        </w:rPr>
        <w:t xml:space="preserve"> that the statement in </w:t>
      </w:r>
      <w:r w:rsidR="00C66F24">
        <w:rPr>
          <w:rFonts w:ascii="Arial" w:hAnsi="Arial" w:cs="Arial"/>
          <w:i/>
          <w:color w:val="000000" w:themeColor="text1"/>
          <w:sz w:val="24"/>
          <w:szCs w:val="24"/>
        </w:rPr>
        <w:t>Administrator, Cape,</w:t>
      </w:r>
      <w:r w:rsidR="00B4176D">
        <w:rPr>
          <w:rFonts w:ascii="Arial" w:hAnsi="Arial" w:cs="Arial"/>
          <w:color w:val="000000" w:themeColor="text1"/>
          <w:sz w:val="24"/>
          <w:szCs w:val="24"/>
        </w:rPr>
        <w:t xml:space="preserve"> </w:t>
      </w:r>
      <w:r w:rsidR="00373028">
        <w:rPr>
          <w:rFonts w:ascii="Arial" w:hAnsi="Arial" w:cs="Arial"/>
          <w:color w:val="000000" w:themeColor="text1"/>
          <w:sz w:val="24"/>
          <w:szCs w:val="24"/>
        </w:rPr>
        <w:t xml:space="preserve">relied upon by MTC </w:t>
      </w:r>
      <w:r w:rsidR="00B4176D">
        <w:rPr>
          <w:rFonts w:ascii="Arial" w:hAnsi="Arial" w:cs="Arial"/>
          <w:color w:val="000000" w:themeColor="text1"/>
          <w:sz w:val="24"/>
          <w:szCs w:val="24"/>
        </w:rPr>
        <w:t>is taken out of the context of that court’s judgment and is not authority for the proposition that if an order is clear, the ratio and reasoning of the court are to be ignored</w:t>
      </w:r>
      <w:r w:rsidR="00A27E52">
        <w:rPr>
          <w:rFonts w:ascii="Arial" w:hAnsi="Arial" w:cs="Arial"/>
          <w:color w:val="000000" w:themeColor="text1"/>
          <w:sz w:val="24"/>
          <w:szCs w:val="24"/>
        </w:rPr>
        <w:t xml:space="preserve"> as MTC would have it</w:t>
      </w:r>
      <w:r w:rsidR="00B4176D">
        <w:rPr>
          <w:rFonts w:ascii="Arial" w:hAnsi="Arial" w:cs="Arial"/>
          <w:color w:val="000000" w:themeColor="text1"/>
          <w:sz w:val="24"/>
          <w:szCs w:val="24"/>
        </w:rPr>
        <w:t xml:space="preserve">. Whether the order is clear and unambiguous is </w:t>
      </w:r>
      <w:r w:rsidR="00A27E52">
        <w:rPr>
          <w:rFonts w:ascii="Arial" w:hAnsi="Arial" w:cs="Arial"/>
          <w:color w:val="000000" w:themeColor="text1"/>
          <w:sz w:val="24"/>
          <w:szCs w:val="24"/>
        </w:rPr>
        <w:t xml:space="preserve">thus </w:t>
      </w:r>
      <w:r w:rsidR="00B4176D">
        <w:rPr>
          <w:rFonts w:ascii="Arial" w:hAnsi="Arial" w:cs="Arial"/>
          <w:color w:val="000000" w:themeColor="text1"/>
          <w:sz w:val="24"/>
          <w:szCs w:val="24"/>
        </w:rPr>
        <w:t xml:space="preserve">to be </w:t>
      </w:r>
      <w:r w:rsidR="00A27E52">
        <w:rPr>
          <w:rFonts w:ascii="Arial" w:hAnsi="Arial" w:cs="Arial"/>
          <w:color w:val="000000" w:themeColor="text1"/>
          <w:sz w:val="24"/>
          <w:szCs w:val="24"/>
        </w:rPr>
        <w:t xml:space="preserve">first </w:t>
      </w:r>
      <w:r w:rsidR="00B4176D">
        <w:rPr>
          <w:rFonts w:ascii="Arial" w:hAnsi="Arial" w:cs="Arial"/>
          <w:color w:val="000000" w:themeColor="text1"/>
          <w:sz w:val="24"/>
          <w:szCs w:val="24"/>
        </w:rPr>
        <w:t xml:space="preserve">determined in </w:t>
      </w:r>
      <w:r w:rsidR="00A27E52">
        <w:rPr>
          <w:rFonts w:ascii="Arial" w:hAnsi="Arial" w:cs="Arial"/>
          <w:color w:val="000000" w:themeColor="text1"/>
          <w:sz w:val="24"/>
          <w:szCs w:val="24"/>
        </w:rPr>
        <w:t xml:space="preserve">the </w:t>
      </w:r>
      <w:r w:rsidR="00B4176D">
        <w:rPr>
          <w:rFonts w:ascii="Arial" w:hAnsi="Arial" w:cs="Arial"/>
          <w:color w:val="000000" w:themeColor="text1"/>
          <w:sz w:val="24"/>
          <w:szCs w:val="24"/>
        </w:rPr>
        <w:t xml:space="preserve">context of the judgment and reasons. The position in </w:t>
      </w:r>
      <w:r w:rsidR="00C66F24">
        <w:rPr>
          <w:rFonts w:ascii="Arial" w:hAnsi="Arial" w:cs="Arial"/>
          <w:i/>
          <w:color w:val="000000" w:themeColor="text1"/>
          <w:sz w:val="24"/>
          <w:szCs w:val="24"/>
        </w:rPr>
        <w:t>Administrator, Cape,</w:t>
      </w:r>
      <w:r w:rsidR="008D2029">
        <w:rPr>
          <w:rFonts w:ascii="Arial" w:hAnsi="Arial" w:cs="Arial"/>
          <w:color w:val="000000" w:themeColor="text1"/>
          <w:sz w:val="24"/>
          <w:szCs w:val="24"/>
        </w:rPr>
        <w:t xml:space="preserve"> is moreover u</w:t>
      </w:r>
      <w:r w:rsidR="00B4176D" w:rsidRPr="008D2029">
        <w:rPr>
          <w:rFonts w:ascii="Arial" w:hAnsi="Arial" w:cs="Arial"/>
          <w:color w:val="000000" w:themeColor="text1"/>
          <w:sz w:val="24"/>
          <w:szCs w:val="24"/>
        </w:rPr>
        <w:t xml:space="preserve">nlike the present position </w:t>
      </w:r>
      <w:r w:rsidR="00A27E52">
        <w:rPr>
          <w:rFonts w:ascii="Arial" w:hAnsi="Arial" w:cs="Arial"/>
          <w:color w:val="000000" w:themeColor="text1"/>
          <w:sz w:val="24"/>
          <w:szCs w:val="24"/>
        </w:rPr>
        <w:t>where</w:t>
      </w:r>
      <w:r w:rsidR="00B4176D" w:rsidRPr="008D2029">
        <w:rPr>
          <w:rFonts w:ascii="Arial" w:hAnsi="Arial" w:cs="Arial"/>
          <w:color w:val="000000" w:themeColor="text1"/>
          <w:sz w:val="24"/>
          <w:szCs w:val="24"/>
        </w:rPr>
        <w:t xml:space="preserve"> a date </w:t>
      </w:r>
      <w:r w:rsidR="00A27E52">
        <w:rPr>
          <w:rFonts w:ascii="Arial" w:hAnsi="Arial" w:cs="Arial"/>
          <w:color w:val="000000" w:themeColor="text1"/>
          <w:sz w:val="24"/>
          <w:szCs w:val="24"/>
        </w:rPr>
        <w:t xml:space="preserve">is </w:t>
      </w:r>
      <w:r w:rsidR="00B4176D" w:rsidRPr="008D2029">
        <w:rPr>
          <w:rFonts w:ascii="Arial" w:hAnsi="Arial" w:cs="Arial"/>
          <w:color w:val="000000" w:themeColor="text1"/>
          <w:sz w:val="24"/>
          <w:szCs w:val="24"/>
        </w:rPr>
        <w:t>giv</w:t>
      </w:r>
      <w:r w:rsidR="00742DD0">
        <w:rPr>
          <w:rFonts w:ascii="Arial" w:hAnsi="Arial" w:cs="Arial"/>
          <w:color w:val="000000" w:themeColor="text1"/>
          <w:sz w:val="24"/>
          <w:szCs w:val="24"/>
        </w:rPr>
        <w:t>en</w:t>
      </w:r>
      <w:r w:rsidR="00B4176D" w:rsidRPr="008D2029">
        <w:rPr>
          <w:rFonts w:ascii="Arial" w:hAnsi="Arial" w:cs="Arial"/>
          <w:color w:val="000000" w:themeColor="text1"/>
          <w:sz w:val="24"/>
          <w:szCs w:val="24"/>
        </w:rPr>
        <w:t xml:space="preserve"> from when the </w:t>
      </w:r>
      <w:r w:rsidR="00CF08D9" w:rsidRPr="008D2029">
        <w:rPr>
          <w:rFonts w:ascii="Arial" w:hAnsi="Arial" w:cs="Arial"/>
          <w:color w:val="000000" w:themeColor="text1"/>
          <w:sz w:val="24"/>
          <w:szCs w:val="24"/>
        </w:rPr>
        <w:t xml:space="preserve">invalidity of a provision is to apply. That date is referenced to ‘the </w:t>
      </w:r>
      <w:r w:rsidR="00CF08D9" w:rsidRPr="008D2029">
        <w:rPr>
          <w:rFonts w:ascii="Arial" w:hAnsi="Arial" w:cs="Arial"/>
          <w:color w:val="000000" w:themeColor="text1"/>
          <w:sz w:val="24"/>
          <w:szCs w:val="24"/>
        </w:rPr>
        <w:lastRenderedPageBreak/>
        <w:t>judgment of this court’ in the order given</w:t>
      </w:r>
      <w:r w:rsidR="00742DD0">
        <w:rPr>
          <w:rFonts w:ascii="Arial" w:hAnsi="Arial" w:cs="Arial"/>
          <w:color w:val="000000" w:themeColor="text1"/>
          <w:sz w:val="24"/>
          <w:szCs w:val="24"/>
        </w:rPr>
        <w:t xml:space="preserve"> by this court</w:t>
      </w:r>
      <w:r w:rsidR="00CF08D9" w:rsidRPr="008D2029">
        <w:rPr>
          <w:rFonts w:ascii="Arial" w:hAnsi="Arial" w:cs="Arial"/>
          <w:color w:val="000000" w:themeColor="text1"/>
          <w:sz w:val="24"/>
          <w:szCs w:val="24"/>
        </w:rPr>
        <w:t xml:space="preserve"> to replace the High Court’s judgment.</w:t>
      </w:r>
      <w:r w:rsidR="00265CF9">
        <w:rPr>
          <w:rFonts w:ascii="Arial" w:hAnsi="Arial" w:cs="Arial"/>
          <w:color w:val="000000" w:themeColor="text1"/>
          <w:sz w:val="24"/>
          <w:szCs w:val="24"/>
        </w:rPr>
        <w:t xml:space="preserve"> Once the intention of th</w:t>
      </w:r>
      <w:r w:rsidR="00A27E52">
        <w:rPr>
          <w:rFonts w:ascii="Arial" w:hAnsi="Arial" w:cs="Arial"/>
          <w:color w:val="000000" w:themeColor="text1"/>
          <w:sz w:val="24"/>
          <w:szCs w:val="24"/>
        </w:rPr>
        <w:t>is</w:t>
      </w:r>
      <w:r w:rsidR="00265CF9">
        <w:rPr>
          <w:rFonts w:ascii="Arial" w:hAnsi="Arial" w:cs="Arial"/>
          <w:color w:val="000000" w:themeColor="text1"/>
          <w:sz w:val="24"/>
          <w:szCs w:val="24"/>
        </w:rPr>
        <w:t xml:space="preserve"> court is ascertained, as had occurred in </w:t>
      </w:r>
      <w:r w:rsidR="00C66F24">
        <w:rPr>
          <w:rFonts w:ascii="Arial" w:hAnsi="Arial" w:cs="Arial"/>
          <w:i/>
          <w:color w:val="000000" w:themeColor="text1"/>
          <w:sz w:val="24"/>
          <w:szCs w:val="24"/>
        </w:rPr>
        <w:t>Administrator, Cape,</w:t>
      </w:r>
      <w:r w:rsidR="00265CF9">
        <w:rPr>
          <w:rFonts w:ascii="Arial" w:hAnsi="Arial" w:cs="Arial"/>
          <w:color w:val="000000" w:themeColor="text1"/>
          <w:sz w:val="24"/>
          <w:szCs w:val="24"/>
        </w:rPr>
        <w:t xml:space="preserve"> it becomes clear that the date of the judgment of this court </w:t>
      </w:r>
      <w:r w:rsidR="00A27E52">
        <w:rPr>
          <w:rFonts w:ascii="Arial" w:hAnsi="Arial" w:cs="Arial"/>
          <w:color w:val="000000" w:themeColor="text1"/>
          <w:sz w:val="24"/>
          <w:szCs w:val="24"/>
        </w:rPr>
        <w:t xml:space="preserve">in that order </w:t>
      </w:r>
      <w:r w:rsidR="00265CF9">
        <w:rPr>
          <w:rFonts w:ascii="Arial" w:hAnsi="Arial" w:cs="Arial"/>
          <w:color w:val="000000" w:themeColor="text1"/>
          <w:sz w:val="24"/>
          <w:szCs w:val="24"/>
        </w:rPr>
        <w:t>means precisely that – the date of the judgment of the Supreme Court. This interpretation becomes clear by following the established test for interpreting judgments or orders and does not entail any word-changing or reading-in as contended on behalf of MTC.</w:t>
      </w:r>
    </w:p>
    <w:p w:rsidR="008B750C" w:rsidRDefault="008B750C" w:rsidP="008B750C">
      <w:pPr>
        <w:pStyle w:val="ListParagraph"/>
        <w:rPr>
          <w:rFonts w:ascii="Arial" w:hAnsi="Arial" w:cs="Arial"/>
          <w:color w:val="000000" w:themeColor="text1"/>
          <w:sz w:val="24"/>
          <w:szCs w:val="24"/>
        </w:rPr>
      </w:pPr>
    </w:p>
    <w:p w:rsidR="008B750C"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8B750C">
        <w:rPr>
          <w:rFonts w:ascii="Arial" w:hAnsi="Arial" w:cs="Arial"/>
          <w:color w:val="000000" w:themeColor="text1"/>
          <w:sz w:val="24"/>
          <w:szCs w:val="24"/>
        </w:rPr>
        <w:t xml:space="preserve">The admonition given by this court in </w:t>
      </w:r>
      <w:r w:rsidR="008B750C">
        <w:rPr>
          <w:rFonts w:ascii="Arial" w:hAnsi="Arial" w:cs="Arial"/>
          <w:i/>
          <w:color w:val="000000" w:themeColor="text1"/>
          <w:sz w:val="24"/>
          <w:szCs w:val="24"/>
        </w:rPr>
        <w:t>Fischer</w:t>
      </w:r>
      <w:r w:rsidR="008B750C" w:rsidRPr="008B750C">
        <w:rPr>
          <w:rStyle w:val="FootnoteReference"/>
          <w:rFonts w:ascii="Arial" w:hAnsi="Arial" w:cs="Arial"/>
          <w:color w:val="000000" w:themeColor="text1"/>
          <w:sz w:val="24"/>
          <w:szCs w:val="24"/>
        </w:rPr>
        <w:footnoteReference w:id="20"/>
      </w:r>
      <w:r w:rsidR="008B750C">
        <w:rPr>
          <w:rFonts w:ascii="Arial" w:hAnsi="Arial" w:cs="Arial"/>
          <w:i/>
          <w:color w:val="000000" w:themeColor="text1"/>
          <w:sz w:val="24"/>
          <w:szCs w:val="24"/>
        </w:rPr>
        <w:t xml:space="preserve"> </w:t>
      </w:r>
      <w:r w:rsidR="008B750C">
        <w:rPr>
          <w:rFonts w:ascii="Arial" w:hAnsi="Arial" w:cs="Arial"/>
          <w:color w:val="000000" w:themeColor="text1"/>
          <w:sz w:val="24"/>
          <w:szCs w:val="24"/>
        </w:rPr>
        <w:t>that the meaning of the order is to be ascertained in context and not semantically without regard to the context</w:t>
      </w:r>
      <w:r w:rsidR="00393708">
        <w:rPr>
          <w:rFonts w:ascii="Arial" w:hAnsi="Arial" w:cs="Arial"/>
          <w:color w:val="000000" w:themeColor="text1"/>
          <w:sz w:val="24"/>
          <w:szCs w:val="24"/>
        </w:rPr>
        <w:t xml:space="preserve"> should have been heeded</w:t>
      </w:r>
      <w:r w:rsidR="008B750C">
        <w:rPr>
          <w:rFonts w:ascii="Arial" w:hAnsi="Arial" w:cs="Arial"/>
          <w:color w:val="000000" w:themeColor="text1"/>
          <w:sz w:val="24"/>
          <w:szCs w:val="24"/>
        </w:rPr>
        <w:t>.</w:t>
      </w:r>
    </w:p>
    <w:p w:rsidR="008B750C" w:rsidRDefault="008B750C" w:rsidP="008B750C">
      <w:pPr>
        <w:pStyle w:val="ListParagraph"/>
        <w:rPr>
          <w:rFonts w:ascii="Arial" w:hAnsi="Arial" w:cs="Arial"/>
          <w:color w:val="000000" w:themeColor="text1"/>
          <w:sz w:val="24"/>
          <w:szCs w:val="24"/>
        </w:rPr>
      </w:pPr>
    </w:p>
    <w:p w:rsidR="008B750C"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[47]</w:t>
      </w:r>
      <w:r w:rsidRPr="000B2339">
        <w:rPr>
          <w:rFonts w:ascii="Arial" w:hAnsi="Arial" w:cs="Arial"/>
          <w:color w:val="000000" w:themeColor="text1"/>
          <w:sz w:val="24"/>
          <w:szCs w:val="24"/>
        </w:rPr>
        <w:tab/>
      </w:r>
      <w:r w:rsidR="008B750C">
        <w:rPr>
          <w:rFonts w:ascii="Arial" w:hAnsi="Arial" w:cs="Arial"/>
          <w:color w:val="000000" w:themeColor="text1"/>
          <w:sz w:val="24"/>
          <w:szCs w:val="24"/>
        </w:rPr>
        <w:t>It follows that the appeal should succeed</w:t>
      </w:r>
      <w:r w:rsidR="00742DD0">
        <w:rPr>
          <w:rFonts w:ascii="Arial" w:hAnsi="Arial" w:cs="Arial"/>
          <w:color w:val="000000" w:themeColor="text1"/>
          <w:sz w:val="24"/>
          <w:szCs w:val="24"/>
        </w:rPr>
        <w:t xml:space="preserve"> and the exception should have been dismissed</w:t>
      </w:r>
      <w:r w:rsidR="008B750C">
        <w:rPr>
          <w:rFonts w:ascii="Arial" w:hAnsi="Arial" w:cs="Arial"/>
          <w:color w:val="000000" w:themeColor="text1"/>
          <w:sz w:val="24"/>
          <w:szCs w:val="24"/>
        </w:rPr>
        <w:t>.</w:t>
      </w:r>
    </w:p>
    <w:p w:rsidR="00B93393" w:rsidRDefault="00B93393" w:rsidP="008B750C">
      <w:pPr>
        <w:rPr>
          <w:rFonts w:ascii="Arial" w:hAnsi="Arial" w:cs="Arial"/>
          <w:color w:val="000000" w:themeColor="text1"/>
          <w:sz w:val="24"/>
          <w:szCs w:val="24"/>
          <w:u w:val="single"/>
        </w:rPr>
      </w:pPr>
    </w:p>
    <w:p w:rsidR="008B750C" w:rsidRPr="008B750C" w:rsidRDefault="008B750C" w:rsidP="008B750C">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Costs </w:t>
      </w:r>
    </w:p>
    <w:p w:rsidR="00D43BEB"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D43BEB">
        <w:rPr>
          <w:rFonts w:ascii="Arial" w:hAnsi="Arial" w:cs="Arial"/>
          <w:color w:val="000000" w:themeColor="text1"/>
          <w:sz w:val="24"/>
          <w:szCs w:val="24"/>
        </w:rPr>
        <w:t>Both</w:t>
      </w:r>
      <w:r w:rsidR="008B750C">
        <w:rPr>
          <w:rFonts w:ascii="Arial" w:hAnsi="Arial" w:cs="Arial"/>
          <w:color w:val="000000" w:themeColor="text1"/>
          <w:sz w:val="24"/>
          <w:szCs w:val="24"/>
        </w:rPr>
        <w:t xml:space="preserve"> parties had in the court below requested the court in its discretion not to apply the costs cap imposed by rule 32(11) of the High Court rules. That sub-rule limits the total costs to be awarded in interlocutory proceedings to N$20</w:t>
      </w:r>
      <w:r w:rsidR="00384FD6">
        <w:rPr>
          <w:rFonts w:ascii="Arial" w:hAnsi="Arial" w:cs="Arial"/>
          <w:color w:val="000000" w:themeColor="text1"/>
          <w:sz w:val="24"/>
          <w:szCs w:val="24"/>
        </w:rPr>
        <w:t xml:space="preserve"> </w:t>
      </w:r>
      <w:r w:rsidR="008B750C">
        <w:rPr>
          <w:rFonts w:ascii="Arial" w:hAnsi="Arial" w:cs="Arial"/>
          <w:color w:val="000000" w:themeColor="text1"/>
          <w:sz w:val="24"/>
          <w:szCs w:val="24"/>
        </w:rPr>
        <w:t xml:space="preserve">000. The parties were again </w:t>
      </w:r>
      <w:r w:rsidR="00D43BEB">
        <w:rPr>
          <w:rFonts w:ascii="Arial" w:hAnsi="Arial" w:cs="Arial"/>
          <w:color w:val="000000" w:themeColor="text1"/>
          <w:sz w:val="24"/>
          <w:szCs w:val="24"/>
        </w:rPr>
        <w:t>in agreement</w:t>
      </w:r>
      <w:r w:rsidR="008B750C">
        <w:rPr>
          <w:rFonts w:ascii="Arial" w:hAnsi="Arial" w:cs="Arial"/>
          <w:color w:val="000000" w:themeColor="text1"/>
          <w:sz w:val="24"/>
          <w:szCs w:val="24"/>
        </w:rPr>
        <w:t xml:space="preserve"> in this court that the court below should not have found</w:t>
      </w:r>
      <w:r w:rsidR="00D43BEB">
        <w:rPr>
          <w:rFonts w:ascii="Arial" w:hAnsi="Arial" w:cs="Arial"/>
          <w:color w:val="000000" w:themeColor="text1"/>
          <w:sz w:val="24"/>
          <w:szCs w:val="24"/>
        </w:rPr>
        <w:t xml:space="preserve"> that </w:t>
      </w:r>
      <w:r w:rsidR="008B750C">
        <w:rPr>
          <w:rFonts w:ascii="Arial" w:hAnsi="Arial" w:cs="Arial"/>
          <w:color w:val="000000" w:themeColor="text1"/>
          <w:sz w:val="24"/>
          <w:szCs w:val="24"/>
        </w:rPr>
        <w:t xml:space="preserve">the costs cap in rule 32(11) should be applied. </w:t>
      </w:r>
    </w:p>
    <w:p w:rsidR="00D43BEB" w:rsidRDefault="00D43BEB" w:rsidP="00D43BEB">
      <w:pPr>
        <w:pStyle w:val="NoSpacing"/>
        <w:spacing w:line="480" w:lineRule="auto"/>
        <w:jc w:val="both"/>
        <w:rPr>
          <w:rFonts w:ascii="Arial" w:hAnsi="Arial" w:cs="Arial"/>
          <w:color w:val="000000" w:themeColor="text1"/>
          <w:sz w:val="24"/>
          <w:szCs w:val="24"/>
        </w:rPr>
      </w:pPr>
    </w:p>
    <w:p w:rsidR="00C41E63"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[49]</w:t>
      </w:r>
      <w:r w:rsidRPr="000B2339">
        <w:rPr>
          <w:rFonts w:ascii="Arial" w:hAnsi="Arial" w:cs="Arial"/>
          <w:color w:val="000000" w:themeColor="text1"/>
          <w:sz w:val="24"/>
          <w:szCs w:val="24"/>
        </w:rPr>
        <w:tab/>
      </w:r>
      <w:r w:rsidR="008B750C">
        <w:rPr>
          <w:rFonts w:ascii="Arial" w:hAnsi="Arial" w:cs="Arial"/>
          <w:color w:val="000000" w:themeColor="text1"/>
          <w:sz w:val="24"/>
          <w:szCs w:val="24"/>
        </w:rPr>
        <w:t>The rationale behind the rule</w:t>
      </w:r>
      <w:r w:rsidR="00D43BEB">
        <w:rPr>
          <w:rFonts w:ascii="Arial" w:hAnsi="Arial" w:cs="Arial"/>
          <w:color w:val="000000" w:themeColor="text1"/>
          <w:sz w:val="24"/>
          <w:szCs w:val="24"/>
        </w:rPr>
        <w:t xml:space="preserve"> 32(11)</w:t>
      </w:r>
      <w:r w:rsidR="00742DD0">
        <w:rPr>
          <w:rFonts w:ascii="Arial" w:hAnsi="Arial" w:cs="Arial"/>
          <w:color w:val="000000" w:themeColor="text1"/>
          <w:sz w:val="24"/>
          <w:szCs w:val="24"/>
        </w:rPr>
        <w:t xml:space="preserve"> i</w:t>
      </w:r>
      <w:r w:rsidR="008B750C">
        <w:rPr>
          <w:rFonts w:ascii="Arial" w:hAnsi="Arial" w:cs="Arial"/>
          <w:color w:val="000000" w:themeColor="text1"/>
          <w:sz w:val="24"/>
          <w:szCs w:val="24"/>
        </w:rPr>
        <w:t xml:space="preserve">s explained by the Judge-President in </w:t>
      </w:r>
      <w:r w:rsidR="008B750C">
        <w:rPr>
          <w:rFonts w:ascii="Arial" w:hAnsi="Arial" w:cs="Arial"/>
          <w:i/>
          <w:color w:val="000000" w:themeColor="text1"/>
          <w:sz w:val="24"/>
          <w:szCs w:val="24"/>
        </w:rPr>
        <w:t>South African Poultry Association</w:t>
      </w:r>
      <w:r w:rsidR="00B93393">
        <w:rPr>
          <w:rFonts w:ascii="Arial" w:hAnsi="Arial" w:cs="Arial"/>
          <w:i/>
          <w:color w:val="000000" w:themeColor="text1"/>
          <w:sz w:val="24"/>
          <w:szCs w:val="24"/>
        </w:rPr>
        <w:t xml:space="preserve"> &amp; others</w:t>
      </w:r>
      <w:r w:rsidR="008B750C">
        <w:rPr>
          <w:rFonts w:ascii="Arial" w:hAnsi="Arial" w:cs="Arial"/>
          <w:i/>
          <w:color w:val="000000" w:themeColor="text1"/>
          <w:sz w:val="24"/>
          <w:szCs w:val="24"/>
        </w:rPr>
        <w:t xml:space="preserve"> v Ministry of Trade and Industry</w:t>
      </w:r>
      <w:r w:rsidR="00B93393">
        <w:rPr>
          <w:rFonts w:ascii="Arial" w:hAnsi="Arial" w:cs="Arial"/>
          <w:i/>
          <w:color w:val="000000" w:themeColor="text1"/>
          <w:sz w:val="24"/>
          <w:szCs w:val="24"/>
        </w:rPr>
        <w:t xml:space="preserve"> others </w:t>
      </w:r>
      <w:r w:rsidR="00B93393">
        <w:rPr>
          <w:rFonts w:ascii="Arial" w:hAnsi="Arial" w:cs="Arial"/>
          <w:i/>
          <w:color w:val="000000" w:themeColor="text1"/>
          <w:sz w:val="24"/>
          <w:szCs w:val="24"/>
        </w:rPr>
        <w:lastRenderedPageBreak/>
        <w:t>(SAPA)</w:t>
      </w:r>
      <w:r w:rsidR="00742DD0">
        <w:rPr>
          <w:rFonts w:ascii="Arial" w:hAnsi="Arial" w:cs="Arial"/>
          <w:i/>
          <w:color w:val="000000" w:themeColor="text1"/>
          <w:sz w:val="24"/>
          <w:szCs w:val="24"/>
        </w:rPr>
        <w:t>.</w:t>
      </w:r>
      <w:r w:rsidR="00D43BEB" w:rsidRPr="00D43BEB">
        <w:rPr>
          <w:rStyle w:val="FootnoteReference"/>
          <w:rFonts w:ascii="Arial" w:hAnsi="Arial" w:cs="Arial"/>
          <w:color w:val="000000" w:themeColor="text1"/>
          <w:sz w:val="24"/>
          <w:szCs w:val="24"/>
        </w:rPr>
        <w:footnoteReference w:id="21"/>
      </w:r>
      <w:r w:rsidR="008B750C">
        <w:rPr>
          <w:rFonts w:ascii="Arial" w:hAnsi="Arial" w:cs="Arial"/>
          <w:i/>
          <w:color w:val="000000" w:themeColor="text1"/>
          <w:sz w:val="24"/>
          <w:szCs w:val="24"/>
        </w:rPr>
        <w:t xml:space="preserve"> </w:t>
      </w:r>
      <w:r w:rsidR="00742DD0">
        <w:rPr>
          <w:rFonts w:ascii="Arial" w:hAnsi="Arial" w:cs="Arial"/>
          <w:color w:val="000000" w:themeColor="text1"/>
          <w:sz w:val="24"/>
          <w:szCs w:val="24"/>
        </w:rPr>
        <w:t xml:space="preserve">It </w:t>
      </w:r>
      <w:r w:rsidR="008B750C">
        <w:rPr>
          <w:rFonts w:ascii="Arial" w:hAnsi="Arial" w:cs="Arial"/>
          <w:color w:val="000000" w:themeColor="text1"/>
          <w:sz w:val="24"/>
          <w:szCs w:val="24"/>
        </w:rPr>
        <w:t>is to discourage a multiplicity of interlocutory motions which often increase costs and hamper the court from speedily getting t</w:t>
      </w:r>
      <w:r w:rsidR="009022B5">
        <w:rPr>
          <w:rFonts w:ascii="Arial" w:hAnsi="Arial" w:cs="Arial"/>
          <w:color w:val="000000" w:themeColor="text1"/>
          <w:sz w:val="24"/>
          <w:szCs w:val="24"/>
        </w:rPr>
        <w:t>o the real disputes in the case.</w:t>
      </w:r>
      <w:r w:rsidR="00742DD0">
        <w:rPr>
          <w:rStyle w:val="FootnoteReference"/>
          <w:rFonts w:ascii="Arial" w:hAnsi="Arial" w:cs="Arial"/>
          <w:color w:val="000000" w:themeColor="text1"/>
          <w:sz w:val="24"/>
          <w:szCs w:val="24"/>
        </w:rPr>
        <w:footnoteReference w:id="22"/>
      </w:r>
    </w:p>
    <w:p w:rsidR="00C41E63" w:rsidRPr="000B2339" w:rsidRDefault="00C41E63" w:rsidP="00C41E63">
      <w:pPr>
        <w:pStyle w:val="ListParagraph"/>
        <w:rPr>
          <w:rFonts w:ascii="Arial" w:hAnsi="Arial" w:cs="Arial"/>
          <w:color w:val="000000" w:themeColor="text1"/>
          <w:sz w:val="24"/>
          <w:szCs w:val="24"/>
        </w:rPr>
      </w:pPr>
    </w:p>
    <w:p w:rsidR="00C41E63"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9022B5">
        <w:rPr>
          <w:rFonts w:ascii="Arial" w:hAnsi="Arial" w:cs="Arial"/>
          <w:color w:val="000000" w:themeColor="text1"/>
          <w:sz w:val="24"/>
          <w:szCs w:val="24"/>
        </w:rPr>
        <w:t>This case is a matter of public interest</w:t>
      </w:r>
      <w:r w:rsidR="00A27E52">
        <w:rPr>
          <w:rFonts w:ascii="Arial" w:hAnsi="Arial" w:cs="Arial"/>
          <w:color w:val="000000" w:themeColor="text1"/>
          <w:sz w:val="24"/>
          <w:szCs w:val="24"/>
        </w:rPr>
        <w:t xml:space="preserve"> and considerable importance to the parties </w:t>
      </w:r>
      <w:r w:rsidR="009022B5">
        <w:rPr>
          <w:rFonts w:ascii="Arial" w:hAnsi="Arial" w:cs="Arial"/>
          <w:color w:val="000000" w:themeColor="text1"/>
          <w:sz w:val="24"/>
          <w:szCs w:val="24"/>
        </w:rPr>
        <w:t xml:space="preserve">and the sums involved are </w:t>
      </w:r>
      <w:r w:rsidR="00D43BEB">
        <w:rPr>
          <w:rFonts w:ascii="Arial" w:hAnsi="Arial" w:cs="Arial"/>
          <w:color w:val="000000" w:themeColor="text1"/>
          <w:sz w:val="24"/>
          <w:szCs w:val="24"/>
        </w:rPr>
        <w:t xml:space="preserve">also </w:t>
      </w:r>
      <w:r w:rsidR="009022B5">
        <w:rPr>
          <w:rFonts w:ascii="Arial" w:hAnsi="Arial" w:cs="Arial"/>
          <w:color w:val="000000" w:themeColor="text1"/>
          <w:sz w:val="24"/>
          <w:szCs w:val="24"/>
        </w:rPr>
        <w:t>considerable. Furthermore, another important consideration is the dispositive nature of the exception in the dispute between the parties. Both sides also consider that the costs cap should have been dispensed with.</w:t>
      </w:r>
    </w:p>
    <w:p w:rsidR="009022B5" w:rsidRDefault="009022B5" w:rsidP="009022B5">
      <w:pPr>
        <w:pStyle w:val="ListParagraph"/>
        <w:rPr>
          <w:rFonts w:ascii="Arial" w:hAnsi="Arial" w:cs="Arial"/>
          <w:color w:val="000000" w:themeColor="text1"/>
          <w:sz w:val="24"/>
          <w:szCs w:val="24"/>
        </w:rPr>
      </w:pPr>
    </w:p>
    <w:p w:rsidR="009022B5"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009022B5">
        <w:rPr>
          <w:rFonts w:ascii="Arial" w:hAnsi="Arial" w:cs="Arial"/>
          <w:color w:val="000000" w:themeColor="text1"/>
          <w:sz w:val="24"/>
          <w:szCs w:val="24"/>
        </w:rPr>
        <w:t>In my view, the High Court erred in not taking into account the approach and consideration</w:t>
      </w:r>
      <w:r w:rsidR="00D43BEB">
        <w:rPr>
          <w:rFonts w:ascii="Arial" w:hAnsi="Arial" w:cs="Arial"/>
          <w:color w:val="000000" w:themeColor="text1"/>
          <w:sz w:val="24"/>
          <w:szCs w:val="24"/>
        </w:rPr>
        <w:t>s</w:t>
      </w:r>
      <w:r w:rsidR="009022B5">
        <w:rPr>
          <w:rFonts w:ascii="Arial" w:hAnsi="Arial" w:cs="Arial"/>
          <w:color w:val="000000" w:themeColor="text1"/>
          <w:sz w:val="24"/>
          <w:szCs w:val="24"/>
        </w:rPr>
        <w:t xml:space="preserve"> set out in </w:t>
      </w:r>
      <w:r w:rsidR="00B93393">
        <w:rPr>
          <w:rFonts w:ascii="Arial" w:hAnsi="Arial" w:cs="Arial"/>
          <w:i/>
          <w:color w:val="000000" w:themeColor="text1"/>
          <w:sz w:val="24"/>
          <w:szCs w:val="24"/>
        </w:rPr>
        <w:t xml:space="preserve">SAPA </w:t>
      </w:r>
      <w:r w:rsidR="009022B5">
        <w:rPr>
          <w:rFonts w:ascii="Arial" w:hAnsi="Arial" w:cs="Arial"/>
          <w:color w:val="000000" w:themeColor="text1"/>
          <w:sz w:val="24"/>
          <w:szCs w:val="24"/>
        </w:rPr>
        <w:t>and thus acted upon a wrong principle in the exercise of its discretion in considering the cost</w:t>
      </w:r>
      <w:r w:rsidR="00F7055D">
        <w:rPr>
          <w:rFonts w:ascii="Arial" w:hAnsi="Arial" w:cs="Arial"/>
          <w:color w:val="000000" w:themeColor="text1"/>
          <w:sz w:val="24"/>
          <w:szCs w:val="24"/>
        </w:rPr>
        <w:t>s</w:t>
      </w:r>
      <w:r w:rsidR="009022B5">
        <w:rPr>
          <w:rFonts w:ascii="Arial" w:hAnsi="Arial" w:cs="Arial"/>
          <w:color w:val="000000" w:themeColor="text1"/>
          <w:sz w:val="24"/>
          <w:szCs w:val="24"/>
        </w:rPr>
        <w:t xml:space="preserve"> cap contained in rule 32(11) to be apt. In my view, it should have been dispensed with in the exercise of the court’s discretion.</w:t>
      </w:r>
      <w:r w:rsidR="00D43BEB">
        <w:rPr>
          <w:rFonts w:ascii="Arial" w:hAnsi="Arial" w:cs="Arial"/>
          <w:color w:val="000000" w:themeColor="text1"/>
          <w:sz w:val="24"/>
          <w:szCs w:val="24"/>
        </w:rPr>
        <w:t xml:space="preserve"> </w:t>
      </w:r>
      <w:r w:rsidR="00A27E52">
        <w:rPr>
          <w:rFonts w:ascii="Arial" w:hAnsi="Arial" w:cs="Arial"/>
          <w:color w:val="000000" w:themeColor="text1"/>
          <w:sz w:val="24"/>
          <w:szCs w:val="24"/>
        </w:rPr>
        <w:t>The</w:t>
      </w:r>
      <w:r w:rsidR="00742DD0">
        <w:rPr>
          <w:rFonts w:ascii="Arial" w:hAnsi="Arial" w:cs="Arial"/>
          <w:color w:val="000000" w:themeColor="text1"/>
          <w:sz w:val="24"/>
          <w:szCs w:val="24"/>
        </w:rPr>
        <w:t xml:space="preserve"> cost</w:t>
      </w:r>
      <w:r w:rsidR="00F7055D">
        <w:rPr>
          <w:rFonts w:ascii="Arial" w:hAnsi="Arial" w:cs="Arial"/>
          <w:color w:val="000000" w:themeColor="text1"/>
          <w:sz w:val="24"/>
          <w:szCs w:val="24"/>
        </w:rPr>
        <w:t>s</w:t>
      </w:r>
      <w:r w:rsidR="00D43BEB">
        <w:rPr>
          <w:rFonts w:ascii="Arial" w:hAnsi="Arial" w:cs="Arial"/>
          <w:color w:val="000000" w:themeColor="text1"/>
          <w:sz w:val="24"/>
          <w:szCs w:val="24"/>
        </w:rPr>
        <w:t xml:space="preserve"> award </w:t>
      </w:r>
      <w:r w:rsidR="00742DD0">
        <w:rPr>
          <w:rFonts w:ascii="Arial" w:hAnsi="Arial" w:cs="Arial"/>
          <w:color w:val="000000" w:themeColor="text1"/>
          <w:sz w:val="24"/>
          <w:szCs w:val="24"/>
        </w:rPr>
        <w:t>in the High Court should reflect that</w:t>
      </w:r>
      <w:r w:rsidR="00D43BEB">
        <w:rPr>
          <w:rFonts w:ascii="Arial" w:hAnsi="Arial" w:cs="Arial"/>
          <w:color w:val="000000" w:themeColor="text1"/>
          <w:sz w:val="24"/>
          <w:szCs w:val="24"/>
        </w:rPr>
        <w:t>.</w:t>
      </w:r>
    </w:p>
    <w:p w:rsidR="009022B5" w:rsidRDefault="009022B5" w:rsidP="009022B5">
      <w:pPr>
        <w:pStyle w:val="ListParagraph"/>
        <w:rPr>
          <w:rFonts w:ascii="Arial" w:hAnsi="Arial" w:cs="Arial"/>
          <w:color w:val="000000" w:themeColor="text1"/>
          <w:sz w:val="24"/>
          <w:szCs w:val="24"/>
        </w:rPr>
      </w:pPr>
    </w:p>
    <w:p w:rsidR="009022B5" w:rsidRDefault="008E7528" w:rsidP="008E752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9022B5">
        <w:rPr>
          <w:rFonts w:ascii="Arial" w:hAnsi="Arial" w:cs="Arial"/>
          <w:color w:val="000000" w:themeColor="text1"/>
          <w:sz w:val="24"/>
          <w:szCs w:val="24"/>
        </w:rPr>
        <w:t>As for the costs on appeal, they should follow the result, save for the costs of the application for condonation and reinstatement. Both sides sought the costs of two instructed counsel, where engaged. Given the importance of the matter to the parties</w:t>
      </w:r>
      <w:r w:rsidR="00D43BEB">
        <w:rPr>
          <w:rFonts w:ascii="Arial" w:hAnsi="Arial" w:cs="Arial"/>
          <w:color w:val="000000" w:themeColor="text1"/>
          <w:sz w:val="24"/>
          <w:szCs w:val="24"/>
        </w:rPr>
        <w:t xml:space="preserve"> and the issues raised by it</w:t>
      </w:r>
      <w:r w:rsidR="009022B5">
        <w:rPr>
          <w:rFonts w:ascii="Arial" w:hAnsi="Arial" w:cs="Arial"/>
          <w:color w:val="000000" w:themeColor="text1"/>
          <w:sz w:val="24"/>
          <w:szCs w:val="24"/>
        </w:rPr>
        <w:t>, those costs are justified</w:t>
      </w:r>
      <w:r w:rsidR="00A27E52">
        <w:rPr>
          <w:rFonts w:ascii="Arial" w:hAnsi="Arial" w:cs="Arial"/>
          <w:color w:val="000000" w:themeColor="text1"/>
          <w:sz w:val="24"/>
          <w:szCs w:val="24"/>
        </w:rPr>
        <w:t xml:space="preserve"> in this appeal</w:t>
      </w:r>
      <w:r w:rsidR="009022B5">
        <w:rPr>
          <w:rFonts w:ascii="Arial" w:hAnsi="Arial" w:cs="Arial"/>
          <w:color w:val="000000" w:themeColor="text1"/>
          <w:sz w:val="24"/>
          <w:szCs w:val="24"/>
        </w:rPr>
        <w:t>.</w:t>
      </w:r>
    </w:p>
    <w:p w:rsidR="00384FD6" w:rsidRDefault="00384FD6" w:rsidP="009022B5">
      <w:pPr>
        <w:rPr>
          <w:rFonts w:ascii="Arial" w:hAnsi="Arial" w:cs="Arial"/>
          <w:color w:val="000000" w:themeColor="text1"/>
          <w:sz w:val="24"/>
          <w:szCs w:val="24"/>
          <w:u w:val="single"/>
        </w:rPr>
      </w:pPr>
    </w:p>
    <w:p w:rsidR="009022B5" w:rsidRPr="009022B5" w:rsidRDefault="009022B5" w:rsidP="009022B5">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Order </w:t>
      </w:r>
    </w:p>
    <w:p w:rsidR="009022B5" w:rsidRPr="000B2339" w:rsidRDefault="008E7528" w:rsidP="008E7528">
      <w:pPr>
        <w:pStyle w:val="NoSpacing"/>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[53]</w:t>
      </w:r>
      <w:r w:rsidRPr="000B2339">
        <w:rPr>
          <w:rFonts w:ascii="Arial" w:hAnsi="Arial" w:cs="Arial"/>
          <w:color w:val="000000" w:themeColor="text1"/>
          <w:sz w:val="24"/>
          <w:szCs w:val="24"/>
        </w:rPr>
        <w:tab/>
      </w:r>
      <w:r w:rsidR="009022B5">
        <w:rPr>
          <w:rFonts w:ascii="Arial" w:hAnsi="Arial" w:cs="Arial"/>
          <w:color w:val="000000" w:themeColor="text1"/>
          <w:sz w:val="24"/>
          <w:szCs w:val="24"/>
        </w:rPr>
        <w:t>In the result, the following order is made:</w:t>
      </w:r>
    </w:p>
    <w:p w:rsidR="00C41E63" w:rsidRPr="000B2339" w:rsidRDefault="00C41E63" w:rsidP="00C41E63">
      <w:pPr>
        <w:pStyle w:val="ListParagraph"/>
        <w:rPr>
          <w:rFonts w:ascii="Arial" w:hAnsi="Arial" w:cs="Arial"/>
          <w:color w:val="000000" w:themeColor="text1"/>
          <w:sz w:val="24"/>
          <w:szCs w:val="24"/>
        </w:rPr>
      </w:pPr>
    </w:p>
    <w:p w:rsidR="009022B5" w:rsidRDefault="008E7528" w:rsidP="008E7528">
      <w:pPr>
        <w:pStyle w:val="NoSpacing"/>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lastRenderedPageBreak/>
        <w:t>(a)</w:t>
      </w:r>
      <w:r>
        <w:rPr>
          <w:rFonts w:ascii="Arial" w:hAnsi="Arial" w:cs="Arial"/>
          <w:color w:val="000000" w:themeColor="text1"/>
          <w:sz w:val="24"/>
          <w:szCs w:val="24"/>
        </w:rPr>
        <w:tab/>
      </w:r>
      <w:r w:rsidR="009022B5">
        <w:rPr>
          <w:rFonts w:ascii="Arial" w:hAnsi="Arial" w:cs="Arial"/>
          <w:color w:val="000000" w:themeColor="text1"/>
          <w:sz w:val="24"/>
          <w:szCs w:val="24"/>
        </w:rPr>
        <w:t>The application for condonation is granted and the appeal is reinstated, with the appellant to pay the costs of that application.</w:t>
      </w:r>
    </w:p>
    <w:p w:rsidR="009022B5" w:rsidRDefault="009022B5" w:rsidP="009022B5">
      <w:pPr>
        <w:pStyle w:val="NoSpacing"/>
        <w:spacing w:line="480" w:lineRule="auto"/>
        <w:ind w:left="1418"/>
        <w:jc w:val="both"/>
        <w:rPr>
          <w:rFonts w:ascii="Arial" w:hAnsi="Arial" w:cs="Arial"/>
          <w:color w:val="000000" w:themeColor="text1"/>
          <w:sz w:val="24"/>
          <w:szCs w:val="24"/>
        </w:rPr>
      </w:pPr>
    </w:p>
    <w:p w:rsidR="009022B5" w:rsidRDefault="008E7528" w:rsidP="008E7528">
      <w:pPr>
        <w:pStyle w:val="NoSpacing"/>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9022B5" w:rsidRPr="009022B5">
        <w:rPr>
          <w:rFonts w:ascii="Arial" w:hAnsi="Arial" w:cs="Arial"/>
          <w:color w:val="000000" w:themeColor="text1"/>
          <w:sz w:val="24"/>
          <w:szCs w:val="24"/>
        </w:rPr>
        <w:t>The appeal succeeds with costs and the respondent is ordered to pay the costs of appeal</w:t>
      </w:r>
      <w:r w:rsidR="00D43BEB">
        <w:rPr>
          <w:rFonts w:ascii="Arial" w:hAnsi="Arial" w:cs="Arial"/>
          <w:color w:val="000000" w:themeColor="text1"/>
          <w:sz w:val="24"/>
          <w:szCs w:val="24"/>
        </w:rPr>
        <w:t>,</w:t>
      </w:r>
      <w:r w:rsidR="009022B5" w:rsidRPr="009022B5">
        <w:rPr>
          <w:rFonts w:ascii="Arial" w:hAnsi="Arial" w:cs="Arial"/>
          <w:color w:val="000000" w:themeColor="text1"/>
          <w:sz w:val="24"/>
          <w:szCs w:val="24"/>
        </w:rPr>
        <w:t xml:space="preserve"> includ</w:t>
      </w:r>
      <w:r w:rsidR="00D43BEB">
        <w:rPr>
          <w:rFonts w:ascii="Arial" w:hAnsi="Arial" w:cs="Arial"/>
          <w:color w:val="000000" w:themeColor="text1"/>
          <w:sz w:val="24"/>
          <w:szCs w:val="24"/>
        </w:rPr>
        <w:t>ing</w:t>
      </w:r>
      <w:r w:rsidR="009022B5" w:rsidRPr="009022B5">
        <w:rPr>
          <w:rFonts w:ascii="Arial" w:hAnsi="Arial" w:cs="Arial"/>
          <w:color w:val="000000" w:themeColor="text1"/>
          <w:sz w:val="24"/>
          <w:szCs w:val="24"/>
        </w:rPr>
        <w:t xml:space="preserve"> the costs of one instructing and two instructed legal practitioners.</w:t>
      </w:r>
    </w:p>
    <w:p w:rsidR="009022B5" w:rsidRDefault="009022B5" w:rsidP="009022B5">
      <w:pPr>
        <w:pStyle w:val="ListParagraph"/>
        <w:rPr>
          <w:rFonts w:ascii="Arial" w:hAnsi="Arial" w:cs="Arial"/>
          <w:color w:val="000000" w:themeColor="text1"/>
          <w:sz w:val="24"/>
          <w:szCs w:val="24"/>
        </w:rPr>
      </w:pPr>
    </w:p>
    <w:p w:rsidR="009022B5" w:rsidRDefault="008E7528" w:rsidP="008E7528">
      <w:pPr>
        <w:pStyle w:val="NoSpacing"/>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9022B5" w:rsidRPr="009022B5">
        <w:rPr>
          <w:rFonts w:ascii="Arial" w:hAnsi="Arial" w:cs="Arial"/>
          <w:color w:val="000000" w:themeColor="text1"/>
          <w:sz w:val="24"/>
          <w:szCs w:val="24"/>
        </w:rPr>
        <w:t>The order of the High Court is set aside and in its place the following order is made:</w:t>
      </w:r>
    </w:p>
    <w:p w:rsidR="009022B5" w:rsidRDefault="009022B5" w:rsidP="009022B5">
      <w:pPr>
        <w:pStyle w:val="ListParagraph"/>
        <w:rPr>
          <w:rFonts w:ascii="Arial" w:hAnsi="Arial" w:cs="Arial"/>
          <w:color w:val="000000" w:themeColor="text1"/>
          <w:sz w:val="24"/>
          <w:szCs w:val="24"/>
        </w:rPr>
      </w:pPr>
    </w:p>
    <w:p w:rsidR="009022B5" w:rsidRDefault="009022B5" w:rsidP="009022B5">
      <w:pPr>
        <w:pStyle w:val="NoSpacing"/>
        <w:spacing w:line="480" w:lineRule="auto"/>
        <w:ind w:left="2160"/>
        <w:jc w:val="both"/>
        <w:rPr>
          <w:rFonts w:ascii="Arial" w:hAnsi="Arial" w:cs="Arial"/>
          <w:color w:val="000000" w:themeColor="text1"/>
          <w:sz w:val="24"/>
          <w:szCs w:val="24"/>
        </w:rPr>
      </w:pPr>
      <w:r>
        <w:rPr>
          <w:rFonts w:ascii="Arial" w:hAnsi="Arial" w:cs="Arial"/>
          <w:color w:val="000000" w:themeColor="text1"/>
          <w:sz w:val="24"/>
          <w:szCs w:val="24"/>
        </w:rPr>
        <w:t>‘The exception is dismissed with costs in respect whereof the costs cap set in rule 32(11) will not apply</w:t>
      </w:r>
      <w:r w:rsidR="00742DD0">
        <w:rPr>
          <w:rFonts w:ascii="Arial" w:hAnsi="Arial" w:cs="Arial"/>
          <w:color w:val="000000" w:themeColor="text1"/>
          <w:sz w:val="24"/>
          <w:szCs w:val="24"/>
        </w:rPr>
        <w:t xml:space="preserve"> and include the costs of two legal practitioners</w:t>
      </w:r>
      <w:r>
        <w:rPr>
          <w:rFonts w:ascii="Arial" w:hAnsi="Arial" w:cs="Arial"/>
          <w:color w:val="000000" w:themeColor="text1"/>
          <w:sz w:val="24"/>
          <w:szCs w:val="24"/>
        </w:rPr>
        <w:t>.’</w:t>
      </w:r>
    </w:p>
    <w:p w:rsidR="00B93393" w:rsidRDefault="00B93393" w:rsidP="009022B5">
      <w:pPr>
        <w:pStyle w:val="ListParagraph"/>
        <w:rPr>
          <w:rFonts w:ascii="Arial" w:hAnsi="Arial" w:cs="Arial"/>
          <w:color w:val="000000" w:themeColor="text1"/>
          <w:sz w:val="24"/>
          <w:szCs w:val="24"/>
        </w:rPr>
      </w:pPr>
    </w:p>
    <w:p w:rsidR="009022B5" w:rsidRPr="009022B5" w:rsidRDefault="008E7528" w:rsidP="008E7528">
      <w:pPr>
        <w:pStyle w:val="NoSpacing"/>
        <w:spacing w:line="480" w:lineRule="auto"/>
        <w:ind w:left="1418" w:hanging="698"/>
        <w:jc w:val="both"/>
        <w:rPr>
          <w:rFonts w:ascii="Arial" w:hAnsi="Arial" w:cs="Arial"/>
          <w:color w:val="000000" w:themeColor="text1"/>
          <w:sz w:val="24"/>
          <w:szCs w:val="24"/>
        </w:rPr>
      </w:pPr>
      <w:r w:rsidRPr="009022B5">
        <w:rPr>
          <w:rFonts w:ascii="Arial" w:hAnsi="Arial" w:cs="Arial"/>
          <w:color w:val="000000" w:themeColor="text1"/>
          <w:sz w:val="24"/>
          <w:szCs w:val="24"/>
        </w:rPr>
        <w:t>(d)</w:t>
      </w:r>
      <w:r w:rsidRPr="009022B5">
        <w:rPr>
          <w:rFonts w:ascii="Arial" w:hAnsi="Arial" w:cs="Arial"/>
          <w:color w:val="000000" w:themeColor="text1"/>
          <w:sz w:val="24"/>
          <w:szCs w:val="24"/>
        </w:rPr>
        <w:tab/>
      </w:r>
      <w:r w:rsidR="009E118E">
        <w:rPr>
          <w:rFonts w:ascii="Arial" w:hAnsi="Arial" w:cs="Arial"/>
          <w:color w:val="000000" w:themeColor="text1"/>
          <w:sz w:val="24"/>
          <w:szCs w:val="24"/>
        </w:rPr>
        <w:t xml:space="preserve">The matter is referred back to the High Court for </w:t>
      </w:r>
      <w:r w:rsidR="00D43BEB">
        <w:rPr>
          <w:rFonts w:ascii="Arial" w:hAnsi="Arial" w:cs="Arial"/>
          <w:color w:val="000000" w:themeColor="text1"/>
          <w:sz w:val="24"/>
          <w:szCs w:val="24"/>
        </w:rPr>
        <w:t xml:space="preserve">further </w:t>
      </w:r>
      <w:r w:rsidR="009E118E">
        <w:rPr>
          <w:rFonts w:ascii="Arial" w:hAnsi="Arial" w:cs="Arial"/>
          <w:color w:val="000000" w:themeColor="text1"/>
          <w:sz w:val="24"/>
          <w:szCs w:val="24"/>
        </w:rPr>
        <w:t>case management.</w:t>
      </w:r>
    </w:p>
    <w:p w:rsidR="00E271F7" w:rsidRDefault="00E271F7" w:rsidP="00E271F7">
      <w:pPr>
        <w:spacing w:after="0"/>
        <w:rPr>
          <w:rFonts w:ascii="Arial" w:hAnsi="Arial" w:cs="Arial"/>
          <w:color w:val="000000" w:themeColor="text1"/>
          <w:sz w:val="24"/>
          <w:szCs w:val="24"/>
        </w:rPr>
      </w:pPr>
    </w:p>
    <w:p w:rsidR="0069795E" w:rsidRDefault="0069795E" w:rsidP="00E271F7">
      <w:pPr>
        <w:spacing w:after="0"/>
        <w:rPr>
          <w:rFonts w:ascii="Arial" w:hAnsi="Arial" w:cs="Arial"/>
          <w:color w:val="000000" w:themeColor="text1"/>
          <w:sz w:val="24"/>
          <w:szCs w:val="24"/>
        </w:rPr>
      </w:pPr>
    </w:p>
    <w:p w:rsidR="00E271F7" w:rsidRPr="000B2339" w:rsidRDefault="00E271F7" w:rsidP="00E271F7">
      <w:pPr>
        <w:spacing w:after="0"/>
        <w:rPr>
          <w:rFonts w:ascii="Arial" w:hAnsi="Arial" w:cs="Arial"/>
          <w:color w:val="000000" w:themeColor="text1"/>
          <w:sz w:val="24"/>
          <w:szCs w:val="24"/>
        </w:rPr>
      </w:pPr>
    </w:p>
    <w:p w:rsidR="00BA5726" w:rsidRPr="0046497D" w:rsidRDefault="00BA5726" w:rsidP="00BA5726">
      <w:pPr>
        <w:pStyle w:val="NoSpacing"/>
        <w:spacing w:line="360" w:lineRule="auto"/>
        <w:rPr>
          <w:rFonts w:ascii="Arial" w:hAnsi="Arial" w:cs="Arial"/>
          <w:color w:val="000000" w:themeColor="text1"/>
          <w:sz w:val="24"/>
          <w:szCs w:val="24"/>
        </w:rPr>
      </w:pPr>
      <w:r w:rsidRPr="0046497D">
        <w:rPr>
          <w:rFonts w:ascii="Arial" w:hAnsi="Arial" w:cs="Arial"/>
          <w:color w:val="000000" w:themeColor="text1"/>
          <w:sz w:val="24"/>
          <w:szCs w:val="24"/>
        </w:rPr>
        <w:t>___________________</w:t>
      </w:r>
      <w:r w:rsidR="00923510" w:rsidRPr="0046497D">
        <w:rPr>
          <w:rFonts w:ascii="Arial" w:hAnsi="Arial" w:cs="Arial"/>
          <w:color w:val="000000" w:themeColor="text1"/>
          <w:sz w:val="24"/>
          <w:szCs w:val="24"/>
        </w:rPr>
        <w:t>___</w:t>
      </w:r>
      <w:r w:rsidRPr="0046497D">
        <w:rPr>
          <w:rFonts w:ascii="Arial" w:hAnsi="Arial" w:cs="Arial"/>
          <w:color w:val="000000" w:themeColor="text1"/>
          <w:sz w:val="24"/>
          <w:szCs w:val="24"/>
        </w:rPr>
        <w:tab/>
      </w:r>
      <w:r w:rsidRPr="0046497D">
        <w:rPr>
          <w:rFonts w:ascii="Arial" w:hAnsi="Arial" w:cs="Arial"/>
          <w:color w:val="000000" w:themeColor="text1"/>
          <w:sz w:val="24"/>
          <w:szCs w:val="24"/>
        </w:rPr>
        <w:tab/>
      </w:r>
      <w:r w:rsidRPr="0046497D">
        <w:rPr>
          <w:rFonts w:ascii="Arial" w:hAnsi="Arial" w:cs="Arial"/>
          <w:color w:val="000000" w:themeColor="text1"/>
          <w:sz w:val="24"/>
          <w:szCs w:val="24"/>
        </w:rPr>
        <w:tab/>
      </w:r>
      <w:r w:rsidRPr="0046497D">
        <w:rPr>
          <w:rFonts w:ascii="Arial" w:hAnsi="Arial" w:cs="Arial"/>
          <w:color w:val="000000" w:themeColor="text1"/>
          <w:sz w:val="24"/>
          <w:szCs w:val="24"/>
        </w:rPr>
        <w:tab/>
      </w:r>
      <w:r w:rsidRPr="0046497D">
        <w:rPr>
          <w:rFonts w:ascii="Arial" w:hAnsi="Arial" w:cs="Arial"/>
          <w:color w:val="000000" w:themeColor="text1"/>
          <w:sz w:val="24"/>
          <w:szCs w:val="24"/>
        </w:rPr>
        <w:tab/>
      </w: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BA5726" w:rsidRDefault="00BA5726" w:rsidP="00BA5726">
      <w:pPr>
        <w:pStyle w:val="NoSpacing"/>
        <w:spacing w:line="360" w:lineRule="auto"/>
        <w:jc w:val="both"/>
        <w:rPr>
          <w:rFonts w:ascii="Arial" w:hAnsi="Arial" w:cs="Arial"/>
          <w:b/>
          <w:color w:val="000000" w:themeColor="text1"/>
          <w:sz w:val="24"/>
          <w:szCs w:val="24"/>
        </w:rPr>
      </w:pPr>
    </w:p>
    <w:p w:rsidR="00BA5726" w:rsidRPr="000B2339" w:rsidRDefault="00BA5726" w:rsidP="00BA5726">
      <w:pPr>
        <w:pStyle w:val="NoSpacing"/>
        <w:spacing w:line="360" w:lineRule="auto"/>
        <w:jc w:val="both"/>
        <w:rPr>
          <w:rFonts w:ascii="Arial" w:hAnsi="Arial" w:cs="Arial"/>
          <w:b/>
          <w:color w:val="000000" w:themeColor="text1"/>
          <w:sz w:val="24"/>
          <w:szCs w:val="24"/>
        </w:rPr>
      </w:pPr>
    </w:p>
    <w:p w:rsidR="00BA5726" w:rsidRPr="0046497D" w:rsidRDefault="00BA5726" w:rsidP="00BA5726">
      <w:pPr>
        <w:pStyle w:val="NoSpacing"/>
        <w:spacing w:line="360" w:lineRule="auto"/>
        <w:rPr>
          <w:rFonts w:ascii="Arial" w:hAnsi="Arial" w:cs="Arial"/>
          <w:color w:val="000000" w:themeColor="text1"/>
          <w:sz w:val="24"/>
          <w:szCs w:val="24"/>
        </w:rPr>
      </w:pPr>
      <w:r w:rsidRPr="0046497D">
        <w:rPr>
          <w:rFonts w:ascii="Arial" w:hAnsi="Arial" w:cs="Arial"/>
          <w:color w:val="000000" w:themeColor="text1"/>
          <w:sz w:val="24"/>
          <w:szCs w:val="24"/>
        </w:rPr>
        <w:t>___________________</w:t>
      </w:r>
      <w:r w:rsidR="00923510" w:rsidRPr="0046497D">
        <w:rPr>
          <w:rFonts w:ascii="Arial" w:hAnsi="Arial" w:cs="Arial"/>
          <w:color w:val="000000" w:themeColor="text1"/>
          <w:sz w:val="24"/>
          <w:szCs w:val="24"/>
        </w:rPr>
        <w:t>___</w:t>
      </w:r>
    </w:p>
    <w:p w:rsidR="00BA5726" w:rsidRDefault="00781A4E"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DAMASEB</w:t>
      </w:r>
      <w:r w:rsidR="00BA5726" w:rsidRPr="000B2339">
        <w:rPr>
          <w:rFonts w:ascii="Arial" w:hAnsi="Arial" w:cs="Arial"/>
          <w:b/>
          <w:color w:val="000000" w:themeColor="text1"/>
          <w:sz w:val="24"/>
          <w:szCs w:val="24"/>
        </w:rPr>
        <w:t xml:space="preserve"> </w:t>
      </w:r>
      <w:r w:rsidRPr="000B2339">
        <w:rPr>
          <w:rFonts w:ascii="Arial" w:hAnsi="Arial" w:cs="Arial"/>
          <w:b/>
          <w:color w:val="000000" w:themeColor="text1"/>
          <w:sz w:val="24"/>
          <w:szCs w:val="24"/>
        </w:rPr>
        <w:t>D</w:t>
      </w:r>
      <w:r w:rsidR="00BA5726" w:rsidRPr="000B2339">
        <w:rPr>
          <w:rFonts w:ascii="Arial" w:hAnsi="Arial" w:cs="Arial"/>
          <w:b/>
          <w:color w:val="000000" w:themeColor="text1"/>
          <w:sz w:val="24"/>
          <w:szCs w:val="24"/>
        </w:rPr>
        <w:t>CJ</w:t>
      </w:r>
    </w:p>
    <w:p w:rsidR="00923510" w:rsidRDefault="00923510" w:rsidP="00BA5726">
      <w:pPr>
        <w:pStyle w:val="NoSpacing"/>
        <w:spacing w:line="360" w:lineRule="auto"/>
        <w:rPr>
          <w:rFonts w:ascii="Arial" w:hAnsi="Arial" w:cs="Arial"/>
          <w:b/>
          <w:color w:val="000000" w:themeColor="text1"/>
          <w:sz w:val="24"/>
          <w:szCs w:val="24"/>
        </w:rPr>
      </w:pPr>
    </w:p>
    <w:p w:rsidR="00BA5726" w:rsidRPr="000B2339" w:rsidRDefault="00BA5726" w:rsidP="00BA5726">
      <w:pPr>
        <w:pStyle w:val="NoSpacing"/>
        <w:spacing w:line="360" w:lineRule="auto"/>
        <w:rPr>
          <w:rFonts w:ascii="Arial" w:hAnsi="Arial" w:cs="Arial"/>
          <w:b/>
          <w:color w:val="000000" w:themeColor="text1"/>
          <w:sz w:val="24"/>
          <w:szCs w:val="24"/>
        </w:rPr>
      </w:pPr>
    </w:p>
    <w:p w:rsidR="00BA5726" w:rsidRDefault="0046497D" w:rsidP="00923510">
      <w:pPr>
        <w:pStyle w:val="NoSpacing"/>
        <w:jc w:val="both"/>
        <w:rPr>
          <w:noProof/>
          <w:lang w:eastAsia="en-ZA"/>
        </w:rPr>
      </w:pPr>
      <w:r>
        <w:rPr>
          <w:noProof/>
          <w:lang w:eastAsia="en-ZA"/>
        </w:rPr>
        <w:t>____________________________</w:t>
      </w:r>
    </w:p>
    <w:p w:rsidR="0046497D" w:rsidRPr="00923510" w:rsidRDefault="0046497D" w:rsidP="00923510">
      <w:pPr>
        <w:pStyle w:val="NoSpacing"/>
        <w:jc w:val="both"/>
        <w:rPr>
          <w:rFonts w:ascii="Arial" w:hAnsi="Arial" w:cs="Arial"/>
          <w:b/>
          <w:color w:val="000000" w:themeColor="text1"/>
          <w:sz w:val="16"/>
          <w:szCs w:val="16"/>
        </w:rPr>
      </w:pPr>
    </w:p>
    <w:p w:rsidR="0069795E" w:rsidRDefault="00781A4E" w:rsidP="0069795E">
      <w:pPr>
        <w:pStyle w:val="NoSpacing"/>
        <w:spacing w:line="360" w:lineRule="auto"/>
        <w:rPr>
          <w:rFonts w:ascii="Arial" w:hAnsi="Arial" w:cs="Arial"/>
          <w:color w:val="000000" w:themeColor="text1"/>
          <w:sz w:val="24"/>
          <w:szCs w:val="24"/>
        </w:rPr>
      </w:pPr>
      <w:r w:rsidRPr="000B2339">
        <w:rPr>
          <w:rFonts w:ascii="Arial" w:hAnsi="Arial" w:cs="Arial"/>
          <w:b/>
          <w:color w:val="000000" w:themeColor="text1"/>
          <w:sz w:val="24"/>
          <w:szCs w:val="24"/>
        </w:rPr>
        <w:t>MAINGA</w:t>
      </w:r>
      <w:r w:rsidR="00BA5726" w:rsidRPr="000B2339">
        <w:rPr>
          <w:rFonts w:ascii="Arial" w:hAnsi="Arial" w:cs="Arial"/>
          <w:b/>
          <w:color w:val="000000" w:themeColor="text1"/>
          <w:sz w:val="24"/>
          <w:szCs w:val="24"/>
        </w:rPr>
        <w:t xml:space="preserve"> JA</w:t>
      </w:r>
      <w:r w:rsidR="0069795E">
        <w:rPr>
          <w:rFonts w:ascii="Arial" w:hAnsi="Arial" w:cs="Arial"/>
          <w:color w:val="000000" w:themeColor="text1"/>
          <w:sz w:val="24"/>
          <w:szCs w:val="24"/>
        </w:rPr>
        <w:br w:type="page"/>
      </w:r>
    </w:p>
    <w:p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rsidTr="005C0BAB">
        <w:tc>
          <w:tcPr>
            <w:tcW w:w="4386" w:type="dxa"/>
            <w:shd w:val="clear" w:color="auto" w:fill="auto"/>
          </w:tcPr>
          <w:p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rsidR="00721889" w:rsidRPr="000B2339" w:rsidRDefault="00721889" w:rsidP="00503269">
            <w:pPr>
              <w:ind w:right="-146"/>
              <w:rPr>
                <w:rFonts w:ascii="Arial" w:hAnsi="Arial" w:cs="Arial"/>
                <w:color w:val="000000" w:themeColor="text1"/>
                <w:sz w:val="24"/>
                <w:szCs w:val="24"/>
              </w:rPr>
            </w:pPr>
          </w:p>
          <w:p w:rsidR="00721889" w:rsidRPr="000B2339" w:rsidRDefault="00721889" w:rsidP="00781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721889" w:rsidP="00503269">
            <w:pPr>
              <w:rPr>
                <w:rFonts w:ascii="Arial" w:hAnsi="Arial" w:cs="Arial"/>
                <w:color w:val="000000" w:themeColor="text1"/>
                <w:sz w:val="24"/>
                <w:szCs w:val="24"/>
              </w:rPr>
            </w:pPr>
          </w:p>
          <w:p w:rsidR="00721889" w:rsidRPr="000B2339" w:rsidRDefault="00241075" w:rsidP="00503269">
            <w:pPr>
              <w:rPr>
                <w:rFonts w:ascii="Arial" w:hAnsi="Arial" w:cs="Arial"/>
                <w:color w:val="000000" w:themeColor="text1"/>
                <w:sz w:val="24"/>
                <w:szCs w:val="24"/>
              </w:rPr>
            </w:pPr>
            <w:r>
              <w:rPr>
                <w:rFonts w:ascii="Arial" w:hAnsi="Arial" w:cs="Arial"/>
                <w:color w:val="000000" w:themeColor="text1"/>
                <w:sz w:val="24"/>
                <w:szCs w:val="24"/>
              </w:rPr>
              <w:t>V Maleka SC, with him S Namandje</w:t>
            </w:r>
          </w:p>
          <w:p w:rsidR="00644878" w:rsidRPr="000B2339" w:rsidRDefault="002647B9" w:rsidP="00530881">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782E56">
              <w:rPr>
                <w:rFonts w:ascii="Arial" w:hAnsi="Arial" w:cs="Arial"/>
                <w:color w:val="000000" w:themeColor="text1"/>
                <w:sz w:val="24"/>
                <w:szCs w:val="24"/>
              </w:rPr>
              <w:t>Sisa Namandje &amp; Co</w:t>
            </w:r>
            <w:r w:rsidR="005F3C82">
              <w:rPr>
                <w:rFonts w:ascii="Arial" w:hAnsi="Arial" w:cs="Arial"/>
                <w:color w:val="000000" w:themeColor="text1"/>
                <w:sz w:val="24"/>
                <w:szCs w:val="24"/>
              </w:rPr>
              <w:t xml:space="preserve"> Inc</w:t>
            </w:r>
          </w:p>
        </w:tc>
      </w:tr>
      <w:tr w:rsidR="000B2339" w:rsidRPr="000B2339" w:rsidTr="005C0BAB">
        <w:tc>
          <w:tcPr>
            <w:tcW w:w="4386"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721889" w:rsidP="00C27754">
            <w:pPr>
              <w:ind w:left="-108"/>
              <w:rPr>
                <w:rFonts w:ascii="Arial" w:hAnsi="Arial" w:cs="Arial"/>
                <w:color w:val="000000" w:themeColor="text1"/>
                <w:sz w:val="24"/>
                <w:szCs w:val="24"/>
              </w:rPr>
            </w:pPr>
            <w:r w:rsidRPr="000B2339">
              <w:rPr>
                <w:rFonts w:ascii="Arial" w:hAnsi="Arial" w:cs="Arial"/>
                <w:color w:val="000000" w:themeColor="text1"/>
                <w:sz w:val="24"/>
                <w:szCs w:val="24"/>
              </w:rPr>
              <w:t>RESPONDENT: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C06ED6" w:rsidRPr="000B2339" w:rsidRDefault="00241075" w:rsidP="009834C3">
            <w:pPr>
              <w:rPr>
                <w:rFonts w:ascii="Arial" w:hAnsi="Arial" w:cs="Arial"/>
                <w:color w:val="000000" w:themeColor="text1"/>
                <w:sz w:val="24"/>
                <w:szCs w:val="24"/>
              </w:rPr>
            </w:pPr>
            <w:r>
              <w:rPr>
                <w:rFonts w:ascii="Arial" w:hAnsi="Arial" w:cs="Arial"/>
                <w:color w:val="000000" w:themeColor="text1"/>
                <w:sz w:val="24"/>
                <w:szCs w:val="24"/>
              </w:rPr>
              <w:t>N Tjombe</w:t>
            </w:r>
          </w:p>
          <w:p w:rsidR="00781A4E" w:rsidRPr="000B2339" w:rsidRDefault="008E1D7B" w:rsidP="00781A4E">
            <w:pPr>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5F3C82">
              <w:rPr>
                <w:rFonts w:ascii="Arial" w:hAnsi="Arial" w:cs="Arial"/>
                <w:color w:val="000000" w:themeColor="text1"/>
                <w:sz w:val="24"/>
                <w:szCs w:val="24"/>
              </w:rPr>
              <w:t>Tjombe-Elago Inc</w:t>
            </w:r>
          </w:p>
          <w:p w:rsidR="009834C3" w:rsidRPr="000B2339" w:rsidRDefault="009834C3" w:rsidP="00781A4E">
            <w:pPr>
              <w:rPr>
                <w:rFonts w:ascii="Arial" w:hAnsi="Arial" w:cs="Arial"/>
                <w:color w:val="000000" w:themeColor="text1"/>
                <w:sz w:val="24"/>
                <w:szCs w:val="24"/>
              </w:rPr>
            </w:pPr>
          </w:p>
        </w:tc>
      </w:tr>
      <w:tr w:rsidR="00C06ED6" w:rsidRPr="000B2339" w:rsidTr="00193723">
        <w:tc>
          <w:tcPr>
            <w:tcW w:w="4386" w:type="dxa"/>
            <w:shd w:val="clear" w:color="auto" w:fill="auto"/>
          </w:tcPr>
          <w:p w:rsidR="00C06ED6" w:rsidRPr="000B2339" w:rsidRDefault="00C06ED6" w:rsidP="00C06ED6">
            <w:pPr>
              <w:ind w:left="-108"/>
              <w:rPr>
                <w:rFonts w:ascii="Arial" w:hAnsi="Arial" w:cs="Arial"/>
                <w:color w:val="000000" w:themeColor="text1"/>
                <w:sz w:val="24"/>
                <w:szCs w:val="24"/>
              </w:rPr>
            </w:pPr>
          </w:p>
        </w:tc>
        <w:tc>
          <w:tcPr>
            <w:tcW w:w="4261" w:type="dxa"/>
            <w:shd w:val="clear" w:color="auto" w:fill="auto"/>
          </w:tcPr>
          <w:p w:rsidR="00C06ED6" w:rsidRPr="000B2339" w:rsidRDefault="00C06ED6" w:rsidP="00C06ED6">
            <w:pPr>
              <w:rPr>
                <w:rFonts w:ascii="Arial" w:hAnsi="Arial" w:cs="Arial"/>
                <w:color w:val="000000" w:themeColor="text1"/>
                <w:sz w:val="24"/>
                <w:szCs w:val="24"/>
              </w:rPr>
            </w:pPr>
          </w:p>
        </w:tc>
      </w:tr>
    </w:tbl>
    <w:p w:rsidR="00721889" w:rsidRPr="000B2339" w:rsidRDefault="00721889" w:rsidP="00C06ED6">
      <w:pPr>
        <w:pStyle w:val="NoSpacing"/>
        <w:jc w:val="both"/>
        <w:rPr>
          <w:rFonts w:ascii="Arial" w:hAnsi="Arial" w:cs="Arial"/>
          <w:color w:val="000000" w:themeColor="text1"/>
          <w:sz w:val="24"/>
          <w:szCs w:val="24"/>
        </w:rPr>
      </w:pPr>
    </w:p>
    <w:sectPr w:rsidR="00721889" w:rsidRPr="000B2339" w:rsidSect="00430321">
      <w:headerReference w:type="default" r:id="rId11"/>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34" w:rsidRDefault="00E92E34" w:rsidP="00B5013F">
      <w:pPr>
        <w:spacing w:after="0" w:line="240" w:lineRule="auto"/>
      </w:pPr>
      <w:r>
        <w:separator/>
      </w:r>
    </w:p>
  </w:endnote>
  <w:endnote w:type="continuationSeparator" w:id="0">
    <w:p w:rsidR="00E92E34" w:rsidRDefault="00E92E34"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34" w:rsidRDefault="00E92E34" w:rsidP="00B5013F">
      <w:pPr>
        <w:spacing w:after="0" w:line="240" w:lineRule="auto"/>
      </w:pPr>
      <w:r>
        <w:separator/>
      </w:r>
    </w:p>
  </w:footnote>
  <w:footnote w:type="continuationSeparator" w:id="0">
    <w:p w:rsidR="00E92E34" w:rsidRDefault="00E92E34" w:rsidP="00B5013F">
      <w:pPr>
        <w:spacing w:after="0" w:line="240" w:lineRule="auto"/>
      </w:pPr>
      <w:r>
        <w:continuationSeparator/>
      </w:r>
    </w:p>
  </w:footnote>
  <w:footnote w:id="1">
    <w:p w:rsidR="00781A4E" w:rsidRPr="00C66F24" w:rsidRDefault="00781A4E"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2018 (3) NR 66</w:t>
      </w:r>
      <w:r w:rsidR="00557D6C">
        <w:rPr>
          <w:rFonts w:ascii="Arial" w:hAnsi="Arial" w:cs="Arial"/>
        </w:rPr>
        <w:t>4</w:t>
      </w:r>
      <w:r w:rsidRPr="00C66F24">
        <w:rPr>
          <w:rFonts w:ascii="Arial" w:hAnsi="Arial" w:cs="Arial"/>
        </w:rPr>
        <w:t xml:space="preserve"> (SC)</w:t>
      </w:r>
      <w:r w:rsidR="00C66F24" w:rsidRPr="00C66F24">
        <w:rPr>
          <w:rFonts w:ascii="Arial" w:hAnsi="Arial" w:cs="Arial"/>
          <w:i/>
          <w:color w:val="000000" w:themeColor="text1"/>
        </w:rPr>
        <w:t xml:space="preserve"> (CRAN)</w:t>
      </w:r>
      <w:r w:rsidRPr="00C66F24">
        <w:rPr>
          <w:rFonts w:ascii="Arial" w:hAnsi="Arial" w:cs="Arial"/>
        </w:rPr>
        <w:t>.</w:t>
      </w:r>
    </w:p>
  </w:footnote>
  <w:footnote w:id="2">
    <w:p w:rsidR="00194002" w:rsidRPr="00C66F24" w:rsidRDefault="00194002"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1990 (1) SA 705 (A) at 715D-716D.</w:t>
      </w:r>
    </w:p>
  </w:footnote>
  <w:footnote w:id="3">
    <w:p w:rsidR="00530881" w:rsidRPr="00C66F24" w:rsidRDefault="00530881"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Communications Regulatory Authority of Namibia v Telecom Namibia Ltd</w:t>
      </w:r>
      <w:r w:rsidRPr="00C66F24">
        <w:rPr>
          <w:rFonts w:ascii="Arial" w:hAnsi="Arial" w:cs="Arial"/>
        </w:rPr>
        <w:t xml:space="preserve"> 2020 (4) NR 1182 (HC) in which Prinsloo, J reached a contrary conclusion and dismissed a similar exception.</w:t>
      </w:r>
    </w:p>
  </w:footnote>
  <w:footnote w:id="4">
    <w:p w:rsidR="00AF06B9" w:rsidRPr="00C66F24" w:rsidRDefault="00AF06B9"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2021 (6) BCLR 584 (CC).</w:t>
      </w:r>
    </w:p>
  </w:footnote>
  <w:footnote w:id="5">
    <w:p w:rsidR="00A27E52" w:rsidRPr="00C66F24" w:rsidRDefault="00A27E52"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 xml:space="preserve">Fischer v Seelenbinder </w:t>
      </w:r>
      <w:r w:rsidRPr="00C66F24">
        <w:rPr>
          <w:rFonts w:ascii="Arial" w:hAnsi="Arial" w:cs="Arial"/>
        </w:rPr>
        <w:t xml:space="preserve">2021 (1) NR 35 (SC); </w:t>
      </w:r>
      <w:r w:rsidRPr="00C66F24">
        <w:rPr>
          <w:rFonts w:ascii="Arial" w:hAnsi="Arial" w:cs="Arial"/>
          <w:i/>
        </w:rPr>
        <w:t xml:space="preserve">Aussenkehr Farms (Pty) Ltd </w:t>
      </w:r>
      <w:r w:rsidR="00C66F24">
        <w:rPr>
          <w:rFonts w:ascii="Arial" w:hAnsi="Arial" w:cs="Arial"/>
          <w:i/>
        </w:rPr>
        <w:t xml:space="preserve">&amp; another </w:t>
      </w:r>
      <w:r w:rsidRPr="00C66F24">
        <w:rPr>
          <w:rFonts w:ascii="Arial" w:hAnsi="Arial" w:cs="Arial"/>
          <w:i/>
        </w:rPr>
        <w:t>v Minister of Mines and Energy</w:t>
      </w:r>
      <w:r w:rsidR="00C66F24">
        <w:rPr>
          <w:rFonts w:ascii="Arial" w:hAnsi="Arial" w:cs="Arial"/>
          <w:i/>
        </w:rPr>
        <w:t xml:space="preserve"> &amp; another</w:t>
      </w:r>
      <w:r w:rsidRPr="00C66F24">
        <w:rPr>
          <w:rFonts w:ascii="Arial" w:hAnsi="Arial" w:cs="Arial"/>
          <w:i/>
        </w:rPr>
        <w:t xml:space="preserve"> </w:t>
      </w:r>
      <w:r w:rsidRPr="00C66F24">
        <w:rPr>
          <w:rFonts w:ascii="Arial" w:hAnsi="Arial" w:cs="Arial"/>
        </w:rPr>
        <w:t xml:space="preserve">2005 NR 21 (SC) p 32; </w:t>
      </w:r>
      <w:r w:rsidRPr="00C66F24">
        <w:rPr>
          <w:rFonts w:ascii="Arial" w:hAnsi="Arial" w:cs="Arial"/>
          <w:i/>
        </w:rPr>
        <w:t xml:space="preserve">Handl v Handl </w:t>
      </w:r>
      <w:r w:rsidRPr="00C66F24">
        <w:rPr>
          <w:rFonts w:ascii="Arial" w:hAnsi="Arial" w:cs="Arial"/>
        </w:rPr>
        <w:t xml:space="preserve">2008 (2) NR 489 (SC); </w:t>
      </w:r>
      <w:r w:rsidRPr="00C66F24">
        <w:rPr>
          <w:rFonts w:ascii="Arial" w:hAnsi="Arial" w:cs="Arial"/>
          <w:i/>
        </w:rPr>
        <w:t>Ngede v Davey’s Micro Construction CC</w:t>
      </w:r>
      <w:r w:rsidR="00C66F24">
        <w:rPr>
          <w:rFonts w:ascii="Arial" w:hAnsi="Arial" w:cs="Arial"/>
          <w:i/>
        </w:rPr>
        <w:t xml:space="preserve"> </w:t>
      </w:r>
      <w:r w:rsidR="00557D6C">
        <w:rPr>
          <w:rFonts w:ascii="Arial" w:hAnsi="Arial" w:cs="Arial"/>
        </w:rPr>
        <w:t>(SA 51/</w:t>
      </w:r>
      <w:r w:rsidR="00C66F24">
        <w:rPr>
          <w:rFonts w:ascii="Arial" w:hAnsi="Arial" w:cs="Arial"/>
        </w:rPr>
        <w:t>2014) [2016] NASC 4 (27 October 2016) (</w:t>
      </w:r>
      <w:r w:rsidR="00C66F24" w:rsidRPr="00C66F24">
        <w:rPr>
          <w:rFonts w:ascii="Arial" w:hAnsi="Arial" w:cs="Arial"/>
          <w:i/>
        </w:rPr>
        <w:t>Ngede</w:t>
      </w:r>
      <w:r w:rsidR="00C66F24">
        <w:rPr>
          <w:rFonts w:ascii="Arial" w:hAnsi="Arial" w:cs="Arial"/>
        </w:rPr>
        <w:t>)</w:t>
      </w:r>
      <w:r w:rsidRPr="00C66F24">
        <w:rPr>
          <w:rFonts w:ascii="Arial" w:hAnsi="Arial" w:cs="Arial"/>
        </w:rPr>
        <w:t>.</w:t>
      </w:r>
    </w:p>
  </w:footnote>
  <w:footnote w:id="6">
    <w:p w:rsidR="008519F4" w:rsidRPr="00C66F24" w:rsidRDefault="008519F4"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00D4560A" w:rsidRPr="00C66F24">
        <w:rPr>
          <w:rFonts w:ascii="Arial" w:hAnsi="Arial" w:cs="Arial"/>
          <w:i/>
        </w:rPr>
        <w:t xml:space="preserve">Ngede </w:t>
      </w:r>
      <w:r w:rsidRPr="00C66F24">
        <w:rPr>
          <w:rFonts w:ascii="Arial" w:hAnsi="Arial" w:cs="Arial"/>
        </w:rPr>
        <w:t>paras 20-21.</w:t>
      </w:r>
    </w:p>
  </w:footnote>
  <w:footnote w:id="7">
    <w:p w:rsidR="00D4560A" w:rsidRPr="00C66F24" w:rsidRDefault="00D4560A"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0064561A" w:rsidRPr="00C66F24">
        <w:rPr>
          <w:rFonts w:ascii="Arial" w:hAnsi="Arial" w:cs="Arial"/>
        </w:rPr>
        <w:t>1977 (4) SA 298 (A) at 304D-F.</w:t>
      </w:r>
    </w:p>
  </w:footnote>
  <w:footnote w:id="8">
    <w:p w:rsidR="0064561A" w:rsidRPr="00C66F24" w:rsidRDefault="0064561A"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 xml:space="preserve">Handl </w:t>
      </w:r>
      <w:r w:rsidRPr="00C66F24">
        <w:rPr>
          <w:rFonts w:ascii="Arial" w:hAnsi="Arial" w:cs="Arial"/>
        </w:rPr>
        <w:t>para 16.</w:t>
      </w:r>
    </w:p>
  </w:footnote>
  <w:footnote w:id="9">
    <w:p w:rsidR="0064561A" w:rsidRPr="00C66F24" w:rsidRDefault="0064561A"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 xml:space="preserve">Finishing Touch 163 (Pty) Ltd v BHP Billiton Energy Coal South Africa Ltd &amp; others </w:t>
      </w:r>
      <w:r w:rsidRPr="00C66F24">
        <w:rPr>
          <w:rFonts w:ascii="Arial" w:hAnsi="Arial" w:cs="Arial"/>
        </w:rPr>
        <w:t xml:space="preserve">2013 (2) SA 204 </w:t>
      </w:r>
      <w:r w:rsidR="00557D6C">
        <w:rPr>
          <w:rFonts w:ascii="Arial" w:hAnsi="Arial" w:cs="Arial"/>
        </w:rPr>
        <w:t xml:space="preserve">(SCA) </w:t>
      </w:r>
      <w:r w:rsidRPr="00C66F24">
        <w:rPr>
          <w:rFonts w:ascii="Arial" w:hAnsi="Arial" w:cs="Arial"/>
        </w:rPr>
        <w:t>para 13.</w:t>
      </w:r>
    </w:p>
  </w:footnote>
  <w:footnote w:id="10">
    <w:p w:rsidR="0064561A" w:rsidRPr="00C66F24" w:rsidRDefault="0064561A"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 xml:space="preserve">Eke v Parsons </w:t>
      </w:r>
      <w:r w:rsidRPr="00C66F24">
        <w:rPr>
          <w:rFonts w:ascii="Arial" w:hAnsi="Arial" w:cs="Arial"/>
        </w:rPr>
        <w:t xml:space="preserve">2016 (3) SA 37 (CC) para 29; </w:t>
      </w:r>
      <w:r w:rsidRPr="00C66F24">
        <w:rPr>
          <w:rFonts w:ascii="Arial" w:hAnsi="Arial" w:cs="Arial"/>
          <w:i/>
        </w:rPr>
        <w:t xml:space="preserve">Member of the Executive Council for Health, Gauteng Provincial Government v PN </w:t>
      </w:r>
      <w:r w:rsidRPr="00C66F24">
        <w:rPr>
          <w:rFonts w:ascii="Arial" w:hAnsi="Arial" w:cs="Arial"/>
        </w:rPr>
        <w:t>2021 (6) BCLR 584 (CC) para 22.</w:t>
      </w:r>
    </w:p>
  </w:footnote>
  <w:footnote w:id="11">
    <w:p w:rsidR="00AB1DB9" w:rsidRPr="00C66F24" w:rsidRDefault="00AB1DB9" w:rsidP="0069795E">
      <w:pPr>
        <w:pStyle w:val="FootnoteText"/>
        <w:jc w:val="both"/>
        <w:rPr>
          <w:rFonts w:ascii="Arial" w:hAnsi="Arial" w:cs="Arial"/>
        </w:rPr>
      </w:pPr>
      <w:r w:rsidRPr="00C66F24">
        <w:rPr>
          <w:rStyle w:val="FootnoteReference"/>
          <w:rFonts w:ascii="Arial" w:hAnsi="Arial" w:cs="Arial"/>
        </w:rPr>
        <w:footnoteRef/>
      </w:r>
      <w:r w:rsidR="003A3301" w:rsidRPr="00C66F24">
        <w:rPr>
          <w:rFonts w:ascii="Arial" w:hAnsi="Arial" w:cs="Arial"/>
        </w:rPr>
        <w:t xml:space="preserve"> </w:t>
      </w:r>
      <w:r w:rsidR="003A3301" w:rsidRPr="00C66F24">
        <w:rPr>
          <w:rFonts w:ascii="Arial" w:hAnsi="Arial" w:cs="Arial"/>
          <w:i/>
        </w:rPr>
        <w:t xml:space="preserve">Total Namibia (Pty) Ltd v OBM Engineering and Petroleum Distributors CC </w:t>
      </w:r>
      <w:r w:rsidR="003A3301" w:rsidRPr="00C66F24">
        <w:rPr>
          <w:rFonts w:ascii="Arial" w:hAnsi="Arial" w:cs="Arial"/>
        </w:rPr>
        <w:t xml:space="preserve">2015 (3) NR 733 (SC) </w:t>
      </w:r>
      <w:r w:rsidR="00393708" w:rsidRPr="00C66F24">
        <w:rPr>
          <w:rFonts w:ascii="Arial" w:hAnsi="Arial" w:cs="Arial"/>
        </w:rPr>
        <w:t xml:space="preserve">and followed in this context by </w:t>
      </w:r>
      <w:r w:rsidR="00393708" w:rsidRPr="00C66F24">
        <w:rPr>
          <w:rFonts w:ascii="Arial" w:hAnsi="Arial" w:cs="Arial"/>
          <w:i/>
        </w:rPr>
        <w:t>Fischer</w:t>
      </w:r>
      <w:r w:rsidR="00393708" w:rsidRPr="00C66F24">
        <w:rPr>
          <w:rFonts w:ascii="Arial" w:hAnsi="Arial" w:cs="Arial"/>
        </w:rPr>
        <w:t xml:space="preserve"> para 27.</w:t>
      </w:r>
    </w:p>
  </w:footnote>
  <w:footnote w:id="12">
    <w:p w:rsidR="003A3301" w:rsidRPr="00C66F24" w:rsidRDefault="003A3301"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Para</w:t>
      </w:r>
      <w:r w:rsidR="00B93393">
        <w:rPr>
          <w:rFonts w:ascii="Arial" w:hAnsi="Arial" w:cs="Arial"/>
        </w:rPr>
        <w:t>s</w:t>
      </w:r>
      <w:r w:rsidRPr="00C66F24">
        <w:rPr>
          <w:rFonts w:ascii="Arial" w:hAnsi="Arial" w:cs="Arial"/>
        </w:rPr>
        <w:t xml:space="preserve"> 27 and 28.</w:t>
      </w:r>
    </w:p>
  </w:footnote>
  <w:footnote w:id="13">
    <w:p w:rsidR="00E271F7" w:rsidRPr="00C66F24" w:rsidRDefault="00E271F7"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 xml:space="preserve">CRAN </w:t>
      </w:r>
      <w:r w:rsidRPr="00C66F24">
        <w:rPr>
          <w:rFonts w:ascii="Arial" w:hAnsi="Arial" w:cs="Arial"/>
        </w:rPr>
        <w:t>paras 87-93.</w:t>
      </w:r>
    </w:p>
  </w:footnote>
  <w:footnote w:id="14">
    <w:p w:rsidR="00BA46DD" w:rsidRPr="00C66F24" w:rsidRDefault="00BA46DD"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Pr="00C66F24">
        <w:rPr>
          <w:rFonts w:ascii="Arial" w:hAnsi="Arial" w:cs="Arial"/>
          <w:i/>
        </w:rPr>
        <w:t xml:space="preserve">Occupiers of Saratoga Avenue v City of Johannesburg Metropolitan Municipality &amp; another </w:t>
      </w:r>
      <w:r w:rsidRPr="00C66F24">
        <w:rPr>
          <w:rFonts w:ascii="Arial" w:hAnsi="Arial" w:cs="Arial"/>
        </w:rPr>
        <w:t>20</w:t>
      </w:r>
      <w:r w:rsidR="00B93393">
        <w:rPr>
          <w:rFonts w:ascii="Arial" w:hAnsi="Arial" w:cs="Arial"/>
        </w:rPr>
        <w:t>12</w:t>
      </w:r>
      <w:r w:rsidRPr="00C66F24">
        <w:rPr>
          <w:rFonts w:ascii="Arial" w:hAnsi="Arial" w:cs="Arial"/>
        </w:rPr>
        <w:t xml:space="preserve"> (</w:t>
      </w:r>
      <w:r w:rsidR="00B93393">
        <w:rPr>
          <w:rFonts w:ascii="Arial" w:hAnsi="Arial" w:cs="Arial"/>
        </w:rPr>
        <w:t>9</w:t>
      </w:r>
      <w:r w:rsidRPr="00C66F24">
        <w:rPr>
          <w:rFonts w:ascii="Arial" w:hAnsi="Arial" w:cs="Arial"/>
        </w:rPr>
        <w:t xml:space="preserve">) BCLR 951 (CC) </w:t>
      </w:r>
      <w:r w:rsidR="00557D6C">
        <w:rPr>
          <w:rFonts w:ascii="Arial" w:hAnsi="Arial" w:cs="Arial"/>
        </w:rPr>
        <w:t xml:space="preserve">(24 May 2012) </w:t>
      </w:r>
      <w:r w:rsidRPr="00C66F24">
        <w:rPr>
          <w:rFonts w:ascii="Arial" w:hAnsi="Arial" w:cs="Arial"/>
        </w:rPr>
        <w:t>para 7;</w:t>
      </w:r>
      <w:r w:rsidRPr="00C66F24">
        <w:rPr>
          <w:rFonts w:ascii="Arial" w:hAnsi="Arial" w:cs="Arial"/>
          <w:i/>
        </w:rPr>
        <w:t xml:space="preserve"> General Accident Versekeringsmaatskappy van Suid Africa Bpk v Baily N.O. </w:t>
      </w:r>
      <w:r w:rsidRPr="00C66F24">
        <w:rPr>
          <w:rFonts w:ascii="Arial" w:hAnsi="Arial" w:cs="Arial"/>
        </w:rPr>
        <w:t>1988 (4) SA 353 (A) at 358H-I.</w:t>
      </w:r>
    </w:p>
  </w:footnote>
  <w:footnote w:id="15">
    <w:p w:rsidR="00A85930" w:rsidRPr="00C66F24" w:rsidRDefault="00A85930"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00B93393">
        <w:rPr>
          <w:rFonts w:ascii="Arial" w:hAnsi="Arial" w:cs="Arial"/>
          <w:i/>
        </w:rPr>
        <w:t>CRAN</w:t>
      </w:r>
      <w:r w:rsidRPr="00C66F24">
        <w:rPr>
          <w:rFonts w:ascii="Arial" w:hAnsi="Arial" w:cs="Arial"/>
        </w:rPr>
        <w:t xml:space="preserve"> para 105.</w:t>
      </w:r>
    </w:p>
  </w:footnote>
  <w:footnote w:id="16">
    <w:p w:rsidR="00393708" w:rsidRPr="00C66F24" w:rsidRDefault="00393708"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00B93393">
        <w:rPr>
          <w:rFonts w:ascii="Arial" w:hAnsi="Arial" w:cs="Arial"/>
          <w:i/>
        </w:rPr>
        <w:t>CRAN</w:t>
      </w:r>
      <w:r w:rsidRPr="00C66F24">
        <w:rPr>
          <w:rFonts w:ascii="Arial" w:hAnsi="Arial" w:cs="Arial"/>
        </w:rPr>
        <w:t xml:space="preserve"> para 105 – 106.</w:t>
      </w:r>
    </w:p>
  </w:footnote>
  <w:footnote w:id="17">
    <w:p w:rsidR="000B2339" w:rsidRPr="00C66F24" w:rsidRDefault="000B2339"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At 715F.</w:t>
      </w:r>
    </w:p>
  </w:footnote>
  <w:footnote w:id="18">
    <w:p w:rsidR="000B2339" w:rsidRPr="00C66F24" w:rsidRDefault="000B2339"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At 715</w:t>
      </w:r>
      <w:r w:rsidR="00BB7BCA">
        <w:rPr>
          <w:rFonts w:ascii="Arial" w:hAnsi="Arial" w:cs="Arial"/>
        </w:rPr>
        <w:t>F-</w:t>
      </w:r>
      <w:r w:rsidRPr="00C66F24">
        <w:rPr>
          <w:rFonts w:ascii="Arial" w:hAnsi="Arial" w:cs="Arial"/>
        </w:rPr>
        <w:t>G.</w:t>
      </w:r>
    </w:p>
  </w:footnote>
  <w:footnote w:id="19">
    <w:p w:rsidR="008B750C" w:rsidRPr="00C66F24" w:rsidRDefault="008B750C"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00B93393">
        <w:rPr>
          <w:rFonts w:ascii="Arial" w:hAnsi="Arial" w:cs="Arial"/>
        </w:rPr>
        <w:t xml:space="preserve">At </w:t>
      </w:r>
      <w:r w:rsidRPr="00C66F24">
        <w:rPr>
          <w:rFonts w:ascii="Arial" w:hAnsi="Arial" w:cs="Arial"/>
        </w:rPr>
        <w:t>716</w:t>
      </w:r>
      <w:r w:rsidR="00BB7BCA">
        <w:rPr>
          <w:rFonts w:ascii="Arial" w:hAnsi="Arial" w:cs="Arial"/>
        </w:rPr>
        <w:t>B-</w:t>
      </w:r>
      <w:r w:rsidRPr="00C66F24">
        <w:rPr>
          <w:rFonts w:ascii="Arial" w:hAnsi="Arial" w:cs="Arial"/>
        </w:rPr>
        <w:t>C.</w:t>
      </w:r>
    </w:p>
  </w:footnote>
  <w:footnote w:id="20">
    <w:p w:rsidR="008B750C" w:rsidRPr="00C66F24" w:rsidRDefault="008B750C"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Para 27.</w:t>
      </w:r>
    </w:p>
  </w:footnote>
  <w:footnote w:id="21">
    <w:p w:rsidR="00D43BEB" w:rsidRPr="00C66F24" w:rsidRDefault="00D43BEB"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2015 (1) NR 260 (HC) para 67</w:t>
      </w:r>
      <w:r w:rsidR="00B93393">
        <w:rPr>
          <w:rFonts w:ascii="Arial" w:hAnsi="Arial" w:cs="Arial"/>
        </w:rPr>
        <w:t xml:space="preserve"> (</w:t>
      </w:r>
      <w:r w:rsidR="00B93393">
        <w:rPr>
          <w:rFonts w:ascii="Arial" w:hAnsi="Arial" w:cs="Arial"/>
          <w:i/>
        </w:rPr>
        <w:t>SAPA</w:t>
      </w:r>
      <w:r w:rsidR="00B93393" w:rsidRPr="00B93393">
        <w:rPr>
          <w:rFonts w:ascii="Arial" w:hAnsi="Arial" w:cs="Arial"/>
        </w:rPr>
        <w:t>)</w:t>
      </w:r>
      <w:r w:rsidRPr="00C66F24">
        <w:rPr>
          <w:rFonts w:ascii="Arial" w:hAnsi="Arial" w:cs="Arial"/>
        </w:rPr>
        <w:t>.</w:t>
      </w:r>
    </w:p>
  </w:footnote>
  <w:footnote w:id="22">
    <w:p w:rsidR="00742DD0" w:rsidRPr="00C66F24" w:rsidRDefault="00742DD0" w:rsidP="0069795E">
      <w:pPr>
        <w:pStyle w:val="FootnoteText"/>
        <w:jc w:val="both"/>
        <w:rPr>
          <w:rFonts w:ascii="Arial" w:hAnsi="Arial" w:cs="Arial"/>
        </w:rPr>
      </w:pPr>
      <w:r w:rsidRPr="00C66F24">
        <w:rPr>
          <w:rStyle w:val="FootnoteReference"/>
          <w:rFonts w:ascii="Arial" w:hAnsi="Arial" w:cs="Arial"/>
        </w:rPr>
        <w:footnoteRef/>
      </w:r>
      <w:r w:rsidRPr="00C66F24">
        <w:rPr>
          <w:rFonts w:ascii="Arial" w:hAnsi="Arial" w:cs="Arial"/>
        </w:rPr>
        <w:t xml:space="preserve"> </w:t>
      </w:r>
      <w:r w:rsidR="00384FD6" w:rsidRPr="00C66F24">
        <w:rPr>
          <w:rFonts w:ascii="Arial" w:hAnsi="Arial" w:cs="Arial"/>
        </w:rPr>
        <w:t>P</w:t>
      </w:r>
      <w:r w:rsidRPr="00C66F24">
        <w:rPr>
          <w:rFonts w:ascii="Arial" w:hAnsi="Arial" w:cs="Arial"/>
        </w:rPr>
        <w:t>ara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5B2665" w:rsidRPr="00111C5B" w:rsidRDefault="005B266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8E7528">
          <w:rPr>
            <w:rFonts w:ascii="Arial" w:hAnsi="Arial" w:cs="Arial"/>
            <w:noProof/>
            <w:sz w:val="24"/>
            <w:szCs w:val="24"/>
          </w:rPr>
          <w:t>21</w:t>
        </w:r>
        <w:r w:rsidRPr="00111C5B">
          <w:rPr>
            <w:rFonts w:ascii="Arial" w:hAnsi="Arial" w:cs="Arial"/>
            <w:noProof/>
            <w:sz w:val="24"/>
            <w:szCs w:val="24"/>
          </w:rPr>
          <w:fldChar w:fldCharType="end"/>
        </w:r>
      </w:p>
    </w:sdtContent>
  </w:sdt>
  <w:p w:rsidR="005B2665" w:rsidRDefault="005B2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1"/>
  </w:num>
  <w:num w:numId="6">
    <w:abstractNumId w:val="12"/>
  </w:num>
  <w:num w:numId="7">
    <w:abstractNumId w:val="10"/>
  </w:num>
  <w:num w:numId="8">
    <w:abstractNumId w:val="8"/>
  </w:num>
  <w:num w:numId="9">
    <w:abstractNumId w:val="3"/>
  </w:num>
  <w:num w:numId="10">
    <w:abstractNumId w:val="5"/>
  </w:num>
  <w:num w:numId="11">
    <w:abstractNumId w:val="9"/>
  </w:num>
  <w:num w:numId="12">
    <w:abstractNumId w:val="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C4D"/>
    <w:rsid w:val="00004F3A"/>
    <w:rsid w:val="0000525D"/>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4227"/>
    <w:rsid w:val="00034839"/>
    <w:rsid w:val="000400C4"/>
    <w:rsid w:val="00040AC4"/>
    <w:rsid w:val="00042A20"/>
    <w:rsid w:val="00042B3A"/>
    <w:rsid w:val="000433D8"/>
    <w:rsid w:val="00043713"/>
    <w:rsid w:val="00044AD2"/>
    <w:rsid w:val="00045931"/>
    <w:rsid w:val="000478EF"/>
    <w:rsid w:val="00050DFF"/>
    <w:rsid w:val="00052049"/>
    <w:rsid w:val="00052B8A"/>
    <w:rsid w:val="00055805"/>
    <w:rsid w:val="00057B7B"/>
    <w:rsid w:val="000610A3"/>
    <w:rsid w:val="00062308"/>
    <w:rsid w:val="000626CC"/>
    <w:rsid w:val="00064340"/>
    <w:rsid w:val="000643B5"/>
    <w:rsid w:val="00065459"/>
    <w:rsid w:val="00066723"/>
    <w:rsid w:val="00070506"/>
    <w:rsid w:val="0007080A"/>
    <w:rsid w:val="00071EB4"/>
    <w:rsid w:val="00073046"/>
    <w:rsid w:val="00073B76"/>
    <w:rsid w:val="00073FC7"/>
    <w:rsid w:val="00074D92"/>
    <w:rsid w:val="00074FBE"/>
    <w:rsid w:val="0007542D"/>
    <w:rsid w:val="00075678"/>
    <w:rsid w:val="00075ABD"/>
    <w:rsid w:val="00076790"/>
    <w:rsid w:val="00076931"/>
    <w:rsid w:val="00076F53"/>
    <w:rsid w:val="000778A2"/>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2F02"/>
    <w:rsid w:val="000A31F1"/>
    <w:rsid w:val="000A3C68"/>
    <w:rsid w:val="000A3CA0"/>
    <w:rsid w:val="000A3CE5"/>
    <w:rsid w:val="000A3F6B"/>
    <w:rsid w:val="000A4DEC"/>
    <w:rsid w:val="000B06C9"/>
    <w:rsid w:val="000B0A11"/>
    <w:rsid w:val="000B1CCA"/>
    <w:rsid w:val="000B2339"/>
    <w:rsid w:val="000B303E"/>
    <w:rsid w:val="000B587E"/>
    <w:rsid w:val="000B5B95"/>
    <w:rsid w:val="000B6715"/>
    <w:rsid w:val="000B75AB"/>
    <w:rsid w:val="000C1390"/>
    <w:rsid w:val="000C2A58"/>
    <w:rsid w:val="000C2D19"/>
    <w:rsid w:val="000C4126"/>
    <w:rsid w:val="000C4A34"/>
    <w:rsid w:val="000C5AE6"/>
    <w:rsid w:val="000C5C13"/>
    <w:rsid w:val="000D1ADC"/>
    <w:rsid w:val="000D1E08"/>
    <w:rsid w:val="000D1F3C"/>
    <w:rsid w:val="000D2762"/>
    <w:rsid w:val="000D3FA5"/>
    <w:rsid w:val="000E008B"/>
    <w:rsid w:val="000E0BFC"/>
    <w:rsid w:val="000E3DF0"/>
    <w:rsid w:val="000E4E76"/>
    <w:rsid w:val="000E5305"/>
    <w:rsid w:val="000E6B27"/>
    <w:rsid w:val="000E6CCD"/>
    <w:rsid w:val="000E6D80"/>
    <w:rsid w:val="000F1A59"/>
    <w:rsid w:val="000F27F1"/>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5038"/>
    <w:rsid w:val="0013608D"/>
    <w:rsid w:val="00136880"/>
    <w:rsid w:val="00140678"/>
    <w:rsid w:val="00140A9D"/>
    <w:rsid w:val="001423E7"/>
    <w:rsid w:val="0014303A"/>
    <w:rsid w:val="0014338B"/>
    <w:rsid w:val="00144DDF"/>
    <w:rsid w:val="001450C8"/>
    <w:rsid w:val="00147ACF"/>
    <w:rsid w:val="0015020C"/>
    <w:rsid w:val="0015083E"/>
    <w:rsid w:val="00151CCB"/>
    <w:rsid w:val="00151FFA"/>
    <w:rsid w:val="00153F19"/>
    <w:rsid w:val="00154104"/>
    <w:rsid w:val="001559C5"/>
    <w:rsid w:val="0015782D"/>
    <w:rsid w:val="001578CD"/>
    <w:rsid w:val="001617C5"/>
    <w:rsid w:val="00161C35"/>
    <w:rsid w:val="001624CF"/>
    <w:rsid w:val="001634AF"/>
    <w:rsid w:val="00163660"/>
    <w:rsid w:val="00164734"/>
    <w:rsid w:val="00166793"/>
    <w:rsid w:val="00167F33"/>
    <w:rsid w:val="0017081A"/>
    <w:rsid w:val="0017115B"/>
    <w:rsid w:val="00171B66"/>
    <w:rsid w:val="00171BA2"/>
    <w:rsid w:val="00173532"/>
    <w:rsid w:val="00180CE0"/>
    <w:rsid w:val="001819C6"/>
    <w:rsid w:val="00182B59"/>
    <w:rsid w:val="001838C9"/>
    <w:rsid w:val="00183FB8"/>
    <w:rsid w:val="00184D66"/>
    <w:rsid w:val="00185996"/>
    <w:rsid w:val="00186BB3"/>
    <w:rsid w:val="001873C6"/>
    <w:rsid w:val="00190F70"/>
    <w:rsid w:val="00192135"/>
    <w:rsid w:val="00192C2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4200"/>
    <w:rsid w:val="001B4618"/>
    <w:rsid w:val="001B61E6"/>
    <w:rsid w:val="001C1FD2"/>
    <w:rsid w:val="001C25C8"/>
    <w:rsid w:val="001C25CA"/>
    <w:rsid w:val="001C2720"/>
    <w:rsid w:val="001C518C"/>
    <w:rsid w:val="001C558D"/>
    <w:rsid w:val="001C6E80"/>
    <w:rsid w:val="001C735C"/>
    <w:rsid w:val="001C73CA"/>
    <w:rsid w:val="001C7DF6"/>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4CB8"/>
    <w:rsid w:val="001F634C"/>
    <w:rsid w:val="001F7942"/>
    <w:rsid w:val="0020220F"/>
    <w:rsid w:val="0020312C"/>
    <w:rsid w:val="002037AE"/>
    <w:rsid w:val="0020572A"/>
    <w:rsid w:val="00206744"/>
    <w:rsid w:val="002070CF"/>
    <w:rsid w:val="00207296"/>
    <w:rsid w:val="002078F3"/>
    <w:rsid w:val="00207960"/>
    <w:rsid w:val="00207D05"/>
    <w:rsid w:val="0021448D"/>
    <w:rsid w:val="00215D8F"/>
    <w:rsid w:val="002212AD"/>
    <w:rsid w:val="002245DA"/>
    <w:rsid w:val="00224757"/>
    <w:rsid w:val="00230B7C"/>
    <w:rsid w:val="002314E5"/>
    <w:rsid w:val="002317A5"/>
    <w:rsid w:val="0023277C"/>
    <w:rsid w:val="002337F7"/>
    <w:rsid w:val="0023393F"/>
    <w:rsid w:val="00235497"/>
    <w:rsid w:val="00235E57"/>
    <w:rsid w:val="00236C2D"/>
    <w:rsid w:val="0023748C"/>
    <w:rsid w:val="00241075"/>
    <w:rsid w:val="00243CB0"/>
    <w:rsid w:val="002441F9"/>
    <w:rsid w:val="002444CD"/>
    <w:rsid w:val="00244664"/>
    <w:rsid w:val="002447B6"/>
    <w:rsid w:val="002457A4"/>
    <w:rsid w:val="00246463"/>
    <w:rsid w:val="00250021"/>
    <w:rsid w:val="00250B14"/>
    <w:rsid w:val="00251412"/>
    <w:rsid w:val="00262874"/>
    <w:rsid w:val="00262EF8"/>
    <w:rsid w:val="0026340F"/>
    <w:rsid w:val="00263481"/>
    <w:rsid w:val="00263B18"/>
    <w:rsid w:val="002647B9"/>
    <w:rsid w:val="002658ED"/>
    <w:rsid w:val="00265CF9"/>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956"/>
    <w:rsid w:val="00291B16"/>
    <w:rsid w:val="002933AF"/>
    <w:rsid w:val="00294302"/>
    <w:rsid w:val="0029556C"/>
    <w:rsid w:val="00295AE2"/>
    <w:rsid w:val="00296238"/>
    <w:rsid w:val="002A24E5"/>
    <w:rsid w:val="002A2B5C"/>
    <w:rsid w:val="002A4C01"/>
    <w:rsid w:val="002A6E22"/>
    <w:rsid w:val="002B0CAC"/>
    <w:rsid w:val="002B1CE3"/>
    <w:rsid w:val="002B2412"/>
    <w:rsid w:val="002B2DA3"/>
    <w:rsid w:val="002B3B7D"/>
    <w:rsid w:val="002B5CF1"/>
    <w:rsid w:val="002B64F5"/>
    <w:rsid w:val="002B6F2A"/>
    <w:rsid w:val="002C0FC3"/>
    <w:rsid w:val="002C0FF2"/>
    <w:rsid w:val="002C1199"/>
    <w:rsid w:val="002C1633"/>
    <w:rsid w:val="002C2CDC"/>
    <w:rsid w:val="002C3E6D"/>
    <w:rsid w:val="002C568C"/>
    <w:rsid w:val="002C758D"/>
    <w:rsid w:val="002D1B71"/>
    <w:rsid w:val="002D1D8D"/>
    <w:rsid w:val="002D1E38"/>
    <w:rsid w:val="002D1F1E"/>
    <w:rsid w:val="002D39D6"/>
    <w:rsid w:val="002D4EE0"/>
    <w:rsid w:val="002D5C8C"/>
    <w:rsid w:val="002D5D6D"/>
    <w:rsid w:val="002D60C7"/>
    <w:rsid w:val="002E2321"/>
    <w:rsid w:val="002E2625"/>
    <w:rsid w:val="002E3346"/>
    <w:rsid w:val="002E426A"/>
    <w:rsid w:val="002E43C6"/>
    <w:rsid w:val="002E4E6A"/>
    <w:rsid w:val="002E708E"/>
    <w:rsid w:val="002F12B3"/>
    <w:rsid w:val="002F1E29"/>
    <w:rsid w:val="002F27EF"/>
    <w:rsid w:val="002F3401"/>
    <w:rsid w:val="002F4498"/>
    <w:rsid w:val="002F4F51"/>
    <w:rsid w:val="002F52F9"/>
    <w:rsid w:val="002F6451"/>
    <w:rsid w:val="002F6AE9"/>
    <w:rsid w:val="002F7D7C"/>
    <w:rsid w:val="0030014D"/>
    <w:rsid w:val="00300CD3"/>
    <w:rsid w:val="003039EF"/>
    <w:rsid w:val="003042AF"/>
    <w:rsid w:val="003046F4"/>
    <w:rsid w:val="00305FE9"/>
    <w:rsid w:val="00306CA5"/>
    <w:rsid w:val="0030702B"/>
    <w:rsid w:val="0030737F"/>
    <w:rsid w:val="0030775E"/>
    <w:rsid w:val="003107F9"/>
    <w:rsid w:val="00310940"/>
    <w:rsid w:val="00312262"/>
    <w:rsid w:val="003122F6"/>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46D7E"/>
    <w:rsid w:val="00350638"/>
    <w:rsid w:val="00351E20"/>
    <w:rsid w:val="00352985"/>
    <w:rsid w:val="00353481"/>
    <w:rsid w:val="003551AC"/>
    <w:rsid w:val="00357C85"/>
    <w:rsid w:val="003619CC"/>
    <w:rsid w:val="00361E96"/>
    <w:rsid w:val="00362560"/>
    <w:rsid w:val="00363974"/>
    <w:rsid w:val="00370025"/>
    <w:rsid w:val="00373028"/>
    <w:rsid w:val="003745AA"/>
    <w:rsid w:val="0037609A"/>
    <w:rsid w:val="003801E5"/>
    <w:rsid w:val="00381349"/>
    <w:rsid w:val="00381678"/>
    <w:rsid w:val="00384FD6"/>
    <w:rsid w:val="003863FC"/>
    <w:rsid w:val="003879E0"/>
    <w:rsid w:val="00387E33"/>
    <w:rsid w:val="003910DA"/>
    <w:rsid w:val="00392539"/>
    <w:rsid w:val="00393708"/>
    <w:rsid w:val="00395B99"/>
    <w:rsid w:val="00396B62"/>
    <w:rsid w:val="003A1DAC"/>
    <w:rsid w:val="003A2101"/>
    <w:rsid w:val="003A31DE"/>
    <w:rsid w:val="003A3301"/>
    <w:rsid w:val="003A409D"/>
    <w:rsid w:val="003A4CE3"/>
    <w:rsid w:val="003A5B4A"/>
    <w:rsid w:val="003A6287"/>
    <w:rsid w:val="003A78BA"/>
    <w:rsid w:val="003A7F91"/>
    <w:rsid w:val="003B0665"/>
    <w:rsid w:val="003B1AAE"/>
    <w:rsid w:val="003B2957"/>
    <w:rsid w:val="003B3FCB"/>
    <w:rsid w:val="003B5B36"/>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4B94"/>
    <w:rsid w:val="003D6A9C"/>
    <w:rsid w:val="003D6C13"/>
    <w:rsid w:val="003D721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1E6"/>
    <w:rsid w:val="00436AEB"/>
    <w:rsid w:val="00437C60"/>
    <w:rsid w:val="004413BD"/>
    <w:rsid w:val="004425FC"/>
    <w:rsid w:val="004442F9"/>
    <w:rsid w:val="0044469D"/>
    <w:rsid w:val="0044735D"/>
    <w:rsid w:val="0044790E"/>
    <w:rsid w:val="00450915"/>
    <w:rsid w:val="00451609"/>
    <w:rsid w:val="00454EC2"/>
    <w:rsid w:val="00455D55"/>
    <w:rsid w:val="004569B7"/>
    <w:rsid w:val="00456D8B"/>
    <w:rsid w:val="004577FF"/>
    <w:rsid w:val="00457F24"/>
    <w:rsid w:val="00461198"/>
    <w:rsid w:val="004616CD"/>
    <w:rsid w:val="00461B37"/>
    <w:rsid w:val="0046497D"/>
    <w:rsid w:val="00464AAA"/>
    <w:rsid w:val="00470864"/>
    <w:rsid w:val="00472E19"/>
    <w:rsid w:val="004732FD"/>
    <w:rsid w:val="004738B5"/>
    <w:rsid w:val="0047500B"/>
    <w:rsid w:val="00475114"/>
    <w:rsid w:val="00475F4A"/>
    <w:rsid w:val="00476925"/>
    <w:rsid w:val="004774C0"/>
    <w:rsid w:val="00480C4E"/>
    <w:rsid w:val="00481680"/>
    <w:rsid w:val="00483F40"/>
    <w:rsid w:val="00485805"/>
    <w:rsid w:val="0048592A"/>
    <w:rsid w:val="00485BB6"/>
    <w:rsid w:val="004921A4"/>
    <w:rsid w:val="00492B12"/>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AC9"/>
    <w:rsid w:val="004A7883"/>
    <w:rsid w:val="004B07A4"/>
    <w:rsid w:val="004B1588"/>
    <w:rsid w:val="004B161D"/>
    <w:rsid w:val="004B2A80"/>
    <w:rsid w:val="004B31D9"/>
    <w:rsid w:val="004B4AEE"/>
    <w:rsid w:val="004B584B"/>
    <w:rsid w:val="004B6477"/>
    <w:rsid w:val="004B6BA4"/>
    <w:rsid w:val="004C0E0B"/>
    <w:rsid w:val="004C0E72"/>
    <w:rsid w:val="004C4D6B"/>
    <w:rsid w:val="004C50CB"/>
    <w:rsid w:val="004D023F"/>
    <w:rsid w:val="004D1969"/>
    <w:rsid w:val="004D221F"/>
    <w:rsid w:val="004D60BF"/>
    <w:rsid w:val="004D77F2"/>
    <w:rsid w:val="004E0F45"/>
    <w:rsid w:val="004E198A"/>
    <w:rsid w:val="004E1BBD"/>
    <w:rsid w:val="004E21E1"/>
    <w:rsid w:val="004E232B"/>
    <w:rsid w:val="004E2834"/>
    <w:rsid w:val="004E2A24"/>
    <w:rsid w:val="004E34E5"/>
    <w:rsid w:val="004E503B"/>
    <w:rsid w:val="004E69C6"/>
    <w:rsid w:val="004E6C81"/>
    <w:rsid w:val="004E6D91"/>
    <w:rsid w:val="004E7000"/>
    <w:rsid w:val="004F0B37"/>
    <w:rsid w:val="004F0C0D"/>
    <w:rsid w:val="004F15DB"/>
    <w:rsid w:val="004F2F0E"/>
    <w:rsid w:val="004F41EF"/>
    <w:rsid w:val="004F44AA"/>
    <w:rsid w:val="004F5128"/>
    <w:rsid w:val="004F5883"/>
    <w:rsid w:val="004F7B5B"/>
    <w:rsid w:val="004F7C7C"/>
    <w:rsid w:val="00501505"/>
    <w:rsid w:val="00502B4B"/>
    <w:rsid w:val="00503269"/>
    <w:rsid w:val="00504C6E"/>
    <w:rsid w:val="005050C6"/>
    <w:rsid w:val="00510B8B"/>
    <w:rsid w:val="00511905"/>
    <w:rsid w:val="00512A29"/>
    <w:rsid w:val="00512CAD"/>
    <w:rsid w:val="00513468"/>
    <w:rsid w:val="005157B4"/>
    <w:rsid w:val="005168D5"/>
    <w:rsid w:val="00516D2E"/>
    <w:rsid w:val="00516EBB"/>
    <w:rsid w:val="005171C3"/>
    <w:rsid w:val="0051747D"/>
    <w:rsid w:val="00517EF4"/>
    <w:rsid w:val="005221AF"/>
    <w:rsid w:val="00523018"/>
    <w:rsid w:val="00523919"/>
    <w:rsid w:val="00524ED7"/>
    <w:rsid w:val="00525451"/>
    <w:rsid w:val="00525868"/>
    <w:rsid w:val="005301B6"/>
    <w:rsid w:val="0053087E"/>
    <w:rsid w:val="00530881"/>
    <w:rsid w:val="005318B8"/>
    <w:rsid w:val="00532C17"/>
    <w:rsid w:val="00532D93"/>
    <w:rsid w:val="00534547"/>
    <w:rsid w:val="005356B1"/>
    <w:rsid w:val="0053623E"/>
    <w:rsid w:val="00536A02"/>
    <w:rsid w:val="0053799E"/>
    <w:rsid w:val="00537DA8"/>
    <w:rsid w:val="00537DDD"/>
    <w:rsid w:val="0055044E"/>
    <w:rsid w:val="00550DE2"/>
    <w:rsid w:val="00551CFA"/>
    <w:rsid w:val="0055212E"/>
    <w:rsid w:val="00552F23"/>
    <w:rsid w:val="00552F70"/>
    <w:rsid w:val="00553821"/>
    <w:rsid w:val="00553981"/>
    <w:rsid w:val="00554FF4"/>
    <w:rsid w:val="00556075"/>
    <w:rsid w:val="00556D82"/>
    <w:rsid w:val="00557D6C"/>
    <w:rsid w:val="005617D0"/>
    <w:rsid w:val="00562666"/>
    <w:rsid w:val="00562E0B"/>
    <w:rsid w:val="00563855"/>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7010"/>
    <w:rsid w:val="00592466"/>
    <w:rsid w:val="0059472F"/>
    <w:rsid w:val="00594EA3"/>
    <w:rsid w:val="005A0E6E"/>
    <w:rsid w:val="005A2269"/>
    <w:rsid w:val="005A3F59"/>
    <w:rsid w:val="005A531E"/>
    <w:rsid w:val="005A73A9"/>
    <w:rsid w:val="005B2665"/>
    <w:rsid w:val="005B365F"/>
    <w:rsid w:val="005B4417"/>
    <w:rsid w:val="005B4785"/>
    <w:rsid w:val="005B483F"/>
    <w:rsid w:val="005B496A"/>
    <w:rsid w:val="005C0BAB"/>
    <w:rsid w:val="005C38CD"/>
    <w:rsid w:val="005C40C0"/>
    <w:rsid w:val="005C577D"/>
    <w:rsid w:val="005C5B26"/>
    <w:rsid w:val="005C6696"/>
    <w:rsid w:val="005D057E"/>
    <w:rsid w:val="005D1CBE"/>
    <w:rsid w:val="005D3137"/>
    <w:rsid w:val="005D534A"/>
    <w:rsid w:val="005D54CF"/>
    <w:rsid w:val="005D603E"/>
    <w:rsid w:val="005D6CA4"/>
    <w:rsid w:val="005D6E01"/>
    <w:rsid w:val="005E1AF8"/>
    <w:rsid w:val="005E22D2"/>
    <w:rsid w:val="005E2333"/>
    <w:rsid w:val="005E3190"/>
    <w:rsid w:val="005E4D0E"/>
    <w:rsid w:val="005F2A59"/>
    <w:rsid w:val="005F2BE5"/>
    <w:rsid w:val="005F3C82"/>
    <w:rsid w:val="005F68D7"/>
    <w:rsid w:val="005F71EA"/>
    <w:rsid w:val="00600BCA"/>
    <w:rsid w:val="00603C78"/>
    <w:rsid w:val="0060629F"/>
    <w:rsid w:val="00607F6F"/>
    <w:rsid w:val="006105DE"/>
    <w:rsid w:val="006134A5"/>
    <w:rsid w:val="0061491A"/>
    <w:rsid w:val="006160AD"/>
    <w:rsid w:val="006166D8"/>
    <w:rsid w:val="006207B6"/>
    <w:rsid w:val="00623F46"/>
    <w:rsid w:val="00624D99"/>
    <w:rsid w:val="00626913"/>
    <w:rsid w:val="00626A9F"/>
    <w:rsid w:val="00630329"/>
    <w:rsid w:val="00633338"/>
    <w:rsid w:val="00634C4D"/>
    <w:rsid w:val="00637546"/>
    <w:rsid w:val="006406F0"/>
    <w:rsid w:val="0064150D"/>
    <w:rsid w:val="00642FBC"/>
    <w:rsid w:val="00643C33"/>
    <w:rsid w:val="006445D0"/>
    <w:rsid w:val="00644878"/>
    <w:rsid w:val="00644C54"/>
    <w:rsid w:val="0064561A"/>
    <w:rsid w:val="00645F41"/>
    <w:rsid w:val="006515A9"/>
    <w:rsid w:val="00653333"/>
    <w:rsid w:val="00653E17"/>
    <w:rsid w:val="00654FB8"/>
    <w:rsid w:val="006556C0"/>
    <w:rsid w:val="00656CD1"/>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908E6"/>
    <w:rsid w:val="006912D3"/>
    <w:rsid w:val="00692548"/>
    <w:rsid w:val="0069532C"/>
    <w:rsid w:val="0069795E"/>
    <w:rsid w:val="006A06DE"/>
    <w:rsid w:val="006A29CE"/>
    <w:rsid w:val="006A368C"/>
    <w:rsid w:val="006A3D3C"/>
    <w:rsid w:val="006A6418"/>
    <w:rsid w:val="006A660B"/>
    <w:rsid w:val="006A7919"/>
    <w:rsid w:val="006A7F7A"/>
    <w:rsid w:val="006B2DF6"/>
    <w:rsid w:val="006B30C3"/>
    <w:rsid w:val="006B34C0"/>
    <w:rsid w:val="006B428A"/>
    <w:rsid w:val="006B79FA"/>
    <w:rsid w:val="006C367B"/>
    <w:rsid w:val="006C3C07"/>
    <w:rsid w:val="006C50CB"/>
    <w:rsid w:val="006C7E78"/>
    <w:rsid w:val="006D062C"/>
    <w:rsid w:val="006D094B"/>
    <w:rsid w:val="006D47AF"/>
    <w:rsid w:val="006D6DA9"/>
    <w:rsid w:val="006D7412"/>
    <w:rsid w:val="006E247C"/>
    <w:rsid w:val="006E2ABB"/>
    <w:rsid w:val="006E5B7E"/>
    <w:rsid w:val="006E698F"/>
    <w:rsid w:val="006F1A08"/>
    <w:rsid w:val="006F414C"/>
    <w:rsid w:val="006F4B7D"/>
    <w:rsid w:val="006F6A61"/>
    <w:rsid w:val="00700A0E"/>
    <w:rsid w:val="00700E33"/>
    <w:rsid w:val="0070158E"/>
    <w:rsid w:val="00701F58"/>
    <w:rsid w:val="00702C13"/>
    <w:rsid w:val="00703AD3"/>
    <w:rsid w:val="007046F9"/>
    <w:rsid w:val="00705CBF"/>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5ABD"/>
    <w:rsid w:val="00726AAE"/>
    <w:rsid w:val="007300FC"/>
    <w:rsid w:val="0073089B"/>
    <w:rsid w:val="00730A27"/>
    <w:rsid w:val="00730DB7"/>
    <w:rsid w:val="00732591"/>
    <w:rsid w:val="0073324C"/>
    <w:rsid w:val="00735106"/>
    <w:rsid w:val="00736B0D"/>
    <w:rsid w:val="007402BF"/>
    <w:rsid w:val="00742201"/>
    <w:rsid w:val="00742AE8"/>
    <w:rsid w:val="00742D5B"/>
    <w:rsid w:val="00742DD0"/>
    <w:rsid w:val="00744BC3"/>
    <w:rsid w:val="00744D03"/>
    <w:rsid w:val="00745BF5"/>
    <w:rsid w:val="00746290"/>
    <w:rsid w:val="00747138"/>
    <w:rsid w:val="00747300"/>
    <w:rsid w:val="00751F49"/>
    <w:rsid w:val="00752596"/>
    <w:rsid w:val="007531D6"/>
    <w:rsid w:val="007545D2"/>
    <w:rsid w:val="00754C2C"/>
    <w:rsid w:val="00761DFD"/>
    <w:rsid w:val="00765464"/>
    <w:rsid w:val="0076561C"/>
    <w:rsid w:val="00766963"/>
    <w:rsid w:val="00770A11"/>
    <w:rsid w:val="00770A4B"/>
    <w:rsid w:val="00771515"/>
    <w:rsid w:val="00771623"/>
    <w:rsid w:val="0077206A"/>
    <w:rsid w:val="00772F9D"/>
    <w:rsid w:val="00773035"/>
    <w:rsid w:val="00773E32"/>
    <w:rsid w:val="007740F6"/>
    <w:rsid w:val="007767BD"/>
    <w:rsid w:val="007807B5"/>
    <w:rsid w:val="00781A4E"/>
    <w:rsid w:val="00782A80"/>
    <w:rsid w:val="00782E56"/>
    <w:rsid w:val="007835AA"/>
    <w:rsid w:val="007841FA"/>
    <w:rsid w:val="0078589B"/>
    <w:rsid w:val="00786153"/>
    <w:rsid w:val="00786211"/>
    <w:rsid w:val="007867BC"/>
    <w:rsid w:val="00786DD2"/>
    <w:rsid w:val="00786DEA"/>
    <w:rsid w:val="00787313"/>
    <w:rsid w:val="00791CD4"/>
    <w:rsid w:val="00797315"/>
    <w:rsid w:val="007973FE"/>
    <w:rsid w:val="007A0174"/>
    <w:rsid w:val="007A073F"/>
    <w:rsid w:val="007A1203"/>
    <w:rsid w:val="007A31D0"/>
    <w:rsid w:val="007A4483"/>
    <w:rsid w:val="007A6033"/>
    <w:rsid w:val="007B02CA"/>
    <w:rsid w:val="007B0878"/>
    <w:rsid w:val="007B1DA5"/>
    <w:rsid w:val="007B28AB"/>
    <w:rsid w:val="007B3A5B"/>
    <w:rsid w:val="007B42C4"/>
    <w:rsid w:val="007B5B9E"/>
    <w:rsid w:val="007B6348"/>
    <w:rsid w:val="007B65BB"/>
    <w:rsid w:val="007B6930"/>
    <w:rsid w:val="007B728B"/>
    <w:rsid w:val="007B77E0"/>
    <w:rsid w:val="007C094C"/>
    <w:rsid w:val="007C19D8"/>
    <w:rsid w:val="007C3931"/>
    <w:rsid w:val="007C4E32"/>
    <w:rsid w:val="007C66D9"/>
    <w:rsid w:val="007C732D"/>
    <w:rsid w:val="007C7E3C"/>
    <w:rsid w:val="007D0D4C"/>
    <w:rsid w:val="007D0D7A"/>
    <w:rsid w:val="007D43B8"/>
    <w:rsid w:val="007D4AE8"/>
    <w:rsid w:val="007D5428"/>
    <w:rsid w:val="007D6B6E"/>
    <w:rsid w:val="007E349A"/>
    <w:rsid w:val="007E4BD8"/>
    <w:rsid w:val="007E5807"/>
    <w:rsid w:val="007E5D66"/>
    <w:rsid w:val="007E667C"/>
    <w:rsid w:val="007E7563"/>
    <w:rsid w:val="007E7CA2"/>
    <w:rsid w:val="007F0A19"/>
    <w:rsid w:val="007F10DC"/>
    <w:rsid w:val="007F18E3"/>
    <w:rsid w:val="007F2117"/>
    <w:rsid w:val="007F3458"/>
    <w:rsid w:val="007F5010"/>
    <w:rsid w:val="007F632F"/>
    <w:rsid w:val="007F6CEC"/>
    <w:rsid w:val="007F7003"/>
    <w:rsid w:val="007F76A6"/>
    <w:rsid w:val="007F7AA0"/>
    <w:rsid w:val="008005BF"/>
    <w:rsid w:val="00804852"/>
    <w:rsid w:val="008059C3"/>
    <w:rsid w:val="008077D6"/>
    <w:rsid w:val="00810824"/>
    <w:rsid w:val="008111C7"/>
    <w:rsid w:val="00811FDA"/>
    <w:rsid w:val="0081289A"/>
    <w:rsid w:val="008150CF"/>
    <w:rsid w:val="00817BE0"/>
    <w:rsid w:val="00820044"/>
    <w:rsid w:val="008217EC"/>
    <w:rsid w:val="00821BB0"/>
    <w:rsid w:val="008251AD"/>
    <w:rsid w:val="00825F8E"/>
    <w:rsid w:val="0082655F"/>
    <w:rsid w:val="00826CA7"/>
    <w:rsid w:val="008278FB"/>
    <w:rsid w:val="008301A4"/>
    <w:rsid w:val="00832B89"/>
    <w:rsid w:val="00835D11"/>
    <w:rsid w:val="0083603B"/>
    <w:rsid w:val="00837450"/>
    <w:rsid w:val="0084133D"/>
    <w:rsid w:val="00844974"/>
    <w:rsid w:val="00844A3F"/>
    <w:rsid w:val="0085015B"/>
    <w:rsid w:val="008519F4"/>
    <w:rsid w:val="00852FF1"/>
    <w:rsid w:val="00853E8A"/>
    <w:rsid w:val="008545FD"/>
    <w:rsid w:val="008547AD"/>
    <w:rsid w:val="00854DD1"/>
    <w:rsid w:val="00856376"/>
    <w:rsid w:val="0086095A"/>
    <w:rsid w:val="00860CDF"/>
    <w:rsid w:val="00860DA9"/>
    <w:rsid w:val="008641FA"/>
    <w:rsid w:val="00864712"/>
    <w:rsid w:val="0086653F"/>
    <w:rsid w:val="00866B3A"/>
    <w:rsid w:val="008703B0"/>
    <w:rsid w:val="00871D8F"/>
    <w:rsid w:val="0087241B"/>
    <w:rsid w:val="00872DE5"/>
    <w:rsid w:val="00872FFE"/>
    <w:rsid w:val="008730E4"/>
    <w:rsid w:val="008742E3"/>
    <w:rsid w:val="00874C97"/>
    <w:rsid w:val="008768C8"/>
    <w:rsid w:val="0088149D"/>
    <w:rsid w:val="00881C9F"/>
    <w:rsid w:val="008829E3"/>
    <w:rsid w:val="00887ACA"/>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B750C"/>
    <w:rsid w:val="008C024E"/>
    <w:rsid w:val="008C1A41"/>
    <w:rsid w:val="008C3165"/>
    <w:rsid w:val="008C3367"/>
    <w:rsid w:val="008C3CCB"/>
    <w:rsid w:val="008C73C8"/>
    <w:rsid w:val="008D13E9"/>
    <w:rsid w:val="008D2029"/>
    <w:rsid w:val="008D2384"/>
    <w:rsid w:val="008D259D"/>
    <w:rsid w:val="008D28F6"/>
    <w:rsid w:val="008D47EC"/>
    <w:rsid w:val="008D4E59"/>
    <w:rsid w:val="008D7C9D"/>
    <w:rsid w:val="008E0763"/>
    <w:rsid w:val="008E1D7B"/>
    <w:rsid w:val="008E24D5"/>
    <w:rsid w:val="008E25AA"/>
    <w:rsid w:val="008E3696"/>
    <w:rsid w:val="008E3D60"/>
    <w:rsid w:val="008E6FF0"/>
    <w:rsid w:val="008E7528"/>
    <w:rsid w:val="008E7A2B"/>
    <w:rsid w:val="008F0180"/>
    <w:rsid w:val="008F3E78"/>
    <w:rsid w:val="008F45CA"/>
    <w:rsid w:val="008F5849"/>
    <w:rsid w:val="00900E0B"/>
    <w:rsid w:val="009019E9"/>
    <w:rsid w:val="009021BA"/>
    <w:rsid w:val="009022B5"/>
    <w:rsid w:val="0090388B"/>
    <w:rsid w:val="00906CCA"/>
    <w:rsid w:val="00912521"/>
    <w:rsid w:val="00913D27"/>
    <w:rsid w:val="00914143"/>
    <w:rsid w:val="00915E6F"/>
    <w:rsid w:val="00917F9A"/>
    <w:rsid w:val="00920DD1"/>
    <w:rsid w:val="0092134E"/>
    <w:rsid w:val="00922881"/>
    <w:rsid w:val="00923375"/>
    <w:rsid w:val="00923510"/>
    <w:rsid w:val="00924775"/>
    <w:rsid w:val="00927FAB"/>
    <w:rsid w:val="009300D3"/>
    <w:rsid w:val="009313DD"/>
    <w:rsid w:val="00933B34"/>
    <w:rsid w:val="00934B73"/>
    <w:rsid w:val="00934E1D"/>
    <w:rsid w:val="0093586D"/>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2DC"/>
    <w:rsid w:val="00960DA5"/>
    <w:rsid w:val="00962918"/>
    <w:rsid w:val="00962C9F"/>
    <w:rsid w:val="009637EC"/>
    <w:rsid w:val="00963EDF"/>
    <w:rsid w:val="009659C2"/>
    <w:rsid w:val="009667A6"/>
    <w:rsid w:val="00966C44"/>
    <w:rsid w:val="009678DB"/>
    <w:rsid w:val="00967D7A"/>
    <w:rsid w:val="00970B56"/>
    <w:rsid w:val="00971638"/>
    <w:rsid w:val="009716B0"/>
    <w:rsid w:val="00975830"/>
    <w:rsid w:val="00975FA0"/>
    <w:rsid w:val="00980095"/>
    <w:rsid w:val="009834C3"/>
    <w:rsid w:val="009845A3"/>
    <w:rsid w:val="00985241"/>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0165"/>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C07C9"/>
    <w:rsid w:val="009C0964"/>
    <w:rsid w:val="009C51C5"/>
    <w:rsid w:val="009C6F69"/>
    <w:rsid w:val="009C70E6"/>
    <w:rsid w:val="009D0357"/>
    <w:rsid w:val="009D0604"/>
    <w:rsid w:val="009D117E"/>
    <w:rsid w:val="009D6D67"/>
    <w:rsid w:val="009E035A"/>
    <w:rsid w:val="009E118E"/>
    <w:rsid w:val="009E53D5"/>
    <w:rsid w:val="009E7CF0"/>
    <w:rsid w:val="009F00A8"/>
    <w:rsid w:val="009F02EB"/>
    <w:rsid w:val="009F0449"/>
    <w:rsid w:val="009F0E47"/>
    <w:rsid w:val="009F1C11"/>
    <w:rsid w:val="009F5AE5"/>
    <w:rsid w:val="009F627F"/>
    <w:rsid w:val="009F67BC"/>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200B"/>
    <w:rsid w:val="00A1240B"/>
    <w:rsid w:val="00A129AB"/>
    <w:rsid w:val="00A12E19"/>
    <w:rsid w:val="00A138E4"/>
    <w:rsid w:val="00A14789"/>
    <w:rsid w:val="00A174C1"/>
    <w:rsid w:val="00A17C0E"/>
    <w:rsid w:val="00A17CF2"/>
    <w:rsid w:val="00A20498"/>
    <w:rsid w:val="00A21F2E"/>
    <w:rsid w:val="00A22B94"/>
    <w:rsid w:val="00A23540"/>
    <w:rsid w:val="00A2465D"/>
    <w:rsid w:val="00A25AFC"/>
    <w:rsid w:val="00A26B21"/>
    <w:rsid w:val="00A274E4"/>
    <w:rsid w:val="00A27C78"/>
    <w:rsid w:val="00A27E52"/>
    <w:rsid w:val="00A33E8A"/>
    <w:rsid w:val="00A34E98"/>
    <w:rsid w:val="00A356B9"/>
    <w:rsid w:val="00A36DC1"/>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3522"/>
    <w:rsid w:val="00A64B26"/>
    <w:rsid w:val="00A64F96"/>
    <w:rsid w:val="00A6519D"/>
    <w:rsid w:val="00A66719"/>
    <w:rsid w:val="00A67B61"/>
    <w:rsid w:val="00A72471"/>
    <w:rsid w:val="00A743F2"/>
    <w:rsid w:val="00A8275B"/>
    <w:rsid w:val="00A82ACF"/>
    <w:rsid w:val="00A82D85"/>
    <w:rsid w:val="00A8322C"/>
    <w:rsid w:val="00A8499D"/>
    <w:rsid w:val="00A85930"/>
    <w:rsid w:val="00A87981"/>
    <w:rsid w:val="00A92144"/>
    <w:rsid w:val="00A932C8"/>
    <w:rsid w:val="00A94967"/>
    <w:rsid w:val="00A94E26"/>
    <w:rsid w:val="00A97558"/>
    <w:rsid w:val="00A979D0"/>
    <w:rsid w:val="00AA0F94"/>
    <w:rsid w:val="00AA341C"/>
    <w:rsid w:val="00AA402D"/>
    <w:rsid w:val="00AA4F7E"/>
    <w:rsid w:val="00AA5D68"/>
    <w:rsid w:val="00AA7AAB"/>
    <w:rsid w:val="00AA7B0A"/>
    <w:rsid w:val="00AA7D76"/>
    <w:rsid w:val="00AA7FA0"/>
    <w:rsid w:val="00AB05EF"/>
    <w:rsid w:val="00AB06FA"/>
    <w:rsid w:val="00AB1CEF"/>
    <w:rsid w:val="00AB1DB9"/>
    <w:rsid w:val="00AB3E22"/>
    <w:rsid w:val="00AB3F69"/>
    <w:rsid w:val="00AB4A33"/>
    <w:rsid w:val="00AB4C4C"/>
    <w:rsid w:val="00AB4D39"/>
    <w:rsid w:val="00AB58A9"/>
    <w:rsid w:val="00AC0134"/>
    <w:rsid w:val="00AC11CF"/>
    <w:rsid w:val="00AC1872"/>
    <w:rsid w:val="00AC3EDE"/>
    <w:rsid w:val="00AC478B"/>
    <w:rsid w:val="00AC668A"/>
    <w:rsid w:val="00AD1804"/>
    <w:rsid w:val="00AD3A9E"/>
    <w:rsid w:val="00AD51F7"/>
    <w:rsid w:val="00AD6A1D"/>
    <w:rsid w:val="00AD6D9C"/>
    <w:rsid w:val="00AD7F23"/>
    <w:rsid w:val="00AE072F"/>
    <w:rsid w:val="00AE0C13"/>
    <w:rsid w:val="00AE140F"/>
    <w:rsid w:val="00AE15C1"/>
    <w:rsid w:val="00AE369C"/>
    <w:rsid w:val="00AE3877"/>
    <w:rsid w:val="00AE4FE7"/>
    <w:rsid w:val="00AE5525"/>
    <w:rsid w:val="00AE6161"/>
    <w:rsid w:val="00AE78DB"/>
    <w:rsid w:val="00AF06B9"/>
    <w:rsid w:val="00AF0A60"/>
    <w:rsid w:val="00AF16D0"/>
    <w:rsid w:val="00AF1B4D"/>
    <w:rsid w:val="00AF2889"/>
    <w:rsid w:val="00AF3229"/>
    <w:rsid w:val="00AF326F"/>
    <w:rsid w:val="00AF34C2"/>
    <w:rsid w:val="00AF7042"/>
    <w:rsid w:val="00AF7B6D"/>
    <w:rsid w:val="00AF7D12"/>
    <w:rsid w:val="00B02B85"/>
    <w:rsid w:val="00B02CAE"/>
    <w:rsid w:val="00B032CF"/>
    <w:rsid w:val="00B040F4"/>
    <w:rsid w:val="00B06B54"/>
    <w:rsid w:val="00B06BAE"/>
    <w:rsid w:val="00B07140"/>
    <w:rsid w:val="00B075A2"/>
    <w:rsid w:val="00B129B9"/>
    <w:rsid w:val="00B13A45"/>
    <w:rsid w:val="00B13B3A"/>
    <w:rsid w:val="00B1473F"/>
    <w:rsid w:val="00B207EA"/>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37A2"/>
    <w:rsid w:val="00B3393F"/>
    <w:rsid w:val="00B37F89"/>
    <w:rsid w:val="00B4005A"/>
    <w:rsid w:val="00B40CD3"/>
    <w:rsid w:val="00B41390"/>
    <w:rsid w:val="00B4176D"/>
    <w:rsid w:val="00B43918"/>
    <w:rsid w:val="00B443B2"/>
    <w:rsid w:val="00B44617"/>
    <w:rsid w:val="00B45E78"/>
    <w:rsid w:val="00B45FBC"/>
    <w:rsid w:val="00B46062"/>
    <w:rsid w:val="00B46340"/>
    <w:rsid w:val="00B47262"/>
    <w:rsid w:val="00B5013F"/>
    <w:rsid w:val="00B501DF"/>
    <w:rsid w:val="00B51071"/>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5DC"/>
    <w:rsid w:val="00B673DD"/>
    <w:rsid w:val="00B6750B"/>
    <w:rsid w:val="00B706D6"/>
    <w:rsid w:val="00B731E2"/>
    <w:rsid w:val="00B749D8"/>
    <w:rsid w:val="00B756B8"/>
    <w:rsid w:val="00B76AE2"/>
    <w:rsid w:val="00B77EC2"/>
    <w:rsid w:val="00B81F33"/>
    <w:rsid w:val="00B82939"/>
    <w:rsid w:val="00B82DFC"/>
    <w:rsid w:val="00B835D4"/>
    <w:rsid w:val="00B83B9F"/>
    <w:rsid w:val="00B8476F"/>
    <w:rsid w:val="00B85752"/>
    <w:rsid w:val="00B863A6"/>
    <w:rsid w:val="00B90AA4"/>
    <w:rsid w:val="00B93393"/>
    <w:rsid w:val="00B9404B"/>
    <w:rsid w:val="00B94BF9"/>
    <w:rsid w:val="00B94C64"/>
    <w:rsid w:val="00B95E84"/>
    <w:rsid w:val="00B95F70"/>
    <w:rsid w:val="00BA07C6"/>
    <w:rsid w:val="00BA084B"/>
    <w:rsid w:val="00BA09F8"/>
    <w:rsid w:val="00BA2181"/>
    <w:rsid w:val="00BA2888"/>
    <w:rsid w:val="00BA42CC"/>
    <w:rsid w:val="00BA46DD"/>
    <w:rsid w:val="00BA48C5"/>
    <w:rsid w:val="00BA5726"/>
    <w:rsid w:val="00BA5821"/>
    <w:rsid w:val="00BA6518"/>
    <w:rsid w:val="00BA6DC9"/>
    <w:rsid w:val="00BB108F"/>
    <w:rsid w:val="00BB32F6"/>
    <w:rsid w:val="00BB62A0"/>
    <w:rsid w:val="00BB6962"/>
    <w:rsid w:val="00BB7BCA"/>
    <w:rsid w:val="00BC05AF"/>
    <w:rsid w:val="00BC1B6C"/>
    <w:rsid w:val="00BC27C7"/>
    <w:rsid w:val="00BC2B32"/>
    <w:rsid w:val="00BC5201"/>
    <w:rsid w:val="00BC545F"/>
    <w:rsid w:val="00BC5BFA"/>
    <w:rsid w:val="00BD0CB3"/>
    <w:rsid w:val="00BD0D29"/>
    <w:rsid w:val="00BD1121"/>
    <w:rsid w:val="00BD1685"/>
    <w:rsid w:val="00BD25F9"/>
    <w:rsid w:val="00BD2FC0"/>
    <w:rsid w:val="00BD50FA"/>
    <w:rsid w:val="00BD516C"/>
    <w:rsid w:val="00BD52CF"/>
    <w:rsid w:val="00BD55B9"/>
    <w:rsid w:val="00BD78E5"/>
    <w:rsid w:val="00BE009E"/>
    <w:rsid w:val="00BE0BE7"/>
    <w:rsid w:val="00BE1825"/>
    <w:rsid w:val="00BE2FC5"/>
    <w:rsid w:val="00BE3075"/>
    <w:rsid w:val="00BE3CC2"/>
    <w:rsid w:val="00BF0146"/>
    <w:rsid w:val="00BF036C"/>
    <w:rsid w:val="00BF17E1"/>
    <w:rsid w:val="00BF2CB2"/>
    <w:rsid w:val="00BF3B10"/>
    <w:rsid w:val="00BF42DD"/>
    <w:rsid w:val="00BF4406"/>
    <w:rsid w:val="00BF47D6"/>
    <w:rsid w:val="00BF5DE1"/>
    <w:rsid w:val="00C01777"/>
    <w:rsid w:val="00C017E7"/>
    <w:rsid w:val="00C031FD"/>
    <w:rsid w:val="00C03AFC"/>
    <w:rsid w:val="00C03DC2"/>
    <w:rsid w:val="00C04C67"/>
    <w:rsid w:val="00C0522A"/>
    <w:rsid w:val="00C065C7"/>
    <w:rsid w:val="00C06ED6"/>
    <w:rsid w:val="00C06F71"/>
    <w:rsid w:val="00C10693"/>
    <w:rsid w:val="00C15776"/>
    <w:rsid w:val="00C17055"/>
    <w:rsid w:val="00C17592"/>
    <w:rsid w:val="00C17EAE"/>
    <w:rsid w:val="00C21162"/>
    <w:rsid w:val="00C21C41"/>
    <w:rsid w:val="00C22523"/>
    <w:rsid w:val="00C22C62"/>
    <w:rsid w:val="00C24B1F"/>
    <w:rsid w:val="00C25ACC"/>
    <w:rsid w:val="00C27754"/>
    <w:rsid w:val="00C27B12"/>
    <w:rsid w:val="00C3154E"/>
    <w:rsid w:val="00C31EDE"/>
    <w:rsid w:val="00C3277B"/>
    <w:rsid w:val="00C34064"/>
    <w:rsid w:val="00C3743E"/>
    <w:rsid w:val="00C40889"/>
    <w:rsid w:val="00C40904"/>
    <w:rsid w:val="00C40FE2"/>
    <w:rsid w:val="00C41E63"/>
    <w:rsid w:val="00C452F5"/>
    <w:rsid w:val="00C45C12"/>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B8B"/>
    <w:rsid w:val="00C82509"/>
    <w:rsid w:val="00C83494"/>
    <w:rsid w:val="00C83CF6"/>
    <w:rsid w:val="00C85199"/>
    <w:rsid w:val="00C8542E"/>
    <w:rsid w:val="00C86EDB"/>
    <w:rsid w:val="00C87343"/>
    <w:rsid w:val="00C9051A"/>
    <w:rsid w:val="00C91DFD"/>
    <w:rsid w:val="00C971C0"/>
    <w:rsid w:val="00CA0D2D"/>
    <w:rsid w:val="00CA1800"/>
    <w:rsid w:val="00CA3D0A"/>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6404"/>
    <w:rsid w:val="00CE6ABC"/>
    <w:rsid w:val="00CE78C7"/>
    <w:rsid w:val="00CF08D9"/>
    <w:rsid w:val="00CF0FF9"/>
    <w:rsid w:val="00CF11C4"/>
    <w:rsid w:val="00CF12F5"/>
    <w:rsid w:val="00CF2C71"/>
    <w:rsid w:val="00CF3785"/>
    <w:rsid w:val="00CF6154"/>
    <w:rsid w:val="00CF649F"/>
    <w:rsid w:val="00D00D95"/>
    <w:rsid w:val="00D0114A"/>
    <w:rsid w:val="00D019CC"/>
    <w:rsid w:val="00D01CF5"/>
    <w:rsid w:val="00D02242"/>
    <w:rsid w:val="00D03039"/>
    <w:rsid w:val="00D054E6"/>
    <w:rsid w:val="00D05662"/>
    <w:rsid w:val="00D05BB6"/>
    <w:rsid w:val="00D05E4A"/>
    <w:rsid w:val="00D05E6A"/>
    <w:rsid w:val="00D07A51"/>
    <w:rsid w:val="00D11734"/>
    <w:rsid w:val="00D11E3A"/>
    <w:rsid w:val="00D12E22"/>
    <w:rsid w:val="00D15527"/>
    <w:rsid w:val="00D16C3A"/>
    <w:rsid w:val="00D16EC4"/>
    <w:rsid w:val="00D200C5"/>
    <w:rsid w:val="00D201C9"/>
    <w:rsid w:val="00D20E1D"/>
    <w:rsid w:val="00D21638"/>
    <w:rsid w:val="00D21ADF"/>
    <w:rsid w:val="00D22A38"/>
    <w:rsid w:val="00D246C6"/>
    <w:rsid w:val="00D27B21"/>
    <w:rsid w:val="00D27B24"/>
    <w:rsid w:val="00D27E99"/>
    <w:rsid w:val="00D301B6"/>
    <w:rsid w:val="00D33AEA"/>
    <w:rsid w:val="00D33DC9"/>
    <w:rsid w:val="00D3451B"/>
    <w:rsid w:val="00D35137"/>
    <w:rsid w:val="00D359FF"/>
    <w:rsid w:val="00D36061"/>
    <w:rsid w:val="00D36DE1"/>
    <w:rsid w:val="00D4116A"/>
    <w:rsid w:val="00D42931"/>
    <w:rsid w:val="00D43BEB"/>
    <w:rsid w:val="00D4560A"/>
    <w:rsid w:val="00D475ED"/>
    <w:rsid w:val="00D479D5"/>
    <w:rsid w:val="00D523C7"/>
    <w:rsid w:val="00D5563B"/>
    <w:rsid w:val="00D568B7"/>
    <w:rsid w:val="00D57618"/>
    <w:rsid w:val="00D61686"/>
    <w:rsid w:val="00D644FB"/>
    <w:rsid w:val="00D648D1"/>
    <w:rsid w:val="00D655D7"/>
    <w:rsid w:val="00D65D0E"/>
    <w:rsid w:val="00D66580"/>
    <w:rsid w:val="00D66F2E"/>
    <w:rsid w:val="00D7278C"/>
    <w:rsid w:val="00D72D29"/>
    <w:rsid w:val="00D7427C"/>
    <w:rsid w:val="00D76EC6"/>
    <w:rsid w:val="00D80AB2"/>
    <w:rsid w:val="00D8490D"/>
    <w:rsid w:val="00D84BAC"/>
    <w:rsid w:val="00D85432"/>
    <w:rsid w:val="00D85740"/>
    <w:rsid w:val="00D864C0"/>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B1956"/>
    <w:rsid w:val="00DB1FA6"/>
    <w:rsid w:val="00DB39B3"/>
    <w:rsid w:val="00DB3EA8"/>
    <w:rsid w:val="00DB5741"/>
    <w:rsid w:val="00DB6B70"/>
    <w:rsid w:val="00DB77E5"/>
    <w:rsid w:val="00DC0068"/>
    <w:rsid w:val="00DC016F"/>
    <w:rsid w:val="00DC244A"/>
    <w:rsid w:val="00DC594F"/>
    <w:rsid w:val="00DC5D28"/>
    <w:rsid w:val="00DC681C"/>
    <w:rsid w:val="00DD0342"/>
    <w:rsid w:val="00DD165B"/>
    <w:rsid w:val="00DD2C02"/>
    <w:rsid w:val="00DD3B6E"/>
    <w:rsid w:val="00DD4B47"/>
    <w:rsid w:val="00DD6FF7"/>
    <w:rsid w:val="00DD7541"/>
    <w:rsid w:val="00DD756E"/>
    <w:rsid w:val="00DE039D"/>
    <w:rsid w:val="00DE057F"/>
    <w:rsid w:val="00DE1A54"/>
    <w:rsid w:val="00DE4719"/>
    <w:rsid w:val="00DE5421"/>
    <w:rsid w:val="00DE6231"/>
    <w:rsid w:val="00DE7014"/>
    <w:rsid w:val="00DE7BC4"/>
    <w:rsid w:val="00DF1F9C"/>
    <w:rsid w:val="00DF2594"/>
    <w:rsid w:val="00DF2C08"/>
    <w:rsid w:val="00DF374C"/>
    <w:rsid w:val="00E02EDF"/>
    <w:rsid w:val="00E0556A"/>
    <w:rsid w:val="00E05644"/>
    <w:rsid w:val="00E059A9"/>
    <w:rsid w:val="00E06CE7"/>
    <w:rsid w:val="00E0755A"/>
    <w:rsid w:val="00E10EEA"/>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6848"/>
    <w:rsid w:val="00E3707F"/>
    <w:rsid w:val="00E4085B"/>
    <w:rsid w:val="00E42454"/>
    <w:rsid w:val="00E42624"/>
    <w:rsid w:val="00E43FB9"/>
    <w:rsid w:val="00E44BCE"/>
    <w:rsid w:val="00E4509A"/>
    <w:rsid w:val="00E4534A"/>
    <w:rsid w:val="00E45487"/>
    <w:rsid w:val="00E454C2"/>
    <w:rsid w:val="00E46EBC"/>
    <w:rsid w:val="00E5011B"/>
    <w:rsid w:val="00E50E95"/>
    <w:rsid w:val="00E52942"/>
    <w:rsid w:val="00E5457D"/>
    <w:rsid w:val="00E54957"/>
    <w:rsid w:val="00E549C7"/>
    <w:rsid w:val="00E54DE5"/>
    <w:rsid w:val="00E5737F"/>
    <w:rsid w:val="00E57BCA"/>
    <w:rsid w:val="00E62AEF"/>
    <w:rsid w:val="00E63D3D"/>
    <w:rsid w:val="00E65443"/>
    <w:rsid w:val="00E658A6"/>
    <w:rsid w:val="00E66801"/>
    <w:rsid w:val="00E71546"/>
    <w:rsid w:val="00E71CBA"/>
    <w:rsid w:val="00E72932"/>
    <w:rsid w:val="00E74CA1"/>
    <w:rsid w:val="00E7527A"/>
    <w:rsid w:val="00E75B15"/>
    <w:rsid w:val="00E76268"/>
    <w:rsid w:val="00E76B62"/>
    <w:rsid w:val="00E76EE1"/>
    <w:rsid w:val="00E770D7"/>
    <w:rsid w:val="00E817FE"/>
    <w:rsid w:val="00E81F72"/>
    <w:rsid w:val="00E84B55"/>
    <w:rsid w:val="00E85EBC"/>
    <w:rsid w:val="00E870EB"/>
    <w:rsid w:val="00E87B9A"/>
    <w:rsid w:val="00E90AFE"/>
    <w:rsid w:val="00E92E34"/>
    <w:rsid w:val="00E933E3"/>
    <w:rsid w:val="00E948E4"/>
    <w:rsid w:val="00E950C2"/>
    <w:rsid w:val="00E96067"/>
    <w:rsid w:val="00E979B6"/>
    <w:rsid w:val="00EA0987"/>
    <w:rsid w:val="00EA1012"/>
    <w:rsid w:val="00EA3097"/>
    <w:rsid w:val="00EA444A"/>
    <w:rsid w:val="00EA5644"/>
    <w:rsid w:val="00EA68B0"/>
    <w:rsid w:val="00EA6B24"/>
    <w:rsid w:val="00EB0CBE"/>
    <w:rsid w:val="00EB28BA"/>
    <w:rsid w:val="00EB403B"/>
    <w:rsid w:val="00EB4AB3"/>
    <w:rsid w:val="00EB6C94"/>
    <w:rsid w:val="00EC0E8C"/>
    <w:rsid w:val="00EC48CC"/>
    <w:rsid w:val="00EC4B35"/>
    <w:rsid w:val="00EC52A5"/>
    <w:rsid w:val="00EC5C7D"/>
    <w:rsid w:val="00EC618C"/>
    <w:rsid w:val="00EC6367"/>
    <w:rsid w:val="00EC7850"/>
    <w:rsid w:val="00ED0268"/>
    <w:rsid w:val="00ED04F8"/>
    <w:rsid w:val="00ED0730"/>
    <w:rsid w:val="00ED252F"/>
    <w:rsid w:val="00ED46B6"/>
    <w:rsid w:val="00EE021A"/>
    <w:rsid w:val="00EE372C"/>
    <w:rsid w:val="00EE5DE4"/>
    <w:rsid w:val="00EE644B"/>
    <w:rsid w:val="00EE715D"/>
    <w:rsid w:val="00EE7401"/>
    <w:rsid w:val="00EF281F"/>
    <w:rsid w:val="00EF4407"/>
    <w:rsid w:val="00EF4C4C"/>
    <w:rsid w:val="00EF4E74"/>
    <w:rsid w:val="00EF68AC"/>
    <w:rsid w:val="00EF6EF1"/>
    <w:rsid w:val="00F009A4"/>
    <w:rsid w:val="00F00E47"/>
    <w:rsid w:val="00F01D36"/>
    <w:rsid w:val="00F02AE5"/>
    <w:rsid w:val="00F03ABF"/>
    <w:rsid w:val="00F04FBD"/>
    <w:rsid w:val="00F12B14"/>
    <w:rsid w:val="00F12EF4"/>
    <w:rsid w:val="00F1564F"/>
    <w:rsid w:val="00F205D9"/>
    <w:rsid w:val="00F221DC"/>
    <w:rsid w:val="00F255FF"/>
    <w:rsid w:val="00F25A0A"/>
    <w:rsid w:val="00F2608D"/>
    <w:rsid w:val="00F26773"/>
    <w:rsid w:val="00F318D0"/>
    <w:rsid w:val="00F35ACA"/>
    <w:rsid w:val="00F362EB"/>
    <w:rsid w:val="00F36521"/>
    <w:rsid w:val="00F36C83"/>
    <w:rsid w:val="00F37388"/>
    <w:rsid w:val="00F374C2"/>
    <w:rsid w:val="00F41D83"/>
    <w:rsid w:val="00F437EB"/>
    <w:rsid w:val="00F45878"/>
    <w:rsid w:val="00F462FC"/>
    <w:rsid w:val="00F468F2"/>
    <w:rsid w:val="00F47291"/>
    <w:rsid w:val="00F50379"/>
    <w:rsid w:val="00F507DB"/>
    <w:rsid w:val="00F5428F"/>
    <w:rsid w:val="00F54752"/>
    <w:rsid w:val="00F5582B"/>
    <w:rsid w:val="00F55C3C"/>
    <w:rsid w:val="00F560A6"/>
    <w:rsid w:val="00F5668E"/>
    <w:rsid w:val="00F56992"/>
    <w:rsid w:val="00F626FB"/>
    <w:rsid w:val="00F63081"/>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94F"/>
    <w:rsid w:val="00F752C6"/>
    <w:rsid w:val="00F75530"/>
    <w:rsid w:val="00F762B5"/>
    <w:rsid w:val="00F77830"/>
    <w:rsid w:val="00F84318"/>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E"/>
    <w:rsid w:val="00FB5BE0"/>
    <w:rsid w:val="00FB6FFC"/>
    <w:rsid w:val="00FC02A9"/>
    <w:rsid w:val="00FC060D"/>
    <w:rsid w:val="00FC1EA5"/>
    <w:rsid w:val="00FC4AEE"/>
    <w:rsid w:val="00FC4E87"/>
    <w:rsid w:val="00FC5809"/>
    <w:rsid w:val="00FC672E"/>
    <w:rsid w:val="00FC6CE4"/>
    <w:rsid w:val="00FC6F81"/>
    <w:rsid w:val="00FC7A6B"/>
    <w:rsid w:val="00FD1E6B"/>
    <w:rsid w:val="00FD247C"/>
    <w:rsid w:val="00FD2C12"/>
    <w:rsid w:val="00FD2E1C"/>
    <w:rsid w:val="00FD51CB"/>
    <w:rsid w:val="00FD5B72"/>
    <w:rsid w:val="00FD5F42"/>
    <w:rsid w:val="00FD6FB2"/>
    <w:rsid w:val="00FE16D3"/>
    <w:rsid w:val="00FE32C2"/>
    <w:rsid w:val="00FE4CB0"/>
    <w:rsid w:val="00FE5677"/>
    <w:rsid w:val="00FE5E27"/>
    <w:rsid w:val="00FE5E3B"/>
    <w:rsid w:val="00FE60AD"/>
    <w:rsid w:val="00FE7278"/>
    <w:rsid w:val="00FE774C"/>
    <w:rsid w:val="00FF198B"/>
    <w:rsid w:val="00FF1FFC"/>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2021-11-03T18:30:00+00:00</Judgment_x0020_Date>
    <Year xmlns="63bdd487-88aa-4c54-b893-ddaa81ed2e7c">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D9EC-3D6B-46D3-9E25-0EE729A812A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FEC94B7-EA9F-414F-9AE7-8A7D9ED33ECE}">
  <ds:schemaRefs>
    <ds:schemaRef ds:uri="http://schemas.microsoft.com/sharepoint/v3/contenttype/forms"/>
  </ds:schemaRefs>
</ds:datastoreItem>
</file>

<file path=customXml/itemProps3.xml><?xml version="1.0" encoding="utf-8"?>
<ds:datastoreItem xmlns:ds="http://schemas.openxmlformats.org/officeDocument/2006/customXml" ds:itemID="{59299FFC-8A20-4545-B0CD-C3CB9789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C655D-2154-40AE-ACF2-8A0DCFE1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CRAN v MTC of Namibia</vt:lpstr>
    </vt:vector>
  </TitlesOfParts>
  <Company/>
  <LinksUpToDate>false</LinksUpToDate>
  <CharactersWithSpaces>32564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 v MTC of Namibia</dc:title>
  <dc:creator>David</dc:creator>
  <cp:lastModifiedBy>Microsoft account</cp:lastModifiedBy>
  <cp:revision>4</cp:revision>
  <cp:lastPrinted>2021-11-03T09:36:00Z</cp:lastPrinted>
  <dcterms:created xsi:type="dcterms:W3CDTF">2021-12-05T07:50:00Z</dcterms:created>
  <dcterms:modified xsi:type="dcterms:W3CDTF">2021-12-05T19:31:00Z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